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6C3EF" w14:textId="77777777" w:rsidR="00E859DA" w:rsidRPr="003C1D23" w:rsidRDefault="00E859DA" w:rsidP="00E859DA">
      <w:pPr>
        <w:spacing w:after="0" w:line="240" w:lineRule="auto"/>
        <w:jc w:val="both"/>
        <w:rPr>
          <w:rFonts w:ascii="Verdana" w:eastAsia="Calibri" w:hAnsi="Verdana" w:cs="Arial"/>
          <w:b/>
          <w:color w:val="000000" w:themeColor="text1"/>
          <w:sz w:val="20"/>
          <w:szCs w:val="20"/>
          <w:lang w:val="es-ES"/>
        </w:rPr>
      </w:pPr>
    </w:p>
    <w:p w14:paraId="4547A3E8" w14:textId="77777777" w:rsidR="00E859DA" w:rsidRDefault="00E859DA" w:rsidP="00E859DA">
      <w:pPr>
        <w:spacing w:after="0" w:line="240" w:lineRule="auto"/>
        <w:jc w:val="both"/>
        <w:rPr>
          <w:rFonts w:ascii="Verdana" w:eastAsia="Calibri" w:hAnsi="Verdana" w:cs="Arial"/>
          <w:b/>
          <w:color w:val="000000" w:themeColor="text1"/>
          <w:lang w:val="es-ES"/>
        </w:rPr>
      </w:pPr>
      <w:r>
        <w:rPr>
          <w:rFonts w:ascii="Verdana" w:eastAsia="Calibri" w:hAnsi="Verdana" w:cs="Arial"/>
          <w:b/>
          <w:color w:val="000000" w:themeColor="text1"/>
          <w:lang w:val="es-ES"/>
        </w:rPr>
        <w:t>LICITACIÓN PÚBLICA</w:t>
      </w:r>
      <w:r w:rsidRPr="000B5B4A">
        <w:rPr>
          <w:rFonts w:ascii="Verdana" w:eastAsia="Calibri" w:hAnsi="Verdana" w:cs="Arial"/>
          <w:b/>
          <w:color w:val="000000" w:themeColor="text1"/>
          <w:lang w:val="es-ES"/>
        </w:rPr>
        <w:t xml:space="preserve"> –</w:t>
      </w:r>
      <w:r>
        <w:rPr>
          <w:rFonts w:ascii="Verdana" w:eastAsia="Calibri" w:hAnsi="Verdana" w:cs="Arial"/>
          <w:b/>
          <w:color w:val="000000" w:themeColor="text1"/>
          <w:lang w:val="es-ES"/>
        </w:rPr>
        <w:t xml:space="preserve"> Regla general</w:t>
      </w:r>
    </w:p>
    <w:p w14:paraId="6867CD53" w14:textId="77777777" w:rsidR="00E859DA" w:rsidRPr="00336852" w:rsidRDefault="00E859DA" w:rsidP="00E859DA">
      <w:pPr>
        <w:spacing w:after="0" w:line="240" w:lineRule="auto"/>
        <w:jc w:val="both"/>
        <w:rPr>
          <w:rFonts w:ascii="Verdana" w:eastAsia="Calibri" w:hAnsi="Verdana" w:cs="Arial"/>
          <w:bCs/>
          <w:color w:val="000000" w:themeColor="text1"/>
          <w:sz w:val="20"/>
          <w:szCs w:val="20"/>
          <w:lang w:val="es-ES"/>
        </w:rPr>
      </w:pPr>
    </w:p>
    <w:p w14:paraId="713CE561" w14:textId="77777777" w:rsidR="00E859DA" w:rsidRPr="00336852" w:rsidRDefault="00E859DA" w:rsidP="00E859DA">
      <w:pPr>
        <w:spacing w:after="0" w:line="240" w:lineRule="auto"/>
        <w:jc w:val="both"/>
        <w:rPr>
          <w:rFonts w:ascii="Verdana" w:eastAsia="Calibri" w:hAnsi="Verdana" w:cs="Arial"/>
          <w:bCs/>
          <w:color w:val="000000" w:themeColor="text1"/>
          <w:sz w:val="20"/>
          <w:szCs w:val="20"/>
          <w:lang w:val="es-ES"/>
        </w:rPr>
      </w:pPr>
      <w:r>
        <w:rPr>
          <w:rFonts w:ascii="Verdana" w:eastAsia="Calibri" w:hAnsi="Verdana" w:cs="Arial"/>
          <w:bCs/>
          <w:color w:val="000000" w:themeColor="text1"/>
          <w:sz w:val="20"/>
          <w:szCs w:val="20"/>
          <w:lang w:val="es-ES"/>
        </w:rPr>
        <w:t>P</w:t>
      </w:r>
      <w:r w:rsidRPr="00336852">
        <w:rPr>
          <w:rFonts w:ascii="Verdana" w:eastAsia="Calibri" w:hAnsi="Verdana" w:cs="Arial"/>
          <w:bCs/>
          <w:color w:val="000000" w:themeColor="text1"/>
          <w:sz w:val="20"/>
          <w:szCs w:val="20"/>
          <w:lang w:val="es-ES"/>
        </w:rPr>
        <w:t xml:space="preserve">ara las entidades sometidas a la Ley 80 de 1993, los procesos de selección se rigen por el artículo 2 de la Ley 1150 de 2007. El numeral uno, inciso primero, dispone que “La escogencia del contratista se efectuará por regla general a través de licitación pública, con las excepciones que se señalan en los numerales 2, 3 y 4 del presente artículo” (Énfasis fuera de texto), norma que sustituye el derogado numeral 1 del artículo 24 de la Ley 80 de 1993 sobre el principio de transparencia. Así, salvo norma especial que ordene la celebración del negocio jurídico por selección abreviada, concurso de méritos, mínima cuantía o contratación directa, debe aplicarse la regla general de licitación pública. </w:t>
      </w:r>
    </w:p>
    <w:p w14:paraId="4838C096" w14:textId="77777777" w:rsidR="00E859DA" w:rsidRPr="00336852" w:rsidRDefault="00E859DA" w:rsidP="00E859DA">
      <w:pPr>
        <w:spacing w:after="0" w:line="240" w:lineRule="auto"/>
        <w:jc w:val="both"/>
        <w:rPr>
          <w:rFonts w:ascii="Verdana" w:eastAsia="Calibri" w:hAnsi="Verdana" w:cs="Arial"/>
          <w:bCs/>
          <w:color w:val="000000" w:themeColor="text1"/>
          <w:sz w:val="20"/>
          <w:szCs w:val="20"/>
          <w:lang w:val="es-ES"/>
        </w:rPr>
      </w:pPr>
    </w:p>
    <w:p w14:paraId="44410831" w14:textId="77777777" w:rsidR="00E859DA" w:rsidRPr="00AF1555" w:rsidRDefault="00E859DA" w:rsidP="00E859DA">
      <w:pPr>
        <w:spacing w:after="0" w:line="240" w:lineRule="auto"/>
        <w:jc w:val="both"/>
        <w:rPr>
          <w:rFonts w:ascii="Verdana" w:eastAsia="Calibri" w:hAnsi="Verdana" w:cs="Arial"/>
          <w:b/>
          <w:color w:val="000000" w:themeColor="text1"/>
          <w:lang w:val="es-ES"/>
        </w:rPr>
      </w:pPr>
      <w:r w:rsidRPr="000B5B4A">
        <w:rPr>
          <w:rFonts w:ascii="Verdana" w:eastAsia="Calibri" w:hAnsi="Verdana" w:cs="Arial"/>
          <w:b/>
          <w:color w:val="000000" w:themeColor="text1"/>
          <w:lang w:val="es-ES"/>
        </w:rPr>
        <w:t xml:space="preserve">SELECCIÓN ABREVIADA </w:t>
      </w:r>
      <w:r>
        <w:rPr>
          <w:rFonts w:ascii="Verdana" w:eastAsia="Calibri" w:hAnsi="Verdana" w:cs="Arial"/>
          <w:b/>
          <w:color w:val="000000" w:themeColor="text1"/>
          <w:lang w:val="es-ES"/>
        </w:rPr>
        <w:t>– Bienes de características técnicas uniformes y de común utilización – Particularidades</w:t>
      </w:r>
      <w:r w:rsidRPr="00AF1555">
        <w:rPr>
          <w:rFonts w:ascii="Verdana" w:eastAsia="Calibri" w:hAnsi="Verdana" w:cs="Arial"/>
          <w:b/>
          <w:color w:val="000000" w:themeColor="text1"/>
          <w:lang w:val="es-ES"/>
        </w:rPr>
        <w:t xml:space="preserve"> </w:t>
      </w:r>
    </w:p>
    <w:p w14:paraId="0DE42781" w14:textId="77777777" w:rsidR="00E859DA" w:rsidRPr="00AF1555" w:rsidRDefault="00E859DA" w:rsidP="00E859DA">
      <w:pPr>
        <w:spacing w:after="0" w:line="240" w:lineRule="auto"/>
        <w:jc w:val="both"/>
        <w:rPr>
          <w:rFonts w:ascii="Verdana" w:eastAsia="Calibri" w:hAnsi="Verdana" w:cs="Arial"/>
          <w:bCs/>
          <w:color w:val="000000" w:themeColor="text1"/>
          <w:sz w:val="20"/>
          <w:szCs w:val="20"/>
          <w:lang w:val="es-ES"/>
        </w:rPr>
      </w:pPr>
    </w:p>
    <w:p w14:paraId="04CC4254" w14:textId="77777777" w:rsidR="00E859DA" w:rsidRPr="000B5B4A" w:rsidRDefault="00E859DA" w:rsidP="00E859DA">
      <w:pPr>
        <w:spacing w:after="0" w:line="240" w:lineRule="auto"/>
        <w:jc w:val="both"/>
        <w:rPr>
          <w:rFonts w:ascii="Verdana" w:eastAsia="Calibri" w:hAnsi="Verdana" w:cs="Arial"/>
          <w:bCs/>
          <w:color w:val="000000" w:themeColor="text1"/>
          <w:sz w:val="20"/>
          <w:szCs w:val="20"/>
          <w:lang w:val="es-ES" w:eastAsia="es-ES_tradnl"/>
        </w:rPr>
      </w:pPr>
      <w:r w:rsidRPr="000B5B4A">
        <w:rPr>
          <w:rFonts w:ascii="Verdana" w:eastAsia="Calibri" w:hAnsi="Verdana" w:cs="Arial"/>
          <w:bCs/>
          <w:color w:val="000000" w:themeColor="text1"/>
          <w:sz w:val="20"/>
          <w:szCs w:val="20"/>
          <w:lang w:val="es-ES" w:eastAsia="es-ES_tradnl"/>
        </w:rPr>
        <w:t xml:space="preserve">Respecto a la selección abreviada, el numeral 2 del artículo 2 de la Ley 1150 de 2007 dispone que </w:t>
      </w:r>
      <w:r>
        <w:rPr>
          <w:rFonts w:ascii="Verdana" w:eastAsia="Calibri" w:hAnsi="Verdana" w:cs="Arial"/>
          <w:bCs/>
          <w:color w:val="000000" w:themeColor="text1"/>
          <w:sz w:val="20"/>
          <w:szCs w:val="20"/>
          <w:lang w:val="es-ES" w:eastAsia="es-ES_tradnl"/>
        </w:rPr>
        <w:t>“</w:t>
      </w:r>
      <w:r w:rsidRPr="000B5B4A">
        <w:rPr>
          <w:rFonts w:ascii="Verdana" w:eastAsia="Calibri" w:hAnsi="Verdana" w:cs="Arial"/>
          <w:bCs/>
          <w:color w:val="000000" w:themeColor="text1"/>
          <w:sz w:val="20"/>
          <w:szCs w:val="20"/>
          <w:lang w:val="es-ES" w:eastAsia="es-ES_tradnl"/>
        </w:rPr>
        <w:t>[…]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r>
        <w:rPr>
          <w:rFonts w:ascii="Verdana" w:eastAsia="Calibri" w:hAnsi="Verdana" w:cs="Arial"/>
          <w:bCs/>
          <w:color w:val="000000" w:themeColor="text1"/>
          <w:sz w:val="20"/>
          <w:szCs w:val="20"/>
          <w:lang w:val="es-ES" w:eastAsia="es-ES_tradnl"/>
        </w:rPr>
        <w:t>”</w:t>
      </w:r>
      <w:r w:rsidRPr="000B5B4A">
        <w:rPr>
          <w:rFonts w:ascii="Verdana" w:eastAsia="Calibri" w:hAnsi="Verdana" w:cs="Arial"/>
          <w:bCs/>
          <w:color w:val="000000" w:themeColor="text1"/>
          <w:sz w:val="20"/>
          <w:szCs w:val="20"/>
          <w:lang w:val="es-ES" w:eastAsia="es-ES_tradnl"/>
        </w:rPr>
        <w:t xml:space="preserve">, regulando cada una de las causales. </w:t>
      </w:r>
    </w:p>
    <w:p w14:paraId="2B19486A" w14:textId="77777777" w:rsidR="00E859DA" w:rsidRPr="000B5B4A" w:rsidRDefault="00E859DA" w:rsidP="00E859DA">
      <w:pPr>
        <w:spacing w:after="0" w:line="240" w:lineRule="auto"/>
        <w:jc w:val="both"/>
        <w:rPr>
          <w:rFonts w:ascii="Verdana" w:eastAsia="Calibri" w:hAnsi="Verdana" w:cs="Arial"/>
          <w:bCs/>
          <w:color w:val="000000" w:themeColor="text1"/>
          <w:sz w:val="20"/>
          <w:szCs w:val="20"/>
          <w:lang w:val="es-ES" w:eastAsia="es-ES_tradnl"/>
        </w:rPr>
      </w:pPr>
    </w:p>
    <w:p w14:paraId="03FBD152" w14:textId="77777777" w:rsidR="00E859DA" w:rsidRDefault="00E859DA" w:rsidP="00E859DA">
      <w:pPr>
        <w:spacing w:after="0" w:line="240" w:lineRule="auto"/>
        <w:jc w:val="both"/>
        <w:rPr>
          <w:rFonts w:ascii="Verdana" w:eastAsia="Calibri" w:hAnsi="Verdana" w:cs="Arial"/>
          <w:bCs/>
          <w:color w:val="000000" w:themeColor="text1"/>
          <w:sz w:val="20"/>
          <w:szCs w:val="20"/>
          <w:lang w:val="es-ES" w:eastAsia="es-ES_tradnl"/>
        </w:rPr>
      </w:pPr>
      <w:r w:rsidRPr="000B5B4A">
        <w:rPr>
          <w:rFonts w:ascii="Verdana" w:eastAsia="Calibri" w:hAnsi="Verdana" w:cs="Arial"/>
          <w:bCs/>
          <w:color w:val="000000" w:themeColor="text1"/>
          <w:sz w:val="20"/>
          <w:szCs w:val="20"/>
          <w:lang w:val="es-ES" w:eastAsia="es-ES_tradnl"/>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p>
    <w:p w14:paraId="6E99DCDA" w14:textId="77777777" w:rsidR="00E859DA" w:rsidRDefault="00E859DA" w:rsidP="00E859DA">
      <w:pPr>
        <w:spacing w:after="0" w:line="240" w:lineRule="auto"/>
        <w:jc w:val="both"/>
        <w:rPr>
          <w:rFonts w:ascii="Verdana" w:eastAsia="Calibri" w:hAnsi="Verdana" w:cs="Arial"/>
          <w:bCs/>
          <w:color w:val="000000" w:themeColor="text1"/>
          <w:sz w:val="20"/>
          <w:szCs w:val="20"/>
          <w:lang w:val="es-ES" w:eastAsia="es-ES_tradnl"/>
        </w:rPr>
      </w:pPr>
    </w:p>
    <w:p w14:paraId="1FBA7B87" w14:textId="77777777" w:rsidR="00E859DA" w:rsidRDefault="00E859DA" w:rsidP="00E859DA">
      <w:pPr>
        <w:spacing w:after="0" w:line="240" w:lineRule="auto"/>
        <w:jc w:val="both"/>
        <w:rPr>
          <w:rFonts w:ascii="Verdana" w:eastAsia="Calibri" w:hAnsi="Verdana" w:cs="Arial"/>
          <w:bCs/>
          <w:color w:val="000000" w:themeColor="text1"/>
          <w:sz w:val="20"/>
          <w:szCs w:val="20"/>
          <w:lang w:val="es-ES" w:eastAsia="es-ES_tradnl"/>
        </w:rPr>
      </w:pPr>
      <w:r w:rsidRPr="00675C26">
        <w:rPr>
          <w:rFonts w:ascii="Verdana" w:eastAsia="Calibri" w:hAnsi="Verdana" w:cs="Arial"/>
          <w:bCs/>
          <w:color w:val="000000" w:themeColor="text1"/>
          <w:sz w:val="20"/>
          <w:szCs w:val="20"/>
          <w:lang w:val="es-ES_tradnl" w:eastAsia="es-ES_tradnl"/>
        </w:rPr>
        <w:t xml:space="preserve">El literal a) del artículo 2.2 de la Ley 1150 de 2007 regula la adquisición o suministro de bienes y servicios de características técnicas uniformes y de común utilización como causal de selección abreviada. Conforme al artículo </w:t>
      </w:r>
      <w:r w:rsidRPr="00675C26">
        <w:rPr>
          <w:rFonts w:ascii="Verdana" w:eastAsia="Calibri" w:hAnsi="Verdana" w:cs="Arial"/>
          <w:bCs/>
          <w:color w:val="000000" w:themeColor="text1"/>
          <w:sz w:val="20"/>
          <w:szCs w:val="20"/>
          <w:lang w:eastAsia="es-ES_tradnl"/>
        </w:rPr>
        <w:t>2.2.1.1.1.3.1 del Decreto 1082 de 2015,</w:t>
      </w:r>
      <w:r w:rsidRPr="00675C26">
        <w:rPr>
          <w:rFonts w:ascii="Verdana" w:eastAsia="Calibri" w:hAnsi="Verdana" w:cs="Arial"/>
          <w:bCs/>
          <w:color w:val="000000" w:themeColor="text1"/>
          <w:sz w:val="20"/>
          <w:szCs w:val="20"/>
          <w:lang w:val="es-ES_tradnl" w:eastAsia="es-ES_tradnl"/>
        </w:rPr>
        <w:t xml:space="preserve"> l</w:t>
      </w:r>
      <w:r w:rsidRPr="00675C26">
        <w:rPr>
          <w:rFonts w:ascii="Verdana" w:eastAsia="Calibri" w:hAnsi="Verdana" w:cs="Arial"/>
          <w:bCs/>
          <w:color w:val="000000" w:themeColor="text1"/>
          <w:sz w:val="20"/>
          <w:szCs w:val="20"/>
          <w:lang w:eastAsia="es-ES_tradnl"/>
        </w:rPr>
        <w:t>a nota común de este conjunto de bienes y servicios es que, con independencia de sus características descriptivas, comparten patrones de desempeño y calidad similares para la satisfacción de la necesidad a la que atienden. Igualmente, el inciso segundo del literal a) del artículo 2, numeral 2 de la Ley 1150 de 2007 dispone que “Para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w:t>
      </w:r>
    </w:p>
    <w:p w14:paraId="5021A5E9" w14:textId="77777777" w:rsidR="00E859DA" w:rsidRPr="00AF1555" w:rsidRDefault="00E859DA" w:rsidP="00E859DA">
      <w:pPr>
        <w:spacing w:after="0" w:line="240" w:lineRule="auto"/>
        <w:rPr>
          <w:rFonts w:ascii="Verdana" w:eastAsia="Geomanist Light" w:hAnsi="Verdana" w:cs="Arial"/>
          <w:color w:val="000000" w:themeColor="text1"/>
          <w:sz w:val="20"/>
          <w:szCs w:val="20"/>
          <w:lang w:val="es-ES_tradnl"/>
        </w:rPr>
      </w:pPr>
    </w:p>
    <w:p w14:paraId="35E6BA81" w14:textId="77777777" w:rsidR="00E859DA" w:rsidRPr="009B46EA" w:rsidRDefault="00E859DA" w:rsidP="00E859DA">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MÍNIMA CUANTÍA</w:t>
      </w:r>
      <w:r w:rsidRPr="009B46EA">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Fundamento normativo</w:t>
      </w:r>
      <w:r w:rsidRPr="009B46EA">
        <w:rPr>
          <w:rFonts w:ascii="Verdana" w:eastAsia="Calibri" w:hAnsi="Verdana" w:cs="Arial"/>
          <w:b/>
          <w:color w:val="000000" w:themeColor="text1"/>
          <w:lang w:val="es-ES_tradnl"/>
        </w:rPr>
        <w:t xml:space="preserve"> </w:t>
      </w:r>
    </w:p>
    <w:p w14:paraId="6F8DBF0D" w14:textId="77777777" w:rsidR="00E859DA" w:rsidRPr="009B46EA" w:rsidRDefault="00E859DA" w:rsidP="00E859DA">
      <w:pPr>
        <w:spacing w:after="0" w:line="240" w:lineRule="auto"/>
        <w:jc w:val="both"/>
        <w:rPr>
          <w:rFonts w:ascii="Verdana" w:eastAsia="Calibri" w:hAnsi="Verdana" w:cs="Arial"/>
          <w:bCs/>
          <w:color w:val="000000" w:themeColor="text1"/>
          <w:sz w:val="20"/>
          <w:szCs w:val="20"/>
          <w:lang w:val="es-ES_tradnl"/>
        </w:rPr>
      </w:pPr>
    </w:p>
    <w:p w14:paraId="2BE74DE9" w14:textId="77777777" w:rsidR="00E859DA" w:rsidRPr="009B46EA" w:rsidRDefault="00E859DA" w:rsidP="00E859DA">
      <w:pPr>
        <w:spacing w:after="0" w:line="240" w:lineRule="auto"/>
        <w:jc w:val="both"/>
        <w:rPr>
          <w:rFonts w:ascii="Verdana" w:hAnsi="Verdana" w:cs="Arial"/>
          <w:color w:val="000000" w:themeColor="text1"/>
          <w:sz w:val="20"/>
          <w:szCs w:val="20"/>
          <w:lang w:val="es-ES_tradnl"/>
        </w:rPr>
      </w:pPr>
      <w:r>
        <w:rPr>
          <w:rFonts w:ascii="Verdana" w:hAnsi="Verdana" w:cs="Arial"/>
          <w:color w:val="000000" w:themeColor="text1"/>
          <w:sz w:val="20"/>
          <w:szCs w:val="20"/>
          <w:lang w:val="es-ES_tradnl"/>
        </w:rPr>
        <w:lastRenderedPageBreak/>
        <w:t>E</w:t>
      </w:r>
      <w:r w:rsidRPr="00217168">
        <w:rPr>
          <w:rFonts w:ascii="Verdana" w:hAnsi="Verdana" w:cs="Arial"/>
          <w:color w:val="000000" w:themeColor="text1"/>
          <w:sz w:val="20"/>
          <w:szCs w:val="20"/>
          <w:lang w:val="es-ES_tradnl"/>
        </w:rPr>
        <w:t>s necesario tener en cuenta que el artículo 30 de la Ley 2069 de 2020 modifica el numeral 5 del artículo 2 de la Ley 1150 de 2007, el cual regula la mínima cuantía. En esta modalidad de selección, la entidad estatal realiza una convocatoria pública para recibir ofertas de bienes o servicios cuyo valor no excede el diez por ciento –10%– de la menor cuantía. Fue creada por el artículo 274 de la Ley 1450 de 2011 y modificada por el artículo 94 de la Ley 1474 de 2011, disponiendo que el factor determinante para adelantarla es el valor del presupuesto oficial con independencia de su objeto. Por lo demás, como en este procedimiento el contrato se perfecciona con la aceptación de la oferta, se considera un sucedáneo de los denominados “contratos sin formalidades plenas”</w:t>
      </w:r>
      <w:r w:rsidRPr="009B46EA">
        <w:rPr>
          <w:rFonts w:ascii="Verdana" w:hAnsi="Verdana" w:cs="Arial"/>
          <w:color w:val="000000" w:themeColor="text1"/>
          <w:sz w:val="20"/>
          <w:szCs w:val="20"/>
          <w:lang w:val="es-ES_tradnl"/>
        </w:rPr>
        <w:t>.</w:t>
      </w:r>
    </w:p>
    <w:p w14:paraId="63A4A49B" w14:textId="77777777" w:rsidR="00E859DA" w:rsidRPr="009B46EA" w:rsidRDefault="00E859DA" w:rsidP="00E859DA">
      <w:pPr>
        <w:spacing w:after="0" w:line="240" w:lineRule="auto"/>
        <w:jc w:val="both"/>
        <w:rPr>
          <w:rFonts w:ascii="Verdana" w:hAnsi="Verdana" w:cs="Arial"/>
          <w:color w:val="000000" w:themeColor="text1"/>
          <w:sz w:val="21"/>
          <w:szCs w:val="21"/>
          <w:lang w:val="es-ES_tradnl"/>
        </w:rPr>
      </w:pPr>
    </w:p>
    <w:p w14:paraId="3E4BBAA8" w14:textId="77777777" w:rsidR="00E859DA" w:rsidRPr="009B46EA" w:rsidRDefault="00E859DA" w:rsidP="00E859DA">
      <w:pPr>
        <w:spacing w:after="0" w:line="240" w:lineRule="auto"/>
        <w:jc w:val="both"/>
        <w:rPr>
          <w:rFonts w:ascii="Verdana" w:eastAsia="Calibri" w:hAnsi="Verdana" w:cs="Arial"/>
          <w:b/>
          <w:color w:val="000000" w:themeColor="text1"/>
          <w:lang w:val="es-ES_tradnl"/>
        </w:rPr>
      </w:pPr>
      <w:bookmarkStart w:id="0" w:name="_Hlk109118876"/>
      <w:r>
        <w:rPr>
          <w:rFonts w:ascii="Verdana" w:eastAsia="Calibri" w:hAnsi="Verdana" w:cs="Arial"/>
          <w:b/>
          <w:color w:val="000000" w:themeColor="text1"/>
          <w:lang w:val="es-ES_tradnl"/>
        </w:rPr>
        <w:t>SELECCIÓN OBJETIVA – Oferta más favorable</w:t>
      </w:r>
      <w:r w:rsidRPr="009B46EA">
        <w:rPr>
          <w:rFonts w:ascii="Verdana" w:eastAsia="Calibri" w:hAnsi="Verdana" w:cs="Arial"/>
          <w:b/>
          <w:color w:val="000000" w:themeColor="text1"/>
          <w:lang w:val="es-ES_tradnl"/>
        </w:rPr>
        <w:t xml:space="preserve"> –</w:t>
      </w:r>
      <w:bookmarkEnd w:id="0"/>
      <w:r w:rsidRPr="009B46EA">
        <w:rPr>
          <w:rFonts w:ascii="Verdana" w:eastAsia="Calibri" w:hAnsi="Verdana" w:cs="Arial"/>
          <w:b/>
          <w:color w:val="000000" w:themeColor="text1"/>
          <w:lang w:val="es-ES_tradnl"/>
        </w:rPr>
        <w:t xml:space="preserve"> </w:t>
      </w:r>
      <w:r>
        <w:rPr>
          <w:rFonts w:ascii="Verdana" w:eastAsia="Calibri" w:hAnsi="Verdana" w:cs="Arial"/>
          <w:b/>
          <w:color w:val="000000" w:themeColor="text1"/>
          <w:lang w:val="es-ES_tradnl"/>
        </w:rPr>
        <w:t>Marco jurídico</w:t>
      </w:r>
      <w:r w:rsidRPr="009B46EA">
        <w:rPr>
          <w:rFonts w:ascii="Verdana" w:eastAsia="Calibri" w:hAnsi="Verdana" w:cs="Arial"/>
          <w:b/>
          <w:color w:val="000000" w:themeColor="text1"/>
          <w:lang w:val="es-ES_tradnl"/>
        </w:rPr>
        <w:t xml:space="preserve"> </w:t>
      </w:r>
    </w:p>
    <w:p w14:paraId="7A448B88" w14:textId="77777777" w:rsidR="00E859DA" w:rsidRPr="009B46EA" w:rsidRDefault="00E859DA" w:rsidP="00E859DA">
      <w:pPr>
        <w:spacing w:after="0" w:line="240" w:lineRule="auto"/>
        <w:jc w:val="both"/>
        <w:rPr>
          <w:rFonts w:ascii="Verdana" w:eastAsia="Calibri" w:hAnsi="Verdana" w:cs="Arial"/>
          <w:b/>
          <w:color w:val="000000" w:themeColor="text1"/>
          <w:lang w:val="es-ES_tradnl"/>
        </w:rPr>
      </w:pPr>
    </w:p>
    <w:p w14:paraId="32A9CBB4" w14:textId="77777777" w:rsidR="00E859DA" w:rsidRDefault="00E859DA" w:rsidP="00E859DA">
      <w:pPr>
        <w:spacing w:after="0" w:line="240" w:lineRule="auto"/>
        <w:jc w:val="both"/>
        <w:rPr>
          <w:rFonts w:ascii="Verdana" w:hAnsi="Verdana" w:cs="Arial"/>
          <w:color w:val="000000" w:themeColor="text1"/>
          <w:sz w:val="20"/>
          <w:szCs w:val="20"/>
        </w:rPr>
      </w:pPr>
      <w:r>
        <w:rPr>
          <w:rFonts w:ascii="Verdana" w:hAnsi="Verdana" w:cs="Arial"/>
          <w:color w:val="000000" w:themeColor="text1"/>
          <w:sz w:val="20"/>
          <w:szCs w:val="20"/>
        </w:rPr>
        <w:t>E</w:t>
      </w:r>
      <w:r w:rsidRPr="000D7C8D">
        <w:rPr>
          <w:rFonts w:ascii="Verdana" w:hAnsi="Verdana" w:cs="Arial"/>
          <w:color w:val="000000" w:themeColor="text1"/>
          <w:sz w:val="20"/>
          <w:szCs w:val="20"/>
        </w:rPr>
        <w:t>l artículo 5 de la Ley 1150 de 2007, alude a diferentes conceptos como factores de escogencia, de calificación, técnicos y económicos de escogencia, de evaluación y calificación. Además, el artículo alude a unos factores que no otorgan puntaje y de otros que inciden en la comparación de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 Todas estas categorías designan los “[…] factores a los cuales cabe otorgarles puntajes o que pueden ser ponderados, precisamente, pues estos son los factores que en últimas permiten una comparación de ofertas y una diferenciación entre ellas”.</w:t>
      </w:r>
    </w:p>
    <w:p w14:paraId="36F8966D" w14:textId="77777777" w:rsidR="00E859DA" w:rsidRPr="000D7C8D" w:rsidRDefault="00E859DA" w:rsidP="00E859DA">
      <w:pPr>
        <w:spacing w:after="0" w:line="240" w:lineRule="auto"/>
        <w:jc w:val="both"/>
        <w:rPr>
          <w:rFonts w:ascii="Verdana" w:hAnsi="Verdana" w:cs="Arial"/>
          <w:color w:val="000000" w:themeColor="text1"/>
          <w:sz w:val="20"/>
          <w:szCs w:val="20"/>
        </w:rPr>
      </w:pPr>
    </w:p>
    <w:p w14:paraId="79AFABDC" w14:textId="77777777" w:rsidR="00E859DA" w:rsidRDefault="00E859DA" w:rsidP="00E859DA">
      <w:pPr>
        <w:spacing w:after="0" w:line="240" w:lineRule="auto"/>
        <w:jc w:val="both"/>
        <w:rPr>
          <w:rFonts w:ascii="Verdana" w:hAnsi="Verdana" w:cs="Arial"/>
          <w:color w:val="000000" w:themeColor="text1"/>
          <w:sz w:val="20"/>
          <w:szCs w:val="20"/>
        </w:rPr>
      </w:pPr>
      <w:r w:rsidRPr="000D7C8D">
        <w:rPr>
          <w:rFonts w:ascii="Verdana" w:hAnsi="Verdana" w:cs="Arial"/>
          <w:color w:val="000000" w:themeColor="text1"/>
          <w:sz w:val="20"/>
          <w:szCs w:val="20"/>
        </w:rPr>
        <w:t xml:space="preserve">En ese sentido, la asignación de puntaje es un mecanismo mediante el cual las entidades ponderan los factores de calificación </w:t>
      </w:r>
      <w:r w:rsidRPr="000D7C8D">
        <w:rPr>
          <w:rFonts w:ascii="Tahoma" w:hAnsi="Tahoma" w:cs="Tahoma"/>
          <w:color w:val="000000" w:themeColor="text1"/>
          <w:sz w:val="20"/>
          <w:szCs w:val="20"/>
        </w:rPr>
        <w:t>ꟷ</w:t>
      </w:r>
      <w:r w:rsidRPr="000D7C8D">
        <w:rPr>
          <w:rFonts w:ascii="Verdana" w:hAnsi="Verdana" w:cs="Arial"/>
          <w:i/>
          <w:color w:val="000000" w:themeColor="text1"/>
          <w:sz w:val="20"/>
          <w:szCs w:val="20"/>
        </w:rPr>
        <w:t>v.g.</w:t>
      </w:r>
      <w:r w:rsidRPr="000D7C8D">
        <w:rPr>
          <w:rFonts w:ascii="Verdana" w:hAnsi="Verdana" w:cs="Arial"/>
          <w:color w:val="000000" w:themeColor="text1"/>
          <w:sz w:val="20"/>
          <w:szCs w:val="20"/>
        </w:rPr>
        <w:t xml:space="preserve"> técnicos y económicos, de calidad y precio, etc.</w:t>
      </w:r>
      <w:r w:rsidRPr="000D7C8D">
        <w:rPr>
          <w:rFonts w:ascii="Tahoma" w:hAnsi="Tahoma" w:cs="Tahoma"/>
          <w:color w:val="000000" w:themeColor="text1"/>
          <w:sz w:val="20"/>
          <w:szCs w:val="20"/>
        </w:rPr>
        <w:t>ꟷ</w:t>
      </w:r>
      <w:r w:rsidRPr="000D7C8D">
        <w:rPr>
          <w:rFonts w:ascii="Verdana" w:hAnsi="Verdana" w:cs="Arial"/>
          <w:color w:val="000000" w:themeColor="text1"/>
          <w:sz w:val="20"/>
          <w:szCs w:val="20"/>
        </w:rPr>
        <w:t xml:space="preserve"> en un determinado proceso de selección, como se desprende del </w:t>
      </w:r>
      <w:r>
        <w:rPr>
          <w:rFonts w:ascii="Verdana" w:hAnsi="Verdana" w:cs="Arial"/>
          <w:color w:val="000000" w:themeColor="text1"/>
          <w:sz w:val="20"/>
          <w:szCs w:val="20"/>
        </w:rPr>
        <w:t>literal a) del numeral 2 del artículo 5 de la Ley 1150 de 2007</w:t>
      </w:r>
      <w:r w:rsidRPr="000D7C8D">
        <w:rPr>
          <w:rFonts w:ascii="Verdana" w:hAnsi="Verdana" w:cs="Arial"/>
          <w:color w:val="000000" w:themeColor="text1"/>
          <w:sz w:val="20"/>
          <w:szCs w:val="20"/>
        </w:rPr>
        <w:t>. Sin embargo, no es este el único mecanismo de ponderación que tienen a su alcance las entidades estatales para determinar el ofrecimiento más favorable, pues el propio literal b) del artículo 5.2 posibilita que el ofrecimiento más favorable se determine con un análisis de la relación costo-beneficio. A estos se suman, los procesos de selección de bienes y servicios de características técnicas uniformes y de común utilización, así como los de mínima cuantía, en los que –según los artículos 5.3 y 2.5 de la Ley 1150 de 2007– el único factor de selección es el menor precio ofertado.</w:t>
      </w:r>
    </w:p>
    <w:p w14:paraId="63611613" w14:textId="77777777" w:rsidR="00E859DA" w:rsidRPr="000D7C8D" w:rsidRDefault="00E859DA" w:rsidP="00E859DA">
      <w:pPr>
        <w:spacing w:after="0" w:line="240" w:lineRule="auto"/>
        <w:jc w:val="both"/>
        <w:rPr>
          <w:rFonts w:ascii="Verdana" w:hAnsi="Verdana" w:cs="Arial"/>
          <w:color w:val="000000" w:themeColor="text1"/>
          <w:sz w:val="20"/>
          <w:szCs w:val="20"/>
        </w:rPr>
      </w:pPr>
    </w:p>
    <w:p w14:paraId="1E98BA2F" w14:textId="77777777" w:rsidR="00E859DA" w:rsidRPr="00F90929" w:rsidRDefault="00E859DA" w:rsidP="00E859DA">
      <w:pPr>
        <w:spacing w:after="0" w:line="240" w:lineRule="auto"/>
        <w:jc w:val="both"/>
        <w:rPr>
          <w:rFonts w:ascii="Verdana" w:hAnsi="Verdana" w:cs="Arial"/>
          <w:color w:val="000000" w:themeColor="text1"/>
          <w:sz w:val="20"/>
          <w:szCs w:val="20"/>
        </w:rPr>
      </w:pPr>
      <w:r w:rsidRPr="000D7C8D">
        <w:rPr>
          <w:rFonts w:ascii="Verdana" w:hAnsi="Verdana" w:cs="Arial"/>
          <w:color w:val="000000" w:themeColor="text1"/>
          <w:sz w:val="20"/>
          <w:szCs w:val="20"/>
        </w:rPr>
        <w:t xml:space="preserve">Conforme a lo anterior, el deber de selección objetiva está ligado a la determinación del ofrecimiento más favorable, cuyo contenido debe ser precisado a partir de las diferentes alternativas del artículo 5 de la Ley 1150 de 2007, reglamentado por el artículo 2.2.1.1.2.2.2 del Decreto 1082 de 2015, que en todo caso deben reflejarse en el pliego de condiciones o documento equivalente para el respectivo proceso de selección. Estas disposiciones establecen que en los procesos de selección deben evaluarse, fuera de los requisitos habilitantes, los factores de calificación, valoración o evaluación. Estos pueden ponderarse mediante la asignación de puntaje, por lo que la norma se refiere a factores que no otorgan puntaje para diferenciar los requisitos habilitantes de los mencionados factores de calificación. Lo anterior, bajo el entendido que son estos últimos los que </w:t>
      </w:r>
      <w:r w:rsidRPr="000D7C8D">
        <w:rPr>
          <w:rFonts w:ascii="Verdana" w:hAnsi="Verdana" w:cs="Arial"/>
          <w:color w:val="000000" w:themeColor="text1"/>
          <w:sz w:val="20"/>
          <w:szCs w:val="20"/>
        </w:rPr>
        <w:lastRenderedPageBreak/>
        <w:t>determinan la oferta más favorable para la entidad y la que en consecuencia debe elegirse.</w:t>
      </w:r>
    </w:p>
    <w:p w14:paraId="642B6A66" w14:textId="77777777" w:rsidR="00E859DA" w:rsidRDefault="00E859DA" w:rsidP="00E859DA">
      <w:pPr>
        <w:spacing w:after="0" w:line="240" w:lineRule="auto"/>
        <w:jc w:val="both"/>
        <w:rPr>
          <w:rFonts w:ascii="Verdana" w:eastAsia="Calibri" w:hAnsi="Verdana" w:cs="Arial"/>
          <w:b/>
          <w:color w:val="000000" w:themeColor="text1"/>
        </w:rPr>
      </w:pPr>
    </w:p>
    <w:p w14:paraId="709DB646" w14:textId="77777777" w:rsidR="00E859DA" w:rsidRDefault="00E859DA" w:rsidP="00E859DA">
      <w:pPr>
        <w:spacing w:after="0" w:line="240" w:lineRule="auto"/>
        <w:jc w:val="both"/>
        <w:rPr>
          <w:rFonts w:ascii="Verdana" w:eastAsia="Calibri" w:hAnsi="Verdana" w:cs="Arial"/>
          <w:b/>
          <w:color w:val="000000" w:themeColor="text1"/>
        </w:rPr>
      </w:pPr>
      <w:r>
        <w:rPr>
          <w:rFonts w:ascii="Verdana" w:eastAsia="Calibri" w:hAnsi="Verdana" w:cs="Arial"/>
          <w:b/>
          <w:color w:val="000000" w:themeColor="text1"/>
        </w:rPr>
        <w:t>MENOR PRECIO OFERTADO – Metodología – Evaluación – Potestad discrecional</w:t>
      </w:r>
    </w:p>
    <w:p w14:paraId="6D6698DB" w14:textId="77777777" w:rsidR="00E859DA" w:rsidRDefault="00E859DA" w:rsidP="00E859DA">
      <w:pPr>
        <w:spacing w:after="0" w:line="240" w:lineRule="auto"/>
        <w:jc w:val="both"/>
        <w:rPr>
          <w:rFonts w:ascii="Verdana" w:eastAsia="Calibri" w:hAnsi="Verdana" w:cs="Arial"/>
          <w:b/>
          <w:color w:val="000000" w:themeColor="text1"/>
        </w:rPr>
      </w:pPr>
    </w:p>
    <w:p w14:paraId="14030C50" w14:textId="77777777" w:rsidR="00E859DA" w:rsidRPr="00371B00" w:rsidRDefault="00E859DA" w:rsidP="00E859DA">
      <w:pPr>
        <w:spacing w:after="0" w:line="240" w:lineRule="auto"/>
        <w:jc w:val="both"/>
        <w:rPr>
          <w:rFonts w:ascii="Verdana" w:eastAsia="Calibri" w:hAnsi="Verdana" w:cs="Arial"/>
          <w:bCs/>
          <w:color w:val="000000" w:themeColor="text1"/>
          <w:sz w:val="20"/>
          <w:szCs w:val="20"/>
          <w:lang w:val="es-ES_tradnl"/>
        </w:rPr>
      </w:pPr>
      <w:r w:rsidRPr="00371B00">
        <w:rPr>
          <w:rFonts w:ascii="Verdana" w:eastAsia="Calibri" w:hAnsi="Verdana" w:cs="Arial"/>
          <w:bCs/>
          <w:color w:val="000000" w:themeColor="text1"/>
          <w:sz w:val="20"/>
          <w:szCs w:val="20"/>
          <w:lang w:val="es-ES_tradnl"/>
        </w:rPr>
        <w:t xml:space="preserve">Si la entidad lo estima conveniente, la evaluación del menor precio en la selección abreviada o en la mínima cuantía puede recaer sobre el valor de cada uno de los ítems requeridos, lo que origina la sumatoria de un listado de referencia. Con el descuento en los precios unitarios determinados previamente a través de los estudios previos y análisis del sector económico, la entidad contratante puede comprar más cantidades dentro de los límites del presupuesto oficial asignado después de la adjudicación o de la aceptación de la oferta, según corresponda. </w:t>
      </w:r>
    </w:p>
    <w:p w14:paraId="53FC0B30" w14:textId="77777777" w:rsidR="00E859DA" w:rsidRPr="00371B00" w:rsidRDefault="00E859DA" w:rsidP="00E859DA">
      <w:pPr>
        <w:spacing w:after="0" w:line="240" w:lineRule="auto"/>
        <w:jc w:val="both"/>
        <w:rPr>
          <w:rFonts w:ascii="Verdana" w:eastAsia="Calibri" w:hAnsi="Verdana" w:cs="Arial"/>
          <w:bCs/>
          <w:color w:val="000000" w:themeColor="text1"/>
          <w:sz w:val="20"/>
          <w:szCs w:val="20"/>
          <w:lang w:val="es-ES_tradnl"/>
        </w:rPr>
      </w:pPr>
    </w:p>
    <w:p w14:paraId="07461E23" w14:textId="77777777" w:rsidR="00E859DA" w:rsidRPr="00371B00" w:rsidRDefault="00E859DA" w:rsidP="00E859DA">
      <w:pPr>
        <w:spacing w:after="0" w:line="240" w:lineRule="auto"/>
        <w:jc w:val="both"/>
        <w:rPr>
          <w:rFonts w:ascii="Verdana" w:eastAsia="Calibri" w:hAnsi="Verdana" w:cs="Arial"/>
          <w:bCs/>
          <w:color w:val="000000" w:themeColor="text1"/>
          <w:sz w:val="20"/>
          <w:szCs w:val="20"/>
          <w:lang w:val="es-ES_tradnl"/>
        </w:rPr>
      </w:pPr>
      <w:r w:rsidRPr="00371B00">
        <w:rPr>
          <w:rFonts w:ascii="Verdana" w:eastAsia="Calibri" w:hAnsi="Verdana" w:cs="Arial"/>
          <w:bCs/>
          <w:color w:val="000000" w:themeColor="text1"/>
          <w:sz w:val="20"/>
          <w:szCs w:val="20"/>
          <w:lang w:val="es-ES_tradnl"/>
        </w:rPr>
        <w:t>En torno a la posibilidad de evaluar el “promedio más bajo” como criterio selección, la Agencia estima que –con excepción de los procedimientos regidos por documentos tipo– existe un margen de discrecionalidad para definir el contenido del pliego de condiciones o documento equivalente. Salvo los detalles que se encuentren reglados en la actuación administrativa, esto implica libertad de las entidades para determinar varios aspectos del proceso de selección. Lo anterior en la medida que no existen potestades completamente discrecionales, por lo que dichos elementos reglados son una limitación efectiva a la libertad de configuración.</w:t>
      </w:r>
    </w:p>
    <w:p w14:paraId="27FED532" w14:textId="77777777" w:rsidR="00E859DA" w:rsidRPr="00371B00" w:rsidRDefault="00E859DA" w:rsidP="00E859DA">
      <w:pPr>
        <w:spacing w:after="0" w:line="240" w:lineRule="auto"/>
        <w:jc w:val="both"/>
        <w:rPr>
          <w:rFonts w:ascii="Verdana" w:eastAsia="Calibri" w:hAnsi="Verdana" w:cs="Arial"/>
          <w:bCs/>
          <w:color w:val="000000" w:themeColor="text1"/>
          <w:sz w:val="20"/>
          <w:szCs w:val="20"/>
          <w:lang w:val="es-ES_tradnl"/>
        </w:rPr>
      </w:pPr>
    </w:p>
    <w:p w14:paraId="7645A6A5" w14:textId="77777777" w:rsidR="00E859DA" w:rsidRPr="00371B00" w:rsidRDefault="00E859DA" w:rsidP="00E859DA">
      <w:pPr>
        <w:spacing w:after="0" w:line="240" w:lineRule="auto"/>
        <w:jc w:val="both"/>
        <w:rPr>
          <w:rFonts w:ascii="Verdana" w:eastAsia="Calibri" w:hAnsi="Verdana" w:cs="Arial"/>
          <w:bCs/>
          <w:color w:val="000000" w:themeColor="text1"/>
          <w:sz w:val="20"/>
          <w:szCs w:val="20"/>
        </w:rPr>
      </w:pPr>
      <w:r w:rsidRPr="00371B00">
        <w:rPr>
          <w:rFonts w:ascii="Verdana" w:eastAsia="Calibri" w:hAnsi="Verdana" w:cs="Arial"/>
          <w:bCs/>
          <w:color w:val="000000" w:themeColor="text1"/>
          <w:sz w:val="20"/>
          <w:szCs w:val="20"/>
          <w:lang w:val="es-ES_tradnl"/>
        </w:rPr>
        <w:t xml:space="preserve">Conforme </w:t>
      </w:r>
      <w:r w:rsidRPr="00371B00">
        <w:rPr>
          <w:rFonts w:ascii="Verdana" w:eastAsia="Calibri" w:hAnsi="Verdana" w:cs="Arial"/>
          <w:bCs/>
          <w:color w:val="000000" w:themeColor="text1"/>
          <w:sz w:val="20"/>
          <w:szCs w:val="20"/>
        </w:rPr>
        <w:t>al inciso final del artículo 2 de la Ley 1437 de 2011 y la remisión del inciso primero del artículo 77 de la Ley 80 de 1993 a las normas que rigen los procedimientos y actuaciones en la función administrativa, es necesario tener cuenta que el artículo 44 del Código de Procedimiento Administrativo y de lo Contencioso Administrativo dispone lo siguiente: “En la medida en que el contenido de una decisión de carácter general o particular sea discrecional, debe ser adecuada a los fines de la norma que la autoriza, y proporcional a los hechos que le sirven de causa”. Por tanto, siempre que se respeten los parámetros de selección objetiva descritos en el presente oficio, las entidades pueden determinar la forma de evaluar el precio más bajo de la selección abreviada y de la mínima cuantía con la metodología que estimen más oportuna.</w:t>
      </w:r>
    </w:p>
    <w:p w14:paraId="6916ECB8" w14:textId="77777777" w:rsidR="00E859DA" w:rsidRPr="00371B00" w:rsidRDefault="00E859DA" w:rsidP="00E859DA">
      <w:pPr>
        <w:spacing w:after="0" w:line="240" w:lineRule="auto"/>
        <w:jc w:val="both"/>
        <w:rPr>
          <w:rFonts w:ascii="Verdana" w:eastAsia="Calibri" w:hAnsi="Verdana" w:cs="Arial"/>
          <w:bCs/>
          <w:color w:val="000000" w:themeColor="text1"/>
        </w:rPr>
      </w:pPr>
    </w:p>
    <w:p w14:paraId="2F843486" w14:textId="77777777" w:rsidR="00E859DA" w:rsidRDefault="00E859DA" w:rsidP="00E859DA">
      <w:pPr>
        <w:spacing w:after="0" w:line="240" w:lineRule="auto"/>
        <w:rPr>
          <w:rFonts w:ascii="Verdana" w:eastAsia="Calibri" w:hAnsi="Verdana" w:cs="Arial"/>
          <w:b/>
          <w:color w:val="000000" w:themeColor="text1"/>
          <w:lang w:val="es-ES"/>
        </w:rPr>
      </w:pPr>
    </w:p>
    <w:p w14:paraId="7DDFBECF" w14:textId="77777777" w:rsidR="00E859DA" w:rsidRDefault="00E859DA" w:rsidP="00E859DA">
      <w:pPr>
        <w:spacing w:after="0" w:line="240" w:lineRule="auto"/>
        <w:rPr>
          <w:rFonts w:ascii="Verdana" w:eastAsia="Calibri" w:hAnsi="Verdana" w:cs="Arial"/>
          <w:b/>
          <w:color w:val="000000" w:themeColor="text1"/>
          <w:lang w:val="es-ES"/>
        </w:rPr>
      </w:pPr>
    </w:p>
    <w:p w14:paraId="0BA80C01" w14:textId="77777777" w:rsidR="00E859DA" w:rsidRDefault="00E859DA" w:rsidP="00E859DA">
      <w:pPr>
        <w:spacing w:after="0" w:line="240" w:lineRule="auto"/>
        <w:rPr>
          <w:rFonts w:ascii="Verdana" w:eastAsia="Calibri" w:hAnsi="Verdana" w:cs="Arial"/>
          <w:b/>
          <w:color w:val="000000" w:themeColor="text1"/>
          <w:lang w:val="es-ES"/>
        </w:rPr>
      </w:pPr>
    </w:p>
    <w:p w14:paraId="48E13F21" w14:textId="77777777" w:rsidR="00E859DA" w:rsidRDefault="00E859DA" w:rsidP="00E859DA">
      <w:pPr>
        <w:spacing w:after="0" w:line="240" w:lineRule="auto"/>
        <w:rPr>
          <w:rFonts w:ascii="Verdana" w:eastAsia="Geomanist Light" w:hAnsi="Verdana" w:cs="Arial"/>
          <w:color w:val="000000" w:themeColor="text1"/>
          <w:lang w:val="es-MX"/>
        </w:rPr>
      </w:pPr>
    </w:p>
    <w:p w14:paraId="043FBABF" w14:textId="77777777" w:rsidR="00E859DA" w:rsidRDefault="00E859DA" w:rsidP="00E859DA">
      <w:pPr>
        <w:spacing w:after="0" w:line="240" w:lineRule="auto"/>
        <w:rPr>
          <w:rFonts w:ascii="Verdana" w:eastAsia="Geomanist Light" w:hAnsi="Verdana" w:cs="Arial"/>
          <w:color w:val="000000" w:themeColor="text1"/>
          <w:lang w:val="es-MX"/>
        </w:rPr>
      </w:pPr>
    </w:p>
    <w:p w14:paraId="1BEBD821" w14:textId="77777777" w:rsidR="00E859DA" w:rsidRDefault="00E859DA" w:rsidP="00E859DA">
      <w:pPr>
        <w:spacing w:after="0" w:line="240" w:lineRule="auto"/>
        <w:rPr>
          <w:rFonts w:ascii="Verdana" w:eastAsia="Geomanist Light" w:hAnsi="Verdana" w:cs="Arial"/>
          <w:color w:val="000000" w:themeColor="text1"/>
          <w:lang w:val="es-MX"/>
        </w:rPr>
      </w:pPr>
    </w:p>
    <w:p w14:paraId="63C7B69C" w14:textId="77777777" w:rsidR="00E859DA" w:rsidRDefault="00E859DA" w:rsidP="00196A2A">
      <w:pPr>
        <w:spacing w:after="0" w:line="240" w:lineRule="auto"/>
        <w:rPr>
          <w:rFonts w:ascii="Verdana" w:eastAsia="Geomanist Light" w:hAnsi="Verdana" w:cs="Arial"/>
          <w:color w:val="000000" w:themeColor="text1"/>
          <w:lang w:val="es-MX"/>
        </w:rPr>
      </w:pPr>
    </w:p>
    <w:p w14:paraId="6D3D8249" w14:textId="77777777" w:rsidR="00E859DA" w:rsidRDefault="00E859DA" w:rsidP="00196A2A">
      <w:pPr>
        <w:spacing w:after="0" w:line="240" w:lineRule="auto"/>
        <w:rPr>
          <w:rFonts w:ascii="Verdana" w:eastAsia="Geomanist Light" w:hAnsi="Verdana" w:cs="Arial"/>
          <w:color w:val="000000" w:themeColor="text1"/>
          <w:lang w:val="es-MX"/>
        </w:rPr>
      </w:pPr>
    </w:p>
    <w:p w14:paraId="709BFB79" w14:textId="77777777" w:rsidR="00E859DA" w:rsidRDefault="00E859DA" w:rsidP="00196A2A">
      <w:pPr>
        <w:spacing w:after="0" w:line="240" w:lineRule="auto"/>
        <w:rPr>
          <w:rFonts w:ascii="Verdana" w:eastAsia="Geomanist Light" w:hAnsi="Verdana" w:cs="Arial"/>
          <w:color w:val="000000" w:themeColor="text1"/>
          <w:lang w:val="es-MX"/>
        </w:rPr>
      </w:pPr>
    </w:p>
    <w:p w14:paraId="6C971F3E" w14:textId="77777777" w:rsidR="00E859DA" w:rsidRDefault="00E859DA" w:rsidP="00196A2A">
      <w:pPr>
        <w:spacing w:after="0" w:line="240" w:lineRule="auto"/>
        <w:rPr>
          <w:rFonts w:ascii="Verdana" w:eastAsia="Geomanist Light" w:hAnsi="Verdana" w:cs="Arial"/>
          <w:color w:val="000000" w:themeColor="text1"/>
          <w:lang w:val="es-MX"/>
        </w:rPr>
      </w:pPr>
    </w:p>
    <w:p w14:paraId="02D0FB9E" w14:textId="2B0B53B5" w:rsidR="00196A2A" w:rsidRPr="00593A5F" w:rsidRDefault="00196A2A" w:rsidP="00196A2A">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C268A0" w:rsidRPr="00C268A0">
        <w:rPr>
          <w:rFonts w:ascii="Verdana" w:eastAsia="Geomanist Light" w:hAnsi="Verdana" w:cs="Arial"/>
          <w:color w:val="000000" w:themeColor="text1"/>
          <w:lang w:val="es-MX"/>
        </w:rPr>
        <w:t>01 de Julio de 2026</w:t>
      </w:r>
    </w:p>
    <w:p w14:paraId="26518250" w14:textId="663267BB" w:rsidR="00196A2A" w:rsidRDefault="00196A2A" w:rsidP="00196A2A">
      <w:pPr>
        <w:spacing w:after="0" w:line="240" w:lineRule="auto"/>
        <w:jc w:val="both"/>
        <w:rPr>
          <w:rFonts w:ascii="Verdana" w:eastAsia="Calibri" w:hAnsi="Verdana" w:cs="Arial"/>
          <w:color w:val="000000"/>
          <w:lang w:val="es-ES"/>
        </w:rPr>
      </w:pPr>
    </w:p>
    <w:p w14:paraId="20010D76" w14:textId="0329B33F" w:rsidR="00196A2A" w:rsidRDefault="00196A2A" w:rsidP="00C268A0">
      <w:pPr>
        <w:spacing w:after="0" w:line="240" w:lineRule="auto"/>
        <w:jc w:val="right"/>
        <w:rPr>
          <w:rFonts w:ascii="Verdana" w:eastAsia="Calibri" w:hAnsi="Verdana" w:cs="Arial"/>
          <w:color w:val="000000"/>
          <w:lang w:val="es-ES"/>
        </w:rPr>
      </w:pPr>
    </w:p>
    <w:p w14:paraId="6BCCB72C" w14:textId="6AABBD42" w:rsidR="00C268A0" w:rsidRPr="00593A5F" w:rsidRDefault="00C268A0" w:rsidP="00196A2A">
      <w:pPr>
        <w:spacing w:after="0" w:line="240" w:lineRule="auto"/>
        <w:jc w:val="both"/>
        <w:rPr>
          <w:rFonts w:ascii="Verdana" w:eastAsia="Calibri" w:hAnsi="Verdana" w:cs="Arial"/>
          <w:color w:val="000000"/>
          <w:lang w:val="es-ES"/>
        </w:rPr>
      </w:pPr>
    </w:p>
    <w:p w14:paraId="636E1C8A" w14:textId="36C261DA" w:rsidR="00196A2A" w:rsidRPr="00B96799" w:rsidRDefault="00FF388F" w:rsidP="00196A2A">
      <w:pPr>
        <w:spacing w:after="0" w:line="240" w:lineRule="auto"/>
        <w:jc w:val="both"/>
        <w:rPr>
          <w:rFonts w:ascii="Verdana" w:eastAsia="Calibri" w:hAnsi="Verdana" w:cs="Arial"/>
          <w:lang w:val="es-ES" w:eastAsia="es-ES"/>
        </w:rPr>
      </w:pPr>
      <w:r w:rsidRPr="00C268A0">
        <w:rPr>
          <w:rFonts w:ascii="Verdana" w:eastAsia="Calibri" w:hAnsi="Verdana" w:cs="Arial"/>
          <w:noProof/>
          <w:color w:val="000000"/>
          <w:lang w:val="es-ES"/>
        </w:rPr>
        <w:drawing>
          <wp:anchor distT="0" distB="0" distL="114300" distR="114300" simplePos="0" relativeHeight="251658240" behindDoc="0" locked="0" layoutInCell="1" allowOverlap="1" wp14:anchorId="022B5A57" wp14:editId="5A30B7C5">
            <wp:simplePos x="0" y="0"/>
            <wp:positionH relativeFrom="margin">
              <wp:align>right</wp:align>
            </wp:positionH>
            <wp:positionV relativeFrom="paragraph">
              <wp:posOffset>5715</wp:posOffset>
            </wp:positionV>
            <wp:extent cx="2400300" cy="691515"/>
            <wp:effectExtent l="0" t="0" r="0" b="0"/>
            <wp:wrapSquare wrapText="bothSides"/>
            <wp:docPr id="227138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38054"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691515"/>
                    </a:xfrm>
                    <a:prstGeom prst="rect">
                      <a:avLst/>
                    </a:prstGeom>
                  </pic:spPr>
                </pic:pic>
              </a:graphicData>
            </a:graphic>
            <wp14:sizeRelV relativeFrom="margin">
              <wp14:pctHeight>0</wp14:pctHeight>
            </wp14:sizeRelV>
          </wp:anchor>
        </w:drawing>
      </w:r>
      <w:r w:rsidR="00196A2A">
        <w:rPr>
          <w:rFonts w:ascii="Verdana" w:eastAsia="Calibri" w:hAnsi="Verdana" w:cs="Arial"/>
          <w:lang w:val="es-ES" w:eastAsia="es-ES"/>
        </w:rPr>
        <w:t>Señora</w:t>
      </w:r>
    </w:p>
    <w:p w14:paraId="1249CE93" w14:textId="77777777" w:rsidR="00196A2A" w:rsidRDefault="00196A2A" w:rsidP="00196A2A">
      <w:pPr>
        <w:spacing w:after="0" w:line="240" w:lineRule="auto"/>
        <w:rPr>
          <w:rFonts w:ascii="Verdana" w:eastAsia="Calibri" w:hAnsi="Verdana" w:cs="Arial"/>
          <w:b/>
          <w:lang w:val="es-ES_tradnl" w:eastAsia="es-ES_tradnl"/>
        </w:rPr>
      </w:pPr>
      <w:r w:rsidRPr="00430B1C">
        <w:rPr>
          <w:rFonts w:ascii="Verdana" w:eastAsia="Calibri" w:hAnsi="Verdana" w:cs="Arial"/>
          <w:b/>
          <w:lang w:val="es-ES_tradnl" w:eastAsia="es-ES_tradnl"/>
        </w:rPr>
        <w:t>María Isabel Gil Ospina</w:t>
      </w:r>
      <w:r w:rsidRPr="008777D5">
        <w:rPr>
          <w:rFonts w:ascii="Verdana" w:eastAsia="Calibri" w:hAnsi="Verdana" w:cs="Arial"/>
          <w:b/>
          <w:lang w:val="es-ES_tradnl" w:eastAsia="es-ES_tradnl"/>
        </w:rPr>
        <w:t xml:space="preserve"> </w:t>
      </w:r>
    </w:p>
    <w:p w14:paraId="34869B38" w14:textId="77777777" w:rsidR="00196A2A" w:rsidRPr="00430B1C" w:rsidRDefault="00196A2A" w:rsidP="00196A2A">
      <w:pPr>
        <w:spacing w:after="0" w:line="240" w:lineRule="auto"/>
        <w:rPr>
          <w:rFonts w:ascii="Verdana" w:eastAsia="Calibri" w:hAnsi="Verdana" w:cs="Arial"/>
          <w:lang w:val="es-ES" w:eastAsia="es-ES"/>
        </w:rPr>
      </w:pPr>
      <w:hyperlink r:id="rId11" w:history="1">
        <w:r w:rsidRPr="00CF2E20">
          <w:rPr>
            <w:rStyle w:val="Hipervnculo"/>
            <w:rFonts w:ascii="Verdana" w:hAnsi="Verdana"/>
          </w:rPr>
          <w:t>mariaisabelgil@hotmail.com</w:t>
        </w:r>
      </w:hyperlink>
      <w:r>
        <w:rPr>
          <w:rFonts w:ascii="Verdana" w:hAnsi="Verdana"/>
        </w:rPr>
        <w:t xml:space="preserve"> </w:t>
      </w:r>
      <w:r w:rsidRPr="00430B1C">
        <w:rPr>
          <w:rFonts w:ascii="Verdana" w:hAnsi="Verdana"/>
        </w:rPr>
        <w:t xml:space="preserve">                     </w:t>
      </w:r>
      <w:r w:rsidRPr="00430B1C">
        <w:rPr>
          <w:rFonts w:ascii="Verdana" w:eastAsia="Calibri" w:hAnsi="Verdana" w:cs="Arial"/>
          <w:lang w:val="es-ES" w:eastAsia="es-ES"/>
        </w:rPr>
        <w:t xml:space="preserve">    </w:t>
      </w:r>
    </w:p>
    <w:p w14:paraId="2AFD8791" w14:textId="77777777" w:rsidR="00196A2A" w:rsidRDefault="00196A2A" w:rsidP="00196A2A">
      <w:pPr>
        <w:spacing w:after="0" w:line="240" w:lineRule="auto"/>
        <w:rPr>
          <w:rFonts w:ascii="Verdana" w:eastAsia="Calibri" w:hAnsi="Verdana" w:cs="Arial"/>
          <w:lang w:val="es-ES" w:eastAsia="es-ES"/>
        </w:rPr>
      </w:pPr>
      <w:r>
        <w:rPr>
          <w:rFonts w:ascii="Verdana" w:eastAsia="Calibri" w:hAnsi="Verdana" w:cs="Arial"/>
          <w:lang w:val="es-ES" w:eastAsia="es-ES"/>
        </w:rPr>
        <w:t>Medellín</w:t>
      </w:r>
      <w:r w:rsidRPr="004513BB">
        <w:rPr>
          <w:rFonts w:ascii="Verdana" w:eastAsia="Calibri" w:hAnsi="Verdana" w:cs="Arial"/>
          <w:lang w:val="es-ES" w:eastAsia="es-ES"/>
        </w:rPr>
        <w:t xml:space="preserve">, </w:t>
      </w:r>
      <w:r>
        <w:rPr>
          <w:rFonts w:ascii="Verdana" w:eastAsia="Calibri" w:hAnsi="Verdana" w:cs="Arial"/>
          <w:lang w:val="es-ES" w:eastAsia="es-ES"/>
        </w:rPr>
        <w:t xml:space="preserve">Antioquia </w:t>
      </w:r>
    </w:p>
    <w:p w14:paraId="5B467F72" w14:textId="77777777" w:rsidR="00196A2A" w:rsidRPr="00593A5F" w:rsidRDefault="00196A2A" w:rsidP="00196A2A">
      <w:pPr>
        <w:spacing w:after="0" w:line="240" w:lineRule="auto"/>
        <w:rPr>
          <w:rFonts w:ascii="Verdana" w:eastAsia="Calibri" w:hAnsi="Verdana" w:cs="Arial"/>
          <w:b/>
          <w:bCs/>
          <w:color w:val="000000"/>
          <w:lang w:val="es-ES_tradnl" w:eastAsia="es-ES_tradnl"/>
        </w:rPr>
      </w:pPr>
    </w:p>
    <w:p w14:paraId="3A9413FA" w14:textId="77777777" w:rsidR="00196A2A" w:rsidRPr="00593A5F" w:rsidRDefault="00196A2A" w:rsidP="00196A2A">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96A2A" w:rsidRPr="00593A5F" w14:paraId="0CC29389" w14:textId="77777777" w:rsidTr="000453E0">
        <w:trPr>
          <w:trHeight w:val="884"/>
        </w:trPr>
        <w:tc>
          <w:tcPr>
            <w:tcW w:w="2689" w:type="dxa"/>
          </w:tcPr>
          <w:p w14:paraId="5DCF364F" w14:textId="77777777" w:rsidR="00196A2A" w:rsidRPr="00C00976" w:rsidRDefault="00196A2A" w:rsidP="000453E0">
            <w:pPr>
              <w:jc w:val="both"/>
              <w:rPr>
                <w:rFonts w:ascii="Verdana" w:eastAsia="Calibri" w:hAnsi="Verdana" w:cs="Arial"/>
                <w:b/>
                <w:bCs/>
                <w:color w:val="7030A0"/>
                <w:lang w:val="es-ES_tradnl" w:eastAsia="es-ES_tradnl"/>
              </w:rPr>
            </w:pPr>
          </w:p>
        </w:tc>
        <w:tc>
          <w:tcPr>
            <w:tcW w:w="6100" w:type="dxa"/>
          </w:tcPr>
          <w:p w14:paraId="71636264" w14:textId="77777777" w:rsidR="00196A2A" w:rsidRPr="00C00976" w:rsidRDefault="00196A2A" w:rsidP="000453E0">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983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196A2A" w:rsidRPr="00593A5F" w14:paraId="24EC952D" w14:textId="77777777" w:rsidTr="000453E0">
        <w:trPr>
          <w:trHeight w:val="884"/>
        </w:trPr>
        <w:tc>
          <w:tcPr>
            <w:tcW w:w="2689" w:type="dxa"/>
          </w:tcPr>
          <w:p w14:paraId="1FA2B654" w14:textId="77777777" w:rsidR="00196A2A" w:rsidRPr="00593A5F" w:rsidRDefault="00196A2A" w:rsidP="000453E0">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03979E6" w14:textId="77777777" w:rsidR="00196A2A" w:rsidRPr="00A11406" w:rsidRDefault="00196A2A" w:rsidP="000453E0">
            <w:pPr>
              <w:spacing w:line="276" w:lineRule="auto"/>
              <w:jc w:val="both"/>
              <w:rPr>
                <w:rFonts w:ascii="Verdana" w:eastAsia="Calibri" w:hAnsi="Verdana" w:cs="Arial"/>
                <w:lang w:val="es-ES" w:eastAsia="es-ES"/>
              </w:rPr>
            </w:pPr>
            <w:r w:rsidRPr="00675C26">
              <w:rPr>
                <w:rFonts w:ascii="Verdana" w:eastAsia="Calibri" w:hAnsi="Verdana" w:cs="Arial"/>
                <w:lang w:val="es-ES" w:eastAsia="es-ES"/>
              </w:rPr>
              <w:t>LICITACIÓN PÚBLICA – Regla general</w:t>
            </w:r>
            <w:r>
              <w:rPr>
                <w:rFonts w:ascii="Verdana" w:eastAsia="Calibri" w:hAnsi="Verdana" w:cs="Arial"/>
                <w:lang w:val="es-ES" w:eastAsia="es-ES"/>
              </w:rPr>
              <w:t xml:space="preserve"> / </w:t>
            </w:r>
            <w:r w:rsidRPr="00675C26">
              <w:rPr>
                <w:rFonts w:ascii="Verdana" w:eastAsia="Calibri" w:hAnsi="Verdana" w:cs="Arial"/>
                <w:lang w:val="es-ES" w:eastAsia="es-ES"/>
              </w:rPr>
              <w:t xml:space="preserve">SELECCIÓN ABREVIADA – Bienes de características técnicas uniformes y de común utilización – Particularidades </w:t>
            </w:r>
            <w:r>
              <w:rPr>
                <w:rFonts w:ascii="Verdana" w:eastAsia="Calibri" w:hAnsi="Verdana" w:cs="Arial"/>
                <w:lang w:val="es-ES" w:eastAsia="es-ES"/>
              </w:rPr>
              <w:t xml:space="preserve">/ </w:t>
            </w:r>
            <w:r w:rsidRPr="00675C26">
              <w:rPr>
                <w:rFonts w:ascii="Verdana" w:eastAsia="Calibri" w:hAnsi="Verdana" w:cs="Arial"/>
                <w:lang w:val="es-ES" w:eastAsia="es-ES"/>
              </w:rPr>
              <w:t xml:space="preserve">MÍNIMA CUANTÍA – Fundamento normativo </w:t>
            </w:r>
            <w:r>
              <w:rPr>
                <w:rFonts w:ascii="Verdana" w:eastAsia="Calibri" w:hAnsi="Verdana" w:cs="Arial"/>
                <w:lang w:val="es-ES" w:eastAsia="es-ES"/>
              </w:rPr>
              <w:t xml:space="preserve">/ </w:t>
            </w:r>
            <w:r w:rsidRPr="00675C26">
              <w:rPr>
                <w:rFonts w:ascii="Verdana" w:eastAsia="Calibri" w:hAnsi="Verdana" w:cs="Arial"/>
                <w:lang w:val="es-ES" w:eastAsia="es-ES"/>
              </w:rPr>
              <w:t>SELECCIÓN OBJETIVA – Oferta más favorable – Marco jurídico</w:t>
            </w:r>
            <w:r>
              <w:rPr>
                <w:rFonts w:ascii="Verdana" w:eastAsia="Calibri" w:hAnsi="Verdana" w:cs="Arial"/>
                <w:lang w:val="es-ES" w:eastAsia="es-ES"/>
              </w:rPr>
              <w:t xml:space="preserve"> / </w:t>
            </w:r>
            <w:r w:rsidRPr="00371B00">
              <w:rPr>
                <w:rFonts w:ascii="Verdana" w:eastAsia="Calibri" w:hAnsi="Verdana" w:cs="Arial"/>
                <w:lang w:val="es-ES" w:eastAsia="es-ES"/>
              </w:rPr>
              <w:t>MENOR PRECIO OFERTADO – Metodología – Evaluación – Potestad discrecional</w:t>
            </w:r>
            <w:r w:rsidRPr="00675C26">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78064E09" w14:textId="77777777" w:rsidR="00196A2A" w:rsidRPr="00593A5F" w:rsidRDefault="00196A2A" w:rsidP="000453E0">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196A2A" w:rsidRPr="008E6AD9" w14:paraId="3EFC39CB" w14:textId="77777777" w:rsidTr="000453E0">
        <w:tc>
          <w:tcPr>
            <w:tcW w:w="2689" w:type="dxa"/>
          </w:tcPr>
          <w:p w14:paraId="23239406" w14:textId="77777777" w:rsidR="00196A2A" w:rsidRPr="008E6AD9" w:rsidRDefault="00196A2A" w:rsidP="000453E0">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26F27842" w14:textId="77777777" w:rsidR="00196A2A" w:rsidRPr="00B92340" w:rsidRDefault="00196A2A" w:rsidP="000453E0">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bookmarkStart w:id="1" w:name="OLE_LINK1"/>
            <w:r w:rsidRPr="006D16EB">
              <w:rPr>
                <w:rFonts w:ascii="Verdana" w:eastAsia="Calibri" w:hAnsi="Verdana" w:cs="Arial"/>
                <w:lang w:val="es-ES_tradnl" w:eastAsia="es-ES_tradnl"/>
              </w:rPr>
              <w:t>1_2026_06_17_008158</w:t>
            </w:r>
            <w:bookmarkEnd w:id="1"/>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6D41F4F7" w14:textId="77777777" w:rsidR="00196A2A" w:rsidRPr="00593A5F" w:rsidRDefault="00196A2A" w:rsidP="00196A2A">
      <w:pPr>
        <w:spacing w:after="0" w:line="240" w:lineRule="auto"/>
        <w:jc w:val="both"/>
        <w:rPr>
          <w:rFonts w:ascii="Verdana" w:eastAsia="Calibri" w:hAnsi="Verdana" w:cs="Arial"/>
          <w:color w:val="000000"/>
          <w:lang w:val="es-ES_tradnl" w:eastAsia="es-ES_tradnl"/>
        </w:rPr>
      </w:pPr>
    </w:p>
    <w:p w14:paraId="165F87DE" w14:textId="77777777" w:rsidR="00196A2A" w:rsidRPr="00593A5F" w:rsidRDefault="00196A2A" w:rsidP="00196A2A">
      <w:pPr>
        <w:spacing w:after="0" w:line="240" w:lineRule="auto"/>
        <w:jc w:val="both"/>
        <w:rPr>
          <w:rFonts w:ascii="Verdana" w:eastAsia="Calibri" w:hAnsi="Verdana" w:cs="Arial"/>
          <w:color w:val="000000"/>
          <w:lang w:val="es-ES_tradnl" w:eastAsia="es-ES_tradnl"/>
        </w:rPr>
      </w:pPr>
    </w:p>
    <w:p w14:paraId="69EC04EC" w14:textId="77777777" w:rsidR="00196A2A" w:rsidRPr="008E6AD9" w:rsidRDefault="00196A2A" w:rsidP="00196A2A">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430B1C">
        <w:rPr>
          <w:rFonts w:ascii="Verdana" w:eastAsia="Calibri" w:hAnsi="Verdana" w:cs="Arial"/>
          <w:lang w:val="es-ES" w:eastAsia="es-ES"/>
        </w:rPr>
        <w:t>Gil Ospina</w:t>
      </w:r>
      <w:r w:rsidRPr="008E6AD9">
        <w:rPr>
          <w:rFonts w:ascii="Verdana" w:eastAsia="Calibri" w:hAnsi="Verdana" w:cs="Arial"/>
          <w:lang w:val="es-ES" w:eastAsia="es-ES"/>
        </w:rPr>
        <w:t xml:space="preserve">: </w:t>
      </w:r>
    </w:p>
    <w:p w14:paraId="1E85B132" w14:textId="77777777" w:rsidR="00196A2A" w:rsidRDefault="00196A2A" w:rsidP="00196A2A">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09EB8E61" w14:textId="77777777" w:rsidR="00196A2A" w:rsidRPr="00593A5F" w:rsidRDefault="00196A2A" w:rsidP="00196A2A">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17 de junio de 2026, donde solicita conceptuar sobre el siguiente aspecto</w:t>
      </w:r>
      <w:r w:rsidRPr="008E6AD9">
        <w:rPr>
          <w:rFonts w:ascii="Verdana" w:eastAsia="Calibri" w:hAnsi="Verdana" w:cs="Arial"/>
          <w:lang w:val="es-ES" w:eastAsia="es-ES"/>
        </w:rPr>
        <w:t xml:space="preserve">: </w:t>
      </w:r>
    </w:p>
    <w:p w14:paraId="2CC1D018" w14:textId="77777777" w:rsidR="00196A2A" w:rsidRPr="00272A7B" w:rsidRDefault="00196A2A" w:rsidP="00196A2A">
      <w:pPr>
        <w:pStyle w:val="Prrafodelista"/>
        <w:tabs>
          <w:tab w:val="left" w:pos="142"/>
          <w:tab w:val="left" w:pos="284"/>
        </w:tabs>
        <w:spacing w:after="0" w:line="276" w:lineRule="auto"/>
        <w:ind w:left="0"/>
        <w:jc w:val="both"/>
        <w:rPr>
          <w:rFonts w:ascii="Verdana" w:eastAsia="Century Gothic" w:hAnsi="Verdana" w:cs="Century Gothic"/>
          <w:b/>
          <w:bCs/>
        </w:rPr>
      </w:pPr>
    </w:p>
    <w:p w14:paraId="2258ECAE" w14:textId="77777777" w:rsidR="00196A2A" w:rsidRPr="00353F9D" w:rsidRDefault="00196A2A" w:rsidP="00196A2A">
      <w:pPr>
        <w:spacing w:after="0" w:line="240" w:lineRule="auto"/>
        <w:ind w:left="709" w:right="709"/>
        <w:jc w:val="both"/>
        <w:rPr>
          <w:rFonts w:ascii="Verdana" w:eastAsia="Century Gothic" w:hAnsi="Verdana" w:cs="Century Gothic"/>
          <w:sz w:val="20"/>
          <w:szCs w:val="20"/>
          <w:lang w:val="es-ES"/>
        </w:rPr>
      </w:pPr>
      <w:bookmarkStart w:id="2" w:name="_Hlk95313578"/>
      <w:r w:rsidRPr="001904AF">
        <w:rPr>
          <w:rFonts w:ascii="Verdana" w:eastAsia="Century Gothic" w:hAnsi="Verdana" w:cs="Century Gothic"/>
          <w:sz w:val="20"/>
          <w:szCs w:val="20"/>
          <w:lang w:val="es-ES"/>
        </w:rPr>
        <w:t>“</w:t>
      </w:r>
      <w:bookmarkEnd w:id="2"/>
      <w:r w:rsidRPr="00430B1C">
        <w:rPr>
          <w:rFonts w:ascii="Verdana" w:eastAsia="Century Gothic" w:hAnsi="Verdana" w:cs="Century Gothic"/>
          <w:sz w:val="20"/>
          <w:szCs w:val="20"/>
          <w:lang w:val="es-ES"/>
        </w:rPr>
        <w:t xml:space="preserve">Cuál debe ser el criterio de selección objetiva para un proceso que se adelanta por la metodología de bolsa con un formulario técnico que proyecta precios unitarios, pero no define cantidades; hay un presupuesto máximo definido para la adquisición, pero no una cantidad de artículos requeridos. Como elegir la oferta más favorable si se tiene información </w:t>
      </w:r>
      <w:r w:rsidRPr="00430B1C">
        <w:rPr>
          <w:rFonts w:ascii="Verdana" w:eastAsia="Century Gothic" w:hAnsi="Verdana" w:cs="Century Gothic"/>
          <w:sz w:val="20"/>
          <w:szCs w:val="20"/>
          <w:lang w:val="es-ES"/>
        </w:rPr>
        <w:lastRenderedPageBreak/>
        <w:t>sobre precios unitarios por ítem, pero estos son variables en las distintas ofertas, es decir algunos ítems son de menor precio, pero otros son más elevados, no hay una oferta en la que los precios unitarios analizados por ítem sea la constante de los más bajos.   ¿El mejor promedio (el más bajo) podría ser el criterio de selección?</w:t>
      </w:r>
      <w:r>
        <w:rPr>
          <w:rFonts w:ascii="Verdana" w:eastAsia="Century Gothic" w:hAnsi="Verdana" w:cs="Century Gothic"/>
          <w:sz w:val="20"/>
          <w:szCs w:val="20"/>
          <w:lang w:val="es-ES"/>
        </w:rPr>
        <w:t>”</w:t>
      </w:r>
      <w:r w:rsidRPr="00A47393">
        <w:rPr>
          <w:rFonts w:ascii="Verdana" w:eastAsia="Century Gothic" w:hAnsi="Verdana" w:cs="Century Gothic"/>
          <w:sz w:val="20"/>
          <w:szCs w:val="20"/>
          <w:lang w:val="es-ES"/>
        </w:rPr>
        <w:t>.</w:t>
      </w:r>
    </w:p>
    <w:p w14:paraId="487C9F62" w14:textId="77777777" w:rsidR="00196A2A" w:rsidRDefault="00196A2A" w:rsidP="00196A2A">
      <w:pPr>
        <w:spacing w:after="0" w:line="276" w:lineRule="auto"/>
        <w:ind w:firstLine="709"/>
        <w:jc w:val="both"/>
        <w:rPr>
          <w:rFonts w:ascii="Verdana" w:eastAsia="Calibri" w:hAnsi="Verdana" w:cs="Arial"/>
          <w:color w:val="000000"/>
          <w:lang w:val="es-ES" w:eastAsia="es-ES"/>
        </w:rPr>
      </w:pPr>
    </w:p>
    <w:p w14:paraId="6FFB5A13" w14:textId="77777777" w:rsidR="00196A2A" w:rsidRPr="00A652FF" w:rsidRDefault="00196A2A" w:rsidP="00196A2A">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18BB8530" w14:textId="77777777" w:rsidR="00196A2A" w:rsidRDefault="00196A2A" w:rsidP="00196A2A">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6CF146B2" w14:textId="77777777" w:rsidR="00196A2A" w:rsidRPr="00593A5F" w:rsidRDefault="00196A2A" w:rsidP="00196A2A">
      <w:pPr>
        <w:spacing w:after="0" w:line="276" w:lineRule="auto"/>
        <w:ind w:firstLine="709"/>
        <w:jc w:val="both"/>
        <w:rPr>
          <w:rFonts w:ascii="Verdana" w:eastAsia="Calibri" w:hAnsi="Verdana" w:cs="Arial"/>
          <w:color w:val="000000"/>
          <w:lang w:val="es-ES" w:eastAsia="es-ES"/>
        </w:rPr>
      </w:pPr>
    </w:p>
    <w:p w14:paraId="7F3206B5" w14:textId="77777777" w:rsidR="00196A2A" w:rsidRPr="00593A5F" w:rsidRDefault="00196A2A" w:rsidP="00196A2A">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3D384B1C" w14:textId="77777777" w:rsidR="00196A2A" w:rsidRPr="00593A5F" w:rsidRDefault="00196A2A" w:rsidP="00196A2A">
      <w:pPr>
        <w:tabs>
          <w:tab w:val="left" w:pos="426"/>
        </w:tabs>
        <w:spacing w:after="0" w:line="276" w:lineRule="auto"/>
        <w:jc w:val="both"/>
        <w:rPr>
          <w:rFonts w:ascii="Verdana" w:eastAsia="Century Gothic" w:hAnsi="Verdana" w:cs="Century Gothic"/>
          <w:lang w:val="es-ES"/>
        </w:rPr>
      </w:pPr>
    </w:p>
    <w:p w14:paraId="33A646AB" w14:textId="77777777" w:rsidR="00196A2A" w:rsidRPr="00593A5F" w:rsidRDefault="00196A2A" w:rsidP="00196A2A">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¿cuál es la metodología para definir las ofertas más favorable en la selección abreviada para el suministro de bienes de características técnicas uniformes o en las invitaciones de mínima cuantía? </w:t>
      </w:r>
    </w:p>
    <w:p w14:paraId="0CF1CB44" w14:textId="77777777" w:rsidR="00196A2A" w:rsidRPr="004B140F" w:rsidRDefault="00196A2A" w:rsidP="00196A2A">
      <w:pPr>
        <w:spacing w:after="0" w:line="276" w:lineRule="auto"/>
        <w:jc w:val="both"/>
        <w:rPr>
          <w:rFonts w:ascii="Verdana" w:eastAsia="Calibri" w:hAnsi="Verdana" w:cs="Arial"/>
          <w:color w:val="7030A0"/>
        </w:rPr>
      </w:pPr>
    </w:p>
    <w:p w14:paraId="330FAB92" w14:textId="77777777" w:rsidR="00196A2A" w:rsidRPr="00593A5F" w:rsidRDefault="00196A2A" w:rsidP="00196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7B35DEE5" w14:textId="77777777" w:rsidR="00196A2A" w:rsidRPr="00593A5F" w:rsidRDefault="00196A2A" w:rsidP="00196A2A">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96A2A" w:rsidRPr="00593A5F" w14:paraId="345C878A" w14:textId="77777777" w:rsidTr="000453E0">
        <w:trPr>
          <w:jc w:val="center"/>
        </w:trPr>
        <w:tc>
          <w:tcPr>
            <w:tcW w:w="8828" w:type="dxa"/>
          </w:tcPr>
          <w:p w14:paraId="5CB4F5BE" w14:textId="77777777" w:rsidR="00196A2A" w:rsidRDefault="00196A2A" w:rsidP="000453E0">
            <w:pPr>
              <w:spacing w:after="120" w:line="276" w:lineRule="auto"/>
              <w:jc w:val="both"/>
              <w:rPr>
                <w:rFonts w:ascii="Verdana" w:hAnsi="Verdana" w:cs="Arial"/>
              </w:rPr>
            </w:pPr>
            <w:bookmarkStart w:id="3"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3F4A18">
              <w:rPr>
                <w:rFonts w:ascii="Verdana" w:eastAsia="Arial" w:hAnsi="Verdana" w:cs="Arial"/>
                <w:color w:val="000000"/>
              </w:rPr>
              <w:t>según los artículos 5.3 y 2.5 de la Ley 1150 de 2007</w:t>
            </w:r>
            <w:r>
              <w:rPr>
                <w:rFonts w:ascii="Verdana" w:eastAsia="Arial" w:hAnsi="Verdana" w:cs="Arial"/>
                <w:color w:val="000000"/>
              </w:rPr>
              <w:t xml:space="preserve">, </w:t>
            </w:r>
            <w:r>
              <w:rPr>
                <w:rFonts w:ascii="Verdana" w:eastAsia="Arial" w:hAnsi="Verdana" w:cs="Arial"/>
                <w:lang w:val="es-MX" w:eastAsia="es-ES" w:bidi="es-ES"/>
              </w:rPr>
              <w:t xml:space="preserve">en </w:t>
            </w:r>
            <w:r w:rsidRPr="003F4A18">
              <w:rPr>
                <w:rFonts w:ascii="Verdana" w:eastAsia="Arial" w:hAnsi="Verdana" w:cs="Arial"/>
                <w:color w:val="000000"/>
              </w:rPr>
              <w:t xml:space="preserve">los procesos de selección de bienes y servicios de características técnicas uniformes y de común utilización, así como los de mínima cuantía, el único factor de selección </w:t>
            </w:r>
            <w:r>
              <w:rPr>
                <w:rFonts w:ascii="Verdana" w:eastAsia="Arial" w:hAnsi="Verdana" w:cs="Arial"/>
                <w:color w:val="000000"/>
              </w:rPr>
              <w:lastRenderedPageBreak/>
              <w:t xml:space="preserve">es el menor precio ofertado. </w:t>
            </w:r>
            <w:r>
              <w:rPr>
                <w:rFonts w:ascii="Verdana" w:hAnsi="Verdana" w:cs="Arial"/>
              </w:rPr>
              <w:t>El pliego o la invitación</w:t>
            </w:r>
            <w:r w:rsidRPr="002379AA">
              <w:rPr>
                <w:rFonts w:ascii="Verdana" w:hAnsi="Verdana" w:cs="Arial"/>
              </w:rPr>
              <w:t xml:space="preserve"> debe establecer las etapas del proceso de selección, así como las reglas, requisitos y condiciones aplicables en cada una de ellas. Entre estos aspectos se encuentran </w:t>
            </w:r>
            <w:r>
              <w:rPr>
                <w:rFonts w:ascii="Verdana" w:hAnsi="Verdana" w:cs="Arial"/>
              </w:rPr>
              <w:t>los requisitos habilitantes</w:t>
            </w:r>
            <w:r w:rsidRPr="002379AA">
              <w:rPr>
                <w:rFonts w:ascii="Verdana" w:hAnsi="Verdana" w:cs="Arial"/>
              </w:rPr>
              <w:t xml:space="preserve"> y factores de ponderación de las ofertas, así como los documentos que debe contener y las causas que impidan una selección objetiva. En ese orden, gran parte de la importancia </w:t>
            </w:r>
            <w:r>
              <w:rPr>
                <w:rFonts w:ascii="Verdana" w:hAnsi="Verdana" w:cs="Arial"/>
              </w:rPr>
              <w:t>del pliego o la invitación</w:t>
            </w:r>
            <w:r w:rsidRPr="002379AA">
              <w:rPr>
                <w:rFonts w:ascii="Verdana" w:hAnsi="Verdana" w:cs="Arial"/>
              </w:rPr>
              <w:t xml:space="preserve"> está determinada por el hecho que es el documento en el que se establecen las normas que van a regular la etapa selección, a las que deberán sujetarse la administración y los oferentes a efectos de lograr una selección objetiva</w:t>
            </w:r>
            <w:r>
              <w:rPr>
                <w:rFonts w:ascii="Verdana" w:hAnsi="Verdana" w:cs="Arial"/>
              </w:rPr>
              <w:t>.</w:t>
            </w:r>
          </w:p>
          <w:p w14:paraId="25447249" w14:textId="77777777" w:rsidR="00196A2A" w:rsidRPr="005A4B4A" w:rsidRDefault="00196A2A" w:rsidP="000453E0">
            <w:pPr>
              <w:spacing w:after="120" w:line="276" w:lineRule="auto"/>
              <w:ind w:firstLine="709"/>
              <w:jc w:val="both"/>
              <w:rPr>
                <w:rFonts w:ascii="Verdana" w:hAnsi="Verdana" w:cs="Arial"/>
                <w:bCs/>
                <w:lang w:val="es-ES_tradnl"/>
              </w:rPr>
            </w:pPr>
            <w:r w:rsidRPr="005A4B4A">
              <w:rPr>
                <w:rFonts w:ascii="Verdana" w:hAnsi="Verdana" w:cs="Arial"/>
                <w:bCs/>
                <w:lang w:val="es-ES_tradnl"/>
              </w:rPr>
              <w:t>Teniendo en cuenta lo anterior, lo que el peticionario denomina como “metodología de bolsa”</w:t>
            </w:r>
            <w:r>
              <w:rPr>
                <w:rFonts w:ascii="Verdana" w:hAnsi="Verdana" w:cs="Arial"/>
                <w:bCs/>
                <w:lang w:val="es-ES_tradnl"/>
              </w:rPr>
              <w:t xml:space="preserve"> </w:t>
            </w:r>
            <w:r w:rsidRPr="005A4B4A">
              <w:rPr>
                <w:rFonts w:ascii="Verdana" w:hAnsi="Verdana" w:cs="Arial"/>
                <w:bCs/>
                <w:lang w:val="es-ES_tradnl"/>
              </w:rPr>
              <w:t xml:space="preserve">puede corresponder </w:t>
            </w:r>
            <w:r>
              <w:rPr>
                <w:rFonts w:ascii="Verdana" w:hAnsi="Verdana" w:cs="Arial"/>
                <w:bCs/>
                <w:lang w:val="es-ES_tradnl"/>
              </w:rPr>
              <w:t>a un suministro con monto agotable</w:t>
            </w:r>
            <w:r w:rsidRPr="005A4B4A">
              <w:rPr>
                <w:rFonts w:ascii="Verdana" w:hAnsi="Verdana" w:cs="Arial"/>
                <w:bCs/>
                <w:lang w:val="es-ES_tradnl"/>
              </w:rPr>
              <w:t xml:space="preserve">, donde se pacta el pago de la contraprestación a precios unitarios, conforme a unos valores asignados, que son objeto del negocio y que se entregan a la entidad, durante el plazo de ejecución del contrato, sin exceder el valor o presupuesto oficial asignado por la entidad contratante para el efecto. Como explica la doctrina, existen </w:t>
            </w:r>
            <w:r w:rsidRPr="005A4B4A">
              <w:rPr>
                <w:rFonts w:ascii="Verdana" w:hAnsi="Verdana" w:cs="Arial"/>
                <w:bCs/>
                <w:i/>
                <w:iCs/>
                <w:lang w:val="es-ES_tradnl"/>
              </w:rPr>
              <w:t>contratos de suministro</w:t>
            </w:r>
            <w:r w:rsidRPr="005A4B4A">
              <w:rPr>
                <w:rFonts w:ascii="Verdana" w:hAnsi="Verdana" w:cs="Arial"/>
                <w:bCs/>
                <w:lang w:val="es-ES_tradnl"/>
              </w:rPr>
              <w:t xml:space="preserve"> donde el contratista se obliga a entregar los bienes por un precio unitario, sin que </w:t>
            </w:r>
            <w:r>
              <w:rPr>
                <w:rFonts w:ascii="Verdana" w:hAnsi="Verdana" w:cs="Arial"/>
                <w:bCs/>
                <w:lang w:val="es-ES_tradnl"/>
              </w:rPr>
              <w:t>las cantidades</w:t>
            </w:r>
            <w:r w:rsidRPr="005A4B4A">
              <w:rPr>
                <w:rFonts w:ascii="Verdana" w:hAnsi="Verdana" w:cs="Arial"/>
                <w:bCs/>
                <w:lang w:val="es-ES_tradnl"/>
              </w:rPr>
              <w:t xml:space="preserve"> se defina</w:t>
            </w:r>
            <w:r>
              <w:rPr>
                <w:rFonts w:ascii="Verdana" w:hAnsi="Verdana" w:cs="Arial"/>
                <w:bCs/>
                <w:lang w:val="es-ES_tradnl"/>
              </w:rPr>
              <w:t>n</w:t>
            </w:r>
            <w:r w:rsidRPr="005A4B4A">
              <w:rPr>
                <w:rFonts w:ascii="Verdana" w:hAnsi="Verdana" w:cs="Arial"/>
                <w:bCs/>
                <w:lang w:val="es-ES_tradnl"/>
              </w:rPr>
              <w:t xml:space="preserve"> exactamente al tiempo de celebrar el contrato, ya que </w:t>
            </w:r>
            <w:r>
              <w:rPr>
                <w:rFonts w:ascii="Verdana" w:hAnsi="Verdana" w:cs="Arial"/>
                <w:bCs/>
                <w:lang w:val="es-ES_tradnl"/>
              </w:rPr>
              <w:t>esta últimas se</w:t>
            </w:r>
            <w:r w:rsidRPr="005A4B4A">
              <w:rPr>
                <w:rFonts w:ascii="Verdana" w:hAnsi="Verdana" w:cs="Arial"/>
                <w:bCs/>
                <w:lang w:val="es-ES_tradnl"/>
              </w:rPr>
              <w:t xml:space="preserve"> subordin</w:t>
            </w:r>
            <w:r>
              <w:rPr>
                <w:rFonts w:ascii="Verdana" w:hAnsi="Verdana" w:cs="Arial"/>
                <w:bCs/>
                <w:lang w:val="es-ES_tradnl"/>
              </w:rPr>
              <w:t xml:space="preserve">an </w:t>
            </w:r>
            <w:r w:rsidRPr="005A4B4A">
              <w:rPr>
                <w:rFonts w:ascii="Verdana" w:hAnsi="Verdana" w:cs="Arial"/>
                <w:bCs/>
                <w:lang w:val="es-ES_tradnl"/>
              </w:rPr>
              <w:t>a las necesidades de la entidad</w:t>
            </w:r>
            <w:r>
              <w:rPr>
                <w:rFonts w:ascii="Verdana" w:hAnsi="Verdana" w:cs="Arial"/>
                <w:bCs/>
                <w:lang w:val="es-ES_tradnl"/>
              </w:rPr>
              <w:t>.</w:t>
            </w:r>
          </w:p>
          <w:p w14:paraId="4DE12273" w14:textId="77777777" w:rsidR="00196A2A" w:rsidRDefault="00196A2A" w:rsidP="000453E0">
            <w:pPr>
              <w:pStyle w:val="Textoindependiente"/>
              <w:ind w:firstLine="708"/>
              <w:jc w:val="both"/>
              <w:rPr>
                <w:rFonts w:ascii="Verdana" w:hAnsi="Verdana" w:cs="Arial"/>
                <w:bCs/>
                <w:lang w:val="es-ES_tradnl"/>
              </w:rPr>
            </w:pPr>
            <w:r>
              <w:rPr>
                <w:rFonts w:ascii="Verdana" w:hAnsi="Verdana" w:cs="Arial"/>
                <w:bCs/>
                <w:lang w:val="es-ES_tradnl"/>
              </w:rPr>
              <w:t xml:space="preserve">Si la entidad lo estima conveniente, la evaluación del menor precio en la selección abreviada o en la mínima cuantía puede recaer sobre el valor de cada uno de los ítems requeridos, lo que origina la sumatoria de un listado de referencia. Con el descuento en los precios unitarios determinados previamente a través de los estudios previos y análisis del sector económico, la entidad contratante puede comprar más cantidades dentro de los límites del presupuesto oficial asignado después de la adjudicación o de la aceptación de la oferta, según corresponda. </w:t>
            </w:r>
          </w:p>
          <w:p w14:paraId="50F37E00" w14:textId="77777777" w:rsidR="00196A2A" w:rsidRDefault="00196A2A" w:rsidP="000453E0">
            <w:pPr>
              <w:pStyle w:val="Textoindependiente"/>
              <w:ind w:firstLine="708"/>
              <w:jc w:val="both"/>
              <w:rPr>
                <w:rFonts w:ascii="Verdana" w:hAnsi="Verdana"/>
                <w:lang w:val="es-ES"/>
              </w:rPr>
            </w:pPr>
            <w:r w:rsidRPr="2BAEFE97">
              <w:rPr>
                <w:rFonts w:ascii="Verdana" w:hAnsi="Verdana" w:cs="Arial"/>
                <w:lang w:val="es-ES"/>
              </w:rPr>
              <w:t>En torno a la posibilidad de evaluar el “promedio más bajo” como criterio selección, la Agencia estima que –</w:t>
            </w:r>
            <w:r w:rsidRPr="2BAEFE97">
              <w:rPr>
                <w:rFonts w:ascii="Verdana" w:hAnsi="Verdana"/>
                <w:lang w:val="es-ES"/>
              </w:rPr>
              <w:t xml:space="preserve">con excepción de los procedimientos regidos por documentos tipo– existe un margen de discrecionalidad para definir el contenido del pliego de condiciones o documento equivalente. Salvo los detalles que se encuentren reglados en la actuación administrativa, esto implica libertad de las entidades para determinar varios aspectos del proceso de selección. Lo anterior en la medida que no existen potestades </w:t>
            </w:r>
            <w:r w:rsidRPr="2BAEFE97">
              <w:rPr>
                <w:rFonts w:ascii="Verdana" w:hAnsi="Verdana"/>
                <w:lang w:val="es-ES"/>
              </w:rPr>
              <w:lastRenderedPageBreak/>
              <w:t>completamente discrecionales, por lo que dichos elementos reglados son una limitación efectiva a la libertad de configuración.</w:t>
            </w:r>
          </w:p>
          <w:p w14:paraId="2835B93E" w14:textId="77777777" w:rsidR="00196A2A" w:rsidRDefault="00196A2A" w:rsidP="000453E0">
            <w:pPr>
              <w:spacing w:after="120" w:line="276" w:lineRule="auto"/>
              <w:ind w:firstLine="709"/>
              <w:jc w:val="both"/>
              <w:rPr>
                <w:rFonts w:ascii="Verdana" w:eastAsia="Calibri" w:hAnsi="Verdana" w:cs="Arial"/>
                <w:color w:val="000000" w:themeColor="text1"/>
              </w:rPr>
            </w:pPr>
            <w:r>
              <w:rPr>
                <w:rFonts w:ascii="Verdana" w:hAnsi="Verdana"/>
                <w:lang w:val="es-ES_tradnl"/>
              </w:rPr>
              <w:t xml:space="preserve">Conforme </w:t>
            </w:r>
            <w:r>
              <w:rPr>
                <w:rFonts w:ascii="Verdana" w:eastAsia="Calibri" w:hAnsi="Verdana" w:cs="Arial"/>
                <w:color w:val="000000" w:themeColor="text1"/>
              </w:rPr>
              <w:t xml:space="preserve">al inciso final del artículo 2 de la Ley 1437 de 2011 y la remisión del inciso primero del artículo 77 de la Ley 80 de 1993 a </w:t>
            </w:r>
            <w:r w:rsidRPr="00120430">
              <w:rPr>
                <w:rFonts w:ascii="Verdana" w:eastAsia="Calibri" w:hAnsi="Verdana" w:cs="Arial"/>
                <w:color w:val="000000" w:themeColor="text1"/>
              </w:rPr>
              <w:t>las normas que rigen los procedimientos y actuaciones en la función administrativa</w:t>
            </w:r>
            <w:r>
              <w:rPr>
                <w:rFonts w:ascii="Verdana" w:eastAsia="Calibri" w:hAnsi="Verdana" w:cs="Arial"/>
                <w:color w:val="000000" w:themeColor="text1"/>
              </w:rPr>
              <w:t>, es necesario tener cuenta que el artículo 44 del Código de Procedimiento Administrativo y de lo Contencioso Administrativo dispone lo siguiente: “</w:t>
            </w:r>
            <w:r w:rsidRPr="00A87044">
              <w:rPr>
                <w:rFonts w:ascii="Verdana" w:eastAsia="Calibri" w:hAnsi="Verdana" w:cs="Arial"/>
                <w:color w:val="000000" w:themeColor="text1"/>
              </w:rPr>
              <w:t>En la medida en que el contenido de una decisión de carácter general o particular sea discrecional, debe ser adecuada a los fines de la norma que la autoriza, y proporcional a los hechos que le sirven de causa</w:t>
            </w:r>
            <w:r>
              <w:rPr>
                <w:rFonts w:ascii="Verdana" w:eastAsia="Calibri" w:hAnsi="Verdana" w:cs="Arial"/>
                <w:color w:val="000000" w:themeColor="text1"/>
              </w:rPr>
              <w:t>”. Por tanto, siempre que se respeten los parámetros de selección objetiva descritos en el presente oficio, las entidades pueden determinar la forma de evaluar el precio más bajo de la selección abreviada y de la mínima cuantía con la metodología que estimen más oportuna.</w:t>
            </w:r>
          </w:p>
          <w:p w14:paraId="301040F0" w14:textId="77777777" w:rsidR="00196A2A" w:rsidRPr="00F807B1" w:rsidRDefault="00196A2A" w:rsidP="000453E0">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S</w:t>
            </w:r>
            <w:r w:rsidRPr="009432C5">
              <w:rPr>
                <w:rFonts w:ascii="Verdana" w:eastAsia="Calibri" w:hAnsi="Verdana" w:cs="Arial"/>
                <w:color w:val="000000" w:themeColor="text1"/>
              </w:rPr>
              <w:t xml:space="preserve">i </w:t>
            </w:r>
            <w:r>
              <w:rPr>
                <w:rFonts w:ascii="Verdana" w:eastAsia="Calibri" w:hAnsi="Verdana" w:cs="Arial"/>
                <w:color w:val="000000" w:themeColor="text1"/>
              </w:rPr>
              <w:t>existen</w:t>
            </w:r>
            <w:r w:rsidRPr="009432C5">
              <w:rPr>
                <w:rFonts w:ascii="Verdana" w:eastAsia="Calibri" w:hAnsi="Verdana" w:cs="Arial"/>
                <w:color w:val="000000" w:themeColor="text1"/>
              </w:rPr>
              <w:t xml:space="preserve"> </w:t>
            </w:r>
            <w:r>
              <w:rPr>
                <w:rFonts w:ascii="Verdana" w:eastAsia="Calibri" w:hAnsi="Verdana" w:cs="Arial"/>
                <w:color w:val="000000" w:themeColor="text1"/>
              </w:rPr>
              <w:t>dudas sobre las exigencias o las reglas de evaluación</w:t>
            </w:r>
            <w:r w:rsidRPr="009432C5">
              <w:rPr>
                <w:rFonts w:ascii="Verdana" w:eastAsia="Calibri" w:hAnsi="Verdana" w:cs="Arial"/>
                <w:color w:val="000000" w:themeColor="text1"/>
              </w:rPr>
              <w:t>, los interesados pueden formular observaciones para aclarar sus inquietudes. En este sentido, el artículo 24.2 del Estatuto General de Contratación de la Administración Pública dispone que “En los procesos contractuales los interesados tendrán oportunidad de conocer y controvertir los informes, conceptos y decisiones que se rindan o adopten, para lo cual se establecerán etapas que permitan el conocimiento de dichas actuaciones y otorguen la posibilidad de expresar observaciones”. Así, los proponentes pueden observar tanto el proyecto de pliego como el pliego de condiciones definitivo con el propósito de esclarecer aspectos del proceso.</w:t>
            </w:r>
          </w:p>
          <w:p w14:paraId="7A98009D" w14:textId="77777777" w:rsidR="00196A2A" w:rsidRPr="001941FD" w:rsidRDefault="00196A2A" w:rsidP="000453E0">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5CC88063" w14:textId="77777777" w:rsidR="00196A2A" w:rsidRPr="00593A5F" w:rsidRDefault="00196A2A" w:rsidP="00196A2A">
      <w:pPr>
        <w:tabs>
          <w:tab w:val="left" w:pos="142"/>
          <w:tab w:val="left" w:pos="284"/>
        </w:tabs>
        <w:spacing w:after="0" w:line="276" w:lineRule="auto"/>
        <w:jc w:val="both"/>
        <w:rPr>
          <w:rFonts w:ascii="Verdana" w:eastAsia="Century Gothic" w:hAnsi="Verdana" w:cs="Century Gothic"/>
          <w:b/>
          <w:bCs/>
          <w:lang w:val="es-ES"/>
        </w:rPr>
      </w:pPr>
    </w:p>
    <w:bookmarkEnd w:id="3"/>
    <w:p w14:paraId="12F24C34" w14:textId="77777777" w:rsidR="00196A2A" w:rsidRPr="00593A5F" w:rsidRDefault="00196A2A" w:rsidP="00196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7462327E" w14:textId="77777777" w:rsidR="00196A2A" w:rsidRPr="00593A5F" w:rsidRDefault="00196A2A" w:rsidP="00196A2A">
      <w:pPr>
        <w:spacing w:after="0" w:line="276" w:lineRule="auto"/>
        <w:jc w:val="both"/>
        <w:rPr>
          <w:rFonts w:ascii="Verdana" w:eastAsia="Calibri" w:hAnsi="Verdana" w:cs="Arial"/>
          <w:color w:val="7030A0"/>
          <w:lang w:val="es-ES"/>
        </w:rPr>
      </w:pPr>
    </w:p>
    <w:p w14:paraId="7637F02D" w14:textId="77777777" w:rsidR="00196A2A" w:rsidRDefault="00196A2A" w:rsidP="00196A2A">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5B05D779" w14:textId="77777777" w:rsidR="00196A2A" w:rsidRPr="00415608" w:rsidRDefault="00196A2A" w:rsidP="00196A2A">
      <w:pPr>
        <w:spacing w:after="0" w:line="276" w:lineRule="auto"/>
        <w:jc w:val="both"/>
        <w:rPr>
          <w:rFonts w:ascii="Verdana" w:eastAsia="Calibri" w:hAnsi="Verdana" w:cs="Arial"/>
          <w:lang w:val="es-ES"/>
        </w:rPr>
      </w:pPr>
    </w:p>
    <w:p w14:paraId="0A2810CE" w14:textId="77777777" w:rsidR="00196A2A" w:rsidRPr="007D48B0" w:rsidRDefault="00196A2A" w:rsidP="00196A2A">
      <w:pPr>
        <w:spacing w:after="120" w:line="276" w:lineRule="auto"/>
        <w:jc w:val="both"/>
        <w:rPr>
          <w:rFonts w:ascii="Verdana" w:hAnsi="Verdana" w:cs="Arial"/>
          <w:bCs/>
          <w:sz w:val="21"/>
          <w:szCs w:val="21"/>
          <w:lang w:val="es-ES_tradnl"/>
        </w:rPr>
      </w:pPr>
      <w:r>
        <w:rPr>
          <w:rFonts w:ascii="Verdana" w:hAnsi="Verdana" w:cs="Arial"/>
          <w:bCs/>
          <w:lang w:val="es-ES_tradnl"/>
        </w:rPr>
        <w:t xml:space="preserve">i. </w:t>
      </w:r>
      <w:r w:rsidRPr="007D48B0">
        <w:rPr>
          <w:rFonts w:ascii="Verdana" w:hAnsi="Verdana" w:cs="Arial"/>
          <w:bCs/>
          <w:lang w:val="es-ES_tradnl"/>
        </w:rPr>
        <w:t>La contratación pública comprende, entre otros aspectos, la toma de decisiones del gasto que las entidades realizan como ejecución de los recursos públicos asignados para adquirir bienes, obras o servicios que satisfacen sus necesidades, y en esa medida cumplen el interés general, que es la finalidad que la ley les confía a través de las funciones que se les encomiendan. Para las adquisiciones, las entidades estructuran procedimientos de contratación previamente definidos por la ley, consultando las normas que los rigen para determinar la forma que el ordenamiento prevé para adelantarlos. En esta medida, conforme el artículo 29 de la Constitución Política, los procesos de selección son una manifestación de la legalidad de las formas de cada proceso en sede administrativa</w:t>
      </w:r>
      <w:r w:rsidRPr="007D48B0">
        <w:rPr>
          <w:rStyle w:val="Refdenotaalpie"/>
          <w:rFonts w:ascii="Verdana" w:hAnsi="Verdana" w:cs="Arial"/>
          <w:bCs/>
          <w:sz w:val="21"/>
          <w:szCs w:val="21"/>
          <w:lang w:val="es-ES_tradnl"/>
        </w:rPr>
        <w:footnoteReference w:id="1"/>
      </w:r>
      <w:r w:rsidRPr="007D48B0">
        <w:rPr>
          <w:rFonts w:ascii="Verdana" w:hAnsi="Verdana" w:cs="Arial"/>
          <w:bCs/>
          <w:sz w:val="21"/>
          <w:szCs w:val="21"/>
          <w:lang w:val="es-ES_tradnl"/>
        </w:rPr>
        <w:t>.</w:t>
      </w:r>
    </w:p>
    <w:p w14:paraId="3E196C21" w14:textId="77777777" w:rsidR="00196A2A" w:rsidRPr="007D48B0" w:rsidRDefault="00196A2A" w:rsidP="00196A2A">
      <w:pPr>
        <w:spacing w:after="120" w:line="276" w:lineRule="auto"/>
        <w:jc w:val="both"/>
        <w:rPr>
          <w:rFonts w:ascii="Verdana" w:hAnsi="Verdana" w:cs="Arial"/>
          <w:lang w:val="es-ES"/>
        </w:rPr>
      </w:pPr>
      <w:r w:rsidRPr="007D48B0">
        <w:rPr>
          <w:rFonts w:ascii="Verdana" w:hAnsi="Verdana" w:cs="Arial"/>
          <w:bCs/>
          <w:lang w:val="es-ES_tradnl"/>
        </w:rPr>
        <w:tab/>
      </w:r>
      <w:r w:rsidRPr="2BAEFE97">
        <w:rPr>
          <w:rFonts w:ascii="Verdana" w:hAnsi="Verdana" w:cs="Arial"/>
          <w:lang w:val="es-ES"/>
        </w:rPr>
        <w:t xml:space="preserve">Inicialmente, la Ley 80 de 1993 estableció tres (3) procedimientos de selección: i) licitación o concurso público, </w:t>
      </w:r>
      <w:proofErr w:type="spellStart"/>
      <w:r w:rsidRPr="2BAEFE97">
        <w:rPr>
          <w:rFonts w:ascii="Verdana" w:hAnsi="Verdana" w:cs="Arial"/>
          <w:lang w:val="es-ES"/>
        </w:rPr>
        <w:t>ii</w:t>
      </w:r>
      <w:proofErr w:type="spellEnd"/>
      <w:r w:rsidRPr="2BAEFE97">
        <w:rPr>
          <w:rFonts w:ascii="Verdana" w:hAnsi="Verdana" w:cs="Arial"/>
          <w:lang w:val="es-ES"/>
        </w:rPr>
        <w:t xml:space="preserve">) contratación sin formalidades plenas y </w:t>
      </w:r>
      <w:proofErr w:type="spellStart"/>
      <w:r w:rsidRPr="2BAEFE97">
        <w:rPr>
          <w:rFonts w:ascii="Verdana" w:hAnsi="Verdana" w:cs="Arial"/>
          <w:lang w:val="es-ES"/>
        </w:rPr>
        <w:t>iii</w:t>
      </w:r>
      <w:proofErr w:type="spellEnd"/>
      <w:r w:rsidRPr="2BAEFE97">
        <w:rPr>
          <w:rFonts w:ascii="Verdana" w:hAnsi="Verdana" w:cs="Arial"/>
          <w:lang w:val="es-ES"/>
        </w:rPr>
        <w:t>) contratación directa. Dentro de este esquema, el primero era y continúa siendo la regla general, pues sólo es posible acudir a los demás frente a la configuración de las causales previamente establecidas por el ordenamiento, razón por la cual la Administración carece de discrecionalidad para establecer procedimientos</w:t>
      </w:r>
      <w:r w:rsidRPr="2BAEFE97">
        <w:rPr>
          <w:rStyle w:val="Refdenotaalpie"/>
          <w:rFonts w:ascii="Verdana" w:hAnsi="Verdana" w:cs="Arial"/>
          <w:lang w:val="es-ES"/>
        </w:rPr>
        <w:footnoteReference w:id="2"/>
      </w:r>
      <w:r w:rsidRPr="2BAEFE97">
        <w:rPr>
          <w:rFonts w:ascii="Verdana" w:hAnsi="Verdana" w:cs="Arial"/>
          <w:lang w:val="es-ES"/>
        </w:rPr>
        <w:t xml:space="preserve">. </w:t>
      </w:r>
    </w:p>
    <w:p w14:paraId="7055F7CA" w14:textId="77777777" w:rsidR="00196A2A" w:rsidRPr="00FC0529" w:rsidRDefault="00196A2A" w:rsidP="00196A2A">
      <w:pPr>
        <w:spacing w:after="120" w:line="276" w:lineRule="auto"/>
        <w:jc w:val="both"/>
        <w:rPr>
          <w:rFonts w:ascii="Verdana" w:hAnsi="Verdana" w:cs="Arial"/>
          <w:bCs/>
          <w:lang w:val="es-ES_tradnl"/>
        </w:rPr>
      </w:pPr>
      <w:r w:rsidRPr="007D48B0">
        <w:rPr>
          <w:rFonts w:ascii="Verdana" w:hAnsi="Verdana" w:cs="Arial"/>
          <w:bCs/>
          <w:lang w:val="es-ES_tradnl"/>
        </w:rPr>
        <w:tab/>
        <w:t xml:space="preserve">No obstante, después del 2007, el ordenamiento reguló nuevos procesos de selección. En efecto, con el artículo 2 de la Ley 1150 la licitación pública no solo es un procedimiento independiente del concurso de méritos, sino que también se creó el procedimiento de selección de selección abreviada. </w:t>
      </w:r>
      <w:r w:rsidRPr="007D48B0">
        <w:rPr>
          <w:rFonts w:ascii="Verdana" w:hAnsi="Verdana" w:cs="Arial"/>
          <w:bCs/>
          <w:lang w:val="es-ES_tradnl"/>
        </w:rPr>
        <w:lastRenderedPageBreak/>
        <w:t xml:space="preserve">Finalmente, teniendo en cuenta la reforma introducida con la Ley 1474 de 2011, los procedimientos actualmente regulados son los siguientes: i) licitación pública, </w:t>
      </w:r>
      <w:proofErr w:type="spellStart"/>
      <w:r w:rsidRPr="007D48B0">
        <w:rPr>
          <w:rFonts w:ascii="Verdana" w:hAnsi="Verdana" w:cs="Arial"/>
          <w:bCs/>
          <w:lang w:val="es-ES_tradnl"/>
        </w:rPr>
        <w:t>ii</w:t>
      </w:r>
      <w:proofErr w:type="spellEnd"/>
      <w:r w:rsidRPr="007D48B0">
        <w:rPr>
          <w:rFonts w:ascii="Verdana" w:hAnsi="Verdana" w:cs="Arial"/>
          <w:bCs/>
          <w:lang w:val="es-ES_tradnl"/>
        </w:rPr>
        <w:t xml:space="preserve">) selección abreviada, </w:t>
      </w:r>
      <w:proofErr w:type="spellStart"/>
      <w:r w:rsidRPr="007D48B0">
        <w:rPr>
          <w:rFonts w:ascii="Verdana" w:hAnsi="Verdana" w:cs="Arial"/>
          <w:bCs/>
          <w:lang w:val="es-ES_tradnl"/>
        </w:rPr>
        <w:t>iii</w:t>
      </w:r>
      <w:proofErr w:type="spellEnd"/>
      <w:r w:rsidRPr="007D48B0">
        <w:rPr>
          <w:rFonts w:ascii="Verdana" w:hAnsi="Verdana" w:cs="Arial"/>
          <w:bCs/>
          <w:lang w:val="es-ES_tradnl"/>
        </w:rPr>
        <w:t xml:space="preserve">) concurso de méritos, </w:t>
      </w:r>
      <w:proofErr w:type="spellStart"/>
      <w:r w:rsidRPr="007D48B0">
        <w:rPr>
          <w:rFonts w:ascii="Verdana" w:hAnsi="Verdana" w:cs="Arial"/>
          <w:bCs/>
          <w:lang w:val="es-ES_tradnl"/>
        </w:rPr>
        <w:t>iv</w:t>
      </w:r>
      <w:proofErr w:type="spellEnd"/>
      <w:r w:rsidRPr="007D48B0">
        <w:rPr>
          <w:rFonts w:ascii="Verdana" w:hAnsi="Verdana" w:cs="Arial"/>
          <w:bCs/>
          <w:lang w:val="es-ES_tradnl"/>
        </w:rPr>
        <w:t>) mínima cuantía y v) contratación directa.</w:t>
      </w:r>
      <w:r>
        <w:rPr>
          <w:rFonts w:ascii="Verdana" w:hAnsi="Verdana" w:cs="Arial"/>
          <w:bCs/>
          <w:lang w:val="es-ES_tradnl"/>
        </w:rPr>
        <w:t xml:space="preserve"> </w:t>
      </w:r>
      <w:r w:rsidRPr="007D48B0">
        <w:rPr>
          <w:rFonts w:ascii="Verdana" w:hAnsi="Verdana" w:cs="Arial"/>
          <w:bCs/>
          <w:lang w:val="es-ES_tradnl"/>
        </w:rPr>
        <w:t xml:space="preserve">En dichos procedimientos constan </w:t>
      </w:r>
      <w:r w:rsidRPr="007D48B0">
        <w:rPr>
          <w:rFonts w:ascii="Verdana" w:eastAsia="Calibri" w:hAnsi="Verdana" w:cs="Arial"/>
        </w:rPr>
        <w:t>las etapas para la adquisición de obras, bienes y servicios, por lo que cada entidad es responsable de estructurar los procedimientos de contratación, siempre que respete el principio de legalidad.</w:t>
      </w:r>
      <w:bookmarkStart w:id="5" w:name="_Hlk39596760"/>
    </w:p>
    <w:p w14:paraId="2D0FFD5D" w14:textId="77777777" w:rsidR="00196A2A" w:rsidRPr="00C11001" w:rsidRDefault="00196A2A" w:rsidP="00196A2A">
      <w:pPr>
        <w:spacing w:after="120" w:line="276" w:lineRule="auto"/>
        <w:ind w:firstLine="709"/>
        <w:jc w:val="both"/>
        <w:rPr>
          <w:rFonts w:ascii="Verdana" w:hAnsi="Verdana" w:cs="Arial"/>
          <w:bCs/>
          <w:lang w:val="es-MX"/>
        </w:rPr>
      </w:pPr>
      <w:r>
        <w:rPr>
          <w:rFonts w:ascii="Verdana" w:hAnsi="Verdana" w:cs="Arial"/>
          <w:lang w:val="es-ES"/>
        </w:rPr>
        <w:t>En este contexto, p</w:t>
      </w:r>
      <w:r w:rsidRPr="00B47324">
        <w:rPr>
          <w:rFonts w:ascii="Verdana" w:hAnsi="Verdana" w:cs="Arial"/>
          <w:lang w:val="es-ES"/>
        </w:rPr>
        <w:t xml:space="preserve">ara las entidades </w:t>
      </w:r>
      <w:r>
        <w:rPr>
          <w:rFonts w:ascii="Verdana" w:hAnsi="Verdana" w:cs="Arial"/>
          <w:lang w:val="es-ES"/>
        </w:rPr>
        <w:t>sometidas a la Ley 80 de 1993,</w:t>
      </w:r>
      <w:r w:rsidRPr="00B47324">
        <w:rPr>
          <w:rFonts w:ascii="Verdana" w:hAnsi="Verdana" w:cs="Arial"/>
          <w:lang w:val="es-ES"/>
        </w:rPr>
        <w:t xml:space="preserve"> los procesos de selección se rigen por el artículo 2 de la Ley 1150 de 2007. El </w:t>
      </w:r>
      <w:r w:rsidRPr="00B47324">
        <w:rPr>
          <w:rFonts w:ascii="Verdana" w:hAnsi="Verdana" w:cs="Arial"/>
          <w:bCs/>
          <w:lang w:val="es-MX"/>
        </w:rPr>
        <w:t>numeral</w:t>
      </w:r>
      <w:r w:rsidRPr="00666B6A">
        <w:rPr>
          <w:rFonts w:ascii="Verdana" w:hAnsi="Verdana" w:cs="Arial"/>
          <w:bCs/>
          <w:lang w:val="es-MX"/>
        </w:rPr>
        <w:t xml:space="preserve">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3"/>
      </w:r>
      <w:r w:rsidRPr="00666B6A">
        <w:rPr>
          <w:rFonts w:ascii="Verdana" w:hAnsi="Verdana" w:cs="Arial"/>
          <w:bCs/>
          <w:lang w:val="es-MX"/>
        </w:rPr>
        <w:t xml:space="preserve">. </w:t>
      </w:r>
      <w:r>
        <w:rPr>
          <w:rFonts w:ascii="Verdana" w:hAnsi="Verdana" w:cs="Arial"/>
          <w:bCs/>
          <w:lang w:val="es-MX"/>
        </w:rPr>
        <w:t>Así</w:t>
      </w:r>
      <w:r w:rsidRPr="00666B6A">
        <w:rPr>
          <w:rFonts w:ascii="Verdana" w:hAnsi="Verdana" w:cs="Arial"/>
          <w:bCs/>
          <w:lang w:val="es-MX"/>
        </w:rPr>
        <w:t>, salvo norma especial que ordene la celebración del negocio jurídico por selección abreviada, concurso de méritos, mínima cuantía o contratación directa, debe aplicarse la regla general de licitación pública</w:t>
      </w:r>
      <w:r w:rsidRPr="00666B6A">
        <w:rPr>
          <w:rFonts w:ascii="Verdana" w:hAnsi="Verdana" w:cs="Arial"/>
          <w:bCs/>
          <w:vertAlign w:val="superscript"/>
          <w:lang w:val="es-MX"/>
        </w:rPr>
        <w:footnoteReference w:id="4"/>
      </w:r>
      <w:r w:rsidRPr="00666B6A">
        <w:rPr>
          <w:rFonts w:ascii="Verdana" w:hAnsi="Verdana" w:cs="Arial"/>
          <w:bCs/>
          <w:lang w:val="es-MX"/>
        </w:rPr>
        <w:t>.</w:t>
      </w:r>
    </w:p>
    <w:p w14:paraId="5977B1B9" w14:textId="77777777" w:rsidR="00196A2A" w:rsidRPr="004F0676" w:rsidRDefault="00196A2A" w:rsidP="00196A2A">
      <w:pPr>
        <w:spacing w:after="120" w:line="276" w:lineRule="auto"/>
        <w:ind w:firstLine="708"/>
        <w:jc w:val="both"/>
        <w:rPr>
          <w:rFonts w:ascii="Verdana" w:hAnsi="Verdana" w:cs="Arial"/>
          <w:bCs/>
          <w:lang w:val="es-ES_tradnl"/>
        </w:rPr>
      </w:pPr>
      <w:r w:rsidRPr="007D48B0">
        <w:rPr>
          <w:rFonts w:ascii="Verdana" w:eastAsia="Calibri" w:hAnsi="Verdana" w:cs="Arial"/>
        </w:rPr>
        <w:t xml:space="preserve">Respecto a la selección abreviada, </w:t>
      </w:r>
      <w:bookmarkStart w:id="6" w:name="_Hlk39070608"/>
      <w:r w:rsidRPr="007D48B0">
        <w:rPr>
          <w:rFonts w:ascii="Verdana" w:eastAsia="Calibri" w:hAnsi="Verdana" w:cs="Arial"/>
        </w:rPr>
        <w:t>el numeral 2 del artículo 2 de la Ley 1150 de 2007</w:t>
      </w:r>
      <w:bookmarkEnd w:id="6"/>
      <w:r w:rsidRPr="007D48B0">
        <w:rPr>
          <w:rFonts w:ascii="Verdana" w:eastAsia="Calibri" w:hAnsi="Verdana" w:cs="Arial"/>
        </w:rPr>
        <w:t xml:space="preserve"> dispone que </w:t>
      </w:r>
      <w:r>
        <w:rPr>
          <w:rFonts w:ascii="Verdana" w:eastAsia="Calibri" w:hAnsi="Verdana" w:cs="Arial"/>
        </w:rPr>
        <w:t>“</w:t>
      </w:r>
      <w:r w:rsidRPr="007D48B0">
        <w:rPr>
          <w:rFonts w:ascii="Verdana" w:eastAsia="Calibri" w:hAnsi="Verdana" w:cs="Arial"/>
        </w:rPr>
        <w:t xml:space="preserve">[…] corresponde a la modalidad de selección objetiva prevista para aquellos casos en que por las características del objeto a contratar, las circunstancias de la contratación o la cuantía o destinación del bien, obra o </w:t>
      </w:r>
      <w:r w:rsidRPr="007D48B0">
        <w:rPr>
          <w:rFonts w:ascii="Verdana" w:eastAsia="Calibri" w:hAnsi="Verdana" w:cs="Arial"/>
        </w:rPr>
        <w:lastRenderedPageBreak/>
        <w:t>servicio, puedan adelantarse procesos simplificados para garantizar la eficiencia de la gestión contractual</w:t>
      </w:r>
      <w:r>
        <w:rPr>
          <w:rFonts w:ascii="Verdana" w:eastAsia="Calibri" w:hAnsi="Verdana" w:cs="Arial"/>
        </w:rPr>
        <w:t>”</w:t>
      </w:r>
      <w:r w:rsidRPr="007D48B0">
        <w:rPr>
          <w:rFonts w:ascii="Verdana" w:eastAsia="Calibri" w:hAnsi="Verdana" w:cs="Arial"/>
        </w:rPr>
        <w:t>, regulando cada una de las causales</w:t>
      </w:r>
      <w:r w:rsidRPr="007D48B0">
        <w:rPr>
          <w:rStyle w:val="Refdenotaalpie"/>
          <w:rFonts w:ascii="Verdana" w:eastAsia="Calibri" w:hAnsi="Verdana" w:cs="Arial"/>
        </w:rPr>
        <w:footnoteReference w:id="5"/>
      </w:r>
      <w:r w:rsidRPr="007D48B0">
        <w:rPr>
          <w:rFonts w:ascii="Verdana" w:eastAsia="Calibri" w:hAnsi="Verdana" w:cs="Arial"/>
        </w:rPr>
        <w:t xml:space="preserve">. </w:t>
      </w:r>
    </w:p>
    <w:p w14:paraId="5FE9F759" w14:textId="77777777" w:rsidR="00196A2A" w:rsidRPr="007D48B0" w:rsidRDefault="00196A2A" w:rsidP="00196A2A">
      <w:pPr>
        <w:spacing w:after="0" w:line="276" w:lineRule="auto"/>
        <w:ind w:firstLine="708"/>
        <w:jc w:val="both"/>
        <w:rPr>
          <w:rFonts w:ascii="Verdana" w:eastAsia="Calibri" w:hAnsi="Verdana" w:cs="Arial"/>
        </w:rPr>
      </w:pPr>
      <w:bookmarkStart w:id="7" w:name="_Hlk39174727"/>
      <w:r w:rsidRPr="007D48B0">
        <w:rPr>
          <w:rFonts w:ascii="Verdana" w:eastAsia="Calibri" w:hAnsi="Verdana" w:cs="Arial"/>
        </w:rPr>
        <w:t>Se trata de un procedimiento que, conforme a la reglamentación que expida el Gobierno Nacional, agiliza la contratación estatal en los eventos en que no se justifica adelantar una licitación pública, pero tampoco limitar la participación de los proponentes como en la contratación directa, de forma tal que es un mecanismo de selección objetiva que asegura una mayor concurrencia de participantes sin sacrificar los principios de eficacia y eficiencia en el proceso de selección</w:t>
      </w:r>
      <w:bookmarkEnd w:id="5"/>
      <w:bookmarkEnd w:id="7"/>
      <w:r w:rsidRPr="007D48B0">
        <w:rPr>
          <w:rFonts w:ascii="Verdana" w:eastAsia="Calibri" w:hAnsi="Verdana" w:cs="Arial"/>
        </w:rPr>
        <w:t>. En la exposición de motivos se explica lo siguiente:</w:t>
      </w:r>
    </w:p>
    <w:p w14:paraId="2DC2F5D0" w14:textId="77777777" w:rsidR="00196A2A" w:rsidRPr="007D48B0" w:rsidRDefault="00196A2A" w:rsidP="00196A2A">
      <w:pPr>
        <w:spacing w:after="0" w:line="276" w:lineRule="auto"/>
        <w:jc w:val="both"/>
        <w:rPr>
          <w:rFonts w:ascii="Verdana" w:eastAsia="Calibri" w:hAnsi="Verdana" w:cs="Arial"/>
        </w:rPr>
      </w:pPr>
    </w:p>
    <w:p w14:paraId="2B5CF64B" w14:textId="77777777" w:rsidR="00196A2A" w:rsidRPr="00C11001" w:rsidRDefault="00196A2A" w:rsidP="00196A2A">
      <w:pPr>
        <w:spacing w:after="120" w:line="240" w:lineRule="auto"/>
        <w:ind w:left="709" w:right="709"/>
        <w:jc w:val="both"/>
        <w:rPr>
          <w:rFonts w:ascii="Verdana" w:eastAsia="Calibri" w:hAnsi="Verdana" w:cs="Arial"/>
          <w:sz w:val="20"/>
          <w:szCs w:val="20"/>
        </w:rPr>
      </w:pPr>
      <w:r w:rsidRPr="00C11001">
        <w:rPr>
          <w:rFonts w:ascii="Verdana" w:eastAsia="Calibri" w:hAnsi="Verdana" w:cs="Arial"/>
          <w:sz w:val="20"/>
          <w:szCs w:val="20"/>
        </w:rPr>
        <w:t>“– Si bien la Licitación Pública sigue siendo la regla general, la misma pasa a reservarse para los procesos en los que la complejidad del objeto a contratar amerita la larga y cuidadosa ponderación de factores técnicos y económicos de las propuestas […].</w:t>
      </w:r>
    </w:p>
    <w:p w14:paraId="28616AE6" w14:textId="77777777" w:rsidR="00196A2A" w:rsidRPr="00C11001" w:rsidRDefault="00196A2A" w:rsidP="00196A2A">
      <w:pPr>
        <w:spacing w:after="120" w:line="240" w:lineRule="auto"/>
        <w:ind w:left="709" w:right="709"/>
        <w:jc w:val="both"/>
        <w:rPr>
          <w:rFonts w:ascii="Verdana" w:eastAsia="Calibri" w:hAnsi="Verdana" w:cs="Arial"/>
          <w:sz w:val="20"/>
          <w:szCs w:val="20"/>
        </w:rPr>
      </w:pPr>
      <w:r w:rsidRPr="00C11001">
        <w:rPr>
          <w:rFonts w:ascii="Verdana" w:eastAsia="Calibri" w:hAnsi="Verdana" w:cs="Arial"/>
          <w:sz w:val="20"/>
          <w:szCs w:val="20"/>
        </w:rPr>
        <w:t xml:space="preserve">– Se crea la llamada </w:t>
      </w:r>
      <w:r>
        <w:rPr>
          <w:rFonts w:ascii="Verdana" w:eastAsia="Calibri" w:hAnsi="Verdana" w:cs="Arial"/>
          <w:sz w:val="20"/>
          <w:szCs w:val="20"/>
        </w:rPr>
        <w:t>‘</w:t>
      </w:r>
      <w:r w:rsidRPr="00C11001">
        <w:rPr>
          <w:rFonts w:ascii="Verdana" w:eastAsia="Calibri" w:hAnsi="Verdana" w:cs="Arial"/>
          <w:sz w:val="20"/>
          <w:szCs w:val="20"/>
        </w:rPr>
        <w:t>selección abreviada</w:t>
      </w:r>
      <w:r>
        <w:rPr>
          <w:rFonts w:ascii="Verdana" w:eastAsia="Calibri" w:hAnsi="Verdana" w:cs="Arial"/>
          <w:sz w:val="20"/>
          <w:szCs w:val="20"/>
        </w:rPr>
        <w:t>’</w:t>
      </w:r>
      <w:r w:rsidRPr="00C11001">
        <w:rPr>
          <w:rFonts w:ascii="Verdana" w:eastAsia="Calibri" w:hAnsi="Verdana" w:cs="Arial"/>
          <w:sz w:val="20"/>
          <w:szCs w:val="20"/>
        </w:rPr>
        <w:t>, para permitir la existencia de procedimientos de selección que, basados estrictamente en los principios cardinales de la contratación pública, permitan de manera ágil la adopción de decisiones de selección. En el sentido antedicho, las innovaciones del proceso de selección abreviada empiezan por una medida trascendental, para llevar a sólo horas los contratos referidos a la adquisición bienes de “características técnicas uniformes y de común utilización” […].</w:t>
      </w:r>
    </w:p>
    <w:p w14:paraId="3C4EB041" w14:textId="77777777" w:rsidR="00196A2A" w:rsidRPr="007D48B0" w:rsidRDefault="00196A2A" w:rsidP="00196A2A">
      <w:pPr>
        <w:spacing w:after="0" w:line="240" w:lineRule="auto"/>
        <w:ind w:left="709" w:right="709"/>
        <w:jc w:val="both"/>
        <w:rPr>
          <w:rFonts w:ascii="Verdana" w:eastAsia="Calibri" w:hAnsi="Verdana" w:cs="Arial"/>
          <w:sz w:val="21"/>
          <w:szCs w:val="21"/>
        </w:rPr>
      </w:pPr>
      <w:r w:rsidRPr="00C11001">
        <w:rPr>
          <w:rFonts w:ascii="Verdana" w:eastAsia="Calibri" w:hAnsi="Verdana" w:cs="Arial"/>
          <w:sz w:val="20"/>
          <w:szCs w:val="20"/>
        </w:rPr>
        <w:t xml:space="preserve">– Adicionalmente en esta categoría se recoge la llamada </w:t>
      </w:r>
      <w:r>
        <w:rPr>
          <w:rFonts w:ascii="Verdana" w:eastAsia="Calibri" w:hAnsi="Verdana" w:cs="Arial"/>
          <w:sz w:val="20"/>
          <w:szCs w:val="20"/>
        </w:rPr>
        <w:t>‘</w:t>
      </w:r>
      <w:r w:rsidRPr="00C11001">
        <w:rPr>
          <w:rFonts w:ascii="Verdana" w:eastAsia="Calibri" w:hAnsi="Verdana" w:cs="Arial"/>
          <w:sz w:val="20"/>
          <w:szCs w:val="20"/>
        </w:rPr>
        <w:t>menor cuantía</w:t>
      </w:r>
      <w:r>
        <w:rPr>
          <w:rFonts w:ascii="Verdana" w:eastAsia="Calibri" w:hAnsi="Verdana" w:cs="Arial"/>
          <w:sz w:val="20"/>
          <w:szCs w:val="20"/>
        </w:rPr>
        <w:t>’</w:t>
      </w:r>
      <w:r w:rsidRPr="00C11001">
        <w:rPr>
          <w:rFonts w:ascii="Verdana" w:eastAsia="Calibri" w:hAnsi="Verdana" w:cs="Arial"/>
          <w:sz w:val="20"/>
          <w:szCs w:val="20"/>
        </w:rPr>
        <w:t xml:space="preserve"> (sólo aplicable en lo sucesivo a bienes o servicios diferentes de los anteriores), así como otros procesos que por su naturaleza o circunstancias deben ser objeto de tratamiento expedido, tales como la defensa y seguridad nacional, entre otras”</w:t>
      </w:r>
      <w:r w:rsidRPr="00C11001">
        <w:rPr>
          <w:rStyle w:val="Refdenotaalpie"/>
          <w:rFonts w:ascii="Verdana" w:eastAsia="Calibri" w:hAnsi="Verdana" w:cs="Arial"/>
          <w:sz w:val="20"/>
          <w:szCs w:val="20"/>
        </w:rPr>
        <w:footnoteReference w:id="6"/>
      </w:r>
      <w:r w:rsidRPr="00C11001">
        <w:rPr>
          <w:rFonts w:ascii="Verdana" w:eastAsia="Calibri" w:hAnsi="Verdana" w:cs="Arial"/>
          <w:sz w:val="20"/>
          <w:szCs w:val="20"/>
        </w:rPr>
        <w:t>.</w:t>
      </w:r>
    </w:p>
    <w:p w14:paraId="31CC7805" w14:textId="77777777" w:rsidR="00196A2A" w:rsidRPr="007D48B0" w:rsidRDefault="00196A2A" w:rsidP="00196A2A">
      <w:pPr>
        <w:spacing w:after="0" w:line="276" w:lineRule="auto"/>
        <w:jc w:val="both"/>
        <w:rPr>
          <w:rFonts w:ascii="Verdana" w:eastAsia="Calibri" w:hAnsi="Verdana" w:cs="Arial"/>
        </w:rPr>
      </w:pPr>
    </w:p>
    <w:p w14:paraId="0C251975" w14:textId="77777777" w:rsidR="00196A2A" w:rsidRDefault="00196A2A" w:rsidP="00196A2A">
      <w:pPr>
        <w:spacing w:after="120" w:line="276" w:lineRule="auto"/>
        <w:ind w:firstLine="709"/>
        <w:jc w:val="both"/>
        <w:rPr>
          <w:rFonts w:ascii="Verdana" w:eastAsia="Calibri" w:hAnsi="Verdana" w:cs="Arial"/>
        </w:rPr>
      </w:pPr>
      <w:r w:rsidRPr="007D48B0">
        <w:rPr>
          <w:rFonts w:ascii="Verdana" w:eastAsia="Calibri" w:hAnsi="Verdana" w:cs="Arial"/>
        </w:rPr>
        <w:t xml:space="preserve">De esta manera, la selección abreviada se caracteriza por tener etapas un poco sencillas y términos relativamente más cortos que los de la licitación pública, lo cual se justifica por las circunstancias, la naturaleza y los objetos que se contratan a través de esta modalidad, los cuales requieren de procedimientos un poco más agiles, sencillos y eficientes. A continuación, el Decreto 1082 de 2015 desarrolla las causales, regulando el pliego de condiciones, el procedimiento, las etapas, entre otros. Según el Consejo de Estado, el propósito del legislador es </w:t>
      </w:r>
      <w:r>
        <w:rPr>
          <w:rFonts w:ascii="Verdana" w:eastAsia="Calibri" w:hAnsi="Verdana" w:cs="Arial"/>
        </w:rPr>
        <w:t>“</w:t>
      </w:r>
      <w:r w:rsidRPr="007D48B0">
        <w:rPr>
          <w:rFonts w:ascii="Verdana" w:eastAsia="Calibri" w:hAnsi="Verdana" w:cs="Arial"/>
        </w:rPr>
        <w:t>[…] proveer de mayor agilidad y eficiencia la contratación de algunos bienes o servicios, en los que es deseable la concurrencia de oferentes, pero no en los términos y condiciones de una licitación pública, sino de manera abreviada o, en términos de la ley, simplificada</w:t>
      </w:r>
      <w:r>
        <w:rPr>
          <w:rFonts w:ascii="Verdana" w:eastAsia="Calibri" w:hAnsi="Verdana" w:cs="Arial"/>
        </w:rPr>
        <w:t>”</w:t>
      </w:r>
      <w:r w:rsidRPr="007D48B0">
        <w:rPr>
          <w:rStyle w:val="Refdenotaalpie"/>
          <w:rFonts w:ascii="Verdana" w:eastAsia="Calibri" w:hAnsi="Verdana" w:cs="Arial"/>
        </w:rPr>
        <w:footnoteReference w:id="7"/>
      </w:r>
      <w:r w:rsidRPr="007D48B0">
        <w:rPr>
          <w:rFonts w:ascii="Verdana" w:eastAsia="Calibri" w:hAnsi="Verdana" w:cs="Arial"/>
        </w:rPr>
        <w:t xml:space="preserve">. </w:t>
      </w:r>
    </w:p>
    <w:p w14:paraId="064E557B" w14:textId="77777777" w:rsidR="00196A2A" w:rsidRDefault="00196A2A" w:rsidP="00196A2A">
      <w:pPr>
        <w:spacing w:after="120" w:line="276" w:lineRule="auto"/>
        <w:ind w:firstLine="709"/>
        <w:jc w:val="both"/>
        <w:rPr>
          <w:rFonts w:ascii="Verdana" w:eastAsia="Calibri" w:hAnsi="Verdana" w:cs="Arial"/>
          <w:color w:val="000000" w:themeColor="text1"/>
          <w:lang w:val="es-MX"/>
        </w:rPr>
      </w:pPr>
      <w:r>
        <w:rPr>
          <w:rFonts w:ascii="Verdana" w:eastAsia="Calibri" w:hAnsi="Verdana" w:cs="Arial"/>
          <w:color w:val="000000"/>
          <w:szCs w:val="24"/>
          <w:lang w:val="es-ES_tradnl" w:eastAsia="es-ES_tradnl"/>
        </w:rPr>
        <w:t>E</w:t>
      </w:r>
      <w:r w:rsidRPr="00185EE9">
        <w:rPr>
          <w:rFonts w:ascii="Verdana" w:eastAsia="Calibri" w:hAnsi="Verdana" w:cs="Arial"/>
          <w:color w:val="000000"/>
          <w:szCs w:val="24"/>
          <w:lang w:val="es-ES_tradnl" w:eastAsia="es-ES_tradnl"/>
        </w:rPr>
        <w:t>l literal a) del artículo 2.2 de la Ley 1150 de 2007 regula la adquisición o suministro de bienes y servicios de características técnicas uniformes y de común utilización como causal de selección abreviada</w:t>
      </w:r>
      <w:r>
        <w:rPr>
          <w:rFonts w:ascii="Verdana" w:eastAsia="Calibri" w:hAnsi="Verdana" w:cs="Arial"/>
          <w:color w:val="000000"/>
          <w:szCs w:val="24"/>
          <w:lang w:val="es-ES_tradnl" w:eastAsia="es-ES_tradnl"/>
        </w:rPr>
        <w:t xml:space="preserve">. </w:t>
      </w:r>
      <w:r>
        <w:rPr>
          <w:rFonts w:ascii="Verdana" w:eastAsia="Calibri" w:hAnsi="Verdana" w:cs="Arial"/>
          <w:bCs/>
          <w:color w:val="000000" w:themeColor="text1"/>
          <w:lang w:val="es-ES_tradnl"/>
        </w:rPr>
        <w:t xml:space="preserve">Conforme al artículo </w:t>
      </w:r>
      <w:r w:rsidRPr="00185EE9">
        <w:rPr>
          <w:rFonts w:ascii="Verdana" w:eastAsia="Calibri" w:hAnsi="Verdana" w:cs="Arial"/>
          <w:bCs/>
          <w:color w:val="000000" w:themeColor="text1"/>
        </w:rPr>
        <w:t>2.2.1.1.1.3.1 del Decreto 1082 de 2015</w:t>
      </w:r>
      <w:r>
        <w:rPr>
          <w:rFonts w:ascii="Verdana" w:eastAsia="Calibri" w:hAnsi="Verdana" w:cs="Arial"/>
          <w:bCs/>
          <w:color w:val="000000" w:themeColor="text1"/>
        </w:rPr>
        <w:t>,</w:t>
      </w:r>
      <w:r>
        <w:rPr>
          <w:rFonts w:ascii="Verdana" w:eastAsia="Calibri" w:hAnsi="Verdana" w:cs="Arial"/>
          <w:bCs/>
          <w:color w:val="000000" w:themeColor="text1"/>
          <w:lang w:val="es-ES_tradnl"/>
        </w:rPr>
        <w:t xml:space="preserve"> l</w:t>
      </w:r>
      <w:r w:rsidRPr="00185EE9">
        <w:rPr>
          <w:rFonts w:ascii="Verdana" w:eastAsia="Calibri" w:hAnsi="Verdana" w:cs="Arial"/>
          <w:bCs/>
          <w:color w:val="000000" w:themeColor="text1"/>
        </w:rPr>
        <w:t xml:space="preserve">a nota común de este conjunto de bienes y servicios es que, con independencia de sus características descriptivas, comparten patrones de desempeño y calidad similares para la satisfacción de la </w:t>
      </w:r>
      <w:r w:rsidRPr="00185EE9">
        <w:rPr>
          <w:rFonts w:ascii="Verdana" w:eastAsia="Calibri" w:hAnsi="Verdana" w:cs="Arial"/>
          <w:bCs/>
          <w:color w:val="000000" w:themeColor="text1"/>
        </w:rPr>
        <w:lastRenderedPageBreak/>
        <w:t>necesidad a la que atienden. Igualmente, el inciso segundo del literal a) del artículo 2, numeral 2 de la Ley 1150 de 2007 dispone que “</w:t>
      </w:r>
      <w:r w:rsidRPr="00313037">
        <w:rPr>
          <w:rFonts w:ascii="Verdana" w:eastAsia="Calibri" w:hAnsi="Verdana" w:cs="Arial"/>
          <w:bCs/>
          <w:color w:val="000000" w:themeColor="text1"/>
        </w:rPr>
        <w:t>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w:t>
      </w:r>
      <w:r w:rsidRPr="000E5886">
        <w:rPr>
          <w:rFonts w:ascii="Verdana" w:eastAsia="Calibri" w:hAnsi="Verdana" w:cs="Arial"/>
          <w:bCs/>
          <w:color w:val="000000" w:themeColor="text1"/>
        </w:rPr>
        <w:t>ctos</w:t>
      </w:r>
      <w:r w:rsidRPr="00185EE9">
        <w:rPr>
          <w:rFonts w:ascii="Verdana" w:eastAsia="Calibri" w:hAnsi="Verdana" w:cs="Arial"/>
          <w:bCs/>
          <w:color w:val="000000" w:themeColor="text1"/>
        </w:rPr>
        <w:t>”.</w:t>
      </w:r>
      <w:r w:rsidRPr="007D48B0">
        <w:rPr>
          <w:rFonts w:ascii="Verdana" w:eastAsia="Calibri" w:hAnsi="Verdana" w:cs="Arial"/>
          <w:color w:val="000000" w:themeColor="text1"/>
          <w:lang w:val="es-MX"/>
        </w:rPr>
        <w:t xml:space="preserve"> </w:t>
      </w:r>
    </w:p>
    <w:p w14:paraId="0631F71A" w14:textId="77777777" w:rsidR="00196A2A" w:rsidRDefault="00196A2A" w:rsidP="00196A2A">
      <w:pPr>
        <w:tabs>
          <w:tab w:val="left" w:pos="0"/>
        </w:tabs>
        <w:spacing w:after="120" w:line="276" w:lineRule="auto"/>
        <w:jc w:val="both"/>
        <w:rPr>
          <w:rFonts w:ascii="Verdana" w:eastAsia="Calibri" w:hAnsi="Verdana" w:cs="Arial"/>
          <w:color w:val="000000"/>
          <w:szCs w:val="24"/>
          <w:lang w:val="es-ES_tradnl" w:eastAsia="es-ES_tradnl"/>
        </w:rPr>
      </w:pPr>
      <w:r>
        <w:rPr>
          <w:rFonts w:ascii="Verdana" w:hAnsi="Verdana" w:cs="Arial"/>
          <w:bCs/>
          <w:lang w:val="es-ES_tradnl"/>
        </w:rPr>
        <w:tab/>
        <w:t xml:space="preserve">En la </w:t>
      </w:r>
      <w:r w:rsidRPr="00D842EE">
        <w:rPr>
          <w:rFonts w:ascii="Verdana" w:hAnsi="Verdana" w:cs="Arial"/>
          <w:bCs/>
          <w:i/>
          <w:iCs/>
          <w:lang w:val="es-ES_tradnl"/>
        </w:rPr>
        <w:t>subasta ordinaria</w:t>
      </w:r>
      <w:r>
        <w:rPr>
          <w:rFonts w:ascii="Verdana" w:hAnsi="Verdana" w:cs="Arial"/>
          <w:bCs/>
          <w:lang w:val="es-ES_tradnl"/>
        </w:rPr>
        <w:t xml:space="preserve"> </w:t>
      </w:r>
      <w:r w:rsidRPr="00D842EE">
        <w:rPr>
          <w:rFonts w:ascii="Verdana" w:hAnsi="Verdana" w:cs="Arial"/>
          <w:bCs/>
          <w:lang w:val="es-ES_tradnl"/>
        </w:rPr>
        <w:t>los compradores compiten para obtener un bien</w:t>
      </w:r>
      <w:r>
        <w:rPr>
          <w:rFonts w:ascii="Verdana" w:hAnsi="Verdana" w:cs="Arial"/>
          <w:bCs/>
          <w:lang w:val="es-ES_tradnl"/>
        </w:rPr>
        <w:t xml:space="preserve"> o servicio</w:t>
      </w:r>
      <w:r w:rsidRPr="00D842EE">
        <w:rPr>
          <w:rFonts w:ascii="Verdana" w:hAnsi="Verdana" w:cs="Arial"/>
          <w:bCs/>
          <w:lang w:val="es-ES_tradnl"/>
        </w:rPr>
        <w:t xml:space="preserve"> ofreciendo precios cada vez más altos</w:t>
      </w:r>
      <w:r>
        <w:rPr>
          <w:rFonts w:ascii="Verdana" w:hAnsi="Verdana" w:cs="Arial"/>
          <w:bCs/>
          <w:lang w:val="es-ES_tradnl"/>
        </w:rPr>
        <w:t xml:space="preserve"> al vendedor. Sin embargo, la </w:t>
      </w:r>
      <w:r w:rsidRPr="00D842EE">
        <w:rPr>
          <w:rFonts w:ascii="Verdana" w:hAnsi="Verdana" w:cs="Arial"/>
          <w:bCs/>
          <w:i/>
          <w:iCs/>
          <w:lang w:val="es-ES_tradnl"/>
        </w:rPr>
        <w:t>subasta inversa</w:t>
      </w:r>
      <w:r>
        <w:rPr>
          <w:rFonts w:ascii="Verdana" w:hAnsi="Verdana" w:cs="Arial"/>
          <w:bCs/>
          <w:lang w:val="es-ES_tradnl"/>
        </w:rPr>
        <w:t xml:space="preserve"> implica un intercambio es estos roles, es decir, l</w:t>
      </w:r>
      <w:r w:rsidRPr="00D842EE">
        <w:rPr>
          <w:rFonts w:ascii="Verdana" w:hAnsi="Verdana" w:cs="Arial"/>
          <w:bCs/>
          <w:lang w:val="es-ES_tradnl"/>
        </w:rPr>
        <w:t xml:space="preserve">os vendedores compiten para </w:t>
      </w:r>
      <w:r>
        <w:rPr>
          <w:rFonts w:ascii="Verdana" w:hAnsi="Verdana" w:cs="Arial"/>
          <w:bCs/>
          <w:lang w:val="es-ES_tradnl"/>
        </w:rPr>
        <w:t>suscribir el contrato con el</w:t>
      </w:r>
      <w:r w:rsidRPr="00D842EE">
        <w:rPr>
          <w:rFonts w:ascii="Verdana" w:hAnsi="Verdana" w:cs="Arial"/>
          <w:bCs/>
          <w:lang w:val="es-ES_tradnl"/>
        </w:rPr>
        <w:t xml:space="preserve"> comprador y los precios</w:t>
      </w:r>
      <w:r>
        <w:rPr>
          <w:rFonts w:ascii="Verdana" w:hAnsi="Verdana" w:cs="Arial"/>
          <w:bCs/>
          <w:lang w:val="es-ES_tradnl"/>
        </w:rPr>
        <w:t xml:space="preserve"> disminuyen</w:t>
      </w:r>
      <w:r w:rsidRPr="00D842EE">
        <w:rPr>
          <w:rFonts w:ascii="Verdana" w:hAnsi="Verdana" w:cs="Arial"/>
          <w:bCs/>
          <w:lang w:val="es-ES_tradnl"/>
        </w:rPr>
        <w:t xml:space="preserve"> a medida</w:t>
      </w:r>
      <w:r>
        <w:rPr>
          <w:rFonts w:ascii="Verdana" w:hAnsi="Verdana" w:cs="Arial"/>
          <w:bCs/>
          <w:lang w:val="es-ES_tradnl"/>
        </w:rPr>
        <w:t xml:space="preserve"> que existe puja entre los oferentes</w:t>
      </w:r>
      <w:r w:rsidRPr="00911E23">
        <w:rPr>
          <w:rStyle w:val="Refdenotaalpie"/>
          <w:rFonts w:ascii="Verdana" w:hAnsi="Verdana" w:cs="Arial"/>
          <w:bCs/>
        </w:rPr>
        <w:footnoteReference w:id="8"/>
      </w:r>
      <w:r w:rsidRPr="00911E23">
        <w:rPr>
          <w:rFonts w:ascii="Verdana" w:hAnsi="Verdana" w:cs="Arial"/>
          <w:bCs/>
        </w:rPr>
        <w:t xml:space="preserve">. </w:t>
      </w:r>
      <w:r>
        <w:rPr>
          <w:rFonts w:ascii="Verdana" w:hAnsi="Verdana" w:cs="Arial"/>
          <w:bCs/>
        </w:rPr>
        <w:t xml:space="preserve">Por su parte, los </w:t>
      </w:r>
      <w:r w:rsidRPr="000503B5">
        <w:rPr>
          <w:rFonts w:ascii="Verdana" w:hAnsi="Verdana" w:cs="Arial"/>
          <w:bCs/>
          <w:i/>
          <w:iCs/>
        </w:rPr>
        <w:t>acuerdos marco</w:t>
      </w:r>
      <w:r>
        <w:rPr>
          <w:rFonts w:ascii="Verdana" w:hAnsi="Verdana" w:cs="Arial"/>
          <w:bCs/>
        </w:rPr>
        <w:t xml:space="preserve"> </w:t>
      </w:r>
      <w:r>
        <w:rPr>
          <w:rFonts w:ascii="Verdana" w:eastAsia="Calibri" w:hAnsi="Verdana" w:cs="Arial"/>
          <w:color w:val="000000"/>
          <w:szCs w:val="24"/>
          <w:lang w:val="es-ES_tradnl" w:eastAsia="es-ES_tradnl"/>
        </w:rPr>
        <w:t>son un mecanismo para centralizar la adquisición de bienes y servicios, cuya estructuración –de acuerdo con el Decreto Ley 4170 de 2011– corresponde a Colombia Compra Eficiente, en su calidad de órgano rector en la materia. Junto a los documentos tipo que estandarizan la forma de adelantar algunos procesos de selección, ello los convierte en un mecanismo regulatorio para intervenir en el mercado de las compras públicas</w:t>
      </w:r>
      <w:r>
        <w:rPr>
          <w:rStyle w:val="Refdenotaalpie"/>
          <w:rFonts w:ascii="Verdana" w:eastAsia="Calibri" w:hAnsi="Verdana" w:cs="Arial"/>
          <w:color w:val="000000"/>
          <w:szCs w:val="24"/>
          <w:lang w:val="es-ES_tradnl" w:eastAsia="es-ES_tradnl"/>
        </w:rPr>
        <w:footnoteReference w:id="9"/>
      </w:r>
      <w:r>
        <w:rPr>
          <w:rFonts w:ascii="Verdana" w:eastAsia="Calibri" w:hAnsi="Verdana" w:cs="Arial"/>
          <w:color w:val="000000"/>
          <w:szCs w:val="24"/>
          <w:lang w:val="es-ES_tradnl" w:eastAsia="es-ES_tradnl"/>
        </w:rPr>
        <w:t xml:space="preserve">. Por ello, su obligatoriedad se ha edificado sobre tres (3) pilares: i) </w:t>
      </w:r>
      <w:r w:rsidRPr="00AD58D6">
        <w:rPr>
          <w:rFonts w:ascii="Verdana" w:eastAsia="Calibri" w:hAnsi="Verdana" w:cs="Arial"/>
          <w:color w:val="000000"/>
          <w:szCs w:val="24"/>
          <w:lang w:val="es-ES_tradnl" w:eastAsia="es-ES_tradnl"/>
        </w:rPr>
        <w:t xml:space="preserve">la producción de economías de escala, </w:t>
      </w:r>
      <w:proofErr w:type="spellStart"/>
      <w:r>
        <w:rPr>
          <w:rFonts w:ascii="Verdana" w:eastAsia="Calibri" w:hAnsi="Verdana" w:cs="Arial"/>
          <w:color w:val="000000"/>
          <w:szCs w:val="24"/>
          <w:lang w:val="es-ES_tradnl" w:eastAsia="es-ES_tradnl"/>
        </w:rPr>
        <w:t>ii</w:t>
      </w:r>
      <w:proofErr w:type="spellEnd"/>
      <w:r>
        <w:rPr>
          <w:rFonts w:ascii="Verdana" w:eastAsia="Calibri" w:hAnsi="Verdana" w:cs="Arial"/>
          <w:color w:val="000000"/>
          <w:szCs w:val="24"/>
          <w:lang w:val="es-ES_tradnl" w:eastAsia="es-ES_tradnl"/>
        </w:rPr>
        <w:t xml:space="preserve">) </w:t>
      </w:r>
      <w:r w:rsidRPr="00AD58D6">
        <w:rPr>
          <w:rFonts w:ascii="Verdana" w:eastAsia="Calibri" w:hAnsi="Verdana" w:cs="Arial"/>
          <w:color w:val="000000"/>
          <w:szCs w:val="24"/>
          <w:lang w:val="es-ES_tradnl" w:eastAsia="es-ES_tradnl"/>
        </w:rPr>
        <w:t>el incremento del poder de negociación del Estado y</w:t>
      </w:r>
      <w:r>
        <w:rPr>
          <w:rFonts w:ascii="Verdana" w:eastAsia="Calibri" w:hAnsi="Verdana" w:cs="Arial"/>
          <w:color w:val="000000"/>
          <w:szCs w:val="24"/>
          <w:lang w:val="es-ES_tradnl" w:eastAsia="es-ES_tradnl"/>
        </w:rPr>
        <w:t xml:space="preserve"> </w:t>
      </w:r>
      <w:proofErr w:type="spellStart"/>
      <w:r>
        <w:rPr>
          <w:rFonts w:ascii="Verdana" w:eastAsia="Calibri" w:hAnsi="Verdana" w:cs="Arial"/>
          <w:color w:val="000000"/>
          <w:szCs w:val="24"/>
          <w:lang w:val="es-ES_tradnl" w:eastAsia="es-ES_tradnl"/>
        </w:rPr>
        <w:t>iii</w:t>
      </w:r>
      <w:proofErr w:type="spellEnd"/>
      <w:r>
        <w:rPr>
          <w:rFonts w:ascii="Verdana" w:eastAsia="Calibri" w:hAnsi="Verdana" w:cs="Arial"/>
          <w:color w:val="000000"/>
          <w:szCs w:val="24"/>
          <w:lang w:val="es-ES_tradnl" w:eastAsia="es-ES_tradnl"/>
        </w:rPr>
        <w:t>)</w:t>
      </w:r>
      <w:r w:rsidRPr="00AD58D6">
        <w:rPr>
          <w:rFonts w:ascii="Verdana" w:eastAsia="Calibri" w:hAnsi="Verdana" w:cs="Arial"/>
          <w:color w:val="000000"/>
          <w:szCs w:val="24"/>
          <w:lang w:val="es-ES_tradnl" w:eastAsia="es-ES_tradnl"/>
        </w:rPr>
        <w:t xml:space="preserve"> la reducción de costos administrativos y financieros para las agencias y entidades que adquieren bienes y servicios para su funcionamiento</w:t>
      </w:r>
      <w:r w:rsidRPr="000503B5">
        <w:rPr>
          <w:rStyle w:val="Refdenotaalpie"/>
          <w:rFonts w:ascii="Verdana" w:eastAsia="Calibri" w:hAnsi="Verdana" w:cs="Arial"/>
          <w:color w:val="000000"/>
          <w:lang w:val="es-ES_tradnl" w:eastAsia="es-ES_tradnl"/>
        </w:rPr>
        <w:footnoteReference w:id="10"/>
      </w:r>
      <w:r>
        <w:rPr>
          <w:rFonts w:ascii="Verdana" w:eastAsia="Calibri" w:hAnsi="Verdana" w:cs="Arial"/>
          <w:color w:val="000000"/>
          <w:szCs w:val="24"/>
          <w:lang w:val="es-ES_tradnl" w:eastAsia="es-ES_tradnl"/>
        </w:rPr>
        <w:t xml:space="preserve">. </w:t>
      </w:r>
    </w:p>
    <w:p w14:paraId="45E14263" w14:textId="77777777" w:rsidR="00196A2A" w:rsidRPr="007028C5" w:rsidRDefault="00196A2A" w:rsidP="00196A2A">
      <w:pPr>
        <w:spacing w:after="120" w:line="276" w:lineRule="auto"/>
        <w:ind w:firstLine="709"/>
        <w:jc w:val="both"/>
        <w:rPr>
          <w:rFonts w:ascii="Verdana" w:eastAsia="Calibri" w:hAnsi="Verdana" w:cs="Arial"/>
          <w:lang w:val="es-MX"/>
        </w:rPr>
      </w:pPr>
      <w:r>
        <w:rPr>
          <w:rFonts w:ascii="Verdana" w:eastAsia="Calibri" w:hAnsi="Verdana" w:cs="Arial"/>
          <w:lang w:val="es-MX"/>
        </w:rPr>
        <w:lastRenderedPageBreak/>
        <w:t xml:space="preserve">La </w:t>
      </w:r>
      <w:r w:rsidRPr="00844B92">
        <w:rPr>
          <w:rFonts w:ascii="Verdana" w:eastAsia="Calibri" w:hAnsi="Verdana" w:cs="Arial"/>
          <w:lang w:val="es-MX"/>
        </w:rPr>
        <w:t xml:space="preserve">adquisición de bienes mediante el mecanismo de </w:t>
      </w:r>
      <w:r w:rsidRPr="006A2F3C">
        <w:rPr>
          <w:rFonts w:ascii="Verdana" w:eastAsia="Calibri" w:hAnsi="Verdana" w:cs="Arial"/>
          <w:i/>
          <w:iCs/>
          <w:lang w:val="es-MX"/>
        </w:rPr>
        <w:t>bolsa de productos</w:t>
      </w:r>
      <w:r w:rsidRPr="00844B92">
        <w:rPr>
          <w:rFonts w:ascii="Verdana" w:eastAsia="Calibri" w:hAnsi="Verdana" w:cs="Arial"/>
          <w:lang w:val="es-MX"/>
        </w:rPr>
        <w:t xml:space="preserve"> </w:t>
      </w:r>
      <w:r>
        <w:rPr>
          <w:rFonts w:ascii="Verdana" w:eastAsia="Calibri" w:hAnsi="Verdana" w:cs="Arial"/>
          <w:lang w:val="es-MX"/>
        </w:rPr>
        <w:t xml:space="preserve">está regulada </w:t>
      </w:r>
      <w:r w:rsidRPr="00844B92">
        <w:rPr>
          <w:rFonts w:ascii="Verdana" w:eastAsia="Calibri" w:hAnsi="Verdana" w:cs="Arial"/>
          <w:lang w:val="es-MX"/>
        </w:rPr>
        <w:t>por el Decreto 2555 de 2010 y los artículos 2.2.1.2.1.2.11 a 2.2.1.2.1.2.19 del Decreto 1082 de 2015. Esta hace posible que vendedores y compradores concurran en un mercado organizado donde se negocian de forma dinámica bienes y servicios, a través de procesos de subasta pública, a viva voz o en línea, en un ambiente transparente y altamente competitivo</w:t>
      </w:r>
      <w:r w:rsidRPr="00844B92">
        <w:rPr>
          <w:rFonts w:ascii="Verdana" w:eastAsia="Calibri" w:hAnsi="Verdana" w:cs="Arial"/>
          <w:vertAlign w:val="superscript"/>
          <w:lang w:val="es-MX"/>
        </w:rPr>
        <w:footnoteReference w:id="11"/>
      </w:r>
      <w:r w:rsidRPr="00844B92">
        <w:rPr>
          <w:rFonts w:ascii="Verdana" w:eastAsia="Calibri" w:hAnsi="Verdana" w:cs="Arial"/>
          <w:lang w:val="es-MX"/>
        </w:rPr>
        <w:t>. Los productos se negocian con base en una descripción detallada de los mismos, de acuerdo con una reglamentación que permite que los participantes estén en igualdad de oportunidades y que el precio de los productos sea resultado de la competencia entre los ofrecimientos</w:t>
      </w:r>
      <w:r w:rsidRPr="00844B92">
        <w:rPr>
          <w:rStyle w:val="Refdenotaalpie"/>
          <w:rFonts w:ascii="Verdana" w:eastAsia="Calibri" w:hAnsi="Verdana" w:cs="Arial"/>
          <w:lang w:val="es-MX"/>
        </w:rPr>
        <w:footnoteReference w:id="12"/>
      </w:r>
      <w:r w:rsidRPr="00844B92">
        <w:rPr>
          <w:rFonts w:ascii="Verdana" w:eastAsia="Calibri" w:hAnsi="Verdana" w:cs="Arial"/>
          <w:lang w:val="es-MX"/>
        </w:rPr>
        <w:t>.</w:t>
      </w:r>
      <w:r>
        <w:rPr>
          <w:rFonts w:ascii="Verdana" w:eastAsia="Calibri" w:hAnsi="Verdana" w:cs="Arial"/>
          <w:lang w:val="es-MX"/>
        </w:rPr>
        <w:t xml:space="preserve"> </w:t>
      </w:r>
    </w:p>
    <w:p w14:paraId="6DBCB4AA" w14:textId="77777777" w:rsidR="00196A2A" w:rsidRDefault="00196A2A" w:rsidP="00196A2A">
      <w:pPr>
        <w:tabs>
          <w:tab w:val="left" w:pos="709"/>
        </w:tabs>
        <w:spacing w:after="0" w:line="276" w:lineRule="auto"/>
        <w:jc w:val="both"/>
        <w:rPr>
          <w:rFonts w:ascii="Verdana" w:hAnsi="Verdana"/>
        </w:rPr>
      </w:pPr>
      <w:r>
        <w:rPr>
          <w:rFonts w:ascii="Verdana" w:hAnsi="Verdana" w:cs="Arial"/>
          <w:color w:val="000000" w:themeColor="text1"/>
        </w:rPr>
        <w:tab/>
        <w:t xml:space="preserve">Asimismo, </w:t>
      </w:r>
      <w:r>
        <w:rPr>
          <w:rFonts w:ascii="Verdana" w:eastAsia="Calibri" w:hAnsi="Verdana" w:cs="Arial"/>
          <w:color w:val="000000" w:themeColor="text1"/>
        </w:rPr>
        <w:t>e</w:t>
      </w:r>
      <w:r w:rsidRPr="008E1809">
        <w:rPr>
          <w:rFonts w:ascii="Verdana" w:hAnsi="Verdana"/>
        </w:rPr>
        <w:t>l artículo 30 de la Ley 2069 de 2020 modifica el numeral 5 del artículo 2 de la</w:t>
      </w:r>
      <w:r w:rsidRPr="008E1809">
        <w:rPr>
          <w:rFonts w:ascii="Verdana" w:hAnsi="Verdana"/>
          <w:spacing w:val="1"/>
        </w:rPr>
        <w:t xml:space="preserve"> </w:t>
      </w:r>
      <w:r w:rsidRPr="008E1809">
        <w:rPr>
          <w:rFonts w:ascii="Verdana" w:hAnsi="Verdana"/>
        </w:rPr>
        <w:t>Ley</w:t>
      </w:r>
      <w:r w:rsidRPr="008E1809">
        <w:rPr>
          <w:rFonts w:ascii="Verdana" w:hAnsi="Verdana"/>
          <w:spacing w:val="-3"/>
        </w:rPr>
        <w:t xml:space="preserve"> </w:t>
      </w:r>
      <w:r w:rsidRPr="008E1809">
        <w:rPr>
          <w:rFonts w:ascii="Verdana" w:hAnsi="Verdana"/>
        </w:rPr>
        <w:t>1150</w:t>
      </w:r>
      <w:r w:rsidRPr="008E1809">
        <w:rPr>
          <w:rFonts w:ascii="Verdana" w:hAnsi="Verdana"/>
          <w:spacing w:val="-2"/>
        </w:rPr>
        <w:t xml:space="preserve"> </w:t>
      </w:r>
      <w:r w:rsidRPr="008E1809">
        <w:rPr>
          <w:rFonts w:ascii="Verdana" w:hAnsi="Verdana"/>
        </w:rPr>
        <w:t>de</w:t>
      </w:r>
      <w:r w:rsidRPr="008E1809">
        <w:rPr>
          <w:rFonts w:ascii="Verdana" w:hAnsi="Verdana"/>
          <w:spacing w:val="-2"/>
        </w:rPr>
        <w:t xml:space="preserve"> </w:t>
      </w:r>
      <w:r w:rsidRPr="008E1809">
        <w:rPr>
          <w:rFonts w:ascii="Verdana" w:hAnsi="Verdana"/>
        </w:rPr>
        <w:t>2007,</w:t>
      </w:r>
      <w:r w:rsidRPr="008E1809">
        <w:rPr>
          <w:rFonts w:ascii="Verdana" w:hAnsi="Verdana"/>
          <w:spacing w:val="-2"/>
        </w:rPr>
        <w:t xml:space="preserve"> </w:t>
      </w:r>
      <w:r w:rsidRPr="008E1809">
        <w:rPr>
          <w:rFonts w:ascii="Verdana" w:hAnsi="Verdana"/>
        </w:rPr>
        <w:t>el</w:t>
      </w:r>
      <w:r w:rsidRPr="008E1809">
        <w:rPr>
          <w:rFonts w:ascii="Verdana" w:hAnsi="Verdana"/>
          <w:spacing w:val="-3"/>
        </w:rPr>
        <w:t xml:space="preserve"> </w:t>
      </w:r>
      <w:r w:rsidRPr="008E1809">
        <w:rPr>
          <w:rFonts w:ascii="Verdana" w:hAnsi="Verdana"/>
        </w:rPr>
        <w:t>cual</w:t>
      </w:r>
      <w:r w:rsidRPr="008E1809">
        <w:rPr>
          <w:rFonts w:ascii="Verdana" w:hAnsi="Verdana"/>
          <w:spacing w:val="-2"/>
        </w:rPr>
        <w:t xml:space="preserve"> </w:t>
      </w:r>
      <w:r w:rsidRPr="008E1809">
        <w:rPr>
          <w:rFonts w:ascii="Verdana" w:hAnsi="Verdana"/>
        </w:rPr>
        <w:t>regula</w:t>
      </w:r>
      <w:r w:rsidRPr="008E1809">
        <w:rPr>
          <w:rFonts w:ascii="Verdana" w:hAnsi="Verdana"/>
          <w:spacing w:val="-2"/>
        </w:rPr>
        <w:t xml:space="preserve"> </w:t>
      </w:r>
      <w:r w:rsidRPr="008E1809">
        <w:rPr>
          <w:rFonts w:ascii="Verdana" w:hAnsi="Verdana"/>
        </w:rPr>
        <w:t>la</w:t>
      </w:r>
      <w:r w:rsidRPr="008E1809">
        <w:rPr>
          <w:rFonts w:ascii="Verdana" w:hAnsi="Verdana"/>
          <w:spacing w:val="-2"/>
        </w:rPr>
        <w:t xml:space="preserve"> </w:t>
      </w:r>
      <w:r w:rsidRPr="008E1809">
        <w:rPr>
          <w:rFonts w:ascii="Verdana" w:hAnsi="Verdana"/>
        </w:rPr>
        <w:t>mínima</w:t>
      </w:r>
      <w:r w:rsidRPr="008E1809">
        <w:rPr>
          <w:rFonts w:ascii="Verdana" w:hAnsi="Verdana"/>
          <w:spacing w:val="-3"/>
        </w:rPr>
        <w:t xml:space="preserve"> </w:t>
      </w:r>
      <w:r w:rsidRPr="008E1809">
        <w:rPr>
          <w:rFonts w:ascii="Verdana" w:hAnsi="Verdana"/>
        </w:rPr>
        <w:t>cuantía.</w:t>
      </w:r>
      <w:r w:rsidRPr="008E1809">
        <w:rPr>
          <w:rFonts w:ascii="Verdana" w:hAnsi="Verdana"/>
          <w:spacing w:val="-2"/>
        </w:rPr>
        <w:t xml:space="preserve"> </w:t>
      </w:r>
      <w:r w:rsidRPr="008E1809">
        <w:rPr>
          <w:rFonts w:ascii="Verdana" w:hAnsi="Verdana"/>
        </w:rPr>
        <w:t>En</w:t>
      </w:r>
      <w:r>
        <w:rPr>
          <w:rFonts w:ascii="Verdana" w:hAnsi="Verdana"/>
          <w:spacing w:val="-2"/>
        </w:rPr>
        <w:t xml:space="preserve"> </w:t>
      </w:r>
      <w:r w:rsidRPr="008E1809">
        <w:rPr>
          <w:rFonts w:ascii="Verdana" w:hAnsi="Verdana"/>
        </w:rPr>
        <w:t>esta</w:t>
      </w:r>
      <w:r w:rsidRPr="008E1809">
        <w:rPr>
          <w:rFonts w:ascii="Verdana" w:hAnsi="Verdana"/>
          <w:spacing w:val="-2"/>
        </w:rPr>
        <w:t xml:space="preserve"> </w:t>
      </w:r>
      <w:r w:rsidRPr="008E1809">
        <w:rPr>
          <w:rFonts w:ascii="Verdana" w:hAnsi="Verdana"/>
        </w:rPr>
        <w:t>modalidad</w:t>
      </w:r>
      <w:r w:rsidRPr="008E1809">
        <w:rPr>
          <w:rFonts w:ascii="Verdana" w:hAnsi="Verdana"/>
          <w:spacing w:val="-2"/>
        </w:rPr>
        <w:t xml:space="preserve"> </w:t>
      </w:r>
      <w:r w:rsidRPr="008E1809">
        <w:rPr>
          <w:rFonts w:ascii="Verdana" w:hAnsi="Verdana"/>
        </w:rPr>
        <w:t>de</w:t>
      </w:r>
      <w:r w:rsidRPr="008E1809">
        <w:rPr>
          <w:rFonts w:ascii="Verdana" w:hAnsi="Verdana"/>
          <w:spacing w:val="-3"/>
        </w:rPr>
        <w:t xml:space="preserve"> </w:t>
      </w:r>
      <w:r w:rsidRPr="008E1809">
        <w:rPr>
          <w:rFonts w:ascii="Verdana" w:hAnsi="Verdana"/>
        </w:rPr>
        <w:t>selección,</w:t>
      </w:r>
      <w:r w:rsidRPr="008E1809">
        <w:rPr>
          <w:rFonts w:ascii="Verdana" w:hAnsi="Verdana"/>
          <w:spacing w:val="-2"/>
        </w:rPr>
        <w:t xml:space="preserve"> </w:t>
      </w:r>
      <w:r w:rsidRPr="008E1809">
        <w:rPr>
          <w:rFonts w:ascii="Verdana" w:hAnsi="Verdana"/>
        </w:rPr>
        <w:t>la</w:t>
      </w:r>
      <w:r w:rsidRPr="008E1809">
        <w:rPr>
          <w:rFonts w:ascii="Verdana" w:hAnsi="Verdana"/>
          <w:spacing w:val="-59"/>
        </w:rPr>
        <w:t xml:space="preserve"> </w:t>
      </w:r>
      <w:r w:rsidRPr="008E1809">
        <w:rPr>
          <w:rFonts w:ascii="Verdana" w:hAnsi="Verdana"/>
        </w:rPr>
        <w:t>entidad</w:t>
      </w:r>
      <w:r w:rsidRPr="008E1809">
        <w:rPr>
          <w:rFonts w:ascii="Verdana" w:hAnsi="Verdana"/>
          <w:spacing w:val="-15"/>
        </w:rPr>
        <w:t xml:space="preserve"> </w:t>
      </w:r>
      <w:r w:rsidRPr="008E1809">
        <w:rPr>
          <w:rFonts w:ascii="Verdana" w:hAnsi="Verdana"/>
        </w:rPr>
        <w:t>estatal</w:t>
      </w:r>
      <w:r w:rsidRPr="008E1809">
        <w:rPr>
          <w:rFonts w:ascii="Verdana" w:hAnsi="Verdana"/>
          <w:spacing w:val="-15"/>
        </w:rPr>
        <w:t xml:space="preserve"> </w:t>
      </w:r>
      <w:r w:rsidRPr="008E1809">
        <w:rPr>
          <w:rFonts w:ascii="Verdana" w:hAnsi="Verdana"/>
        </w:rPr>
        <w:t>realiza</w:t>
      </w:r>
      <w:r w:rsidRPr="008E1809">
        <w:rPr>
          <w:rFonts w:ascii="Verdana" w:hAnsi="Verdana"/>
          <w:spacing w:val="-15"/>
        </w:rPr>
        <w:t xml:space="preserve"> </w:t>
      </w:r>
      <w:r w:rsidRPr="008E1809">
        <w:rPr>
          <w:rFonts w:ascii="Verdana" w:hAnsi="Verdana"/>
        </w:rPr>
        <w:t>una</w:t>
      </w:r>
      <w:r w:rsidRPr="008E1809">
        <w:rPr>
          <w:rFonts w:ascii="Verdana" w:hAnsi="Verdana"/>
          <w:spacing w:val="-14"/>
        </w:rPr>
        <w:t xml:space="preserve"> </w:t>
      </w:r>
      <w:r w:rsidRPr="008E1809">
        <w:rPr>
          <w:rFonts w:ascii="Verdana" w:hAnsi="Verdana"/>
        </w:rPr>
        <w:t>convocatoria</w:t>
      </w:r>
      <w:r w:rsidRPr="008E1809">
        <w:rPr>
          <w:rFonts w:ascii="Verdana" w:hAnsi="Verdana"/>
          <w:spacing w:val="-15"/>
        </w:rPr>
        <w:t xml:space="preserve"> </w:t>
      </w:r>
      <w:r w:rsidRPr="008E1809">
        <w:rPr>
          <w:rFonts w:ascii="Verdana" w:hAnsi="Verdana"/>
        </w:rPr>
        <w:t>pública</w:t>
      </w:r>
      <w:r w:rsidRPr="008E1809">
        <w:rPr>
          <w:rFonts w:ascii="Verdana" w:hAnsi="Verdana"/>
          <w:spacing w:val="-15"/>
        </w:rPr>
        <w:t xml:space="preserve"> </w:t>
      </w:r>
      <w:r w:rsidRPr="008E1809">
        <w:rPr>
          <w:rFonts w:ascii="Verdana" w:hAnsi="Verdana"/>
        </w:rPr>
        <w:t>para</w:t>
      </w:r>
      <w:r w:rsidRPr="008E1809">
        <w:rPr>
          <w:rFonts w:ascii="Verdana" w:hAnsi="Verdana"/>
          <w:spacing w:val="-15"/>
        </w:rPr>
        <w:t xml:space="preserve"> </w:t>
      </w:r>
      <w:r w:rsidRPr="008E1809">
        <w:rPr>
          <w:rFonts w:ascii="Verdana" w:hAnsi="Verdana"/>
        </w:rPr>
        <w:t>recibir</w:t>
      </w:r>
      <w:r w:rsidRPr="008E1809">
        <w:rPr>
          <w:rFonts w:ascii="Verdana" w:hAnsi="Verdana"/>
          <w:spacing w:val="-14"/>
        </w:rPr>
        <w:t xml:space="preserve"> </w:t>
      </w:r>
      <w:r w:rsidRPr="008E1809">
        <w:rPr>
          <w:rFonts w:ascii="Verdana" w:hAnsi="Verdana"/>
        </w:rPr>
        <w:t>ofertas</w:t>
      </w:r>
      <w:r w:rsidRPr="008E1809">
        <w:rPr>
          <w:rFonts w:ascii="Verdana" w:hAnsi="Verdana"/>
          <w:spacing w:val="-15"/>
        </w:rPr>
        <w:t xml:space="preserve"> </w:t>
      </w:r>
      <w:r w:rsidRPr="008E1809">
        <w:rPr>
          <w:rFonts w:ascii="Verdana" w:hAnsi="Verdana"/>
        </w:rPr>
        <w:t>de</w:t>
      </w:r>
      <w:r w:rsidRPr="008E1809">
        <w:rPr>
          <w:rFonts w:ascii="Verdana" w:hAnsi="Verdana"/>
          <w:spacing w:val="-15"/>
        </w:rPr>
        <w:t xml:space="preserve"> </w:t>
      </w:r>
      <w:r w:rsidRPr="008E1809">
        <w:rPr>
          <w:rFonts w:ascii="Verdana" w:hAnsi="Verdana"/>
        </w:rPr>
        <w:t>bienes</w:t>
      </w:r>
      <w:r w:rsidRPr="008E1809">
        <w:rPr>
          <w:rFonts w:ascii="Verdana" w:hAnsi="Verdana"/>
          <w:spacing w:val="-15"/>
        </w:rPr>
        <w:t xml:space="preserve"> </w:t>
      </w:r>
      <w:r w:rsidRPr="008E1809">
        <w:rPr>
          <w:rFonts w:ascii="Verdana" w:hAnsi="Verdana"/>
        </w:rPr>
        <w:t>o</w:t>
      </w:r>
      <w:r w:rsidRPr="008E1809">
        <w:rPr>
          <w:rFonts w:ascii="Verdana" w:hAnsi="Verdana"/>
          <w:spacing w:val="-14"/>
        </w:rPr>
        <w:t xml:space="preserve"> </w:t>
      </w:r>
      <w:r w:rsidRPr="008E1809">
        <w:rPr>
          <w:rFonts w:ascii="Verdana" w:hAnsi="Verdana"/>
        </w:rPr>
        <w:t>servicios</w:t>
      </w:r>
      <w:r w:rsidRPr="008E1809">
        <w:rPr>
          <w:rFonts w:ascii="Verdana" w:hAnsi="Verdana"/>
          <w:spacing w:val="-59"/>
        </w:rPr>
        <w:t xml:space="preserve"> </w:t>
      </w:r>
      <w:r w:rsidRPr="008E1809">
        <w:rPr>
          <w:rFonts w:ascii="Verdana" w:hAnsi="Verdana"/>
        </w:rPr>
        <w:t>cuyo valor no excede el diez por ciento –10%– de la menor cuantía. Fue creada por el</w:t>
      </w:r>
      <w:r w:rsidRPr="008E1809">
        <w:rPr>
          <w:rFonts w:ascii="Verdana" w:hAnsi="Verdana"/>
          <w:spacing w:val="1"/>
        </w:rPr>
        <w:t xml:space="preserve"> </w:t>
      </w:r>
      <w:r w:rsidRPr="008E1809">
        <w:rPr>
          <w:rFonts w:ascii="Verdana" w:hAnsi="Verdana"/>
        </w:rPr>
        <w:t>artículo 274 de la Ley 1450 de 2011 y modificada por el artículo 94 de la Ley 1474 de</w:t>
      </w:r>
      <w:r w:rsidRPr="008E1809">
        <w:rPr>
          <w:rFonts w:ascii="Verdana" w:hAnsi="Verdana"/>
          <w:spacing w:val="1"/>
        </w:rPr>
        <w:t xml:space="preserve"> </w:t>
      </w:r>
      <w:r w:rsidRPr="008E1809">
        <w:rPr>
          <w:rFonts w:ascii="Verdana" w:hAnsi="Verdana"/>
        </w:rPr>
        <w:t>2011,</w:t>
      </w:r>
      <w:r w:rsidRPr="008E1809">
        <w:rPr>
          <w:rFonts w:ascii="Verdana" w:hAnsi="Verdana"/>
          <w:spacing w:val="1"/>
        </w:rPr>
        <w:t xml:space="preserve"> </w:t>
      </w:r>
      <w:r w:rsidRPr="008E1809">
        <w:rPr>
          <w:rFonts w:ascii="Verdana" w:hAnsi="Verdana"/>
        </w:rPr>
        <w:t>disponiendo</w:t>
      </w:r>
      <w:r w:rsidRPr="008E1809">
        <w:rPr>
          <w:rFonts w:ascii="Verdana" w:hAnsi="Verdana"/>
          <w:spacing w:val="1"/>
        </w:rPr>
        <w:t xml:space="preserve"> </w:t>
      </w:r>
      <w:r w:rsidRPr="008E1809">
        <w:rPr>
          <w:rFonts w:ascii="Verdana" w:hAnsi="Verdana"/>
        </w:rPr>
        <w:t>que</w:t>
      </w:r>
      <w:r w:rsidRPr="008E1809">
        <w:rPr>
          <w:rFonts w:ascii="Verdana" w:hAnsi="Verdana"/>
          <w:spacing w:val="1"/>
        </w:rPr>
        <w:t xml:space="preserve"> </w:t>
      </w:r>
      <w:r w:rsidRPr="008E1809">
        <w:rPr>
          <w:rFonts w:ascii="Verdana" w:hAnsi="Verdana"/>
        </w:rPr>
        <w:t>el</w:t>
      </w:r>
      <w:r w:rsidRPr="008E1809">
        <w:rPr>
          <w:rFonts w:ascii="Verdana" w:hAnsi="Verdana"/>
          <w:spacing w:val="1"/>
        </w:rPr>
        <w:t xml:space="preserve"> </w:t>
      </w:r>
      <w:r w:rsidRPr="008E1809">
        <w:rPr>
          <w:rFonts w:ascii="Verdana" w:hAnsi="Verdana"/>
        </w:rPr>
        <w:t>factor</w:t>
      </w:r>
      <w:r w:rsidRPr="008E1809">
        <w:rPr>
          <w:rFonts w:ascii="Verdana" w:hAnsi="Verdana"/>
          <w:spacing w:val="1"/>
        </w:rPr>
        <w:t xml:space="preserve"> </w:t>
      </w:r>
      <w:r w:rsidRPr="008E1809">
        <w:rPr>
          <w:rFonts w:ascii="Verdana" w:hAnsi="Verdana"/>
        </w:rPr>
        <w:t>determinante</w:t>
      </w:r>
      <w:r w:rsidRPr="008E1809">
        <w:rPr>
          <w:rFonts w:ascii="Verdana" w:hAnsi="Verdana"/>
          <w:spacing w:val="1"/>
        </w:rPr>
        <w:t xml:space="preserve"> </w:t>
      </w:r>
      <w:r w:rsidRPr="008E1809">
        <w:rPr>
          <w:rFonts w:ascii="Verdana" w:hAnsi="Verdana"/>
        </w:rPr>
        <w:t>para</w:t>
      </w:r>
      <w:r w:rsidRPr="008E1809">
        <w:rPr>
          <w:rFonts w:ascii="Verdana" w:hAnsi="Verdana"/>
          <w:spacing w:val="1"/>
        </w:rPr>
        <w:t xml:space="preserve"> </w:t>
      </w:r>
      <w:r w:rsidRPr="008E1809">
        <w:rPr>
          <w:rFonts w:ascii="Verdana" w:hAnsi="Verdana"/>
        </w:rPr>
        <w:t>adelantarla</w:t>
      </w:r>
      <w:r w:rsidRPr="008E1809">
        <w:rPr>
          <w:rFonts w:ascii="Verdana" w:hAnsi="Verdana"/>
          <w:spacing w:val="1"/>
        </w:rPr>
        <w:t xml:space="preserve"> </w:t>
      </w:r>
      <w:r w:rsidRPr="008E1809">
        <w:rPr>
          <w:rFonts w:ascii="Verdana" w:hAnsi="Verdana"/>
        </w:rPr>
        <w:t>es</w:t>
      </w:r>
      <w:r w:rsidRPr="008E1809">
        <w:rPr>
          <w:rFonts w:ascii="Verdana" w:hAnsi="Verdana"/>
          <w:spacing w:val="1"/>
        </w:rPr>
        <w:t xml:space="preserve"> </w:t>
      </w:r>
      <w:r w:rsidRPr="008E1809">
        <w:rPr>
          <w:rFonts w:ascii="Verdana" w:hAnsi="Verdana"/>
        </w:rPr>
        <w:t>el</w:t>
      </w:r>
      <w:r w:rsidRPr="008E1809">
        <w:rPr>
          <w:rFonts w:ascii="Verdana" w:hAnsi="Verdana"/>
          <w:spacing w:val="1"/>
        </w:rPr>
        <w:t xml:space="preserve"> </w:t>
      </w:r>
      <w:r w:rsidRPr="008E1809">
        <w:rPr>
          <w:rFonts w:ascii="Verdana" w:hAnsi="Verdana"/>
        </w:rPr>
        <w:t>valor</w:t>
      </w:r>
      <w:r w:rsidRPr="008E1809">
        <w:rPr>
          <w:rFonts w:ascii="Verdana" w:hAnsi="Verdana"/>
          <w:spacing w:val="1"/>
        </w:rPr>
        <w:t xml:space="preserve"> </w:t>
      </w:r>
      <w:r w:rsidRPr="008E1809">
        <w:rPr>
          <w:rFonts w:ascii="Verdana" w:hAnsi="Verdana"/>
        </w:rPr>
        <w:t>del</w:t>
      </w:r>
      <w:r w:rsidRPr="008E1809">
        <w:rPr>
          <w:rFonts w:ascii="Verdana" w:hAnsi="Verdana"/>
          <w:spacing w:val="1"/>
        </w:rPr>
        <w:t xml:space="preserve"> </w:t>
      </w:r>
      <w:r w:rsidRPr="008E1809">
        <w:rPr>
          <w:rFonts w:ascii="Verdana" w:hAnsi="Verdana"/>
        </w:rPr>
        <w:t>presupuesto oficial con independencia de su objeto. Por lo demás, como en este</w:t>
      </w:r>
      <w:r w:rsidRPr="008E1809">
        <w:rPr>
          <w:rFonts w:ascii="Verdana" w:hAnsi="Verdana"/>
          <w:spacing w:val="1"/>
        </w:rPr>
        <w:t xml:space="preserve"> </w:t>
      </w:r>
      <w:r w:rsidRPr="008E1809">
        <w:rPr>
          <w:rFonts w:ascii="Verdana" w:hAnsi="Verdana"/>
        </w:rPr>
        <w:t>procedimiento</w:t>
      </w:r>
      <w:r w:rsidRPr="008E1809">
        <w:rPr>
          <w:rFonts w:ascii="Verdana" w:hAnsi="Verdana"/>
          <w:spacing w:val="-9"/>
        </w:rPr>
        <w:t xml:space="preserve"> </w:t>
      </w:r>
      <w:r w:rsidRPr="008E1809">
        <w:rPr>
          <w:rFonts w:ascii="Verdana" w:hAnsi="Verdana"/>
        </w:rPr>
        <w:t>el</w:t>
      </w:r>
      <w:r w:rsidRPr="008E1809">
        <w:rPr>
          <w:rFonts w:ascii="Verdana" w:hAnsi="Verdana"/>
          <w:spacing w:val="-9"/>
        </w:rPr>
        <w:t xml:space="preserve"> </w:t>
      </w:r>
      <w:r w:rsidRPr="008E1809">
        <w:rPr>
          <w:rFonts w:ascii="Verdana" w:hAnsi="Verdana"/>
        </w:rPr>
        <w:t>contrato</w:t>
      </w:r>
      <w:r w:rsidRPr="008E1809">
        <w:rPr>
          <w:rFonts w:ascii="Verdana" w:hAnsi="Verdana"/>
          <w:spacing w:val="-9"/>
        </w:rPr>
        <w:t xml:space="preserve"> </w:t>
      </w:r>
      <w:r w:rsidRPr="008E1809">
        <w:rPr>
          <w:rFonts w:ascii="Verdana" w:hAnsi="Verdana"/>
        </w:rPr>
        <w:t>se</w:t>
      </w:r>
      <w:r w:rsidRPr="008E1809">
        <w:rPr>
          <w:rFonts w:ascii="Verdana" w:hAnsi="Verdana"/>
          <w:spacing w:val="-9"/>
        </w:rPr>
        <w:t xml:space="preserve"> </w:t>
      </w:r>
      <w:r w:rsidRPr="008E1809">
        <w:rPr>
          <w:rFonts w:ascii="Verdana" w:hAnsi="Verdana"/>
        </w:rPr>
        <w:t>perfecciona</w:t>
      </w:r>
      <w:r w:rsidRPr="008E1809">
        <w:rPr>
          <w:rFonts w:ascii="Verdana" w:hAnsi="Verdana"/>
          <w:spacing w:val="-8"/>
        </w:rPr>
        <w:t xml:space="preserve"> </w:t>
      </w:r>
      <w:r w:rsidRPr="008E1809">
        <w:rPr>
          <w:rFonts w:ascii="Verdana" w:hAnsi="Verdana"/>
        </w:rPr>
        <w:t>con</w:t>
      </w:r>
      <w:r w:rsidRPr="008E1809">
        <w:rPr>
          <w:rFonts w:ascii="Verdana" w:hAnsi="Verdana"/>
          <w:spacing w:val="-9"/>
        </w:rPr>
        <w:t xml:space="preserve"> </w:t>
      </w:r>
      <w:r w:rsidRPr="008E1809">
        <w:rPr>
          <w:rFonts w:ascii="Verdana" w:hAnsi="Verdana"/>
        </w:rPr>
        <w:t>la</w:t>
      </w:r>
      <w:r w:rsidRPr="008E1809">
        <w:rPr>
          <w:rFonts w:ascii="Verdana" w:hAnsi="Verdana"/>
          <w:spacing w:val="-9"/>
        </w:rPr>
        <w:t xml:space="preserve"> </w:t>
      </w:r>
      <w:r w:rsidRPr="008E1809">
        <w:rPr>
          <w:rFonts w:ascii="Verdana" w:hAnsi="Verdana"/>
        </w:rPr>
        <w:t>aceptación</w:t>
      </w:r>
      <w:r w:rsidRPr="008E1809">
        <w:rPr>
          <w:rFonts w:ascii="Verdana" w:hAnsi="Verdana"/>
          <w:spacing w:val="-8"/>
        </w:rPr>
        <w:t xml:space="preserve"> </w:t>
      </w:r>
      <w:r w:rsidRPr="008E1809">
        <w:rPr>
          <w:rFonts w:ascii="Verdana" w:hAnsi="Verdana"/>
        </w:rPr>
        <w:t>de</w:t>
      </w:r>
      <w:r w:rsidRPr="008E1809">
        <w:rPr>
          <w:rFonts w:ascii="Verdana" w:hAnsi="Verdana"/>
          <w:spacing w:val="-9"/>
        </w:rPr>
        <w:t xml:space="preserve"> </w:t>
      </w:r>
      <w:r w:rsidRPr="008E1809">
        <w:rPr>
          <w:rFonts w:ascii="Verdana" w:hAnsi="Verdana"/>
        </w:rPr>
        <w:t>la</w:t>
      </w:r>
      <w:r w:rsidRPr="008E1809">
        <w:rPr>
          <w:rFonts w:ascii="Verdana" w:hAnsi="Verdana"/>
          <w:spacing w:val="-9"/>
        </w:rPr>
        <w:t xml:space="preserve"> </w:t>
      </w:r>
      <w:r w:rsidRPr="008E1809">
        <w:rPr>
          <w:rFonts w:ascii="Verdana" w:hAnsi="Verdana"/>
        </w:rPr>
        <w:t>oferta,</w:t>
      </w:r>
      <w:r w:rsidRPr="008E1809">
        <w:rPr>
          <w:rFonts w:ascii="Verdana" w:hAnsi="Verdana"/>
          <w:spacing w:val="-9"/>
        </w:rPr>
        <w:t xml:space="preserve"> </w:t>
      </w:r>
      <w:r w:rsidRPr="008E1809">
        <w:rPr>
          <w:rFonts w:ascii="Verdana" w:hAnsi="Verdana"/>
        </w:rPr>
        <w:t>se</w:t>
      </w:r>
      <w:r w:rsidRPr="008E1809">
        <w:rPr>
          <w:rFonts w:ascii="Verdana" w:hAnsi="Verdana"/>
          <w:spacing w:val="-10"/>
        </w:rPr>
        <w:t xml:space="preserve"> </w:t>
      </w:r>
      <w:r w:rsidRPr="008E1809">
        <w:rPr>
          <w:rFonts w:ascii="Verdana" w:hAnsi="Verdana"/>
        </w:rPr>
        <w:t>considera</w:t>
      </w:r>
      <w:r w:rsidRPr="008E1809">
        <w:rPr>
          <w:rFonts w:ascii="Verdana" w:hAnsi="Verdana"/>
          <w:spacing w:val="-9"/>
        </w:rPr>
        <w:t xml:space="preserve"> </w:t>
      </w:r>
      <w:r w:rsidRPr="008E1809">
        <w:rPr>
          <w:rFonts w:ascii="Verdana" w:hAnsi="Verdana"/>
        </w:rPr>
        <w:t>un</w:t>
      </w:r>
      <w:r w:rsidRPr="008E1809">
        <w:rPr>
          <w:rFonts w:ascii="Verdana" w:hAnsi="Verdana"/>
          <w:spacing w:val="-58"/>
        </w:rPr>
        <w:t xml:space="preserve"> </w:t>
      </w:r>
      <w:r w:rsidRPr="008E1809">
        <w:rPr>
          <w:rFonts w:ascii="Verdana" w:hAnsi="Verdana"/>
        </w:rPr>
        <w:t>sucedáneo</w:t>
      </w:r>
      <w:r w:rsidRPr="008E1809">
        <w:rPr>
          <w:rFonts w:ascii="Verdana" w:hAnsi="Verdana"/>
          <w:spacing w:val="-2"/>
        </w:rPr>
        <w:t xml:space="preserve"> </w:t>
      </w:r>
      <w:r w:rsidRPr="008E1809">
        <w:rPr>
          <w:rFonts w:ascii="Verdana" w:hAnsi="Verdana"/>
        </w:rPr>
        <w:t>de</w:t>
      </w:r>
      <w:r w:rsidRPr="008E1809">
        <w:rPr>
          <w:rFonts w:ascii="Verdana" w:hAnsi="Verdana"/>
          <w:spacing w:val="-2"/>
        </w:rPr>
        <w:t xml:space="preserve"> </w:t>
      </w:r>
      <w:r w:rsidRPr="008E1809">
        <w:rPr>
          <w:rFonts w:ascii="Verdana" w:hAnsi="Verdana"/>
        </w:rPr>
        <w:t>los</w:t>
      </w:r>
      <w:r w:rsidRPr="008E1809">
        <w:rPr>
          <w:rFonts w:ascii="Verdana" w:hAnsi="Verdana"/>
          <w:spacing w:val="-1"/>
        </w:rPr>
        <w:t xml:space="preserve"> </w:t>
      </w:r>
      <w:r w:rsidRPr="008E1809">
        <w:rPr>
          <w:rFonts w:ascii="Verdana" w:hAnsi="Verdana"/>
        </w:rPr>
        <w:t>denominados</w:t>
      </w:r>
      <w:r w:rsidRPr="008E1809">
        <w:rPr>
          <w:rFonts w:ascii="Verdana" w:hAnsi="Verdana"/>
          <w:spacing w:val="-2"/>
        </w:rPr>
        <w:t xml:space="preserve"> </w:t>
      </w:r>
      <w:r>
        <w:rPr>
          <w:rFonts w:ascii="Verdana" w:hAnsi="Verdana"/>
        </w:rPr>
        <w:t>“</w:t>
      </w:r>
      <w:r w:rsidRPr="008E1809">
        <w:rPr>
          <w:rFonts w:ascii="Verdana" w:hAnsi="Verdana"/>
        </w:rPr>
        <w:t>contratos</w:t>
      </w:r>
      <w:r w:rsidRPr="008E1809">
        <w:rPr>
          <w:rFonts w:ascii="Verdana" w:hAnsi="Verdana"/>
          <w:spacing w:val="-1"/>
        </w:rPr>
        <w:t xml:space="preserve"> </w:t>
      </w:r>
      <w:r w:rsidRPr="008E1809">
        <w:rPr>
          <w:rFonts w:ascii="Verdana" w:hAnsi="Verdana"/>
        </w:rPr>
        <w:t>sin</w:t>
      </w:r>
      <w:r w:rsidRPr="008E1809">
        <w:rPr>
          <w:rFonts w:ascii="Verdana" w:hAnsi="Verdana"/>
          <w:spacing w:val="-2"/>
        </w:rPr>
        <w:t xml:space="preserve"> </w:t>
      </w:r>
      <w:r w:rsidRPr="008E1809">
        <w:rPr>
          <w:rFonts w:ascii="Verdana" w:hAnsi="Verdana"/>
        </w:rPr>
        <w:t>formalidades</w:t>
      </w:r>
      <w:r w:rsidRPr="008E1809">
        <w:rPr>
          <w:rFonts w:ascii="Verdana" w:hAnsi="Verdana"/>
          <w:spacing w:val="-1"/>
        </w:rPr>
        <w:t xml:space="preserve"> </w:t>
      </w:r>
      <w:r w:rsidRPr="008E1809">
        <w:rPr>
          <w:rFonts w:ascii="Verdana" w:hAnsi="Verdana"/>
        </w:rPr>
        <w:t>plenas</w:t>
      </w:r>
      <w:r>
        <w:rPr>
          <w:rFonts w:ascii="Verdana" w:hAnsi="Verdana"/>
        </w:rPr>
        <w:t>”</w:t>
      </w:r>
      <w:r>
        <w:rPr>
          <w:rStyle w:val="Refdenotaalpie"/>
          <w:rFonts w:ascii="Verdana" w:hAnsi="Verdana"/>
        </w:rPr>
        <w:footnoteReference w:id="13"/>
      </w:r>
      <w:r w:rsidRPr="008E1809">
        <w:rPr>
          <w:rFonts w:ascii="Verdana" w:hAnsi="Verdana"/>
        </w:rPr>
        <w:t>.</w:t>
      </w:r>
    </w:p>
    <w:p w14:paraId="7B6BE2C1" w14:textId="77777777" w:rsidR="00196A2A" w:rsidRDefault="00196A2A" w:rsidP="00196A2A">
      <w:pPr>
        <w:tabs>
          <w:tab w:val="left" w:pos="709"/>
        </w:tabs>
        <w:spacing w:after="0" w:line="276" w:lineRule="auto"/>
        <w:jc w:val="both"/>
        <w:rPr>
          <w:rFonts w:ascii="Verdana" w:hAnsi="Verdana" w:cs="Arial"/>
          <w:color w:val="000000" w:themeColor="text1"/>
          <w:lang w:val="es-ES"/>
        </w:rPr>
      </w:pPr>
    </w:p>
    <w:p w14:paraId="74E6EFD6" w14:textId="77777777" w:rsidR="00196A2A" w:rsidRPr="003F4A18" w:rsidRDefault="00196A2A" w:rsidP="00196A2A">
      <w:pPr>
        <w:spacing w:after="0" w:line="276" w:lineRule="auto"/>
        <w:jc w:val="both"/>
        <w:rPr>
          <w:rFonts w:ascii="Verdana" w:eastAsia="Arial" w:hAnsi="Verdana" w:cs="Arial"/>
          <w:color w:val="000000"/>
        </w:rPr>
      </w:pPr>
      <w:proofErr w:type="spellStart"/>
      <w:r>
        <w:rPr>
          <w:rFonts w:ascii="Verdana" w:hAnsi="Verdana" w:cs="Arial"/>
          <w:color w:val="000000" w:themeColor="text1"/>
          <w:lang w:val="es-ES"/>
        </w:rPr>
        <w:t>ii</w:t>
      </w:r>
      <w:proofErr w:type="spellEnd"/>
      <w:r>
        <w:rPr>
          <w:rFonts w:ascii="Verdana" w:hAnsi="Verdana" w:cs="Arial"/>
          <w:color w:val="000000" w:themeColor="text1"/>
          <w:lang w:val="es-ES"/>
        </w:rPr>
        <w:t xml:space="preserve">. </w:t>
      </w:r>
      <w:r>
        <w:rPr>
          <w:rFonts w:ascii="Verdana" w:hAnsi="Verdana" w:cs="Arial"/>
          <w:bCs/>
          <w:lang w:val="es-ES_tradnl"/>
        </w:rPr>
        <w:t>U</w:t>
      </w:r>
      <w:r w:rsidRPr="003F4A18">
        <w:rPr>
          <w:rFonts w:ascii="Verdana" w:eastAsia="Arial" w:hAnsi="Verdana" w:cs="Arial"/>
          <w:color w:val="000000"/>
        </w:rPr>
        <w:t xml:space="preserve">no de los principios transversales de los procedimientos de selección es el de </w:t>
      </w:r>
      <w:r w:rsidRPr="003F4A18">
        <w:rPr>
          <w:rFonts w:ascii="Verdana" w:eastAsia="Arial" w:hAnsi="Verdana" w:cs="Arial"/>
          <w:i/>
          <w:color w:val="000000"/>
        </w:rPr>
        <w:t>selección objetiva</w:t>
      </w:r>
      <w:r w:rsidRPr="003F4A18">
        <w:rPr>
          <w:rFonts w:ascii="Verdana" w:eastAsia="Arial" w:hAnsi="Verdana" w:cs="Arial"/>
          <w:color w:val="000000"/>
        </w:rPr>
        <w:t xml:space="preserve">. Se trata del postulado que exige que la escogencia de la oferta ganadora deba fundamentarse en factores objetivos, de carácter técnico, jurídico y financiero, y no en criterios subjetivos, como el afecto, la amistad, el </w:t>
      </w:r>
      <w:r w:rsidRPr="003F4A18">
        <w:rPr>
          <w:rFonts w:ascii="Verdana" w:eastAsia="Arial" w:hAnsi="Verdana" w:cs="Arial"/>
          <w:color w:val="000000"/>
        </w:rPr>
        <w:lastRenderedPageBreak/>
        <w:t>ánimo de ayuda, el interés personal, etc. Si bien dentro de la historia de la contratación pública en Colombia se vislumbran antecedentes normativos que consagraban dicho principio</w:t>
      </w:r>
      <w:r w:rsidRPr="003F4A18">
        <w:rPr>
          <w:rFonts w:ascii="Verdana" w:eastAsia="Arial" w:hAnsi="Verdana" w:cs="Arial"/>
          <w:color w:val="000000"/>
          <w:vertAlign w:val="superscript"/>
        </w:rPr>
        <w:footnoteReference w:id="14"/>
      </w:r>
      <w:r w:rsidRPr="003F4A18">
        <w:rPr>
          <w:rFonts w:ascii="Verdana" w:eastAsia="Arial" w:hAnsi="Verdana" w:cs="Arial"/>
          <w:color w:val="000000"/>
        </w:rPr>
        <w:t xml:space="preserve">, en la actualidad la disposición legal que lo prevé de manera más clara y contundente es el artículo 5 de la Ley 1150 de 2007, modificado por el artículo 88 de la Ley 1474 de 2011 y por el artículo 5 de la Ley 1882 de 2018. Esta norma prescribe lo siguiente: </w:t>
      </w:r>
    </w:p>
    <w:p w14:paraId="5A8BC9F8" w14:textId="77777777" w:rsidR="00196A2A" w:rsidRPr="003F4A18" w:rsidRDefault="00196A2A" w:rsidP="00196A2A">
      <w:pPr>
        <w:spacing w:after="0" w:line="276" w:lineRule="auto"/>
        <w:jc w:val="both"/>
        <w:rPr>
          <w:rFonts w:ascii="Verdana" w:eastAsia="Arial" w:hAnsi="Verdana" w:cs="Arial"/>
          <w:color w:val="000000"/>
        </w:rPr>
      </w:pPr>
    </w:p>
    <w:p w14:paraId="3FD01838"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2D3DF01D"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3C316539"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 xml:space="preserve">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w:t>
      </w:r>
      <w:r w:rsidRPr="003F4A18">
        <w:rPr>
          <w:rFonts w:ascii="Verdana" w:eastAsia="Arial" w:hAnsi="Verdana" w:cs="Arial"/>
          <w:color w:val="000000"/>
          <w:sz w:val="20"/>
          <w:szCs w:val="20"/>
        </w:rPr>
        <w:lastRenderedPageBreak/>
        <w:t>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4E0509A2"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En los procesos de selección en los que se tenga en cuenta los factores técnicos y económicos, la oferta más ventajosa será la que resulte de aplicar alguna de las siguientes alternativas:</w:t>
      </w:r>
    </w:p>
    <w:p w14:paraId="324F6218"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a) La ponderación de los elementos de calidad y precio soportados en puntajes o fórmulas señaladas en el pliego de condiciones; o</w:t>
      </w:r>
    </w:p>
    <w:p w14:paraId="2A730F2F"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b) La ponderación de los elementos de calidad y precio que representen la mejor relación de costo-beneficio para la entidad.</w:t>
      </w:r>
    </w:p>
    <w:p w14:paraId="1B1A3719"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14:paraId="57C07653"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p>
    <w:p w14:paraId="0D88297E"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En ningún caso se podrá incluir el precio, como factor de escogencia para la selección de consultores.</w:t>
      </w:r>
    </w:p>
    <w:p w14:paraId="3BAC8A5C"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6544BF1D"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lastRenderedPageBreak/>
        <w:t>Durante el término otorgado para subsanar las ofertas, los proponentes no podrán acreditar circunstancias ocurridas con posterioridad al cierre del proceso.</w:t>
      </w:r>
    </w:p>
    <w:p w14:paraId="1964B79E"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PARÁGRAFO 2o. Las certificaciones de sistemas de gestión de calidad no serán objeto de calificación, ni podrán establecerse como documento habilitante para participar en licitaciones o concursos.</w:t>
      </w:r>
    </w:p>
    <w:p w14:paraId="47E4FA72"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PARÁGRAFO 3o. &lt;Parágrafo adicionado por el artículo 5 de la Ley 1882 de 2018. El nuevo texto es el siguiente:&gt; La no entrega de la garantía de seriedad junto con la propuesta no será subsanable y será causal de rechazo de la misma.</w:t>
      </w:r>
    </w:p>
    <w:p w14:paraId="3668BD48" w14:textId="77777777" w:rsidR="00196A2A" w:rsidRPr="003F4A18" w:rsidRDefault="00196A2A" w:rsidP="00196A2A">
      <w:pPr>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p>
    <w:p w14:paraId="6B325323" w14:textId="77777777" w:rsidR="00196A2A" w:rsidRPr="003F4A18" w:rsidRDefault="00196A2A" w:rsidP="00196A2A">
      <w:pPr>
        <w:spacing w:after="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 xml:space="preserve">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w:t>
      </w:r>
    </w:p>
    <w:p w14:paraId="04AC59B5" w14:textId="77777777" w:rsidR="00196A2A" w:rsidRPr="003F4A18" w:rsidRDefault="00196A2A" w:rsidP="00196A2A">
      <w:pPr>
        <w:spacing w:after="0" w:line="276" w:lineRule="auto"/>
        <w:jc w:val="both"/>
        <w:rPr>
          <w:rFonts w:ascii="Verdana" w:eastAsia="Arial" w:hAnsi="Verdana" w:cs="Arial"/>
          <w:color w:val="000000"/>
        </w:rPr>
      </w:pPr>
    </w:p>
    <w:p w14:paraId="62FA2F1F" w14:textId="77777777" w:rsidR="00196A2A" w:rsidRPr="003F4A18" w:rsidRDefault="00196A2A" w:rsidP="00196A2A">
      <w:pPr>
        <w:tabs>
          <w:tab w:val="left" w:pos="0"/>
        </w:tabs>
        <w:spacing w:after="120" w:line="276" w:lineRule="auto"/>
        <w:jc w:val="both"/>
        <w:rPr>
          <w:rFonts w:ascii="Verdana" w:eastAsia="Arial" w:hAnsi="Verdana" w:cs="Arial"/>
          <w:color w:val="000000"/>
        </w:rPr>
      </w:pPr>
      <w:r w:rsidRPr="003F4A18">
        <w:rPr>
          <w:rFonts w:ascii="Verdana" w:eastAsia="Arial" w:hAnsi="Verdana" w:cs="Arial"/>
          <w:color w:val="000000"/>
        </w:rPr>
        <w:tab/>
        <w:t xml:space="preserve">De acuerdo con el artículo 5 de la Ley 1150 de 2007, el deber de selección objetiva supone que las entidades escojan en los procesos de selección el  ofrecimiento más favorable a la entidad y a los fines que ella busca. Tal favorabilidad debe determinarse a partir de criterios que pueden variar de acuerdo con el objeto contractual o la modalidad de selección aplicable, los cuales, en todo caso, para que la selección sea objetiva, deben señalarse en el pliego de condiciones o documento equivalente. </w:t>
      </w:r>
    </w:p>
    <w:p w14:paraId="32EEA535" w14:textId="77777777" w:rsidR="00196A2A" w:rsidRPr="003F4A18" w:rsidRDefault="00196A2A" w:rsidP="00196A2A">
      <w:pPr>
        <w:tabs>
          <w:tab w:val="left" w:pos="0"/>
        </w:tabs>
        <w:spacing w:after="120" w:line="276" w:lineRule="auto"/>
        <w:jc w:val="both"/>
        <w:rPr>
          <w:rFonts w:ascii="Verdana" w:eastAsia="Arial" w:hAnsi="Verdana" w:cs="Arial"/>
          <w:color w:val="000000"/>
        </w:rPr>
      </w:pPr>
      <w:bookmarkStart w:id="8" w:name="_1fob9te" w:colFirst="0" w:colLast="0"/>
      <w:bookmarkEnd w:id="8"/>
      <w:r w:rsidRPr="003F4A18">
        <w:rPr>
          <w:rFonts w:ascii="Verdana" w:eastAsia="Arial" w:hAnsi="Verdana" w:cs="Arial"/>
          <w:color w:val="000000"/>
        </w:rPr>
        <w:tab/>
        <w:t>Al respecto, el numeral 1 del artículo 5 de la Ley 1150 de 2007 se refiere a algunos requisitos exigibles en la generalidad de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w:t>
      </w:r>
      <w:r w:rsidRPr="003F4A18">
        <w:rPr>
          <w:rFonts w:ascii="Verdana" w:eastAsia="Arial" w:hAnsi="Verdana" w:cs="Arial"/>
          <w:color w:val="000000"/>
          <w:vertAlign w:val="superscript"/>
        </w:rPr>
        <w:footnoteReference w:id="15"/>
      </w:r>
      <w:r w:rsidRPr="003F4A18">
        <w:rPr>
          <w:rFonts w:ascii="Verdana" w:eastAsia="Arial" w:hAnsi="Verdana" w:cs="Arial"/>
          <w:color w:val="000000"/>
        </w:rPr>
        <w:t xml:space="preserve">. Los oferentes que cumplan estos </w:t>
      </w:r>
      <w:r w:rsidRPr="003F4A18">
        <w:rPr>
          <w:rFonts w:ascii="Verdana" w:eastAsia="Arial" w:hAnsi="Verdana" w:cs="Arial"/>
          <w:color w:val="000000"/>
        </w:rPr>
        <w:lastRenderedPageBreak/>
        <w:t xml:space="preserve">requisitos habilitantes son considerados idóneos para ejecutar el objeto contractual, de manera que sus ofertas pueden ser consideradas en la evaluación dirigida a determinar cuál es la más favorable para la entidad y los fines de la contratación. En este sentido, los requisitos </w:t>
      </w:r>
      <w:r w:rsidRPr="003F4A18">
        <w:rPr>
          <w:rFonts w:ascii="Verdana" w:eastAsia="Arial" w:hAnsi="Verdana" w:cs="Arial"/>
          <w:i/>
          <w:color w:val="000000"/>
        </w:rPr>
        <w:t xml:space="preserve">habilitantes </w:t>
      </w:r>
      <w:r w:rsidRPr="003F4A18">
        <w:rPr>
          <w:rFonts w:ascii="Verdana" w:eastAsia="Arial" w:hAnsi="Verdana" w:cs="Arial"/>
          <w:color w:val="000000"/>
        </w:rPr>
        <w:t>son aquellos que deben cumplir en igualdad de condiciones los proponentes y cumplido el mínimo establecido en el pliego de condiciones o documento equivalente hacen que los proponentes se habiliten en el procedimiento de selección y sean susceptibles de ser seleccionados como futuros contratistas.</w:t>
      </w:r>
    </w:p>
    <w:p w14:paraId="0844C025" w14:textId="77777777" w:rsidR="00196A2A" w:rsidRPr="003F4A18" w:rsidRDefault="00196A2A" w:rsidP="00196A2A">
      <w:pPr>
        <w:tabs>
          <w:tab w:val="left" w:pos="0"/>
        </w:tabs>
        <w:spacing w:after="120" w:line="276" w:lineRule="auto"/>
        <w:jc w:val="both"/>
        <w:rPr>
          <w:rFonts w:ascii="Verdana" w:eastAsia="Arial" w:hAnsi="Verdana" w:cs="Arial"/>
          <w:color w:val="000000"/>
        </w:rPr>
      </w:pPr>
      <w:r w:rsidRPr="003F4A18">
        <w:rPr>
          <w:rFonts w:ascii="Verdana" w:eastAsia="Arial" w:hAnsi="Verdana" w:cs="Arial"/>
          <w:color w:val="000000"/>
        </w:rPr>
        <w:tab/>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El numeral 2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2 se divide en dos literales, cada uno de los cuales hace referencia a los mecanismos por los que pueden optar las entidades para ponderar los elementos de calidad y precio de las ofertas. El literal a) alude a la ponderación de los referidos elementos mediante puntajes o fórmulas, mientras que el literal b) se refiere la elección de la oferta que represente la mejor relación costo – beneficio para la entidad. </w:t>
      </w:r>
    </w:p>
    <w:p w14:paraId="508BEF68" w14:textId="77777777" w:rsidR="00196A2A" w:rsidRPr="003F4A18" w:rsidRDefault="00196A2A" w:rsidP="00196A2A">
      <w:pPr>
        <w:tabs>
          <w:tab w:val="left" w:pos="0"/>
        </w:tabs>
        <w:spacing w:after="120" w:line="276" w:lineRule="auto"/>
        <w:jc w:val="both"/>
        <w:rPr>
          <w:rFonts w:ascii="Verdana" w:eastAsia="Arial" w:hAnsi="Verdana" w:cs="Arial"/>
          <w:color w:val="000000"/>
        </w:rPr>
      </w:pPr>
      <w:r w:rsidRPr="003F4A18">
        <w:rPr>
          <w:rFonts w:ascii="Verdana" w:eastAsia="Arial" w:hAnsi="Verdana" w:cs="Arial"/>
          <w:color w:val="000000"/>
        </w:rPr>
        <w:tab/>
        <w:t>Por su parte, el numeral 3 establece que en los procesos de selección de bienes y servicios de características técnicas uniformes y de común utilización el único factor de evaluación consiste en el menor precio. Por último, el numeral 4, referente a procedimientos para selección de consultores, señala que debe hacerse uso de factores de calificación, para valorar los aspectos técnicos de la oferta, permitiendo que entre ellos se pondere la experiencia.</w:t>
      </w:r>
    </w:p>
    <w:p w14:paraId="236C49D1" w14:textId="77777777" w:rsidR="00196A2A" w:rsidRPr="003F4A18" w:rsidRDefault="00196A2A" w:rsidP="00196A2A">
      <w:pPr>
        <w:tabs>
          <w:tab w:val="left" w:pos="0"/>
        </w:tabs>
        <w:spacing w:after="0" w:line="276" w:lineRule="auto"/>
        <w:jc w:val="both"/>
        <w:rPr>
          <w:rFonts w:ascii="Verdana" w:eastAsia="Arial" w:hAnsi="Verdana" w:cs="Arial"/>
          <w:color w:val="000000"/>
        </w:rPr>
      </w:pPr>
      <w:r w:rsidRPr="003F4A18">
        <w:rPr>
          <w:rFonts w:ascii="Verdana" w:eastAsia="Arial" w:hAnsi="Verdana" w:cs="Arial"/>
          <w:color w:val="000000"/>
        </w:rPr>
        <w:tab/>
        <w:t xml:space="preserve">Conforme a lo anterior, el artículo 5 de la Ley 1150 de 2007, alude a diferentes conceptos como factores de escogencia, de calificación, técnicos y económicos de escogencia, de evaluación y calificación. Además, el artículo alude a unos factores que no otorgan puntaje y de otros que inciden en la comparación de ofertas. Por ello, la doctrina define los requisitos o factores ponderables como “[…] aquellas condiciones de la oferta y no de quien la </w:t>
      </w:r>
      <w:r w:rsidRPr="003F4A18">
        <w:rPr>
          <w:rFonts w:ascii="Verdana" w:eastAsia="Arial" w:hAnsi="Verdana" w:cs="Arial"/>
          <w:color w:val="000000"/>
        </w:rPr>
        <w:lastRenderedPageBreak/>
        <w:t xml:space="preserve">presenta, que sí entrarán a ser evaluadas por la Administración y que en consecuencia, darán lugar a la escogencia objetiva de la mejor propuesta para la entidad” </w:t>
      </w:r>
      <w:r w:rsidRPr="003F4A18">
        <w:rPr>
          <w:rFonts w:ascii="Verdana" w:eastAsia="Arial" w:hAnsi="Verdana" w:cs="Arial"/>
          <w:color w:val="000000"/>
          <w:vertAlign w:val="superscript"/>
        </w:rPr>
        <w:footnoteReference w:id="16"/>
      </w:r>
      <w:r w:rsidRPr="003F4A18">
        <w:rPr>
          <w:rFonts w:ascii="Verdana" w:eastAsia="Arial" w:hAnsi="Verdana" w:cs="Arial"/>
          <w:color w:val="000000"/>
        </w:rPr>
        <w:t>. Todas estas categorías designan los “[…] factores a los cuales cabe otorgarles puntajes o que pueden ser ponderados, precisamente, pues estos son los factores que en últimas permiten una comparación de ofertas y una diferenciación entre ellas”</w:t>
      </w:r>
      <w:r w:rsidRPr="003F4A18">
        <w:rPr>
          <w:rFonts w:ascii="Verdana" w:eastAsia="Arial" w:hAnsi="Verdana" w:cs="Arial"/>
          <w:color w:val="000000"/>
          <w:vertAlign w:val="superscript"/>
        </w:rPr>
        <w:footnoteReference w:id="17"/>
      </w:r>
      <w:r w:rsidRPr="003F4A18">
        <w:rPr>
          <w:rFonts w:ascii="Verdana" w:eastAsia="Arial" w:hAnsi="Verdana" w:cs="Arial"/>
          <w:color w:val="000000"/>
        </w:rPr>
        <w:t>. Conforme a esto, la doctrina explica que:</w:t>
      </w:r>
    </w:p>
    <w:p w14:paraId="0C589306" w14:textId="77777777" w:rsidR="00196A2A" w:rsidRPr="003F4A18" w:rsidRDefault="00196A2A" w:rsidP="00196A2A">
      <w:pPr>
        <w:tabs>
          <w:tab w:val="left" w:pos="0"/>
        </w:tabs>
        <w:spacing w:after="0" w:line="276" w:lineRule="auto"/>
        <w:ind w:left="709" w:right="709"/>
        <w:jc w:val="both"/>
        <w:rPr>
          <w:rFonts w:ascii="Verdana" w:eastAsia="Arial" w:hAnsi="Verdana" w:cs="Arial"/>
          <w:color w:val="000000"/>
          <w:sz w:val="21"/>
          <w:szCs w:val="21"/>
        </w:rPr>
      </w:pPr>
    </w:p>
    <w:p w14:paraId="3D0CF438" w14:textId="77777777" w:rsidR="00196A2A" w:rsidRPr="003F4A18" w:rsidRDefault="00196A2A" w:rsidP="00196A2A">
      <w:pPr>
        <w:tabs>
          <w:tab w:val="left" w:pos="0"/>
        </w:tabs>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 xml:space="preserve">“De acuerdo con ese entendimiento, el numeral 2 del artículo 5.° de la Ley  1150 de 2007, modificado por el artículo 88 de la Ley 1474 de 2011, comienza por señalar que </w:t>
      </w:r>
      <w:r>
        <w:rPr>
          <w:rFonts w:ascii="Verdana" w:eastAsia="Arial" w:hAnsi="Verdana" w:cs="Arial"/>
          <w:color w:val="000000"/>
          <w:sz w:val="20"/>
          <w:szCs w:val="20"/>
        </w:rPr>
        <w:t>‘</w:t>
      </w:r>
      <w:r w:rsidRPr="003F4A18">
        <w:rPr>
          <w:rFonts w:ascii="Verdana" w:eastAsia="Arial" w:hAnsi="Verdana" w:cs="Arial"/>
          <w:color w:val="000000"/>
          <w:sz w:val="20"/>
          <w:szCs w:val="20"/>
        </w:rPr>
        <w:t>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w:t>
      </w:r>
      <w:r>
        <w:rPr>
          <w:rFonts w:ascii="Verdana" w:eastAsia="Arial" w:hAnsi="Verdana" w:cs="Arial"/>
          <w:color w:val="000000"/>
          <w:sz w:val="20"/>
          <w:szCs w:val="20"/>
        </w:rPr>
        <w:t>’</w:t>
      </w:r>
      <w:r w:rsidRPr="003F4A18">
        <w:rPr>
          <w:rFonts w:ascii="Verdana" w:eastAsia="Arial" w:hAnsi="Verdana" w:cs="Arial"/>
          <w:color w:val="000000"/>
          <w:sz w:val="20"/>
          <w:szCs w:val="20"/>
        </w:rPr>
        <w:t xml:space="preserve">. Es decir que los factores de ponderación o de evaluación son los que en realidad determinan la propuesta que mejor satisface las necesidades de la Administración y no simplemente cuál de los proponentes es el más idóneo en la ejecución del contrato, pues, se insiste, todo oferente que supere los requisitos mínimos habilitantes se entiende que es suficientemente idóneo para la ejecución del objeto contractual.  </w:t>
      </w:r>
    </w:p>
    <w:p w14:paraId="3501D42C" w14:textId="77777777" w:rsidR="00196A2A" w:rsidRPr="003F4A18" w:rsidRDefault="00196A2A" w:rsidP="00196A2A">
      <w:pPr>
        <w:tabs>
          <w:tab w:val="left" w:pos="0"/>
        </w:tabs>
        <w:spacing w:after="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 xml:space="preserve">De nuevo, aquí es preciso señalar que es el pliego de condiciones el que debe determinar cuáles son esos factores que en cada caso concreto permiten hacer una comparación entre las ofertas presentadas y, con base en ello, determinar cuál es la más favorable para la Administración Pública. </w:t>
      </w:r>
    </w:p>
    <w:p w14:paraId="22356EEF" w14:textId="77777777" w:rsidR="00196A2A" w:rsidRPr="003F4A18" w:rsidRDefault="00196A2A" w:rsidP="00196A2A">
      <w:pPr>
        <w:tabs>
          <w:tab w:val="left" w:pos="0"/>
        </w:tabs>
        <w:spacing w:after="12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w:t>
      </w:r>
    </w:p>
    <w:p w14:paraId="76ED7D38" w14:textId="77777777" w:rsidR="00196A2A" w:rsidRPr="003F4A18" w:rsidRDefault="00196A2A" w:rsidP="00196A2A">
      <w:pPr>
        <w:tabs>
          <w:tab w:val="left" w:pos="0"/>
        </w:tabs>
        <w:spacing w:after="0" w:line="240" w:lineRule="auto"/>
        <w:ind w:left="709" w:right="709"/>
        <w:jc w:val="both"/>
        <w:rPr>
          <w:rFonts w:ascii="Verdana" w:eastAsia="Arial" w:hAnsi="Verdana" w:cs="Arial"/>
          <w:color w:val="000000"/>
          <w:sz w:val="20"/>
          <w:szCs w:val="20"/>
        </w:rPr>
      </w:pPr>
      <w:r w:rsidRPr="003F4A18">
        <w:rPr>
          <w:rFonts w:ascii="Verdana" w:eastAsia="Arial" w:hAnsi="Verdana" w:cs="Arial"/>
          <w:color w:val="000000"/>
          <w:sz w:val="20"/>
          <w:szCs w:val="20"/>
        </w:rPr>
        <w:t>Una siguiente conclusión que se deriva de la norma parcialmente transcrita consiste en que los pliegos de condiciones deben determinar dos situaciones por separado: 1. cuáles serán los factores o requisitos que serán evaluados por la Administración y 2. cuáles son los criterios para asignar puntaje a cada uno de los factores de evaluación y, con base en ello, poder hacer la comparación entre las ofertas y concluir cuál de ellas es la más ventajosa para la entidad estatal”</w:t>
      </w:r>
      <w:r w:rsidRPr="003F4A18">
        <w:rPr>
          <w:rFonts w:ascii="Verdana" w:eastAsia="Arial" w:hAnsi="Verdana" w:cs="Arial"/>
          <w:color w:val="000000"/>
          <w:sz w:val="20"/>
          <w:szCs w:val="20"/>
          <w:vertAlign w:val="superscript"/>
        </w:rPr>
        <w:footnoteReference w:id="18"/>
      </w:r>
      <w:r w:rsidRPr="003F4A18">
        <w:rPr>
          <w:rFonts w:ascii="Verdana" w:eastAsia="Arial" w:hAnsi="Verdana" w:cs="Arial"/>
          <w:color w:val="000000"/>
          <w:sz w:val="20"/>
          <w:szCs w:val="20"/>
        </w:rPr>
        <w:t>.</w:t>
      </w:r>
    </w:p>
    <w:p w14:paraId="0FE9C89B" w14:textId="77777777" w:rsidR="00196A2A" w:rsidRPr="003F4A18" w:rsidRDefault="00196A2A" w:rsidP="00196A2A">
      <w:pPr>
        <w:tabs>
          <w:tab w:val="left" w:pos="0"/>
        </w:tabs>
        <w:spacing w:after="0" w:line="276" w:lineRule="auto"/>
        <w:ind w:left="709" w:right="709"/>
        <w:jc w:val="both"/>
        <w:rPr>
          <w:rFonts w:ascii="Verdana" w:eastAsia="Arial" w:hAnsi="Verdana" w:cs="Arial"/>
          <w:color w:val="000000"/>
          <w:sz w:val="21"/>
          <w:szCs w:val="21"/>
        </w:rPr>
      </w:pPr>
    </w:p>
    <w:p w14:paraId="16C18E25" w14:textId="77777777" w:rsidR="00196A2A" w:rsidRPr="003F4A18" w:rsidRDefault="00196A2A" w:rsidP="00196A2A">
      <w:pPr>
        <w:tabs>
          <w:tab w:val="left" w:pos="0"/>
        </w:tabs>
        <w:spacing w:after="120" w:line="276" w:lineRule="auto"/>
        <w:jc w:val="both"/>
        <w:rPr>
          <w:rFonts w:ascii="Verdana" w:eastAsia="Arial" w:hAnsi="Verdana" w:cs="Arial"/>
          <w:color w:val="000000"/>
        </w:rPr>
      </w:pPr>
      <w:r w:rsidRPr="003F4A18">
        <w:rPr>
          <w:rFonts w:ascii="Verdana" w:eastAsia="Arial" w:hAnsi="Verdana" w:cs="Arial"/>
          <w:color w:val="000000"/>
        </w:rPr>
        <w:tab/>
        <w:t xml:space="preserve">De acuerdo con lo anterior, es posible asimilar las diferentes categorías a las que hace referencia el artículo 5 de la Ley 1150 de 2007, cuando alude a los </w:t>
      </w:r>
      <w:r w:rsidRPr="003F4A18">
        <w:rPr>
          <w:rFonts w:ascii="Verdana" w:eastAsia="Arial" w:hAnsi="Verdana" w:cs="Arial"/>
          <w:color w:val="000000"/>
        </w:rPr>
        <w:lastRenderedPageBreak/>
        <w:t xml:space="preserve">factores que, a diferencia de los requisitos habilitantes, determinan la oferta más favorable para la entidad, y que, por lo tanto, hacen que una oferta sea mejor que otra, pese a tener que cumplir todas ellas los requisitos habilitantes. Es frente a aquellos factores que determinan comparativamente que una oferta sea mejor que otra, que la entidad concibe el otorgamiento de puntajes, como mecanismos para ponderar y comparar los ofrecimientos, con el fin de determinar objetivamente la oferta más favorable, aplicando para ello las reglas establecidas en el pliego o documento equivalente para la ponderación de las ofertas. </w:t>
      </w:r>
    </w:p>
    <w:p w14:paraId="1A76DEE3" w14:textId="77777777" w:rsidR="00196A2A" w:rsidRDefault="00196A2A" w:rsidP="00196A2A">
      <w:pPr>
        <w:tabs>
          <w:tab w:val="left" w:pos="709"/>
        </w:tabs>
        <w:spacing w:after="0" w:line="276" w:lineRule="auto"/>
        <w:jc w:val="both"/>
        <w:rPr>
          <w:rFonts w:ascii="Verdana" w:eastAsia="Arial" w:hAnsi="Verdana" w:cs="Arial"/>
          <w:color w:val="000000"/>
        </w:rPr>
      </w:pPr>
      <w:r w:rsidRPr="003F4A18">
        <w:rPr>
          <w:rFonts w:ascii="Verdana" w:eastAsia="Arial" w:hAnsi="Verdana" w:cs="Arial"/>
          <w:color w:val="000000"/>
        </w:rPr>
        <w:tab/>
        <w:t xml:space="preserve">En ese sentido, la asignación de puntaje es un mecanismo mediante el cual las entidades ponderan los factores de calificación </w:t>
      </w:r>
      <w:r w:rsidRPr="003F4A18">
        <w:rPr>
          <w:rFonts w:ascii="Tahoma" w:eastAsia="Tahoma" w:hAnsi="Tahoma" w:cs="Tahoma"/>
          <w:color w:val="000000"/>
        </w:rPr>
        <w:t>ꟷ</w:t>
      </w:r>
      <w:r w:rsidRPr="003F4A18">
        <w:rPr>
          <w:rFonts w:ascii="Verdana" w:eastAsia="Arial" w:hAnsi="Verdana" w:cs="Arial"/>
          <w:i/>
          <w:color w:val="000000"/>
        </w:rPr>
        <w:t>v.g.</w:t>
      </w:r>
      <w:r w:rsidRPr="003F4A18">
        <w:rPr>
          <w:rFonts w:ascii="Verdana" w:eastAsia="Arial" w:hAnsi="Verdana" w:cs="Arial"/>
          <w:color w:val="000000"/>
        </w:rPr>
        <w:t xml:space="preserve"> técnicos y económicos, de calidad y precio, etc.</w:t>
      </w:r>
      <w:r w:rsidRPr="003F4A18">
        <w:rPr>
          <w:rFonts w:ascii="Tahoma" w:eastAsia="Tahoma" w:hAnsi="Tahoma" w:cs="Tahoma"/>
          <w:color w:val="000000"/>
        </w:rPr>
        <w:t>ꟷ</w:t>
      </w:r>
      <w:r w:rsidRPr="003F4A18">
        <w:rPr>
          <w:rFonts w:ascii="Verdana" w:eastAsia="Arial" w:hAnsi="Verdana" w:cs="Arial"/>
          <w:color w:val="000000"/>
        </w:rPr>
        <w:t xml:space="preserve"> en un determinado proceso de selección, como se desprende del </w:t>
      </w:r>
      <w:r>
        <w:rPr>
          <w:rFonts w:ascii="Verdana" w:eastAsia="Arial" w:hAnsi="Verdana" w:cs="Arial"/>
          <w:color w:val="000000"/>
        </w:rPr>
        <w:t>literal a) del numeral 2 del artículo 5 de la Ley 1150 de 2007</w:t>
      </w:r>
      <w:r w:rsidRPr="003F4A18">
        <w:rPr>
          <w:rFonts w:ascii="Verdana" w:eastAsia="Arial" w:hAnsi="Verdana" w:cs="Arial"/>
          <w:color w:val="000000"/>
        </w:rPr>
        <w:t xml:space="preserve">. Sin embargo, no es este el único mecanismo de ponderación que tienen a su alcance las entidades estatales para determinar el ofrecimiento más favorable, pues el propio literal b) del artículo 5.2 posibilita que el ofrecimiento más favorable se determine con un análisis de la relación </w:t>
      </w:r>
      <w:r>
        <w:rPr>
          <w:rFonts w:ascii="Verdana" w:eastAsia="Arial" w:hAnsi="Verdana" w:cs="Arial"/>
          <w:color w:val="000000"/>
        </w:rPr>
        <w:t>costo-beneficio</w:t>
      </w:r>
      <w:r w:rsidRPr="003F4A18">
        <w:rPr>
          <w:rFonts w:ascii="Verdana" w:eastAsia="Arial" w:hAnsi="Verdana" w:cs="Arial"/>
          <w:color w:val="000000"/>
        </w:rPr>
        <w:t xml:space="preserve">. A estos se suman, los procesos de selección de bienes y servicios de características técnicas uniformes y de común utilización, así como los de mínima cuantía, en los que –según los artículos 5.3 y 2.5 de la Ley 1150 de 2007– el único factor de selección </w:t>
      </w:r>
      <w:r>
        <w:rPr>
          <w:rFonts w:ascii="Verdana" w:eastAsia="Arial" w:hAnsi="Verdana" w:cs="Arial"/>
          <w:color w:val="000000"/>
        </w:rPr>
        <w:t>es el menor precio ofertado.</w:t>
      </w:r>
    </w:p>
    <w:p w14:paraId="5D515BD7" w14:textId="77777777" w:rsidR="00196A2A" w:rsidRDefault="00196A2A" w:rsidP="00196A2A">
      <w:pPr>
        <w:tabs>
          <w:tab w:val="left" w:pos="709"/>
        </w:tabs>
        <w:spacing w:after="0" w:line="276" w:lineRule="auto"/>
        <w:jc w:val="both"/>
        <w:rPr>
          <w:rFonts w:ascii="Verdana" w:hAnsi="Verdana" w:cs="Arial"/>
          <w:color w:val="000000" w:themeColor="text1"/>
          <w:lang w:val="es-ES"/>
        </w:rPr>
      </w:pPr>
    </w:p>
    <w:p w14:paraId="153D3BD9" w14:textId="77777777" w:rsidR="00196A2A" w:rsidRPr="00526681" w:rsidRDefault="00196A2A" w:rsidP="00196A2A">
      <w:pPr>
        <w:widowControl w:val="0"/>
        <w:autoSpaceDE w:val="0"/>
        <w:autoSpaceDN w:val="0"/>
        <w:spacing w:after="120" w:line="276" w:lineRule="auto"/>
        <w:jc w:val="both"/>
        <w:rPr>
          <w:rFonts w:ascii="Verdana" w:eastAsia="Arial" w:hAnsi="Verdana" w:cs="Arial"/>
          <w:lang w:eastAsia="es-ES" w:bidi="es-ES"/>
        </w:rPr>
      </w:pPr>
      <w:proofErr w:type="spellStart"/>
      <w:r>
        <w:rPr>
          <w:rFonts w:ascii="Verdana" w:hAnsi="Verdana" w:cs="Arial"/>
          <w:color w:val="000000" w:themeColor="text1"/>
          <w:lang w:val="es-ES"/>
        </w:rPr>
        <w:t>iii</w:t>
      </w:r>
      <w:proofErr w:type="spellEnd"/>
      <w:r>
        <w:rPr>
          <w:rFonts w:ascii="Verdana" w:hAnsi="Verdana" w:cs="Arial"/>
          <w:color w:val="000000" w:themeColor="text1"/>
          <w:lang w:val="es-ES"/>
        </w:rPr>
        <w:t xml:space="preserve">. </w:t>
      </w:r>
      <w:r>
        <w:rPr>
          <w:rFonts w:ascii="Verdana" w:eastAsia="Arial" w:hAnsi="Verdana" w:cs="Arial"/>
          <w:lang w:eastAsia="es-ES" w:bidi="es-ES"/>
        </w:rPr>
        <w:t>Dentro de este marco, e</w:t>
      </w:r>
      <w:r w:rsidRPr="00526681">
        <w:rPr>
          <w:rFonts w:ascii="Verdana" w:eastAsia="Arial" w:hAnsi="Verdana" w:cs="Arial"/>
          <w:lang w:eastAsia="es-ES" w:bidi="es-ES"/>
        </w:rPr>
        <w:t>l pliego de condiciones</w:t>
      </w:r>
      <w:r>
        <w:rPr>
          <w:rFonts w:ascii="Verdana" w:eastAsia="Arial" w:hAnsi="Verdana" w:cs="Arial"/>
          <w:lang w:eastAsia="es-ES" w:bidi="es-ES"/>
        </w:rPr>
        <w:t xml:space="preserve"> –o documentos equivalentes, tratándose de la invitación de mínima cuantía–</w:t>
      </w:r>
      <w:r w:rsidRPr="00526681">
        <w:rPr>
          <w:rFonts w:ascii="Verdana" w:eastAsia="Arial" w:hAnsi="Verdana" w:cs="Arial"/>
          <w:lang w:eastAsia="es-ES" w:bidi="es-ES"/>
        </w:rPr>
        <w:t xml:space="preserve"> </w:t>
      </w:r>
      <w:r>
        <w:rPr>
          <w:rFonts w:ascii="Verdana" w:eastAsia="Arial" w:hAnsi="Verdana" w:cs="Arial"/>
          <w:lang w:eastAsia="es-ES" w:bidi="es-ES"/>
        </w:rPr>
        <w:t>constituye</w:t>
      </w:r>
      <w:r w:rsidRPr="00526681">
        <w:rPr>
          <w:rFonts w:ascii="Verdana" w:eastAsia="Arial" w:hAnsi="Verdana" w:cs="Arial"/>
          <w:lang w:eastAsia="es-ES" w:bidi="es-ES"/>
        </w:rPr>
        <w:t xml:space="preserve"> la hoja de ruta o plan sobre el cual se diseña, estructura y concreta el procedimiento de selección de contratistas</w:t>
      </w:r>
      <w:r w:rsidRPr="00526681">
        <w:rPr>
          <w:rFonts w:ascii="Verdana" w:eastAsia="Arial" w:hAnsi="Verdana" w:cs="Arial"/>
          <w:vertAlign w:val="superscript"/>
          <w:lang w:eastAsia="es-ES" w:bidi="es-ES"/>
        </w:rPr>
        <w:footnoteReference w:id="19"/>
      </w:r>
      <w:r>
        <w:rPr>
          <w:rFonts w:ascii="Verdana" w:eastAsia="Arial" w:hAnsi="Verdana" w:cs="Arial"/>
          <w:lang w:eastAsia="es-ES" w:bidi="es-ES"/>
        </w:rPr>
        <w:t>. Este</w:t>
      </w:r>
      <w:r w:rsidRPr="00526681">
        <w:rPr>
          <w:rFonts w:ascii="Verdana" w:eastAsia="Arial" w:hAnsi="Verdana" w:cs="Arial"/>
          <w:lang w:eastAsia="es-ES" w:bidi="es-ES"/>
        </w:rPr>
        <w:t xml:space="preserve">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526681">
        <w:rPr>
          <w:rFonts w:ascii="Verdana" w:eastAsia="Arial" w:hAnsi="Verdana" w:cs="Arial"/>
          <w:vertAlign w:val="superscript"/>
          <w:lang w:eastAsia="es-ES" w:bidi="es-ES"/>
        </w:rPr>
        <w:footnoteReference w:id="20"/>
      </w:r>
      <w:r w:rsidRPr="00526681">
        <w:rPr>
          <w:rFonts w:ascii="Verdana" w:eastAsia="Arial" w:hAnsi="Verdana" w:cs="Arial"/>
          <w:lang w:eastAsia="es-ES" w:bidi="es-ES"/>
        </w:rPr>
        <w:t>.</w:t>
      </w:r>
    </w:p>
    <w:p w14:paraId="692DA728" w14:textId="77777777" w:rsidR="00196A2A" w:rsidRPr="00526681" w:rsidRDefault="00196A2A" w:rsidP="00196A2A">
      <w:pPr>
        <w:widowControl w:val="0"/>
        <w:autoSpaceDE w:val="0"/>
        <w:autoSpaceDN w:val="0"/>
        <w:spacing w:after="0" w:line="276" w:lineRule="auto"/>
        <w:ind w:firstLine="708"/>
        <w:jc w:val="both"/>
        <w:rPr>
          <w:rFonts w:ascii="Verdana" w:eastAsia="Arial" w:hAnsi="Verdana" w:cs="Arial"/>
          <w:lang w:eastAsia="es-ES" w:bidi="es-ES"/>
        </w:rPr>
      </w:pPr>
      <w:r>
        <w:rPr>
          <w:rFonts w:ascii="Verdana" w:eastAsia="Arial" w:hAnsi="Verdana" w:cs="Arial"/>
          <w:lang w:eastAsia="es-ES" w:bidi="es-ES"/>
        </w:rPr>
        <w:t xml:space="preserve">En efecto, el pliego </w:t>
      </w:r>
      <w:r w:rsidRPr="00526681">
        <w:rPr>
          <w:rFonts w:ascii="Verdana" w:eastAsia="Arial" w:hAnsi="Verdana" w:cs="Arial"/>
          <w:lang w:eastAsia="es-ES" w:bidi="es-ES"/>
        </w:rPr>
        <w:t xml:space="preserve">es un instrumento en el cual se materializa el principio de transparencia, </w:t>
      </w:r>
      <w:r>
        <w:rPr>
          <w:rFonts w:ascii="Verdana" w:eastAsia="Arial" w:hAnsi="Verdana" w:cs="Arial"/>
          <w:lang w:eastAsia="es-ES" w:bidi="es-ES"/>
        </w:rPr>
        <w:t>ya que</w:t>
      </w:r>
      <w:r w:rsidRPr="00526681">
        <w:rPr>
          <w:rFonts w:ascii="Verdana" w:eastAsia="Arial" w:hAnsi="Verdana" w:cs="Arial"/>
          <w:lang w:eastAsia="es-ES" w:bidi="es-ES"/>
        </w:rPr>
        <w:t xml:space="preserve"> en él se </w:t>
      </w:r>
      <w:r>
        <w:rPr>
          <w:rFonts w:ascii="Verdana" w:eastAsia="Arial" w:hAnsi="Verdana" w:cs="Arial"/>
          <w:lang w:eastAsia="es-ES" w:bidi="es-ES"/>
        </w:rPr>
        <w:t>establecen de manera previa</w:t>
      </w:r>
      <w:r w:rsidRPr="00526681">
        <w:rPr>
          <w:rFonts w:ascii="Verdana" w:eastAsia="Arial" w:hAnsi="Verdana" w:cs="Arial"/>
          <w:lang w:eastAsia="es-ES" w:bidi="es-ES"/>
        </w:rPr>
        <w:t xml:space="preserve"> las reglas de </w:t>
      </w:r>
      <w:r w:rsidRPr="00526681">
        <w:rPr>
          <w:rFonts w:ascii="Verdana" w:eastAsia="Arial" w:hAnsi="Verdana" w:cs="Arial"/>
          <w:lang w:eastAsia="es-ES" w:bidi="es-ES"/>
        </w:rPr>
        <w:lastRenderedPageBreak/>
        <w:t xml:space="preserve">escogencia del contratista del Estado, </w:t>
      </w:r>
      <w:r>
        <w:rPr>
          <w:rFonts w:ascii="Verdana" w:eastAsia="Arial" w:hAnsi="Verdana" w:cs="Arial"/>
          <w:lang w:eastAsia="es-ES" w:bidi="es-ES"/>
        </w:rPr>
        <w:t>garantizando</w:t>
      </w:r>
      <w:r w:rsidRPr="00526681">
        <w:rPr>
          <w:rFonts w:ascii="Verdana" w:eastAsia="Arial" w:hAnsi="Verdana" w:cs="Arial"/>
          <w:lang w:eastAsia="es-ES" w:bidi="es-ES"/>
        </w:rPr>
        <w:t xml:space="preserve"> la selección objetiva de la mejor oferta, la adjudicación y la posterior celebración y ejecución del contrato</w:t>
      </w:r>
      <w:r>
        <w:rPr>
          <w:rFonts w:ascii="Verdana" w:eastAsia="Arial" w:hAnsi="Verdana" w:cs="Arial"/>
          <w:lang w:eastAsia="es-ES" w:bidi="es-ES"/>
        </w:rPr>
        <w:t>. Por ello</w:t>
      </w:r>
      <w:r w:rsidRPr="00526681">
        <w:rPr>
          <w:rFonts w:ascii="Verdana" w:eastAsia="Arial" w:hAnsi="Verdana" w:cs="Arial"/>
          <w:lang w:eastAsia="es-ES" w:bidi="es-ES"/>
        </w:rPr>
        <w:t xml:space="preserve">, </w:t>
      </w:r>
      <w:r>
        <w:rPr>
          <w:rFonts w:ascii="Verdana" w:eastAsia="Arial" w:hAnsi="Verdana" w:cs="Arial"/>
          <w:lang w:eastAsia="es-ES" w:bidi="es-ES"/>
        </w:rPr>
        <w:t>se</w:t>
      </w:r>
      <w:r w:rsidRPr="00526681">
        <w:rPr>
          <w:rFonts w:ascii="Verdana" w:eastAsia="Arial" w:hAnsi="Verdana" w:cs="Arial"/>
          <w:lang w:eastAsia="es-ES" w:bidi="es-ES"/>
        </w:rPr>
        <w:t xml:space="preserve"> convierte en </w:t>
      </w:r>
      <w:r>
        <w:rPr>
          <w:rFonts w:ascii="Verdana" w:eastAsia="Arial" w:hAnsi="Verdana" w:cs="Arial"/>
          <w:lang w:eastAsia="es-ES" w:bidi="es-ES"/>
        </w:rPr>
        <w:t>l</w:t>
      </w:r>
      <w:r w:rsidRPr="00526681">
        <w:rPr>
          <w:rFonts w:ascii="Verdana" w:eastAsia="Arial" w:hAnsi="Verdana" w:cs="Arial"/>
          <w:lang w:eastAsia="es-ES" w:bidi="es-ES"/>
        </w:rPr>
        <w:t xml:space="preserve">a reglamentación de todo el </w:t>
      </w:r>
      <w:proofErr w:type="spellStart"/>
      <w:r w:rsidRPr="00526681">
        <w:rPr>
          <w:rFonts w:ascii="Verdana" w:eastAsia="Arial" w:hAnsi="Verdana" w:cs="Arial"/>
          <w:i/>
          <w:iCs/>
          <w:lang w:eastAsia="es-ES" w:bidi="es-ES"/>
        </w:rPr>
        <w:t>iter</w:t>
      </w:r>
      <w:proofErr w:type="spellEnd"/>
      <w:r w:rsidRPr="00526681">
        <w:rPr>
          <w:rFonts w:ascii="Verdana" w:eastAsia="Arial" w:hAnsi="Verdana" w:cs="Arial"/>
          <w:i/>
          <w:iCs/>
          <w:lang w:eastAsia="es-ES" w:bidi="es-ES"/>
        </w:rPr>
        <w:t xml:space="preserve"> </w:t>
      </w:r>
      <w:r w:rsidRPr="00526681">
        <w:rPr>
          <w:rFonts w:ascii="Verdana" w:eastAsia="Arial" w:hAnsi="Verdana" w:cs="Arial"/>
          <w:lang w:eastAsia="es-ES" w:bidi="es-ES"/>
        </w:rPr>
        <w:t xml:space="preserve">contractual. </w:t>
      </w:r>
      <w:r>
        <w:rPr>
          <w:rFonts w:ascii="Verdana" w:eastAsia="Arial" w:hAnsi="Verdana" w:cs="Arial"/>
          <w:lang w:eastAsia="es-ES" w:bidi="es-ES"/>
        </w:rPr>
        <w:t>Sumado al desarrollo de los artículos 2.</w:t>
      </w:r>
      <w:r w:rsidRPr="00815C46">
        <w:rPr>
          <w:rFonts w:ascii="Verdana" w:eastAsia="Arial" w:hAnsi="Verdana" w:cs="Arial"/>
          <w:lang w:eastAsia="es-ES" w:bidi="es-ES"/>
        </w:rPr>
        <w:t>2.1.1.2.1.3</w:t>
      </w:r>
      <w:r>
        <w:rPr>
          <w:rFonts w:ascii="Verdana" w:eastAsia="Arial" w:hAnsi="Verdana" w:cs="Arial"/>
          <w:lang w:eastAsia="es-ES" w:bidi="es-ES"/>
        </w:rPr>
        <w:t xml:space="preserve"> y </w:t>
      </w:r>
      <w:r w:rsidRPr="00B45861">
        <w:rPr>
          <w:rFonts w:ascii="Verdana" w:eastAsia="Arial" w:hAnsi="Verdana" w:cs="Arial"/>
          <w:lang w:eastAsia="es-ES" w:bidi="es-ES"/>
        </w:rPr>
        <w:t>2.2.1.2.2.1.9</w:t>
      </w:r>
      <w:r w:rsidRPr="00815C46">
        <w:rPr>
          <w:rFonts w:ascii="Verdana" w:eastAsia="Arial" w:hAnsi="Verdana" w:cs="Arial"/>
          <w:lang w:eastAsia="es-ES" w:bidi="es-ES"/>
        </w:rPr>
        <w:t xml:space="preserve"> del Decreto 1082 de 2015</w:t>
      </w:r>
      <w:r>
        <w:rPr>
          <w:rFonts w:ascii="Verdana" w:eastAsia="Arial" w:hAnsi="Verdana" w:cs="Arial"/>
          <w:lang w:eastAsia="es-ES" w:bidi="es-ES"/>
        </w:rPr>
        <w:t>, s</w:t>
      </w:r>
      <w:r w:rsidRPr="00526681">
        <w:rPr>
          <w:rFonts w:ascii="Verdana" w:eastAsia="Arial" w:hAnsi="Verdana" w:cs="Arial"/>
          <w:lang w:eastAsia="es-ES" w:bidi="es-ES"/>
        </w:rPr>
        <w:t>u contenido está previsto en el numeral 5 del artículo 24 de la Ley 80 de 1993, que establece algunas directrices que deben tenerse en cuenta en su elaboración:</w:t>
      </w:r>
    </w:p>
    <w:p w14:paraId="177293A2" w14:textId="77777777" w:rsidR="00196A2A" w:rsidRPr="00526681" w:rsidRDefault="00196A2A" w:rsidP="00196A2A">
      <w:pPr>
        <w:widowControl w:val="0"/>
        <w:autoSpaceDE w:val="0"/>
        <w:autoSpaceDN w:val="0"/>
        <w:spacing w:after="0" w:line="276" w:lineRule="auto"/>
        <w:ind w:right="108" w:firstLine="708"/>
        <w:jc w:val="both"/>
        <w:rPr>
          <w:rFonts w:ascii="Verdana" w:eastAsia="Arial" w:hAnsi="Verdana" w:cs="Arial"/>
          <w:lang w:eastAsia="es-ES" w:bidi="es-ES"/>
        </w:rPr>
      </w:pPr>
    </w:p>
    <w:p w14:paraId="2196691F" w14:textId="77777777" w:rsidR="00196A2A" w:rsidRDefault="00196A2A" w:rsidP="00196A2A">
      <w:pPr>
        <w:widowControl w:val="0"/>
        <w:autoSpaceDE w:val="0"/>
        <w:autoSpaceDN w:val="0"/>
        <w:spacing w:after="0" w:line="240" w:lineRule="auto"/>
        <w:ind w:left="709" w:right="709"/>
        <w:rPr>
          <w:rFonts w:ascii="Verdana" w:eastAsia="Arial" w:hAnsi="Verdana" w:cs="Arial"/>
          <w:sz w:val="20"/>
          <w:szCs w:val="20"/>
          <w:lang w:eastAsia="es-ES" w:bidi="es-ES"/>
        </w:rPr>
      </w:pPr>
      <w:r>
        <w:rPr>
          <w:rFonts w:ascii="Verdana" w:eastAsia="Arial" w:hAnsi="Verdana" w:cs="Arial"/>
          <w:sz w:val="20"/>
          <w:szCs w:val="20"/>
          <w:lang w:eastAsia="es-ES" w:bidi="es-ES"/>
        </w:rPr>
        <w:t>“</w:t>
      </w:r>
      <w:r w:rsidRPr="002B3E2C">
        <w:rPr>
          <w:rFonts w:ascii="Verdana" w:eastAsia="Arial" w:hAnsi="Verdana" w:cs="Arial"/>
          <w:sz w:val="20"/>
          <w:szCs w:val="20"/>
          <w:lang w:eastAsia="es-ES" w:bidi="es-ES"/>
        </w:rPr>
        <w:t>5o. En los pliegos de condiciones:</w:t>
      </w:r>
    </w:p>
    <w:p w14:paraId="224B97BD" w14:textId="77777777" w:rsidR="00196A2A" w:rsidRPr="00815C46" w:rsidRDefault="00196A2A" w:rsidP="00196A2A">
      <w:pPr>
        <w:widowControl w:val="0"/>
        <w:autoSpaceDE w:val="0"/>
        <w:autoSpaceDN w:val="0"/>
        <w:spacing w:after="0" w:line="240" w:lineRule="auto"/>
        <w:ind w:left="709" w:right="709"/>
        <w:rPr>
          <w:rFonts w:ascii="Verdana" w:eastAsia="Arial" w:hAnsi="Verdana" w:cs="Arial"/>
          <w:sz w:val="12"/>
          <w:szCs w:val="12"/>
          <w:lang w:eastAsia="es-ES" w:bidi="es-ES"/>
        </w:rPr>
      </w:pPr>
    </w:p>
    <w:p w14:paraId="49090075" w14:textId="77777777" w:rsidR="00196A2A" w:rsidRDefault="00196A2A" w:rsidP="00196A2A">
      <w:pPr>
        <w:widowControl w:val="0"/>
        <w:numPr>
          <w:ilvl w:val="2"/>
          <w:numId w:val="18"/>
        </w:numPr>
        <w:tabs>
          <w:tab w:val="left" w:pos="1126"/>
        </w:tabs>
        <w:autoSpaceDE w:val="0"/>
        <w:autoSpaceDN w:val="0"/>
        <w:spacing w:after="0" w:line="240" w:lineRule="auto"/>
        <w:ind w:left="709" w:right="709" w:firstLine="0"/>
        <w:jc w:val="both"/>
        <w:rPr>
          <w:rFonts w:ascii="Verdana" w:eastAsia="Calibri" w:hAnsi="Verdana" w:cs="Arial"/>
          <w:sz w:val="20"/>
          <w:szCs w:val="20"/>
        </w:rPr>
      </w:pPr>
      <w:r w:rsidRPr="002B3E2C">
        <w:rPr>
          <w:rFonts w:ascii="Verdana" w:eastAsia="Calibri" w:hAnsi="Verdana" w:cs="Arial"/>
          <w:sz w:val="20"/>
          <w:szCs w:val="20"/>
        </w:rPr>
        <w:t>Se indicarán los requisitos objetivos necesarios para participar en el correspondiente proceso de</w:t>
      </w:r>
      <w:r w:rsidRPr="002B3E2C">
        <w:rPr>
          <w:rFonts w:ascii="Verdana" w:eastAsia="Calibri" w:hAnsi="Verdana" w:cs="Arial"/>
          <w:spacing w:val="-2"/>
          <w:sz w:val="20"/>
          <w:szCs w:val="20"/>
        </w:rPr>
        <w:t xml:space="preserve"> </w:t>
      </w:r>
      <w:r w:rsidRPr="002B3E2C">
        <w:rPr>
          <w:rFonts w:ascii="Verdana" w:eastAsia="Calibri" w:hAnsi="Verdana" w:cs="Arial"/>
          <w:sz w:val="20"/>
          <w:szCs w:val="20"/>
        </w:rPr>
        <w:t>selección.</w:t>
      </w:r>
    </w:p>
    <w:p w14:paraId="79635753" w14:textId="77777777" w:rsidR="00196A2A" w:rsidRPr="00815C46" w:rsidRDefault="00196A2A" w:rsidP="00196A2A">
      <w:pPr>
        <w:widowControl w:val="0"/>
        <w:tabs>
          <w:tab w:val="left" w:pos="1126"/>
        </w:tabs>
        <w:autoSpaceDE w:val="0"/>
        <w:autoSpaceDN w:val="0"/>
        <w:spacing w:after="0" w:line="240" w:lineRule="auto"/>
        <w:ind w:left="709" w:right="709"/>
        <w:jc w:val="both"/>
        <w:rPr>
          <w:rFonts w:ascii="Verdana" w:eastAsia="Calibri" w:hAnsi="Verdana" w:cs="Arial"/>
          <w:sz w:val="12"/>
          <w:szCs w:val="12"/>
        </w:rPr>
      </w:pPr>
    </w:p>
    <w:p w14:paraId="731A0EA6" w14:textId="77777777" w:rsidR="00196A2A" w:rsidRPr="002B3E2C" w:rsidRDefault="00196A2A" w:rsidP="00196A2A">
      <w:pPr>
        <w:widowControl w:val="0"/>
        <w:numPr>
          <w:ilvl w:val="2"/>
          <w:numId w:val="18"/>
        </w:numPr>
        <w:tabs>
          <w:tab w:val="left" w:pos="1088"/>
        </w:tabs>
        <w:autoSpaceDE w:val="0"/>
        <w:autoSpaceDN w:val="0"/>
        <w:spacing w:after="0" w:line="240" w:lineRule="auto"/>
        <w:ind w:left="709" w:right="709" w:firstLine="0"/>
        <w:jc w:val="both"/>
        <w:rPr>
          <w:rFonts w:ascii="Verdana" w:eastAsia="Calibri" w:hAnsi="Verdana" w:cs="Arial"/>
          <w:sz w:val="20"/>
          <w:szCs w:val="20"/>
        </w:rPr>
      </w:pPr>
      <w:r w:rsidRPr="002B3E2C">
        <w:rPr>
          <w:rFonts w:ascii="Verdana" w:eastAsia="Calibri" w:hAnsi="Verdana" w:cs="Arial"/>
          <w:sz w:val="20"/>
          <w:szCs w:val="20"/>
        </w:rPr>
        <w:t>Se definirán reglas objetivas, justas, claras y completas que permitan la confección de ofrecimientos de la misma índole, aseguren una escogencia objetiva y eviten las declaratorias de desierta de la</w:t>
      </w:r>
      <w:r w:rsidRPr="002B3E2C">
        <w:rPr>
          <w:rFonts w:ascii="Verdana" w:eastAsia="Calibri" w:hAnsi="Verdana" w:cs="Arial"/>
          <w:spacing w:val="-16"/>
          <w:sz w:val="20"/>
          <w:szCs w:val="20"/>
        </w:rPr>
        <w:t xml:space="preserve"> </w:t>
      </w:r>
      <w:r w:rsidRPr="002B3E2C">
        <w:rPr>
          <w:rFonts w:ascii="Verdana" w:eastAsia="Calibri" w:hAnsi="Verdana" w:cs="Arial"/>
          <w:sz w:val="20"/>
          <w:szCs w:val="20"/>
        </w:rPr>
        <w:t>licitación.</w:t>
      </w:r>
    </w:p>
    <w:p w14:paraId="49B0EE1D" w14:textId="77777777" w:rsidR="00196A2A" w:rsidRPr="00815C46" w:rsidRDefault="00196A2A" w:rsidP="00196A2A">
      <w:pPr>
        <w:widowControl w:val="0"/>
        <w:tabs>
          <w:tab w:val="left" w:pos="1108"/>
        </w:tabs>
        <w:autoSpaceDE w:val="0"/>
        <w:autoSpaceDN w:val="0"/>
        <w:spacing w:after="0" w:line="240" w:lineRule="auto"/>
        <w:ind w:left="709" w:right="709"/>
        <w:jc w:val="both"/>
        <w:rPr>
          <w:rFonts w:ascii="Verdana" w:eastAsia="Calibri" w:hAnsi="Verdana"/>
          <w:sz w:val="12"/>
          <w:szCs w:val="12"/>
        </w:rPr>
      </w:pPr>
    </w:p>
    <w:p w14:paraId="23ABB976" w14:textId="77777777" w:rsidR="00196A2A" w:rsidRPr="002B3E2C" w:rsidRDefault="00196A2A" w:rsidP="00196A2A">
      <w:pPr>
        <w:widowControl w:val="0"/>
        <w:numPr>
          <w:ilvl w:val="2"/>
          <w:numId w:val="18"/>
        </w:numPr>
        <w:tabs>
          <w:tab w:val="left" w:pos="1108"/>
        </w:tabs>
        <w:autoSpaceDE w:val="0"/>
        <w:autoSpaceDN w:val="0"/>
        <w:spacing w:after="0" w:line="240" w:lineRule="auto"/>
        <w:ind w:left="709" w:right="709" w:firstLine="0"/>
        <w:jc w:val="both"/>
        <w:rPr>
          <w:rFonts w:ascii="Verdana" w:eastAsia="Calibri" w:hAnsi="Verdana"/>
          <w:sz w:val="20"/>
          <w:szCs w:val="20"/>
        </w:rPr>
      </w:pPr>
      <w:r w:rsidRPr="002B3E2C">
        <w:rPr>
          <w:rFonts w:ascii="Verdana" w:eastAsia="Calibri" w:hAnsi="Verdana" w:cs="Arial"/>
          <w:sz w:val="20"/>
          <w:szCs w:val="20"/>
        </w:rPr>
        <w:t>Se definirán con precisión las condiciones de costo y calidad de los bienes, obras o servicios necesarios para la ejecución del objeto del</w:t>
      </w:r>
      <w:r w:rsidRPr="002B3E2C">
        <w:rPr>
          <w:rFonts w:ascii="Verdana" w:eastAsia="Calibri" w:hAnsi="Verdana" w:cs="Arial"/>
          <w:spacing w:val="-43"/>
          <w:sz w:val="20"/>
          <w:szCs w:val="20"/>
        </w:rPr>
        <w:t xml:space="preserve"> </w:t>
      </w:r>
      <w:r w:rsidRPr="002B3E2C">
        <w:rPr>
          <w:rFonts w:ascii="Verdana" w:eastAsia="Calibri" w:hAnsi="Verdana" w:cs="Arial"/>
          <w:sz w:val="20"/>
          <w:szCs w:val="20"/>
        </w:rPr>
        <w:t>contrato.</w:t>
      </w:r>
    </w:p>
    <w:p w14:paraId="0DF69F10" w14:textId="77777777" w:rsidR="00196A2A" w:rsidRPr="00815C46" w:rsidRDefault="00196A2A" w:rsidP="00196A2A">
      <w:pPr>
        <w:widowControl w:val="0"/>
        <w:autoSpaceDE w:val="0"/>
        <w:autoSpaceDN w:val="0"/>
        <w:spacing w:after="0" w:line="240" w:lineRule="auto"/>
        <w:ind w:left="709" w:right="709"/>
        <w:jc w:val="both"/>
        <w:rPr>
          <w:rFonts w:ascii="Verdana" w:eastAsia="Arial" w:hAnsi="Verdana" w:cs="Arial"/>
          <w:sz w:val="12"/>
          <w:szCs w:val="12"/>
          <w:lang w:eastAsia="es-ES" w:bidi="es-ES"/>
        </w:rPr>
      </w:pPr>
    </w:p>
    <w:p w14:paraId="4940EF52" w14:textId="77777777" w:rsidR="00196A2A" w:rsidRDefault="00196A2A" w:rsidP="00196A2A">
      <w:pPr>
        <w:widowControl w:val="0"/>
        <w:autoSpaceDE w:val="0"/>
        <w:autoSpaceDN w:val="0"/>
        <w:spacing w:after="120" w:line="240" w:lineRule="auto"/>
        <w:ind w:left="709" w:right="709"/>
        <w:jc w:val="both"/>
        <w:rPr>
          <w:rFonts w:ascii="Verdana" w:eastAsia="Arial" w:hAnsi="Verdana" w:cs="Arial"/>
          <w:sz w:val="20"/>
          <w:szCs w:val="20"/>
          <w:lang w:eastAsia="es-ES" w:bidi="es-ES"/>
        </w:rPr>
      </w:pPr>
      <w:r>
        <w:rPr>
          <w:rFonts w:ascii="Verdana" w:eastAsia="Arial" w:hAnsi="Verdana" w:cs="Arial"/>
          <w:sz w:val="20"/>
          <w:szCs w:val="20"/>
          <w:lang w:eastAsia="es-ES" w:bidi="es-ES"/>
        </w:rPr>
        <w:t xml:space="preserve">d) </w:t>
      </w:r>
      <w:r w:rsidRPr="002B3E2C">
        <w:rPr>
          <w:rFonts w:ascii="Verdana" w:eastAsia="Arial" w:hAnsi="Verdana" w:cs="Arial"/>
          <w:sz w:val="20"/>
          <w:szCs w:val="20"/>
          <w:lang w:eastAsia="es-ES" w:bidi="es-ES"/>
        </w:rPr>
        <w:t>No se incluirán condiciones y exigencias de imposible cumplimiento, ni exenciones de la responsabilidad derivada de los datos, informes</w:t>
      </w:r>
      <w:r w:rsidRPr="002B3E2C">
        <w:rPr>
          <w:rFonts w:ascii="Verdana" w:eastAsia="Arial" w:hAnsi="Verdana" w:cs="Arial"/>
          <w:spacing w:val="1"/>
          <w:sz w:val="20"/>
          <w:szCs w:val="20"/>
          <w:lang w:eastAsia="es-ES" w:bidi="es-ES"/>
        </w:rPr>
        <w:t xml:space="preserve"> </w:t>
      </w:r>
      <w:r w:rsidRPr="002B3E2C">
        <w:rPr>
          <w:rFonts w:ascii="Verdana" w:eastAsia="Arial" w:hAnsi="Verdana" w:cs="Arial"/>
          <w:sz w:val="20"/>
          <w:szCs w:val="20"/>
          <w:lang w:eastAsia="es-ES" w:bidi="es-ES"/>
        </w:rPr>
        <w:t>y documentos que se suministren.</w:t>
      </w:r>
    </w:p>
    <w:p w14:paraId="5B29F3B4" w14:textId="77777777" w:rsidR="00196A2A" w:rsidRPr="005C1461" w:rsidRDefault="00196A2A" w:rsidP="00196A2A">
      <w:pPr>
        <w:widowControl w:val="0"/>
        <w:autoSpaceDE w:val="0"/>
        <w:autoSpaceDN w:val="0"/>
        <w:spacing w:after="0" w:line="240" w:lineRule="auto"/>
        <w:ind w:left="709" w:right="709"/>
        <w:jc w:val="both"/>
        <w:rPr>
          <w:rFonts w:ascii="Verdana" w:eastAsia="Arial" w:hAnsi="Verdana" w:cs="Arial"/>
          <w:sz w:val="20"/>
          <w:szCs w:val="20"/>
          <w:lang w:eastAsia="es-ES" w:bidi="es-ES"/>
        </w:rPr>
      </w:pPr>
      <w:r>
        <w:rPr>
          <w:rFonts w:ascii="Verdana" w:eastAsia="Arial" w:hAnsi="Verdana" w:cs="Arial"/>
          <w:sz w:val="20"/>
          <w:szCs w:val="20"/>
          <w:lang w:eastAsia="es-ES" w:bidi="es-ES"/>
        </w:rPr>
        <w:t xml:space="preserve">e) </w:t>
      </w:r>
      <w:r w:rsidRPr="002B3E2C">
        <w:rPr>
          <w:rFonts w:ascii="Verdana" w:eastAsia="Calibri" w:hAnsi="Verdana" w:cs="Arial"/>
          <w:sz w:val="20"/>
          <w:szCs w:val="20"/>
        </w:rPr>
        <w:t>Se definirán reglas que no induzcan a error a los proponentes y contratistas y que impidan la formulación de ofrecimientos de extensión ilimitada o que dependan de la voluntad exclusiva de la</w:t>
      </w:r>
      <w:r w:rsidRPr="002B3E2C">
        <w:rPr>
          <w:rFonts w:ascii="Verdana" w:eastAsia="Calibri" w:hAnsi="Verdana" w:cs="Arial"/>
          <w:spacing w:val="-20"/>
          <w:sz w:val="20"/>
          <w:szCs w:val="20"/>
        </w:rPr>
        <w:t xml:space="preserve"> </w:t>
      </w:r>
      <w:r w:rsidRPr="002B3E2C">
        <w:rPr>
          <w:rFonts w:ascii="Verdana" w:eastAsia="Calibri" w:hAnsi="Verdana" w:cs="Arial"/>
          <w:sz w:val="20"/>
          <w:szCs w:val="20"/>
        </w:rPr>
        <w:t>entidad.</w:t>
      </w:r>
    </w:p>
    <w:p w14:paraId="73773533" w14:textId="77777777" w:rsidR="00196A2A" w:rsidRPr="00815C46" w:rsidRDefault="00196A2A" w:rsidP="00196A2A">
      <w:pPr>
        <w:widowControl w:val="0"/>
        <w:tabs>
          <w:tab w:val="left" w:pos="1016"/>
        </w:tabs>
        <w:autoSpaceDE w:val="0"/>
        <w:autoSpaceDN w:val="0"/>
        <w:spacing w:after="0" w:line="240" w:lineRule="auto"/>
        <w:ind w:left="709" w:right="709"/>
        <w:jc w:val="both"/>
        <w:rPr>
          <w:rFonts w:ascii="Verdana" w:eastAsia="Calibri" w:hAnsi="Verdana" w:cs="Arial"/>
          <w:sz w:val="12"/>
          <w:szCs w:val="12"/>
        </w:rPr>
      </w:pPr>
    </w:p>
    <w:p w14:paraId="3F40EC8C" w14:textId="77777777" w:rsidR="00196A2A" w:rsidRPr="002B3E2C" w:rsidRDefault="00196A2A" w:rsidP="00196A2A">
      <w:pPr>
        <w:widowControl w:val="0"/>
        <w:tabs>
          <w:tab w:val="left" w:pos="1016"/>
        </w:tabs>
        <w:autoSpaceDE w:val="0"/>
        <w:autoSpaceDN w:val="0"/>
        <w:spacing w:after="0" w:line="240" w:lineRule="auto"/>
        <w:ind w:left="709" w:right="709"/>
        <w:jc w:val="both"/>
        <w:rPr>
          <w:rFonts w:ascii="Verdana" w:eastAsia="Calibri" w:hAnsi="Verdana" w:cs="Arial"/>
          <w:sz w:val="20"/>
          <w:szCs w:val="20"/>
        </w:rPr>
      </w:pPr>
      <w:r>
        <w:rPr>
          <w:rFonts w:ascii="Verdana" w:eastAsia="Calibri" w:hAnsi="Verdana" w:cs="Arial"/>
          <w:sz w:val="20"/>
          <w:szCs w:val="20"/>
        </w:rPr>
        <w:t xml:space="preserve">f) </w:t>
      </w:r>
      <w:r w:rsidRPr="002B3E2C">
        <w:rPr>
          <w:rFonts w:ascii="Verdana" w:eastAsia="Calibri" w:hAnsi="Verdana" w:cs="Arial"/>
          <w:sz w:val="20"/>
          <w:szCs w:val="20"/>
        </w:rPr>
        <w:t>Se definirá el plazo para la liquidación del contrato, cuando a ello hubiere lugar, teniendo en cuenta su objeto, naturaleza y</w:t>
      </w:r>
      <w:r w:rsidRPr="002B3E2C">
        <w:rPr>
          <w:rFonts w:ascii="Verdana" w:eastAsia="Calibri" w:hAnsi="Verdana" w:cs="Arial"/>
          <w:spacing w:val="-13"/>
          <w:sz w:val="20"/>
          <w:szCs w:val="20"/>
        </w:rPr>
        <w:t xml:space="preserve"> </w:t>
      </w:r>
      <w:r w:rsidRPr="002B3E2C">
        <w:rPr>
          <w:rFonts w:ascii="Verdana" w:eastAsia="Calibri" w:hAnsi="Verdana" w:cs="Arial"/>
          <w:sz w:val="20"/>
          <w:szCs w:val="20"/>
        </w:rPr>
        <w:t>cuantía.</w:t>
      </w:r>
    </w:p>
    <w:p w14:paraId="38BF9CD6" w14:textId="77777777" w:rsidR="00196A2A" w:rsidRPr="00815C46" w:rsidRDefault="00196A2A" w:rsidP="00196A2A">
      <w:pPr>
        <w:widowControl w:val="0"/>
        <w:autoSpaceDE w:val="0"/>
        <w:autoSpaceDN w:val="0"/>
        <w:spacing w:after="0" w:line="240" w:lineRule="auto"/>
        <w:ind w:left="709" w:right="709"/>
        <w:jc w:val="both"/>
        <w:rPr>
          <w:rFonts w:ascii="Verdana" w:eastAsia="Arial" w:hAnsi="Verdana" w:cs="Arial"/>
          <w:sz w:val="12"/>
          <w:szCs w:val="12"/>
          <w:lang w:eastAsia="es-ES" w:bidi="es-ES"/>
        </w:rPr>
      </w:pPr>
    </w:p>
    <w:p w14:paraId="29F09FC0" w14:textId="77777777" w:rsidR="00196A2A" w:rsidRPr="002B3E2C" w:rsidRDefault="00196A2A" w:rsidP="00196A2A">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2B3E2C">
        <w:rPr>
          <w:rFonts w:ascii="Verdana" w:eastAsia="Arial" w:hAnsi="Verdana" w:cs="Arial"/>
          <w:sz w:val="20"/>
          <w:szCs w:val="20"/>
          <w:lang w:eastAsia="es-ES" w:bidi="es-ES"/>
        </w:rPr>
        <w:t>Serán ineficaces de pleno derecho las estipulaciones de los pliegos y de los contratos que contravengan lo dispuesto en este numeral, o dispongan renuncias a reclamaciones por la ocurrencia de los hechos aquí enunciados</w:t>
      </w:r>
      <w:r>
        <w:rPr>
          <w:rFonts w:ascii="Verdana" w:eastAsia="Arial" w:hAnsi="Verdana" w:cs="Arial"/>
          <w:sz w:val="20"/>
          <w:szCs w:val="20"/>
          <w:lang w:eastAsia="es-ES" w:bidi="es-ES"/>
        </w:rPr>
        <w:t>”</w:t>
      </w:r>
      <w:r w:rsidRPr="002B3E2C">
        <w:rPr>
          <w:rFonts w:ascii="Verdana" w:eastAsia="Arial" w:hAnsi="Verdana" w:cs="Arial"/>
          <w:sz w:val="20"/>
          <w:szCs w:val="20"/>
          <w:lang w:eastAsia="es-ES" w:bidi="es-ES"/>
        </w:rPr>
        <w:t>.</w:t>
      </w:r>
    </w:p>
    <w:p w14:paraId="0F2D52B5" w14:textId="77777777" w:rsidR="00196A2A" w:rsidRPr="002B3E2C" w:rsidRDefault="00196A2A" w:rsidP="00196A2A">
      <w:pPr>
        <w:widowControl w:val="0"/>
        <w:autoSpaceDE w:val="0"/>
        <w:autoSpaceDN w:val="0"/>
        <w:spacing w:after="0" w:line="240" w:lineRule="auto"/>
        <w:ind w:left="709" w:right="709"/>
        <w:jc w:val="both"/>
        <w:rPr>
          <w:rFonts w:ascii="Verdana" w:eastAsia="Arial" w:hAnsi="Verdana" w:cs="Arial"/>
          <w:lang w:eastAsia="es-ES" w:bidi="es-ES"/>
        </w:rPr>
      </w:pPr>
    </w:p>
    <w:p w14:paraId="58CAA7F1" w14:textId="77777777" w:rsidR="00196A2A" w:rsidRDefault="00196A2A" w:rsidP="00196A2A">
      <w:pPr>
        <w:widowControl w:val="0"/>
        <w:autoSpaceDE w:val="0"/>
        <w:autoSpaceDN w:val="0"/>
        <w:spacing w:after="120" w:line="276" w:lineRule="auto"/>
        <w:ind w:firstLine="708"/>
        <w:jc w:val="both"/>
        <w:rPr>
          <w:rFonts w:ascii="Verdana" w:eastAsia="Arial" w:hAnsi="Verdana" w:cs="Arial"/>
          <w:lang w:eastAsia="es-ES" w:bidi="es-ES"/>
        </w:rPr>
      </w:pPr>
      <w:r>
        <w:rPr>
          <w:rFonts w:ascii="Verdana" w:eastAsia="Arial" w:hAnsi="Verdana" w:cs="Arial"/>
          <w:lang w:eastAsia="es-ES" w:bidi="es-ES"/>
        </w:rPr>
        <w:t xml:space="preserve">Sin perjuicio de los requisitos especiales de la invitación de mínima cuantía previstos en el artículo </w:t>
      </w:r>
      <w:r w:rsidRPr="00C06649">
        <w:rPr>
          <w:rFonts w:ascii="Verdana" w:eastAsia="Arial" w:hAnsi="Verdana" w:cs="Arial"/>
          <w:lang w:eastAsia="es-ES" w:bidi="es-ES"/>
        </w:rPr>
        <w:t>2.2.1.2.1.5.2</w:t>
      </w:r>
      <w:r>
        <w:rPr>
          <w:rFonts w:ascii="Verdana" w:eastAsia="Arial" w:hAnsi="Verdana" w:cs="Arial"/>
          <w:lang w:eastAsia="es-ES" w:bidi="es-ES"/>
        </w:rPr>
        <w:t xml:space="preserve"> del Decreto 1082 de 2015</w:t>
      </w:r>
      <w:r w:rsidRPr="00526681">
        <w:rPr>
          <w:rFonts w:ascii="Verdana" w:eastAsia="Arial" w:hAnsi="Verdana" w:cs="Arial"/>
          <w:lang w:eastAsia="es-ES" w:bidi="es-ES"/>
        </w:rPr>
        <w:t xml:space="preserve">, la Administración tiene la facultad de configurar las reglas y exigencias de los pliegos de condiciones de manera libre, dentro de los parámetros y límites establecidos por el ordenamiento jurídico, con fundamento en los estudios </w:t>
      </w:r>
      <w:r w:rsidRPr="00526681">
        <w:rPr>
          <w:rFonts w:ascii="Verdana" w:eastAsia="Arial" w:hAnsi="Verdana" w:cs="Arial"/>
          <w:lang w:eastAsia="es-ES" w:bidi="es-ES"/>
        </w:rPr>
        <w:lastRenderedPageBreak/>
        <w:t>realizados en la fase de planeación</w:t>
      </w:r>
      <w:r w:rsidRPr="00526681">
        <w:rPr>
          <w:rStyle w:val="Refdenotaalpie"/>
          <w:rFonts w:ascii="Verdana" w:eastAsia="Arial" w:hAnsi="Verdana" w:cs="Arial"/>
          <w:lang w:eastAsia="es-ES" w:bidi="es-ES"/>
        </w:rPr>
        <w:footnoteReference w:id="21"/>
      </w:r>
      <w:r w:rsidRPr="00526681">
        <w:rPr>
          <w:rFonts w:ascii="Verdana" w:eastAsia="Arial" w:hAnsi="Verdana" w:cs="Arial"/>
          <w:lang w:eastAsia="es-ES" w:bidi="es-ES"/>
        </w:rPr>
        <w:t xml:space="preserve">. Además, tiene la carga de elaborarlos de manera idónea, objetiva, clara, precisa y completa, tal como </w:t>
      </w:r>
      <w:r>
        <w:rPr>
          <w:rFonts w:ascii="Verdana" w:eastAsia="Arial" w:hAnsi="Verdana" w:cs="Arial"/>
          <w:lang w:eastAsia="es-ES" w:bidi="es-ES"/>
        </w:rPr>
        <w:t xml:space="preserve">lo establece </w:t>
      </w:r>
      <w:r w:rsidRPr="00526681">
        <w:rPr>
          <w:rFonts w:ascii="Verdana" w:eastAsia="Arial" w:hAnsi="Verdana" w:cs="Arial"/>
          <w:lang w:eastAsia="es-ES" w:bidi="es-ES"/>
        </w:rPr>
        <w:t xml:space="preserve">la disposición </w:t>
      </w:r>
      <w:r>
        <w:rPr>
          <w:rFonts w:ascii="Verdana" w:eastAsia="Arial" w:hAnsi="Verdana" w:cs="Arial"/>
          <w:lang w:eastAsia="es-ES" w:bidi="es-ES"/>
        </w:rPr>
        <w:t>previamente</w:t>
      </w:r>
      <w:r w:rsidRPr="00526681">
        <w:rPr>
          <w:rFonts w:ascii="Verdana" w:eastAsia="Arial" w:hAnsi="Verdana" w:cs="Arial"/>
          <w:lang w:eastAsia="es-ES" w:bidi="es-ES"/>
        </w:rPr>
        <w:t xml:space="preserve"> citada.</w:t>
      </w:r>
    </w:p>
    <w:p w14:paraId="7199BF9C" w14:textId="77777777" w:rsidR="00196A2A" w:rsidRPr="002379AA" w:rsidRDefault="00196A2A" w:rsidP="00196A2A">
      <w:pPr>
        <w:spacing w:after="120" w:line="276" w:lineRule="auto"/>
        <w:ind w:firstLine="709"/>
        <w:jc w:val="both"/>
        <w:rPr>
          <w:rFonts w:ascii="Verdana" w:hAnsi="Verdana" w:cs="Arial"/>
          <w:color w:val="000000" w:themeColor="text1"/>
        </w:rPr>
      </w:pPr>
      <w:r>
        <w:rPr>
          <w:rFonts w:ascii="Verdana" w:eastAsia="Calibri" w:hAnsi="Verdana" w:cs="Arial"/>
          <w:color w:val="000000" w:themeColor="text1"/>
        </w:rPr>
        <w:t>Además</w:t>
      </w:r>
      <w:r w:rsidRPr="002379AA">
        <w:rPr>
          <w:rFonts w:ascii="Verdana" w:eastAsia="Calibri" w:hAnsi="Verdana" w:cs="Arial"/>
          <w:color w:val="000000" w:themeColor="text1"/>
        </w:rPr>
        <w:t>, la Corte Constitucional ha señalado, frente a la selección objetiva, que la entidad no puede establecer reglas subjetivas, sino que deben ser razonables, de acuerdo con las normas que rigen la actividad contractual</w:t>
      </w:r>
      <w:r w:rsidRPr="002379AA">
        <w:rPr>
          <w:rFonts w:ascii="Verdana" w:eastAsia="Calibri" w:hAnsi="Verdana" w:cs="Arial"/>
          <w:color w:val="000000" w:themeColor="text1"/>
          <w:vertAlign w:val="superscript"/>
        </w:rPr>
        <w:footnoteReference w:id="22"/>
      </w:r>
      <w:r w:rsidRPr="002379AA">
        <w:rPr>
          <w:rFonts w:ascii="Verdana" w:eastAsia="Calibri" w:hAnsi="Verdana" w:cs="Arial"/>
          <w:color w:val="000000" w:themeColor="text1"/>
        </w:rPr>
        <w:t xml:space="preserve">. En otro pronunciamiento, el Consejo de Estado consideró </w:t>
      </w:r>
      <w:r w:rsidRPr="00AA438A">
        <w:rPr>
          <w:rFonts w:ascii="Verdana" w:eastAsia="Calibri" w:hAnsi="Verdana" w:cs="Arial"/>
          <w:color w:val="000000" w:themeColor="text1"/>
        </w:rPr>
        <w:t>que la autonomía que tienen las entidades frente a la configuración de los criterios de selección no es absoluta</w:t>
      </w:r>
      <w:r w:rsidRPr="002379AA">
        <w:rPr>
          <w:rFonts w:ascii="Verdana" w:eastAsia="Calibri" w:hAnsi="Verdana" w:cs="Arial"/>
          <w:color w:val="000000" w:themeColor="text1"/>
        </w:rPr>
        <w:t xml:space="preserve">, pues debe tener relación con los fines de la contratación estatal </w:t>
      </w:r>
      <w:r w:rsidRPr="002379AA">
        <w:rPr>
          <w:rFonts w:ascii="Verdana" w:hAnsi="Verdana" w:cs="Arial"/>
          <w:color w:val="000000" w:themeColor="text1"/>
        </w:rPr>
        <w:t>y, por consiguiente, los criterios de selección susceptibles de calificación deben ser congruentes con ellos y comprender los elementos necesarios para llevar a cabo el contrato en las condiciones de modo, tiempo y lugar requeridas por ella. La objetividad que impone y reclama la Ley 80 en la contratación estatal, en varias de sus disposiciones, sólo se cumple a condición de que existan en los pliegos de condiciones reglas necesarias, claras, objetivas y precisas de cara a la finalidad del contrato</w:t>
      </w:r>
      <w:r w:rsidRPr="002379AA">
        <w:rPr>
          <w:rFonts w:ascii="Verdana" w:hAnsi="Verdana" w:cs="Arial"/>
          <w:color w:val="000000" w:themeColor="text1"/>
          <w:vertAlign w:val="superscript"/>
        </w:rPr>
        <w:footnoteReference w:id="23"/>
      </w:r>
      <w:r w:rsidRPr="002379AA">
        <w:rPr>
          <w:rFonts w:ascii="Verdana" w:hAnsi="Verdana" w:cs="Arial"/>
          <w:color w:val="000000" w:themeColor="text1"/>
        </w:rPr>
        <w:t>.</w:t>
      </w:r>
    </w:p>
    <w:p w14:paraId="3258B590" w14:textId="77777777" w:rsidR="00196A2A" w:rsidRPr="002379AA" w:rsidRDefault="00196A2A" w:rsidP="00196A2A">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E</w:t>
      </w:r>
      <w:r w:rsidRPr="002379AA">
        <w:rPr>
          <w:rFonts w:ascii="Verdana" w:eastAsia="Calibri" w:hAnsi="Verdana" w:cs="Arial"/>
          <w:color w:val="000000" w:themeColor="text1"/>
        </w:rPr>
        <w:t>l Consejo de Estado</w:t>
      </w:r>
      <w:r>
        <w:rPr>
          <w:rFonts w:ascii="Verdana" w:eastAsia="Calibri" w:hAnsi="Verdana" w:cs="Arial"/>
          <w:color w:val="000000" w:themeColor="text1"/>
        </w:rPr>
        <w:t xml:space="preserve"> también</w:t>
      </w:r>
      <w:r w:rsidRPr="002379AA">
        <w:rPr>
          <w:rFonts w:ascii="Verdana" w:eastAsia="Calibri" w:hAnsi="Verdana" w:cs="Arial"/>
          <w:color w:val="000000" w:themeColor="text1"/>
        </w:rPr>
        <w:t xml:space="preserve"> ha </w:t>
      </w:r>
      <w:r>
        <w:rPr>
          <w:rFonts w:ascii="Verdana" w:eastAsia="Calibri" w:hAnsi="Verdana" w:cs="Arial"/>
          <w:color w:val="000000" w:themeColor="text1"/>
        </w:rPr>
        <w:t>precisado</w:t>
      </w:r>
      <w:r w:rsidRPr="002379AA">
        <w:rPr>
          <w:rFonts w:ascii="Verdana" w:eastAsia="Calibri" w:hAnsi="Verdana" w:cs="Arial"/>
          <w:color w:val="000000" w:themeColor="text1"/>
        </w:rPr>
        <w:t xml:space="preserve"> que </w:t>
      </w:r>
      <w:r w:rsidRPr="00F97586">
        <w:rPr>
          <w:rFonts w:ascii="Verdana" w:eastAsia="Calibri" w:hAnsi="Verdana" w:cs="Arial"/>
          <w:color w:val="000000" w:themeColor="text1"/>
        </w:rPr>
        <w:t xml:space="preserve">el pliego de condiciones </w:t>
      </w:r>
      <w:r>
        <w:rPr>
          <w:rFonts w:ascii="Verdana" w:eastAsia="Calibri" w:hAnsi="Verdana" w:cs="Arial"/>
          <w:color w:val="000000" w:themeColor="text1"/>
        </w:rPr>
        <w:t xml:space="preserve">–o documento equivalente– </w:t>
      </w:r>
      <w:r w:rsidRPr="00F97586">
        <w:rPr>
          <w:rFonts w:ascii="Verdana" w:eastAsia="Calibri" w:hAnsi="Verdana" w:cs="Arial"/>
          <w:color w:val="000000" w:themeColor="text1"/>
        </w:rPr>
        <w:t>es ley para las partes</w:t>
      </w:r>
      <w:r w:rsidRPr="002379AA">
        <w:rPr>
          <w:rFonts w:ascii="Verdana" w:eastAsia="Calibri" w:hAnsi="Verdana" w:cs="Arial"/>
          <w:color w:val="000000" w:themeColor="text1"/>
        </w:rPr>
        <w:t xml:space="preserve">, y en él </w:t>
      </w:r>
      <w:r>
        <w:rPr>
          <w:rFonts w:ascii="Verdana" w:eastAsia="Calibri" w:hAnsi="Verdana" w:cs="Arial"/>
          <w:color w:val="000000" w:themeColor="text1"/>
        </w:rPr>
        <w:t xml:space="preserve">debe regularse </w:t>
      </w:r>
      <w:r w:rsidRPr="002379AA">
        <w:rPr>
          <w:rFonts w:ascii="Verdana" w:eastAsia="Calibri" w:hAnsi="Verdana" w:cs="Arial"/>
          <w:color w:val="000000" w:themeColor="text1"/>
        </w:rPr>
        <w:t>el procedimiento de contratación, conforme a la ley, garantizando la selección objetiva del contratista</w:t>
      </w:r>
      <w:r w:rsidRPr="002379AA">
        <w:rPr>
          <w:rFonts w:ascii="Verdana" w:eastAsia="Calibri" w:hAnsi="Verdana" w:cs="Arial"/>
          <w:color w:val="000000" w:themeColor="text1"/>
          <w:vertAlign w:val="superscript"/>
        </w:rPr>
        <w:footnoteReference w:id="24"/>
      </w:r>
      <w:r w:rsidRPr="002379AA">
        <w:rPr>
          <w:rFonts w:ascii="Verdana" w:eastAsia="Calibri" w:hAnsi="Verdana" w:cs="Arial"/>
          <w:color w:val="000000" w:themeColor="text1"/>
        </w:rPr>
        <w:t xml:space="preserve">. El artículo 2.2.1.1.2.1.3 del Decreto 1082 de 2015 establece el contenido mínimo del pliego de condiciones, de acuerdo con lo que </w:t>
      </w:r>
      <w:r w:rsidRPr="002379AA">
        <w:rPr>
          <w:rFonts w:ascii="Verdana" w:eastAsia="Calibri" w:hAnsi="Verdana" w:cs="Arial"/>
          <w:color w:val="000000" w:themeColor="text1"/>
        </w:rPr>
        <w:lastRenderedPageBreak/>
        <w:t xml:space="preserve">la entidad adquirirá para satisfacer sus necesidades de bienes, obras o servicios, el cual debe tener la información desagregada, principalmente en los siguientes ítems: i) identificación detallada del objeto contractual y con el clasificador de bienes y servicios, </w:t>
      </w:r>
      <w:proofErr w:type="spellStart"/>
      <w:r w:rsidRPr="002379AA">
        <w:rPr>
          <w:rFonts w:ascii="Verdana" w:eastAsia="Calibri" w:hAnsi="Verdana" w:cs="Arial"/>
          <w:color w:val="000000" w:themeColor="text1"/>
        </w:rPr>
        <w:t>ii</w:t>
      </w:r>
      <w:proofErr w:type="spellEnd"/>
      <w:r w:rsidRPr="002379AA">
        <w:rPr>
          <w:rFonts w:ascii="Verdana" w:eastAsia="Calibri" w:hAnsi="Verdana" w:cs="Arial"/>
          <w:color w:val="000000" w:themeColor="text1"/>
        </w:rPr>
        <w:t xml:space="preserve">) modalidad y criterios de selección, </w:t>
      </w:r>
      <w:proofErr w:type="spellStart"/>
      <w:r w:rsidRPr="002379AA">
        <w:rPr>
          <w:rFonts w:ascii="Verdana" w:eastAsia="Calibri" w:hAnsi="Verdana" w:cs="Arial"/>
          <w:color w:val="000000" w:themeColor="text1"/>
        </w:rPr>
        <w:t>iii</w:t>
      </w:r>
      <w:proofErr w:type="spellEnd"/>
      <w:r w:rsidRPr="002379AA">
        <w:rPr>
          <w:rFonts w:ascii="Verdana" w:eastAsia="Calibri" w:hAnsi="Verdana" w:cs="Arial"/>
          <w:color w:val="000000" w:themeColor="text1"/>
        </w:rPr>
        <w:t xml:space="preserve">) valoración económica del bien, obra o servicio, </w:t>
      </w:r>
      <w:proofErr w:type="spellStart"/>
      <w:r w:rsidRPr="002379AA">
        <w:rPr>
          <w:rFonts w:ascii="Verdana" w:eastAsia="Calibri" w:hAnsi="Verdana" w:cs="Arial"/>
          <w:color w:val="000000" w:themeColor="text1"/>
        </w:rPr>
        <w:t>iv</w:t>
      </w:r>
      <w:proofErr w:type="spellEnd"/>
      <w:r w:rsidRPr="002379AA">
        <w:rPr>
          <w:rFonts w:ascii="Verdana" w:eastAsia="Calibri" w:hAnsi="Verdana" w:cs="Arial"/>
          <w:color w:val="000000" w:themeColor="text1"/>
        </w:rPr>
        <w:t>) reglas de la presentación y manejo de las ofertas, v) riesgos y garantías, entre otros aspectos del contrato</w:t>
      </w:r>
      <w:r w:rsidRPr="002379AA">
        <w:rPr>
          <w:rFonts w:ascii="Verdana" w:eastAsia="Calibri" w:hAnsi="Verdana" w:cs="Arial"/>
          <w:color w:val="000000" w:themeColor="text1"/>
          <w:vertAlign w:val="superscript"/>
        </w:rPr>
        <w:footnoteReference w:id="25"/>
      </w:r>
      <w:r w:rsidRPr="002379AA">
        <w:rPr>
          <w:rFonts w:ascii="Verdana" w:eastAsia="Calibri" w:hAnsi="Verdana" w:cs="Arial"/>
          <w:color w:val="000000" w:themeColor="text1"/>
        </w:rPr>
        <w:t>.</w:t>
      </w:r>
    </w:p>
    <w:p w14:paraId="103A32C0" w14:textId="77777777" w:rsidR="00196A2A" w:rsidRDefault="00196A2A" w:rsidP="00196A2A">
      <w:pPr>
        <w:spacing w:after="120" w:line="276" w:lineRule="auto"/>
        <w:ind w:firstLine="709"/>
        <w:jc w:val="both"/>
        <w:rPr>
          <w:rFonts w:ascii="Verdana" w:hAnsi="Verdana" w:cs="Arial"/>
        </w:rPr>
      </w:pPr>
      <w:r w:rsidRPr="002379AA">
        <w:rPr>
          <w:rFonts w:ascii="Verdana" w:hAnsi="Verdana" w:cs="Arial"/>
        </w:rPr>
        <w:t>Conforme a lo anterior, el pliego de condiciones</w:t>
      </w:r>
      <w:r>
        <w:rPr>
          <w:rFonts w:ascii="Verdana" w:hAnsi="Verdana" w:cs="Arial"/>
        </w:rPr>
        <w:t xml:space="preserve"> o la invitación de la mínima cuantía</w:t>
      </w:r>
      <w:r w:rsidRPr="002379AA">
        <w:rPr>
          <w:rFonts w:ascii="Verdana" w:hAnsi="Verdana" w:cs="Arial"/>
        </w:rPr>
        <w:t xml:space="preserve"> debe establecer las etapas del proceso de selección, así como las reglas, requisitos y condiciones aplicables en cada una de ellas. Entre estos aspectos se encuentran </w:t>
      </w:r>
      <w:r>
        <w:rPr>
          <w:rFonts w:ascii="Verdana" w:hAnsi="Verdana" w:cs="Arial"/>
        </w:rPr>
        <w:t>los requisitos habilitantes</w:t>
      </w:r>
      <w:r w:rsidRPr="002379AA">
        <w:rPr>
          <w:rFonts w:ascii="Verdana" w:hAnsi="Verdana" w:cs="Arial"/>
        </w:rPr>
        <w:t xml:space="preserve"> y factores de ponderación de las ofertas, así como los documentos que debe contener y las causas que impidan una selección objetiva. En ese orden, gran parte de la importancia </w:t>
      </w:r>
      <w:r>
        <w:rPr>
          <w:rFonts w:ascii="Verdana" w:hAnsi="Verdana" w:cs="Arial"/>
        </w:rPr>
        <w:t>del pliego o la invitación</w:t>
      </w:r>
      <w:r w:rsidRPr="002379AA">
        <w:rPr>
          <w:rFonts w:ascii="Verdana" w:hAnsi="Verdana" w:cs="Arial"/>
        </w:rPr>
        <w:t xml:space="preserve"> está determinada por el hecho que es el documento en el que se establecen las normas que van a regular la etapa selección, a las que deberán sujetarse la administración y los oferentes a efectos de lograr una selección objetiva</w:t>
      </w:r>
      <w:r w:rsidRPr="002379AA">
        <w:rPr>
          <w:rFonts w:ascii="Verdana" w:hAnsi="Verdana" w:cs="Arial"/>
          <w:vertAlign w:val="superscript"/>
        </w:rPr>
        <w:footnoteReference w:id="26"/>
      </w:r>
      <w:r>
        <w:rPr>
          <w:rFonts w:ascii="Verdana" w:hAnsi="Verdana" w:cs="Arial"/>
        </w:rPr>
        <w:t>.</w:t>
      </w:r>
    </w:p>
    <w:p w14:paraId="23B9B6A2" w14:textId="77777777" w:rsidR="00196A2A" w:rsidRPr="005A4B4A" w:rsidRDefault="00196A2A" w:rsidP="00196A2A">
      <w:pPr>
        <w:spacing w:after="0" w:line="276" w:lineRule="auto"/>
        <w:ind w:firstLine="708"/>
        <w:jc w:val="both"/>
        <w:rPr>
          <w:rFonts w:ascii="Verdana" w:hAnsi="Verdana" w:cs="Arial"/>
          <w:bCs/>
          <w:lang w:val="es-ES_tradnl"/>
        </w:rPr>
      </w:pPr>
      <w:r w:rsidRPr="005A4B4A">
        <w:rPr>
          <w:rFonts w:ascii="Verdana" w:hAnsi="Verdana" w:cs="Arial"/>
          <w:bCs/>
          <w:lang w:val="es-ES_tradnl"/>
        </w:rPr>
        <w:lastRenderedPageBreak/>
        <w:t xml:space="preserve">Teniendo en cuenta lo anterior, lo que el peticionario denomina como </w:t>
      </w:r>
      <w:bookmarkStart w:id="9" w:name="_Hlk131153031"/>
      <w:r w:rsidRPr="005A4B4A">
        <w:rPr>
          <w:rFonts w:ascii="Verdana" w:hAnsi="Verdana" w:cs="Arial"/>
          <w:bCs/>
          <w:lang w:val="es-ES_tradnl"/>
        </w:rPr>
        <w:t>“metodología de bolsa”</w:t>
      </w:r>
      <w:bookmarkEnd w:id="9"/>
      <w:r>
        <w:rPr>
          <w:rFonts w:ascii="Verdana" w:hAnsi="Verdana" w:cs="Arial"/>
          <w:bCs/>
          <w:lang w:val="es-ES_tradnl"/>
        </w:rPr>
        <w:t xml:space="preserve"> </w:t>
      </w:r>
      <w:r w:rsidRPr="005A4B4A">
        <w:rPr>
          <w:rFonts w:ascii="Verdana" w:hAnsi="Verdana" w:cs="Arial"/>
          <w:bCs/>
          <w:lang w:val="es-ES_tradnl"/>
        </w:rPr>
        <w:t xml:space="preserve">puede corresponder </w:t>
      </w:r>
      <w:r>
        <w:rPr>
          <w:rFonts w:ascii="Verdana" w:hAnsi="Verdana" w:cs="Arial"/>
          <w:bCs/>
          <w:lang w:val="es-ES_tradnl"/>
        </w:rPr>
        <w:t>a un suministro con monto agotable</w:t>
      </w:r>
      <w:r w:rsidRPr="005A4B4A">
        <w:rPr>
          <w:rFonts w:ascii="Verdana" w:hAnsi="Verdana" w:cs="Arial"/>
          <w:bCs/>
          <w:lang w:val="es-ES_tradnl"/>
        </w:rPr>
        <w:t xml:space="preserve">, donde se pacta el pago de la contraprestación a precios unitarios, conforme a unos valores asignados, que son objeto del negocio y que se entregan a la entidad, durante el plazo de ejecución del contrato, sin exceder el valor o presupuesto oficial asignado por la entidad contratante para el efecto. Como explica la doctrina, existen </w:t>
      </w:r>
      <w:r w:rsidRPr="005A4B4A">
        <w:rPr>
          <w:rFonts w:ascii="Verdana" w:hAnsi="Verdana" w:cs="Arial"/>
          <w:bCs/>
          <w:i/>
          <w:iCs/>
          <w:lang w:val="es-ES_tradnl"/>
        </w:rPr>
        <w:t>contratos de suministro</w:t>
      </w:r>
      <w:r w:rsidRPr="005A4B4A">
        <w:rPr>
          <w:rFonts w:ascii="Verdana" w:hAnsi="Verdana" w:cs="Arial"/>
          <w:bCs/>
          <w:lang w:val="es-ES_tradnl"/>
        </w:rPr>
        <w:t xml:space="preserve"> donde el contratista se obliga a entregar los bienes por un precio unitario, sin que </w:t>
      </w:r>
      <w:r>
        <w:rPr>
          <w:rFonts w:ascii="Verdana" w:hAnsi="Verdana" w:cs="Arial"/>
          <w:bCs/>
          <w:lang w:val="es-ES_tradnl"/>
        </w:rPr>
        <w:t>las cantidades</w:t>
      </w:r>
      <w:r w:rsidRPr="005A4B4A">
        <w:rPr>
          <w:rFonts w:ascii="Verdana" w:hAnsi="Verdana" w:cs="Arial"/>
          <w:bCs/>
          <w:lang w:val="es-ES_tradnl"/>
        </w:rPr>
        <w:t xml:space="preserve"> se defina</w:t>
      </w:r>
      <w:r>
        <w:rPr>
          <w:rFonts w:ascii="Verdana" w:hAnsi="Verdana" w:cs="Arial"/>
          <w:bCs/>
          <w:lang w:val="es-ES_tradnl"/>
        </w:rPr>
        <w:t>n</w:t>
      </w:r>
      <w:r w:rsidRPr="005A4B4A">
        <w:rPr>
          <w:rFonts w:ascii="Verdana" w:hAnsi="Verdana" w:cs="Arial"/>
          <w:bCs/>
          <w:lang w:val="es-ES_tradnl"/>
        </w:rPr>
        <w:t xml:space="preserve"> exactamente al tiempo de celebrar el contrato, ya que </w:t>
      </w:r>
      <w:r>
        <w:rPr>
          <w:rFonts w:ascii="Verdana" w:hAnsi="Verdana" w:cs="Arial"/>
          <w:bCs/>
          <w:lang w:val="es-ES_tradnl"/>
        </w:rPr>
        <w:t>esta últimas se</w:t>
      </w:r>
      <w:r w:rsidRPr="005A4B4A">
        <w:rPr>
          <w:rFonts w:ascii="Verdana" w:hAnsi="Verdana" w:cs="Arial"/>
          <w:bCs/>
          <w:lang w:val="es-ES_tradnl"/>
        </w:rPr>
        <w:t xml:space="preserve"> subordin</w:t>
      </w:r>
      <w:r>
        <w:rPr>
          <w:rFonts w:ascii="Verdana" w:hAnsi="Verdana" w:cs="Arial"/>
          <w:bCs/>
          <w:lang w:val="es-ES_tradnl"/>
        </w:rPr>
        <w:t xml:space="preserve">an </w:t>
      </w:r>
      <w:r w:rsidRPr="005A4B4A">
        <w:rPr>
          <w:rFonts w:ascii="Verdana" w:hAnsi="Verdana" w:cs="Arial"/>
          <w:bCs/>
          <w:lang w:val="es-ES_tradnl"/>
        </w:rPr>
        <w:t>a las necesidades de la entidad:</w:t>
      </w:r>
    </w:p>
    <w:p w14:paraId="26A03840" w14:textId="77777777" w:rsidR="00196A2A" w:rsidRPr="005A4B4A" w:rsidRDefault="00196A2A" w:rsidP="00196A2A">
      <w:pPr>
        <w:spacing w:after="0" w:line="276" w:lineRule="auto"/>
        <w:ind w:firstLine="708"/>
        <w:jc w:val="both"/>
        <w:rPr>
          <w:rFonts w:ascii="Verdana" w:hAnsi="Verdana" w:cs="Arial"/>
          <w:bCs/>
          <w:lang w:val="es-ES_tradnl"/>
        </w:rPr>
      </w:pPr>
    </w:p>
    <w:p w14:paraId="6B9AA918" w14:textId="77777777" w:rsidR="00196A2A" w:rsidRPr="005A4B4A" w:rsidRDefault="00196A2A" w:rsidP="00196A2A">
      <w:pPr>
        <w:spacing w:after="0" w:line="240" w:lineRule="auto"/>
        <w:ind w:left="709" w:right="709"/>
        <w:jc w:val="both"/>
        <w:rPr>
          <w:rFonts w:ascii="Verdana" w:hAnsi="Verdana" w:cs="Arial"/>
          <w:bCs/>
          <w:sz w:val="20"/>
          <w:szCs w:val="20"/>
          <w:lang w:val="es-ES_tradnl"/>
        </w:rPr>
      </w:pPr>
      <w:r w:rsidRPr="005A4B4A">
        <w:rPr>
          <w:rFonts w:ascii="Verdana" w:hAnsi="Verdana" w:cs="Arial"/>
          <w:bCs/>
          <w:sz w:val="20"/>
          <w:szCs w:val="20"/>
          <w:lang w:val="es-ES_tradnl"/>
        </w:rPr>
        <w:t>“Esta modalidad de suministro, conocida como contrato de suministro de tracto sucesivo por precio unitario, se caracteriza por la indeterminación relativa del objeto del contrato y, por lo tanto, del precio, ya que están identificados el producto a suministrar y el precio unitario del mismo, pero no el número de unidades que deberán entregarse a la entidad contratante al amparo del contrato, lo que implica que no se conozca con exactitud, tampoco, el precio global que deberá abonarse al contratista.</w:t>
      </w:r>
    </w:p>
    <w:p w14:paraId="2755E040" w14:textId="77777777" w:rsidR="00196A2A" w:rsidRPr="005A4B4A" w:rsidRDefault="00196A2A" w:rsidP="00196A2A">
      <w:pPr>
        <w:spacing w:after="120" w:line="240" w:lineRule="auto"/>
        <w:ind w:left="709" w:right="709"/>
        <w:jc w:val="both"/>
        <w:rPr>
          <w:rFonts w:ascii="Verdana" w:hAnsi="Verdana" w:cs="Arial"/>
          <w:bCs/>
          <w:sz w:val="20"/>
          <w:szCs w:val="20"/>
          <w:lang w:val="es-ES_tradnl"/>
        </w:rPr>
      </w:pPr>
      <w:r w:rsidRPr="005A4B4A">
        <w:rPr>
          <w:rFonts w:ascii="Verdana" w:hAnsi="Verdana" w:cs="Arial"/>
          <w:bCs/>
          <w:sz w:val="20"/>
          <w:szCs w:val="20"/>
          <w:lang w:val="es-ES_tradnl"/>
        </w:rPr>
        <w:t>[…]</w:t>
      </w:r>
    </w:p>
    <w:p w14:paraId="2488CBB2" w14:textId="77777777" w:rsidR="00196A2A" w:rsidRPr="005A4B4A" w:rsidRDefault="00196A2A" w:rsidP="00196A2A">
      <w:pPr>
        <w:spacing w:after="0" w:line="240" w:lineRule="auto"/>
        <w:ind w:left="709" w:right="709"/>
        <w:jc w:val="both"/>
        <w:rPr>
          <w:rFonts w:ascii="Verdana" w:hAnsi="Verdana" w:cs="Arial"/>
          <w:bCs/>
          <w:sz w:val="21"/>
          <w:szCs w:val="21"/>
          <w:lang w:val="es-ES_tradnl"/>
        </w:rPr>
      </w:pPr>
      <w:bookmarkStart w:id="10" w:name="_Hlk131174588"/>
      <w:r w:rsidRPr="005A4B4A">
        <w:rPr>
          <w:rFonts w:ascii="Verdana" w:hAnsi="Verdana" w:cs="Arial"/>
          <w:bCs/>
          <w:i/>
          <w:iCs/>
          <w:sz w:val="20"/>
          <w:szCs w:val="20"/>
          <w:lang w:val="es-ES_tradnl"/>
        </w:rPr>
        <w:t>En este tipo de contratos debe existir un presupuesto limitativo, establecido con el carácter del máximo, y debe preverse la posibilidad de que el objeto del contrato, y por ende el presupuesto máximo, se modifiquen en caso de que la entidad contratante necesite de un mayor número de unidades de producto de las inicialmente estimadas</w:t>
      </w:r>
      <w:r w:rsidRPr="005A4B4A">
        <w:rPr>
          <w:rFonts w:ascii="Verdana" w:hAnsi="Verdana" w:cs="Arial"/>
          <w:bCs/>
          <w:sz w:val="20"/>
          <w:szCs w:val="20"/>
          <w:lang w:val="es-ES_tradnl"/>
        </w:rPr>
        <w:t xml:space="preserve"> </w:t>
      </w:r>
      <w:bookmarkEnd w:id="10"/>
      <w:r w:rsidRPr="005A4B4A">
        <w:rPr>
          <w:rFonts w:ascii="Verdana" w:hAnsi="Verdana" w:cs="Arial"/>
          <w:bCs/>
          <w:sz w:val="20"/>
          <w:szCs w:val="20"/>
          <w:lang w:val="es-ES_tradnl"/>
        </w:rPr>
        <w:t>[…] Es muy importante destacar que por vía de modificación del contrato no pueden establecerse nuevos precios unitarios no previstos inicialmente, por lo que […] se trata de prever la ampliación del número de unidades a suministrar, manteniéndose el precio unitario pactado originalmente”</w:t>
      </w:r>
      <w:r w:rsidRPr="005A4B4A">
        <w:rPr>
          <w:rStyle w:val="Refdenotaalpie"/>
          <w:rFonts w:ascii="Verdana" w:hAnsi="Verdana" w:cs="Arial"/>
          <w:bCs/>
          <w:sz w:val="20"/>
          <w:szCs w:val="20"/>
          <w:lang w:val="es-ES_tradnl"/>
        </w:rPr>
        <w:footnoteReference w:id="27"/>
      </w:r>
      <w:r w:rsidRPr="005A4B4A">
        <w:rPr>
          <w:rFonts w:ascii="Verdana" w:hAnsi="Verdana" w:cs="Arial"/>
          <w:bCs/>
          <w:sz w:val="20"/>
          <w:szCs w:val="20"/>
          <w:lang w:val="es-ES_tradnl"/>
        </w:rPr>
        <w:t>. (Énfasis fuera de texto)</w:t>
      </w:r>
      <w:r w:rsidRPr="005A4B4A">
        <w:rPr>
          <w:rFonts w:ascii="Verdana" w:hAnsi="Verdana" w:cs="Arial"/>
          <w:bCs/>
          <w:sz w:val="21"/>
          <w:szCs w:val="21"/>
          <w:lang w:val="es-ES_tradnl"/>
        </w:rPr>
        <w:t xml:space="preserve">           </w:t>
      </w:r>
    </w:p>
    <w:p w14:paraId="2EFB3A57" w14:textId="77777777" w:rsidR="00196A2A" w:rsidRPr="005A4B4A" w:rsidRDefault="00196A2A" w:rsidP="00196A2A">
      <w:pPr>
        <w:spacing w:after="0" w:line="276" w:lineRule="auto"/>
        <w:ind w:left="709" w:right="709"/>
        <w:jc w:val="both"/>
        <w:rPr>
          <w:rFonts w:ascii="Verdana" w:hAnsi="Verdana" w:cs="Arial"/>
          <w:bCs/>
          <w:lang w:val="es-ES_tradnl"/>
        </w:rPr>
      </w:pPr>
    </w:p>
    <w:p w14:paraId="76F9EACD" w14:textId="77777777" w:rsidR="00196A2A" w:rsidRDefault="00196A2A" w:rsidP="00196A2A">
      <w:pPr>
        <w:pStyle w:val="Textoindependiente"/>
        <w:ind w:firstLine="708"/>
        <w:jc w:val="both"/>
        <w:rPr>
          <w:rFonts w:ascii="Verdana" w:hAnsi="Verdana" w:cs="Arial"/>
          <w:bCs/>
          <w:lang w:val="es-ES_tradnl"/>
        </w:rPr>
      </w:pPr>
      <w:r>
        <w:rPr>
          <w:rFonts w:ascii="Verdana" w:hAnsi="Verdana" w:cs="Arial"/>
          <w:bCs/>
          <w:lang w:val="es-ES_tradnl"/>
        </w:rPr>
        <w:t xml:space="preserve">Si la entidad lo estima conveniente, la evaluación del menor precio en la selección abreviada o en la mínima cuantía puede recaer sobre el valor de cada uno de los ítems requeridos, lo que origina la sumatoria de un listado de referencia. Con el descuento en los precios unitarios determinados previamente a través de los estudios previos y análisis del sector económico, la entidad </w:t>
      </w:r>
      <w:r>
        <w:rPr>
          <w:rFonts w:ascii="Verdana" w:hAnsi="Verdana" w:cs="Arial"/>
          <w:bCs/>
          <w:lang w:val="es-ES_tradnl"/>
        </w:rPr>
        <w:lastRenderedPageBreak/>
        <w:t xml:space="preserve">contratante puede comprar más cantidades dentro de los límites del presupuesto oficial asignado después de la adjudicación o de la aceptación de la oferta, según corresponda. </w:t>
      </w:r>
    </w:p>
    <w:p w14:paraId="6CB1BA73" w14:textId="77777777" w:rsidR="00196A2A" w:rsidRDefault="00196A2A" w:rsidP="00196A2A">
      <w:pPr>
        <w:pStyle w:val="Textoindependiente"/>
        <w:ind w:firstLine="708"/>
        <w:jc w:val="both"/>
        <w:rPr>
          <w:rFonts w:ascii="Verdana" w:hAnsi="Verdana"/>
          <w:lang w:val="es-ES_tradnl"/>
        </w:rPr>
      </w:pPr>
      <w:r>
        <w:rPr>
          <w:rFonts w:ascii="Verdana" w:hAnsi="Verdana" w:cs="Arial"/>
          <w:bCs/>
          <w:lang w:val="es-ES_tradnl"/>
        </w:rPr>
        <w:t>En torno a la posibilidad de evaluar el “promedio más bajo” como criterio selección, la Agencia estima que –</w:t>
      </w:r>
      <w:r>
        <w:rPr>
          <w:rFonts w:ascii="Verdana" w:hAnsi="Verdana"/>
          <w:lang w:val="es-ES_tradnl"/>
        </w:rPr>
        <w:t>c</w:t>
      </w:r>
      <w:r w:rsidRPr="00064FD7">
        <w:rPr>
          <w:rFonts w:ascii="Verdana" w:hAnsi="Verdana"/>
          <w:lang w:val="es-ES_tradnl"/>
        </w:rPr>
        <w:t>on excepción de los procedimientos regidos por documentos tipo</w:t>
      </w:r>
      <w:r>
        <w:rPr>
          <w:rFonts w:ascii="Verdana" w:hAnsi="Verdana"/>
          <w:lang w:val="es-ES_tradnl"/>
        </w:rPr>
        <w:t>–</w:t>
      </w:r>
      <w:r w:rsidRPr="00064FD7">
        <w:rPr>
          <w:rFonts w:ascii="Verdana" w:hAnsi="Verdana"/>
          <w:lang w:val="es-ES_tradnl"/>
        </w:rPr>
        <w:t xml:space="preserve"> </w:t>
      </w:r>
      <w:r>
        <w:rPr>
          <w:rFonts w:ascii="Verdana" w:hAnsi="Verdana"/>
          <w:lang w:val="es-ES_tradnl"/>
        </w:rPr>
        <w:t>existe un margen</w:t>
      </w:r>
      <w:r w:rsidRPr="00064FD7">
        <w:rPr>
          <w:rFonts w:ascii="Verdana" w:hAnsi="Verdana"/>
          <w:lang w:val="es-ES_tradnl"/>
        </w:rPr>
        <w:t xml:space="preserve"> de discrecionalidad para definir el contenido del pliego de condiciones o documento </w:t>
      </w:r>
      <w:r w:rsidRPr="00120430">
        <w:rPr>
          <w:rFonts w:ascii="Verdana" w:hAnsi="Verdana"/>
          <w:lang w:val="es-ES_tradnl"/>
        </w:rPr>
        <w:t>equivalente</w:t>
      </w:r>
      <w:r w:rsidRPr="00120430">
        <w:rPr>
          <w:rStyle w:val="Refdenotaalpie"/>
          <w:rFonts w:ascii="Verdana" w:eastAsia="Times New Roman" w:hAnsi="Verdana" w:cs="Arial"/>
          <w:color w:val="000000" w:themeColor="text1"/>
        </w:rPr>
        <w:footnoteReference w:id="28"/>
      </w:r>
      <w:r w:rsidRPr="00120430">
        <w:rPr>
          <w:rFonts w:ascii="Verdana" w:hAnsi="Verdana"/>
          <w:lang w:val="es-ES_tradnl"/>
        </w:rPr>
        <w:t>. Salvo</w:t>
      </w:r>
      <w:r w:rsidRPr="00064FD7">
        <w:rPr>
          <w:rFonts w:ascii="Verdana" w:hAnsi="Verdana"/>
          <w:lang w:val="es-ES_tradnl"/>
        </w:rPr>
        <w:t xml:space="preserve"> los </w:t>
      </w:r>
      <w:r>
        <w:rPr>
          <w:rFonts w:ascii="Verdana" w:hAnsi="Verdana"/>
          <w:lang w:val="es-ES_tradnl"/>
        </w:rPr>
        <w:t>detalles que se encuentren reglados</w:t>
      </w:r>
      <w:r w:rsidRPr="00064FD7">
        <w:rPr>
          <w:rFonts w:ascii="Verdana" w:hAnsi="Verdana"/>
          <w:lang w:val="es-ES_tradnl"/>
        </w:rPr>
        <w:t xml:space="preserve"> en la actuación administrativa, esto implica libertad de las entidades para determinar </w:t>
      </w:r>
      <w:r>
        <w:rPr>
          <w:rFonts w:ascii="Verdana" w:hAnsi="Verdana"/>
          <w:lang w:val="es-ES_tradnl"/>
        </w:rPr>
        <w:t>varios aspectos del proceso de selección</w:t>
      </w:r>
      <w:r w:rsidRPr="00064FD7">
        <w:rPr>
          <w:rFonts w:ascii="Verdana" w:hAnsi="Verdana"/>
          <w:lang w:val="es-ES_tradnl"/>
        </w:rPr>
        <w:t>. Lo anterior en la medida que no existen potestades completamente discrecionales, por lo que dichos elementos reglados son una limitación efectiva a la libertad de configuración.</w:t>
      </w:r>
    </w:p>
    <w:p w14:paraId="794AB0E8" w14:textId="77777777" w:rsidR="00196A2A" w:rsidRDefault="00196A2A" w:rsidP="00196A2A">
      <w:pPr>
        <w:spacing w:after="120" w:line="276" w:lineRule="auto"/>
        <w:ind w:firstLine="709"/>
        <w:jc w:val="both"/>
        <w:rPr>
          <w:rFonts w:ascii="Verdana" w:eastAsia="Calibri" w:hAnsi="Verdana" w:cs="Arial"/>
          <w:color w:val="000000" w:themeColor="text1"/>
        </w:rPr>
      </w:pPr>
      <w:r>
        <w:rPr>
          <w:rFonts w:ascii="Verdana" w:hAnsi="Verdana"/>
          <w:lang w:val="es-ES_tradnl"/>
        </w:rPr>
        <w:t xml:space="preserve">Conforme </w:t>
      </w:r>
      <w:r>
        <w:rPr>
          <w:rFonts w:ascii="Verdana" w:eastAsia="Calibri" w:hAnsi="Verdana" w:cs="Arial"/>
          <w:color w:val="000000" w:themeColor="text1"/>
        </w:rPr>
        <w:t xml:space="preserve">al inciso final del artículo 2 de la Ley 1437 de 2011 y la remisión del inciso primero del artículo 77 de la Ley 80 de 1993 a </w:t>
      </w:r>
      <w:r w:rsidRPr="00120430">
        <w:rPr>
          <w:rFonts w:ascii="Verdana" w:eastAsia="Calibri" w:hAnsi="Verdana" w:cs="Arial"/>
          <w:color w:val="000000" w:themeColor="text1"/>
        </w:rPr>
        <w:t>las normas que rigen los procedimientos y actuaciones en la función administrativa</w:t>
      </w:r>
      <w:r>
        <w:rPr>
          <w:rFonts w:ascii="Verdana" w:eastAsia="Calibri" w:hAnsi="Verdana" w:cs="Arial"/>
          <w:color w:val="000000" w:themeColor="text1"/>
        </w:rPr>
        <w:t>, es necesario tener cuenta que el artículo 44 del Código de Procedimiento Administrativo y de lo Contencioso Administrativo dispone lo siguiente: “</w:t>
      </w:r>
      <w:r w:rsidRPr="00A87044">
        <w:rPr>
          <w:rFonts w:ascii="Verdana" w:eastAsia="Calibri" w:hAnsi="Verdana" w:cs="Arial"/>
          <w:color w:val="000000" w:themeColor="text1"/>
        </w:rPr>
        <w:t>En la medida en que el contenido de una decisión de carácter general o particular sea discrecional, debe ser adecuada a los fines de la norma que la autoriza, y proporcional a los hechos que le sirven de causa</w:t>
      </w:r>
      <w:r>
        <w:rPr>
          <w:rFonts w:ascii="Verdana" w:eastAsia="Calibri" w:hAnsi="Verdana" w:cs="Arial"/>
          <w:color w:val="000000" w:themeColor="text1"/>
        </w:rPr>
        <w:t xml:space="preserve">”. Por tanto, siempre que se respeten los parámetros de selección objetiva descritos </w:t>
      </w:r>
      <w:r w:rsidRPr="00842DA5">
        <w:rPr>
          <w:rFonts w:ascii="Verdana" w:eastAsia="Calibri" w:hAnsi="Verdana" w:cs="Arial"/>
          <w:i/>
          <w:iCs/>
          <w:color w:val="000000" w:themeColor="text1"/>
        </w:rPr>
        <w:t>ut supra</w:t>
      </w:r>
      <w:r>
        <w:rPr>
          <w:rFonts w:ascii="Verdana" w:eastAsia="Calibri" w:hAnsi="Verdana" w:cs="Arial"/>
          <w:color w:val="000000" w:themeColor="text1"/>
        </w:rPr>
        <w:t>, las entidades pueden determinar la forma de evaluar el precio más bajo de la selección abreviada y de la mínima cuantía con la metodología que estimen más oportuna.</w:t>
      </w:r>
    </w:p>
    <w:p w14:paraId="41719A1C" w14:textId="77777777" w:rsidR="00196A2A" w:rsidRDefault="00196A2A" w:rsidP="00196A2A">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S</w:t>
      </w:r>
      <w:r w:rsidRPr="009432C5">
        <w:rPr>
          <w:rFonts w:ascii="Verdana" w:eastAsia="Calibri" w:hAnsi="Verdana" w:cs="Arial"/>
          <w:color w:val="000000" w:themeColor="text1"/>
        </w:rPr>
        <w:t xml:space="preserve">i </w:t>
      </w:r>
      <w:r>
        <w:rPr>
          <w:rFonts w:ascii="Verdana" w:eastAsia="Calibri" w:hAnsi="Verdana" w:cs="Arial"/>
          <w:color w:val="000000" w:themeColor="text1"/>
        </w:rPr>
        <w:t>existen</w:t>
      </w:r>
      <w:r w:rsidRPr="009432C5">
        <w:rPr>
          <w:rFonts w:ascii="Verdana" w:eastAsia="Calibri" w:hAnsi="Verdana" w:cs="Arial"/>
          <w:color w:val="000000" w:themeColor="text1"/>
        </w:rPr>
        <w:t xml:space="preserve"> </w:t>
      </w:r>
      <w:r>
        <w:rPr>
          <w:rFonts w:ascii="Verdana" w:eastAsia="Calibri" w:hAnsi="Verdana" w:cs="Arial"/>
          <w:color w:val="000000" w:themeColor="text1"/>
        </w:rPr>
        <w:t>dudas sobre las exigencias o las reglas de evaluación</w:t>
      </w:r>
      <w:r w:rsidRPr="009432C5">
        <w:rPr>
          <w:rFonts w:ascii="Verdana" w:eastAsia="Calibri" w:hAnsi="Verdana" w:cs="Arial"/>
          <w:color w:val="000000" w:themeColor="text1"/>
        </w:rPr>
        <w:t xml:space="preserve">, los interesados pueden formular observaciones para aclarar sus inquietudes. En </w:t>
      </w:r>
      <w:r w:rsidRPr="009432C5">
        <w:rPr>
          <w:rFonts w:ascii="Verdana" w:eastAsia="Calibri" w:hAnsi="Verdana" w:cs="Arial"/>
          <w:color w:val="000000" w:themeColor="text1"/>
        </w:rPr>
        <w:lastRenderedPageBreak/>
        <w:t>este sentido, el artículo 24.2 del Estatuto General de Contratación de la Administración Pública dispone que “En los procesos contractuales los interesados tendrán oportunidad de conocer y controvertir los informes, conceptos y decisiones que se rindan o adopten, para lo cual se establecerán etapas que permitan el conocimiento de dichas actuaciones y otorguen la posibilidad de expresar observaciones”. Así, los proponentes pueden observar tanto el proyecto de pliego como el pliego de condiciones definitivo con el propósito de esclarecer aspectos del proceso.</w:t>
      </w:r>
    </w:p>
    <w:p w14:paraId="3E31F851" w14:textId="77777777" w:rsidR="00196A2A" w:rsidRDefault="00196A2A" w:rsidP="00196A2A">
      <w:pPr>
        <w:widowControl w:val="0"/>
        <w:autoSpaceDE w:val="0"/>
        <w:autoSpaceDN w:val="0"/>
        <w:spacing w:after="0" w:line="276" w:lineRule="auto"/>
        <w:ind w:firstLine="709"/>
        <w:jc w:val="both"/>
        <w:rPr>
          <w:rFonts w:ascii="Verdana" w:eastAsia="Arial" w:hAnsi="Verdana" w:cs="Arial"/>
          <w:i/>
          <w:lang w:eastAsia="es-ES" w:bidi="es-ES"/>
        </w:rPr>
      </w:pPr>
      <w:r w:rsidRPr="00964AA2">
        <w:rPr>
          <w:rFonts w:ascii="Verdana" w:eastAsia="Calibri" w:hAnsi="Verdana" w:cs="Arial"/>
          <w:i/>
          <w:iCs/>
          <w:color w:val="000000" w:themeColor="text1"/>
        </w:rPr>
        <w:t>Por un lado</w:t>
      </w:r>
      <w:r>
        <w:rPr>
          <w:rFonts w:ascii="Verdana" w:eastAsia="Calibri" w:hAnsi="Verdana" w:cs="Arial"/>
          <w:color w:val="000000" w:themeColor="text1"/>
        </w:rPr>
        <w:t xml:space="preserve">, en concordancia con los artículos </w:t>
      </w:r>
      <w:r w:rsidRPr="009432C5">
        <w:rPr>
          <w:rFonts w:ascii="Verdana" w:eastAsia="Calibri" w:hAnsi="Verdana" w:cs="Arial"/>
          <w:color w:val="000000" w:themeColor="text1"/>
        </w:rPr>
        <w:t>2.2.1.1.1.7.1</w:t>
      </w:r>
      <w:r>
        <w:rPr>
          <w:rFonts w:ascii="Verdana" w:eastAsia="Calibri" w:hAnsi="Verdana" w:cs="Arial"/>
          <w:color w:val="000000" w:themeColor="text1"/>
        </w:rPr>
        <w:t xml:space="preserve"> y </w:t>
      </w:r>
      <w:r w:rsidRPr="009432C5">
        <w:rPr>
          <w:rFonts w:ascii="Verdana" w:eastAsia="Calibri" w:hAnsi="Verdana" w:cs="Arial"/>
          <w:color w:val="000000" w:themeColor="text1"/>
        </w:rPr>
        <w:t>2.2.1.1.2.1.4</w:t>
      </w:r>
      <w:r>
        <w:rPr>
          <w:rFonts w:ascii="Verdana" w:eastAsia="Calibri" w:hAnsi="Verdana" w:cs="Arial"/>
          <w:color w:val="000000" w:themeColor="text1"/>
        </w:rPr>
        <w:t xml:space="preserve"> del Decreto 1082 de 2015, el inciso primero del artículo 8 de la Ley 1150 de 2007 dispone lo siguiente: “</w:t>
      </w:r>
      <w:r w:rsidRPr="009432C5">
        <w:rPr>
          <w:rFonts w:ascii="Verdana" w:eastAsia="Calibri" w:hAnsi="Verdana" w:cs="Arial"/>
          <w:color w:val="000000" w:themeColor="text1"/>
        </w:rPr>
        <w:t>Con el propósito de suministrar al público en general la información que le permita formular observaciones a su contenido, las entidades publicarán los proyectos de pliegos de condiciones o sus equivalentes, en las condiciones que señale el reglamento. La información publicada debe ser veraz, responsable, ecuánime, suficiente y oportuna</w:t>
      </w:r>
      <w:r>
        <w:rPr>
          <w:rFonts w:ascii="Verdana" w:eastAsia="Calibri" w:hAnsi="Verdana" w:cs="Arial"/>
          <w:color w:val="000000" w:themeColor="text1"/>
        </w:rPr>
        <w:t>”</w:t>
      </w:r>
      <w:r w:rsidRPr="009432C5">
        <w:rPr>
          <w:rFonts w:ascii="Verdana" w:eastAsia="Calibri" w:hAnsi="Verdana" w:cs="Arial"/>
          <w:color w:val="000000" w:themeColor="text1"/>
        </w:rPr>
        <w:t>.</w:t>
      </w:r>
      <w:r>
        <w:rPr>
          <w:rFonts w:ascii="Verdana" w:eastAsia="Calibri" w:hAnsi="Verdana" w:cs="Arial"/>
          <w:color w:val="000000" w:themeColor="text1"/>
        </w:rPr>
        <w:t xml:space="preserve"> </w:t>
      </w:r>
      <w:r w:rsidRPr="00964AA2">
        <w:rPr>
          <w:rFonts w:ascii="Verdana" w:eastAsia="Calibri" w:hAnsi="Verdana" w:cs="Arial"/>
          <w:i/>
          <w:iCs/>
          <w:color w:val="000000" w:themeColor="text1"/>
        </w:rPr>
        <w:t>Por otra parte</w:t>
      </w:r>
      <w:r>
        <w:rPr>
          <w:rFonts w:ascii="Verdana" w:eastAsia="Calibri" w:hAnsi="Verdana" w:cs="Arial"/>
          <w:color w:val="000000" w:themeColor="text1"/>
        </w:rPr>
        <w:t xml:space="preserve">, </w:t>
      </w:r>
      <w:r w:rsidRPr="00526681">
        <w:rPr>
          <w:rFonts w:ascii="Verdana" w:eastAsia="Arial" w:hAnsi="Verdana" w:cs="Arial"/>
          <w:lang w:eastAsia="es-ES" w:bidi="es-ES"/>
        </w:rPr>
        <w:t>una vez publicados los pliegos de condiciones definitivos, las entidades pueden modificar su contenido, como consecuencia de las observaciones recibidas por parte de los interesados o por iniciativa de la misma entidad, cuando quiera que evidencie la necesidad de modificar, ajustar o aclarar algún aspecto o condición</w:t>
      </w:r>
      <w:r>
        <w:rPr>
          <w:rFonts w:ascii="Verdana" w:eastAsia="Arial" w:hAnsi="Verdana" w:cs="Arial"/>
          <w:lang w:eastAsia="es-ES" w:bidi="es-ES"/>
        </w:rPr>
        <w:t xml:space="preserve">. Estas </w:t>
      </w:r>
      <w:r w:rsidRPr="00526681">
        <w:rPr>
          <w:rFonts w:ascii="Verdana" w:eastAsia="Arial" w:hAnsi="Verdana" w:cs="Arial"/>
          <w:lang w:eastAsia="es-ES" w:bidi="es-ES"/>
        </w:rPr>
        <w:t>modificaci</w:t>
      </w:r>
      <w:r>
        <w:rPr>
          <w:rFonts w:ascii="Verdana" w:eastAsia="Arial" w:hAnsi="Verdana" w:cs="Arial"/>
          <w:lang w:eastAsia="es-ES" w:bidi="es-ES"/>
        </w:rPr>
        <w:t>o</w:t>
      </w:r>
      <w:r w:rsidRPr="00526681">
        <w:rPr>
          <w:rFonts w:ascii="Verdana" w:eastAsia="Arial" w:hAnsi="Verdana" w:cs="Arial"/>
          <w:lang w:eastAsia="es-ES" w:bidi="es-ES"/>
        </w:rPr>
        <w:t>n</w:t>
      </w:r>
      <w:r>
        <w:rPr>
          <w:rFonts w:ascii="Verdana" w:eastAsia="Arial" w:hAnsi="Verdana" w:cs="Arial"/>
          <w:lang w:eastAsia="es-ES" w:bidi="es-ES"/>
        </w:rPr>
        <w:t>es</w:t>
      </w:r>
      <w:r w:rsidRPr="00526681">
        <w:rPr>
          <w:rFonts w:ascii="Verdana" w:eastAsia="Arial" w:hAnsi="Verdana" w:cs="Arial"/>
          <w:lang w:eastAsia="es-ES" w:bidi="es-ES"/>
        </w:rPr>
        <w:t xml:space="preserve"> se realiza</w:t>
      </w:r>
      <w:r>
        <w:rPr>
          <w:rFonts w:ascii="Verdana" w:eastAsia="Arial" w:hAnsi="Verdana" w:cs="Arial"/>
          <w:lang w:eastAsia="es-ES" w:bidi="es-ES"/>
        </w:rPr>
        <w:t>n</w:t>
      </w:r>
      <w:r w:rsidRPr="00526681">
        <w:rPr>
          <w:rFonts w:ascii="Verdana" w:eastAsia="Arial" w:hAnsi="Verdana" w:cs="Arial"/>
          <w:lang w:eastAsia="es-ES" w:bidi="es-ES"/>
        </w:rPr>
        <w:t xml:space="preserve"> mediante </w:t>
      </w:r>
      <w:r w:rsidRPr="00526681">
        <w:rPr>
          <w:rFonts w:ascii="Verdana" w:eastAsia="Arial" w:hAnsi="Verdana" w:cs="Arial"/>
          <w:i/>
          <w:iCs/>
          <w:lang w:eastAsia="es-ES" w:bidi="es-ES"/>
        </w:rPr>
        <w:t>adendas</w:t>
      </w:r>
      <w:r>
        <w:rPr>
          <w:rFonts w:ascii="Verdana" w:eastAsia="Arial" w:hAnsi="Verdana" w:cs="Arial"/>
          <w:lang w:eastAsia="es-ES" w:bidi="es-ES"/>
        </w:rPr>
        <w:t xml:space="preserve">, las cuales se expiden en los términos del artículo </w:t>
      </w:r>
      <w:r w:rsidRPr="00176242">
        <w:rPr>
          <w:rFonts w:ascii="Verdana" w:eastAsia="Arial" w:hAnsi="Verdana" w:cs="Arial"/>
          <w:lang w:eastAsia="es-ES" w:bidi="es-ES"/>
        </w:rPr>
        <w:t>2.2.1.1.2.2.1</w:t>
      </w:r>
      <w:r>
        <w:rPr>
          <w:rFonts w:ascii="Verdana" w:eastAsia="Arial" w:hAnsi="Verdana" w:cs="Arial"/>
          <w:lang w:eastAsia="es-ES" w:bidi="es-ES"/>
        </w:rPr>
        <w:t xml:space="preserve"> del Decreto Único Reglamentario del Sector Administrativo de Planeación Nacional</w:t>
      </w:r>
      <w:r w:rsidRPr="00526681">
        <w:rPr>
          <w:rFonts w:ascii="Verdana" w:eastAsia="Arial" w:hAnsi="Verdana" w:cs="Arial"/>
          <w:i/>
          <w:lang w:eastAsia="es-ES" w:bidi="es-ES"/>
        </w:rPr>
        <w:t xml:space="preserve">. </w:t>
      </w:r>
    </w:p>
    <w:p w14:paraId="1E101498" w14:textId="77777777" w:rsidR="00196A2A" w:rsidRPr="00176242" w:rsidRDefault="00196A2A" w:rsidP="00196A2A">
      <w:pPr>
        <w:widowControl w:val="0"/>
        <w:autoSpaceDE w:val="0"/>
        <w:autoSpaceDN w:val="0"/>
        <w:spacing w:after="0" w:line="276" w:lineRule="auto"/>
        <w:jc w:val="both"/>
        <w:rPr>
          <w:rFonts w:ascii="Verdana" w:eastAsia="Arial" w:hAnsi="Verdana" w:cs="Arial"/>
          <w:iCs/>
          <w:lang w:eastAsia="es-ES" w:bidi="es-ES"/>
        </w:rPr>
      </w:pPr>
    </w:p>
    <w:p w14:paraId="69F2C489" w14:textId="77777777" w:rsidR="00196A2A" w:rsidRPr="00A47393" w:rsidRDefault="00196A2A" w:rsidP="00196A2A">
      <w:pPr>
        <w:tabs>
          <w:tab w:val="left" w:pos="709"/>
        </w:tabs>
        <w:spacing w:after="18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iv</w:t>
      </w:r>
      <w:proofErr w:type="spellEnd"/>
      <w:r>
        <w:rPr>
          <w:rFonts w:ascii="Verdana" w:eastAsia="Calibri" w:hAnsi="Verdana" w:cs="Arial"/>
          <w:bCs/>
          <w:color w:val="000000" w:themeColor="text1"/>
        </w:rPr>
        <w:t xml:space="preserve">. </w:t>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16ABA40" w14:textId="77777777" w:rsidR="00196A2A" w:rsidRPr="00185EE9" w:rsidRDefault="00196A2A" w:rsidP="00196A2A">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w:t>
      </w:r>
      <w:r w:rsidRPr="00A47393">
        <w:rPr>
          <w:rFonts w:ascii="Verdana" w:eastAsia="Calibri" w:hAnsi="Verdana" w:cs="Arial"/>
          <w:bCs/>
          <w:color w:val="000000" w:themeColor="text1"/>
        </w:rPr>
        <w:lastRenderedPageBreak/>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677F41B" w14:textId="77777777" w:rsidR="00196A2A" w:rsidRPr="00182C89" w:rsidRDefault="00196A2A" w:rsidP="00196A2A">
      <w:pPr>
        <w:tabs>
          <w:tab w:val="left" w:pos="709"/>
        </w:tabs>
        <w:spacing w:after="0" w:line="276" w:lineRule="auto"/>
        <w:jc w:val="both"/>
        <w:rPr>
          <w:rFonts w:ascii="Verdana" w:eastAsia="Calibri" w:hAnsi="Verdana" w:cs="Arial"/>
          <w:color w:val="000000" w:themeColor="text1"/>
        </w:rPr>
      </w:pPr>
    </w:p>
    <w:p w14:paraId="12DC74E5" w14:textId="77777777" w:rsidR="00196A2A" w:rsidRPr="00593A5F" w:rsidRDefault="00196A2A" w:rsidP="00196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2E7D3ACD" w14:textId="77777777" w:rsidR="00196A2A" w:rsidRPr="00593A5F" w:rsidRDefault="00196A2A" w:rsidP="00196A2A">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96A2A" w:rsidRPr="002407CE" w14:paraId="50FD6EAC" w14:textId="77777777" w:rsidTr="000453E0">
        <w:trPr>
          <w:trHeight w:val="56"/>
          <w:jc w:val="center"/>
        </w:trPr>
        <w:tc>
          <w:tcPr>
            <w:tcW w:w="8647" w:type="dxa"/>
          </w:tcPr>
          <w:p w14:paraId="15459A80" w14:textId="77777777" w:rsidR="00196A2A" w:rsidRPr="00FE37EF" w:rsidRDefault="00196A2A" w:rsidP="000453E0">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24 y 77.</w:t>
            </w:r>
          </w:p>
          <w:p w14:paraId="2A44D3AD" w14:textId="77777777" w:rsidR="00196A2A" w:rsidRPr="000E613C" w:rsidRDefault="00196A2A" w:rsidP="000453E0">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1150 de 2007, artículos 2, 5 y 8.</w:t>
            </w:r>
          </w:p>
          <w:p w14:paraId="2D797003" w14:textId="77777777" w:rsidR="00196A2A" w:rsidRDefault="00196A2A" w:rsidP="000453E0">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color w:val="000000" w:themeColor="text1"/>
              </w:rPr>
              <w:t>Ley 1437 de 2011</w:t>
            </w:r>
            <w:r>
              <w:rPr>
                <w:rFonts w:ascii="Verdana" w:hAnsi="Verdana" w:cs="Arial"/>
              </w:rPr>
              <w:t>, artículos 2 y 44.</w:t>
            </w:r>
          </w:p>
          <w:p w14:paraId="26CAE69A" w14:textId="77777777" w:rsidR="00196A2A" w:rsidRPr="00B87E7A" w:rsidRDefault="00196A2A" w:rsidP="000453E0">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artículos </w:t>
            </w:r>
            <w:r w:rsidRPr="00185EE9">
              <w:rPr>
                <w:rFonts w:ascii="Verdana" w:eastAsia="Calibri" w:hAnsi="Verdana" w:cs="Arial"/>
                <w:bCs/>
                <w:color w:val="000000" w:themeColor="text1"/>
              </w:rPr>
              <w:t>2.2.1.1.1.3.1</w:t>
            </w:r>
            <w:r>
              <w:rPr>
                <w:rFonts w:ascii="Verdana" w:eastAsia="Calibri" w:hAnsi="Verdana" w:cs="Arial"/>
                <w:bCs/>
                <w:color w:val="000000" w:themeColor="text1"/>
              </w:rPr>
              <w:t xml:space="preserve">, </w:t>
            </w:r>
            <w:r w:rsidRPr="009432C5">
              <w:rPr>
                <w:rFonts w:ascii="Verdana" w:eastAsia="Calibri" w:hAnsi="Verdana" w:cs="Arial"/>
                <w:color w:val="000000" w:themeColor="text1"/>
              </w:rPr>
              <w:t>2.2.1.1.1.7.1</w:t>
            </w:r>
            <w:r>
              <w:rPr>
                <w:rFonts w:ascii="Verdana" w:eastAsia="Calibri" w:hAnsi="Verdana" w:cs="Arial"/>
                <w:color w:val="000000" w:themeColor="text1"/>
              </w:rPr>
              <w:t xml:space="preserve">, </w:t>
            </w:r>
            <w:r>
              <w:rPr>
                <w:rFonts w:ascii="Verdana" w:eastAsia="Arial" w:hAnsi="Verdana" w:cs="Arial"/>
                <w:lang w:eastAsia="es-ES" w:bidi="es-ES"/>
              </w:rPr>
              <w:t>2.</w:t>
            </w:r>
            <w:r w:rsidRPr="00815C46">
              <w:rPr>
                <w:rFonts w:ascii="Verdana" w:eastAsia="Arial" w:hAnsi="Verdana" w:cs="Arial"/>
                <w:lang w:eastAsia="es-ES" w:bidi="es-ES"/>
              </w:rPr>
              <w:t>2.1.1.2.1.3</w:t>
            </w:r>
            <w:r>
              <w:rPr>
                <w:rFonts w:ascii="Verdana" w:eastAsia="Arial" w:hAnsi="Verdana" w:cs="Arial"/>
                <w:lang w:eastAsia="es-ES" w:bidi="es-ES"/>
              </w:rPr>
              <w:t xml:space="preserve">, </w:t>
            </w:r>
            <w:r w:rsidRPr="009432C5">
              <w:rPr>
                <w:rFonts w:ascii="Verdana" w:eastAsia="Calibri" w:hAnsi="Verdana" w:cs="Arial"/>
                <w:color w:val="000000" w:themeColor="text1"/>
              </w:rPr>
              <w:t>2.2.1.1.2.1.4</w:t>
            </w:r>
            <w:r>
              <w:rPr>
                <w:rFonts w:ascii="Verdana" w:eastAsia="Calibri" w:hAnsi="Verdana" w:cs="Arial"/>
                <w:color w:val="000000" w:themeColor="text1"/>
              </w:rPr>
              <w:t xml:space="preserve">, </w:t>
            </w:r>
            <w:r w:rsidRPr="00176242">
              <w:rPr>
                <w:rFonts w:ascii="Verdana" w:eastAsia="Arial" w:hAnsi="Verdana" w:cs="Arial"/>
                <w:lang w:eastAsia="es-ES" w:bidi="es-ES"/>
              </w:rPr>
              <w:t>2.2.1.1.2.2.1</w:t>
            </w:r>
            <w:r>
              <w:rPr>
                <w:rFonts w:ascii="Verdana" w:eastAsia="Arial" w:hAnsi="Verdana" w:cs="Arial"/>
                <w:lang w:eastAsia="es-ES" w:bidi="es-ES"/>
              </w:rPr>
              <w:t xml:space="preserve">, </w:t>
            </w:r>
            <w:r w:rsidRPr="00C06649">
              <w:rPr>
                <w:rFonts w:ascii="Verdana" w:eastAsia="Arial" w:hAnsi="Verdana" w:cs="Arial"/>
                <w:lang w:eastAsia="es-ES" w:bidi="es-ES"/>
              </w:rPr>
              <w:t>2.2.1.2.1.5.2</w:t>
            </w:r>
            <w:r>
              <w:rPr>
                <w:rFonts w:ascii="Verdana" w:eastAsia="Arial" w:hAnsi="Verdana" w:cs="Arial"/>
                <w:lang w:eastAsia="es-ES" w:bidi="es-ES"/>
              </w:rPr>
              <w:t xml:space="preserve">, </w:t>
            </w:r>
            <w:r w:rsidRPr="00B45861">
              <w:rPr>
                <w:rFonts w:ascii="Verdana" w:eastAsia="Arial" w:hAnsi="Verdana" w:cs="Arial"/>
                <w:lang w:eastAsia="es-ES" w:bidi="es-ES"/>
              </w:rPr>
              <w:t>2.2.1.2.2.1.9</w:t>
            </w:r>
            <w:r>
              <w:rPr>
                <w:rFonts w:ascii="Verdana" w:eastAsia="Arial" w:hAnsi="Verdana" w:cs="Arial"/>
                <w:lang w:eastAsia="es-ES" w:bidi="es-ES"/>
              </w:rPr>
              <w:t>,</w:t>
            </w:r>
            <w:r>
              <w:rPr>
                <w:rFonts w:ascii="Verdana" w:eastAsia="Calibri" w:hAnsi="Verdana" w:cs="Arial"/>
                <w:bCs/>
                <w:color w:val="000000" w:themeColor="text1"/>
              </w:rPr>
              <w:t xml:space="preserve"> </w:t>
            </w:r>
            <w:r w:rsidRPr="00844B92">
              <w:rPr>
                <w:rFonts w:ascii="Verdana" w:eastAsia="Calibri" w:hAnsi="Verdana" w:cs="Arial"/>
                <w:lang w:val="es-MX"/>
              </w:rPr>
              <w:t>2.2.1.2.1.2.11 a 2.2.1.2.1.2.19</w:t>
            </w:r>
            <w:r>
              <w:rPr>
                <w:rFonts w:ascii="Verdana" w:eastAsia="Calibri" w:hAnsi="Verdana" w:cs="Arial"/>
                <w:lang w:val="es-MX"/>
              </w:rPr>
              <w:t xml:space="preserve">. </w:t>
            </w:r>
            <w:r>
              <w:rPr>
                <w:rFonts w:ascii="Verdana" w:hAnsi="Verdana" w:cs="Arial"/>
              </w:rPr>
              <w:t xml:space="preserve"> </w:t>
            </w:r>
          </w:p>
        </w:tc>
      </w:tr>
    </w:tbl>
    <w:p w14:paraId="258B9653" w14:textId="77777777" w:rsidR="00196A2A" w:rsidRPr="002407CE" w:rsidRDefault="00196A2A" w:rsidP="00196A2A">
      <w:pPr>
        <w:widowControl w:val="0"/>
        <w:autoSpaceDE w:val="0"/>
        <w:autoSpaceDN w:val="0"/>
        <w:spacing w:after="0" w:line="276" w:lineRule="auto"/>
        <w:jc w:val="both"/>
        <w:rPr>
          <w:rFonts w:ascii="Verdana" w:hAnsi="Verdana" w:cs="Arial"/>
        </w:rPr>
      </w:pPr>
    </w:p>
    <w:p w14:paraId="7712BFD2" w14:textId="77777777" w:rsidR="00196A2A" w:rsidRPr="00593A5F" w:rsidRDefault="00196A2A" w:rsidP="00196A2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2555DB0B" w14:textId="77777777" w:rsidR="00196A2A" w:rsidRPr="00593A5F" w:rsidRDefault="00196A2A" w:rsidP="00196A2A">
      <w:pPr>
        <w:widowControl w:val="0"/>
        <w:autoSpaceDE w:val="0"/>
        <w:autoSpaceDN w:val="0"/>
        <w:spacing w:after="0" w:line="276" w:lineRule="auto"/>
        <w:jc w:val="both"/>
        <w:rPr>
          <w:rFonts w:ascii="Verdana" w:hAnsi="Verdana" w:cs="Arial"/>
        </w:rPr>
      </w:pPr>
    </w:p>
    <w:p w14:paraId="69C1034B" w14:textId="77777777" w:rsidR="00196A2A" w:rsidRPr="00ED0098" w:rsidRDefault="00196A2A" w:rsidP="00196A2A">
      <w:pPr>
        <w:widowControl w:val="0"/>
        <w:autoSpaceDE w:val="0"/>
        <w:autoSpaceDN w:val="0"/>
        <w:spacing w:after="0" w:line="276" w:lineRule="auto"/>
        <w:jc w:val="both"/>
        <w:rPr>
          <w:rStyle w:val="normaltextrun"/>
          <w:rFonts w:ascii="Verdana" w:hAnsi="Verdana" w:cs="Arial"/>
          <w:shd w:val="clear" w:color="auto" w:fill="FFFFFF"/>
        </w:rPr>
      </w:pPr>
      <w:r w:rsidRPr="00E278D2">
        <w:rPr>
          <w:rStyle w:val="normaltextrun"/>
          <w:rFonts w:ascii="Verdana" w:hAnsi="Verdana" w:cs="Arial"/>
          <w:shd w:val="clear" w:color="auto" w:fill="FFFFFF"/>
        </w:rPr>
        <w:t>Est</w:t>
      </w:r>
      <w:r>
        <w:rPr>
          <w:rStyle w:val="normaltextrun"/>
          <w:rFonts w:ascii="Verdana" w:hAnsi="Verdana" w:cs="Arial"/>
          <w:shd w:val="clear" w:color="auto" w:fill="FFFFFF"/>
        </w:rPr>
        <w:t>e</w:t>
      </w:r>
      <w:r w:rsidRPr="00E278D2">
        <w:rPr>
          <w:rStyle w:val="normaltextrun"/>
          <w:rFonts w:ascii="Verdana" w:hAnsi="Verdana" w:cs="Arial"/>
          <w:shd w:val="clear" w:color="auto" w:fill="FFFFFF"/>
        </w:rPr>
        <w:t xml:space="preserve"> y otros conceptos</w:t>
      </w:r>
      <w:r>
        <w:rPr>
          <w:rStyle w:val="normaltextrun"/>
          <w:rFonts w:ascii="Verdana" w:hAnsi="Verdana" w:cs="Arial"/>
          <w:shd w:val="clear" w:color="auto" w:fill="FFFFFF"/>
        </w:rPr>
        <w:t xml:space="preserve"> de la Subdirección</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2CA84D55" w14:textId="77777777" w:rsidR="00196A2A" w:rsidRPr="00096788" w:rsidRDefault="00196A2A" w:rsidP="00196A2A">
      <w:pPr>
        <w:widowControl w:val="0"/>
        <w:autoSpaceDE w:val="0"/>
        <w:autoSpaceDN w:val="0"/>
        <w:spacing w:after="0" w:line="276" w:lineRule="auto"/>
        <w:jc w:val="both"/>
        <w:rPr>
          <w:rFonts w:ascii="Verdana" w:hAnsi="Verdana" w:cs="Arial"/>
          <w:color w:val="000000" w:themeColor="text1"/>
          <w:shd w:val="clear" w:color="auto" w:fill="FFFFFF"/>
        </w:rPr>
      </w:pPr>
    </w:p>
    <w:p w14:paraId="4FAB7DBC" w14:textId="77777777" w:rsidR="00196A2A" w:rsidRDefault="00196A2A" w:rsidP="00196A2A">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0103768F" w14:textId="77777777" w:rsidR="00196A2A" w:rsidRPr="009A385A" w:rsidRDefault="00196A2A" w:rsidP="00196A2A">
      <w:pPr>
        <w:spacing w:after="0"/>
        <w:jc w:val="both"/>
        <w:rPr>
          <w:rFonts w:ascii="Verdana" w:hAnsi="Verdana"/>
        </w:rPr>
      </w:pPr>
    </w:p>
    <w:p w14:paraId="7CE7F694" w14:textId="77777777" w:rsidR="00196A2A" w:rsidRDefault="00196A2A" w:rsidP="00196A2A">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 xml:space="preserve">mediante las cuales </w:t>
      </w:r>
      <w:r w:rsidRPr="009A385A">
        <w:rPr>
          <w:rFonts w:ascii="Verdana" w:hAnsi="Verdana"/>
          <w:b/>
          <w:bCs/>
        </w:rPr>
        <w:lastRenderedPageBreak/>
        <w:t>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69EB9987" w14:textId="77777777" w:rsidR="00196A2A" w:rsidRDefault="00196A2A" w:rsidP="00196A2A">
      <w:pPr>
        <w:spacing w:after="0"/>
        <w:jc w:val="both"/>
        <w:rPr>
          <w:rFonts w:ascii="Verdana" w:hAnsi="Verdana"/>
        </w:rPr>
      </w:pPr>
    </w:p>
    <w:p w14:paraId="0E6DCEE6" w14:textId="77777777" w:rsidR="00196A2A" w:rsidRPr="008E1CD7" w:rsidRDefault="00196A2A" w:rsidP="00196A2A">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5A714E3" w14:textId="77777777" w:rsidR="00196A2A" w:rsidRDefault="00196A2A" w:rsidP="00196A2A">
      <w:pPr>
        <w:shd w:val="clear" w:color="auto" w:fill="FFFFFF"/>
        <w:spacing w:after="0" w:line="276" w:lineRule="auto"/>
        <w:jc w:val="both"/>
        <w:rPr>
          <w:rFonts w:ascii="Verdana" w:hAnsi="Verdana"/>
          <w:color w:val="000000"/>
          <w:u w:val="single"/>
        </w:rPr>
      </w:pPr>
    </w:p>
    <w:p w14:paraId="15D91F4F" w14:textId="77777777" w:rsidR="00196A2A" w:rsidRPr="00116940" w:rsidRDefault="00196A2A" w:rsidP="00196A2A">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592E12E" w14:textId="77777777" w:rsidR="00196A2A" w:rsidRPr="00116940" w:rsidRDefault="00196A2A" w:rsidP="00196A2A">
      <w:pPr>
        <w:spacing w:after="0"/>
        <w:jc w:val="both"/>
        <w:rPr>
          <w:rFonts w:ascii="Verdana" w:hAnsi="Verdana"/>
        </w:rPr>
      </w:pPr>
    </w:p>
    <w:p w14:paraId="2ED5867E" w14:textId="77777777" w:rsidR="00196A2A" w:rsidRPr="00116940" w:rsidRDefault="00196A2A" w:rsidP="00196A2A">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0954F03" w14:textId="77777777" w:rsidR="00196A2A" w:rsidRPr="00116940" w:rsidRDefault="00196A2A" w:rsidP="00196A2A">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0B050B9F" w14:textId="77777777" w:rsidR="00196A2A" w:rsidRPr="00116940" w:rsidRDefault="00196A2A" w:rsidP="00196A2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5B9B8AF5" w14:textId="77777777" w:rsidR="00196A2A" w:rsidRPr="00116940" w:rsidRDefault="00196A2A" w:rsidP="00196A2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792EBBAE" w14:textId="77777777" w:rsidR="00196A2A" w:rsidRPr="00116940" w:rsidRDefault="00196A2A" w:rsidP="00196A2A">
      <w:pPr>
        <w:spacing w:after="0" w:line="240" w:lineRule="auto"/>
        <w:ind w:left="720"/>
        <w:jc w:val="both"/>
        <w:rPr>
          <w:rFonts w:ascii="Verdana" w:hAnsi="Verdana"/>
        </w:rPr>
      </w:pPr>
    </w:p>
    <w:p w14:paraId="10E30AE2" w14:textId="77777777" w:rsidR="00196A2A" w:rsidRPr="00116940" w:rsidRDefault="00196A2A" w:rsidP="00196A2A">
      <w:pPr>
        <w:spacing w:after="0" w:line="240" w:lineRule="auto"/>
        <w:rPr>
          <w:rFonts w:ascii="Verdana" w:hAnsi="Verdana"/>
        </w:rPr>
      </w:pPr>
      <w:r w:rsidRPr="00116940">
        <w:rPr>
          <w:rFonts w:ascii="Verdana" w:hAnsi="Verdana"/>
        </w:rPr>
        <w:lastRenderedPageBreak/>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71253F90" w14:textId="77777777" w:rsidR="00196A2A" w:rsidRPr="00116940" w:rsidRDefault="00196A2A" w:rsidP="00196A2A">
      <w:pPr>
        <w:spacing w:after="0" w:line="240" w:lineRule="auto"/>
        <w:rPr>
          <w:rFonts w:ascii="Verdana" w:hAnsi="Verdana"/>
        </w:rPr>
      </w:pPr>
    </w:p>
    <w:p w14:paraId="3D0471BF" w14:textId="77777777" w:rsidR="00196A2A" w:rsidRPr="00116940" w:rsidRDefault="00196A2A" w:rsidP="00196A2A">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E8C7E95" w14:textId="77777777" w:rsidR="00196A2A" w:rsidRPr="00116940" w:rsidRDefault="00196A2A" w:rsidP="00196A2A">
      <w:pPr>
        <w:spacing w:after="0" w:line="240" w:lineRule="auto"/>
        <w:jc w:val="both"/>
        <w:rPr>
          <w:rFonts w:ascii="Verdana" w:hAnsi="Verdana"/>
        </w:rPr>
      </w:pPr>
    </w:p>
    <w:p w14:paraId="1EE0FDF0" w14:textId="77777777" w:rsidR="00196A2A" w:rsidRPr="00116940" w:rsidRDefault="00196A2A" w:rsidP="00196A2A">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87A9191" w14:textId="77777777" w:rsidR="00196A2A" w:rsidRPr="00116940" w:rsidRDefault="00196A2A" w:rsidP="00196A2A">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12F360D" w14:textId="77777777" w:rsidR="00196A2A" w:rsidRPr="00116940" w:rsidRDefault="00196A2A" w:rsidP="00196A2A">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B396A6A" w14:textId="77777777" w:rsidR="00196A2A" w:rsidRPr="009C4035" w:rsidRDefault="00196A2A" w:rsidP="00196A2A">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04B4283F" w14:textId="77777777" w:rsidR="00196A2A" w:rsidRPr="00593A5F" w:rsidRDefault="00196A2A" w:rsidP="00196A2A">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0E78B429" w14:textId="77777777" w:rsidR="00196A2A" w:rsidRPr="00593A5F" w:rsidRDefault="00196A2A" w:rsidP="00196A2A">
      <w:pPr>
        <w:widowControl w:val="0"/>
        <w:autoSpaceDE w:val="0"/>
        <w:autoSpaceDN w:val="0"/>
        <w:spacing w:after="0" w:line="276" w:lineRule="auto"/>
        <w:jc w:val="both"/>
        <w:rPr>
          <w:rFonts w:ascii="Verdana" w:hAnsi="Verdana" w:cs="Arial"/>
        </w:rPr>
      </w:pPr>
    </w:p>
    <w:p w14:paraId="47A43002" w14:textId="77777777" w:rsidR="00196A2A" w:rsidRPr="00593A5F" w:rsidRDefault="00196A2A" w:rsidP="00196A2A">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0D28F87" w14:textId="4A055628" w:rsidR="00196A2A" w:rsidRPr="00593A5F" w:rsidRDefault="0097667F" w:rsidP="00196A2A">
      <w:pPr>
        <w:spacing w:line="276" w:lineRule="auto"/>
        <w:jc w:val="center"/>
        <w:rPr>
          <w:rFonts w:ascii="Verdana" w:hAnsi="Verdana" w:cs="Arial"/>
          <w:color w:val="000000"/>
          <w:lang w:val="es-ES_tradnl" w:eastAsia="es-CO"/>
        </w:rPr>
      </w:pPr>
      <w:r>
        <w:rPr>
          <w:noProof/>
        </w:rPr>
        <w:drawing>
          <wp:inline distT="0" distB="0" distL="0" distR="0" wp14:anchorId="49C725BB" wp14:editId="77FF51AB">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96A2A" w:rsidRPr="00593A5F" w14:paraId="4C1FB98A" w14:textId="77777777" w:rsidTr="000453E0">
        <w:trPr>
          <w:trHeight w:val="315"/>
        </w:trPr>
        <w:tc>
          <w:tcPr>
            <w:tcW w:w="893" w:type="dxa"/>
            <w:vAlign w:val="center"/>
            <w:hideMark/>
          </w:tcPr>
          <w:p w14:paraId="28D8D682" w14:textId="77777777" w:rsidR="00196A2A" w:rsidRPr="003751C7" w:rsidRDefault="00196A2A"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1A9F001" w14:textId="77777777" w:rsidR="00196A2A" w:rsidRPr="00254A7A" w:rsidRDefault="00196A2A" w:rsidP="000453E0">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0F690CE0" w14:textId="77777777" w:rsidR="00196A2A" w:rsidRPr="00254A7A" w:rsidRDefault="00196A2A" w:rsidP="000453E0">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196A2A" w:rsidRPr="00593A5F" w14:paraId="37499F93" w14:textId="77777777" w:rsidTr="000453E0">
        <w:trPr>
          <w:trHeight w:val="330"/>
        </w:trPr>
        <w:tc>
          <w:tcPr>
            <w:tcW w:w="893" w:type="dxa"/>
            <w:vAlign w:val="center"/>
            <w:hideMark/>
          </w:tcPr>
          <w:p w14:paraId="781DC240" w14:textId="77777777" w:rsidR="00196A2A" w:rsidRPr="003751C7" w:rsidRDefault="00196A2A"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8B2150D" w14:textId="77777777" w:rsidR="00196A2A" w:rsidRPr="00DD767E" w:rsidRDefault="00196A2A" w:rsidP="000453E0">
            <w:pPr>
              <w:pStyle w:val="paragraph"/>
              <w:spacing w:after="0"/>
              <w:contextualSpacing/>
              <w:textAlignment w:val="baseline"/>
              <w:rPr>
                <w:rStyle w:val="normaltextrun"/>
                <w:rFonts w:ascii="Verdana" w:hAnsi="Verdana" w:cs="Arial"/>
                <w:sz w:val="16"/>
                <w:szCs w:val="16"/>
                <w:lang w:val="es-ES_tradnl"/>
              </w:rPr>
            </w:pPr>
            <w:r w:rsidRPr="00DD767E">
              <w:rPr>
                <w:rStyle w:val="normaltextrun"/>
                <w:rFonts w:ascii="Verdana" w:hAnsi="Verdana" w:cs="Arial"/>
                <w:sz w:val="16"/>
                <w:szCs w:val="16"/>
                <w:lang w:val="es-ES_tradnl"/>
              </w:rPr>
              <w:t>Alejandro Sarmiento Cantillo</w:t>
            </w:r>
          </w:p>
          <w:p w14:paraId="52DE5AAE" w14:textId="77777777" w:rsidR="00196A2A" w:rsidRPr="00A40FD0" w:rsidRDefault="00196A2A" w:rsidP="000453E0">
            <w:pPr>
              <w:pStyle w:val="paragraph"/>
              <w:spacing w:before="0" w:beforeAutospacing="0" w:after="0" w:afterAutospacing="0"/>
              <w:contextualSpacing/>
              <w:textAlignment w:val="baseline"/>
              <w:rPr>
                <w:rFonts w:ascii="Verdana" w:hAnsi="Verdana" w:cs="Segoe UI"/>
                <w:sz w:val="16"/>
                <w:szCs w:val="16"/>
              </w:rPr>
            </w:pPr>
            <w:r w:rsidRPr="00DD767E">
              <w:rPr>
                <w:rStyle w:val="normaltextrun"/>
                <w:rFonts w:ascii="Verdana" w:hAnsi="Verdana" w:cs="Arial"/>
                <w:sz w:val="16"/>
                <w:szCs w:val="16"/>
                <w:lang w:val="es-ES_tradnl"/>
              </w:rPr>
              <w:t>Gestor T1 ‒ 15 de la Subdirección de Gestión Contractual</w:t>
            </w:r>
          </w:p>
        </w:tc>
      </w:tr>
      <w:tr w:rsidR="00196A2A" w:rsidRPr="00593A5F" w14:paraId="30F346E5" w14:textId="77777777" w:rsidTr="000453E0">
        <w:trPr>
          <w:trHeight w:val="300"/>
        </w:trPr>
        <w:tc>
          <w:tcPr>
            <w:tcW w:w="893" w:type="dxa"/>
            <w:vAlign w:val="center"/>
          </w:tcPr>
          <w:p w14:paraId="1E7BA67E" w14:textId="77777777" w:rsidR="00196A2A" w:rsidRPr="003751C7" w:rsidRDefault="00196A2A" w:rsidP="000453E0">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8AEEC52" w14:textId="77777777" w:rsidR="00196A2A" w:rsidRPr="00FE00BE" w:rsidRDefault="00196A2A" w:rsidP="000453E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39ACB046" w14:textId="77777777" w:rsidR="00196A2A" w:rsidRPr="00FE00BE" w:rsidRDefault="00196A2A" w:rsidP="000453E0">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7FF39462" w14:textId="77777777" w:rsidR="00196A2A" w:rsidRDefault="00196A2A" w:rsidP="00196A2A"/>
    <w:p w14:paraId="3E906199" w14:textId="2177D23F" w:rsidR="00196A2A" w:rsidRPr="00543BFE" w:rsidRDefault="00196A2A" w:rsidP="00196A2A"/>
    <w:p w14:paraId="0F293BF4" w14:textId="32B02307" w:rsidR="00127233" w:rsidRPr="00C17C65" w:rsidRDefault="00127233" w:rsidP="00C17C65"/>
    <w:sectPr w:rsidR="00127233" w:rsidRPr="00C17C65"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B0AD" w14:textId="77777777" w:rsidR="003C5FEC" w:rsidRDefault="003C5FEC" w:rsidP="004A1847">
      <w:pPr>
        <w:spacing w:after="0" w:line="240" w:lineRule="auto"/>
      </w:pPr>
      <w:r>
        <w:separator/>
      </w:r>
    </w:p>
  </w:endnote>
  <w:endnote w:type="continuationSeparator" w:id="0">
    <w:p w14:paraId="7B0C2F6C" w14:textId="77777777" w:rsidR="003C5FEC" w:rsidRDefault="003C5FE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E6838" w14:textId="77777777" w:rsidR="003C5FEC" w:rsidRDefault="003C5FEC" w:rsidP="004A1847">
      <w:pPr>
        <w:spacing w:after="0" w:line="240" w:lineRule="auto"/>
      </w:pPr>
      <w:r>
        <w:separator/>
      </w:r>
    </w:p>
  </w:footnote>
  <w:footnote w:type="continuationSeparator" w:id="0">
    <w:p w14:paraId="29C09EDE" w14:textId="77777777" w:rsidR="003C5FEC" w:rsidRDefault="003C5FEC" w:rsidP="004A1847">
      <w:pPr>
        <w:spacing w:after="0" w:line="240" w:lineRule="auto"/>
      </w:pPr>
      <w:r>
        <w:continuationSeparator/>
      </w:r>
    </w:p>
  </w:footnote>
  <w:footnote w:id="1">
    <w:p w14:paraId="2914F074"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Al respecto, la jurisprudencia explica que la garantía del debido proceso “[…] tampoco es exclusiva de los procedimientos sancionatorios contractuales, sino de los demás trámites administrativos que se surten al interior de la actividad contractual, que también deben garantizar un procedimiento previo que racionalice las decisiones que se adoptan a través suyo. Los más representativos son los procesos de selección de contratistas, cuyas etapas y requisitos son de estricta observancia, tanto para la administración como para los participantes, en señal de respeto al principio de legalidad como a este derecho que integra el debido proceso” (CONSEJO DE ESTADO. Sección Tercera. Sentencia del 23 de junio de 2010. Rad. 16.367. C.P. Enrique Gil Botero). </w:t>
      </w:r>
    </w:p>
  </w:footnote>
  <w:footnote w:id="2">
    <w:p w14:paraId="235951D5"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De hecho, en la exposición de motivos se explicó lo siguiente: “El proyecto mantiene como regla general la utilización de procedimientos reglados de selección objetiva del contratista [...], lo que afirma la ordenación que sobre la materia ha mantenido nuestra legislación desde el Código Fiscal de 1873 en cuanto que su justificación estriba, esencialmente, en los conceptos de seguridad, corrección y moralidad administrativas, así como en el principio de igualdad de oportunidades para que cualquier persona que esté en posibilidad de contratar con la administración tenga acceso a ella” (</w:t>
      </w:r>
      <w:bookmarkStart w:id="4" w:name="_Hlk39067926"/>
      <w:r w:rsidRPr="0018201D">
        <w:rPr>
          <w:rFonts w:ascii="Verdana" w:hAnsi="Verdana" w:cs="Arial"/>
          <w:sz w:val="16"/>
          <w:szCs w:val="16"/>
        </w:rPr>
        <w:t>CONGRESO DE LA REPÚBLICA. Exposición de motivos de la Ley 80 de 1993. Gaceta del Congreso No. 75 del 23 de septiembre de 1992</w:t>
      </w:r>
      <w:bookmarkEnd w:id="4"/>
      <w:r w:rsidRPr="0018201D">
        <w:rPr>
          <w:rFonts w:ascii="Verdana" w:hAnsi="Verdana" w:cs="Arial"/>
          <w:sz w:val="16"/>
          <w:szCs w:val="16"/>
        </w:rPr>
        <w:t>).</w:t>
      </w:r>
    </w:p>
  </w:footnote>
  <w:footnote w:id="3">
    <w:p w14:paraId="34A51AFE"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El inciso primero de norma disponía que, conforme al principio de transparencia, “</w:t>
      </w:r>
      <w:r w:rsidRPr="0018201D">
        <w:rPr>
          <w:rFonts w:ascii="Verdana" w:hAnsi="Verdana" w:cs="Arial"/>
          <w:i/>
          <w:iCs/>
          <w:sz w:val="16"/>
          <w:szCs w:val="16"/>
        </w:rPr>
        <w:t>La escogencia del contratista se efectuará siempre a través de licitación o concurso públicos</w:t>
      </w:r>
      <w:r w:rsidRPr="0018201D">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4">
    <w:p w14:paraId="3D09481B"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18201D">
        <w:rPr>
          <w:rFonts w:ascii="Verdana" w:hAnsi="Verdana" w:cs="Arial"/>
          <w:i/>
          <w:iCs/>
          <w:sz w:val="16"/>
          <w:szCs w:val="16"/>
        </w:rPr>
        <w:t>Presentación de la oferta de manera dinámica</w:t>
      </w:r>
      <w:r w:rsidRPr="0018201D">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5">
    <w:p w14:paraId="282018BD"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El numeral 2 del artículo 2 de la Ley 1150 de 2007 prescribe: “[…] Serán causales de selección abreviada las siguientes:</w:t>
      </w:r>
    </w:p>
    <w:p w14:paraId="7261D7D5"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a) La adquisición o suministro de bienes y servicios de características técnicas uniformes y de común utilización por parte de las entidades, que corresponden a aquellos que poseen las mismas especificaciones técnicas, con independencia de su diseño o de sus características descriptivas, y comparten patrones de desempeño y calidad objetivamente definidos.</w:t>
      </w:r>
    </w:p>
    <w:p w14:paraId="2EA20A08"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 xml:space="preserve">Para la adquisición de estos bienes y servicios las entidades deberán, siempre que el reglamento así lo señale, hacer uso de procedimientos de subasta inversa o de instrumentos de compra por catálogo derivados de la celebración de acuerdos marco de precios o de procedimientos de adquisición en bolsas de productos; </w:t>
      </w:r>
    </w:p>
    <w:p w14:paraId="19678DEE"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b) La contratación de menor cuantía. Se entenderá por menor cuantía los valores que a continuación se relacionan, determinados en función de los presupuestos anuales de las entidades públicas expresados en salarios mínimos legales mensuales.</w:t>
      </w:r>
    </w:p>
    <w:p w14:paraId="34BC9FB4"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w:t>
      </w:r>
    </w:p>
    <w:p w14:paraId="434797BA"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c) Sin perjuicio de lo dispuesto en la Ley 100 de 1993 y en la Ley 1122 de 2007, la celebración de contratos para la prestación de servicios de salud. El reglamento interno correspondiente fijará las garantías a cargo de los contratistas. Los pagos correspondientes se podrán hacer mediante encargos fiduciarios;</w:t>
      </w:r>
    </w:p>
    <w:p w14:paraId="2C94A485"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d) La contratación cuyo proceso de licitación pública haya sido declarado desierto; en cuyo caso la entidad deberá iniciar la selección abreviada dentro de los cuatro meses siguientes a la declaración de desierta del proceso inicial;</w:t>
      </w:r>
    </w:p>
    <w:p w14:paraId="5D785603"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e) La enajenación de bienes del Estado, con excepción de aquellos a que se refiere la Ley 226 de 1995.</w:t>
      </w:r>
    </w:p>
    <w:p w14:paraId="6C8886CE"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 xml:space="preserve">[…]; </w:t>
      </w:r>
    </w:p>
    <w:p w14:paraId="4CA8853F"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 xml:space="preserve">f) Productos de origen o destinación agropecuarios que se ofrezcan en las bolsas de productos legalmente constituidas; </w:t>
      </w:r>
    </w:p>
    <w:p w14:paraId="780C97D4"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 xml:space="preserve">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w:t>
      </w:r>
    </w:p>
    <w:p w14:paraId="162986F8"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h) Los contratos de las entidades, a cuyo cargo se encuentre la ejecución de los programas de protección de personas amenazadas, programas de desmovilización y reincorporación a la vida civil de personas y grupos al margen de la ley, incluida la atención de los respectivos grupos familiares, programas de atención a población desplazada por la violencia, programas de protección de derechos humanos de grupos de personas habitantes de la calle, niños y niñas o jóvenes involucrados en grupos juveniles que hayan incurrido en conductas contra el patrimonio económico y sostengan enfrentamientos violentos de diferente tipo, y población en alto grado de vulnerabilidad con reconocido estado de exclusión que requieran capacitación, resocialización y preparación para el trabajo, incluidos los contratos fiduciarios que demanden;</w:t>
      </w:r>
    </w:p>
    <w:p w14:paraId="522BA199"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i) La contratación de bienes y servicios que se requieran para la defensa y seguridad nacional.</w:t>
      </w:r>
    </w:p>
    <w:p w14:paraId="6EE34BB0" w14:textId="77777777" w:rsidR="00196A2A" w:rsidRPr="0018201D" w:rsidRDefault="00196A2A" w:rsidP="00196A2A">
      <w:pPr>
        <w:pStyle w:val="Textonotapie"/>
        <w:ind w:firstLine="708"/>
        <w:jc w:val="both"/>
        <w:rPr>
          <w:rFonts w:ascii="Verdana" w:hAnsi="Verdana" w:cs="Arial"/>
          <w:sz w:val="16"/>
          <w:szCs w:val="16"/>
        </w:rPr>
      </w:pPr>
      <w:r w:rsidRPr="0018201D">
        <w:rPr>
          <w:rFonts w:ascii="Verdana" w:hAnsi="Verdana" w:cs="Arial"/>
          <w:sz w:val="16"/>
          <w:szCs w:val="16"/>
        </w:rPr>
        <w:t>j) Los bienes y servicios no uniformes de común utilización por parte de las entidades públicas, para lo cual la Agencia Nacional de Contratación Pública Colombia Compra Eficiente-podrá celebrar acuerdos marco de precios y demás instrumentos de agregación de demanda. Estos acuerdos marco de precios también serán de obligatorio uso de las entidades del Estado a las que se refiere el parágrafo 5° del artículo 2° de la presente ley, modificado por el artículo 41 de la ley 1955 de 2019”.</w:t>
      </w:r>
    </w:p>
  </w:footnote>
  <w:footnote w:id="6">
    <w:p w14:paraId="20DB885D"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CONGRESO DE LA REPÚBLICA. Exposición de motivos de la Ley 1150 de 2007. Gaceta del Congreso No. 458 del 1º de agosto de 2005. p. 8. </w:t>
      </w:r>
    </w:p>
  </w:footnote>
  <w:footnote w:id="7">
    <w:p w14:paraId="210B2124"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CONSEJO DE ESTADO. Sección Tercera. Subsección A. Sentencia del 23 de julio de 2015. Exp. 36.805. C. P. Hernán Andrade Rincón. </w:t>
      </w:r>
    </w:p>
  </w:footnote>
  <w:footnote w:id="8">
    <w:p w14:paraId="43033540" w14:textId="77777777" w:rsidR="00196A2A" w:rsidRPr="0018201D" w:rsidRDefault="00196A2A" w:rsidP="00196A2A">
      <w:pPr>
        <w:pStyle w:val="Textonotapie"/>
        <w:ind w:firstLine="708"/>
        <w:jc w:val="both"/>
        <w:rPr>
          <w:rFonts w:ascii="Verdana" w:hAnsi="Verdana"/>
          <w:bCs/>
          <w:sz w:val="16"/>
          <w:szCs w:val="16"/>
          <w:lang w:val="es-ES_tradnl"/>
        </w:rPr>
      </w:pPr>
      <w:r w:rsidRPr="0018201D">
        <w:rPr>
          <w:rStyle w:val="Refdenotaalpie"/>
          <w:rFonts w:ascii="Verdana" w:hAnsi="Verdana"/>
          <w:sz w:val="16"/>
          <w:szCs w:val="16"/>
        </w:rPr>
        <w:footnoteRef/>
      </w:r>
      <w:r w:rsidRPr="0018201D">
        <w:rPr>
          <w:rFonts w:ascii="Verdana" w:hAnsi="Verdana"/>
          <w:sz w:val="16"/>
          <w:szCs w:val="16"/>
        </w:rPr>
        <w:t xml:space="preserve"> </w:t>
      </w:r>
      <w:r w:rsidRPr="0018201D">
        <w:rPr>
          <w:rFonts w:ascii="Verdana" w:hAnsi="Verdana"/>
          <w:bCs/>
          <w:sz w:val="16"/>
          <w:szCs w:val="16"/>
          <w:lang w:val="es-ES_tradnl"/>
        </w:rPr>
        <w:t>En este sentido, la doctrina explica que “</w:t>
      </w:r>
      <w:r w:rsidRPr="0018201D">
        <w:rPr>
          <w:rFonts w:ascii="Verdana" w:hAnsi="Verdana"/>
          <w:bCs/>
          <w:sz w:val="16"/>
          <w:szCs w:val="16"/>
          <w:lang w:val="es-CO"/>
        </w:rPr>
        <w:t xml:space="preserve">Según el tipo de posición jurídica que ocupen el subastador y el postor, se dice que la subasta puede ser ordinaria o inversa. En la </w:t>
      </w:r>
      <w:r w:rsidRPr="0018201D">
        <w:rPr>
          <w:rFonts w:ascii="Verdana" w:hAnsi="Verdana"/>
          <w:bCs/>
          <w:i/>
          <w:iCs/>
          <w:sz w:val="16"/>
          <w:szCs w:val="16"/>
          <w:lang w:val="es-CO"/>
        </w:rPr>
        <w:t>subasta ordinaria</w:t>
      </w:r>
      <w:r w:rsidRPr="0018201D">
        <w:rPr>
          <w:rFonts w:ascii="Verdana" w:hAnsi="Verdana"/>
          <w:bCs/>
          <w:sz w:val="16"/>
          <w:szCs w:val="16"/>
          <w:lang w:val="es-CO"/>
        </w:rPr>
        <w:t xml:space="preserve"> el subastador pone a la venta un bien para que los postores ofrezcan el mejor precio. Así pues, el subastador hace las veces de vendedor y el postor o licitante ofrece un precio. La subasta ordinaria o de venta es el caso más común. El procedimiento está pensado para que el subastador le adjudique el bien al mejor postor, es decir, a quien ofrezca el mejor precio. </w:t>
      </w:r>
    </w:p>
    <w:p w14:paraId="6D1EA38D" w14:textId="77777777" w:rsidR="00196A2A" w:rsidRPr="0018201D" w:rsidRDefault="00196A2A" w:rsidP="00196A2A">
      <w:pPr>
        <w:pStyle w:val="Textonotapie"/>
        <w:ind w:firstLine="708"/>
        <w:jc w:val="both"/>
        <w:rPr>
          <w:rFonts w:ascii="Verdana" w:hAnsi="Verdana"/>
          <w:sz w:val="16"/>
          <w:szCs w:val="16"/>
          <w:lang w:val="es-CO"/>
        </w:rPr>
      </w:pPr>
      <w:r w:rsidRPr="0018201D">
        <w:rPr>
          <w:rFonts w:ascii="Verdana" w:hAnsi="Verdana"/>
          <w:bCs/>
          <w:sz w:val="16"/>
          <w:szCs w:val="16"/>
          <w:lang w:val="es-CO"/>
        </w:rPr>
        <w:t xml:space="preserve">En la </w:t>
      </w:r>
      <w:r w:rsidRPr="0018201D">
        <w:rPr>
          <w:rFonts w:ascii="Verdana" w:hAnsi="Verdana"/>
          <w:bCs/>
          <w:i/>
          <w:iCs/>
          <w:sz w:val="16"/>
          <w:szCs w:val="16"/>
          <w:lang w:val="es-CO"/>
        </w:rPr>
        <w:t>subasta inversa</w:t>
      </w:r>
      <w:r w:rsidRPr="0018201D">
        <w:rPr>
          <w:rFonts w:ascii="Verdana" w:hAnsi="Verdana"/>
          <w:bCs/>
          <w:sz w:val="16"/>
          <w:szCs w:val="16"/>
          <w:lang w:val="es-CO"/>
        </w:rPr>
        <w:t xml:space="preserve"> el subastador invita a posibles vendedores o pro-veedores para que los postores ofrezcan sus mejores productos o servicios. El subastador hace las veces de comprador y los postores, de eventuales vendedores o proveedores. El procedimiento se ha concebido para que el subastado adquiera el producto o servicio más barato. La subasta inversa o de compra suele ser empleada con frecuencia por las empresas estatales que requieren reducir costos” (Cfr. </w:t>
      </w:r>
      <w:r w:rsidRPr="0018201D">
        <w:rPr>
          <w:rFonts w:ascii="Verdana" w:hAnsi="Verdana"/>
          <w:sz w:val="16"/>
          <w:szCs w:val="16"/>
        </w:rPr>
        <w:t>RENGIFO GARDEAZÁBAL, Mauricio. La formación del contrato. Bogotá: Temis, 2016, pp. 212-213. Énfasis dentro del texto).</w:t>
      </w:r>
    </w:p>
  </w:footnote>
  <w:footnote w:id="9">
    <w:p w14:paraId="4B75471E" w14:textId="77777777" w:rsidR="00196A2A" w:rsidRPr="0018201D" w:rsidRDefault="00196A2A" w:rsidP="00196A2A">
      <w:pPr>
        <w:pStyle w:val="Textonotapie"/>
        <w:ind w:firstLine="708"/>
        <w:jc w:val="both"/>
        <w:rPr>
          <w:rFonts w:ascii="Verdana" w:hAnsi="Verdana"/>
          <w:sz w:val="16"/>
          <w:szCs w:val="16"/>
        </w:rPr>
      </w:pPr>
      <w:r w:rsidRPr="0018201D">
        <w:rPr>
          <w:rStyle w:val="Refdenotaalpie"/>
          <w:rFonts w:ascii="Verdana" w:hAnsi="Verdana"/>
          <w:sz w:val="16"/>
          <w:szCs w:val="16"/>
        </w:rPr>
        <w:footnoteRef/>
      </w:r>
      <w:r w:rsidRPr="0018201D">
        <w:rPr>
          <w:rFonts w:ascii="Verdana" w:hAnsi="Verdana"/>
          <w:sz w:val="16"/>
          <w:szCs w:val="16"/>
        </w:rPr>
        <w:t xml:space="preserve"> Para BARRETO MORENO, “[…] la importancia de las discusiones sobre el AMP supera el análisis formal de su procedimiento. Desde la perspectiva comercial, se trata de un esquema negocial complejo, que involucra varias relaciones jurídicas que están entrelazadas, así las cosas, pueden ser varios contratos. Y desde la perspectiva de intervención del mercado de compra pública, es un mecanismo de regulación económica que pretende generar beneficios al Estado como consecuencia de su posición privilegiada en este mercado” (BARRETO MORENO, Antonio Alejandro. El derecho de la compra pública. Bogotá: Legis – Universidad de la Sabana, 2019. p. 37).</w:t>
      </w:r>
    </w:p>
  </w:footnote>
  <w:footnote w:id="10">
    <w:p w14:paraId="6D361D24" w14:textId="77777777" w:rsidR="00196A2A" w:rsidRPr="0018201D" w:rsidRDefault="00196A2A" w:rsidP="00196A2A">
      <w:pPr>
        <w:pStyle w:val="Textonotapie"/>
        <w:ind w:firstLine="708"/>
        <w:jc w:val="both"/>
        <w:rPr>
          <w:rFonts w:ascii="Verdana" w:hAnsi="Verdana"/>
          <w:sz w:val="16"/>
          <w:szCs w:val="16"/>
        </w:rPr>
      </w:pPr>
      <w:r w:rsidRPr="0018201D">
        <w:rPr>
          <w:rStyle w:val="Refdenotaalpie"/>
          <w:rFonts w:ascii="Verdana" w:hAnsi="Verdana"/>
          <w:sz w:val="16"/>
          <w:szCs w:val="16"/>
        </w:rPr>
        <w:footnoteRef/>
      </w:r>
      <w:r w:rsidRPr="0018201D">
        <w:rPr>
          <w:rFonts w:ascii="Verdana" w:hAnsi="Verdana"/>
          <w:sz w:val="16"/>
          <w:szCs w:val="16"/>
        </w:rPr>
        <w:t xml:space="preserve"> LOZANO VILLEGAS, Germán. Los acuerdos marco de precios en los sistemas de compras públicas: ¿qué, para qué, cuándo y cómo? En: Los acuerdos marco de precios en Colombia: enfoques y desafíos. Bogotá: Universidad Externando de Colombia, 2024. pp. 20-21. </w:t>
      </w:r>
    </w:p>
  </w:footnote>
  <w:footnote w:id="11">
    <w:p w14:paraId="5008E6B6" w14:textId="77777777" w:rsidR="00196A2A" w:rsidRPr="0018201D" w:rsidRDefault="00196A2A" w:rsidP="00196A2A">
      <w:pPr>
        <w:pStyle w:val="Textonotapie"/>
        <w:ind w:firstLine="708"/>
        <w:jc w:val="both"/>
        <w:rPr>
          <w:rFonts w:ascii="Verdana" w:hAnsi="Verdana" w:cs="Arial"/>
          <w:color w:val="000000" w:themeColor="text1"/>
          <w:sz w:val="16"/>
          <w:szCs w:val="16"/>
          <w:lang w:val="es-CO"/>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DÁVILA VINUEZA, Luis Guillermo. Régimen jurídico de la contratación estatal. Cuarta edición. Bogotá: Tirant lo Blanch, 2026. p. 633. </w:t>
      </w:r>
    </w:p>
  </w:footnote>
  <w:footnote w:id="12">
    <w:p w14:paraId="0087BEE5" w14:textId="77777777" w:rsidR="00196A2A" w:rsidRPr="0018201D" w:rsidRDefault="00196A2A" w:rsidP="00196A2A">
      <w:pPr>
        <w:pStyle w:val="Textonotapie"/>
        <w:ind w:firstLine="709"/>
        <w:rPr>
          <w:rFonts w:ascii="Verdana" w:hAnsi="Verdana"/>
          <w:sz w:val="16"/>
          <w:szCs w:val="16"/>
          <w:lang w:val="es-ES"/>
        </w:rPr>
      </w:pPr>
      <w:r w:rsidRPr="0018201D">
        <w:rPr>
          <w:rStyle w:val="Refdenotaalpie"/>
          <w:rFonts w:ascii="Verdana" w:hAnsi="Verdana"/>
          <w:sz w:val="16"/>
          <w:szCs w:val="16"/>
        </w:rPr>
        <w:footnoteRef/>
      </w:r>
      <w:r w:rsidRPr="0018201D">
        <w:rPr>
          <w:rFonts w:ascii="Verdana" w:hAnsi="Verdana"/>
          <w:sz w:val="16"/>
          <w:szCs w:val="16"/>
        </w:rPr>
        <w:t xml:space="preserve"> </w:t>
      </w:r>
      <w:r w:rsidRPr="0018201D">
        <w:rPr>
          <w:rFonts w:ascii="Verdana" w:hAnsi="Verdana" w:cs="Arial"/>
          <w:i/>
          <w:iCs/>
          <w:sz w:val="16"/>
          <w:szCs w:val="16"/>
        </w:rPr>
        <w:t>Ibídem.</w:t>
      </w:r>
      <w:r w:rsidRPr="0018201D">
        <w:rPr>
          <w:rFonts w:ascii="Verdana" w:hAnsi="Verdana" w:cs="Arial"/>
          <w:sz w:val="16"/>
          <w:szCs w:val="16"/>
        </w:rPr>
        <w:t xml:space="preserve"> </w:t>
      </w:r>
    </w:p>
  </w:footnote>
  <w:footnote w:id="13">
    <w:p w14:paraId="72B30472" w14:textId="77777777" w:rsidR="00196A2A" w:rsidRPr="0018201D" w:rsidRDefault="00196A2A" w:rsidP="00196A2A">
      <w:pPr>
        <w:pStyle w:val="Textonotapie"/>
        <w:ind w:firstLine="708"/>
        <w:jc w:val="both"/>
        <w:rPr>
          <w:rFonts w:ascii="Verdana" w:hAnsi="Verdana"/>
          <w:sz w:val="16"/>
          <w:szCs w:val="16"/>
        </w:rPr>
      </w:pPr>
      <w:r w:rsidRPr="0018201D">
        <w:rPr>
          <w:rStyle w:val="Refdenotaalpie"/>
          <w:rFonts w:ascii="Verdana" w:hAnsi="Verdana"/>
          <w:sz w:val="16"/>
          <w:szCs w:val="16"/>
        </w:rPr>
        <w:footnoteRef/>
      </w:r>
      <w:r w:rsidRPr="0018201D">
        <w:rPr>
          <w:rFonts w:ascii="Verdana" w:hAnsi="Verdana"/>
          <w:sz w:val="16"/>
          <w:szCs w:val="16"/>
        </w:rPr>
        <w:t xml:space="preserve"> Al respecto, la jurisprudencia explica que “[…] los contratos sin formalidades plenas no están previstos por la legislación nacional, pues […] el parágrafo del artículo 39 de la Ley 80 de 1993 fue derogado por el artículo 32 de la Ley 1150 de 2007. Ahora se les denomina contratos de mínima cuantía y se encuentran regulados por los artículos 2 de la Ley 1150 de 2007 y 94 de la Ley 1474 de 2011 […]; no obstante la denominación que reciban, realmente los contratos de mínima cuantía están desprovistos de algunas formalidades, como la instrumentación por escrito del acto contractual y ello hace que el tratamiento sea muy similar al que reciben los denominados contratos sin formalidades plenas; sin embargo, es de anotar que en el proceso de formación del consentimiento en los contratos de mínima cuantía, quien presenta la oferta es quien tiene la expectativa de contratar con la entidad estatal y ésta, a su turno, es la que acepta, de manera expresa e incondicional, la oferta presentada por el particular, sin que en estos casos pueda darse el perfeccionamiento del contrato por el consentimiento tácito de los intervinientes, contrario a lo que sucedía en los contratos sin formalidades plenas” (CONSEJO DE ESTADO. Sección Tercera. Subsección A. Sentencia del 3 de octubre de 2012. Exp. 26.140. C.P. Carlos Alberto Zambrano Barrera).</w:t>
      </w:r>
    </w:p>
  </w:footnote>
  <w:footnote w:id="14">
    <w:p w14:paraId="58BE7E87" w14:textId="77777777" w:rsidR="00196A2A" w:rsidRPr="0018201D" w:rsidRDefault="00196A2A" w:rsidP="00196A2A">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18201D">
        <w:rPr>
          <w:rFonts w:ascii="Verdana" w:hAnsi="Verdana" w:cs="Arial"/>
          <w:sz w:val="16"/>
          <w:szCs w:val="16"/>
          <w:vertAlign w:val="superscript"/>
        </w:rPr>
        <w:footnoteRef/>
      </w:r>
      <w:r w:rsidRPr="0018201D">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1F08E2AD" w14:textId="77777777" w:rsidR="00196A2A" w:rsidRPr="0018201D" w:rsidRDefault="00196A2A" w:rsidP="00196A2A">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18201D">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32ECD453" w14:textId="77777777" w:rsidR="00196A2A" w:rsidRPr="0018201D" w:rsidRDefault="00196A2A" w:rsidP="00196A2A">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18201D">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 .</w:t>
      </w:r>
    </w:p>
    <w:p w14:paraId="429A46F3" w14:textId="77777777" w:rsidR="00196A2A" w:rsidRPr="0018201D" w:rsidRDefault="00196A2A" w:rsidP="00196A2A">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18201D">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33A0A71A" w14:textId="77777777" w:rsidR="00196A2A" w:rsidRPr="0018201D" w:rsidRDefault="00196A2A" w:rsidP="00196A2A">
      <w:pPr>
        <w:pBdr>
          <w:top w:val="nil"/>
          <w:left w:val="nil"/>
          <w:bottom w:val="nil"/>
          <w:right w:val="nil"/>
          <w:between w:val="nil"/>
        </w:pBdr>
        <w:spacing w:after="0" w:line="240" w:lineRule="auto"/>
        <w:ind w:firstLine="709"/>
        <w:jc w:val="both"/>
        <w:rPr>
          <w:rFonts w:ascii="Verdana" w:eastAsia="Arial" w:hAnsi="Verdana" w:cs="Arial"/>
          <w:color w:val="000000"/>
          <w:sz w:val="16"/>
          <w:szCs w:val="16"/>
        </w:rPr>
      </w:pPr>
      <w:r w:rsidRPr="0018201D">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15">
    <w:p w14:paraId="35376D95" w14:textId="77777777" w:rsidR="00196A2A" w:rsidRPr="0018201D" w:rsidRDefault="00196A2A" w:rsidP="00196A2A">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18201D">
        <w:rPr>
          <w:rFonts w:ascii="Verdana" w:hAnsi="Verdana" w:cs="Arial"/>
          <w:sz w:val="16"/>
          <w:szCs w:val="16"/>
          <w:vertAlign w:val="superscript"/>
        </w:rPr>
        <w:footnoteRef/>
      </w:r>
      <w:r w:rsidRPr="0018201D">
        <w:rPr>
          <w:rFonts w:ascii="Verdana" w:eastAsia="Arial" w:hAnsi="Verdana" w:cs="Arial"/>
          <w:color w:val="000000"/>
          <w:sz w:val="16"/>
          <w:szCs w:val="16"/>
        </w:rPr>
        <w:t xml:space="preserve"> DÁVILA VINUEZA, Luis Guillermo. Régimen jurídico de la contratación estatal. Tercera edición, Bogotá: Legis, 2016. p. 355.</w:t>
      </w:r>
    </w:p>
  </w:footnote>
  <w:footnote w:id="16">
    <w:p w14:paraId="2A73BE81" w14:textId="77777777" w:rsidR="00196A2A" w:rsidRPr="0018201D" w:rsidRDefault="00196A2A" w:rsidP="00196A2A">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18201D">
        <w:rPr>
          <w:rFonts w:ascii="Verdana" w:hAnsi="Verdana" w:cs="Arial"/>
          <w:sz w:val="16"/>
          <w:szCs w:val="16"/>
          <w:vertAlign w:val="superscript"/>
        </w:rPr>
        <w:footnoteRef/>
      </w:r>
      <w:r w:rsidRPr="0018201D">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17">
    <w:p w14:paraId="35601861" w14:textId="77777777" w:rsidR="00196A2A" w:rsidRPr="0018201D" w:rsidRDefault="00196A2A" w:rsidP="00196A2A">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18201D">
        <w:rPr>
          <w:rFonts w:ascii="Verdana" w:hAnsi="Verdana" w:cs="Arial"/>
          <w:sz w:val="16"/>
          <w:szCs w:val="16"/>
          <w:vertAlign w:val="superscript"/>
        </w:rPr>
        <w:footnoteRef/>
      </w:r>
      <w:r w:rsidRPr="0018201D">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pp. 118-184.</w:t>
      </w:r>
    </w:p>
  </w:footnote>
  <w:footnote w:id="18">
    <w:p w14:paraId="42941FF3" w14:textId="77777777" w:rsidR="00196A2A" w:rsidRPr="0018201D" w:rsidRDefault="00196A2A" w:rsidP="00196A2A">
      <w:pPr>
        <w:pBdr>
          <w:top w:val="nil"/>
          <w:left w:val="nil"/>
          <w:bottom w:val="nil"/>
          <w:right w:val="nil"/>
          <w:between w:val="nil"/>
        </w:pBdr>
        <w:spacing w:after="0" w:line="240" w:lineRule="auto"/>
        <w:ind w:firstLine="708"/>
        <w:rPr>
          <w:rFonts w:ascii="Verdana" w:eastAsia="Arial" w:hAnsi="Verdana" w:cs="Arial"/>
          <w:color w:val="000000"/>
          <w:sz w:val="16"/>
          <w:szCs w:val="16"/>
        </w:rPr>
      </w:pPr>
      <w:r w:rsidRPr="0018201D">
        <w:rPr>
          <w:rFonts w:ascii="Verdana" w:hAnsi="Verdana" w:cs="Arial"/>
          <w:sz w:val="16"/>
          <w:szCs w:val="16"/>
          <w:vertAlign w:val="superscript"/>
        </w:rPr>
        <w:footnoteRef/>
      </w:r>
      <w:r w:rsidRPr="0018201D">
        <w:rPr>
          <w:rFonts w:ascii="Verdana" w:eastAsia="Arial" w:hAnsi="Verdana" w:cs="Arial"/>
          <w:i/>
          <w:color w:val="000000"/>
          <w:sz w:val="16"/>
          <w:szCs w:val="16"/>
        </w:rPr>
        <w:t xml:space="preserve"> Ibídem.</w:t>
      </w:r>
    </w:p>
  </w:footnote>
  <w:footnote w:id="19">
    <w:p w14:paraId="479A7788" w14:textId="77777777" w:rsidR="00196A2A" w:rsidRPr="0018201D" w:rsidRDefault="00196A2A" w:rsidP="00196A2A">
      <w:pPr>
        <w:pStyle w:val="Textonotapie"/>
        <w:ind w:firstLine="708"/>
        <w:jc w:val="both"/>
        <w:rPr>
          <w:rFonts w:ascii="Verdana" w:hAnsi="Verdana" w:cs="Arial"/>
          <w:color w:val="000000" w:themeColor="text1"/>
          <w:sz w:val="16"/>
          <w:szCs w:val="16"/>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OSPINA MENA, Jesús Marino. Régimen de la Contratación Estatal. Un salto a la contratación líquida. Bogotá: Ed. 1ª. Diké, 2020. p. 383.</w:t>
      </w:r>
    </w:p>
  </w:footnote>
  <w:footnote w:id="20">
    <w:p w14:paraId="0BE87679" w14:textId="77777777" w:rsidR="00196A2A" w:rsidRPr="0018201D" w:rsidRDefault="00196A2A" w:rsidP="00196A2A">
      <w:pPr>
        <w:pStyle w:val="Textonotapie"/>
        <w:ind w:firstLine="708"/>
        <w:jc w:val="both"/>
        <w:rPr>
          <w:rFonts w:ascii="Verdana" w:hAnsi="Verdana" w:cs="Arial"/>
          <w:color w:val="000000" w:themeColor="text1"/>
          <w:sz w:val="16"/>
          <w:szCs w:val="16"/>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CONSEJO DE ESTADO. Sección Tercera. Sentencia de 30 de noviembre de 2006. Exp. 18.059. M.P. Alier Hernández Enríquez.</w:t>
      </w:r>
    </w:p>
  </w:footnote>
  <w:footnote w:id="21">
    <w:p w14:paraId="7015C02B" w14:textId="77777777" w:rsidR="00196A2A" w:rsidRPr="0018201D" w:rsidRDefault="00196A2A" w:rsidP="00196A2A">
      <w:pPr>
        <w:pStyle w:val="Textonotapie"/>
        <w:ind w:firstLine="708"/>
        <w:jc w:val="both"/>
        <w:rPr>
          <w:rFonts w:ascii="Verdana" w:hAnsi="Verdana" w:cs="Arial"/>
          <w:color w:val="000000" w:themeColor="text1"/>
          <w:sz w:val="16"/>
          <w:szCs w:val="16"/>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Lo anterior, sin perjuicio de los casos en que resulten aplicables los documentos tipo –o pliegos tipo– de que trata el parágrafo 7 del artículo 2 de la Ley 1150 de 2007, modificado por el artículo 1 de la Ley 2022 de 2020.</w:t>
      </w:r>
    </w:p>
  </w:footnote>
  <w:footnote w:id="22">
    <w:p w14:paraId="0D7A2504" w14:textId="77777777" w:rsidR="00196A2A" w:rsidRPr="0018201D" w:rsidRDefault="00196A2A" w:rsidP="00196A2A">
      <w:pPr>
        <w:pStyle w:val="Textonotapie"/>
        <w:ind w:firstLine="708"/>
        <w:contextualSpacing/>
        <w:jc w:val="both"/>
        <w:rPr>
          <w:rFonts w:ascii="Verdana" w:hAnsi="Verdana" w:cs="Arial"/>
          <w:color w:val="000000" w:themeColor="text1"/>
          <w:sz w:val="16"/>
          <w:szCs w:val="16"/>
          <w:lang w:val="es-ES"/>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CORTE CONSTITUCIONAL. Sentencia C-128 de 2003. M.P. Álvaro Tafur Galvis: “De dichos textos (artículos 24 y 29 derogado de la Ley 80 de 1993) se desprende claramente, en consecuencia, la voluntad del legislador de que el proceso de selección del contratista sea ajeno a cualquier consideración subjetiva o discriminatoria. Dicha voluntad, atendiendo los principios constitucionales y en particular los señalados en el artículo 209 superior, se extiende a todas las fases del contrato, desde su preparación hasta su liquidación, de manera que en todo su desarrollo se observen rigurosamente los parámetros establecidos por la ley y por los pliegos de condiciones en las diferentes etapas y actuaciones y se adopte una conducta leal, diáfana y veraz conforme al postulado de la buena fe y la mutua confianza entre quienes intervienen en la actividad contractual”.</w:t>
      </w:r>
    </w:p>
  </w:footnote>
  <w:footnote w:id="23">
    <w:p w14:paraId="21EAB371" w14:textId="77777777" w:rsidR="00196A2A" w:rsidRPr="0018201D" w:rsidRDefault="00196A2A" w:rsidP="00196A2A">
      <w:pPr>
        <w:pStyle w:val="Textonotapie"/>
        <w:ind w:firstLine="708"/>
        <w:contextualSpacing/>
        <w:jc w:val="both"/>
        <w:rPr>
          <w:rFonts w:ascii="Verdana" w:hAnsi="Verdana" w:cs="Arial"/>
          <w:color w:val="000000" w:themeColor="text1"/>
          <w:sz w:val="16"/>
          <w:szCs w:val="16"/>
          <w:lang w:val="es-ES"/>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CONSEJO DE ESTADO. Sección Tercera. Sentencia del 11 de noviembre de 2009. Exp. 17.366. C.P. Mauricio Fajardo Gomez.</w:t>
      </w:r>
    </w:p>
  </w:footnote>
  <w:footnote w:id="24">
    <w:p w14:paraId="43F2B73D"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CONSEJO DE ESTADO. Sección Tercera. Sentencia del 24 de julio de 2013. Exp. 25.642. C.P. Enrique Gil Botero: “Concreta o materializa los principios de planeación contractual y de trasparencia, comoquiera que su adecuada formulación permite o garantiza la selección objetiva del contratista de acuerdo con los parámetros de calificación correspondientes para cada tipo de procedimiento (v.gr. licitación pública, selección abreviada, concurso de méritos, etc.), de acuerdo con el marco establecido en la ley (art. 29 de la ley 80 de 1993, derogado por el artículo 32 de la ley 1150 de 2007, y este último, modificado por el artículo 88 de la ley 1474 de 2011 (Estatuto Anticorrupción). En esa perspectiva, el pliego de condiciones constituye la ley tanto del procedimiento administrativo de selección del contratista, como del contrato a celebrar”.</w:t>
      </w:r>
    </w:p>
  </w:footnote>
  <w:footnote w:id="25">
    <w:p w14:paraId="516C7A0C"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Style w:val="Refdenotaalpie"/>
          <w:rFonts w:ascii="Verdana" w:hAnsi="Verdana" w:cs="Arial"/>
          <w:color w:val="000000" w:themeColor="text1"/>
          <w:sz w:val="16"/>
          <w:szCs w:val="16"/>
        </w:rPr>
        <w:footnoteRef/>
      </w:r>
      <w:r w:rsidRPr="0018201D">
        <w:rPr>
          <w:rFonts w:ascii="Verdana" w:hAnsi="Verdana" w:cs="Arial"/>
          <w:color w:val="000000" w:themeColor="text1"/>
          <w:sz w:val="16"/>
          <w:szCs w:val="16"/>
        </w:rPr>
        <w:t xml:space="preserve"> DECRETO 1082 DE 2015: “Artículo 2.2.1.1.2.1.3. Pliegos de condiciones. Los pliegos de condiciones deben contener por lo menos la siguiente información:</w:t>
      </w:r>
    </w:p>
    <w:p w14:paraId="499304DC"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 La descripción técnica, detallada y completa del bien o servicio objeto del contrato, identificado con el cuarto nivel del Clasificador de Bienes y Servicios, de ser posible o de lo contrario con el tercer nivel del mismo.</w:t>
      </w:r>
    </w:p>
    <w:p w14:paraId="282E5858"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2. La modalidad del proceso de selección y su justificación.</w:t>
      </w:r>
    </w:p>
    <w:p w14:paraId="14FFFB71"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3. Los criterios de selección, incluyendo los factores de desempate y los incentivos cuando a ello haya lugar.</w:t>
      </w:r>
    </w:p>
    <w:p w14:paraId="3B5DDEDD"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4. Las condiciones de costo y/o calidad que la Entidad Estatal debe tener en cuenta para la selección objetiva, de acuerdo con la modalidad de selección del contratista.</w:t>
      </w:r>
    </w:p>
    <w:p w14:paraId="1B3BA2B3"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5. Las reglas aplicables a la presentación de las ofertas, su evaluación y a la adjudicación del contrato.</w:t>
      </w:r>
    </w:p>
    <w:p w14:paraId="59DD5B68"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6. Las causas que dan lugar a rechazar una oferta.</w:t>
      </w:r>
    </w:p>
    <w:p w14:paraId="1C088F55"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7. El valor del contrato, el plazo, el cronograma de pagos y la determinación de si debe haber lugar a la entrega de anticipo, y si hubiere, indicar su valor, el cual debe tener en cuenta los rendimientos que este pueda generar.</w:t>
      </w:r>
    </w:p>
    <w:p w14:paraId="0F6F6E99"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8. Los Riesgos asociados al contrato, la forma de mitigarlos y la asignación del Riesgo entre las partes contratantes.</w:t>
      </w:r>
    </w:p>
    <w:p w14:paraId="40F29855"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9. Las garantías exigidas en el Proceso de Contratación y sus condiciones.</w:t>
      </w:r>
    </w:p>
    <w:p w14:paraId="35CAC9EC"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10. La mención de si la Entidad Estatal y el contrato objeto de los pliegos de condiciones están cubiertos por un Acuerdo Comercial.</w:t>
      </w:r>
    </w:p>
    <w:p w14:paraId="3FB142CB"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11. Los términos, condiciones y minuta del contrato.</w:t>
      </w:r>
    </w:p>
    <w:p w14:paraId="0E5C3A58"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12. Los términos de la supervisión y/o de la interventoría del contrato.</w:t>
      </w:r>
    </w:p>
    <w:p w14:paraId="0336F839"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13. El plazo dentro del cual la Entidad Estatal puede expedir Adendas.</w:t>
      </w:r>
    </w:p>
    <w:p w14:paraId="6EDD434C" w14:textId="77777777" w:rsidR="00196A2A" w:rsidRPr="0018201D" w:rsidRDefault="00196A2A" w:rsidP="00196A2A">
      <w:pPr>
        <w:pStyle w:val="Textonotapie"/>
        <w:ind w:firstLine="708"/>
        <w:contextualSpacing/>
        <w:jc w:val="both"/>
        <w:rPr>
          <w:rFonts w:ascii="Verdana" w:hAnsi="Verdana" w:cs="Arial"/>
          <w:color w:val="000000" w:themeColor="text1"/>
          <w:sz w:val="16"/>
          <w:szCs w:val="16"/>
        </w:rPr>
      </w:pPr>
      <w:r w:rsidRPr="0018201D">
        <w:rPr>
          <w:rFonts w:ascii="Verdana" w:hAnsi="Verdana" w:cs="Arial"/>
          <w:color w:val="000000" w:themeColor="text1"/>
          <w:sz w:val="16"/>
          <w:szCs w:val="16"/>
        </w:rPr>
        <w:t>14. El Cronograma”.</w:t>
      </w:r>
    </w:p>
  </w:footnote>
  <w:footnote w:id="26">
    <w:p w14:paraId="396BBB57" w14:textId="77777777" w:rsidR="00196A2A" w:rsidRPr="0018201D" w:rsidRDefault="00196A2A" w:rsidP="00196A2A">
      <w:pPr>
        <w:pStyle w:val="Textonotapie"/>
        <w:ind w:firstLine="708"/>
        <w:contextualSpacing/>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GONZÁLEZ LÓPEZ, Edgar</w:t>
      </w:r>
      <w:r w:rsidRPr="0018201D">
        <w:rPr>
          <w:rFonts w:ascii="Verdana" w:hAnsi="Verdana" w:cs="Arial"/>
          <w:i/>
          <w:sz w:val="16"/>
          <w:szCs w:val="16"/>
        </w:rPr>
        <w:t xml:space="preserve">. </w:t>
      </w:r>
      <w:r w:rsidRPr="0018201D">
        <w:rPr>
          <w:rFonts w:ascii="Verdana" w:hAnsi="Verdana" w:cs="Arial"/>
          <w:sz w:val="16"/>
          <w:szCs w:val="16"/>
        </w:rPr>
        <w:t xml:space="preserve">El pliego de condiciones en la contratación. La reforma consagrada en la Ley 1150 de 2007 y sus decretos reglamentarios. Universidad Externado de Colombia. Primera edición, 2010, pp. 64.  </w:t>
      </w:r>
    </w:p>
  </w:footnote>
  <w:footnote w:id="27">
    <w:p w14:paraId="74FEC541" w14:textId="77777777" w:rsidR="00196A2A" w:rsidRPr="0018201D" w:rsidRDefault="00196A2A" w:rsidP="00196A2A">
      <w:pPr>
        <w:pStyle w:val="Textonotapie"/>
        <w:ind w:firstLine="708"/>
        <w:jc w:val="both"/>
        <w:rPr>
          <w:rFonts w:ascii="Verdana" w:hAnsi="Verdana" w:cs="Arial"/>
          <w:sz w:val="16"/>
          <w:szCs w:val="16"/>
        </w:rPr>
      </w:pPr>
      <w:r w:rsidRPr="0018201D">
        <w:rPr>
          <w:rStyle w:val="Refdenotaalpie"/>
          <w:rFonts w:ascii="Verdana" w:hAnsi="Verdana" w:cs="Arial"/>
          <w:sz w:val="16"/>
          <w:szCs w:val="16"/>
        </w:rPr>
        <w:footnoteRef/>
      </w:r>
      <w:r w:rsidRPr="0018201D">
        <w:rPr>
          <w:rFonts w:ascii="Verdana" w:hAnsi="Verdana" w:cs="Arial"/>
          <w:sz w:val="16"/>
          <w:szCs w:val="16"/>
        </w:rPr>
        <w:t xml:space="preserve"> </w:t>
      </w:r>
      <w:r w:rsidRPr="0018201D">
        <w:rPr>
          <w:rFonts w:ascii="Verdana" w:hAnsi="Verdana" w:cs="Arial"/>
          <w:sz w:val="16"/>
          <w:szCs w:val="16"/>
          <w:lang w:val="es-CO"/>
        </w:rPr>
        <w:t xml:space="preserve">MELÓN PARDO, Carlos. El contrato de suministro. En: Tratado de los contratos del sector público. Tomo III. </w:t>
      </w:r>
      <w:r>
        <w:rPr>
          <w:rFonts w:ascii="Verdana" w:hAnsi="Verdana" w:cs="Arial"/>
          <w:sz w:val="16"/>
          <w:szCs w:val="16"/>
          <w:lang w:val="es-CO"/>
        </w:rPr>
        <w:t xml:space="preserve">Segunda edición. </w:t>
      </w:r>
      <w:r w:rsidRPr="0018201D">
        <w:rPr>
          <w:rFonts w:ascii="Verdana" w:hAnsi="Verdana" w:cs="Arial"/>
          <w:sz w:val="16"/>
          <w:szCs w:val="16"/>
          <w:lang w:val="es-CO"/>
        </w:rPr>
        <w:t xml:space="preserve">Valencia: Tirant lo Blanch, </w:t>
      </w:r>
      <w:r>
        <w:rPr>
          <w:rFonts w:ascii="Verdana" w:hAnsi="Verdana" w:cs="Arial"/>
          <w:sz w:val="16"/>
          <w:szCs w:val="16"/>
          <w:lang w:val="es-CO"/>
        </w:rPr>
        <w:t>2024</w:t>
      </w:r>
      <w:r w:rsidRPr="0018201D">
        <w:rPr>
          <w:rFonts w:ascii="Verdana" w:hAnsi="Verdana" w:cs="Arial"/>
          <w:sz w:val="16"/>
          <w:szCs w:val="16"/>
          <w:lang w:val="es-CO"/>
        </w:rPr>
        <w:t xml:space="preserve">. pp. </w:t>
      </w:r>
      <w:r>
        <w:rPr>
          <w:rFonts w:ascii="Verdana" w:hAnsi="Verdana" w:cs="Arial"/>
          <w:sz w:val="16"/>
          <w:szCs w:val="16"/>
          <w:lang w:val="es-CO"/>
        </w:rPr>
        <w:t>2976</w:t>
      </w:r>
      <w:r w:rsidRPr="0018201D">
        <w:rPr>
          <w:rFonts w:ascii="Verdana" w:hAnsi="Verdana" w:cs="Arial"/>
          <w:sz w:val="16"/>
          <w:szCs w:val="16"/>
          <w:lang w:val="es-CO"/>
        </w:rPr>
        <w:t>-2</w:t>
      </w:r>
      <w:r>
        <w:rPr>
          <w:rFonts w:ascii="Verdana" w:hAnsi="Verdana" w:cs="Arial"/>
          <w:sz w:val="16"/>
          <w:szCs w:val="16"/>
          <w:lang w:val="es-CO"/>
        </w:rPr>
        <w:t>977</w:t>
      </w:r>
      <w:r w:rsidRPr="0018201D">
        <w:rPr>
          <w:rFonts w:ascii="Verdana" w:hAnsi="Verdana" w:cs="Arial"/>
          <w:sz w:val="16"/>
          <w:szCs w:val="16"/>
          <w:lang w:val="es-CO"/>
        </w:rPr>
        <w:t>. Esto también concuerda con la regla del numeral 2 del artículo 969 del Código de Comercio, pues “Para establecer la cuantía del suministro si las partes no lo hubieren fijado en cantidad determinada o señalado las bases para determinarla, se aplicarán las siguientes reglas: […] Si las partes han fijado solamente un límite máximo corresponderá al consumidor determinar la cuantía, sin exceder dicho máximo […]”.</w:t>
      </w:r>
    </w:p>
  </w:footnote>
  <w:footnote w:id="28">
    <w:p w14:paraId="6CE247D8" w14:textId="77777777" w:rsidR="00196A2A" w:rsidRPr="004F6999" w:rsidRDefault="00196A2A" w:rsidP="00196A2A">
      <w:pPr>
        <w:pStyle w:val="Textonotapie"/>
        <w:ind w:firstLine="708"/>
        <w:jc w:val="both"/>
        <w:rPr>
          <w:rFonts w:ascii="Verdana" w:hAnsi="Verdana" w:cs="Arial"/>
          <w:sz w:val="16"/>
          <w:szCs w:val="16"/>
        </w:rPr>
      </w:pPr>
      <w:r w:rsidRPr="00E12E59">
        <w:rPr>
          <w:rStyle w:val="Refdenotaalpie"/>
          <w:rFonts w:ascii="Verdana" w:hAnsi="Verdana" w:cs="Arial"/>
          <w:sz w:val="16"/>
          <w:szCs w:val="16"/>
        </w:rPr>
        <w:footnoteRef/>
      </w:r>
      <w:r w:rsidRPr="00E12E59">
        <w:rPr>
          <w:rFonts w:ascii="Verdana" w:hAnsi="Verdana" w:cs="Arial"/>
          <w:sz w:val="16"/>
          <w:szCs w:val="16"/>
        </w:rPr>
        <w:t xml:space="preserve"> </w:t>
      </w:r>
      <w:r>
        <w:rPr>
          <w:rFonts w:ascii="Verdana" w:hAnsi="Verdana" w:cs="Arial"/>
          <w:sz w:val="16"/>
          <w:szCs w:val="16"/>
        </w:rPr>
        <w:t>Para la doctrina, “</w:t>
      </w:r>
      <w:r w:rsidRPr="004F6999">
        <w:rPr>
          <w:rFonts w:ascii="Verdana" w:hAnsi="Verdana" w:cs="Arial"/>
          <w:sz w:val="16"/>
          <w:szCs w:val="16"/>
        </w:rPr>
        <w:t xml:space="preserve">La administración dispone de libertad de valoración para la configuración del pliego de condiciones, dentro de los parámetros generales señalados en la ley y en el reglamento, y conforme a los requerimientos específicos de cada proceso de selección. </w:t>
      </w:r>
    </w:p>
    <w:p w14:paraId="3FEB25A0" w14:textId="77777777" w:rsidR="00196A2A" w:rsidRPr="004F6999" w:rsidRDefault="00196A2A" w:rsidP="00196A2A">
      <w:pPr>
        <w:pStyle w:val="Textonotapie"/>
        <w:ind w:firstLine="708"/>
        <w:jc w:val="both"/>
        <w:rPr>
          <w:rFonts w:ascii="Verdana" w:hAnsi="Verdana" w:cs="Arial"/>
          <w:sz w:val="16"/>
          <w:szCs w:val="16"/>
        </w:rPr>
      </w:pPr>
      <w:r w:rsidRPr="004F6999">
        <w:rPr>
          <w:rFonts w:ascii="Verdana" w:hAnsi="Verdana" w:cs="Arial"/>
          <w:sz w:val="16"/>
          <w:szCs w:val="16"/>
        </w:rPr>
        <w:t xml:space="preserve">Por tal razón, se ha señalado que la administración ejerce y mantiene una facultad discrecional para su configuración, para ponderar los hechos, intereses, derechos y principios jurídicos comprometidos en un caso concreto y para una determinada solución. La administración tiene un espacio libre para elegir como posible cualquiera de las alternativas que resuelvan el caso, con un margen de libertad de valoración para que, en cada caso concreto, establezca el contenido del pliego de condiciones y los criterios y reglas que orientarán el proceso de selección. </w:t>
      </w:r>
    </w:p>
    <w:p w14:paraId="3B0F4437" w14:textId="77777777" w:rsidR="00196A2A" w:rsidRPr="00E12E59" w:rsidRDefault="00196A2A" w:rsidP="00196A2A">
      <w:pPr>
        <w:pStyle w:val="Textonotapie"/>
        <w:ind w:firstLine="708"/>
        <w:jc w:val="both"/>
        <w:rPr>
          <w:rFonts w:ascii="Verdana" w:hAnsi="Verdana" w:cs="Arial"/>
          <w:sz w:val="16"/>
          <w:szCs w:val="16"/>
        </w:rPr>
      </w:pPr>
      <w:r w:rsidRPr="004F6999">
        <w:rPr>
          <w:rFonts w:ascii="Verdana" w:hAnsi="Verdana" w:cs="Arial"/>
          <w:sz w:val="16"/>
          <w:szCs w:val="16"/>
        </w:rPr>
        <w:t>La ley no determina ni puede determinar el contenido preciso y detallado de los pliegos de condiciones, por razones de eficacia y por la imposibilidad de prever con exactitud los derechos, reglas y obligaciones propios de las particularidades del objeto por contratar. Por ello, se otorga una facultad discrecional para incluir en el proceso y en los contratos las condiciones lícitas que considere convenientes y necesarias, con guarda del principio de legalidad, es decir, que no estén prohibidas por reglamento o por ley</w:t>
      </w:r>
      <w:r>
        <w:rPr>
          <w:rFonts w:ascii="Verdana" w:hAnsi="Verdana" w:cs="Arial"/>
          <w:sz w:val="16"/>
          <w:szCs w:val="16"/>
        </w:rPr>
        <w:t>” (</w:t>
      </w:r>
      <w:r w:rsidRPr="00E12E59">
        <w:rPr>
          <w:rFonts w:ascii="Verdana" w:hAnsi="Verdana" w:cs="Arial"/>
          <w:sz w:val="16"/>
          <w:szCs w:val="16"/>
        </w:rPr>
        <w:t>Cfr. GONZÁLEZ LÓPEZ</w:t>
      </w:r>
      <w:r>
        <w:rPr>
          <w:rFonts w:ascii="Verdana" w:hAnsi="Verdana" w:cs="Arial"/>
          <w:sz w:val="16"/>
          <w:szCs w:val="16"/>
        </w:rPr>
        <w:t xml:space="preserve">. </w:t>
      </w:r>
      <w:r w:rsidRPr="00E12E59">
        <w:rPr>
          <w:rFonts w:ascii="Verdana" w:hAnsi="Verdana" w:cs="Arial"/>
          <w:sz w:val="16"/>
          <w:szCs w:val="16"/>
        </w:rPr>
        <w:t xml:space="preserve">El pliego de condiciones </w:t>
      </w:r>
      <w:r>
        <w:rPr>
          <w:rFonts w:ascii="Verdana" w:hAnsi="Verdana" w:cs="Arial"/>
          <w:sz w:val="16"/>
          <w:szCs w:val="16"/>
        </w:rPr>
        <w:t>… Op. cit.,</w:t>
      </w:r>
      <w:r w:rsidRPr="00E12E59">
        <w:rPr>
          <w:rFonts w:ascii="Verdana" w:hAnsi="Verdana" w:cs="Arial"/>
          <w:sz w:val="16"/>
          <w:szCs w:val="16"/>
        </w:rPr>
        <w:t xml:space="preserve"> p. 87</w:t>
      </w:r>
      <w:r>
        <w:rPr>
          <w:rFonts w:ascii="Verdana" w:hAnsi="Verdana" w:cs="Arial"/>
          <w:sz w:val="16"/>
          <w:szCs w:val="16"/>
        </w:rPr>
        <w:t>)</w:t>
      </w:r>
      <w:r w:rsidRPr="00E12E59">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30140246">
    <w:abstractNumId w:val="0"/>
  </w:num>
  <w:num w:numId="17" w16cid:durableId="679089576">
    <w:abstractNumId w:val="9"/>
  </w:num>
  <w:num w:numId="18" w16cid:durableId="1887524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2470"/>
    <w:rsid w:val="00082362"/>
    <w:rsid w:val="000A683E"/>
    <w:rsid w:val="000B19B9"/>
    <w:rsid w:val="000C7981"/>
    <w:rsid w:val="000D0334"/>
    <w:rsid w:val="000D5DA7"/>
    <w:rsid w:val="000F6486"/>
    <w:rsid w:val="00116940"/>
    <w:rsid w:val="00125105"/>
    <w:rsid w:val="00127233"/>
    <w:rsid w:val="0015699B"/>
    <w:rsid w:val="00196A2A"/>
    <w:rsid w:val="001A33BF"/>
    <w:rsid w:val="001E4177"/>
    <w:rsid w:val="001F0B24"/>
    <w:rsid w:val="001F7DC6"/>
    <w:rsid w:val="0022400B"/>
    <w:rsid w:val="002421BB"/>
    <w:rsid w:val="0025796E"/>
    <w:rsid w:val="002707A2"/>
    <w:rsid w:val="00285171"/>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175C"/>
    <w:rsid w:val="00374F5E"/>
    <w:rsid w:val="00377E3E"/>
    <w:rsid w:val="003A779E"/>
    <w:rsid w:val="003B638B"/>
    <w:rsid w:val="003C5FEC"/>
    <w:rsid w:val="003D0F4D"/>
    <w:rsid w:val="003D5B0D"/>
    <w:rsid w:val="003E0499"/>
    <w:rsid w:val="003E4F80"/>
    <w:rsid w:val="003E6439"/>
    <w:rsid w:val="003F3941"/>
    <w:rsid w:val="00406575"/>
    <w:rsid w:val="00414C74"/>
    <w:rsid w:val="0042722E"/>
    <w:rsid w:val="0044528D"/>
    <w:rsid w:val="00466E39"/>
    <w:rsid w:val="004A1847"/>
    <w:rsid w:val="004A305D"/>
    <w:rsid w:val="004B619F"/>
    <w:rsid w:val="004F21C4"/>
    <w:rsid w:val="004F671F"/>
    <w:rsid w:val="004F685F"/>
    <w:rsid w:val="005566E8"/>
    <w:rsid w:val="00574867"/>
    <w:rsid w:val="00591460"/>
    <w:rsid w:val="005A1B15"/>
    <w:rsid w:val="005A65E0"/>
    <w:rsid w:val="005C3777"/>
    <w:rsid w:val="005C5CDC"/>
    <w:rsid w:val="005D2839"/>
    <w:rsid w:val="005D476C"/>
    <w:rsid w:val="006200BF"/>
    <w:rsid w:val="006219F8"/>
    <w:rsid w:val="006302F7"/>
    <w:rsid w:val="00633C5D"/>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1EDD"/>
    <w:rsid w:val="00867F95"/>
    <w:rsid w:val="008843B6"/>
    <w:rsid w:val="00891928"/>
    <w:rsid w:val="008A446D"/>
    <w:rsid w:val="008B25F1"/>
    <w:rsid w:val="008D180B"/>
    <w:rsid w:val="008D519D"/>
    <w:rsid w:val="008F0EA7"/>
    <w:rsid w:val="00923EEF"/>
    <w:rsid w:val="009419F9"/>
    <w:rsid w:val="00943A96"/>
    <w:rsid w:val="0095685E"/>
    <w:rsid w:val="00961B09"/>
    <w:rsid w:val="00965334"/>
    <w:rsid w:val="0097093E"/>
    <w:rsid w:val="0097667F"/>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17C65"/>
    <w:rsid w:val="00C268A0"/>
    <w:rsid w:val="00C330EB"/>
    <w:rsid w:val="00C50D69"/>
    <w:rsid w:val="00C5365C"/>
    <w:rsid w:val="00C754BE"/>
    <w:rsid w:val="00C76B1C"/>
    <w:rsid w:val="00C925AC"/>
    <w:rsid w:val="00CA2C74"/>
    <w:rsid w:val="00CB6357"/>
    <w:rsid w:val="00CC1B26"/>
    <w:rsid w:val="00CF298B"/>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59DA"/>
    <w:rsid w:val="00E8772A"/>
    <w:rsid w:val="00E90F6B"/>
    <w:rsid w:val="00E92C27"/>
    <w:rsid w:val="00EA0E3D"/>
    <w:rsid w:val="00EB58D5"/>
    <w:rsid w:val="00EC38A7"/>
    <w:rsid w:val="00EE1AA8"/>
    <w:rsid w:val="00F23FEA"/>
    <w:rsid w:val="00F31EDC"/>
    <w:rsid w:val="00F462B3"/>
    <w:rsid w:val="00F5664F"/>
    <w:rsid w:val="00F666C4"/>
    <w:rsid w:val="00F76AFC"/>
    <w:rsid w:val="00FA47C0"/>
    <w:rsid w:val="00FB5DD1"/>
    <w:rsid w:val="00FC2B5D"/>
    <w:rsid w:val="00FF1449"/>
    <w:rsid w:val="00FF388F"/>
    <w:rsid w:val="00FF7963"/>
    <w:rsid w:val="071B8F93"/>
    <w:rsid w:val="07C73DD1"/>
    <w:rsid w:val="09908A09"/>
    <w:rsid w:val="0E0AF0F4"/>
    <w:rsid w:val="0EFE6349"/>
    <w:rsid w:val="0FF4CCA8"/>
    <w:rsid w:val="13CFC91B"/>
    <w:rsid w:val="19A2EC2C"/>
    <w:rsid w:val="21779BE6"/>
    <w:rsid w:val="2859CA1B"/>
    <w:rsid w:val="2BAEFE97"/>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96A2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96A2A"/>
    <w:rPr>
      <w:rFonts w:ascii="Geomanist Light" w:hAnsi="Geomanist Light"/>
      <w:lang w:val="es-ES"/>
    </w:rPr>
  </w:style>
  <w:style w:type="paragraph" w:styleId="Textoindependiente">
    <w:name w:val="Body Text"/>
    <w:basedOn w:val="Normal"/>
    <w:link w:val="TextoindependienteCar"/>
    <w:uiPriority w:val="99"/>
    <w:unhideWhenUsed/>
    <w:rsid w:val="00196A2A"/>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196A2A"/>
    <w:rPr>
      <w:rFonts w:eastAsiaTheme="minorEastAsia"/>
      <w:lang w:eastAsia="es-CO"/>
    </w:rPr>
  </w:style>
  <w:style w:type="character" w:customStyle="1" w:styleId="s15">
    <w:name w:val="s15"/>
    <w:basedOn w:val="Fuentedeprrafopredeter"/>
    <w:rsid w:val="0019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isabelgil@hot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ECCF3DC0-6DC5-4C14-BAF2-06496A010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28</Pages>
  <Words>8936</Words>
  <Characters>49153</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2026-07-01T22:03:00Z</dcterms:created>
  <dcterms:modified xsi:type="dcterms:W3CDTF">2026-07-07T15:26:00Z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