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62274" w14:textId="10B4A425" w:rsidR="00EA006C" w:rsidRDefault="00EA006C" w:rsidP="002E2644">
      <w:pPr>
        <w:spacing w:after="0" w:line="240" w:lineRule="auto"/>
        <w:rPr>
          <w:rFonts w:ascii="Verdana" w:eastAsia="Calibri" w:hAnsi="Verdana" w:cs="Arial"/>
          <w:b/>
          <w:bCs/>
          <w:lang w:val="es-ES" w:eastAsia="es-ES"/>
        </w:rPr>
      </w:pPr>
      <w:bookmarkStart w:id="0" w:name="_Hlk186494164"/>
      <w:bookmarkStart w:id="1" w:name="_Hlk143780582"/>
      <w:r w:rsidRPr="00EA006C">
        <w:rPr>
          <w:rFonts w:ascii="Verdana" w:eastAsia="Calibri" w:hAnsi="Verdana" w:cs="Arial"/>
          <w:b/>
          <w:bCs/>
          <w:lang w:val="es-ES" w:eastAsia="es-ES"/>
        </w:rPr>
        <w:t>SISTEMA GENERAL DE REGALÍAS – Ley 2056 de 2020 – artículo 37</w:t>
      </w:r>
    </w:p>
    <w:p w14:paraId="7D99CB48" w14:textId="77777777" w:rsidR="00EA006C" w:rsidRDefault="00EA006C" w:rsidP="002E2644">
      <w:pPr>
        <w:spacing w:after="0" w:line="240" w:lineRule="auto"/>
        <w:rPr>
          <w:rFonts w:ascii="Verdana" w:eastAsia="Calibri" w:hAnsi="Verdana" w:cs="Arial"/>
          <w:b/>
          <w:bCs/>
          <w:lang w:val="es-ES" w:eastAsia="es-ES"/>
        </w:rPr>
      </w:pPr>
    </w:p>
    <w:p w14:paraId="7EC7D50B" w14:textId="07C266E0" w:rsidR="00EA006C" w:rsidRPr="00EA006C" w:rsidRDefault="00EA006C" w:rsidP="00EA006C">
      <w:pPr>
        <w:spacing w:after="120" w:line="240" w:lineRule="auto"/>
        <w:jc w:val="both"/>
        <w:rPr>
          <w:rFonts w:ascii="Verdana" w:hAnsi="Verdana" w:cs="Arial"/>
          <w:noProof/>
          <w:sz w:val="21"/>
          <w:szCs w:val="21"/>
        </w:rPr>
      </w:pPr>
      <w:r w:rsidRPr="00EA006C">
        <w:rPr>
          <w:rFonts w:ascii="Verdana" w:eastAsia="Calibri" w:hAnsi="Verdana" w:cs="Arial"/>
          <w:color w:val="000000"/>
          <w:sz w:val="21"/>
          <w:szCs w:val="21"/>
          <w:lang w:val="es-ES" w:eastAsia="es-ES"/>
        </w:rPr>
        <w:t xml:space="preserve">[…] conforme se ha explicado en estos conceptos, </w:t>
      </w:r>
      <w:r w:rsidRPr="00EA006C">
        <w:rPr>
          <w:rFonts w:ascii="Verdana" w:hAnsi="Verdana" w:cs="Arial"/>
          <w:noProof/>
          <w:sz w:val="21"/>
          <w:szCs w:val="21"/>
          <w:lang w:val="es-ES_tradnl"/>
        </w:rPr>
        <w:t xml:space="preserve">en </w:t>
      </w:r>
      <w:r w:rsidRPr="00EA006C">
        <w:rPr>
          <w:rFonts w:ascii="Verdana" w:hAnsi="Verdana" w:cs="Arial"/>
          <w:noProof/>
          <w:sz w:val="21"/>
          <w:szCs w:val="21"/>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5345149C" w14:textId="77777777" w:rsidR="00EA006C" w:rsidRPr="00EA006C" w:rsidRDefault="00EA006C" w:rsidP="00EA006C">
      <w:pPr>
        <w:spacing w:after="120" w:line="240" w:lineRule="auto"/>
        <w:jc w:val="both"/>
        <w:rPr>
          <w:rFonts w:ascii="Verdana" w:hAnsi="Verdana" w:cs="Arial"/>
          <w:sz w:val="21"/>
          <w:szCs w:val="21"/>
        </w:rPr>
      </w:pPr>
      <w:r w:rsidRPr="00EA006C">
        <w:rPr>
          <w:rFonts w:ascii="Verdana" w:hAnsi="Verdana" w:cs="Arial"/>
          <w:noProof/>
          <w:sz w:val="21"/>
          <w:szCs w:val="21"/>
        </w:rPr>
        <w:t xml:space="preserve">Particularmente, el artículo 37 </w:t>
      </w:r>
      <w:r w:rsidRPr="00EA006C">
        <w:rPr>
          <w:rFonts w:ascii="Verdana" w:hAnsi="Verdana" w:cs="Arial"/>
          <w:sz w:val="21"/>
          <w:szCs w:val="21"/>
        </w:rPr>
        <w:t xml:space="preserve">de la Ley 2056 de 2020 dispone que los proyectos de inversión que se financien con cargo al Sistema General de Regalías serán ejecutados por quien designe las entidades u órganos de que tratan los artículos 35 y 36 </w:t>
      </w:r>
      <w:r w:rsidRPr="00EA006C">
        <w:rPr>
          <w:rFonts w:ascii="Verdana" w:hAnsi="Verdana" w:cs="Arial"/>
          <w:i/>
          <w:iCs/>
          <w:sz w:val="21"/>
          <w:szCs w:val="21"/>
        </w:rPr>
        <w:t>ibidem</w:t>
      </w:r>
      <w:r w:rsidRPr="00EA006C">
        <w:rPr>
          <w:rFonts w:ascii="Verdana" w:hAnsi="Verdana" w:cs="Arial"/>
          <w:sz w:val="21"/>
          <w:szCs w:val="21"/>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EA006C">
        <w:rPr>
          <w:rFonts w:ascii="Verdana" w:hAnsi="Verdana" w:cs="Arial"/>
          <w:sz w:val="21"/>
          <w:szCs w:val="21"/>
        </w:rPr>
        <w:t>los mismos</w:t>
      </w:r>
      <w:proofErr w:type="gramEnd"/>
      <w:r w:rsidRPr="00EA006C">
        <w:rPr>
          <w:rFonts w:ascii="Verdana" w:hAnsi="Verdana" w:cs="Arial"/>
          <w:sz w:val="21"/>
          <w:szCs w:val="21"/>
        </w:rPr>
        <w:t xml:space="preserve">, sin perjuicio de las acciones de control a las que haya lugar. </w:t>
      </w:r>
    </w:p>
    <w:p w14:paraId="15BF7E2D" w14:textId="50479DC0" w:rsidR="00EA006C" w:rsidRPr="00EA006C" w:rsidRDefault="00EA006C" w:rsidP="00EA006C">
      <w:pPr>
        <w:spacing w:after="120" w:line="240" w:lineRule="auto"/>
        <w:jc w:val="both"/>
        <w:rPr>
          <w:rFonts w:ascii="Verdana" w:hAnsi="Verdana" w:cs="Arial"/>
          <w:sz w:val="21"/>
          <w:szCs w:val="21"/>
        </w:rPr>
      </w:pPr>
      <w:r w:rsidRPr="00EA006C">
        <w:rPr>
          <w:rFonts w:ascii="Verdana" w:hAnsi="Verdana" w:cs="Arial"/>
          <w:sz w:val="21"/>
          <w:szCs w:val="21"/>
        </w:rPr>
        <w:t xml:space="preserve">El parágrafo primero del artículo 37 </w:t>
      </w:r>
      <w:r w:rsidRPr="00EA006C">
        <w:rPr>
          <w:rFonts w:ascii="Verdana" w:hAnsi="Verdana" w:cs="Arial"/>
          <w:i/>
          <w:iCs/>
          <w:sz w:val="21"/>
          <w:szCs w:val="21"/>
        </w:rPr>
        <w:t>ibidem</w:t>
      </w:r>
      <w:r w:rsidRPr="00EA006C">
        <w:rPr>
          <w:rFonts w:ascii="Verdana" w:hAnsi="Verdana" w:cs="Arial"/>
          <w:sz w:val="21"/>
          <w:szCs w:val="21"/>
        </w:rPr>
        <w:t xml:space="preserve"> dispone lo siguiente: “La ejecución de proyectos de que trata este artículo, se adelantará, con estricta sujeción al régimen presupuestal definido en esta ley, </w:t>
      </w:r>
      <w:r w:rsidRPr="00EA006C">
        <w:rPr>
          <w:rFonts w:ascii="Verdana" w:hAnsi="Verdana" w:cs="Arial"/>
          <w:i/>
          <w:iCs/>
          <w:sz w:val="21"/>
          <w:szCs w:val="21"/>
          <w:u w:val="single"/>
        </w:rPr>
        <w:t>al de contratación pública</w:t>
      </w:r>
      <w:r w:rsidRPr="00EA006C">
        <w:rPr>
          <w:rFonts w:ascii="Verdana" w:hAnsi="Verdana" w:cs="Arial"/>
          <w:sz w:val="21"/>
          <w:szCs w:val="21"/>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r w:rsidRPr="00EA006C">
        <w:rPr>
          <w:rFonts w:ascii="Verdana" w:hAnsi="Verdana" w:cs="Arial"/>
          <w:noProof/>
          <w:sz w:val="21"/>
          <w:szCs w:val="21"/>
        </w:rPr>
        <w:t xml:space="preserve"> A partir de esta norma, el ejercutor de los proyectos de 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5D8D3A5B" w14:textId="54CCCFAA" w:rsidR="00EA006C" w:rsidRPr="00EA006C" w:rsidRDefault="00EA006C" w:rsidP="00EA006C">
      <w:pPr>
        <w:spacing w:after="0" w:line="240" w:lineRule="auto"/>
        <w:jc w:val="both"/>
        <w:rPr>
          <w:rFonts w:ascii="Verdana" w:eastAsia="Geomanist Light" w:hAnsi="Verdana" w:cs="Arial"/>
          <w:b/>
          <w:bCs/>
          <w:color w:val="000000" w:themeColor="text1"/>
          <w:lang w:val="es-MX"/>
        </w:rPr>
      </w:pPr>
      <w:r w:rsidRPr="00EA006C">
        <w:rPr>
          <w:rFonts w:ascii="Verdana" w:eastAsia="Calibri" w:hAnsi="Verdana" w:cs="Arial"/>
          <w:b/>
          <w:bCs/>
          <w:lang w:val="es-ES" w:eastAsia="es-ES"/>
        </w:rPr>
        <w:t>RÉGIMEN CONTRACTUAL – Entidades ejecutoras – Régimen especial – Aplicación del Estatuto General de Contratación de la Administración Pública</w:t>
      </w:r>
    </w:p>
    <w:p w14:paraId="63A81429" w14:textId="77777777" w:rsidR="00EA006C" w:rsidRDefault="00EA006C" w:rsidP="002E2644">
      <w:pPr>
        <w:spacing w:after="0" w:line="240" w:lineRule="auto"/>
        <w:rPr>
          <w:rFonts w:ascii="Verdana" w:eastAsia="Geomanist Light" w:hAnsi="Verdana" w:cs="Arial"/>
          <w:color w:val="000000" w:themeColor="text1"/>
          <w:lang w:val="es-MX"/>
        </w:rPr>
      </w:pPr>
    </w:p>
    <w:p w14:paraId="6ED8AEBD" w14:textId="77777777" w:rsidR="00EA006C" w:rsidRPr="00EA006C" w:rsidRDefault="00EA006C" w:rsidP="00DD2EBD">
      <w:pPr>
        <w:spacing w:after="0" w:line="240" w:lineRule="auto"/>
        <w:jc w:val="both"/>
        <w:rPr>
          <w:rFonts w:ascii="Verdana" w:eastAsia="Calibri" w:hAnsi="Verdana" w:cs="Arial"/>
          <w:color w:val="000000" w:themeColor="text1"/>
          <w:sz w:val="21"/>
          <w:szCs w:val="21"/>
          <w:lang w:eastAsia="es-ES"/>
        </w:rPr>
      </w:pPr>
      <w:r w:rsidRPr="00EA006C">
        <w:rPr>
          <w:rFonts w:ascii="Verdana" w:eastAsia="Calibri" w:hAnsi="Verdana" w:cs="Arial"/>
          <w:color w:val="000000" w:themeColor="text1"/>
          <w:sz w:val="21"/>
          <w:szCs w:val="21"/>
          <w:lang w:eastAsia="es-ES"/>
        </w:rPr>
        <w:lastRenderedPageBreak/>
        <w:t xml:space="preserve">Finalmente, resulta indispensable precisar que la remisión al EGCAP de la ejecución de los proyectos financiados con recursos de regalías no implica una alteración estructural del régimen especial de las entidades ejecutoras ni desconoce las normas que lo regulan. Tal y como se ha expuesto, la interpretación literal, sistemática y teleológica de la norma, armonizada con el principio general del </w:t>
      </w:r>
      <w:r w:rsidRPr="00EA006C">
        <w:rPr>
          <w:rFonts w:ascii="Verdana" w:eastAsia="Calibri" w:hAnsi="Verdana" w:cs="Arial"/>
          <w:i/>
          <w:iCs/>
          <w:color w:val="000000" w:themeColor="text1"/>
          <w:sz w:val="21"/>
          <w:szCs w:val="21"/>
          <w:lang w:eastAsia="es-ES"/>
        </w:rPr>
        <w:t>efecto útil</w:t>
      </w:r>
      <w:r w:rsidRPr="00EA006C">
        <w:rPr>
          <w:rFonts w:ascii="Verdana" w:eastAsia="Calibri" w:hAnsi="Verdana" w:cs="Arial"/>
          <w:color w:val="000000" w:themeColor="text1"/>
          <w:sz w:val="21"/>
          <w:szCs w:val="21"/>
          <w:lang w:eastAsia="es-ES"/>
        </w:rPr>
        <w:t xml:space="preserve">, conduce a concluir que cuando estas entidades actúan en calidad de ejecutoras en el marco de la Ley 2056 de 2020, deben sujetarse al EGCAP. De hecho, así fue expuesto en el Concepto C-504 del 1 de octubre de 2024, en el cual se indicó que ello “no </w:t>
      </w:r>
      <w:r w:rsidRPr="00EA006C">
        <w:rPr>
          <w:rFonts w:ascii="Verdana" w:hAnsi="Verdana" w:cs="Arial"/>
          <w:color w:val="000000"/>
          <w:sz w:val="21"/>
          <w:szCs w:val="21"/>
          <w:bdr w:val="none" w:sz="0" w:space="0" w:color="auto" w:frame="1"/>
          <w:lang w:val="es-MX"/>
        </w:rPr>
        <w:t xml:space="preserve">implica que la designación para la ejecución de proyectos financiados con recursos del Sistema General de Regalías mute a perpetuidad o de manera general el régimen contractual de las entidades estatales ejecutoras sometidas a regímenes especiales de contratación, en la medida en que, mientras sigan vigentes las disposiciones legales que contemplan tales regímenes exceptuados, dichas entidades podrán seguir aplicándolos para la contratación no relacionada con la ejecución de los proyectos a los que se refieren los artículos 35 y 36 de la Ley 2056 de 2020”.  </w:t>
      </w:r>
    </w:p>
    <w:p w14:paraId="09B46CEB" w14:textId="77777777" w:rsidR="00EA006C" w:rsidRPr="00EA006C" w:rsidRDefault="00EA006C" w:rsidP="00DD2EBD">
      <w:pPr>
        <w:spacing w:after="0" w:line="240" w:lineRule="auto"/>
        <w:jc w:val="both"/>
        <w:rPr>
          <w:rFonts w:ascii="Verdana" w:eastAsia="Calibri" w:hAnsi="Verdana" w:cs="Arial"/>
          <w:color w:val="000000" w:themeColor="text1"/>
          <w:sz w:val="21"/>
          <w:szCs w:val="21"/>
          <w:lang w:eastAsia="es-ES"/>
        </w:rPr>
      </w:pPr>
      <w:r w:rsidRPr="00EA006C">
        <w:rPr>
          <w:rFonts w:ascii="Verdana" w:eastAsia="Calibri" w:hAnsi="Verdana" w:cs="Arial"/>
          <w:color w:val="000000" w:themeColor="text1"/>
          <w:sz w:val="21"/>
          <w:szCs w:val="21"/>
          <w:lang w:eastAsia="es-ES"/>
        </w:rPr>
        <w:t>Este régimen particular no sustituye ni deroga el régimen especial de contratación al que está sujeta la entidad ejecutora, pero sí superpone válidamente un conjunto de reglas especiales aplicables de manera preferente respecto de los contratos financiados con recursos de regalías, porque la Ley 2056 de 2020 contiene disposiciones específicas que regulan un aspecto puntual. En ese contexto, la remisión al régimen de contratación pública contenida en el artículo 37, y reiterada en otras disposiciones de la ley, despliega un efecto de aplicación preferente, no solo por su especialidad temática, sino también por su carácter imperativo y por estar dirigida a una función específica que es la ejecución de proyectos con recursos de regalías.</w:t>
      </w:r>
    </w:p>
    <w:p w14:paraId="69C32858" w14:textId="77777777" w:rsidR="00EA006C" w:rsidRPr="00EA006C" w:rsidRDefault="00EA006C" w:rsidP="00DD2EBD">
      <w:pPr>
        <w:spacing w:after="0" w:line="240" w:lineRule="auto"/>
        <w:jc w:val="both"/>
        <w:rPr>
          <w:rFonts w:ascii="Verdana" w:eastAsia="Calibri" w:hAnsi="Verdana" w:cs="Arial"/>
          <w:color w:val="000000" w:themeColor="text1"/>
          <w:sz w:val="21"/>
          <w:szCs w:val="21"/>
          <w:lang w:eastAsia="es-ES"/>
        </w:rPr>
      </w:pPr>
      <w:r w:rsidRPr="00EA006C">
        <w:rPr>
          <w:rFonts w:ascii="Verdana" w:eastAsia="Calibri" w:hAnsi="Verdana" w:cs="Arial"/>
          <w:color w:val="000000" w:themeColor="text1"/>
          <w:sz w:val="21"/>
          <w:szCs w:val="21"/>
          <w:lang w:eastAsia="es-ES"/>
        </w:rPr>
        <w:t>Debido a que esta remisión normativa no es una mera referencia indicativa sino que tiene pleno efectos jurídicos, impone la aplicación de régimen de contratación específico en virtud del principio de especialidad y de legalidad. Es decir, mientras actúan como ejecutoras del SGR, dichas entidades deben sujetarse al régimen previsto en la Ley 2056, incluyendo su remisión expresa al EGCAP, sin que ello implique una derogatoria general de su régimen contractual ordinario.</w:t>
      </w:r>
    </w:p>
    <w:p w14:paraId="05BE099E" w14:textId="77777777" w:rsidR="00EA006C" w:rsidRPr="00EA006C" w:rsidRDefault="00EA006C" w:rsidP="002E2644">
      <w:pPr>
        <w:spacing w:after="0" w:line="240" w:lineRule="auto"/>
        <w:rPr>
          <w:rFonts w:ascii="Verdana" w:eastAsia="Geomanist Light" w:hAnsi="Verdana" w:cs="Arial"/>
          <w:color w:val="000000" w:themeColor="text1"/>
        </w:rPr>
      </w:pPr>
    </w:p>
    <w:p w14:paraId="63DE2FC7" w14:textId="77777777" w:rsidR="00EA006C" w:rsidRDefault="00EA006C" w:rsidP="002E2644">
      <w:pPr>
        <w:spacing w:after="0" w:line="240" w:lineRule="auto"/>
        <w:rPr>
          <w:rFonts w:ascii="Verdana" w:eastAsia="Geomanist Light" w:hAnsi="Verdana" w:cs="Arial"/>
          <w:color w:val="000000" w:themeColor="text1"/>
          <w:lang w:val="es-MX"/>
        </w:rPr>
      </w:pPr>
    </w:p>
    <w:p w14:paraId="7ACB8F9C" w14:textId="77777777" w:rsidR="00EA006C" w:rsidRDefault="00EA006C" w:rsidP="002E2644">
      <w:pPr>
        <w:spacing w:after="0" w:line="240" w:lineRule="auto"/>
        <w:rPr>
          <w:rFonts w:ascii="Verdana" w:eastAsia="Geomanist Light" w:hAnsi="Verdana" w:cs="Arial"/>
          <w:color w:val="000000" w:themeColor="text1"/>
          <w:lang w:val="es-MX"/>
        </w:rPr>
      </w:pPr>
    </w:p>
    <w:p w14:paraId="42F15431" w14:textId="77777777" w:rsidR="00EA006C" w:rsidRDefault="00EA006C" w:rsidP="002E2644">
      <w:pPr>
        <w:spacing w:after="0" w:line="240" w:lineRule="auto"/>
        <w:rPr>
          <w:rFonts w:ascii="Verdana" w:eastAsia="Geomanist Light" w:hAnsi="Verdana" w:cs="Arial"/>
          <w:color w:val="000000" w:themeColor="text1"/>
          <w:lang w:val="es-MX"/>
        </w:rPr>
      </w:pPr>
    </w:p>
    <w:p w14:paraId="564EB11D" w14:textId="77777777" w:rsidR="00EA006C" w:rsidRDefault="00EA006C" w:rsidP="002E2644">
      <w:pPr>
        <w:spacing w:after="0" w:line="240" w:lineRule="auto"/>
        <w:rPr>
          <w:rFonts w:ascii="Verdana" w:eastAsia="Geomanist Light" w:hAnsi="Verdana" w:cs="Arial"/>
          <w:color w:val="000000" w:themeColor="text1"/>
          <w:lang w:val="es-MX"/>
        </w:rPr>
      </w:pPr>
    </w:p>
    <w:p w14:paraId="694D96C5" w14:textId="77777777" w:rsidR="00EA006C" w:rsidRDefault="00EA006C" w:rsidP="002E2644">
      <w:pPr>
        <w:spacing w:after="0" w:line="240" w:lineRule="auto"/>
        <w:rPr>
          <w:rFonts w:ascii="Verdana" w:eastAsia="Geomanist Light" w:hAnsi="Verdana" w:cs="Arial"/>
          <w:color w:val="000000" w:themeColor="text1"/>
          <w:lang w:val="es-MX"/>
        </w:rPr>
      </w:pPr>
    </w:p>
    <w:p w14:paraId="253D99B2" w14:textId="77777777" w:rsidR="00EA006C" w:rsidRDefault="00EA006C" w:rsidP="002E2644">
      <w:pPr>
        <w:spacing w:after="0" w:line="240" w:lineRule="auto"/>
        <w:rPr>
          <w:rFonts w:ascii="Verdana" w:eastAsia="Geomanist Light" w:hAnsi="Verdana" w:cs="Arial"/>
          <w:color w:val="000000" w:themeColor="text1"/>
          <w:lang w:val="es-MX"/>
        </w:rPr>
      </w:pPr>
    </w:p>
    <w:p w14:paraId="2F6AF252" w14:textId="77777777" w:rsidR="00EA006C" w:rsidRDefault="00EA006C" w:rsidP="002E2644">
      <w:pPr>
        <w:spacing w:after="0" w:line="240" w:lineRule="auto"/>
        <w:rPr>
          <w:rFonts w:ascii="Verdana" w:eastAsia="Geomanist Light" w:hAnsi="Verdana" w:cs="Arial"/>
          <w:color w:val="000000" w:themeColor="text1"/>
          <w:lang w:val="es-MX"/>
        </w:rPr>
      </w:pPr>
    </w:p>
    <w:p w14:paraId="69184DD1" w14:textId="77777777" w:rsidR="00EA006C" w:rsidRDefault="00EA006C" w:rsidP="002E2644">
      <w:pPr>
        <w:spacing w:after="0" w:line="240" w:lineRule="auto"/>
        <w:rPr>
          <w:rFonts w:ascii="Verdana" w:eastAsia="Geomanist Light" w:hAnsi="Verdana" w:cs="Arial"/>
          <w:color w:val="000000" w:themeColor="text1"/>
          <w:lang w:val="es-MX"/>
        </w:rPr>
      </w:pPr>
    </w:p>
    <w:p w14:paraId="74FD5166" w14:textId="77777777" w:rsidR="00EA006C" w:rsidRDefault="00EA006C" w:rsidP="002E2644">
      <w:pPr>
        <w:spacing w:after="0" w:line="240" w:lineRule="auto"/>
        <w:rPr>
          <w:rFonts w:ascii="Verdana" w:eastAsia="Geomanist Light" w:hAnsi="Verdana" w:cs="Arial"/>
          <w:color w:val="000000" w:themeColor="text1"/>
          <w:lang w:val="es-MX"/>
        </w:rPr>
      </w:pPr>
    </w:p>
    <w:p w14:paraId="773DC434" w14:textId="77777777" w:rsidR="00EA006C" w:rsidRDefault="00EA006C" w:rsidP="002E2644">
      <w:pPr>
        <w:spacing w:after="0" w:line="240" w:lineRule="auto"/>
        <w:rPr>
          <w:rFonts w:ascii="Verdana" w:eastAsia="Geomanist Light" w:hAnsi="Verdana" w:cs="Arial"/>
          <w:color w:val="000000" w:themeColor="text1"/>
          <w:lang w:val="es-MX"/>
        </w:rPr>
      </w:pPr>
    </w:p>
    <w:p w14:paraId="58AB6BB7" w14:textId="77777777" w:rsidR="00DD2EBD" w:rsidRDefault="00DD2EBD" w:rsidP="002E2644">
      <w:pPr>
        <w:spacing w:after="0" w:line="240" w:lineRule="auto"/>
        <w:rPr>
          <w:rFonts w:ascii="Verdana" w:eastAsia="Geomanist Light" w:hAnsi="Verdana" w:cs="Arial"/>
          <w:color w:val="000000" w:themeColor="text1"/>
          <w:lang w:val="es-MX"/>
        </w:rPr>
      </w:pPr>
    </w:p>
    <w:p w14:paraId="1A736ABE" w14:textId="0AB18E44" w:rsidR="002E2644" w:rsidRPr="006E6D6C" w:rsidRDefault="002E2644" w:rsidP="002E2644">
      <w:pPr>
        <w:spacing w:after="0" w:line="240" w:lineRule="auto"/>
        <w:rPr>
          <w:rFonts w:ascii="Verdana" w:eastAsia="Times New Roman" w:hAnsi="Verdana" w:cs="Arial"/>
          <w:lang w:eastAsia="es-ES_tradnl"/>
        </w:rPr>
      </w:pPr>
      <w:r w:rsidRPr="00CF64C0">
        <w:rPr>
          <w:rFonts w:ascii="Verdana" w:eastAsia="Geomanist Light" w:hAnsi="Verdana" w:cs="Arial"/>
          <w:color w:val="000000" w:themeColor="text1"/>
          <w:lang w:val="es-MX"/>
        </w:rPr>
        <w:lastRenderedPageBreak/>
        <w:t>Bogotá D.C., </w:t>
      </w:r>
      <w:r w:rsidR="00711FBD">
        <w:rPr>
          <w:rFonts w:ascii="Verdana" w:eastAsia="Geomanist Light" w:hAnsi="Verdana" w:cs="Arial"/>
          <w:color w:val="201F1E"/>
          <w:lang w:val="es-MX"/>
        </w:rPr>
        <w:t>30</w:t>
      </w:r>
      <w:r w:rsidRPr="00CF64C0">
        <w:rPr>
          <w:rFonts w:ascii="Verdana" w:eastAsia="Geomanist Light" w:hAnsi="Verdana" w:cs="Arial"/>
          <w:color w:val="201F1E"/>
          <w:lang w:val="es-MX"/>
        </w:rPr>
        <w:t xml:space="preserve"> de </w:t>
      </w:r>
      <w:r w:rsidR="00711FBD">
        <w:rPr>
          <w:rFonts w:ascii="Verdana" w:eastAsia="Geomanist Light" w:hAnsi="Verdana" w:cs="Arial"/>
          <w:color w:val="201F1E"/>
          <w:lang w:val="es-MX"/>
        </w:rPr>
        <w:t>julio</w:t>
      </w:r>
      <w:r w:rsidRPr="00CF64C0">
        <w:rPr>
          <w:rFonts w:ascii="Verdana" w:eastAsia="Geomanist Light" w:hAnsi="Verdana" w:cs="Arial"/>
          <w:color w:val="201F1E"/>
          <w:lang w:val="es-MX"/>
        </w:rPr>
        <w:t xml:space="preserve"> de </w:t>
      </w:r>
      <w:r w:rsidR="00711FBD">
        <w:rPr>
          <w:rFonts w:ascii="Verdana" w:eastAsia="Geomanist Light" w:hAnsi="Verdana" w:cs="Arial"/>
          <w:color w:val="201F1E"/>
          <w:lang w:val="es-MX"/>
        </w:rPr>
        <w:t>2026</w:t>
      </w:r>
    </w:p>
    <w:p w14:paraId="58D2AAE7" w14:textId="736C6A0C" w:rsidR="002E2644" w:rsidRPr="00393943" w:rsidRDefault="002E2644" w:rsidP="002E2644">
      <w:pPr>
        <w:spacing w:after="0" w:line="240" w:lineRule="auto"/>
        <w:jc w:val="both"/>
        <w:rPr>
          <w:rFonts w:ascii="Verdana" w:eastAsia="Calibri" w:hAnsi="Verdana" w:cs="Arial"/>
          <w:color w:val="000000"/>
        </w:rPr>
      </w:pPr>
    </w:p>
    <w:p w14:paraId="5494EE7E" w14:textId="6EC3CE27" w:rsidR="00711FBD" w:rsidRDefault="00711FBD" w:rsidP="00711FBD">
      <w:pPr>
        <w:spacing w:after="0" w:line="240" w:lineRule="auto"/>
        <w:ind w:left="4248"/>
        <w:jc w:val="both"/>
        <w:rPr>
          <w:rFonts w:ascii="Verdana" w:eastAsia="Calibri" w:hAnsi="Verdana" w:cs="Arial"/>
          <w:lang w:eastAsia="es-ES"/>
        </w:rPr>
      </w:pPr>
    </w:p>
    <w:p w14:paraId="24F33C62" w14:textId="68C8A108" w:rsidR="002E2644" w:rsidRPr="00393943" w:rsidRDefault="000B62A0" w:rsidP="002E2644">
      <w:pPr>
        <w:spacing w:after="0" w:line="240" w:lineRule="auto"/>
        <w:jc w:val="both"/>
        <w:rPr>
          <w:rFonts w:ascii="Verdana" w:eastAsia="Calibri" w:hAnsi="Verdana" w:cs="Arial"/>
          <w:lang w:eastAsia="es-ES"/>
        </w:rPr>
      </w:pPr>
      <w:r w:rsidRPr="00711FBD">
        <w:rPr>
          <w:rFonts w:ascii="Verdana" w:eastAsia="Calibri" w:hAnsi="Verdana" w:cs="Arial"/>
          <w:noProof/>
          <w:lang w:eastAsia="es-ES"/>
        </w:rPr>
        <w:drawing>
          <wp:anchor distT="0" distB="0" distL="114300" distR="114300" simplePos="0" relativeHeight="251658240" behindDoc="0" locked="0" layoutInCell="1" allowOverlap="1" wp14:anchorId="2D0844E6" wp14:editId="73D69B47">
            <wp:simplePos x="0" y="0"/>
            <wp:positionH relativeFrom="margin">
              <wp:align>right</wp:align>
            </wp:positionH>
            <wp:positionV relativeFrom="paragraph">
              <wp:posOffset>8559</wp:posOffset>
            </wp:positionV>
            <wp:extent cx="2591162" cy="771633"/>
            <wp:effectExtent l="0" t="0" r="0" b="9525"/>
            <wp:wrapSquare wrapText="bothSides"/>
            <wp:docPr id="10010651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65141" name=""/>
                    <pic:cNvPicPr/>
                  </pic:nvPicPr>
                  <pic:blipFill>
                    <a:blip r:embed="rId10">
                      <a:extLst>
                        <a:ext uri="{28A0092B-C50C-407E-A947-70E740481C1C}">
                          <a14:useLocalDpi xmlns:a14="http://schemas.microsoft.com/office/drawing/2010/main" val="0"/>
                        </a:ext>
                      </a:extLst>
                    </a:blip>
                    <a:stretch>
                      <a:fillRect/>
                    </a:stretch>
                  </pic:blipFill>
                  <pic:spPr>
                    <a:xfrm>
                      <a:off x="0" y="0"/>
                      <a:ext cx="2591162" cy="771633"/>
                    </a:xfrm>
                    <a:prstGeom prst="rect">
                      <a:avLst/>
                    </a:prstGeom>
                  </pic:spPr>
                </pic:pic>
              </a:graphicData>
            </a:graphic>
          </wp:anchor>
        </w:drawing>
      </w:r>
      <w:r w:rsidR="002E2644" w:rsidRPr="00393943">
        <w:rPr>
          <w:rFonts w:ascii="Verdana" w:eastAsia="Calibri" w:hAnsi="Verdana" w:cs="Arial"/>
          <w:lang w:eastAsia="es-ES"/>
        </w:rPr>
        <w:t>Señor</w:t>
      </w:r>
    </w:p>
    <w:p w14:paraId="226034A0" w14:textId="696DFB9B" w:rsidR="002E2644" w:rsidRPr="002E2644" w:rsidRDefault="002E2644" w:rsidP="002E2644">
      <w:pPr>
        <w:spacing w:after="0" w:line="240" w:lineRule="auto"/>
        <w:jc w:val="both"/>
        <w:rPr>
          <w:rFonts w:ascii="Verdana" w:eastAsia="Calibri" w:hAnsi="Verdana" w:cs="Arial"/>
          <w:b/>
          <w:bCs/>
          <w:lang w:eastAsia="es-ES"/>
        </w:rPr>
      </w:pPr>
      <w:r w:rsidRPr="002E2644">
        <w:rPr>
          <w:rFonts w:ascii="Verdana" w:eastAsia="Calibri" w:hAnsi="Verdana" w:cs="Arial"/>
          <w:b/>
          <w:bCs/>
          <w:lang w:eastAsia="es-ES"/>
        </w:rPr>
        <w:t>Luis Gabriel Marchena Otero</w:t>
      </w:r>
    </w:p>
    <w:p w14:paraId="5FCF9A5E" w14:textId="77777777" w:rsidR="002E2644" w:rsidRPr="002E2644" w:rsidRDefault="002E2644" w:rsidP="002E2644">
      <w:pPr>
        <w:spacing w:after="0" w:line="240" w:lineRule="auto"/>
        <w:jc w:val="both"/>
        <w:rPr>
          <w:rFonts w:ascii="Verdana" w:eastAsia="Calibri" w:hAnsi="Verdana" w:cs="Arial"/>
          <w:b/>
          <w:bCs/>
          <w:lang w:eastAsia="es-ES"/>
        </w:rPr>
      </w:pPr>
      <w:hyperlink r:id="rId11" w:history="1">
        <w:r w:rsidRPr="002E2644">
          <w:rPr>
            <w:rStyle w:val="Hipervnculo"/>
            <w:rFonts w:ascii="Verdana" w:hAnsi="Verdana"/>
          </w:rPr>
          <w:t>Igmarchena74@hotmail.com</w:t>
        </w:r>
      </w:hyperlink>
      <w:r w:rsidRPr="002E2644">
        <w:rPr>
          <w:rFonts w:ascii="Verdana" w:hAnsi="Verdana"/>
        </w:rPr>
        <w:t xml:space="preserve">; </w:t>
      </w:r>
    </w:p>
    <w:p w14:paraId="3A61E37D" w14:textId="77777777" w:rsidR="002E2644" w:rsidRPr="006E6D6C" w:rsidRDefault="002E2644" w:rsidP="002E2644">
      <w:pPr>
        <w:spacing w:after="0" w:line="240" w:lineRule="auto"/>
        <w:rPr>
          <w:rFonts w:ascii="Verdana" w:hAnsi="Verdana"/>
          <w:lang w:val="it-IT"/>
        </w:rPr>
      </w:pPr>
      <w:r w:rsidRPr="006E6D6C">
        <w:rPr>
          <w:rFonts w:ascii="Verdana" w:hAnsi="Verdana"/>
          <w:lang w:val="it-IT"/>
        </w:rPr>
        <w:t xml:space="preserve">Bogotá D.C  </w:t>
      </w:r>
    </w:p>
    <w:p w14:paraId="5860F5FF" w14:textId="77777777" w:rsidR="002E2644" w:rsidRPr="006E6D6C" w:rsidRDefault="002E2644" w:rsidP="002E2644">
      <w:pPr>
        <w:spacing w:after="0" w:line="240" w:lineRule="auto"/>
        <w:rPr>
          <w:rFonts w:ascii="Verdana" w:eastAsia="Calibri" w:hAnsi="Verdana" w:cs="Arial"/>
          <w:lang w:val="it-IT" w:eastAsia="es-ES"/>
        </w:rPr>
      </w:pPr>
    </w:p>
    <w:p w14:paraId="1ACA0B56" w14:textId="77777777" w:rsidR="002E2644" w:rsidRPr="006E6D6C" w:rsidRDefault="002E2644" w:rsidP="002E2644">
      <w:pPr>
        <w:spacing w:after="0" w:line="240" w:lineRule="auto"/>
        <w:rPr>
          <w:rFonts w:ascii="Verdana" w:eastAsia="Calibri" w:hAnsi="Verdana" w:cs="Arial"/>
          <w:b/>
          <w:color w:val="000000"/>
          <w:lang w:val="it-IT" w:eastAsia="es-ES_tradnl"/>
        </w:rPr>
      </w:pPr>
    </w:p>
    <w:p w14:paraId="54219199" w14:textId="77777777" w:rsidR="002E2644" w:rsidRPr="00393943" w:rsidRDefault="002E2644" w:rsidP="002E2644">
      <w:pPr>
        <w:spacing w:after="0" w:line="240" w:lineRule="auto"/>
        <w:jc w:val="center"/>
        <w:rPr>
          <w:rFonts w:ascii="Verdana" w:eastAsia="Calibri" w:hAnsi="Verdana" w:cs="Arial"/>
          <w:b/>
          <w:lang w:val="pt-BR" w:eastAsia="es-ES"/>
        </w:rPr>
      </w:pPr>
      <w:r w:rsidRPr="00393943">
        <w:rPr>
          <w:rFonts w:ascii="Verdana" w:eastAsia="Calibri" w:hAnsi="Verdana" w:cs="Arial"/>
          <w:b/>
          <w:lang w:val="pt-BR" w:eastAsia="es-ES"/>
        </w:rPr>
        <w:t xml:space="preserve">Concepto </w:t>
      </w:r>
      <w:r w:rsidRPr="006E6D6C">
        <w:rPr>
          <w:rFonts w:ascii="Verdana" w:eastAsia="Calibri" w:hAnsi="Verdana" w:cs="Arial"/>
          <w:b/>
          <w:lang w:val="pt-BR" w:eastAsia="es-ES"/>
        </w:rPr>
        <w:t>C-984</w:t>
      </w:r>
      <w:r>
        <w:rPr>
          <w:rFonts w:ascii="Verdana" w:eastAsia="Calibri" w:hAnsi="Verdana" w:cs="Arial"/>
          <w:b/>
          <w:lang w:val="pt-BR" w:eastAsia="es-ES"/>
        </w:rPr>
        <w:t xml:space="preserve"> </w:t>
      </w:r>
      <w:r w:rsidRPr="00393943">
        <w:rPr>
          <w:rFonts w:ascii="Verdana" w:eastAsia="Calibri" w:hAnsi="Verdana" w:cs="Arial"/>
          <w:b/>
          <w:lang w:val="pt-BR" w:eastAsia="es-ES"/>
        </w:rPr>
        <w:t>de 2026</w:t>
      </w:r>
    </w:p>
    <w:p w14:paraId="26DB6CA1" w14:textId="77777777" w:rsidR="002E2644" w:rsidRPr="00393943" w:rsidRDefault="002E2644" w:rsidP="002E2644">
      <w:pPr>
        <w:spacing w:after="0" w:line="240" w:lineRule="auto"/>
        <w:rPr>
          <w:rFonts w:ascii="Verdana" w:eastAsia="Calibri" w:hAnsi="Verdana" w:cs="Arial"/>
          <w:b/>
          <w:color w:val="000000"/>
          <w:lang w:val="pt-BR" w:eastAsia="es-ES_tradnl"/>
        </w:rPr>
      </w:pPr>
    </w:p>
    <w:p w14:paraId="4AE3325B" w14:textId="77777777" w:rsidR="002E2644" w:rsidRPr="00393943" w:rsidRDefault="002E2644" w:rsidP="002E2644">
      <w:pPr>
        <w:spacing w:after="0" w:line="240" w:lineRule="auto"/>
        <w:rPr>
          <w:rFonts w:ascii="Verdana" w:eastAsia="Calibri" w:hAnsi="Verdana" w:cs="Arial"/>
          <w:b/>
          <w:color w:val="000000"/>
          <w:lang w:val="pt-BR"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E2644" w:rsidRPr="00393943" w14:paraId="23E2DEB9" w14:textId="77777777" w:rsidTr="003D09D7">
        <w:trPr>
          <w:trHeight w:val="884"/>
        </w:trPr>
        <w:tc>
          <w:tcPr>
            <w:tcW w:w="2689" w:type="dxa"/>
          </w:tcPr>
          <w:p w14:paraId="090FAD0C" w14:textId="77777777" w:rsidR="002E2644" w:rsidRPr="00393943" w:rsidRDefault="002E2644" w:rsidP="003D09D7">
            <w:pPr>
              <w:jc w:val="both"/>
              <w:rPr>
                <w:rFonts w:ascii="Verdana" w:eastAsia="Calibri" w:hAnsi="Verdana" w:cs="Arial"/>
                <w:color w:val="000000"/>
                <w:lang w:eastAsia="es-ES_tradnl"/>
              </w:rPr>
            </w:pPr>
            <w:r w:rsidRPr="00393943">
              <w:rPr>
                <w:rFonts w:ascii="Verdana" w:eastAsia="Calibri" w:hAnsi="Verdana" w:cs="Arial"/>
                <w:b/>
                <w:color w:val="000000"/>
                <w:lang w:eastAsia="es-ES_tradnl"/>
              </w:rPr>
              <w:t>Temas:</w:t>
            </w:r>
            <w:r w:rsidRPr="00393943">
              <w:rPr>
                <w:rFonts w:ascii="Verdana" w:eastAsia="Calibri" w:hAnsi="Verdana" w:cs="Arial"/>
                <w:color w:val="000000"/>
                <w:lang w:eastAsia="es-ES_tradnl"/>
              </w:rPr>
              <w:t xml:space="preserve">                   </w:t>
            </w:r>
          </w:p>
        </w:tc>
        <w:tc>
          <w:tcPr>
            <w:tcW w:w="6100" w:type="dxa"/>
          </w:tcPr>
          <w:p w14:paraId="396E4C9F" w14:textId="77777777" w:rsidR="002E2644" w:rsidRPr="00393943" w:rsidRDefault="002E2644" w:rsidP="003D09D7">
            <w:pPr>
              <w:spacing w:line="276" w:lineRule="auto"/>
              <w:jc w:val="both"/>
              <w:rPr>
                <w:rFonts w:ascii="Verdana" w:eastAsia="Calibri" w:hAnsi="Verdana" w:cs="Arial"/>
                <w:lang w:val="es-ES" w:eastAsia="es-ES"/>
              </w:rPr>
            </w:pPr>
            <w:r w:rsidRPr="00393943">
              <w:rPr>
                <w:rFonts w:ascii="Verdana" w:eastAsia="Calibri" w:hAnsi="Verdana" w:cs="Arial"/>
                <w:lang w:val="es-ES" w:eastAsia="es-ES"/>
              </w:rPr>
              <w:t xml:space="preserve">SISTEMA GENERAL DE REGALÍAS – Ley 2056 de 2020 – artículo 37 / RÉGIMEN CONTRACTUAL – Entidades ejecutoras – Régimen especial – Aplicación del Estatuto General de Contratación de la Administración Pública </w:t>
            </w:r>
          </w:p>
          <w:p w14:paraId="577E507E" w14:textId="77777777" w:rsidR="002E2644" w:rsidRPr="00393943" w:rsidRDefault="002E2644" w:rsidP="003D09D7">
            <w:pPr>
              <w:jc w:val="both"/>
              <w:rPr>
                <w:rFonts w:ascii="Verdana" w:eastAsia="Calibri" w:hAnsi="Verdana" w:cs="Arial"/>
                <w:lang w:eastAsia="es-ES"/>
              </w:rPr>
            </w:pPr>
          </w:p>
        </w:tc>
      </w:tr>
      <w:tr w:rsidR="002E2644" w:rsidRPr="00393943" w14:paraId="3018C160" w14:textId="77777777" w:rsidTr="003D09D7">
        <w:tc>
          <w:tcPr>
            <w:tcW w:w="2689" w:type="dxa"/>
          </w:tcPr>
          <w:p w14:paraId="518716BA" w14:textId="77777777" w:rsidR="002E2644" w:rsidRPr="00393943" w:rsidRDefault="002E2644" w:rsidP="003D09D7">
            <w:pPr>
              <w:jc w:val="both"/>
              <w:rPr>
                <w:rFonts w:ascii="Verdana" w:eastAsia="Calibri" w:hAnsi="Verdana" w:cs="Arial"/>
                <w:b/>
                <w:lang w:eastAsia="es-ES_tradnl"/>
              </w:rPr>
            </w:pPr>
            <w:r w:rsidRPr="00393943">
              <w:rPr>
                <w:rFonts w:ascii="Verdana" w:eastAsia="Calibri" w:hAnsi="Verdana" w:cs="Arial"/>
                <w:b/>
                <w:lang w:eastAsia="es-ES_tradnl"/>
              </w:rPr>
              <w:t>Radicación:</w:t>
            </w:r>
            <w:r w:rsidRPr="00393943">
              <w:rPr>
                <w:rFonts w:ascii="Verdana" w:eastAsia="Calibri" w:hAnsi="Verdana" w:cs="Arial"/>
                <w:lang w:eastAsia="es-ES_tradnl"/>
              </w:rPr>
              <w:t xml:space="preserve">               </w:t>
            </w:r>
          </w:p>
        </w:tc>
        <w:tc>
          <w:tcPr>
            <w:tcW w:w="6100" w:type="dxa"/>
          </w:tcPr>
          <w:p w14:paraId="467FCE43" w14:textId="77777777" w:rsidR="002E2644" w:rsidRPr="00393943" w:rsidRDefault="002E2644" w:rsidP="003D09D7">
            <w:pPr>
              <w:jc w:val="both"/>
              <w:rPr>
                <w:rFonts w:ascii="Verdana" w:eastAsia="Calibri" w:hAnsi="Verdana" w:cs="Arial"/>
                <w:lang w:eastAsia="es-ES_tradnl"/>
              </w:rPr>
            </w:pPr>
            <w:r w:rsidRPr="00393943">
              <w:rPr>
                <w:rFonts w:ascii="Verdana" w:eastAsia="Calibri" w:hAnsi="Verdana" w:cs="Arial"/>
                <w:lang w:eastAsia="es-ES_tradnl"/>
              </w:rPr>
              <w:t>Respuesta a las consultas con radicado Nos.</w:t>
            </w:r>
            <w:r w:rsidRPr="00393943">
              <w:t xml:space="preserve"> </w:t>
            </w:r>
            <w:r w:rsidRPr="006E6D6C">
              <w:rPr>
                <w:rFonts w:ascii="Verdana" w:hAnsi="Verdana"/>
              </w:rPr>
              <w:t>1_2026_06_18_008180</w:t>
            </w:r>
            <w:r>
              <w:rPr>
                <w:rFonts w:ascii="Verdana" w:hAnsi="Verdana"/>
              </w:rPr>
              <w:t xml:space="preserve"> </w:t>
            </w:r>
            <w:r w:rsidRPr="00393943">
              <w:rPr>
                <w:rFonts w:ascii="Verdana" w:hAnsi="Verdana"/>
              </w:rPr>
              <w:t xml:space="preserve">y </w:t>
            </w:r>
            <w:r w:rsidRPr="006E6D6C">
              <w:rPr>
                <w:rFonts w:ascii="Verdana" w:hAnsi="Verdana"/>
              </w:rPr>
              <w:t>1_2026_06_18_008188</w:t>
            </w:r>
          </w:p>
        </w:tc>
      </w:tr>
    </w:tbl>
    <w:p w14:paraId="40BF3BF8" w14:textId="77777777" w:rsidR="002E2644" w:rsidRPr="00393943" w:rsidRDefault="002E2644" w:rsidP="002E2644">
      <w:pPr>
        <w:spacing w:after="0" w:line="240" w:lineRule="auto"/>
        <w:jc w:val="both"/>
        <w:rPr>
          <w:rFonts w:ascii="Verdana" w:eastAsia="Calibri" w:hAnsi="Verdana" w:cs="Arial"/>
          <w:color w:val="000000"/>
          <w:lang w:eastAsia="es-ES_tradnl"/>
        </w:rPr>
      </w:pPr>
    </w:p>
    <w:p w14:paraId="036C6680" w14:textId="77777777" w:rsidR="002E2644" w:rsidRPr="00393943" w:rsidRDefault="002E2644" w:rsidP="002E2644">
      <w:pPr>
        <w:spacing w:after="0" w:line="240" w:lineRule="auto"/>
        <w:jc w:val="both"/>
        <w:rPr>
          <w:rFonts w:ascii="Verdana" w:eastAsia="Calibri" w:hAnsi="Verdana" w:cs="Arial"/>
          <w:color w:val="000000"/>
          <w:lang w:eastAsia="es-ES_tradnl"/>
        </w:rPr>
      </w:pPr>
    </w:p>
    <w:p w14:paraId="70A4E1F6" w14:textId="77777777" w:rsidR="002E2644" w:rsidRPr="00393943" w:rsidRDefault="002E2644" w:rsidP="002E2644">
      <w:pPr>
        <w:spacing w:after="0" w:line="276" w:lineRule="auto"/>
        <w:jc w:val="both"/>
        <w:rPr>
          <w:rFonts w:ascii="Verdana" w:eastAsia="Calibri" w:hAnsi="Verdana" w:cs="Arial"/>
          <w:lang w:eastAsia="es-ES"/>
        </w:rPr>
      </w:pPr>
      <w:r w:rsidRPr="00393943">
        <w:rPr>
          <w:rFonts w:ascii="Verdana" w:eastAsia="Calibri" w:hAnsi="Verdana" w:cs="Arial"/>
          <w:lang w:eastAsia="es-ES"/>
        </w:rPr>
        <w:t>Estimad</w:t>
      </w:r>
      <w:r>
        <w:rPr>
          <w:rFonts w:ascii="Verdana" w:eastAsia="Calibri" w:hAnsi="Verdana" w:cs="Arial"/>
          <w:lang w:eastAsia="es-ES"/>
        </w:rPr>
        <w:t>o</w:t>
      </w:r>
      <w:r w:rsidRPr="00393943">
        <w:rPr>
          <w:rFonts w:ascii="Verdana" w:eastAsia="Calibri" w:hAnsi="Verdana" w:cs="Arial"/>
          <w:lang w:eastAsia="es-ES"/>
        </w:rPr>
        <w:t xml:space="preserve"> señor Restrepo: </w:t>
      </w:r>
    </w:p>
    <w:p w14:paraId="007D93AE" w14:textId="77777777" w:rsidR="002E2644" w:rsidRPr="00393943" w:rsidRDefault="002E2644" w:rsidP="002E2644">
      <w:pPr>
        <w:tabs>
          <w:tab w:val="left" w:pos="3768"/>
        </w:tabs>
        <w:spacing w:after="0" w:line="276" w:lineRule="auto"/>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ab/>
      </w:r>
    </w:p>
    <w:p w14:paraId="6C9730AE" w14:textId="77777777" w:rsidR="002E2644" w:rsidRPr="00393943" w:rsidRDefault="002E2644" w:rsidP="002E2644">
      <w:pPr>
        <w:spacing w:after="0" w:line="276" w:lineRule="auto"/>
        <w:jc w:val="both"/>
        <w:rPr>
          <w:rFonts w:ascii="Verdana" w:eastAsia="Calibri" w:hAnsi="Verdana" w:cs="Arial"/>
          <w:i/>
          <w:iCs/>
          <w:lang w:eastAsia="es-ES"/>
        </w:rPr>
      </w:pPr>
      <w:r w:rsidRPr="00393943">
        <w:rPr>
          <w:rFonts w:ascii="Verdana" w:eastAsia="Calibri" w:hAnsi="Verdana" w:cs="Arial"/>
          <w:color w:val="000000" w:themeColor="text1"/>
          <w:lang w:eastAsia="es-ES"/>
        </w:rPr>
        <w:t>En ejercicio de la competencia otorgada por los artículos 3, numeral 5º, y 11, numeral 8º, del Decreto Ley 4170 de 2011,</w:t>
      </w:r>
      <w:r w:rsidRPr="00393943">
        <w:rPr>
          <w:rFonts w:ascii="Verdana" w:eastAsia="Arial MT" w:hAnsi="Verdana" w:cs="Arial MT"/>
          <w:lang w:eastAsia="es-ES"/>
        </w:rPr>
        <w:t xml:space="preserve"> </w:t>
      </w:r>
      <w:r w:rsidRPr="00393943">
        <w:rPr>
          <w:rFonts w:ascii="Verdana" w:hAnsi="Verdana" w:cs="Arial"/>
        </w:rPr>
        <w:t xml:space="preserve">así como lo establecido en la Resolución 469 de 2025 expedida por esta Entidad, </w:t>
      </w:r>
      <w:r w:rsidRPr="00393943">
        <w:rPr>
          <w:rFonts w:ascii="Verdana" w:eastAsia="Calibri" w:hAnsi="Verdana" w:cs="Arial"/>
          <w:color w:val="000000" w:themeColor="text1"/>
          <w:lang w:eastAsia="es-ES"/>
        </w:rPr>
        <w:t>la Agencia Nacional de Contratación Pública – Colombia Compra Eficiente responde su solicitud del 1</w:t>
      </w:r>
      <w:r>
        <w:rPr>
          <w:rFonts w:ascii="Verdana" w:eastAsia="Calibri" w:hAnsi="Verdana" w:cs="Arial"/>
          <w:color w:val="000000" w:themeColor="text1"/>
          <w:lang w:eastAsia="es-ES"/>
        </w:rPr>
        <w:t>8</w:t>
      </w:r>
      <w:r w:rsidRPr="00393943">
        <w:rPr>
          <w:rFonts w:ascii="Verdana" w:eastAsia="Calibri" w:hAnsi="Verdana" w:cs="Arial"/>
          <w:color w:val="000000" w:themeColor="text1"/>
          <w:lang w:eastAsia="es-ES"/>
        </w:rPr>
        <w:t xml:space="preserve"> de ju</w:t>
      </w:r>
      <w:r>
        <w:rPr>
          <w:rFonts w:ascii="Verdana" w:eastAsia="Calibri" w:hAnsi="Verdana" w:cs="Arial"/>
          <w:color w:val="000000" w:themeColor="text1"/>
          <w:lang w:eastAsia="es-ES"/>
        </w:rPr>
        <w:t>n</w:t>
      </w:r>
      <w:r w:rsidRPr="00393943">
        <w:rPr>
          <w:rFonts w:ascii="Verdana" w:eastAsia="Calibri" w:hAnsi="Verdana" w:cs="Arial"/>
          <w:color w:val="000000" w:themeColor="text1"/>
          <w:lang w:eastAsia="es-ES"/>
        </w:rPr>
        <w:t>io de 2026,</w:t>
      </w:r>
      <w:r w:rsidRPr="00393943">
        <w:rPr>
          <w:rFonts w:ascii="Verdana" w:eastAsia="Calibri" w:hAnsi="Verdana" w:cs="Arial"/>
          <w:lang w:eastAsia="es-ES"/>
        </w:rPr>
        <w:t xml:space="preserve"> en la cual consulta sobre lo siguiente:</w:t>
      </w:r>
      <w:r w:rsidRPr="00393943">
        <w:rPr>
          <w:rFonts w:ascii="Verdana" w:eastAsia="Calibri" w:hAnsi="Verdana" w:cs="Arial"/>
          <w:i/>
          <w:iCs/>
          <w:lang w:eastAsia="es-ES"/>
        </w:rPr>
        <w:t xml:space="preserve"> </w:t>
      </w:r>
      <w:bookmarkStart w:id="2" w:name="_Hlk95313578"/>
    </w:p>
    <w:p w14:paraId="7F33856F" w14:textId="77777777" w:rsidR="002E2644" w:rsidRPr="00393943" w:rsidRDefault="002E2644" w:rsidP="002E2644">
      <w:pPr>
        <w:spacing w:after="0" w:line="276" w:lineRule="auto"/>
        <w:jc w:val="both"/>
        <w:rPr>
          <w:rFonts w:ascii="Verdana" w:eastAsia="Calibri" w:hAnsi="Verdana" w:cs="Arial"/>
          <w:i/>
          <w:iCs/>
          <w:lang w:eastAsia="es-ES"/>
        </w:rPr>
      </w:pPr>
    </w:p>
    <w:p w14:paraId="7692F339" w14:textId="77777777" w:rsidR="002E2644" w:rsidRPr="00764DF4" w:rsidRDefault="002E2644" w:rsidP="002E2644">
      <w:pPr>
        <w:spacing w:after="0" w:line="240" w:lineRule="auto"/>
        <w:ind w:left="709" w:right="709"/>
        <w:jc w:val="both"/>
        <w:rPr>
          <w:rFonts w:ascii="Verdana" w:hAnsi="Verdana"/>
          <w:i/>
          <w:sz w:val="20"/>
          <w:szCs w:val="20"/>
        </w:rPr>
      </w:pPr>
      <w:r w:rsidRPr="00764DF4">
        <w:rPr>
          <w:rFonts w:ascii="Verdana" w:eastAsia="Arial" w:hAnsi="Verdana" w:cs="Arial"/>
          <w:i/>
          <w:color w:val="000000"/>
          <w:sz w:val="20"/>
          <w:szCs w:val="20"/>
        </w:rPr>
        <w:t>“</w:t>
      </w:r>
      <w:bookmarkEnd w:id="2"/>
      <w:r w:rsidRPr="00764DF4">
        <w:rPr>
          <w:rFonts w:ascii="Verdana" w:hAnsi="Verdana"/>
          <w:i/>
          <w:sz w:val="20"/>
          <w:szCs w:val="20"/>
        </w:rPr>
        <w:t xml:space="preserve">(…) 1. Me esboce y fundamente con todo rigor la POSICIÓN y RECOMENDACIÓNINSTITUCIONAL de la PROCURADURÍA GENERAL DE LA NACIÓN, frente a </w:t>
      </w:r>
      <w:proofErr w:type="spellStart"/>
      <w:r w:rsidRPr="00764DF4">
        <w:rPr>
          <w:rFonts w:ascii="Verdana" w:hAnsi="Verdana"/>
          <w:i/>
          <w:sz w:val="20"/>
          <w:szCs w:val="20"/>
        </w:rPr>
        <w:t>estetema</w:t>
      </w:r>
      <w:proofErr w:type="spellEnd"/>
      <w:r w:rsidRPr="00764DF4">
        <w:rPr>
          <w:rFonts w:ascii="Verdana" w:hAnsi="Verdana"/>
          <w:i/>
          <w:sz w:val="20"/>
          <w:szCs w:val="20"/>
        </w:rPr>
        <w:t xml:space="preserve">, y me determine si la posición del ente de control es que el ente </w:t>
      </w:r>
      <w:proofErr w:type="spellStart"/>
      <w:r w:rsidRPr="00764DF4">
        <w:rPr>
          <w:rFonts w:ascii="Verdana" w:hAnsi="Verdana"/>
          <w:i/>
          <w:sz w:val="20"/>
          <w:szCs w:val="20"/>
        </w:rPr>
        <w:t>ejecutordesignado</w:t>
      </w:r>
      <w:proofErr w:type="spellEnd"/>
      <w:r w:rsidRPr="00764DF4">
        <w:rPr>
          <w:rFonts w:ascii="Verdana" w:hAnsi="Verdana"/>
          <w:i/>
          <w:sz w:val="20"/>
          <w:szCs w:val="20"/>
        </w:rPr>
        <w:t xml:space="preserve"> para la ejecución de contratos con recursos de regalías, sin importar </w:t>
      </w:r>
      <w:proofErr w:type="spellStart"/>
      <w:r w:rsidRPr="00764DF4">
        <w:rPr>
          <w:rFonts w:ascii="Verdana" w:hAnsi="Verdana"/>
          <w:i/>
          <w:sz w:val="20"/>
          <w:szCs w:val="20"/>
        </w:rPr>
        <w:t>sunaturaleza</w:t>
      </w:r>
      <w:proofErr w:type="spellEnd"/>
      <w:r w:rsidRPr="00764DF4">
        <w:rPr>
          <w:rFonts w:ascii="Verdana" w:hAnsi="Verdana"/>
          <w:i/>
          <w:sz w:val="20"/>
          <w:szCs w:val="20"/>
        </w:rPr>
        <w:t xml:space="preserve"> jurídica (mixta, privada) o régimen especial de contratación(universidades, </w:t>
      </w:r>
      <w:proofErr w:type="spellStart"/>
      <w:r w:rsidRPr="00764DF4">
        <w:rPr>
          <w:rFonts w:ascii="Verdana" w:hAnsi="Verdana"/>
          <w:i/>
          <w:sz w:val="20"/>
          <w:szCs w:val="20"/>
        </w:rPr>
        <w:t>etc</w:t>
      </w:r>
      <w:proofErr w:type="spellEnd"/>
      <w:r w:rsidRPr="00764DF4">
        <w:rPr>
          <w:rFonts w:ascii="Verdana" w:hAnsi="Verdana"/>
          <w:i/>
          <w:sz w:val="20"/>
          <w:szCs w:val="20"/>
        </w:rPr>
        <w:t xml:space="preserve">), tienen siempre que contratar con base en la Ley 80 de 1993?o por el contrario lo pueden hacer de manera autónoma bajo sus manuales </w:t>
      </w:r>
      <w:proofErr w:type="spellStart"/>
      <w:r w:rsidRPr="00764DF4">
        <w:rPr>
          <w:rFonts w:ascii="Verdana" w:hAnsi="Verdana"/>
          <w:i/>
          <w:sz w:val="20"/>
          <w:szCs w:val="20"/>
        </w:rPr>
        <w:t>decontratación</w:t>
      </w:r>
      <w:proofErr w:type="spellEnd"/>
      <w:r w:rsidRPr="00764DF4">
        <w:rPr>
          <w:rFonts w:ascii="Verdana" w:hAnsi="Verdana"/>
          <w:i/>
          <w:sz w:val="20"/>
          <w:szCs w:val="20"/>
        </w:rPr>
        <w:t xml:space="preserve"> y en ausencia de éstos, contratar directamente como un privado. </w:t>
      </w:r>
    </w:p>
    <w:p w14:paraId="7E89D44E" w14:textId="77777777" w:rsidR="002E2644" w:rsidRPr="00764DF4" w:rsidRDefault="002E2644" w:rsidP="002E2644">
      <w:pPr>
        <w:spacing w:after="0" w:line="240" w:lineRule="auto"/>
        <w:ind w:left="709" w:right="709"/>
        <w:jc w:val="both"/>
        <w:rPr>
          <w:rFonts w:ascii="Verdana" w:hAnsi="Verdana"/>
          <w:i/>
          <w:sz w:val="20"/>
          <w:szCs w:val="20"/>
        </w:rPr>
      </w:pPr>
    </w:p>
    <w:p w14:paraId="08A2A542" w14:textId="77777777" w:rsidR="002E2644" w:rsidRPr="00393943" w:rsidRDefault="002E2644" w:rsidP="002E2644">
      <w:pPr>
        <w:spacing w:after="0" w:line="240" w:lineRule="auto"/>
        <w:ind w:left="709" w:right="709"/>
        <w:jc w:val="both"/>
        <w:rPr>
          <w:rFonts w:ascii="Verdana" w:hAnsi="Verdana"/>
          <w:sz w:val="20"/>
          <w:szCs w:val="20"/>
        </w:rPr>
      </w:pPr>
      <w:r w:rsidRPr="00764DF4">
        <w:rPr>
          <w:rFonts w:ascii="Verdana" w:hAnsi="Verdana"/>
          <w:i/>
          <w:sz w:val="20"/>
          <w:szCs w:val="20"/>
        </w:rPr>
        <w:t xml:space="preserve">2. El Municipio de Montelíbano - Córdoba, es el dueño de 88% de las acciones de </w:t>
      </w:r>
      <w:proofErr w:type="spellStart"/>
      <w:r w:rsidRPr="00764DF4">
        <w:rPr>
          <w:rFonts w:ascii="Verdana" w:hAnsi="Verdana"/>
          <w:i/>
          <w:sz w:val="20"/>
          <w:szCs w:val="20"/>
        </w:rPr>
        <w:t>laempresa</w:t>
      </w:r>
      <w:proofErr w:type="spellEnd"/>
      <w:r w:rsidRPr="00764DF4">
        <w:rPr>
          <w:rFonts w:ascii="Verdana" w:hAnsi="Verdana"/>
          <w:i/>
          <w:sz w:val="20"/>
          <w:szCs w:val="20"/>
        </w:rPr>
        <w:t xml:space="preserve"> de acueducto y alcantarillado municipal JAGUAZUL </w:t>
      </w:r>
      <w:r w:rsidRPr="00764DF4">
        <w:rPr>
          <w:rFonts w:ascii="Verdana" w:hAnsi="Verdana"/>
          <w:i/>
          <w:sz w:val="20"/>
          <w:szCs w:val="20"/>
        </w:rPr>
        <w:lastRenderedPageBreak/>
        <w:t xml:space="preserve">SA ESP, el otro 12por ciento son acciones de particulares. Le solicito me emita concepto de si </w:t>
      </w:r>
      <w:proofErr w:type="spellStart"/>
      <w:r w:rsidRPr="00764DF4">
        <w:rPr>
          <w:rFonts w:ascii="Verdana" w:hAnsi="Verdana"/>
          <w:i/>
          <w:sz w:val="20"/>
          <w:szCs w:val="20"/>
        </w:rPr>
        <w:t>existealguna</w:t>
      </w:r>
      <w:proofErr w:type="spellEnd"/>
      <w:r w:rsidRPr="00764DF4">
        <w:rPr>
          <w:rFonts w:ascii="Verdana" w:hAnsi="Verdana"/>
          <w:i/>
          <w:sz w:val="20"/>
          <w:szCs w:val="20"/>
        </w:rPr>
        <w:t xml:space="preserve"> prohibición legal o en el estatuto de contratación o en l Ley 2026 de </w:t>
      </w:r>
      <w:proofErr w:type="gramStart"/>
      <w:r w:rsidRPr="00764DF4">
        <w:rPr>
          <w:rFonts w:ascii="Verdana" w:hAnsi="Verdana"/>
          <w:i/>
          <w:sz w:val="20"/>
          <w:szCs w:val="20"/>
        </w:rPr>
        <w:t>2020,que</w:t>
      </w:r>
      <w:proofErr w:type="gramEnd"/>
      <w:r w:rsidRPr="00764DF4">
        <w:rPr>
          <w:rFonts w:ascii="Verdana" w:hAnsi="Verdana"/>
          <w:i/>
          <w:sz w:val="20"/>
          <w:szCs w:val="20"/>
        </w:rPr>
        <w:t xml:space="preserve"> </w:t>
      </w:r>
      <w:proofErr w:type="spellStart"/>
      <w:r w:rsidRPr="00764DF4">
        <w:rPr>
          <w:rFonts w:ascii="Verdana" w:hAnsi="Verdana"/>
          <w:i/>
          <w:sz w:val="20"/>
          <w:szCs w:val="20"/>
        </w:rPr>
        <w:t>prohiba</w:t>
      </w:r>
      <w:proofErr w:type="spellEnd"/>
      <w:r w:rsidRPr="00764DF4">
        <w:rPr>
          <w:rFonts w:ascii="Verdana" w:hAnsi="Verdana"/>
          <w:i/>
          <w:sz w:val="20"/>
          <w:szCs w:val="20"/>
        </w:rPr>
        <w:t xml:space="preserve"> que el MUNICIPIO DE MONTELÍBANO - CÓRDOBA designe </w:t>
      </w:r>
      <w:proofErr w:type="spellStart"/>
      <w:r w:rsidRPr="00764DF4">
        <w:rPr>
          <w:rFonts w:ascii="Verdana" w:hAnsi="Verdana"/>
          <w:i/>
          <w:sz w:val="20"/>
          <w:szCs w:val="20"/>
        </w:rPr>
        <w:t>comoente</w:t>
      </w:r>
      <w:proofErr w:type="spellEnd"/>
      <w:r w:rsidRPr="00764DF4">
        <w:rPr>
          <w:rFonts w:ascii="Verdana" w:hAnsi="Verdana"/>
          <w:i/>
          <w:sz w:val="20"/>
          <w:szCs w:val="20"/>
        </w:rPr>
        <w:t xml:space="preserve"> ejecutor a la empresa de su propiedad, por tener casi el 90% de </w:t>
      </w:r>
      <w:proofErr w:type="spellStart"/>
      <w:r w:rsidRPr="00764DF4">
        <w:rPr>
          <w:rFonts w:ascii="Verdana" w:hAnsi="Verdana"/>
          <w:i/>
          <w:sz w:val="20"/>
          <w:szCs w:val="20"/>
        </w:rPr>
        <w:t>susacciones</w:t>
      </w:r>
      <w:proofErr w:type="spellEnd"/>
      <w:r w:rsidRPr="00764DF4">
        <w:rPr>
          <w:rFonts w:ascii="Verdana" w:hAnsi="Verdana"/>
          <w:i/>
          <w:sz w:val="20"/>
          <w:szCs w:val="20"/>
        </w:rPr>
        <w:t xml:space="preserve">, a JAGUAZUL SA ESP, es decir, es como si el Municipio se </w:t>
      </w:r>
      <w:proofErr w:type="spellStart"/>
      <w:r w:rsidRPr="00764DF4">
        <w:rPr>
          <w:rFonts w:ascii="Verdana" w:hAnsi="Verdana"/>
          <w:i/>
          <w:sz w:val="20"/>
          <w:szCs w:val="20"/>
        </w:rPr>
        <w:t>contrataraconsigo</w:t>
      </w:r>
      <w:proofErr w:type="spellEnd"/>
      <w:r w:rsidRPr="00764DF4">
        <w:rPr>
          <w:rFonts w:ascii="Verdana" w:hAnsi="Verdana"/>
          <w:i/>
          <w:sz w:val="20"/>
          <w:szCs w:val="20"/>
        </w:rPr>
        <w:t xml:space="preserve"> mismo, o un y con yo. Qué recomienda el señor Procurador frente a </w:t>
      </w:r>
      <w:proofErr w:type="spellStart"/>
      <w:proofErr w:type="gramStart"/>
      <w:r w:rsidRPr="00764DF4">
        <w:rPr>
          <w:rFonts w:ascii="Verdana" w:hAnsi="Verdana"/>
          <w:i/>
          <w:sz w:val="20"/>
          <w:szCs w:val="20"/>
        </w:rPr>
        <w:t>estecaso</w:t>
      </w:r>
      <w:proofErr w:type="spellEnd"/>
      <w:r w:rsidRPr="00764DF4">
        <w:rPr>
          <w:rFonts w:ascii="Verdana" w:hAnsi="Verdana"/>
          <w:i/>
          <w:sz w:val="20"/>
          <w:szCs w:val="20"/>
        </w:rPr>
        <w:t>?.</w:t>
      </w:r>
      <w:proofErr w:type="gramEnd"/>
      <w:r w:rsidRPr="00764DF4">
        <w:rPr>
          <w:rFonts w:ascii="Verdana" w:hAnsi="Verdana"/>
          <w:i/>
          <w:sz w:val="20"/>
          <w:szCs w:val="20"/>
        </w:rPr>
        <w:t>”</w:t>
      </w:r>
      <w:r>
        <w:rPr>
          <w:rFonts w:ascii="Verdana" w:hAnsi="Verdana"/>
          <w:sz w:val="20"/>
          <w:szCs w:val="20"/>
        </w:rPr>
        <w:t xml:space="preserve"> [SIC]</w:t>
      </w:r>
    </w:p>
    <w:p w14:paraId="62AA7E43" w14:textId="77777777" w:rsidR="002E2644" w:rsidRPr="00393943" w:rsidRDefault="002E2644" w:rsidP="002E2644">
      <w:pPr>
        <w:spacing w:after="0" w:line="240" w:lineRule="auto"/>
        <w:ind w:left="709" w:right="709"/>
        <w:jc w:val="both"/>
      </w:pPr>
    </w:p>
    <w:p w14:paraId="41BAAD67" w14:textId="77777777" w:rsidR="002E2644" w:rsidRPr="00393943" w:rsidRDefault="002E2644" w:rsidP="002E2644">
      <w:pPr>
        <w:spacing w:after="120" w:line="276" w:lineRule="auto"/>
        <w:ind w:firstLine="709"/>
        <w:jc w:val="both"/>
        <w:rPr>
          <w:rFonts w:ascii="Verdana" w:eastAsia="Calibri" w:hAnsi="Verdana" w:cs="Arial"/>
          <w:color w:val="000000"/>
          <w:lang w:eastAsia="es-ES"/>
        </w:rPr>
      </w:pPr>
      <w:r w:rsidRPr="00393943">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93943">
        <w:rPr>
          <w:rFonts w:ascii="Verdana" w:eastAsia="Calibri" w:hAnsi="Verdana" w:cs="Arial"/>
          <w:color w:val="000000"/>
          <w:szCs w:val="24"/>
          <w:lang w:eastAsia="es-ES_tradnl"/>
        </w:rPr>
        <w:tab/>
      </w:r>
    </w:p>
    <w:p w14:paraId="319B12D3" w14:textId="77777777" w:rsidR="002E2644" w:rsidRPr="00393943" w:rsidRDefault="002E2644" w:rsidP="002E2644">
      <w:pPr>
        <w:spacing w:after="0" w:line="276" w:lineRule="auto"/>
        <w:ind w:firstLine="709"/>
        <w:jc w:val="both"/>
        <w:rPr>
          <w:rFonts w:ascii="Verdana" w:eastAsia="Calibri" w:hAnsi="Verdana" w:cs="Arial"/>
          <w:color w:val="000000"/>
          <w:lang w:eastAsia="es-ES"/>
        </w:rPr>
      </w:pPr>
      <w:r w:rsidRPr="00393943">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393943">
        <w:rPr>
          <w:rFonts w:ascii="Verdana" w:eastAsia="Calibri" w:hAnsi="Verdana" w:cs="Arial"/>
          <w:color w:val="7030A0"/>
          <w:lang w:eastAsia="es-ES"/>
        </w:rPr>
        <w:t xml:space="preserve"> </w:t>
      </w:r>
      <w:r w:rsidRPr="00393943">
        <w:rPr>
          <w:rFonts w:ascii="Verdana" w:eastAsia="Calibri" w:hAnsi="Verdana" w:cs="Arial"/>
          <w:color w:val="000000"/>
          <w:lang w:eastAsia="es-ES"/>
        </w:rPr>
        <w:t>problemas</w:t>
      </w:r>
      <w:r w:rsidRPr="00393943">
        <w:rPr>
          <w:rFonts w:ascii="Verdana" w:eastAsia="Calibri" w:hAnsi="Verdana" w:cs="Arial"/>
          <w:color w:val="7030A0"/>
          <w:lang w:eastAsia="es-ES"/>
        </w:rPr>
        <w:t xml:space="preserve"> </w:t>
      </w:r>
      <w:r w:rsidRPr="00393943">
        <w:rPr>
          <w:rFonts w:ascii="Verdana" w:eastAsia="Calibri" w:hAnsi="Verdana" w:cs="Arial"/>
          <w:color w:val="000000"/>
          <w:lang w:eastAsia="es-ES"/>
        </w:rPr>
        <w:t>jurídicos</w:t>
      </w:r>
      <w:r w:rsidRPr="00393943">
        <w:rPr>
          <w:rFonts w:ascii="Verdana" w:eastAsia="Calibri" w:hAnsi="Verdana" w:cs="Arial"/>
          <w:color w:val="7030A0"/>
          <w:lang w:eastAsia="es-ES"/>
        </w:rPr>
        <w:t xml:space="preserve"> </w:t>
      </w:r>
      <w:r w:rsidRPr="00393943">
        <w:rPr>
          <w:rFonts w:ascii="Verdana" w:eastAsia="Calibri" w:hAnsi="Verdana" w:cs="Arial"/>
          <w:color w:val="000000"/>
          <w:lang w:eastAsia="es-ES"/>
        </w:rPr>
        <w:t xml:space="preserve">de su consulta. </w:t>
      </w:r>
    </w:p>
    <w:p w14:paraId="252DEA4B" w14:textId="77777777" w:rsidR="002E2644" w:rsidRPr="00393943" w:rsidRDefault="002E2644" w:rsidP="002E2644">
      <w:pPr>
        <w:spacing w:after="0" w:line="276" w:lineRule="auto"/>
        <w:ind w:firstLine="709"/>
        <w:jc w:val="both"/>
        <w:rPr>
          <w:rFonts w:ascii="Verdana" w:eastAsia="Calibri" w:hAnsi="Verdana" w:cs="Arial"/>
          <w:color w:val="000000"/>
          <w:lang w:eastAsia="es-ES"/>
        </w:rPr>
      </w:pPr>
    </w:p>
    <w:p w14:paraId="6D81F737" w14:textId="77777777" w:rsidR="002E2644" w:rsidRPr="00393943" w:rsidRDefault="002E2644" w:rsidP="002E2644">
      <w:pPr>
        <w:numPr>
          <w:ilvl w:val="0"/>
          <w:numId w:val="16"/>
        </w:numPr>
        <w:tabs>
          <w:tab w:val="left" w:pos="142"/>
          <w:tab w:val="left" w:pos="284"/>
        </w:tabs>
        <w:spacing w:after="0" w:line="276" w:lineRule="auto"/>
        <w:jc w:val="both"/>
        <w:rPr>
          <w:rFonts w:ascii="Verdana" w:eastAsia="Century Gothic" w:hAnsi="Verdana" w:cs="Century Gothic"/>
          <w:b/>
          <w:bCs/>
        </w:rPr>
      </w:pPr>
      <w:r w:rsidRPr="00393943">
        <w:rPr>
          <w:rFonts w:ascii="Verdana" w:eastAsia="Century Gothic" w:hAnsi="Verdana" w:cs="Century Gothic"/>
          <w:b/>
          <w:bCs/>
        </w:rPr>
        <w:t>Problemas planteados:</w:t>
      </w:r>
    </w:p>
    <w:p w14:paraId="2DF5ED1F" w14:textId="77777777" w:rsidR="002E2644" w:rsidRPr="00393943" w:rsidRDefault="002E2644" w:rsidP="002E2644">
      <w:pPr>
        <w:tabs>
          <w:tab w:val="left" w:pos="426"/>
        </w:tabs>
        <w:spacing w:after="0" w:line="276" w:lineRule="auto"/>
        <w:jc w:val="both"/>
        <w:rPr>
          <w:rFonts w:ascii="Verdana" w:eastAsia="Century Gothic" w:hAnsi="Verdana" w:cs="Century Gothic"/>
        </w:rPr>
      </w:pPr>
    </w:p>
    <w:p w14:paraId="4E9686B8" w14:textId="77777777" w:rsidR="002E2644" w:rsidRPr="00393943" w:rsidRDefault="002E2644" w:rsidP="002E2644">
      <w:pPr>
        <w:spacing w:after="0" w:line="276" w:lineRule="auto"/>
        <w:jc w:val="both"/>
        <w:rPr>
          <w:rFonts w:ascii="Verdana" w:eastAsia="Century Gothic" w:hAnsi="Verdana" w:cs="Century Gothic"/>
        </w:rPr>
      </w:pPr>
      <w:r w:rsidRPr="00393943">
        <w:rPr>
          <w:rFonts w:ascii="Verdana" w:eastAsia="Century Gothic" w:hAnsi="Verdana" w:cs="Century Gothic"/>
        </w:rPr>
        <w:t>De acuerdo con el contenido de su solicitud, esta Agencia resolverá el siguiente problema jurídico: ¿De conformidad con el parágrafo del artículo 37 de la Ley 2056 de 2020, cu</w:t>
      </w:r>
      <w:r w:rsidRPr="00393943">
        <w:rPr>
          <w:rFonts w:ascii="Verdana" w:eastAsia="Calibri" w:hAnsi="Verdana" w:cs="Times New Roman"/>
        </w:rPr>
        <w:t>ál es el régimen contractual aplicable en la ejecución de proyectos cuya fuente de financiación es el Sistema General de Regalías, en adelante SGR, cuando la entidad ejecutora se rige por el derecho privado</w:t>
      </w:r>
      <w:r w:rsidRPr="00393943">
        <w:rPr>
          <w:rFonts w:ascii="Verdana" w:eastAsia="Century Gothic" w:hAnsi="Verdana" w:cs="Century Gothic"/>
        </w:rPr>
        <w:t>?</w:t>
      </w:r>
    </w:p>
    <w:p w14:paraId="7FBB0D1E" w14:textId="77777777" w:rsidR="002E2644" w:rsidRPr="00393943" w:rsidRDefault="002E2644" w:rsidP="002E2644">
      <w:pPr>
        <w:spacing w:after="0" w:line="276" w:lineRule="auto"/>
        <w:jc w:val="both"/>
        <w:rPr>
          <w:rFonts w:ascii="Verdana" w:eastAsia="Century Gothic" w:hAnsi="Verdana" w:cs="Century Gothic"/>
        </w:rPr>
      </w:pPr>
    </w:p>
    <w:p w14:paraId="45F334A7" w14:textId="77777777" w:rsidR="002E2644" w:rsidRPr="00393943" w:rsidRDefault="002E2644" w:rsidP="002E2644">
      <w:pPr>
        <w:numPr>
          <w:ilvl w:val="0"/>
          <w:numId w:val="16"/>
        </w:numPr>
        <w:tabs>
          <w:tab w:val="left" w:pos="142"/>
          <w:tab w:val="left" w:pos="284"/>
        </w:tabs>
        <w:spacing w:after="0" w:line="276" w:lineRule="auto"/>
        <w:jc w:val="both"/>
        <w:rPr>
          <w:rFonts w:ascii="Verdana" w:eastAsia="Century Gothic" w:hAnsi="Verdana" w:cs="Century Gothic"/>
          <w:b/>
          <w:bCs/>
        </w:rPr>
      </w:pPr>
      <w:r w:rsidRPr="00393943">
        <w:rPr>
          <w:rFonts w:ascii="Verdana" w:eastAsia="Century Gothic" w:hAnsi="Verdana" w:cs="Century Gothic"/>
          <w:b/>
          <w:bCs/>
        </w:rPr>
        <w:t>Respuestas:</w:t>
      </w:r>
    </w:p>
    <w:p w14:paraId="1E37D525" w14:textId="77777777" w:rsidR="002E2644" w:rsidRPr="00393943" w:rsidRDefault="002E2644" w:rsidP="002E2644">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E2644" w:rsidRPr="00393943" w14:paraId="7CA6CEBF" w14:textId="77777777" w:rsidTr="003D09D7">
        <w:trPr>
          <w:trHeight w:val="58"/>
          <w:jc w:val="center"/>
        </w:trPr>
        <w:tc>
          <w:tcPr>
            <w:tcW w:w="8828" w:type="dxa"/>
          </w:tcPr>
          <w:p w14:paraId="5EF8A430" w14:textId="77777777" w:rsidR="002E2644" w:rsidRPr="00393943" w:rsidRDefault="002E2644" w:rsidP="003D09D7">
            <w:pPr>
              <w:spacing w:after="120" w:line="276" w:lineRule="auto"/>
              <w:jc w:val="both"/>
              <w:rPr>
                <w:rFonts w:ascii="Verdana" w:hAnsi="Verdana"/>
              </w:rPr>
            </w:pPr>
            <w:bookmarkStart w:id="3" w:name="_Hlk171694685"/>
            <w:r w:rsidRPr="00393943">
              <w:rPr>
                <w:rFonts w:ascii="Verdana" w:eastAsia="Calibri" w:hAnsi="Verdana" w:cs="Arial"/>
                <w:color w:val="000000"/>
                <w:lang w:val="es-ES" w:eastAsia="es-ES"/>
              </w:rPr>
              <w:lastRenderedPageBreak/>
              <w:t xml:space="preserve">Conforme a la interpretación general de las normas del sistema de compras públicas, esta Subdirección en </w:t>
            </w:r>
            <w:r w:rsidRPr="00393943">
              <w:rPr>
                <w:rFonts w:ascii="Verdana" w:hAnsi="Verdana" w:cs="Arial"/>
              </w:rPr>
              <w:t>los conceptos</w:t>
            </w:r>
            <w:r w:rsidRPr="00393943">
              <w:rPr>
                <w:rFonts w:ascii="Verdana" w:hAnsi="Verdana"/>
              </w:rPr>
              <w:t xml:space="preserve"> C-370 del 2021,</w:t>
            </w:r>
            <w:r w:rsidRPr="00393943">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y C-417 del 2026</w:t>
            </w:r>
            <w:r w:rsidRPr="00393943">
              <w:rPr>
                <w:rFonts w:ascii="Verdana" w:hAnsi="Verdana" w:cs="Arial"/>
              </w:rPr>
              <w:t xml:space="preserve"> y C-764 del 29 de mayo de 2026</w:t>
            </w:r>
            <w:r w:rsidRPr="00393943">
              <w:rPr>
                <w:rFonts w:ascii="Verdana" w:hAnsi="Verdana"/>
                <w:shd w:val="clear" w:color="auto" w:fill="FFFFFF"/>
              </w:rPr>
              <w:t xml:space="preserve">, </w:t>
            </w:r>
            <w:r w:rsidRPr="00393943">
              <w:rPr>
                <w:rFonts w:ascii="Verdana" w:hAnsi="Verdana" w:cs="Arial"/>
                <w:shd w:val="clear" w:color="auto" w:fill="FFFFFF"/>
              </w:rPr>
              <w:t xml:space="preserve">ha mantenido la postura en virtud de la cual </w:t>
            </w:r>
            <w:r w:rsidRPr="00393943">
              <w:rPr>
                <w:rFonts w:ascii="Verdana" w:eastAsia="Calibri" w:hAnsi="Verdana" w:cs="Arial"/>
                <w:color w:val="000000"/>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las prescripciones establecidas en el Estatuto General de Contratación de la Administración Pública-EGCAP, así como las normas que lo modifiquen, sustituyan o reglamenten.</w:t>
            </w:r>
          </w:p>
          <w:p w14:paraId="03BFA4AD" w14:textId="77777777" w:rsidR="002E2644" w:rsidRPr="00393943" w:rsidRDefault="002E2644" w:rsidP="003D09D7">
            <w:pPr>
              <w:spacing w:after="120" w:line="276" w:lineRule="auto"/>
              <w:ind w:firstLine="709"/>
              <w:jc w:val="both"/>
              <w:rPr>
                <w:rFonts w:ascii="Verdana" w:eastAsia="Calibri" w:hAnsi="Verdana" w:cs="Arial"/>
                <w:color w:val="000000"/>
                <w:lang w:val="es-ES" w:eastAsia="es-ES"/>
              </w:rPr>
            </w:pPr>
            <w:r w:rsidRPr="00393943">
              <w:rPr>
                <w:rFonts w:ascii="Verdana" w:eastAsia="Calibri" w:hAnsi="Verdana" w:cs="Arial"/>
                <w:color w:val="000000"/>
                <w:lang w:val="es-ES" w:eastAsia="es-ES"/>
              </w:rPr>
              <w:t>En este sentido,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6A1D2F27" w14:textId="77777777" w:rsidR="002E2644" w:rsidRPr="00393943" w:rsidRDefault="002E2644" w:rsidP="003D09D7">
            <w:pPr>
              <w:spacing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 xml:space="preserve">Así las cosas,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 </w:t>
            </w:r>
          </w:p>
        </w:tc>
      </w:tr>
    </w:tbl>
    <w:p w14:paraId="26565E97" w14:textId="77777777" w:rsidR="002E2644" w:rsidRPr="00393943" w:rsidRDefault="002E2644" w:rsidP="002E2644">
      <w:pPr>
        <w:tabs>
          <w:tab w:val="left" w:pos="142"/>
          <w:tab w:val="left" w:pos="284"/>
        </w:tabs>
        <w:spacing w:after="0" w:line="276" w:lineRule="auto"/>
        <w:jc w:val="both"/>
        <w:rPr>
          <w:rFonts w:ascii="Verdana" w:eastAsia="Century Gothic" w:hAnsi="Verdana" w:cs="Century Gothic"/>
          <w:b/>
          <w:bCs/>
        </w:rPr>
      </w:pPr>
    </w:p>
    <w:bookmarkEnd w:id="3"/>
    <w:p w14:paraId="5A777B3B" w14:textId="77777777" w:rsidR="002E2644" w:rsidRPr="00393943" w:rsidRDefault="002E2644" w:rsidP="002E2644">
      <w:pPr>
        <w:numPr>
          <w:ilvl w:val="0"/>
          <w:numId w:val="16"/>
        </w:numPr>
        <w:tabs>
          <w:tab w:val="left" w:pos="142"/>
          <w:tab w:val="left" w:pos="284"/>
        </w:tabs>
        <w:spacing w:after="0" w:line="276" w:lineRule="auto"/>
        <w:jc w:val="both"/>
        <w:rPr>
          <w:rFonts w:ascii="Verdana" w:eastAsia="Century Gothic" w:hAnsi="Verdana" w:cs="Century Gothic"/>
          <w:b/>
          <w:bCs/>
        </w:rPr>
      </w:pPr>
      <w:r w:rsidRPr="00393943">
        <w:rPr>
          <w:rFonts w:ascii="Verdana" w:eastAsia="Century Gothic" w:hAnsi="Verdana" w:cs="Century Gothic"/>
          <w:b/>
          <w:bCs/>
        </w:rPr>
        <w:t>Razones de las respuestas:</w:t>
      </w:r>
    </w:p>
    <w:p w14:paraId="34BF5F00" w14:textId="77777777" w:rsidR="002E2644" w:rsidRPr="00393943" w:rsidRDefault="002E2644" w:rsidP="002E2644">
      <w:pPr>
        <w:spacing w:after="0" w:line="276" w:lineRule="auto"/>
        <w:jc w:val="both"/>
        <w:rPr>
          <w:rFonts w:ascii="Verdana" w:eastAsia="Calibri" w:hAnsi="Verdana" w:cs="Arial"/>
          <w:color w:val="7030A0"/>
        </w:rPr>
      </w:pPr>
    </w:p>
    <w:p w14:paraId="2CAC514D" w14:textId="77777777" w:rsidR="002E2644" w:rsidRPr="00393943" w:rsidRDefault="002E2644" w:rsidP="002E2644">
      <w:pPr>
        <w:spacing w:after="0" w:line="276" w:lineRule="auto"/>
        <w:jc w:val="both"/>
        <w:rPr>
          <w:rFonts w:ascii="Verdana" w:eastAsia="Calibri" w:hAnsi="Verdana" w:cs="Arial"/>
        </w:rPr>
      </w:pPr>
      <w:r w:rsidRPr="00393943">
        <w:rPr>
          <w:rFonts w:ascii="Verdana" w:eastAsia="Calibri" w:hAnsi="Verdana" w:cs="Arial"/>
        </w:rPr>
        <w:t>Lo anterior se sustenta en las siguientes consideraciones:</w:t>
      </w:r>
    </w:p>
    <w:p w14:paraId="69B7C9B1" w14:textId="77777777" w:rsidR="002E2644" w:rsidRPr="00393943" w:rsidRDefault="002E2644" w:rsidP="002E2644">
      <w:pPr>
        <w:spacing w:after="0" w:line="276" w:lineRule="auto"/>
        <w:jc w:val="both"/>
        <w:rPr>
          <w:rFonts w:ascii="Verdana" w:eastAsia="Calibri" w:hAnsi="Verdana" w:cs="Arial"/>
        </w:rPr>
      </w:pPr>
    </w:p>
    <w:p w14:paraId="4AC17985" w14:textId="77777777" w:rsidR="002E2644" w:rsidRPr="00393943" w:rsidRDefault="002E2644" w:rsidP="002E2644">
      <w:pPr>
        <w:spacing w:after="120" w:line="276" w:lineRule="auto"/>
        <w:jc w:val="both"/>
        <w:rPr>
          <w:rFonts w:ascii="Verdana" w:eastAsia="Calibri" w:hAnsi="Verdana" w:cs="Arial"/>
          <w:color w:val="000000" w:themeColor="text1"/>
          <w:lang w:val="es-ES_tradnl"/>
        </w:rPr>
      </w:pPr>
      <w:r w:rsidRPr="00393943">
        <w:rPr>
          <w:rFonts w:ascii="Verdana" w:eastAsia="Calibri" w:hAnsi="Verdana" w:cs="Arial"/>
          <w:color w:val="000000" w:themeColor="text1"/>
          <w:lang w:val="es-ES_tradnl"/>
        </w:rPr>
        <w:t xml:space="preserve">i. Como punto de partida, es pertinente hacer algunas precisiones sobre la posición que ha sostenido la </w:t>
      </w:r>
      <w:r w:rsidRPr="00393943">
        <w:rPr>
          <w:rFonts w:ascii="Verdana" w:eastAsia="Calibri" w:hAnsi="Verdana" w:cs="Arial"/>
          <w:color w:val="000000"/>
          <w:lang w:val="es-ES" w:eastAsia="es-ES"/>
        </w:rPr>
        <w:t xml:space="preserve">Subdirección de Gestión Contractual de la ANCP – CCE en ejercicio de su función consultiva, </w:t>
      </w:r>
      <w:r w:rsidRPr="00393943">
        <w:rPr>
          <w:rFonts w:ascii="Verdana" w:eastAsia="Calibri" w:hAnsi="Verdana" w:cs="Arial"/>
          <w:color w:val="000000" w:themeColor="text1"/>
          <w:lang w:val="es-ES_tradnl"/>
        </w:rPr>
        <w:t>en relación con</w:t>
      </w:r>
      <w:r w:rsidRPr="00393943">
        <w:rPr>
          <w:rFonts w:ascii="Verdana" w:eastAsia="Calibri" w:hAnsi="Verdana" w:cs="Arial"/>
          <w:color w:val="000000"/>
          <w:lang w:val="es-ES" w:eastAsia="es-ES"/>
        </w:rPr>
        <w:t xml:space="preserve"> el régimen de contratación aplicable a la ejecución de proyectos financiados con recursos del Sistema General de Regalías -SGR-, cuando las entidades ejecutoras de recursos de regalías cuentan con un régimen especial de contratación.</w:t>
      </w:r>
    </w:p>
    <w:p w14:paraId="7B5FC492" w14:textId="77777777" w:rsidR="002E2644" w:rsidRPr="00393943" w:rsidRDefault="002E2644" w:rsidP="002E2644">
      <w:pPr>
        <w:spacing w:after="120" w:line="276" w:lineRule="auto"/>
        <w:ind w:firstLine="709"/>
        <w:jc w:val="both"/>
        <w:rPr>
          <w:rFonts w:ascii="Verdana" w:hAnsi="Verdana"/>
        </w:rPr>
      </w:pPr>
      <w:r w:rsidRPr="00393943">
        <w:rPr>
          <w:rFonts w:ascii="Verdana" w:hAnsi="Verdana"/>
          <w:lang w:val="es-ES" w:eastAsia="es-ES"/>
        </w:rPr>
        <w:t xml:space="preserve">Así, conforme a la interpretación general de las normas del sistema de compras públicas, esta Subdirección en </w:t>
      </w:r>
      <w:r w:rsidRPr="00393943">
        <w:rPr>
          <w:rFonts w:ascii="Verdana" w:hAnsi="Verdana"/>
        </w:rPr>
        <w:t>los conceptos C-370 del 2021,</w:t>
      </w:r>
      <w:r w:rsidRPr="00393943">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y C-417 del 2026</w:t>
      </w:r>
      <w:r w:rsidRPr="00393943">
        <w:rPr>
          <w:rFonts w:ascii="Verdana" w:hAnsi="Verdana" w:cs="Arial"/>
        </w:rPr>
        <w:t xml:space="preserve"> y C-764 del 29 de mayo de 2026</w:t>
      </w:r>
      <w:r w:rsidRPr="00393943">
        <w:rPr>
          <w:rFonts w:ascii="Verdana" w:hAnsi="Verdana"/>
          <w:shd w:val="clear" w:color="auto" w:fill="FFFFFF"/>
        </w:rPr>
        <w:t xml:space="preserve">, ha mantenido la postura en virtud de la cual </w:t>
      </w:r>
      <w:r w:rsidRPr="00393943">
        <w:rPr>
          <w:rFonts w:ascii="Verdana" w:hAnsi="Verdana"/>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a las prescripciones establecidas en el Estatuto General de Contratación de la Administración Pública-EGCAP, así como las normas que lo modifiquen, sustituyan o reglamenten.</w:t>
      </w:r>
    </w:p>
    <w:p w14:paraId="24050C67" w14:textId="77777777" w:rsidR="002E2644" w:rsidRPr="00393943" w:rsidRDefault="002E2644" w:rsidP="002E2644">
      <w:pPr>
        <w:spacing w:after="120" w:line="276" w:lineRule="auto"/>
        <w:ind w:firstLine="709"/>
        <w:jc w:val="both"/>
        <w:rPr>
          <w:rFonts w:ascii="Verdana" w:hAnsi="Verdana" w:cs="Arial"/>
          <w:noProof/>
        </w:rPr>
      </w:pPr>
      <w:r w:rsidRPr="00393943">
        <w:rPr>
          <w:rFonts w:ascii="Verdana" w:eastAsia="Calibri" w:hAnsi="Verdana" w:cs="Arial"/>
          <w:color w:val="000000"/>
          <w:lang w:val="es-ES" w:eastAsia="es-ES"/>
        </w:rPr>
        <w:t xml:space="preserve">En efecto, conforme se ha explicado en estos conceptos, </w:t>
      </w:r>
      <w:r w:rsidRPr="00393943">
        <w:rPr>
          <w:rFonts w:ascii="Verdana" w:hAnsi="Verdana" w:cs="Arial"/>
          <w:noProof/>
          <w:lang w:val="es-ES_tradnl"/>
        </w:rPr>
        <w:t xml:space="preserve">en </w:t>
      </w:r>
      <w:r w:rsidRPr="00393943">
        <w:rPr>
          <w:rFonts w:ascii="Verdana" w:hAnsi="Verdana" w:cs="Arial"/>
          <w:noProof/>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70B98C87" w14:textId="77777777" w:rsidR="002E2644" w:rsidRPr="00393943" w:rsidRDefault="002E2644" w:rsidP="002E2644">
      <w:pPr>
        <w:spacing w:after="120" w:line="276" w:lineRule="auto"/>
        <w:ind w:firstLine="709"/>
        <w:jc w:val="both"/>
        <w:rPr>
          <w:rFonts w:ascii="Verdana" w:hAnsi="Verdana" w:cs="Arial"/>
        </w:rPr>
      </w:pPr>
      <w:r w:rsidRPr="00393943">
        <w:rPr>
          <w:rFonts w:ascii="Verdana" w:hAnsi="Verdana" w:cs="Arial"/>
          <w:noProof/>
        </w:rPr>
        <w:t xml:space="preserve">Particularmente, el artículo 37 </w:t>
      </w:r>
      <w:r w:rsidRPr="00393943">
        <w:rPr>
          <w:rFonts w:ascii="Verdana" w:hAnsi="Verdana" w:cs="Arial"/>
        </w:rPr>
        <w:t xml:space="preserve">de la Ley 2056 de 2020 dispone que los proyectos de inversión que se financien con cargo al Sistema General de Regalías </w:t>
      </w:r>
      <w:r w:rsidRPr="00393943">
        <w:rPr>
          <w:rFonts w:ascii="Verdana" w:hAnsi="Verdana" w:cs="Arial"/>
        </w:rPr>
        <w:lastRenderedPageBreak/>
        <w:t xml:space="preserve">serán ejecutados por quien designe las entidades u órganos de que tratan los artículos 35 y 36 </w:t>
      </w:r>
      <w:r w:rsidRPr="00393943">
        <w:rPr>
          <w:rFonts w:ascii="Verdana" w:hAnsi="Verdana" w:cs="Arial"/>
          <w:i/>
          <w:iCs/>
        </w:rPr>
        <w:t>ibidem</w:t>
      </w:r>
      <w:r w:rsidRPr="00393943">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393943">
        <w:rPr>
          <w:rFonts w:ascii="Verdana" w:hAnsi="Verdana" w:cs="Arial"/>
        </w:rPr>
        <w:t>los mismos</w:t>
      </w:r>
      <w:proofErr w:type="gramEnd"/>
      <w:r w:rsidRPr="00393943">
        <w:rPr>
          <w:rFonts w:ascii="Verdana" w:hAnsi="Verdana" w:cs="Arial"/>
        </w:rPr>
        <w:t xml:space="preserve">, sin perjuicio de las acciones de control a las que haya lugar. </w:t>
      </w:r>
    </w:p>
    <w:p w14:paraId="19511154" w14:textId="77777777" w:rsidR="002E2644" w:rsidRPr="00393943" w:rsidRDefault="002E2644" w:rsidP="002E2644">
      <w:pPr>
        <w:spacing w:after="120" w:line="276" w:lineRule="auto"/>
        <w:ind w:firstLine="709"/>
        <w:jc w:val="both"/>
        <w:rPr>
          <w:rFonts w:ascii="Verdana" w:hAnsi="Verdana" w:cs="Arial"/>
        </w:rPr>
      </w:pPr>
      <w:r w:rsidRPr="00393943">
        <w:rPr>
          <w:rFonts w:ascii="Verdana" w:hAnsi="Verdana" w:cs="Arial"/>
        </w:rPr>
        <w:t xml:space="preserve">El parágrafo primero del artículo 37 </w:t>
      </w:r>
      <w:r w:rsidRPr="00393943">
        <w:rPr>
          <w:rFonts w:ascii="Verdana" w:hAnsi="Verdana" w:cs="Arial"/>
          <w:i/>
          <w:iCs/>
        </w:rPr>
        <w:t>ibidem</w:t>
      </w:r>
      <w:r w:rsidRPr="00393943">
        <w:rPr>
          <w:rFonts w:ascii="Verdana" w:hAnsi="Verdana" w:cs="Arial"/>
        </w:rPr>
        <w:t xml:space="preserve"> dispone lo siguiente: “La ejecución de proyectos de que trata este artículo, se adelantará, con estricta sujeción al régimen presupuestal definido en esta ley, </w:t>
      </w:r>
      <w:r w:rsidRPr="00393943">
        <w:rPr>
          <w:rFonts w:ascii="Verdana" w:hAnsi="Verdana" w:cs="Arial"/>
          <w:i/>
          <w:iCs/>
          <w:u w:val="single"/>
        </w:rPr>
        <w:t>al de contratación pública</w:t>
      </w:r>
      <w:r w:rsidRPr="00393943">
        <w:rPr>
          <w:rFonts w:ascii="Verdana" w:hAnsi="Verdana" w:cs="Arial"/>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r w:rsidRPr="00393943">
        <w:rPr>
          <w:rFonts w:ascii="Verdana" w:hAnsi="Verdana" w:cs="Arial"/>
          <w:vertAlign w:val="superscript"/>
        </w:rPr>
        <w:footnoteReference w:id="1"/>
      </w:r>
      <w:r w:rsidRPr="00393943">
        <w:rPr>
          <w:rFonts w:ascii="Verdana" w:hAnsi="Verdana" w:cs="Arial"/>
        </w:rPr>
        <w:t>.</w:t>
      </w:r>
      <w:r w:rsidRPr="00393943">
        <w:rPr>
          <w:rFonts w:ascii="Verdana" w:hAnsi="Verdana" w:cs="Arial"/>
          <w:noProof/>
        </w:rPr>
        <w:t xml:space="preserve"> A partir de esta norma, el ejercutor de los proyectos de </w:t>
      </w:r>
      <w:r w:rsidRPr="00393943">
        <w:rPr>
          <w:rFonts w:ascii="Verdana" w:hAnsi="Verdana" w:cs="Arial"/>
          <w:noProof/>
        </w:rPr>
        <w:lastRenderedPageBreak/>
        <w:t xml:space="preserve">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561287C6" w14:textId="77777777" w:rsidR="002E2644" w:rsidRPr="00393943" w:rsidRDefault="002E2644" w:rsidP="002E2644">
      <w:pPr>
        <w:spacing w:after="120" w:line="276" w:lineRule="auto"/>
        <w:ind w:firstLine="709"/>
        <w:jc w:val="both"/>
        <w:rPr>
          <w:rFonts w:ascii="Verdana" w:hAnsi="Verdana" w:cs="Arial"/>
          <w:bdr w:val="none" w:sz="0" w:space="0" w:color="auto" w:frame="1"/>
        </w:rPr>
      </w:pPr>
      <w:r w:rsidRPr="00393943">
        <w:rPr>
          <w:rFonts w:ascii="Verdana" w:hAnsi="Verdana" w:cs="Arial"/>
        </w:rPr>
        <w:t xml:space="preserve">Por tanto, en caso de que se realicen proyectos de inversión en el marco del Sistema General de Regalías, como también aquellos proyectos especiales referenciados </w:t>
      </w:r>
      <w:r w:rsidRPr="00393943">
        <w:rPr>
          <w:rFonts w:ascii="Verdana" w:hAnsi="Verdana" w:cs="Arial"/>
          <w:i/>
          <w:iCs/>
        </w:rPr>
        <w:t>ut supra</w:t>
      </w:r>
      <w:r w:rsidRPr="00393943">
        <w:rPr>
          <w:rFonts w:ascii="Verdana" w:hAnsi="Verdana" w:cs="Arial"/>
        </w:rPr>
        <w:t>, los ejecutores designados para desarrollarlos deben sujetarse al Estatuto General de Contratación de la Administración Pública</w:t>
      </w:r>
      <w:r w:rsidRPr="00393943">
        <w:rPr>
          <w:rFonts w:ascii="Verdana" w:eastAsia="Calibri" w:hAnsi="Verdana" w:cs="Arial"/>
        </w:rPr>
        <w:t>.</w:t>
      </w:r>
      <w:r w:rsidRPr="00393943">
        <w:rPr>
          <w:rFonts w:ascii="Verdana" w:hAnsi="Verdana" w:cs="Arial"/>
        </w:rPr>
        <w:t xml:space="preserve"> </w:t>
      </w:r>
      <w:r w:rsidRPr="00393943">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1FEFA2FB" w14:textId="77777777" w:rsidR="002E2644" w:rsidRPr="00393943" w:rsidRDefault="002E2644" w:rsidP="002E2644">
      <w:pPr>
        <w:spacing w:after="120" w:line="276" w:lineRule="auto"/>
        <w:ind w:firstLine="709"/>
        <w:jc w:val="both"/>
        <w:rPr>
          <w:rFonts w:ascii="Verdana" w:eastAsia="Calibri" w:hAnsi="Verdana" w:cs="Arial"/>
          <w:color w:val="000000"/>
          <w:lang w:val="es-ES" w:eastAsia="es-ES"/>
        </w:rPr>
      </w:pPr>
      <w:r w:rsidRPr="00393943">
        <w:rPr>
          <w:rFonts w:ascii="Verdana" w:eastAsia="Calibri" w:hAnsi="Verdana" w:cs="Arial"/>
          <w:color w:val="000000"/>
          <w:lang w:val="es-ES" w:eastAsia="es-ES"/>
        </w:rPr>
        <w:t>Así las cosas, se ha sostenido que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474C27D0" w14:textId="77777777" w:rsidR="002E2644" w:rsidRPr="00393943" w:rsidRDefault="002E2644" w:rsidP="002E2644">
      <w:pPr>
        <w:spacing w:after="120" w:line="276" w:lineRule="auto"/>
        <w:ind w:firstLine="709"/>
        <w:jc w:val="both"/>
        <w:rPr>
          <w:rFonts w:ascii="Verdana" w:eastAsia="Calibri" w:hAnsi="Verdana" w:cs="Arial"/>
        </w:rPr>
      </w:pPr>
      <w:r w:rsidRPr="00393943">
        <w:rPr>
          <w:rFonts w:ascii="Verdana" w:eastAsia="Calibri" w:hAnsi="Verdana" w:cs="Arial"/>
        </w:rPr>
        <w:t xml:space="preserve">En este contexto, la ANCP – CCE si bien reconoce el régimen de contratación especial de entidades tales como universidades públicas, fondos mixtos, entre otras, cuando actúan como entidades ejecutoras de proyectos financiados con recursos del SGR, deben sujetarse a la norma especial prevista para dichos recursos, la cual impone la aplicación obligatoria del Estatuto General de Contratación de la Administración Pública, tal como lo establece de forma expresa el artículo 37 de la Ley 2056 de 2020. </w:t>
      </w:r>
    </w:p>
    <w:p w14:paraId="4FA02BFB" w14:textId="77777777" w:rsidR="002E2644" w:rsidRPr="00393943" w:rsidRDefault="002E2644" w:rsidP="002E2644">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rPr>
        <w:t xml:space="preserve">De acuerdo con esta interpretación, esta Subdirección considera que el </w:t>
      </w:r>
      <w:r w:rsidRPr="00393943">
        <w:rPr>
          <w:rFonts w:ascii="Verdana" w:eastAsia="Calibri" w:hAnsi="Verdana" w:cs="Arial"/>
          <w:color w:val="000000" w:themeColor="text1"/>
          <w:lang w:eastAsia="es-ES"/>
        </w:rPr>
        <w:t xml:space="preserve">parágrafo primero del artículo 37 de la Ley 2056 de 2020 incorpora una remisión normativa expresa y categórica al régimen de contratación pública, es decir, a las reglas contenidas principalmente en la Ley 80 de 1993 y sus normas complementarias - Ley 1150 de 2007, Decreto 1082 de 2015, entre otras-. </w:t>
      </w:r>
      <w:r w:rsidRPr="00393943">
        <w:rPr>
          <w:rFonts w:ascii="Verdana" w:eastAsia="Calibri" w:hAnsi="Verdana" w:cs="Arial"/>
          <w:color w:val="000000" w:themeColor="text1"/>
          <w:lang w:eastAsia="es-ES"/>
        </w:rPr>
        <w:lastRenderedPageBreak/>
        <w:t>Además, el uso de la expresión “estricta sujeción” refuerza la intención del legislador de conferir un carácter obligatorio a dicha remisión.</w:t>
      </w:r>
    </w:p>
    <w:p w14:paraId="4EC418B8" w14:textId="77777777" w:rsidR="002E2644" w:rsidRPr="00393943" w:rsidRDefault="002E2644" w:rsidP="002E2644">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 xml:space="preserve">El alcance de esta remisión normativa implica que, para efectos de la ejecución de proyectos financiados con recursos del Sistema General de Regalías, las entidades ejecutoras deben sujetarse a las reglas y principios establecidos en el Estatuto General de Contratación de la Administración Pública y sus disposiciones reglamentarias. En tal sentido, esta remisión impone la aplicación del régimen general de contratación pública como garantía de transparencia y eficiencia configurando un marco jurídico específico que se activa por el uso de los recursos de regalías, lo que excluye la aplicación de regímenes especiales. </w:t>
      </w:r>
    </w:p>
    <w:p w14:paraId="53F53132" w14:textId="77777777" w:rsidR="002E2644" w:rsidRPr="00393943" w:rsidRDefault="002E2644" w:rsidP="002E2644">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Así pues, se parte de una lectura literal del texto normativo, en la que la remisión al EGCAP refleja de manera directa la voluntad del legislador de someter tales asuntos a la ley 80 de 1993 y normas reglamentarias vigentes. De igual forma, esta remisión expresa al EGCAP establecida en el parágrafo 1 del artículo 37 se contempla en diferentes disposiciones de la Ley 2056 de 2020, como son los artículos 84</w:t>
      </w:r>
      <w:r w:rsidRPr="00393943">
        <w:rPr>
          <w:rFonts w:ascii="Verdana" w:eastAsia="Calibri" w:hAnsi="Verdana" w:cs="Arial"/>
          <w:color w:val="000000" w:themeColor="text1"/>
          <w:vertAlign w:val="superscript"/>
          <w:lang w:eastAsia="es-ES"/>
        </w:rPr>
        <w:footnoteReference w:id="2"/>
      </w:r>
      <w:r w:rsidRPr="00393943">
        <w:rPr>
          <w:rFonts w:ascii="Verdana" w:eastAsia="Calibri" w:hAnsi="Verdana" w:cs="Arial"/>
          <w:color w:val="000000" w:themeColor="text1"/>
          <w:lang w:eastAsia="es-ES"/>
        </w:rPr>
        <w:t>, 98</w:t>
      </w:r>
      <w:r w:rsidRPr="00393943">
        <w:rPr>
          <w:rFonts w:ascii="Verdana" w:eastAsia="Calibri" w:hAnsi="Verdana" w:cs="Arial"/>
          <w:color w:val="000000" w:themeColor="text1"/>
          <w:vertAlign w:val="superscript"/>
          <w:lang w:eastAsia="es-ES"/>
        </w:rPr>
        <w:footnoteReference w:id="3"/>
      </w:r>
      <w:r w:rsidRPr="00393943">
        <w:rPr>
          <w:rFonts w:ascii="Verdana" w:eastAsia="Calibri" w:hAnsi="Verdana" w:cs="Arial"/>
          <w:color w:val="000000" w:themeColor="text1"/>
          <w:lang w:eastAsia="es-ES"/>
        </w:rPr>
        <w:t>, 99</w:t>
      </w:r>
      <w:r w:rsidRPr="00393943">
        <w:rPr>
          <w:rFonts w:ascii="Verdana" w:eastAsia="Calibri" w:hAnsi="Verdana" w:cs="Arial"/>
          <w:color w:val="000000" w:themeColor="text1"/>
          <w:vertAlign w:val="superscript"/>
          <w:lang w:eastAsia="es-ES"/>
        </w:rPr>
        <w:footnoteReference w:id="4"/>
      </w:r>
      <w:r w:rsidRPr="00393943">
        <w:rPr>
          <w:rFonts w:ascii="Verdana" w:eastAsia="Calibri" w:hAnsi="Verdana" w:cs="Arial"/>
          <w:color w:val="000000" w:themeColor="text1"/>
          <w:lang w:eastAsia="es-ES"/>
        </w:rPr>
        <w:t>, 108</w:t>
      </w:r>
      <w:r w:rsidRPr="00393943">
        <w:rPr>
          <w:rFonts w:ascii="Verdana" w:eastAsia="Calibri" w:hAnsi="Verdana" w:cs="Arial"/>
          <w:color w:val="000000" w:themeColor="text1"/>
          <w:vertAlign w:val="superscript"/>
          <w:lang w:eastAsia="es-ES"/>
        </w:rPr>
        <w:footnoteReference w:id="5"/>
      </w:r>
      <w:r w:rsidRPr="00393943">
        <w:rPr>
          <w:rFonts w:ascii="Verdana" w:eastAsia="Calibri" w:hAnsi="Verdana" w:cs="Arial"/>
          <w:color w:val="000000" w:themeColor="text1"/>
          <w:lang w:eastAsia="es-ES"/>
        </w:rPr>
        <w:t xml:space="preserve"> y 109</w:t>
      </w:r>
      <w:r w:rsidRPr="00393943">
        <w:rPr>
          <w:rFonts w:ascii="Verdana" w:eastAsia="Calibri" w:hAnsi="Verdana" w:cs="Arial"/>
          <w:color w:val="000000" w:themeColor="text1"/>
          <w:vertAlign w:val="superscript"/>
          <w:lang w:eastAsia="es-ES"/>
        </w:rPr>
        <w:footnoteReference w:id="6"/>
      </w:r>
      <w:r w:rsidRPr="00393943">
        <w:rPr>
          <w:rFonts w:ascii="Verdana" w:eastAsia="Calibri" w:hAnsi="Verdana" w:cs="Arial"/>
          <w:color w:val="000000" w:themeColor="text1"/>
          <w:lang w:eastAsia="es-ES"/>
        </w:rPr>
        <w:t>, lo que evidencia una voluntad legislativa clara y reiterada de aplicar el EGCAP, sin distinción o salvedades sobre el régimen de contratación de las entidades ejecutoras.</w:t>
      </w:r>
    </w:p>
    <w:p w14:paraId="006D29A7" w14:textId="77777777" w:rsidR="002E2644" w:rsidRPr="00393943" w:rsidRDefault="002E2644" w:rsidP="002E2644">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lastRenderedPageBreak/>
        <w:t>Desde una lectura sistemática de la Ley 2056 de 2020, estas múltiples remisiones a las normas del régimen general de contratación pública no deben considerarse como simples alusiones formales sin efectos jurídicos. Por el contrario, configuran un mandato normativo concreto que impone la aplicación del EGCAP en la contratación de proyectos financiados con recursos de regalías. De esta manera, una lectura sistemática de todas las normas señaladas conlleva a interpretar la ley en su conjunto, atendiendo no solo a su tenor literal, sino a su estructura interna, lo que permite identificar una intención legislativa de sujetar la ejecución de los recursos del SGR al EGCAP, sin excepciones.</w:t>
      </w:r>
    </w:p>
    <w:p w14:paraId="76E3A104" w14:textId="77777777" w:rsidR="002E2644" w:rsidRPr="00393943" w:rsidRDefault="002E2644" w:rsidP="002E2644">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 xml:space="preserve">Aunado a lo anterior, se precisa que el parágrafo 1 del artículo 37 de la Ley 2056 de 2020 no distingue sobre el tipo de régimen de contratación aplicable a las entidades ejecutoras de los recursos del SGR, sin embargo, si realiza la remisión expresa al EGCAP. Por tanto, en desarrollo del principio general de interpretación jurídica según el cual </w:t>
      </w:r>
      <w:r w:rsidRPr="00393943">
        <w:rPr>
          <w:rFonts w:ascii="Verdana" w:eastAsia="Calibri" w:hAnsi="Verdana" w:cs="Arial"/>
          <w:i/>
          <w:iCs/>
          <w:color w:val="000000" w:themeColor="text1"/>
          <w:lang w:eastAsia="es-ES"/>
        </w:rPr>
        <w:t>donde la norma no distingue, no le corresponde distinguir al intérprete,</w:t>
      </w:r>
      <w:r w:rsidRPr="00393943">
        <w:rPr>
          <w:rFonts w:ascii="Verdana" w:eastAsia="Calibri" w:hAnsi="Verdana" w:cs="Arial"/>
          <w:color w:val="000000" w:themeColor="text1"/>
          <w:lang w:eastAsia="es-ES"/>
        </w:rPr>
        <w:t xml:space="preserve"> no resulta viable concluir que es posible la aplicación de un régimen distinto al del EGCAP. Esta regla cobra particular relevancia por el carácter público de los recursos, en los que se impone garantizar</w:t>
      </w:r>
      <w:r w:rsidRPr="00393943">
        <w:t xml:space="preserve"> </w:t>
      </w:r>
      <w:r w:rsidRPr="00393943">
        <w:rPr>
          <w:rFonts w:ascii="Verdana" w:eastAsia="Calibri" w:hAnsi="Verdana" w:cs="Arial"/>
          <w:color w:val="000000" w:themeColor="text1"/>
          <w:lang w:eastAsia="es-ES"/>
        </w:rPr>
        <w:t xml:space="preserve">la eficiencia, transparencia y responsabilidad en la gestión del gasto público.  </w:t>
      </w:r>
    </w:p>
    <w:p w14:paraId="15A4FCE2" w14:textId="77777777" w:rsidR="002E2644" w:rsidRPr="00393943" w:rsidRDefault="002E2644" w:rsidP="002E2644">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 xml:space="preserve">En este sentido,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 </w:t>
      </w:r>
    </w:p>
    <w:p w14:paraId="758634CD" w14:textId="77777777" w:rsidR="002E2644" w:rsidRPr="00393943" w:rsidRDefault="002E2644" w:rsidP="002E2644">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 xml:space="preserve">Adicionalmente, resulta pertinente indicar que el hecho de que el parágrafo primero del artículo 37 de la Ley 2056 de 2020 haga referencia a “las demás normas legales aplicables” no puede interpretarse como una exclusión de la remisión expresa que realiza al EGCAP. En otras palabras, dicha inclusión no niega que hay una remisión expresa y prevalente al EGCAP. Por el contrario, debe entenderse como una manifestación clara de la voluntad del legislador de establecer un marco normativo específico para la ejecución de los recursos del SGR, sin que ello implique desconocer o derogar de manera general los </w:t>
      </w:r>
      <w:r w:rsidRPr="00393943">
        <w:rPr>
          <w:rFonts w:ascii="Verdana" w:eastAsia="Calibri" w:hAnsi="Verdana" w:cs="Arial"/>
          <w:color w:val="000000" w:themeColor="text1"/>
          <w:lang w:eastAsia="es-ES"/>
        </w:rPr>
        <w:lastRenderedPageBreak/>
        <w:t xml:space="preserve">regímenes de contratación propios de las entidades que tienen regímenes especiales. </w:t>
      </w:r>
    </w:p>
    <w:p w14:paraId="38A4A059" w14:textId="77777777" w:rsidR="002E2644" w:rsidRPr="00393943" w:rsidRDefault="002E2644" w:rsidP="002E2644">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Por lo tanto, lejos de generar una contradicción normativa, la remisión al EGCAP debe entenderse como una disposición especial y prevalente frente a la aplicación de otras normas contractuales, y como un instrumento para garantizar la unidad, el control y la eficiencia en el manejo de los recursos del Sistema General de Regalías.</w:t>
      </w:r>
    </w:p>
    <w:p w14:paraId="1EA8442F" w14:textId="77777777" w:rsidR="002E2644" w:rsidRPr="00393943" w:rsidRDefault="002E2644" w:rsidP="002E2644">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A lo anterior debe agregarse que en este marco también cobra relevancia el principio de hermenéutica jurídica del efecto útil de las normas, conforme al cual “debe preferir la interpretación que permita dotarlas de sentido y eficacia, frente a otra u otras que lo impidan”</w:t>
      </w:r>
      <w:r w:rsidRPr="00393943">
        <w:rPr>
          <w:rFonts w:ascii="Verdana" w:eastAsia="Calibri" w:hAnsi="Verdana" w:cs="Arial"/>
          <w:color w:val="000000" w:themeColor="text1"/>
          <w:vertAlign w:val="superscript"/>
          <w:lang w:eastAsia="es-ES"/>
        </w:rPr>
        <w:footnoteReference w:id="7"/>
      </w:r>
      <w:r w:rsidRPr="00393943">
        <w:rPr>
          <w:rFonts w:ascii="Verdana" w:eastAsia="Calibri" w:hAnsi="Verdana" w:cs="Arial"/>
          <w:color w:val="000000" w:themeColor="text1"/>
          <w:lang w:eastAsia="es-ES"/>
        </w:rPr>
        <w:t>, es decir, que su aplicación y efectividad debe estar ligada al propósito para el cual fueron promulgadas. En este sentido, desconocer la aplicación del EGCAP en el marco de la Ley 2056 de 2020 implicaría privar de eficacia la remisión expresa que esta ley establece en materia de contratación pública, contrariando tanto su tenor literal como su finalidad normativa. En este caso, la voluntad del legislador ha sido la de establecer mecanismos que garanticen la transparencia, eficiencia y control en la ejecución de los recursos del SGR mediante la aplicación del EGCAP, lo cual se refleja no solo en la redacción del articulado, sino también en los antecedentes legislativos que dieron lugar a su expedición</w:t>
      </w:r>
      <w:r w:rsidRPr="00393943">
        <w:rPr>
          <w:rFonts w:ascii="Verdana" w:eastAsia="Calibri" w:hAnsi="Verdana" w:cs="Arial"/>
          <w:color w:val="000000" w:themeColor="text1"/>
          <w:vertAlign w:val="superscript"/>
          <w:lang w:eastAsia="es-ES"/>
        </w:rPr>
        <w:footnoteReference w:id="8"/>
      </w:r>
      <w:r w:rsidRPr="00393943">
        <w:rPr>
          <w:rFonts w:ascii="Verdana" w:eastAsia="Calibri" w:hAnsi="Verdana" w:cs="Arial"/>
          <w:color w:val="000000" w:themeColor="text1"/>
          <w:lang w:eastAsia="es-ES"/>
        </w:rPr>
        <w:t>.</w:t>
      </w:r>
    </w:p>
    <w:p w14:paraId="384C8E59" w14:textId="77777777" w:rsidR="002E2644" w:rsidRPr="00393943" w:rsidRDefault="002E2644" w:rsidP="002E2644">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 xml:space="preserve">De acuerdo con lo señalado, el legislador optó claramente por un criterio funcional o finalista, según el cual el régimen de contratación aplicable se determina por el origen de los recursos públicos y no por la naturaleza orgánica de la entidad ejecutora. Este enfoque parte de la premisa de que los recursos públicos de regalías deben estar sometidos a un marco normativo concreto. De esta forma, el legislador privilegia la naturaleza pública de recursos de regalías como criterio rector, por encima de cualquier particularidad orgánica o régimen especial que pudiera ostentar la entidad ejecutora. Esto se refuerza con el hecho </w:t>
      </w:r>
      <w:r w:rsidRPr="00393943">
        <w:rPr>
          <w:rFonts w:ascii="Verdana" w:eastAsia="Calibri" w:hAnsi="Verdana" w:cs="Arial"/>
          <w:color w:val="000000" w:themeColor="text1"/>
          <w:lang w:eastAsia="es-ES"/>
        </w:rPr>
        <w:lastRenderedPageBreak/>
        <w:t xml:space="preserve">de que la norma no hace ninguna distinción respecto de la ejecución de recurso por parte las entidades con régimen especial. </w:t>
      </w:r>
    </w:p>
    <w:p w14:paraId="6BFDCCEA" w14:textId="77777777" w:rsidR="002E2644" w:rsidRPr="00393943" w:rsidRDefault="002E2644" w:rsidP="002E2644">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 xml:space="preserve">Finalmente, resulta indispensable precisar que la remisión al EGCAP de la ejecución de los proyectos financiados con recursos de regalías no implica una alteración estructural del régimen especial de las entidades ejecutoras ni desconoce las normas que lo regulan. Tal y como se ha expuesto, la interpretación literal, sistemática y teleológica de la norma, armonizada con el principio general del </w:t>
      </w:r>
      <w:r w:rsidRPr="00393943">
        <w:rPr>
          <w:rFonts w:ascii="Verdana" w:eastAsia="Calibri" w:hAnsi="Verdana" w:cs="Arial"/>
          <w:i/>
          <w:iCs/>
          <w:color w:val="000000" w:themeColor="text1"/>
          <w:lang w:eastAsia="es-ES"/>
        </w:rPr>
        <w:t>efecto útil</w:t>
      </w:r>
      <w:r w:rsidRPr="00393943">
        <w:rPr>
          <w:rFonts w:ascii="Verdana" w:eastAsia="Calibri" w:hAnsi="Verdana" w:cs="Arial"/>
          <w:color w:val="000000" w:themeColor="text1"/>
          <w:lang w:eastAsia="es-ES"/>
        </w:rPr>
        <w:t xml:space="preserve">, conduce a concluir que cuando estas entidades actúan en calidad de ejecutoras en el marco de la Ley 2056 de 2020, deben sujetarse al EGCAP. De hecho, así fue expuesto en el Concepto C-504 del 1 de octubre de 2024, en el cual se indicó que ello “no </w:t>
      </w:r>
      <w:r w:rsidRPr="00393943">
        <w:rPr>
          <w:rFonts w:ascii="Verdana" w:hAnsi="Verdana" w:cs="Arial"/>
          <w:color w:val="000000"/>
          <w:bdr w:val="none" w:sz="0" w:space="0" w:color="auto" w:frame="1"/>
          <w:lang w:val="es-MX"/>
        </w:rPr>
        <w:t xml:space="preserve">implica que la designación para la ejecución de proyectos financiados con recursos del Sistema General de Regalías mute a perpetuidad o de manera general el régimen contractual de las entidades estatales ejecutoras sometidas a regímenes especiales de contratación, en la medida en que, mientras sigan vigentes las disposiciones legales que contemplan tales regímenes exceptuados, dichas entidades podrán seguir aplicándolos para la contratación no relacionada con la ejecución de los proyectos a los que se refieren los artículos 35 y 36 de la Ley 2056 de 2020”.  </w:t>
      </w:r>
    </w:p>
    <w:p w14:paraId="02AB0C05" w14:textId="77777777" w:rsidR="002E2644" w:rsidRPr="00393943" w:rsidRDefault="002E2644" w:rsidP="002E2644">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Este régimen particular no sustituye ni deroga el régimen especial de contratación al que está sujeta la entidad ejecutora, pero sí superpone válidamente un conjunto de reglas especiales aplicables de manera preferente respecto de los contratos financiados con recursos de regalías, porque la Ley 2056 de 2020 contiene disposiciones específicas que regulan un aspecto puntual. En ese contexto, la remisión al régimen de contratación pública contenida en el artículo 37, y reiterada en otras disposiciones de la ley, despliega un efecto de aplicación preferente, no solo por su especialidad temática, sino también por su carácter imperativo y por estar dirigida a una función específica que es la ejecución de proyectos con recursos de regalías.</w:t>
      </w:r>
    </w:p>
    <w:p w14:paraId="76F8DB94" w14:textId="77777777" w:rsidR="002E2644" w:rsidRPr="00393943" w:rsidRDefault="002E2644" w:rsidP="002E2644">
      <w:pPr>
        <w:spacing w:after="120" w:line="276" w:lineRule="auto"/>
        <w:ind w:firstLine="709"/>
        <w:jc w:val="both"/>
        <w:rPr>
          <w:rFonts w:ascii="Verdana" w:eastAsia="Calibri" w:hAnsi="Verdana" w:cs="Arial"/>
          <w:color w:val="000000" w:themeColor="text1"/>
          <w:lang w:eastAsia="es-ES"/>
        </w:rPr>
      </w:pPr>
      <w:r w:rsidRPr="00393943">
        <w:rPr>
          <w:rFonts w:ascii="Verdana" w:eastAsia="Calibri" w:hAnsi="Verdana" w:cs="Arial"/>
          <w:color w:val="000000" w:themeColor="text1"/>
          <w:lang w:eastAsia="es-ES"/>
        </w:rPr>
        <w:t>Debido a que esta remisión normativa no es una mera referencia indicativa sino que tiene pleno efectos jurídicos, impone la aplicación de régimen de contratación específico en virtud del principio de especialidad y de legalidad. Es decir, mientras actúan como ejecutoras del SGR, dichas entidades deben sujetarse al régimen previsto en la Ley 2056, incluyendo su remisión expresa al EGCAP, sin que ello implique una derogatoria general de su régimen contractual ordinario.</w:t>
      </w:r>
    </w:p>
    <w:p w14:paraId="440CACB6" w14:textId="77777777" w:rsidR="002E2644" w:rsidRPr="00393943" w:rsidRDefault="002E2644" w:rsidP="002E2644">
      <w:pPr>
        <w:spacing w:after="120" w:line="276" w:lineRule="auto"/>
        <w:jc w:val="both"/>
        <w:rPr>
          <w:rFonts w:ascii="Verdana" w:hAnsi="Verdana"/>
        </w:rPr>
      </w:pPr>
      <w:proofErr w:type="spellStart"/>
      <w:r w:rsidRPr="00393943">
        <w:rPr>
          <w:rFonts w:ascii="Verdana" w:hAnsi="Verdana" w:cs="Arial"/>
          <w:lang w:eastAsia="es-ES"/>
        </w:rPr>
        <w:lastRenderedPageBreak/>
        <w:t>ii</w:t>
      </w:r>
      <w:proofErr w:type="spellEnd"/>
      <w:r w:rsidRPr="00393943">
        <w:rPr>
          <w:rFonts w:ascii="Verdana" w:hAnsi="Verdana" w:cs="Arial"/>
          <w:lang w:eastAsia="es-ES"/>
        </w:rPr>
        <w:t xml:space="preserve">. Al margen de la postura de la ANCP – CCE, </w:t>
      </w:r>
      <w:r w:rsidRPr="00393943">
        <w:rPr>
          <w:rFonts w:ascii="Verdana" w:eastAsia="Calibri" w:hAnsi="Verdana" w:cs="Arial"/>
          <w:color w:val="000000"/>
          <w:lang w:val="es-ES" w:eastAsia="es-ES"/>
        </w:rPr>
        <w:t xml:space="preserve">es importante señalar que el Departamento Nacional de Planeación – DNP – ha emitido conceptos en </w:t>
      </w:r>
      <w:r w:rsidRPr="00393943">
        <w:rPr>
          <w:rFonts w:ascii="Verdana" w:hAnsi="Verdana" w:cs="Arial"/>
          <w:lang w:eastAsia="es-ES"/>
        </w:rPr>
        <w:t>torno a</w:t>
      </w:r>
      <w:r w:rsidRPr="00393943">
        <w:rPr>
          <w:rFonts w:ascii="Verdana" w:eastAsia="Calibri" w:hAnsi="Verdana" w:cs="Arial"/>
          <w:color w:val="000000"/>
          <w:lang w:val="es-ES" w:eastAsia="es-ES"/>
        </w:rPr>
        <w:t xml:space="preserve">l régimen de contratación aplicable a la ejecución de proyectos financiados con recursos del Sistema General de Regalías -SGR. Al respecto, </w:t>
      </w:r>
      <w:r w:rsidRPr="00393943">
        <w:rPr>
          <w:rFonts w:ascii="Verdana" w:hAnsi="Verdana"/>
        </w:rPr>
        <w:t xml:space="preserve">en Concepto 20253200269611 del 11 de abril de 2025, la Oficina Asesoría Jurídica del DNP señaló que las normas que regulan el SGR no contienen disposiciones que modifiquen, adicionen o sustituyan las de tipo contractual, por lo tanto, en lo que respecta al régimen de contratación la normativa aplicable será la que corresponda a la entidad designada ejecutora de los proyectos de inversión financiados con recursos del Sistema. </w:t>
      </w:r>
    </w:p>
    <w:p w14:paraId="354A9AE8" w14:textId="77777777" w:rsidR="002E2644" w:rsidRPr="00393943" w:rsidRDefault="002E2644" w:rsidP="002E2644">
      <w:pPr>
        <w:spacing w:after="120" w:line="276" w:lineRule="auto"/>
        <w:ind w:firstLine="709"/>
        <w:jc w:val="both"/>
        <w:rPr>
          <w:rFonts w:ascii="Verdana" w:hAnsi="Verdana"/>
        </w:rPr>
      </w:pPr>
      <w:r w:rsidRPr="00393943">
        <w:rPr>
          <w:rFonts w:ascii="Verdana" w:hAnsi="Verdana"/>
        </w:rPr>
        <w:t xml:space="preserve">En este contexto, se resaltó que la relación contractual que enmarca la ejecución de los recursos del SGR es restrictiva a las partes que la conforman, quienes, al momento de la suscripción del contrato acordarán las condiciones que lo regirán. De esta manera, el manejo contractual de los recursos del SGR corresponde de forma exclusiva a las partes en virtud de la autonomía presupuestal y de la capacidad para contratar que les atribuye la Constitución Política y la ley. </w:t>
      </w:r>
    </w:p>
    <w:p w14:paraId="0A25997D" w14:textId="77777777" w:rsidR="002E2644" w:rsidRPr="00393943" w:rsidRDefault="002E2644" w:rsidP="002E2644">
      <w:pPr>
        <w:spacing w:after="120" w:line="276" w:lineRule="auto"/>
        <w:ind w:firstLine="709"/>
        <w:jc w:val="both"/>
        <w:rPr>
          <w:rFonts w:ascii="Verdana" w:hAnsi="Verdana"/>
        </w:rPr>
      </w:pPr>
      <w:r w:rsidRPr="00393943">
        <w:rPr>
          <w:rFonts w:ascii="Verdana" w:hAnsi="Verdana"/>
        </w:rPr>
        <w:t xml:space="preserve">Asimismo, en Concepto Unificado 2022-09 OAJ-DNP, la Oficina Asesora Jurídica señaló que en virtud de la responsabilidad de ejecutar el proyecto de inversión aprobado con cargo al SGR, la entidad designada ejecutora, como ordenadora del gasto y a partir del programa de actividades y gastos del proyecto, decide la oportunidad de contratar, comprometer recursos y ordenar el gasto; dando cumplimiento al marco de las normas del SGR y al régimen de contratación que le sea aplicable. </w:t>
      </w:r>
    </w:p>
    <w:p w14:paraId="5F7E16C4" w14:textId="77777777" w:rsidR="002E2644" w:rsidRPr="00393943" w:rsidRDefault="002E2644" w:rsidP="002E2644">
      <w:pPr>
        <w:spacing w:after="120" w:line="276" w:lineRule="auto"/>
        <w:ind w:firstLine="709"/>
        <w:jc w:val="both"/>
        <w:rPr>
          <w:rFonts w:ascii="Verdana" w:hAnsi="Verdana"/>
        </w:rPr>
      </w:pPr>
      <w:r w:rsidRPr="00393943">
        <w:rPr>
          <w:rFonts w:ascii="Verdana" w:hAnsi="Verdana"/>
        </w:rPr>
        <w:t>En este sentido, precisó que la normativa del SGR no contempla que la ejecución de los proyectos de inversión deba realizarse de manera obligatoria a través de procesos de contratación adelantados por la entidad ejecutora. Por virtud del artículo 37 de la Ley 2056 de 2020, se admite que las entidades ejecutoras desarrollen directamente las actividades propias de la ejecución del proyecto, siempre que cumplan los requisitos normativos pertinentes y que aseguren la correcta ejecución de los recursos asignados al proyecto.</w:t>
      </w:r>
    </w:p>
    <w:p w14:paraId="033C4C8D" w14:textId="77777777" w:rsidR="002E2644" w:rsidRPr="00393943" w:rsidRDefault="002E2644" w:rsidP="002E2644">
      <w:pPr>
        <w:spacing w:after="120" w:line="276" w:lineRule="auto"/>
        <w:ind w:firstLine="709"/>
        <w:jc w:val="both"/>
        <w:rPr>
          <w:rFonts w:ascii="Verdana" w:eastAsia="Calibri" w:hAnsi="Verdana" w:cs="Arial"/>
          <w:color w:val="000000"/>
          <w:lang w:val="es-ES" w:eastAsia="es-ES"/>
        </w:rPr>
      </w:pPr>
      <w:r w:rsidRPr="00393943">
        <w:rPr>
          <w:rFonts w:ascii="Verdana" w:eastAsia="Calibri" w:hAnsi="Verdana" w:cs="Arial"/>
          <w:color w:val="000000"/>
          <w:lang w:val="es-ES" w:eastAsia="es-ES"/>
        </w:rPr>
        <w:t xml:space="preserve">Al respecto, vale la pena resaltar que de conformidad con lo señalado en los numeral 2 y 3 del artículo 8 del Decreto 1893 de 2021, el DNP tiene a su cargo el deber de impartir las directrices jurídicas y adoptar los instrumentos para la interpretación y aplicación de las normas por parte de las dependencias </w:t>
      </w:r>
      <w:r w:rsidRPr="00393943">
        <w:rPr>
          <w:rFonts w:ascii="Verdana" w:eastAsia="Calibri" w:hAnsi="Verdana" w:cs="Arial"/>
          <w:color w:val="000000"/>
          <w:lang w:val="es-ES" w:eastAsia="es-ES"/>
        </w:rPr>
        <w:lastRenderedPageBreak/>
        <w:t>y demás organismos y entidades del Estado y de establecer criterios de interpretación legal de última instancia, así como fijar la posición jurídica institucional del Departamento Nacional de Planeación y de las normas legales relacionadas con el Sistema General de Regalías.</w:t>
      </w:r>
    </w:p>
    <w:p w14:paraId="3B516D8D" w14:textId="77777777" w:rsidR="002E2644" w:rsidRPr="00393943" w:rsidRDefault="002E2644" w:rsidP="002E2644">
      <w:pPr>
        <w:spacing w:after="120" w:line="276" w:lineRule="auto"/>
        <w:ind w:firstLine="709"/>
        <w:jc w:val="both"/>
        <w:rPr>
          <w:rFonts w:ascii="Verdana" w:eastAsia="Calibri" w:hAnsi="Verdana" w:cs="Arial"/>
          <w:color w:val="000000"/>
          <w:lang w:val="es-ES" w:eastAsia="es-ES"/>
        </w:rPr>
      </w:pPr>
      <w:r w:rsidRPr="00393943">
        <w:rPr>
          <w:rFonts w:ascii="Verdana" w:eastAsia="Calibri" w:hAnsi="Verdana" w:cs="Arial"/>
          <w:lang w:val="es-ES" w:eastAsia="es-ES_tradnl"/>
        </w:rPr>
        <w:t xml:space="preserve">De igual manera, conforme al artículo 9 de la Ley 2056 de 2020, el Departamento Nacional de Planeación tiene dentro de sus funciones </w:t>
      </w:r>
      <w:r w:rsidRPr="00393943">
        <w:rPr>
          <w:rFonts w:ascii="Verdana" w:eastAsia="Calibri" w:hAnsi="Verdana" w:cs="Arial"/>
          <w:lang w:eastAsia="es-ES_tradnl"/>
        </w:rPr>
        <w:t xml:space="preserve">definir las metodologías para la formulación, la viabilidad de los proyectos de inversión, administrar el Sistema de Seguimiento, Evaluación y Control del Sistema General de Regalías, calcular e informar al Ministerio de Hacienda y Crédito Público la distribución de los recursos del Sistema General de Regalías entre las asignaciones y los diferentes beneficiarios, así como la correspondiente instrucción de abono a cuenta, definir mediante resolución la metodología y realizar la distribución de las asignaciones y de los rubros presupuestales que no estén desagregados por entidad beneficiaria, que no sea competencia de otra entidad y de conformidad con la normativa que regule la materia, entre otras. </w:t>
      </w:r>
    </w:p>
    <w:p w14:paraId="3DE49A22" w14:textId="77777777" w:rsidR="002E2644" w:rsidRPr="00393943" w:rsidRDefault="002E2644" w:rsidP="002E2644">
      <w:pPr>
        <w:spacing w:after="120" w:line="276" w:lineRule="auto"/>
        <w:ind w:firstLine="709"/>
        <w:jc w:val="both"/>
        <w:rPr>
          <w:rFonts w:ascii="Verdana" w:hAnsi="Verdana"/>
        </w:rPr>
      </w:pPr>
      <w:r w:rsidRPr="00393943">
        <w:rPr>
          <w:rFonts w:ascii="Verdana" w:eastAsia="Calibri" w:hAnsi="Verdana" w:cs="Arial"/>
          <w:color w:val="000000"/>
          <w:lang w:eastAsia="es-ES"/>
        </w:rPr>
        <w:t xml:space="preserve">Por consiguiente, </w:t>
      </w:r>
      <w:r w:rsidRPr="00393943">
        <w:rPr>
          <w:rFonts w:ascii="Verdana" w:eastAsia="Calibri" w:hAnsi="Verdana" w:cs="Arial"/>
        </w:rPr>
        <w:t xml:space="preserve">la Agencia Nacional de Contratación Pública – Colombia Compra Eficiente carece de competencia para brindar lineamientos sobre la ejecución de proyectos de regalías financiados con recursos del Sistema General de Regalías (SGR) o la definición de metodologías o viabilidad de dichos proyectos ya que tales asuntos desbordan el ámbito funcional de la Agencia. Sin embargo, con fundamento en los </w:t>
      </w:r>
      <w:r w:rsidRPr="00393943">
        <w:rPr>
          <w:rFonts w:ascii="Verdana" w:eastAsia="Calibri" w:hAnsi="Verdana" w:cs="Arial"/>
          <w:color w:val="000000" w:themeColor="text1"/>
          <w:lang w:eastAsia="es-ES"/>
        </w:rPr>
        <w:t xml:space="preserve">artículos 3, numeral 5º, y 11, numeral 8º, del Decreto Ley 4170 de 2011, </w:t>
      </w:r>
      <w:r w:rsidRPr="00393943">
        <w:rPr>
          <w:rFonts w:ascii="Verdana" w:eastAsia="Calibri" w:hAnsi="Verdana" w:cs="Arial"/>
        </w:rPr>
        <w:t xml:space="preserve">puede emitir conceptos sobre </w:t>
      </w:r>
      <w:r w:rsidRPr="00393943">
        <w:rPr>
          <w:rFonts w:ascii="Verdana" w:eastAsia="Calibri" w:hAnsi="Verdana" w:cs="Arial"/>
          <w:lang w:val="es-ES" w:eastAsia="es-ES_tradnl"/>
        </w:rPr>
        <w:t xml:space="preserve">la aplicación de normas de carácter general del sistema de compras públicas. </w:t>
      </w:r>
    </w:p>
    <w:p w14:paraId="05F9E804" w14:textId="77777777" w:rsidR="002E2644" w:rsidRPr="00393943" w:rsidRDefault="002E2644" w:rsidP="002E2644">
      <w:pPr>
        <w:tabs>
          <w:tab w:val="left" w:pos="426"/>
        </w:tabs>
        <w:spacing w:line="276" w:lineRule="auto"/>
        <w:ind w:firstLine="709"/>
        <w:jc w:val="both"/>
        <w:rPr>
          <w:rFonts w:ascii="Verdana" w:eastAsiaTheme="minorEastAsia" w:hAnsi="Verdana" w:cs="Arial"/>
          <w:spacing w:val="-9"/>
          <w:szCs w:val="24"/>
          <w:lang w:eastAsia="es-CO"/>
        </w:rPr>
      </w:pPr>
      <w:r w:rsidRPr="00393943">
        <w:rPr>
          <w:rFonts w:ascii="Verdana" w:hAnsi="Verdana"/>
        </w:rPr>
        <w:t xml:space="preserve">Bajo este contexto, </w:t>
      </w:r>
      <w:r w:rsidRPr="00393943">
        <w:rPr>
          <w:rFonts w:ascii="Verdana" w:eastAsia="Calibri" w:hAnsi="Verdana" w:cs="Arial"/>
          <w:color w:val="000000"/>
          <w:lang w:val="es-ES" w:eastAsia="es-ES"/>
        </w:rPr>
        <w:t>se precisa que los conceptos emitidos por las entidades estatales en virtud del artículo 28 de la Ley 1437 de 2011</w:t>
      </w:r>
      <w:r w:rsidRPr="00393943">
        <w:rPr>
          <w:rFonts w:ascii="Verdana" w:eastAsia="Calibri" w:hAnsi="Verdana" w:cs="Arial"/>
          <w:bCs/>
          <w:lang w:val="es-ES_tradnl"/>
        </w:rPr>
        <w:t xml:space="preserve">, sustituido por el artículo 1 de la Ley 1755, </w:t>
      </w:r>
      <w:bookmarkStart w:id="6" w:name="_Hlk200718672"/>
      <w:r w:rsidRPr="00393943">
        <w:rPr>
          <w:rFonts w:ascii="Verdana" w:eastAsia="Calibri" w:hAnsi="Verdana" w:cs="Arial"/>
          <w:color w:val="000000"/>
          <w:lang w:val="es-ES" w:eastAsia="es-ES"/>
        </w:rPr>
        <w:t>representan</w:t>
      </w:r>
      <w:r w:rsidRPr="00393943">
        <w:rPr>
          <w:rFonts w:ascii="Verdana" w:hAnsi="Verdana" w:cs="Arial"/>
          <w:lang w:eastAsia="es-ES"/>
        </w:rPr>
        <w:t xml:space="preserve"> una </w:t>
      </w:r>
      <w:r w:rsidRPr="00393943">
        <w:rPr>
          <w:rFonts w:ascii="Verdana" w:eastAsia="Calibri" w:hAnsi="Verdana" w:cs="Arial"/>
          <w:bCs/>
          <w:lang w:val="es-ES_tradnl"/>
        </w:rPr>
        <w:t>posición hermenéutica</w:t>
      </w:r>
      <w:r w:rsidRPr="00393943">
        <w:rPr>
          <w:rFonts w:ascii="Verdana" w:hAnsi="Verdana" w:cs="Arial"/>
          <w:lang w:eastAsia="es-ES"/>
        </w:rPr>
        <w:t xml:space="preserve"> </w:t>
      </w:r>
      <w:bookmarkStart w:id="7" w:name="_Hlk42100007"/>
      <w:r w:rsidRPr="00393943">
        <w:rPr>
          <w:rFonts w:ascii="Verdana" w:hAnsi="Verdana" w:cs="Arial"/>
          <w:lang w:eastAsia="es-ES"/>
        </w:rPr>
        <w:t xml:space="preserve">que </w:t>
      </w:r>
      <w:r w:rsidRPr="00393943">
        <w:rPr>
          <w:rFonts w:ascii="Verdana" w:eastAsia="Calibri" w:hAnsi="Verdana" w:cs="Arial"/>
          <w:bCs/>
          <w:lang w:val="es-ES_tradnl"/>
        </w:rPr>
        <w:t xml:space="preserve">no tienen efectos vinculantes </w:t>
      </w:r>
      <w:bookmarkEnd w:id="6"/>
      <w:r w:rsidRPr="00393943">
        <w:rPr>
          <w:rFonts w:ascii="Verdana" w:eastAsia="Calibri" w:hAnsi="Verdana" w:cs="Arial"/>
          <w:bCs/>
          <w:lang w:val="es-ES_tradnl"/>
        </w:rPr>
        <w:t>en relación con una situación jurídica particular y concreta, y exponen un criterio que, aunque jurídicamente fundamentado, no representan la única interpretación posible del ordenamiento jurídico.</w:t>
      </w:r>
      <w:bookmarkEnd w:id="7"/>
      <w:r w:rsidRPr="00393943">
        <w:rPr>
          <w:rFonts w:ascii="Verdana" w:eastAsiaTheme="minorEastAsia" w:hAnsi="Verdana" w:cs="Arial"/>
          <w:szCs w:val="24"/>
          <w:lang w:eastAsia="es-CO"/>
        </w:rPr>
        <w:t xml:space="preserve"> De este modo, las autoridades que ejercen funciones consultivas pueden expresar su</w:t>
      </w:r>
      <w:r w:rsidRPr="00393943">
        <w:rPr>
          <w:rFonts w:ascii="Verdana" w:eastAsiaTheme="minorEastAsia" w:hAnsi="Verdana" w:cs="Arial"/>
          <w:spacing w:val="1"/>
          <w:szCs w:val="24"/>
          <w:lang w:eastAsia="es-CO"/>
        </w:rPr>
        <w:t xml:space="preserve"> </w:t>
      </w:r>
      <w:r w:rsidRPr="00393943">
        <w:rPr>
          <w:rFonts w:ascii="Verdana" w:eastAsiaTheme="minorEastAsia" w:hAnsi="Verdana" w:cs="Arial"/>
          <w:szCs w:val="24"/>
          <w:lang w:eastAsia="es-CO"/>
        </w:rPr>
        <w:t>interpretación de un precepto normativo, que no excluye otras interpretaciones posibles, pues el derecho, como sistema normativo, es un lenguaje que, en ocasiones, se tiñe de vaguedad, en</w:t>
      </w:r>
      <w:r w:rsidRPr="00393943">
        <w:rPr>
          <w:rFonts w:ascii="Verdana" w:eastAsiaTheme="minorEastAsia" w:hAnsi="Verdana" w:cs="Arial"/>
          <w:spacing w:val="1"/>
          <w:szCs w:val="24"/>
          <w:lang w:eastAsia="es-CO"/>
        </w:rPr>
        <w:t xml:space="preserve"> </w:t>
      </w:r>
      <w:r w:rsidRPr="00393943">
        <w:rPr>
          <w:rFonts w:ascii="Verdana" w:eastAsiaTheme="minorEastAsia" w:hAnsi="Verdana" w:cs="Arial"/>
          <w:szCs w:val="24"/>
          <w:lang w:eastAsia="es-CO"/>
        </w:rPr>
        <w:t>virtud</w:t>
      </w:r>
      <w:r w:rsidRPr="00393943">
        <w:rPr>
          <w:rFonts w:ascii="Verdana" w:eastAsiaTheme="minorEastAsia" w:hAnsi="Verdana" w:cs="Arial"/>
          <w:spacing w:val="-10"/>
          <w:szCs w:val="24"/>
          <w:lang w:eastAsia="es-CO"/>
        </w:rPr>
        <w:t xml:space="preserve"> </w:t>
      </w:r>
      <w:r w:rsidRPr="00393943">
        <w:rPr>
          <w:rFonts w:ascii="Verdana" w:eastAsiaTheme="minorEastAsia" w:hAnsi="Verdana" w:cs="Arial"/>
          <w:szCs w:val="24"/>
          <w:lang w:eastAsia="es-CO"/>
        </w:rPr>
        <w:t>de</w:t>
      </w:r>
      <w:r w:rsidRPr="00393943">
        <w:rPr>
          <w:rFonts w:ascii="Verdana" w:eastAsiaTheme="minorEastAsia" w:hAnsi="Verdana" w:cs="Arial"/>
          <w:spacing w:val="-9"/>
          <w:szCs w:val="24"/>
          <w:lang w:eastAsia="es-CO"/>
        </w:rPr>
        <w:t xml:space="preserve"> </w:t>
      </w:r>
      <w:r w:rsidRPr="00393943">
        <w:rPr>
          <w:rFonts w:ascii="Verdana" w:eastAsiaTheme="minorEastAsia" w:hAnsi="Verdana" w:cs="Arial"/>
          <w:szCs w:val="24"/>
          <w:lang w:eastAsia="es-CO"/>
        </w:rPr>
        <w:t>la</w:t>
      </w:r>
      <w:r w:rsidRPr="00393943">
        <w:rPr>
          <w:rFonts w:ascii="Verdana" w:eastAsiaTheme="minorEastAsia" w:hAnsi="Verdana" w:cs="Arial"/>
          <w:spacing w:val="-9"/>
          <w:szCs w:val="24"/>
          <w:lang w:eastAsia="es-CO"/>
        </w:rPr>
        <w:t xml:space="preserve"> </w:t>
      </w:r>
      <w:r w:rsidRPr="00393943">
        <w:rPr>
          <w:rFonts w:ascii="Verdana" w:eastAsiaTheme="minorEastAsia" w:hAnsi="Verdana" w:cs="Arial"/>
          <w:szCs w:val="24"/>
          <w:lang w:eastAsia="es-CO"/>
        </w:rPr>
        <w:t>utilización</w:t>
      </w:r>
      <w:r w:rsidRPr="00393943">
        <w:rPr>
          <w:rFonts w:ascii="Verdana" w:eastAsiaTheme="minorEastAsia" w:hAnsi="Verdana" w:cs="Arial"/>
          <w:spacing w:val="-9"/>
          <w:szCs w:val="24"/>
          <w:lang w:eastAsia="es-CO"/>
        </w:rPr>
        <w:t xml:space="preserve"> </w:t>
      </w:r>
      <w:r w:rsidRPr="00393943">
        <w:rPr>
          <w:rFonts w:ascii="Verdana" w:eastAsiaTheme="minorEastAsia" w:hAnsi="Verdana" w:cs="Arial"/>
          <w:szCs w:val="24"/>
          <w:lang w:eastAsia="es-CO"/>
        </w:rPr>
        <w:t>de</w:t>
      </w:r>
      <w:r w:rsidRPr="00393943">
        <w:rPr>
          <w:rFonts w:ascii="Verdana" w:eastAsiaTheme="minorEastAsia" w:hAnsi="Verdana" w:cs="Arial"/>
          <w:spacing w:val="-9"/>
          <w:szCs w:val="24"/>
          <w:lang w:eastAsia="es-CO"/>
        </w:rPr>
        <w:t xml:space="preserve"> </w:t>
      </w:r>
      <w:r w:rsidRPr="00393943">
        <w:rPr>
          <w:rFonts w:ascii="Verdana" w:eastAsiaTheme="minorEastAsia" w:hAnsi="Verdana" w:cs="Arial"/>
          <w:szCs w:val="24"/>
          <w:lang w:eastAsia="es-CO"/>
        </w:rPr>
        <w:t>conceptos</w:t>
      </w:r>
      <w:r w:rsidRPr="00393943">
        <w:rPr>
          <w:rFonts w:ascii="Verdana" w:eastAsiaTheme="minorEastAsia" w:hAnsi="Verdana" w:cs="Arial"/>
          <w:spacing w:val="-10"/>
          <w:szCs w:val="24"/>
          <w:lang w:eastAsia="es-CO"/>
        </w:rPr>
        <w:t xml:space="preserve"> </w:t>
      </w:r>
      <w:r w:rsidRPr="00393943">
        <w:rPr>
          <w:rFonts w:ascii="Verdana" w:eastAsiaTheme="minorEastAsia" w:hAnsi="Verdana" w:cs="Arial"/>
          <w:szCs w:val="24"/>
          <w:lang w:eastAsia="es-CO"/>
        </w:rPr>
        <w:t>jurídicos</w:t>
      </w:r>
      <w:r w:rsidRPr="00393943">
        <w:rPr>
          <w:rFonts w:ascii="Verdana" w:eastAsiaTheme="minorEastAsia" w:hAnsi="Verdana" w:cs="Arial"/>
          <w:spacing w:val="-9"/>
          <w:szCs w:val="24"/>
          <w:lang w:eastAsia="es-CO"/>
        </w:rPr>
        <w:t xml:space="preserve"> </w:t>
      </w:r>
      <w:r w:rsidRPr="00393943">
        <w:rPr>
          <w:rFonts w:ascii="Verdana" w:eastAsiaTheme="minorEastAsia" w:hAnsi="Verdana" w:cs="Arial"/>
          <w:szCs w:val="24"/>
          <w:lang w:eastAsia="es-CO"/>
        </w:rPr>
        <w:t>indeterminados.</w:t>
      </w:r>
      <w:r w:rsidRPr="00393943">
        <w:rPr>
          <w:rFonts w:ascii="Verdana" w:eastAsiaTheme="minorEastAsia" w:hAnsi="Verdana" w:cs="Arial"/>
          <w:spacing w:val="-9"/>
          <w:szCs w:val="24"/>
          <w:lang w:eastAsia="es-CO"/>
        </w:rPr>
        <w:t xml:space="preserve"> </w:t>
      </w:r>
    </w:p>
    <w:p w14:paraId="5F4696E0" w14:textId="77777777" w:rsidR="002E2644" w:rsidRPr="00393943" w:rsidRDefault="002E2644" w:rsidP="002E2644">
      <w:pPr>
        <w:tabs>
          <w:tab w:val="left" w:pos="426"/>
        </w:tabs>
        <w:spacing w:line="276" w:lineRule="auto"/>
        <w:ind w:firstLine="709"/>
        <w:jc w:val="both"/>
        <w:rPr>
          <w:rFonts w:ascii="Verdana" w:eastAsia="Calibri" w:hAnsi="Verdana" w:cs="Arial"/>
          <w:color w:val="000000"/>
          <w:lang w:val="es-ES" w:eastAsia="es-ES"/>
        </w:rPr>
      </w:pPr>
      <w:r w:rsidRPr="00393943">
        <w:rPr>
          <w:rFonts w:ascii="Verdana" w:eastAsia="Calibri" w:hAnsi="Verdana" w:cs="Arial"/>
          <w:bCs/>
          <w:lang w:val="es-ES_tradnl"/>
        </w:rPr>
        <w:lastRenderedPageBreak/>
        <w:t>En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w:t>
      </w:r>
    </w:p>
    <w:p w14:paraId="3216FCC5" w14:textId="77777777" w:rsidR="002E2644" w:rsidRPr="00393943" w:rsidRDefault="002E2644" w:rsidP="002E2644">
      <w:pPr>
        <w:spacing w:after="120" w:line="276" w:lineRule="auto"/>
        <w:ind w:firstLine="709"/>
        <w:jc w:val="both"/>
        <w:rPr>
          <w:rFonts w:ascii="Verdana" w:hAnsi="Verdana" w:cs="Arial"/>
          <w:lang w:eastAsia="es-ES"/>
        </w:rPr>
      </w:pPr>
      <w:r w:rsidRPr="00393943">
        <w:rPr>
          <w:rFonts w:ascii="Verdana" w:eastAsia="Calibri" w:hAnsi="Verdana" w:cs="Arial"/>
          <w:color w:val="000000"/>
          <w:lang w:val="es-ES" w:eastAsia="es-ES"/>
        </w:rPr>
        <w:t>En consecuencia, esta Subdirección en el marco de la función consultiva</w:t>
      </w:r>
      <w:r w:rsidRPr="00393943">
        <w:rPr>
          <w:rFonts w:ascii="Verdana" w:eastAsia="Calibri" w:hAnsi="Verdana" w:cs="Arial"/>
          <w:color w:val="000000" w:themeColor="text1"/>
          <w:lang w:val="es-ES"/>
        </w:rPr>
        <w:t xml:space="preserve"> emite conceptos que no constituyen lineamientos de obligatorio cumplimiento, sino orientaciones jurídicas que buscan apoyar a las entidades en el entendimiento e interpretación del régimen normativo aplicable,</w:t>
      </w:r>
      <w:r w:rsidRPr="00393943">
        <w:rPr>
          <w:rFonts w:ascii="Verdana" w:eastAsiaTheme="minorEastAsia" w:hAnsi="Verdana" w:cs="Arial"/>
          <w:szCs w:val="24"/>
          <w:lang w:eastAsia="es-CO"/>
        </w:rPr>
        <w:t xml:space="preserve"> sin</w:t>
      </w:r>
      <w:r w:rsidRPr="00393943">
        <w:rPr>
          <w:rFonts w:ascii="Verdana" w:eastAsiaTheme="minorEastAsia" w:hAnsi="Verdana" w:cs="Arial"/>
          <w:spacing w:val="1"/>
          <w:szCs w:val="24"/>
          <w:lang w:eastAsia="es-CO"/>
        </w:rPr>
        <w:t xml:space="preserve"> </w:t>
      </w:r>
      <w:r w:rsidRPr="00393943">
        <w:rPr>
          <w:rFonts w:ascii="Verdana" w:eastAsiaTheme="minorEastAsia" w:hAnsi="Verdana" w:cs="Arial"/>
          <w:szCs w:val="24"/>
          <w:lang w:eastAsia="es-CO"/>
        </w:rPr>
        <w:t>que ello suponga resolver un problema entre partes o asumir la única posible interpretación de</w:t>
      </w:r>
      <w:r w:rsidRPr="00393943">
        <w:rPr>
          <w:rFonts w:ascii="Verdana" w:eastAsiaTheme="minorEastAsia" w:hAnsi="Verdana" w:cs="Arial"/>
          <w:spacing w:val="1"/>
          <w:szCs w:val="24"/>
          <w:lang w:eastAsia="es-CO"/>
        </w:rPr>
        <w:t xml:space="preserve"> </w:t>
      </w:r>
      <w:r w:rsidRPr="00393943">
        <w:rPr>
          <w:rFonts w:ascii="Verdana" w:eastAsiaTheme="minorEastAsia" w:hAnsi="Verdana" w:cs="Arial"/>
          <w:szCs w:val="24"/>
          <w:lang w:eastAsia="es-CO"/>
        </w:rPr>
        <w:t xml:space="preserve">una disposición normativa. </w:t>
      </w:r>
      <w:r w:rsidRPr="00393943">
        <w:rPr>
          <w:rFonts w:ascii="Verdana" w:eastAsia="Calibri" w:hAnsi="Verdana" w:cs="Arial"/>
          <w:bCs/>
          <w:lang w:val="es-ES_tradnl"/>
        </w:rPr>
        <w:t xml:space="preserve">En tal sentido, cada </w:t>
      </w:r>
      <w:r w:rsidRPr="00393943">
        <w:rPr>
          <w:rFonts w:ascii="Verdana" w:hAnsi="Verdana" w:cs="Arial"/>
          <w:lang w:eastAsia="es-ES"/>
        </w:rPr>
        <w:t>entidad definirá la forma de adelantar su gestión contractual, sin que sea atribución de Colombia Compra Eficiente validar sus actuaciones.</w:t>
      </w:r>
    </w:p>
    <w:p w14:paraId="36EBF2E6" w14:textId="77777777" w:rsidR="002E2644" w:rsidRPr="00393943" w:rsidRDefault="002E2644" w:rsidP="002E2644">
      <w:pPr>
        <w:widowControl w:val="0"/>
        <w:autoSpaceDE w:val="0"/>
        <w:autoSpaceDN w:val="0"/>
        <w:spacing w:after="0" w:line="276" w:lineRule="auto"/>
        <w:jc w:val="both"/>
        <w:rPr>
          <w:rFonts w:ascii="Verdana" w:eastAsia="Arial" w:hAnsi="Verdana" w:cs="Arial"/>
          <w:lang w:val="es-ES"/>
        </w:rPr>
      </w:pPr>
    </w:p>
    <w:p w14:paraId="14D23986" w14:textId="77777777" w:rsidR="002E2644" w:rsidRPr="00393943" w:rsidRDefault="002E2644" w:rsidP="002E2644">
      <w:pPr>
        <w:numPr>
          <w:ilvl w:val="0"/>
          <w:numId w:val="16"/>
        </w:numPr>
        <w:tabs>
          <w:tab w:val="left" w:pos="142"/>
          <w:tab w:val="left" w:pos="284"/>
        </w:tabs>
        <w:spacing w:after="0" w:line="276" w:lineRule="auto"/>
        <w:jc w:val="both"/>
        <w:rPr>
          <w:rFonts w:ascii="Verdana" w:eastAsia="Century Gothic" w:hAnsi="Verdana" w:cs="Century Gothic"/>
          <w:b/>
          <w:bCs/>
        </w:rPr>
      </w:pPr>
      <w:r w:rsidRPr="00393943">
        <w:rPr>
          <w:rFonts w:ascii="Verdana" w:eastAsia="Century Gothic" w:hAnsi="Verdana" w:cs="Century Gothic"/>
          <w:b/>
          <w:bCs/>
        </w:rPr>
        <w:t>Referencias normativas y jurisprudenciales:</w:t>
      </w:r>
    </w:p>
    <w:p w14:paraId="5FF58698" w14:textId="77777777" w:rsidR="002E2644" w:rsidRPr="00393943" w:rsidRDefault="002E2644" w:rsidP="002E2644">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E2644" w:rsidRPr="00393943" w14:paraId="570F213F" w14:textId="77777777" w:rsidTr="003D09D7">
        <w:trPr>
          <w:trHeight w:val="410"/>
          <w:jc w:val="center"/>
        </w:trPr>
        <w:tc>
          <w:tcPr>
            <w:tcW w:w="8647" w:type="dxa"/>
          </w:tcPr>
          <w:p w14:paraId="693968E8" w14:textId="77777777" w:rsidR="002E2644" w:rsidRPr="00393943" w:rsidRDefault="002E2644" w:rsidP="002E2644">
            <w:pPr>
              <w:widowControl w:val="0"/>
              <w:numPr>
                <w:ilvl w:val="0"/>
                <w:numId w:val="17"/>
              </w:numPr>
              <w:autoSpaceDE w:val="0"/>
              <w:autoSpaceDN w:val="0"/>
              <w:spacing w:after="120" w:line="276" w:lineRule="auto"/>
              <w:ind w:left="317" w:hanging="357"/>
              <w:contextualSpacing/>
              <w:jc w:val="both"/>
              <w:rPr>
                <w:rFonts w:ascii="Verdana" w:hAnsi="Verdana" w:cs="Arial"/>
                <w:lang w:val="es-ES"/>
              </w:rPr>
            </w:pPr>
            <w:r w:rsidRPr="00393943">
              <w:rPr>
                <w:rFonts w:ascii="Verdana" w:hAnsi="Verdana" w:cs="Arial"/>
                <w:lang w:val="es-ES"/>
              </w:rPr>
              <w:t xml:space="preserve">Constitución Política de 1991, artículos 360 y 361. </w:t>
            </w:r>
          </w:p>
          <w:p w14:paraId="5A7A7781" w14:textId="77777777" w:rsidR="002E2644" w:rsidRPr="00393943" w:rsidRDefault="002E2644" w:rsidP="002E2644">
            <w:pPr>
              <w:widowControl w:val="0"/>
              <w:numPr>
                <w:ilvl w:val="0"/>
                <w:numId w:val="17"/>
              </w:numPr>
              <w:autoSpaceDE w:val="0"/>
              <w:autoSpaceDN w:val="0"/>
              <w:spacing w:after="120" w:line="276" w:lineRule="auto"/>
              <w:ind w:left="317" w:hanging="357"/>
              <w:contextualSpacing/>
              <w:jc w:val="both"/>
              <w:rPr>
                <w:rFonts w:ascii="Verdana" w:hAnsi="Verdana" w:cs="Arial"/>
                <w:lang w:val="es-ES"/>
              </w:rPr>
            </w:pPr>
            <w:r w:rsidRPr="00393943">
              <w:rPr>
                <w:rFonts w:ascii="Verdana" w:hAnsi="Verdana" w:cs="Arial"/>
                <w:lang w:val="es-ES"/>
              </w:rPr>
              <w:t>Ley 80 de 1993, artículos 40 y 41</w:t>
            </w:r>
          </w:p>
          <w:p w14:paraId="274766EF" w14:textId="77777777" w:rsidR="002E2644" w:rsidRPr="00393943" w:rsidRDefault="002E2644" w:rsidP="002E2644">
            <w:pPr>
              <w:widowControl w:val="0"/>
              <w:numPr>
                <w:ilvl w:val="0"/>
                <w:numId w:val="17"/>
              </w:numPr>
              <w:autoSpaceDE w:val="0"/>
              <w:autoSpaceDN w:val="0"/>
              <w:spacing w:line="276" w:lineRule="auto"/>
              <w:ind w:left="318" w:hanging="284"/>
              <w:contextualSpacing/>
              <w:jc w:val="both"/>
              <w:rPr>
                <w:rFonts w:ascii="Verdana" w:eastAsia="Aptos" w:hAnsi="Verdana" w:cs="Arial"/>
              </w:rPr>
            </w:pPr>
            <w:r w:rsidRPr="00393943">
              <w:rPr>
                <w:rFonts w:ascii="Verdana" w:hAnsi="Verdana" w:cs="Arial"/>
              </w:rPr>
              <w:t>Ley 2056 de 2020, artículos 28 a 37, 83, 87, 98, 99, 101, 108 y 109</w:t>
            </w:r>
          </w:p>
          <w:p w14:paraId="794494D8" w14:textId="77777777" w:rsidR="002E2644" w:rsidRPr="00393943" w:rsidRDefault="002E2644" w:rsidP="002E2644">
            <w:pPr>
              <w:widowControl w:val="0"/>
              <w:numPr>
                <w:ilvl w:val="0"/>
                <w:numId w:val="17"/>
              </w:numPr>
              <w:autoSpaceDE w:val="0"/>
              <w:autoSpaceDN w:val="0"/>
              <w:spacing w:line="276" w:lineRule="auto"/>
              <w:ind w:left="318" w:hanging="284"/>
              <w:contextualSpacing/>
              <w:jc w:val="both"/>
              <w:rPr>
                <w:rFonts w:ascii="Verdana" w:eastAsia="Aptos" w:hAnsi="Verdana" w:cs="Arial"/>
              </w:rPr>
            </w:pPr>
            <w:r w:rsidRPr="00393943">
              <w:rPr>
                <w:rFonts w:ascii="Verdana" w:eastAsia="Aptos" w:hAnsi="Verdana" w:cs="Arial"/>
              </w:rPr>
              <w:t>Consejo De Estado. Sección tercera. Sentencia del 7 de marzo de 2025. Radicación No.69.941. C.P: José Roberto Sáchica.</w:t>
            </w:r>
          </w:p>
        </w:tc>
      </w:tr>
    </w:tbl>
    <w:p w14:paraId="7A7B549C" w14:textId="77777777" w:rsidR="002E2644" w:rsidRPr="00393943" w:rsidRDefault="002E2644" w:rsidP="002E2644">
      <w:pPr>
        <w:widowControl w:val="0"/>
        <w:autoSpaceDE w:val="0"/>
        <w:autoSpaceDN w:val="0"/>
        <w:spacing w:after="0" w:line="276" w:lineRule="auto"/>
        <w:jc w:val="both"/>
        <w:rPr>
          <w:rFonts w:ascii="Verdana" w:hAnsi="Verdana" w:cs="Arial"/>
        </w:rPr>
      </w:pPr>
    </w:p>
    <w:p w14:paraId="6869E5FF" w14:textId="77777777" w:rsidR="002E2644" w:rsidRPr="00393943" w:rsidRDefault="002E2644" w:rsidP="002E2644">
      <w:pPr>
        <w:numPr>
          <w:ilvl w:val="0"/>
          <w:numId w:val="16"/>
        </w:numPr>
        <w:tabs>
          <w:tab w:val="left" w:pos="142"/>
          <w:tab w:val="left" w:pos="284"/>
        </w:tabs>
        <w:spacing w:after="0" w:line="276" w:lineRule="auto"/>
        <w:jc w:val="both"/>
        <w:rPr>
          <w:rFonts w:ascii="Verdana" w:eastAsia="Century Gothic" w:hAnsi="Verdana" w:cs="Century Gothic"/>
          <w:b/>
          <w:bCs/>
        </w:rPr>
      </w:pPr>
      <w:r w:rsidRPr="00393943">
        <w:rPr>
          <w:rFonts w:ascii="Verdana" w:eastAsia="Century Gothic" w:hAnsi="Verdana" w:cs="Century Gothic"/>
          <w:b/>
          <w:bCs/>
        </w:rPr>
        <w:t>Doctrina de la Agencia Nacional de Contratación Pública:</w:t>
      </w:r>
    </w:p>
    <w:p w14:paraId="41A95542" w14:textId="77777777" w:rsidR="002E2644" w:rsidRPr="00393943" w:rsidRDefault="002E2644" w:rsidP="002E2644">
      <w:pPr>
        <w:widowControl w:val="0"/>
        <w:autoSpaceDE w:val="0"/>
        <w:autoSpaceDN w:val="0"/>
        <w:spacing w:after="0" w:line="276" w:lineRule="auto"/>
        <w:jc w:val="both"/>
        <w:rPr>
          <w:rFonts w:ascii="Verdana" w:hAnsi="Verdana" w:cs="Arial"/>
        </w:rPr>
      </w:pPr>
    </w:p>
    <w:p w14:paraId="183894DA" w14:textId="77777777" w:rsidR="002E2644" w:rsidRPr="00393943" w:rsidRDefault="002E2644" w:rsidP="002E2644">
      <w:pPr>
        <w:widowControl w:val="0"/>
        <w:autoSpaceDE w:val="0"/>
        <w:autoSpaceDN w:val="0"/>
        <w:spacing w:after="120" w:line="276" w:lineRule="auto"/>
        <w:jc w:val="both"/>
        <w:rPr>
          <w:rFonts w:ascii="Verdana" w:hAnsi="Verdana" w:cs="Arial"/>
          <w:shd w:val="clear" w:color="auto" w:fill="FFFFFF"/>
        </w:rPr>
      </w:pPr>
      <w:r w:rsidRPr="00393943">
        <w:rPr>
          <w:rFonts w:ascii="Verdana" w:hAnsi="Verdana" w:cs="Arial"/>
          <w:shd w:val="clear" w:color="auto" w:fill="FFFFFF"/>
        </w:rPr>
        <w:t xml:space="preserve">Esta Subdirección se ha pronunciado sobre el régimen de contratación de las entidades ejecutoras cuando ejecutan recursos del SGR en los conceptos </w:t>
      </w:r>
      <w:r w:rsidRPr="00393943">
        <w:rPr>
          <w:rFonts w:ascii="Verdana" w:hAnsi="Verdana"/>
        </w:rPr>
        <w:t>C-370 del 2021,</w:t>
      </w:r>
      <w:r w:rsidRPr="00393943">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y C-417 del 2026</w:t>
      </w:r>
      <w:r w:rsidRPr="00393943">
        <w:rPr>
          <w:rFonts w:ascii="Verdana" w:hAnsi="Verdana" w:cs="Arial"/>
        </w:rPr>
        <w:t xml:space="preserve"> y C-764 del 29 de mayo de 2026.</w:t>
      </w:r>
      <w:r w:rsidRPr="00393943">
        <w:rPr>
          <w:rFonts w:ascii="Verdana" w:hAnsi="Verdana"/>
          <w:shd w:val="clear" w:color="auto" w:fill="FFFFFF"/>
        </w:rPr>
        <w:t xml:space="preserve"> </w:t>
      </w:r>
      <w:r w:rsidRPr="00393943">
        <w:rPr>
          <w:rFonts w:ascii="Verdana" w:hAnsi="Verdana" w:cs="Arial"/>
          <w:shd w:val="clear" w:color="auto" w:fill="FFFFFF"/>
        </w:rPr>
        <w:t>Es</w:t>
      </w:r>
      <w:r w:rsidRPr="00393943">
        <w:rPr>
          <w:rFonts w:ascii="Verdana" w:hAnsi="Verdana"/>
        </w:rPr>
        <w:t xml:space="preserve">tos conceptos se encuentran disponibles para consulta en el Sistema de relatoría de la Agencia, al cual se puede acceder a </w:t>
      </w:r>
      <w:r w:rsidRPr="00393943">
        <w:rPr>
          <w:rFonts w:ascii="Verdana" w:hAnsi="Verdana"/>
        </w:rPr>
        <w:lastRenderedPageBreak/>
        <w:t>través del siguiente enlace:</w:t>
      </w:r>
      <w:r w:rsidRPr="00393943">
        <w:rPr>
          <w:rFonts w:ascii="Verdana" w:hAnsi="Verdana" w:cs="Arial"/>
          <w:shd w:val="clear" w:color="auto" w:fill="FFFFFF"/>
        </w:rPr>
        <w:t xml:space="preserve"> </w:t>
      </w:r>
      <w:hyperlink r:id="rId12" w:history="1">
        <w:r w:rsidRPr="00393943">
          <w:rPr>
            <w:rFonts w:ascii="Verdana" w:hAnsi="Verdana" w:cs="Arial"/>
            <w:color w:val="0563C1" w:themeColor="hyperlink"/>
            <w:u w:val="single"/>
            <w:shd w:val="clear" w:color="auto" w:fill="FFFFFF"/>
          </w:rPr>
          <w:t>https://relatoria.colombiacompra.gov.co/busqueda/conceptos</w:t>
        </w:r>
      </w:hyperlink>
      <w:r w:rsidRPr="00393943">
        <w:rPr>
          <w:rFonts w:ascii="Verdana" w:hAnsi="Verdana" w:cs="Arial"/>
          <w:shd w:val="clear" w:color="auto" w:fill="FFFFFF"/>
        </w:rPr>
        <w:t>.</w:t>
      </w:r>
      <w:r w:rsidRPr="00393943">
        <w:rPr>
          <w:rFonts w:ascii="Verdana" w:hAnsi="Verdana" w:cs="Arial"/>
          <w:color w:val="FF0000"/>
          <w:shd w:val="clear" w:color="auto" w:fill="FFFFFF"/>
        </w:rPr>
        <w:t xml:space="preserve"> </w:t>
      </w:r>
      <w:r w:rsidRPr="00393943">
        <w:rPr>
          <w:rFonts w:ascii="Verdana" w:hAnsi="Verdana" w:cs="Arial"/>
          <w:color w:val="000000" w:themeColor="text1"/>
          <w:shd w:val="clear" w:color="auto" w:fill="FFFFFF"/>
        </w:rPr>
        <w:t> </w:t>
      </w:r>
    </w:p>
    <w:p w14:paraId="4DB33ACC" w14:textId="77777777" w:rsidR="002E2644" w:rsidRPr="00393943" w:rsidRDefault="002E2644" w:rsidP="002E2644">
      <w:pPr>
        <w:jc w:val="both"/>
        <w:rPr>
          <w:rFonts w:ascii="Verdana" w:hAnsi="Verdana"/>
        </w:rPr>
      </w:pPr>
      <w:r w:rsidRPr="00393943">
        <w:rPr>
          <w:rFonts w:ascii="Verdana" w:hAnsi="Verdana"/>
        </w:rPr>
        <w:t xml:space="preserve">La sostenibilidad no es una opción, es una obligación. Por ello, la Agencia Nacional de Contratación Pública –Colombia Compra Eficiente– te invita a realizar el </w:t>
      </w:r>
      <w:r w:rsidRPr="00393943">
        <w:rPr>
          <w:rFonts w:ascii="Verdana" w:hAnsi="Verdana"/>
          <w:b/>
          <w:bCs/>
        </w:rPr>
        <w:t>Curso de Contratación Pública Sostenible y Socialmente Responsable</w:t>
      </w:r>
      <w:r w:rsidRPr="00393943">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393943">
        <w:rPr>
          <w:rFonts w:ascii="Verdana" w:hAnsi="Verdana"/>
        </w:rPr>
        <w:br/>
      </w:r>
      <w:hyperlink r:id="rId13" w:tgtFrame="_new" w:history="1">
        <w:r w:rsidRPr="00393943">
          <w:rPr>
            <w:rFonts w:ascii="Verdana" w:hAnsi="Verdana"/>
            <w:color w:val="0000FF"/>
            <w:u w:val="single"/>
          </w:rPr>
          <w:t>https://formacionvirtual.colombiacompra.gov.co/mod/page/view.php?id=3718</w:t>
        </w:r>
      </w:hyperlink>
    </w:p>
    <w:p w14:paraId="6FE38883" w14:textId="77777777" w:rsidR="002E2644" w:rsidRPr="00393943" w:rsidRDefault="002E2644" w:rsidP="002E2644">
      <w:pPr>
        <w:jc w:val="both"/>
        <w:rPr>
          <w:rFonts w:ascii="Verdana" w:hAnsi="Verdana"/>
        </w:rPr>
      </w:pPr>
      <w:r w:rsidRPr="00393943">
        <w:rPr>
          <w:rFonts w:ascii="Verdana" w:hAnsi="Verdana"/>
        </w:rPr>
        <w:t xml:space="preserve">De otro lado, te contamos que esta Agencia ha da un paso decisivo en la estandarización y modernización del </w:t>
      </w:r>
      <w:r w:rsidRPr="00393943">
        <w:rPr>
          <w:rFonts w:ascii="Verdana" w:hAnsi="Verdana"/>
          <w:b/>
          <w:bCs/>
        </w:rPr>
        <w:t>sector  social</w:t>
      </w:r>
      <w:r w:rsidRPr="00393943">
        <w:rPr>
          <w:rFonts w:ascii="Verdana" w:hAnsi="Verdana"/>
        </w:rPr>
        <w:t xml:space="preserve"> con la expedición de las </w:t>
      </w:r>
      <w:r w:rsidRPr="00393943">
        <w:rPr>
          <w:rFonts w:ascii="Verdana" w:hAnsi="Verdana"/>
          <w:b/>
          <w:bCs/>
        </w:rPr>
        <w:t>Resoluciones 539, 540, 541, 952 y 953 de 2025</w:t>
      </w:r>
      <w:r w:rsidRPr="00393943">
        <w:rPr>
          <w:rFonts w:ascii="Verdana" w:hAnsi="Verdana"/>
        </w:rPr>
        <w:t xml:space="preserve">, </w:t>
      </w:r>
      <w:r w:rsidRPr="00393943">
        <w:rPr>
          <w:rFonts w:ascii="Verdana" w:hAnsi="Verdana"/>
          <w:b/>
          <w:bCs/>
        </w:rPr>
        <w:t>mediante las cuales adoptó Documentos Tipo</w:t>
      </w:r>
      <w:r w:rsidRPr="00393943">
        <w:rPr>
          <w:rFonts w:ascii="Verdana" w:hAnsi="Verdana"/>
        </w:rPr>
        <w:t xml:space="preserve"> para las modalidades de selección de</w:t>
      </w:r>
      <w:r w:rsidRPr="00393943">
        <w:rPr>
          <w:rFonts w:ascii="Verdana" w:hAnsi="Verdana"/>
          <w:b/>
          <w:bCs/>
        </w:rPr>
        <w:t xml:space="preserve"> licitación pública (versión 2), selección abreviada de menor cuantía, mínima cuantía, consultoría e interventoría</w:t>
      </w:r>
      <w:r w:rsidRPr="00393943">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393943">
          <w:rPr>
            <w:rFonts w:ascii="Verdana" w:hAnsi="Verdana"/>
            <w:color w:val="0000FF"/>
            <w:u w:val="single"/>
          </w:rPr>
          <w:t>https://www.colombiacompra.gov.co/normativa-y-relatoria/documentos-tipo</w:t>
        </w:r>
      </w:hyperlink>
    </w:p>
    <w:p w14:paraId="06F8F2B8" w14:textId="77777777" w:rsidR="002E2644" w:rsidRPr="00393943" w:rsidRDefault="002E2644" w:rsidP="002E2644">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r w:rsidRPr="00393943">
        <w:rPr>
          <w:rFonts w:ascii="Verdana" w:hAnsi="Verdana"/>
        </w:rPr>
        <w:t xml:space="preserve">Si quieres conocer más sobre la aplicación de Documentos Tipo puedes consultar la última versión de la </w:t>
      </w:r>
      <w:r w:rsidRPr="00393943">
        <w:rPr>
          <w:rFonts w:ascii="Verdana" w:hAnsi="Verdana"/>
          <w:b/>
          <w:bCs/>
        </w:rPr>
        <w:t>Guía para la comprensión e implementación de los Documentos Tipo de obra pública de infraestructura de transporte</w:t>
      </w:r>
      <w:r w:rsidRPr="00393943">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393943">
        <w:rPr>
          <w:rFonts w:ascii="Verdana" w:hAnsi="Verdana"/>
        </w:rPr>
        <w:br/>
      </w:r>
      <w:hyperlink r:id="rId15" w:tgtFrame="_new" w:history="1">
        <w:r w:rsidRPr="00393943">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17842A54" w14:textId="77777777" w:rsidR="002E2644" w:rsidRPr="00393943" w:rsidRDefault="002E2644" w:rsidP="002E2644">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p>
    <w:p w14:paraId="445895CF" w14:textId="77777777" w:rsidR="002E2644" w:rsidRPr="00393943" w:rsidRDefault="002E2644" w:rsidP="002E2644">
      <w:pPr>
        <w:widowControl w:val="0"/>
        <w:autoSpaceDE w:val="0"/>
        <w:autoSpaceDN w:val="0"/>
        <w:spacing w:after="0" w:line="276" w:lineRule="auto"/>
        <w:jc w:val="both"/>
        <w:rPr>
          <w:rFonts w:ascii="Verdana" w:hAnsi="Verdana" w:cs="Arial"/>
        </w:rPr>
      </w:pPr>
      <w:r w:rsidRPr="00393943">
        <w:rPr>
          <w:rFonts w:ascii="Verdana" w:hAnsi="Verdana" w:cs="Arial"/>
        </w:rPr>
        <w:t xml:space="preserve">Este concepto tiene el alcance previsto en el artículo 28 del Código de Procedimiento Administrativo y de lo Contencioso Administrativo y las </w:t>
      </w:r>
      <w:r w:rsidRPr="00393943">
        <w:rPr>
          <w:rFonts w:ascii="Verdana" w:hAnsi="Verdana" w:cs="Arial"/>
        </w:rPr>
        <w:lastRenderedPageBreak/>
        <w:t>expresiones aquí utilizadas con mayúscula inicial deben ser entendidas con el significado que les otorga el artículo 2.2.1.1.1.3.1. del Decreto 1082 de 2015.</w:t>
      </w:r>
    </w:p>
    <w:p w14:paraId="1577F002" w14:textId="77777777" w:rsidR="002E2644" w:rsidRPr="00393943" w:rsidRDefault="002E2644" w:rsidP="002E2644">
      <w:pPr>
        <w:widowControl w:val="0"/>
        <w:autoSpaceDE w:val="0"/>
        <w:autoSpaceDN w:val="0"/>
        <w:spacing w:after="0" w:line="276" w:lineRule="auto"/>
        <w:jc w:val="both"/>
        <w:rPr>
          <w:rFonts w:ascii="Verdana" w:hAnsi="Verdana" w:cs="Arial"/>
        </w:rPr>
      </w:pPr>
    </w:p>
    <w:p w14:paraId="353F2CFB" w14:textId="77777777" w:rsidR="002E2644" w:rsidRPr="00393943" w:rsidRDefault="002E2644" w:rsidP="002E2644">
      <w:pPr>
        <w:spacing w:after="0" w:line="276" w:lineRule="auto"/>
        <w:rPr>
          <w:rFonts w:ascii="Verdana" w:hAnsi="Verdana" w:cs="Arial"/>
          <w:lang w:eastAsia="es-CO"/>
        </w:rPr>
      </w:pPr>
      <w:r w:rsidRPr="00393943">
        <w:rPr>
          <w:rFonts w:ascii="Verdana" w:eastAsia="Times New Roman" w:hAnsi="Verdana" w:cs="Arial"/>
          <w:lang w:eastAsia="es-CO"/>
        </w:rPr>
        <w:t>Atentamente,</w:t>
      </w:r>
      <w:r w:rsidRPr="00393943">
        <w:rPr>
          <w:rFonts w:ascii="Verdana" w:hAnsi="Verdana" w:cs="Arial"/>
          <w:lang w:eastAsia="es-CO"/>
        </w:rPr>
        <w:t xml:space="preserve"> </w:t>
      </w:r>
    </w:p>
    <w:p w14:paraId="53AD721F" w14:textId="1CE6439C" w:rsidR="002E2644" w:rsidRPr="00393943" w:rsidRDefault="00711FBD" w:rsidP="002E2644">
      <w:pPr>
        <w:spacing w:line="276" w:lineRule="auto"/>
        <w:jc w:val="center"/>
        <w:rPr>
          <w:rFonts w:ascii="Verdana" w:hAnsi="Verdana" w:cs="Arial"/>
          <w:color w:val="000000"/>
          <w:lang w:eastAsia="es-CO"/>
        </w:rPr>
      </w:pPr>
      <w:r w:rsidRPr="002C3AD6">
        <w:rPr>
          <w:rFonts w:ascii="Century Gothic" w:hAnsi="Century Gothic"/>
          <w:noProof/>
        </w:rPr>
        <w:drawing>
          <wp:inline distT="0" distB="0" distL="0" distR="0" wp14:anchorId="48BC879F" wp14:editId="03ABB156">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E2644" w:rsidRPr="00393943" w14:paraId="5E6C882B" w14:textId="77777777" w:rsidTr="003D09D7">
        <w:trPr>
          <w:trHeight w:val="315"/>
        </w:trPr>
        <w:tc>
          <w:tcPr>
            <w:tcW w:w="893" w:type="dxa"/>
            <w:vAlign w:val="center"/>
            <w:hideMark/>
          </w:tcPr>
          <w:bookmarkEnd w:id="0"/>
          <w:p w14:paraId="40000067" w14:textId="77777777" w:rsidR="002E2644" w:rsidRPr="00393943" w:rsidRDefault="002E2644" w:rsidP="003D09D7">
            <w:pPr>
              <w:contextualSpacing/>
              <w:rPr>
                <w:rFonts w:ascii="Verdana" w:hAnsi="Verdana" w:cs="Arial"/>
                <w:sz w:val="16"/>
                <w:szCs w:val="16"/>
                <w:lang w:val="es-ES" w:eastAsia="es-ES"/>
              </w:rPr>
            </w:pPr>
            <w:r w:rsidRPr="0039394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B1C53E5" w14:textId="77777777" w:rsidR="002E2644" w:rsidRPr="00393943" w:rsidRDefault="002E2644" w:rsidP="003D09D7">
            <w:pPr>
              <w:contextualSpacing/>
              <w:rPr>
                <w:rFonts w:ascii="Verdana" w:hAnsi="Verdana"/>
                <w:sz w:val="16"/>
                <w:szCs w:val="16"/>
              </w:rPr>
            </w:pPr>
            <w:r>
              <w:rPr>
                <w:rFonts w:ascii="Verdana" w:hAnsi="Verdana"/>
                <w:sz w:val="16"/>
                <w:szCs w:val="16"/>
              </w:rPr>
              <w:t>Richard Andrés Montenegro Siefken</w:t>
            </w:r>
          </w:p>
          <w:p w14:paraId="68CB6848" w14:textId="77777777" w:rsidR="002E2644" w:rsidRPr="00393943" w:rsidRDefault="002E2644" w:rsidP="003D09D7">
            <w:pPr>
              <w:contextualSpacing/>
              <w:rPr>
                <w:rFonts w:ascii="Verdana" w:eastAsia="Arial" w:hAnsi="Verdana" w:cs="Arial"/>
                <w:sz w:val="16"/>
                <w:szCs w:val="16"/>
              </w:rPr>
            </w:pPr>
            <w:r w:rsidRPr="00393943">
              <w:rPr>
                <w:rFonts w:ascii="Verdana" w:hAnsi="Verdana"/>
                <w:sz w:val="16"/>
                <w:szCs w:val="16"/>
              </w:rPr>
              <w:t>Contratista de la Subdirección de Gestión Contractual</w:t>
            </w:r>
          </w:p>
        </w:tc>
      </w:tr>
      <w:tr w:rsidR="002E2644" w:rsidRPr="00393943" w14:paraId="79E8659F" w14:textId="77777777" w:rsidTr="003D09D7">
        <w:trPr>
          <w:trHeight w:val="330"/>
        </w:trPr>
        <w:tc>
          <w:tcPr>
            <w:tcW w:w="893" w:type="dxa"/>
            <w:vAlign w:val="center"/>
            <w:hideMark/>
          </w:tcPr>
          <w:p w14:paraId="04B0B6B0" w14:textId="77777777" w:rsidR="002E2644" w:rsidRPr="00393943" w:rsidRDefault="002E2644" w:rsidP="003D09D7">
            <w:pPr>
              <w:contextualSpacing/>
              <w:rPr>
                <w:rFonts w:ascii="Verdana" w:hAnsi="Verdana" w:cs="Arial"/>
                <w:sz w:val="16"/>
                <w:szCs w:val="16"/>
                <w:lang w:val="es-ES" w:eastAsia="es-ES"/>
              </w:rPr>
            </w:pPr>
            <w:r w:rsidRPr="0039394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A5D21FB" w14:textId="77777777" w:rsidR="002E2644" w:rsidRPr="00393943" w:rsidRDefault="002E2644" w:rsidP="003D09D7">
            <w:pPr>
              <w:spacing w:before="100" w:beforeAutospacing="1" w:afterAutospacing="1"/>
              <w:contextualSpacing/>
              <w:textAlignment w:val="baseline"/>
              <w:rPr>
                <w:rFonts w:ascii="Verdana" w:eastAsia="Times New Roman" w:hAnsi="Verdana" w:cs="Arial"/>
                <w:sz w:val="16"/>
                <w:szCs w:val="16"/>
                <w:lang w:val="es-ES" w:eastAsia="es-ES_tradnl"/>
              </w:rPr>
            </w:pPr>
            <w:r>
              <w:rPr>
                <w:rFonts w:ascii="Verdana" w:eastAsia="Times New Roman" w:hAnsi="Verdana" w:cs="Arial"/>
                <w:sz w:val="16"/>
                <w:szCs w:val="16"/>
                <w:lang w:val="es-ES" w:eastAsia="es-ES_tradnl"/>
              </w:rPr>
              <w:t>Juan David Cardenas Cabeza</w:t>
            </w:r>
          </w:p>
          <w:p w14:paraId="31ED5BD2" w14:textId="77777777" w:rsidR="002E2644" w:rsidRPr="00393943" w:rsidRDefault="002E2644" w:rsidP="003D09D7">
            <w:pPr>
              <w:contextualSpacing/>
              <w:textAlignment w:val="baseline"/>
              <w:rPr>
                <w:rFonts w:ascii="Verdana" w:eastAsia="Times New Roman" w:hAnsi="Verdana" w:cs="Segoe UI"/>
                <w:sz w:val="16"/>
                <w:szCs w:val="16"/>
                <w:lang w:eastAsia="es-ES_tradnl"/>
              </w:rPr>
            </w:pPr>
            <w:r>
              <w:rPr>
                <w:rFonts w:ascii="Verdana" w:eastAsia="Times New Roman" w:hAnsi="Verdana" w:cs="Arial"/>
                <w:sz w:val="16"/>
                <w:szCs w:val="16"/>
                <w:lang w:val="es-ES" w:eastAsia="es-ES_tradnl"/>
              </w:rPr>
              <w:t xml:space="preserve">Contratista </w:t>
            </w:r>
            <w:r w:rsidRPr="00393943">
              <w:rPr>
                <w:rFonts w:ascii="Verdana" w:eastAsia="Times New Roman" w:hAnsi="Verdana" w:cs="Arial"/>
                <w:sz w:val="16"/>
                <w:szCs w:val="16"/>
                <w:lang w:val="es-ES" w:eastAsia="es-ES_tradnl"/>
              </w:rPr>
              <w:t>de la Subdirección de Gestión Contractual</w:t>
            </w:r>
            <w:r w:rsidRPr="00393943">
              <w:rPr>
                <w:rFonts w:ascii="Verdana" w:eastAsia="Times New Roman" w:hAnsi="Verdana" w:cs="Arial"/>
                <w:sz w:val="16"/>
                <w:szCs w:val="16"/>
                <w:lang w:eastAsia="es-ES_tradnl"/>
              </w:rPr>
              <w:t> </w:t>
            </w:r>
          </w:p>
        </w:tc>
      </w:tr>
      <w:tr w:rsidR="002E2644" w:rsidRPr="00393943" w14:paraId="5CFF2F8F" w14:textId="77777777" w:rsidTr="003D09D7">
        <w:trPr>
          <w:trHeight w:val="300"/>
        </w:trPr>
        <w:tc>
          <w:tcPr>
            <w:tcW w:w="893" w:type="dxa"/>
            <w:vAlign w:val="center"/>
          </w:tcPr>
          <w:p w14:paraId="638F78E6" w14:textId="77777777" w:rsidR="002E2644" w:rsidRPr="00393943" w:rsidRDefault="002E2644" w:rsidP="003D09D7">
            <w:pPr>
              <w:contextualSpacing/>
              <w:rPr>
                <w:rFonts w:ascii="Verdana" w:hAnsi="Verdana" w:cs="Arial"/>
                <w:sz w:val="16"/>
                <w:szCs w:val="16"/>
                <w:lang w:val="es-ES" w:eastAsia="es-ES"/>
              </w:rPr>
            </w:pPr>
            <w:r w:rsidRPr="0039394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21DFE60" w14:textId="77777777" w:rsidR="002E2644" w:rsidRPr="00393943" w:rsidRDefault="002E2644" w:rsidP="003D09D7">
            <w:pPr>
              <w:contextualSpacing/>
              <w:rPr>
                <w:rFonts w:ascii="Verdana" w:eastAsia="Calibri" w:hAnsi="Verdana" w:cs="Arial"/>
                <w:sz w:val="16"/>
                <w:szCs w:val="16"/>
                <w:lang w:val="pt-BR" w:eastAsia="es-ES"/>
              </w:rPr>
            </w:pPr>
            <w:r w:rsidRPr="00393943">
              <w:rPr>
                <w:rFonts w:ascii="Verdana" w:eastAsia="Calibri" w:hAnsi="Verdana" w:cs="Arial"/>
                <w:sz w:val="16"/>
                <w:szCs w:val="16"/>
                <w:lang w:val="pt-BR" w:eastAsia="es-ES"/>
              </w:rPr>
              <w:t xml:space="preserve">Carolina Quintero </w:t>
            </w:r>
            <w:proofErr w:type="spellStart"/>
            <w:r w:rsidRPr="00393943">
              <w:rPr>
                <w:rFonts w:ascii="Verdana" w:eastAsia="Calibri" w:hAnsi="Verdana" w:cs="Arial"/>
                <w:sz w:val="16"/>
                <w:szCs w:val="16"/>
                <w:lang w:val="pt-BR" w:eastAsia="es-ES"/>
              </w:rPr>
              <w:t>Gacharná</w:t>
            </w:r>
            <w:proofErr w:type="spellEnd"/>
          </w:p>
          <w:p w14:paraId="23B47527" w14:textId="77777777" w:rsidR="002E2644" w:rsidRPr="00393943" w:rsidRDefault="002E2644" w:rsidP="003D09D7">
            <w:pPr>
              <w:contextualSpacing/>
              <w:rPr>
                <w:rFonts w:ascii="Verdana" w:eastAsia="Calibri" w:hAnsi="Verdana" w:cs="Arial"/>
                <w:sz w:val="16"/>
                <w:szCs w:val="16"/>
                <w:lang w:val="pt-BR" w:eastAsia="es-ES"/>
              </w:rPr>
            </w:pPr>
            <w:r w:rsidRPr="00393943">
              <w:rPr>
                <w:rFonts w:ascii="Verdana" w:eastAsia="Calibri" w:hAnsi="Verdana" w:cs="Arial"/>
                <w:sz w:val="16"/>
                <w:szCs w:val="16"/>
                <w:lang w:eastAsia="es-ES"/>
              </w:rPr>
              <w:t>Subdirectora</w:t>
            </w:r>
            <w:r w:rsidRPr="00393943">
              <w:rPr>
                <w:rFonts w:ascii="Verdana" w:eastAsia="Calibri" w:hAnsi="Verdana" w:cs="Arial"/>
                <w:sz w:val="16"/>
                <w:szCs w:val="16"/>
                <w:lang w:val="pt-BR" w:eastAsia="es-ES"/>
              </w:rPr>
              <w:t xml:space="preserve"> de Gestión </w:t>
            </w:r>
            <w:proofErr w:type="spellStart"/>
            <w:r w:rsidRPr="00393943">
              <w:rPr>
                <w:rFonts w:ascii="Verdana" w:eastAsia="Calibri" w:hAnsi="Verdana" w:cs="Arial"/>
                <w:sz w:val="16"/>
                <w:szCs w:val="16"/>
                <w:lang w:val="pt-BR" w:eastAsia="es-ES"/>
              </w:rPr>
              <w:t>Contractual</w:t>
            </w:r>
            <w:proofErr w:type="spellEnd"/>
            <w:r w:rsidRPr="00393943">
              <w:rPr>
                <w:rFonts w:ascii="Verdana" w:eastAsia="Calibri" w:hAnsi="Verdana" w:cs="Arial"/>
                <w:sz w:val="16"/>
                <w:szCs w:val="16"/>
                <w:lang w:val="pt-BR" w:eastAsia="es-ES"/>
              </w:rPr>
              <w:t xml:space="preserve"> ANCP – CCE</w:t>
            </w:r>
          </w:p>
        </w:tc>
      </w:tr>
    </w:tbl>
    <w:p w14:paraId="44D06B59" w14:textId="77777777" w:rsidR="002E2644" w:rsidRPr="00393943" w:rsidRDefault="002E2644" w:rsidP="002E2644">
      <w:pPr>
        <w:spacing w:after="0" w:line="240" w:lineRule="auto"/>
        <w:jc w:val="both"/>
        <w:textAlignment w:val="baseline"/>
        <w:rPr>
          <w:rFonts w:ascii="Verdana" w:eastAsia="Verdana" w:hAnsi="Verdana" w:cs="Verdana"/>
          <w:lang w:eastAsia="es-CO"/>
        </w:rPr>
      </w:pPr>
    </w:p>
    <w:p w14:paraId="0AB30C7A" w14:textId="77777777" w:rsidR="002E2644" w:rsidRPr="00393943" w:rsidRDefault="002E2644" w:rsidP="002E2644">
      <w:pPr>
        <w:spacing w:after="0" w:line="240" w:lineRule="auto"/>
        <w:jc w:val="both"/>
        <w:textAlignment w:val="baseline"/>
        <w:rPr>
          <w:rFonts w:ascii="Verdana" w:eastAsia="Verdana" w:hAnsi="Verdana" w:cs="Verdana"/>
          <w:lang w:eastAsia="es-CO"/>
        </w:rPr>
      </w:pPr>
    </w:p>
    <w:p w14:paraId="11F26151" w14:textId="77777777" w:rsidR="002E2644" w:rsidRPr="00393943" w:rsidRDefault="002E2644" w:rsidP="002E2644">
      <w:pPr>
        <w:spacing w:after="0" w:line="240" w:lineRule="auto"/>
        <w:textAlignment w:val="baseline"/>
        <w:rPr>
          <w:rFonts w:ascii="Verdana" w:eastAsia="Verdana" w:hAnsi="Verdana" w:cs="Verdana"/>
          <w:lang w:eastAsia="es-CO"/>
        </w:rPr>
      </w:pPr>
      <w:r w:rsidRPr="00393943">
        <w:rPr>
          <w:rFonts w:ascii="Verdana" w:eastAsia="Verdana" w:hAnsi="Verdana" w:cs="Verdana"/>
          <w:lang w:eastAsia="es-CO"/>
        </w:rPr>
        <w:t> </w:t>
      </w:r>
      <w:bookmarkEnd w:id="1"/>
    </w:p>
    <w:p w14:paraId="1A8C0E5C" w14:textId="77777777" w:rsidR="002E2644" w:rsidRPr="00393943" w:rsidRDefault="002E2644" w:rsidP="002E2644"/>
    <w:p w14:paraId="0A0FA02A" w14:textId="77777777" w:rsidR="002E2644" w:rsidRPr="00393943" w:rsidRDefault="002E2644" w:rsidP="002E2644"/>
    <w:p w14:paraId="14801C57" w14:textId="77777777" w:rsidR="002E2644" w:rsidRPr="00393943" w:rsidRDefault="002E2644" w:rsidP="002E2644"/>
    <w:p w14:paraId="11CBE81C" w14:textId="77777777" w:rsidR="002E2644" w:rsidRPr="00393943" w:rsidRDefault="002E2644" w:rsidP="002E2644"/>
    <w:p w14:paraId="56943DFB" w14:textId="77777777" w:rsidR="002E2644" w:rsidRPr="00393943" w:rsidRDefault="002E2644" w:rsidP="002E2644"/>
    <w:p w14:paraId="0F293BF4" w14:textId="7D3ECE46" w:rsidR="00127233" w:rsidRPr="008312B4" w:rsidRDefault="00127233" w:rsidP="008312B4"/>
    <w:sectPr w:rsidR="00127233" w:rsidRPr="008312B4"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82452" w14:textId="77777777" w:rsidR="00067A09" w:rsidRDefault="00067A09" w:rsidP="004A1847">
      <w:pPr>
        <w:spacing w:after="0" w:line="240" w:lineRule="auto"/>
      </w:pPr>
      <w:r>
        <w:separator/>
      </w:r>
    </w:p>
  </w:endnote>
  <w:endnote w:type="continuationSeparator" w:id="0">
    <w:p w14:paraId="60A9A193" w14:textId="77777777" w:rsidR="00067A09" w:rsidRDefault="00067A0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8312B4"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PT" w:eastAsia="es-CO"/>
      </w:rPr>
    </w:pPr>
    <w:r w:rsidRPr="008312B4">
      <w:rPr>
        <w:rFonts w:ascii="Verdana" w:eastAsia="Verdana" w:hAnsi="Verdana" w:cs="Verdana"/>
        <w:b/>
        <w:bCs/>
        <w:color w:val="000000" w:themeColor="text1"/>
        <w:sz w:val="18"/>
        <w:szCs w:val="18"/>
        <w:lang w:val="pt-PT" w:eastAsia="es-CO"/>
      </w:rPr>
      <w:t xml:space="preserve">Código: </w:t>
    </w:r>
    <w:r w:rsidRPr="008312B4">
      <w:rPr>
        <w:rFonts w:ascii="Verdana" w:eastAsia="Verdana" w:hAnsi="Verdana" w:cs="Verdana"/>
        <w:color w:val="000000" w:themeColor="text1"/>
        <w:sz w:val="18"/>
        <w:szCs w:val="18"/>
        <w:lang w:val="pt-PT" w:eastAsia="es-CO"/>
      </w:rPr>
      <w:t xml:space="preserve">CCE-REC-FM-17 </w:t>
    </w:r>
    <w:r w:rsidRPr="008312B4">
      <w:rPr>
        <w:rFonts w:ascii="Verdana" w:eastAsia="Verdana" w:hAnsi="Verdana" w:cs="Verdana"/>
        <w:b/>
        <w:bCs/>
        <w:color w:val="000000" w:themeColor="text1"/>
        <w:sz w:val="18"/>
        <w:szCs w:val="18"/>
        <w:lang w:val="pt-PT" w:eastAsia="es-CO"/>
      </w:rPr>
      <w:t xml:space="preserve">V: </w:t>
    </w:r>
    <w:r w:rsidRPr="008312B4">
      <w:rPr>
        <w:rFonts w:ascii="Verdana" w:eastAsia="Verdana" w:hAnsi="Verdana" w:cs="Verdana"/>
        <w:sz w:val="18"/>
        <w:szCs w:val="18"/>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EA346" w14:textId="77777777" w:rsidR="00067A09" w:rsidRDefault="00067A09" w:rsidP="004A1847">
      <w:pPr>
        <w:spacing w:after="0" w:line="240" w:lineRule="auto"/>
      </w:pPr>
      <w:r>
        <w:separator/>
      </w:r>
    </w:p>
  </w:footnote>
  <w:footnote w:type="continuationSeparator" w:id="0">
    <w:p w14:paraId="5F578C1E" w14:textId="77777777" w:rsidR="00067A09" w:rsidRDefault="00067A09" w:rsidP="004A1847">
      <w:pPr>
        <w:spacing w:after="0" w:line="240" w:lineRule="auto"/>
      </w:pPr>
      <w:r>
        <w:continuationSeparator/>
      </w:r>
    </w:p>
  </w:footnote>
  <w:footnote w:id="1">
    <w:p w14:paraId="018A1C0D" w14:textId="77777777" w:rsidR="002E2644" w:rsidRPr="00591347" w:rsidRDefault="002E2644" w:rsidP="002E2644">
      <w:pPr>
        <w:spacing w:after="0"/>
        <w:ind w:firstLine="708"/>
        <w:jc w:val="both"/>
        <w:rPr>
          <w:rFonts w:ascii="Verdana" w:hAnsi="Verdana" w:cs="Arial"/>
          <w:sz w:val="16"/>
          <w:szCs w:val="16"/>
        </w:rPr>
      </w:pPr>
      <w:r w:rsidRPr="00591347">
        <w:rPr>
          <w:rStyle w:val="Refdenotaalpie"/>
          <w:rFonts w:ascii="Verdana" w:hAnsi="Verdana" w:cs="Arial"/>
          <w:sz w:val="16"/>
          <w:szCs w:val="16"/>
        </w:rPr>
        <w:footnoteRef/>
      </w:r>
      <w:r w:rsidRPr="00591347">
        <w:rPr>
          <w:rFonts w:ascii="Verdana" w:hAnsi="Verdana" w:cs="Arial"/>
          <w:sz w:val="16"/>
          <w:szCs w:val="16"/>
        </w:rPr>
        <w:t xml:space="preserve"> “</w:t>
      </w:r>
      <w:r w:rsidRPr="00591347">
        <w:rPr>
          <w:rFonts w:ascii="Verdana" w:hAnsi="Verdana" w:cs="Arial"/>
          <w:bCs/>
          <w:sz w:val="16"/>
          <w:szCs w:val="16"/>
        </w:rPr>
        <w:t>Artículo 37. ejecución de proyectos de inversión.</w:t>
      </w:r>
      <w:r w:rsidRPr="00591347">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591347">
          <w:rPr>
            <w:rFonts w:ascii="Verdana" w:hAnsi="Verdana" w:cs="Arial"/>
            <w:sz w:val="16"/>
            <w:szCs w:val="16"/>
          </w:rPr>
          <w:t>35</w:t>
        </w:r>
      </w:hyperlink>
      <w:r w:rsidRPr="00591347">
        <w:rPr>
          <w:rFonts w:ascii="Verdana" w:hAnsi="Verdana" w:cs="Arial"/>
          <w:sz w:val="16"/>
          <w:szCs w:val="16"/>
        </w:rPr>
        <w:t> y </w:t>
      </w:r>
      <w:hyperlink r:id="rId2" w:anchor="36" w:history="1">
        <w:r w:rsidRPr="00591347">
          <w:rPr>
            <w:rFonts w:ascii="Verdana" w:hAnsi="Verdana" w:cs="Arial"/>
            <w:sz w:val="16"/>
            <w:szCs w:val="16"/>
          </w:rPr>
          <w:t>36</w:t>
        </w:r>
      </w:hyperlink>
      <w:r w:rsidRPr="00591347">
        <w:rPr>
          <w:rFonts w:ascii="Verdana" w:hAnsi="Verdana" w:cs="Arial"/>
          <w:sz w:val="16"/>
          <w:szCs w:val="16"/>
        </w:rPr>
        <w:t> de la presente ley. así mismo, la entidad ejecutora estará a cargo de la contratación de la interventoría, de conformidad con lo previsto en la presente ley.</w:t>
      </w:r>
    </w:p>
    <w:p w14:paraId="2A62C3AA" w14:textId="77777777" w:rsidR="002E2644" w:rsidRPr="00591347" w:rsidRDefault="002E2644" w:rsidP="002E2644">
      <w:pPr>
        <w:spacing w:after="0"/>
        <w:ind w:firstLine="708"/>
        <w:jc w:val="both"/>
        <w:rPr>
          <w:rFonts w:ascii="Verdana" w:hAnsi="Verdana" w:cs="Arial"/>
          <w:sz w:val="16"/>
          <w:szCs w:val="16"/>
        </w:rPr>
      </w:pPr>
      <w:r w:rsidRPr="00591347">
        <w:rPr>
          <w:rFonts w:ascii="Verdana" w:hAnsi="Verdana" w:cs="Arial"/>
          <w:sz w:val="16"/>
          <w:szCs w:val="16"/>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29F9194B" w14:textId="77777777" w:rsidR="002E2644" w:rsidRPr="00591347" w:rsidRDefault="002E2644" w:rsidP="002E2644">
      <w:pPr>
        <w:spacing w:after="0"/>
        <w:ind w:firstLine="708"/>
        <w:jc w:val="both"/>
        <w:rPr>
          <w:rFonts w:ascii="Verdana" w:hAnsi="Verdana" w:cs="Arial"/>
          <w:sz w:val="16"/>
          <w:szCs w:val="16"/>
        </w:rPr>
      </w:pPr>
      <w:r w:rsidRPr="00591347">
        <w:rPr>
          <w:rFonts w:ascii="Verdana" w:hAnsi="Verdana" w:cs="Arial"/>
          <w:bCs/>
          <w:sz w:val="16"/>
          <w:szCs w:val="16"/>
        </w:rPr>
        <w:t>Parágrafo 1o.</w:t>
      </w:r>
      <w:r w:rsidRPr="00591347">
        <w:rPr>
          <w:rFonts w:ascii="Verdana" w:hAnsi="Verdana" w:cs="Arial"/>
          <w:sz w:val="16"/>
          <w:szCs w:val="16"/>
        </w:rPr>
        <w:t xml:space="preserv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544C0AA1" w14:textId="77777777" w:rsidR="002E2644" w:rsidRPr="00591347" w:rsidRDefault="002E2644" w:rsidP="002E2644">
      <w:pPr>
        <w:spacing w:after="0"/>
        <w:ind w:firstLine="708"/>
        <w:jc w:val="both"/>
        <w:rPr>
          <w:rFonts w:ascii="Verdana" w:hAnsi="Verdana" w:cs="Arial"/>
          <w:sz w:val="16"/>
          <w:szCs w:val="16"/>
        </w:rPr>
      </w:pPr>
      <w:r w:rsidRPr="00591347">
        <w:rPr>
          <w:rFonts w:ascii="Verdana" w:hAnsi="Verdana" w:cs="Arial"/>
          <w:bCs/>
          <w:sz w:val="16"/>
          <w:szCs w:val="16"/>
        </w:rPr>
        <w:t>Parágrafo 2o.</w:t>
      </w:r>
      <w:r w:rsidRPr="00591347">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0440A369" w14:textId="77777777" w:rsidR="002E2644" w:rsidRPr="00591347" w:rsidRDefault="002E2644" w:rsidP="002E2644">
      <w:pPr>
        <w:spacing w:after="0"/>
        <w:ind w:firstLine="708"/>
        <w:jc w:val="both"/>
        <w:rPr>
          <w:rFonts w:ascii="Verdana" w:hAnsi="Verdana" w:cs="Arial"/>
          <w:sz w:val="16"/>
          <w:szCs w:val="16"/>
        </w:rPr>
      </w:pPr>
      <w:r w:rsidRPr="00591347">
        <w:rPr>
          <w:rFonts w:ascii="Verdana" w:hAnsi="Verdana" w:cs="Arial"/>
          <w:bCs/>
          <w:sz w:val="16"/>
          <w:szCs w:val="16"/>
        </w:rPr>
        <w:t>Parágrafo 3o.</w:t>
      </w:r>
      <w:r w:rsidRPr="00591347">
        <w:rPr>
          <w:rFonts w:ascii="Verdana" w:hAnsi="Verdana" w:cs="Arial"/>
          <w:sz w:val="16"/>
          <w:szCs w:val="16"/>
        </w:rPr>
        <w:t xml:space="preserve"> La entidad designada ejecutora por las entidades u órganos de que tratan los artículos </w:t>
      </w:r>
      <w:hyperlink r:id="rId3" w:anchor="35" w:history="1">
        <w:r w:rsidRPr="00591347">
          <w:rPr>
            <w:rFonts w:ascii="Verdana" w:hAnsi="Verdana" w:cs="Arial"/>
            <w:sz w:val="16"/>
            <w:szCs w:val="16"/>
          </w:rPr>
          <w:t>35</w:t>
        </w:r>
      </w:hyperlink>
      <w:r w:rsidRPr="00591347">
        <w:rPr>
          <w:rFonts w:ascii="Verdana" w:hAnsi="Verdana" w:cs="Arial"/>
          <w:sz w:val="16"/>
          <w:szCs w:val="16"/>
        </w:rPr>
        <w:t xml:space="preserve"> y </w:t>
      </w:r>
      <w:hyperlink r:id="rId4" w:anchor="36" w:history="1">
        <w:r w:rsidRPr="00591347">
          <w:rPr>
            <w:rFonts w:ascii="Verdana" w:hAnsi="Verdana" w:cs="Arial"/>
            <w:sz w:val="16"/>
            <w:szCs w:val="16"/>
          </w:rPr>
          <w:t>36</w:t>
        </w:r>
      </w:hyperlink>
      <w:r w:rsidRPr="00591347">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3EC9B7EE" w14:textId="77777777" w:rsidR="002E2644" w:rsidRPr="00591347" w:rsidRDefault="002E2644" w:rsidP="002E2644">
      <w:pPr>
        <w:spacing w:after="0"/>
        <w:ind w:firstLine="708"/>
        <w:jc w:val="both"/>
        <w:rPr>
          <w:rFonts w:ascii="Verdana" w:hAnsi="Verdana" w:cs="Arial"/>
          <w:sz w:val="16"/>
          <w:szCs w:val="16"/>
        </w:rPr>
      </w:pPr>
      <w:r w:rsidRPr="00591347">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5BA1F58F" w14:textId="77777777" w:rsidR="002E2644" w:rsidRPr="00591347" w:rsidRDefault="002E2644" w:rsidP="002E2644">
      <w:pPr>
        <w:spacing w:after="0"/>
        <w:ind w:firstLine="708"/>
        <w:jc w:val="both"/>
        <w:rPr>
          <w:rFonts w:ascii="Verdana" w:hAnsi="Verdana"/>
          <w:sz w:val="16"/>
          <w:szCs w:val="16"/>
        </w:rPr>
      </w:pPr>
      <w:r w:rsidRPr="00591347">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591347">
        <w:rPr>
          <w:rFonts w:ascii="Verdana" w:hAnsi="Verdana" w:cs="Arial"/>
          <w:sz w:val="16"/>
          <w:szCs w:val="16"/>
          <w:lang w:val="es-ES"/>
        </w:rPr>
        <w:t>”</w:t>
      </w:r>
      <w:r w:rsidRPr="00591347">
        <w:rPr>
          <w:rFonts w:ascii="Verdana" w:hAnsi="Verdana" w:cs="Arial"/>
          <w:sz w:val="16"/>
          <w:szCs w:val="16"/>
        </w:rPr>
        <w:t>.</w:t>
      </w:r>
    </w:p>
  </w:footnote>
  <w:footnote w:id="2">
    <w:p w14:paraId="6F564F74" w14:textId="77777777" w:rsidR="002E2644" w:rsidRPr="00591347" w:rsidRDefault="002E2644" w:rsidP="002E2644">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Artículo 84.</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olor w:val="000000" w:themeColor="text1"/>
          <w:sz w:val="16"/>
          <w:szCs w:val="16"/>
        </w:rPr>
        <w:t xml:space="preserve"> </w:t>
      </w:r>
      <w:r w:rsidRPr="00591347">
        <w:rPr>
          <w:rStyle w:val="baj"/>
          <w:rFonts w:ascii="Verdana" w:hAnsi="Verdana" w:cs="Arial"/>
          <w:color w:val="000000" w:themeColor="text1"/>
          <w:sz w:val="16"/>
          <w:szCs w:val="16"/>
        </w:rPr>
        <w:t>PARÁGRAFO 2o.</w:t>
      </w:r>
      <w:r w:rsidRPr="00591347">
        <w:rPr>
          <w:rFonts w:ascii="Verdana" w:hAnsi="Verdana" w:cs="Arial"/>
          <w:color w:val="000000" w:themeColor="text1"/>
          <w:sz w:val="16"/>
          <w:szCs w:val="16"/>
        </w:rPr>
        <w:t xml:space="preserve"> La ejecución de los proyectos de inversión financiados con recursos del Sistema General de Regalías se adelantará con estricta sujeción al régimen presupuestal definido en esta ley </w:t>
      </w:r>
      <w:r w:rsidRPr="00591347">
        <w:rPr>
          <w:rFonts w:ascii="Verdana" w:hAnsi="Verdana" w:cs="Arial"/>
          <w:i/>
          <w:iCs/>
          <w:color w:val="000000" w:themeColor="text1"/>
          <w:sz w:val="16"/>
          <w:szCs w:val="16"/>
        </w:rPr>
        <w:t>y al de contratación pública</w:t>
      </w:r>
      <w:r w:rsidRPr="00591347">
        <w:rPr>
          <w:rFonts w:ascii="Verdana" w:hAnsi="Verdana" w:cs="Arial"/>
          <w:color w:val="000000" w:themeColor="text1"/>
          <w:sz w:val="16"/>
          <w:szCs w:val="16"/>
        </w:rPr>
        <w:t xml:space="preserve"> y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3">
    <w:p w14:paraId="5D33138B" w14:textId="77777777" w:rsidR="002E2644" w:rsidRPr="00591347" w:rsidRDefault="002E2644" w:rsidP="002E2644">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98.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artículo, se adelantará, con estricta sujeción al régimen presupuestal definido en esta ley y </w:t>
      </w:r>
      <w:r w:rsidRPr="00591347">
        <w:rPr>
          <w:rFonts w:ascii="Verdana" w:hAnsi="Verdana"/>
          <w:i/>
          <w:iCs/>
          <w:sz w:val="16"/>
          <w:szCs w:val="16"/>
          <w:lang w:val="es-CO"/>
        </w:rPr>
        <w:t>al de contratación pública</w:t>
      </w:r>
      <w:r w:rsidRPr="00591347">
        <w:rPr>
          <w:rFonts w:ascii="Verdana" w:hAnsi="Verdana"/>
          <w:sz w:val="16"/>
          <w:szCs w:val="16"/>
          <w:lang w:val="es-CO"/>
        </w:rPr>
        <w:t xml:space="preserve">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4">
    <w:p w14:paraId="0B81A5D3" w14:textId="77777777" w:rsidR="002E2644" w:rsidRPr="00591347" w:rsidRDefault="002E2644" w:rsidP="002E2644">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4" w:name="99"/>
      <w:r w:rsidRPr="00591347">
        <w:rPr>
          <w:rFonts w:ascii="Verdana" w:hAnsi="Verdana"/>
          <w:sz w:val="16"/>
          <w:szCs w:val="16"/>
          <w:lang w:val="es-CO"/>
        </w:rPr>
        <w:t xml:space="preserve">Artículo 99.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Ejecución De Recursos.</w:t>
      </w:r>
      <w:bookmarkEnd w:id="4"/>
      <w:r w:rsidRPr="00591347">
        <w:rPr>
          <w:rFonts w:ascii="Verdana" w:hAnsi="Verdana"/>
          <w:sz w:val="16"/>
          <w:szCs w:val="16"/>
          <w:lang w:val="es-CO"/>
        </w:rPr>
        <w:t xml:space="preserve"> Los actos o contratos que expidan o celebren los ejecutores se regirán por las normas presupuestales contenidas en la presente ley, </w:t>
      </w:r>
      <w:r w:rsidRPr="00591347">
        <w:rPr>
          <w:rFonts w:ascii="Verdana" w:hAnsi="Verdana"/>
          <w:i/>
          <w:iCs/>
          <w:sz w:val="16"/>
          <w:szCs w:val="16"/>
          <w:lang w:val="es-CO"/>
        </w:rPr>
        <w:t>el Estatuto de Contratación Estatal</w:t>
      </w:r>
      <w:r w:rsidRPr="00591347">
        <w:rPr>
          <w:rFonts w:ascii="Verdana" w:hAnsi="Verdana"/>
          <w:sz w:val="16"/>
          <w:szCs w:val="16"/>
          <w:lang w:val="es-CO"/>
        </w:rPr>
        <w:t>, las normas contables que para este efecto defina la Contaduría General de la Nación y las demás disposiciones complementarias.</w:t>
      </w:r>
    </w:p>
  </w:footnote>
  <w:footnote w:id="5">
    <w:p w14:paraId="07C33977" w14:textId="77777777" w:rsidR="002E2644" w:rsidRPr="00591347" w:rsidRDefault="002E2644" w:rsidP="002E2644">
      <w:pPr>
        <w:pStyle w:val="Textonotapie"/>
        <w:ind w:firstLine="709"/>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108.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PARÁGRAFO 2o. La ejecución de proyectos de inversión de que trata este artículo, se adelantará, con estricta sujeción al régimen presupuestal definido en esta ley y al de contratación pública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6">
    <w:p w14:paraId="67804B57" w14:textId="77777777" w:rsidR="002E2644" w:rsidRPr="00591347" w:rsidRDefault="002E2644" w:rsidP="002E2644">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5" w:name="109"/>
      <w:r w:rsidRPr="00591347">
        <w:rPr>
          <w:rFonts w:ascii="Verdana" w:hAnsi="Verdana" w:cs="Arial"/>
          <w:color w:val="000000" w:themeColor="text1"/>
          <w:sz w:val="16"/>
          <w:szCs w:val="16"/>
        </w:rPr>
        <w:t xml:space="preserve">Artículo 109.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s="Arial"/>
          <w:color w:val="000000" w:themeColor="text1"/>
          <w:sz w:val="16"/>
          <w:szCs w:val="16"/>
        </w:rPr>
        <w:t>Ejecución De Recursos.</w:t>
      </w:r>
      <w:bookmarkEnd w:id="5"/>
      <w:r w:rsidRPr="00591347">
        <w:rPr>
          <w:rFonts w:ascii="Verdana" w:hAnsi="Verdana" w:cs="Arial"/>
          <w:color w:val="000000" w:themeColor="text1"/>
          <w:sz w:val="16"/>
          <w:szCs w:val="16"/>
        </w:rPr>
        <w:t xml:space="preserve"> Los actos o contratos que expidan o celebren los ejecutores se regirán por las normas presupuestales contenidas en la presente ley, </w:t>
      </w:r>
      <w:r w:rsidRPr="00591347">
        <w:rPr>
          <w:rFonts w:ascii="Verdana" w:hAnsi="Verdana" w:cs="Arial"/>
          <w:i/>
          <w:iCs/>
          <w:color w:val="000000" w:themeColor="text1"/>
          <w:sz w:val="16"/>
          <w:szCs w:val="16"/>
        </w:rPr>
        <w:t>el Estatuto de Contratación Estatal,</w:t>
      </w:r>
      <w:r w:rsidRPr="00591347">
        <w:rPr>
          <w:rFonts w:ascii="Verdana" w:hAnsi="Verdana" w:cs="Arial"/>
          <w:color w:val="000000" w:themeColor="text1"/>
          <w:sz w:val="16"/>
          <w:szCs w:val="16"/>
        </w:rPr>
        <w:t xml:space="preserve"> las normas contables que para este efecto defina la Contaduría General de la Nación y las demás disposiciones complementarias.</w:t>
      </w:r>
    </w:p>
  </w:footnote>
  <w:footnote w:id="7">
    <w:p w14:paraId="3FD742E4" w14:textId="77777777" w:rsidR="002E2644" w:rsidRPr="00591347" w:rsidRDefault="002E2644" w:rsidP="002E2644">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Consejo De Estado. Sección tercera. Sentencia del 7 de marzo de 2025. Radicación No.69.941. C.P: José Roberto Sáchica. </w:t>
      </w:r>
    </w:p>
  </w:footnote>
  <w:footnote w:id="8">
    <w:p w14:paraId="402DE917" w14:textId="77777777" w:rsidR="002E2644" w:rsidRPr="00591347" w:rsidRDefault="002E2644" w:rsidP="002E2644">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La exposición de motivos de la Ley 2056 de 2020 explica que “el proyecto de ley prevé que los proyectos de inversión que se financien con cargo al SGR serán ejecutados por quien designe la entidad u órgano que apruebe y priorice el respetivo proyecto, y que la entidad ejecutora estará a cargo de la contratación de la interventoría, la cual se regirá por los establecido en el Estatuto General de Contratación de la Administración Pública vigente</w:t>
      </w:r>
      <w:r w:rsidRPr="00591347">
        <w:rPr>
          <w:rFonts w:ascii="Verdana" w:hAnsi="Verdana" w:cs="Arial"/>
          <w:sz w:val="16"/>
          <w:szCs w:val="16"/>
          <w:lang w:val="es-ES"/>
        </w:rPr>
        <w:t xml:space="preserve">. Gaceta 638 del 2020 Disponible en: </w:t>
      </w:r>
      <w:hyperlink r:id="rId5" w:history="1">
        <w:r w:rsidRPr="00591347">
          <w:rPr>
            <w:rStyle w:val="Hipervnculo"/>
            <w:rFonts w:ascii="Verdana" w:hAnsi="Verdana" w:cs="Arial"/>
            <w:sz w:val="16"/>
            <w:szCs w:val="16"/>
            <w:lang w:val="es-ES"/>
          </w:rPr>
          <w:t>https://leyes.senado.gov.co/proyectos/index.php/proyectos-ley/cuatrenio-2018-2022/2020-2021/article/200-por-el-cual-se-regula-la-organizacion-y-el-funcionamiento-del-sistema-general-de-regalias-mensaje-de-urgencia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32E6FBF8"/>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17F6A"/>
    <w:rsid w:val="00046945"/>
    <w:rsid w:val="00061B2A"/>
    <w:rsid w:val="00067A09"/>
    <w:rsid w:val="00082362"/>
    <w:rsid w:val="000A683E"/>
    <w:rsid w:val="000B19B9"/>
    <w:rsid w:val="000B62A0"/>
    <w:rsid w:val="000D0334"/>
    <w:rsid w:val="000D5DA7"/>
    <w:rsid w:val="000F5A4E"/>
    <w:rsid w:val="000F6486"/>
    <w:rsid w:val="001069FD"/>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64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316AB"/>
    <w:rsid w:val="00646B9F"/>
    <w:rsid w:val="00665D70"/>
    <w:rsid w:val="006900D9"/>
    <w:rsid w:val="00706C16"/>
    <w:rsid w:val="00711FBD"/>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312B4"/>
    <w:rsid w:val="00844AE9"/>
    <w:rsid w:val="00867F95"/>
    <w:rsid w:val="008843B6"/>
    <w:rsid w:val="00891928"/>
    <w:rsid w:val="008A0996"/>
    <w:rsid w:val="008A446D"/>
    <w:rsid w:val="008B25F1"/>
    <w:rsid w:val="008D180B"/>
    <w:rsid w:val="008D5974"/>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94CBC"/>
    <w:rsid w:val="00BC3D36"/>
    <w:rsid w:val="00BD54A6"/>
    <w:rsid w:val="00BD7F72"/>
    <w:rsid w:val="00BE4FFE"/>
    <w:rsid w:val="00BF3ACE"/>
    <w:rsid w:val="00BF7425"/>
    <w:rsid w:val="00C04FB3"/>
    <w:rsid w:val="00C11D8B"/>
    <w:rsid w:val="00C15139"/>
    <w:rsid w:val="00C3290C"/>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D2EBD"/>
    <w:rsid w:val="00DF5254"/>
    <w:rsid w:val="00E02524"/>
    <w:rsid w:val="00E16408"/>
    <w:rsid w:val="00E20894"/>
    <w:rsid w:val="00E245AB"/>
    <w:rsid w:val="00E2764C"/>
    <w:rsid w:val="00E27F2E"/>
    <w:rsid w:val="00E50AFE"/>
    <w:rsid w:val="00E75C92"/>
    <w:rsid w:val="00E771DC"/>
    <w:rsid w:val="00E8772A"/>
    <w:rsid w:val="00E90F6B"/>
    <w:rsid w:val="00E92C27"/>
    <w:rsid w:val="00EA006C"/>
    <w:rsid w:val="00EA0E3D"/>
    <w:rsid w:val="00EC38A7"/>
    <w:rsid w:val="00EE1AA8"/>
    <w:rsid w:val="00F23FEA"/>
    <w:rsid w:val="00F31EDC"/>
    <w:rsid w:val="00F4142C"/>
    <w:rsid w:val="00F462B3"/>
    <w:rsid w:val="00F53F8D"/>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2E2644"/>
    <w:pPr>
      <w:spacing w:line="240" w:lineRule="exact"/>
    </w:pPr>
    <w:rPr>
      <w:vertAlign w:val="superscript"/>
    </w:rPr>
  </w:style>
  <w:style w:type="character" w:customStyle="1" w:styleId="baj">
    <w:name w:val="b_aj"/>
    <w:basedOn w:val="Fuentedeprrafopredeter"/>
    <w:rsid w:val="002E2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gmarchena74@hot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5" Type="http://schemas.openxmlformats.org/officeDocument/2006/relationships/hyperlink" Target="https://leyes.senado.gov.co/proyectos/index.php/proyectos-ley/cuatrenio-2018-2022/2020-2021/article/200-por-el-cual-se-regula-la-organizacion-y-el-funcionamiento-del-sistema-general-de-regalias-mensaje-de-urgencia"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E688FA-FDE3-44F0-92EB-B465DA2432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17</Pages>
  <Words>5652</Words>
  <Characters>31088</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2026-07-31T19:15:00Z</dcterms:created>
  <dcterms:modified xsi:type="dcterms:W3CDTF">2026-07-31T20:01:00Z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