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84EAA" w14:textId="77777777" w:rsidR="001B7687" w:rsidRDefault="001B7687" w:rsidP="001B7687">
      <w:pPr>
        <w:spacing w:after="0" w:line="240" w:lineRule="auto"/>
        <w:jc w:val="both"/>
        <w:rPr>
          <w:rFonts w:ascii="Verdana" w:eastAsia="Calibri" w:hAnsi="Verdana" w:cs="Arial"/>
          <w:b/>
          <w:bCs/>
          <w:lang w:val="es-ES" w:eastAsia="es-ES"/>
        </w:rPr>
      </w:pPr>
      <w:r w:rsidRPr="007160C6">
        <w:rPr>
          <w:rFonts w:ascii="Verdana" w:eastAsia="Calibri" w:hAnsi="Verdana" w:cs="Arial"/>
          <w:b/>
          <w:bCs/>
          <w:lang w:val="es-ES" w:eastAsia="es-ES"/>
        </w:rPr>
        <w:t xml:space="preserve">PLANEACIÓN CONTRACTUAL – Noción – Obligación de las entidades – Ley 80 de 1993 </w:t>
      </w:r>
    </w:p>
    <w:p w14:paraId="33BE9538" w14:textId="77777777" w:rsidR="001B7687" w:rsidRDefault="001B7687" w:rsidP="001B7687">
      <w:pPr>
        <w:spacing w:after="0" w:line="240" w:lineRule="auto"/>
        <w:jc w:val="both"/>
        <w:rPr>
          <w:rFonts w:ascii="Verdana" w:eastAsia="Calibri" w:hAnsi="Verdana" w:cs="Arial"/>
          <w:b/>
          <w:bCs/>
          <w:lang w:val="es-ES" w:eastAsia="es-ES"/>
        </w:rPr>
      </w:pPr>
    </w:p>
    <w:p w14:paraId="316F476F" w14:textId="77777777" w:rsidR="001B7687" w:rsidRDefault="001B7687" w:rsidP="001B7687">
      <w:pPr>
        <w:spacing w:after="0" w:line="240" w:lineRule="auto"/>
        <w:jc w:val="both"/>
        <w:rPr>
          <w:rFonts w:ascii="Verdana" w:eastAsia="Calibri" w:hAnsi="Verdana" w:cs="Arial"/>
          <w:sz w:val="20"/>
          <w:szCs w:val="20"/>
          <w:lang w:eastAsia="es-ES"/>
        </w:rPr>
      </w:pPr>
      <w:r w:rsidRPr="00BB3D16">
        <w:rPr>
          <w:rFonts w:ascii="Verdana" w:eastAsia="Calibri" w:hAnsi="Verdana" w:cs="Arial"/>
          <w:sz w:val="20"/>
          <w:szCs w:val="20"/>
          <w:lang w:eastAsia="es-ES"/>
        </w:rPr>
        <w:t>Ahora bien, la planeación contractual es una herramienta de gerencia pública, que exige estructurar el proceso contractual dedicando tiempo y esfuerzos para elaborar estudios previos, con el fin de determinar la necesidad que pretende satisfacer la entidad estatal y cuál es la mejor manera de hacerlo, consultando el tipo de bienes y servicios que ofrece el mercado y sus características, especificaciones, precios, costos, riesgos, garantías, disponibilidad, oferentes, etc. Lo anterior con la finalidad de realizar la escogencia diligente de la mejor oferta, para beneficiar los intereses y fines públicos inmersos en la contratación de las entidades estatales.</w:t>
      </w:r>
    </w:p>
    <w:p w14:paraId="151428BF" w14:textId="77777777" w:rsidR="001B7687" w:rsidRDefault="001B7687" w:rsidP="001B7687">
      <w:pPr>
        <w:spacing w:after="0" w:line="240" w:lineRule="auto"/>
        <w:jc w:val="both"/>
        <w:rPr>
          <w:rFonts w:ascii="Verdana" w:eastAsia="Calibri" w:hAnsi="Verdana" w:cs="Arial"/>
          <w:sz w:val="20"/>
          <w:szCs w:val="20"/>
          <w:lang w:eastAsia="es-ES"/>
        </w:rPr>
      </w:pPr>
    </w:p>
    <w:p w14:paraId="416BDC70" w14:textId="77777777" w:rsidR="001B7687" w:rsidRPr="00BB3D16" w:rsidRDefault="001B7687" w:rsidP="001B7687">
      <w:pPr>
        <w:spacing w:after="0" w:line="240" w:lineRule="auto"/>
        <w:jc w:val="both"/>
        <w:rPr>
          <w:rFonts w:ascii="Verdana" w:eastAsia="Calibri" w:hAnsi="Verdana" w:cs="Arial"/>
          <w:sz w:val="20"/>
          <w:szCs w:val="20"/>
          <w:lang w:eastAsia="es-ES"/>
        </w:rPr>
      </w:pPr>
      <w:r w:rsidRPr="003C7D71">
        <w:rPr>
          <w:rFonts w:ascii="Verdana" w:eastAsia="Calibri" w:hAnsi="Verdana" w:cs="Arial"/>
          <w:sz w:val="20"/>
          <w:szCs w:val="20"/>
          <w:lang w:eastAsia="es-ES"/>
        </w:rPr>
        <w:t>En congruencia con el artículo 25 de la Ley 80 de 1993, el Decreto Único Reglamentario del Sector Administrativo de Planeación Nacional –Decreto 1082 de 2015–, dispone en el artículo 2.2.1.1.2.1.1 el contenido mínimo de los estudios y documentos previos</w:t>
      </w:r>
      <w:r>
        <w:rPr>
          <w:rFonts w:ascii="Verdana" w:eastAsia="Calibri" w:hAnsi="Verdana" w:cs="Arial"/>
          <w:sz w:val="20"/>
          <w:szCs w:val="20"/>
          <w:lang w:eastAsia="es-ES"/>
        </w:rPr>
        <w:t>.</w:t>
      </w:r>
    </w:p>
    <w:p w14:paraId="61F47F3D" w14:textId="77777777" w:rsidR="001B7687" w:rsidRDefault="001B7687" w:rsidP="001B7687">
      <w:pPr>
        <w:spacing w:after="0" w:line="240" w:lineRule="auto"/>
        <w:jc w:val="both"/>
        <w:rPr>
          <w:rFonts w:ascii="Verdana" w:eastAsia="Calibri" w:hAnsi="Verdana" w:cs="Arial"/>
          <w:b/>
          <w:bCs/>
          <w:lang w:val="es-ES" w:eastAsia="es-ES"/>
        </w:rPr>
      </w:pPr>
    </w:p>
    <w:p w14:paraId="7BC23D18" w14:textId="77777777" w:rsidR="001B7687" w:rsidRDefault="001B7687" w:rsidP="001B7687">
      <w:pPr>
        <w:spacing w:after="0" w:line="240" w:lineRule="auto"/>
        <w:jc w:val="both"/>
        <w:rPr>
          <w:rFonts w:ascii="Verdana" w:eastAsia="Calibri" w:hAnsi="Verdana" w:cs="Arial"/>
          <w:b/>
          <w:bCs/>
          <w:lang w:val="es-ES" w:eastAsia="es-ES"/>
        </w:rPr>
      </w:pPr>
      <w:r>
        <w:rPr>
          <w:rFonts w:ascii="Verdana" w:eastAsia="Calibri" w:hAnsi="Verdana" w:cs="Arial"/>
          <w:b/>
          <w:bCs/>
          <w:lang w:val="es-ES" w:eastAsia="es-ES"/>
        </w:rPr>
        <w:t>E</w:t>
      </w:r>
      <w:r w:rsidRPr="007160C6">
        <w:rPr>
          <w:rFonts w:ascii="Verdana" w:eastAsia="Calibri" w:hAnsi="Verdana" w:cs="Arial"/>
          <w:b/>
          <w:bCs/>
          <w:lang w:val="es-ES" w:eastAsia="es-ES"/>
        </w:rPr>
        <w:t xml:space="preserve">STUDIOS PREVIOS – Finalidad </w:t>
      </w:r>
    </w:p>
    <w:p w14:paraId="65AEBE2C" w14:textId="77777777" w:rsidR="001B7687" w:rsidRDefault="001B7687" w:rsidP="001B7687">
      <w:pPr>
        <w:spacing w:after="0" w:line="240" w:lineRule="auto"/>
        <w:jc w:val="both"/>
        <w:rPr>
          <w:rFonts w:ascii="Verdana" w:hAnsi="Verdana" w:cs="Arial"/>
        </w:rPr>
      </w:pPr>
    </w:p>
    <w:p w14:paraId="7BC292F2" w14:textId="77777777" w:rsidR="001B7687" w:rsidRPr="000F2C49" w:rsidRDefault="001B7687" w:rsidP="001B7687">
      <w:pPr>
        <w:spacing w:after="0" w:line="240" w:lineRule="auto"/>
        <w:jc w:val="both"/>
        <w:rPr>
          <w:rFonts w:ascii="Verdana" w:eastAsia="Calibri" w:hAnsi="Verdana" w:cs="Arial"/>
          <w:b/>
          <w:bCs/>
          <w:sz w:val="20"/>
          <w:szCs w:val="20"/>
          <w:lang w:val="es-ES" w:eastAsia="es-ES"/>
        </w:rPr>
      </w:pPr>
      <w:r w:rsidRPr="000F2C49">
        <w:rPr>
          <w:rFonts w:ascii="Verdana" w:hAnsi="Verdana" w:cs="Arial"/>
          <w:sz w:val="20"/>
          <w:szCs w:val="20"/>
        </w:rPr>
        <w:t xml:space="preserve">Por otra parte, los numerales 2 y 4 del artículo 2.2.1.1.2.1.1 del Decreto 1082 de 2015 exigen que en los estudios previos se determine el objeto a contratar con sus especificaciones, y se señale el valor estimado del contrato y la justificación del mismo. </w:t>
      </w:r>
      <w:r w:rsidRPr="000F2C49">
        <w:rPr>
          <w:rFonts w:ascii="Verdana" w:eastAsia="Calibri" w:hAnsi="Verdana" w:cs="Arial"/>
          <w:bCs/>
          <w:sz w:val="20"/>
          <w:szCs w:val="20"/>
          <w:lang w:val="es-ES_tradnl"/>
        </w:rPr>
        <w:t>Para cumplir este objetivo es necesario el análisis del sector económico y de los oferentes, actividad de planeación previa que sirve para identificar aspectos concretos del mercado que pueden afectar el proceso de selección o las condiciones del negocio a realizar mediante el proceso de contratación de bienes, obras o servicios. En este sentido, el artículo 2.2.1.1.1.6.1 del Decreto 1082 de 2015 dispone que “La Entidad Estatal debe hacer, durante la etapa de planeación, el análisis necesario para conocer el sector relativo al objeto del Proceso de Contratación desde la perspectiva legal, comercial, financiera, organizacional, técnica, y de análisis de Riesgo. La Entidad Estatal debe dejar constancia de este análisis en los Documentos del Proceso”.</w:t>
      </w:r>
    </w:p>
    <w:p w14:paraId="728C3C81" w14:textId="77777777" w:rsidR="001B7687" w:rsidRDefault="001B7687" w:rsidP="001B7687">
      <w:pPr>
        <w:spacing w:after="0" w:line="240" w:lineRule="auto"/>
        <w:jc w:val="both"/>
        <w:rPr>
          <w:rFonts w:ascii="Verdana" w:eastAsia="Calibri" w:hAnsi="Verdana" w:cs="Arial"/>
          <w:b/>
          <w:bCs/>
          <w:lang w:val="es-ES" w:eastAsia="es-ES"/>
        </w:rPr>
      </w:pPr>
    </w:p>
    <w:p w14:paraId="08FA24F7" w14:textId="77777777" w:rsidR="001B7687" w:rsidRDefault="001B7687" w:rsidP="001B7687">
      <w:pPr>
        <w:spacing w:after="0" w:line="240" w:lineRule="auto"/>
        <w:jc w:val="both"/>
        <w:rPr>
          <w:rFonts w:ascii="Verdana" w:eastAsia="Calibri" w:hAnsi="Verdana" w:cs="Arial"/>
          <w:b/>
          <w:bCs/>
          <w:lang w:val="es-ES" w:eastAsia="es-ES"/>
        </w:rPr>
      </w:pPr>
      <w:r w:rsidRPr="007160C6">
        <w:rPr>
          <w:rFonts w:ascii="Verdana" w:eastAsia="Calibri" w:hAnsi="Verdana" w:cs="Arial"/>
          <w:b/>
          <w:bCs/>
          <w:lang w:val="es-ES" w:eastAsia="es-ES"/>
        </w:rPr>
        <w:t>ESTUDIOS DE MERCADO – Finalidad – Recomendaciones – Colombia Compra eficiente – Guía de elaboración de estudios del sector</w:t>
      </w:r>
    </w:p>
    <w:p w14:paraId="7F68D432" w14:textId="77777777" w:rsidR="001B7687" w:rsidRDefault="001B7687" w:rsidP="001B7687">
      <w:pPr>
        <w:spacing w:after="0" w:line="240" w:lineRule="auto"/>
        <w:jc w:val="both"/>
        <w:rPr>
          <w:rFonts w:ascii="Verdana" w:eastAsia="Calibri" w:hAnsi="Verdana" w:cs="Arial"/>
          <w:b/>
          <w:bCs/>
          <w:lang w:val="es-ES_tradnl" w:eastAsia="es-ES"/>
        </w:rPr>
      </w:pPr>
    </w:p>
    <w:p w14:paraId="73A17267" w14:textId="77777777" w:rsidR="001B7687" w:rsidRDefault="001B7687" w:rsidP="001B7687">
      <w:pPr>
        <w:spacing w:after="0" w:line="240" w:lineRule="auto"/>
        <w:jc w:val="both"/>
        <w:rPr>
          <w:rFonts w:ascii="Verdana" w:eastAsia="Calibri" w:hAnsi="Verdana" w:cs="Arial"/>
          <w:sz w:val="20"/>
          <w:szCs w:val="20"/>
          <w:lang w:val="es-ES_tradnl" w:eastAsia="es-ES"/>
        </w:rPr>
      </w:pPr>
      <w:r w:rsidRPr="00310BB0">
        <w:rPr>
          <w:rFonts w:ascii="Verdana" w:eastAsia="Calibri" w:hAnsi="Verdana" w:cs="Arial"/>
          <w:sz w:val="20"/>
          <w:szCs w:val="20"/>
          <w:lang w:val="es-ES_tradnl" w:eastAsia="es-ES"/>
        </w:rPr>
        <w:t>Para negociar de manera adecuada, es necesario conocer la estructura de los posibles contratistas, pues permite identificar la forma en la que suplirán los requerimientos de la entidad. El análisis del sector debe tener en cuenta el objeto del proceso de contratación, las condiciones del bien o servicio y las ventajas que representa para la Administración contratar el bien o servicio con el contratista. En este último punto, el análisis del sector permite sustentar la decisión de realizar un proceso de contratación desde el punto de vista de la eficiencia, eficacia y economía.</w:t>
      </w:r>
    </w:p>
    <w:p w14:paraId="13AEDD85" w14:textId="77777777" w:rsidR="001B7687" w:rsidRDefault="001B7687" w:rsidP="001B7687">
      <w:pPr>
        <w:spacing w:after="0" w:line="240" w:lineRule="auto"/>
        <w:jc w:val="both"/>
        <w:rPr>
          <w:rFonts w:ascii="Verdana" w:eastAsia="Calibri" w:hAnsi="Verdana" w:cs="Arial"/>
          <w:sz w:val="20"/>
          <w:szCs w:val="20"/>
          <w:lang w:val="es-ES_tradnl" w:eastAsia="es-ES"/>
        </w:rPr>
      </w:pPr>
    </w:p>
    <w:p w14:paraId="3674F3C9" w14:textId="77777777" w:rsidR="001B7687" w:rsidRDefault="001B7687" w:rsidP="001B7687">
      <w:pPr>
        <w:spacing w:after="0" w:line="240" w:lineRule="auto"/>
        <w:jc w:val="both"/>
        <w:rPr>
          <w:rFonts w:ascii="Verdana" w:eastAsia="Calibri" w:hAnsi="Verdana" w:cs="Arial"/>
          <w:sz w:val="20"/>
          <w:szCs w:val="20"/>
          <w:lang w:val="es-ES" w:eastAsia="es-ES"/>
        </w:rPr>
      </w:pPr>
      <w:r w:rsidRPr="00310BB0">
        <w:rPr>
          <w:rFonts w:ascii="Verdana" w:eastAsia="Calibri" w:hAnsi="Verdana" w:cs="Arial"/>
          <w:sz w:val="20"/>
          <w:szCs w:val="20"/>
          <w:lang w:val="es-ES" w:eastAsia="es-ES"/>
        </w:rPr>
        <w:t xml:space="preserve">Dicho análisis facilita tanto el conocimiento del sector, desde una perspectiva multidisciplinaria, como de los proveedores disponibles en el mercado para satisfacer la necesidad de la entidad contratante. Así mismo, el análisis del sector implica un estudio </w:t>
      </w:r>
      <w:r w:rsidRPr="00310BB0">
        <w:rPr>
          <w:rFonts w:ascii="Verdana" w:eastAsia="Calibri" w:hAnsi="Verdana" w:cs="Arial"/>
          <w:sz w:val="20"/>
          <w:szCs w:val="20"/>
          <w:lang w:val="es-ES" w:eastAsia="es-ES"/>
        </w:rPr>
        <w:lastRenderedPageBreak/>
        <w:t>de la oferta, lo que permitirá identificar qué proveedores existen en el mercado y cómo intervienen en la cadena de producción, comercialización y distribución de los bienes, obras o servicios. De igual manera, podrá estudiar la demanda para determinar las entidades estatales y los particulares cómo adquieren esos bienes, obras o servicios para extraer las mejores prácticas e información para el proceso de contratación y así estructurar de mejor manera el tipo contractual a utilizar y las condiciones y características que se podrán pactar para cumplir el objeto del contrato y para la realización de las prestaciones derivadas de las obligaciones que serán pactadas, tanto para la entidad contratante como para el contratista que proveerá el bien, obra o servicio.</w:t>
      </w:r>
    </w:p>
    <w:p w14:paraId="3FB92FE6" w14:textId="77777777" w:rsidR="001B7687" w:rsidRDefault="001B7687" w:rsidP="001B7687">
      <w:pPr>
        <w:spacing w:after="0" w:line="240" w:lineRule="auto"/>
        <w:jc w:val="both"/>
        <w:rPr>
          <w:rFonts w:ascii="Verdana" w:eastAsia="Calibri" w:hAnsi="Verdana" w:cs="Arial"/>
          <w:sz w:val="20"/>
          <w:szCs w:val="20"/>
          <w:lang w:val="es-ES" w:eastAsia="es-ES"/>
        </w:rPr>
      </w:pPr>
    </w:p>
    <w:p w14:paraId="3E6F6824" w14:textId="77777777" w:rsidR="001B7687" w:rsidRDefault="001B7687" w:rsidP="001B7687">
      <w:pPr>
        <w:spacing w:after="0" w:line="240" w:lineRule="auto"/>
        <w:jc w:val="both"/>
        <w:rPr>
          <w:rFonts w:ascii="Verdana" w:eastAsia="Calibri" w:hAnsi="Verdana" w:cs="Arial"/>
          <w:sz w:val="20"/>
          <w:szCs w:val="20"/>
          <w:lang w:val="es-ES" w:eastAsia="es-ES"/>
        </w:rPr>
      </w:pPr>
      <w:r>
        <w:rPr>
          <w:rFonts w:ascii="Verdana" w:eastAsia="Calibri" w:hAnsi="Verdana" w:cs="Arial"/>
          <w:sz w:val="20"/>
          <w:szCs w:val="20"/>
          <w:lang w:val="es-ES" w:eastAsia="es-ES"/>
        </w:rPr>
        <w:t xml:space="preserve">[…] </w:t>
      </w:r>
    </w:p>
    <w:p w14:paraId="52FB01E5" w14:textId="77777777" w:rsidR="001B7687" w:rsidRPr="00310BB0" w:rsidRDefault="001B7687" w:rsidP="001B7687">
      <w:pPr>
        <w:spacing w:after="0" w:line="240" w:lineRule="auto"/>
        <w:jc w:val="both"/>
        <w:rPr>
          <w:rFonts w:ascii="Verdana" w:eastAsia="Calibri" w:hAnsi="Verdana" w:cs="Arial"/>
          <w:sz w:val="20"/>
          <w:szCs w:val="20"/>
          <w:lang w:val="es-ES" w:eastAsia="es-ES"/>
        </w:rPr>
      </w:pPr>
      <w:r w:rsidRPr="00310BB0">
        <w:rPr>
          <w:rFonts w:ascii="Verdana" w:eastAsia="Calibri" w:hAnsi="Verdana" w:cs="Arial"/>
          <w:sz w:val="20"/>
          <w:szCs w:val="20"/>
          <w:lang w:val="es-ES" w:eastAsia="es-ES"/>
        </w:rPr>
        <w:t xml:space="preserve">La Agencia Nacional de Contratación Pública - Colombia Compra Eficiente dispone de la “Guía de Elaboración del Estudio del Sector”, instrumento que sirve de apoyo para entender el mercado del bien, obra o servicio que la entidad estatal pretende adquirir y diseñar el proceso de contratación con la información necesaria para alcanzar los objetivos de eficacia, eficiencia, economía, promoción de la competencia y manejo del riesgo . Esta Guía es un insumo para realizar el estudio del sector relativo al Proceso de Contratación, ya que comprende pautas sobre los aspectos generales del mercado, el análisis de la demanda y de la oferta y constituye un instrumento de orientación, por lo que –al carecer de fuerza vinculante– su aplicación no exime a las entidades de acatar las normas vigentes. De este modo, la Guía contiene recomendaciones generales por lo que no debe aplicarse de manera mecánica, pues la profundidad del estudio del sector depende de la complejidad y particularidades de cada Proceso de Contratación. </w:t>
      </w:r>
    </w:p>
    <w:p w14:paraId="02849FB6" w14:textId="77777777" w:rsidR="001B7687" w:rsidRDefault="001B7687" w:rsidP="001B7687">
      <w:pPr>
        <w:spacing w:after="0" w:line="240" w:lineRule="auto"/>
        <w:jc w:val="both"/>
        <w:rPr>
          <w:rFonts w:ascii="Verdana" w:eastAsia="Calibri" w:hAnsi="Verdana" w:cs="Arial"/>
          <w:sz w:val="20"/>
          <w:szCs w:val="20"/>
          <w:lang w:val="es-ES" w:eastAsia="es-ES"/>
        </w:rPr>
      </w:pPr>
    </w:p>
    <w:p w14:paraId="34EFC3B6" w14:textId="77777777" w:rsidR="001B7687" w:rsidRDefault="001B7687" w:rsidP="001B7687">
      <w:pPr>
        <w:spacing w:after="0" w:line="240" w:lineRule="auto"/>
        <w:jc w:val="both"/>
        <w:rPr>
          <w:rFonts w:ascii="Verdana" w:eastAsia="Calibri" w:hAnsi="Verdana" w:cs="Arial"/>
          <w:sz w:val="20"/>
          <w:szCs w:val="20"/>
          <w:lang w:val="es-ES" w:eastAsia="es-ES"/>
        </w:rPr>
      </w:pPr>
      <w:r w:rsidRPr="00310BB0">
        <w:rPr>
          <w:rFonts w:ascii="Verdana" w:eastAsia="Calibri" w:hAnsi="Verdana" w:cs="Arial"/>
          <w:sz w:val="20"/>
          <w:szCs w:val="20"/>
          <w:lang w:val="es-ES" w:eastAsia="es-ES"/>
        </w:rPr>
        <w:t>En este instrumento se recomienda un análisis integral sobre varios aspectos del mercado –económico, técnico, regulatorio, etc.–, lo cual permitirá que la entidad delimite con precisión qué bienes y servicios existen, cuáles son las condiciones de su comercialización, cómo es la oferta y la demanda y cuáles son los factores que inciden en el valor del contrato, tales como el análisis de precios, las cargas tributarias, la tasa de cambio, las garantías, los gastos de transporte, etc.</w:t>
      </w:r>
    </w:p>
    <w:p w14:paraId="6D33F89B" w14:textId="77777777" w:rsidR="001B7687" w:rsidRDefault="001B7687" w:rsidP="001B7687">
      <w:pPr>
        <w:spacing w:after="0" w:line="240" w:lineRule="auto"/>
        <w:jc w:val="both"/>
        <w:rPr>
          <w:rFonts w:ascii="Verdana" w:eastAsia="Calibri" w:hAnsi="Verdana" w:cs="Arial"/>
          <w:sz w:val="20"/>
          <w:szCs w:val="20"/>
          <w:lang w:val="es-ES" w:eastAsia="es-ES"/>
        </w:rPr>
      </w:pPr>
    </w:p>
    <w:p w14:paraId="7DD53AD5" w14:textId="77777777" w:rsidR="001B7687" w:rsidRDefault="001B7687" w:rsidP="001B7687">
      <w:pPr>
        <w:spacing w:after="0" w:line="240" w:lineRule="auto"/>
        <w:jc w:val="both"/>
        <w:rPr>
          <w:rFonts w:ascii="Verdana" w:eastAsia="Calibri" w:hAnsi="Verdana" w:cs="Arial"/>
          <w:sz w:val="20"/>
          <w:szCs w:val="20"/>
          <w:lang w:val="es-ES" w:eastAsia="es-ES"/>
        </w:rPr>
      </w:pPr>
      <w:r>
        <w:rPr>
          <w:rFonts w:ascii="Verdana" w:eastAsia="Calibri" w:hAnsi="Verdana" w:cs="Arial"/>
          <w:sz w:val="20"/>
          <w:szCs w:val="20"/>
          <w:lang w:val="es-ES" w:eastAsia="es-ES"/>
        </w:rPr>
        <w:t xml:space="preserve">[…] </w:t>
      </w:r>
    </w:p>
    <w:p w14:paraId="783EE633" w14:textId="77777777" w:rsidR="001B7687" w:rsidRDefault="001B7687" w:rsidP="001B7687">
      <w:pPr>
        <w:spacing w:after="0" w:line="240" w:lineRule="auto"/>
        <w:jc w:val="both"/>
        <w:rPr>
          <w:rFonts w:ascii="Verdana" w:eastAsia="Calibri" w:hAnsi="Verdana" w:cs="Arial"/>
          <w:sz w:val="20"/>
          <w:szCs w:val="20"/>
          <w:lang w:val="es-ES" w:eastAsia="es-ES"/>
        </w:rPr>
      </w:pPr>
    </w:p>
    <w:p w14:paraId="2012373A" w14:textId="77777777" w:rsidR="001B7687" w:rsidRPr="00310BB0" w:rsidRDefault="001B7687" w:rsidP="001B7687">
      <w:pPr>
        <w:spacing w:after="0" w:line="240" w:lineRule="auto"/>
        <w:jc w:val="both"/>
        <w:rPr>
          <w:rFonts w:ascii="Verdana" w:eastAsia="Calibri" w:hAnsi="Verdana" w:cs="Arial"/>
          <w:sz w:val="20"/>
          <w:szCs w:val="20"/>
          <w:lang w:val="es-ES" w:eastAsia="es-ES"/>
        </w:rPr>
      </w:pPr>
      <w:r w:rsidRPr="00DF4860">
        <w:rPr>
          <w:rFonts w:ascii="Verdana" w:eastAsia="Calibri" w:hAnsi="Verdana" w:cs="Arial"/>
          <w:sz w:val="20"/>
          <w:szCs w:val="20"/>
          <w:lang w:val="es-ES" w:eastAsia="es-ES"/>
        </w:rPr>
        <w:t>Como se observa, la Guía de Elaboración de Estudios del Sector recomienda como mecanismo para la elaboración de estudios del mercado, que sirvan para entender la dinámica de los precios y establecer el presupuesto oficial de la contratación, requerir a los potenciales proveedores a fin de que remitan la información necesaria para determinar diversos aspectos de los bienes o servicios a contratar, entre ellos su valor, especificaciones técnicas, el plazo, entre otra información relevante. En principio, que un potencial proveedor participe en estos estudios del mercado, remitiendo cotizaciones por citar un ejemplo, no implica que en el futuro no pueda participar del Proceso de Contratación que se adelante.</w:t>
      </w:r>
    </w:p>
    <w:p w14:paraId="75DD79EB" w14:textId="77777777" w:rsidR="001B7687" w:rsidRDefault="001B7687" w:rsidP="001B7687">
      <w:pPr>
        <w:spacing w:after="0"/>
        <w:rPr>
          <w:rFonts w:ascii="Verdana" w:eastAsia="Verdana" w:hAnsi="Verdana" w:cs="Verdana"/>
        </w:rPr>
      </w:pPr>
    </w:p>
    <w:p w14:paraId="4C9B2202" w14:textId="77777777" w:rsidR="001B7687" w:rsidRDefault="001B7687" w:rsidP="001B7687">
      <w:pPr>
        <w:spacing w:after="0" w:line="240" w:lineRule="auto"/>
        <w:jc w:val="both"/>
        <w:textAlignment w:val="baseline"/>
        <w:rPr>
          <w:rFonts w:ascii="Verdana" w:eastAsia="Verdana" w:hAnsi="Verdana" w:cs="Verdana"/>
          <w:color w:val="000000" w:themeColor="text1"/>
          <w:lang w:val="es"/>
        </w:rPr>
      </w:pPr>
    </w:p>
    <w:p w14:paraId="76748775" w14:textId="77777777" w:rsidR="001B7687" w:rsidRDefault="001B7687" w:rsidP="001B7687">
      <w:pPr>
        <w:spacing w:after="0" w:line="240" w:lineRule="auto"/>
        <w:jc w:val="both"/>
        <w:textAlignment w:val="baseline"/>
        <w:rPr>
          <w:rFonts w:ascii="Verdana" w:eastAsia="Verdana" w:hAnsi="Verdana" w:cs="Verdana"/>
          <w:color w:val="000000" w:themeColor="text1"/>
          <w:lang w:val="es"/>
        </w:rPr>
      </w:pPr>
    </w:p>
    <w:p w14:paraId="6F7D8072" w14:textId="779BD844" w:rsidR="001B7687" w:rsidRPr="0015699B" w:rsidRDefault="001B7687" w:rsidP="001B7687">
      <w:pPr>
        <w:spacing w:after="0" w:line="240" w:lineRule="auto"/>
        <w:jc w:val="both"/>
        <w:textAlignment w:val="baseline"/>
        <w:rPr>
          <w:rFonts w:ascii="Verdana" w:eastAsia="Verdana" w:hAnsi="Verdana" w:cs="Verdana"/>
          <w:color w:val="000000" w:themeColor="text1"/>
          <w:lang w:val="es"/>
        </w:rPr>
      </w:pPr>
      <w:r w:rsidRPr="39124533">
        <w:rPr>
          <w:rFonts w:ascii="Verdana" w:eastAsia="Verdana" w:hAnsi="Verdana" w:cs="Verdana"/>
          <w:color w:val="000000" w:themeColor="text1"/>
          <w:lang w:val="es"/>
        </w:rPr>
        <w:lastRenderedPageBreak/>
        <w:t xml:space="preserve">Bogotá D.C., </w:t>
      </w:r>
      <w:r w:rsidR="007A5988">
        <w:rPr>
          <w:rFonts w:ascii="Verdana" w:eastAsia="Verdana" w:hAnsi="Verdana" w:cs="Verdana"/>
          <w:color w:val="000000" w:themeColor="text1"/>
          <w:lang w:val="es"/>
        </w:rPr>
        <w:t>30</w:t>
      </w:r>
      <w:r w:rsidRPr="39124533">
        <w:rPr>
          <w:rFonts w:ascii="Verdana" w:eastAsia="Verdana" w:hAnsi="Verdana" w:cs="Verdana"/>
          <w:color w:val="000000" w:themeColor="text1"/>
          <w:lang w:val="es"/>
        </w:rPr>
        <w:t xml:space="preserve"> de julio de 2026</w:t>
      </w:r>
    </w:p>
    <w:p w14:paraId="3CB599D0" w14:textId="77777777" w:rsidR="001B7687" w:rsidRPr="0015699B" w:rsidRDefault="001B7687" w:rsidP="001B7687">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1DDA98E8" w14:textId="76B1EE95" w:rsidR="001B7687" w:rsidRDefault="00431ABA" w:rsidP="00431ABA">
      <w:pPr>
        <w:spacing w:after="0" w:line="240" w:lineRule="auto"/>
        <w:jc w:val="right"/>
        <w:textAlignment w:val="baseline"/>
        <w:rPr>
          <w:rFonts w:ascii="Verdana" w:eastAsia="Verdana" w:hAnsi="Verdana" w:cs="Verdana"/>
          <w:color w:val="000000" w:themeColor="text1"/>
          <w:lang w:val="es"/>
        </w:rPr>
      </w:pPr>
      <w:r>
        <w:rPr>
          <w:rFonts w:ascii="Verdana" w:eastAsia="Verdana" w:hAnsi="Verdana" w:cs="Verdana"/>
          <w:noProof/>
          <w:color w:val="000000" w:themeColor="text1"/>
          <w:lang w:val="es"/>
        </w:rPr>
        <w:drawing>
          <wp:inline distT="0" distB="0" distL="0" distR="0" wp14:anchorId="57B62355" wp14:editId="1067BC5D">
            <wp:extent cx="2219325" cy="714375"/>
            <wp:effectExtent l="0" t="0" r="9525" b="9525"/>
            <wp:docPr id="365963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9325" cy="714375"/>
                    </a:xfrm>
                    <a:prstGeom prst="rect">
                      <a:avLst/>
                    </a:prstGeom>
                    <a:noFill/>
                    <a:ln>
                      <a:noFill/>
                    </a:ln>
                  </pic:spPr>
                </pic:pic>
              </a:graphicData>
            </a:graphic>
          </wp:inline>
        </w:drawing>
      </w:r>
    </w:p>
    <w:p w14:paraId="24946B96" w14:textId="77777777" w:rsidR="00791E11" w:rsidRPr="0015699B" w:rsidRDefault="00791E11" w:rsidP="001B7687">
      <w:pPr>
        <w:spacing w:after="0" w:line="240" w:lineRule="auto"/>
        <w:jc w:val="both"/>
        <w:textAlignment w:val="baseline"/>
        <w:rPr>
          <w:rFonts w:ascii="Verdana" w:eastAsia="Verdana" w:hAnsi="Verdana" w:cs="Verdana"/>
          <w:color w:val="000000" w:themeColor="text1"/>
          <w:lang w:val="es"/>
        </w:rPr>
      </w:pPr>
    </w:p>
    <w:p w14:paraId="6628B5AD" w14:textId="77777777" w:rsidR="001B7687" w:rsidRPr="00842DC4" w:rsidRDefault="001B7687" w:rsidP="001B7687">
      <w:pPr>
        <w:spacing w:after="0" w:line="240" w:lineRule="auto"/>
        <w:jc w:val="both"/>
        <w:textAlignment w:val="baseline"/>
        <w:rPr>
          <w:rFonts w:ascii="Verdana" w:eastAsia="Verdana" w:hAnsi="Verdana" w:cs="Verdana"/>
          <w:color w:val="000000" w:themeColor="text1"/>
          <w:lang w:val="es"/>
        </w:rPr>
      </w:pPr>
      <w:r w:rsidRPr="00842DC4">
        <w:rPr>
          <w:rFonts w:ascii="Verdana" w:eastAsia="Verdana" w:hAnsi="Verdana" w:cs="Verdana"/>
          <w:color w:val="000000" w:themeColor="text1"/>
          <w:lang w:val="es"/>
        </w:rPr>
        <w:t>Señor</w:t>
      </w:r>
    </w:p>
    <w:p w14:paraId="42CE8CEF" w14:textId="77777777" w:rsidR="001B7687" w:rsidRPr="00842DC4" w:rsidRDefault="001B7687" w:rsidP="001B7687">
      <w:pPr>
        <w:spacing w:after="0" w:line="240" w:lineRule="auto"/>
        <w:jc w:val="both"/>
        <w:textAlignment w:val="baseline"/>
        <w:rPr>
          <w:rFonts w:ascii="Verdana" w:eastAsia="Verdana" w:hAnsi="Verdana" w:cs="Verdana"/>
          <w:b/>
          <w:bCs/>
          <w:lang w:val="es"/>
        </w:rPr>
      </w:pPr>
      <w:r>
        <w:rPr>
          <w:rFonts w:ascii="Verdana" w:eastAsia="Verdana" w:hAnsi="Verdana" w:cs="Verdana"/>
          <w:b/>
          <w:bCs/>
          <w:lang w:val="es"/>
        </w:rPr>
        <w:t>JUAN PABLO MADRID CALLE</w:t>
      </w:r>
    </w:p>
    <w:p w14:paraId="0901738F" w14:textId="77777777" w:rsidR="001B7687" w:rsidRPr="00E26411" w:rsidRDefault="001B7687" w:rsidP="001B7687">
      <w:pPr>
        <w:spacing w:after="0" w:line="240" w:lineRule="auto"/>
        <w:jc w:val="both"/>
        <w:textAlignment w:val="baseline"/>
        <w:rPr>
          <w:rFonts w:ascii="Verdana" w:eastAsia="Verdana" w:hAnsi="Verdana" w:cs="Verdana"/>
          <w:lang w:val="es"/>
        </w:rPr>
      </w:pPr>
      <w:hyperlink r:id="rId11" w:history="1">
        <w:r w:rsidRPr="00E76B40">
          <w:rPr>
            <w:rStyle w:val="Hipervnculo"/>
            <w:rFonts w:ascii="Verdana" w:hAnsi="Verdana"/>
          </w:rPr>
          <w:t>pablocalle3107@gmail.com</w:t>
        </w:r>
      </w:hyperlink>
      <w:r>
        <w:rPr>
          <w:rFonts w:ascii="Verdana" w:hAnsi="Verdana"/>
        </w:rPr>
        <w:t xml:space="preserve"> </w:t>
      </w:r>
      <w:r w:rsidRPr="00E26411">
        <w:rPr>
          <w:rFonts w:ascii="Verdana" w:hAnsi="Verdana"/>
        </w:rPr>
        <w:t xml:space="preserve"> </w:t>
      </w:r>
      <w:r>
        <w:rPr>
          <w:rFonts w:ascii="Verdana" w:hAnsi="Verdana"/>
        </w:rPr>
        <w:t xml:space="preserve"> </w:t>
      </w:r>
      <w:r w:rsidRPr="00E26411">
        <w:rPr>
          <w:rFonts w:ascii="Verdana" w:eastAsia="Verdana" w:hAnsi="Verdana" w:cs="Verdana"/>
        </w:rPr>
        <w:t xml:space="preserve"> </w:t>
      </w:r>
    </w:p>
    <w:p w14:paraId="17BAFA69" w14:textId="77777777" w:rsidR="001B7687" w:rsidRPr="00842DC4" w:rsidRDefault="001B7687" w:rsidP="001B7687">
      <w:pPr>
        <w:spacing w:after="0" w:line="240" w:lineRule="auto"/>
        <w:jc w:val="both"/>
        <w:textAlignment w:val="baseline"/>
        <w:rPr>
          <w:rFonts w:ascii="Verdana" w:eastAsia="Verdana" w:hAnsi="Verdana" w:cs="Verdana"/>
          <w:lang w:val="es"/>
        </w:rPr>
      </w:pPr>
      <w:r w:rsidRPr="00842DC4">
        <w:rPr>
          <w:rFonts w:ascii="Verdana" w:eastAsia="Verdana" w:hAnsi="Verdana" w:cs="Verdana"/>
          <w:lang w:val="es"/>
        </w:rPr>
        <w:t>Bogotá D.C.</w:t>
      </w:r>
    </w:p>
    <w:p w14:paraId="7B25503A" w14:textId="77777777" w:rsidR="001B7687" w:rsidRPr="003D5882" w:rsidRDefault="001B7687" w:rsidP="001B7687">
      <w:pPr>
        <w:spacing w:after="0" w:line="240" w:lineRule="auto"/>
        <w:jc w:val="both"/>
        <w:textAlignment w:val="baseline"/>
        <w:rPr>
          <w:rFonts w:ascii="Verdana" w:hAnsi="Verdana"/>
        </w:rPr>
      </w:pPr>
      <w:r w:rsidRPr="39124533">
        <w:rPr>
          <w:rFonts w:ascii="Verdana" w:eastAsia="Verdana" w:hAnsi="Verdana" w:cs="Verdana"/>
          <w:b/>
          <w:bCs/>
          <w:color w:val="000000" w:themeColor="text1"/>
          <w:lang w:val="es"/>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6540"/>
      </w:tblGrid>
      <w:tr w:rsidR="001B7687" w14:paraId="665CB31D" w14:textId="77777777" w:rsidTr="0048031D">
        <w:trPr>
          <w:trHeight w:val="615"/>
        </w:trPr>
        <w:tc>
          <w:tcPr>
            <w:tcW w:w="2265" w:type="dxa"/>
            <w:shd w:val="clear" w:color="auto" w:fill="FFFFFF" w:themeFill="background1"/>
            <w:tcMar>
              <w:left w:w="108" w:type="dxa"/>
              <w:right w:w="108" w:type="dxa"/>
            </w:tcMar>
          </w:tcPr>
          <w:p w14:paraId="6183C937" w14:textId="77777777" w:rsidR="001B7687" w:rsidRDefault="001B7687" w:rsidP="0048031D">
            <w:pPr>
              <w:jc w:val="both"/>
              <w:rPr>
                <w:rFonts w:ascii="Verdana" w:eastAsia="Verdana" w:hAnsi="Verdana" w:cs="Verdana"/>
                <w:b/>
                <w:bCs/>
                <w:color w:val="000000" w:themeColor="text1"/>
              </w:rPr>
            </w:pPr>
          </w:p>
        </w:tc>
        <w:tc>
          <w:tcPr>
            <w:tcW w:w="6540" w:type="dxa"/>
            <w:shd w:val="clear" w:color="auto" w:fill="FFFFFF" w:themeFill="background1"/>
            <w:tcMar>
              <w:left w:w="108" w:type="dxa"/>
              <w:right w:w="108" w:type="dxa"/>
            </w:tcMar>
          </w:tcPr>
          <w:p w14:paraId="17CB1E78" w14:textId="77777777" w:rsidR="001B7687" w:rsidRPr="00E26411" w:rsidRDefault="001B7687" w:rsidP="0048031D">
            <w:pPr>
              <w:jc w:val="both"/>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Concepto C- 9</w:t>
            </w:r>
            <w:r>
              <w:rPr>
                <w:rFonts w:ascii="Verdana" w:eastAsia="Verdana" w:hAnsi="Verdana" w:cs="Verdana"/>
                <w:b/>
                <w:bCs/>
                <w:color w:val="000000" w:themeColor="text1"/>
                <w:lang w:val="es"/>
              </w:rPr>
              <w:t>85</w:t>
            </w:r>
            <w:r w:rsidRPr="40A87941">
              <w:rPr>
                <w:rFonts w:ascii="Verdana" w:eastAsia="Verdana" w:hAnsi="Verdana" w:cs="Verdana"/>
                <w:b/>
                <w:bCs/>
                <w:color w:val="000000" w:themeColor="text1"/>
                <w:lang w:val="es"/>
              </w:rPr>
              <w:t xml:space="preserve"> de 2026</w:t>
            </w:r>
          </w:p>
        </w:tc>
      </w:tr>
      <w:tr w:rsidR="001B7687" w14:paraId="2F159B5D" w14:textId="77777777" w:rsidTr="0048031D">
        <w:trPr>
          <w:trHeight w:val="1065"/>
        </w:trPr>
        <w:tc>
          <w:tcPr>
            <w:tcW w:w="2265" w:type="dxa"/>
            <w:shd w:val="clear" w:color="auto" w:fill="FFFFFF" w:themeFill="background1"/>
            <w:tcMar>
              <w:left w:w="108" w:type="dxa"/>
              <w:right w:w="108" w:type="dxa"/>
            </w:tcMar>
          </w:tcPr>
          <w:p w14:paraId="0D50515B" w14:textId="77777777" w:rsidR="001B7687" w:rsidRDefault="001B7687" w:rsidP="0048031D">
            <w:pPr>
              <w:jc w:val="both"/>
            </w:pPr>
            <w:r w:rsidRPr="40A87941">
              <w:rPr>
                <w:rFonts w:ascii="Verdana" w:eastAsia="Verdana" w:hAnsi="Verdana" w:cs="Verdana"/>
                <w:b/>
                <w:bCs/>
                <w:color w:val="000000" w:themeColor="text1"/>
              </w:rPr>
              <w:t>Temas:</w:t>
            </w:r>
            <w:r w:rsidRPr="40A87941">
              <w:rPr>
                <w:rFonts w:ascii="Verdana" w:eastAsia="Verdana" w:hAnsi="Verdana" w:cs="Verdana"/>
                <w:color w:val="000000" w:themeColor="text1"/>
              </w:rPr>
              <w:t xml:space="preserve">                   </w:t>
            </w:r>
          </w:p>
        </w:tc>
        <w:tc>
          <w:tcPr>
            <w:tcW w:w="6540" w:type="dxa"/>
            <w:shd w:val="clear" w:color="auto" w:fill="FFFFFF" w:themeFill="background1"/>
            <w:tcMar>
              <w:left w:w="108" w:type="dxa"/>
              <w:right w:w="108" w:type="dxa"/>
            </w:tcMar>
          </w:tcPr>
          <w:p w14:paraId="5D4DC029" w14:textId="77777777" w:rsidR="001B7687" w:rsidRDefault="001B7687" w:rsidP="0048031D">
            <w:pPr>
              <w:spacing w:line="276" w:lineRule="auto"/>
              <w:jc w:val="both"/>
              <w:rPr>
                <w:rFonts w:ascii="Verdana" w:eastAsia="Calibri" w:hAnsi="Verdana" w:cs="Arial"/>
                <w:lang w:val="es-ES" w:eastAsia="es-ES"/>
              </w:rPr>
            </w:pPr>
            <w:r w:rsidRPr="00EE4CD2">
              <w:rPr>
                <w:rFonts w:ascii="Verdana" w:eastAsia="Calibri" w:hAnsi="Verdana" w:cs="Arial"/>
                <w:lang w:val="es-ES" w:eastAsia="es-ES"/>
              </w:rPr>
              <w:t>PLANEACIÓN CONTRACTUAL – Noción – Obligación de las entidades – Ley 80 de 1993 / ESTUDIOS PREVIOS – Finalidad / ESTUDIOS DE MERCADO – Finalidad – Recomendaciones – Colombia Compra eficiente – Guía de elaboración de estudios del sector</w:t>
            </w:r>
            <w:r>
              <w:rPr>
                <w:rFonts w:ascii="Verdana" w:eastAsia="Calibri" w:hAnsi="Verdana" w:cs="Arial"/>
                <w:lang w:val="es-ES" w:eastAsia="es-ES"/>
              </w:rPr>
              <w:t>.</w:t>
            </w:r>
          </w:p>
          <w:p w14:paraId="0AD1D644" w14:textId="77777777" w:rsidR="001B7687" w:rsidRDefault="001B7687" w:rsidP="0048031D">
            <w:pPr>
              <w:spacing w:line="276" w:lineRule="auto"/>
              <w:jc w:val="both"/>
            </w:pPr>
            <w:r w:rsidRPr="39124533">
              <w:rPr>
                <w:rFonts w:ascii="Verdana" w:eastAsia="Verdana" w:hAnsi="Verdana" w:cs="Verdana"/>
              </w:rPr>
              <w:t xml:space="preserve"> </w:t>
            </w:r>
          </w:p>
        </w:tc>
      </w:tr>
      <w:tr w:rsidR="001B7687" w14:paraId="5016D432" w14:textId="77777777" w:rsidTr="0048031D">
        <w:trPr>
          <w:trHeight w:val="660"/>
        </w:trPr>
        <w:tc>
          <w:tcPr>
            <w:tcW w:w="2265" w:type="dxa"/>
            <w:shd w:val="clear" w:color="auto" w:fill="FFFFFF" w:themeFill="background1"/>
            <w:tcMar>
              <w:left w:w="108" w:type="dxa"/>
              <w:right w:w="108" w:type="dxa"/>
            </w:tcMar>
          </w:tcPr>
          <w:p w14:paraId="6AF5FC26" w14:textId="77777777" w:rsidR="001B7687" w:rsidRDefault="001B7687" w:rsidP="0048031D">
            <w:pPr>
              <w:jc w:val="both"/>
            </w:pPr>
            <w:r w:rsidRPr="40A87941">
              <w:rPr>
                <w:rFonts w:ascii="Verdana" w:eastAsia="Verdana" w:hAnsi="Verdana" w:cs="Verdana"/>
                <w:b/>
                <w:bCs/>
                <w:color w:val="000000" w:themeColor="text1"/>
              </w:rPr>
              <w:t>Radicación:</w:t>
            </w:r>
            <w:r w:rsidRPr="40A87941">
              <w:rPr>
                <w:rFonts w:ascii="Verdana" w:eastAsia="Verdana" w:hAnsi="Verdana" w:cs="Verdana"/>
                <w:color w:val="000000" w:themeColor="text1"/>
              </w:rPr>
              <w:t xml:space="preserve">           </w:t>
            </w:r>
          </w:p>
        </w:tc>
        <w:tc>
          <w:tcPr>
            <w:tcW w:w="6540" w:type="dxa"/>
            <w:shd w:val="clear" w:color="auto" w:fill="FFFFFF" w:themeFill="background1"/>
            <w:tcMar>
              <w:left w:w="108" w:type="dxa"/>
              <w:right w:w="108" w:type="dxa"/>
            </w:tcMar>
          </w:tcPr>
          <w:p w14:paraId="79D734F0" w14:textId="77777777" w:rsidR="001B7687" w:rsidRDefault="001B7687" w:rsidP="0048031D">
            <w:pPr>
              <w:ind w:right="1"/>
              <w:jc w:val="both"/>
            </w:pPr>
            <w:r w:rsidRPr="39124533">
              <w:rPr>
                <w:rFonts w:ascii="Verdana" w:eastAsia="Verdana" w:hAnsi="Verdana" w:cs="Verdana"/>
                <w:color w:val="000000" w:themeColor="text1"/>
              </w:rPr>
              <w:t xml:space="preserve">Respuesta a consulta con radicado N.º </w:t>
            </w:r>
            <w:r w:rsidRPr="00E26411">
              <w:rPr>
                <w:rFonts w:ascii="Verdana" w:eastAsia="Verdana" w:hAnsi="Verdana" w:cs="Verdana"/>
                <w:color w:val="000000" w:themeColor="text1"/>
              </w:rPr>
              <w:t>1_2026_06_17_008140</w:t>
            </w:r>
            <w:r w:rsidRPr="39124533">
              <w:rPr>
                <w:rFonts w:ascii="Verdana" w:eastAsia="Verdana" w:hAnsi="Verdana" w:cs="Verdana"/>
                <w:color w:val="000000" w:themeColor="text1"/>
              </w:rPr>
              <w:t>.</w:t>
            </w:r>
          </w:p>
        </w:tc>
      </w:tr>
    </w:tbl>
    <w:p w14:paraId="16D7697E" w14:textId="77777777" w:rsidR="001B7687" w:rsidRPr="0015699B" w:rsidRDefault="001B7687" w:rsidP="001B7687">
      <w:pPr>
        <w:spacing w:after="0" w:line="240" w:lineRule="auto"/>
        <w:jc w:val="both"/>
        <w:textAlignment w:val="baseline"/>
        <w:rPr>
          <w:rFonts w:ascii="Verdana" w:eastAsia="Verdana" w:hAnsi="Verdana" w:cs="Verdana"/>
          <w:b/>
          <w:bCs/>
          <w:color w:val="000000" w:themeColor="text1"/>
          <w:lang w:val="es"/>
        </w:rPr>
      </w:pPr>
    </w:p>
    <w:p w14:paraId="60F6CCC1" w14:textId="77777777" w:rsidR="001B7687" w:rsidRPr="0015699B" w:rsidRDefault="001B7687" w:rsidP="001B7687">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Estimado señor </w:t>
      </w:r>
      <w:r>
        <w:rPr>
          <w:rFonts w:ascii="Verdana" w:eastAsia="Verdana" w:hAnsi="Verdana" w:cs="Verdana"/>
          <w:color w:val="000000" w:themeColor="text1"/>
          <w:lang w:val="es"/>
        </w:rPr>
        <w:t>Madrid</w:t>
      </w:r>
      <w:r w:rsidRPr="40A87941">
        <w:rPr>
          <w:rFonts w:ascii="Verdana" w:eastAsia="Verdana" w:hAnsi="Verdana" w:cs="Verdana"/>
          <w:color w:val="000000" w:themeColor="text1"/>
          <w:lang w:val="es"/>
        </w:rPr>
        <w:t>;</w:t>
      </w:r>
    </w:p>
    <w:p w14:paraId="7719FAFA" w14:textId="77777777" w:rsidR="001B7687" w:rsidRPr="0015699B" w:rsidRDefault="001B7687" w:rsidP="001B7687">
      <w:pPr>
        <w:spacing w:after="0" w:line="276" w:lineRule="auto"/>
        <w:jc w:val="both"/>
        <w:textAlignment w:val="baseline"/>
        <w:rPr>
          <w:rFonts w:ascii="Calibri" w:eastAsia="Calibri" w:hAnsi="Calibri" w:cs="Calibri"/>
          <w:lang w:val="es"/>
        </w:rPr>
      </w:pPr>
      <w:r w:rsidRPr="40A87941">
        <w:rPr>
          <w:rFonts w:ascii="Calibri" w:eastAsia="Calibri" w:hAnsi="Calibri" w:cs="Calibri"/>
          <w:lang w:val="es"/>
        </w:rPr>
        <w:t xml:space="preserve"> </w:t>
      </w:r>
    </w:p>
    <w:p w14:paraId="3ABE341E" w14:textId="77777777" w:rsidR="001B7687" w:rsidRDefault="001B7687" w:rsidP="001B7687">
      <w:pPr>
        <w:spacing w:after="120" w:line="276" w:lineRule="auto"/>
        <w:jc w:val="both"/>
        <w:textAlignment w:val="baseline"/>
        <w:rPr>
          <w:rFonts w:ascii="Verdana" w:eastAsia="Verdana" w:hAnsi="Verdana" w:cs="Verdana"/>
          <w:color w:val="000000" w:themeColor="text1"/>
          <w:lang w:val="es-ES"/>
        </w:rPr>
      </w:pPr>
      <w:r w:rsidRPr="39124533">
        <w:rPr>
          <w:rFonts w:ascii="Verdana" w:eastAsia="Verdana" w:hAnsi="Verdana" w:cs="Verdana"/>
          <w:color w:val="000000" w:themeColor="text1"/>
          <w:lang w:val="es-ES"/>
        </w:rPr>
        <w:t>En ejercicio de la competencia otorgada por los artículos 3, numeral 5º, y 11, numeral 8º, del Decreto Ley 4170 de 2011, así como lo establecido en el artículo 4 de la Resolución 1707 de 2018 expedida por esta Entidad, la Agencia Nacional de Contratación Pública – Colombia Compra Eficiente– responde a su solicitud radicada ante esta entidad el 1</w:t>
      </w:r>
      <w:r>
        <w:rPr>
          <w:rFonts w:ascii="Verdana" w:eastAsia="Verdana" w:hAnsi="Verdana" w:cs="Verdana"/>
          <w:color w:val="000000" w:themeColor="text1"/>
          <w:lang w:val="es-ES"/>
        </w:rPr>
        <w:t>8</w:t>
      </w:r>
      <w:r w:rsidRPr="39124533">
        <w:rPr>
          <w:rFonts w:ascii="Verdana" w:eastAsia="Verdana" w:hAnsi="Verdana" w:cs="Verdana"/>
          <w:color w:val="000000" w:themeColor="text1"/>
          <w:lang w:val="es-ES"/>
        </w:rPr>
        <w:t xml:space="preserve"> de junio de 2026 en la cual manifiesta lo siguiente: </w:t>
      </w:r>
    </w:p>
    <w:p w14:paraId="2DE240EF" w14:textId="77777777" w:rsidR="001B7687" w:rsidRPr="00662CDE" w:rsidRDefault="001B7687" w:rsidP="001B7687">
      <w:pPr>
        <w:spacing w:after="120" w:line="276" w:lineRule="auto"/>
        <w:ind w:left="567" w:right="1041"/>
        <w:jc w:val="both"/>
        <w:textAlignment w:val="baseline"/>
        <w:rPr>
          <w:rFonts w:ascii="Verdana" w:eastAsia="Verdana" w:hAnsi="Verdana" w:cs="Verdana"/>
          <w:i/>
          <w:iCs/>
          <w:sz w:val="21"/>
          <w:szCs w:val="21"/>
        </w:rPr>
      </w:pPr>
      <w:r w:rsidRPr="00662CDE">
        <w:rPr>
          <w:rFonts w:ascii="Verdana" w:eastAsia="Verdana" w:hAnsi="Verdana" w:cs="Verdana"/>
          <w:i/>
          <w:iCs/>
          <w:color w:val="000000" w:themeColor="text1"/>
          <w:sz w:val="21"/>
          <w:szCs w:val="21"/>
          <w:lang w:val="es"/>
        </w:rPr>
        <w:t>“</w:t>
      </w:r>
      <w:r w:rsidRPr="002F2EF8">
        <w:rPr>
          <w:rFonts w:ascii="Verdana" w:eastAsia="Verdana" w:hAnsi="Verdana" w:cs="Verdana"/>
          <w:b/>
          <w:bCs/>
          <w:i/>
          <w:iCs/>
          <w:sz w:val="21"/>
          <w:szCs w:val="21"/>
        </w:rPr>
        <w:t>1</w:t>
      </w:r>
      <w:r w:rsidRPr="00D34363">
        <w:rPr>
          <w:rFonts w:ascii="Verdana" w:eastAsia="Verdana" w:hAnsi="Verdana" w:cs="Verdana"/>
          <w:i/>
          <w:iCs/>
          <w:sz w:val="21"/>
          <w:szCs w:val="21"/>
        </w:rPr>
        <w:t>.</w:t>
      </w:r>
      <w:r w:rsidRPr="00662CDE">
        <w:rPr>
          <w:rFonts w:ascii="Verdana" w:eastAsia="Verdana" w:hAnsi="Verdana" w:cs="Verdana"/>
          <w:b/>
          <w:bCs/>
          <w:i/>
          <w:iCs/>
          <w:sz w:val="21"/>
          <w:szCs w:val="21"/>
        </w:rPr>
        <w:t xml:space="preserve"> </w:t>
      </w:r>
      <w:r w:rsidRPr="00662CDE">
        <w:rPr>
          <w:rFonts w:ascii="Verdana" w:eastAsia="Verdana" w:hAnsi="Verdana" w:cs="Verdana"/>
          <w:i/>
          <w:iCs/>
          <w:sz w:val="21"/>
          <w:szCs w:val="21"/>
        </w:rPr>
        <w:t xml:space="preserve">¿Resulta jurídicamente procedente y acorde con las buenas prácticas de la contratación pública que los abogados adscritos a las oficinas de compras y contratación sean quienes realicen directamente la gestión comercial de obtención de cotizaciones, incluyendo la búsqueda de proveedores, llamadas telefónicas, solicitud de precios y seguimiento para conseguir ofertas económicas de equipos altamente especializados? </w:t>
      </w:r>
    </w:p>
    <w:p w14:paraId="5BE1E917" w14:textId="77777777" w:rsidR="001B7687" w:rsidRPr="00662CDE" w:rsidRDefault="001B7687" w:rsidP="001B7687">
      <w:pPr>
        <w:spacing w:after="120" w:line="276" w:lineRule="auto"/>
        <w:ind w:left="567" w:right="1041"/>
        <w:jc w:val="both"/>
        <w:textAlignment w:val="baseline"/>
        <w:rPr>
          <w:rFonts w:ascii="Verdana" w:eastAsia="Verdana" w:hAnsi="Verdana" w:cs="Verdana"/>
          <w:i/>
          <w:iCs/>
          <w:sz w:val="21"/>
          <w:szCs w:val="21"/>
        </w:rPr>
      </w:pPr>
      <w:r w:rsidRPr="00662CDE">
        <w:rPr>
          <w:rFonts w:ascii="Verdana" w:eastAsia="Verdana" w:hAnsi="Verdana" w:cs="Verdana"/>
          <w:b/>
          <w:bCs/>
          <w:i/>
          <w:iCs/>
          <w:sz w:val="21"/>
          <w:szCs w:val="21"/>
        </w:rPr>
        <w:lastRenderedPageBreak/>
        <w:t xml:space="preserve">2. </w:t>
      </w:r>
      <w:r w:rsidRPr="00662CDE">
        <w:rPr>
          <w:rFonts w:ascii="Verdana" w:eastAsia="Verdana" w:hAnsi="Verdana" w:cs="Verdana"/>
          <w:i/>
          <w:iCs/>
          <w:sz w:val="21"/>
          <w:szCs w:val="21"/>
        </w:rPr>
        <w:t>¿Existe alguna diferencia conceptual y funcional entre: a) Consolidar, analizar o promediar cotizaciones previamente obtenidas por las dependencias técnicas competentes; y b) Adelantar directamente la gestión comercial para conseguir dichas cotizaciones en el mercado?</w:t>
      </w:r>
    </w:p>
    <w:p w14:paraId="04B7F026" w14:textId="77777777" w:rsidR="001B7687" w:rsidRPr="00662CDE" w:rsidRDefault="001B7687" w:rsidP="001B7687">
      <w:pPr>
        <w:spacing w:after="120" w:line="276" w:lineRule="auto"/>
        <w:ind w:left="567" w:right="1041"/>
        <w:jc w:val="both"/>
        <w:textAlignment w:val="baseline"/>
        <w:rPr>
          <w:rFonts w:ascii="Verdana" w:eastAsia="Verdana" w:hAnsi="Verdana" w:cs="Verdana"/>
          <w:i/>
          <w:iCs/>
          <w:sz w:val="21"/>
          <w:szCs w:val="21"/>
        </w:rPr>
      </w:pPr>
      <w:r w:rsidRPr="00662CDE">
        <w:rPr>
          <w:rFonts w:ascii="Verdana" w:eastAsia="Verdana" w:hAnsi="Verdana" w:cs="Verdana"/>
          <w:b/>
          <w:bCs/>
          <w:i/>
          <w:iCs/>
          <w:sz w:val="21"/>
          <w:szCs w:val="21"/>
        </w:rPr>
        <w:t xml:space="preserve">3. </w:t>
      </w:r>
      <w:r w:rsidRPr="00662CDE">
        <w:rPr>
          <w:rFonts w:ascii="Verdana" w:eastAsia="Verdana" w:hAnsi="Verdana" w:cs="Verdana"/>
          <w:i/>
          <w:iCs/>
          <w:sz w:val="21"/>
          <w:szCs w:val="21"/>
        </w:rPr>
        <w:t xml:space="preserve">Conforme al principio de planeación y a la distribución funcional de responsabilidades dentro de las entidades estatales, ¿corresponde prioritariamente a las áreas técnicas usuarias, por su conocimiento especializado del objeto contractual, liderar la identificación del mercado y la obtención inicial de referencias económicas para la construcción del estudio del sector? </w:t>
      </w:r>
    </w:p>
    <w:p w14:paraId="1F849EA6" w14:textId="77777777" w:rsidR="001B7687" w:rsidRPr="00662CDE" w:rsidRDefault="001B7687" w:rsidP="001B7687">
      <w:pPr>
        <w:spacing w:after="120" w:line="276" w:lineRule="auto"/>
        <w:ind w:left="567" w:right="1041"/>
        <w:jc w:val="both"/>
        <w:textAlignment w:val="baseline"/>
        <w:rPr>
          <w:rFonts w:ascii="Verdana" w:eastAsia="Verdana" w:hAnsi="Verdana" w:cs="Verdana"/>
          <w:i/>
          <w:iCs/>
          <w:sz w:val="21"/>
          <w:szCs w:val="21"/>
        </w:rPr>
      </w:pPr>
      <w:r w:rsidRPr="00662CDE">
        <w:rPr>
          <w:rFonts w:ascii="Verdana" w:eastAsia="Verdana" w:hAnsi="Verdana" w:cs="Verdana"/>
          <w:b/>
          <w:bCs/>
          <w:i/>
          <w:iCs/>
          <w:sz w:val="21"/>
          <w:szCs w:val="21"/>
        </w:rPr>
        <w:t xml:space="preserve">4. </w:t>
      </w:r>
      <w:r w:rsidRPr="00662CDE">
        <w:rPr>
          <w:rFonts w:ascii="Verdana" w:eastAsia="Verdana" w:hAnsi="Verdana" w:cs="Verdana"/>
          <w:i/>
          <w:iCs/>
          <w:sz w:val="21"/>
          <w:szCs w:val="21"/>
        </w:rPr>
        <w:t xml:space="preserve">En aquellos procesos que involucren bienes o servicios altamente especializados, ¿la ausencia de participación efectiva del área técnica en la construcción del estudio de mercado podría generar riesgos para la adecuada determinación del presupuesto oficial, la necesidad contractual o las especificaciones técnicas requeridas? </w:t>
      </w:r>
    </w:p>
    <w:p w14:paraId="3DC70CAA" w14:textId="77777777" w:rsidR="001B7687" w:rsidRPr="00662CDE" w:rsidRDefault="001B7687" w:rsidP="001B7687">
      <w:pPr>
        <w:spacing w:after="120" w:line="276" w:lineRule="auto"/>
        <w:ind w:left="567" w:right="1041"/>
        <w:jc w:val="both"/>
        <w:textAlignment w:val="baseline"/>
        <w:rPr>
          <w:rFonts w:ascii="Verdana" w:eastAsia="Verdana" w:hAnsi="Verdana" w:cs="Verdana"/>
          <w:i/>
          <w:iCs/>
          <w:sz w:val="21"/>
          <w:szCs w:val="21"/>
        </w:rPr>
      </w:pPr>
      <w:r w:rsidRPr="00662CDE">
        <w:rPr>
          <w:rFonts w:ascii="Verdana" w:eastAsia="Verdana" w:hAnsi="Verdana" w:cs="Verdana"/>
          <w:b/>
          <w:bCs/>
          <w:i/>
          <w:iCs/>
          <w:sz w:val="21"/>
          <w:szCs w:val="21"/>
        </w:rPr>
        <w:t>5.</w:t>
      </w:r>
      <w:r>
        <w:rPr>
          <w:rFonts w:ascii="Verdana" w:eastAsia="Verdana" w:hAnsi="Verdana" w:cs="Verdana"/>
          <w:b/>
          <w:bCs/>
          <w:i/>
          <w:iCs/>
          <w:sz w:val="21"/>
          <w:szCs w:val="21"/>
        </w:rPr>
        <w:t xml:space="preserve"> </w:t>
      </w:r>
      <w:r w:rsidRPr="00662CDE">
        <w:rPr>
          <w:rFonts w:ascii="Verdana" w:eastAsia="Verdana" w:hAnsi="Verdana" w:cs="Verdana"/>
          <w:i/>
          <w:iCs/>
          <w:sz w:val="21"/>
          <w:szCs w:val="21"/>
        </w:rPr>
        <w:t>¿La asignación permanente de actividades de búsqueda y consecución de cotizaciones a funcionarios jurídicos podría implicar una desnaturalización de las funciones propias de las oficinas de contratación o afectar los principios de eficiencia, planeación, responsabilidad y control interno?</w:t>
      </w:r>
    </w:p>
    <w:p w14:paraId="183D9EBE" w14:textId="77777777" w:rsidR="001B7687" w:rsidRPr="00662CDE" w:rsidRDefault="001B7687" w:rsidP="001B7687">
      <w:pPr>
        <w:spacing w:after="120" w:line="276" w:lineRule="auto"/>
        <w:ind w:left="567" w:right="1041"/>
        <w:jc w:val="both"/>
        <w:textAlignment w:val="baseline"/>
        <w:rPr>
          <w:rFonts w:ascii="Verdana" w:eastAsia="Verdana" w:hAnsi="Verdana" w:cs="Verdana"/>
          <w:i/>
          <w:iCs/>
          <w:sz w:val="21"/>
          <w:szCs w:val="21"/>
        </w:rPr>
      </w:pPr>
      <w:r w:rsidRPr="00662CDE">
        <w:rPr>
          <w:rFonts w:ascii="Verdana" w:eastAsia="Verdana" w:hAnsi="Verdana" w:cs="Verdana"/>
          <w:b/>
          <w:bCs/>
          <w:i/>
          <w:iCs/>
          <w:sz w:val="21"/>
          <w:szCs w:val="21"/>
        </w:rPr>
        <w:t xml:space="preserve">6. </w:t>
      </w:r>
      <w:r w:rsidRPr="00662CDE">
        <w:rPr>
          <w:rFonts w:ascii="Verdana" w:eastAsia="Verdana" w:hAnsi="Verdana" w:cs="Verdana"/>
          <w:i/>
          <w:iCs/>
          <w:sz w:val="21"/>
          <w:szCs w:val="21"/>
        </w:rPr>
        <w:t xml:space="preserve">¿Qué responsabilidades disciplinarias, fiscales, administrativas o de otra naturaleza podrían eventualmente derivarse para el ordenador del gasto cuando se asignen a servidores sin competencia técnica actividades relacionadas con la determinación del mercado, la estructuración económica o la obtención de información especializada necesaria para definir el presupuesto oficial de un proceso de contratación? ¿queda exento de responsabilidad alguna? </w:t>
      </w:r>
    </w:p>
    <w:p w14:paraId="0EFF8F5B" w14:textId="77777777" w:rsidR="001B7687" w:rsidRPr="00662CDE" w:rsidRDefault="001B7687" w:rsidP="001B7687">
      <w:pPr>
        <w:spacing w:after="120" w:line="276" w:lineRule="auto"/>
        <w:ind w:left="567" w:right="1041"/>
        <w:jc w:val="both"/>
        <w:textAlignment w:val="baseline"/>
        <w:rPr>
          <w:rFonts w:ascii="Verdana" w:eastAsia="Verdana" w:hAnsi="Verdana" w:cs="Verdana"/>
          <w:i/>
          <w:iCs/>
          <w:color w:val="000000" w:themeColor="text1"/>
          <w:sz w:val="21"/>
          <w:szCs w:val="21"/>
          <w:lang w:val="es"/>
        </w:rPr>
      </w:pPr>
      <w:r w:rsidRPr="00662CDE">
        <w:rPr>
          <w:rFonts w:ascii="Verdana" w:eastAsia="Verdana" w:hAnsi="Verdana" w:cs="Verdana"/>
          <w:b/>
          <w:bCs/>
          <w:i/>
          <w:iCs/>
          <w:sz w:val="21"/>
          <w:szCs w:val="21"/>
        </w:rPr>
        <w:t xml:space="preserve">7. </w:t>
      </w:r>
      <w:r w:rsidRPr="00662CDE">
        <w:rPr>
          <w:rFonts w:ascii="Verdana" w:eastAsia="Verdana" w:hAnsi="Verdana" w:cs="Verdana"/>
          <w:i/>
          <w:iCs/>
          <w:sz w:val="21"/>
          <w:szCs w:val="21"/>
        </w:rPr>
        <w:t>¿Existen lineamientos, conceptos, guías o documentos expedidos por Colombia Compra Eficiente que establezcan buenas prácticas respecto de la distribución de responsabilidades entre las áreas técnicas y las áreas jurídicas durante la etapa de planeación contractual y elaboración de estudios del sector?”</w:t>
      </w:r>
      <w:r w:rsidRPr="00662CDE">
        <w:rPr>
          <w:rFonts w:ascii="Verdana" w:eastAsia="Verdana" w:hAnsi="Verdana" w:cs="Verdana"/>
          <w:i/>
          <w:iCs/>
          <w:color w:val="000000" w:themeColor="text1"/>
          <w:sz w:val="21"/>
          <w:szCs w:val="21"/>
          <w:lang w:val="es"/>
        </w:rPr>
        <w:t xml:space="preserve"> </w:t>
      </w:r>
    </w:p>
    <w:p w14:paraId="7D2B4F9A" w14:textId="77777777" w:rsidR="001B7687" w:rsidRPr="0015699B" w:rsidRDefault="001B7687" w:rsidP="001B7687">
      <w:pPr>
        <w:spacing w:after="120" w:line="276" w:lineRule="auto"/>
        <w:ind w:right="51" w:firstLine="709"/>
        <w:jc w:val="both"/>
        <w:textAlignment w:val="baseline"/>
        <w:rPr>
          <w:rFonts w:ascii="Calibri" w:eastAsia="Calibri" w:hAnsi="Calibri" w:cs="Calibri"/>
          <w:lang w:val="es"/>
        </w:rPr>
      </w:pPr>
      <w:r w:rsidRPr="39124533">
        <w:rPr>
          <w:rFonts w:ascii="Verdana" w:eastAsia="Verdana" w:hAnsi="Verdana" w:cs="Verdana"/>
          <w:color w:val="000000" w:themeColor="text1"/>
          <w:lang w:val="es"/>
        </w:rPr>
        <w:t xml:space="preserve">De manera preliminar, resulta necesario acotar que esta entidad solo tiene competencia para responder consultas sobre la aplicación de normas de </w:t>
      </w:r>
      <w:r w:rsidRPr="39124533">
        <w:rPr>
          <w:rFonts w:ascii="Verdana" w:eastAsia="Verdana" w:hAnsi="Verdana" w:cs="Verdana"/>
          <w:color w:val="000000" w:themeColor="text1"/>
          <w:lang w:val="es"/>
        </w:rPr>
        <w:lastRenderedPageBreak/>
        <w:t xml:space="preserve">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39124533">
        <w:rPr>
          <w:rFonts w:ascii="Calibri" w:eastAsia="Calibri" w:hAnsi="Calibri" w:cs="Calibri"/>
          <w:lang w:val="es"/>
        </w:rPr>
        <w:t xml:space="preserve">      </w:t>
      </w:r>
    </w:p>
    <w:p w14:paraId="0199B3F8" w14:textId="77777777" w:rsidR="001B7687" w:rsidRPr="0015699B" w:rsidRDefault="001B7687" w:rsidP="001B7687">
      <w:pPr>
        <w:spacing w:after="0" w:line="240" w:lineRule="auto"/>
        <w:ind w:right="49"/>
        <w:jc w:val="both"/>
        <w:textAlignment w:val="baseline"/>
        <w:rPr>
          <w:rFonts w:ascii="Verdana" w:eastAsia="Verdana" w:hAnsi="Verdana" w:cs="Verdana"/>
          <w:color w:val="000000" w:themeColor="text1"/>
          <w:lang w:val="es"/>
        </w:rPr>
      </w:pPr>
      <w:r w:rsidRPr="39124533">
        <w:rPr>
          <w:rFonts w:ascii="Verdana" w:eastAsia="Verdana" w:hAnsi="Verdana" w:cs="Verdana"/>
          <w:color w:val="000000" w:themeColor="text1"/>
          <w:lang w:val="es"/>
        </w:rPr>
        <w:t xml:space="preserve"> 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0099EFAA" w14:textId="77777777" w:rsidR="001B7687" w:rsidRPr="0015699B" w:rsidRDefault="001B7687" w:rsidP="001B7687">
      <w:pPr>
        <w:spacing w:after="0" w:line="276" w:lineRule="auto"/>
        <w:ind w:firstLine="709"/>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2C8BF393" w14:textId="77777777" w:rsidR="001B7687" w:rsidRPr="0015699B" w:rsidRDefault="001B7687" w:rsidP="001B7687">
      <w:pPr>
        <w:pStyle w:val="Prrafodelista"/>
        <w:numPr>
          <w:ilvl w:val="0"/>
          <w:numId w:val="16"/>
        </w:numPr>
        <w:spacing w:after="0" w:line="276" w:lineRule="auto"/>
        <w:ind w:left="1080" w:hanging="720"/>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Problema planteado:</w:t>
      </w:r>
    </w:p>
    <w:p w14:paraId="100C10D4" w14:textId="77777777" w:rsidR="001B7687" w:rsidRPr="0015699B" w:rsidRDefault="001B7687" w:rsidP="001B7687">
      <w:pPr>
        <w:tabs>
          <w:tab w:val="left" w:pos="426"/>
        </w:tabs>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39EE459B" w14:textId="77777777" w:rsidR="001B7687" w:rsidRDefault="001B7687" w:rsidP="001B7687">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De acuerdo con el contenido de su solicitud, esta Agencia resolverá el siguiente problema jurídico: ¿</w:t>
      </w:r>
      <w:r w:rsidRPr="00516154">
        <w:rPr>
          <w:rFonts w:ascii="Verdana" w:eastAsia="Verdana" w:hAnsi="Verdana" w:cs="Verdana"/>
          <w:color w:val="000000" w:themeColor="text1"/>
        </w:rPr>
        <w:t>Resulta jurídicamente procedente asignar a las oficinas jurídicas o de contratación la obtención de cotizaciones y demás actividades propias del estudio del sector, o dichas actividades corresponden a las dependencias técnicas en desarrollo del principio de planeación?</w:t>
      </w:r>
      <w:r>
        <w:rPr>
          <w:rFonts w:ascii="Verdana" w:eastAsia="Verdana" w:hAnsi="Verdana" w:cs="Verdana"/>
          <w:color w:val="000000" w:themeColor="text1"/>
          <w:lang w:val="es"/>
        </w:rPr>
        <w:t xml:space="preserve"> </w:t>
      </w:r>
    </w:p>
    <w:p w14:paraId="04F1306E" w14:textId="77777777" w:rsidR="001B7687" w:rsidRDefault="001B7687" w:rsidP="001B7687">
      <w:pPr>
        <w:spacing w:after="0" w:line="276" w:lineRule="auto"/>
        <w:jc w:val="both"/>
        <w:textAlignment w:val="baseline"/>
        <w:rPr>
          <w:rFonts w:ascii="Verdana" w:eastAsia="Verdana" w:hAnsi="Verdana" w:cs="Verdana"/>
          <w:color w:val="000000" w:themeColor="text1"/>
          <w:lang w:val="es"/>
        </w:rPr>
      </w:pPr>
    </w:p>
    <w:p w14:paraId="33DB90FA" w14:textId="77777777" w:rsidR="001B7687" w:rsidRPr="0015699B" w:rsidRDefault="001B7687" w:rsidP="001B7687">
      <w:pPr>
        <w:pStyle w:val="Prrafodelista"/>
        <w:numPr>
          <w:ilvl w:val="0"/>
          <w:numId w:val="16"/>
        </w:numPr>
        <w:spacing w:after="0" w:line="257" w:lineRule="auto"/>
        <w:ind w:left="1080" w:hanging="720"/>
        <w:jc w:val="both"/>
        <w:textAlignment w:val="baseline"/>
        <w:rPr>
          <w:rFonts w:ascii="Verdana" w:eastAsia="Verdana" w:hAnsi="Verdana" w:cs="Verdana"/>
          <w:b/>
          <w:bCs/>
          <w:lang w:val="es"/>
        </w:rPr>
      </w:pPr>
      <w:r w:rsidRPr="40A87941">
        <w:rPr>
          <w:rFonts w:ascii="Verdana" w:eastAsia="Verdana" w:hAnsi="Verdana" w:cs="Verdana"/>
          <w:b/>
          <w:bCs/>
          <w:lang w:val="es"/>
        </w:rPr>
        <w:t>Respuesta:</w:t>
      </w:r>
    </w:p>
    <w:p w14:paraId="09559653" w14:textId="77777777" w:rsidR="001B7687" w:rsidRPr="0015699B" w:rsidRDefault="001B7687" w:rsidP="001B7687">
      <w:pPr>
        <w:tabs>
          <w:tab w:val="left" w:pos="142"/>
          <w:tab w:val="left" w:pos="284"/>
        </w:tabs>
        <w:spacing w:after="0" w:line="276" w:lineRule="auto"/>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 xml:space="preserve"> </w:t>
      </w:r>
    </w:p>
    <w:tbl>
      <w:tblPr>
        <w:tblStyle w:val="Tablaconcuadrcula"/>
        <w:tblW w:w="0" w:type="auto"/>
        <w:tblLook w:val="04A0" w:firstRow="1" w:lastRow="0" w:firstColumn="1" w:lastColumn="0" w:noHBand="0" w:noVBand="1"/>
      </w:tblPr>
      <w:tblGrid>
        <w:gridCol w:w="8818"/>
      </w:tblGrid>
      <w:tr w:rsidR="001B7687" w14:paraId="542FC15A" w14:textId="77777777" w:rsidTr="0048031D">
        <w:trPr>
          <w:trHeight w:val="780"/>
        </w:trPr>
        <w:tc>
          <w:tcPr>
            <w:tcW w:w="8818" w:type="dxa"/>
            <w:tcBorders>
              <w:top w:val="dotted" w:sz="8" w:space="0" w:color="auto"/>
              <w:left w:val="dotted" w:sz="8" w:space="0" w:color="auto"/>
              <w:bottom w:val="dotted" w:sz="8" w:space="0" w:color="auto"/>
              <w:right w:val="dotted" w:sz="8" w:space="0" w:color="auto"/>
            </w:tcBorders>
            <w:tcMar>
              <w:left w:w="108" w:type="dxa"/>
              <w:right w:w="108" w:type="dxa"/>
            </w:tcMar>
          </w:tcPr>
          <w:p w14:paraId="337496EA" w14:textId="77777777" w:rsidR="001B7687" w:rsidRPr="00A0675A" w:rsidRDefault="001B7687" w:rsidP="0048031D">
            <w:pPr>
              <w:spacing w:after="120" w:line="276" w:lineRule="auto"/>
              <w:jc w:val="both"/>
              <w:rPr>
                <w:rFonts w:ascii="Verdana" w:eastAsia="Verdana" w:hAnsi="Verdana" w:cs="Verdana"/>
              </w:rPr>
            </w:pPr>
            <w:r>
              <w:rPr>
                <w:rFonts w:ascii="Verdana" w:eastAsia="Verdana" w:hAnsi="Verdana" w:cs="Verdana"/>
              </w:rPr>
              <w:t xml:space="preserve">           </w:t>
            </w:r>
            <w:r w:rsidRPr="00A0675A">
              <w:rPr>
                <w:rFonts w:ascii="Verdana" w:eastAsia="Verdana" w:hAnsi="Verdana" w:cs="Verdana"/>
              </w:rPr>
              <w:t xml:space="preserve">El principio de planeación constituye uno de los pilares de la actividad contractual de las entidades estatales, en la medida en que exige estructurar adecuadamente el proceso de contratación antes de su apertura, mediante la elaboración de los estudios y documentos previos que permitan identificar la necesidad pública que se pretende satisfacer y la forma más adecuada de hacerlo. En este sentido, la Agencia Nacional de Contratación Pública – Colombia Compra Eficiente, en el Concepto C-910 del 16 de julio de 2026, precisó que la planeación contractual es una herramienta de gerencia pública que exige dedicar tiempo y esfuerzos a la elaboración de los estudios previos, </w:t>
            </w:r>
            <w:r w:rsidRPr="00A0675A">
              <w:rPr>
                <w:rFonts w:ascii="Verdana" w:eastAsia="Verdana" w:hAnsi="Verdana" w:cs="Verdana"/>
              </w:rPr>
              <w:lastRenderedPageBreak/>
              <w:t>consultando el tipo de bienes y servicios existentes en el mercado, sus características, especificaciones, precios, costos, riesgos, garantías, disponibilidad y oferentes, con el propósito de realizar una escogencia diligente de la mejor oferta y satisfacer los fines públicos que persigue la contratación estatal.</w:t>
            </w:r>
          </w:p>
          <w:p w14:paraId="1ACE61A8" w14:textId="77777777" w:rsidR="001B7687" w:rsidRPr="00A0675A" w:rsidRDefault="001B7687" w:rsidP="0048031D">
            <w:pPr>
              <w:spacing w:after="120" w:line="276" w:lineRule="auto"/>
              <w:jc w:val="both"/>
              <w:rPr>
                <w:rFonts w:ascii="Verdana" w:eastAsia="Verdana" w:hAnsi="Verdana" w:cs="Verdana"/>
              </w:rPr>
            </w:pPr>
            <w:r>
              <w:rPr>
                <w:rFonts w:ascii="Verdana" w:eastAsia="Verdana" w:hAnsi="Verdana" w:cs="Verdana"/>
              </w:rPr>
              <w:t xml:space="preserve">          </w:t>
            </w:r>
            <w:r w:rsidRPr="00A0675A">
              <w:rPr>
                <w:rFonts w:ascii="Verdana" w:eastAsia="Verdana" w:hAnsi="Verdana" w:cs="Verdana"/>
              </w:rPr>
              <w:t>En concordancia con el artículo 25 de la Ley 80 de 1993, el artículo 2.2.1.1.2.1.1 del Decreto 1082 de 2015 establece el contenido mínimo de los estudios y documentos previos. En particular, los numerales 2 y 4 de dicha disposición exigen determinar el objeto del contrato con sus especificaciones técnicas y señalar el valor estimado del contrato junto con la justificación de este. Para cumplir dichas exigencias resulta necesario efectuar el análisis del sector económico correspondiente, actividad propia de la etapa de planeación que permite identificar las condiciones del mercado, el comportamiento de la oferta y la demanda, los posibles proveedores y las variables económicas y técnicas que inciden en la estructuración del proceso de contratación.</w:t>
            </w:r>
          </w:p>
          <w:p w14:paraId="7A852AEA" w14:textId="77777777" w:rsidR="001B7687" w:rsidRPr="00A0675A" w:rsidRDefault="001B7687" w:rsidP="0048031D">
            <w:pPr>
              <w:spacing w:after="120" w:line="276" w:lineRule="auto"/>
              <w:jc w:val="both"/>
              <w:rPr>
                <w:rFonts w:ascii="Verdana" w:eastAsia="Verdana" w:hAnsi="Verdana" w:cs="Verdana"/>
              </w:rPr>
            </w:pPr>
            <w:r>
              <w:rPr>
                <w:rFonts w:ascii="Verdana" w:eastAsia="Verdana" w:hAnsi="Verdana" w:cs="Verdana"/>
              </w:rPr>
              <w:t xml:space="preserve">         </w:t>
            </w:r>
            <w:r w:rsidRPr="00A0675A">
              <w:rPr>
                <w:rFonts w:ascii="Verdana" w:eastAsia="Verdana" w:hAnsi="Verdana" w:cs="Verdana"/>
              </w:rPr>
              <w:t>En el mismo sentido, el artículo 2.2.1.1.1.6.1 del Decreto 1082 de 2015 dispone que la entidad estatal debe realizar, durante la etapa de planeación, el análisis necesario para conocer el sector relativo al objeto del proceso de contratación desde las perspectivas legal, comercial, financiera, organizacional, técnica y de riesgos, dejando constancia de dicho análisis en los documentos del proceso.</w:t>
            </w:r>
          </w:p>
          <w:p w14:paraId="61CC5EBF" w14:textId="77777777" w:rsidR="001B7687" w:rsidRPr="00A0675A" w:rsidRDefault="001B7687" w:rsidP="0048031D">
            <w:pPr>
              <w:spacing w:after="120" w:line="276" w:lineRule="auto"/>
              <w:jc w:val="both"/>
              <w:rPr>
                <w:rFonts w:ascii="Verdana" w:eastAsia="Verdana" w:hAnsi="Verdana" w:cs="Verdana"/>
              </w:rPr>
            </w:pPr>
            <w:r>
              <w:rPr>
                <w:rFonts w:ascii="Verdana" w:eastAsia="Verdana" w:hAnsi="Verdana" w:cs="Verdana"/>
              </w:rPr>
              <w:t xml:space="preserve">         </w:t>
            </w:r>
            <w:r w:rsidRPr="00A0675A">
              <w:rPr>
                <w:rFonts w:ascii="Verdana" w:eastAsia="Verdana" w:hAnsi="Verdana" w:cs="Verdana"/>
              </w:rPr>
              <w:t>Ahora bien, aunque la normativa de contratación estatal impone la obligación de elaborar el estudio del sector, no establece un procedimiento uniforme ni asigna expresamente dicha actividad a una dependencia específica de la entidad. Como lo señaló esta Agencia en el Concepto C-910 del 16 de julio de 2026, las entidades estatales gozan de autonomía para estructurar dicho análisis, siempre que este satisfaga las exigencias previstas en el Decreto 1082 de 2015 y constituya un soporte suficiente para adoptar las decisiones propias de la etapa precontractual.</w:t>
            </w:r>
          </w:p>
          <w:p w14:paraId="785BBC72" w14:textId="77777777" w:rsidR="001B7687" w:rsidRPr="00A0675A" w:rsidRDefault="001B7687" w:rsidP="0048031D">
            <w:pPr>
              <w:spacing w:after="120" w:line="276" w:lineRule="auto"/>
              <w:jc w:val="both"/>
              <w:rPr>
                <w:rFonts w:ascii="Verdana" w:eastAsia="Verdana" w:hAnsi="Verdana" w:cs="Verdana"/>
              </w:rPr>
            </w:pPr>
            <w:r>
              <w:rPr>
                <w:rFonts w:ascii="Verdana" w:eastAsia="Verdana" w:hAnsi="Verdana" w:cs="Verdana"/>
              </w:rPr>
              <w:t xml:space="preserve">          </w:t>
            </w:r>
            <w:r w:rsidRPr="00A0675A">
              <w:rPr>
                <w:rFonts w:ascii="Verdana" w:eastAsia="Verdana" w:hAnsi="Verdana" w:cs="Verdana"/>
              </w:rPr>
              <w:t xml:space="preserve">En consecuencia, corresponde a cada entidad definir, conforme a su estructura organizacional y a la distribución interna de competencias, la forma en que se desarrollará el estudio del sector y la obtención de la información de mercado. No obstante, dicha distribución funcional debe garantizar la observancia del principio de planeación y propiciar que las decisiones relativas </w:t>
            </w:r>
            <w:r w:rsidRPr="00A0675A">
              <w:rPr>
                <w:rFonts w:ascii="Verdana" w:eastAsia="Verdana" w:hAnsi="Verdana" w:cs="Verdana"/>
              </w:rPr>
              <w:lastRenderedPageBreak/>
              <w:t>a la identificación de las necesidades, las especificaciones técnicas, la determinación del mercado relevante, la obtención de referencias económicas y la estimación del presupuesto oficial cuenten con la participación de las dependencias que, por razón de sus funciones y conocimientos especializados, se encuentran en mejores condiciones de aportar los elementos técnicos requeridos para la adecuada estructuración del proceso de contratación.</w:t>
            </w:r>
          </w:p>
          <w:p w14:paraId="7259534D" w14:textId="77777777" w:rsidR="001B7687" w:rsidRPr="00A0675A" w:rsidRDefault="001B7687" w:rsidP="0048031D">
            <w:pPr>
              <w:spacing w:after="120" w:line="276" w:lineRule="auto"/>
              <w:jc w:val="both"/>
              <w:rPr>
                <w:rFonts w:ascii="Verdana" w:eastAsia="Verdana" w:hAnsi="Verdana" w:cs="Verdana"/>
              </w:rPr>
            </w:pPr>
            <w:r>
              <w:rPr>
                <w:rFonts w:ascii="Verdana" w:eastAsia="Verdana" w:hAnsi="Verdana" w:cs="Verdana"/>
              </w:rPr>
              <w:t xml:space="preserve">           </w:t>
            </w:r>
            <w:r w:rsidRPr="00A0675A">
              <w:rPr>
                <w:rFonts w:ascii="Verdana" w:eastAsia="Verdana" w:hAnsi="Verdana" w:cs="Verdana"/>
              </w:rPr>
              <w:t>En ese contexto, debe distinguirse entre las actividades consistentes en consolidar, revisar o analizar la información obtenida durante la etapa de planeación y aquellas orientadas a identificar el mercado, contactar proveedores, solicitar cotizaciones o construir las referencias económicas que servirán de fundamento para determinar el presupuesto oficial. Si bien la normativa no prohíbe que distintas dependencias colaboren en estas actuaciones, la adecuada distribución funcional de responsabilidades exige que la estructuración técnica del estudio del sector se soporte en el conocimiento especializado del objeto contractual, mientras que las áreas jurídicas y de contratación ejercen el acompañamiento propio de sus competencias en la estructuración y verificación jurídica del proceso.</w:t>
            </w:r>
          </w:p>
          <w:p w14:paraId="67DDB4C5" w14:textId="77777777" w:rsidR="001B7687" w:rsidRPr="00A0675A" w:rsidRDefault="001B7687" w:rsidP="0048031D">
            <w:pPr>
              <w:spacing w:after="120" w:line="276" w:lineRule="auto"/>
              <w:jc w:val="both"/>
              <w:rPr>
                <w:rFonts w:ascii="Verdana" w:eastAsia="Verdana" w:hAnsi="Verdana" w:cs="Verdana"/>
              </w:rPr>
            </w:pPr>
            <w:r>
              <w:rPr>
                <w:rFonts w:ascii="Verdana" w:eastAsia="Verdana" w:hAnsi="Verdana" w:cs="Verdana"/>
              </w:rPr>
              <w:t xml:space="preserve">          </w:t>
            </w:r>
            <w:r w:rsidRPr="00A0675A">
              <w:rPr>
                <w:rFonts w:ascii="Verdana" w:eastAsia="Verdana" w:hAnsi="Verdana" w:cs="Verdana"/>
              </w:rPr>
              <w:t>Esta consideración adquiere especial relevancia cuando se trata de bienes o servicios altamente especializados, pues la identificación de proveedores, la definición de especificaciones técnicas, el análisis de equivalencias y la valoración de las condiciones del mercado requieren conocimientos técnicos que pueden incidir directamente en la adecuada determinación de la necesidad contractual y del presupuesto oficial.</w:t>
            </w:r>
          </w:p>
          <w:p w14:paraId="3F6CD6E3" w14:textId="77777777" w:rsidR="001B7687" w:rsidRPr="00A0675A" w:rsidRDefault="001B7687" w:rsidP="0048031D">
            <w:pPr>
              <w:spacing w:after="120" w:line="276" w:lineRule="auto"/>
              <w:jc w:val="both"/>
              <w:rPr>
                <w:rFonts w:ascii="Verdana" w:eastAsia="Verdana" w:hAnsi="Verdana" w:cs="Verdana"/>
              </w:rPr>
            </w:pPr>
            <w:r>
              <w:rPr>
                <w:rFonts w:ascii="Verdana" w:eastAsia="Verdana" w:hAnsi="Verdana" w:cs="Verdana"/>
              </w:rPr>
              <w:t xml:space="preserve">         </w:t>
            </w:r>
            <w:r w:rsidRPr="00A0675A">
              <w:rPr>
                <w:rFonts w:ascii="Verdana" w:eastAsia="Verdana" w:hAnsi="Verdana" w:cs="Verdana"/>
              </w:rPr>
              <w:t xml:space="preserve">Por otra parte, la eventual asignación de estas actividades a servidores públicos pertenecientes a dependencias distintas de las áreas técnicas constituye una decisión de organización administrativa que corresponde adoptar a cada entidad, sin que exista una prohibición legal expresa. Sin embargo, dicha distribución funcional no exonera a los servidores públicos ni a los ordenadores del gasto del cumplimiento de los deberes de planeación, diligencia y responsabilidad previstos en el Estatuto General de Contratación de la Administración Pública, ni impide que, en caso de presentarse irregularidades o afectaciones al patrimonio público, las autoridades competentes evalúen las responsabilidades disciplinarias, fiscales, penales o </w:t>
            </w:r>
            <w:r w:rsidRPr="00A0675A">
              <w:rPr>
                <w:rFonts w:ascii="Verdana" w:eastAsia="Verdana" w:hAnsi="Verdana" w:cs="Verdana"/>
              </w:rPr>
              <w:lastRenderedPageBreak/>
              <w:t>administrativas que puedan derivarse de las circunstancias particulares del caso.</w:t>
            </w:r>
          </w:p>
          <w:p w14:paraId="4D7C9CD4" w14:textId="77777777" w:rsidR="001B7687" w:rsidRPr="00A0675A" w:rsidRDefault="001B7687" w:rsidP="0048031D">
            <w:pPr>
              <w:spacing w:after="120" w:line="276" w:lineRule="auto"/>
              <w:jc w:val="both"/>
              <w:rPr>
                <w:rFonts w:ascii="Verdana" w:eastAsia="Verdana" w:hAnsi="Verdana" w:cs="Verdana"/>
              </w:rPr>
            </w:pPr>
            <w:r>
              <w:rPr>
                <w:rFonts w:ascii="Verdana" w:eastAsia="Verdana" w:hAnsi="Verdana" w:cs="Verdana"/>
              </w:rPr>
              <w:t xml:space="preserve">         </w:t>
            </w:r>
            <w:r w:rsidRPr="00A0675A">
              <w:rPr>
                <w:rFonts w:ascii="Verdana" w:eastAsia="Verdana" w:hAnsi="Verdana" w:cs="Verdana"/>
              </w:rPr>
              <w:t>Finalmente, debe reiterarse que el análisis requerido para resolver situaciones concretas relacionadas con la organización interna de las entidades estatales y la distribución de funciones entre sus dependencias corresponde, en primera instancia, a cada entidad, con el apoyo de sus asesores jurídicos y técnicos. En consecuencia, las consideraciones expuestas tienen un alcance general y no constituyen un pronunciamiento sobre la legalidad de actuaciones particulares, cuya valoración compete, en caso de controversia, a las autoridades judiciales y a los organismos de control.</w:t>
            </w:r>
          </w:p>
          <w:p w14:paraId="40994D1A" w14:textId="77777777" w:rsidR="001B7687" w:rsidRDefault="001B7687" w:rsidP="0048031D">
            <w:pPr>
              <w:spacing w:after="120" w:line="276" w:lineRule="auto"/>
              <w:ind w:firstLine="709"/>
              <w:jc w:val="both"/>
              <w:rPr>
                <w:rFonts w:ascii="Verdana" w:eastAsia="Verdana" w:hAnsi="Verdana" w:cs="Verdana"/>
              </w:rPr>
            </w:pPr>
            <w:r w:rsidRPr="40A87941">
              <w:rPr>
                <w:rFonts w:ascii="Verdana" w:eastAsia="Verdana" w:hAnsi="Verdana" w:cs="Verdana"/>
              </w:rPr>
              <w:t>Al margen de la explicación precedente debe advertirse que el análisis requerido para resolver situaciones particulares relacionadas con la concurrencia de proponentes vinculados entre sí corresponde a quienes tengan interés directo en el respectivo proceso contractual, de acuerdo con lo explicado en la aclaración preliminar del presente oficio. De esta manera, las afirmaciones aquí realizadas no pueden ser interpretadas como juicios de valor sobre circunstancias concretas relacionadas con los hechos que motivan la consulta.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tc>
      </w:tr>
    </w:tbl>
    <w:p w14:paraId="47196A8B" w14:textId="77777777" w:rsidR="001B7687" w:rsidRPr="0015699B" w:rsidRDefault="001B7687" w:rsidP="001B7687">
      <w:pPr>
        <w:tabs>
          <w:tab w:val="left" w:pos="142"/>
          <w:tab w:val="left" w:pos="284"/>
        </w:tabs>
        <w:spacing w:after="0" w:line="276" w:lineRule="auto"/>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lastRenderedPageBreak/>
        <w:t xml:space="preserve"> </w:t>
      </w:r>
    </w:p>
    <w:p w14:paraId="35192FF6" w14:textId="77777777" w:rsidR="001B7687" w:rsidRPr="0015699B" w:rsidRDefault="001B7687" w:rsidP="001B7687">
      <w:pPr>
        <w:pStyle w:val="Prrafodelista"/>
        <w:numPr>
          <w:ilvl w:val="0"/>
          <w:numId w:val="16"/>
        </w:numPr>
        <w:spacing w:after="0" w:line="276" w:lineRule="auto"/>
        <w:ind w:left="1080" w:hanging="720"/>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Razones de la respuesta:</w:t>
      </w:r>
    </w:p>
    <w:p w14:paraId="2251C590" w14:textId="77777777" w:rsidR="001B7687" w:rsidRPr="0015699B" w:rsidRDefault="001B7687" w:rsidP="001B7687">
      <w:pPr>
        <w:tabs>
          <w:tab w:val="left" w:pos="142"/>
          <w:tab w:val="left" w:pos="284"/>
        </w:tabs>
        <w:spacing w:after="0" w:line="276" w:lineRule="auto"/>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 xml:space="preserve"> </w:t>
      </w:r>
    </w:p>
    <w:p w14:paraId="3614ECF2" w14:textId="77777777" w:rsidR="001B7687" w:rsidRPr="0015699B" w:rsidRDefault="001B7687" w:rsidP="001B7687">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Lo anterior se sustenta en las siguientes consideraciones: </w:t>
      </w:r>
    </w:p>
    <w:p w14:paraId="5BD2CC44" w14:textId="77777777" w:rsidR="001B7687" w:rsidRDefault="001B7687" w:rsidP="001B7687">
      <w:pPr>
        <w:spacing w:after="0" w:line="276" w:lineRule="auto"/>
        <w:jc w:val="both"/>
        <w:textAlignment w:val="baseline"/>
        <w:rPr>
          <w:rFonts w:ascii="Verdana" w:eastAsia="Verdana" w:hAnsi="Verdana" w:cs="Verdana"/>
          <w:lang w:val="es"/>
        </w:rPr>
      </w:pPr>
    </w:p>
    <w:p w14:paraId="40F32A10" w14:textId="77777777" w:rsidR="001B7687" w:rsidRPr="00D93523" w:rsidRDefault="001B7687" w:rsidP="001B7687">
      <w:pPr>
        <w:spacing w:after="120" w:line="276" w:lineRule="auto"/>
        <w:ind w:firstLine="709"/>
        <w:jc w:val="both"/>
        <w:rPr>
          <w:rFonts w:ascii="Verdana" w:eastAsia="Times New Roman" w:hAnsi="Verdana" w:cs="Times New Roman"/>
          <w:lang w:eastAsia="es-ES_tradnl"/>
        </w:rPr>
      </w:pPr>
      <w:r>
        <w:rPr>
          <w:rFonts w:ascii="Verdana" w:eastAsia="Calibri" w:hAnsi="Verdana" w:cs="Arial"/>
          <w:bCs/>
          <w:lang w:val="es-ES_tradnl"/>
        </w:rPr>
        <w:t>L</w:t>
      </w:r>
      <w:r w:rsidRPr="007A2CB0">
        <w:rPr>
          <w:rFonts w:ascii="Verdana" w:eastAsia="Calibri" w:hAnsi="Verdana" w:cs="Arial"/>
          <w:bCs/>
          <w:lang w:val="es-ES_tradnl"/>
        </w:rPr>
        <w:t xml:space="preserve">a planeación contractual es una herramienta de gerencia pública, que exige estructurar el proceso contractual dedicando tiempo y esfuerzos para elaborar estudios previos, con el fin de determinar la necesidad que pretende satisfacer la entidad estatal y cuál es la mejor manera de hacerlo, consultando el tipo de bienes y servicios que ofrece el mercado y sus características, </w:t>
      </w:r>
      <w:r w:rsidRPr="007A2CB0">
        <w:rPr>
          <w:rFonts w:ascii="Verdana" w:eastAsia="Calibri" w:hAnsi="Verdana" w:cs="Arial"/>
          <w:bCs/>
          <w:lang w:val="es-ES_tradnl"/>
        </w:rPr>
        <w:lastRenderedPageBreak/>
        <w:t>especificaciones, precios, costos, riesgos, garantías, disponibilidad, oferentes, etc. Lo anterior con la finalidad de realizar la escogencia diligente de la mejor oferta, para beneficiar los intereses y fines públicos inmersos en la contratación de las entidades estatales.</w:t>
      </w:r>
    </w:p>
    <w:p w14:paraId="4BA18E17" w14:textId="77777777" w:rsidR="001B7687" w:rsidRPr="000A1D06" w:rsidRDefault="001B7687" w:rsidP="001B7687">
      <w:pPr>
        <w:spacing w:after="120" w:line="276" w:lineRule="auto"/>
        <w:ind w:firstLine="709"/>
        <w:jc w:val="both"/>
        <w:rPr>
          <w:rFonts w:ascii="Verdana" w:hAnsi="Verdana" w:cs="Arial"/>
        </w:rPr>
      </w:pPr>
      <w:r>
        <w:rPr>
          <w:rFonts w:ascii="Verdana" w:eastAsia="Times New Roman" w:hAnsi="Verdana" w:cs="Times New Roman"/>
          <w:lang w:eastAsia="es-ES_tradnl"/>
        </w:rPr>
        <w:t xml:space="preserve"> </w:t>
      </w:r>
      <w:r w:rsidRPr="003670EC">
        <w:rPr>
          <w:rFonts w:ascii="Verdana" w:eastAsia="Times New Roman" w:hAnsi="Verdana" w:cs="Times New Roman"/>
          <w:lang w:eastAsia="es-ES_tradnl"/>
        </w:rPr>
        <w:t xml:space="preserve"> </w:t>
      </w:r>
      <w:r>
        <w:rPr>
          <w:rFonts w:ascii="Verdana" w:eastAsia="Times New Roman" w:hAnsi="Verdana" w:cs="Times New Roman"/>
          <w:lang w:eastAsia="es-ES_tradnl"/>
        </w:rPr>
        <w:t xml:space="preserve"> </w:t>
      </w:r>
      <w:r w:rsidRPr="007A2CB0">
        <w:rPr>
          <w:rFonts w:ascii="Verdana" w:hAnsi="Verdana" w:cs="Arial"/>
        </w:rPr>
        <w:t>En congruencia con el artículo 25 de la Ley 80 de 1993, el Decreto Único Reglamentario del Sector Administrativo de Planeación Nacional –Decreto 1082 de 2015–, dispone en el artículo 2.2.1.1.2.1.1 el contenido mínimo de los estudios y documentos previos:</w:t>
      </w:r>
    </w:p>
    <w:p w14:paraId="0FD4DFE0" w14:textId="77777777" w:rsidR="001B7687" w:rsidRPr="000E1EA7" w:rsidRDefault="001B7687" w:rsidP="001B7687">
      <w:pPr>
        <w:spacing w:after="0" w:line="240" w:lineRule="auto"/>
        <w:ind w:left="709" w:right="709"/>
        <w:jc w:val="both"/>
        <w:rPr>
          <w:rFonts w:ascii="Verdana" w:hAnsi="Verdana" w:cs="Arial"/>
          <w:sz w:val="20"/>
          <w:szCs w:val="20"/>
        </w:rPr>
      </w:pPr>
      <w:r w:rsidRPr="000E1EA7">
        <w:rPr>
          <w:rFonts w:ascii="Verdana" w:hAnsi="Verdana" w:cs="Arial"/>
          <w:sz w:val="20"/>
          <w:szCs w:val="20"/>
        </w:rPr>
        <w:t xml:space="preserve">Artículo 2.2.1.1.2.1.1. Los estudios y documentos previos son el soporte para elaborar el proyecto de pliegos, los pliegos de condiciones y el contrato. Estos deben permanecer a disposición del público durante el desarrollo del Proceso de Contratación y contener los siguientes elementos, además de los indicados para cada modalidad de selección: </w:t>
      </w:r>
    </w:p>
    <w:p w14:paraId="749D4DD8" w14:textId="77777777" w:rsidR="001B7687" w:rsidRPr="000E1EA7" w:rsidRDefault="001B7687" w:rsidP="001B7687">
      <w:pPr>
        <w:spacing w:after="0" w:line="240" w:lineRule="auto"/>
        <w:ind w:left="709" w:right="709"/>
        <w:jc w:val="both"/>
        <w:rPr>
          <w:rFonts w:ascii="Verdana" w:hAnsi="Verdana" w:cs="Arial"/>
          <w:sz w:val="20"/>
          <w:szCs w:val="20"/>
        </w:rPr>
      </w:pPr>
      <w:r w:rsidRPr="000E1EA7">
        <w:rPr>
          <w:rFonts w:ascii="Verdana" w:hAnsi="Verdana" w:cs="Arial"/>
          <w:sz w:val="20"/>
          <w:szCs w:val="20"/>
        </w:rPr>
        <w:t xml:space="preserve">1. La descripción de la necesidad que la Entidad Estatal pretende satisfacer con el Proceso de Contratación. </w:t>
      </w:r>
      <w:r w:rsidRPr="000E1EA7">
        <w:rPr>
          <w:rFonts w:ascii="Arial" w:hAnsi="Arial" w:cs="Arial"/>
          <w:sz w:val="20"/>
          <w:szCs w:val="20"/>
        </w:rPr>
        <w:t>​</w:t>
      </w:r>
    </w:p>
    <w:p w14:paraId="51C03D85" w14:textId="77777777" w:rsidR="001B7687" w:rsidRPr="007A2CB0" w:rsidRDefault="001B7687" w:rsidP="001B7687">
      <w:pPr>
        <w:spacing w:after="0" w:line="240" w:lineRule="auto"/>
        <w:ind w:left="709" w:right="709"/>
        <w:jc w:val="both"/>
        <w:rPr>
          <w:rFonts w:ascii="Verdana" w:hAnsi="Verdana" w:cs="Arial"/>
          <w:sz w:val="20"/>
          <w:szCs w:val="20"/>
        </w:rPr>
      </w:pPr>
      <w:r w:rsidRPr="007A2CB0">
        <w:rPr>
          <w:rFonts w:ascii="Verdana" w:hAnsi="Verdana" w:cs="Arial"/>
          <w:sz w:val="20"/>
          <w:szCs w:val="20"/>
        </w:rPr>
        <w:t xml:space="preserve">2. El objeto a contratar, con sus especificaciones, las autorizaciones, permisos y licencias requeridos para su ejecución, y cuando el contrato incluye diseño y construcción, los documentos técnicos para el desarrollo del proyecto. </w:t>
      </w:r>
    </w:p>
    <w:p w14:paraId="57050071" w14:textId="77777777" w:rsidR="001B7687" w:rsidRPr="00A77A6E" w:rsidRDefault="001B7687" w:rsidP="001B7687">
      <w:pPr>
        <w:spacing w:after="0" w:line="240" w:lineRule="auto"/>
        <w:ind w:left="709" w:right="709"/>
        <w:jc w:val="both"/>
        <w:rPr>
          <w:rFonts w:ascii="Verdana" w:hAnsi="Verdana" w:cs="Arial"/>
          <w:sz w:val="20"/>
          <w:szCs w:val="20"/>
          <w:u w:val="single"/>
        </w:rPr>
      </w:pPr>
      <w:r w:rsidRPr="00A77A6E">
        <w:rPr>
          <w:rFonts w:ascii="Verdana" w:hAnsi="Verdana" w:cs="Arial"/>
          <w:sz w:val="20"/>
          <w:szCs w:val="20"/>
          <w:u w:val="single"/>
        </w:rPr>
        <w:t xml:space="preserve">3. La modalidad de selección del contratista y su justificación, incluyendo los fundamentos jurídicos. </w:t>
      </w:r>
    </w:p>
    <w:p w14:paraId="75EEC2D1" w14:textId="77777777" w:rsidR="001B7687" w:rsidRPr="007A2CB0" w:rsidRDefault="001B7687" w:rsidP="001B7687">
      <w:pPr>
        <w:spacing w:after="0" w:line="240" w:lineRule="auto"/>
        <w:ind w:left="709" w:right="709"/>
        <w:jc w:val="both"/>
        <w:rPr>
          <w:rFonts w:ascii="Verdana" w:hAnsi="Verdana" w:cs="Arial"/>
          <w:sz w:val="20"/>
          <w:szCs w:val="20"/>
        </w:rPr>
      </w:pPr>
      <w:r w:rsidRPr="007A2CB0">
        <w:rPr>
          <w:rFonts w:ascii="Verdana" w:hAnsi="Verdana" w:cs="Arial"/>
          <w:sz w:val="20"/>
          <w:szCs w:val="20"/>
        </w:rPr>
        <w:t xml:space="preserve">4. El valor estimado del contrato y la justificación del mismo. Cuando el valor del contrato esté determinado por precios unitarios, la Entidad Estatal debe incluir la forma como los calculó y soportar sus cálculos presupuestales en la estimación de aquellos. Si el contrato es de concesión, la Entidad Estatal no debe publicar el modelo financiero utilizado en su estructuración. </w:t>
      </w:r>
    </w:p>
    <w:p w14:paraId="63B4CEF9" w14:textId="77777777" w:rsidR="001B7687" w:rsidRPr="007A2CB0" w:rsidRDefault="001B7687" w:rsidP="001B7687">
      <w:pPr>
        <w:spacing w:after="0" w:line="240" w:lineRule="auto"/>
        <w:ind w:left="709" w:right="709"/>
        <w:jc w:val="both"/>
        <w:rPr>
          <w:rFonts w:ascii="Verdana" w:hAnsi="Verdana" w:cs="Arial"/>
          <w:sz w:val="20"/>
          <w:szCs w:val="20"/>
        </w:rPr>
      </w:pPr>
      <w:r w:rsidRPr="007A2CB0">
        <w:rPr>
          <w:rFonts w:ascii="Verdana" w:hAnsi="Verdana" w:cs="Arial"/>
          <w:sz w:val="20"/>
          <w:szCs w:val="20"/>
        </w:rPr>
        <w:t xml:space="preserve">5. Los criterios para seleccionar la oferta más favorable. </w:t>
      </w:r>
    </w:p>
    <w:p w14:paraId="2A751AD3" w14:textId="77777777" w:rsidR="001B7687" w:rsidRPr="007A2CB0" w:rsidRDefault="001B7687" w:rsidP="001B7687">
      <w:pPr>
        <w:spacing w:after="0" w:line="240" w:lineRule="auto"/>
        <w:ind w:left="709" w:right="709"/>
        <w:jc w:val="both"/>
        <w:rPr>
          <w:rFonts w:ascii="Verdana" w:hAnsi="Verdana" w:cs="Arial"/>
          <w:sz w:val="20"/>
          <w:szCs w:val="20"/>
        </w:rPr>
      </w:pPr>
      <w:r w:rsidRPr="007A2CB0">
        <w:rPr>
          <w:rFonts w:ascii="Verdana" w:hAnsi="Verdana" w:cs="Arial"/>
          <w:sz w:val="20"/>
          <w:szCs w:val="20"/>
        </w:rPr>
        <w:t xml:space="preserve">6. El análisis de Riesgo y la forma de mitigarlo. </w:t>
      </w:r>
    </w:p>
    <w:p w14:paraId="6992C77F" w14:textId="77777777" w:rsidR="001B7687" w:rsidRDefault="001B7687" w:rsidP="001B7687">
      <w:pPr>
        <w:spacing w:after="0" w:line="240" w:lineRule="auto"/>
        <w:ind w:left="709" w:right="709"/>
        <w:jc w:val="both"/>
        <w:rPr>
          <w:rFonts w:ascii="Verdana" w:hAnsi="Verdana" w:cs="Arial"/>
          <w:sz w:val="20"/>
          <w:szCs w:val="20"/>
        </w:rPr>
      </w:pPr>
      <w:r w:rsidRPr="007A2CB0">
        <w:rPr>
          <w:rFonts w:ascii="Verdana" w:hAnsi="Verdana" w:cs="Arial"/>
          <w:sz w:val="20"/>
          <w:szCs w:val="20"/>
        </w:rPr>
        <w:t xml:space="preserve">7. Las garantías que la Entidad Estatal contempla exigir en el proceso de contratación. </w:t>
      </w:r>
      <w:r>
        <w:rPr>
          <w:rFonts w:ascii="Verdana" w:hAnsi="Verdana" w:cs="Arial"/>
          <w:sz w:val="20"/>
          <w:szCs w:val="20"/>
        </w:rPr>
        <w:t>(Resaltado fuera del texto).</w:t>
      </w:r>
    </w:p>
    <w:p w14:paraId="3EFC51D7" w14:textId="77777777" w:rsidR="001B7687" w:rsidRDefault="001B7687" w:rsidP="001B7687">
      <w:pPr>
        <w:spacing w:after="0" w:line="276" w:lineRule="auto"/>
        <w:ind w:right="709"/>
        <w:jc w:val="both"/>
        <w:rPr>
          <w:rFonts w:ascii="Verdana" w:hAnsi="Verdana" w:cs="Arial"/>
          <w:sz w:val="20"/>
          <w:szCs w:val="20"/>
        </w:rPr>
      </w:pPr>
    </w:p>
    <w:p w14:paraId="70DC84DC" w14:textId="77777777" w:rsidR="001B7687" w:rsidRPr="007A2CB0" w:rsidRDefault="001B7687" w:rsidP="001B7687">
      <w:pPr>
        <w:spacing w:after="120" w:line="276" w:lineRule="auto"/>
        <w:ind w:firstLine="708"/>
        <w:jc w:val="both"/>
        <w:rPr>
          <w:rFonts w:ascii="Verdana" w:eastAsia="Calibri" w:hAnsi="Verdana" w:cs="Arial"/>
          <w:bCs/>
          <w:lang w:val="es-ES_tradnl"/>
        </w:rPr>
      </w:pPr>
      <w:r w:rsidRPr="007A2CB0">
        <w:rPr>
          <w:rFonts w:ascii="Verdana" w:hAnsi="Verdana" w:cs="Arial"/>
        </w:rPr>
        <w:t xml:space="preserve">Por otra parte, los numerales 2 y 4 del artículo 2.2.1.1.2.1.1 del Decreto 1082 de 2015 exigen que en los estudios previos se determine el objeto a contratar con sus especificaciones, y se señale el valor estimado del contrato y la justificación del mismo. </w:t>
      </w:r>
      <w:r w:rsidRPr="007A2CB0">
        <w:rPr>
          <w:rFonts w:ascii="Verdana" w:eastAsia="Calibri" w:hAnsi="Verdana" w:cs="Arial"/>
          <w:bCs/>
          <w:lang w:val="es-ES_tradnl"/>
        </w:rPr>
        <w:t xml:space="preserve">Para cumplir este objetivo es necesario el análisis del sector económico y de los oferentes, actividad de planeación previa que sirve para identificar aspectos concretos del mercado que pueden afectar el proceso de selección o las condiciones del negocio a realizar mediante el proceso de contratación de bienes, obras o servicios. En este sentido, el artículo </w:t>
      </w:r>
      <w:bookmarkStart w:id="0" w:name="_Hlk36117416"/>
      <w:r w:rsidRPr="007A2CB0">
        <w:rPr>
          <w:rFonts w:ascii="Verdana" w:eastAsia="Calibri" w:hAnsi="Verdana" w:cs="Arial"/>
          <w:bCs/>
          <w:lang w:val="es-ES_tradnl"/>
        </w:rPr>
        <w:lastRenderedPageBreak/>
        <w:t>2.2.1.1.1.6.1 del Decreto 1082 de 2015</w:t>
      </w:r>
      <w:bookmarkEnd w:id="0"/>
      <w:r w:rsidRPr="007A2CB0">
        <w:rPr>
          <w:rFonts w:ascii="Verdana" w:eastAsia="Calibri" w:hAnsi="Verdana" w:cs="Arial"/>
          <w:bCs/>
          <w:lang w:val="es-ES_tradnl"/>
        </w:rPr>
        <w:t xml:space="preserve"> dispone que </w:t>
      </w:r>
      <w:r>
        <w:rPr>
          <w:rFonts w:ascii="Verdana" w:eastAsia="Calibri" w:hAnsi="Verdana" w:cs="Arial"/>
          <w:bCs/>
          <w:lang w:val="es-ES_tradnl"/>
        </w:rPr>
        <w:t>“</w:t>
      </w:r>
      <w:r w:rsidRPr="007A2CB0">
        <w:rPr>
          <w:rFonts w:ascii="Verdana" w:eastAsia="Calibri" w:hAnsi="Verdana" w:cs="Arial"/>
          <w:bCs/>
          <w:lang w:val="es-ES_tradnl"/>
        </w:rPr>
        <w:t>La Entidad Estatal debe hacer, durante la etapa de planeación, el análisis necesario para conocer el sector relativo al objeto del Proceso de Contratación desde la perspectiva legal, comercial, financiera, organizacional, técnica, y de análisis de Riesgo. La Entidad Estatal debe dejar constancia de este análisis en los Documentos del Proceso</w:t>
      </w:r>
      <w:r>
        <w:rPr>
          <w:rFonts w:ascii="Verdana" w:eastAsia="Calibri" w:hAnsi="Verdana" w:cs="Arial"/>
          <w:bCs/>
          <w:lang w:val="es-ES_tradnl"/>
        </w:rPr>
        <w:t>”</w:t>
      </w:r>
      <w:r w:rsidRPr="007A2CB0">
        <w:rPr>
          <w:rFonts w:ascii="Verdana" w:eastAsia="Calibri" w:hAnsi="Verdana" w:cs="Arial"/>
          <w:bCs/>
          <w:lang w:val="es-ES_tradnl"/>
        </w:rPr>
        <w:t>.</w:t>
      </w:r>
    </w:p>
    <w:p w14:paraId="56E1F15E" w14:textId="77777777" w:rsidR="001B7687" w:rsidRPr="007A2CB0" w:rsidRDefault="001B7687" w:rsidP="001B7687">
      <w:pPr>
        <w:spacing w:after="120" w:line="276" w:lineRule="auto"/>
        <w:ind w:firstLine="709"/>
        <w:jc w:val="both"/>
        <w:rPr>
          <w:rFonts w:ascii="Verdana" w:eastAsia="Calibri" w:hAnsi="Verdana" w:cs="Arial"/>
          <w:lang w:val="es-ES"/>
        </w:rPr>
      </w:pPr>
      <w:r w:rsidRPr="73F15ECC">
        <w:rPr>
          <w:rFonts w:ascii="Verdana" w:eastAsia="Calibri" w:hAnsi="Verdana" w:cs="Arial"/>
          <w:lang w:val="es-ES"/>
        </w:rPr>
        <w:t xml:space="preserve">De acuerdo con la norma citada, </w:t>
      </w:r>
      <w:bookmarkStart w:id="1" w:name="_Hlk36140682"/>
      <w:r w:rsidRPr="73F15ECC">
        <w:rPr>
          <w:rFonts w:ascii="Verdana" w:eastAsia="Calibri" w:hAnsi="Verdana" w:cs="Arial"/>
          <w:lang w:val="es-ES"/>
        </w:rPr>
        <w:t>la entidad debe realizar el análisis necesario para conocer el sector relativo al objeto del proceso de contratación. Hacer un análisis desde la perspectiva legal implica la revisión de la regulación vigente para el mercado dentro del que se encuentra el objeto del contrato. La perspectiva comercial hace referencia a analizar quiénes pueden ofrecer el bien o servicio que se quiere contratar, cuáles son sus condiciones, si tienen condiciones especiales que sean relevantes para determinar los requisitos habilitantes, entre otros. Desde una perspectiva financiera, el análisis conlleva una revisión de las características financieras que se presentan dentro del mercado del bien o servicio, como por ejemplo el índice de endeudamiento que tienen las empresas o personas naturales que ofrecen dicho bien o servicio. Con la perspectiva organizacional se pretende que la entidad estatal entienda cómo están organizados internamente los posibles oferentes y de qué manera realizan sus negocios y operaciones.</w:t>
      </w:r>
    </w:p>
    <w:p w14:paraId="34F59052" w14:textId="77777777" w:rsidR="001B7687" w:rsidRPr="007A2CB0" w:rsidRDefault="001B7687" w:rsidP="001B7687">
      <w:pPr>
        <w:spacing w:after="120" w:line="276" w:lineRule="auto"/>
        <w:ind w:firstLine="709"/>
        <w:jc w:val="both"/>
        <w:rPr>
          <w:rFonts w:ascii="Verdana" w:eastAsia="Calibri" w:hAnsi="Verdana" w:cs="Arial"/>
          <w:bCs/>
          <w:lang w:val="es-ES_tradnl"/>
        </w:rPr>
      </w:pPr>
      <w:r w:rsidRPr="007A2CB0">
        <w:rPr>
          <w:rFonts w:ascii="Verdana" w:eastAsia="Calibri" w:hAnsi="Verdana" w:cs="Arial"/>
          <w:bCs/>
          <w:lang w:val="es-ES_tradnl"/>
        </w:rPr>
        <w:t>Para negociar de manera adecuada, es necesario conocer la estructura de los posibles contratistas, pues permite identificar la forma en la que suplirán los requerimientos de la entidad. El análisis del sector debe tener en cuenta el objeto del proceso de contratación, las condiciones del bien o servicio y las ventajas que representa para la Administración contratar el bien o servicio con el contratista. En este último punto, el análisis del sector permite sustentar la decisión de realizar un proceso de contratación desde el punto de vista de la eficiencia, eficacia y economía.</w:t>
      </w:r>
    </w:p>
    <w:p w14:paraId="4BAE6637" w14:textId="77777777" w:rsidR="001B7687" w:rsidRPr="007A2CB0" w:rsidRDefault="001B7687" w:rsidP="001B7687">
      <w:pPr>
        <w:spacing w:after="120" w:line="276" w:lineRule="auto"/>
        <w:ind w:firstLine="709"/>
        <w:jc w:val="both"/>
        <w:rPr>
          <w:rFonts w:ascii="Verdana" w:eastAsia="Calibri" w:hAnsi="Verdana" w:cs="Arial"/>
          <w:lang w:val="es-ES"/>
        </w:rPr>
      </w:pPr>
      <w:r w:rsidRPr="5A6D8221">
        <w:rPr>
          <w:rFonts w:ascii="Verdana" w:eastAsia="Calibri" w:hAnsi="Verdana" w:cs="Arial"/>
          <w:lang w:val="es-ES"/>
        </w:rPr>
        <w:t xml:space="preserve">Dicho análisis facilita tanto el conocimiento del sector, desde una perspectiva multidisciplinaria, como de los proveedores disponibles en el mercado para satisfacer la necesidad de la entidad contratante. Así mismo, el análisis del sector implica un estudio de la oferta, lo que permitirá identificar qué proveedores existen en el mercado y cómo intervienen en la cadena de producción, comercialización y distribución de los bienes, obras o servicios. De igual manera, podrá estudiar la demanda para determinar las entidades estatales y los particulares cómo adquieren esos bienes, obras o servicios para </w:t>
      </w:r>
      <w:r w:rsidRPr="5A6D8221">
        <w:rPr>
          <w:rFonts w:ascii="Verdana" w:eastAsia="Calibri" w:hAnsi="Verdana" w:cs="Arial"/>
          <w:lang w:val="es-ES"/>
        </w:rPr>
        <w:lastRenderedPageBreak/>
        <w:t xml:space="preserve">extraer las mejores prácticas e información para el proceso de contratación y así estructurar de mejor manera el tipo contractual a utilizar y las condiciones y características que se podrán pactar para cumplir el objeto del contrato y para la realización de las prestaciones derivadas de las obligaciones que serán pactadas, tanto para la entidad contratante como para el contratista que proveerá el bien, obra o servicio. </w:t>
      </w:r>
    </w:p>
    <w:p w14:paraId="7C94304E" w14:textId="77777777" w:rsidR="001B7687" w:rsidRPr="007A2CB0" w:rsidRDefault="001B7687" w:rsidP="001B7687">
      <w:pPr>
        <w:spacing w:after="120" w:line="276" w:lineRule="auto"/>
        <w:ind w:firstLine="709"/>
        <w:jc w:val="both"/>
        <w:rPr>
          <w:rFonts w:ascii="Verdana" w:eastAsia="Calibri" w:hAnsi="Verdana" w:cs="Arial"/>
          <w:bCs/>
          <w:lang w:val="es-ES_tradnl"/>
        </w:rPr>
      </w:pPr>
      <w:r w:rsidRPr="007A2CB0">
        <w:rPr>
          <w:rFonts w:ascii="Verdana" w:eastAsia="Calibri" w:hAnsi="Verdana" w:cs="Arial"/>
          <w:bCs/>
          <w:lang w:val="es-ES_tradnl"/>
        </w:rPr>
        <w:t>Si bien la normativa en materia de contratación estatal establece la obligatoriedad de realizar el análisis necesario para conocer el sector relativo al objeto del proceso de contratación, no determinan un procedimiento específico para efectuar dicho análisis</w:t>
      </w:r>
      <w:r>
        <w:rPr>
          <w:rFonts w:ascii="Verdana" w:eastAsia="Calibri" w:hAnsi="Verdana" w:cs="Arial"/>
          <w:bCs/>
          <w:lang w:val="es-ES_tradnl"/>
        </w:rPr>
        <w:t>,</w:t>
      </w:r>
      <w:r w:rsidRPr="007A2CB0">
        <w:rPr>
          <w:rFonts w:ascii="Verdana" w:eastAsia="Calibri" w:hAnsi="Verdana" w:cs="Arial"/>
          <w:bCs/>
          <w:lang w:val="es-ES_tradnl"/>
        </w:rPr>
        <w:t xml:space="preserve"> por lo que las entidades </w:t>
      </w:r>
      <w:r w:rsidRPr="007A2CB0">
        <w:rPr>
          <w:rFonts w:ascii="Verdana" w:hAnsi="Verdana" w:cs="Arial"/>
          <w:lang w:eastAsia="es-CO"/>
        </w:rPr>
        <w:t xml:space="preserve">son autónomas para estructurarlo, para lo cual deberán cumplir lo dispuesto en el artículo </w:t>
      </w:r>
      <w:r w:rsidRPr="007A2CB0">
        <w:rPr>
          <w:rFonts w:ascii="Verdana" w:eastAsia="Calibri" w:hAnsi="Verdana" w:cs="Arial"/>
          <w:bCs/>
          <w:lang w:val="es-ES_tradnl"/>
        </w:rPr>
        <w:t xml:space="preserve">2.2.1.1.1.6.1 del Decreto 1082 de 2015 y realizar un análisis integral de planeación que </w:t>
      </w:r>
      <w:r w:rsidRPr="007A2CB0">
        <w:rPr>
          <w:rFonts w:ascii="Verdana" w:hAnsi="Verdana" w:cs="Arial"/>
        </w:rPr>
        <w:t xml:space="preserve">sirva de sustento a la decisión de </w:t>
      </w:r>
      <w:r w:rsidRPr="007A2CB0">
        <w:rPr>
          <w:rFonts w:ascii="Verdana" w:hAnsi="Verdana" w:cs="Arial"/>
          <w:bCs/>
          <w:lang w:val="es-ES_tradnl"/>
        </w:rPr>
        <w:t>realizar un proceso de contratación.</w:t>
      </w:r>
    </w:p>
    <w:bookmarkEnd w:id="1"/>
    <w:p w14:paraId="5C0E28DB" w14:textId="77777777" w:rsidR="001B7687" w:rsidRPr="007A2CB0" w:rsidRDefault="001B7687" w:rsidP="001B7687">
      <w:pPr>
        <w:spacing w:after="120" w:line="276" w:lineRule="auto"/>
        <w:ind w:firstLine="709"/>
        <w:jc w:val="both"/>
        <w:rPr>
          <w:rFonts w:ascii="Verdana" w:eastAsia="Calibri" w:hAnsi="Verdana" w:cs="Arial"/>
          <w:bCs/>
          <w:lang w:val="es-ES"/>
        </w:rPr>
      </w:pPr>
      <w:r w:rsidRPr="007A2CB0">
        <w:rPr>
          <w:rFonts w:ascii="Verdana" w:eastAsia="Calibri" w:hAnsi="Verdana" w:cs="Arial"/>
          <w:bCs/>
          <w:lang w:val="es-ES_tradnl"/>
        </w:rPr>
        <w:t xml:space="preserve">La Agencia Nacional de Contratación Pública - Colombia Compra Eficiente dispone de la </w:t>
      </w:r>
      <w:r>
        <w:rPr>
          <w:rFonts w:ascii="Verdana" w:eastAsia="Calibri" w:hAnsi="Verdana" w:cs="Arial"/>
          <w:bCs/>
          <w:lang w:val="es-ES_tradnl"/>
        </w:rPr>
        <w:t>“</w:t>
      </w:r>
      <w:r w:rsidRPr="007A2CB0">
        <w:rPr>
          <w:rFonts w:ascii="Verdana" w:eastAsia="Calibri" w:hAnsi="Verdana" w:cs="Arial"/>
          <w:bCs/>
          <w:lang w:val="es-ES_tradnl"/>
        </w:rPr>
        <w:t>Guía de Elaboración del Estudio del Sector</w:t>
      </w:r>
      <w:r>
        <w:rPr>
          <w:rFonts w:ascii="Verdana" w:eastAsia="Calibri" w:hAnsi="Verdana" w:cs="Arial"/>
          <w:bCs/>
          <w:lang w:val="es-ES_tradnl"/>
        </w:rPr>
        <w:t>”</w:t>
      </w:r>
      <w:r w:rsidRPr="007A2CB0">
        <w:rPr>
          <w:rFonts w:ascii="Verdana" w:eastAsia="Calibri" w:hAnsi="Verdana" w:cs="Arial"/>
          <w:bCs/>
          <w:lang w:val="es-ES_tradnl"/>
        </w:rPr>
        <w:t>, instrumento que sirve de apoyo para entender el mercado del bien, obra o servicio que la entidad estatal pretende adquirir y diseñar el proceso de contratación con la información necesaria para alcanzar los objetivos de eficacia, eficiencia, economía, promoción de la competencia y manejo del riesgo</w:t>
      </w:r>
      <w:r w:rsidRPr="007A2CB0">
        <w:rPr>
          <w:rStyle w:val="Refdenotaalpie"/>
          <w:rFonts w:ascii="Verdana" w:eastAsia="Calibri" w:hAnsi="Verdana" w:cs="Arial"/>
          <w:bCs/>
          <w:lang w:val="es-ES_tradnl"/>
        </w:rPr>
        <w:footnoteReference w:id="1"/>
      </w:r>
      <w:r w:rsidRPr="007A2CB0">
        <w:rPr>
          <w:rFonts w:ascii="Verdana" w:eastAsia="Calibri" w:hAnsi="Verdana" w:cs="Arial"/>
          <w:bCs/>
          <w:lang w:val="es-ES_tradnl"/>
        </w:rPr>
        <w:t>. Esta Guía es un insumo para realizar el estudio del sector relativo al Proceso de Contratación, ya que comprende pautas sobre los aspectos generales del mercado, el análisis de la demanda y de la oferta y constituye un instrumento de orientación, por lo que –al carecer de fuerza vinculante– su aplicación no exime a las entidades de acatar las normas vigentes. De este modo, la Guía contiene</w:t>
      </w:r>
      <w:r w:rsidRPr="007A2CB0">
        <w:rPr>
          <w:rFonts w:ascii="Verdana" w:eastAsia="Calibri" w:hAnsi="Verdana" w:cs="Arial"/>
          <w:bCs/>
          <w:lang w:val="es-ES"/>
        </w:rPr>
        <w:t xml:space="preserve"> recomendaciones generales por lo que no debe aplicarse de manera mecánica, pues la profundidad del estudio del sector depende de la complejidad y particularidades de cada Proceso de Contratación. </w:t>
      </w:r>
    </w:p>
    <w:p w14:paraId="2642319A" w14:textId="77777777" w:rsidR="001B7687" w:rsidRPr="007A2CB0" w:rsidRDefault="001B7687" w:rsidP="001B7687">
      <w:pPr>
        <w:spacing w:after="120" w:line="276" w:lineRule="auto"/>
        <w:ind w:firstLine="709"/>
        <w:jc w:val="both"/>
        <w:rPr>
          <w:rFonts w:ascii="Verdana" w:eastAsia="Calibri" w:hAnsi="Verdana" w:cs="Arial"/>
          <w:lang w:val="es-ES"/>
        </w:rPr>
      </w:pPr>
      <w:r w:rsidRPr="73F15ECC">
        <w:rPr>
          <w:rFonts w:ascii="Verdana" w:eastAsia="Calibri" w:hAnsi="Verdana" w:cs="Arial"/>
          <w:lang w:val="es-ES"/>
        </w:rPr>
        <w:t xml:space="preserve">En este instrumento se recomienda un análisis integral sobre varios aspectos del mercado –económico, técnico, regulatorio, etc.–, lo cual permitirá que la entidad delimite con precisión qué bienes y servicios existen, cuáles son las condiciones de su comercialización, cómo es la oferta y la demanda y cuáles </w:t>
      </w:r>
      <w:r w:rsidRPr="73F15ECC">
        <w:rPr>
          <w:rFonts w:ascii="Verdana" w:eastAsia="Calibri" w:hAnsi="Verdana" w:cs="Arial"/>
          <w:lang w:val="es-ES"/>
        </w:rPr>
        <w:lastRenderedPageBreak/>
        <w:t>son los factores que inciden en el valor del contrato, tales como el análisis de precios, las cargas tributarias, la tasa de cambio, las garantías, los gastos de transporte, etc.</w:t>
      </w:r>
    </w:p>
    <w:p w14:paraId="5475A4D4" w14:textId="77777777" w:rsidR="001B7687" w:rsidRPr="007A2CB0" w:rsidRDefault="001B7687" w:rsidP="001B7687">
      <w:pPr>
        <w:spacing w:after="120" w:line="276" w:lineRule="auto"/>
        <w:ind w:firstLine="709"/>
        <w:jc w:val="both"/>
        <w:rPr>
          <w:rFonts w:ascii="Verdana" w:eastAsia="Calibri" w:hAnsi="Verdana" w:cs="Arial"/>
          <w:bCs/>
          <w:lang w:val="es-ES_tradnl"/>
        </w:rPr>
      </w:pPr>
      <w:r w:rsidRPr="007A2CB0">
        <w:rPr>
          <w:rFonts w:ascii="Verdana" w:eastAsia="Calibri" w:hAnsi="Verdana" w:cs="Arial"/>
          <w:bCs/>
          <w:lang w:val="es-ES_tradnl"/>
        </w:rPr>
        <w:t xml:space="preserve">Así mismo, en la Guía se indica que como parte de la estructura del estudio del sector se debe realizar un análisis del comportamiento del gasto histórico, el estudio de la oferta y el estudio del mercado. En </w:t>
      </w:r>
      <w:r w:rsidRPr="007A2CB0">
        <w:rPr>
          <w:rFonts w:ascii="Verdana" w:eastAsia="Calibri" w:hAnsi="Verdana" w:cs="Arial"/>
          <w:bCs/>
          <w:lang w:val="es-ES"/>
        </w:rPr>
        <w:t xml:space="preserve">el marco del comportamiento del gasto histórico se recomienda que la entidad analice el comportamiento de sus adquisiciones anteriores del bien, obra o servicio teniendo en cuenta distintas variables como la modalidad de selección, el objeto del contrato, el presupuesto, entre otros. También es importante que se analice la forma en la cual otras entidades o particulares han adquirido bienes y servicios iguales o comparables similares mediante plataformas de información como datos abiertos o las herramientas de visualización </w:t>
      </w:r>
      <w:r w:rsidRPr="007A2CB0">
        <w:rPr>
          <w:rFonts w:ascii="Verdana" w:eastAsia="Arial MT" w:hAnsi="Verdana" w:cs="Arial"/>
          <w:lang w:val="es-ES"/>
        </w:rPr>
        <w:t>desarrolladas por esta Agencia en el marco del modelo de abastecimiento estratégico</w:t>
      </w:r>
      <w:r w:rsidRPr="007A2CB0">
        <w:rPr>
          <w:rStyle w:val="Refdenotaalpie"/>
          <w:rFonts w:ascii="Verdana" w:eastAsia="Arial MT" w:hAnsi="Verdana" w:cs="Arial"/>
          <w:lang w:val="es-ES"/>
        </w:rPr>
        <w:footnoteReference w:id="2"/>
      </w:r>
      <w:r w:rsidRPr="007A2CB0">
        <w:rPr>
          <w:rFonts w:ascii="Verdana" w:eastAsia="Arial MT" w:hAnsi="Verdana" w:cs="Arial"/>
          <w:lang w:val="es-ES"/>
        </w:rPr>
        <w:t xml:space="preserve">. </w:t>
      </w:r>
    </w:p>
    <w:p w14:paraId="40414896" w14:textId="77777777" w:rsidR="001B7687" w:rsidRPr="009D5FF2" w:rsidRDefault="001B7687" w:rsidP="001B7687">
      <w:pPr>
        <w:spacing w:after="120" w:line="276" w:lineRule="auto"/>
        <w:ind w:firstLine="709"/>
        <w:jc w:val="both"/>
        <w:rPr>
          <w:rFonts w:ascii="Verdana" w:eastAsia="Calibri" w:hAnsi="Verdana" w:cs="Arial"/>
          <w:color w:val="000000" w:themeColor="text1"/>
          <w:lang w:val="es-ES"/>
        </w:rPr>
      </w:pPr>
      <w:r w:rsidRPr="00282F1D">
        <w:rPr>
          <w:rFonts w:ascii="Verdana" w:eastAsia="Calibri" w:hAnsi="Verdana" w:cs="Arial"/>
          <w:color w:val="000000" w:themeColor="text1"/>
          <w:lang w:val="es-ES"/>
        </w:rPr>
        <w:t xml:space="preserve">Por último, el estudio del mercado permite comprender la dinámica de los precios y establecer el presupuesto oficial de la contratación. </w:t>
      </w:r>
      <w:r w:rsidRPr="00282F1D">
        <w:rPr>
          <w:rFonts w:ascii="Verdana" w:eastAsia="Calibri" w:hAnsi="Verdana" w:cs="Arial"/>
          <w:lang w:val="es-ES"/>
        </w:rPr>
        <w:t xml:space="preserve">De esta forma, se tiene que, la Guía de Elaboración de Estudios del Sector en el numeral </w:t>
      </w:r>
      <w:r>
        <w:rPr>
          <w:rFonts w:ascii="Verdana" w:eastAsia="Calibri" w:hAnsi="Verdana" w:cs="Arial"/>
          <w:lang w:val="es-ES"/>
        </w:rPr>
        <w:t>5.2.5</w:t>
      </w:r>
      <w:r w:rsidRPr="00282F1D">
        <w:rPr>
          <w:rFonts w:ascii="Verdana" w:eastAsia="Calibri" w:hAnsi="Verdana" w:cs="Arial"/>
          <w:lang w:val="es-ES"/>
        </w:rPr>
        <w:t xml:space="preserve">, propone a las Entidades Estatales los siguientes mecanismos para elaborar el estudio de precios de mercado: </w:t>
      </w:r>
    </w:p>
    <w:p w14:paraId="238A67BA" w14:textId="77777777" w:rsidR="001B7687" w:rsidRPr="00F914AD" w:rsidRDefault="001B7687" w:rsidP="001B7687">
      <w:pPr>
        <w:pStyle w:val="Prrafodelista"/>
        <w:numPr>
          <w:ilvl w:val="0"/>
          <w:numId w:val="18"/>
        </w:numPr>
        <w:ind w:right="616"/>
        <w:jc w:val="both"/>
        <w:rPr>
          <w:rFonts w:ascii="Verdana" w:eastAsia="Calibri" w:hAnsi="Verdana" w:cs="Arial"/>
          <w:sz w:val="20"/>
          <w:szCs w:val="20"/>
        </w:rPr>
      </w:pPr>
      <w:r w:rsidRPr="009D5FF2">
        <w:rPr>
          <w:rFonts w:ascii="Verdana" w:eastAsia="Calibri" w:hAnsi="Verdana" w:cs="Arial"/>
          <w:b/>
          <w:bCs/>
          <w:sz w:val="20"/>
          <w:szCs w:val="20"/>
        </w:rPr>
        <w:t>Sondeos de mercado:</w:t>
      </w:r>
      <w:r w:rsidRPr="009D5FF2">
        <w:rPr>
          <w:rFonts w:ascii="Verdana" w:eastAsia="Calibri" w:hAnsi="Verdana" w:cs="Arial"/>
          <w:sz w:val="20"/>
          <w:szCs w:val="20"/>
        </w:rPr>
        <w:t xml:space="preserve"> Este mecanismo permite obtener información de potenciales proveedores sobre un determinado bien o servicio. Con los datos obtenidos la Entidad podrá determinar, entre otros aspectos, el costo de un bien o servicio (cotizaciones). Sin embargo, es importante resaltar que el sondeo de mercado no se agota en la obtención de cotizaciones. Este mecanismo es ideal, además, para obtener información adicional del mercado (investigación de mercados) mediante el desarrollo de encuestas. A partir de las encuestas, la Entidad puede analizar y sustentar las condiciones de entrega de un bien, establecer el cumplimiento de criterios técnicos de un servicio, sustentar la incorporación de acciones afirmativas en el proceso de selección, y visualizar escenarios para estructurar el proceso de contratación, entre otros.</w:t>
      </w:r>
    </w:p>
    <w:p w14:paraId="0FBA1E1E" w14:textId="77777777" w:rsidR="001B7687" w:rsidRPr="009D5FF2" w:rsidRDefault="001B7687" w:rsidP="001B7687">
      <w:pPr>
        <w:pStyle w:val="Prrafodelista"/>
        <w:ind w:right="616"/>
        <w:jc w:val="both"/>
        <w:rPr>
          <w:rFonts w:ascii="Verdana" w:eastAsia="Calibri" w:hAnsi="Verdana" w:cs="Arial"/>
          <w:sz w:val="20"/>
          <w:szCs w:val="20"/>
        </w:rPr>
      </w:pPr>
      <w:r w:rsidRPr="009D5FF2">
        <w:rPr>
          <w:rFonts w:ascii="Verdana" w:eastAsia="Calibri" w:hAnsi="Verdana" w:cs="Arial"/>
          <w:sz w:val="20"/>
          <w:szCs w:val="20"/>
        </w:rPr>
        <w:t xml:space="preserve">Al recibir las cotizaciones, debe verificarse la ocurrencia de circunstancias que eventualmente pueden distorsionar los precios del mercado, como </w:t>
      </w:r>
      <w:r w:rsidRPr="009D5FF2">
        <w:rPr>
          <w:rFonts w:ascii="Verdana" w:eastAsia="Calibri" w:hAnsi="Verdana" w:cs="Arial"/>
          <w:sz w:val="20"/>
          <w:szCs w:val="20"/>
        </w:rPr>
        <w:lastRenderedPageBreak/>
        <w:t>ofertas especiales de almacenes de cadena, fenómenos de escasez o abundancia del producto, entre otros aspectos.</w:t>
      </w:r>
    </w:p>
    <w:p w14:paraId="72222CAD" w14:textId="77777777" w:rsidR="001B7687" w:rsidRDefault="001B7687" w:rsidP="001B7687">
      <w:pPr>
        <w:pStyle w:val="Prrafodelista"/>
        <w:ind w:left="1069" w:right="616"/>
        <w:jc w:val="both"/>
        <w:rPr>
          <w:rFonts w:ascii="Verdana" w:eastAsia="Calibri" w:hAnsi="Verdana" w:cs="Arial"/>
          <w:sz w:val="20"/>
          <w:szCs w:val="20"/>
        </w:rPr>
      </w:pPr>
    </w:p>
    <w:p w14:paraId="2418E980" w14:textId="77777777" w:rsidR="001B7687" w:rsidRPr="009D5FF2" w:rsidRDefault="001B7687" w:rsidP="001B7687">
      <w:pPr>
        <w:pStyle w:val="Prrafodelista"/>
        <w:numPr>
          <w:ilvl w:val="0"/>
          <w:numId w:val="18"/>
        </w:numPr>
        <w:spacing w:after="0" w:line="240" w:lineRule="auto"/>
        <w:ind w:right="616"/>
        <w:jc w:val="both"/>
        <w:rPr>
          <w:rFonts w:ascii="Verdana" w:eastAsia="Calibri" w:hAnsi="Verdana" w:cs="Arial"/>
          <w:sz w:val="20"/>
          <w:szCs w:val="20"/>
        </w:rPr>
      </w:pPr>
      <w:r w:rsidRPr="009D5FF2">
        <w:rPr>
          <w:rFonts w:ascii="Verdana" w:eastAsia="Calibri" w:hAnsi="Verdana" w:cs="Arial"/>
          <w:b/>
          <w:bCs/>
          <w:sz w:val="20"/>
          <w:szCs w:val="20"/>
        </w:rPr>
        <w:t>Consulta de bases de datos especializadas</w:t>
      </w:r>
      <w:r w:rsidRPr="009D5FF2">
        <w:rPr>
          <w:rFonts w:ascii="Verdana" w:eastAsia="Calibri" w:hAnsi="Verdana" w:cs="Arial"/>
          <w:sz w:val="20"/>
          <w:szCs w:val="20"/>
        </w:rPr>
        <w:t xml:space="preserve">: Se utiliza cuando en virtud de las especificaciones, condiciones del mercado y el alcance del bien o servicio a contratar, la Entidad puede determinar los precios de referencia (unitarios o totales) del proceso de selección, a partir de </w:t>
      </w:r>
      <w:r w:rsidRPr="009D5FF2">
        <w:rPr>
          <w:rFonts w:ascii="Verdana" w:eastAsia="Calibri" w:hAnsi="Verdana" w:cs="Arial"/>
          <w:sz w:val="20"/>
          <w:szCs w:val="20"/>
          <w:lang w:val="es-CO"/>
        </w:rPr>
        <w:t xml:space="preserve">la información que reposa en bases de datos especializadas (precios unitarios, históricos, etc). </w:t>
      </w:r>
    </w:p>
    <w:p w14:paraId="6AC2A8B1" w14:textId="77777777" w:rsidR="001B7687" w:rsidRDefault="001B7687" w:rsidP="001B7687">
      <w:pPr>
        <w:pStyle w:val="Prrafodelista"/>
        <w:spacing w:after="0" w:line="240" w:lineRule="auto"/>
        <w:ind w:right="616"/>
        <w:jc w:val="both"/>
        <w:rPr>
          <w:rFonts w:ascii="Verdana" w:eastAsia="Calibri" w:hAnsi="Verdana" w:cs="Arial"/>
          <w:sz w:val="20"/>
          <w:szCs w:val="20"/>
        </w:rPr>
      </w:pPr>
    </w:p>
    <w:p w14:paraId="48CE7C4C" w14:textId="77777777" w:rsidR="001B7687" w:rsidRDefault="001B7687" w:rsidP="001B7687">
      <w:pPr>
        <w:pStyle w:val="Prrafodelista"/>
        <w:spacing w:after="0" w:line="240" w:lineRule="auto"/>
        <w:ind w:right="616"/>
        <w:jc w:val="both"/>
        <w:rPr>
          <w:rFonts w:ascii="Verdana" w:eastAsia="Calibri" w:hAnsi="Verdana" w:cs="Arial"/>
          <w:sz w:val="20"/>
          <w:szCs w:val="20"/>
        </w:rPr>
      </w:pPr>
      <w:r w:rsidRPr="009D5FF2">
        <w:rPr>
          <w:rFonts w:ascii="Verdana" w:eastAsia="Calibri" w:hAnsi="Verdana" w:cs="Arial"/>
          <w:sz w:val="20"/>
          <w:szCs w:val="20"/>
        </w:rPr>
        <w:t>El responsable deberá dejar constancia de las consultas realizadas y de los precios que soportan su estudio. Por lo tanto, las bases de datos consultadas deben ser especializadas y representativas en el mercado del bien o servicio a contratar, con lo cual se asegura la pertinencia y calidad de la información consultada para efectos del estudio que se está realizando.</w:t>
      </w:r>
    </w:p>
    <w:p w14:paraId="34833BF6" w14:textId="77777777" w:rsidR="001B7687" w:rsidRPr="000E1EA7" w:rsidRDefault="001B7687" w:rsidP="001B7687">
      <w:pPr>
        <w:pStyle w:val="Prrafodelista"/>
        <w:spacing w:after="0" w:line="240" w:lineRule="auto"/>
        <w:ind w:right="616"/>
        <w:jc w:val="both"/>
        <w:rPr>
          <w:rFonts w:ascii="Verdana" w:eastAsia="Calibri" w:hAnsi="Verdana" w:cs="Arial"/>
          <w:sz w:val="20"/>
          <w:szCs w:val="20"/>
        </w:rPr>
      </w:pPr>
    </w:p>
    <w:p w14:paraId="29A029BB" w14:textId="77777777" w:rsidR="001B7687" w:rsidRPr="009D5FF2" w:rsidRDefault="001B7687" w:rsidP="001B7687">
      <w:pPr>
        <w:pStyle w:val="Prrafodelista"/>
        <w:numPr>
          <w:ilvl w:val="0"/>
          <w:numId w:val="18"/>
        </w:numPr>
        <w:spacing w:after="0" w:line="240" w:lineRule="auto"/>
        <w:ind w:right="616"/>
        <w:jc w:val="both"/>
        <w:rPr>
          <w:rFonts w:ascii="Verdana" w:eastAsia="Calibri" w:hAnsi="Verdana" w:cs="Arial"/>
          <w:sz w:val="20"/>
          <w:szCs w:val="20"/>
        </w:rPr>
      </w:pPr>
      <w:r w:rsidRPr="007D2748">
        <w:rPr>
          <w:rFonts w:ascii="Verdana" w:eastAsia="Calibri" w:hAnsi="Verdana" w:cs="Arial"/>
          <w:b/>
          <w:bCs/>
          <w:sz w:val="20"/>
          <w:szCs w:val="20"/>
          <w:lang w:val="es-CO"/>
        </w:rPr>
        <w:t>Revisión de precios históricos:</w:t>
      </w:r>
      <w:r w:rsidRPr="009D5FF2">
        <w:rPr>
          <w:rFonts w:ascii="Verdana" w:eastAsia="Calibri" w:hAnsi="Verdana" w:cs="Arial"/>
          <w:sz w:val="20"/>
          <w:szCs w:val="20"/>
          <w:lang w:val="es-CO"/>
        </w:rPr>
        <w:t xml:space="preserve"> Cuando las especificaciones técnicas de un bien o servicio sean comparables con las de un proceso de selección previo, el cual derivó en la suscripción de un contrato, la Entidad puede emplear este mecanismo para determinar el precio de referencia. </w:t>
      </w:r>
    </w:p>
    <w:p w14:paraId="006DAADA" w14:textId="77777777" w:rsidR="001B7687" w:rsidRDefault="001B7687" w:rsidP="001B7687">
      <w:pPr>
        <w:pStyle w:val="Prrafodelista"/>
        <w:spacing w:after="0" w:line="240" w:lineRule="auto"/>
        <w:ind w:right="616"/>
        <w:jc w:val="both"/>
        <w:rPr>
          <w:rFonts w:ascii="Verdana" w:eastAsia="Calibri" w:hAnsi="Verdana" w:cs="Arial"/>
          <w:sz w:val="20"/>
          <w:szCs w:val="20"/>
        </w:rPr>
      </w:pPr>
    </w:p>
    <w:p w14:paraId="0A401E5A" w14:textId="77777777" w:rsidR="001B7687" w:rsidRDefault="001B7687" w:rsidP="001B7687">
      <w:pPr>
        <w:pStyle w:val="Prrafodelista"/>
        <w:spacing w:after="0" w:line="240" w:lineRule="auto"/>
        <w:ind w:right="616"/>
        <w:jc w:val="both"/>
        <w:rPr>
          <w:rFonts w:ascii="Verdana" w:eastAsia="Calibri" w:hAnsi="Verdana" w:cs="Arial"/>
          <w:sz w:val="20"/>
          <w:szCs w:val="20"/>
          <w:lang w:val="es-CO"/>
        </w:rPr>
      </w:pPr>
      <w:r w:rsidRPr="009D5FF2">
        <w:rPr>
          <w:rFonts w:ascii="Verdana" w:eastAsia="Calibri" w:hAnsi="Verdana" w:cs="Arial"/>
          <w:sz w:val="20"/>
          <w:szCs w:val="20"/>
        </w:rPr>
        <w:t>Se sugiere verificar la variación de los precios históricos derivados del índice de precios al consumidor en cada año, con el fin de examinar si</w:t>
      </w:r>
      <w:r>
        <w:rPr>
          <w:rFonts w:ascii="Verdana" w:eastAsia="Calibri" w:hAnsi="Verdana" w:cs="Arial"/>
          <w:sz w:val="20"/>
          <w:szCs w:val="20"/>
        </w:rPr>
        <w:t xml:space="preserve"> </w:t>
      </w:r>
      <w:r w:rsidRPr="007D2748">
        <w:rPr>
          <w:rFonts w:ascii="Verdana" w:eastAsia="Calibri" w:hAnsi="Verdana" w:cs="Arial"/>
          <w:sz w:val="20"/>
          <w:szCs w:val="20"/>
          <w:lang w:val="es-CO"/>
        </w:rPr>
        <w:t>se han presentado fenómenos económicos que hayan implicado fluctuaciones importantes en el comercio del bien o servicio. Finalmente, cualquiera que sea el mecanismo empleado para conocer los precios del mercado, es importante identificar y analizar las variables que pueden incidir en los precios, como, por ejemplo, la variación del IPC o de la tasa de cambio, así como el cambio en los precios de materias primas.</w:t>
      </w:r>
    </w:p>
    <w:p w14:paraId="58D91C2A" w14:textId="77777777" w:rsidR="001B7687" w:rsidRPr="007D2748" w:rsidRDefault="001B7687" w:rsidP="001B7687">
      <w:pPr>
        <w:pStyle w:val="Prrafodelista"/>
        <w:spacing w:after="0" w:line="240" w:lineRule="auto"/>
        <w:ind w:right="618"/>
        <w:jc w:val="both"/>
        <w:rPr>
          <w:rFonts w:ascii="Verdana" w:eastAsia="Calibri" w:hAnsi="Verdana" w:cs="Arial"/>
          <w:sz w:val="20"/>
          <w:szCs w:val="20"/>
          <w:lang w:val="es-CO"/>
        </w:rPr>
      </w:pPr>
    </w:p>
    <w:p w14:paraId="1C1A68D0" w14:textId="77777777" w:rsidR="001B7687" w:rsidRPr="00CF5BF1" w:rsidRDefault="001B7687" w:rsidP="001B7687">
      <w:pPr>
        <w:spacing w:after="120" w:line="276" w:lineRule="auto"/>
        <w:ind w:firstLine="709"/>
        <w:jc w:val="both"/>
        <w:rPr>
          <w:rFonts w:ascii="Verdana" w:eastAsia="Calibri" w:hAnsi="Verdana" w:cs="Arial"/>
          <w:color w:val="000000" w:themeColor="text1"/>
          <w:lang w:val="es-ES"/>
        </w:rPr>
      </w:pPr>
      <w:bookmarkStart w:id="2" w:name="_Hlk139466471"/>
      <w:r w:rsidRPr="00CF5BF1">
        <w:rPr>
          <w:rFonts w:ascii="Verdana" w:eastAsia="Calibri" w:hAnsi="Verdana" w:cs="Arial"/>
          <w:color w:val="000000" w:themeColor="text1"/>
          <w:lang w:val="es-ES"/>
        </w:rPr>
        <w:t xml:space="preserve">Como se observa, la Guía de Elaboración de Estudios del Sector recomienda como mecanismo para la elaboración de </w:t>
      </w:r>
      <w:r w:rsidRPr="00CF5BF1">
        <w:rPr>
          <w:rFonts w:ascii="Verdana" w:eastAsia="Calibri" w:hAnsi="Verdana" w:cs="Arial"/>
          <w:i/>
          <w:iCs/>
          <w:color w:val="000000" w:themeColor="text1"/>
          <w:lang w:val="es-ES"/>
        </w:rPr>
        <w:t>estudios del mercado</w:t>
      </w:r>
      <w:r w:rsidRPr="00CF5BF1">
        <w:rPr>
          <w:rFonts w:ascii="Verdana" w:eastAsia="Calibri" w:hAnsi="Verdana" w:cs="Arial"/>
          <w:color w:val="000000" w:themeColor="text1"/>
          <w:lang w:val="es-ES"/>
        </w:rPr>
        <w:t>, que sirvan para entender la dinámica de los precios y establecer el presupuesto oficial de la contratación, requerir a los potenciales proveedores a fin de que remitan la información necesaria para determinar diversos aspectos de los bienes o servicios a contratar, entre ellos su valor, especificaciones técnicas, el plazo, entre otra información relevante. En principio, que un potencial proveedor participe en estos estudios del mercado, remitiendo cotizaciones por citar un ejemplo, no implica que en el futuro no pueda participar del Proceso de Contratación que se adelante.</w:t>
      </w:r>
      <w:bookmarkEnd w:id="2"/>
    </w:p>
    <w:p w14:paraId="3C33C4C9" w14:textId="77777777" w:rsidR="001B7687" w:rsidRPr="007A2CB0" w:rsidRDefault="001B7687" w:rsidP="001B7687">
      <w:pPr>
        <w:spacing w:after="120" w:line="276" w:lineRule="auto"/>
        <w:ind w:firstLine="709"/>
        <w:jc w:val="both"/>
        <w:rPr>
          <w:rFonts w:ascii="Verdana" w:eastAsia="Calibri" w:hAnsi="Verdana" w:cs="Arial"/>
          <w:bCs/>
          <w:lang w:val="es-ES_tradnl"/>
        </w:rPr>
      </w:pPr>
      <w:r w:rsidRPr="007A2CB0">
        <w:rPr>
          <w:rFonts w:ascii="Verdana" w:eastAsia="Calibri" w:hAnsi="Verdana" w:cs="Arial"/>
          <w:color w:val="000000" w:themeColor="text1"/>
          <w:lang w:val="es-ES"/>
        </w:rPr>
        <w:t xml:space="preserve">Al respecto, es pertinente precisar que los mecanismos señalados para realizar el estudio del mercado no están determinados por la ley o el reglamento, </w:t>
      </w:r>
      <w:r w:rsidRPr="007A2CB0">
        <w:rPr>
          <w:rFonts w:ascii="Verdana" w:eastAsia="Calibri" w:hAnsi="Verdana" w:cs="Arial"/>
          <w:color w:val="000000" w:themeColor="text1"/>
          <w:lang w:val="es-ES"/>
        </w:rPr>
        <w:lastRenderedPageBreak/>
        <w:t xml:space="preserve">por lo que no existen lineamientos obligatorios para su estructuración. De esta manera, </w:t>
      </w:r>
      <w:r w:rsidRPr="007A2CB0">
        <w:rPr>
          <w:rFonts w:ascii="Verdana" w:eastAsia="Calibri" w:hAnsi="Verdana" w:cs="Arial"/>
          <w:bCs/>
          <w:lang w:val="es-ES_tradnl"/>
        </w:rPr>
        <w:t xml:space="preserve">las entidades </w:t>
      </w:r>
      <w:r w:rsidRPr="007A2CB0">
        <w:rPr>
          <w:rFonts w:ascii="Verdana" w:hAnsi="Verdana" w:cs="Arial"/>
          <w:lang w:eastAsia="es-CO"/>
        </w:rPr>
        <w:t>son autónomas para establecer la forma en la cual se recopilará la información que sustente el análisis del sector, así como lo referente a la solicitud de cotizaciones</w:t>
      </w:r>
      <w:r w:rsidRPr="00B936F8">
        <w:rPr>
          <w:rFonts w:ascii="Verdana" w:hAnsi="Verdana" w:cs="Arial"/>
          <w:lang w:eastAsia="es-CO"/>
        </w:rPr>
        <w:t xml:space="preserve"> </w:t>
      </w:r>
      <w:r>
        <w:rPr>
          <w:rFonts w:ascii="Verdana" w:hAnsi="Verdana" w:cs="Arial"/>
          <w:lang w:eastAsia="es-CO"/>
        </w:rPr>
        <w:t>o la aplicación de otros métodos para la estructuración del estudio de mercado</w:t>
      </w:r>
      <w:r w:rsidRPr="007A2CB0">
        <w:rPr>
          <w:rFonts w:ascii="Verdana" w:hAnsi="Verdana" w:cs="Arial"/>
          <w:lang w:eastAsia="es-CO"/>
        </w:rPr>
        <w:t xml:space="preserve">. Como se mencionó, la </w:t>
      </w:r>
      <w:r>
        <w:rPr>
          <w:rFonts w:ascii="Verdana" w:eastAsia="Calibri" w:hAnsi="Verdana" w:cs="Arial"/>
          <w:bCs/>
          <w:lang w:val="es-ES_tradnl"/>
        </w:rPr>
        <w:t>“</w:t>
      </w:r>
      <w:r w:rsidRPr="007A2CB0">
        <w:rPr>
          <w:rFonts w:ascii="Verdana" w:eastAsia="Calibri" w:hAnsi="Verdana" w:cs="Arial"/>
          <w:bCs/>
          <w:lang w:val="es-ES_tradnl"/>
        </w:rPr>
        <w:t>Guía de Elaboración del Estudio del Sector</w:t>
      </w:r>
      <w:r>
        <w:rPr>
          <w:rFonts w:ascii="Verdana" w:eastAsia="Calibri" w:hAnsi="Verdana" w:cs="Arial"/>
          <w:bCs/>
          <w:lang w:val="es-ES_tradnl"/>
        </w:rPr>
        <w:t>”</w:t>
      </w:r>
      <w:r w:rsidRPr="007A2CB0">
        <w:rPr>
          <w:rFonts w:ascii="Verdana" w:eastAsia="Calibri" w:hAnsi="Verdana" w:cs="Arial"/>
          <w:bCs/>
          <w:lang w:val="es-ES_tradnl"/>
        </w:rPr>
        <w:t xml:space="preserve"> desarrolla recomendaciones y buenas prácticas que servirán a las entidades para entender el mercado del bien, obra o servicio que pretende adquirir, pero no es un instrumento vinculante para la entidad. </w:t>
      </w:r>
    </w:p>
    <w:p w14:paraId="291128F7" w14:textId="77777777" w:rsidR="001B7687" w:rsidRPr="007A2CB0" w:rsidRDefault="001B7687" w:rsidP="001B7687">
      <w:pPr>
        <w:pStyle w:val="paragraph"/>
        <w:spacing w:before="0" w:beforeAutospacing="0" w:after="120" w:afterAutospacing="0" w:line="276" w:lineRule="auto"/>
        <w:ind w:firstLine="705"/>
        <w:jc w:val="both"/>
        <w:textAlignment w:val="baseline"/>
        <w:rPr>
          <w:rFonts w:ascii="Verdana" w:hAnsi="Verdana" w:cs="Segoe UI"/>
          <w:sz w:val="22"/>
          <w:szCs w:val="22"/>
        </w:rPr>
      </w:pPr>
      <w:r w:rsidRPr="007A2CB0">
        <w:rPr>
          <w:rStyle w:val="normaltextrun"/>
          <w:rFonts w:ascii="Verdana" w:hAnsi="Verdana" w:cs="Arial"/>
          <w:sz w:val="22"/>
          <w:szCs w:val="22"/>
          <w:lang w:val="es-ES"/>
        </w:rPr>
        <w:t>El Consejo de Estado, se pronunció sobre la relación existente entre el estudio del sector y la estimación del valor del contrato, indicando que se deben tener en cuenta las diferentes variables del mercado como los costos de la cadena de producción. Pero, con independencia de esto, la entidad debe obtener el menor precio o uno razonable. En todo caso, el valor debe estar justificado para que no corresponda a sobrecostos ni a precios artificialmente bajos, y que con ello la entidad pague un valor adecuado. Esto se logra con el estudio del mercado y sus costos, el cual debe estar a disposición de los participantes del procedimiento contractual</w:t>
      </w:r>
      <w:r w:rsidRPr="007A2CB0">
        <w:rPr>
          <w:rStyle w:val="Refdenotaalpie"/>
          <w:rFonts w:ascii="Verdana" w:hAnsi="Verdana" w:cs="Arial"/>
          <w:sz w:val="22"/>
          <w:szCs w:val="22"/>
          <w:lang w:val="es-ES"/>
        </w:rPr>
        <w:footnoteReference w:id="3"/>
      </w:r>
      <w:r w:rsidRPr="007A2CB0">
        <w:rPr>
          <w:rStyle w:val="normaltextrun"/>
          <w:rFonts w:ascii="Verdana" w:hAnsi="Verdana" w:cs="Arial"/>
          <w:sz w:val="22"/>
          <w:szCs w:val="22"/>
          <w:lang w:val="es-ES"/>
        </w:rPr>
        <w:t>.</w:t>
      </w:r>
    </w:p>
    <w:p w14:paraId="125D4C52" w14:textId="77777777" w:rsidR="001B7687" w:rsidRDefault="001B7687" w:rsidP="001B7687">
      <w:pPr>
        <w:spacing w:after="120" w:line="276" w:lineRule="auto"/>
        <w:ind w:firstLine="708"/>
        <w:jc w:val="both"/>
        <w:rPr>
          <w:rFonts w:ascii="Verdana" w:hAnsi="Verdana" w:cs="Arial"/>
          <w:lang w:val="es-MX"/>
        </w:rPr>
      </w:pPr>
      <w:r>
        <w:rPr>
          <w:rFonts w:ascii="Verdana" w:hAnsi="Verdana" w:cs="Arial"/>
        </w:rPr>
        <w:t>Así las cosas</w:t>
      </w:r>
      <w:r w:rsidRPr="007A2CB0">
        <w:rPr>
          <w:rFonts w:ascii="Verdana" w:hAnsi="Verdana" w:cs="Arial"/>
        </w:rPr>
        <w:t xml:space="preserve">, el análisis del sector debe ser visto desde una perspectiva funcional, como una labor enfocada a situar la adquisición de bienes y servicios por parte de entidades estatales dentro de las condiciones del mercado o del sector en el que serán adquiridos, el cual constituye una manifestación de los principios de planeación y economía. Dicha labor debe evidenciarse de manera palpable en los </w:t>
      </w:r>
      <w:r w:rsidRPr="007A2CB0">
        <w:rPr>
          <w:rFonts w:ascii="Verdana" w:hAnsi="Verdana" w:cs="Arial"/>
          <w:i/>
          <w:iCs/>
        </w:rPr>
        <w:t>Documentos del Proceso</w:t>
      </w:r>
      <w:r w:rsidRPr="007A2CB0">
        <w:rPr>
          <w:rFonts w:ascii="Verdana" w:hAnsi="Verdana" w:cs="Arial"/>
        </w:rPr>
        <w:t xml:space="preserve">, ya sea dentro de los estudios previos, como documento autónomo o dentro de alguno de los soportes del proceso de contratación, abarcando los campos legal, comercial, financiero, organizacional, técnico y de riesgos, de conformidad con el artículo </w:t>
      </w:r>
      <w:r w:rsidRPr="007A2CB0">
        <w:rPr>
          <w:rFonts w:ascii="Verdana" w:hAnsi="Verdana" w:cs="Arial"/>
          <w:lang w:val="es-MX"/>
        </w:rPr>
        <w:t>2.2.1.1.1.6.1 del Decreto 1082 del 2015.</w:t>
      </w:r>
    </w:p>
    <w:p w14:paraId="2045AF4C" w14:textId="77777777" w:rsidR="001B7687" w:rsidRDefault="001B7687" w:rsidP="001B7687">
      <w:pPr>
        <w:spacing w:line="276" w:lineRule="auto"/>
        <w:jc w:val="both"/>
        <w:textAlignment w:val="baseline"/>
        <w:rPr>
          <w:rFonts w:ascii="Verdana" w:eastAsia="Verdana" w:hAnsi="Verdana" w:cs="Verdana"/>
        </w:rPr>
      </w:pPr>
      <w:r w:rsidRPr="40A87941">
        <w:rPr>
          <w:rFonts w:ascii="Verdana" w:eastAsia="Verdana" w:hAnsi="Verdana" w:cs="Verdana"/>
          <w:lang w:val="es"/>
        </w:rPr>
        <w:t xml:space="preserve"> </w:t>
      </w:r>
      <w:r>
        <w:rPr>
          <w:rFonts w:ascii="Verdana" w:eastAsia="Verdana" w:hAnsi="Verdana" w:cs="Verdana"/>
        </w:rPr>
        <w:t xml:space="preserve">      </w:t>
      </w:r>
      <w:r w:rsidRPr="00A0675A">
        <w:rPr>
          <w:rFonts w:ascii="Verdana" w:eastAsia="Verdana" w:hAnsi="Verdana" w:cs="Verdana"/>
        </w:rPr>
        <w:t xml:space="preserve">Ahora bien, aunque la normativa de contratación estatal impone la obligación de elaborar el estudio del sector, no establece un procedimiento uniforme ni asigna expresamente dicha actividad a una dependencia específica de la entidad. Como lo señaló esta Agencia en el Concepto C-910 del 16 de julio </w:t>
      </w:r>
      <w:r w:rsidRPr="00A0675A">
        <w:rPr>
          <w:rFonts w:ascii="Verdana" w:eastAsia="Verdana" w:hAnsi="Verdana" w:cs="Verdana"/>
        </w:rPr>
        <w:lastRenderedPageBreak/>
        <w:t>de 2026, las entidades estatales gozan de autonomía para estructurar dicho análisis, siempre que este satisfaga las exigencias previstas en el Decreto 1082 de 2015 y constituya un soporte suficiente para adoptar las decisiones propias de la etapa precontractual.</w:t>
      </w:r>
    </w:p>
    <w:p w14:paraId="2C62B15B" w14:textId="77777777" w:rsidR="001B7687" w:rsidRPr="00A0675A" w:rsidRDefault="001B7687" w:rsidP="001B7687">
      <w:pPr>
        <w:spacing w:after="120" w:line="276" w:lineRule="auto"/>
        <w:jc w:val="both"/>
        <w:rPr>
          <w:rFonts w:ascii="Verdana" w:eastAsia="Verdana" w:hAnsi="Verdana" w:cs="Verdana"/>
        </w:rPr>
      </w:pPr>
      <w:r>
        <w:rPr>
          <w:rFonts w:ascii="Verdana" w:eastAsia="Verdana" w:hAnsi="Verdana" w:cs="Verdana"/>
        </w:rPr>
        <w:t xml:space="preserve">          </w:t>
      </w:r>
      <w:r w:rsidRPr="00A0675A">
        <w:rPr>
          <w:rFonts w:ascii="Verdana" w:eastAsia="Verdana" w:hAnsi="Verdana" w:cs="Verdana"/>
        </w:rPr>
        <w:t>En consecuencia, corresponde a cada entidad definir, conforme a su estructura organizacional y a la distribución interna de competencias, la forma en que se desarrollará el estudio del sector y la obtención de la información de mercado. No obstante, dicha distribución funcional debe garantizar la observancia del principio de planeación y propiciar que las decisiones relativas a la identificación de las necesidades, las especificaciones técnicas, la determinación del mercado relevante, la obtención de referencias económicas y la estimación del presupuesto oficial cuenten con la participación de las dependencias que, por razón de sus funciones y conocimientos especializados, se encuentran en mejores condiciones de aportar los elementos técnicos requeridos para la adecuada estructuración del proceso de contratación.</w:t>
      </w:r>
    </w:p>
    <w:p w14:paraId="613AB31E" w14:textId="77777777" w:rsidR="001B7687" w:rsidRPr="00A0675A" w:rsidRDefault="001B7687" w:rsidP="001B7687">
      <w:pPr>
        <w:spacing w:after="120" w:line="276" w:lineRule="auto"/>
        <w:jc w:val="both"/>
        <w:rPr>
          <w:rFonts w:ascii="Verdana" w:eastAsia="Verdana" w:hAnsi="Verdana" w:cs="Verdana"/>
        </w:rPr>
      </w:pPr>
      <w:r>
        <w:rPr>
          <w:rFonts w:ascii="Verdana" w:eastAsia="Verdana" w:hAnsi="Verdana" w:cs="Verdana"/>
        </w:rPr>
        <w:t xml:space="preserve">           </w:t>
      </w:r>
      <w:r w:rsidRPr="00A0675A">
        <w:rPr>
          <w:rFonts w:ascii="Verdana" w:eastAsia="Verdana" w:hAnsi="Verdana" w:cs="Verdana"/>
        </w:rPr>
        <w:t>En ese contexto, debe distinguirse entre las actividades consistentes en consolidar, revisar o analizar la información obtenida durante la etapa de planeación y aquellas orientadas a identificar el mercado, contactar proveedores, solicitar cotizaciones o construir las referencias económicas que servirán de fundamento para determinar el presupuesto oficial. Si bien la normativa no prohíbe que distintas dependencias colaboren en estas actuaciones, la adecuada distribución funcional de responsabilidades exige que la estructuración técnica del estudio del sector se soporte en el conocimiento especializado del objeto contractual, mientras que las áreas jurídicas y de contratación ejercen el acompañamiento propio de sus competencias en la estructuración y verificación jurídica del proceso.</w:t>
      </w:r>
    </w:p>
    <w:p w14:paraId="23F6758B" w14:textId="77777777" w:rsidR="001B7687" w:rsidRPr="00A0675A" w:rsidRDefault="001B7687" w:rsidP="001B7687">
      <w:pPr>
        <w:spacing w:after="120" w:line="276" w:lineRule="auto"/>
        <w:jc w:val="both"/>
        <w:rPr>
          <w:rFonts w:ascii="Verdana" w:eastAsia="Verdana" w:hAnsi="Verdana" w:cs="Verdana"/>
        </w:rPr>
      </w:pPr>
      <w:r>
        <w:rPr>
          <w:rFonts w:ascii="Verdana" w:eastAsia="Verdana" w:hAnsi="Verdana" w:cs="Verdana"/>
        </w:rPr>
        <w:t xml:space="preserve">          </w:t>
      </w:r>
      <w:r w:rsidRPr="00A0675A">
        <w:rPr>
          <w:rFonts w:ascii="Verdana" w:eastAsia="Verdana" w:hAnsi="Verdana" w:cs="Verdana"/>
        </w:rPr>
        <w:t>Esta consideración adquiere especial relevancia cuando se trata de bienes o servicios altamente especializados, pues la identificación de proveedores, la definición de especificaciones técnicas, el análisis de equivalencias y la valoración de las condiciones del mercado requieren conocimientos técnicos que pueden incidir directamente en la adecuada determinación de la necesidad contractual y del presupuesto oficial.</w:t>
      </w:r>
    </w:p>
    <w:p w14:paraId="410821B3" w14:textId="77777777" w:rsidR="001B7687" w:rsidRPr="00A0675A" w:rsidRDefault="001B7687" w:rsidP="001B7687">
      <w:pPr>
        <w:spacing w:after="120" w:line="276" w:lineRule="auto"/>
        <w:jc w:val="both"/>
        <w:rPr>
          <w:rFonts w:ascii="Verdana" w:eastAsia="Verdana" w:hAnsi="Verdana" w:cs="Verdana"/>
        </w:rPr>
      </w:pPr>
      <w:r>
        <w:rPr>
          <w:rFonts w:ascii="Verdana" w:eastAsia="Verdana" w:hAnsi="Verdana" w:cs="Verdana"/>
        </w:rPr>
        <w:t xml:space="preserve">         </w:t>
      </w:r>
      <w:r w:rsidRPr="00A0675A">
        <w:rPr>
          <w:rFonts w:ascii="Verdana" w:eastAsia="Verdana" w:hAnsi="Verdana" w:cs="Verdana"/>
        </w:rPr>
        <w:t xml:space="preserve">Por otra parte, la eventual asignación de estas actividades a servidores públicos pertenecientes a dependencias distintas de las áreas técnicas constituye una decisión de organización administrativa que corresponde adoptar a cada </w:t>
      </w:r>
      <w:r w:rsidRPr="00A0675A">
        <w:rPr>
          <w:rFonts w:ascii="Verdana" w:eastAsia="Verdana" w:hAnsi="Verdana" w:cs="Verdana"/>
        </w:rPr>
        <w:lastRenderedPageBreak/>
        <w:t>entidad, sin que exista una prohibición legal expresa. Sin embargo, dicha distribución funcional no exonera a los servidores públicos ni a los ordenadores del gasto del cumplimiento de los deberes de planeación, diligencia y responsabilidad previstos en el Estatuto General de Contratación de la Administración Pública, ni impide que, en caso de presentarse irregularidades o afectaciones al patrimonio público, las autoridades competentes evalúen las responsabilidades disciplinarias, fiscales, penales o administrativas que puedan derivarse de las circunstancias particulares del caso.</w:t>
      </w:r>
    </w:p>
    <w:p w14:paraId="70019F73" w14:textId="77777777" w:rsidR="001B7687" w:rsidRPr="0015699B" w:rsidRDefault="001B7687" w:rsidP="001B7687">
      <w:pPr>
        <w:spacing w:after="0" w:line="276" w:lineRule="auto"/>
        <w:ind w:firstLine="708"/>
        <w:jc w:val="both"/>
        <w:textAlignment w:val="baseline"/>
        <w:rPr>
          <w:rFonts w:ascii="Verdana" w:eastAsia="Verdana" w:hAnsi="Verdana" w:cs="Verdana"/>
          <w:lang w:val="es-ES"/>
        </w:rPr>
      </w:pPr>
      <w:r w:rsidRPr="39124533">
        <w:rPr>
          <w:rFonts w:ascii="Verdana" w:eastAsia="Verdana" w:hAnsi="Verdana" w:cs="Verdana"/>
          <w:lang w:val="es"/>
        </w:rPr>
        <w:t xml:space="preserve"> </w:t>
      </w:r>
      <w:r w:rsidRPr="39124533">
        <w:rPr>
          <w:rFonts w:ascii="Verdana" w:eastAsia="Verdana" w:hAnsi="Verdana" w:cs="Verdana"/>
          <w:lang w:val="es-ES"/>
        </w:rPr>
        <w:t>Finalmente, debe advertirse que el análisis para resolver problemas específicos en torno a los procesos de contratación debe ser realizado por quienes tengan interés en ello.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adoptar la decisión y, en caso de conflicto, a las autoridades judiciales, fiscales y disciplinarias.</w:t>
      </w:r>
    </w:p>
    <w:p w14:paraId="094EED4D" w14:textId="77777777" w:rsidR="001B7687" w:rsidRPr="0015699B" w:rsidRDefault="001B7687" w:rsidP="001B7687">
      <w:pPr>
        <w:spacing w:after="0" w:line="276" w:lineRule="auto"/>
        <w:ind w:firstLine="708"/>
        <w:jc w:val="both"/>
        <w:textAlignment w:val="baseline"/>
        <w:rPr>
          <w:rFonts w:ascii="Verdana" w:eastAsia="Verdana" w:hAnsi="Verdana" w:cs="Verdana"/>
          <w:lang w:val="es"/>
        </w:rPr>
      </w:pPr>
      <w:r w:rsidRPr="39124533">
        <w:rPr>
          <w:rFonts w:ascii="Verdana" w:eastAsia="Verdana" w:hAnsi="Verdana" w:cs="Verdana"/>
          <w:lang w:val="es"/>
        </w:rPr>
        <w:t xml:space="preserve">  </w:t>
      </w:r>
    </w:p>
    <w:p w14:paraId="33F25374" w14:textId="77777777" w:rsidR="001B7687" w:rsidRPr="0015699B" w:rsidRDefault="001B7687" w:rsidP="001B7687">
      <w:pPr>
        <w:pStyle w:val="Prrafodelista"/>
        <w:numPr>
          <w:ilvl w:val="0"/>
          <w:numId w:val="16"/>
        </w:numPr>
        <w:spacing w:after="0" w:line="240" w:lineRule="auto"/>
        <w:ind w:left="1080" w:hanging="720"/>
        <w:jc w:val="both"/>
        <w:textAlignment w:val="baseline"/>
        <w:rPr>
          <w:rFonts w:ascii="Verdana" w:eastAsia="Verdana" w:hAnsi="Verdana" w:cs="Verdana"/>
          <w:b/>
          <w:bCs/>
          <w:lang w:val="es"/>
        </w:rPr>
      </w:pPr>
      <w:r w:rsidRPr="40A87941">
        <w:rPr>
          <w:rFonts w:ascii="Verdana" w:eastAsia="Verdana" w:hAnsi="Verdana" w:cs="Verdana"/>
          <w:b/>
          <w:bCs/>
          <w:lang w:val="es"/>
        </w:rPr>
        <w:t>Referencias normativas, jurisprudenciales y otras fuentes:</w:t>
      </w:r>
    </w:p>
    <w:p w14:paraId="7278509F" w14:textId="77777777" w:rsidR="001B7687" w:rsidRPr="0015699B" w:rsidRDefault="001B7687" w:rsidP="001B7687">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 </w:t>
      </w:r>
    </w:p>
    <w:tbl>
      <w:tblPr>
        <w:tblStyle w:val="Tablaconcuadrcula"/>
        <w:tblW w:w="0" w:type="auto"/>
        <w:tblInd w:w="135" w:type="dxa"/>
        <w:tblLook w:val="04A0" w:firstRow="1" w:lastRow="0" w:firstColumn="1" w:lastColumn="0" w:noHBand="0" w:noVBand="1"/>
      </w:tblPr>
      <w:tblGrid>
        <w:gridCol w:w="8640"/>
      </w:tblGrid>
      <w:tr w:rsidR="001B7687" w14:paraId="6204807C" w14:textId="77777777" w:rsidTr="0048031D">
        <w:trPr>
          <w:trHeight w:val="870"/>
        </w:trPr>
        <w:tc>
          <w:tcPr>
            <w:tcW w:w="8640" w:type="dxa"/>
            <w:tcBorders>
              <w:top w:val="dotted" w:sz="8" w:space="0" w:color="auto"/>
              <w:left w:val="dotted" w:sz="8" w:space="0" w:color="auto"/>
              <w:bottom w:val="dotted" w:sz="8" w:space="0" w:color="auto"/>
              <w:right w:val="dotted" w:sz="8" w:space="0" w:color="auto"/>
            </w:tcBorders>
            <w:tcMar>
              <w:left w:w="108" w:type="dxa"/>
              <w:right w:w="108" w:type="dxa"/>
            </w:tcMar>
          </w:tcPr>
          <w:p w14:paraId="0CB9C88B" w14:textId="77777777" w:rsidR="001B7687" w:rsidRDefault="001B7687" w:rsidP="001B7687">
            <w:pPr>
              <w:pStyle w:val="Prrafodelista"/>
              <w:numPr>
                <w:ilvl w:val="0"/>
                <w:numId w:val="17"/>
              </w:numPr>
              <w:spacing w:after="120" w:line="276" w:lineRule="auto"/>
              <w:jc w:val="both"/>
              <w:rPr>
                <w:rFonts w:ascii="Verdana" w:eastAsia="Calibri" w:hAnsi="Verdana" w:cs="Arial"/>
                <w:bCs/>
                <w:color w:val="000000" w:themeColor="text1"/>
              </w:rPr>
            </w:pPr>
            <w:r>
              <w:rPr>
                <w:rFonts w:ascii="Verdana" w:eastAsia="Calibri" w:hAnsi="Verdana" w:cs="Arial"/>
                <w:bCs/>
                <w:color w:val="000000" w:themeColor="text1"/>
              </w:rPr>
              <w:t xml:space="preserve">Ley 80 de 1993. Artículo 25. </w:t>
            </w:r>
          </w:p>
          <w:p w14:paraId="4E4F3BCF" w14:textId="77777777" w:rsidR="001B7687" w:rsidRDefault="001B7687" w:rsidP="001B7687">
            <w:pPr>
              <w:pStyle w:val="Prrafodelista"/>
              <w:numPr>
                <w:ilvl w:val="0"/>
                <w:numId w:val="17"/>
              </w:numPr>
              <w:spacing w:after="120" w:line="276" w:lineRule="auto"/>
              <w:jc w:val="both"/>
              <w:rPr>
                <w:rFonts w:ascii="Verdana" w:eastAsia="Calibri" w:hAnsi="Verdana" w:cs="Arial"/>
                <w:bCs/>
                <w:color w:val="000000" w:themeColor="text1"/>
              </w:rPr>
            </w:pPr>
            <w:r>
              <w:rPr>
                <w:rFonts w:ascii="Verdana" w:eastAsia="Calibri" w:hAnsi="Verdana" w:cs="Arial"/>
                <w:bCs/>
                <w:color w:val="000000" w:themeColor="text1"/>
              </w:rPr>
              <w:t xml:space="preserve">Decreto 663 de 1993. Artículos 192 y 193. </w:t>
            </w:r>
          </w:p>
          <w:p w14:paraId="50B660B2" w14:textId="77777777" w:rsidR="001B7687" w:rsidRDefault="001B7687" w:rsidP="001B7687">
            <w:pPr>
              <w:pStyle w:val="Prrafodelista"/>
              <w:numPr>
                <w:ilvl w:val="0"/>
                <w:numId w:val="17"/>
              </w:numPr>
              <w:spacing w:after="120" w:line="276" w:lineRule="auto"/>
              <w:jc w:val="both"/>
              <w:rPr>
                <w:rFonts w:ascii="Verdana" w:eastAsia="Calibri" w:hAnsi="Verdana" w:cs="Arial"/>
                <w:bCs/>
                <w:color w:val="000000" w:themeColor="text1"/>
              </w:rPr>
            </w:pPr>
            <w:r>
              <w:rPr>
                <w:rFonts w:ascii="Verdana" w:eastAsia="Calibri" w:hAnsi="Verdana" w:cs="Arial"/>
                <w:bCs/>
                <w:color w:val="000000" w:themeColor="text1"/>
              </w:rPr>
              <w:t xml:space="preserve">Ley 1150 de 2007. Artículo 2. </w:t>
            </w:r>
          </w:p>
          <w:p w14:paraId="7FA86719" w14:textId="77777777" w:rsidR="001B7687" w:rsidRDefault="001B7687" w:rsidP="001B7687">
            <w:pPr>
              <w:pStyle w:val="Prrafodelista"/>
              <w:numPr>
                <w:ilvl w:val="0"/>
                <w:numId w:val="17"/>
              </w:numPr>
              <w:spacing w:after="120" w:line="276" w:lineRule="auto"/>
              <w:jc w:val="both"/>
              <w:rPr>
                <w:rFonts w:ascii="Verdana" w:eastAsia="Calibri" w:hAnsi="Verdana" w:cs="Arial"/>
                <w:bCs/>
                <w:color w:val="000000" w:themeColor="text1"/>
              </w:rPr>
            </w:pPr>
            <w:r>
              <w:rPr>
                <w:rFonts w:ascii="Verdana" w:eastAsia="Calibri" w:hAnsi="Verdana" w:cs="Arial"/>
                <w:bCs/>
                <w:color w:val="000000" w:themeColor="text1"/>
              </w:rPr>
              <w:t xml:space="preserve">Decreto 1082 de 2015. Artículos </w:t>
            </w:r>
            <w:r w:rsidRPr="00185EE9">
              <w:rPr>
                <w:rFonts w:ascii="Verdana" w:eastAsia="Calibri" w:hAnsi="Verdana" w:cs="Arial"/>
                <w:bCs/>
                <w:color w:val="000000" w:themeColor="text1"/>
              </w:rPr>
              <w:t>2.2.1.1.1.3.1</w:t>
            </w:r>
            <w:r>
              <w:rPr>
                <w:rFonts w:ascii="Verdana" w:eastAsia="Calibri" w:hAnsi="Verdana" w:cs="Arial"/>
                <w:bCs/>
                <w:color w:val="000000" w:themeColor="text1"/>
              </w:rPr>
              <w:t xml:space="preserve">., </w:t>
            </w:r>
            <w:r w:rsidRPr="007A2CB0">
              <w:rPr>
                <w:rFonts w:ascii="Verdana" w:hAnsi="Verdana" w:cs="Arial"/>
              </w:rPr>
              <w:t>2.2.1.1.2.1.1</w:t>
            </w:r>
            <w:r>
              <w:rPr>
                <w:rFonts w:ascii="Verdana" w:hAnsi="Verdana" w:cs="Arial"/>
              </w:rPr>
              <w:t xml:space="preserve">, </w:t>
            </w:r>
            <w:r w:rsidRPr="007A2CB0">
              <w:rPr>
                <w:rFonts w:ascii="Verdana" w:eastAsia="Calibri" w:hAnsi="Verdana" w:cs="Arial"/>
                <w:bCs/>
                <w:lang w:val="es-ES_tradnl"/>
              </w:rPr>
              <w:t>2.2.1.1.1.6.1</w:t>
            </w:r>
            <w:r>
              <w:rPr>
                <w:rFonts w:ascii="Verdana" w:hAnsi="Verdana" w:cs="Arial"/>
              </w:rPr>
              <w:t xml:space="preserve">, </w:t>
            </w:r>
            <w:r w:rsidRPr="00185EE9">
              <w:rPr>
                <w:rFonts w:ascii="Verdana" w:eastAsia="Calibri" w:hAnsi="Verdana" w:cs="Arial"/>
                <w:bCs/>
                <w:color w:val="000000" w:themeColor="text1"/>
              </w:rPr>
              <w:t>2.2.1.1.2.2.2</w:t>
            </w:r>
            <w:r>
              <w:rPr>
                <w:rFonts w:ascii="Verdana" w:eastAsia="Calibri" w:hAnsi="Verdana" w:cs="Arial"/>
                <w:bCs/>
                <w:color w:val="000000" w:themeColor="text1"/>
              </w:rPr>
              <w:t>.</w:t>
            </w:r>
          </w:p>
          <w:p w14:paraId="7A88337F" w14:textId="77777777" w:rsidR="001B7687" w:rsidRDefault="001B7687" w:rsidP="001B7687">
            <w:pPr>
              <w:pStyle w:val="Prrafodelista"/>
              <w:numPr>
                <w:ilvl w:val="0"/>
                <w:numId w:val="17"/>
              </w:numPr>
              <w:spacing w:after="120" w:line="276" w:lineRule="auto"/>
              <w:jc w:val="both"/>
              <w:rPr>
                <w:rFonts w:ascii="Verdana" w:eastAsia="Calibri" w:hAnsi="Verdana" w:cs="Arial"/>
                <w:bCs/>
                <w:color w:val="000000" w:themeColor="text1"/>
              </w:rPr>
            </w:pPr>
            <w:r w:rsidRPr="008E2AA2">
              <w:rPr>
                <w:rFonts w:ascii="Verdana" w:eastAsia="Calibri" w:hAnsi="Verdana" w:cs="Arial"/>
                <w:bCs/>
                <w:color w:val="000000" w:themeColor="text1"/>
              </w:rPr>
              <w:t>Ley 2161 de 2021</w:t>
            </w:r>
            <w:r>
              <w:rPr>
                <w:rFonts w:ascii="Verdana" w:eastAsia="Calibri" w:hAnsi="Verdana" w:cs="Arial"/>
                <w:bCs/>
                <w:color w:val="000000" w:themeColor="text1"/>
              </w:rPr>
              <w:t xml:space="preserve">. Artículo 42. </w:t>
            </w:r>
          </w:p>
          <w:p w14:paraId="562C946F" w14:textId="77777777" w:rsidR="001B7687" w:rsidRDefault="001B7687" w:rsidP="001B7687">
            <w:pPr>
              <w:pStyle w:val="Prrafodelista"/>
              <w:numPr>
                <w:ilvl w:val="0"/>
                <w:numId w:val="17"/>
              </w:numPr>
              <w:spacing w:after="120" w:line="276" w:lineRule="auto"/>
              <w:jc w:val="both"/>
              <w:rPr>
                <w:rFonts w:ascii="Verdana" w:eastAsia="Calibri" w:hAnsi="Verdana" w:cs="Arial"/>
                <w:bCs/>
                <w:color w:val="000000" w:themeColor="text1"/>
              </w:rPr>
            </w:pPr>
            <w:r>
              <w:rPr>
                <w:rFonts w:ascii="Verdana" w:eastAsia="Calibri" w:hAnsi="Verdana" w:cs="Arial"/>
                <w:bCs/>
                <w:color w:val="000000" w:themeColor="text1"/>
              </w:rPr>
              <w:t xml:space="preserve">Decreto 2497 de 2022. Artículo 1. </w:t>
            </w:r>
          </w:p>
          <w:p w14:paraId="07474590" w14:textId="77777777" w:rsidR="001B7687" w:rsidRDefault="001B7687" w:rsidP="001B7687">
            <w:pPr>
              <w:pStyle w:val="Prrafodelista"/>
              <w:numPr>
                <w:ilvl w:val="0"/>
                <w:numId w:val="17"/>
              </w:numPr>
              <w:spacing w:after="120" w:line="276" w:lineRule="auto"/>
              <w:jc w:val="both"/>
              <w:rPr>
                <w:rFonts w:ascii="Verdana" w:eastAsia="Calibri" w:hAnsi="Verdana" w:cs="Arial"/>
                <w:bCs/>
                <w:color w:val="000000" w:themeColor="text1"/>
              </w:rPr>
            </w:pPr>
            <w:r>
              <w:rPr>
                <w:rFonts w:ascii="Verdana" w:eastAsia="Calibri" w:hAnsi="Verdana" w:cs="Arial"/>
                <w:bCs/>
                <w:color w:val="000000" w:themeColor="text1"/>
              </w:rPr>
              <w:t>Decreto 2312 de 2023.</w:t>
            </w:r>
          </w:p>
          <w:p w14:paraId="5444539E" w14:textId="77777777" w:rsidR="001B7687" w:rsidRDefault="001B7687" w:rsidP="001B7687">
            <w:pPr>
              <w:pStyle w:val="Prrafodelista"/>
              <w:numPr>
                <w:ilvl w:val="0"/>
                <w:numId w:val="17"/>
              </w:numPr>
              <w:spacing w:after="120" w:line="276" w:lineRule="auto"/>
              <w:jc w:val="both"/>
              <w:rPr>
                <w:rFonts w:ascii="Verdana" w:eastAsia="Calibri" w:hAnsi="Verdana" w:cs="Arial"/>
                <w:bCs/>
                <w:color w:val="000000" w:themeColor="text1"/>
              </w:rPr>
            </w:pPr>
            <w:r w:rsidRPr="00C7714C">
              <w:rPr>
                <w:rFonts w:ascii="Verdana" w:eastAsia="Calibri" w:hAnsi="Verdana" w:cs="Arial"/>
                <w:bCs/>
                <w:color w:val="000000" w:themeColor="text1"/>
              </w:rPr>
              <w:t xml:space="preserve">Consejo de Estado. Sala de lo Contencioso Administrativo. Sección Tercera. Subsección A. Sentencia del 23 de julio de 2015. </w:t>
            </w:r>
            <w:proofErr w:type="spellStart"/>
            <w:r w:rsidRPr="00C7714C">
              <w:rPr>
                <w:rFonts w:ascii="Verdana" w:eastAsia="Calibri" w:hAnsi="Verdana" w:cs="Arial"/>
                <w:bCs/>
                <w:color w:val="000000" w:themeColor="text1"/>
              </w:rPr>
              <w:t>Exp</w:t>
            </w:r>
            <w:proofErr w:type="spellEnd"/>
            <w:r w:rsidRPr="00C7714C">
              <w:rPr>
                <w:rFonts w:ascii="Verdana" w:eastAsia="Calibri" w:hAnsi="Verdana" w:cs="Arial"/>
                <w:bCs/>
                <w:color w:val="000000" w:themeColor="text1"/>
              </w:rPr>
              <w:t>. 36.805. C.P: Hernán Andrade Rincón.</w:t>
            </w:r>
          </w:p>
          <w:p w14:paraId="5C48B7FA" w14:textId="77777777" w:rsidR="001B7687" w:rsidRDefault="001B7687" w:rsidP="001B7687">
            <w:pPr>
              <w:pStyle w:val="Prrafodelista"/>
              <w:numPr>
                <w:ilvl w:val="0"/>
                <w:numId w:val="17"/>
              </w:numPr>
              <w:spacing w:after="120" w:line="276" w:lineRule="auto"/>
              <w:jc w:val="both"/>
              <w:rPr>
                <w:rFonts w:ascii="Verdana" w:eastAsia="Calibri" w:hAnsi="Verdana" w:cs="Arial"/>
                <w:bCs/>
                <w:color w:val="000000" w:themeColor="text1"/>
              </w:rPr>
            </w:pPr>
            <w:r w:rsidRPr="00C7714C">
              <w:rPr>
                <w:rFonts w:ascii="Verdana" w:eastAsia="Calibri" w:hAnsi="Verdana" w:cs="Arial"/>
                <w:bCs/>
                <w:color w:val="000000" w:themeColor="text1"/>
              </w:rPr>
              <w:t xml:space="preserve">Consejo de Estado. Sala de lo Contencioso Administrativo. Sección Tercera. Subsección C. Sentencia del 17 de junio de 2024. Rad. 69575. C.P. Martín Bermúdez Muñoz. </w:t>
            </w:r>
          </w:p>
          <w:p w14:paraId="6CC6DB04" w14:textId="77777777" w:rsidR="001B7687" w:rsidRDefault="001B7687" w:rsidP="001B7687">
            <w:pPr>
              <w:pStyle w:val="Prrafodelista"/>
              <w:numPr>
                <w:ilvl w:val="0"/>
                <w:numId w:val="17"/>
              </w:numPr>
              <w:spacing w:after="120" w:line="276" w:lineRule="auto"/>
              <w:jc w:val="both"/>
              <w:rPr>
                <w:rFonts w:ascii="Verdana" w:eastAsia="Calibri" w:hAnsi="Verdana" w:cs="Arial"/>
                <w:bCs/>
                <w:color w:val="000000" w:themeColor="text1"/>
              </w:rPr>
            </w:pPr>
            <w:r w:rsidRPr="00445E76">
              <w:rPr>
                <w:rFonts w:ascii="Verdana" w:eastAsia="Calibri" w:hAnsi="Verdana" w:cs="Arial"/>
                <w:bCs/>
                <w:color w:val="000000" w:themeColor="text1"/>
              </w:rPr>
              <w:t xml:space="preserve">Consejo de Estado. Sala de lo Contencioso Administrativo. Sección Tercera. Subsección B. Sentencia del 27 de abril de 2011. </w:t>
            </w:r>
            <w:proofErr w:type="spellStart"/>
            <w:r w:rsidRPr="00445E76">
              <w:rPr>
                <w:rFonts w:ascii="Verdana" w:eastAsia="Calibri" w:hAnsi="Verdana" w:cs="Arial"/>
                <w:bCs/>
                <w:color w:val="000000" w:themeColor="text1"/>
              </w:rPr>
              <w:t>Exp</w:t>
            </w:r>
            <w:proofErr w:type="spellEnd"/>
            <w:r w:rsidRPr="00445E76">
              <w:rPr>
                <w:rFonts w:ascii="Verdana" w:eastAsia="Calibri" w:hAnsi="Verdana" w:cs="Arial"/>
                <w:bCs/>
                <w:color w:val="000000" w:themeColor="text1"/>
              </w:rPr>
              <w:t>. 18.293. C.P. Ruth Stella Correa Palacio.</w:t>
            </w:r>
          </w:p>
          <w:p w14:paraId="23CD298E" w14:textId="77777777" w:rsidR="001B7687" w:rsidRDefault="001B7687" w:rsidP="001B7687">
            <w:pPr>
              <w:pStyle w:val="Prrafodelista"/>
              <w:numPr>
                <w:ilvl w:val="0"/>
                <w:numId w:val="17"/>
              </w:numPr>
              <w:spacing w:after="120" w:line="276" w:lineRule="auto"/>
              <w:jc w:val="both"/>
              <w:rPr>
                <w:rFonts w:ascii="Verdana" w:eastAsia="Calibri" w:hAnsi="Verdana" w:cs="Arial"/>
                <w:bCs/>
                <w:color w:val="000000" w:themeColor="text1"/>
              </w:rPr>
            </w:pPr>
            <w:r w:rsidRPr="00EB39C3">
              <w:rPr>
                <w:rFonts w:ascii="Verdana" w:eastAsia="Calibri" w:hAnsi="Verdana" w:cs="Arial"/>
                <w:bCs/>
                <w:color w:val="000000" w:themeColor="text1"/>
              </w:rPr>
              <w:lastRenderedPageBreak/>
              <w:t>Consejo de Estado. Sala de lo Contencioso Administrativo. Sección Tercera. Subsección C. Sentencia del 24 de abril de 2013. Radicado: 68001-23-15-000-1998-01743-01 (27315). C.P: Jaime Orlando Santofimio Gamboa.</w:t>
            </w:r>
          </w:p>
          <w:p w14:paraId="10C0053B" w14:textId="77777777" w:rsidR="001B7687" w:rsidRDefault="001B7687" w:rsidP="001B7687">
            <w:pPr>
              <w:pStyle w:val="Prrafodelista"/>
              <w:numPr>
                <w:ilvl w:val="0"/>
                <w:numId w:val="17"/>
              </w:numPr>
              <w:spacing w:after="120" w:line="276" w:lineRule="auto"/>
              <w:jc w:val="both"/>
              <w:rPr>
                <w:rFonts w:ascii="Verdana" w:eastAsia="Calibri" w:hAnsi="Verdana" w:cs="Arial"/>
                <w:bCs/>
                <w:color w:val="000000" w:themeColor="text1"/>
              </w:rPr>
            </w:pPr>
            <w:r w:rsidRPr="00C7714C">
              <w:rPr>
                <w:rFonts w:ascii="Verdana" w:eastAsia="Calibri" w:hAnsi="Verdana" w:cs="Arial"/>
                <w:bCs/>
                <w:color w:val="000000" w:themeColor="text1"/>
              </w:rPr>
              <w:t>Corte Constitucional. Sentencia C-395 de 2022. M.P: Natalia Ángel Cabo.</w:t>
            </w:r>
          </w:p>
          <w:p w14:paraId="31955757" w14:textId="77777777" w:rsidR="001B7687" w:rsidRDefault="001B7687" w:rsidP="001B7687">
            <w:pPr>
              <w:pStyle w:val="Prrafodelista"/>
              <w:numPr>
                <w:ilvl w:val="0"/>
                <w:numId w:val="17"/>
              </w:numPr>
              <w:spacing w:after="120" w:line="276" w:lineRule="auto"/>
              <w:jc w:val="both"/>
              <w:rPr>
                <w:rFonts w:ascii="Verdana" w:eastAsia="Calibri" w:hAnsi="Verdana" w:cs="Arial"/>
                <w:bCs/>
                <w:color w:val="000000" w:themeColor="text1"/>
              </w:rPr>
            </w:pPr>
            <w:r w:rsidRPr="00C7714C">
              <w:rPr>
                <w:rFonts w:ascii="Verdana" w:eastAsia="Calibri" w:hAnsi="Verdana" w:cs="Arial"/>
                <w:bCs/>
                <w:color w:val="000000" w:themeColor="text1"/>
              </w:rPr>
              <w:t>DÁVILA VINUEZA, Luis Guillermo. Régimen jurídico de la contratación estatal. Tercera Edición. Bogotá: Legis, 2016.</w:t>
            </w:r>
          </w:p>
          <w:p w14:paraId="49447334" w14:textId="77777777" w:rsidR="001B7687" w:rsidRPr="003D5882" w:rsidRDefault="001B7687" w:rsidP="001B7687">
            <w:pPr>
              <w:pStyle w:val="Prrafodelista"/>
              <w:numPr>
                <w:ilvl w:val="0"/>
                <w:numId w:val="17"/>
              </w:numPr>
              <w:spacing w:after="120" w:line="276" w:lineRule="auto"/>
              <w:contextualSpacing w:val="0"/>
              <w:jc w:val="both"/>
              <w:rPr>
                <w:rFonts w:ascii="Verdana" w:eastAsia="Verdana" w:hAnsi="Verdana" w:cs="Verdana"/>
                <w:lang w:val="es"/>
              </w:rPr>
            </w:pPr>
            <w:r w:rsidRPr="007A2CB0">
              <w:rPr>
                <w:rFonts w:ascii="Verdana" w:eastAsia="Calibri" w:hAnsi="Verdana" w:cs="Arial"/>
                <w:bCs/>
                <w:lang w:val="es-ES_tradnl"/>
              </w:rPr>
              <w:t>Guía de Elaboración del Estudio del Sector</w:t>
            </w:r>
            <w:r>
              <w:rPr>
                <w:rFonts w:ascii="Verdana" w:eastAsia="Calibri" w:hAnsi="Verdana" w:cs="Arial"/>
                <w:bCs/>
                <w:lang w:val="es-ES_tradnl"/>
              </w:rPr>
              <w:t xml:space="preserve"> </w:t>
            </w:r>
            <w:r w:rsidRPr="00C91AAF">
              <w:rPr>
                <w:rFonts w:ascii="Verdana" w:hAnsi="Verdana" w:cs="Arial"/>
                <w:lang w:val="es-CO"/>
              </w:rPr>
              <w:t xml:space="preserve">Disponible en </w:t>
            </w:r>
            <w:hyperlink r:id="rId12" w:history="1">
              <w:r w:rsidRPr="006320FD">
                <w:rPr>
                  <w:rStyle w:val="Hipervnculo"/>
                  <w:rFonts w:ascii="Verdana" w:hAnsi="Verdana" w:cs="Arial"/>
                  <w:lang w:val="es-CO"/>
                </w:rPr>
                <w:t>https://colombiacompra.gov.co/wp-content/uploads/2025/08/Guia-para-la-elaboracion-de-estudios-del-sector-Original-Firmado.pdf</w:t>
              </w:r>
              <w:r w:rsidRPr="006320FD">
                <w:rPr>
                  <w:rStyle w:val="Hipervnculo"/>
                  <w:rFonts w:ascii="Verdana" w:hAnsi="Verdana" w:cs="Arial"/>
                  <w:sz w:val="14"/>
                  <w:szCs w:val="14"/>
                </w:rPr>
                <w:t xml:space="preserve"> </w:t>
              </w:r>
            </w:hyperlink>
          </w:p>
        </w:tc>
      </w:tr>
    </w:tbl>
    <w:p w14:paraId="61C1F2C8" w14:textId="77777777" w:rsidR="001B7687" w:rsidRPr="0015699B" w:rsidRDefault="001B7687" w:rsidP="001B7687">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lastRenderedPageBreak/>
        <w:t xml:space="preserve"> </w:t>
      </w:r>
    </w:p>
    <w:p w14:paraId="688BC569" w14:textId="77777777" w:rsidR="001B7687" w:rsidRPr="003D5882" w:rsidRDefault="001B7687" w:rsidP="001B7687">
      <w:pPr>
        <w:pStyle w:val="Prrafodelista"/>
        <w:numPr>
          <w:ilvl w:val="0"/>
          <w:numId w:val="16"/>
        </w:numPr>
        <w:spacing w:before="1" w:after="0" w:line="240" w:lineRule="auto"/>
        <w:jc w:val="both"/>
        <w:textAlignment w:val="baseline"/>
        <w:rPr>
          <w:rFonts w:ascii="Verdana" w:eastAsia="Verdana" w:hAnsi="Verdana" w:cs="Verdana"/>
          <w:b/>
          <w:bCs/>
          <w:lang w:val="es"/>
        </w:rPr>
      </w:pPr>
      <w:r w:rsidRPr="39124533">
        <w:rPr>
          <w:rFonts w:ascii="Verdana" w:eastAsia="Verdana" w:hAnsi="Verdana" w:cs="Verdana"/>
          <w:b/>
          <w:bCs/>
          <w:lang w:val="es"/>
        </w:rPr>
        <w:t>Doctrina de la Agencia Nacional de Contratación Pública:</w:t>
      </w:r>
    </w:p>
    <w:p w14:paraId="5521366B" w14:textId="77777777" w:rsidR="001B7687" w:rsidRPr="003D5882" w:rsidRDefault="001B7687" w:rsidP="001B7687">
      <w:pPr>
        <w:pStyle w:val="Prrafodelista"/>
        <w:spacing w:before="1" w:after="0" w:line="240" w:lineRule="auto"/>
        <w:jc w:val="both"/>
        <w:textAlignment w:val="baseline"/>
        <w:rPr>
          <w:rFonts w:ascii="Verdana" w:eastAsia="Verdana" w:hAnsi="Verdana" w:cs="Verdana"/>
          <w:b/>
          <w:bCs/>
          <w:lang w:val="es"/>
        </w:rPr>
      </w:pPr>
    </w:p>
    <w:p w14:paraId="76318893" w14:textId="77777777" w:rsidR="001B7687" w:rsidRPr="00010A5F" w:rsidRDefault="001B7687" w:rsidP="001B7687">
      <w:pPr>
        <w:spacing w:after="0" w:line="276" w:lineRule="auto"/>
        <w:jc w:val="both"/>
        <w:textAlignment w:val="baseline"/>
        <w:rPr>
          <w:rFonts w:ascii="Verdana" w:eastAsia="Verdana" w:hAnsi="Verdana" w:cs="Verdana"/>
          <w:color w:val="FF0000"/>
          <w:lang w:val="es"/>
        </w:rPr>
      </w:pPr>
      <w:r w:rsidRPr="00D0312A">
        <w:rPr>
          <w:rFonts w:ascii="Verdana" w:hAnsi="Verdana" w:cs="Arial"/>
          <w:shd w:val="clear" w:color="auto" w:fill="FFFFFF"/>
        </w:rPr>
        <w:t>Sobre los estudios previos y el deber de planeación en los procesos de contratación pública se ha pronunciado esta Subdirección en los conceptos C-218 del 13 de julio de 2023, C-274 del 14 de julio de 2023, C-309 del 28 de julio de 2023, C-344 del 18 de agosto de 2023, C-346 del 25 de agosto de 2023, C-297 del 3 de octubre de 2023, C-201 del 26 de octubre de 2023, C-144 del 6 de diciembre de 2023, C-440 del 12 de diciembre de 2023, C-001 del 25 de enero de 2024, C-030 del 9 de abril de 2024, C-053 del 7 de mayo de 2024, C-842 del 19 de diciembre de 2024, C-716 del 15 de julio de 2025, C-943 del 25 de agosto de 2025</w:t>
      </w:r>
      <w:r>
        <w:rPr>
          <w:rFonts w:ascii="Verdana" w:hAnsi="Verdana" w:cs="Arial"/>
          <w:shd w:val="clear" w:color="auto" w:fill="FFFFFF"/>
        </w:rPr>
        <w:t>,</w:t>
      </w:r>
      <w:r w:rsidRPr="00D0312A">
        <w:rPr>
          <w:rFonts w:ascii="Verdana" w:hAnsi="Verdana" w:cs="Arial"/>
          <w:shd w:val="clear" w:color="auto" w:fill="FFFFFF"/>
        </w:rPr>
        <w:t xml:space="preserve"> C-</w:t>
      </w:r>
      <w:r w:rsidRPr="00D0312A">
        <w:rPr>
          <w:rFonts w:ascii="Verdana" w:eastAsia="Calibri" w:hAnsi="Verdana" w:cs="Arial"/>
          <w:color w:val="000000" w:themeColor="text1"/>
          <w:lang w:val="es-ES" w:eastAsia="es-ES"/>
        </w:rPr>
        <w:t>743 del 16 de junio del 2026</w:t>
      </w:r>
      <w:r>
        <w:rPr>
          <w:rFonts w:ascii="Verdana" w:eastAsia="Calibri" w:hAnsi="Verdana" w:cs="Arial"/>
          <w:color w:val="000000" w:themeColor="text1"/>
          <w:lang w:val="es-ES" w:eastAsia="es-ES"/>
        </w:rPr>
        <w:t xml:space="preserve"> y </w:t>
      </w:r>
      <w:r>
        <w:rPr>
          <w:rFonts w:ascii="Verdana" w:hAnsi="Verdana" w:cs="Arial"/>
          <w:shd w:val="clear" w:color="auto" w:fill="FFFFFF"/>
        </w:rPr>
        <w:t>C-910 del 16 de julio de 2026</w:t>
      </w:r>
      <w:r w:rsidRPr="00D0312A">
        <w:rPr>
          <w:rFonts w:ascii="Verdana" w:eastAsia="Calibri" w:hAnsi="Verdana" w:cs="Arial"/>
          <w:color w:val="000000" w:themeColor="text1"/>
          <w:lang w:val="es-ES" w:eastAsia="es-ES"/>
        </w:rPr>
        <w:t xml:space="preserve"> </w:t>
      </w:r>
      <w:r w:rsidRPr="00D0312A">
        <w:rPr>
          <w:rFonts w:ascii="Verdana" w:hAnsi="Verdana" w:cs="Arial"/>
          <w:shd w:val="clear" w:color="auto" w:fill="FFFFFF"/>
          <w:lang w:val="es-ES"/>
        </w:rPr>
        <w:t>, entre otros</w:t>
      </w:r>
      <w:r w:rsidRPr="39124533">
        <w:rPr>
          <w:rFonts w:ascii="Verdana" w:eastAsia="Verdana" w:hAnsi="Verdana" w:cs="Verdana"/>
        </w:rPr>
        <w:t>. Estos se encuentran disponibles para consulta en el Sistema de relatoría de la Agencia, al cual puede accederse a través del siguiente enlace:</w:t>
      </w:r>
      <w:hyperlink r:id="rId13">
        <w:r w:rsidRPr="39124533">
          <w:rPr>
            <w:rStyle w:val="Hipervnculo"/>
            <w:rFonts w:ascii="Verdana" w:hAnsi="Verdana"/>
            <w:lang w:val="es"/>
          </w:rPr>
          <w:t>https://relatoria.colombiacompra.gov.co/busqueda/conceptos</w:t>
        </w:r>
      </w:hyperlink>
      <w:r w:rsidRPr="39124533">
        <w:rPr>
          <w:rFonts w:ascii="Verdana" w:eastAsia="Verdana" w:hAnsi="Verdana" w:cs="Verdana"/>
          <w:color w:val="000000" w:themeColor="text1"/>
          <w:lang w:val="es"/>
        </w:rPr>
        <w:t xml:space="preserve">. </w:t>
      </w:r>
      <w:r w:rsidRPr="39124533">
        <w:rPr>
          <w:rFonts w:ascii="Verdana" w:eastAsia="Verdana" w:hAnsi="Verdana" w:cs="Verdana"/>
          <w:color w:val="FF0000"/>
          <w:lang w:val="es"/>
        </w:rPr>
        <w:t xml:space="preserve"> </w:t>
      </w:r>
    </w:p>
    <w:p w14:paraId="65516A35" w14:textId="77777777" w:rsidR="001B7687" w:rsidRDefault="001B7687" w:rsidP="001B7687">
      <w:pPr>
        <w:spacing w:after="0" w:line="276" w:lineRule="auto"/>
        <w:jc w:val="both"/>
        <w:textAlignment w:val="baseline"/>
        <w:rPr>
          <w:rFonts w:ascii="Verdana" w:eastAsia="Verdana" w:hAnsi="Verdana" w:cs="Verdana"/>
          <w:color w:val="000000" w:themeColor="text1"/>
          <w:lang w:val="es"/>
        </w:rPr>
      </w:pPr>
      <w:r w:rsidRPr="39124533">
        <w:rPr>
          <w:rFonts w:ascii="Verdana" w:eastAsia="Verdana" w:hAnsi="Verdana" w:cs="Verdana"/>
          <w:color w:val="000000" w:themeColor="text1"/>
          <w:lang w:val="es"/>
        </w:rPr>
        <w:t xml:space="preserve">  </w:t>
      </w:r>
    </w:p>
    <w:p w14:paraId="7F64685D" w14:textId="77777777" w:rsidR="001B7687" w:rsidRDefault="001B7687" w:rsidP="001B7687">
      <w:pPr>
        <w:shd w:val="clear" w:color="auto" w:fill="FFFFFF" w:themeFill="background1"/>
        <w:spacing w:after="0"/>
        <w:jc w:val="both"/>
        <w:rPr>
          <w:rFonts w:ascii="Verdana" w:eastAsia="Verdana" w:hAnsi="Verdana" w:cs="Verdana"/>
        </w:rPr>
      </w:pPr>
      <w:r w:rsidRPr="054CF0A3">
        <w:rPr>
          <w:rFonts w:ascii="Verdana" w:eastAsia="Verdana" w:hAnsi="Verdana" w:cs="Verdana"/>
          <w:color w:val="000000" w:themeColor="text1"/>
        </w:rPr>
        <w:t xml:space="preserve">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54CF0A3">
        <w:rPr>
          <w:rFonts w:ascii="Verdana" w:eastAsia="Verdana" w:hAnsi="Verdana" w:cs="Verdana"/>
          <w:b/>
          <w:bCs/>
          <w:color w:val="000000" w:themeColor="text1"/>
        </w:rPr>
        <w:t>Guía para la Exigencia y Constitución de Garantías en los Procesos de Contratación</w:t>
      </w:r>
      <w:r w:rsidRPr="054CF0A3">
        <w:rPr>
          <w:rFonts w:ascii="Verdana" w:eastAsia="Verdana" w:hAnsi="Verdana" w:cs="Verdana"/>
          <w:color w:val="000000" w:themeColor="text1"/>
        </w:rPr>
        <w:t xml:space="preserve">,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w:t>
      </w:r>
      <w:r w:rsidRPr="054CF0A3">
        <w:rPr>
          <w:rFonts w:ascii="Verdana" w:eastAsia="Verdana" w:hAnsi="Verdana" w:cs="Verdana"/>
          <w:color w:val="000000" w:themeColor="text1"/>
        </w:rPr>
        <w:lastRenderedPageBreak/>
        <w:t xml:space="preserve">aquí: </w:t>
      </w:r>
      <w:hyperlink r:id="rId14">
        <w:r w:rsidRPr="054CF0A3">
          <w:rPr>
            <w:rStyle w:val="Hipervnculo"/>
            <w:rFonts w:ascii="Verdana" w:eastAsia="Verdana" w:hAnsi="Verdana" w:cs="Verdana"/>
            <w:color w:val="000000" w:themeColor="text1"/>
          </w:rPr>
          <w:t>https://www.colombiacompra.gov.co/archivos/manual/guia-de-garantias-en-procesos-de-contratacion</w:t>
        </w:r>
      </w:hyperlink>
    </w:p>
    <w:p w14:paraId="4A04B451" w14:textId="77777777" w:rsidR="001B7687" w:rsidRDefault="001B7687" w:rsidP="001B7687">
      <w:pPr>
        <w:shd w:val="clear" w:color="auto" w:fill="FFFFFF" w:themeFill="background1"/>
        <w:spacing w:before="220" w:after="220"/>
        <w:jc w:val="both"/>
        <w:rPr>
          <w:rFonts w:ascii="Verdana" w:eastAsia="Verdana" w:hAnsi="Verdana" w:cs="Verdana"/>
        </w:rPr>
      </w:pPr>
      <w:r w:rsidRPr="054CF0A3">
        <w:rPr>
          <w:rFonts w:ascii="Verdana" w:eastAsia="Verdana" w:hAnsi="Verdana" w:cs="Verdana"/>
          <w:color w:val="000000" w:themeColor="text1"/>
        </w:rPr>
        <w:t xml:space="preserve">De otro lado, te contamos que el Decreto 287 del 19 de marzo de 2026 sustituyó los artículos 2.2.1.2.4.2.6., 2.2.1.2.4.2.7. y 2.2.1.2.4.2.8. del Decreto 1082 de 2015 y estructuró el </w:t>
      </w:r>
      <w:r w:rsidRPr="054CF0A3">
        <w:rPr>
          <w:rFonts w:ascii="Verdana" w:eastAsia="Verdana" w:hAnsi="Verdana" w:cs="Verdana"/>
          <w:b/>
          <w:bCs/>
          <w:color w:val="000000" w:themeColor="text1"/>
        </w:rPr>
        <w:t>Sistema Integral de Preferencias en favor de las personas con discapacidad</w:t>
      </w:r>
      <w:r w:rsidRPr="054CF0A3">
        <w:rPr>
          <w:rFonts w:ascii="Verdana" w:eastAsia="Verdana" w:hAnsi="Verdana" w:cs="Verdana"/>
          <w:color w:val="000000" w:themeColor="text1"/>
        </w:rPr>
        <w:t xml:space="preserve">, en cumplimiento del artículo 13 de la Ley Estatutaria 1618 de 2013. Para orientar su aplicación, esta Agencia expidió la </w:t>
      </w:r>
      <w:r w:rsidRPr="054CF0A3">
        <w:rPr>
          <w:rFonts w:ascii="Verdana" w:eastAsia="Verdana" w:hAnsi="Verdana" w:cs="Verdana"/>
          <w:b/>
          <w:bCs/>
          <w:color w:val="000000" w:themeColor="text1"/>
        </w:rPr>
        <w:t xml:space="preserve">Circular Externa 003 del 12 de mayo de 2026, </w:t>
      </w:r>
      <w:r w:rsidRPr="054CF0A3">
        <w:rPr>
          <w:rFonts w:ascii="Verdana" w:eastAsia="Verdana" w:hAnsi="Verdana" w:cs="Verdana"/>
          <w:color w:val="000000" w:themeColor="text1"/>
        </w:rPr>
        <w:t xml:space="preserve">en la que precisa quiénes son los beneficiarios, las cinco medidas que integran el sistema y su obligatoriedad según la modalidad de selección, y el régimen de transición aplicable a los procesos en curso. Consúltala aquí: </w:t>
      </w:r>
      <w:hyperlink r:id="rId15">
        <w:r w:rsidRPr="054CF0A3">
          <w:rPr>
            <w:rStyle w:val="Hipervnculo"/>
            <w:rFonts w:ascii="Verdana" w:eastAsia="Verdana" w:hAnsi="Verdana" w:cs="Verdana"/>
            <w:color w:val="000000" w:themeColor="text1"/>
          </w:rPr>
          <w:t>https://www.colombiacompra.gov.co/archivos/circular/circular-externa-003-de-2026</w:t>
        </w:r>
      </w:hyperlink>
    </w:p>
    <w:p w14:paraId="31865D12" w14:textId="77777777" w:rsidR="001B7687" w:rsidRDefault="001B7687" w:rsidP="001B7687">
      <w:pPr>
        <w:shd w:val="clear" w:color="auto" w:fill="FFFFFF" w:themeFill="background1"/>
        <w:spacing w:before="220" w:after="220"/>
        <w:jc w:val="both"/>
        <w:rPr>
          <w:rFonts w:ascii="Verdana" w:eastAsia="Verdana" w:hAnsi="Verdana" w:cs="Verdana"/>
        </w:rPr>
      </w:pPr>
      <w:r w:rsidRPr="054CF0A3">
        <w:rPr>
          <w:rFonts w:ascii="Verdana" w:eastAsia="Verdana" w:hAnsi="Verdana" w:cs="Verdana"/>
          <w:color w:val="000000" w:themeColor="text1"/>
        </w:rPr>
        <w:t>Recuerda también que la</w:t>
      </w:r>
      <w:r w:rsidRPr="054CF0A3">
        <w:rPr>
          <w:rFonts w:ascii="Verdana" w:eastAsia="Verdana" w:hAnsi="Verdana" w:cs="Verdana"/>
          <w:b/>
          <w:bCs/>
          <w:color w:val="000000" w:themeColor="text1"/>
        </w:rPr>
        <w:t xml:space="preserve"> información sobre sanciones e inhabilidades </w:t>
      </w:r>
      <w:r w:rsidRPr="054CF0A3">
        <w:rPr>
          <w:rFonts w:ascii="Verdana" w:eastAsia="Verdana" w:hAnsi="Verdana" w:cs="Verdana"/>
          <w:color w:val="000000" w:themeColor="text1"/>
        </w:rPr>
        <w:t xml:space="preserve">solo cumple su función preventiva si llega oportunamente a los registros públicos. Sobre este deber, esta Agencia expidió la </w:t>
      </w:r>
      <w:r w:rsidRPr="054CF0A3">
        <w:rPr>
          <w:rFonts w:ascii="Verdana" w:eastAsia="Verdana" w:hAnsi="Verdana" w:cs="Verdana"/>
          <w:b/>
          <w:bCs/>
          <w:color w:val="000000" w:themeColor="text1"/>
        </w:rPr>
        <w:t>Circular Externa 002 del 5 de mayo de 2026,</w:t>
      </w:r>
      <w:r w:rsidRPr="054CF0A3">
        <w:rPr>
          <w:rFonts w:ascii="Verdana" w:eastAsia="Verdana" w:hAnsi="Verdana" w:cs="Verdana"/>
          <w:color w:val="000000" w:themeColor="text1"/>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r w:rsidRPr="054CF0A3">
          <w:rPr>
            <w:rStyle w:val="Hipervnculo"/>
            <w:rFonts w:ascii="Verdana" w:eastAsia="Verdana" w:hAnsi="Verdana" w:cs="Verdana"/>
            <w:color w:val="000000" w:themeColor="text1"/>
          </w:rPr>
          <w:t>https://www.colombiacompra.gov.co/archivos/circular/circular-externa-002-de-2026</w:t>
        </w:r>
      </w:hyperlink>
    </w:p>
    <w:p w14:paraId="0AAD469F" w14:textId="77777777" w:rsidR="001B7687" w:rsidRDefault="001B7687" w:rsidP="001B7687">
      <w:pPr>
        <w:shd w:val="clear" w:color="auto" w:fill="FFFFFF" w:themeFill="background1"/>
        <w:spacing w:before="220" w:after="220"/>
        <w:jc w:val="both"/>
        <w:rPr>
          <w:rFonts w:ascii="Verdana" w:eastAsia="Verdana" w:hAnsi="Verdana" w:cs="Verdana"/>
          <w:color w:val="000000" w:themeColor="text1"/>
        </w:rPr>
      </w:pPr>
      <w:r w:rsidRPr="054CF0A3">
        <w:rPr>
          <w:rFonts w:ascii="Verdana" w:eastAsia="Verdana" w:hAnsi="Verdana" w:cs="Verdana"/>
          <w:color w:val="000000" w:themeColor="text1"/>
        </w:rPr>
        <w:t>Finalmente, si quieres seguir de cerca la actividad de la Agencia, la tercera edición de 2026 del</w:t>
      </w:r>
      <w:r w:rsidRPr="054CF0A3">
        <w:rPr>
          <w:rFonts w:ascii="Verdana" w:eastAsia="Verdana" w:hAnsi="Verdana" w:cs="Verdana"/>
          <w:b/>
          <w:bCs/>
          <w:color w:val="000000" w:themeColor="text1"/>
        </w:rPr>
        <w:t xml:space="preserve"> Radar de la Compra Pública</w:t>
      </w:r>
      <w:r w:rsidRPr="054CF0A3">
        <w:rPr>
          <w:rFonts w:ascii="Verdana" w:eastAsia="Verdana" w:hAnsi="Verdana" w:cs="Verdana"/>
          <w:color w:val="000000" w:themeColor="text1"/>
        </w:rPr>
        <w:t xml:space="preserve">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r w:rsidRPr="054CF0A3">
          <w:rPr>
            <w:rStyle w:val="Hipervnculo"/>
            <w:rFonts w:ascii="Verdana" w:eastAsia="Verdana" w:hAnsi="Verdana" w:cs="Verdana"/>
            <w:color w:val="000000" w:themeColor="text1"/>
          </w:rPr>
          <w:t>https://www.colombiacompra.gov.co/archivos/boletin/boletin-edicion-n-3-de-2026-radar-de-la-compra-publica</w:t>
        </w:r>
      </w:hyperlink>
    </w:p>
    <w:p w14:paraId="347AF563" w14:textId="77777777" w:rsidR="001B7687" w:rsidRPr="003D5882" w:rsidRDefault="001B7687" w:rsidP="001B7687">
      <w:pPr>
        <w:spacing w:after="0" w:line="257" w:lineRule="auto"/>
        <w:jc w:val="both"/>
        <w:textAlignment w:val="baseline"/>
        <w:rPr>
          <w:rFonts w:ascii="Verdana" w:eastAsia="Verdana" w:hAnsi="Verdana" w:cs="Verdana"/>
          <w:color w:val="000000" w:themeColor="text1"/>
          <w:lang w:val="es"/>
        </w:rPr>
      </w:pPr>
      <w:r w:rsidRPr="39124533">
        <w:rPr>
          <w:rFonts w:ascii="Verdana" w:eastAsia="Verdana" w:hAnsi="Verdana" w:cs="Verdana"/>
          <w:color w:val="000000" w:themeColor="text1"/>
          <w:lang w:val="es"/>
        </w:rPr>
        <w:t xml:space="preserve">Lo invitamos a seguirnos en las redes sociales en las cuales se difunde información institucional: </w:t>
      </w:r>
    </w:p>
    <w:p w14:paraId="6C24B692" w14:textId="77777777" w:rsidR="001B7687" w:rsidRPr="0015699B" w:rsidRDefault="001B7687" w:rsidP="001B7687">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577CF68C" w14:textId="77777777" w:rsidR="001B7687" w:rsidRPr="0015699B" w:rsidRDefault="001B7687" w:rsidP="327E5EF6">
      <w:pPr>
        <w:spacing w:after="0" w:line="240" w:lineRule="auto"/>
        <w:jc w:val="both"/>
        <w:textAlignment w:val="baseline"/>
        <w:rPr>
          <w:rFonts w:ascii="Verdana" w:eastAsia="Verdana" w:hAnsi="Verdana" w:cs="Verdana"/>
          <w:color w:val="000000" w:themeColor="text1"/>
          <w:lang w:val="es-ES"/>
        </w:rPr>
      </w:pPr>
      <w:r w:rsidRPr="327E5EF6">
        <w:rPr>
          <w:rFonts w:ascii="Verdana" w:eastAsia="Verdana" w:hAnsi="Verdana" w:cs="Verdana"/>
          <w:color w:val="000000" w:themeColor="text1"/>
          <w:lang w:val="es-ES"/>
        </w:rPr>
        <w:t xml:space="preserve">Twitter: </w:t>
      </w:r>
      <w:r w:rsidRPr="327E5EF6">
        <w:rPr>
          <w:rFonts w:ascii="Verdana" w:eastAsia="Verdana" w:hAnsi="Verdana" w:cs="Verdana"/>
          <w:color w:val="000000" w:themeColor="text1"/>
          <w:u w:val="single"/>
          <w:lang w:val="es-ES"/>
        </w:rPr>
        <w:t>@colombiacompra</w:t>
      </w:r>
      <w:r w:rsidRPr="327E5EF6">
        <w:rPr>
          <w:rFonts w:ascii="Verdana" w:eastAsia="Verdana" w:hAnsi="Verdana" w:cs="Verdana"/>
          <w:color w:val="000000" w:themeColor="text1"/>
          <w:lang w:val="es-ES"/>
        </w:rPr>
        <w:t xml:space="preserve"> </w:t>
      </w:r>
    </w:p>
    <w:p w14:paraId="700B4E45" w14:textId="77777777" w:rsidR="001B7687" w:rsidRPr="0015699B" w:rsidRDefault="001B7687" w:rsidP="001B7687">
      <w:pPr>
        <w:spacing w:after="0" w:line="240" w:lineRule="auto"/>
        <w:jc w:val="both"/>
        <w:textAlignment w:val="baseline"/>
        <w:rPr>
          <w:rFonts w:ascii="Verdana" w:eastAsia="Verdana" w:hAnsi="Verdana" w:cs="Verdana"/>
          <w:color w:val="000000" w:themeColor="text1"/>
          <w:u w:val="single"/>
          <w:lang w:val="es-ES"/>
        </w:rPr>
      </w:pPr>
      <w:r w:rsidRPr="40A87941">
        <w:rPr>
          <w:rFonts w:ascii="Verdana" w:eastAsia="Verdana" w:hAnsi="Verdana" w:cs="Verdana"/>
          <w:color w:val="000000" w:themeColor="text1"/>
          <w:lang w:val="es-ES"/>
        </w:rPr>
        <w:lastRenderedPageBreak/>
        <w:t xml:space="preserve">Facebook: </w:t>
      </w:r>
      <w:proofErr w:type="spellStart"/>
      <w:r w:rsidRPr="40A87941">
        <w:rPr>
          <w:rFonts w:ascii="Verdana" w:eastAsia="Verdana" w:hAnsi="Verdana" w:cs="Verdana"/>
          <w:color w:val="000000" w:themeColor="text1"/>
          <w:u w:val="single"/>
          <w:lang w:val="es-ES"/>
        </w:rPr>
        <w:t>ColombiaCompraEficiente</w:t>
      </w:r>
      <w:proofErr w:type="spellEnd"/>
    </w:p>
    <w:p w14:paraId="7CC69F1B" w14:textId="77777777" w:rsidR="001B7687" w:rsidRPr="0015699B" w:rsidRDefault="001B7687" w:rsidP="327E5EF6">
      <w:pPr>
        <w:spacing w:after="0" w:line="240" w:lineRule="auto"/>
        <w:jc w:val="both"/>
        <w:textAlignment w:val="baseline"/>
        <w:rPr>
          <w:rFonts w:ascii="Verdana" w:eastAsia="Verdana" w:hAnsi="Verdana" w:cs="Verdana"/>
          <w:color w:val="000000" w:themeColor="text1"/>
          <w:u w:val="single"/>
          <w:lang w:val="es-ES"/>
        </w:rPr>
      </w:pPr>
      <w:r w:rsidRPr="327E5EF6">
        <w:rPr>
          <w:rFonts w:ascii="Verdana" w:eastAsia="Verdana" w:hAnsi="Verdana" w:cs="Verdana"/>
          <w:color w:val="000000" w:themeColor="text1"/>
          <w:lang w:val="es-ES"/>
        </w:rPr>
        <w:t xml:space="preserve">LinkedIn: </w:t>
      </w:r>
      <w:r w:rsidRPr="327E5EF6">
        <w:rPr>
          <w:rFonts w:ascii="Verdana" w:eastAsia="Verdana" w:hAnsi="Verdana" w:cs="Verdana"/>
          <w:color w:val="000000" w:themeColor="text1"/>
          <w:u w:val="single"/>
          <w:lang w:val="es-ES"/>
        </w:rPr>
        <w:t>Agencia Nacional de Contratación Pública - Colombia Compra Eficiente</w:t>
      </w:r>
      <w:r w:rsidRPr="327E5EF6">
        <w:rPr>
          <w:rFonts w:ascii="Verdana" w:eastAsia="Verdana" w:hAnsi="Verdana" w:cs="Verdana"/>
          <w:color w:val="000000" w:themeColor="text1"/>
          <w:lang w:val="es-ES"/>
        </w:rPr>
        <w:t xml:space="preserve"> Instagram: </w:t>
      </w:r>
      <w:r w:rsidRPr="327E5EF6">
        <w:rPr>
          <w:rFonts w:ascii="Verdana" w:eastAsia="Verdana" w:hAnsi="Verdana" w:cs="Verdana"/>
          <w:color w:val="000000" w:themeColor="text1"/>
          <w:u w:val="single"/>
          <w:lang w:val="es-ES"/>
        </w:rPr>
        <w:t>@colombiacompraeficiente_cce</w:t>
      </w:r>
    </w:p>
    <w:p w14:paraId="6AD2BA54" w14:textId="77777777" w:rsidR="001B7687" w:rsidRPr="0015699B" w:rsidRDefault="001B7687" w:rsidP="001B7687">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31431B88" w14:textId="77777777" w:rsidR="001B7687" w:rsidRPr="0015699B" w:rsidRDefault="001B7687" w:rsidP="001B7687">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76840359" w14:textId="77777777" w:rsidR="001B7687" w:rsidRPr="0015699B" w:rsidRDefault="001B7687" w:rsidP="001B7687">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41817075" w14:textId="77777777" w:rsidR="001B7687" w:rsidRPr="0015699B" w:rsidRDefault="001B7687" w:rsidP="001B7687">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1DC40D8D" w14:textId="77777777" w:rsidR="001B7687" w:rsidRPr="0015699B" w:rsidRDefault="001B7687" w:rsidP="001B7687">
      <w:pPr>
        <w:spacing w:after="0" w:line="240" w:lineRule="auto"/>
        <w:jc w:val="both"/>
        <w:textAlignment w:val="baseline"/>
      </w:pPr>
      <w:r w:rsidRPr="40A87941">
        <w:rPr>
          <w:rFonts w:ascii="Verdana" w:eastAsia="Verdana" w:hAnsi="Verdana" w:cs="Verdana"/>
          <w:color w:val="000000" w:themeColor="text1"/>
          <w:lang w:val="es"/>
        </w:rPr>
        <w:t xml:space="preserve">Atentamente, </w:t>
      </w:r>
    </w:p>
    <w:p w14:paraId="054893EC" w14:textId="77777777" w:rsidR="001B7687" w:rsidRPr="0015699B" w:rsidRDefault="001B7687" w:rsidP="001B7687">
      <w:pPr>
        <w:spacing w:after="0" w:line="240" w:lineRule="auto"/>
        <w:jc w:val="both"/>
        <w:textAlignment w:val="baseline"/>
        <w:rPr>
          <w:rFonts w:ascii="Verdana" w:eastAsia="Verdana" w:hAnsi="Verdana" w:cs="Verdana"/>
          <w:color w:val="000000" w:themeColor="text1"/>
          <w:lang w:val="es"/>
        </w:rPr>
      </w:pPr>
    </w:p>
    <w:p w14:paraId="4C5F72F7" w14:textId="231AD02D" w:rsidR="001B7687" w:rsidRDefault="001B7687" w:rsidP="001B7687">
      <w:pPr>
        <w:spacing w:after="0" w:line="240" w:lineRule="auto"/>
        <w:ind w:left="2340"/>
        <w:jc w:val="both"/>
        <w:rPr>
          <w:noProof/>
        </w:rPr>
      </w:pPr>
    </w:p>
    <w:p w14:paraId="65204DF4" w14:textId="28458FEE" w:rsidR="00431ABA" w:rsidRDefault="00431ABA" w:rsidP="00431ABA">
      <w:pPr>
        <w:spacing w:after="0" w:line="240" w:lineRule="auto"/>
        <w:ind w:left="567"/>
        <w:jc w:val="center"/>
        <w:rPr>
          <w:noProof/>
        </w:rPr>
      </w:pPr>
      <w:r>
        <w:rPr>
          <w:noProof/>
        </w:rPr>
        <w:drawing>
          <wp:inline distT="0" distB="0" distL="0" distR="0" wp14:anchorId="777D6723" wp14:editId="13A5AA52">
            <wp:extent cx="3678555" cy="1579140"/>
            <wp:effectExtent l="0" t="0" r="0" b="2540"/>
            <wp:docPr id="208060444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86002" cy="1582337"/>
                    </a:xfrm>
                    <a:prstGeom prst="rect">
                      <a:avLst/>
                    </a:prstGeom>
                    <a:noFill/>
                    <a:ln>
                      <a:noFill/>
                    </a:ln>
                  </pic:spPr>
                </pic:pic>
              </a:graphicData>
            </a:graphic>
          </wp:inline>
        </w:drawing>
      </w:r>
    </w:p>
    <w:p w14:paraId="108F6B46" w14:textId="77777777" w:rsidR="00431ABA" w:rsidRDefault="00431ABA" w:rsidP="001B7687">
      <w:pPr>
        <w:spacing w:after="0" w:line="240" w:lineRule="auto"/>
        <w:ind w:left="2340"/>
        <w:jc w:val="both"/>
      </w:pPr>
    </w:p>
    <w:p w14:paraId="04CA4A59" w14:textId="77777777" w:rsidR="001B7687" w:rsidRPr="0015699B" w:rsidRDefault="001B7687" w:rsidP="001B7687">
      <w:pPr>
        <w:spacing w:line="276" w:lineRule="auto"/>
        <w:jc w:val="center"/>
        <w:textAlignment w:val="baseline"/>
        <w:rPr>
          <w:rFonts w:ascii="Calibri" w:eastAsia="Calibri" w:hAnsi="Calibri" w:cs="Calibri"/>
          <w:lang w:val="es"/>
        </w:rPr>
      </w:pPr>
      <w:r w:rsidRPr="225CD92B">
        <w:rPr>
          <w:rFonts w:ascii="Calibri" w:eastAsia="Calibri" w:hAnsi="Calibri" w:cs="Calibri"/>
          <w:lang w:val="es"/>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893"/>
        <w:gridCol w:w="4919"/>
      </w:tblGrid>
      <w:tr w:rsidR="001B7687" w14:paraId="4CC39B8C" w14:textId="77777777" w:rsidTr="0048031D">
        <w:trPr>
          <w:trHeight w:val="315"/>
        </w:trPr>
        <w:tc>
          <w:tcPr>
            <w:tcW w:w="893" w:type="dxa"/>
            <w:tcBorders>
              <w:top w:val="nil"/>
              <w:bottom w:val="nil"/>
              <w:right w:val="nil"/>
            </w:tcBorders>
            <w:tcMar>
              <w:left w:w="108" w:type="dxa"/>
              <w:right w:w="108" w:type="dxa"/>
            </w:tcMar>
            <w:vAlign w:val="center"/>
          </w:tcPr>
          <w:p w14:paraId="5F92D8ED" w14:textId="77777777" w:rsidR="001B7687" w:rsidRDefault="001B7687" w:rsidP="0048031D">
            <w:pPr>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Elaboró:</w:t>
            </w:r>
          </w:p>
        </w:tc>
        <w:tc>
          <w:tcPr>
            <w:tcW w:w="4919" w:type="dxa"/>
            <w:tcBorders>
              <w:left w:val="nil"/>
            </w:tcBorders>
            <w:tcMar>
              <w:left w:w="108" w:type="dxa"/>
              <w:right w:w="108" w:type="dxa"/>
            </w:tcMar>
            <w:vAlign w:val="center"/>
          </w:tcPr>
          <w:p w14:paraId="1F98D677" w14:textId="77777777" w:rsidR="001B7687" w:rsidRDefault="001B7687" w:rsidP="0048031D">
            <w:pPr>
              <w:rPr>
                <w:rFonts w:ascii="Verdana" w:eastAsia="Verdana" w:hAnsi="Verdana" w:cs="Verdana"/>
                <w:color w:val="000000" w:themeColor="text1"/>
                <w:sz w:val="16"/>
                <w:szCs w:val="16"/>
              </w:rPr>
            </w:pPr>
            <w:r w:rsidRPr="40A87941">
              <w:rPr>
                <w:rFonts w:ascii="Verdana" w:eastAsia="Verdana" w:hAnsi="Verdana" w:cs="Verdana"/>
                <w:color w:val="000000" w:themeColor="text1"/>
                <w:sz w:val="16"/>
                <w:szCs w:val="16"/>
              </w:rPr>
              <w:t>Daniel Eduardo Rojas Poveda</w:t>
            </w:r>
          </w:p>
          <w:p w14:paraId="456848F4" w14:textId="77777777" w:rsidR="001B7687" w:rsidRDefault="001B7687" w:rsidP="0048031D">
            <w:pPr>
              <w:rPr>
                <w:rFonts w:ascii="Verdana" w:eastAsia="Verdana" w:hAnsi="Verdana" w:cs="Verdana"/>
                <w:color w:val="000000" w:themeColor="text1"/>
                <w:sz w:val="16"/>
                <w:szCs w:val="16"/>
              </w:rPr>
            </w:pPr>
            <w:r w:rsidRPr="40A87941">
              <w:rPr>
                <w:rFonts w:ascii="Verdana" w:eastAsia="Verdana" w:hAnsi="Verdana" w:cs="Verdana"/>
                <w:color w:val="000000" w:themeColor="text1"/>
                <w:sz w:val="16"/>
                <w:szCs w:val="16"/>
              </w:rPr>
              <w:t>C</w:t>
            </w:r>
            <w:r w:rsidRPr="40A87941">
              <w:rPr>
                <w:rFonts w:ascii="Verdana" w:eastAsia="Verdana" w:hAnsi="Verdana" w:cs="Verdana"/>
                <w:sz w:val="16"/>
                <w:szCs w:val="16"/>
              </w:rPr>
              <w:t xml:space="preserve">ontratista </w:t>
            </w:r>
            <w:r w:rsidRPr="40A87941">
              <w:rPr>
                <w:rFonts w:ascii="Verdana" w:eastAsia="Verdana" w:hAnsi="Verdana" w:cs="Verdana"/>
                <w:color w:val="000000" w:themeColor="text1"/>
                <w:sz w:val="16"/>
                <w:szCs w:val="16"/>
              </w:rPr>
              <w:t>de la Subdirección de Gestión Contractual</w:t>
            </w:r>
          </w:p>
        </w:tc>
      </w:tr>
      <w:tr w:rsidR="001B7687" w14:paraId="32D42DC4" w14:textId="77777777" w:rsidTr="0048031D">
        <w:trPr>
          <w:trHeight w:val="330"/>
        </w:trPr>
        <w:tc>
          <w:tcPr>
            <w:tcW w:w="893" w:type="dxa"/>
            <w:tcBorders>
              <w:top w:val="nil"/>
              <w:bottom w:val="nil"/>
              <w:right w:val="nil"/>
            </w:tcBorders>
            <w:tcMar>
              <w:left w:w="108" w:type="dxa"/>
              <w:right w:w="108" w:type="dxa"/>
            </w:tcMar>
            <w:vAlign w:val="center"/>
          </w:tcPr>
          <w:p w14:paraId="07331AB6" w14:textId="77777777" w:rsidR="001B7687" w:rsidRDefault="001B7687" w:rsidP="0048031D">
            <w:pPr>
              <w:spacing w:after="255"/>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Revisó:</w:t>
            </w:r>
          </w:p>
        </w:tc>
        <w:tc>
          <w:tcPr>
            <w:tcW w:w="4919" w:type="dxa"/>
            <w:tcBorders>
              <w:left w:val="nil"/>
            </w:tcBorders>
            <w:tcMar>
              <w:left w:w="108" w:type="dxa"/>
              <w:right w:w="108" w:type="dxa"/>
            </w:tcMar>
            <w:vAlign w:val="center"/>
          </w:tcPr>
          <w:p w14:paraId="4E946B38" w14:textId="77777777" w:rsidR="001B7687" w:rsidRDefault="001B7687" w:rsidP="0048031D">
            <w:pPr>
              <w:rPr>
                <w:rFonts w:ascii="Verdana" w:eastAsia="Verdana" w:hAnsi="Verdana" w:cs="Verdana"/>
                <w:color w:val="000000" w:themeColor="text1"/>
                <w:sz w:val="16"/>
                <w:szCs w:val="16"/>
              </w:rPr>
            </w:pPr>
            <w:r w:rsidRPr="003340BF">
              <w:rPr>
                <w:rFonts w:ascii="Verdana" w:eastAsia="Verdana" w:hAnsi="Verdana" w:cs="Verdana"/>
                <w:color w:val="000000" w:themeColor="text1"/>
                <w:sz w:val="16"/>
                <w:szCs w:val="16"/>
              </w:rPr>
              <w:t>Juan David Cárdenas</w:t>
            </w:r>
            <w:r>
              <w:rPr>
                <w:rFonts w:ascii="Verdana" w:eastAsia="Verdana" w:hAnsi="Verdana" w:cs="Verdana"/>
                <w:color w:val="000000" w:themeColor="text1"/>
                <w:sz w:val="16"/>
                <w:szCs w:val="16"/>
              </w:rPr>
              <w:t xml:space="preserve"> Cabeza</w:t>
            </w:r>
          </w:p>
          <w:p w14:paraId="2EE2188A" w14:textId="77777777" w:rsidR="001B7687" w:rsidRDefault="001B7687" w:rsidP="0048031D">
            <w:pPr>
              <w:rPr>
                <w:rFonts w:ascii="Verdana" w:eastAsia="Verdana" w:hAnsi="Verdana" w:cs="Verdana"/>
                <w:color w:val="000000" w:themeColor="text1"/>
                <w:sz w:val="16"/>
                <w:szCs w:val="16"/>
              </w:rPr>
            </w:pPr>
            <w:r w:rsidRPr="40A87941">
              <w:rPr>
                <w:rFonts w:ascii="Verdana" w:eastAsia="Verdana" w:hAnsi="Verdana" w:cs="Verdana"/>
                <w:color w:val="000000" w:themeColor="text1"/>
                <w:sz w:val="16"/>
                <w:szCs w:val="16"/>
              </w:rPr>
              <w:t>C</w:t>
            </w:r>
            <w:r w:rsidRPr="40A87941">
              <w:rPr>
                <w:rFonts w:ascii="Verdana" w:eastAsia="Verdana" w:hAnsi="Verdana" w:cs="Verdana"/>
                <w:sz w:val="16"/>
                <w:szCs w:val="16"/>
              </w:rPr>
              <w:t xml:space="preserve">ontratista </w:t>
            </w:r>
            <w:r w:rsidRPr="40A87941">
              <w:rPr>
                <w:rFonts w:ascii="Verdana" w:eastAsia="Verdana" w:hAnsi="Verdana" w:cs="Verdana"/>
                <w:color w:val="000000" w:themeColor="text1"/>
                <w:sz w:val="16"/>
                <w:szCs w:val="16"/>
              </w:rPr>
              <w:t>de la Subdirección de Gestión Contractual</w:t>
            </w:r>
          </w:p>
        </w:tc>
      </w:tr>
      <w:tr w:rsidR="001B7687" w14:paraId="0E4D4952" w14:textId="77777777" w:rsidTr="0048031D">
        <w:trPr>
          <w:trHeight w:val="300"/>
        </w:trPr>
        <w:tc>
          <w:tcPr>
            <w:tcW w:w="893" w:type="dxa"/>
            <w:tcBorders>
              <w:top w:val="nil"/>
              <w:bottom w:val="nil"/>
              <w:right w:val="nil"/>
            </w:tcBorders>
            <w:tcMar>
              <w:left w:w="108" w:type="dxa"/>
              <w:right w:w="108" w:type="dxa"/>
            </w:tcMar>
            <w:vAlign w:val="center"/>
          </w:tcPr>
          <w:p w14:paraId="10EC848F" w14:textId="77777777" w:rsidR="001B7687" w:rsidRDefault="001B7687" w:rsidP="0048031D">
            <w:pPr>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Aprobó:</w:t>
            </w:r>
          </w:p>
        </w:tc>
        <w:tc>
          <w:tcPr>
            <w:tcW w:w="4919" w:type="dxa"/>
            <w:tcBorders>
              <w:left w:val="nil"/>
            </w:tcBorders>
            <w:tcMar>
              <w:left w:w="108" w:type="dxa"/>
              <w:right w:w="108" w:type="dxa"/>
            </w:tcMar>
            <w:vAlign w:val="center"/>
          </w:tcPr>
          <w:p w14:paraId="5CA618F2" w14:textId="77777777" w:rsidR="001B7687" w:rsidRDefault="001B7687" w:rsidP="0048031D">
            <w:pPr>
              <w:rPr>
                <w:rFonts w:ascii="Verdana" w:eastAsia="Verdana" w:hAnsi="Verdana" w:cs="Verdana"/>
                <w:color w:val="000000" w:themeColor="text1"/>
                <w:sz w:val="16"/>
                <w:szCs w:val="16"/>
                <w:lang w:val="pt-BR"/>
              </w:rPr>
            </w:pPr>
            <w:r w:rsidRPr="40A87941">
              <w:rPr>
                <w:rFonts w:ascii="Verdana" w:eastAsia="Verdana" w:hAnsi="Verdana" w:cs="Verdana"/>
                <w:color w:val="000000" w:themeColor="text1"/>
                <w:sz w:val="16"/>
                <w:szCs w:val="16"/>
                <w:lang w:val="pt-BR"/>
              </w:rPr>
              <w:t xml:space="preserve">Carolina Quintero </w:t>
            </w:r>
            <w:proofErr w:type="spellStart"/>
            <w:r w:rsidRPr="40A87941">
              <w:rPr>
                <w:rFonts w:ascii="Verdana" w:eastAsia="Verdana" w:hAnsi="Verdana" w:cs="Verdana"/>
                <w:color w:val="000000" w:themeColor="text1"/>
                <w:sz w:val="16"/>
                <w:szCs w:val="16"/>
                <w:lang w:val="pt-BR"/>
              </w:rPr>
              <w:t>Gacharná</w:t>
            </w:r>
            <w:proofErr w:type="spellEnd"/>
          </w:p>
          <w:p w14:paraId="6B17E230" w14:textId="77777777" w:rsidR="001B7687" w:rsidRDefault="001B7687" w:rsidP="0048031D">
            <w:pPr>
              <w:rPr>
                <w:rFonts w:ascii="Verdana" w:eastAsia="Verdana" w:hAnsi="Verdana" w:cs="Verdana"/>
                <w:color w:val="000000" w:themeColor="text1"/>
                <w:sz w:val="16"/>
                <w:szCs w:val="16"/>
                <w:lang w:val="pt-BR"/>
              </w:rPr>
            </w:pPr>
            <w:r w:rsidRPr="40A87941">
              <w:rPr>
                <w:rFonts w:ascii="Verdana" w:eastAsia="Verdana" w:hAnsi="Verdana" w:cs="Verdana"/>
                <w:color w:val="000000" w:themeColor="text1"/>
                <w:sz w:val="16"/>
                <w:szCs w:val="16"/>
              </w:rPr>
              <w:t>Subdirectora</w:t>
            </w:r>
            <w:r w:rsidRPr="40A87941">
              <w:rPr>
                <w:rFonts w:ascii="Verdana" w:eastAsia="Verdana" w:hAnsi="Verdana" w:cs="Verdana"/>
                <w:color w:val="000000" w:themeColor="text1"/>
                <w:sz w:val="16"/>
                <w:szCs w:val="16"/>
                <w:lang w:val="pt-BR"/>
              </w:rPr>
              <w:t xml:space="preserve"> de Gestión </w:t>
            </w:r>
            <w:proofErr w:type="spellStart"/>
            <w:r w:rsidRPr="40A87941">
              <w:rPr>
                <w:rFonts w:ascii="Verdana" w:eastAsia="Verdana" w:hAnsi="Verdana" w:cs="Verdana"/>
                <w:color w:val="000000" w:themeColor="text1"/>
                <w:sz w:val="16"/>
                <w:szCs w:val="16"/>
                <w:lang w:val="pt-BR"/>
              </w:rPr>
              <w:t>Contractual</w:t>
            </w:r>
            <w:proofErr w:type="spellEnd"/>
            <w:r w:rsidRPr="40A87941">
              <w:rPr>
                <w:rFonts w:ascii="Verdana" w:eastAsia="Verdana" w:hAnsi="Verdana" w:cs="Verdana"/>
                <w:color w:val="000000" w:themeColor="text1"/>
                <w:sz w:val="16"/>
                <w:szCs w:val="16"/>
                <w:lang w:val="pt-BR"/>
              </w:rPr>
              <w:t xml:space="preserve"> ANCP – CCE</w:t>
            </w:r>
          </w:p>
        </w:tc>
      </w:tr>
    </w:tbl>
    <w:p w14:paraId="46028842" w14:textId="77777777" w:rsidR="001B7687" w:rsidRPr="0015699B" w:rsidRDefault="001B7687" w:rsidP="001B7687">
      <w:pPr>
        <w:spacing w:line="257" w:lineRule="auto"/>
        <w:jc w:val="both"/>
        <w:textAlignment w:val="baseline"/>
        <w:rPr>
          <w:rFonts w:ascii="Calibri" w:eastAsia="Calibri" w:hAnsi="Calibri" w:cs="Calibri"/>
          <w:lang w:val="es"/>
        </w:rPr>
      </w:pPr>
      <w:r w:rsidRPr="40A87941">
        <w:rPr>
          <w:rFonts w:ascii="Calibri" w:eastAsia="Calibri" w:hAnsi="Calibri" w:cs="Calibri"/>
          <w:lang w:val="es"/>
        </w:rPr>
        <w:t xml:space="preserve"> </w:t>
      </w:r>
    </w:p>
    <w:p w14:paraId="6A323207" w14:textId="5583C0EA" w:rsidR="001B7687" w:rsidRPr="0015699B" w:rsidRDefault="001B7687" w:rsidP="001B7687">
      <w:pPr>
        <w:spacing w:after="0" w:line="240" w:lineRule="auto"/>
        <w:jc w:val="both"/>
        <w:textAlignment w:val="baseline"/>
      </w:pPr>
    </w:p>
    <w:p w14:paraId="22B61F85" w14:textId="77777777" w:rsidR="001B7687" w:rsidRDefault="001B7687" w:rsidP="001B7687"/>
    <w:p w14:paraId="3FE3F726" w14:textId="77777777" w:rsidR="001B7687" w:rsidRDefault="001B7687" w:rsidP="001B7687"/>
    <w:p w14:paraId="278D51BC" w14:textId="77777777" w:rsidR="001B7687" w:rsidRDefault="001B7687" w:rsidP="001B7687"/>
    <w:p w14:paraId="73856678" w14:textId="77777777" w:rsidR="001B7687" w:rsidRPr="0015699B" w:rsidRDefault="001B7687" w:rsidP="001B7687">
      <w:pPr>
        <w:spacing w:after="0" w:line="276" w:lineRule="auto"/>
        <w:jc w:val="both"/>
        <w:textAlignment w:val="baseline"/>
        <w:rPr>
          <w:rFonts w:ascii="Verdana" w:hAnsi="Verdana"/>
          <w:b/>
          <w:bCs/>
        </w:rPr>
      </w:pPr>
    </w:p>
    <w:p w14:paraId="5FB90D3E" w14:textId="77777777" w:rsidR="001B7687" w:rsidRDefault="001B7687" w:rsidP="001B7687"/>
    <w:p w14:paraId="593DE2E8" w14:textId="77777777" w:rsidR="001B7687" w:rsidRPr="0015699B" w:rsidRDefault="001B7687" w:rsidP="001B7687">
      <w:pPr>
        <w:tabs>
          <w:tab w:val="left" w:pos="142"/>
          <w:tab w:val="left" w:pos="284"/>
        </w:tabs>
        <w:spacing w:after="0" w:line="276" w:lineRule="auto"/>
        <w:jc w:val="both"/>
        <w:textAlignment w:val="baseline"/>
        <w:rPr>
          <w:rFonts w:ascii="Verdana" w:eastAsia="Verdana" w:hAnsi="Verdana" w:cs="Verdana"/>
          <w:b/>
          <w:bCs/>
          <w:lang w:val="es"/>
        </w:rPr>
      </w:pPr>
    </w:p>
    <w:p w14:paraId="3636C0E3" w14:textId="77777777" w:rsidR="001B7687" w:rsidRPr="0015699B" w:rsidRDefault="001B7687" w:rsidP="001B7687">
      <w:pPr>
        <w:spacing w:after="0" w:line="276" w:lineRule="auto"/>
        <w:jc w:val="both"/>
        <w:textAlignment w:val="baseline"/>
        <w:rPr>
          <w:rFonts w:ascii="Verdana" w:eastAsia="Verdana" w:hAnsi="Verdana" w:cs="Verdana"/>
          <w:lang w:val="es-ES"/>
        </w:rPr>
      </w:pPr>
    </w:p>
    <w:p w14:paraId="6D929FCD" w14:textId="77777777" w:rsidR="001B7687" w:rsidRDefault="001B7687" w:rsidP="001B7687"/>
    <w:p w14:paraId="2D09656C" w14:textId="77777777" w:rsidR="001B7687" w:rsidRDefault="001B7687" w:rsidP="001B7687"/>
    <w:p w14:paraId="5C84B414" w14:textId="77777777" w:rsidR="001B7687" w:rsidRPr="0015699B" w:rsidRDefault="001B7687" w:rsidP="001B7687">
      <w:pPr>
        <w:spacing w:after="0" w:line="257" w:lineRule="auto"/>
        <w:jc w:val="both"/>
        <w:textAlignment w:val="baseline"/>
        <w:rPr>
          <w:rFonts w:ascii="Calibri" w:eastAsia="Calibri" w:hAnsi="Calibri" w:cs="Calibri"/>
          <w:lang w:val="es-ES"/>
        </w:rPr>
      </w:pPr>
    </w:p>
    <w:p w14:paraId="0F293BF4" w14:textId="5EDECEAE" w:rsidR="00127233" w:rsidRPr="001B7687" w:rsidRDefault="00127233" w:rsidP="001B7687"/>
    <w:sectPr w:rsidR="00127233" w:rsidRPr="001B7687"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75AC5" w14:textId="77777777" w:rsidR="001A617F" w:rsidRDefault="001A617F" w:rsidP="004A1847">
      <w:pPr>
        <w:spacing w:after="0" w:line="240" w:lineRule="auto"/>
      </w:pPr>
      <w:r>
        <w:separator/>
      </w:r>
    </w:p>
  </w:endnote>
  <w:endnote w:type="continuationSeparator" w:id="0">
    <w:p w14:paraId="4FAFB495" w14:textId="77777777" w:rsidR="001A617F" w:rsidRDefault="001A617F"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Segoe UI">
    <w:altName w:val="Sylfaen"/>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A32A0" w14:textId="77777777" w:rsidR="001A617F" w:rsidRDefault="001A617F" w:rsidP="004A1847">
      <w:pPr>
        <w:spacing w:after="0" w:line="240" w:lineRule="auto"/>
      </w:pPr>
      <w:r>
        <w:separator/>
      </w:r>
    </w:p>
  </w:footnote>
  <w:footnote w:type="continuationSeparator" w:id="0">
    <w:p w14:paraId="3CD7865D" w14:textId="77777777" w:rsidR="001A617F" w:rsidRDefault="001A617F" w:rsidP="004A1847">
      <w:pPr>
        <w:spacing w:after="0" w:line="240" w:lineRule="auto"/>
      </w:pPr>
      <w:r>
        <w:continuationSeparator/>
      </w:r>
    </w:p>
  </w:footnote>
  <w:footnote w:id="1">
    <w:p w14:paraId="28D74415" w14:textId="77777777" w:rsidR="001B7687" w:rsidRPr="00F914AD" w:rsidRDefault="001B7687" w:rsidP="001B7687">
      <w:pPr>
        <w:pStyle w:val="Textonotapie"/>
        <w:ind w:firstLine="709"/>
        <w:jc w:val="both"/>
        <w:rPr>
          <w:rStyle w:val="Hipervnculo"/>
          <w:rFonts w:ascii="Verdana" w:hAnsi="Verdana" w:cs="Arial"/>
          <w:sz w:val="14"/>
          <w:szCs w:val="14"/>
          <w:lang w:val="es-CO"/>
        </w:rPr>
      </w:pPr>
      <w:r w:rsidRPr="00F914AD">
        <w:rPr>
          <w:rStyle w:val="Refdenotaalpie"/>
          <w:rFonts w:ascii="Verdana" w:hAnsi="Verdana" w:cs="Arial"/>
          <w:sz w:val="14"/>
          <w:szCs w:val="14"/>
        </w:rPr>
        <w:footnoteRef/>
      </w:r>
      <w:r w:rsidRPr="00F914AD">
        <w:rPr>
          <w:rFonts w:ascii="Verdana" w:hAnsi="Verdana" w:cs="Arial"/>
          <w:sz w:val="14"/>
          <w:szCs w:val="14"/>
        </w:rPr>
        <w:t xml:space="preserve"> </w:t>
      </w:r>
      <w:r w:rsidRPr="00F914AD">
        <w:rPr>
          <w:rFonts w:ascii="Verdana" w:hAnsi="Verdana" w:cs="Arial"/>
          <w:sz w:val="14"/>
          <w:szCs w:val="14"/>
          <w:lang w:val="es-CO"/>
        </w:rPr>
        <w:t xml:space="preserve">Disponible en </w:t>
      </w:r>
      <w:r w:rsidRPr="00F914AD">
        <w:rPr>
          <w:rFonts w:ascii="Verdana" w:hAnsi="Verdana" w:cs="Arial"/>
          <w:sz w:val="14"/>
          <w:szCs w:val="14"/>
          <w:lang w:val="es-CO"/>
        </w:rPr>
        <w:fldChar w:fldCharType="begin"/>
      </w:r>
      <w:r w:rsidRPr="00F914AD">
        <w:rPr>
          <w:rFonts w:ascii="Verdana" w:hAnsi="Verdana" w:cs="Arial"/>
          <w:sz w:val="14"/>
          <w:szCs w:val="14"/>
          <w:lang w:val="es-CO"/>
        </w:rPr>
        <w:instrText>HYPERLINK "https://colombiacompra.gov.co/wp-content/uploads/2025/08/Guia-para-la-elaboracion-de-estudios-del-sector-Original-Firmado.pdf"</w:instrText>
      </w:r>
      <w:r w:rsidRPr="00F914AD">
        <w:rPr>
          <w:rFonts w:ascii="Verdana" w:hAnsi="Verdana" w:cs="Arial"/>
          <w:sz w:val="14"/>
          <w:szCs w:val="14"/>
          <w:lang w:val="es-CO"/>
        </w:rPr>
      </w:r>
      <w:r w:rsidRPr="00F914AD">
        <w:rPr>
          <w:rFonts w:ascii="Verdana" w:hAnsi="Verdana" w:cs="Arial"/>
          <w:sz w:val="14"/>
          <w:szCs w:val="14"/>
          <w:lang w:val="es-CO"/>
        </w:rPr>
        <w:fldChar w:fldCharType="separate"/>
      </w:r>
      <w:r w:rsidRPr="00F914AD">
        <w:rPr>
          <w:rStyle w:val="Hipervnculo"/>
          <w:rFonts w:ascii="Verdana" w:hAnsi="Verdana" w:cs="Arial"/>
          <w:sz w:val="14"/>
          <w:szCs w:val="14"/>
          <w:lang w:val="es-CO"/>
        </w:rPr>
        <w:t>https://colombiacompra.gov.co/wp-content/uploads/2025/08/Guia-para-la-elaboracion-de-estudios-del-sector-Original-Firmado.pdf</w:t>
      </w:r>
    </w:p>
    <w:p w14:paraId="655B97BE" w14:textId="77777777" w:rsidR="001B7687" w:rsidRPr="00F914AD" w:rsidRDefault="001B7687" w:rsidP="001B7687">
      <w:pPr>
        <w:pStyle w:val="Textonotapie"/>
        <w:ind w:firstLine="709"/>
        <w:jc w:val="both"/>
        <w:rPr>
          <w:rFonts w:ascii="Verdana" w:hAnsi="Verdana" w:cs="Arial"/>
          <w:color w:val="000000" w:themeColor="text1"/>
          <w:sz w:val="14"/>
          <w:szCs w:val="14"/>
        </w:rPr>
      </w:pPr>
      <w:r w:rsidRPr="00F914AD">
        <w:rPr>
          <w:rStyle w:val="Hipervnculo"/>
          <w:rFonts w:ascii="Verdana" w:hAnsi="Verdana" w:cs="Arial"/>
          <w:sz w:val="14"/>
          <w:szCs w:val="14"/>
        </w:rPr>
        <w:t xml:space="preserve"> </w:t>
      </w:r>
      <w:r w:rsidRPr="00F914AD">
        <w:rPr>
          <w:rFonts w:ascii="Verdana" w:hAnsi="Verdana" w:cs="Arial"/>
          <w:sz w:val="14"/>
          <w:szCs w:val="14"/>
          <w:lang w:val="es-CO"/>
        </w:rPr>
        <w:fldChar w:fldCharType="end"/>
      </w:r>
      <w:r w:rsidRPr="00F914AD">
        <w:rPr>
          <w:rFonts w:ascii="Verdana" w:hAnsi="Verdana" w:cs="Arial"/>
          <w:color w:val="000000" w:themeColor="text1"/>
          <w:sz w:val="14"/>
          <w:szCs w:val="14"/>
        </w:rPr>
        <w:t xml:space="preserve"> </w:t>
      </w:r>
    </w:p>
  </w:footnote>
  <w:footnote w:id="2">
    <w:p w14:paraId="05D9441F" w14:textId="77777777" w:rsidR="001B7687" w:rsidRPr="00F914AD" w:rsidRDefault="001B7687" w:rsidP="001B7687">
      <w:pPr>
        <w:pStyle w:val="Textonotapie"/>
        <w:ind w:firstLine="709"/>
        <w:jc w:val="both"/>
        <w:rPr>
          <w:rFonts w:ascii="Verdana" w:hAnsi="Verdana" w:cs="Arial"/>
          <w:sz w:val="14"/>
          <w:szCs w:val="14"/>
          <w:lang w:val="es-ES"/>
        </w:rPr>
      </w:pPr>
      <w:r w:rsidRPr="00F914AD">
        <w:rPr>
          <w:rStyle w:val="Refdenotaalpie"/>
          <w:rFonts w:ascii="Verdana" w:hAnsi="Verdana" w:cs="Arial"/>
          <w:sz w:val="14"/>
          <w:szCs w:val="14"/>
        </w:rPr>
        <w:footnoteRef/>
      </w:r>
      <w:r w:rsidRPr="00F914AD">
        <w:rPr>
          <w:rFonts w:ascii="Verdana" w:hAnsi="Verdana" w:cs="Arial"/>
          <w:sz w:val="14"/>
          <w:szCs w:val="14"/>
        </w:rPr>
        <w:t xml:space="preserve"> De conformidad con lo indicado en la Guía, e</w:t>
      </w:r>
      <w:r w:rsidRPr="00F914AD">
        <w:rPr>
          <w:rFonts w:ascii="Verdana" w:hAnsi="Verdana" w:cs="Arial"/>
          <w:sz w:val="14"/>
          <w:szCs w:val="14"/>
          <w:lang w:val="es-ES"/>
        </w:rPr>
        <w:t>l MAE hace parte de la Política de Compras y Contratación Pública, enmarcada dentro del Modelo Integrado de Planeación y Gestión- MIPG, y se articula con las demás buenas prácticas y herramientas usadas en los procesos de compra y contratación estatal que han sido desarrolladas por la Agencia Nacional de Contratación Pública – Colombia Compra Eficiente, con el fin de generar una mayor eficiencia, transparencia y optimización de los recursos del Estado.</w:t>
      </w:r>
    </w:p>
  </w:footnote>
  <w:footnote w:id="3">
    <w:p w14:paraId="7B17028B" w14:textId="77777777" w:rsidR="001B7687" w:rsidRPr="00F914AD" w:rsidRDefault="001B7687" w:rsidP="001B7687">
      <w:pPr>
        <w:pStyle w:val="Textonotapie"/>
        <w:ind w:firstLine="708"/>
        <w:jc w:val="both"/>
        <w:rPr>
          <w:rFonts w:ascii="Verdana" w:hAnsi="Verdana" w:cs="Arial"/>
          <w:sz w:val="14"/>
          <w:szCs w:val="14"/>
        </w:rPr>
      </w:pPr>
      <w:r w:rsidRPr="00F914AD">
        <w:rPr>
          <w:rStyle w:val="Refdenotaalpie"/>
          <w:rFonts w:ascii="Verdana" w:hAnsi="Verdana" w:cs="Arial"/>
          <w:sz w:val="14"/>
          <w:szCs w:val="14"/>
        </w:rPr>
        <w:footnoteRef/>
      </w:r>
      <w:r w:rsidRPr="00F914AD">
        <w:rPr>
          <w:rFonts w:ascii="Verdana" w:hAnsi="Verdana" w:cs="Arial"/>
          <w:sz w:val="14"/>
          <w:szCs w:val="14"/>
        </w:rPr>
        <w:t xml:space="preserve"> Consejo de Estado. Sala de lo Contencioso Administrativo. Sección Tercera. Subsección B. Sentencia del 27 de abril de 2011. Exp. 18.293. C.P. Ruth Stella Correa Palacio.</w:t>
      </w:r>
    </w:p>
    <w:p w14:paraId="3CC991EC" w14:textId="77777777" w:rsidR="001B7687" w:rsidRPr="00F914AD" w:rsidRDefault="001B7687" w:rsidP="001B7687">
      <w:pPr>
        <w:pStyle w:val="Textonotapie"/>
        <w:ind w:firstLine="708"/>
        <w:jc w:val="both"/>
        <w:rPr>
          <w:rFonts w:ascii="Verdana" w:hAnsi="Verdana" w:cs="Arial"/>
          <w:sz w:val="14"/>
          <w:szCs w:val="1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F24ED3"/>
    <w:multiLevelType w:val="hybridMultilevel"/>
    <w:tmpl w:val="A1E433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7CEB590"/>
    <w:multiLevelType w:val="hybridMultilevel"/>
    <w:tmpl w:val="AA841710"/>
    <w:lvl w:ilvl="0" w:tplc="26145AFA">
      <w:start w:val="1"/>
      <w:numFmt w:val="upperRoman"/>
      <w:lvlText w:val="%1."/>
      <w:lvlJc w:val="right"/>
      <w:pPr>
        <w:ind w:left="720" w:hanging="360"/>
      </w:pPr>
    </w:lvl>
    <w:lvl w:ilvl="1" w:tplc="802818A6">
      <w:start w:val="1"/>
      <w:numFmt w:val="lowerLetter"/>
      <w:lvlText w:val="%2."/>
      <w:lvlJc w:val="left"/>
      <w:pPr>
        <w:ind w:left="1440" w:hanging="360"/>
      </w:pPr>
    </w:lvl>
    <w:lvl w:ilvl="2" w:tplc="E98C3A7A">
      <w:start w:val="1"/>
      <w:numFmt w:val="lowerRoman"/>
      <w:lvlText w:val="%3."/>
      <w:lvlJc w:val="right"/>
      <w:pPr>
        <w:ind w:left="2160" w:hanging="180"/>
      </w:pPr>
    </w:lvl>
    <w:lvl w:ilvl="3" w:tplc="ACB8BD72">
      <w:start w:val="1"/>
      <w:numFmt w:val="decimal"/>
      <w:lvlText w:val="%4."/>
      <w:lvlJc w:val="left"/>
      <w:pPr>
        <w:ind w:left="2880" w:hanging="360"/>
      </w:pPr>
    </w:lvl>
    <w:lvl w:ilvl="4" w:tplc="48AE8B9A">
      <w:start w:val="1"/>
      <w:numFmt w:val="lowerLetter"/>
      <w:lvlText w:val="%5."/>
      <w:lvlJc w:val="left"/>
      <w:pPr>
        <w:ind w:left="3600" w:hanging="360"/>
      </w:pPr>
    </w:lvl>
    <w:lvl w:ilvl="5" w:tplc="327293A2">
      <w:start w:val="1"/>
      <w:numFmt w:val="lowerRoman"/>
      <w:lvlText w:val="%6."/>
      <w:lvlJc w:val="right"/>
      <w:pPr>
        <w:ind w:left="4320" w:hanging="180"/>
      </w:pPr>
    </w:lvl>
    <w:lvl w:ilvl="6" w:tplc="1FFC5D48">
      <w:start w:val="1"/>
      <w:numFmt w:val="decimal"/>
      <w:lvlText w:val="%7."/>
      <w:lvlJc w:val="left"/>
      <w:pPr>
        <w:ind w:left="5040" w:hanging="360"/>
      </w:pPr>
    </w:lvl>
    <w:lvl w:ilvl="7" w:tplc="2F589C46">
      <w:start w:val="1"/>
      <w:numFmt w:val="lowerLetter"/>
      <w:lvlText w:val="%8."/>
      <w:lvlJc w:val="left"/>
      <w:pPr>
        <w:ind w:left="5760" w:hanging="360"/>
      </w:pPr>
    </w:lvl>
    <w:lvl w:ilvl="8" w:tplc="AB7C3298">
      <w:start w:val="1"/>
      <w:numFmt w:val="lowerRoman"/>
      <w:lvlText w:val="%9."/>
      <w:lvlJc w:val="right"/>
      <w:pPr>
        <w:ind w:left="6480" w:hanging="18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67C6560"/>
    <w:multiLevelType w:val="hybridMultilevel"/>
    <w:tmpl w:val="E2E279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1906847">
    <w:abstractNumId w:val="5"/>
  </w:num>
  <w:num w:numId="2" w16cid:durableId="2111077066">
    <w:abstractNumId w:val="1"/>
  </w:num>
  <w:num w:numId="3" w16cid:durableId="787628056">
    <w:abstractNumId w:val="3"/>
  </w:num>
  <w:num w:numId="4" w16cid:durableId="3537694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0830981">
    <w:abstractNumId w:val="1"/>
  </w:num>
  <w:num w:numId="6" w16cid:durableId="1471367071">
    <w:abstractNumId w:val="14"/>
  </w:num>
  <w:num w:numId="7" w16cid:durableId="2118795272">
    <w:abstractNumId w:val="4"/>
  </w:num>
  <w:num w:numId="8" w16cid:durableId="1628050005">
    <w:abstractNumId w:val="13"/>
  </w:num>
  <w:num w:numId="9" w16cid:durableId="1987280234">
    <w:abstractNumId w:val="6"/>
  </w:num>
  <w:num w:numId="10" w16cid:durableId="1849323923">
    <w:abstractNumId w:val="12"/>
  </w:num>
  <w:num w:numId="11" w16cid:durableId="857617088">
    <w:abstractNumId w:val="7"/>
  </w:num>
  <w:num w:numId="12" w16cid:durableId="231351248">
    <w:abstractNumId w:val="0"/>
  </w:num>
  <w:num w:numId="13" w16cid:durableId="474419994">
    <w:abstractNumId w:val="2"/>
  </w:num>
  <w:num w:numId="14" w16cid:durableId="781996637">
    <w:abstractNumId w:val="15"/>
  </w:num>
  <w:num w:numId="15" w16cid:durableId="1525710027">
    <w:abstractNumId w:val="10"/>
  </w:num>
  <w:num w:numId="16" w16cid:durableId="1996685393">
    <w:abstractNumId w:val="9"/>
  </w:num>
  <w:num w:numId="17" w16cid:durableId="384958902">
    <w:abstractNumId w:val="11"/>
  </w:num>
  <w:num w:numId="18" w16cid:durableId="10369299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5699B"/>
    <w:rsid w:val="001A33BF"/>
    <w:rsid w:val="001A617F"/>
    <w:rsid w:val="001B7687"/>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31ABA"/>
    <w:rsid w:val="0044528D"/>
    <w:rsid w:val="00466E39"/>
    <w:rsid w:val="004A1847"/>
    <w:rsid w:val="004A305D"/>
    <w:rsid w:val="004F21C4"/>
    <w:rsid w:val="004F685F"/>
    <w:rsid w:val="00554153"/>
    <w:rsid w:val="005566E8"/>
    <w:rsid w:val="00574867"/>
    <w:rsid w:val="00591460"/>
    <w:rsid w:val="005A65E0"/>
    <w:rsid w:val="005C3777"/>
    <w:rsid w:val="005C5CDC"/>
    <w:rsid w:val="005D476C"/>
    <w:rsid w:val="006200BF"/>
    <w:rsid w:val="006219F8"/>
    <w:rsid w:val="006302F7"/>
    <w:rsid w:val="00646B9F"/>
    <w:rsid w:val="00665D70"/>
    <w:rsid w:val="006900D9"/>
    <w:rsid w:val="00706C16"/>
    <w:rsid w:val="007340C3"/>
    <w:rsid w:val="0075235A"/>
    <w:rsid w:val="00756841"/>
    <w:rsid w:val="007649AB"/>
    <w:rsid w:val="00771D0C"/>
    <w:rsid w:val="007833AC"/>
    <w:rsid w:val="00791E11"/>
    <w:rsid w:val="007A5988"/>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44A47"/>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E1676"/>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7E5EF6"/>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1B7687"/>
    <w:rPr>
      <w:rFonts w:ascii="Geomanist Light" w:hAnsi="Geomanist Light"/>
      <w:lang w:val="es-ES"/>
    </w:rPr>
  </w:style>
  <w:style w:type="paragraph" w:customStyle="1" w:styleId="Appelnotedebasde">
    <w:name w:val="Appel note de bas de..."/>
    <w:basedOn w:val="Normal"/>
    <w:link w:val="Refdenotaalpie"/>
    <w:uiPriority w:val="99"/>
    <w:rsid w:val="001B7687"/>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colombiacompra.gov.co/wp-content/uploads/2025/08/Guia-para-la-elaboracion-de-estudios-del-sector-Original-Firmado.pdf" TargetMode="External"/><Relationship Id="rId17" Type="http://schemas.openxmlformats.org/officeDocument/2006/relationships/hyperlink" Target="https://nam02.safelinks.protection.outlook.com/?url=https%3A%2F%2Fwww.colombiacompra.gov.co%2Farchivos%2Fboletin%2Fboletin-edicion-n-3-de-2026-radar-de-la-compra-publica&amp;data=05%7C02%7Cdaniel.rojas%40colombiacompra.gov.co%7C7128555136e04fa6887d08dee99e1b50%7C7b09041e245149d08cb179d5e3d8c1be%7C0%7C0%7C639205062448658089%7CUnknown%7CTWFpbGZsb3d8eyJFbXB0eU1hcGkiOnRydWUsIlYiOiIwLjAuMDAwMCIsIlAiOiJXaW4zMiIsIkFOIjoiTWFpbCIsIldUIjoyfQ%3D%3D%7C0%7C%7C%7C&amp;sdata=hxI7IcssQTDJ1Uyr%2B%2BcRBDJJk7BVdJJW%2B%2F3Jg82WGfI%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daniel.rojas%40colombiacompra.gov.co%7C7128555136e04fa6887d08dee99e1b50%7C7b09041e245149d08cb179d5e3d8c1be%7C0%7C0%7C639205062448638798%7CUnknown%7CTWFpbGZsb3d8eyJFbXB0eU1hcGkiOnRydWUsIlYiOiIwLjAuMDAwMCIsIlAiOiJXaW4zMiIsIkFOIjoiTWFpbCIsIldUIjoyfQ%3D%3D%7C0%7C%7C%7C&amp;sdata=BleggI38FRKn0jF8DoA8g9HSkP3uDdTrTqkrwcDrB%2Fo%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blocalle3107@gmail.com"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3-de-2026&amp;data=05%7C02%7Cdaniel.rojas%40colombiacompra.gov.co%7C7128555136e04fa6887d08dee99e1b50%7C7b09041e245149d08cb179d5e3d8c1be%7C0%7C0%7C639205062448624002%7CUnknown%7CTWFpbGZsb3d8eyJFbXB0eU1hcGkiOnRydWUsIlYiOiIwLjAuMDAwMCIsIlAiOiJXaW4zMiIsIkFOIjoiTWFpbCIsIldUIjoyfQ%3D%3D%7C0%7C%7C%7C&amp;sdata=arzPuE5g9HcDcoQ6XcnrZvrBNmRg7dREpQYdCPBDVI8%3D&amp;reserved=0"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manual%2Fguia-de-garantias-en-procesos-de-contratacion&amp;data=05%7C02%7Cdaniel.rojas%40colombiacompra.gov.co%7C7128555136e04fa6887d08dee99e1b50%7C7b09041e245149d08cb179d5e3d8c1be%7C0%7C0%7C639205062448593820%7CUnknown%7CTWFpbGZsb3d8eyJFbXB0eU1hcGkiOnRydWUsIlYiOiIwLjAuMDAwMCIsIlAiOiJXaW4zMiIsIkFOIjoiTWFpbCIsIldUIjoyfQ%3D%3D%7C0%7C%7C%7C&amp;sdata=hxIQCfuGUII381yJFYTZLjCTG4dHWk4aCsIlfPWtcGc%3D&amp;reserved=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1F17D95-A358-4045-8B0E-89B83D940331}"/>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7047</Words>
  <Characters>38760</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Daniel Eduardo Rojas Poveda</cp:lastModifiedBy>
  <cp:revision>3</cp:revision>
  <cp:lastPrinted>2023-01-10T21:18:00Z</cp:lastPrinted>
  <dcterms:created xsi:type="dcterms:W3CDTF">2026-07-31T10:39:00Z</dcterms:created>
  <dcterms:modified xsi:type="dcterms:W3CDTF">2026-07-31T10:49:00Z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