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39C3" w14:textId="77777777" w:rsidR="0047576B" w:rsidRDefault="0047576B" w:rsidP="0047576B">
      <w:pPr>
        <w:spacing w:after="0" w:line="240" w:lineRule="auto"/>
        <w:jc w:val="both"/>
        <w:rPr>
          <w:rFonts w:ascii="Verdana" w:hAnsi="Verdana"/>
          <w:b/>
          <w:bCs/>
          <w:lang w:val="es-ES"/>
        </w:rPr>
      </w:pPr>
      <w:bookmarkStart w:id="0" w:name="_Hlk143780582"/>
      <w:r w:rsidRPr="0047576B">
        <w:rPr>
          <w:rFonts w:ascii="Verdana" w:hAnsi="Verdana"/>
          <w:b/>
          <w:bCs/>
          <w:lang w:val="es-ES"/>
        </w:rPr>
        <w:t>URGENCIA MANIFIESTA – Normatividad – Eventos – Entidades sometidas al EGCAP</w:t>
      </w:r>
    </w:p>
    <w:p w14:paraId="515BA716" w14:textId="77777777" w:rsidR="0047576B" w:rsidRDefault="0047576B" w:rsidP="0047576B">
      <w:pPr>
        <w:spacing w:after="0" w:line="240" w:lineRule="auto"/>
        <w:jc w:val="both"/>
        <w:rPr>
          <w:rFonts w:ascii="Verdana" w:hAnsi="Verdana"/>
          <w:b/>
          <w:bCs/>
          <w:lang w:val="es-ES"/>
        </w:rPr>
      </w:pPr>
    </w:p>
    <w:p w14:paraId="3DFB5A65" w14:textId="61F34BE8" w:rsidR="0047576B" w:rsidRDefault="0047576B" w:rsidP="0047576B">
      <w:pPr>
        <w:spacing w:after="0" w:line="240" w:lineRule="auto"/>
        <w:jc w:val="both"/>
        <w:rPr>
          <w:rFonts w:ascii="Verdana" w:hAnsi="Verdana" w:cs="Arial"/>
          <w:bCs/>
          <w:sz w:val="20"/>
          <w:szCs w:val="20"/>
          <w:lang w:val="es-MX"/>
        </w:rPr>
      </w:pPr>
      <w:r>
        <w:rPr>
          <w:rFonts w:ascii="Verdana" w:eastAsia="Calibri" w:hAnsi="Verdana" w:cs="Arial"/>
          <w:sz w:val="20"/>
          <w:szCs w:val="20"/>
          <w:lang w:val="es-ES"/>
        </w:rPr>
        <w:t xml:space="preserve">[…] </w:t>
      </w:r>
      <w:r w:rsidRPr="0047576B">
        <w:rPr>
          <w:rFonts w:ascii="Verdana" w:eastAsia="Calibri" w:hAnsi="Verdana" w:cs="Arial"/>
          <w:sz w:val="20"/>
          <w:szCs w:val="20"/>
          <w:lang w:val="es-ES"/>
        </w:rPr>
        <w:t>las entidades del estado sometidas al Estatuto General de Contratación para efectos de su contratación se rigen por los</w:t>
      </w:r>
      <w:r w:rsidRPr="0047576B">
        <w:rPr>
          <w:rFonts w:ascii="Verdana" w:hAnsi="Verdana" w:cs="Arial"/>
          <w:sz w:val="20"/>
          <w:szCs w:val="20"/>
          <w:lang w:val="es-ES"/>
        </w:rPr>
        <w:t xml:space="preserve"> procesos de selección previstos en el artículo 2 de la Ley 1150 de 2007. El </w:t>
      </w:r>
      <w:r w:rsidRPr="0047576B">
        <w:rPr>
          <w:rFonts w:ascii="Verdana" w:hAnsi="Verdana" w:cs="Arial"/>
          <w:bCs/>
          <w:sz w:val="20"/>
          <w:szCs w:val="20"/>
          <w:lang w:val="es-MX"/>
        </w:rPr>
        <w:t xml:space="preserve">numeral uno, inciso primero, dispone que “La escogencia del contratista se efectuará por </w:t>
      </w:r>
      <w:r w:rsidRPr="0047576B">
        <w:rPr>
          <w:rFonts w:ascii="Verdana" w:hAnsi="Verdana" w:cs="Arial"/>
          <w:bCs/>
          <w:i/>
          <w:iCs/>
          <w:sz w:val="20"/>
          <w:szCs w:val="20"/>
          <w:lang w:val="es-MX"/>
        </w:rPr>
        <w:t>regla general</w:t>
      </w:r>
      <w:r w:rsidRPr="0047576B">
        <w:rPr>
          <w:rFonts w:ascii="Verdana" w:hAnsi="Verdana" w:cs="Arial"/>
          <w:bCs/>
          <w:sz w:val="20"/>
          <w:szCs w:val="20"/>
          <w:lang w:val="es-MX"/>
        </w:rPr>
        <w:t xml:space="preserve"> a través de licitación pública, con las </w:t>
      </w:r>
      <w:r w:rsidRPr="0047576B">
        <w:rPr>
          <w:rFonts w:ascii="Verdana" w:hAnsi="Verdana" w:cs="Arial"/>
          <w:bCs/>
          <w:i/>
          <w:iCs/>
          <w:sz w:val="20"/>
          <w:szCs w:val="20"/>
          <w:lang w:val="es-MX"/>
        </w:rPr>
        <w:t>excepciones</w:t>
      </w:r>
      <w:r w:rsidRPr="0047576B">
        <w:rPr>
          <w:rFonts w:ascii="Verdana" w:hAnsi="Verdana" w:cs="Arial"/>
          <w:bCs/>
          <w:sz w:val="20"/>
          <w:szCs w:val="20"/>
          <w:lang w:val="es-MX"/>
        </w:rPr>
        <w:t xml:space="preserve"> que se señalan en los numerales 2, 3 y 4 del presente artículo” (Énfasis fuera de texto), norma que sustituye el derogado numeral 1 del artículo 24 de la Ley 80 de 1993 sobre el principio de transparencia. En este contexto, salvo norma especial que ordene la celebración del negocio jurídico por selección abreviada, concurso de méritos, mínima cuantía o contratación directa, debe aplicarse la regla general de licitación pública.</w:t>
      </w:r>
    </w:p>
    <w:p w14:paraId="7BA51E6A" w14:textId="77777777" w:rsidR="0047576B" w:rsidRDefault="0047576B" w:rsidP="0047576B">
      <w:pPr>
        <w:spacing w:after="0" w:line="240" w:lineRule="auto"/>
        <w:jc w:val="both"/>
        <w:rPr>
          <w:rFonts w:ascii="Verdana" w:hAnsi="Verdana" w:cs="Arial"/>
          <w:bCs/>
          <w:sz w:val="20"/>
          <w:szCs w:val="20"/>
          <w:lang w:val="es-MX"/>
        </w:rPr>
      </w:pPr>
    </w:p>
    <w:p w14:paraId="6E6B8BDB" w14:textId="6EC7A22A" w:rsidR="0047576B" w:rsidRDefault="0047576B" w:rsidP="0047576B">
      <w:pPr>
        <w:spacing w:after="0" w:line="240" w:lineRule="auto"/>
        <w:jc w:val="both"/>
        <w:rPr>
          <w:rFonts w:ascii="Verdana" w:eastAsia="Calibri" w:hAnsi="Verdana" w:cs="Arial"/>
          <w:sz w:val="20"/>
          <w:szCs w:val="20"/>
          <w:lang w:val="es-ES"/>
        </w:rPr>
      </w:pPr>
      <w:r w:rsidRPr="0047576B">
        <w:rPr>
          <w:rFonts w:ascii="Verdana" w:eastAsia="Calibri" w:hAnsi="Verdana" w:cs="Arial"/>
          <w:sz w:val="20"/>
          <w:szCs w:val="20"/>
          <w:lang w:val="es-ES"/>
        </w:rPr>
        <w:t>De acuerdo con lo anterior, se evidencia la causal de contratación directa prevista en el literal a) del numeral 4 del artículo 2 de la Ley 1150 de 2007 denominada por la ley como “urgencia manifiesta”. Esta causal debe ser analizada en concordancia con el artículo 42 de la Ley 80 de 1993, que define el concepto y establece el procedimiento para su declaratoria, así como para la celebración de los contratos que se derivan de aquella.</w:t>
      </w:r>
    </w:p>
    <w:p w14:paraId="12EBCF43" w14:textId="77777777" w:rsidR="0047576B" w:rsidRDefault="0047576B" w:rsidP="0047576B">
      <w:pPr>
        <w:spacing w:after="0" w:line="240" w:lineRule="auto"/>
        <w:jc w:val="both"/>
        <w:rPr>
          <w:rFonts w:ascii="Verdana" w:eastAsia="Calibri" w:hAnsi="Verdana" w:cs="Arial"/>
          <w:sz w:val="20"/>
          <w:szCs w:val="20"/>
          <w:lang w:val="es-ES"/>
        </w:rPr>
      </w:pPr>
    </w:p>
    <w:p w14:paraId="2ABE1BA4" w14:textId="18E5BF2E" w:rsidR="00DD5C9D" w:rsidRDefault="00DD5C9D" w:rsidP="0047576B">
      <w:pPr>
        <w:spacing w:after="0" w:line="240" w:lineRule="auto"/>
        <w:jc w:val="both"/>
        <w:rPr>
          <w:rFonts w:ascii="Verdana" w:eastAsia="Calibri" w:hAnsi="Verdana" w:cs="Arial"/>
          <w:sz w:val="20"/>
          <w:szCs w:val="20"/>
          <w:lang w:val="es-ES"/>
        </w:rPr>
      </w:pPr>
      <w:r>
        <w:rPr>
          <w:rFonts w:ascii="Verdana" w:eastAsia="Calibri" w:hAnsi="Verdana" w:cs="Arial"/>
          <w:sz w:val="20"/>
          <w:szCs w:val="20"/>
          <w:lang w:val="es-ES"/>
        </w:rPr>
        <w:t xml:space="preserve">[…] </w:t>
      </w:r>
    </w:p>
    <w:p w14:paraId="056A4F24" w14:textId="77777777" w:rsidR="00DD5C9D" w:rsidRDefault="00DD5C9D" w:rsidP="0047576B">
      <w:pPr>
        <w:spacing w:after="0" w:line="240" w:lineRule="auto"/>
        <w:jc w:val="both"/>
        <w:rPr>
          <w:rFonts w:ascii="Verdana" w:eastAsia="Calibri" w:hAnsi="Verdana" w:cs="Arial"/>
          <w:sz w:val="20"/>
          <w:szCs w:val="20"/>
          <w:lang w:val="es-ES"/>
        </w:rPr>
      </w:pPr>
    </w:p>
    <w:p w14:paraId="4B49D833" w14:textId="5A3091BC" w:rsidR="00DD5C9D" w:rsidRPr="00DD5C9D" w:rsidRDefault="00DD5C9D" w:rsidP="0047576B">
      <w:pPr>
        <w:spacing w:after="0" w:line="240" w:lineRule="auto"/>
        <w:jc w:val="both"/>
        <w:rPr>
          <w:rFonts w:ascii="Verdana" w:eastAsia="Calibri" w:hAnsi="Verdana" w:cs="Arial"/>
          <w:sz w:val="20"/>
          <w:szCs w:val="20"/>
          <w:lang w:val="es-ES_tradnl"/>
        </w:rPr>
      </w:pPr>
      <w:r w:rsidRPr="00DD5C9D">
        <w:rPr>
          <w:rFonts w:ascii="Verdana" w:eastAsia="Calibri" w:hAnsi="Verdana" w:cs="Arial"/>
          <w:sz w:val="20"/>
          <w:szCs w:val="20"/>
          <w:lang w:val="es-ES_tradnl"/>
        </w:rPr>
        <w:t>En esta medida, el precitado artículo 42 del Estatuto General de Contratación contempla cuatro (4) circunstancias o hechos que configuran la urgencia manifiesta, si así lo declara la entidad: i) cuando la continuidad del servicio exige el suministro de bienes, o la prestación de servicios, o la ejecución de obras en el inmediato futuro; ii) cuando se presenten situaciones relacionadas con los estados de excepción; iii) cuando se trate de conjurar situaciones excepcionales relacionadas con hechos de calamidad o constitutivos de fuerza mayor o desastre que demanden actuaciones inmediatas; y iv) en general, cuando se trate de situaciones similares que imposibiliten acudir a los procedimientos de selección o concurso públicos.</w:t>
      </w:r>
    </w:p>
    <w:p w14:paraId="36C2F01B" w14:textId="77777777" w:rsidR="0047576B" w:rsidRDefault="0047576B" w:rsidP="0047576B">
      <w:pPr>
        <w:spacing w:after="0" w:line="240" w:lineRule="auto"/>
        <w:jc w:val="both"/>
        <w:rPr>
          <w:rFonts w:ascii="Verdana" w:hAnsi="Verdana" w:cs="Arial"/>
          <w:bCs/>
          <w:sz w:val="20"/>
          <w:szCs w:val="20"/>
          <w:lang w:val="es-MX"/>
        </w:rPr>
      </w:pPr>
    </w:p>
    <w:p w14:paraId="2828D032" w14:textId="2C6CECF4" w:rsidR="00DD5C9D" w:rsidRDefault="00DD5C9D" w:rsidP="0047576B">
      <w:pPr>
        <w:spacing w:after="0" w:line="240" w:lineRule="auto"/>
        <w:jc w:val="both"/>
        <w:rPr>
          <w:rFonts w:ascii="Verdana" w:hAnsi="Verdana" w:cs="Arial"/>
          <w:bCs/>
          <w:sz w:val="20"/>
          <w:szCs w:val="20"/>
          <w:lang w:val="es-MX"/>
        </w:rPr>
      </w:pPr>
      <w:r>
        <w:rPr>
          <w:rFonts w:ascii="Verdana" w:hAnsi="Verdana" w:cs="Arial"/>
          <w:bCs/>
          <w:sz w:val="20"/>
          <w:szCs w:val="20"/>
          <w:lang w:val="es-MX"/>
        </w:rPr>
        <w:t xml:space="preserve">[…] </w:t>
      </w:r>
    </w:p>
    <w:p w14:paraId="2E4B93FE" w14:textId="77777777" w:rsidR="00DD5C9D" w:rsidRDefault="00DD5C9D" w:rsidP="0047576B">
      <w:pPr>
        <w:spacing w:after="0" w:line="240" w:lineRule="auto"/>
        <w:jc w:val="both"/>
        <w:rPr>
          <w:rFonts w:ascii="Verdana" w:hAnsi="Verdana" w:cs="Arial"/>
          <w:bCs/>
          <w:sz w:val="20"/>
          <w:szCs w:val="20"/>
          <w:lang w:val="es-MX"/>
        </w:rPr>
      </w:pPr>
    </w:p>
    <w:p w14:paraId="58D6E8FF" w14:textId="1164C557" w:rsidR="00DD5C9D" w:rsidRPr="0047576B" w:rsidRDefault="00DD5C9D" w:rsidP="0047576B">
      <w:pPr>
        <w:spacing w:after="0" w:line="240" w:lineRule="auto"/>
        <w:jc w:val="both"/>
        <w:rPr>
          <w:rFonts w:ascii="Verdana" w:hAnsi="Verdana" w:cs="Arial"/>
          <w:bCs/>
          <w:sz w:val="20"/>
          <w:szCs w:val="20"/>
          <w:lang w:val="es-MX"/>
        </w:rPr>
      </w:pPr>
      <w:r w:rsidRPr="00DD5C9D">
        <w:rPr>
          <w:rFonts w:ascii="Verdana" w:hAnsi="Verdana" w:cs="Arial"/>
          <w:bCs/>
          <w:sz w:val="20"/>
          <w:szCs w:val="20"/>
          <w:lang w:val="es-MX"/>
        </w:rPr>
        <w:t>En este contexto, las normas relativas a la declaratoria de urgencia manifiesta contenidas en el EGCAP especialmente el artículo 42 y 43 son aplicables a las entidades definidas en el artículo 2 literal a y b del mismo estatuto</w:t>
      </w:r>
    </w:p>
    <w:p w14:paraId="318260C6" w14:textId="5E2BCCC6"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 </w:t>
      </w:r>
    </w:p>
    <w:p w14:paraId="426FDAD4" w14:textId="77777777"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EMPRESAS DE SERVICIOS PÚBLICOS DOMICILIARIOS – Régimen jurídico </w:t>
      </w:r>
    </w:p>
    <w:p w14:paraId="0B335D89" w14:textId="77777777" w:rsidR="00DD5C9D" w:rsidRDefault="00DD5C9D" w:rsidP="0047576B">
      <w:pPr>
        <w:spacing w:after="0" w:line="240" w:lineRule="auto"/>
        <w:jc w:val="both"/>
        <w:rPr>
          <w:rFonts w:ascii="Verdana" w:hAnsi="Verdana"/>
          <w:b/>
          <w:bCs/>
          <w:lang w:val="es-ES"/>
        </w:rPr>
      </w:pPr>
    </w:p>
    <w:p w14:paraId="675A59EA" w14:textId="77777777" w:rsidR="00DD5C9D" w:rsidRPr="00DD5C9D" w:rsidRDefault="00DD5C9D" w:rsidP="00DD5C9D">
      <w:pPr>
        <w:spacing w:after="0" w:line="240" w:lineRule="auto"/>
        <w:jc w:val="both"/>
        <w:rPr>
          <w:rFonts w:ascii="Verdana" w:hAnsi="Verdana"/>
          <w:sz w:val="20"/>
          <w:szCs w:val="20"/>
          <w:lang w:val="es-ES"/>
        </w:rPr>
      </w:pPr>
      <w:r w:rsidRPr="00DD5C9D">
        <w:rPr>
          <w:rFonts w:ascii="Verdana" w:hAnsi="Verdana"/>
          <w:sz w:val="20"/>
          <w:szCs w:val="20"/>
          <w:lang w:val="es-ES"/>
        </w:rPr>
        <w:t xml:space="preserve">Ahora bien, el inciso segundo del 365 constitucional dispone que “Los servicios públicos estarán sometidos al régimen jurídico que fije la ley, podrán ser prestados por el Estado, directa o indirectamente, por comunidades organizadas, o por particulares […]”. Por su </w:t>
      </w:r>
      <w:r w:rsidRPr="00DD5C9D">
        <w:rPr>
          <w:rFonts w:ascii="Verdana" w:hAnsi="Verdana"/>
          <w:sz w:val="20"/>
          <w:szCs w:val="20"/>
          <w:lang w:val="es-ES"/>
        </w:rPr>
        <w:lastRenderedPageBreak/>
        <w:t xml:space="preserve">parte, el artículo 14 de la Ley 142 de 1994 contiene las definiciones para la correcta aplicación e interpretación del régimen de servicios públicos domiciliarios. Esta norma define los distintos tipos de Empresas de Servicios Públicos en los siguientes términos: </w:t>
      </w:r>
    </w:p>
    <w:p w14:paraId="1038623E" w14:textId="77777777" w:rsidR="00DD5C9D" w:rsidRPr="00DD5C9D" w:rsidRDefault="00DD5C9D" w:rsidP="00DD5C9D">
      <w:pPr>
        <w:spacing w:after="0" w:line="240" w:lineRule="auto"/>
        <w:jc w:val="both"/>
        <w:rPr>
          <w:rFonts w:ascii="Verdana" w:hAnsi="Verdana"/>
          <w:sz w:val="20"/>
          <w:szCs w:val="20"/>
          <w:lang w:val="es-ES"/>
        </w:rPr>
      </w:pPr>
    </w:p>
    <w:p w14:paraId="5E1D9E24" w14:textId="77777777" w:rsidR="00DD5C9D" w:rsidRPr="00DD5C9D" w:rsidRDefault="00DD5C9D" w:rsidP="00DD5C9D">
      <w:pPr>
        <w:spacing w:after="0" w:line="240" w:lineRule="auto"/>
        <w:jc w:val="both"/>
        <w:rPr>
          <w:rFonts w:ascii="Verdana" w:hAnsi="Verdana"/>
          <w:sz w:val="20"/>
          <w:szCs w:val="20"/>
          <w:lang w:val="es-ES"/>
        </w:rPr>
      </w:pPr>
      <w:r w:rsidRPr="00DD5C9D">
        <w:rPr>
          <w:rFonts w:ascii="Verdana" w:hAnsi="Verdana"/>
          <w:sz w:val="20"/>
          <w:szCs w:val="20"/>
          <w:lang w:val="es-ES"/>
        </w:rPr>
        <w:t>“14.5.</w:t>
      </w:r>
      <w:r w:rsidRPr="00DD5C9D">
        <w:rPr>
          <w:rFonts w:ascii="Verdana" w:hAnsi="Verdana"/>
          <w:sz w:val="20"/>
          <w:szCs w:val="20"/>
          <w:lang w:val="es-ES"/>
        </w:rPr>
        <w:tab/>
        <w:t>Empresa de servicios públicos oficial. Es aquella en cuyo capital la Nación, las entidades territoriales, o las entidades descentralizadas de aquella o estas tienen el 100% de los aportes.</w:t>
      </w:r>
    </w:p>
    <w:p w14:paraId="3148BF11" w14:textId="77777777" w:rsidR="00DD5C9D" w:rsidRPr="00DD5C9D" w:rsidRDefault="00DD5C9D" w:rsidP="00DD5C9D">
      <w:pPr>
        <w:spacing w:after="0" w:line="240" w:lineRule="auto"/>
        <w:jc w:val="both"/>
        <w:rPr>
          <w:rFonts w:ascii="Verdana" w:hAnsi="Verdana"/>
          <w:sz w:val="20"/>
          <w:szCs w:val="20"/>
          <w:lang w:val="es-ES"/>
        </w:rPr>
      </w:pPr>
    </w:p>
    <w:p w14:paraId="4ED6CFE8" w14:textId="77777777" w:rsidR="00DD5C9D" w:rsidRPr="00DD5C9D" w:rsidRDefault="00DD5C9D" w:rsidP="00DD5C9D">
      <w:pPr>
        <w:spacing w:after="0" w:line="240" w:lineRule="auto"/>
        <w:jc w:val="both"/>
        <w:rPr>
          <w:rFonts w:ascii="Verdana" w:hAnsi="Verdana"/>
          <w:sz w:val="20"/>
          <w:szCs w:val="20"/>
          <w:lang w:val="es-ES"/>
        </w:rPr>
      </w:pPr>
      <w:r w:rsidRPr="00DD5C9D">
        <w:rPr>
          <w:rFonts w:ascii="Verdana" w:hAnsi="Verdana"/>
          <w:sz w:val="20"/>
          <w:szCs w:val="20"/>
          <w:lang w:val="es-ES"/>
        </w:rPr>
        <w:t>14.6.</w:t>
      </w:r>
      <w:r w:rsidRPr="00DD5C9D">
        <w:rPr>
          <w:rFonts w:ascii="Verdana" w:hAnsi="Verdana"/>
          <w:sz w:val="20"/>
          <w:szCs w:val="20"/>
          <w:lang w:val="es-ES"/>
        </w:rPr>
        <w:tab/>
        <w:t>Empresa de servicios públicos mixta. Es aquella en cuyo capital la Nación, las entidades territoriales, o las entidades descentralizadas de aquella o éstas tienen aportes iguales o superiores al 50%.</w:t>
      </w:r>
    </w:p>
    <w:p w14:paraId="781CF6E9" w14:textId="77777777" w:rsidR="00DD5C9D" w:rsidRDefault="00DD5C9D" w:rsidP="00DD5C9D">
      <w:pPr>
        <w:spacing w:after="0" w:line="240" w:lineRule="auto"/>
        <w:jc w:val="both"/>
        <w:rPr>
          <w:rFonts w:ascii="Verdana" w:hAnsi="Verdana"/>
          <w:sz w:val="20"/>
          <w:szCs w:val="20"/>
          <w:lang w:val="es-ES"/>
        </w:rPr>
      </w:pPr>
    </w:p>
    <w:p w14:paraId="01491B25" w14:textId="4DB01B87" w:rsidR="00DD5C9D" w:rsidRDefault="00DD5C9D" w:rsidP="00DD5C9D">
      <w:pPr>
        <w:spacing w:after="0" w:line="240" w:lineRule="auto"/>
        <w:jc w:val="both"/>
        <w:rPr>
          <w:rFonts w:ascii="Verdana" w:hAnsi="Verdana"/>
          <w:sz w:val="20"/>
          <w:szCs w:val="20"/>
          <w:lang w:val="es-ES"/>
        </w:rPr>
      </w:pPr>
      <w:r w:rsidRPr="00DD5C9D">
        <w:rPr>
          <w:rFonts w:ascii="Verdana" w:hAnsi="Verdana"/>
          <w:sz w:val="20"/>
          <w:szCs w:val="20"/>
          <w:lang w:val="es-ES"/>
        </w:rPr>
        <w:t>14.7.</w:t>
      </w:r>
      <w:r w:rsidRPr="00DD5C9D">
        <w:rPr>
          <w:rFonts w:ascii="Verdana" w:hAnsi="Verdana"/>
          <w:sz w:val="20"/>
          <w:szCs w:val="20"/>
          <w:lang w:val="es-ES"/>
        </w:rPr>
        <w:tab/>
        <w:t>Empresa de servicios públicos privada. Es aquella cuyo capital pertenece mayoritariamente a particulares, o a entidades surgidas de convenios internacionales que deseen someterse íntegramente para estos efectos a las reglas a las que se someten los particulares.”</w:t>
      </w:r>
    </w:p>
    <w:p w14:paraId="3D208550" w14:textId="77777777" w:rsidR="00DD5C9D" w:rsidRDefault="00DD5C9D" w:rsidP="00DD5C9D">
      <w:pPr>
        <w:spacing w:after="0" w:line="240" w:lineRule="auto"/>
        <w:jc w:val="both"/>
        <w:rPr>
          <w:rFonts w:ascii="Verdana" w:hAnsi="Verdana"/>
          <w:sz w:val="20"/>
          <w:szCs w:val="20"/>
          <w:lang w:val="es-ES"/>
        </w:rPr>
      </w:pPr>
    </w:p>
    <w:p w14:paraId="5214324F" w14:textId="11C7E81E" w:rsidR="00DD5C9D" w:rsidRPr="00DD5C9D" w:rsidRDefault="00DD5C9D" w:rsidP="00DD5C9D">
      <w:pPr>
        <w:spacing w:after="0" w:line="240" w:lineRule="auto"/>
        <w:jc w:val="both"/>
        <w:rPr>
          <w:rFonts w:ascii="Verdana" w:hAnsi="Verdana"/>
          <w:sz w:val="20"/>
          <w:szCs w:val="20"/>
          <w:lang w:val="es-ES"/>
        </w:rPr>
      </w:pPr>
      <w:r>
        <w:rPr>
          <w:rFonts w:ascii="Verdana" w:hAnsi="Verdana"/>
          <w:sz w:val="20"/>
          <w:szCs w:val="20"/>
          <w:lang w:val="es-ES"/>
        </w:rPr>
        <w:t>[…]</w:t>
      </w:r>
    </w:p>
    <w:p w14:paraId="7E674A0B" w14:textId="77777777" w:rsidR="0047576B" w:rsidRDefault="0047576B" w:rsidP="0047576B">
      <w:pPr>
        <w:spacing w:after="0" w:line="240" w:lineRule="auto"/>
        <w:jc w:val="both"/>
        <w:rPr>
          <w:rFonts w:ascii="Verdana" w:hAnsi="Verdana"/>
          <w:b/>
          <w:bCs/>
          <w:lang w:val="es-ES"/>
        </w:rPr>
      </w:pPr>
    </w:p>
    <w:p w14:paraId="6075E649" w14:textId="5956D3BE" w:rsidR="00DD5C9D" w:rsidRPr="00DD5C9D" w:rsidRDefault="00DD5C9D" w:rsidP="0047576B">
      <w:pPr>
        <w:spacing w:after="0" w:line="240" w:lineRule="auto"/>
        <w:jc w:val="both"/>
        <w:rPr>
          <w:rFonts w:ascii="Verdana" w:hAnsi="Verdana"/>
          <w:b/>
          <w:bCs/>
          <w:sz w:val="20"/>
          <w:szCs w:val="20"/>
          <w:lang w:val="es-ES"/>
        </w:rPr>
      </w:pPr>
      <w:r w:rsidRPr="00DD5C9D">
        <w:rPr>
          <w:rFonts w:ascii="Verdana" w:eastAsia="Calibri" w:hAnsi="Verdana" w:cs="Arial"/>
          <w:bCs/>
          <w:sz w:val="20"/>
          <w:szCs w:val="20"/>
          <w:lang w:val="es-ES"/>
        </w:rPr>
        <w:t xml:space="preserve">Adicionalmente, las Empresas Prestadoras de Servicios Públicos tienen la naturaleza jurídica de empresas que pertenecen a la </w:t>
      </w:r>
      <w:r w:rsidRPr="00DD5C9D">
        <w:rPr>
          <w:rFonts w:ascii="Verdana" w:eastAsia="Calibri" w:hAnsi="Verdana" w:cs="Arial"/>
          <w:bCs/>
          <w:i/>
          <w:iCs/>
          <w:sz w:val="20"/>
          <w:szCs w:val="20"/>
          <w:lang w:val="es-ES"/>
        </w:rPr>
        <w:t>rama ejecutiva</w:t>
      </w:r>
      <w:r w:rsidRPr="00DD5C9D">
        <w:rPr>
          <w:rFonts w:ascii="Verdana" w:eastAsia="Calibri" w:hAnsi="Verdana" w:cs="Arial"/>
          <w:bCs/>
          <w:sz w:val="20"/>
          <w:szCs w:val="20"/>
          <w:lang w:val="es-ES"/>
        </w:rPr>
        <w:t xml:space="preserve"> del poder público. El literal d) del artículo 38 de la Ley 489 de 1998 señala que las Empresas Sociales del Estado y las Empresas Oficiales de Servicios Públicos Domiciliarios pertenecen a las entidades de la Rama Ejecutiva del sector descentralizado por servicios. Además de confirmar que las Empresas de Servicios Públicos pertenecen a la rama ejecutiva, la Corte Constitucional sostuvo que tienen el carácter de </w:t>
      </w:r>
      <w:r w:rsidRPr="00DD5C9D">
        <w:rPr>
          <w:rFonts w:ascii="Verdana" w:eastAsia="Calibri" w:hAnsi="Verdana" w:cs="Arial"/>
          <w:bCs/>
          <w:i/>
          <w:iCs/>
          <w:sz w:val="20"/>
          <w:szCs w:val="20"/>
          <w:lang w:val="es-ES"/>
        </w:rPr>
        <w:t>entidades descentralizadas por servicios</w:t>
      </w:r>
      <w:r w:rsidRPr="00DD5C9D">
        <w:rPr>
          <w:rFonts w:ascii="Verdana" w:eastAsia="Calibri" w:hAnsi="Verdana" w:cs="Arial"/>
          <w:bCs/>
          <w:sz w:val="20"/>
          <w:szCs w:val="20"/>
          <w:lang w:val="es-ES"/>
        </w:rPr>
        <w:t>, en los términos del artículo 68 de la Ley 489 de 1998</w:t>
      </w:r>
      <w:r>
        <w:rPr>
          <w:rFonts w:ascii="Verdana" w:eastAsia="Calibri" w:hAnsi="Verdana" w:cs="Arial"/>
          <w:bCs/>
          <w:sz w:val="20"/>
          <w:szCs w:val="20"/>
          <w:lang w:val="es-ES"/>
        </w:rPr>
        <w:t>.</w:t>
      </w:r>
    </w:p>
    <w:p w14:paraId="6586B1E9" w14:textId="77777777" w:rsidR="00DD5C9D" w:rsidRDefault="00DD5C9D" w:rsidP="0047576B">
      <w:pPr>
        <w:spacing w:after="0" w:line="240" w:lineRule="auto"/>
        <w:jc w:val="both"/>
        <w:rPr>
          <w:rFonts w:ascii="Verdana" w:hAnsi="Verdana"/>
          <w:b/>
          <w:bCs/>
          <w:lang w:val="es-ES"/>
        </w:rPr>
      </w:pPr>
    </w:p>
    <w:p w14:paraId="6417A1CC" w14:textId="26F0234B"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EMPRESAS DE SERVICIOS PÚBLICOS – Naturaleza – régimen especial </w:t>
      </w:r>
    </w:p>
    <w:p w14:paraId="1B890C71" w14:textId="77777777" w:rsidR="00DD5C9D" w:rsidRDefault="00DD5C9D" w:rsidP="0047576B">
      <w:pPr>
        <w:spacing w:after="0" w:line="240" w:lineRule="auto"/>
        <w:jc w:val="both"/>
        <w:rPr>
          <w:rFonts w:ascii="Verdana" w:hAnsi="Verdana"/>
          <w:b/>
          <w:bCs/>
          <w:lang w:val="es-ES"/>
        </w:rPr>
      </w:pPr>
    </w:p>
    <w:p w14:paraId="2032BB7F" w14:textId="7E5277E6" w:rsidR="00DD5C9D" w:rsidRDefault="00DD5C9D" w:rsidP="0047576B">
      <w:pPr>
        <w:spacing w:after="0" w:line="240" w:lineRule="auto"/>
        <w:jc w:val="both"/>
        <w:rPr>
          <w:rFonts w:ascii="Verdana" w:hAnsi="Verdana" w:cs="Arial"/>
          <w:bCs/>
          <w:sz w:val="20"/>
          <w:szCs w:val="20"/>
          <w:lang w:val="es-ES"/>
        </w:rPr>
      </w:pPr>
      <w:r w:rsidRPr="00DD5C9D">
        <w:rPr>
          <w:rFonts w:ascii="Verdana" w:eastAsia="Arial" w:hAnsi="Verdana" w:cs="Arial"/>
          <w:sz w:val="20"/>
          <w:szCs w:val="20"/>
          <w:lang w:val="es-ES" w:eastAsia="es-CO"/>
        </w:rPr>
        <w:t xml:space="preserve">En relación con el régimen de contratación, </w:t>
      </w:r>
      <w:r w:rsidRPr="00DD5C9D">
        <w:rPr>
          <w:rFonts w:ascii="Verdana" w:eastAsia="Calibri" w:hAnsi="Verdana" w:cs="Arial"/>
          <w:color w:val="000000"/>
          <w:sz w:val="20"/>
          <w:szCs w:val="20"/>
          <w:lang w:val="es-ES" w:eastAsia="es-ES_tradnl"/>
        </w:rPr>
        <w:t>el artículo 31 de la Ley 142 de 1994, modificado por el artículo 3 de la Ley 689 de 2001, dispone que</w:t>
      </w:r>
      <w:r w:rsidRPr="00DD5C9D">
        <w:rPr>
          <w:rFonts w:ascii="Verdana" w:eastAsia="Calibri" w:hAnsi="Verdana" w:cs="Arial"/>
          <w:color w:val="000000"/>
          <w:sz w:val="20"/>
          <w:szCs w:val="20"/>
          <w:bdr w:val="none" w:sz="0" w:space="0" w:color="auto" w:frame="1"/>
          <w:lang w:val="es-ES"/>
        </w:rPr>
        <w:t xml:space="preserve"> los contratos que celebren las Entidades Estatales que prestan los Servicios Públicos Domiciliarios </w:t>
      </w:r>
      <w:r w:rsidRPr="00DD5C9D">
        <w:rPr>
          <w:rFonts w:ascii="Verdana" w:eastAsia="Calibri" w:hAnsi="Verdana" w:cs="Arial"/>
          <w:i/>
          <w:color w:val="000000"/>
          <w:sz w:val="20"/>
          <w:szCs w:val="20"/>
          <w:bdr w:val="none" w:sz="0" w:space="0" w:color="auto" w:frame="1"/>
          <w:lang w:val="es-ES"/>
        </w:rPr>
        <w:t>“no estarán sujetos a las disposiciones del Estatuto General de Contratación de la Administración Pública, salvo en lo que la presente ley disponga otra cosa”</w:t>
      </w:r>
      <w:r w:rsidRPr="00DD5C9D">
        <w:rPr>
          <w:rFonts w:ascii="Verdana" w:eastAsia="Calibri" w:hAnsi="Verdana" w:cs="Arial"/>
          <w:color w:val="000000"/>
          <w:sz w:val="20"/>
          <w:szCs w:val="20"/>
          <w:lang w:val="es-ES" w:eastAsia="es-ES_tradnl"/>
        </w:rPr>
        <w:t xml:space="preserve">. </w:t>
      </w:r>
      <w:r w:rsidRPr="00DD5C9D">
        <w:rPr>
          <w:rFonts w:ascii="Verdana" w:hAnsi="Verdana" w:cs="Arial"/>
          <w:bCs/>
          <w:sz w:val="20"/>
          <w:szCs w:val="20"/>
          <w:lang w:val="es-ES"/>
        </w:rPr>
        <w:t xml:space="preserve">Asimismo, el inciso primero del artículo 32 precisa lo siguiente: “Salvo en cuanto la Constitución Política o esta Ley dispongan expresamente lo contrario, la constitución, y los actos de todas las </w:t>
      </w:r>
      <w:r w:rsidRPr="00DD5C9D">
        <w:rPr>
          <w:rFonts w:ascii="Verdana" w:hAnsi="Verdana" w:cs="Arial"/>
          <w:bCs/>
          <w:i/>
          <w:iCs/>
          <w:sz w:val="20"/>
          <w:szCs w:val="20"/>
          <w:lang w:val="es-ES"/>
        </w:rPr>
        <w:t>empresas de servicios públicos</w:t>
      </w:r>
      <w:r w:rsidRPr="00DD5C9D">
        <w:rPr>
          <w:rFonts w:ascii="Verdana" w:hAnsi="Verdana" w:cs="Arial"/>
          <w:bCs/>
          <w:sz w:val="20"/>
          <w:szCs w:val="20"/>
          <w:lang w:val="es-ES"/>
        </w:rPr>
        <w:t>, así como los requeridos para la administración y el ejercicio de los derechos de todas las personas que sean socias de ellas, en lo no dispuesto en esta Ley, se regirán exclusivamente por las reglas del derecho privado”</w:t>
      </w:r>
      <w:r w:rsidRPr="00DD5C9D">
        <w:rPr>
          <w:rFonts w:ascii="Verdana" w:hAnsi="Verdana" w:cs="Arial"/>
          <w:bCs/>
          <w:sz w:val="20"/>
          <w:szCs w:val="20"/>
          <w:lang w:val="es-ES"/>
        </w:rPr>
        <w:t>.</w:t>
      </w:r>
    </w:p>
    <w:p w14:paraId="638C3247" w14:textId="77777777" w:rsidR="00DD5C9D" w:rsidRDefault="00DD5C9D" w:rsidP="0047576B">
      <w:pPr>
        <w:spacing w:after="0" w:line="240" w:lineRule="auto"/>
        <w:jc w:val="both"/>
        <w:rPr>
          <w:rFonts w:ascii="Verdana" w:hAnsi="Verdana" w:cs="Arial"/>
          <w:bCs/>
          <w:sz w:val="20"/>
          <w:szCs w:val="20"/>
          <w:lang w:val="es-ES"/>
        </w:rPr>
      </w:pPr>
    </w:p>
    <w:p w14:paraId="6C128BA7" w14:textId="7F260016" w:rsidR="00DD5C9D" w:rsidRDefault="00DD5C9D" w:rsidP="0047576B">
      <w:pPr>
        <w:spacing w:after="0" w:line="240" w:lineRule="auto"/>
        <w:jc w:val="both"/>
        <w:rPr>
          <w:rFonts w:ascii="Verdana" w:hAnsi="Verdana" w:cs="Arial"/>
          <w:bCs/>
          <w:sz w:val="20"/>
          <w:szCs w:val="20"/>
          <w:lang w:val="es-ES"/>
        </w:rPr>
      </w:pPr>
      <w:r>
        <w:rPr>
          <w:rFonts w:ascii="Verdana" w:hAnsi="Verdana" w:cs="Arial"/>
          <w:bCs/>
          <w:sz w:val="20"/>
          <w:szCs w:val="20"/>
          <w:lang w:val="es-ES"/>
        </w:rPr>
        <w:t xml:space="preserve">[…] </w:t>
      </w:r>
    </w:p>
    <w:p w14:paraId="3F09A14E" w14:textId="77777777" w:rsidR="00DD5C9D" w:rsidRDefault="00DD5C9D" w:rsidP="0047576B">
      <w:pPr>
        <w:spacing w:after="0" w:line="240" w:lineRule="auto"/>
        <w:jc w:val="both"/>
        <w:rPr>
          <w:rFonts w:ascii="Verdana" w:hAnsi="Verdana" w:cs="Arial"/>
          <w:bCs/>
          <w:sz w:val="20"/>
          <w:szCs w:val="20"/>
          <w:lang w:val="es-ES"/>
        </w:rPr>
      </w:pPr>
    </w:p>
    <w:p w14:paraId="45D057DF" w14:textId="7FF84533" w:rsidR="00DD5C9D" w:rsidRDefault="00DD5C9D" w:rsidP="00DD5C9D">
      <w:pPr>
        <w:spacing w:after="0" w:line="240" w:lineRule="auto"/>
        <w:jc w:val="both"/>
        <w:rPr>
          <w:rFonts w:ascii="Verdana" w:eastAsia="Calibri" w:hAnsi="Verdana" w:cs="Arial"/>
          <w:color w:val="000000"/>
          <w:sz w:val="20"/>
          <w:szCs w:val="20"/>
          <w:lang w:val="es-ES" w:eastAsia="es-ES_tradnl"/>
        </w:rPr>
      </w:pPr>
      <w:r w:rsidRPr="00DD5C9D">
        <w:rPr>
          <w:rFonts w:ascii="Verdana" w:eastAsia="Times New Roman" w:hAnsi="Verdana" w:cs="Arial"/>
          <w:sz w:val="20"/>
          <w:szCs w:val="20"/>
          <w:lang w:val="es-ES" w:eastAsia="es-ES_tradnl"/>
          <w14:ligatures w14:val="standardContextual"/>
        </w:rPr>
        <w:t>Así, la actividad contractual de las Empresas de Servicios Públicos se sujeta a las disposiciones del derecho privado, salvo en aquellos casos en que la normativa (Constitución Política, Ley 142 de 1994 u otras normas especiales) someta dicha actuación a</w:t>
      </w:r>
      <w:r w:rsidRPr="00DD5C9D">
        <w:rPr>
          <w:rFonts w:ascii="Verdana" w:eastAsia="Calibri" w:hAnsi="Verdana" w:cs="Arial"/>
          <w:color w:val="000000"/>
          <w:sz w:val="20"/>
          <w:szCs w:val="20"/>
          <w:lang w:val="es-ES" w:eastAsia="es-ES"/>
        </w:rPr>
        <w:t xml:space="preserve">l Estatuto General de Contratación de la Administración Pública. Adicionalmente, su actuar se encuentra regido por </w:t>
      </w:r>
      <w:r w:rsidRPr="00DD5C9D">
        <w:rPr>
          <w:rFonts w:ascii="Verdana" w:eastAsia="Calibri" w:hAnsi="Verdana" w:cs="Arial"/>
          <w:color w:val="000000"/>
          <w:sz w:val="20"/>
          <w:szCs w:val="20"/>
          <w:lang w:val="es-ES" w:eastAsia="es-ES_tradnl"/>
        </w:rPr>
        <w:t>los principios de la función administrativa y de la gestión fiscal, previstos en los artículos 209 y 267 de la Constitución, toda vez que así lo dispone el artículo 13 de la Ley 1150 de 2007</w:t>
      </w:r>
      <w:r>
        <w:rPr>
          <w:rFonts w:ascii="Verdana" w:eastAsia="Calibri" w:hAnsi="Verdana" w:cs="Arial"/>
          <w:color w:val="000000"/>
          <w:sz w:val="20"/>
          <w:szCs w:val="20"/>
          <w:lang w:val="es-ES" w:eastAsia="es-ES_tradnl"/>
        </w:rPr>
        <w:t>.</w:t>
      </w:r>
    </w:p>
    <w:p w14:paraId="4083C867" w14:textId="77777777" w:rsidR="00DD5C9D" w:rsidRDefault="00DD5C9D" w:rsidP="00DD5C9D">
      <w:pPr>
        <w:spacing w:after="0" w:line="240" w:lineRule="auto"/>
        <w:jc w:val="both"/>
        <w:rPr>
          <w:rFonts w:ascii="Verdana" w:eastAsia="Calibri" w:hAnsi="Verdana" w:cs="Arial"/>
          <w:color w:val="000000"/>
          <w:sz w:val="20"/>
          <w:szCs w:val="20"/>
          <w:lang w:val="es-ES" w:eastAsia="es-ES_tradnl"/>
        </w:rPr>
      </w:pPr>
    </w:p>
    <w:p w14:paraId="0A46D63F" w14:textId="77777777"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EMPRESA DE SERVICIOS PÚBLICOS DOMICILIARIOS – Régimen contractual – Manual de contratación - Aplicación de los principios de la función administrativa – Gestión fiscal </w:t>
      </w:r>
    </w:p>
    <w:p w14:paraId="7879D256" w14:textId="77777777" w:rsidR="00DD5C9D" w:rsidRDefault="00DD5C9D" w:rsidP="0047576B">
      <w:pPr>
        <w:spacing w:after="0" w:line="240" w:lineRule="auto"/>
        <w:jc w:val="both"/>
        <w:rPr>
          <w:rFonts w:ascii="Verdana" w:hAnsi="Verdana"/>
          <w:b/>
          <w:bCs/>
          <w:lang w:val="es-ES"/>
        </w:rPr>
      </w:pPr>
    </w:p>
    <w:p w14:paraId="5BA90C2C" w14:textId="77777777" w:rsidR="00104F5A" w:rsidRDefault="00DD5C9D" w:rsidP="00104F5A">
      <w:pPr>
        <w:spacing w:after="0" w:line="240" w:lineRule="auto"/>
        <w:jc w:val="both"/>
        <w:rPr>
          <w:rFonts w:ascii="Verdana" w:eastAsia="Calibri" w:hAnsi="Verdana" w:cs="Arial"/>
          <w:color w:val="000000"/>
          <w:sz w:val="20"/>
          <w:szCs w:val="20"/>
          <w:lang w:val="es-ES" w:eastAsia="es-ES_tradnl"/>
        </w:rPr>
      </w:pPr>
      <w:r w:rsidRPr="00104F5A">
        <w:rPr>
          <w:rFonts w:ascii="Verdana" w:hAnsi="Verdana" w:cs="Arial"/>
          <w:sz w:val="20"/>
          <w:szCs w:val="20"/>
          <w:lang w:val="es-ES"/>
        </w:rPr>
        <w:t>Las entidades de régimen especial son aquellas que, por expresa disposición legal y debido a su naturaleza o situación de competencia, tienen condiciones diferenciales respecto a la normativa aplicable en materia de contratación pública. Esto quiere decir que, no están sometidas al Estatuto General de Contratación de la Administración Pública –en adelante EGCAP– y, por ende, sus procedimientos contractuales se rigen por una normativa propia para su desarrollo, esto es, el derecho privado. Esta particularidad está establecida en las normas de creación de las entidades de régimen especial y en sus manuales de contratación.</w:t>
      </w:r>
    </w:p>
    <w:p w14:paraId="0EE09A96" w14:textId="77777777" w:rsidR="00104F5A" w:rsidRDefault="00104F5A" w:rsidP="00104F5A">
      <w:pPr>
        <w:spacing w:after="0" w:line="240" w:lineRule="auto"/>
        <w:jc w:val="both"/>
        <w:rPr>
          <w:rFonts w:ascii="Verdana" w:eastAsia="Calibri" w:hAnsi="Verdana" w:cs="Arial"/>
          <w:color w:val="000000"/>
          <w:sz w:val="20"/>
          <w:szCs w:val="20"/>
          <w:lang w:val="es-ES" w:eastAsia="es-ES_tradnl"/>
        </w:rPr>
      </w:pPr>
    </w:p>
    <w:p w14:paraId="6664A27F" w14:textId="7F44D65D" w:rsidR="00DD5C9D" w:rsidRDefault="00DD5C9D" w:rsidP="00104F5A">
      <w:pPr>
        <w:spacing w:after="0" w:line="240" w:lineRule="auto"/>
        <w:jc w:val="both"/>
        <w:rPr>
          <w:rFonts w:ascii="Verdana" w:hAnsi="Verdana" w:cs="Arial"/>
          <w:sz w:val="20"/>
          <w:szCs w:val="20"/>
          <w:lang w:val="es-ES"/>
        </w:rPr>
      </w:pPr>
      <w:r w:rsidRPr="00104F5A">
        <w:rPr>
          <w:rFonts w:ascii="Verdana" w:hAnsi="Verdana" w:cs="Arial"/>
          <w:sz w:val="20"/>
          <w:szCs w:val="20"/>
          <w:lang w:val="es-ES"/>
        </w:rPr>
        <w:t xml:space="preserve">Teniendo en cuenta que las entidades de régimen especial están facultadas legalmente para aplicar reglas distintas a las establecidas en la Ley 80 de 1993 y sus normas complementarias, su régimen contractual estará definido en la norma que crea el régimen especial y será desarrollado en el manual de contratación de la respectiva entidad. Esto, con el fin de que se puedan identificar las reglas que aplican en la contratación. </w:t>
      </w:r>
    </w:p>
    <w:p w14:paraId="15D02507" w14:textId="77777777" w:rsidR="00104F5A" w:rsidRDefault="00104F5A" w:rsidP="00104F5A">
      <w:pPr>
        <w:spacing w:after="0" w:line="240" w:lineRule="auto"/>
        <w:jc w:val="both"/>
        <w:rPr>
          <w:rFonts w:ascii="Verdana" w:hAnsi="Verdana" w:cs="Arial"/>
          <w:sz w:val="20"/>
          <w:szCs w:val="20"/>
          <w:lang w:val="es-ES"/>
        </w:rPr>
      </w:pPr>
    </w:p>
    <w:p w14:paraId="62A32375" w14:textId="1C13FF93" w:rsidR="00104F5A" w:rsidRDefault="00104F5A" w:rsidP="00104F5A">
      <w:pPr>
        <w:spacing w:after="0" w:line="240" w:lineRule="auto"/>
        <w:jc w:val="both"/>
        <w:rPr>
          <w:rFonts w:ascii="Verdana" w:eastAsia="Calibri" w:hAnsi="Verdana" w:cs="Arial"/>
          <w:sz w:val="20"/>
          <w:szCs w:val="20"/>
          <w:lang w:val="es-ES"/>
        </w:rPr>
      </w:pPr>
      <w:r w:rsidRPr="00104F5A">
        <w:rPr>
          <w:rFonts w:ascii="Verdana" w:hAnsi="Verdana" w:cs="Arial"/>
          <w:sz w:val="20"/>
          <w:szCs w:val="20"/>
          <w:lang w:val="es-ES"/>
        </w:rPr>
        <w:t>Pese a que</w:t>
      </w:r>
      <w:r w:rsidRPr="00104F5A">
        <w:rPr>
          <w:rFonts w:ascii="Verdana" w:eastAsia="Calibri" w:hAnsi="Verdana" w:cs="Arial"/>
          <w:sz w:val="20"/>
          <w:szCs w:val="20"/>
          <w:lang w:val="es-ES"/>
        </w:rPr>
        <w:t xml:space="preserve"> las entidades de régimen especial están habilitadas para aplicar normas diferentes a las establecidas en el EGCAP, cumplen una finalidad pública y utilizan recursos públicos para lograrlo. Por ello, no son ajenas a los principios de la función administrativa y de la gestión fiscal, contenidos en los artículos 209 y 267 de la Constitución Política, respectivamente, entre otras reglas dispuestas en la normativa de contratación estatal, que son transversales a todas las entidades, sin importar su régimen contractual</w:t>
      </w:r>
      <w:r w:rsidRPr="00104F5A">
        <w:rPr>
          <w:rFonts w:ascii="Verdana" w:eastAsia="Calibri" w:hAnsi="Verdana" w:cs="Arial"/>
          <w:sz w:val="20"/>
          <w:szCs w:val="20"/>
          <w:lang w:val="es-ES"/>
        </w:rPr>
        <w:t>.</w:t>
      </w:r>
    </w:p>
    <w:p w14:paraId="1D978F76" w14:textId="77777777" w:rsidR="00104F5A" w:rsidRDefault="00104F5A" w:rsidP="00104F5A">
      <w:pPr>
        <w:spacing w:after="0" w:line="240" w:lineRule="auto"/>
        <w:jc w:val="both"/>
        <w:rPr>
          <w:rFonts w:ascii="Verdana" w:eastAsia="Calibri" w:hAnsi="Verdana" w:cs="Arial"/>
          <w:sz w:val="20"/>
          <w:szCs w:val="20"/>
          <w:lang w:val="es-ES"/>
        </w:rPr>
      </w:pPr>
    </w:p>
    <w:p w14:paraId="0BD13F8F" w14:textId="77777777" w:rsidR="00104F5A" w:rsidRDefault="00104F5A" w:rsidP="00104F5A">
      <w:pPr>
        <w:spacing w:after="0" w:line="240" w:lineRule="auto"/>
        <w:jc w:val="both"/>
        <w:rPr>
          <w:rFonts w:ascii="Verdana" w:eastAsia="Calibri" w:hAnsi="Verdana" w:cs="Arial"/>
          <w:color w:val="000000"/>
          <w:sz w:val="20"/>
          <w:szCs w:val="20"/>
          <w:lang w:val="es-ES" w:eastAsia="es-ES_tradnl"/>
        </w:rPr>
      </w:pPr>
      <w:r>
        <w:rPr>
          <w:rFonts w:ascii="Verdana" w:eastAsia="Calibri" w:hAnsi="Verdana" w:cs="Arial"/>
          <w:color w:val="000000"/>
          <w:sz w:val="20"/>
          <w:szCs w:val="20"/>
          <w:lang w:val="es-ES" w:eastAsia="es-ES_tradnl"/>
        </w:rPr>
        <w:t xml:space="preserve">[…] </w:t>
      </w:r>
    </w:p>
    <w:p w14:paraId="4A28676D" w14:textId="77777777" w:rsidR="00104F5A" w:rsidRDefault="00104F5A" w:rsidP="00104F5A">
      <w:pPr>
        <w:spacing w:after="0" w:line="240" w:lineRule="auto"/>
        <w:jc w:val="both"/>
        <w:rPr>
          <w:rFonts w:ascii="Verdana" w:eastAsia="Calibri" w:hAnsi="Verdana" w:cs="Arial"/>
          <w:color w:val="000000"/>
          <w:sz w:val="20"/>
          <w:szCs w:val="20"/>
          <w:lang w:val="es-ES" w:eastAsia="es-ES_tradnl"/>
        </w:rPr>
      </w:pPr>
    </w:p>
    <w:p w14:paraId="2CD5B0D0" w14:textId="0B149DBD" w:rsidR="00104F5A" w:rsidRPr="00104F5A" w:rsidRDefault="00104F5A" w:rsidP="00104F5A">
      <w:pPr>
        <w:spacing w:after="0" w:line="240" w:lineRule="auto"/>
        <w:jc w:val="both"/>
        <w:rPr>
          <w:rFonts w:ascii="Verdana" w:eastAsia="Calibri" w:hAnsi="Verdana" w:cs="Arial"/>
          <w:color w:val="000000"/>
          <w:sz w:val="20"/>
          <w:szCs w:val="20"/>
          <w:lang w:val="es-ES" w:eastAsia="es-ES_tradnl"/>
        </w:rPr>
      </w:pPr>
      <w:r w:rsidRPr="00104F5A">
        <w:rPr>
          <w:rFonts w:ascii="Verdana" w:eastAsia="Calibri" w:hAnsi="Verdana" w:cs="Arial"/>
          <w:color w:val="000000"/>
          <w:sz w:val="20"/>
          <w:szCs w:val="20"/>
          <w:lang w:val="es-ES" w:eastAsia="es-ES_tradnl"/>
        </w:rPr>
        <w:t>Las entidades sometidas a regímenes especiales de derecho privado tienen una amplia libertad de configuración del contenido de su manual de contratación. Esta libertad se deriva del principio de autonomía de la voluntad reconocido a estas entidades, que les permite establecer la manera en que adelantarán sus procesos de contratación. Esta libertad es similar a la reconocida a los particulares por el derecho privado, pero no es idéntica en la medida en que encuentra importantes límites en el cumplimiento los principios de la función administrativa y la gestión fiscal, así como por el régimen de inhabilidades e incompatibilidades.</w:t>
      </w:r>
    </w:p>
    <w:p w14:paraId="4E1BAAC5" w14:textId="49BBD016" w:rsidR="00104F5A" w:rsidRPr="00104F5A" w:rsidRDefault="00104F5A" w:rsidP="00104F5A">
      <w:pPr>
        <w:spacing w:after="0" w:line="240" w:lineRule="auto"/>
        <w:jc w:val="both"/>
        <w:rPr>
          <w:rFonts w:ascii="Verdana" w:eastAsia="Calibri" w:hAnsi="Verdana" w:cs="Arial"/>
          <w:color w:val="000000"/>
          <w:sz w:val="20"/>
          <w:szCs w:val="20"/>
          <w:lang w:val="es-ES" w:eastAsia="es-ES_tradnl"/>
        </w:rPr>
      </w:pPr>
      <w:r w:rsidRPr="00104F5A">
        <w:rPr>
          <w:rFonts w:ascii="Verdana" w:eastAsia="Calibri" w:hAnsi="Verdana" w:cs="Arial"/>
          <w:color w:val="000000"/>
          <w:sz w:val="20"/>
          <w:szCs w:val="20"/>
          <w:lang w:val="es-ES" w:eastAsia="es-ES_tradnl"/>
        </w:rPr>
        <w:t>La elaboración de esos manuales debe incluir procedimientos de selección públicos que garanticen la imparcialidad de la entidad contratante, la igualdad entre los oferentes, y en los cuales se respeten los principios constitucionales relevantes, como la eficacia, economía, celeridad, moralidad, entre otros. Es decir, deben reflejar los principios de la función administrativa y los de la gestión fiscal. La forma precisa que la forma en que estos principios se armonizan con su régimen de derecho privado, es un asunto que debe decidir la entidad en el ejercicio de la discrecionalidad concedida por el ordenamiento jurídico. No obstante, como mínimo, los manuales diseñados por la entidad de régimen especial deben indicar cuáles son sus procedimientos de selección y una descripción de cada uno de ellos, al igual que las etapas que los componen, las cuales deben estar alineadas con la garantía de los principios de la función administrativa</w:t>
      </w:r>
      <w:r>
        <w:rPr>
          <w:rFonts w:ascii="Verdana" w:eastAsia="Calibri" w:hAnsi="Verdana" w:cs="Arial"/>
          <w:color w:val="000000"/>
          <w:sz w:val="20"/>
          <w:szCs w:val="20"/>
          <w:lang w:val="es-ES" w:eastAsia="es-ES_tradnl"/>
        </w:rPr>
        <w:t>.</w:t>
      </w:r>
    </w:p>
    <w:p w14:paraId="01CA5606" w14:textId="77777777" w:rsidR="00DD5C9D" w:rsidRDefault="00DD5C9D" w:rsidP="0047576B">
      <w:pPr>
        <w:spacing w:after="0" w:line="240" w:lineRule="auto"/>
        <w:jc w:val="both"/>
        <w:rPr>
          <w:rFonts w:ascii="Verdana" w:hAnsi="Verdana"/>
          <w:b/>
          <w:bCs/>
          <w:lang w:val="es-ES"/>
        </w:rPr>
      </w:pPr>
    </w:p>
    <w:p w14:paraId="37125141" w14:textId="77777777"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LEY 1523 DE 2012 artículo 66 – Alcance </w:t>
      </w:r>
    </w:p>
    <w:p w14:paraId="3D035E88" w14:textId="77777777" w:rsidR="00EC24CC" w:rsidRDefault="00EC24CC" w:rsidP="0047576B">
      <w:pPr>
        <w:spacing w:after="0" w:line="240" w:lineRule="auto"/>
        <w:jc w:val="both"/>
        <w:rPr>
          <w:rFonts w:ascii="Verdana" w:hAnsi="Verdana"/>
          <w:b/>
          <w:bCs/>
          <w:lang w:val="es-ES"/>
        </w:rPr>
      </w:pPr>
    </w:p>
    <w:p w14:paraId="62D3C2C8" w14:textId="77777777"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 xml:space="preserve">Según esta norma, los contratos que celebren: a) la sociedad fiduciaria para la ejecución de los bienes, derechos e intereses del Fondo Nacional de Gestión del Riesgo; b) las entidades ejecutoras que reciban recursos de este fondo; o c) las entidades territoriales y sus fondos de gestión del riesgo, que se encuentren relacionados directamente con actividades de respuesta, rehabilitación y reconstrucción de las zonas declaradas en situación de desastre o calamidad pública, se someterán a los requisitos y formalidades que exige la ley para la contratación entre particulares. </w:t>
      </w:r>
    </w:p>
    <w:p w14:paraId="12C578A0" w14:textId="77777777" w:rsidR="00EC24CC" w:rsidRDefault="00EC24CC" w:rsidP="00EC24CC">
      <w:pPr>
        <w:spacing w:after="0" w:line="240" w:lineRule="auto"/>
        <w:jc w:val="both"/>
        <w:rPr>
          <w:rFonts w:ascii="Verdana" w:hAnsi="Verdana"/>
          <w:sz w:val="20"/>
          <w:szCs w:val="20"/>
          <w:lang w:val="es-ES"/>
        </w:rPr>
      </w:pPr>
    </w:p>
    <w:p w14:paraId="70E469A4" w14:textId="078EF7CF"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De esta manera, el artículo crea un régimen de contratación exceptuado del Estatuto General de Contratación de la Administración Pública. En cualquier caso, la norma aclara que este régimen especial se rige por lo dispuesto en el artículo 13 de la Ley 1150 de 2007, es decir, que las entidades contratantes deberán cumplir con los principios de la función administrativa y de la gestión fiscal de que tratan los artículos 209 y 267 de la Constitución Política, y estarán sometidas al régimen de inhabilidades e incompatibilidades previsto para la contratación estatal. Adicionalmente, el legislador otorgó a las entidades allí señaladas la capacidad de incorporar cláusulas excepcionales de conformidad con lo dispuesto en los artículos 14 a 18 de la Ley 80 de 1993.</w:t>
      </w:r>
    </w:p>
    <w:p w14:paraId="767D657D" w14:textId="77777777" w:rsidR="00EC24CC" w:rsidRDefault="00EC24CC" w:rsidP="00EC24CC">
      <w:pPr>
        <w:spacing w:after="0" w:line="240" w:lineRule="auto"/>
        <w:jc w:val="both"/>
        <w:rPr>
          <w:rFonts w:ascii="Verdana" w:hAnsi="Verdana"/>
          <w:sz w:val="20"/>
          <w:szCs w:val="20"/>
          <w:lang w:val="es-ES"/>
        </w:rPr>
      </w:pPr>
    </w:p>
    <w:p w14:paraId="05B5A381" w14:textId="3CB13CFC"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 xml:space="preserve">Con base en lo anterior, en estos casos basta la declaración de la situación de desastre o de calamidad pública para que las entidades señaladas en la norma queden autorizadas para aplicar el régimen especial de contratación. En cualquier caso, los contratos que las entidades territoriales suscriban bajo este régimen estarán sometidos al control fiscal dispuesto para los contratos que celebran las entidades estatales en el marco de declaratorias de urgencia manifiesta, a los cuales se refieren los artículos 42 y 43 de la Ley 80 de 1993. </w:t>
      </w:r>
    </w:p>
    <w:p w14:paraId="1EA9E071" w14:textId="77777777" w:rsidR="00EC24CC" w:rsidRDefault="00EC24CC" w:rsidP="00EC24CC">
      <w:pPr>
        <w:spacing w:after="0" w:line="240" w:lineRule="auto"/>
        <w:jc w:val="both"/>
        <w:rPr>
          <w:rFonts w:ascii="Verdana" w:hAnsi="Verdana"/>
          <w:sz w:val="20"/>
          <w:szCs w:val="20"/>
          <w:lang w:val="es-ES"/>
        </w:rPr>
      </w:pPr>
    </w:p>
    <w:p w14:paraId="244E4722" w14:textId="43AB535D"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 xml:space="preserve">En este sentido, aunque el parágrafo 3 del artículo 50 de la Ley 1523 de 2012 dispone que, por regla general, los contratos del Fondo Nacional de Gestión del Riesgo de Desastres se someterán al régimen aplicable a las empresas industriales y comerciales del Estado, el artículo 66 referido establece una excepción con respecto al “[…] régimen de contratación previsto para las situaciones de desastres o de similar naturaleza y a evitar la extensión de los efectos”. </w:t>
      </w:r>
    </w:p>
    <w:p w14:paraId="31931016" w14:textId="77777777" w:rsidR="00EC24CC" w:rsidRDefault="00EC24CC" w:rsidP="00EC24CC">
      <w:pPr>
        <w:spacing w:after="0" w:line="240" w:lineRule="auto"/>
        <w:jc w:val="both"/>
        <w:rPr>
          <w:rFonts w:ascii="Verdana" w:hAnsi="Verdana"/>
          <w:sz w:val="20"/>
          <w:szCs w:val="20"/>
          <w:lang w:val="es-ES"/>
        </w:rPr>
      </w:pPr>
      <w:r>
        <w:rPr>
          <w:rFonts w:ascii="Verdana" w:hAnsi="Verdana"/>
          <w:sz w:val="20"/>
          <w:szCs w:val="20"/>
          <w:lang w:val="es-ES"/>
        </w:rPr>
        <w:t xml:space="preserve">[…] </w:t>
      </w:r>
    </w:p>
    <w:p w14:paraId="40B96D20" w14:textId="77777777" w:rsidR="00EC24CC" w:rsidRDefault="00EC24CC" w:rsidP="00EC24CC">
      <w:pPr>
        <w:spacing w:after="0" w:line="240" w:lineRule="auto"/>
        <w:jc w:val="both"/>
        <w:rPr>
          <w:rFonts w:ascii="Verdana" w:hAnsi="Verdana"/>
          <w:sz w:val="20"/>
          <w:szCs w:val="20"/>
          <w:lang w:val="es-ES"/>
        </w:rPr>
      </w:pPr>
    </w:p>
    <w:p w14:paraId="5D8B87CF" w14:textId="71DCDA8E"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 xml:space="preserve">De acuerdo con lo dispuesto en el artículo 66 de la Ley 1523 de 2012, una vez declarada la situación de desastre o la situación de calamidad pública, los sujetos expresamente señalados allí son las únicos excluidos de la aplicación de la Ley 80 de 1993 en materia de la contratación por urgencia manifiesta. </w:t>
      </w:r>
    </w:p>
    <w:p w14:paraId="199F26B3" w14:textId="77777777" w:rsidR="00EC24CC" w:rsidRDefault="00EC24CC" w:rsidP="00EC24CC">
      <w:pPr>
        <w:spacing w:after="0" w:line="240" w:lineRule="auto"/>
        <w:jc w:val="both"/>
        <w:rPr>
          <w:rFonts w:ascii="Verdana" w:hAnsi="Verdana"/>
          <w:sz w:val="20"/>
          <w:szCs w:val="20"/>
          <w:lang w:val="es-ES"/>
        </w:rPr>
      </w:pPr>
    </w:p>
    <w:p w14:paraId="4CE60563" w14:textId="249C4210"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 xml:space="preserve">Además, según el parágrafo del artículo 66 de la Ley 1523 de 2012, sólo los contratos celebrados por las entidades territoriales se someten al control fiscal, con independencia de que sean producto de la contratación directa; razón por la cual también recae sobre aquellos que son resultado de procesos de selección competitivos. En otras palabras, la pura y simple declaración de desastre o de calamidad pública conduce a que las autoridades mencionadas atrás se excluyan del EGCAP y pasen a formar parte del régimen especial de contratación, siempre que los contratos estén relacionados directamente con las actividades de respuesta, de rehabilitación y reconstrucción para superar la situación de calamidad o desastre declarados, caso en el cual, podrán pactar poderes excepcionales. </w:t>
      </w:r>
    </w:p>
    <w:p w14:paraId="4C6B75A8" w14:textId="77777777" w:rsidR="00EC24CC" w:rsidRDefault="00EC24CC" w:rsidP="00EC24CC">
      <w:pPr>
        <w:spacing w:after="0" w:line="240" w:lineRule="auto"/>
        <w:jc w:val="both"/>
        <w:rPr>
          <w:rFonts w:ascii="Verdana" w:hAnsi="Verdana"/>
          <w:sz w:val="20"/>
          <w:szCs w:val="20"/>
          <w:lang w:val="es-ES"/>
        </w:rPr>
      </w:pPr>
    </w:p>
    <w:p w14:paraId="2F69841A" w14:textId="099C4E10"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Ahora bien, de esta norma podría efectuarse dos interpretaciones. La primera de carácter restrictivo, tras considerar que solo las entidades territoriales que suscriban contratos conforme a lo dispuesto en el artículo 66 están sometidas al control fiscal dispuesto para los contratos que celebran las entidades estatales en el marco de declaratorias de urgencia manifiesta, a los cuales se refieren los artículos 42 y 43 de la Ley 80 de 1993.</w:t>
      </w:r>
    </w:p>
    <w:p w14:paraId="69B94DC8" w14:textId="7DFDAAD0" w:rsidR="00EC24CC" w:rsidRPr="00EC24CC" w:rsidRDefault="00EC24CC" w:rsidP="00EC24CC">
      <w:pPr>
        <w:spacing w:after="0" w:line="240" w:lineRule="auto"/>
        <w:jc w:val="both"/>
        <w:rPr>
          <w:rFonts w:ascii="Verdana" w:hAnsi="Verdana"/>
          <w:sz w:val="20"/>
          <w:szCs w:val="20"/>
          <w:lang w:val="es-ES"/>
        </w:rPr>
      </w:pPr>
      <w:r w:rsidRPr="00EC24CC">
        <w:rPr>
          <w:rFonts w:ascii="Verdana" w:hAnsi="Verdana"/>
          <w:sz w:val="20"/>
          <w:szCs w:val="20"/>
          <w:lang w:val="es-ES"/>
        </w:rPr>
        <w:t>La segunda postura es ampliar su aplicación incluyendo a las entidades prestadoras de servicios públicos domiciliarios, con el fin darle un tratamiento similar para que el control del artículo 43 de la Ley 80 de 1993 sea efectivo, dado que en definitiva gestionan recursos públicos para lograr sus cometidos. Sin embargo, esta última posición no tendría cabida teniendo en consideración que la norma es explícita en definir los sujetos excluidos del EGCAP y a cuáles entidades deberían aplicarse los artículos 42 y 43 de la Ley 80 de 1993.</w:t>
      </w:r>
    </w:p>
    <w:p w14:paraId="7BC10C47" w14:textId="77777777" w:rsidR="0047576B" w:rsidRDefault="0047576B" w:rsidP="0047576B">
      <w:pPr>
        <w:spacing w:after="0" w:line="240" w:lineRule="auto"/>
        <w:jc w:val="both"/>
        <w:rPr>
          <w:rFonts w:ascii="Verdana" w:hAnsi="Verdana"/>
          <w:b/>
          <w:bCs/>
          <w:lang w:val="es-ES"/>
        </w:rPr>
      </w:pPr>
    </w:p>
    <w:p w14:paraId="7291FAAB" w14:textId="77777777" w:rsidR="0047576B" w:rsidRDefault="0047576B" w:rsidP="0047576B">
      <w:pPr>
        <w:spacing w:after="0" w:line="240" w:lineRule="auto"/>
        <w:jc w:val="both"/>
        <w:rPr>
          <w:rFonts w:ascii="Verdana" w:hAnsi="Verdana"/>
          <w:b/>
          <w:bCs/>
          <w:lang w:val="es-ES"/>
        </w:rPr>
      </w:pPr>
      <w:r w:rsidRPr="0047576B">
        <w:rPr>
          <w:rFonts w:ascii="Verdana" w:hAnsi="Verdana"/>
          <w:b/>
          <w:bCs/>
          <w:lang w:val="es-ES"/>
        </w:rPr>
        <w:t xml:space="preserve">CONTROL FISCAL – Objetivo </w:t>
      </w:r>
    </w:p>
    <w:p w14:paraId="0D8CD949" w14:textId="77777777" w:rsidR="00EC24CC" w:rsidRDefault="00EC24CC" w:rsidP="0047576B">
      <w:pPr>
        <w:spacing w:after="0" w:line="240" w:lineRule="auto"/>
        <w:jc w:val="both"/>
        <w:rPr>
          <w:rFonts w:ascii="Verdana" w:hAnsi="Verdana"/>
          <w:b/>
          <w:bCs/>
          <w:lang w:val="es-ES"/>
        </w:rPr>
      </w:pPr>
    </w:p>
    <w:p w14:paraId="7ACC8B8F" w14:textId="72FE20DF" w:rsidR="00EC24CC" w:rsidRPr="00EC24CC" w:rsidRDefault="00EC24CC" w:rsidP="0047576B">
      <w:pPr>
        <w:spacing w:after="0" w:line="240" w:lineRule="auto"/>
        <w:jc w:val="both"/>
        <w:rPr>
          <w:rFonts w:ascii="Verdana" w:hAnsi="Verdana"/>
          <w:b/>
          <w:bCs/>
          <w:sz w:val="20"/>
          <w:szCs w:val="20"/>
          <w:lang w:val="es-ES"/>
        </w:rPr>
      </w:pPr>
      <w:r w:rsidRPr="00EC24CC">
        <w:rPr>
          <w:rFonts w:ascii="Verdana" w:hAnsi="Verdana" w:cs="Arial"/>
          <w:color w:val="000000" w:themeColor="text1"/>
          <w:sz w:val="20"/>
          <w:szCs w:val="20"/>
        </w:rPr>
        <w:t>La Constitución Política de 1991 estructura el control fiscal como una función pública que tiene por objeto vigilar la gestión fiscal de la administración y de los particulares, o de entidades que manejan fondos o bienes de la Nación; para su ejercicio se han concebido unos órganos de control, autónomos e independientes, que colaboran armónicamente en la realización de los fines del Estado (arts. 113, 117, 119 y 267). El ordenamiento jurídico utiliza tanto el criterio subjetivo para someter al control fiscal a la administración, como el criterio objetivo o material para comprender en la vigilancia la realización de cualquier forma de gestión fiscal, en la medida en que ésta repercute en las finanzas públicas, independientemente de la calidad del sujeto que maneje los recursos y de la especie de éstos</w:t>
      </w:r>
      <w:r w:rsidRPr="00EC24CC">
        <w:rPr>
          <w:rFonts w:ascii="Verdana" w:hAnsi="Verdana" w:cs="Arial"/>
          <w:color w:val="000000" w:themeColor="text1"/>
          <w:sz w:val="20"/>
          <w:szCs w:val="20"/>
        </w:rPr>
        <w:t>.</w:t>
      </w:r>
    </w:p>
    <w:p w14:paraId="70C0B1F9" w14:textId="77777777" w:rsidR="0047576B" w:rsidRDefault="0047576B" w:rsidP="0047576B">
      <w:pPr>
        <w:spacing w:after="0" w:line="240" w:lineRule="auto"/>
        <w:jc w:val="both"/>
        <w:rPr>
          <w:rFonts w:ascii="Verdana" w:hAnsi="Verdana"/>
          <w:b/>
          <w:bCs/>
          <w:lang w:val="es-ES"/>
        </w:rPr>
      </w:pPr>
    </w:p>
    <w:p w14:paraId="6A48EA19" w14:textId="67E5401A" w:rsidR="0047576B" w:rsidRDefault="0047576B" w:rsidP="0047576B">
      <w:pPr>
        <w:spacing w:after="0" w:line="240" w:lineRule="auto"/>
        <w:jc w:val="both"/>
        <w:rPr>
          <w:rFonts w:ascii="Verdana" w:hAnsi="Verdana"/>
          <w:b/>
          <w:bCs/>
          <w:lang w:val="es-ES"/>
        </w:rPr>
      </w:pPr>
      <w:r w:rsidRPr="0047576B">
        <w:rPr>
          <w:rFonts w:ascii="Verdana" w:hAnsi="Verdana"/>
          <w:b/>
          <w:bCs/>
          <w:lang w:val="es-ES"/>
        </w:rPr>
        <w:t>LEY 610 DE 2000 - DECRETO 403 DE 2020 – Control fiscal</w:t>
      </w:r>
    </w:p>
    <w:p w14:paraId="4B3658CC" w14:textId="10439D46" w:rsidR="00EC24CC" w:rsidRPr="00EC24CC" w:rsidRDefault="00EC24CC" w:rsidP="00EC24CC">
      <w:pPr>
        <w:spacing w:after="0" w:line="240" w:lineRule="auto"/>
        <w:jc w:val="both"/>
        <w:rPr>
          <w:rFonts w:ascii="Verdana" w:hAnsi="Verdana" w:cs="Arial"/>
          <w:color w:val="000000" w:themeColor="text1"/>
          <w:sz w:val="20"/>
          <w:szCs w:val="20"/>
        </w:rPr>
      </w:pPr>
      <w:r w:rsidRPr="00EC24CC">
        <w:rPr>
          <w:rFonts w:ascii="Verdana" w:hAnsi="Verdana" w:cs="Arial"/>
          <w:color w:val="000000" w:themeColor="text1"/>
          <w:sz w:val="20"/>
          <w:szCs w:val="20"/>
        </w:rPr>
        <w:t xml:space="preserve">En este contexto la Ley 610 de 2000 modificado por el Decreto 403 de 2020 en el artículo 2 define los conceptos de vigilancia fiscal y control fiscal. </w:t>
      </w:r>
      <w:r w:rsidRPr="00EC24CC">
        <w:rPr>
          <w:rFonts w:ascii="Verdana" w:hAnsi="Verdana"/>
          <w:sz w:val="20"/>
          <w:szCs w:val="20"/>
          <w:lang w:val="es-ES"/>
        </w:rPr>
        <w:t xml:space="preserve">Sobre este último concepto, la norma indica que </w:t>
      </w:r>
      <w:r w:rsidRPr="00EC24CC">
        <w:rPr>
          <w:rFonts w:ascii="Verdana" w:hAnsi="Verdana"/>
          <w:i/>
          <w:iCs/>
          <w:sz w:val="20"/>
          <w:szCs w:val="20"/>
          <w:lang w:val="es-ES"/>
        </w:rPr>
        <w:t>“e</w:t>
      </w:r>
      <w:r w:rsidRPr="00EC24CC">
        <w:rPr>
          <w:rFonts w:ascii="Verdana" w:hAnsi="Verdana"/>
          <w:i/>
          <w:iCs/>
          <w:sz w:val="20"/>
          <w:szCs w:val="20"/>
        </w:rPr>
        <w:t>s la función pública de fiscalización de la gestión fiscal de la administración y de los particulares o entidades que manejen fondos o bienes públicos, que ejercen los órganos de control fiscal de manera autónoma e independiente de cualquier otra forma de inspección y vigilancia administrativa, con el fin de determinar si la gestión fiscal y sus resultados se ajustan a los principios, políticas, planes, programas, proyectos, presupuestos y normatividad aplicables y logran efectos positivos para la consecución de los fines esenciales del Estado, y supone un pronunciamiento de carácter valorativo sobre la gestión examinada y el adelantamiento del proceso de responsabilidad fiscal si se dan los presupuestos para ello.</w:t>
      </w:r>
      <w:r w:rsidRPr="00EC24CC">
        <w:rPr>
          <w:rFonts w:ascii="Verdana" w:hAnsi="Verdana" w:cs="Arial"/>
          <w:color w:val="000000" w:themeColor="text1"/>
          <w:sz w:val="20"/>
          <w:szCs w:val="20"/>
        </w:rPr>
        <w:t xml:space="preserve"> </w:t>
      </w:r>
      <w:r w:rsidRPr="00EC24CC">
        <w:rPr>
          <w:rFonts w:ascii="Verdana" w:hAnsi="Verdana"/>
          <w:i/>
          <w:iCs/>
          <w:sz w:val="20"/>
          <w:szCs w:val="20"/>
        </w:rPr>
        <w:t>El control fiscal será ejercido en forma posterior y selectiva por los órganos de control fiscal, sin perjuicio del control concomitante y preventivo, para garantizar la defensa y protección del patrimonio público en los términos que establece la Constitución Política y la ley”.</w:t>
      </w:r>
    </w:p>
    <w:p w14:paraId="173C8E4A" w14:textId="77777777" w:rsidR="00EC24CC" w:rsidRDefault="00EC24CC" w:rsidP="00EC24CC">
      <w:pPr>
        <w:spacing w:after="0" w:line="240" w:lineRule="auto"/>
        <w:jc w:val="both"/>
        <w:rPr>
          <w:rFonts w:ascii="Verdana" w:hAnsi="Verdana" w:cs="Arial"/>
          <w:color w:val="000000" w:themeColor="text1"/>
          <w:sz w:val="20"/>
          <w:szCs w:val="20"/>
        </w:rPr>
      </w:pPr>
    </w:p>
    <w:p w14:paraId="010FFAA5" w14:textId="0178ED84" w:rsidR="00EC24CC" w:rsidRDefault="00EC24CC" w:rsidP="00EC24CC">
      <w:pPr>
        <w:spacing w:after="0" w:line="240" w:lineRule="auto"/>
        <w:jc w:val="both"/>
        <w:rPr>
          <w:rFonts w:ascii="Verdana" w:hAnsi="Verdana" w:cs="Arial"/>
          <w:color w:val="000000" w:themeColor="text1"/>
          <w:sz w:val="20"/>
          <w:szCs w:val="20"/>
        </w:rPr>
      </w:pPr>
      <w:r w:rsidRPr="00EC24CC">
        <w:rPr>
          <w:rFonts w:ascii="Verdana" w:hAnsi="Verdana"/>
          <w:sz w:val="20"/>
          <w:szCs w:val="20"/>
          <w:lang w:val="es-ES"/>
        </w:rPr>
        <w:t xml:space="preserve">Así mismo, el mismo artículo define quiénes son los sujetos de la vigilancia y control fiscal al indicar que son </w:t>
      </w:r>
      <w:r w:rsidRPr="00EC24CC">
        <w:rPr>
          <w:rFonts w:ascii="Verdana" w:hAnsi="Verdana"/>
          <w:sz w:val="20"/>
          <w:szCs w:val="20"/>
        </w:rPr>
        <w:t>“los órganos que integran las ramas del poder público, los órganos autónomos e independientes, los de control y electorales, los organismos creados por la Constitución Política y la ley que tienen régimen especial, el Banco de la República, y las demás entidades públicas en todos los niveles administrativos, los particulares, las personas jurídicas y cualquier otro tipo de organización o sociedad que a cualquier título recauden, administren, manejen, dispongan o inviertan fondos, recursos del Estado y/o bienes o recursos públicos en lo relacionado con éstos”.</w:t>
      </w:r>
    </w:p>
    <w:p w14:paraId="1602B8D1" w14:textId="77777777" w:rsidR="00EC24CC" w:rsidRDefault="00EC24CC" w:rsidP="00EC24CC">
      <w:pPr>
        <w:spacing w:after="0" w:line="240" w:lineRule="auto"/>
        <w:jc w:val="both"/>
        <w:rPr>
          <w:rFonts w:ascii="Verdana" w:hAnsi="Verdana" w:cs="Arial"/>
          <w:color w:val="000000" w:themeColor="text1"/>
          <w:sz w:val="20"/>
          <w:szCs w:val="20"/>
        </w:rPr>
      </w:pPr>
    </w:p>
    <w:p w14:paraId="26F549AB" w14:textId="23B947C3" w:rsidR="00EC24CC" w:rsidRPr="00EC24CC" w:rsidRDefault="00EC24CC" w:rsidP="00EC24CC">
      <w:pPr>
        <w:spacing w:after="0" w:line="240" w:lineRule="auto"/>
        <w:jc w:val="both"/>
        <w:rPr>
          <w:rFonts w:ascii="Verdana" w:hAnsi="Verdana" w:cs="Arial"/>
          <w:color w:val="000000" w:themeColor="text1"/>
          <w:sz w:val="20"/>
          <w:szCs w:val="20"/>
        </w:rPr>
      </w:pPr>
      <w:r w:rsidRPr="00EC24CC">
        <w:rPr>
          <w:rFonts w:ascii="Verdana" w:hAnsi="Verdana"/>
          <w:sz w:val="20"/>
          <w:szCs w:val="20"/>
        </w:rPr>
        <w:t>De otra parte, también define qué es objeto de vigilancia y control, y corresponde a las actividades, acciones, omisiones, operaciones, procesos, cuenta, contrato, convenio, proyecto, programa, acto o hecho, y los demás asuntos que se encuentren comprendidos o que incidan directa o indirectamente en la gestión fiscal o que involucren bienes, fondos o recursos públicos, así como el uso, explotación, exploración, administración o beneficio de los mismos.</w:t>
      </w:r>
    </w:p>
    <w:p w14:paraId="5F7E6DB5" w14:textId="77777777" w:rsidR="00EC24CC" w:rsidRDefault="00EC24CC" w:rsidP="00EC24CC">
      <w:pPr>
        <w:spacing w:after="0" w:line="240" w:lineRule="auto"/>
        <w:jc w:val="both"/>
        <w:rPr>
          <w:rFonts w:ascii="Verdana" w:hAnsi="Verdana"/>
          <w:sz w:val="20"/>
          <w:szCs w:val="20"/>
        </w:rPr>
      </w:pPr>
    </w:p>
    <w:p w14:paraId="2B17DB12" w14:textId="092B5C3E" w:rsidR="00EC24CC" w:rsidRPr="00EC24CC" w:rsidRDefault="00EC24CC" w:rsidP="00EC24CC">
      <w:pPr>
        <w:spacing w:after="0" w:line="240" w:lineRule="auto"/>
        <w:jc w:val="both"/>
        <w:rPr>
          <w:rFonts w:ascii="Verdana" w:hAnsi="Verdana"/>
          <w:sz w:val="20"/>
          <w:szCs w:val="20"/>
        </w:rPr>
      </w:pPr>
      <w:r w:rsidRPr="00EC24CC">
        <w:rPr>
          <w:rFonts w:ascii="Verdana" w:hAnsi="Verdana"/>
          <w:sz w:val="20"/>
          <w:szCs w:val="20"/>
        </w:rPr>
        <w:t>El control fiscal según lo establecido en el artículo 53 es posterior y selectivo de la administración y de los particulares o entidades que manejen fondos o bienes públicos, con el fin de determinar si las actividades, operaciones y procesos ejecutados y sus resultados se ajustan a los principios, políticas, planes, programas, proyectos, presupuestos y normatividad aplicables y logran efectos positivos para la consecución de los fines esenciales del Estado. Este tipo de control se efectuará aplicando el principio de selectividad.</w:t>
      </w:r>
    </w:p>
    <w:p w14:paraId="37B55FB4" w14:textId="77777777" w:rsidR="00EC24CC" w:rsidRDefault="00EC24CC" w:rsidP="00EC24CC">
      <w:pPr>
        <w:spacing w:after="0" w:line="240" w:lineRule="auto"/>
        <w:jc w:val="both"/>
        <w:rPr>
          <w:rFonts w:ascii="Verdana" w:hAnsi="Verdana"/>
          <w:sz w:val="20"/>
          <w:szCs w:val="20"/>
        </w:rPr>
      </w:pPr>
    </w:p>
    <w:p w14:paraId="4D3C12FC" w14:textId="0CF5406D" w:rsidR="00EC24CC" w:rsidRPr="00EC24CC" w:rsidRDefault="00EC24CC" w:rsidP="00EC24CC">
      <w:pPr>
        <w:spacing w:after="0" w:line="240" w:lineRule="auto"/>
        <w:jc w:val="both"/>
        <w:rPr>
          <w:rFonts w:ascii="Verdana" w:hAnsi="Verdana"/>
          <w:sz w:val="20"/>
          <w:szCs w:val="20"/>
        </w:rPr>
      </w:pPr>
      <w:r w:rsidRPr="00EC24CC">
        <w:rPr>
          <w:rFonts w:ascii="Verdana" w:hAnsi="Verdana"/>
          <w:sz w:val="20"/>
          <w:szCs w:val="20"/>
        </w:rPr>
        <w:t>Para el ejercicio del control fiscal posterior y selectivo, la vigilancia fiscal podrá realizarse a través del seguimiento permanente del recurso público por parte de los órganos de control fiscal, mediante el acceso irrestricto a la información por parte de estos.</w:t>
      </w:r>
    </w:p>
    <w:p w14:paraId="655BDEC5" w14:textId="77777777" w:rsidR="00EC24CC" w:rsidRDefault="00EC24CC" w:rsidP="00EC24CC">
      <w:pPr>
        <w:spacing w:after="0" w:line="240" w:lineRule="auto"/>
        <w:jc w:val="both"/>
        <w:rPr>
          <w:rFonts w:ascii="Verdana" w:hAnsi="Verdana"/>
          <w:sz w:val="20"/>
          <w:szCs w:val="20"/>
        </w:rPr>
      </w:pPr>
    </w:p>
    <w:p w14:paraId="14B13866" w14:textId="44254885" w:rsidR="00EC24CC" w:rsidRPr="00EC24CC" w:rsidRDefault="00EC24CC" w:rsidP="00EC24CC">
      <w:pPr>
        <w:spacing w:after="0" w:line="240" w:lineRule="auto"/>
        <w:jc w:val="both"/>
        <w:rPr>
          <w:rFonts w:ascii="Verdana" w:eastAsia="Calibri" w:hAnsi="Verdana" w:cs="Arial"/>
          <w:sz w:val="20"/>
          <w:szCs w:val="20"/>
          <w:lang w:val="es-ES"/>
        </w:rPr>
      </w:pPr>
      <w:r w:rsidRPr="00EC24CC">
        <w:rPr>
          <w:rFonts w:ascii="Verdana" w:hAnsi="Verdana"/>
          <w:sz w:val="20"/>
          <w:szCs w:val="20"/>
        </w:rPr>
        <w:t>En este escenario, con fundamento en las funciones de la Contraloría General de la República, tratándose</w:t>
      </w:r>
      <w:r w:rsidRPr="00EC24CC">
        <w:rPr>
          <w:rFonts w:ascii="Verdana" w:hAnsi="Verdana" w:cs="Arial"/>
          <w:color w:val="000000" w:themeColor="text1"/>
          <w:sz w:val="20"/>
          <w:szCs w:val="20"/>
          <w:lang w:val="es-ES"/>
        </w:rPr>
        <w:t xml:space="preserve"> de los contratos celebrados por las empresas de servicios públicos domiciliarios con ocasión de la declaratoria de urgencia manifiesta definida en su manual de contratación, se desarrolla el control fiscal en atención a las normas que definen dicho control esto es la Ley 610 de 2000 y el Decreto 403 de 2020. Adicionalmente, teniendo en cuenta que por regla general las empresas de servicios públicos tienen una participación del estado, aquellas </w:t>
      </w:r>
      <w:r w:rsidRPr="00EC24CC">
        <w:rPr>
          <w:rFonts w:ascii="Verdana" w:eastAsia="Calibri" w:hAnsi="Verdana" w:cs="Arial"/>
          <w:sz w:val="20"/>
          <w:szCs w:val="20"/>
          <w:lang w:val="es-ES"/>
        </w:rPr>
        <w:t xml:space="preserve">cumplen una finalidad pública y utilizan recursos públicos para el logro de sus funciones. Por esta razón resulta importante destacar la necesidad del control por parte de los entes de control en el ejercicio de la contratación directa bajo la modalidad de la declaratoria de urgencia manifiesta. </w:t>
      </w:r>
    </w:p>
    <w:p w14:paraId="039D78F7" w14:textId="77777777" w:rsidR="00EC24CC" w:rsidRDefault="00EC24CC" w:rsidP="0047576B">
      <w:pPr>
        <w:spacing w:after="0" w:line="240" w:lineRule="auto"/>
        <w:jc w:val="both"/>
        <w:rPr>
          <w:rFonts w:ascii="Verdana" w:hAnsi="Verdana"/>
          <w:b/>
          <w:bCs/>
          <w:lang w:val="es-ES"/>
        </w:rPr>
      </w:pPr>
    </w:p>
    <w:p w14:paraId="0C97ED52" w14:textId="77777777" w:rsidR="0047576B" w:rsidRPr="0047576B" w:rsidRDefault="0047576B" w:rsidP="0047576B">
      <w:pPr>
        <w:spacing w:after="0" w:line="240" w:lineRule="auto"/>
        <w:jc w:val="both"/>
        <w:rPr>
          <w:rFonts w:ascii="Verdana" w:eastAsia="Verdana" w:hAnsi="Verdana" w:cs="Verdana"/>
          <w:b/>
          <w:bCs/>
        </w:rPr>
      </w:pPr>
    </w:p>
    <w:p w14:paraId="5159ADA5" w14:textId="77777777" w:rsidR="00EC24CC" w:rsidRDefault="00EC24CC" w:rsidP="00AC19DA">
      <w:pPr>
        <w:spacing w:after="0"/>
        <w:rPr>
          <w:rFonts w:ascii="Verdana" w:eastAsia="Verdana" w:hAnsi="Verdana" w:cs="Verdana"/>
        </w:rPr>
      </w:pPr>
    </w:p>
    <w:p w14:paraId="354049C0" w14:textId="77777777" w:rsidR="00EC24CC" w:rsidRDefault="00EC24CC" w:rsidP="00AC19DA">
      <w:pPr>
        <w:spacing w:after="0"/>
        <w:rPr>
          <w:rFonts w:ascii="Verdana" w:eastAsia="Verdana" w:hAnsi="Verdana" w:cs="Verdana"/>
        </w:rPr>
      </w:pPr>
    </w:p>
    <w:p w14:paraId="5EEAB830" w14:textId="77777777" w:rsidR="00EC24CC" w:rsidRDefault="00EC24CC" w:rsidP="00AC19DA">
      <w:pPr>
        <w:spacing w:after="0"/>
        <w:rPr>
          <w:rFonts w:ascii="Verdana" w:eastAsia="Verdana" w:hAnsi="Verdana" w:cs="Verdana"/>
        </w:rPr>
      </w:pPr>
    </w:p>
    <w:p w14:paraId="04885C6F" w14:textId="77777777" w:rsidR="00EC24CC" w:rsidRDefault="00EC24CC" w:rsidP="00AC19DA">
      <w:pPr>
        <w:spacing w:after="0"/>
        <w:rPr>
          <w:rFonts w:ascii="Verdana" w:eastAsia="Verdana" w:hAnsi="Verdana" w:cs="Verdana"/>
        </w:rPr>
      </w:pPr>
    </w:p>
    <w:p w14:paraId="2C8ABCDF" w14:textId="77777777" w:rsidR="00EC24CC" w:rsidRDefault="00EC24CC" w:rsidP="00AC19DA">
      <w:pPr>
        <w:spacing w:after="0"/>
        <w:rPr>
          <w:rFonts w:ascii="Verdana" w:eastAsia="Verdana" w:hAnsi="Verdana" w:cs="Verdana"/>
        </w:rPr>
      </w:pPr>
    </w:p>
    <w:p w14:paraId="03074A49" w14:textId="77777777" w:rsidR="00EC24CC" w:rsidRDefault="00EC24CC" w:rsidP="00AC19DA">
      <w:pPr>
        <w:spacing w:after="0"/>
        <w:rPr>
          <w:rFonts w:ascii="Verdana" w:eastAsia="Verdana" w:hAnsi="Verdana" w:cs="Verdana"/>
        </w:rPr>
      </w:pPr>
    </w:p>
    <w:p w14:paraId="6C6AA3EA" w14:textId="77777777" w:rsidR="00EC24CC" w:rsidRDefault="00EC24CC" w:rsidP="00AC19DA">
      <w:pPr>
        <w:spacing w:after="0"/>
        <w:rPr>
          <w:rFonts w:ascii="Verdana" w:eastAsia="Verdana" w:hAnsi="Verdana" w:cs="Verdana"/>
        </w:rPr>
      </w:pPr>
    </w:p>
    <w:p w14:paraId="11A9D967" w14:textId="77777777" w:rsidR="00EC24CC" w:rsidRDefault="00EC24CC" w:rsidP="00AC19DA">
      <w:pPr>
        <w:spacing w:after="0"/>
        <w:rPr>
          <w:rFonts w:ascii="Verdana" w:eastAsia="Verdana" w:hAnsi="Verdana" w:cs="Verdana"/>
        </w:rPr>
      </w:pPr>
    </w:p>
    <w:p w14:paraId="4F25D9C8" w14:textId="77777777" w:rsidR="00EC24CC" w:rsidRDefault="00EC24CC" w:rsidP="00AC19DA">
      <w:pPr>
        <w:spacing w:after="0"/>
        <w:rPr>
          <w:rFonts w:ascii="Verdana" w:eastAsia="Verdana" w:hAnsi="Verdana" w:cs="Verdana"/>
        </w:rPr>
      </w:pPr>
    </w:p>
    <w:p w14:paraId="51E063A5" w14:textId="77777777" w:rsidR="00EC24CC" w:rsidRDefault="00EC24CC" w:rsidP="00AC19DA">
      <w:pPr>
        <w:spacing w:after="0"/>
        <w:rPr>
          <w:rFonts w:ascii="Verdana" w:eastAsia="Verdana" w:hAnsi="Verdana" w:cs="Verdana"/>
        </w:rPr>
      </w:pPr>
    </w:p>
    <w:p w14:paraId="5B0A6AC6" w14:textId="77777777" w:rsidR="00EC24CC" w:rsidRDefault="00EC24CC" w:rsidP="00AC19DA">
      <w:pPr>
        <w:spacing w:after="0"/>
        <w:rPr>
          <w:rFonts w:ascii="Verdana" w:eastAsia="Verdana" w:hAnsi="Verdana" w:cs="Verdana"/>
        </w:rPr>
      </w:pPr>
    </w:p>
    <w:p w14:paraId="0ECEF3F1" w14:textId="77777777" w:rsidR="00EC24CC" w:rsidRDefault="00EC24CC" w:rsidP="00AC19DA">
      <w:pPr>
        <w:spacing w:after="0"/>
        <w:rPr>
          <w:rFonts w:ascii="Verdana" w:eastAsia="Verdana" w:hAnsi="Verdana" w:cs="Verdana"/>
        </w:rPr>
      </w:pPr>
    </w:p>
    <w:p w14:paraId="74C17309" w14:textId="77777777" w:rsidR="00EC24CC" w:rsidRDefault="00EC24CC" w:rsidP="00AC19DA">
      <w:pPr>
        <w:spacing w:after="0"/>
        <w:rPr>
          <w:rFonts w:ascii="Verdana" w:eastAsia="Verdana" w:hAnsi="Verdana" w:cs="Verdana"/>
        </w:rPr>
      </w:pPr>
    </w:p>
    <w:p w14:paraId="5A0262F7" w14:textId="77777777" w:rsidR="00EC24CC" w:rsidRDefault="00EC24CC" w:rsidP="00AC19DA">
      <w:pPr>
        <w:spacing w:after="0"/>
        <w:rPr>
          <w:rFonts w:ascii="Verdana" w:eastAsia="Verdana" w:hAnsi="Verdana" w:cs="Verdana"/>
        </w:rPr>
      </w:pPr>
    </w:p>
    <w:p w14:paraId="6E63D7ED" w14:textId="77777777" w:rsidR="00EC24CC" w:rsidRDefault="00EC24CC" w:rsidP="00AC19DA">
      <w:pPr>
        <w:spacing w:after="0"/>
        <w:rPr>
          <w:rFonts w:ascii="Verdana" w:eastAsia="Verdana" w:hAnsi="Verdana" w:cs="Verdana"/>
        </w:rPr>
      </w:pPr>
    </w:p>
    <w:p w14:paraId="7769E194" w14:textId="77777777" w:rsidR="00EC24CC" w:rsidRDefault="00EC24CC" w:rsidP="00AC19DA">
      <w:pPr>
        <w:spacing w:after="0"/>
        <w:rPr>
          <w:rFonts w:ascii="Verdana" w:eastAsia="Verdana" w:hAnsi="Verdana" w:cs="Verdana"/>
        </w:rPr>
      </w:pPr>
    </w:p>
    <w:p w14:paraId="7D530D7D" w14:textId="77777777" w:rsidR="00EC24CC" w:rsidRDefault="00EC24CC" w:rsidP="00AC19DA">
      <w:pPr>
        <w:spacing w:after="0"/>
        <w:rPr>
          <w:rFonts w:ascii="Verdana" w:eastAsia="Verdana" w:hAnsi="Verdana" w:cs="Verdana"/>
        </w:rPr>
      </w:pPr>
    </w:p>
    <w:p w14:paraId="138F3021" w14:textId="77777777" w:rsidR="00EC24CC" w:rsidRDefault="00EC24CC" w:rsidP="00AC19DA">
      <w:pPr>
        <w:spacing w:after="0"/>
        <w:rPr>
          <w:rFonts w:ascii="Verdana" w:eastAsia="Verdana" w:hAnsi="Verdana" w:cs="Verdana"/>
        </w:rPr>
      </w:pPr>
    </w:p>
    <w:p w14:paraId="72F3301B" w14:textId="77777777" w:rsidR="00EC24CC" w:rsidRDefault="00EC24CC" w:rsidP="00AC19DA">
      <w:pPr>
        <w:spacing w:after="0"/>
        <w:rPr>
          <w:rFonts w:ascii="Verdana" w:eastAsia="Verdana" w:hAnsi="Verdana" w:cs="Verdana"/>
        </w:rPr>
      </w:pPr>
    </w:p>
    <w:p w14:paraId="0EF5040E" w14:textId="77777777" w:rsidR="00EC24CC" w:rsidRDefault="00EC24CC" w:rsidP="00AC19DA">
      <w:pPr>
        <w:spacing w:after="0"/>
        <w:rPr>
          <w:rFonts w:ascii="Verdana" w:eastAsia="Verdana" w:hAnsi="Verdana" w:cs="Verdana"/>
        </w:rPr>
      </w:pPr>
    </w:p>
    <w:p w14:paraId="3E753920" w14:textId="77777777" w:rsidR="00EC24CC" w:rsidRDefault="00EC24CC" w:rsidP="00AC19DA">
      <w:pPr>
        <w:spacing w:after="0"/>
        <w:rPr>
          <w:rFonts w:ascii="Verdana" w:eastAsia="Verdana" w:hAnsi="Verdana" w:cs="Verdana"/>
        </w:rPr>
      </w:pPr>
    </w:p>
    <w:p w14:paraId="2A7DA068" w14:textId="77777777" w:rsidR="00EC24CC" w:rsidRDefault="00EC24CC" w:rsidP="00AC19DA">
      <w:pPr>
        <w:spacing w:after="0"/>
        <w:rPr>
          <w:rFonts w:ascii="Verdana" w:eastAsia="Verdana" w:hAnsi="Verdana" w:cs="Verdana"/>
        </w:rPr>
      </w:pPr>
    </w:p>
    <w:p w14:paraId="2437CC2A" w14:textId="77777777" w:rsidR="00EC24CC" w:rsidRDefault="00EC24CC" w:rsidP="00AC19DA">
      <w:pPr>
        <w:spacing w:after="0"/>
        <w:rPr>
          <w:rFonts w:ascii="Verdana" w:eastAsia="Verdana" w:hAnsi="Verdana" w:cs="Verdana"/>
        </w:rPr>
      </w:pPr>
    </w:p>
    <w:p w14:paraId="1DAEF09A" w14:textId="77777777" w:rsidR="00EC24CC" w:rsidRDefault="00EC24CC" w:rsidP="00AC19DA">
      <w:pPr>
        <w:spacing w:after="0"/>
        <w:rPr>
          <w:rFonts w:ascii="Verdana" w:eastAsia="Verdana" w:hAnsi="Verdana" w:cs="Verdana"/>
        </w:rPr>
      </w:pPr>
    </w:p>
    <w:p w14:paraId="4E3624A1" w14:textId="77777777" w:rsidR="00EC24CC" w:rsidRDefault="00EC24CC" w:rsidP="00AC19DA">
      <w:pPr>
        <w:spacing w:after="0"/>
        <w:rPr>
          <w:rFonts w:ascii="Verdana" w:eastAsia="Verdana" w:hAnsi="Verdana" w:cs="Verdana"/>
        </w:rPr>
      </w:pPr>
    </w:p>
    <w:p w14:paraId="2FBAD535" w14:textId="77777777" w:rsidR="00EC24CC" w:rsidRDefault="00EC24CC" w:rsidP="00AC19DA">
      <w:pPr>
        <w:spacing w:after="0"/>
        <w:rPr>
          <w:rFonts w:ascii="Verdana" w:eastAsia="Verdana" w:hAnsi="Verdana" w:cs="Verdana"/>
        </w:rPr>
      </w:pPr>
    </w:p>
    <w:p w14:paraId="5C535F26" w14:textId="77777777" w:rsidR="00EC24CC" w:rsidRDefault="00EC24CC" w:rsidP="00AC19DA">
      <w:pPr>
        <w:spacing w:after="0"/>
        <w:rPr>
          <w:rFonts w:ascii="Verdana" w:eastAsia="Verdana" w:hAnsi="Verdana" w:cs="Verdana"/>
        </w:rPr>
      </w:pPr>
    </w:p>
    <w:p w14:paraId="1CF4636D" w14:textId="77777777" w:rsidR="00EC24CC" w:rsidRDefault="00EC24CC" w:rsidP="00AC19DA">
      <w:pPr>
        <w:spacing w:after="0"/>
        <w:rPr>
          <w:rFonts w:ascii="Verdana" w:eastAsia="Verdana" w:hAnsi="Verdana" w:cs="Verdana"/>
        </w:rPr>
      </w:pPr>
    </w:p>
    <w:p w14:paraId="4CBF09FC" w14:textId="77777777" w:rsidR="00EC24CC" w:rsidRDefault="00EC24CC" w:rsidP="00AC19DA">
      <w:pPr>
        <w:spacing w:after="0"/>
        <w:rPr>
          <w:rFonts w:ascii="Verdana" w:eastAsia="Verdana" w:hAnsi="Verdana" w:cs="Verdana"/>
        </w:rPr>
      </w:pPr>
    </w:p>
    <w:p w14:paraId="01F70713" w14:textId="77777777" w:rsidR="00EC24CC" w:rsidRDefault="00EC24CC" w:rsidP="00AC19DA">
      <w:pPr>
        <w:spacing w:after="0"/>
        <w:rPr>
          <w:rFonts w:ascii="Verdana" w:eastAsia="Verdana" w:hAnsi="Verdana" w:cs="Verdana"/>
        </w:rPr>
      </w:pPr>
    </w:p>
    <w:p w14:paraId="5FC8D705" w14:textId="77777777" w:rsidR="00EC24CC" w:rsidRDefault="00EC24CC" w:rsidP="00AC19DA">
      <w:pPr>
        <w:spacing w:after="0"/>
        <w:rPr>
          <w:rFonts w:ascii="Verdana" w:eastAsia="Verdana" w:hAnsi="Verdana" w:cs="Verdana"/>
        </w:rPr>
      </w:pPr>
    </w:p>
    <w:p w14:paraId="0F73FC52" w14:textId="7CD70431" w:rsidR="00AC19DA" w:rsidRDefault="00AC19DA" w:rsidP="00AC19DA">
      <w:pPr>
        <w:spacing w:after="0"/>
        <w:rPr>
          <w:rFonts w:ascii="Verdana" w:eastAsia="Verdana" w:hAnsi="Verdana" w:cs="Verdana"/>
        </w:rPr>
      </w:pPr>
      <w:r w:rsidRPr="30821638">
        <w:rPr>
          <w:rFonts w:ascii="Verdana" w:eastAsia="Verdana" w:hAnsi="Verdana" w:cs="Verdana"/>
        </w:rPr>
        <w:t xml:space="preserve">Bogotá D.C., </w:t>
      </w:r>
      <w:bookmarkStart w:id="1" w:name="_Hlk214366482"/>
      <w:r w:rsidR="000E345D">
        <w:rPr>
          <w:rFonts w:ascii="Verdana" w:eastAsia="Verdana" w:hAnsi="Verdana" w:cs="Verdana"/>
        </w:rPr>
        <w:t>28 Julio 2026</w:t>
      </w:r>
    </w:p>
    <w:p w14:paraId="1C99404E" w14:textId="42FEEFEC" w:rsidR="000E345D" w:rsidRDefault="000E345D" w:rsidP="000E345D">
      <w:pPr>
        <w:spacing w:after="0"/>
        <w:jc w:val="right"/>
        <w:rPr>
          <w:rFonts w:ascii="Verdana" w:eastAsia="Verdana" w:hAnsi="Verdana" w:cs="Verdana"/>
        </w:rPr>
      </w:pPr>
      <w:r w:rsidRPr="000E345D">
        <w:rPr>
          <w:rFonts w:ascii="Verdana" w:eastAsia="Verdana" w:hAnsi="Verdana" w:cs="Verdana"/>
        </w:rPr>
        <w:drawing>
          <wp:inline distT="0" distB="0" distL="0" distR="0" wp14:anchorId="49470CE5" wp14:editId="5DF23DFD">
            <wp:extent cx="1902460" cy="560268"/>
            <wp:effectExtent l="0" t="0" r="2540" b="0"/>
            <wp:docPr id="1763939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39209" name=""/>
                    <pic:cNvPicPr/>
                  </pic:nvPicPr>
                  <pic:blipFill>
                    <a:blip r:embed="rId10"/>
                    <a:stretch>
                      <a:fillRect/>
                    </a:stretch>
                  </pic:blipFill>
                  <pic:spPr>
                    <a:xfrm>
                      <a:off x="0" y="0"/>
                      <a:ext cx="1926003" cy="567201"/>
                    </a:xfrm>
                    <a:prstGeom prst="rect">
                      <a:avLst/>
                    </a:prstGeom>
                  </pic:spPr>
                </pic:pic>
              </a:graphicData>
            </a:graphic>
          </wp:inline>
        </w:drawing>
      </w:r>
    </w:p>
    <w:p w14:paraId="734DFF69" w14:textId="77777777" w:rsidR="00AC19DA" w:rsidRDefault="00AC19DA" w:rsidP="00AC19DA">
      <w:pPr>
        <w:spacing w:after="0"/>
        <w:rPr>
          <w:rFonts w:ascii="Verdana" w:eastAsia="Calibri" w:hAnsi="Verdana" w:cs="Arial"/>
          <w:b/>
          <w:bCs/>
          <w:lang w:eastAsia="es-ES"/>
        </w:rPr>
      </w:pPr>
      <w:r>
        <w:rPr>
          <w:rFonts w:ascii="Verdana" w:eastAsia="Calibri" w:hAnsi="Verdana" w:cs="Arial"/>
          <w:b/>
          <w:bCs/>
          <w:lang w:eastAsia="es-ES"/>
        </w:rPr>
        <w:t>Entidad</w:t>
      </w:r>
    </w:p>
    <w:p w14:paraId="124C578F" w14:textId="77777777" w:rsidR="00AC19DA" w:rsidRDefault="00AC19DA" w:rsidP="00AC19DA">
      <w:pPr>
        <w:spacing w:after="0"/>
        <w:rPr>
          <w:rFonts w:ascii="Verdana" w:hAnsi="Verdana"/>
          <w:b/>
          <w:bCs/>
        </w:rPr>
      </w:pPr>
      <w:r w:rsidRPr="00B02708">
        <w:rPr>
          <w:rFonts w:ascii="Verdana" w:hAnsi="Verdana"/>
          <w:b/>
          <w:bCs/>
        </w:rPr>
        <w:t>CONTRALOR</w:t>
      </w:r>
      <w:r>
        <w:rPr>
          <w:rFonts w:ascii="Verdana" w:hAnsi="Verdana"/>
          <w:b/>
          <w:bCs/>
        </w:rPr>
        <w:t>Í</w:t>
      </w:r>
      <w:r w:rsidRPr="00B02708">
        <w:rPr>
          <w:rFonts w:ascii="Verdana" w:hAnsi="Verdana"/>
          <w:b/>
          <w:bCs/>
        </w:rPr>
        <w:t>A GENERAL DE CALDAS</w:t>
      </w:r>
    </w:p>
    <w:p w14:paraId="15C7B888" w14:textId="77777777" w:rsidR="00AC19DA" w:rsidRPr="00B02708" w:rsidRDefault="00AC19DA" w:rsidP="00AC19DA">
      <w:pPr>
        <w:spacing w:after="0"/>
        <w:rPr>
          <w:rFonts w:ascii="Verdana" w:hAnsi="Verdana"/>
        </w:rPr>
      </w:pPr>
      <w:r w:rsidRPr="00B02708">
        <w:rPr>
          <w:rFonts w:ascii="Verdana" w:hAnsi="Verdana"/>
        </w:rPr>
        <w:t>Señora</w:t>
      </w:r>
    </w:p>
    <w:p w14:paraId="29FEF9FF" w14:textId="77777777" w:rsidR="00AC19DA" w:rsidRDefault="00AC19DA" w:rsidP="00AC19DA">
      <w:pPr>
        <w:spacing w:after="0" w:line="240" w:lineRule="auto"/>
        <w:jc w:val="both"/>
        <w:rPr>
          <w:rFonts w:ascii="Verdana" w:eastAsia="Calibri" w:hAnsi="Verdana" w:cs="Arial"/>
          <w:b/>
          <w:bCs/>
          <w:lang w:eastAsia="es-ES"/>
        </w:rPr>
      </w:pPr>
      <w:r>
        <w:rPr>
          <w:rFonts w:ascii="Verdana" w:eastAsia="Calibri" w:hAnsi="Verdana" w:cs="Arial"/>
          <w:b/>
          <w:bCs/>
          <w:lang w:eastAsia="es-ES"/>
        </w:rPr>
        <w:t>Clara Inés Sanabria Baez</w:t>
      </w:r>
    </w:p>
    <w:p w14:paraId="35C97524" w14:textId="77777777" w:rsidR="00AC19DA" w:rsidRPr="00B02708" w:rsidRDefault="00AC19DA" w:rsidP="00AC19DA">
      <w:pPr>
        <w:spacing w:after="0" w:line="240" w:lineRule="auto"/>
        <w:jc w:val="both"/>
        <w:rPr>
          <w:rFonts w:ascii="Verdana" w:eastAsia="Calibri" w:hAnsi="Verdana" w:cs="Arial"/>
          <w:lang w:eastAsia="es-ES"/>
        </w:rPr>
      </w:pPr>
      <w:r>
        <w:rPr>
          <w:rFonts w:ascii="Verdana" w:eastAsia="Calibri" w:hAnsi="Verdana" w:cs="Arial"/>
          <w:lang w:eastAsia="es-ES"/>
        </w:rPr>
        <w:t xml:space="preserve">Profesional Universitario Contraloría General </w:t>
      </w:r>
    </w:p>
    <w:p w14:paraId="0C9FC730" w14:textId="77777777" w:rsidR="00AC19DA" w:rsidRPr="00B02708" w:rsidRDefault="00AC19DA" w:rsidP="00AC19DA">
      <w:pPr>
        <w:spacing w:after="0" w:line="240" w:lineRule="auto"/>
        <w:jc w:val="both"/>
        <w:rPr>
          <w:rFonts w:ascii="Verdana" w:hAnsi="Verdana"/>
          <w:b/>
          <w:bCs/>
        </w:rPr>
      </w:pPr>
      <w:hyperlink r:id="rId11" w:history="1">
        <w:r w:rsidRPr="00B02708">
          <w:rPr>
            <w:rStyle w:val="Hipervnculo"/>
            <w:rFonts w:ascii="Verdana" w:hAnsi="Verdana"/>
            <w:b/>
            <w:bCs/>
          </w:rPr>
          <w:t>cisanabriab@contraloriageneraldecaldas.gov.co</w:t>
        </w:r>
      </w:hyperlink>
    </w:p>
    <w:p w14:paraId="68A93F7F" w14:textId="77777777" w:rsidR="00AC19DA" w:rsidRDefault="00AC19DA" w:rsidP="00AC19DA">
      <w:pPr>
        <w:spacing w:after="0" w:line="240" w:lineRule="auto"/>
        <w:jc w:val="both"/>
        <w:rPr>
          <w:rFonts w:ascii="Verdana" w:hAnsi="Verdana"/>
        </w:rPr>
      </w:pPr>
      <w:r>
        <w:rPr>
          <w:rFonts w:ascii="Verdana" w:hAnsi="Verdana"/>
        </w:rPr>
        <w:t>Manizales – Caldas</w:t>
      </w:r>
    </w:p>
    <w:p w14:paraId="3FF5DAC8" w14:textId="77777777" w:rsidR="00AC19DA" w:rsidRPr="007F2AEC" w:rsidRDefault="00AC19DA" w:rsidP="00AC19DA">
      <w:pPr>
        <w:spacing w:after="0" w:line="240" w:lineRule="auto"/>
        <w:jc w:val="both"/>
        <w:rPr>
          <w:rFonts w:ascii="Verdana" w:hAnsi="Verdana"/>
        </w:rPr>
      </w:pPr>
    </w:p>
    <w:p w14:paraId="55D6F6DB" w14:textId="77777777" w:rsidR="00AC19DA" w:rsidRPr="007F2AEC" w:rsidRDefault="00AC19DA" w:rsidP="00AC19DA">
      <w:pPr>
        <w:spacing w:after="0" w:line="240" w:lineRule="auto"/>
        <w:jc w:val="both"/>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86"/>
        <w:gridCol w:w="5103"/>
      </w:tblGrid>
      <w:tr w:rsidR="00AC19DA" w:rsidRPr="005644FE" w14:paraId="38B4F63A" w14:textId="77777777" w:rsidTr="000506E8">
        <w:trPr>
          <w:trHeight w:val="162"/>
        </w:trPr>
        <w:tc>
          <w:tcPr>
            <w:tcW w:w="3686" w:type="dxa"/>
          </w:tcPr>
          <w:p w14:paraId="32C92559" w14:textId="77777777" w:rsidR="00AC19DA" w:rsidRPr="007F2AEC" w:rsidRDefault="00AC19DA" w:rsidP="000506E8">
            <w:pPr>
              <w:jc w:val="both"/>
              <w:rPr>
                <w:rFonts w:ascii="Verdana" w:eastAsia="Calibri" w:hAnsi="Verdana" w:cs="Arial"/>
                <w:b/>
                <w:bCs/>
                <w:color w:val="7030A0"/>
                <w:lang w:eastAsia="es-ES_tradnl"/>
              </w:rPr>
            </w:pPr>
          </w:p>
        </w:tc>
        <w:tc>
          <w:tcPr>
            <w:tcW w:w="5103" w:type="dxa"/>
          </w:tcPr>
          <w:p w14:paraId="69AA8F7C" w14:textId="77777777" w:rsidR="00AC19DA" w:rsidRPr="005644FE" w:rsidRDefault="00AC19DA" w:rsidP="000506E8">
            <w:pPr>
              <w:jc w:val="both"/>
              <w:rPr>
                <w:rFonts w:ascii="Verdana" w:eastAsia="Calibri" w:hAnsi="Verdana" w:cs="Arial"/>
                <w:b/>
                <w:bCs/>
                <w:lang w:eastAsia="es-ES"/>
              </w:rPr>
            </w:pPr>
            <w:r w:rsidRPr="005644FE">
              <w:rPr>
                <w:rFonts w:ascii="Verdana" w:eastAsia="Calibri" w:hAnsi="Verdana" w:cs="Arial"/>
                <w:b/>
                <w:bCs/>
                <w:lang w:eastAsia="es-ES"/>
              </w:rPr>
              <w:t>Concepto C</w:t>
            </w:r>
            <w:r w:rsidRPr="00205473">
              <w:rPr>
                <w:rFonts w:ascii="Verdana" w:eastAsia="Calibri" w:hAnsi="Verdana" w:cs="Arial"/>
                <w:b/>
                <w:bCs/>
                <w:lang w:eastAsia="es-ES"/>
              </w:rPr>
              <w:t>-</w:t>
            </w:r>
            <w:r>
              <w:rPr>
                <w:rFonts w:ascii="Verdana" w:eastAsia="Calibri" w:hAnsi="Verdana" w:cs="Arial"/>
                <w:b/>
                <w:bCs/>
                <w:lang w:eastAsia="es-ES"/>
              </w:rPr>
              <w:t>986 de 2026</w:t>
            </w:r>
          </w:p>
          <w:p w14:paraId="4F4F852D" w14:textId="77777777" w:rsidR="00AC19DA" w:rsidRPr="005644FE" w:rsidRDefault="00AC19DA" w:rsidP="000506E8">
            <w:pPr>
              <w:jc w:val="both"/>
              <w:rPr>
                <w:rFonts w:ascii="Verdana" w:eastAsia="Calibri" w:hAnsi="Verdana" w:cs="Arial"/>
                <w:b/>
                <w:bCs/>
                <w:color w:val="7030A0"/>
                <w:lang w:eastAsia="es-ES"/>
              </w:rPr>
            </w:pPr>
          </w:p>
        </w:tc>
      </w:tr>
      <w:tr w:rsidR="00AC19DA" w:rsidRPr="005644FE" w14:paraId="7851CCD1" w14:textId="77777777" w:rsidTr="000506E8">
        <w:trPr>
          <w:trHeight w:val="884"/>
        </w:trPr>
        <w:tc>
          <w:tcPr>
            <w:tcW w:w="3686" w:type="dxa"/>
          </w:tcPr>
          <w:p w14:paraId="1156D19C" w14:textId="77777777" w:rsidR="00AC19DA" w:rsidRPr="005644FE" w:rsidRDefault="00AC19DA" w:rsidP="000506E8">
            <w:pPr>
              <w:spacing w:after="120" w:line="276" w:lineRule="auto"/>
              <w:jc w:val="both"/>
              <w:rPr>
                <w:rFonts w:ascii="Verdana" w:eastAsia="Calibri" w:hAnsi="Verdana" w:cs="Arial"/>
                <w:color w:val="000000"/>
                <w:lang w:eastAsia="es-ES_tradnl"/>
              </w:rPr>
            </w:pPr>
            <w:r w:rsidRPr="005644FE">
              <w:rPr>
                <w:rFonts w:ascii="Verdana" w:eastAsia="Calibri" w:hAnsi="Verdana" w:cs="Arial"/>
                <w:b/>
                <w:color w:val="000000"/>
                <w:lang w:eastAsia="es-ES_tradnl"/>
              </w:rPr>
              <w:t>Temas:</w:t>
            </w:r>
            <w:r w:rsidRPr="005644FE">
              <w:rPr>
                <w:rFonts w:ascii="Verdana" w:eastAsia="Calibri" w:hAnsi="Verdana" w:cs="Arial"/>
                <w:color w:val="000000"/>
                <w:lang w:eastAsia="es-ES_tradnl"/>
              </w:rPr>
              <w:t xml:space="preserve">                   </w:t>
            </w:r>
          </w:p>
        </w:tc>
        <w:tc>
          <w:tcPr>
            <w:tcW w:w="5103" w:type="dxa"/>
          </w:tcPr>
          <w:p w14:paraId="4AB40C89" w14:textId="0AFEF2FE" w:rsidR="00AC19DA" w:rsidRPr="00AD2BBB" w:rsidRDefault="00AC19DA" w:rsidP="000506E8">
            <w:pPr>
              <w:spacing w:after="120" w:line="276" w:lineRule="auto"/>
              <w:jc w:val="both"/>
              <w:rPr>
                <w:rFonts w:ascii="Verdana" w:hAnsi="Verdana"/>
              </w:rPr>
            </w:pPr>
            <w:r>
              <w:rPr>
                <w:rFonts w:ascii="Verdana" w:hAnsi="Verdana"/>
                <w:lang w:val="es-ES"/>
              </w:rPr>
              <w:t xml:space="preserve">URGENCIA MANIFIESTA – Normatividad – Eventos – Entidades sometidas al EGCAP / </w:t>
            </w:r>
            <w:r w:rsidRPr="00EC53E2">
              <w:rPr>
                <w:rFonts w:ascii="Verdana" w:hAnsi="Verdana"/>
                <w:lang w:val="es-ES"/>
              </w:rPr>
              <w:t>EMPRESAS DE SERVICIOS PÚBLICOS DOMICILIARIOS</w:t>
            </w:r>
            <w:r>
              <w:rPr>
                <w:rFonts w:ascii="Verdana" w:hAnsi="Verdana"/>
                <w:lang w:val="es-ES"/>
              </w:rPr>
              <w:t xml:space="preserve"> </w:t>
            </w:r>
            <w:r w:rsidRPr="00EC53E2">
              <w:rPr>
                <w:rFonts w:ascii="Verdana" w:hAnsi="Verdana"/>
                <w:lang w:val="es-ES"/>
              </w:rPr>
              <w:t>– Régimen jurídico / EMPRESAS DE SERVICIOS PÚBLICOS – Naturaleza – régimen especial /</w:t>
            </w:r>
            <w:r>
              <w:rPr>
                <w:rFonts w:ascii="Verdana" w:hAnsi="Verdana"/>
                <w:lang w:val="es-ES"/>
              </w:rPr>
              <w:t xml:space="preserve"> EMPRESA DE SERVICIOS PÚBLICOS DOMICILIARIOS – Régimen contractual – Manual de contratación - Aplicación de los principios de la función administrativa – Gestión fiscal / LEY 1523 DE 2012 artículo 66 – Alcance / CONTROL FISCAL – Objetivo / LEY 610 DE 200</w:t>
            </w:r>
            <w:r w:rsidR="00462D91">
              <w:rPr>
                <w:rFonts w:ascii="Verdana" w:hAnsi="Verdana"/>
                <w:lang w:val="es-ES"/>
              </w:rPr>
              <w:t>0</w:t>
            </w:r>
            <w:r>
              <w:rPr>
                <w:rFonts w:ascii="Verdana" w:hAnsi="Verdana"/>
                <w:lang w:val="es-ES"/>
              </w:rPr>
              <w:t xml:space="preserve">  - DECRETO 403 DE 2020 – Control fiscal </w:t>
            </w:r>
          </w:p>
        </w:tc>
      </w:tr>
      <w:tr w:rsidR="00AC19DA" w:rsidRPr="005644FE" w14:paraId="410248C1" w14:textId="77777777" w:rsidTr="000506E8">
        <w:tc>
          <w:tcPr>
            <w:tcW w:w="3686" w:type="dxa"/>
          </w:tcPr>
          <w:p w14:paraId="752B6116" w14:textId="77777777" w:rsidR="00AC19DA" w:rsidRPr="005644FE" w:rsidRDefault="00AC19DA" w:rsidP="000506E8">
            <w:pPr>
              <w:jc w:val="both"/>
              <w:rPr>
                <w:rFonts w:ascii="Verdana" w:eastAsia="Calibri" w:hAnsi="Verdana" w:cs="Arial"/>
                <w:b/>
                <w:lang w:eastAsia="es-ES_tradnl"/>
              </w:rPr>
            </w:pPr>
            <w:r w:rsidRPr="005644FE">
              <w:rPr>
                <w:rFonts w:ascii="Verdana" w:eastAsia="Calibri" w:hAnsi="Verdana" w:cs="Arial"/>
                <w:b/>
                <w:lang w:eastAsia="es-ES_tradnl"/>
              </w:rPr>
              <w:t>Radicación:</w:t>
            </w:r>
            <w:r w:rsidRPr="005644FE">
              <w:rPr>
                <w:rFonts w:ascii="Verdana" w:eastAsia="Calibri" w:hAnsi="Verdana" w:cs="Arial"/>
                <w:lang w:eastAsia="es-ES_tradnl"/>
              </w:rPr>
              <w:t xml:space="preserve">               </w:t>
            </w:r>
          </w:p>
        </w:tc>
        <w:tc>
          <w:tcPr>
            <w:tcW w:w="5103" w:type="dxa"/>
          </w:tcPr>
          <w:p w14:paraId="1C38903E" w14:textId="77777777" w:rsidR="00AC19DA" w:rsidRPr="00F04657" w:rsidRDefault="00AC19DA" w:rsidP="000506E8">
            <w:pPr>
              <w:jc w:val="both"/>
              <w:rPr>
                <w:rFonts w:ascii="Verdana" w:eastAsia="Calibri" w:hAnsi="Verdana" w:cs="Arial"/>
                <w:lang w:eastAsia="es-ES"/>
              </w:rPr>
            </w:pPr>
            <w:r w:rsidRPr="74C89D8F">
              <w:rPr>
                <w:rFonts w:ascii="Verdana" w:eastAsia="Calibri" w:hAnsi="Verdana" w:cs="Arial"/>
                <w:lang w:eastAsia="es-ES"/>
              </w:rPr>
              <w:t>Respuesta a consulta con radicado</w:t>
            </w:r>
            <w:r>
              <w:rPr>
                <w:rFonts w:ascii="Verdana" w:eastAsia="Calibri" w:hAnsi="Verdana" w:cs="Arial"/>
                <w:lang w:eastAsia="es-ES"/>
              </w:rPr>
              <w:t xml:space="preserve"> </w:t>
            </w:r>
            <w:r w:rsidRPr="00B02708">
              <w:rPr>
                <w:rFonts w:ascii="Verdana" w:eastAsia="Calibri" w:hAnsi="Verdana" w:cs="Arial"/>
                <w:lang w:eastAsia="es-ES"/>
              </w:rPr>
              <w:t>1_2026_06_18_008184</w:t>
            </w:r>
          </w:p>
        </w:tc>
      </w:tr>
    </w:tbl>
    <w:p w14:paraId="0FADF0BA" w14:textId="77777777" w:rsidR="00AC19DA" w:rsidRPr="005644FE" w:rsidRDefault="00AC19DA" w:rsidP="00AC19DA">
      <w:pPr>
        <w:spacing w:after="0" w:line="276" w:lineRule="auto"/>
        <w:jc w:val="both"/>
        <w:rPr>
          <w:rFonts w:ascii="Verdana" w:eastAsia="Calibri" w:hAnsi="Verdana" w:cs="Arial"/>
          <w:lang w:eastAsia="es-ES_tradnl"/>
        </w:rPr>
      </w:pPr>
      <w:r>
        <w:rPr>
          <w:rFonts w:ascii="Verdana" w:eastAsia="Calibri" w:hAnsi="Verdana" w:cs="Arial"/>
          <w:lang w:eastAsia="es-ES_tradnl"/>
        </w:rPr>
        <w:t xml:space="preserve"> </w:t>
      </w:r>
    </w:p>
    <w:p w14:paraId="1EF8D688" w14:textId="77777777" w:rsidR="00AC19DA" w:rsidRPr="005644FE" w:rsidRDefault="00AC19DA" w:rsidP="00AC19DA">
      <w:pPr>
        <w:spacing w:after="0" w:line="276" w:lineRule="auto"/>
        <w:jc w:val="both"/>
        <w:rPr>
          <w:rFonts w:ascii="Verdana" w:eastAsia="Calibri" w:hAnsi="Verdana" w:cs="Arial"/>
          <w:lang w:eastAsia="es-ES"/>
        </w:rPr>
      </w:pPr>
      <w:r>
        <w:rPr>
          <w:rFonts w:ascii="Verdana" w:eastAsia="Calibri" w:hAnsi="Verdana" w:cs="Arial"/>
          <w:lang w:eastAsia="es-ES"/>
        </w:rPr>
        <w:t xml:space="preserve">Estimada entidad: </w:t>
      </w:r>
    </w:p>
    <w:p w14:paraId="4B4AD368" w14:textId="77777777" w:rsidR="00AC19DA" w:rsidRPr="00E02524" w:rsidRDefault="00AC19DA" w:rsidP="00AC19DA">
      <w:pPr>
        <w:spacing w:after="0" w:line="240" w:lineRule="auto"/>
        <w:jc w:val="both"/>
        <w:rPr>
          <w:rFonts w:ascii="Verdana" w:hAnsi="Verdana"/>
          <w:lang w:val="es-MX"/>
        </w:rPr>
      </w:pPr>
    </w:p>
    <w:p w14:paraId="109D18DF" w14:textId="77777777" w:rsidR="00AC19DA" w:rsidRDefault="00AC19DA" w:rsidP="00AC19DA">
      <w:pPr>
        <w:spacing w:after="120" w:line="276" w:lineRule="auto"/>
        <w:jc w:val="both"/>
        <w:rPr>
          <w:rFonts w:ascii="Verdana" w:hAnsi="Verdana"/>
        </w:rPr>
      </w:pPr>
      <w:r w:rsidRPr="0084712D">
        <w:rPr>
          <w:rFonts w:ascii="Verdana" w:hAnsi="Verdana"/>
        </w:rPr>
        <w:t xml:space="preserve">La Agencia Nacional de Contratación Pública – Colombia Compra Eficiente –, en ejercicio de las competencias otorgadas por los artículos 3, numeral 5º, y 11, numeral 8º, del Decreto Ley 4170 de 2011 y de conformidad con las modalidades del derecho de petición contempladas en la Ley 1755 de 2015 y en la resolución N° 469 del 2025 expedida por esta Agencia, responde la solicitud de consulta de fecha </w:t>
      </w:r>
      <w:r>
        <w:rPr>
          <w:rFonts w:ascii="Verdana" w:hAnsi="Verdana"/>
        </w:rPr>
        <w:t>18 de junio de 2026</w:t>
      </w:r>
      <w:r w:rsidRPr="0084712D">
        <w:rPr>
          <w:rFonts w:ascii="Verdana" w:hAnsi="Verdana"/>
        </w:rPr>
        <w:t>, en la cual manifiesta lo siguiente:</w:t>
      </w:r>
    </w:p>
    <w:p w14:paraId="75CFDF8D" w14:textId="77777777" w:rsidR="00AC19DA" w:rsidRDefault="00AC19DA" w:rsidP="00AC19DA">
      <w:pPr>
        <w:spacing w:after="0" w:line="240" w:lineRule="auto"/>
        <w:ind w:right="709"/>
        <w:jc w:val="both"/>
        <w:rPr>
          <w:rFonts w:ascii="Verdana" w:hAnsi="Verdana"/>
        </w:rPr>
      </w:pPr>
      <w:r w:rsidRPr="00AC7F4F">
        <w:rPr>
          <w:rFonts w:ascii="Verdana" w:hAnsi="Verdana"/>
        </w:rPr>
        <w:t xml:space="preserve">PETICIÓN REALIZADA: </w:t>
      </w:r>
    </w:p>
    <w:p w14:paraId="42C01B6F" w14:textId="77777777" w:rsidR="00AC19DA" w:rsidRDefault="00AC19DA" w:rsidP="00AC19DA">
      <w:pPr>
        <w:spacing w:after="0" w:line="240" w:lineRule="auto"/>
        <w:ind w:left="851" w:right="709"/>
        <w:jc w:val="both"/>
        <w:rPr>
          <w:rFonts w:ascii="Verdana" w:hAnsi="Verdana"/>
          <w:sz w:val="20"/>
          <w:szCs w:val="20"/>
        </w:rPr>
      </w:pPr>
    </w:p>
    <w:p w14:paraId="5EE94ADD" w14:textId="77777777" w:rsidR="00AC19DA" w:rsidRPr="00CE41CB" w:rsidRDefault="00AC19DA" w:rsidP="00AC19DA">
      <w:pPr>
        <w:spacing w:after="0" w:line="240" w:lineRule="auto"/>
        <w:ind w:left="851" w:right="709"/>
        <w:jc w:val="both"/>
        <w:rPr>
          <w:rFonts w:ascii="Verdana" w:hAnsi="Verdana"/>
          <w:sz w:val="20"/>
          <w:szCs w:val="20"/>
        </w:rPr>
      </w:pPr>
      <w:r w:rsidRPr="00CE41CB">
        <w:rPr>
          <w:rFonts w:ascii="Verdana" w:hAnsi="Verdana"/>
          <w:sz w:val="20"/>
          <w:szCs w:val="20"/>
        </w:rPr>
        <w:t>“(…) Teniendo en cuenta que las empresas de servicios públicos tienen regimen (sic) especial de contratación, no obstante, deben regirse por los principios de la Ley 80 de 1993. me permito pedir orientación respecto a los actos administrativos relacionados con emergencias de la empresa.</w:t>
      </w:r>
    </w:p>
    <w:p w14:paraId="36E9DC73" w14:textId="77777777" w:rsidR="00AC19DA" w:rsidRPr="00CE41CB" w:rsidRDefault="00AC19DA" w:rsidP="00AC19DA">
      <w:pPr>
        <w:ind w:left="851" w:right="709"/>
        <w:jc w:val="both"/>
        <w:rPr>
          <w:rFonts w:ascii="Verdana" w:hAnsi="Verdana"/>
          <w:sz w:val="20"/>
          <w:szCs w:val="20"/>
        </w:rPr>
      </w:pPr>
    </w:p>
    <w:p w14:paraId="44BAEB4A" w14:textId="77777777" w:rsidR="00AC19DA" w:rsidRPr="00CE41CB" w:rsidRDefault="00AC19DA" w:rsidP="00AC19DA">
      <w:pPr>
        <w:ind w:left="851" w:right="709"/>
        <w:jc w:val="both"/>
        <w:rPr>
          <w:rFonts w:ascii="Verdana" w:hAnsi="Verdana"/>
          <w:sz w:val="20"/>
          <w:szCs w:val="20"/>
        </w:rPr>
      </w:pPr>
      <w:r w:rsidRPr="00CE41CB">
        <w:rPr>
          <w:rFonts w:ascii="Verdana" w:hAnsi="Verdana"/>
          <w:sz w:val="20"/>
          <w:szCs w:val="20"/>
        </w:rPr>
        <w:t>La Ley 80 en su artículo 42 manifiesta que: </w:t>
      </w:r>
      <w:r w:rsidRPr="00CE41CB">
        <w:rPr>
          <w:rFonts w:ascii="Verdana" w:hAnsi="Verdana"/>
          <w:i/>
          <w:iCs/>
          <w:sz w:val="20"/>
          <w:szCs w:val="20"/>
        </w:rPr>
        <w:t>&lt;&lt;</w:t>
      </w:r>
      <w:r w:rsidRPr="00CE41CB">
        <w:rPr>
          <w:rFonts w:ascii="Verdana" w:hAnsi="Verdana"/>
          <w:b/>
          <w:bCs/>
          <w:i/>
          <w:iCs/>
          <w:sz w:val="20"/>
          <w:szCs w:val="20"/>
        </w:rPr>
        <w:t>Del Control de la Contratación de Urgencia.</w:t>
      </w:r>
      <w:r w:rsidRPr="00CE41CB">
        <w:rPr>
          <w:rFonts w:ascii="Verdana" w:hAnsi="Verdana"/>
          <w:i/>
          <w:iCs/>
          <w:sz w:val="20"/>
          <w:szCs w:val="20"/>
        </w:rPr>
        <w:t> Inmediatamente después de celebrados los contratos originados en la urgencia manifiesta, éstos y el acto administrativo que la declaró, junto con el expediente contentivo de los antecedentes administrativos, de la actuación y de las pruebas de los hechos, se enviará al funcionario u organismo que ejerza el control fiscal en la respectiva entidad, el cual deberá pronunciarse dentro de los dos (2) meses siguientes sobre los hechos y circunstancias que determinaron tal declaración.</w:t>
      </w:r>
    </w:p>
    <w:p w14:paraId="51E1429C" w14:textId="77777777" w:rsidR="00AC19DA" w:rsidRPr="00CE41CB" w:rsidRDefault="00AC19DA" w:rsidP="00AC19DA">
      <w:pPr>
        <w:ind w:left="851" w:right="709"/>
        <w:jc w:val="both"/>
        <w:rPr>
          <w:rFonts w:ascii="Verdana" w:hAnsi="Verdana"/>
          <w:sz w:val="20"/>
          <w:szCs w:val="20"/>
        </w:rPr>
      </w:pPr>
      <w:r w:rsidRPr="00CE41CB">
        <w:rPr>
          <w:rFonts w:ascii="Verdana" w:hAnsi="Verdana"/>
          <w:i/>
          <w:iCs/>
          <w:sz w:val="20"/>
          <w:szCs w:val="20"/>
        </w:rPr>
        <w:t>Si fuere procedente, dicho funcionario u organismo solicitará al jefe inmediato del servidor público que celebró los referidos contratos o a la autoridad competente, según el caso, la iniciación de la correspondiente investigación disciplinaria y dispondrá el envío del asunto a los funcionarios competentes para el conocimiento de las otras acciones. El uso indebido de la contratación de urgencia será causal de mala conducta.</w:t>
      </w:r>
    </w:p>
    <w:p w14:paraId="49C53483" w14:textId="77777777" w:rsidR="00AC19DA" w:rsidRPr="00CE41CB" w:rsidRDefault="00AC19DA" w:rsidP="00AC19DA">
      <w:pPr>
        <w:ind w:left="851" w:right="709"/>
        <w:jc w:val="both"/>
        <w:rPr>
          <w:rFonts w:ascii="Verdana" w:hAnsi="Verdana"/>
          <w:sz w:val="20"/>
          <w:szCs w:val="20"/>
        </w:rPr>
      </w:pPr>
      <w:r w:rsidRPr="00CE41CB">
        <w:rPr>
          <w:rFonts w:ascii="Verdana" w:hAnsi="Verdana"/>
          <w:i/>
          <w:iCs/>
          <w:sz w:val="20"/>
          <w:szCs w:val="20"/>
        </w:rPr>
        <w:t>Lo previsto en este artículo se entenderá sin perjuicio de otros mecanismos de control que señale el reglamento para garantizar la adecuada y correcta utilización de la contratación de urgencia.&gt;&gt;</w:t>
      </w:r>
    </w:p>
    <w:p w14:paraId="2D7C5743" w14:textId="77777777" w:rsidR="00AC19DA" w:rsidRPr="00CE41CB" w:rsidRDefault="00AC19DA" w:rsidP="00AC19DA">
      <w:pPr>
        <w:ind w:left="851" w:right="709"/>
        <w:jc w:val="both"/>
        <w:rPr>
          <w:rFonts w:ascii="Verdana" w:hAnsi="Verdana"/>
          <w:sz w:val="20"/>
          <w:szCs w:val="20"/>
        </w:rPr>
      </w:pPr>
      <w:r w:rsidRPr="00CE41CB">
        <w:rPr>
          <w:rFonts w:ascii="Verdana" w:hAnsi="Verdana"/>
          <w:sz w:val="20"/>
          <w:szCs w:val="20"/>
        </w:rPr>
        <w:t>Solicitamos amablemente se nos aclare si este artículo es aplicable a las empresas de servicios públicos o en su defecto quien ejerce el control de la contratación de emergencia, ya que en auditoria (sic) realizada la entidad manifiesta que las emergencias declaradas no son urgencia manifiesta y que no se rigen por lo establecido en el artículo 41 y 42 de la Ley 80 de 1993.  Nosotros como Contraloria General de Caldas, podemos solicitar que estos actos administrativos donde se declaran las emergencias (como lo llaman en la entidad) sean remitidos para su control? (…)”.</w:t>
      </w:r>
    </w:p>
    <w:p w14:paraId="162C7EBB" w14:textId="77777777" w:rsidR="00AC19DA" w:rsidRPr="00647D77" w:rsidRDefault="00AC19DA" w:rsidP="00AC19DA">
      <w:pPr>
        <w:spacing w:after="0" w:line="240" w:lineRule="auto"/>
        <w:ind w:right="709"/>
        <w:jc w:val="both"/>
        <w:rPr>
          <w:rFonts w:ascii="Verdana" w:hAnsi="Verdana"/>
        </w:rPr>
      </w:pPr>
    </w:p>
    <w:p w14:paraId="44069A29" w14:textId="77777777" w:rsidR="00AC19DA" w:rsidRPr="00985EC3" w:rsidRDefault="00AC19DA" w:rsidP="00AC19DA">
      <w:pPr>
        <w:spacing w:after="120" w:line="276" w:lineRule="auto"/>
        <w:ind w:firstLine="709"/>
        <w:jc w:val="both"/>
        <w:rPr>
          <w:rFonts w:ascii="Verdana" w:eastAsia="Calibri" w:hAnsi="Verdana" w:cs="Arial"/>
          <w:color w:val="000000"/>
          <w:szCs w:val="24"/>
          <w:lang w:eastAsia="es-ES_tradnl"/>
        </w:rPr>
      </w:pPr>
      <w:r w:rsidRPr="005644FE">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Pública - </w:t>
      </w:r>
      <w:r w:rsidRPr="005644FE">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w:t>
      </w:r>
      <w:r w:rsidRPr="00F64722">
        <w:rPr>
          <w:rFonts w:ascii="Verdana" w:eastAsia="Calibri" w:hAnsi="Verdana" w:cs="Arial"/>
          <w:color w:val="000000"/>
          <w:lang w:eastAsia="es-ES"/>
        </w:rPr>
        <w:t xml:space="preserve">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w:t>
      </w:r>
      <w:r w:rsidRPr="00985EC3">
        <w:rPr>
          <w:rFonts w:ascii="Verdana" w:eastAsia="Calibri" w:hAnsi="Verdana" w:cs="Arial"/>
          <w:color w:val="000000"/>
          <w:lang w:eastAsia="es-ES"/>
        </w:rPr>
        <w:t xml:space="preserve">asesorías sobre casos puntuales. </w:t>
      </w:r>
    </w:p>
    <w:p w14:paraId="4C54E2A6" w14:textId="77777777" w:rsidR="00AC19DA" w:rsidRPr="00985EC3" w:rsidRDefault="00AC19DA" w:rsidP="00AC19DA">
      <w:pPr>
        <w:spacing w:after="120" w:line="276" w:lineRule="auto"/>
        <w:ind w:firstLine="709"/>
        <w:jc w:val="both"/>
        <w:rPr>
          <w:rFonts w:ascii="Verdana" w:eastAsia="Calibri" w:hAnsi="Verdana" w:cs="Arial"/>
          <w:lang w:eastAsia="es-ES"/>
        </w:rPr>
      </w:pPr>
      <w:r w:rsidRPr="00985EC3">
        <w:rPr>
          <w:rFonts w:ascii="Verdana" w:eastAsia="Calibri" w:hAnsi="Verdana" w:cs="Arial"/>
          <w:color w:val="000000"/>
          <w:lang w:eastAsia="es-ES"/>
        </w:rPr>
        <w:t>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w:t>
      </w:r>
      <w:r>
        <w:rPr>
          <w:rFonts w:ascii="Verdana" w:eastAsia="Calibri" w:hAnsi="Verdana" w:cs="Arial"/>
          <w:color w:val="000000"/>
          <w:lang w:eastAsia="es-ES"/>
        </w:rPr>
        <w:t xml:space="preserve"> a los problemas jurídicos </w:t>
      </w:r>
      <w:r w:rsidRPr="00985EC3">
        <w:rPr>
          <w:rFonts w:ascii="Verdana" w:eastAsia="Calibri" w:hAnsi="Verdana" w:cs="Arial"/>
          <w:color w:val="000000"/>
          <w:lang w:eastAsia="es-ES"/>
        </w:rPr>
        <w:t>de su consulta.</w:t>
      </w:r>
      <w:r w:rsidRPr="00985EC3">
        <w:rPr>
          <w:rFonts w:ascii="Verdana" w:eastAsia="Calibri" w:hAnsi="Verdana" w:cs="Arial"/>
          <w:lang w:eastAsia="es-ES"/>
        </w:rPr>
        <w:t xml:space="preserve">  </w:t>
      </w:r>
    </w:p>
    <w:p w14:paraId="6F87C648" w14:textId="77777777" w:rsidR="00AC19DA" w:rsidRDefault="00AC19DA" w:rsidP="00AC19DA">
      <w:pPr>
        <w:spacing w:after="0" w:line="240" w:lineRule="auto"/>
        <w:jc w:val="both"/>
        <w:rPr>
          <w:rFonts w:ascii="Verdana" w:eastAsia="Calibri" w:hAnsi="Verdana" w:cs="Arial"/>
          <w:b/>
          <w:bCs/>
          <w:lang w:eastAsia="es-ES"/>
        </w:rPr>
      </w:pPr>
    </w:p>
    <w:p w14:paraId="46CE990A" w14:textId="77777777" w:rsidR="00AC19DA" w:rsidRPr="00985EC3" w:rsidRDefault="00AC19DA" w:rsidP="00AC19DA">
      <w:pPr>
        <w:spacing w:after="120" w:line="276" w:lineRule="auto"/>
        <w:jc w:val="both"/>
        <w:rPr>
          <w:rFonts w:ascii="Verdana" w:eastAsia="Calibri" w:hAnsi="Verdana" w:cs="Arial"/>
          <w:lang w:eastAsia="es-ES"/>
        </w:rPr>
      </w:pPr>
      <w:r w:rsidRPr="00985EC3">
        <w:rPr>
          <w:rFonts w:ascii="Verdana" w:eastAsia="Calibri" w:hAnsi="Verdana" w:cs="Arial"/>
          <w:b/>
          <w:bCs/>
          <w:lang w:eastAsia="es-ES"/>
        </w:rPr>
        <w:t xml:space="preserve">1. </w:t>
      </w:r>
      <w:r w:rsidRPr="00985EC3">
        <w:rPr>
          <w:rFonts w:ascii="Verdana" w:eastAsia="Century Gothic" w:hAnsi="Verdana" w:cs="Century Gothic"/>
          <w:b/>
          <w:bCs/>
        </w:rPr>
        <w:t>Problema planteado:</w:t>
      </w:r>
    </w:p>
    <w:p w14:paraId="152CC699" w14:textId="77777777" w:rsidR="00EC24CC" w:rsidRDefault="00AC19DA" w:rsidP="00AC19DA">
      <w:pPr>
        <w:spacing w:after="120" w:line="276" w:lineRule="auto"/>
        <w:jc w:val="both"/>
        <w:rPr>
          <w:rFonts w:ascii="Verdana" w:eastAsia="Calibri" w:hAnsi="Verdana" w:cs="Arial"/>
          <w:color w:val="000000"/>
          <w:lang w:eastAsia="es-ES"/>
        </w:rPr>
      </w:pPr>
      <w:r w:rsidRPr="00985EC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los siguientes</w:t>
      </w:r>
      <w:r w:rsidRPr="00985EC3">
        <w:rPr>
          <w:rFonts w:ascii="Verdana" w:eastAsia="Calibri" w:hAnsi="Verdana" w:cs="Arial"/>
          <w:color w:val="000000"/>
          <w:lang w:eastAsia="es-ES"/>
        </w:rPr>
        <w:t xml:space="preserve"> problema</w:t>
      </w:r>
      <w:r>
        <w:rPr>
          <w:rFonts w:ascii="Verdana" w:eastAsia="Calibri" w:hAnsi="Verdana" w:cs="Arial"/>
          <w:color w:val="000000"/>
          <w:lang w:eastAsia="es-ES"/>
        </w:rPr>
        <w:t>s</w:t>
      </w:r>
      <w:r w:rsidRPr="00985EC3">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985EC3">
        <w:rPr>
          <w:rFonts w:ascii="Verdana" w:eastAsia="Calibri" w:hAnsi="Verdana" w:cs="Arial"/>
          <w:color w:val="000000"/>
          <w:lang w:eastAsia="es-ES"/>
        </w:rPr>
        <w:t xml:space="preserve">: </w:t>
      </w:r>
      <w:r>
        <w:rPr>
          <w:rFonts w:ascii="Verdana" w:eastAsia="Calibri" w:hAnsi="Verdana" w:cs="Arial"/>
          <w:color w:val="000000"/>
          <w:lang w:eastAsia="es-ES"/>
        </w:rPr>
        <w:t xml:space="preserve">i) ¿El artículo 43 de la Ley 80 de 1993 relativo al control de la contratación celebrada con ocasión de la declaratoria de urgencia resulta aplicable a los contratos celebrados por las empresas de servicios públicos? ii) ¿Lo dispuesto en el artículo 66 de la Ley 1523 de 2012 resulta aplicable para los contratos celebrados por las empresas de servicios públicos con ocasión de la declaratoria de urgencia manifiesta? iii) ¿Las entidades de control tienen la facultad de ejercer control fiscal respecto de los contratos celebrados por las empresas de servicios públicos?    </w:t>
      </w:r>
    </w:p>
    <w:p w14:paraId="07BE2A89" w14:textId="0BA35CD3" w:rsidR="00AC19DA" w:rsidRPr="00EC24CC" w:rsidRDefault="00AC19DA" w:rsidP="00AC19DA">
      <w:pPr>
        <w:spacing w:after="120" w:line="276" w:lineRule="auto"/>
        <w:jc w:val="both"/>
        <w:rPr>
          <w:rFonts w:ascii="Verdana" w:eastAsia="Calibri" w:hAnsi="Verdana" w:cs="Arial"/>
          <w:color w:val="000000"/>
          <w:lang w:eastAsia="es-ES"/>
        </w:rPr>
      </w:pPr>
      <w:r w:rsidRPr="00B33011">
        <w:rPr>
          <w:rFonts w:ascii="Verdana" w:eastAsia="Century Gothic" w:hAnsi="Verdana" w:cs="Century Gothic"/>
          <w:b/>
          <w:bCs/>
        </w:rPr>
        <w:t>2. Respuesta:</w:t>
      </w:r>
    </w:p>
    <w:p w14:paraId="25727DC6" w14:textId="77777777" w:rsidR="00AC19DA" w:rsidRPr="00E13B17" w:rsidRDefault="00AC19DA" w:rsidP="00AC19DA">
      <w:pPr>
        <w:spacing w:after="0" w:line="240" w:lineRule="auto"/>
        <w:jc w:val="both"/>
        <w:rPr>
          <w:rFonts w:ascii="Verdana" w:hAnsi="Verdana"/>
        </w:rPr>
      </w:pPr>
    </w:p>
    <w:tbl>
      <w:tblPr>
        <w:tblStyle w:val="Tablaconcuadrcula"/>
        <w:tblW w:w="0" w:type="auto"/>
        <w:tblLook w:val="04A0" w:firstRow="1" w:lastRow="0" w:firstColumn="1" w:lastColumn="0" w:noHBand="0" w:noVBand="1"/>
      </w:tblPr>
      <w:tblGrid>
        <w:gridCol w:w="8828"/>
      </w:tblGrid>
      <w:tr w:rsidR="00AC19DA" w:rsidRPr="005644FE" w14:paraId="0E5A9339" w14:textId="77777777" w:rsidTr="000506E8">
        <w:tc>
          <w:tcPr>
            <w:tcW w:w="8828" w:type="dxa"/>
          </w:tcPr>
          <w:p w14:paraId="344FCAA8" w14:textId="77777777" w:rsidR="00AC19DA" w:rsidRDefault="00AC19DA" w:rsidP="000506E8">
            <w:pPr>
              <w:spacing w:after="120" w:line="276" w:lineRule="auto"/>
              <w:jc w:val="both"/>
              <w:rPr>
                <w:rFonts w:ascii="Verdana" w:eastAsia="Calibri" w:hAnsi="Verdana" w:cs="Arial"/>
                <w:lang w:val="es-ES_tradnl"/>
              </w:rPr>
            </w:pPr>
            <w:r>
              <w:rPr>
                <w:rFonts w:ascii="Verdana" w:eastAsia="Calibri" w:hAnsi="Verdana" w:cs="Arial"/>
                <w:lang w:val="es-ES"/>
              </w:rPr>
              <w:t>i) Las entidades del estado sometidas al Estatuto General de Contratación para efectos de su contratación se rigen por los</w:t>
            </w:r>
            <w:r>
              <w:rPr>
                <w:rFonts w:ascii="Verdana" w:hAnsi="Verdana" w:cs="Arial"/>
                <w:lang w:val="es-ES"/>
              </w:rPr>
              <w:t xml:space="preserve"> </w:t>
            </w:r>
            <w:r w:rsidRPr="00B47324">
              <w:rPr>
                <w:rFonts w:ascii="Verdana" w:hAnsi="Verdana" w:cs="Arial"/>
                <w:lang w:val="es-ES"/>
              </w:rPr>
              <w:t xml:space="preserve">procesos de selección </w:t>
            </w:r>
            <w:r>
              <w:rPr>
                <w:rFonts w:ascii="Verdana" w:hAnsi="Verdana" w:cs="Arial"/>
                <w:lang w:val="es-ES"/>
              </w:rPr>
              <w:t xml:space="preserve">previstos en </w:t>
            </w:r>
            <w:r w:rsidRPr="00B47324">
              <w:rPr>
                <w:rFonts w:ascii="Verdana" w:hAnsi="Verdana" w:cs="Arial"/>
                <w:lang w:val="es-ES"/>
              </w:rPr>
              <w:t>el artículo 2 de la Ley 1150 de 2007.</w:t>
            </w:r>
            <w:r>
              <w:rPr>
                <w:rFonts w:ascii="Verdana" w:hAnsi="Verdana" w:cs="Arial"/>
                <w:lang w:val="es-ES"/>
              </w:rPr>
              <w:t xml:space="preserve"> </w:t>
            </w:r>
            <w:r>
              <w:rPr>
                <w:rFonts w:ascii="Verdana" w:eastAsia="Calibri" w:hAnsi="Verdana" w:cs="Arial"/>
                <w:lang w:val="es-ES"/>
              </w:rPr>
              <w:t>La</w:t>
            </w:r>
            <w:r w:rsidRPr="3683B926">
              <w:rPr>
                <w:rFonts w:ascii="Verdana" w:eastAsia="Calibri" w:hAnsi="Verdana" w:cs="Arial"/>
                <w:lang w:val="es-ES"/>
              </w:rPr>
              <w:t xml:space="preserve"> causal de contratación directa prevista en el literal a) del</w:t>
            </w:r>
            <w:r>
              <w:rPr>
                <w:rFonts w:ascii="Verdana" w:eastAsia="Calibri" w:hAnsi="Verdana" w:cs="Arial"/>
                <w:lang w:val="es-ES"/>
              </w:rPr>
              <w:t xml:space="preserve"> numeral 4 del artículo 2 de la Ley 1150 de 2007 </w:t>
            </w:r>
            <w:r w:rsidRPr="3683B926">
              <w:rPr>
                <w:rFonts w:ascii="Verdana" w:eastAsia="Calibri" w:hAnsi="Verdana" w:cs="Arial"/>
                <w:lang w:val="es-ES"/>
              </w:rPr>
              <w:t>denominada por la ley como “urgencia manifiesta”</w:t>
            </w:r>
            <w:r>
              <w:rPr>
                <w:rFonts w:ascii="Verdana" w:eastAsia="Calibri" w:hAnsi="Verdana" w:cs="Arial"/>
                <w:lang w:val="es-ES"/>
              </w:rPr>
              <w:t xml:space="preserve">, </w:t>
            </w:r>
            <w:r w:rsidRPr="3683B926">
              <w:rPr>
                <w:rFonts w:ascii="Verdana" w:eastAsia="Calibri" w:hAnsi="Verdana" w:cs="Arial"/>
                <w:lang w:val="es-ES"/>
              </w:rPr>
              <w:t xml:space="preserve">debe </w:t>
            </w:r>
            <w:r>
              <w:rPr>
                <w:rFonts w:ascii="Verdana" w:eastAsia="Calibri" w:hAnsi="Verdana" w:cs="Arial"/>
                <w:lang w:val="es-ES"/>
              </w:rPr>
              <w:t xml:space="preserve">ser analizada </w:t>
            </w:r>
            <w:r w:rsidRPr="3683B926">
              <w:rPr>
                <w:rFonts w:ascii="Verdana" w:eastAsia="Calibri" w:hAnsi="Verdana" w:cs="Arial"/>
                <w:lang w:val="es-ES"/>
              </w:rPr>
              <w:t xml:space="preserve">en concordancia con </w:t>
            </w:r>
            <w:r>
              <w:rPr>
                <w:rFonts w:ascii="Verdana" w:eastAsia="Calibri" w:hAnsi="Verdana" w:cs="Arial"/>
                <w:lang w:val="es-ES"/>
              </w:rPr>
              <w:t>el artículo</w:t>
            </w:r>
            <w:r w:rsidRPr="3683B926">
              <w:rPr>
                <w:rFonts w:ascii="Verdana" w:eastAsia="Calibri" w:hAnsi="Verdana" w:cs="Arial"/>
                <w:lang w:val="es-ES"/>
              </w:rPr>
              <w:t xml:space="preserve"> 42 de la Ley 80 de 1993, que define el concepto y establece el procedimiento para su declaratoria, así como para la celebración de los contratos que se derivan de aquella. </w:t>
            </w:r>
            <w:r w:rsidRPr="00BE5FE3">
              <w:rPr>
                <w:rFonts w:ascii="Verdana" w:eastAsia="Calibri" w:hAnsi="Verdana" w:cs="Arial"/>
                <w:lang w:val="es-ES_tradnl"/>
              </w:rPr>
              <w:t xml:space="preserve">En esta medida, el precitado artículo 42 del </w:t>
            </w:r>
            <w:r w:rsidRPr="00BE5FE3">
              <w:rPr>
                <w:rFonts w:ascii="Verdana" w:eastAsia="Calibri" w:hAnsi="Verdana" w:cs="Arial"/>
              </w:rPr>
              <w:t>Estatuto General de Contratación</w:t>
            </w:r>
            <w:r w:rsidRPr="00BE5FE3">
              <w:rPr>
                <w:rFonts w:ascii="Verdana" w:eastAsia="Calibri" w:hAnsi="Verdana" w:cs="Arial"/>
                <w:lang w:val="es-ES_tradnl"/>
              </w:rPr>
              <w:t xml:space="preserve"> contempla cuatro (4) circunstancias o hechos que configuran la urgencia manifiesta, si así lo declara la entidad: i) cuando la continuidad del servicio exige el suministro de bienes, o la prestación de servicios, o la ejecución de obras en el inmediato futuro; ii) cuando se presenten situaciones relacionadas con los estados de excepción; iii) cuando se trate de conjurar situaciones excepcionales relacionadas con hechos de calamidad o constitutivos de fuerza mayor o desastre que demanden actuaciones inmediatas; y iv) en general, cuando se trate de situaciones similares que imposibiliten acudir a los procedimientos de selección o concurso públicos.</w:t>
            </w:r>
            <w:r>
              <w:rPr>
                <w:rFonts w:ascii="Verdana" w:eastAsia="Calibri" w:hAnsi="Verdana" w:cs="Arial"/>
                <w:lang w:val="es-ES_tradnl"/>
              </w:rPr>
              <w:t xml:space="preserve"> En este contexto, las normas relativas a la declaratoria de urgencia manifiesta contenidas en el EGCAP especialmente el artículo 42 y 43 son aplicables a las entidades definidas en el artículo 2 literal a y b del mismo estatuto.</w:t>
            </w:r>
          </w:p>
          <w:p w14:paraId="741E4B92" w14:textId="77777777" w:rsidR="00AC19DA" w:rsidRPr="00C43757" w:rsidRDefault="00AC19DA" w:rsidP="000506E8">
            <w:pPr>
              <w:widowControl w:val="0"/>
              <w:spacing w:after="120" w:line="276" w:lineRule="auto"/>
              <w:ind w:firstLine="708"/>
              <w:jc w:val="both"/>
              <w:rPr>
                <w:rFonts w:ascii="Verdana" w:eastAsia="Arial" w:hAnsi="Verdana" w:cs="Arial"/>
                <w:lang w:val="es-ES" w:eastAsia="es-CO"/>
              </w:rPr>
            </w:pPr>
            <w:r>
              <w:rPr>
                <w:rFonts w:ascii="Verdana" w:eastAsia="Calibri" w:hAnsi="Verdana" w:cs="Arial"/>
                <w:lang w:val="es-ES_tradnl"/>
              </w:rPr>
              <w:t xml:space="preserve">Ahora bien, </w:t>
            </w:r>
            <w:r w:rsidRPr="0027428E">
              <w:rPr>
                <w:rFonts w:ascii="Verdana" w:eastAsia="Calibri" w:hAnsi="Verdana" w:cs="Arial"/>
                <w:lang w:val="es-ES"/>
              </w:rPr>
              <w:t>e</w:t>
            </w:r>
            <w:r w:rsidRPr="0027428E">
              <w:rPr>
                <w:rFonts w:ascii="Verdana" w:eastAsia="Calibri" w:hAnsi="Verdana" w:cs="Arial"/>
                <w:bCs/>
                <w:lang w:val="es-MX"/>
              </w:rPr>
              <w:t xml:space="preserve">l inciso segundo del 365 constitucional dispone que “Los servicios públicos estarán sometidos al régimen jurídico que fije la ley, podrán ser prestados por el Estado, directa o indirectamente, por comunidades organizadas, o por particulares […]”. </w:t>
            </w:r>
            <w:r>
              <w:rPr>
                <w:rFonts w:ascii="Verdana" w:eastAsia="Calibri" w:hAnsi="Verdana" w:cs="Arial"/>
                <w:bCs/>
                <w:lang w:val="es-MX"/>
              </w:rPr>
              <w:t xml:space="preserve">Por su parte, </w:t>
            </w:r>
            <w:r>
              <w:rPr>
                <w:rFonts w:ascii="Verdana" w:eastAsia="Calibri" w:hAnsi="Verdana" w:cs="Arial"/>
                <w:lang w:val="es-ES_tradnl"/>
              </w:rPr>
              <w:t>e</w:t>
            </w:r>
            <w:r w:rsidRPr="00C43757">
              <w:rPr>
                <w:rFonts w:ascii="Verdana" w:eastAsia="Times New Roman" w:hAnsi="Verdana" w:cs="Arial"/>
                <w:bCs/>
                <w:lang w:val="es-ES" w:eastAsia="x-none"/>
              </w:rPr>
              <w:t>l artículo 14 de la Ley 142 de 1994 contiene las definiciones para la correcta aplicación e interpretación del régimen de servicios públicos domiciliarios. Esta norma define los distintos tipos de Empresas de Servicios Públicos</w:t>
            </w:r>
            <w:r>
              <w:rPr>
                <w:rFonts w:ascii="Verdana" w:eastAsia="Times New Roman" w:hAnsi="Verdana" w:cs="Arial"/>
                <w:bCs/>
                <w:lang w:val="es-ES" w:eastAsia="x-none"/>
              </w:rPr>
              <w:t xml:space="preserve">. </w:t>
            </w:r>
            <w:r w:rsidRPr="00C43757">
              <w:rPr>
                <w:rFonts w:ascii="Verdana" w:eastAsia="Arial" w:hAnsi="Verdana" w:cs="Arial"/>
                <w:lang w:val="es-ES" w:eastAsia="es-CO"/>
              </w:rPr>
              <w:t>A su turno, el artículo 17 de la ley citada señala que “las empresas de servicios públicos son sociedades por acciones cuyo objeto es la prestación de los servicios públicos de que trata esta ley”. Lo cual significa que, en el evento de constituirse un prestador de estos servicios bajo la modalidad del numeral 1, del artículo 15, esta deberá conformarse bajo la forma societaria de una sociedad por acciones, respecto de las cuales existen tres tipos: i) sociedad anónima, ii) sociedad en comandita por acciones, o iii) sociedad por acciones simplificada, ya que la legislación vigente así las tipifica.</w:t>
            </w:r>
          </w:p>
          <w:p w14:paraId="49461740" w14:textId="77777777" w:rsidR="00AC19DA" w:rsidRDefault="00AC19DA" w:rsidP="000506E8">
            <w:pPr>
              <w:spacing w:after="120" w:line="276" w:lineRule="auto"/>
              <w:ind w:firstLine="709"/>
              <w:jc w:val="both"/>
              <w:rPr>
                <w:rFonts w:ascii="Verdana" w:eastAsia="Calibri" w:hAnsi="Verdana" w:cs="Arial"/>
                <w:lang w:val="es-ES_tradnl"/>
              </w:rPr>
            </w:pPr>
            <w:r w:rsidRPr="00754457">
              <w:rPr>
                <w:rFonts w:ascii="Verdana" w:eastAsia="Calibri" w:hAnsi="Verdana" w:cs="Arial"/>
                <w:bCs/>
                <w:lang w:val="es-ES"/>
              </w:rPr>
              <w:t xml:space="preserve">Adicionalmente, las Empresas Prestadoras de Servicios Públicos (oficial, mixta o privada) tienen la naturaleza jurídica de empresas que pertenecen a la </w:t>
            </w:r>
            <w:r w:rsidRPr="00754457">
              <w:rPr>
                <w:rFonts w:ascii="Verdana" w:eastAsia="Calibri" w:hAnsi="Verdana" w:cs="Arial"/>
                <w:bCs/>
                <w:i/>
                <w:iCs/>
                <w:lang w:val="es-ES"/>
              </w:rPr>
              <w:t>rama ejecutiva</w:t>
            </w:r>
            <w:r w:rsidRPr="00754457">
              <w:rPr>
                <w:rFonts w:ascii="Verdana" w:eastAsia="Calibri" w:hAnsi="Verdana" w:cs="Arial"/>
                <w:bCs/>
                <w:lang w:val="es-ES"/>
              </w:rPr>
              <w:t xml:space="preserve"> del poder público. El literal d) del artículo 38 de la Ley 489 de 1998 y la posición de la Corte Constitucional así lo señala.</w:t>
            </w:r>
          </w:p>
          <w:p w14:paraId="20F6CBCB" w14:textId="77777777" w:rsidR="00AC19DA" w:rsidRDefault="00AC19DA" w:rsidP="000506E8">
            <w:pPr>
              <w:spacing w:after="120" w:line="276" w:lineRule="auto"/>
              <w:ind w:firstLine="709"/>
              <w:jc w:val="both"/>
              <w:rPr>
                <w:rFonts w:ascii="Verdana" w:hAnsi="Verdana" w:cs="Arial"/>
                <w:bCs/>
                <w:lang w:val="es-ES"/>
              </w:rPr>
            </w:pPr>
            <w:r w:rsidRPr="00C43757">
              <w:rPr>
                <w:rFonts w:ascii="Verdana" w:eastAsia="Arial" w:hAnsi="Verdana" w:cs="Arial"/>
                <w:lang w:val="es-ES" w:eastAsia="es-CO"/>
              </w:rPr>
              <w:t xml:space="preserve">En relación con el régimen de contratación, </w:t>
            </w:r>
            <w:r w:rsidRPr="00C43757">
              <w:rPr>
                <w:rFonts w:ascii="Verdana" w:eastAsia="Calibri" w:hAnsi="Verdana" w:cs="Arial"/>
                <w:color w:val="000000"/>
                <w:szCs w:val="24"/>
                <w:lang w:val="es-ES" w:eastAsia="es-ES_tradnl"/>
              </w:rPr>
              <w:t>el artículo 31 de la Ley 142 de 1994, modificado por el artículo 3 de la Ley 689 de 2001, dispone que</w:t>
            </w:r>
            <w:r w:rsidRPr="00C43757">
              <w:rPr>
                <w:rFonts w:ascii="Verdana" w:eastAsia="Calibri" w:hAnsi="Verdana" w:cs="Arial"/>
                <w:color w:val="000000"/>
                <w:bdr w:val="none" w:sz="0" w:space="0" w:color="auto" w:frame="1"/>
                <w:lang w:val="es-ES"/>
              </w:rPr>
              <w:t xml:space="preserve"> los contratos que celebren las Entidades Estatales que prestan los Servicios Públicos Domiciliarios </w:t>
            </w:r>
            <w:r w:rsidRPr="00C43757">
              <w:rPr>
                <w:rFonts w:ascii="Verdana" w:eastAsia="Calibri" w:hAnsi="Verdana" w:cs="Arial"/>
                <w:i/>
                <w:color w:val="000000"/>
                <w:bdr w:val="none" w:sz="0" w:space="0" w:color="auto" w:frame="1"/>
                <w:lang w:val="es-ES"/>
              </w:rPr>
              <w:t>“no estarán sujetos a las disposiciones del Estatuto General de Contratación de la Administración Pública, salvo en lo que la presente ley disponga otra cosa”</w:t>
            </w:r>
            <w:r w:rsidRPr="00C43757">
              <w:rPr>
                <w:rFonts w:ascii="Verdana" w:eastAsia="Calibri" w:hAnsi="Verdana" w:cs="Arial"/>
                <w:color w:val="000000"/>
                <w:szCs w:val="24"/>
                <w:lang w:val="es-ES" w:eastAsia="es-ES_tradnl"/>
              </w:rPr>
              <w:t xml:space="preserve">. </w:t>
            </w:r>
            <w:r w:rsidRPr="00C43757">
              <w:rPr>
                <w:rFonts w:ascii="Verdana" w:hAnsi="Verdana" w:cs="Arial"/>
                <w:bCs/>
                <w:lang w:val="es-ES"/>
              </w:rPr>
              <w:t xml:space="preserve">Asimismo, el inciso primero del artículo 32 precisa lo siguiente: “Salvo en cuanto la Constitución Política o esta Ley dispongan expresamente lo contrario, la constitución, y los actos de todas las </w:t>
            </w:r>
            <w:r w:rsidRPr="00C43757">
              <w:rPr>
                <w:rFonts w:ascii="Verdana" w:hAnsi="Verdana" w:cs="Arial"/>
                <w:bCs/>
                <w:i/>
                <w:iCs/>
                <w:lang w:val="es-ES"/>
              </w:rPr>
              <w:t>empresas de servicios públicos</w:t>
            </w:r>
            <w:r w:rsidRPr="00C43757">
              <w:rPr>
                <w:rFonts w:ascii="Verdana" w:hAnsi="Verdana" w:cs="Arial"/>
                <w:bCs/>
                <w:lang w:val="es-ES"/>
              </w:rPr>
              <w:t>, así como los requeridos para la administración y el ejercicio de los derechos de todas las personas que sean socias de ellas, en lo no dispuesto en esta Ley, se regirán exclusivamente por las reglas del derecho privado</w:t>
            </w:r>
            <w:r>
              <w:rPr>
                <w:rFonts w:ascii="Verdana" w:hAnsi="Verdana" w:cs="Arial"/>
                <w:bCs/>
                <w:lang w:val="es-ES"/>
              </w:rPr>
              <w:t>.</w:t>
            </w:r>
          </w:p>
          <w:p w14:paraId="36F4E08C" w14:textId="77777777" w:rsidR="00AC19DA" w:rsidRDefault="00AC19DA" w:rsidP="000506E8">
            <w:pPr>
              <w:spacing w:after="120" w:line="276" w:lineRule="auto"/>
              <w:ind w:firstLine="709"/>
              <w:jc w:val="both"/>
              <w:rPr>
                <w:rFonts w:ascii="Verdana" w:eastAsia="Calibri" w:hAnsi="Verdana" w:cs="Arial"/>
                <w:color w:val="000000"/>
                <w:szCs w:val="24"/>
                <w:lang w:val="es-ES" w:eastAsia="es-ES_tradnl"/>
              </w:rPr>
            </w:pPr>
            <w:r w:rsidRPr="00C43757">
              <w:rPr>
                <w:rFonts w:ascii="Verdana" w:eastAsia="Times New Roman" w:hAnsi="Verdana" w:cs="Arial"/>
                <w:lang w:val="es-ES" w:eastAsia="es-ES_tradnl"/>
                <w14:ligatures w14:val="standardContextual"/>
              </w:rPr>
              <w:t>Así, la actividad contractual de las Empresas de Servicios Públicos se sujeta a las disposiciones del derecho privado, salvo en aquellos casos en que la normativa (Constitución Política, Ley 142 de 1994 u otras normas especiales) someta dicha actuación a</w:t>
            </w:r>
            <w:r w:rsidRPr="00C43757">
              <w:rPr>
                <w:rFonts w:ascii="Verdana" w:eastAsia="Calibri" w:hAnsi="Verdana" w:cs="Arial"/>
                <w:color w:val="000000"/>
                <w:lang w:val="es-ES" w:eastAsia="es-ES"/>
              </w:rPr>
              <w:t xml:space="preserve">l Estatuto General de Contratación de la Administración Pública. Adicionalmente, su actuar se encuentra regido por </w:t>
            </w:r>
            <w:r w:rsidRPr="00C43757">
              <w:rPr>
                <w:rFonts w:ascii="Verdana" w:eastAsia="Calibri" w:hAnsi="Verdana" w:cs="Arial"/>
                <w:color w:val="000000"/>
                <w:szCs w:val="24"/>
                <w:lang w:val="es-ES" w:eastAsia="es-ES_tradnl"/>
              </w:rPr>
              <w:t>los principios de la función administrativa y de la gestión fiscal, previstos en los artículos 209 y 267 de la Constitución, toda vez que así lo dispone el artículo 13 de la Ley 1150 de 2007</w:t>
            </w:r>
            <w:r>
              <w:rPr>
                <w:rFonts w:ascii="Verdana" w:eastAsia="Calibri" w:hAnsi="Verdana" w:cs="Arial"/>
                <w:color w:val="000000"/>
                <w:szCs w:val="24"/>
                <w:lang w:val="es-ES" w:eastAsia="es-ES_tradnl"/>
              </w:rPr>
              <w:t>.</w:t>
            </w:r>
          </w:p>
          <w:p w14:paraId="6B571E5E" w14:textId="77777777" w:rsidR="00AC19DA" w:rsidRDefault="00AC19DA" w:rsidP="000506E8">
            <w:pPr>
              <w:spacing w:after="120" w:line="276" w:lineRule="auto"/>
              <w:ind w:firstLine="709"/>
              <w:jc w:val="both"/>
              <w:rPr>
                <w:rFonts w:ascii="Verdana" w:eastAsia="Calibri" w:hAnsi="Verdana" w:cs="Arial"/>
                <w:lang w:val="es-ES"/>
              </w:rPr>
            </w:pPr>
            <w:r w:rsidRPr="00C43757">
              <w:rPr>
                <w:rFonts w:ascii="Verdana" w:hAnsi="Verdana" w:cs="Arial"/>
                <w:lang w:val="es-ES"/>
              </w:rPr>
              <w:t>Pese a que</w:t>
            </w:r>
            <w:r w:rsidRPr="00C43757">
              <w:rPr>
                <w:rFonts w:ascii="Verdana" w:eastAsia="Calibri" w:hAnsi="Verdana" w:cs="Arial"/>
                <w:lang w:val="es-ES"/>
              </w:rPr>
              <w:t xml:space="preserve"> las entidades de régimen especial están habilitadas para aplicar normas diferentes a las establecidas en el EGCAP, cumplen una finalidad pública y utilizan recursos públicos para lograrlo. Por ello, no son ajenas a los principios de la función administrativa y de la gestión fiscal, contenidos en los artículos 209 y 267 de la Constitución Política, respectivamente, entre otras reglas dispuestas en la normativa de contratación estatal, que son transversales a todas las entidades, sin importar su régimen contractual</w:t>
            </w:r>
            <w:r>
              <w:rPr>
                <w:rFonts w:ascii="Verdana" w:eastAsia="Calibri" w:hAnsi="Verdana" w:cs="Arial"/>
                <w:lang w:val="es-ES"/>
              </w:rPr>
              <w:t>.</w:t>
            </w:r>
          </w:p>
          <w:p w14:paraId="0834EF3E" w14:textId="77777777" w:rsidR="00AC19DA" w:rsidRDefault="00AC19DA" w:rsidP="000506E8">
            <w:pPr>
              <w:spacing w:after="120" w:line="276" w:lineRule="auto"/>
              <w:ind w:firstLine="708"/>
              <w:jc w:val="both"/>
              <w:rPr>
                <w:rFonts w:ascii="Verdana" w:hAnsi="Verdana" w:cs="Arial"/>
                <w:color w:val="000000" w:themeColor="text1"/>
                <w:lang w:val="es-ES"/>
              </w:rPr>
            </w:pPr>
            <w:r>
              <w:rPr>
                <w:rFonts w:ascii="Verdana" w:eastAsia="Calibri" w:hAnsi="Verdana" w:cs="Arial"/>
                <w:lang w:val="es-ES"/>
              </w:rPr>
              <w:t>No obstante lo anterior, u</w:t>
            </w:r>
            <w:r w:rsidRPr="00C43757">
              <w:rPr>
                <w:rFonts w:ascii="Verdana" w:hAnsi="Verdana" w:cs="Arial"/>
                <w:color w:val="000000" w:themeColor="text1"/>
                <w:lang w:val="es-ES"/>
              </w:rPr>
              <w:t>na de las reglas derivada de las normas de derecho público que irradian el régimen jurídico de las entidades exceptuadas del EGCAP, consiste en el deber de expedir un manual de contratación. Este documento debe concretar los principios de la función administrativa y de la gestión fiscal, así como determinar la manera concreta en que dichos principios orientarán el derecho privado en el ejercicio de la actividad contractual. De esta manera, los potenciales oferentes podrán identificar las reglas que aplica la entidad en sus procesos contractuales.</w:t>
            </w:r>
          </w:p>
          <w:p w14:paraId="71CAD0FF" w14:textId="77777777" w:rsidR="00AC19DA" w:rsidRDefault="00AC19DA" w:rsidP="000506E8">
            <w:pPr>
              <w:spacing w:after="120" w:line="276" w:lineRule="auto"/>
              <w:jc w:val="both"/>
              <w:rPr>
                <w:rFonts w:ascii="Verdana" w:hAnsi="Verdana" w:cs="Arial"/>
                <w:color w:val="000000" w:themeColor="text1"/>
                <w:lang w:val="es-ES"/>
              </w:rPr>
            </w:pPr>
            <w:r>
              <w:rPr>
                <w:rFonts w:ascii="Verdana" w:hAnsi="Verdana" w:cs="Arial"/>
                <w:color w:val="000000" w:themeColor="text1"/>
                <w:lang w:val="es-ES"/>
              </w:rPr>
              <w:t xml:space="preserve">ii) Otro análisis que debe efectuarse con ocasión al control fiscal de los contratos que celebren las empresas de servicios públicos domiciliarios en virtud de la declaratoria de urgencia manifiesta corresponde a lo dispuesto en el artículo 66 de la Ley 1523 de 2012. </w:t>
            </w:r>
          </w:p>
          <w:p w14:paraId="0CC0BEAD" w14:textId="77777777" w:rsidR="00AC19DA" w:rsidRDefault="00AC19DA" w:rsidP="000506E8">
            <w:pPr>
              <w:spacing w:after="120" w:line="276" w:lineRule="auto"/>
              <w:ind w:firstLine="709"/>
              <w:jc w:val="both"/>
              <w:rPr>
                <w:rFonts w:ascii="Verdana" w:eastAsia="Calibri" w:hAnsi="Verdana" w:cs="Arial"/>
              </w:rPr>
            </w:pPr>
            <w:r>
              <w:rPr>
                <w:rFonts w:ascii="Verdana" w:eastAsia="Calibri" w:hAnsi="Verdana" w:cs="Arial"/>
                <w:lang w:val="es-ES"/>
              </w:rPr>
              <w:t xml:space="preserve">Según esta norma, </w:t>
            </w:r>
            <w:r w:rsidRPr="009D13DD">
              <w:rPr>
                <w:rFonts w:ascii="Verdana" w:eastAsia="Calibri" w:hAnsi="Verdana" w:cs="Arial"/>
              </w:rPr>
              <w:t>los contratos que celebre</w:t>
            </w:r>
            <w:r>
              <w:rPr>
                <w:rFonts w:ascii="Verdana" w:eastAsia="Calibri" w:hAnsi="Verdana" w:cs="Arial"/>
              </w:rPr>
              <w:t>n:</w:t>
            </w:r>
            <w:r w:rsidRPr="009D13DD">
              <w:rPr>
                <w:rFonts w:ascii="Verdana" w:eastAsia="Calibri" w:hAnsi="Verdana" w:cs="Arial"/>
              </w:rPr>
              <w:t xml:space="preserve"> </w:t>
            </w:r>
            <w:r>
              <w:rPr>
                <w:rFonts w:ascii="Verdana" w:eastAsia="Calibri" w:hAnsi="Verdana" w:cs="Arial"/>
              </w:rPr>
              <w:t xml:space="preserve">a) </w:t>
            </w:r>
            <w:r w:rsidRPr="009D13DD">
              <w:rPr>
                <w:rFonts w:ascii="Verdana" w:eastAsia="Calibri" w:hAnsi="Verdana" w:cs="Arial"/>
              </w:rPr>
              <w:t>la sociedad fiduciaria para la ejecución de los bienes, derechos e intereses del Fondo Nacional de Gestión del Riesgo</w:t>
            </w:r>
            <w:r>
              <w:rPr>
                <w:rFonts w:ascii="Verdana" w:eastAsia="Calibri" w:hAnsi="Verdana" w:cs="Arial"/>
              </w:rPr>
              <w:t>;</w:t>
            </w:r>
            <w:r w:rsidRPr="009D13DD">
              <w:rPr>
                <w:rFonts w:ascii="Verdana" w:eastAsia="Calibri" w:hAnsi="Verdana" w:cs="Arial"/>
              </w:rPr>
              <w:t xml:space="preserve"> </w:t>
            </w:r>
            <w:r>
              <w:rPr>
                <w:rFonts w:ascii="Verdana" w:eastAsia="Calibri" w:hAnsi="Verdana" w:cs="Arial"/>
              </w:rPr>
              <w:t xml:space="preserve">b) </w:t>
            </w:r>
            <w:r w:rsidRPr="009D13DD">
              <w:rPr>
                <w:rFonts w:ascii="Verdana" w:eastAsia="Calibri" w:hAnsi="Verdana" w:cs="Arial"/>
              </w:rPr>
              <w:t>las entidades ejecutoras que reciban recursos de este fondo</w:t>
            </w:r>
            <w:r>
              <w:rPr>
                <w:rFonts w:ascii="Verdana" w:eastAsia="Calibri" w:hAnsi="Verdana" w:cs="Arial"/>
              </w:rPr>
              <w:t>; o</w:t>
            </w:r>
            <w:r w:rsidRPr="009D13DD">
              <w:rPr>
                <w:rFonts w:ascii="Verdana" w:eastAsia="Calibri" w:hAnsi="Verdana" w:cs="Arial"/>
              </w:rPr>
              <w:t xml:space="preserve"> </w:t>
            </w:r>
            <w:r>
              <w:rPr>
                <w:rFonts w:ascii="Verdana" w:eastAsia="Calibri" w:hAnsi="Verdana" w:cs="Arial"/>
              </w:rPr>
              <w:t xml:space="preserve">c) </w:t>
            </w:r>
            <w:r w:rsidRPr="009D13DD">
              <w:rPr>
                <w:rFonts w:ascii="Verdana" w:eastAsia="Calibri" w:hAnsi="Verdana" w:cs="Arial"/>
              </w:rPr>
              <w:t xml:space="preserve">las entidades territoriales y sus fondos de gestión del riesgo, </w:t>
            </w:r>
            <w:r>
              <w:rPr>
                <w:rFonts w:ascii="Verdana" w:eastAsia="Calibri" w:hAnsi="Verdana" w:cs="Arial"/>
              </w:rPr>
              <w:t xml:space="preserve">que se encuentren relacionados </w:t>
            </w:r>
            <w:r w:rsidRPr="009D13DD">
              <w:rPr>
                <w:rFonts w:ascii="Verdana" w:eastAsia="Calibri" w:hAnsi="Verdana" w:cs="Arial"/>
              </w:rPr>
              <w:t xml:space="preserve">directamente </w:t>
            </w:r>
            <w:r>
              <w:rPr>
                <w:rFonts w:ascii="Verdana" w:eastAsia="Calibri" w:hAnsi="Verdana" w:cs="Arial"/>
              </w:rPr>
              <w:t xml:space="preserve">con </w:t>
            </w:r>
            <w:r w:rsidRPr="009D13DD">
              <w:rPr>
                <w:rFonts w:ascii="Verdana" w:eastAsia="Calibri" w:hAnsi="Verdana" w:cs="Arial"/>
              </w:rPr>
              <w:t xml:space="preserve">actividades de respuesta, rehabilitación y reconstrucción de las zonas declaradas en situación de desastre o calamidad pública, se someterán a los requisitos y formalidades que exige la ley para la contratación </w:t>
            </w:r>
            <w:r w:rsidRPr="0076368A">
              <w:rPr>
                <w:rFonts w:ascii="Verdana" w:eastAsia="Calibri" w:hAnsi="Verdana" w:cs="Arial"/>
                <w:i/>
                <w:iCs/>
              </w:rPr>
              <w:t>entre particulares</w:t>
            </w:r>
            <w:r>
              <w:rPr>
                <w:rFonts w:ascii="Verdana" w:eastAsia="Calibri" w:hAnsi="Verdana" w:cs="Arial"/>
              </w:rPr>
              <w:t xml:space="preserve">. </w:t>
            </w:r>
          </w:p>
          <w:p w14:paraId="595FA606" w14:textId="77777777" w:rsidR="00AC19DA" w:rsidRDefault="00AC19DA" w:rsidP="000506E8">
            <w:pPr>
              <w:spacing w:after="120" w:line="276" w:lineRule="auto"/>
              <w:ind w:firstLine="708"/>
              <w:jc w:val="both"/>
              <w:rPr>
                <w:rFonts w:ascii="Verdana" w:eastAsia="Calibri" w:hAnsi="Verdana" w:cs="Arial"/>
              </w:rPr>
            </w:pPr>
            <w:r>
              <w:rPr>
                <w:rFonts w:ascii="Verdana" w:eastAsia="Calibri" w:hAnsi="Verdana" w:cs="Arial"/>
              </w:rPr>
              <w:t xml:space="preserve">De esta manera, el artículo crea un régimen de contratación exceptuado del Estatuto General de Contratación de la Administración Pública. En cualquier caso, la norma aclara que este </w:t>
            </w:r>
            <w:r w:rsidRPr="009D13DD">
              <w:rPr>
                <w:rFonts w:ascii="Verdana" w:eastAsia="Calibri" w:hAnsi="Verdana" w:cs="Arial"/>
              </w:rPr>
              <w:t xml:space="preserve">régimen especial </w:t>
            </w:r>
            <w:r>
              <w:rPr>
                <w:rFonts w:ascii="Verdana" w:eastAsia="Calibri" w:hAnsi="Verdana" w:cs="Arial"/>
              </w:rPr>
              <w:t xml:space="preserve">se rige por lo dispuesto en el artículo </w:t>
            </w:r>
            <w:r w:rsidRPr="009D13DD">
              <w:rPr>
                <w:rFonts w:ascii="Verdana" w:eastAsia="Calibri" w:hAnsi="Verdana" w:cs="Arial"/>
              </w:rPr>
              <w:t>13 de la Ley 1150 de 2007,</w:t>
            </w:r>
            <w:r>
              <w:rPr>
                <w:rFonts w:ascii="Verdana" w:eastAsia="Calibri" w:hAnsi="Verdana" w:cs="Arial"/>
              </w:rPr>
              <w:t xml:space="preserve"> es decir, que las entidades contratantes deberán cumplir con los principios de la </w:t>
            </w:r>
            <w:r w:rsidRPr="00C95372">
              <w:rPr>
                <w:rFonts w:ascii="Verdana" w:eastAsia="Calibri" w:hAnsi="Verdana" w:cs="Arial"/>
              </w:rPr>
              <w:t>función administrativa y de la gestión fiscal de que tratan los artículos 209 y </w:t>
            </w:r>
            <w:r w:rsidRPr="00BD1E80">
              <w:rPr>
                <w:rFonts w:ascii="Verdana" w:eastAsia="Calibri" w:hAnsi="Verdana" w:cs="Arial"/>
              </w:rPr>
              <w:t>267</w:t>
            </w:r>
            <w:r w:rsidRPr="00C95372">
              <w:rPr>
                <w:rFonts w:ascii="Verdana" w:eastAsia="Calibri" w:hAnsi="Verdana" w:cs="Arial"/>
              </w:rPr>
              <w:t> de la Constitución Política, y estarán sometidas al régimen de inhabilidades e incompatibilidades previsto para la contratación estatal.</w:t>
            </w:r>
            <w:r>
              <w:rPr>
                <w:rFonts w:ascii="Verdana" w:eastAsia="Calibri" w:hAnsi="Verdana" w:cs="Arial"/>
              </w:rPr>
              <w:t xml:space="preserve"> Adicionalmente, el legislador otorgó a las entidades allí señaladas la capacidad de incorporar</w:t>
            </w:r>
            <w:r w:rsidRPr="009D13DD">
              <w:rPr>
                <w:rFonts w:ascii="Verdana" w:eastAsia="Calibri" w:hAnsi="Verdana" w:cs="Arial"/>
              </w:rPr>
              <w:t xml:space="preserve"> cláusulas excepcionales de conformidad con lo dispuesto en los artículos 14 a 18 de la Ley 80 de 1993.</w:t>
            </w:r>
          </w:p>
          <w:p w14:paraId="45711057" w14:textId="77777777" w:rsidR="00AC19DA" w:rsidRDefault="00AC19DA" w:rsidP="000506E8">
            <w:pPr>
              <w:spacing w:after="120" w:line="276" w:lineRule="auto"/>
              <w:ind w:firstLine="708"/>
              <w:jc w:val="both"/>
              <w:rPr>
                <w:rFonts w:ascii="Verdana" w:eastAsia="Calibri" w:hAnsi="Verdana" w:cs="Arial"/>
                <w:lang w:val="es-ES"/>
              </w:rPr>
            </w:pPr>
            <w:r>
              <w:rPr>
                <w:rFonts w:ascii="Verdana" w:eastAsia="Calibri" w:hAnsi="Verdana" w:cs="Arial"/>
              </w:rPr>
              <w:t xml:space="preserve">Con base en lo anterior, en estos casos </w:t>
            </w:r>
            <w:r w:rsidRPr="66443382">
              <w:rPr>
                <w:rFonts w:ascii="Verdana" w:eastAsia="Calibri" w:hAnsi="Verdana" w:cs="Arial"/>
                <w:lang w:val="es-ES"/>
              </w:rPr>
              <w:t xml:space="preserve">basta </w:t>
            </w:r>
            <w:r>
              <w:rPr>
                <w:rFonts w:ascii="Verdana" w:eastAsia="Calibri" w:hAnsi="Verdana" w:cs="Arial"/>
                <w:lang w:val="es-ES"/>
              </w:rPr>
              <w:t>la declaración de l</w:t>
            </w:r>
            <w:r w:rsidRPr="66443382">
              <w:rPr>
                <w:rFonts w:ascii="Verdana" w:eastAsia="Calibri" w:hAnsi="Verdana" w:cs="Arial"/>
                <w:lang w:val="es-ES"/>
              </w:rPr>
              <w:t>a situación de desastre o de calamidad pública para</w:t>
            </w:r>
            <w:r>
              <w:rPr>
                <w:rFonts w:ascii="Verdana" w:eastAsia="Calibri" w:hAnsi="Verdana" w:cs="Arial"/>
                <w:lang w:val="es-ES"/>
              </w:rPr>
              <w:t xml:space="preserve"> que las entidades señaladas en la norma queden autorizadas para aplicar el régimen especial de contratación. En cualquier caso, los contratos que las entidades territoriales suscriban bajo este régimen estarán sometidos al control fiscal dispuesto para los contratos que celebran las entidades estatales en el marco de declaratorias de urgencia manifiesta, a los cuales se refieren los artículos 42 y 43 de la Ley 80 de 1993. </w:t>
            </w:r>
          </w:p>
          <w:p w14:paraId="1D8CC37B" w14:textId="77777777" w:rsidR="00AC19DA" w:rsidRPr="0004417F" w:rsidRDefault="00AC19DA" w:rsidP="000506E8">
            <w:pPr>
              <w:spacing w:after="120" w:line="276" w:lineRule="auto"/>
              <w:ind w:firstLine="708"/>
              <w:jc w:val="both"/>
              <w:rPr>
                <w:rFonts w:ascii="Verdana" w:eastAsia="Calibri" w:hAnsi="Verdana" w:cs="Arial"/>
                <w:lang w:val="es-ES"/>
              </w:rPr>
            </w:pPr>
            <w:r w:rsidRPr="3F4931A3">
              <w:rPr>
                <w:rFonts w:ascii="Verdana" w:eastAsia="Calibri" w:hAnsi="Verdana" w:cs="Arial"/>
                <w:lang w:val="es-ES"/>
              </w:rPr>
              <w:t>De acuerdo con lo dispuesto en el artículo 66 de la Ley 1523 de 2012, una vez declarada la situación de desastre o la situación de calamidad pública, los sujetos expresamente señalad</w:t>
            </w:r>
            <w:r>
              <w:rPr>
                <w:rFonts w:ascii="Verdana" w:eastAsia="Calibri" w:hAnsi="Verdana" w:cs="Arial"/>
                <w:lang w:val="es-ES"/>
              </w:rPr>
              <w:t>o</w:t>
            </w:r>
            <w:r w:rsidRPr="3F4931A3">
              <w:rPr>
                <w:rFonts w:ascii="Verdana" w:eastAsia="Calibri" w:hAnsi="Verdana" w:cs="Arial"/>
                <w:lang w:val="es-ES"/>
              </w:rPr>
              <w:t>s allí son las únic</w:t>
            </w:r>
            <w:r>
              <w:rPr>
                <w:rFonts w:ascii="Verdana" w:eastAsia="Calibri" w:hAnsi="Verdana" w:cs="Arial"/>
                <w:lang w:val="es-ES"/>
              </w:rPr>
              <w:t>o</w:t>
            </w:r>
            <w:r w:rsidRPr="3F4931A3">
              <w:rPr>
                <w:rFonts w:ascii="Verdana" w:eastAsia="Calibri" w:hAnsi="Verdana" w:cs="Arial"/>
                <w:lang w:val="es-ES"/>
              </w:rPr>
              <w:t>s excluid</w:t>
            </w:r>
            <w:r>
              <w:rPr>
                <w:rFonts w:ascii="Verdana" w:eastAsia="Calibri" w:hAnsi="Verdana" w:cs="Arial"/>
                <w:lang w:val="es-ES"/>
              </w:rPr>
              <w:t>o</w:t>
            </w:r>
            <w:r w:rsidRPr="3F4931A3">
              <w:rPr>
                <w:rFonts w:ascii="Verdana" w:eastAsia="Calibri" w:hAnsi="Verdana" w:cs="Arial"/>
                <w:lang w:val="es-ES"/>
              </w:rPr>
              <w:t xml:space="preserve">s de la aplicación de la Ley 80 de 1993 en materia de la contratación por urgencia manifiesta. </w:t>
            </w:r>
          </w:p>
          <w:p w14:paraId="3C341269" w14:textId="77777777" w:rsidR="00AC19DA" w:rsidRDefault="00AC19DA" w:rsidP="000506E8">
            <w:pPr>
              <w:spacing w:line="276" w:lineRule="auto"/>
              <w:ind w:firstLine="708"/>
              <w:jc w:val="both"/>
              <w:rPr>
                <w:rFonts w:ascii="Verdana" w:eastAsia="Calibri" w:hAnsi="Verdana" w:cs="Arial"/>
                <w:lang w:val="es-ES_tradnl"/>
              </w:rPr>
            </w:pPr>
            <w:r w:rsidRPr="0004417F">
              <w:rPr>
                <w:rFonts w:ascii="Verdana" w:eastAsia="Calibri" w:hAnsi="Verdana" w:cs="Arial"/>
                <w:lang w:val="es-ES_tradnl"/>
              </w:rPr>
              <w:t xml:space="preserve">Además, según el parágrafo del artículo 66 de la Ley 1523 de 2012, sólo los contratos celebrados por las entidades territoriales se someten al control fiscal, con independencia de que sean producto de la contratación directa; razón por la cual también recae sobre aquellos que son resultado de procesos de selección competitivos. En otras palabras, la pura y simple declaración de desastre o de calamidad pública conduce a que las autoridades mencionadas atrás se excluyan del EGCAP y pasen a formar parte del régimen especial de contratación, siempre que los contratos estén relacionados directamente con las actividades de respuesta, de rehabilitación y reconstrucción para superar la situación de calamidad o desastre declarados, caso en el cual, podrán pactar poderes excepcionales. </w:t>
            </w:r>
          </w:p>
          <w:p w14:paraId="34B31FFC" w14:textId="77777777" w:rsidR="00AC19DA" w:rsidRDefault="00AC19DA" w:rsidP="000506E8">
            <w:pPr>
              <w:ind w:firstLine="709"/>
              <w:jc w:val="both"/>
              <w:rPr>
                <w:rFonts w:ascii="Verdana" w:eastAsia="Calibri" w:hAnsi="Verdana" w:cs="Arial"/>
                <w:lang w:val="es-ES_tradnl"/>
              </w:rPr>
            </w:pPr>
          </w:p>
          <w:p w14:paraId="56DED838" w14:textId="77777777" w:rsidR="00AC19DA" w:rsidRPr="00D05D0E" w:rsidRDefault="00AC19DA" w:rsidP="000506E8">
            <w:pPr>
              <w:spacing w:line="276" w:lineRule="auto"/>
              <w:ind w:firstLine="708"/>
              <w:jc w:val="both"/>
              <w:rPr>
                <w:rFonts w:ascii="Verdana" w:eastAsia="Calibri" w:hAnsi="Verdana" w:cs="Arial"/>
                <w:lang w:val="es-ES_tradnl"/>
              </w:rPr>
            </w:pPr>
            <w:r>
              <w:rPr>
                <w:rFonts w:ascii="Verdana" w:eastAsia="Calibri" w:hAnsi="Verdana" w:cs="Arial"/>
                <w:lang w:val="es-ES_tradnl"/>
              </w:rPr>
              <w:t xml:space="preserve">Ahora bien, de esta norma podría efectuarse dos interpretaciones. La primera de carácter restrictivo, tras considerar que solo las entidades territoriales que suscriban contratos conforme a lo dispuesto en el artículo 66 están </w:t>
            </w:r>
            <w:r w:rsidRPr="00D05D0E">
              <w:rPr>
                <w:rFonts w:ascii="Verdana" w:eastAsia="Calibri" w:hAnsi="Verdana" w:cs="Arial"/>
                <w:lang w:val="es-ES_tradnl"/>
              </w:rPr>
              <w:t>sometidas al control fiscal dispuesto para los contratos que celebran las entidades estatales en el marco de declaratorias de urgencia manifiesta, a los cuales se refieren los artículos 42 y 43 de la Ley 80 de 1993.</w:t>
            </w:r>
          </w:p>
          <w:p w14:paraId="3E19B5BC" w14:textId="77777777" w:rsidR="00AC19DA" w:rsidRPr="00D05D0E" w:rsidRDefault="00AC19DA" w:rsidP="000506E8">
            <w:pPr>
              <w:ind w:firstLine="709"/>
              <w:jc w:val="both"/>
              <w:rPr>
                <w:rFonts w:ascii="Verdana" w:eastAsia="Calibri" w:hAnsi="Verdana" w:cs="Arial"/>
                <w:lang w:val="es-ES_tradnl"/>
              </w:rPr>
            </w:pPr>
          </w:p>
          <w:p w14:paraId="7B5DBB85" w14:textId="77777777" w:rsidR="00AC19DA" w:rsidRPr="00D05D0E" w:rsidRDefault="00AC19DA" w:rsidP="000506E8">
            <w:pPr>
              <w:spacing w:line="276" w:lineRule="auto"/>
              <w:ind w:firstLine="708"/>
              <w:jc w:val="both"/>
              <w:rPr>
                <w:rFonts w:ascii="Verdana" w:eastAsia="Calibri" w:hAnsi="Verdana" w:cs="Arial"/>
                <w:lang w:val="es-ES_tradnl"/>
              </w:rPr>
            </w:pPr>
            <w:r>
              <w:rPr>
                <w:rFonts w:ascii="Verdana" w:eastAsia="Calibri" w:hAnsi="Verdana" w:cs="Arial"/>
                <w:lang w:val="es-ES"/>
              </w:rPr>
              <w:t xml:space="preserve">La segunda postura es ampliar su aplicación incluyendo a las entidades prestadoras de servicios públicos domiciliarios, con el fin darle un tratamiento similar para que el control del artículo 43 de la Ley 80 de 1993 sea efectivo, dado que en definitiva gestionan recursos públicos para lograr sus cometidos. Sin embargo, esta última posición no tendría cabida teniendo en consideración que la norma es explícita en definir los sujetos excluidos del EGCAP y a cuáles entidades deberían aplicarse los artículos 42 y 43 de la Ley 80 de 1993. </w:t>
            </w:r>
          </w:p>
          <w:p w14:paraId="55EFCF6E" w14:textId="77777777" w:rsidR="00AC19DA" w:rsidRDefault="00AC19DA" w:rsidP="000506E8">
            <w:pPr>
              <w:jc w:val="both"/>
              <w:rPr>
                <w:rFonts w:ascii="Verdana" w:eastAsia="Calibri" w:hAnsi="Verdana" w:cs="Arial"/>
                <w:lang w:val="es-ES"/>
              </w:rPr>
            </w:pPr>
          </w:p>
          <w:p w14:paraId="6BF5A160" w14:textId="77777777" w:rsidR="00AC19DA" w:rsidRDefault="00AC19DA" w:rsidP="000506E8">
            <w:pPr>
              <w:spacing w:after="120" w:line="276" w:lineRule="auto"/>
              <w:jc w:val="both"/>
              <w:rPr>
                <w:rFonts w:ascii="Verdana" w:hAnsi="Verdana" w:cs="Arial"/>
                <w:color w:val="000000" w:themeColor="text1"/>
              </w:rPr>
            </w:pPr>
            <w:r>
              <w:rPr>
                <w:rFonts w:ascii="Verdana" w:eastAsia="Calibri" w:hAnsi="Verdana" w:cs="Arial"/>
                <w:lang w:val="es-ES"/>
              </w:rPr>
              <w:t xml:space="preserve">iii) </w:t>
            </w:r>
            <w:r w:rsidRPr="00F66432">
              <w:rPr>
                <w:rFonts w:ascii="Verdana" w:hAnsi="Verdana" w:cs="Arial"/>
                <w:color w:val="000000" w:themeColor="text1"/>
              </w:rPr>
              <w:t>La Constitución Política de 1991 estructura el control fiscal como una función pública que tiene por objeto vigilar la gestión fiscal de la administración y de los particulares, o de entidades que manejan fondos o bienes de la Nación; para su ejercicio se han concebido unos órganos de control, autónomos e independientes, que colaboran armónicamente en la realización de los fines del Estado (arts. 113, 117, 119 y 267). El ordenamiento jurídico utiliza tanto el criterio subjetivo para someter al control fiscal a la administración, como el criterio objetivo o material para comprender en la vigilancia la realización de cualquier forma de gestión fiscal, en la medida en que ésta repercute en las finanzas públicas, independientemente de la calidad del sujeto que maneje los recursos y de la especie de éstos</w:t>
            </w:r>
            <w:r>
              <w:rPr>
                <w:rFonts w:ascii="Verdana" w:hAnsi="Verdana" w:cs="Arial"/>
                <w:color w:val="000000" w:themeColor="text1"/>
              </w:rPr>
              <w:t>.</w:t>
            </w:r>
          </w:p>
          <w:p w14:paraId="493CC7BA" w14:textId="77777777" w:rsidR="00AC19DA" w:rsidRPr="00DC22C9" w:rsidRDefault="00AC19DA" w:rsidP="000506E8">
            <w:pPr>
              <w:spacing w:line="276" w:lineRule="auto"/>
              <w:ind w:firstLine="709"/>
              <w:jc w:val="both"/>
              <w:rPr>
                <w:rFonts w:ascii="Verdana" w:hAnsi="Verdana" w:cs="Arial"/>
                <w:color w:val="000000" w:themeColor="text1"/>
              </w:rPr>
            </w:pPr>
            <w:r>
              <w:rPr>
                <w:rFonts w:ascii="Verdana" w:hAnsi="Verdana" w:cs="Arial"/>
                <w:color w:val="000000" w:themeColor="text1"/>
              </w:rPr>
              <w:t xml:space="preserve">En este contexto la Ley 610 de 2000 modificado por el </w:t>
            </w:r>
            <w:r w:rsidRPr="00521458">
              <w:rPr>
                <w:rFonts w:ascii="Verdana" w:hAnsi="Verdana" w:cs="Arial"/>
                <w:color w:val="000000" w:themeColor="text1"/>
              </w:rPr>
              <w:t>Decreto 403 de 2020 en el artículo 2 define los conceptos de vigilancia fiscal y control fiscal</w:t>
            </w:r>
            <w:r>
              <w:rPr>
                <w:rFonts w:ascii="Verdana" w:hAnsi="Verdana" w:cs="Arial"/>
                <w:color w:val="000000" w:themeColor="text1"/>
              </w:rPr>
              <w:t>.</w:t>
            </w:r>
            <w:r w:rsidRPr="00521458">
              <w:rPr>
                <w:rFonts w:ascii="Verdana" w:hAnsi="Verdana" w:cs="Arial"/>
                <w:color w:val="000000" w:themeColor="text1"/>
              </w:rPr>
              <w:t xml:space="preserve"> </w:t>
            </w:r>
            <w:r w:rsidRPr="00521458">
              <w:rPr>
                <w:rFonts w:ascii="Verdana" w:hAnsi="Verdana"/>
                <w:lang w:val="es-ES"/>
              </w:rPr>
              <w:t xml:space="preserve">Sobre este último </w:t>
            </w:r>
            <w:r>
              <w:rPr>
                <w:rFonts w:ascii="Verdana" w:hAnsi="Verdana"/>
                <w:lang w:val="es-ES"/>
              </w:rPr>
              <w:t xml:space="preserve">concepto, </w:t>
            </w:r>
            <w:r w:rsidRPr="00521458">
              <w:rPr>
                <w:rFonts w:ascii="Verdana" w:hAnsi="Verdana"/>
                <w:lang w:val="es-ES"/>
              </w:rPr>
              <w:t xml:space="preserve">la norma indica que </w:t>
            </w:r>
            <w:r w:rsidRPr="00521458">
              <w:rPr>
                <w:rFonts w:ascii="Verdana" w:hAnsi="Verdana"/>
                <w:i/>
                <w:iCs/>
                <w:lang w:val="es-ES"/>
              </w:rPr>
              <w:t>“e</w:t>
            </w:r>
            <w:r w:rsidRPr="00521458">
              <w:rPr>
                <w:rFonts w:ascii="Verdana" w:hAnsi="Verdana"/>
                <w:i/>
                <w:iCs/>
              </w:rPr>
              <w:t>s la función pública de fiscalización de la gestión fiscal de la administración y de los particulares o entidades que manejen fondos o bienes públicos, que ejercen los órganos de control fiscal de manera autónoma e independiente de cualquier otra forma de inspección y vigilancia administrativa, con el fin de determinar si la gestión fiscal y sus resultados se ajustan a los principios, políticas, planes, programas, proyectos, presupuestos y normatividad aplicables y logran efectos positivos para la consecución de los fines esenciales del Estado, y supone un pronunciamiento de carácter valorativo sobre la gestión examinada y el adelantamiento del proceso de responsabilidad fiscal si se dan los presupuestos para ello.</w:t>
            </w:r>
            <w:r>
              <w:rPr>
                <w:rFonts w:ascii="Verdana" w:hAnsi="Verdana" w:cs="Arial"/>
                <w:color w:val="000000" w:themeColor="text1"/>
              </w:rPr>
              <w:t xml:space="preserve"> </w:t>
            </w:r>
            <w:r w:rsidRPr="00521458">
              <w:rPr>
                <w:rFonts w:ascii="Verdana" w:hAnsi="Verdana"/>
                <w:i/>
                <w:iCs/>
              </w:rPr>
              <w:t>El control fiscal será ejercido en forma posterior y selectiva por los órganos de control fiscal, sin perjuicio del control concomitante y preventivo, para garantizar la defensa y protección del patrimonio público en los términos que establece la Constitución Política y la ley</w:t>
            </w:r>
            <w:r>
              <w:rPr>
                <w:rFonts w:ascii="Verdana" w:hAnsi="Verdana"/>
                <w:i/>
                <w:iCs/>
              </w:rPr>
              <w:t>”</w:t>
            </w:r>
            <w:r w:rsidRPr="00521458">
              <w:rPr>
                <w:rFonts w:ascii="Verdana" w:hAnsi="Verdana"/>
                <w:i/>
                <w:iCs/>
              </w:rPr>
              <w:t>.</w:t>
            </w:r>
          </w:p>
          <w:p w14:paraId="3BC6FB1E" w14:textId="77777777" w:rsidR="00AC19DA" w:rsidRDefault="00AC19DA" w:rsidP="000506E8">
            <w:pPr>
              <w:spacing w:after="120" w:line="276" w:lineRule="auto"/>
              <w:ind w:firstLine="709"/>
              <w:jc w:val="both"/>
              <w:rPr>
                <w:rFonts w:ascii="Verdana" w:hAnsi="Verdana"/>
              </w:rPr>
            </w:pPr>
            <w:r w:rsidRPr="00521458">
              <w:rPr>
                <w:rFonts w:ascii="Verdana" w:hAnsi="Verdana"/>
                <w:lang w:val="es-ES"/>
              </w:rPr>
              <w:t>Así mismo</w:t>
            </w:r>
            <w:r>
              <w:rPr>
                <w:rFonts w:ascii="Verdana" w:hAnsi="Verdana"/>
                <w:lang w:val="es-ES"/>
              </w:rPr>
              <w:t>,</w:t>
            </w:r>
            <w:r w:rsidRPr="00521458">
              <w:rPr>
                <w:rFonts w:ascii="Verdana" w:hAnsi="Verdana"/>
                <w:lang w:val="es-ES"/>
              </w:rPr>
              <w:t xml:space="preserve"> el mismo artículo define quiénes son los sujetos de la vigilancia y control fiscal al indicar que son </w:t>
            </w:r>
            <w:r w:rsidRPr="00521458">
              <w:rPr>
                <w:rFonts w:ascii="Verdana" w:hAnsi="Verdana"/>
              </w:rPr>
              <w:t>“los órganos que integran las ramas del poder público, los órganos autónomos e independientes, los de control y electorales, los organismos creados por la Constitución Política y la ley que tienen régimen especial, el Banco de la República, y las demás entidades públicas en todos los niveles administrativos, los particulares, las personas jurídicas y cualquier otro tipo de organización o sociedad que a cualquier título recauden, administren, manejen, dispongan o inviertan fondos, recursos del Estado y/o bienes o recursos públicos en lo relacionado con éstos”.</w:t>
            </w:r>
          </w:p>
          <w:p w14:paraId="5B9C91DA" w14:textId="77777777" w:rsidR="00AC19DA" w:rsidRDefault="00AC19DA" w:rsidP="000506E8">
            <w:pPr>
              <w:spacing w:after="120" w:line="276" w:lineRule="auto"/>
              <w:ind w:firstLine="709"/>
              <w:jc w:val="both"/>
              <w:rPr>
                <w:rFonts w:ascii="Verdana" w:hAnsi="Verdana"/>
              </w:rPr>
            </w:pPr>
            <w:r>
              <w:rPr>
                <w:rFonts w:ascii="Verdana" w:hAnsi="Verdana"/>
              </w:rPr>
              <w:t>De otra parte</w:t>
            </w:r>
            <w:r w:rsidRPr="00521458">
              <w:rPr>
                <w:rFonts w:ascii="Verdana" w:hAnsi="Verdana"/>
              </w:rPr>
              <w:t>, también define qué es objeto de vigilancia y control, y corresponde a las actividades, acciones, omisiones, operaciones, procesos, cuenta, contrato, convenio, proyecto, programa, acto o hecho, y los demás asuntos que se encuentren comprendidos o que incidan directa o indirectamente en la gestión fiscal o que involucren bienes, fondos o recursos públicos, así como el uso, explotación, exploración, administración o beneficio de los mismos.</w:t>
            </w:r>
          </w:p>
          <w:p w14:paraId="20943DE0" w14:textId="77777777" w:rsidR="00AC19DA" w:rsidRPr="001B70B2" w:rsidRDefault="00AC19DA" w:rsidP="000506E8">
            <w:pPr>
              <w:spacing w:after="120" w:line="276" w:lineRule="auto"/>
              <w:ind w:firstLine="709"/>
              <w:jc w:val="both"/>
              <w:rPr>
                <w:rFonts w:ascii="Verdana" w:hAnsi="Verdana"/>
              </w:rPr>
            </w:pPr>
            <w:r>
              <w:rPr>
                <w:rFonts w:ascii="Verdana" w:hAnsi="Verdana"/>
              </w:rPr>
              <w:t xml:space="preserve">El control fiscal según lo establecido en el artículo 53 es posterior y selectivo de la </w:t>
            </w:r>
            <w:r w:rsidRPr="001B70B2">
              <w:rPr>
                <w:rFonts w:ascii="Verdana" w:hAnsi="Verdana"/>
              </w:rPr>
              <w:t>administración y de los particulares o entidades que manejen fondos o bienes públicos, con el fin de determinar si las actividades,</w:t>
            </w:r>
            <w:r>
              <w:rPr>
                <w:rFonts w:ascii="Verdana" w:hAnsi="Verdana"/>
              </w:rPr>
              <w:t xml:space="preserve"> </w:t>
            </w:r>
            <w:r w:rsidRPr="001B70B2">
              <w:rPr>
                <w:rFonts w:ascii="Verdana" w:hAnsi="Verdana"/>
              </w:rPr>
              <w:t>operaciones y procesos ejecutados y sus resultados se ajustan a los principios, políticas, planes, programas, proyectos, presupuestos y normatividad aplicables y logran efectos positivos para la consecución de los fines esenciales del Estado. Este tipo de control se efectuará aplicando el principio de selectividad.</w:t>
            </w:r>
          </w:p>
          <w:p w14:paraId="72168081" w14:textId="77777777" w:rsidR="00AC19DA" w:rsidRDefault="00AC19DA" w:rsidP="000506E8">
            <w:pPr>
              <w:spacing w:after="120" w:line="276" w:lineRule="auto"/>
              <w:ind w:firstLine="709"/>
              <w:jc w:val="both"/>
              <w:rPr>
                <w:rFonts w:ascii="Verdana" w:hAnsi="Verdana"/>
              </w:rPr>
            </w:pPr>
            <w:r w:rsidRPr="001B70B2">
              <w:rPr>
                <w:rFonts w:ascii="Verdana" w:hAnsi="Verdana"/>
              </w:rPr>
              <w:t>Para el ejercicio del control fiscal posterior y selectivo, la vigilancia fiscal podrá realizarse a través del seguimiento permanente del recurso público por parte de los órganos de control fiscal, mediante el acceso irrestricto a la información por parte de estos.</w:t>
            </w:r>
          </w:p>
          <w:p w14:paraId="644CD5AA" w14:textId="77777777" w:rsidR="00AC19DA" w:rsidRPr="000D4E6B" w:rsidRDefault="00AC19DA" w:rsidP="000506E8">
            <w:pPr>
              <w:spacing w:after="120" w:line="276" w:lineRule="auto"/>
              <w:ind w:firstLine="709"/>
              <w:jc w:val="both"/>
              <w:rPr>
                <w:rFonts w:ascii="Verdana" w:eastAsia="Calibri" w:hAnsi="Verdana" w:cs="Arial"/>
                <w:lang w:val="es-ES"/>
              </w:rPr>
            </w:pPr>
            <w:r w:rsidRPr="00521458">
              <w:rPr>
                <w:rFonts w:ascii="Verdana" w:hAnsi="Verdana"/>
              </w:rPr>
              <w:t xml:space="preserve">En este escenario, con fundamento en las funciones de la Contraloría General de la República, </w:t>
            </w:r>
            <w:r>
              <w:rPr>
                <w:rFonts w:ascii="Verdana" w:hAnsi="Verdana"/>
              </w:rPr>
              <w:t>tratándose</w:t>
            </w:r>
            <w:r>
              <w:rPr>
                <w:rFonts w:ascii="Verdana" w:hAnsi="Verdana" w:cs="Arial"/>
                <w:color w:val="000000" w:themeColor="text1"/>
                <w:lang w:val="es-ES"/>
              </w:rPr>
              <w:t xml:space="preserve"> de los contratos celebrados por las empresas de servicios públicos domiciliarios con ocasión de la declaratoria de urgencia manifiesta definida en su manual de contratación, se desarrolla el control fiscal en atención a las normas que definen dicho control esto es la Ley 610 de 2000 y el Decreto 403 de 2020. Adicionalmente, teniendo en cuenta que por regla general las empresas de servicios públicos tienen una participación del estado, aquellas </w:t>
            </w:r>
            <w:r w:rsidRPr="00C43757">
              <w:rPr>
                <w:rFonts w:ascii="Verdana" w:eastAsia="Calibri" w:hAnsi="Verdana" w:cs="Arial"/>
                <w:lang w:val="es-ES"/>
              </w:rPr>
              <w:t xml:space="preserve">cumplen una finalidad pública y utilizan recursos públicos para </w:t>
            </w:r>
            <w:r>
              <w:rPr>
                <w:rFonts w:ascii="Verdana" w:eastAsia="Calibri" w:hAnsi="Verdana" w:cs="Arial"/>
                <w:lang w:val="es-ES"/>
              </w:rPr>
              <w:t>el logro de sus funciones</w:t>
            </w:r>
            <w:r w:rsidRPr="00C43757">
              <w:rPr>
                <w:rFonts w:ascii="Verdana" w:eastAsia="Calibri" w:hAnsi="Verdana" w:cs="Arial"/>
                <w:lang w:val="es-ES"/>
              </w:rPr>
              <w:t>.</w:t>
            </w:r>
            <w:r>
              <w:rPr>
                <w:rFonts w:ascii="Verdana" w:eastAsia="Calibri" w:hAnsi="Verdana" w:cs="Arial"/>
                <w:lang w:val="es-ES"/>
              </w:rPr>
              <w:t xml:space="preserve"> Por esta razón resulta importante destacar la necesidad del control por parte de los entes de control en el ejercicio de la contratación directa bajo la modalidad de la declaratoria de urgencia manifiesta. </w:t>
            </w:r>
          </w:p>
          <w:p w14:paraId="72ADBDE3" w14:textId="77777777" w:rsidR="00AC19DA" w:rsidRPr="00E34818" w:rsidRDefault="00AC19DA" w:rsidP="000506E8">
            <w:pPr>
              <w:spacing w:after="120" w:line="276" w:lineRule="auto"/>
              <w:ind w:firstLine="709"/>
              <w:jc w:val="both"/>
              <w:rPr>
                <w:rFonts w:ascii="Verdana" w:hAnsi="Verdana" w:cs="Arial"/>
              </w:rPr>
            </w:pPr>
            <w:r w:rsidRPr="00EC0FFE">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tc>
      </w:tr>
    </w:tbl>
    <w:p w14:paraId="43CE9898" w14:textId="77777777" w:rsidR="00AC19DA" w:rsidRDefault="00AC19DA" w:rsidP="00AC19DA">
      <w:pPr>
        <w:tabs>
          <w:tab w:val="left" w:pos="142"/>
          <w:tab w:val="left" w:pos="284"/>
        </w:tabs>
        <w:spacing w:after="0" w:line="276" w:lineRule="auto"/>
        <w:jc w:val="both"/>
        <w:rPr>
          <w:rFonts w:ascii="Verdana" w:eastAsia="Century Gothic" w:hAnsi="Verdana" w:cs="Century Gothic"/>
          <w:b/>
          <w:bCs/>
        </w:rPr>
      </w:pPr>
    </w:p>
    <w:p w14:paraId="67C0E378" w14:textId="77777777" w:rsidR="00AC19DA" w:rsidRPr="005644FE" w:rsidRDefault="00AC19DA" w:rsidP="00AC19DA">
      <w:pPr>
        <w:tabs>
          <w:tab w:val="left" w:pos="142"/>
          <w:tab w:val="left" w:pos="284"/>
        </w:tabs>
        <w:spacing w:after="0" w:line="276" w:lineRule="auto"/>
        <w:jc w:val="both"/>
        <w:rPr>
          <w:rFonts w:ascii="Verdana" w:eastAsia="Century Gothic" w:hAnsi="Verdana" w:cs="Century Gothic"/>
          <w:b/>
          <w:bCs/>
        </w:rPr>
      </w:pPr>
      <w:r w:rsidRPr="005644FE">
        <w:rPr>
          <w:rFonts w:ascii="Verdana" w:eastAsia="Century Gothic" w:hAnsi="Verdana" w:cs="Century Gothic"/>
          <w:b/>
          <w:bCs/>
        </w:rPr>
        <w:t>3. Razones de la respuesta:</w:t>
      </w:r>
    </w:p>
    <w:p w14:paraId="6DE37424" w14:textId="77777777" w:rsidR="00AC19DA" w:rsidRPr="005644FE" w:rsidRDefault="00AC19DA" w:rsidP="00AC19DA">
      <w:pPr>
        <w:pStyle w:val="Prrafodelista"/>
        <w:tabs>
          <w:tab w:val="left" w:pos="142"/>
          <w:tab w:val="left" w:pos="284"/>
        </w:tabs>
        <w:spacing w:after="0" w:line="240" w:lineRule="auto"/>
        <w:ind w:left="0"/>
        <w:contextualSpacing w:val="0"/>
        <w:jc w:val="both"/>
        <w:rPr>
          <w:rFonts w:ascii="Verdana" w:eastAsia="Calibri" w:hAnsi="Verdana" w:cs="Arial"/>
        </w:rPr>
      </w:pPr>
    </w:p>
    <w:p w14:paraId="49EB8B74" w14:textId="77777777" w:rsidR="00AC19DA" w:rsidRDefault="00AC19DA" w:rsidP="00AC19DA">
      <w:pPr>
        <w:tabs>
          <w:tab w:val="left" w:pos="142"/>
          <w:tab w:val="left" w:pos="284"/>
          <w:tab w:val="left" w:pos="6975"/>
        </w:tabs>
        <w:spacing w:after="0" w:line="276" w:lineRule="auto"/>
        <w:jc w:val="both"/>
        <w:rPr>
          <w:rFonts w:ascii="Verdana" w:eastAsia="Calibri" w:hAnsi="Verdana" w:cs="Arial"/>
        </w:rPr>
      </w:pPr>
      <w:r w:rsidRPr="005644FE">
        <w:rPr>
          <w:rFonts w:ascii="Verdana" w:eastAsia="Calibri" w:hAnsi="Verdana" w:cs="Arial"/>
        </w:rPr>
        <w:t>Lo anterior se sustenta en las siguientes consideraciones:</w:t>
      </w:r>
    </w:p>
    <w:p w14:paraId="6C51BD13" w14:textId="77777777" w:rsidR="00AC19DA" w:rsidRDefault="00AC19DA" w:rsidP="00AC19DA">
      <w:pPr>
        <w:tabs>
          <w:tab w:val="left" w:pos="142"/>
          <w:tab w:val="left" w:pos="284"/>
          <w:tab w:val="left" w:pos="6975"/>
        </w:tabs>
        <w:spacing w:after="0" w:line="276" w:lineRule="auto"/>
        <w:jc w:val="both"/>
        <w:rPr>
          <w:rFonts w:ascii="Verdana" w:eastAsia="Calibri" w:hAnsi="Verdana" w:cs="Arial"/>
        </w:rPr>
      </w:pPr>
    </w:p>
    <w:p w14:paraId="16CF7D3D" w14:textId="77777777" w:rsidR="00AC19DA" w:rsidRDefault="00AC19DA" w:rsidP="00AC19DA">
      <w:pPr>
        <w:spacing w:after="120" w:line="276" w:lineRule="auto"/>
        <w:jc w:val="both"/>
        <w:rPr>
          <w:rFonts w:ascii="Verdana" w:hAnsi="Verdana" w:cs="Arial"/>
          <w:bCs/>
          <w:lang w:val="es-MX"/>
        </w:rPr>
      </w:pPr>
      <w:bookmarkStart w:id="2" w:name="_Hlk35882939"/>
      <w:r>
        <w:rPr>
          <w:rFonts w:ascii="Verdana" w:eastAsia="Calibri" w:hAnsi="Verdana" w:cs="Arial"/>
          <w:lang w:val="es-ES"/>
        </w:rPr>
        <w:t>i) Para dar respuesta al primer problema jurídico resulta necesario resaltar que las entidades del estado sometidas al Estatuto General de Contratación para efectos de su contratación se rigen por los</w:t>
      </w:r>
      <w:r>
        <w:rPr>
          <w:rFonts w:ascii="Verdana" w:hAnsi="Verdana" w:cs="Arial"/>
          <w:lang w:val="es-ES"/>
        </w:rPr>
        <w:t xml:space="preserve"> </w:t>
      </w:r>
      <w:r w:rsidRPr="00B47324">
        <w:rPr>
          <w:rFonts w:ascii="Verdana" w:hAnsi="Verdana" w:cs="Arial"/>
          <w:lang w:val="es-ES"/>
        </w:rPr>
        <w:t xml:space="preserve">procesos de selección </w:t>
      </w:r>
      <w:r>
        <w:rPr>
          <w:rFonts w:ascii="Verdana" w:hAnsi="Verdana" w:cs="Arial"/>
          <w:lang w:val="es-ES"/>
        </w:rPr>
        <w:t xml:space="preserve">previstos en </w:t>
      </w:r>
      <w:r w:rsidRPr="00B47324">
        <w:rPr>
          <w:rFonts w:ascii="Verdana" w:hAnsi="Verdana" w:cs="Arial"/>
          <w:lang w:val="es-ES"/>
        </w:rPr>
        <w:t xml:space="preserve">el artículo 2 de la Ley 1150 de 2007. El </w:t>
      </w:r>
      <w:r w:rsidRPr="00B47324">
        <w:rPr>
          <w:rFonts w:ascii="Verdana" w:hAnsi="Verdana" w:cs="Arial"/>
          <w:bCs/>
          <w:lang w:val="es-MX"/>
        </w:rPr>
        <w:t>numeral</w:t>
      </w:r>
      <w:r w:rsidRPr="00666B6A">
        <w:rPr>
          <w:rFonts w:ascii="Verdana" w:hAnsi="Verdana" w:cs="Arial"/>
          <w:bCs/>
          <w:lang w:val="es-MX"/>
        </w:rPr>
        <w:t xml:space="preserve">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1"/>
      </w:r>
      <w:r w:rsidRPr="00666B6A">
        <w:rPr>
          <w:rFonts w:ascii="Verdana" w:hAnsi="Verdana" w:cs="Arial"/>
          <w:bCs/>
          <w:lang w:val="es-MX"/>
        </w:rPr>
        <w:t>. En este contexto, salvo norma especial que ordene la celebración del negocio jurídico por selección abreviada, concurso de méritos, mínima cuantía o contratación directa, debe aplicarse la regla general de licitación pública</w:t>
      </w:r>
      <w:r w:rsidRPr="00666B6A">
        <w:rPr>
          <w:rFonts w:ascii="Verdana" w:hAnsi="Verdana" w:cs="Arial"/>
          <w:bCs/>
          <w:vertAlign w:val="superscript"/>
          <w:lang w:val="es-MX"/>
        </w:rPr>
        <w:footnoteReference w:id="2"/>
      </w:r>
      <w:r w:rsidRPr="00666B6A">
        <w:rPr>
          <w:rFonts w:ascii="Verdana" w:hAnsi="Verdana" w:cs="Arial"/>
          <w:bCs/>
          <w:lang w:val="es-MX"/>
        </w:rPr>
        <w:t>.</w:t>
      </w:r>
    </w:p>
    <w:p w14:paraId="3104400A" w14:textId="77777777" w:rsidR="00AC19DA" w:rsidRPr="00BA2C21" w:rsidRDefault="00AC19DA" w:rsidP="00AC19DA">
      <w:pPr>
        <w:spacing w:after="120" w:line="276" w:lineRule="auto"/>
        <w:ind w:firstLine="709"/>
        <w:jc w:val="both"/>
        <w:rPr>
          <w:rFonts w:ascii="Verdana" w:hAnsi="Verdana" w:cs="Arial"/>
          <w:bCs/>
          <w:lang w:val="es-MX"/>
        </w:rPr>
      </w:pPr>
      <w:r w:rsidRPr="003A3D5D">
        <w:rPr>
          <w:rFonts w:ascii="Verdana" w:eastAsia="Calibri" w:hAnsi="Verdana" w:cs="Arial"/>
          <w:lang w:val="es-ES"/>
        </w:rPr>
        <w:t xml:space="preserve">De acuerdo con lo anterior, se evidencia </w:t>
      </w:r>
      <w:r>
        <w:rPr>
          <w:rFonts w:ascii="Verdana" w:eastAsia="Calibri" w:hAnsi="Verdana" w:cs="Arial"/>
          <w:lang w:val="es-ES"/>
        </w:rPr>
        <w:t>l</w:t>
      </w:r>
      <w:r w:rsidRPr="003A3D5D">
        <w:rPr>
          <w:rFonts w:ascii="Verdana" w:eastAsia="Calibri" w:hAnsi="Verdana" w:cs="Arial"/>
          <w:lang w:val="es-ES"/>
        </w:rPr>
        <w:t>a causal de contratación directa prevista en el literal a) del numeral 4 del artículo 2 de la Ley 1150 de 2007 denominada por la ley como “urgencia manifiesta</w:t>
      </w:r>
      <w:bookmarkEnd w:id="2"/>
      <w:r w:rsidRPr="003A3D5D">
        <w:rPr>
          <w:rFonts w:ascii="Verdana" w:eastAsia="Calibri" w:hAnsi="Verdana" w:cs="Arial"/>
          <w:lang w:val="es-ES"/>
        </w:rPr>
        <w:t>”</w:t>
      </w:r>
      <w:r>
        <w:rPr>
          <w:rFonts w:ascii="Verdana" w:eastAsia="Calibri" w:hAnsi="Verdana" w:cs="Arial"/>
          <w:lang w:val="es-ES"/>
        </w:rPr>
        <w:t>. Esta causal</w:t>
      </w:r>
      <w:r w:rsidRPr="003A3D5D">
        <w:rPr>
          <w:rFonts w:ascii="Verdana" w:eastAsia="Calibri" w:hAnsi="Verdana" w:cs="Arial"/>
          <w:lang w:val="es-ES"/>
        </w:rPr>
        <w:t xml:space="preserve"> debe ser analizada en concordancia con el artículo 42 de la Ley 80 de 1993, que define el concepto y establece el procedimiento para su declaratoria, así como para la celebración de los contratos que se derivan de aquella</w:t>
      </w:r>
      <w:r w:rsidRPr="3683B926">
        <w:rPr>
          <w:rFonts w:ascii="Verdana" w:eastAsia="Calibri" w:hAnsi="Verdana" w:cs="Arial"/>
          <w:lang w:val="es-ES"/>
        </w:rPr>
        <w:t>. Esta norma dispone lo siguiente:</w:t>
      </w:r>
    </w:p>
    <w:p w14:paraId="0B197FED" w14:textId="77777777" w:rsidR="00AC19DA" w:rsidRPr="00BE5FE3" w:rsidRDefault="00AC19DA" w:rsidP="00AC19DA">
      <w:pPr>
        <w:spacing w:after="120" w:line="240" w:lineRule="auto"/>
        <w:ind w:left="709" w:right="709"/>
        <w:jc w:val="both"/>
        <w:rPr>
          <w:rFonts w:ascii="Verdana" w:eastAsia="Calibri" w:hAnsi="Verdana" w:cs="Arial"/>
          <w:sz w:val="21"/>
          <w:szCs w:val="21"/>
          <w:lang w:val="es-ES_tradnl"/>
        </w:rPr>
      </w:pPr>
      <w:r w:rsidRPr="00BE5FE3">
        <w:rPr>
          <w:rFonts w:ascii="Verdana" w:eastAsia="Calibri" w:hAnsi="Verdana" w:cs="Arial"/>
          <w:sz w:val="21"/>
          <w:szCs w:val="21"/>
          <w:lang w:val="es-ES_tradnl"/>
        </w:rPr>
        <w:t xml:space="preserve">“Artículo 42. De la urgencia manifiesta. Existe urgencia manifiesta </w:t>
      </w:r>
      <w:bookmarkStart w:id="3" w:name="_Hlk35851184"/>
      <w:r w:rsidRPr="00BE5FE3">
        <w:rPr>
          <w:rFonts w:ascii="Verdana" w:eastAsia="Calibri" w:hAnsi="Verdana" w:cs="Arial"/>
          <w:sz w:val="21"/>
          <w:szCs w:val="21"/>
          <w:lang w:val="es-ES_tradnl"/>
        </w:rPr>
        <w:t>cuando la continuidad del servicio exige el suministro de bienes, o la prestación de servicios, o la ejecución de obras en el inmediato futuro</w:t>
      </w:r>
      <w:bookmarkEnd w:id="3"/>
      <w:r w:rsidRPr="00BE5FE3">
        <w:rPr>
          <w:rFonts w:ascii="Verdana" w:eastAsia="Calibri" w:hAnsi="Verdana" w:cs="Arial"/>
          <w:sz w:val="21"/>
          <w:szCs w:val="21"/>
          <w:lang w:val="es-ES_tradnl"/>
        </w:rPr>
        <w:t xml:space="preserve">; </w:t>
      </w:r>
      <w:bookmarkStart w:id="4" w:name="_Hlk35857288"/>
      <w:r w:rsidRPr="00BE5FE3">
        <w:rPr>
          <w:rFonts w:ascii="Verdana" w:eastAsia="Calibri" w:hAnsi="Verdana" w:cs="Arial"/>
          <w:sz w:val="21"/>
          <w:szCs w:val="21"/>
          <w:lang w:val="es-ES_tradnl"/>
        </w:rPr>
        <w:t xml:space="preserve">cuando se presenten </w:t>
      </w:r>
      <w:bookmarkStart w:id="5" w:name="_Hlk35857424"/>
      <w:r w:rsidRPr="00BE5FE3">
        <w:rPr>
          <w:rFonts w:ascii="Verdana" w:eastAsia="Calibri" w:hAnsi="Verdana" w:cs="Arial"/>
          <w:sz w:val="21"/>
          <w:szCs w:val="21"/>
          <w:lang w:val="es-ES_tradnl"/>
        </w:rPr>
        <w:t>situaciones relacionadas con los estados de excepción</w:t>
      </w:r>
      <w:bookmarkEnd w:id="4"/>
      <w:bookmarkEnd w:id="5"/>
      <w:r w:rsidRPr="00BE5FE3">
        <w:rPr>
          <w:rFonts w:ascii="Verdana" w:eastAsia="Calibri" w:hAnsi="Verdana" w:cs="Arial"/>
          <w:sz w:val="21"/>
          <w:szCs w:val="21"/>
          <w:lang w:val="es-ES_tradnl"/>
        </w:rPr>
        <w:t xml:space="preserve">; </w:t>
      </w:r>
      <w:bookmarkStart w:id="6" w:name="_Hlk35865550"/>
      <w:r w:rsidRPr="00BE5FE3">
        <w:rPr>
          <w:rFonts w:ascii="Verdana" w:eastAsia="Calibri" w:hAnsi="Verdana" w:cs="Arial"/>
          <w:sz w:val="21"/>
          <w:szCs w:val="21"/>
          <w:lang w:val="es-ES_tradnl"/>
        </w:rPr>
        <w:t xml:space="preserve">cuando se trate de conjurar situaciones excepcionales relacionadas con hechos de calamidad o constitutivos de fuerza mayor o desastre que demanden actuaciones inmediatas </w:t>
      </w:r>
      <w:bookmarkEnd w:id="6"/>
      <w:r w:rsidRPr="00BE5FE3">
        <w:rPr>
          <w:rFonts w:ascii="Verdana" w:eastAsia="Calibri" w:hAnsi="Verdana" w:cs="Arial"/>
          <w:sz w:val="21"/>
          <w:szCs w:val="21"/>
          <w:lang w:val="es-ES_tradnl"/>
        </w:rPr>
        <w:t>y, en general, cuando se trate de situaciones similares que imposibiliten acudir a los procedimientos de selección o concurso públicos.</w:t>
      </w:r>
    </w:p>
    <w:p w14:paraId="6C4D54BA" w14:textId="77777777" w:rsidR="00AC19DA" w:rsidRPr="00BE5FE3" w:rsidRDefault="00AC19DA" w:rsidP="00AC19DA">
      <w:pPr>
        <w:spacing w:after="120" w:line="240" w:lineRule="auto"/>
        <w:ind w:left="709" w:right="709"/>
        <w:jc w:val="both"/>
        <w:rPr>
          <w:rFonts w:ascii="Verdana" w:eastAsia="Calibri" w:hAnsi="Verdana" w:cs="Arial"/>
          <w:sz w:val="21"/>
          <w:szCs w:val="21"/>
          <w:lang w:val="es-ES_tradnl"/>
        </w:rPr>
      </w:pPr>
      <w:r w:rsidRPr="00BE5FE3">
        <w:rPr>
          <w:rFonts w:ascii="Verdana" w:eastAsia="Calibri" w:hAnsi="Verdana" w:cs="Arial"/>
          <w:sz w:val="21"/>
          <w:szCs w:val="21"/>
          <w:lang w:val="es-ES_tradnl"/>
        </w:rPr>
        <w:t>La urgencia manifiesta se declarará mediante acto administrativo motivado.</w:t>
      </w:r>
    </w:p>
    <w:p w14:paraId="6DB85529" w14:textId="77777777" w:rsidR="00AC19DA" w:rsidRPr="00BE5FE3" w:rsidRDefault="00AC19DA" w:rsidP="00AC19DA">
      <w:pPr>
        <w:spacing w:before="120" w:after="0" w:line="240" w:lineRule="auto"/>
        <w:ind w:left="709" w:right="709"/>
        <w:jc w:val="both"/>
        <w:rPr>
          <w:rFonts w:ascii="Verdana" w:eastAsia="Calibri" w:hAnsi="Verdana" w:cs="Arial"/>
          <w:sz w:val="21"/>
          <w:szCs w:val="21"/>
          <w:lang w:val="es-ES"/>
        </w:rPr>
      </w:pPr>
      <w:r w:rsidRPr="3683B926">
        <w:rPr>
          <w:rFonts w:ascii="Verdana" w:eastAsia="Calibri" w:hAnsi="Verdana" w:cs="Arial"/>
          <w:sz w:val="21"/>
          <w:szCs w:val="21"/>
          <w:lang w:val="es-ES"/>
        </w:rPr>
        <w:t>Parágrafo. Con el fin de atender las necesidades y los gastos propios de la urgencia manifiesta, se podrán hacer los traslados presupuestales internos que se requieran dentro del presupuesto del organismo o entidad estatal correspondiente”.</w:t>
      </w:r>
    </w:p>
    <w:p w14:paraId="53A7EDD2" w14:textId="77777777" w:rsidR="00AC19DA" w:rsidRPr="00BE5FE3" w:rsidRDefault="00AC19DA" w:rsidP="00AC19DA">
      <w:pPr>
        <w:spacing w:after="0" w:line="276" w:lineRule="auto"/>
        <w:ind w:left="709" w:right="709"/>
        <w:jc w:val="both"/>
        <w:rPr>
          <w:rFonts w:ascii="Verdana" w:eastAsia="Calibri" w:hAnsi="Verdana" w:cs="Arial"/>
          <w:lang w:val="es-ES_tradnl"/>
        </w:rPr>
      </w:pPr>
    </w:p>
    <w:p w14:paraId="6C5B68BA" w14:textId="77777777" w:rsidR="00AC19DA" w:rsidRPr="00BE5FE3" w:rsidRDefault="00AC19DA" w:rsidP="00AC19DA">
      <w:pPr>
        <w:spacing w:after="120" w:line="276" w:lineRule="auto"/>
        <w:ind w:firstLine="709"/>
        <w:jc w:val="both"/>
        <w:rPr>
          <w:rFonts w:ascii="Verdana" w:eastAsia="Calibri" w:hAnsi="Verdana" w:cs="Arial"/>
          <w:lang w:val="es-ES"/>
        </w:rPr>
      </w:pPr>
      <w:bookmarkStart w:id="7" w:name="_Hlk35959309"/>
      <w:r w:rsidRPr="3683B926">
        <w:rPr>
          <w:rFonts w:ascii="Verdana" w:eastAsia="Calibri" w:hAnsi="Verdana" w:cs="Arial"/>
          <w:lang w:val="es-ES"/>
        </w:rPr>
        <w:t>De esta manera, el artículo 42 de la Ley 80 define la urgencia manifiesta como una circunstancia que exige, con carácter apremiante, preservar la continuidad del servicio, cuando se afecta por situaciones de fuerza mayor, desastres, calamidades o hechos relacionados con los estados de excepción. No en vano, para la doctrina, las situaciones de urgencia manifiesta deben ser concretas, inmediatas, objetivas y probadas, pues se trata de circunstancias de hecho actuales, debidamente acreditadas y fundadas por estudios técnicos, verificadas por la autoridad competente</w:t>
      </w:r>
      <w:r w:rsidRPr="3683B926">
        <w:rPr>
          <w:rStyle w:val="Refdenotaalpie"/>
          <w:rFonts w:ascii="Verdana" w:eastAsia="Calibri" w:hAnsi="Verdana" w:cs="Arial"/>
          <w:lang w:val="es-ES"/>
        </w:rPr>
        <w:footnoteReference w:id="3"/>
      </w:r>
      <w:r w:rsidRPr="3683B926">
        <w:rPr>
          <w:rFonts w:ascii="Verdana" w:eastAsia="Calibri" w:hAnsi="Verdana" w:cs="Arial"/>
          <w:lang w:val="es-ES"/>
        </w:rPr>
        <w:t xml:space="preserve">. </w:t>
      </w:r>
    </w:p>
    <w:p w14:paraId="09CDA6CD" w14:textId="77777777" w:rsidR="00AC19DA" w:rsidRPr="00BE5FE3" w:rsidRDefault="00AC19DA" w:rsidP="00AC19DA">
      <w:pPr>
        <w:spacing w:after="120" w:line="276" w:lineRule="auto"/>
        <w:ind w:firstLine="709"/>
        <w:jc w:val="both"/>
        <w:rPr>
          <w:rFonts w:ascii="Verdana" w:eastAsia="Calibri" w:hAnsi="Verdana" w:cs="Arial"/>
          <w:lang w:val="es-ES_tradnl"/>
        </w:rPr>
      </w:pPr>
      <w:r w:rsidRPr="00BE5FE3">
        <w:rPr>
          <w:rFonts w:ascii="Verdana" w:eastAsia="Calibri" w:hAnsi="Verdana" w:cs="Arial"/>
          <w:lang w:val="es-ES_tradnl"/>
        </w:rPr>
        <w:t>En esos casos excepcionales, que comprometen fines superiores de interés colectivo, con mayor razón son de obligatoria aplicación los objetivos de la contratación administrativa, previstos en el artículo 3 de la Ley 80 de 1993. Esto en la medida que el cumplimiento de los fines estatales, la continua y eficiente prestación de los servicios públicos, y la efectividad de los derechos e intereses de los administrados que colaboran con entidades y organismos del Estado en la consecución de dichos propósitos confieren un fundamento adicional a esta causal de contratación directa</w:t>
      </w:r>
      <w:r w:rsidRPr="00BE5FE3">
        <w:rPr>
          <w:rStyle w:val="Refdenotaalpie"/>
          <w:rFonts w:ascii="Verdana" w:eastAsia="Calibri" w:hAnsi="Verdana" w:cs="Arial"/>
          <w:lang w:val="es-ES_tradnl"/>
        </w:rPr>
        <w:footnoteReference w:id="4"/>
      </w:r>
      <w:r w:rsidRPr="00BE5FE3">
        <w:rPr>
          <w:rFonts w:ascii="Verdana" w:eastAsia="Calibri" w:hAnsi="Verdana" w:cs="Arial"/>
          <w:lang w:val="es-ES_tradnl"/>
        </w:rPr>
        <w:t xml:space="preserve">. </w:t>
      </w:r>
    </w:p>
    <w:bookmarkEnd w:id="7"/>
    <w:p w14:paraId="3184CA6F" w14:textId="77777777" w:rsidR="00AC19DA" w:rsidRPr="00BE5FE3" w:rsidRDefault="00AC19DA" w:rsidP="00AC19DA">
      <w:pPr>
        <w:spacing w:after="120" w:line="276" w:lineRule="auto"/>
        <w:ind w:firstLine="709"/>
        <w:jc w:val="both"/>
        <w:rPr>
          <w:rFonts w:ascii="Verdana" w:eastAsia="Calibri" w:hAnsi="Verdana" w:cs="Arial"/>
          <w:lang w:val="es-ES_tradnl"/>
        </w:rPr>
      </w:pPr>
      <w:r w:rsidRPr="00BE5FE3">
        <w:rPr>
          <w:rFonts w:ascii="Verdana" w:eastAsia="Calibri" w:hAnsi="Verdana" w:cs="Arial"/>
          <w:lang w:val="es-ES_tradnl"/>
        </w:rPr>
        <w:t xml:space="preserve">En esta medida, el precitado artículo 42 del </w:t>
      </w:r>
      <w:r w:rsidRPr="00BE5FE3">
        <w:rPr>
          <w:rFonts w:ascii="Verdana" w:eastAsia="Calibri" w:hAnsi="Verdana" w:cs="Arial"/>
        </w:rPr>
        <w:t>Estatuto General de Contratación</w:t>
      </w:r>
      <w:r w:rsidRPr="00BE5FE3">
        <w:rPr>
          <w:rFonts w:ascii="Verdana" w:eastAsia="Calibri" w:hAnsi="Verdana" w:cs="Arial"/>
          <w:lang w:val="es-ES_tradnl"/>
        </w:rPr>
        <w:t xml:space="preserve"> contempla cuatro (4) circunstancias o hechos que configuran la urgencia manifiesta, si así lo declara la entidad: i) cuando la continuidad del servicio exige el suministro de bienes, o la prestación de servicios, o la ejecución de obras en el inmediato futuro; ii) cuando se presenten situaciones relacionadas con los estados de excepción; iii) cuando se trate de conjurar situaciones excepcionales relacionadas con hechos de calamidad o constitutivos de fuerza mayor o desastre que demanden actuaciones inmediatas; y iv) en general, cuando se trate de situaciones similares que imposibiliten acudir a los procedimientos de selección o concurso públicos.</w:t>
      </w:r>
    </w:p>
    <w:p w14:paraId="4E56D47F" w14:textId="77777777" w:rsidR="00AC19DA" w:rsidRPr="00BE5FE3" w:rsidRDefault="00AC19DA" w:rsidP="00AC19DA">
      <w:pPr>
        <w:spacing w:after="120" w:line="276" w:lineRule="auto"/>
        <w:ind w:firstLine="708"/>
        <w:jc w:val="both"/>
        <w:rPr>
          <w:rFonts w:ascii="Verdana" w:eastAsia="Calibri" w:hAnsi="Verdana" w:cs="Arial"/>
          <w:lang w:val="es-ES"/>
        </w:rPr>
      </w:pPr>
      <w:r w:rsidRPr="3683B926">
        <w:rPr>
          <w:rFonts w:ascii="Verdana" w:eastAsia="Calibri" w:hAnsi="Verdana" w:cs="Arial"/>
          <w:lang w:val="es-ES"/>
        </w:rPr>
        <w:t xml:space="preserve">La </w:t>
      </w:r>
      <w:r w:rsidRPr="3683B926">
        <w:rPr>
          <w:rFonts w:ascii="Verdana" w:eastAsia="Calibri" w:hAnsi="Verdana" w:cs="Arial"/>
          <w:i/>
          <w:lang w:val="es-ES"/>
        </w:rPr>
        <w:t>primera circunstancia</w:t>
      </w:r>
      <w:r w:rsidRPr="3683B926">
        <w:rPr>
          <w:rFonts w:ascii="Verdana" w:eastAsia="Calibri" w:hAnsi="Verdana" w:cs="Arial"/>
          <w:lang w:val="es-ES"/>
        </w:rPr>
        <w:t xml:space="preserve"> se configura cuando la continuidad del servicio exige el suministro de bienes, la prestación de servicios, o la ejecución de obras en el inmediato futuro. En este caso, se busca evitar la paralización de un servicio, pues están destinados a satisfacer necesidades colectivas en forma general, permanente y continua. En este contexto, no puede olvidarse que el servicio público responde, por definición, a una necesidad de interés general, razón por la cual no podría ser discontinuo, pues la interrupción ocasiona problemas graves para la vida colectiva. </w:t>
      </w:r>
    </w:p>
    <w:p w14:paraId="7422F39C" w14:textId="77777777" w:rsidR="00AC19DA" w:rsidRPr="00BE5FE3" w:rsidRDefault="00AC19DA" w:rsidP="00AC19DA">
      <w:pPr>
        <w:spacing w:after="120" w:line="276" w:lineRule="auto"/>
        <w:ind w:firstLine="708"/>
        <w:jc w:val="both"/>
        <w:rPr>
          <w:rFonts w:ascii="Verdana" w:eastAsia="Calibri" w:hAnsi="Verdana" w:cs="Arial"/>
          <w:lang w:val="es-ES_tradnl"/>
        </w:rPr>
      </w:pPr>
      <w:r w:rsidRPr="00BE5FE3">
        <w:rPr>
          <w:rFonts w:ascii="Verdana" w:eastAsia="Calibri" w:hAnsi="Verdana" w:cs="Arial"/>
          <w:lang w:val="es-ES_tradnl"/>
        </w:rPr>
        <w:t>En esta causal es secundaria la previsibilidad de la situación, porque –si así fuera– se llegaría al absurdo de permitir que efectivamente se paralizara el servicio, sacrificando el interés general por causa de la inactividad de los servidores</w:t>
      </w:r>
      <w:r w:rsidRPr="00BE5FE3">
        <w:rPr>
          <w:rStyle w:val="Refdenotaalpie"/>
          <w:rFonts w:ascii="Verdana" w:eastAsia="Calibri" w:hAnsi="Verdana" w:cs="Arial"/>
          <w:lang w:val="es-ES_tradnl"/>
        </w:rPr>
        <w:footnoteReference w:id="5"/>
      </w:r>
      <w:r w:rsidRPr="00BE5FE3">
        <w:rPr>
          <w:rFonts w:ascii="Verdana" w:eastAsia="Calibri" w:hAnsi="Verdana" w:cs="Arial"/>
          <w:lang w:val="es-ES_tradnl"/>
        </w:rPr>
        <w:t>. En consecuencia, “[…] uno de los elementos esenciales de la urgencia manifiesta lo constituye la obligación de verificar que el objeto del contrato necesita su permanencia, es decir, que se requiere garantizar por parte de la Administración la continuidad de un servicio que exige suministro de bienes, ejecución de obras o la propia prestación de servicios”</w:t>
      </w:r>
      <w:r w:rsidRPr="00BE5FE3">
        <w:rPr>
          <w:rStyle w:val="Refdenotaalpie"/>
          <w:rFonts w:ascii="Verdana" w:eastAsia="Calibri" w:hAnsi="Verdana" w:cs="Arial"/>
          <w:lang w:val="es-ES_tradnl"/>
        </w:rPr>
        <w:footnoteReference w:id="6"/>
      </w:r>
      <w:r w:rsidRPr="00BE5FE3">
        <w:rPr>
          <w:rFonts w:ascii="Verdana" w:eastAsia="Calibri" w:hAnsi="Verdana" w:cs="Arial"/>
          <w:lang w:val="es-ES_tradnl"/>
        </w:rPr>
        <w:t xml:space="preserve">. </w:t>
      </w:r>
    </w:p>
    <w:p w14:paraId="7BE8A1F4" w14:textId="77777777" w:rsidR="00AC19DA" w:rsidRPr="00BE5FE3" w:rsidRDefault="00AC19DA" w:rsidP="00AC19DA">
      <w:pPr>
        <w:spacing w:after="120" w:line="276" w:lineRule="auto"/>
        <w:ind w:firstLine="708"/>
        <w:jc w:val="both"/>
        <w:rPr>
          <w:rFonts w:ascii="Verdana" w:eastAsia="Calibri" w:hAnsi="Verdana" w:cs="Arial"/>
          <w:lang w:val="es-ES_tradnl"/>
        </w:rPr>
      </w:pPr>
      <w:r w:rsidRPr="00BE5FE3">
        <w:rPr>
          <w:rFonts w:ascii="Verdana" w:eastAsia="Calibri" w:hAnsi="Verdana" w:cs="Arial"/>
          <w:lang w:val="es-ES_tradnl"/>
        </w:rPr>
        <w:t xml:space="preserve">La </w:t>
      </w:r>
      <w:r w:rsidRPr="00BE5FE3">
        <w:rPr>
          <w:rFonts w:ascii="Verdana" w:eastAsia="Calibri" w:hAnsi="Verdana" w:cs="Arial"/>
          <w:i/>
          <w:iCs/>
          <w:lang w:val="es-ES_tradnl"/>
        </w:rPr>
        <w:t>segunda circunstancia</w:t>
      </w:r>
      <w:r w:rsidRPr="00BE5FE3">
        <w:rPr>
          <w:rFonts w:ascii="Verdana" w:eastAsia="Calibri" w:hAnsi="Verdana" w:cs="Arial"/>
          <w:lang w:val="es-ES_tradnl"/>
        </w:rPr>
        <w:t xml:space="preserve"> se presenta en las situaciones relacionadas con los estados de excepción, siendo necesaria la remisión a los artículos 212, 213 y 215 superiores. Estas normas se refieren a la declaración de los estados de guerra exterior, conmoción interior y emergencia económica, social y ecológica. De hecho, el uso indiscriminado, excesivo e incontrolado del estado de sitio, durante la vigencia de la Constitución Nacional de 1886, llevó a que los supuestos fácticos, las facultades y los controles adscritos a cada uno de ellos fueran específicamente regulados tanto en la Constitución Política como en la Ley Estatutaria 137 de 1994</w:t>
      </w:r>
      <w:r w:rsidRPr="00BE5FE3">
        <w:rPr>
          <w:rStyle w:val="Refdenotaalpie"/>
          <w:rFonts w:ascii="Verdana" w:eastAsia="Calibri" w:hAnsi="Verdana" w:cs="Arial"/>
          <w:lang w:val="es-ES_tradnl"/>
        </w:rPr>
        <w:footnoteReference w:id="7"/>
      </w:r>
      <w:r w:rsidRPr="00BE5FE3">
        <w:rPr>
          <w:rFonts w:ascii="Verdana" w:eastAsia="Calibri" w:hAnsi="Verdana" w:cs="Arial"/>
          <w:lang w:val="es-ES_tradnl"/>
        </w:rPr>
        <w:t xml:space="preserve">. </w:t>
      </w:r>
    </w:p>
    <w:p w14:paraId="2699F844" w14:textId="77777777" w:rsidR="00AC19DA" w:rsidRPr="00BE5FE3" w:rsidRDefault="00AC19DA" w:rsidP="00AC19DA">
      <w:pPr>
        <w:spacing w:after="120" w:line="276" w:lineRule="auto"/>
        <w:ind w:firstLine="708"/>
        <w:jc w:val="both"/>
        <w:rPr>
          <w:rFonts w:ascii="Verdana" w:eastAsia="Calibri" w:hAnsi="Verdana" w:cs="Arial"/>
          <w:lang w:val="es-ES"/>
        </w:rPr>
      </w:pPr>
      <w:r w:rsidRPr="3683B926">
        <w:rPr>
          <w:rFonts w:ascii="Verdana" w:eastAsia="Calibri" w:hAnsi="Verdana" w:cs="Arial"/>
          <w:lang w:val="es-ES"/>
        </w:rPr>
        <w:t xml:space="preserve">De conformidad con las normas citadas, los estados de excepción se declaran en caso de situación de anormalidad, y están acompañados de facultades y limitaciones que permiten el retorno a la regularidad. Por eso, mientras subsista la situación que la origina, y sólo en lo relacionado con la declaración previa del presidente de la república, con la firma de todos los ministros, las entidades pueden contratar directamente, por urgencia manifiesta, como medida </w:t>
      </w:r>
      <w:r w:rsidRPr="3683B926">
        <w:rPr>
          <w:rFonts w:ascii="Verdana" w:eastAsia="Calibri" w:hAnsi="Verdana" w:cs="Arial"/>
          <w:i/>
          <w:lang w:val="es-ES"/>
        </w:rPr>
        <w:t>pro tempore</w:t>
      </w:r>
      <w:r w:rsidRPr="3683B926">
        <w:rPr>
          <w:rFonts w:ascii="Verdana" w:eastAsia="Calibri" w:hAnsi="Verdana" w:cs="Arial"/>
          <w:lang w:val="es-ES"/>
        </w:rPr>
        <w:t xml:space="preserve"> para adquirir bienes y servicios que permitan superar la crisis. En contraste, cuando cesen las causas, las entidades deben contratar de conformidad con las reglas generales del Estatuto de Contratación.</w:t>
      </w:r>
    </w:p>
    <w:p w14:paraId="7BD60E75" w14:textId="77777777" w:rsidR="00AC19DA" w:rsidRPr="00BE5FE3" w:rsidRDefault="00AC19DA" w:rsidP="00AC19DA">
      <w:pPr>
        <w:spacing w:after="120" w:line="276" w:lineRule="auto"/>
        <w:ind w:firstLine="708"/>
        <w:jc w:val="both"/>
        <w:rPr>
          <w:rFonts w:ascii="Verdana" w:eastAsia="Calibri" w:hAnsi="Verdana" w:cs="Arial"/>
          <w:lang w:val="es-ES_tradnl"/>
        </w:rPr>
      </w:pPr>
      <w:r w:rsidRPr="00BE5FE3">
        <w:rPr>
          <w:rFonts w:ascii="Verdana" w:eastAsia="Calibri" w:hAnsi="Verdana" w:cs="Arial"/>
          <w:lang w:val="es-ES_tradnl"/>
        </w:rPr>
        <w:t>En este supuesto, cuando se declara un estado de excepción, se configura el supuesto para declarar a continuación la “urgencia manifiesta”, por parte de cualquier entidad estatal regida por la Ley 80 de 1993, por configurarse uno de los cuatro (4) supuestos del art. 42 de la Ley 80 de 1993. En este evento no es suficiente la declaración del estado de excepción, por parte del presidente y sus ministros, sino que es necesario expedir, luego, el acto que declare la urgencia manifiesta, con fundamento en la declaración previa de alguno de los tres estados de excepción.</w:t>
      </w:r>
    </w:p>
    <w:p w14:paraId="5DF5A2D3" w14:textId="77777777" w:rsidR="00AC19DA" w:rsidRPr="00BE5FE3" w:rsidRDefault="00AC19DA" w:rsidP="00AC19DA">
      <w:pPr>
        <w:spacing w:after="120" w:line="276" w:lineRule="auto"/>
        <w:ind w:firstLine="708"/>
        <w:jc w:val="both"/>
        <w:rPr>
          <w:rFonts w:ascii="Verdana" w:eastAsia="Calibri" w:hAnsi="Verdana" w:cs="Arial"/>
          <w:sz w:val="21"/>
          <w:szCs w:val="21"/>
          <w:lang w:val="es-ES"/>
        </w:rPr>
      </w:pPr>
      <w:r w:rsidRPr="6274B74A">
        <w:rPr>
          <w:rFonts w:ascii="Verdana" w:eastAsia="Calibri" w:hAnsi="Verdana" w:cs="Arial"/>
          <w:lang w:val="es-ES"/>
        </w:rPr>
        <w:t xml:space="preserve">La </w:t>
      </w:r>
      <w:r w:rsidRPr="6274B74A">
        <w:rPr>
          <w:rFonts w:ascii="Verdana" w:eastAsia="Calibri" w:hAnsi="Verdana" w:cs="Arial"/>
          <w:i/>
          <w:lang w:val="es-ES"/>
        </w:rPr>
        <w:t>tercera circunstancia</w:t>
      </w:r>
      <w:r w:rsidRPr="6274B74A">
        <w:rPr>
          <w:rFonts w:ascii="Verdana" w:eastAsia="Calibri" w:hAnsi="Verdana" w:cs="Arial"/>
          <w:lang w:val="es-ES"/>
        </w:rPr>
        <w:t xml:space="preserve"> surge de la necesidad de conjurar situaciones excepcionales relacionadas con </w:t>
      </w:r>
      <w:r w:rsidRPr="6274B74A">
        <w:rPr>
          <w:rFonts w:ascii="Verdana" w:eastAsia="Calibri" w:hAnsi="Verdana" w:cs="Arial"/>
          <w:i/>
          <w:lang w:val="es-ES"/>
        </w:rPr>
        <w:t>hechos de calamidad o constitutivos de fuerza mayor o desastre</w:t>
      </w:r>
      <w:r w:rsidRPr="6274B74A">
        <w:rPr>
          <w:rFonts w:ascii="Verdana" w:eastAsia="Calibri" w:hAnsi="Verdana" w:cs="Arial"/>
          <w:lang w:val="es-ES"/>
        </w:rPr>
        <w:t xml:space="preserve"> que demanden actuaciones inmediatas, causa que –conforme se analiza en el siguiente acápite– exige tener en cuenta lo previsto en la Ley 1523 de 2012. Lo anterior sin perjuicio de que, conforme a la cuarta circunstancia, surjan situaciones similares que imposibiliten acudir a los procedimientos de selección o concurso públicos. </w:t>
      </w:r>
    </w:p>
    <w:p w14:paraId="33747077" w14:textId="77777777" w:rsidR="00AC19DA" w:rsidRPr="00BE5FE3" w:rsidRDefault="00AC19DA" w:rsidP="00AC19DA">
      <w:pPr>
        <w:spacing w:after="120" w:line="276" w:lineRule="auto"/>
        <w:ind w:firstLine="708"/>
        <w:jc w:val="both"/>
        <w:rPr>
          <w:rFonts w:ascii="Verdana" w:eastAsia="Calibri" w:hAnsi="Verdana" w:cs="Arial"/>
          <w:lang w:val="es-ES_tradnl"/>
        </w:rPr>
      </w:pPr>
      <w:bookmarkStart w:id="8" w:name="_Hlk132729706"/>
      <w:r w:rsidRPr="00BE5FE3">
        <w:rPr>
          <w:rFonts w:ascii="Verdana" w:eastAsia="Calibri" w:hAnsi="Verdana" w:cs="Arial"/>
          <w:lang w:val="es-ES_tradnl"/>
        </w:rPr>
        <w:t>El elemento común en los cuatro (4) eventos es que exigen atender la contingencia de manera pronta, mediante la ejecución de obras, la prestación de servicios o el suministro de bienes. Por tanto, lo que permite catalogar un supuesto fáctico como urgente, en forma manifiesta, es que demanda actuaciones del Estado que no dan espera para mantener la regularidad del servicio, e impiden acudir a los procedimientos de selección ordinarios, es decir, a la licitación pública, la selección abreviada, el concurso de méritos y la contratación de mínima cuantía</w:t>
      </w:r>
      <w:r w:rsidRPr="00BE5FE3">
        <w:rPr>
          <w:rStyle w:val="Refdenotaalpie"/>
          <w:rFonts w:ascii="Verdana" w:eastAsia="Calibri" w:hAnsi="Verdana" w:cs="Arial"/>
          <w:sz w:val="21"/>
          <w:szCs w:val="21"/>
          <w:lang w:val="es-ES_tradnl"/>
        </w:rPr>
        <w:footnoteReference w:id="8"/>
      </w:r>
      <w:r w:rsidRPr="00BE5FE3">
        <w:rPr>
          <w:rFonts w:ascii="Verdana" w:eastAsia="Calibri" w:hAnsi="Verdana" w:cs="Arial"/>
          <w:sz w:val="21"/>
          <w:szCs w:val="21"/>
          <w:lang w:val="es-ES_tradnl"/>
        </w:rPr>
        <w:t>.</w:t>
      </w:r>
    </w:p>
    <w:bookmarkEnd w:id="8"/>
    <w:p w14:paraId="150B49B8" w14:textId="77777777" w:rsidR="00AC19DA" w:rsidRPr="00BE5FE3" w:rsidRDefault="00AC19DA" w:rsidP="00AC19DA">
      <w:pPr>
        <w:spacing w:after="120" w:line="276" w:lineRule="auto"/>
        <w:ind w:firstLine="708"/>
        <w:jc w:val="both"/>
        <w:rPr>
          <w:rFonts w:ascii="Verdana" w:eastAsia="Calibri" w:hAnsi="Verdana" w:cs="Arial"/>
          <w:lang w:val="es-ES_tradnl"/>
        </w:rPr>
      </w:pPr>
      <w:r w:rsidRPr="00BE5FE3">
        <w:rPr>
          <w:rFonts w:ascii="Verdana" w:eastAsia="Calibri" w:hAnsi="Verdana" w:cs="Arial"/>
          <w:lang w:val="es-ES_tradnl"/>
        </w:rPr>
        <w:t xml:space="preserve">Se insiste en que cuando se configure alguna de las cuatro (4) situaciones, el artículo 42 de la Ley 80 de 1993 exige declarar formalmente la urgencia manifiesta mediante acto administrativo motivado, es decir, a través de una manifestación unilateral de voluntad razonablemente justificada, proferida por el jefe o representante legal de cada entidad –o quien sea el titular de la competencia–, según lo establecido en los artículos 11 y 12 </w:t>
      </w:r>
      <w:r w:rsidRPr="00BE5FE3">
        <w:rPr>
          <w:rFonts w:ascii="Verdana" w:eastAsia="Calibri" w:hAnsi="Verdana" w:cs="Arial"/>
          <w:i/>
          <w:iCs/>
          <w:lang w:val="es-ES_tradnl"/>
        </w:rPr>
        <w:t>ibidem</w:t>
      </w:r>
      <w:r w:rsidRPr="00BE5FE3">
        <w:rPr>
          <w:rFonts w:ascii="Verdana" w:eastAsia="Calibri" w:hAnsi="Verdana" w:cs="Arial"/>
          <w:lang w:val="es-ES_tradnl"/>
        </w:rPr>
        <w:t>. Adicionalmente, no es necesario realizar estudios previos, como lo dispone el artículo 2.2.1.2.1.4.2 del Decreto 1082 de 2015: “Si la causal de contratación directa es la urgencia manifiesta, el acto administrativo que la declare hará las veces del acto administrativo de justificación, y en este caso la Entidad Estatal no está obligada a elaborar estudios y documentos previos”.</w:t>
      </w:r>
    </w:p>
    <w:p w14:paraId="6D17CC11" w14:textId="77777777" w:rsidR="00AC19DA" w:rsidRDefault="00AC19DA" w:rsidP="00AC19DA">
      <w:pPr>
        <w:spacing w:after="120" w:line="276" w:lineRule="auto"/>
        <w:ind w:firstLine="708"/>
        <w:jc w:val="both"/>
        <w:rPr>
          <w:rFonts w:ascii="Verdana" w:eastAsia="Calibri" w:hAnsi="Verdana" w:cs="Arial"/>
          <w:lang w:val="es-ES"/>
        </w:rPr>
      </w:pPr>
      <w:r w:rsidRPr="3683B926">
        <w:rPr>
          <w:rFonts w:ascii="Verdana" w:eastAsia="Calibri" w:hAnsi="Verdana" w:cs="Arial"/>
          <w:lang w:val="es-ES"/>
        </w:rPr>
        <w:t>Expedido el acto administrativo, la entidad estatal debe realizar todos los trámites internos necesarios para contratar, entre ellos la disposición de los recursos. En tal sentido, el parágrafo del artículo 42 de la Ley 80 señala que “Con el fin de atender las necesidades y los gastos propios de la urgencia manifiesta, se podrán hacer los traslados presupuestales internos que se requieran dentro del presupuesto del organismo o entidad estatal correspondiente”. Este apartado fue declarado condicionalmente exequible por la Corte Constitucional en la Sentencia C-772 de 1998, “[…] bajo el entendimiento de que los traslados presupuestales internos a que se refiere dicha norma, se efectúen afectando exclusivamente el anexo del decreto de liquidación del Presupuesto”</w:t>
      </w:r>
      <w:r w:rsidRPr="3683B926">
        <w:rPr>
          <w:rFonts w:ascii="Verdana" w:eastAsia="Calibri" w:hAnsi="Verdana" w:cs="Arial"/>
          <w:vertAlign w:val="superscript"/>
          <w:lang w:val="es-ES"/>
        </w:rPr>
        <w:footnoteReference w:id="9"/>
      </w:r>
      <w:r w:rsidRPr="3683B926">
        <w:rPr>
          <w:rFonts w:ascii="Verdana" w:eastAsia="Calibri" w:hAnsi="Verdana" w:cs="Arial"/>
          <w:lang w:val="es-ES"/>
        </w:rPr>
        <w:t xml:space="preserve">. </w:t>
      </w:r>
    </w:p>
    <w:p w14:paraId="44FC992B" w14:textId="77777777" w:rsidR="00AC19DA" w:rsidRPr="00D93A6C" w:rsidRDefault="00AC19DA" w:rsidP="00AC19DA">
      <w:pPr>
        <w:spacing w:after="120" w:line="276" w:lineRule="auto"/>
        <w:ind w:firstLine="708"/>
        <w:jc w:val="both"/>
        <w:rPr>
          <w:rFonts w:ascii="Verdana" w:eastAsia="Calibri" w:hAnsi="Verdana" w:cs="Arial"/>
          <w:lang w:val="es-ES"/>
        </w:rPr>
      </w:pPr>
      <w:r w:rsidRPr="3683B926">
        <w:rPr>
          <w:rFonts w:ascii="Verdana" w:eastAsia="Calibri" w:hAnsi="Verdana" w:cs="Arial"/>
          <w:lang w:val="es-ES"/>
        </w:rPr>
        <w:t xml:space="preserve">El artículo 42 de la Ley 80 de 1993 dispone que la urgencia manifiesta se declara, entre otras tres (3) circunstancias, con la finalidad de “[…] conjurar situaciones excepcionales relacionadas con hechos de calamidad o constitutivos de fuerza mayor o desastre que demanden actuaciones inmediatas […]”. Para delimitar estas expresiones, el </w:t>
      </w:r>
      <w:bookmarkStart w:id="9" w:name="_Hlk35880053"/>
      <w:r w:rsidRPr="3683B926">
        <w:rPr>
          <w:rFonts w:ascii="Verdana" w:eastAsia="Calibri" w:hAnsi="Verdana" w:cs="Arial"/>
          <w:lang w:val="es-ES"/>
        </w:rPr>
        <w:t xml:space="preserve">artículo 28 del Código Civil </w:t>
      </w:r>
      <w:bookmarkEnd w:id="9"/>
      <w:r w:rsidRPr="3683B926">
        <w:rPr>
          <w:rFonts w:ascii="Verdana" w:eastAsia="Calibri" w:hAnsi="Verdana" w:cs="Arial"/>
          <w:lang w:val="es-ES"/>
        </w:rPr>
        <w:t xml:space="preserve">dispone que “Las palabras de la ley se entenderán en su sentido natural y obvio, según el uso general de las mismas palabras; pero cuando el legislador las haya definido expresamente para ciertas materias, se les dará en éstas su significado legal”. Y resulta que en la medida en que la norma utiliza la conjunción “o”, en principio asimilaría la </w:t>
      </w:r>
      <w:r w:rsidRPr="3683B926">
        <w:rPr>
          <w:rFonts w:ascii="Verdana" w:eastAsia="Calibri" w:hAnsi="Verdana" w:cs="Arial"/>
          <w:i/>
          <w:lang w:val="es-ES"/>
        </w:rPr>
        <w:t>calamidad</w:t>
      </w:r>
      <w:r w:rsidRPr="3683B926">
        <w:rPr>
          <w:rFonts w:ascii="Verdana" w:eastAsia="Calibri" w:hAnsi="Verdana" w:cs="Arial"/>
          <w:lang w:val="es-ES"/>
        </w:rPr>
        <w:t xml:space="preserve"> y el </w:t>
      </w:r>
      <w:r w:rsidRPr="3683B926">
        <w:rPr>
          <w:rFonts w:ascii="Verdana" w:eastAsia="Calibri" w:hAnsi="Verdana" w:cs="Arial"/>
          <w:i/>
          <w:lang w:val="es-ES"/>
        </w:rPr>
        <w:t xml:space="preserve">desastre </w:t>
      </w:r>
      <w:r w:rsidRPr="3683B926">
        <w:rPr>
          <w:rFonts w:ascii="Verdana" w:eastAsia="Calibri" w:hAnsi="Verdana" w:cs="Arial"/>
          <w:lang w:val="es-ES"/>
        </w:rPr>
        <w:t xml:space="preserve">con la </w:t>
      </w:r>
      <w:r w:rsidRPr="3683B926">
        <w:rPr>
          <w:rFonts w:ascii="Verdana" w:eastAsia="Calibri" w:hAnsi="Verdana" w:cs="Arial"/>
          <w:i/>
          <w:lang w:val="es-ES"/>
        </w:rPr>
        <w:t>fuerza mayor</w:t>
      </w:r>
      <w:r w:rsidRPr="3683B926">
        <w:rPr>
          <w:rFonts w:ascii="Verdana" w:eastAsia="Calibri" w:hAnsi="Verdana" w:cs="Arial"/>
          <w:lang w:val="es-ES"/>
        </w:rPr>
        <w:t xml:space="preserve"> o el </w:t>
      </w:r>
      <w:r w:rsidRPr="3683B926">
        <w:rPr>
          <w:rFonts w:ascii="Verdana" w:eastAsia="Calibri" w:hAnsi="Verdana" w:cs="Arial"/>
          <w:i/>
          <w:lang w:val="es-ES"/>
        </w:rPr>
        <w:t>caso fortuito</w:t>
      </w:r>
      <w:r w:rsidRPr="3683B926">
        <w:rPr>
          <w:rFonts w:ascii="Verdana" w:eastAsia="Calibri" w:hAnsi="Verdana" w:cs="Arial"/>
          <w:lang w:val="es-ES"/>
        </w:rPr>
        <w:t xml:space="preserve">. </w:t>
      </w:r>
    </w:p>
    <w:p w14:paraId="298CDD2A" w14:textId="77777777" w:rsidR="00AC19DA" w:rsidRPr="00D93A6C" w:rsidRDefault="00AC19DA" w:rsidP="00AC19DA">
      <w:pPr>
        <w:spacing w:after="120" w:line="276" w:lineRule="auto"/>
        <w:ind w:firstLine="708"/>
        <w:jc w:val="both"/>
        <w:rPr>
          <w:rFonts w:ascii="Verdana" w:eastAsia="Calibri" w:hAnsi="Verdana" w:cs="Arial"/>
          <w:lang w:val="es-ES_tradnl"/>
        </w:rPr>
      </w:pPr>
      <w:r w:rsidRPr="00D93A6C">
        <w:rPr>
          <w:rFonts w:ascii="Verdana" w:eastAsia="Calibri" w:hAnsi="Verdana" w:cs="Arial"/>
          <w:lang w:val="es-ES_tradnl"/>
        </w:rPr>
        <w:t xml:space="preserve">Al respecto, el artículo 64 del Código Civil define como tal “[…] el imprevisto o que no es posible resistir, como un naufragio, un terremoto, </w:t>
      </w:r>
      <w:bookmarkStart w:id="10" w:name="_Hlk35871146"/>
      <w:r w:rsidRPr="00D93A6C">
        <w:rPr>
          <w:rFonts w:ascii="Verdana" w:eastAsia="Calibri" w:hAnsi="Verdana" w:cs="Arial"/>
          <w:lang w:val="es-ES_tradnl"/>
        </w:rPr>
        <w:t>el apresamiento de enemigos, los actos de autoridad ejercidos por un funcionario público</w:t>
      </w:r>
      <w:bookmarkEnd w:id="10"/>
      <w:r w:rsidRPr="00D93A6C">
        <w:rPr>
          <w:rFonts w:ascii="Verdana" w:eastAsia="Calibri" w:hAnsi="Verdana" w:cs="Arial"/>
          <w:lang w:val="es-ES_tradnl"/>
        </w:rPr>
        <w:t>, etc.”</w:t>
      </w:r>
      <w:r w:rsidRPr="00D93A6C">
        <w:rPr>
          <w:rFonts w:ascii="Verdana" w:eastAsia="Calibri" w:hAnsi="Verdana" w:cs="Arial"/>
          <w:sz w:val="21"/>
          <w:szCs w:val="21"/>
          <w:vertAlign w:val="superscript"/>
          <w:lang w:val="es-ES_tradnl"/>
        </w:rPr>
        <w:footnoteReference w:id="10"/>
      </w:r>
      <w:r w:rsidRPr="00D93A6C">
        <w:rPr>
          <w:rFonts w:ascii="Verdana" w:eastAsia="Calibri" w:hAnsi="Verdana" w:cs="Arial"/>
          <w:sz w:val="21"/>
          <w:szCs w:val="21"/>
          <w:lang w:val="es-ES_tradnl"/>
        </w:rPr>
        <w:t>.</w:t>
      </w:r>
      <w:r w:rsidRPr="00D93A6C">
        <w:rPr>
          <w:rFonts w:ascii="Verdana" w:eastAsia="Calibri" w:hAnsi="Verdana" w:cs="Arial"/>
          <w:lang w:val="es-ES_tradnl"/>
        </w:rPr>
        <w:t xml:space="preserve"> Cuando provienen de fenómenos de la naturaleza estas características confluyen con los conceptos de desastre y calamidad, los cuales –conforme al Diccionario de la Real Academia Española– constituyen una “Desgracia grande, suceso infeliz y lamentable” o “Desgracia o infortunio que alcanza a muchas personas”, respectivamente. Conforme al significado natural de las palabras, parece que la diferencia es el mayor alcance de la segunda respecto al primero. No obstante, además de la ocurrencia de desastres y calamidades que –aunque irresistibles– se presentan con cierto grado de previsibilidad o que, incluso, se originan en la actuación humana intencional, estos dos conceptos también los definió </w:t>
      </w:r>
      <w:bookmarkStart w:id="11" w:name="_Hlk35879271"/>
      <w:r w:rsidRPr="00D93A6C">
        <w:rPr>
          <w:rFonts w:ascii="Verdana" w:eastAsia="Calibri" w:hAnsi="Verdana" w:cs="Arial"/>
          <w:lang w:val="es-ES_tradnl"/>
        </w:rPr>
        <w:t>el artículo 4, numerales 5 y 8, de la Ley 1523 de 2012</w:t>
      </w:r>
      <w:bookmarkEnd w:id="11"/>
      <w:r w:rsidRPr="00D93A6C">
        <w:rPr>
          <w:rFonts w:ascii="Verdana" w:eastAsia="Calibri" w:hAnsi="Verdana" w:cs="Arial"/>
          <w:lang w:val="es-ES_tradnl"/>
        </w:rPr>
        <w:t>:</w:t>
      </w:r>
    </w:p>
    <w:p w14:paraId="1C0D663B" w14:textId="77777777" w:rsidR="00AC19DA" w:rsidRPr="00E82924" w:rsidRDefault="00AC19DA" w:rsidP="00AC19DA">
      <w:pPr>
        <w:spacing w:after="0" w:line="240" w:lineRule="auto"/>
        <w:ind w:left="709" w:right="709"/>
        <w:jc w:val="both"/>
        <w:rPr>
          <w:rFonts w:ascii="Verdana" w:eastAsia="Calibri" w:hAnsi="Verdana" w:cs="Arial"/>
          <w:sz w:val="20"/>
          <w:szCs w:val="20"/>
          <w:lang w:val="es-ES_tradnl"/>
        </w:rPr>
      </w:pPr>
      <w:r w:rsidRPr="00E82924">
        <w:rPr>
          <w:rFonts w:ascii="Verdana" w:eastAsia="Calibri" w:hAnsi="Verdana" w:cs="Arial"/>
          <w:sz w:val="20"/>
          <w:szCs w:val="20"/>
          <w:lang w:val="es-ES_tradnl"/>
        </w:rPr>
        <w:t>“Art. 4. Para efectos de la presente ley se entenderá por:</w:t>
      </w:r>
    </w:p>
    <w:p w14:paraId="4917B455" w14:textId="77777777" w:rsidR="00AC19DA" w:rsidRPr="00E82924" w:rsidRDefault="00AC19DA" w:rsidP="00AC19DA">
      <w:pPr>
        <w:spacing w:after="120" w:line="240" w:lineRule="auto"/>
        <w:ind w:left="709" w:right="709"/>
        <w:jc w:val="both"/>
        <w:rPr>
          <w:rFonts w:ascii="Verdana" w:eastAsia="Calibri" w:hAnsi="Verdana" w:cs="Arial"/>
          <w:sz w:val="20"/>
          <w:szCs w:val="20"/>
          <w:lang w:val="es-ES_tradnl"/>
        </w:rPr>
      </w:pPr>
      <w:r w:rsidRPr="00E82924">
        <w:rPr>
          <w:rFonts w:ascii="Verdana" w:eastAsia="Calibri" w:hAnsi="Verdana" w:cs="Arial"/>
          <w:sz w:val="20"/>
          <w:szCs w:val="20"/>
          <w:lang w:val="es-ES_tradnl"/>
        </w:rPr>
        <w:t>[…]</w:t>
      </w:r>
    </w:p>
    <w:p w14:paraId="2D6E04FC" w14:textId="77777777" w:rsidR="00AC19DA" w:rsidRPr="00E82924" w:rsidRDefault="00AC19DA" w:rsidP="00AC19DA">
      <w:pPr>
        <w:spacing w:after="0" w:line="240" w:lineRule="auto"/>
        <w:ind w:left="709" w:right="709"/>
        <w:jc w:val="both"/>
        <w:rPr>
          <w:rFonts w:ascii="Verdana" w:eastAsia="Calibri" w:hAnsi="Verdana" w:cs="Arial"/>
          <w:sz w:val="20"/>
          <w:szCs w:val="20"/>
          <w:lang w:val="es-ES_tradnl"/>
        </w:rPr>
      </w:pPr>
      <w:r w:rsidRPr="00E82924">
        <w:rPr>
          <w:rFonts w:ascii="Verdana" w:eastAsia="Calibri" w:hAnsi="Verdana" w:cs="Arial"/>
          <w:sz w:val="20"/>
          <w:szCs w:val="20"/>
          <w:lang w:val="es-ES_tradnl"/>
        </w:rPr>
        <w:t xml:space="preserve">5. Calamidad pública: Es </w:t>
      </w:r>
      <w:bookmarkStart w:id="12" w:name="_Hlk35879333"/>
      <w:r w:rsidRPr="00E82924">
        <w:rPr>
          <w:rFonts w:ascii="Verdana" w:eastAsia="Calibri" w:hAnsi="Verdana" w:cs="Arial"/>
          <w:sz w:val="20"/>
          <w:szCs w:val="20"/>
          <w:lang w:val="es-ES_tradnl"/>
        </w:rPr>
        <w:t xml:space="preserve">el resultado que se desencadena de la manifestación de uno o varios eventos naturales </w:t>
      </w:r>
      <w:bookmarkStart w:id="13" w:name="_Hlk35870820"/>
      <w:r w:rsidRPr="00E82924">
        <w:rPr>
          <w:rFonts w:ascii="Verdana" w:eastAsia="Calibri" w:hAnsi="Verdana" w:cs="Arial"/>
          <w:sz w:val="20"/>
          <w:szCs w:val="20"/>
          <w:lang w:val="es-ES_tradnl"/>
        </w:rPr>
        <w:t xml:space="preserve">o antropogénicos no intencionales </w:t>
      </w:r>
      <w:bookmarkEnd w:id="13"/>
      <w:r w:rsidRPr="00E82924">
        <w:rPr>
          <w:rFonts w:ascii="Verdana" w:eastAsia="Calibri" w:hAnsi="Verdana" w:cs="Arial"/>
          <w:sz w:val="20"/>
          <w:szCs w:val="20"/>
          <w:lang w:val="es-ES_tradnl"/>
        </w:rPr>
        <w:t xml:space="preserve">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w:t>
      </w:r>
      <w:bookmarkEnd w:id="12"/>
      <w:r w:rsidRPr="00E82924">
        <w:rPr>
          <w:rFonts w:ascii="Verdana" w:eastAsia="Calibri" w:hAnsi="Verdana" w:cs="Arial"/>
          <w:sz w:val="20"/>
          <w:szCs w:val="20"/>
          <w:lang w:val="es-ES_tradnl"/>
        </w:rPr>
        <w:t>de la población, en el respectivo territorio, que exige al municipio, distrito o departamento ejecutar acciones de respuesta a la emergencia, rehabilitación y reconstrucción.</w:t>
      </w:r>
    </w:p>
    <w:p w14:paraId="70C204CC" w14:textId="77777777" w:rsidR="00AC19DA" w:rsidRPr="00E82924" w:rsidRDefault="00AC19DA" w:rsidP="00AC19DA">
      <w:pPr>
        <w:spacing w:after="120" w:line="240" w:lineRule="auto"/>
        <w:ind w:left="709" w:right="709"/>
        <w:jc w:val="both"/>
        <w:rPr>
          <w:rFonts w:ascii="Verdana" w:eastAsia="Calibri" w:hAnsi="Verdana" w:cs="Arial"/>
          <w:sz w:val="20"/>
          <w:szCs w:val="20"/>
          <w:lang w:val="es-ES_tradnl"/>
        </w:rPr>
      </w:pPr>
      <w:r w:rsidRPr="00E82924">
        <w:rPr>
          <w:rFonts w:ascii="Verdana" w:eastAsia="Calibri" w:hAnsi="Verdana" w:cs="Arial"/>
          <w:sz w:val="20"/>
          <w:szCs w:val="20"/>
          <w:lang w:val="es-ES_tradnl"/>
        </w:rPr>
        <w:t xml:space="preserve">[…] </w:t>
      </w:r>
    </w:p>
    <w:p w14:paraId="54CF6D61" w14:textId="56432B54" w:rsidR="00E82924" w:rsidRDefault="00AC19DA" w:rsidP="000E345D">
      <w:pPr>
        <w:spacing w:after="0" w:line="240" w:lineRule="auto"/>
        <w:ind w:left="709" w:right="709"/>
        <w:jc w:val="both"/>
        <w:rPr>
          <w:rFonts w:ascii="Verdana" w:eastAsia="Calibri" w:hAnsi="Verdana" w:cs="Arial"/>
          <w:sz w:val="20"/>
          <w:szCs w:val="20"/>
          <w:lang w:val="es-ES_tradnl"/>
        </w:rPr>
      </w:pPr>
      <w:r w:rsidRPr="00E82924">
        <w:rPr>
          <w:rFonts w:ascii="Verdana" w:eastAsia="Calibri" w:hAnsi="Verdana" w:cs="Arial"/>
          <w:sz w:val="20"/>
          <w:szCs w:val="20"/>
          <w:lang w:val="es-ES_tradnl"/>
        </w:rPr>
        <w:t>8. Desastre: Es el resultado que se desencadena de la manifestación de uno o varios eventos naturales o antropogénicos no intencionales que al encontrar condiciones propicias de vulnerabilidad en las personas, los bienes, la infraestructura, los medios de subsistencia, la prestación de servicios o los recursos ambientales, causa daños o pérdidas humanas, materiales, económicas o ambientales, generando una alteración intensa, grave y extendida en las condiciones normales de funcionamiento de la sociedad, que exige del Estado y del sistema nacional ejecutar acciones de respuesta a la emergencia, rehabilitación y reconstrucción”.</w:t>
      </w:r>
    </w:p>
    <w:p w14:paraId="2184FB72" w14:textId="77777777" w:rsidR="000E345D" w:rsidRPr="000E345D" w:rsidRDefault="000E345D" w:rsidP="000E345D">
      <w:pPr>
        <w:spacing w:after="0" w:line="240" w:lineRule="auto"/>
        <w:ind w:left="709" w:right="709"/>
        <w:jc w:val="both"/>
        <w:rPr>
          <w:rFonts w:ascii="Verdana" w:eastAsia="Calibri" w:hAnsi="Verdana" w:cs="Arial"/>
          <w:sz w:val="20"/>
          <w:szCs w:val="20"/>
          <w:lang w:val="es-ES_tradnl"/>
        </w:rPr>
      </w:pPr>
    </w:p>
    <w:p w14:paraId="2EB1CD20" w14:textId="07B56424" w:rsidR="00AC19DA" w:rsidRPr="00D93A6C" w:rsidRDefault="00AC19DA" w:rsidP="00AC19DA">
      <w:pPr>
        <w:spacing w:after="120" w:line="276" w:lineRule="auto"/>
        <w:ind w:firstLine="709"/>
        <w:jc w:val="both"/>
        <w:rPr>
          <w:rFonts w:ascii="Verdana" w:eastAsia="Calibri" w:hAnsi="Verdana" w:cs="Arial"/>
          <w:lang w:val="es-ES"/>
        </w:rPr>
      </w:pPr>
      <w:r w:rsidRPr="3683B926">
        <w:rPr>
          <w:rFonts w:ascii="Verdana" w:eastAsia="Calibri" w:hAnsi="Verdana" w:cs="Arial"/>
          <w:lang w:val="es-ES"/>
        </w:rPr>
        <w:t xml:space="preserve">Esta norma debe armonizarse con los artículos 56 y 57 </w:t>
      </w:r>
      <w:r w:rsidRPr="3683B926">
        <w:rPr>
          <w:rFonts w:ascii="Verdana" w:eastAsia="Calibri" w:hAnsi="Verdana" w:cs="Arial"/>
          <w:i/>
          <w:lang w:val="es-ES"/>
        </w:rPr>
        <w:t>ibidem</w:t>
      </w:r>
      <w:r w:rsidRPr="3683B926">
        <w:rPr>
          <w:rFonts w:ascii="Verdana" w:eastAsia="Calibri" w:hAnsi="Verdana" w:cs="Arial"/>
          <w:lang w:val="es-ES"/>
        </w:rPr>
        <w:t xml:space="preserve">, que asignan la competencia para declarar la ocurrencia de una situación de </w:t>
      </w:r>
      <w:r w:rsidRPr="3683B926">
        <w:rPr>
          <w:rFonts w:ascii="Verdana" w:eastAsia="Calibri" w:hAnsi="Verdana" w:cs="Arial"/>
          <w:i/>
          <w:lang w:val="es-ES"/>
        </w:rPr>
        <w:t>desastre</w:t>
      </w:r>
      <w:r w:rsidRPr="3683B926">
        <w:rPr>
          <w:rFonts w:ascii="Verdana" w:eastAsia="Calibri" w:hAnsi="Verdana" w:cs="Arial"/>
          <w:lang w:val="es-ES"/>
        </w:rPr>
        <w:t xml:space="preserve"> o una situación de </w:t>
      </w:r>
      <w:r w:rsidRPr="3683B926">
        <w:rPr>
          <w:rFonts w:ascii="Verdana" w:eastAsia="Calibri" w:hAnsi="Verdana" w:cs="Arial"/>
          <w:i/>
          <w:lang w:val="es-ES"/>
        </w:rPr>
        <w:t>calamidad pública</w:t>
      </w:r>
      <w:r w:rsidRPr="3683B926">
        <w:rPr>
          <w:rFonts w:ascii="Verdana" w:eastAsia="Calibri" w:hAnsi="Verdana" w:cs="Arial"/>
          <w:lang w:val="es-ES"/>
        </w:rPr>
        <w:t xml:space="preserve">. Particularmente, disponen que al Presidente de la República le corresponde declarar la situación de </w:t>
      </w:r>
      <w:r w:rsidRPr="3683B926">
        <w:rPr>
          <w:rFonts w:ascii="Verdana" w:eastAsia="Calibri" w:hAnsi="Verdana" w:cs="Arial"/>
          <w:i/>
          <w:lang w:val="es-ES"/>
        </w:rPr>
        <w:t>desastre</w:t>
      </w:r>
      <w:r w:rsidRPr="3683B926">
        <w:rPr>
          <w:rFonts w:ascii="Verdana" w:eastAsia="Calibri" w:hAnsi="Verdana" w:cs="Arial"/>
          <w:lang w:val="es-ES"/>
        </w:rPr>
        <w:t>, tanto en el orden nacional, departamental, como en el municipal y distrital</w:t>
      </w:r>
      <w:r w:rsidRPr="3683B926">
        <w:rPr>
          <w:rStyle w:val="Refdenotaalpie"/>
          <w:rFonts w:ascii="Verdana" w:eastAsia="Calibri" w:hAnsi="Verdana" w:cs="Arial"/>
          <w:lang w:val="es-ES"/>
        </w:rPr>
        <w:footnoteReference w:id="11"/>
      </w:r>
      <w:r w:rsidRPr="3683B926">
        <w:rPr>
          <w:rFonts w:ascii="Verdana" w:eastAsia="Calibri" w:hAnsi="Verdana" w:cs="Arial"/>
          <w:lang w:val="es-ES"/>
        </w:rPr>
        <w:t xml:space="preserve">, facultad que no pueden ejercer los gobernadores y alcaldes, porque la norma no les asignó esta competencia. No obstante, a los gobernadores y alcaldes sí les corresponde declarar la </w:t>
      </w:r>
      <w:r w:rsidRPr="3683B926">
        <w:rPr>
          <w:rFonts w:ascii="Verdana" w:eastAsia="Calibri" w:hAnsi="Verdana" w:cs="Arial"/>
          <w:i/>
          <w:lang w:val="es-ES"/>
        </w:rPr>
        <w:t>situación de calamidad pública</w:t>
      </w:r>
      <w:r w:rsidRPr="3683B926">
        <w:rPr>
          <w:rFonts w:ascii="Verdana" w:eastAsia="Calibri" w:hAnsi="Verdana" w:cs="Arial"/>
          <w:lang w:val="es-ES"/>
        </w:rPr>
        <w:t>, en los respectivos ámbitos, facultad que, en cambio, no puede ejercer el presidente de la república</w:t>
      </w:r>
      <w:r w:rsidRPr="3683B926">
        <w:rPr>
          <w:rStyle w:val="Refdenotaalpie"/>
          <w:rFonts w:ascii="Verdana" w:eastAsia="Calibri" w:hAnsi="Verdana" w:cs="Arial"/>
          <w:lang w:val="es-ES"/>
        </w:rPr>
        <w:footnoteReference w:id="12"/>
      </w:r>
      <w:r w:rsidRPr="3683B926">
        <w:rPr>
          <w:rFonts w:ascii="Verdana" w:eastAsia="Calibri" w:hAnsi="Verdana" w:cs="Arial"/>
          <w:lang w:val="es-ES"/>
        </w:rPr>
        <w:t xml:space="preserve">. </w:t>
      </w:r>
    </w:p>
    <w:p w14:paraId="76170835" w14:textId="77777777" w:rsidR="00AC19DA" w:rsidRPr="00D93A6C" w:rsidRDefault="00AC19DA" w:rsidP="00AC19DA">
      <w:pPr>
        <w:spacing w:after="120" w:line="276" w:lineRule="auto"/>
        <w:ind w:firstLine="709"/>
        <w:jc w:val="both"/>
        <w:rPr>
          <w:rFonts w:ascii="Verdana" w:eastAsia="Calibri" w:hAnsi="Verdana" w:cs="Arial"/>
          <w:lang w:val="es-ES_tradnl"/>
        </w:rPr>
      </w:pPr>
      <w:r w:rsidRPr="00D93A6C">
        <w:rPr>
          <w:rFonts w:ascii="Verdana" w:eastAsia="Calibri" w:hAnsi="Verdana" w:cs="Arial"/>
          <w:lang w:val="es-ES_tradnl"/>
        </w:rPr>
        <w:t xml:space="preserve">De esta manera, una vez se declara la situación de calamidad o la situación de desastre bajo los criterios señalados en el artículo 59 de la Ley 1523 de 2012, por parte de la autoridad competente, las demás entidades estatales –de conformidad con el artículo 42 de la Ley 80 de 1993– quedan facultadas para declarar, a continuación, la causal de contratación directa denominada “urgencia manifiesta”, mediante un acto administrativo propio, autónomo, que tiene como fundamento fáctico y jurídico la declaración de situación de calamidad o la situación de desastre. </w:t>
      </w:r>
    </w:p>
    <w:p w14:paraId="6CA2D34F" w14:textId="77777777" w:rsidR="00AC19DA" w:rsidRPr="00D93A6C" w:rsidRDefault="00AC19DA" w:rsidP="00AC19DA">
      <w:pPr>
        <w:spacing w:after="120" w:line="276" w:lineRule="auto"/>
        <w:ind w:firstLine="709"/>
        <w:jc w:val="both"/>
        <w:rPr>
          <w:rFonts w:ascii="Verdana" w:eastAsia="Calibri" w:hAnsi="Verdana" w:cs="Arial"/>
          <w:lang w:val="es-ES"/>
        </w:rPr>
      </w:pPr>
      <w:bookmarkStart w:id="15" w:name="_Hlk35959844"/>
      <w:r w:rsidRPr="3683B926">
        <w:rPr>
          <w:rFonts w:ascii="Verdana" w:eastAsia="Calibri" w:hAnsi="Verdana" w:cs="Arial"/>
          <w:lang w:val="es-ES"/>
        </w:rPr>
        <w:t xml:space="preserve">Lo anterior significa que </w:t>
      </w:r>
      <w:bookmarkStart w:id="16" w:name="_Hlk35959859"/>
      <w:r w:rsidRPr="3683B926">
        <w:rPr>
          <w:rFonts w:ascii="Verdana" w:eastAsia="Calibri" w:hAnsi="Verdana" w:cs="Arial"/>
          <w:lang w:val="es-ES"/>
        </w:rPr>
        <w:t xml:space="preserve">para contratar </w:t>
      </w:r>
      <w:bookmarkEnd w:id="15"/>
      <w:r w:rsidRPr="3683B926">
        <w:rPr>
          <w:rFonts w:ascii="Verdana" w:eastAsia="Calibri" w:hAnsi="Verdana" w:cs="Arial"/>
          <w:lang w:val="es-ES"/>
        </w:rPr>
        <w:t>directamente no basta con la declaración de desastre o de calamidad. Es decir, se necesitan dos (2) actos administrativos concurrentes para que pueda contratarse directamente por urgencia manifiesta: i) el primero en el tiempo, la declaración de la situación de calamidad pública o la declaración de la situación de desastre, de conformidad con lo establecido en el Capítulo VI de la Ley 1523 de 2012; y ii) el segundo, la declaración propiamente dicha de “urgencia manifiesta” de que trata el artículo 42 del Estatuto General de Contratación, amparado o fundamentado en la declaración previa del desastre o calamidad.</w:t>
      </w:r>
    </w:p>
    <w:p w14:paraId="3D9179DB" w14:textId="77777777" w:rsidR="00AC19DA" w:rsidRPr="00D93A6C" w:rsidRDefault="00AC19DA" w:rsidP="00AC19DA">
      <w:pPr>
        <w:spacing w:after="120" w:line="276" w:lineRule="auto"/>
        <w:ind w:firstLine="709"/>
        <w:jc w:val="both"/>
        <w:rPr>
          <w:rFonts w:ascii="Verdana" w:eastAsia="Calibri" w:hAnsi="Verdana" w:cs="Arial"/>
          <w:lang w:val="es-ES"/>
        </w:rPr>
      </w:pPr>
      <w:r w:rsidRPr="3683B926">
        <w:rPr>
          <w:rFonts w:ascii="Verdana" w:eastAsia="Calibri" w:hAnsi="Verdana" w:cs="Arial"/>
          <w:lang w:val="es-ES"/>
        </w:rPr>
        <w:t xml:space="preserve"> </w:t>
      </w:r>
      <w:r>
        <w:rPr>
          <w:rFonts w:ascii="Verdana" w:eastAsia="Calibri" w:hAnsi="Verdana" w:cs="Arial"/>
          <w:lang w:val="es-ES"/>
        </w:rPr>
        <w:t>P</w:t>
      </w:r>
      <w:r w:rsidRPr="3683B926">
        <w:rPr>
          <w:rFonts w:ascii="Verdana" w:eastAsia="Calibri" w:hAnsi="Verdana" w:cs="Arial"/>
          <w:lang w:val="es-ES"/>
        </w:rPr>
        <w:t>ara declarar la urgencia manifiesta es imprescindible que el presidente de la república o el gobernador o el alcalde, según el caso, hayan declarado la situación de desastre o la declaración de calamidad.</w:t>
      </w:r>
      <w:r>
        <w:rPr>
          <w:rFonts w:ascii="Verdana" w:eastAsia="Calibri" w:hAnsi="Verdana" w:cs="Arial"/>
          <w:lang w:val="es-ES"/>
        </w:rPr>
        <w:t xml:space="preserve"> Tratándose de los funcionarios mencionados, ambas declaraciones pueden realizarse en un mismo acto administrativo, es decir, el presidente, el gobernador o el alcalde declara el desastre o la calamidad y, como consecuencia, decreta la urgencia manifiesta.</w:t>
      </w:r>
      <w:r w:rsidRPr="3683B926">
        <w:rPr>
          <w:rFonts w:ascii="Verdana" w:eastAsia="Calibri" w:hAnsi="Verdana" w:cs="Arial"/>
          <w:lang w:val="es-ES"/>
        </w:rPr>
        <w:t xml:space="preserve"> Lo anterior, porque la situación de calamidad pública o la situación de desastre depende tanto de la ocurrencia de los hechos que dan lugar a las mismas como de la declaración del órgano competente, de manera que ninguna se configura a falta de alguna de estas condiciones. </w:t>
      </w:r>
    </w:p>
    <w:p w14:paraId="10FC9FA7" w14:textId="77777777" w:rsidR="00AC19DA"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lang w:val="es-ES_tradnl"/>
        </w:rPr>
        <w:t>C</w:t>
      </w:r>
      <w:r w:rsidRPr="00D93A6C">
        <w:rPr>
          <w:rFonts w:ascii="Verdana" w:eastAsia="Calibri" w:hAnsi="Verdana" w:cs="Arial"/>
          <w:lang w:val="es-ES_tradnl"/>
        </w:rPr>
        <w:t xml:space="preserve">omo una autoridad diferente al presidente de la república, o al gobernador y el alcalde –por ejemplo, los ministros, directores o presidentes de agencias, directores de establecimientos públicos, de sociedades de economía mixta, etc.–, carece de competencia para declarar cualquiera de estas dos </w:t>
      </w:r>
      <w:r>
        <w:rPr>
          <w:rFonts w:ascii="Verdana" w:eastAsia="Calibri" w:hAnsi="Verdana" w:cs="Arial"/>
          <w:lang w:val="es-ES_tradnl"/>
        </w:rPr>
        <w:t xml:space="preserve">(2) </w:t>
      </w:r>
      <w:r w:rsidRPr="00D93A6C">
        <w:rPr>
          <w:rFonts w:ascii="Verdana" w:eastAsia="Calibri" w:hAnsi="Verdana" w:cs="Arial"/>
          <w:lang w:val="es-ES_tradnl"/>
        </w:rPr>
        <w:t>situaciones, deben esperar a que se dicten los actos respectivos para fundamentar la declaración de urgencia manifiesta en la situación de desastre o en la situación de calamidad</w:t>
      </w:r>
      <w:bookmarkEnd w:id="16"/>
      <w:r w:rsidRPr="00D93A6C">
        <w:rPr>
          <w:rFonts w:ascii="Verdana" w:eastAsia="Calibri" w:hAnsi="Verdana" w:cs="Arial"/>
          <w:lang w:val="es-ES_tradnl"/>
        </w:rPr>
        <w:t xml:space="preserve">. </w:t>
      </w:r>
      <w:r>
        <w:rPr>
          <w:rFonts w:ascii="Verdana" w:eastAsia="Calibri" w:hAnsi="Verdana" w:cs="Arial"/>
          <w:lang w:val="es-ES_tradnl"/>
        </w:rPr>
        <w:t xml:space="preserve">En esta segunda hipótesis, se expiden dos (2) actos administrativos separados: el presidente, gobernador o alcalde declara el desastre o la calamidad, por un lado, y </w:t>
      </w:r>
      <w:r w:rsidRPr="00D93A6C">
        <w:rPr>
          <w:rFonts w:ascii="Verdana" w:eastAsia="Calibri" w:hAnsi="Verdana" w:cs="Arial"/>
          <w:lang w:val="es-ES_tradnl"/>
        </w:rPr>
        <w:t>los ministros, directores o presidentes de agencias, directores de establecimientos públicos, de sociedades de economía mixta, etc.</w:t>
      </w:r>
      <w:r>
        <w:rPr>
          <w:rFonts w:ascii="Verdana" w:eastAsia="Calibri" w:hAnsi="Verdana" w:cs="Arial"/>
          <w:lang w:val="es-ES_tradnl"/>
        </w:rPr>
        <w:t xml:space="preserve"> decretan la urgencia manifiesta, por otro. </w:t>
      </w:r>
      <w:r w:rsidRPr="00D93A6C">
        <w:rPr>
          <w:rFonts w:ascii="Verdana" w:eastAsia="Calibri" w:hAnsi="Verdana" w:cs="Arial"/>
          <w:lang w:val="es-ES_tradnl"/>
        </w:rPr>
        <w:t xml:space="preserve">Por lo anterior, cuando el artículo 42 de la Ley 80 de 1993 dispone que la urgencia manifiesta se declara –entre otras tres (3) causales– para “[…] </w:t>
      </w:r>
      <w:bookmarkStart w:id="17" w:name="_Hlk35879915"/>
      <w:r w:rsidRPr="00D93A6C">
        <w:rPr>
          <w:rFonts w:ascii="Verdana" w:eastAsia="Calibri" w:hAnsi="Verdana" w:cs="Arial"/>
          <w:lang w:val="es-ES_tradnl"/>
        </w:rPr>
        <w:t>conjurar situaciones excepcionales relacionadas con hechos de calamidad o constitutivos de fuerza mayor o desastre que demanden actuaciones inmediatas</w:t>
      </w:r>
      <w:bookmarkEnd w:id="17"/>
      <w:r w:rsidRPr="00D93A6C">
        <w:rPr>
          <w:rFonts w:ascii="Verdana" w:eastAsia="Calibri" w:hAnsi="Verdana" w:cs="Arial"/>
          <w:lang w:val="es-ES_tradnl"/>
        </w:rPr>
        <w:t xml:space="preserve"> […]”, las circunstancias de calamidad y desastre deben entenderse en los términos de la Ley 1523 de 2012, en la medida que forman una unidad jurídica completa.</w:t>
      </w:r>
      <w:bookmarkStart w:id="18" w:name="_Hlk37246142"/>
    </w:p>
    <w:p w14:paraId="46857C05" w14:textId="77777777" w:rsidR="00AC19DA"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lang w:val="es-ES_tradnl"/>
        </w:rPr>
        <w:t>En este contexto, las normas relativas a la declaratoria de urgencia manifiesta contenidas en el EGCAP especialmente el artículo 42 y 43 son aplicables a las entidades definidas en el artículo 2 literal a y b del mismo estatuto</w:t>
      </w:r>
      <w:r>
        <w:rPr>
          <w:rStyle w:val="Refdenotaalpie"/>
          <w:rFonts w:ascii="Verdana" w:eastAsia="Calibri" w:hAnsi="Verdana" w:cs="Arial"/>
          <w:lang w:val="es-ES_tradnl"/>
        </w:rPr>
        <w:footnoteReference w:id="13"/>
      </w:r>
      <w:r>
        <w:rPr>
          <w:rFonts w:ascii="Verdana" w:eastAsia="Calibri" w:hAnsi="Verdana" w:cs="Arial"/>
          <w:lang w:val="es-ES_tradnl"/>
        </w:rPr>
        <w:t>.</w:t>
      </w:r>
    </w:p>
    <w:p w14:paraId="09F3A80F" w14:textId="77777777" w:rsidR="00AC19DA" w:rsidRPr="00F73DA7"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Ahora bien, </w:t>
      </w:r>
      <w:r w:rsidRPr="0027428E">
        <w:rPr>
          <w:rFonts w:ascii="Verdana" w:eastAsia="Calibri" w:hAnsi="Verdana" w:cs="Arial"/>
          <w:lang w:val="es-ES"/>
        </w:rPr>
        <w:t>e</w:t>
      </w:r>
      <w:r w:rsidRPr="0027428E">
        <w:rPr>
          <w:rFonts w:ascii="Verdana" w:eastAsia="Calibri" w:hAnsi="Verdana" w:cs="Arial"/>
          <w:bCs/>
          <w:lang w:val="es-MX"/>
        </w:rPr>
        <w:t xml:space="preserve">l inciso segundo del 365 constitucional dispone que “Los servicios públicos estarán sometidos al régimen jurídico que fije la ley, podrán ser prestados por el Estado, directa o indirectamente, por comunidades organizadas, o por particulares […]”. </w:t>
      </w:r>
      <w:r>
        <w:rPr>
          <w:rFonts w:ascii="Verdana" w:eastAsia="Calibri" w:hAnsi="Verdana" w:cs="Arial"/>
          <w:bCs/>
          <w:lang w:val="es-MX"/>
        </w:rPr>
        <w:t xml:space="preserve">Por su parte, </w:t>
      </w:r>
      <w:r>
        <w:rPr>
          <w:rFonts w:ascii="Verdana" w:eastAsia="Calibri" w:hAnsi="Verdana" w:cs="Arial"/>
          <w:lang w:val="es-ES_tradnl"/>
        </w:rPr>
        <w:t>e</w:t>
      </w:r>
      <w:r w:rsidRPr="00C43757">
        <w:rPr>
          <w:rFonts w:ascii="Verdana" w:eastAsia="Times New Roman" w:hAnsi="Verdana" w:cs="Arial"/>
          <w:bCs/>
          <w:lang w:val="es-ES" w:eastAsia="x-none"/>
        </w:rPr>
        <w:t xml:space="preserve">l artículo 14 de la Ley 142 de 1994 contiene las definiciones para la correcta aplicación e interpretación del régimen de servicios públicos domiciliarios. Esta norma define los distintos tipos de Empresas de Servicios Públicos en los siguientes términos: </w:t>
      </w:r>
    </w:p>
    <w:p w14:paraId="6382EB90" w14:textId="77777777" w:rsidR="00AC19DA" w:rsidRDefault="00AC19DA" w:rsidP="00AC19DA">
      <w:pPr>
        <w:widowControl w:val="0"/>
        <w:tabs>
          <w:tab w:val="left" w:pos="709"/>
        </w:tabs>
        <w:spacing w:after="0" w:line="240" w:lineRule="auto"/>
        <w:ind w:left="709" w:right="709"/>
        <w:jc w:val="both"/>
        <w:rPr>
          <w:rFonts w:ascii="Verdana" w:eastAsia="Arial" w:hAnsi="Verdana" w:cs="Arial"/>
          <w:sz w:val="20"/>
          <w:szCs w:val="20"/>
          <w:lang w:val="es-ES" w:eastAsia="es-CO"/>
        </w:rPr>
      </w:pPr>
    </w:p>
    <w:p w14:paraId="3093E248" w14:textId="77777777" w:rsidR="00AC19DA" w:rsidRPr="00C43757" w:rsidRDefault="00AC19DA" w:rsidP="00AC19DA">
      <w:pPr>
        <w:widowControl w:val="0"/>
        <w:tabs>
          <w:tab w:val="left" w:pos="709"/>
        </w:tabs>
        <w:spacing w:after="0" w:line="240" w:lineRule="auto"/>
        <w:ind w:left="709" w:right="709"/>
        <w:jc w:val="both"/>
        <w:rPr>
          <w:rFonts w:ascii="Verdana" w:eastAsia="Arial" w:hAnsi="Verdana" w:cs="Arial"/>
          <w:sz w:val="20"/>
          <w:szCs w:val="20"/>
          <w:lang w:val="es-ES" w:eastAsia="es-CO"/>
        </w:rPr>
      </w:pPr>
      <w:r w:rsidRPr="00C43757">
        <w:rPr>
          <w:rFonts w:ascii="Verdana" w:eastAsia="Arial" w:hAnsi="Verdana" w:cs="Arial"/>
          <w:sz w:val="20"/>
          <w:szCs w:val="20"/>
          <w:lang w:val="es-ES" w:eastAsia="es-CO"/>
        </w:rPr>
        <w:t>“14.5.</w:t>
      </w:r>
      <w:r w:rsidRPr="00C43757">
        <w:rPr>
          <w:rFonts w:ascii="Verdana" w:eastAsia="Arial" w:hAnsi="Verdana" w:cs="Arial"/>
          <w:sz w:val="20"/>
          <w:szCs w:val="20"/>
          <w:lang w:val="es-ES" w:eastAsia="es-CO"/>
        </w:rPr>
        <w:tab/>
        <w:t>Empresa de servicios públicos oficial. Es aquella en cuyo capital la Nación, las entidades territoriales, o las entidades descentralizadas de aquella o estas tienen el 100% de los aportes.</w:t>
      </w:r>
    </w:p>
    <w:p w14:paraId="345CBE5F" w14:textId="77777777" w:rsidR="00AC19DA" w:rsidRPr="00C43757" w:rsidRDefault="00AC19DA" w:rsidP="00AC19DA">
      <w:pPr>
        <w:widowControl w:val="0"/>
        <w:tabs>
          <w:tab w:val="left" w:pos="709"/>
        </w:tabs>
        <w:spacing w:after="0" w:line="240" w:lineRule="auto"/>
        <w:ind w:left="709" w:right="709"/>
        <w:jc w:val="both"/>
        <w:rPr>
          <w:rFonts w:ascii="Verdana" w:eastAsia="Arial" w:hAnsi="Verdana" w:cs="Arial"/>
          <w:sz w:val="20"/>
          <w:szCs w:val="20"/>
          <w:lang w:val="es-ES" w:eastAsia="es-CO"/>
        </w:rPr>
      </w:pPr>
    </w:p>
    <w:p w14:paraId="4E8C0E8B" w14:textId="3A9DE411" w:rsidR="00AC19DA" w:rsidRPr="00C43757" w:rsidRDefault="00AC19DA" w:rsidP="000E345D">
      <w:pPr>
        <w:widowControl w:val="0"/>
        <w:tabs>
          <w:tab w:val="left" w:pos="709"/>
        </w:tabs>
        <w:spacing w:after="0" w:line="240" w:lineRule="auto"/>
        <w:ind w:left="709" w:right="709"/>
        <w:jc w:val="both"/>
        <w:rPr>
          <w:rFonts w:ascii="Verdana" w:eastAsia="Arial" w:hAnsi="Verdana" w:cs="Arial"/>
          <w:sz w:val="20"/>
          <w:szCs w:val="20"/>
          <w:lang w:val="es-ES" w:eastAsia="es-CO"/>
        </w:rPr>
      </w:pPr>
      <w:r w:rsidRPr="00C43757">
        <w:rPr>
          <w:rFonts w:ascii="Verdana" w:eastAsia="Arial" w:hAnsi="Verdana" w:cs="Arial"/>
          <w:sz w:val="20"/>
          <w:szCs w:val="20"/>
          <w:lang w:val="es-ES" w:eastAsia="es-CO"/>
        </w:rPr>
        <w:t>14.6.</w:t>
      </w:r>
      <w:r w:rsidRPr="00C43757">
        <w:rPr>
          <w:rFonts w:ascii="Verdana" w:eastAsia="Arial" w:hAnsi="Verdana" w:cs="Arial"/>
          <w:sz w:val="20"/>
          <w:szCs w:val="20"/>
          <w:lang w:val="es-ES" w:eastAsia="es-CO"/>
        </w:rPr>
        <w:tab/>
        <w:t>Empresa de servicios públicos mixta. Es aquella en cuyo capital la Nación, las entidades territoriales, o las entidades descentralizadas de aquella o éstas tienen aportes iguales o superiores al 50%.</w:t>
      </w:r>
    </w:p>
    <w:p w14:paraId="6E16BA98" w14:textId="77777777" w:rsidR="00AC19DA" w:rsidRPr="00C43757" w:rsidRDefault="00AC19DA" w:rsidP="00AC19DA">
      <w:pPr>
        <w:widowControl w:val="0"/>
        <w:tabs>
          <w:tab w:val="left" w:pos="709"/>
        </w:tabs>
        <w:spacing w:after="0" w:line="240" w:lineRule="auto"/>
        <w:ind w:left="709" w:right="709"/>
        <w:jc w:val="both"/>
        <w:rPr>
          <w:rFonts w:ascii="Verdana" w:eastAsia="Arial" w:hAnsi="Verdana" w:cs="Arial"/>
          <w:sz w:val="20"/>
          <w:szCs w:val="20"/>
          <w:lang w:val="es-ES" w:eastAsia="es-CO"/>
        </w:rPr>
      </w:pPr>
      <w:r w:rsidRPr="00C43757">
        <w:rPr>
          <w:rFonts w:ascii="Verdana" w:eastAsia="Arial" w:hAnsi="Verdana" w:cs="Arial"/>
          <w:sz w:val="20"/>
          <w:szCs w:val="20"/>
          <w:lang w:val="es-ES" w:eastAsia="es-CO"/>
        </w:rPr>
        <w:t>14.7.</w:t>
      </w:r>
      <w:r w:rsidRPr="00C43757">
        <w:rPr>
          <w:rFonts w:ascii="Verdana" w:eastAsia="Arial" w:hAnsi="Verdana" w:cs="Arial"/>
          <w:sz w:val="20"/>
          <w:szCs w:val="20"/>
          <w:lang w:val="es-ES" w:eastAsia="es-CO"/>
        </w:rPr>
        <w:tab/>
        <w:t>Empresa de servicios públicos privada. Es aquella cuyo capital pertenece mayoritariamente a particulares, o a entidades surgidas de convenios internacionales que deseen someterse íntegramente para estos efectos a las reglas a las que se someten los particulares.”</w:t>
      </w:r>
    </w:p>
    <w:p w14:paraId="790139B9" w14:textId="77777777" w:rsidR="00AC19DA" w:rsidRPr="00C43757" w:rsidRDefault="00AC19DA" w:rsidP="00AC19DA">
      <w:pPr>
        <w:spacing w:after="0" w:line="240" w:lineRule="auto"/>
        <w:jc w:val="both"/>
        <w:rPr>
          <w:rFonts w:ascii="Verdana" w:eastAsia="Times New Roman" w:hAnsi="Verdana" w:cs="Arial"/>
          <w:bCs/>
          <w:lang w:val="es-ES" w:eastAsia="x-none"/>
        </w:rPr>
      </w:pPr>
    </w:p>
    <w:p w14:paraId="3F106C9D" w14:textId="77777777" w:rsidR="00AC19DA" w:rsidRPr="00C43757" w:rsidRDefault="00AC19DA" w:rsidP="00AC19DA">
      <w:pPr>
        <w:widowControl w:val="0"/>
        <w:spacing w:after="120" w:line="276" w:lineRule="auto"/>
        <w:ind w:firstLine="708"/>
        <w:jc w:val="both"/>
        <w:rPr>
          <w:rFonts w:ascii="Verdana" w:eastAsia="Arial" w:hAnsi="Verdana" w:cs="Arial"/>
          <w:lang w:val="es-ES" w:eastAsia="es-CO"/>
        </w:rPr>
      </w:pPr>
      <w:r w:rsidRPr="00C43757">
        <w:rPr>
          <w:rFonts w:ascii="Verdana" w:eastAsia="Arial" w:hAnsi="Verdana" w:cs="Arial"/>
          <w:lang w:val="es-ES" w:eastAsia="es-CO"/>
        </w:rPr>
        <w:t>A su turno, el artículo 17 de la ley citada señala que “las empresas de servicios públicos son sociedades por acciones cuyo objeto es la prestación de los servicios públicos de que trata esta ley”. Lo cual significa que, en el evento de constituirse un prestador de estos servicios bajo la modalidad del numeral 1, del artículo 15, esta deberá conformarse bajo la forma societaria de una sociedad por acciones, respecto de las cuales existen tres tipos: i) sociedad anónima, ii) sociedad en comandita por acciones, o iii) sociedad por acciones simplificada, ya que la legislación vigente así las tipifica</w:t>
      </w:r>
      <w:r w:rsidRPr="00C43757">
        <w:rPr>
          <w:rFonts w:ascii="Verdana" w:eastAsia="Arial" w:hAnsi="Verdana" w:cs="Arial"/>
          <w:vertAlign w:val="superscript"/>
          <w:lang w:val="es-ES" w:eastAsia="es-CO"/>
        </w:rPr>
        <w:footnoteReference w:id="14"/>
      </w:r>
      <w:r w:rsidRPr="00C43757">
        <w:rPr>
          <w:rFonts w:ascii="Verdana" w:eastAsia="Arial" w:hAnsi="Verdana" w:cs="Arial"/>
          <w:lang w:val="es-ES" w:eastAsia="es-CO"/>
        </w:rPr>
        <w:t>.</w:t>
      </w:r>
    </w:p>
    <w:p w14:paraId="742386FE" w14:textId="77777777" w:rsidR="00AC19DA" w:rsidRPr="00C43757" w:rsidRDefault="00AC19DA" w:rsidP="00AC19DA">
      <w:pPr>
        <w:spacing w:after="120" w:line="276" w:lineRule="auto"/>
        <w:ind w:firstLine="709"/>
        <w:jc w:val="both"/>
        <w:rPr>
          <w:rFonts w:ascii="Verdana" w:eastAsia="Calibri" w:hAnsi="Verdana" w:cs="Arial"/>
          <w:bCs/>
          <w:lang w:val="es-ES"/>
        </w:rPr>
      </w:pPr>
      <w:r w:rsidRPr="00C43757">
        <w:rPr>
          <w:rFonts w:ascii="Verdana" w:eastAsia="Calibri" w:hAnsi="Verdana" w:cs="Arial"/>
          <w:bCs/>
          <w:lang w:val="es-ES"/>
        </w:rPr>
        <w:t xml:space="preserve">Adicionalmente, las Empresas Prestadoras de Servicios Públicos tienen la naturaleza jurídica de empresas que pertenecen a la </w:t>
      </w:r>
      <w:r w:rsidRPr="00C43757">
        <w:rPr>
          <w:rFonts w:ascii="Verdana" w:eastAsia="Calibri" w:hAnsi="Verdana" w:cs="Arial"/>
          <w:bCs/>
          <w:i/>
          <w:iCs/>
          <w:lang w:val="es-ES"/>
        </w:rPr>
        <w:t>rama ejecutiva</w:t>
      </w:r>
      <w:r w:rsidRPr="00C43757">
        <w:rPr>
          <w:rFonts w:ascii="Verdana" w:eastAsia="Calibri" w:hAnsi="Verdana" w:cs="Arial"/>
          <w:bCs/>
          <w:lang w:val="es-ES"/>
        </w:rPr>
        <w:t xml:space="preserve"> del poder público. El literal d) del artículo 38 de la Ley 489 de 1998 señala que las Empresas Sociales del Estado y las Empresas Oficiales de Servicios Públicos Domiciliarios pertenecen a las entidades de la Rama Ejecutiva del sector descentralizado por servicio</w:t>
      </w:r>
      <w:r>
        <w:rPr>
          <w:rFonts w:ascii="Verdana" w:eastAsia="Calibri" w:hAnsi="Verdana" w:cs="Arial"/>
          <w:bCs/>
          <w:lang w:val="es-ES"/>
        </w:rPr>
        <w:t>s</w:t>
      </w:r>
      <w:r>
        <w:rPr>
          <w:rStyle w:val="Refdenotaalpie"/>
          <w:rFonts w:ascii="Verdana" w:eastAsia="Calibri" w:hAnsi="Verdana" w:cs="Arial"/>
          <w:bCs/>
          <w:lang w:val="es-ES"/>
        </w:rPr>
        <w:footnoteReference w:id="15"/>
      </w:r>
      <w:r w:rsidRPr="00C43757">
        <w:rPr>
          <w:rFonts w:ascii="Verdana" w:eastAsia="Calibri" w:hAnsi="Verdana" w:cs="Arial"/>
          <w:bCs/>
          <w:lang w:val="es-ES"/>
        </w:rPr>
        <w:t xml:space="preserve">. Además de confirmar que las Empresas de Servicios Públicos pertenecen a la rama ejecutiva, la Corte Constitucional sostuvo que tienen el carácter de </w:t>
      </w:r>
      <w:r w:rsidRPr="00C43757">
        <w:rPr>
          <w:rFonts w:ascii="Verdana" w:eastAsia="Calibri" w:hAnsi="Verdana" w:cs="Arial"/>
          <w:bCs/>
          <w:i/>
          <w:iCs/>
          <w:lang w:val="es-ES"/>
        </w:rPr>
        <w:t>entidades descentralizadas por servicios</w:t>
      </w:r>
      <w:r w:rsidRPr="00C43757">
        <w:rPr>
          <w:rFonts w:ascii="Verdana" w:eastAsia="Calibri" w:hAnsi="Verdana" w:cs="Arial"/>
          <w:bCs/>
          <w:lang w:val="es-ES"/>
        </w:rPr>
        <w:t>, en los términos del artículo 68 de la Ley 489 de 1998:</w:t>
      </w:r>
    </w:p>
    <w:p w14:paraId="11FEB4D0" w14:textId="77777777" w:rsidR="00AC19DA" w:rsidRDefault="00AC19DA" w:rsidP="00AC19DA">
      <w:pPr>
        <w:spacing w:after="0" w:line="240" w:lineRule="auto"/>
        <w:ind w:left="709" w:right="709"/>
        <w:contextualSpacing/>
        <w:jc w:val="both"/>
        <w:rPr>
          <w:rFonts w:ascii="Verdana" w:eastAsia="Calibri" w:hAnsi="Verdana" w:cs="Arial"/>
          <w:bCs/>
          <w:sz w:val="20"/>
          <w:szCs w:val="20"/>
          <w:lang w:val="es-ES"/>
        </w:rPr>
      </w:pPr>
    </w:p>
    <w:p w14:paraId="736B50D2" w14:textId="77777777" w:rsidR="00AC19DA" w:rsidRDefault="00AC19DA" w:rsidP="00AC19DA">
      <w:pPr>
        <w:spacing w:after="0" w:line="240" w:lineRule="auto"/>
        <w:ind w:left="709" w:right="709"/>
        <w:contextualSpacing/>
        <w:jc w:val="both"/>
        <w:rPr>
          <w:rFonts w:ascii="Verdana" w:eastAsia="Calibri" w:hAnsi="Verdana" w:cs="Arial"/>
          <w:bCs/>
          <w:sz w:val="20"/>
          <w:szCs w:val="20"/>
          <w:lang w:val="es-ES"/>
        </w:rPr>
      </w:pPr>
      <w:r>
        <w:rPr>
          <w:rFonts w:ascii="Verdana" w:eastAsia="Calibri" w:hAnsi="Verdana" w:cs="Arial"/>
          <w:bCs/>
          <w:sz w:val="20"/>
          <w:szCs w:val="20"/>
          <w:lang w:val="es-ES"/>
        </w:rPr>
        <w:t>“(…)</w:t>
      </w:r>
      <w:r w:rsidRPr="009D795D">
        <w:rPr>
          <w:rFonts w:ascii="Verdana" w:eastAsia="Calibri" w:hAnsi="Verdana" w:cs="Arial"/>
          <w:bCs/>
          <w:sz w:val="20"/>
          <w:szCs w:val="20"/>
          <w:lang w:val="es-ES"/>
        </w:rPr>
        <w:t xml:space="preserve"> desde la perspectiva constitucional, en el nivel nacional las empresas de servicios públicos públicas, mixtas o privadas en las </w:t>
      </w:r>
      <w:r w:rsidRPr="009D795D">
        <w:rPr>
          <w:rFonts w:ascii="Verdana" w:eastAsia="Calibri" w:hAnsi="Verdana" w:cs="Arial"/>
          <w:bCs/>
          <w:i/>
          <w:sz w:val="20"/>
          <w:szCs w:val="20"/>
          <w:lang w:val="es-ES"/>
        </w:rPr>
        <w:t>cuales haya cualquier porcentaje de capital público pueden formar parte de la estructura de la Rama Ejecutiva</w:t>
      </w:r>
      <w:r w:rsidRPr="009D795D">
        <w:rPr>
          <w:rFonts w:ascii="Verdana" w:eastAsia="Calibri" w:hAnsi="Verdana" w:cs="Arial"/>
          <w:bCs/>
          <w:sz w:val="20"/>
          <w:szCs w:val="20"/>
          <w:lang w:val="es-ES"/>
        </w:rPr>
        <w:t>, según lo disponga el legislador, que para esos efectos está revestido de las facultades que le confiere expresamente el numeral 7° del artículo</w:t>
      </w:r>
      <w:r>
        <w:rPr>
          <w:rFonts w:ascii="Verdana" w:eastAsia="Calibri" w:hAnsi="Verdana" w:cs="Arial"/>
          <w:bCs/>
          <w:sz w:val="20"/>
          <w:szCs w:val="20"/>
          <w:lang w:val="es-ES"/>
        </w:rPr>
        <w:t xml:space="preserve"> </w:t>
      </w:r>
      <w:r w:rsidRPr="009D795D">
        <w:rPr>
          <w:rFonts w:ascii="Verdana" w:eastAsia="Calibri" w:hAnsi="Verdana" w:cs="Arial"/>
          <w:bCs/>
          <w:sz w:val="20"/>
          <w:szCs w:val="20"/>
          <w:lang w:val="es-ES"/>
        </w:rPr>
        <w:t>150 superior (énfasis fuera de texto)”</w:t>
      </w:r>
      <w:r w:rsidRPr="009D795D">
        <w:rPr>
          <w:rFonts w:ascii="Verdana" w:eastAsia="Calibri" w:hAnsi="Verdana" w:cs="Arial"/>
          <w:bCs/>
          <w:sz w:val="20"/>
          <w:szCs w:val="20"/>
          <w:vertAlign w:val="superscript"/>
          <w:lang w:val="es-ES"/>
        </w:rPr>
        <w:footnoteReference w:id="16"/>
      </w:r>
    </w:p>
    <w:p w14:paraId="435BFA4B" w14:textId="77777777" w:rsidR="000E345D" w:rsidRPr="00D05D0E" w:rsidRDefault="000E345D" w:rsidP="00AC19DA">
      <w:pPr>
        <w:spacing w:after="0" w:line="240" w:lineRule="auto"/>
        <w:ind w:left="709" w:right="709"/>
        <w:contextualSpacing/>
        <w:jc w:val="both"/>
        <w:rPr>
          <w:rFonts w:ascii="Verdana" w:eastAsia="Calibri" w:hAnsi="Verdana" w:cs="Arial"/>
          <w:bCs/>
          <w:sz w:val="20"/>
          <w:szCs w:val="20"/>
          <w:lang w:val="es-ES"/>
        </w:rPr>
      </w:pPr>
    </w:p>
    <w:p w14:paraId="77089081" w14:textId="77777777" w:rsidR="00AC19DA" w:rsidRPr="001270FC" w:rsidRDefault="00AC19DA" w:rsidP="00AC19DA">
      <w:pPr>
        <w:spacing w:after="120" w:line="276" w:lineRule="auto"/>
        <w:ind w:firstLine="709"/>
        <w:jc w:val="both"/>
        <w:rPr>
          <w:rFonts w:ascii="Verdana" w:eastAsia="Calibri" w:hAnsi="Verdana" w:cs="Arial"/>
          <w:color w:val="000000" w:themeColor="text1"/>
          <w:lang w:val="es-ES"/>
        </w:rPr>
      </w:pPr>
      <w:r w:rsidRPr="00C43757">
        <w:rPr>
          <w:rFonts w:ascii="Verdana" w:eastAsia="Arial" w:hAnsi="Verdana" w:cs="Arial"/>
          <w:lang w:val="es-ES" w:eastAsia="es-CO"/>
        </w:rPr>
        <w:t xml:space="preserve">En relación con el régimen de contratación, </w:t>
      </w:r>
      <w:r w:rsidRPr="00C43757">
        <w:rPr>
          <w:rFonts w:ascii="Verdana" w:eastAsia="Calibri" w:hAnsi="Verdana" w:cs="Arial"/>
          <w:color w:val="000000"/>
          <w:szCs w:val="24"/>
          <w:lang w:val="es-ES" w:eastAsia="es-ES_tradnl"/>
        </w:rPr>
        <w:t>el artículo 31 de la Ley 142 de 1994, modificado por el artículo 3 de la Ley 689 de 2001, dispone que</w:t>
      </w:r>
      <w:r w:rsidRPr="00C43757">
        <w:rPr>
          <w:rFonts w:ascii="Verdana" w:eastAsia="Calibri" w:hAnsi="Verdana" w:cs="Arial"/>
          <w:color w:val="000000"/>
          <w:bdr w:val="none" w:sz="0" w:space="0" w:color="auto" w:frame="1"/>
          <w:lang w:val="es-ES"/>
        </w:rPr>
        <w:t xml:space="preserve"> los contratos que celebren las Entidades Estatales que prestan los Servicios Públicos Domiciliarios </w:t>
      </w:r>
      <w:r w:rsidRPr="00C43757">
        <w:rPr>
          <w:rFonts w:ascii="Verdana" w:eastAsia="Calibri" w:hAnsi="Verdana" w:cs="Arial"/>
          <w:i/>
          <w:color w:val="000000"/>
          <w:bdr w:val="none" w:sz="0" w:space="0" w:color="auto" w:frame="1"/>
          <w:lang w:val="es-ES"/>
        </w:rPr>
        <w:t>“no estarán sujetos a las disposiciones del Estatuto General de Contratación de la Administración Pública, salvo en lo que la presente ley disponga otra cosa”</w:t>
      </w:r>
      <w:r w:rsidRPr="00C43757">
        <w:rPr>
          <w:rFonts w:ascii="Verdana" w:eastAsia="Calibri" w:hAnsi="Verdana" w:cs="Arial"/>
          <w:color w:val="000000"/>
          <w:szCs w:val="24"/>
          <w:lang w:val="es-ES" w:eastAsia="es-ES_tradnl"/>
        </w:rPr>
        <w:t xml:space="preserve">. </w:t>
      </w:r>
      <w:r w:rsidRPr="00C43757">
        <w:rPr>
          <w:rFonts w:ascii="Verdana" w:hAnsi="Verdana" w:cs="Arial"/>
          <w:bCs/>
          <w:lang w:val="es-ES"/>
        </w:rPr>
        <w:t xml:space="preserve">Asimismo, el inciso primero del artículo 32 precisa lo siguiente: “Salvo en cuanto la Constitución Política o esta Ley dispongan expresamente lo contrario, la constitución, y los actos de todas las </w:t>
      </w:r>
      <w:r w:rsidRPr="00C43757">
        <w:rPr>
          <w:rFonts w:ascii="Verdana" w:hAnsi="Verdana" w:cs="Arial"/>
          <w:bCs/>
          <w:i/>
          <w:iCs/>
          <w:lang w:val="es-ES"/>
        </w:rPr>
        <w:t>empresas de servicios públicos</w:t>
      </w:r>
      <w:r w:rsidRPr="00C43757">
        <w:rPr>
          <w:rFonts w:ascii="Verdana" w:hAnsi="Verdana" w:cs="Arial"/>
          <w:bCs/>
          <w:lang w:val="es-ES"/>
        </w:rPr>
        <w:t xml:space="preserve">, así como los requeridos para la administración y el ejercicio de los derechos de todas las personas que sean socias de ellas, en lo no dispuesto en esta Ley, se regirán exclusivamente por las reglas del derecho privado” (Énfasis fuera de texto). </w:t>
      </w:r>
      <w:r w:rsidRPr="00C43757">
        <w:rPr>
          <w:rFonts w:ascii="Verdana" w:eastAsia="Calibri" w:hAnsi="Verdana" w:cs="Arial"/>
          <w:color w:val="000000" w:themeColor="text1"/>
          <w:lang w:val="es-ES"/>
        </w:rPr>
        <w:t xml:space="preserve">De esta manera, el máximo órgano de la Jurisdicción de lo Contencioso Administrativo considera que: </w:t>
      </w:r>
    </w:p>
    <w:p w14:paraId="1E9CADC2" w14:textId="77777777" w:rsidR="00AC19DA" w:rsidRPr="00C43757" w:rsidRDefault="00AC19DA" w:rsidP="00AC19DA">
      <w:pPr>
        <w:tabs>
          <w:tab w:val="left" w:pos="426"/>
        </w:tabs>
        <w:spacing w:after="0" w:line="240" w:lineRule="auto"/>
        <w:ind w:left="709" w:right="709"/>
        <w:jc w:val="both"/>
        <w:rPr>
          <w:rFonts w:ascii="Verdana" w:eastAsia="Calibri" w:hAnsi="Verdana" w:cs="Arial"/>
          <w:color w:val="000000" w:themeColor="text1"/>
          <w:sz w:val="20"/>
          <w:szCs w:val="20"/>
          <w:lang w:val="es-ES"/>
        </w:rPr>
      </w:pPr>
      <w:r w:rsidRPr="00C43757">
        <w:rPr>
          <w:rFonts w:ascii="Verdana" w:eastAsia="Calibri" w:hAnsi="Verdana" w:cs="Arial"/>
          <w:color w:val="000000" w:themeColor="text1"/>
          <w:sz w:val="20"/>
          <w:szCs w:val="20"/>
          <w:lang w:val="es-ES"/>
        </w:rPr>
        <w:t xml:space="preserve">“el régimen jurídico aplicable a las empresas de servicios públicos domiciliarios en materia contractual es el propio del derecho común y sólo excepcionalmente se aplican las reglas del derecho público, es decir, las reglas de la Ley 80 de 1993. </w:t>
      </w:r>
    </w:p>
    <w:p w14:paraId="7BC2BFEB" w14:textId="77777777" w:rsidR="00AC19DA" w:rsidRPr="00C43757" w:rsidRDefault="00AC19DA" w:rsidP="00AC19DA">
      <w:pPr>
        <w:tabs>
          <w:tab w:val="left" w:pos="426"/>
        </w:tabs>
        <w:spacing w:after="0" w:line="240" w:lineRule="auto"/>
        <w:ind w:left="709" w:right="709"/>
        <w:jc w:val="both"/>
        <w:rPr>
          <w:rFonts w:ascii="Verdana" w:eastAsia="Calibri" w:hAnsi="Verdana" w:cs="Arial"/>
          <w:color w:val="000000" w:themeColor="text1"/>
          <w:sz w:val="20"/>
          <w:szCs w:val="20"/>
          <w:lang w:val="es-ES"/>
        </w:rPr>
      </w:pPr>
    </w:p>
    <w:p w14:paraId="79498F68" w14:textId="77777777" w:rsidR="00AC19DA" w:rsidRPr="001270FC" w:rsidRDefault="00AC19DA" w:rsidP="00AC19DA">
      <w:pPr>
        <w:tabs>
          <w:tab w:val="left" w:pos="426"/>
        </w:tabs>
        <w:spacing w:after="0" w:line="240" w:lineRule="auto"/>
        <w:ind w:left="709" w:right="709"/>
        <w:jc w:val="both"/>
        <w:rPr>
          <w:rFonts w:ascii="Verdana" w:eastAsia="Calibri" w:hAnsi="Verdana" w:cs="Arial"/>
          <w:color w:val="000000" w:themeColor="text1"/>
          <w:sz w:val="20"/>
          <w:szCs w:val="20"/>
          <w:lang w:val="es-ES"/>
        </w:rPr>
      </w:pPr>
      <w:r w:rsidRPr="00C43757">
        <w:rPr>
          <w:rFonts w:ascii="Verdana" w:eastAsia="Calibri" w:hAnsi="Verdana" w:cs="Arial"/>
          <w:color w:val="000000" w:themeColor="text1"/>
          <w:sz w:val="20"/>
          <w:szCs w:val="20"/>
          <w:lang w:val="es-ES"/>
        </w:rPr>
        <w:t>Dicho de otro modo, la regla general de aplicación del derecho común significa, que para la selección del contratista no se requiere aplicar los procedimientos a los que se refiere la Ley 80 de 1993; que las reglas de existencia del contrato no son las previstas en el artículo 41 del Estatuto General de Contratación Pública; que los requisitos de validez del contrato son los previstos en la legislación civil y comercial; que las cláusulas contractuales son las propias de los contratos entre particulares; que la ejecución del contrato debe realizarse conforme a las reglas ordinarias y no a las administrativas; y que en lo relacionado con la terminación, ampliación y liquidación de los contratos, deben aplicarse las reglas del derecho común”</w:t>
      </w:r>
      <w:r w:rsidRPr="00C43757">
        <w:rPr>
          <w:rStyle w:val="Refdenotaalpie"/>
          <w:rFonts w:ascii="Verdana" w:eastAsia="Calibri" w:hAnsi="Verdana" w:cs="Arial"/>
          <w:color w:val="000000" w:themeColor="text1"/>
          <w:sz w:val="20"/>
          <w:szCs w:val="20"/>
          <w:lang w:val="es-ES"/>
        </w:rPr>
        <w:footnoteReference w:id="17"/>
      </w:r>
      <w:r w:rsidRPr="00C43757">
        <w:rPr>
          <w:rFonts w:ascii="Verdana" w:eastAsia="Calibri" w:hAnsi="Verdana" w:cs="Arial"/>
          <w:color w:val="000000" w:themeColor="text1"/>
          <w:sz w:val="20"/>
          <w:szCs w:val="20"/>
          <w:lang w:val="es-ES"/>
        </w:rPr>
        <w:t>.</w:t>
      </w:r>
    </w:p>
    <w:p w14:paraId="160F7E7F" w14:textId="77777777" w:rsidR="00AC19DA" w:rsidRDefault="00AC19DA" w:rsidP="00AC19DA">
      <w:pPr>
        <w:spacing w:after="0" w:line="240" w:lineRule="auto"/>
        <w:ind w:firstLine="709"/>
        <w:jc w:val="both"/>
        <w:rPr>
          <w:rFonts w:ascii="Verdana" w:eastAsia="Times New Roman" w:hAnsi="Verdana" w:cs="Arial"/>
          <w:lang w:val="es-ES" w:eastAsia="es-ES_tradnl"/>
          <w14:ligatures w14:val="standardContextual"/>
        </w:rPr>
      </w:pPr>
    </w:p>
    <w:p w14:paraId="6B748F66" w14:textId="77777777" w:rsidR="00AC19DA" w:rsidRDefault="00AC19DA" w:rsidP="00AC19DA">
      <w:pPr>
        <w:spacing w:after="120" w:line="276" w:lineRule="auto"/>
        <w:ind w:firstLine="709"/>
        <w:jc w:val="both"/>
        <w:rPr>
          <w:rFonts w:ascii="Verdana" w:eastAsia="Calibri" w:hAnsi="Verdana" w:cs="Arial"/>
          <w:color w:val="000000"/>
          <w:szCs w:val="24"/>
          <w:lang w:val="es-ES" w:eastAsia="es-ES_tradnl"/>
        </w:rPr>
      </w:pPr>
      <w:r w:rsidRPr="00C43757">
        <w:rPr>
          <w:rFonts w:ascii="Verdana" w:eastAsia="Times New Roman" w:hAnsi="Verdana" w:cs="Arial"/>
          <w:lang w:val="es-ES" w:eastAsia="es-ES_tradnl"/>
          <w14:ligatures w14:val="standardContextual"/>
        </w:rPr>
        <w:t>Así, la actividad contractual de las Empresas de Servicios Públicos se sujeta a las disposiciones del derecho privado, salvo en aquellos casos en que la normativa (Constitución Política, Ley 142 de 1994 u otras normas especiales) someta dicha actuación a</w:t>
      </w:r>
      <w:r w:rsidRPr="00C43757">
        <w:rPr>
          <w:rFonts w:ascii="Verdana" w:eastAsia="Calibri" w:hAnsi="Verdana" w:cs="Arial"/>
          <w:color w:val="000000"/>
          <w:lang w:val="es-ES" w:eastAsia="es-ES"/>
        </w:rPr>
        <w:t xml:space="preserve">l Estatuto General de Contratación de la Administración Pública. Adicionalmente, su actuar se encuentra regido por </w:t>
      </w:r>
      <w:r w:rsidRPr="00C43757">
        <w:rPr>
          <w:rFonts w:ascii="Verdana" w:eastAsia="Calibri" w:hAnsi="Verdana" w:cs="Arial"/>
          <w:color w:val="000000"/>
          <w:szCs w:val="24"/>
          <w:lang w:val="es-ES" w:eastAsia="es-ES_tradnl"/>
        </w:rPr>
        <w:t>los principios de la función administrativa y de la gestión fiscal, previstos en los artículos 209 y 267 de la Constitución, toda vez que así lo dispone el artículo 13 de la Ley 1150 de 2007</w:t>
      </w:r>
      <w:r w:rsidRPr="00C43757">
        <w:rPr>
          <w:rFonts w:ascii="Verdana" w:eastAsia="Calibri" w:hAnsi="Verdana" w:cs="Arial"/>
          <w:color w:val="000000"/>
          <w:szCs w:val="24"/>
          <w:vertAlign w:val="superscript"/>
          <w:lang w:val="es-ES" w:eastAsia="es-ES_tradnl"/>
        </w:rPr>
        <w:footnoteReference w:id="18"/>
      </w:r>
      <w:r w:rsidRPr="00C43757">
        <w:rPr>
          <w:rFonts w:ascii="Verdana" w:eastAsia="Calibri" w:hAnsi="Verdana" w:cs="Arial"/>
          <w:color w:val="000000"/>
          <w:szCs w:val="24"/>
          <w:lang w:val="es-ES" w:eastAsia="es-ES_tradnl"/>
        </w:rPr>
        <w:t>.</w:t>
      </w:r>
    </w:p>
    <w:p w14:paraId="71AE1DE9" w14:textId="77777777" w:rsidR="00AC19DA" w:rsidRDefault="00AC19DA" w:rsidP="00AC19DA">
      <w:pPr>
        <w:spacing w:after="120" w:line="276" w:lineRule="auto"/>
        <w:ind w:firstLine="709"/>
        <w:jc w:val="both"/>
        <w:rPr>
          <w:rFonts w:ascii="Verdana" w:eastAsia="Calibri" w:hAnsi="Verdana" w:cs="Arial"/>
          <w:color w:val="000000"/>
          <w:szCs w:val="24"/>
          <w:lang w:val="es-ES" w:eastAsia="es-ES_tradnl"/>
        </w:rPr>
      </w:pPr>
      <w:r w:rsidRPr="00C43757">
        <w:rPr>
          <w:rFonts w:ascii="Verdana" w:eastAsia="Calibri" w:hAnsi="Verdana" w:cs="Arial"/>
          <w:lang w:val="es-ES"/>
        </w:rPr>
        <w:t xml:space="preserve">En virtud de lo expuesto, las Empresas de Servicios Públicos Domiciliarios pueden celebrar los contratos que les permite el derecho privado al estar sometidas a un régimen especial de contratación, salvo que la normativa directamente las someta al EGCAP. </w:t>
      </w:r>
    </w:p>
    <w:p w14:paraId="3FBE562D" w14:textId="77777777" w:rsidR="00AC19DA" w:rsidRPr="00A828E4" w:rsidRDefault="00AC19DA" w:rsidP="00AC19DA">
      <w:pPr>
        <w:spacing w:after="120" w:line="276" w:lineRule="auto"/>
        <w:ind w:firstLine="709"/>
        <w:jc w:val="both"/>
        <w:rPr>
          <w:rFonts w:ascii="Verdana" w:eastAsia="Calibri" w:hAnsi="Verdana" w:cs="Arial"/>
          <w:color w:val="000000"/>
          <w:szCs w:val="24"/>
          <w:lang w:val="es-ES" w:eastAsia="es-ES_tradnl"/>
        </w:rPr>
      </w:pPr>
      <w:r w:rsidRPr="00C43757">
        <w:rPr>
          <w:rFonts w:ascii="Verdana" w:hAnsi="Verdana" w:cs="Arial"/>
          <w:lang w:val="es-ES"/>
        </w:rPr>
        <w:t xml:space="preserve">Las entidades de régimen especial son aquellas que, por expresa disposición legal y debido a su naturaleza o situación de competencia, tienen condiciones diferenciales respecto a la normativa aplicable en materia de contratación pública. Esto quiere decir que, no están sometidas al Estatuto General de Contratación de la Administración Pública –en adelante </w:t>
      </w:r>
      <w:bookmarkStart w:id="21" w:name="_Hlk97724318"/>
      <w:r w:rsidRPr="00C43757">
        <w:rPr>
          <w:rFonts w:ascii="Verdana" w:hAnsi="Verdana" w:cs="Arial"/>
          <w:lang w:val="es-ES"/>
        </w:rPr>
        <w:t>EGCAP</w:t>
      </w:r>
      <w:bookmarkEnd w:id="21"/>
      <w:r w:rsidRPr="00C43757">
        <w:rPr>
          <w:rFonts w:ascii="Verdana" w:hAnsi="Verdana" w:cs="Arial"/>
          <w:lang w:val="es-ES"/>
        </w:rPr>
        <w:t>– y, por ende, sus procedimientos contractuales se rigen por una normativa propia para su desarrollo, esto es, el derecho privado. Esta particularidad está establecida en las normas de creación de las entidades de régimen especial y en sus manuales de contratación.</w:t>
      </w:r>
    </w:p>
    <w:p w14:paraId="03FCD0CC" w14:textId="77777777" w:rsidR="00AC19DA" w:rsidRPr="00C43757" w:rsidRDefault="00AC19DA" w:rsidP="00AC19DA">
      <w:pPr>
        <w:spacing w:after="120" w:line="276" w:lineRule="auto"/>
        <w:ind w:firstLine="709"/>
        <w:jc w:val="both"/>
        <w:rPr>
          <w:rFonts w:ascii="Verdana" w:hAnsi="Verdana" w:cs="Arial"/>
          <w:lang w:val="es-ES"/>
        </w:rPr>
      </w:pPr>
      <w:r w:rsidRPr="00C43757">
        <w:rPr>
          <w:rFonts w:ascii="Verdana" w:hAnsi="Verdana" w:cs="Arial"/>
          <w:lang w:val="es-ES"/>
        </w:rPr>
        <w:t xml:space="preserve">Teniendo en cuenta que las entidades de régimen especial están facultadas legalmente para aplicar reglas distintas a las establecidas en la Ley 80 de 1993 y sus normas complementarias, su régimen contractual estará definido en la norma que crea el régimen especial y será desarrollado en el manual de contratación de la respectiva entidad. Esto, con el fin de que se puedan identificar las reglas que aplican en la contratación. </w:t>
      </w:r>
    </w:p>
    <w:p w14:paraId="14E2CA6C" w14:textId="77777777" w:rsidR="00AC19DA" w:rsidRPr="00C43757" w:rsidRDefault="00AC19DA" w:rsidP="00AC19DA">
      <w:pPr>
        <w:spacing w:after="120" w:line="276" w:lineRule="auto"/>
        <w:ind w:firstLine="709"/>
        <w:jc w:val="both"/>
        <w:rPr>
          <w:rFonts w:ascii="Verdana" w:hAnsi="Verdana" w:cs="Arial"/>
          <w:bCs/>
          <w:lang w:val="es-ES"/>
        </w:rPr>
      </w:pPr>
      <w:r w:rsidRPr="00C43757">
        <w:rPr>
          <w:rFonts w:ascii="Verdana" w:hAnsi="Verdana" w:cs="Arial"/>
          <w:lang w:val="es-ES"/>
        </w:rPr>
        <w:t>Pese a que</w:t>
      </w:r>
      <w:r w:rsidRPr="00C43757">
        <w:rPr>
          <w:rFonts w:ascii="Verdana" w:eastAsia="Calibri" w:hAnsi="Verdana" w:cs="Arial"/>
          <w:lang w:val="es-ES"/>
        </w:rPr>
        <w:t xml:space="preserve"> las entidades de régimen especial están habilitadas para aplicar normas diferentes a las establecidas en el EGCAP, cumplen una finalidad pública y utilizan recursos públicos para lograrlo. Por ello, no son ajenas a los principios de la función administrativa y de la gestión fiscal, contenidos en los artículos 209 y 267 de la Constitución Política, respectivamente, entre otras reglas dispuestas en la normativa de contratación estatal, que son transversales a todas las entidades, sin importar su régimen contractual. Al respecto, el artículo 13 </w:t>
      </w:r>
      <w:r w:rsidRPr="00C43757">
        <w:rPr>
          <w:rFonts w:ascii="Verdana" w:hAnsi="Verdana" w:cs="Arial"/>
          <w:bCs/>
          <w:lang w:val="es-ES"/>
        </w:rPr>
        <w:t>de la Ley 1150 de 2007 preceptúa lo siguiente:</w:t>
      </w:r>
    </w:p>
    <w:p w14:paraId="5B7C606F" w14:textId="77777777" w:rsidR="00AC19DA" w:rsidRPr="00024007" w:rsidRDefault="00AC19DA" w:rsidP="00AC19DA">
      <w:pPr>
        <w:spacing w:after="0" w:line="240" w:lineRule="auto"/>
        <w:ind w:left="708" w:right="709"/>
        <w:jc w:val="both"/>
        <w:rPr>
          <w:rFonts w:ascii="Verdana" w:hAnsi="Verdana" w:cs="Arial"/>
          <w:bCs/>
          <w:sz w:val="20"/>
          <w:szCs w:val="20"/>
          <w:lang w:val="es-ES"/>
        </w:rPr>
      </w:pPr>
      <w:r w:rsidRPr="00C43757">
        <w:rPr>
          <w:rFonts w:ascii="Verdana" w:hAnsi="Verdana" w:cs="Arial"/>
          <w:bCs/>
          <w:sz w:val="20"/>
          <w:szCs w:val="20"/>
          <w:lang w:val="es-ES"/>
        </w:rPr>
        <w:t>“Artículo 13. Principios generales de la actividad contractual para entidades no sometidas al estatuto general de contratación de la administración pública.</w:t>
      </w:r>
      <w:r w:rsidRPr="00C43757">
        <w:rPr>
          <w:rFonts w:ascii="Verdana" w:hAnsi="Verdana" w:cs="Arial"/>
          <w:b/>
          <w:sz w:val="20"/>
          <w:szCs w:val="20"/>
          <w:lang w:val="es-ES"/>
        </w:rPr>
        <w:t xml:space="preserve"> </w:t>
      </w:r>
      <w:r w:rsidRPr="00C43757">
        <w:rPr>
          <w:rFonts w:ascii="Verdana" w:hAnsi="Verdana" w:cs="Arial"/>
          <w:bCs/>
          <w:sz w:val="20"/>
          <w:szCs w:val="20"/>
          <w:lang w:val="es-ES"/>
        </w:rPr>
        <w:t>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w:t>
      </w:r>
      <w:hyperlink r:id="rId12" w:anchor="209" w:history="1">
        <w:r w:rsidRPr="00C43757">
          <w:rPr>
            <w:rFonts w:ascii="Verdana" w:hAnsi="Verdana" w:cs="Arial"/>
            <w:bCs/>
            <w:sz w:val="20"/>
            <w:szCs w:val="20"/>
            <w:lang w:val="es-ES"/>
          </w:rPr>
          <w:t>209</w:t>
        </w:r>
      </w:hyperlink>
      <w:r w:rsidRPr="00C43757">
        <w:rPr>
          <w:rFonts w:ascii="Verdana" w:hAnsi="Verdana" w:cs="Arial"/>
          <w:bCs/>
          <w:sz w:val="20"/>
          <w:szCs w:val="20"/>
          <w:lang w:val="es-ES"/>
        </w:rPr>
        <w:t> y </w:t>
      </w:r>
      <w:hyperlink r:id="rId13" w:anchor="267" w:history="1">
        <w:r w:rsidRPr="00C43757">
          <w:rPr>
            <w:rFonts w:ascii="Verdana" w:hAnsi="Verdana" w:cs="Arial"/>
            <w:bCs/>
            <w:sz w:val="20"/>
            <w:szCs w:val="20"/>
            <w:lang w:val="es-ES"/>
          </w:rPr>
          <w:t>267</w:t>
        </w:r>
      </w:hyperlink>
      <w:r w:rsidRPr="00C43757">
        <w:rPr>
          <w:rFonts w:ascii="Verdana" w:hAnsi="Verdana" w:cs="Arial"/>
          <w:bCs/>
          <w:sz w:val="20"/>
          <w:szCs w:val="20"/>
          <w:lang w:val="es-ES"/>
        </w:rPr>
        <w:t> de la Constitución Política, respectivamente según sea el caso y estarán sometidas al régimen de inhabilidades e incompatibilidades previsto legalmente para la contratación estatal”.</w:t>
      </w:r>
    </w:p>
    <w:p w14:paraId="4D8C5BF0" w14:textId="77777777" w:rsidR="00AC19DA" w:rsidRDefault="00AC19DA" w:rsidP="00AC19DA">
      <w:pPr>
        <w:spacing w:after="0" w:line="276" w:lineRule="auto"/>
        <w:ind w:firstLine="709"/>
        <w:jc w:val="both"/>
        <w:rPr>
          <w:rFonts w:ascii="Verdana" w:eastAsia="Calibri" w:hAnsi="Verdana" w:cs="Arial"/>
          <w:lang w:val="es-ES"/>
        </w:rPr>
      </w:pPr>
    </w:p>
    <w:p w14:paraId="1CAFE952" w14:textId="77777777" w:rsidR="00AC19DA" w:rsidRPr="00C43757" w:rsidRDefault="00AC19DA" w:rsidP="00AC19DA">
      <w:pPr>
        <w:spacing w:after="0" w:line="276" w:lineRule="auto"/>
        <w:ind w:firstLine="709"/>
        <w:jc w:val="both"/>
        <w:rPr>
          <w:rFonts w:ascii="Verdana" w:eastAsia="Calibri" w:hAnsi="Verdana" w:cs="Arial"/>
          <w:lang w:val="es-ES"/>
        </w:rPr>
      </w:pPr>
      <w:r w:rsidRPr="00C43757">
        <w:rPr>
          <w:rFonts w:ascii="Verdana" w:eastAsia="Calibri" w:hAnsi="Verdana" w:cs="Arial"/>
          <w:lang w:val="es-ES"/>
        </w:rPr>
        <w:t>Lo anterior es reafirmado por el Consejo de Estado, que destaca las reglas que sigue la contratación de las entidades de régimen especial:</w:t>
      </w:r>
    </w:p>
    <w:p w14:paraId="2396AE2E" w14:textId="77777777" w:rsidR="00AC19DA" w:rsidRPr="00C43757" w:rsidRDefault="00AC19DA" w:rsidP="00AC19DA">
      <w:pPr>
        <w:spacing w:after="0" w:line="276" w:lineRule="auto"/>
        <w:ind w:firstLine="709"/>
        <w:jc w:val="both"/>
        <w:rPr>
          <w:rFonts w:ascii="Verdana" w:eastAsia="Calibri" w:hAnsi="Verdana" w:cs="Arial"/>
          <w:lang w:val="es-ES"/>
        </w:rPr>
      </w:pPr>
    </w:p>
    <w:p w14:paraId="66A4E7CF" w14:textId="77777777" w:rsidR="00AC19DA" w:rsidRPr="00C43757" w:rsidRDefault="00AC19DA" w:rsidP="00AC19DA">
      <w:pPr>
        <w:spacing w:after="0" w:line="240" w:lineRule="auto"/>
        <w:ind w:left="709" w:right="709"/>
        <w:jc w:val="both"/>
        <w:rPr>
          <w:rFonts w:ascii="Verdana" w:eastAsia="Calibri" w:hAnsi="Verdana" w:cs="Arial"/>
          <w:sz w:val="20"/>
          <w:szCs w:val="20"/>
          <w:lang w:val="es-ES"/>
        </w:rPr>
      </w:pPr>
      <w:r w:rsidRPr="00C43757">
        <w:rPr>
          <w:rFonts w:ascii="Verdana" w:eastAsia="Calibri" w:hAnsi="Verdana" w:cs="Arial"/>
          <w:sz w:val="20"/>
          <w:szCs w:val="20"/>
          <w:lang w:val="es-ES"/>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w:t>
      </w:r>
      <w:r>
        <w:rPr>
          <w:rFonts w:ascii="Verdana" w:eastAsia="Calibri" w:hAnsi="Verdana" w:cs="Arial"/>
          <w:sz w:val="20"/>
          <w:szCs w:val="20"/>
          <w:lang w:val="es-ES"/>
        </w:rPr>
        <w:t>-</w:t>
      </w:r>
      <w:r w:rsidRPr="00C43757">
        <w:rPr>
          <w:rFonts w:ascii="Verdana" w:eastAsia="Calibri" w:hAnsi="Verdana" w:cs="Arial"/>
          <w:sz w:val="20"/>
          <w:szCs w:val="20"/>
          <w:lang w:val="es-ES"/>
        </w:rPr>
        <w:t>, que inspiran al régimen anterior con valores propios del derecho público.</w:t>
      </w:r>
    </w:p>
    <w:p w14:paraId="5F5DECE1" w14:textId="77777777" w:rsidR="00AC19DA" w:rsidRPr="00C43757" w:rsidRDefault="00AC19DA" w:rsidP="00AC19DA">
      <w:pPr>
        <w:spacing w:after="0" w:line="240" w:lineRule="auto"/>
        <w:ind w:left="709" w:right="709"/>
        <w:jc w:val="both"/>
        <w:rPr>
          <w:rFonts w:ascii="Verdana" w:eastAsia="Calibri" w:hAnsi="Verdana" w:cs="Arial"/>
          <w:sz w:val="20"/>
          <w:szCs w:val="20"/>
          <w:lang w:val="es-ES"/>
        </w:rPr>
      </w:pPr>
    </w:p>
    <w:p w14:paraId="3155572B" w14:textId="77777777" w:rsidR="00AC19DA" w:rsidRPr="00C43757" w:rsidRDefault="00AC19DA" w:rsidP="00AC19DA">
      <w:pPr>
        <w:spacing w:after="0" w:line="240" w:lineRule="auto"/>
        <w:ind w:left="709" w:right="709"/>
        <w:jc w:val="both"/>
        <w:rPr>
          <w:rFonts w:ascii="Verdana" w:eastAsia="Calibri" w:hAnsi="Verdana" w:cs="Arial"/>
          <w:sz w:val="20"/>
          <w:szCs w:val="20"/>
          <w:lang w:val="es-ES"/>
        </w:rPr>
      </w:pPr>
      <w:r w:rsidRPr="00C43757">
        <w:rPr>
          <w:rFonts w:ascii="Verdana" w:eastAsia="Calibri" w:hAnsi="Verdana" w:cs="Arial"/>
          <w:sz w:val="20"/>
          <w:szCs w:val="20"/>
          <w:lang w:val="es-ES"/>
        </w:rPr>
        <w:t xml:space="preserve">La Sala entiende que el régimen preponderante domina y aporta el gran volumen de normas contractuales y que el régimen inspirador influye y ayuda a interpretar, pero también transforma parte de esas instituciones, porque se suma a ellas, lo que no siempre se logra conservando intacta la institución privada sino introduciéndole modificaciones. </w:t>
      </w:r>
    </w:p>
    <w:p w14:paraId="31FDE7E3" w14:textId="77777777" w:rsidR="00AC19DA" w:rsidRPr="00C43757" w:rsidRDefault="00AC19DA" w:rsidP="00AC19DA">
      <w:pPr>
        <w:spacing w:after="0" w:line="240" w:lineRule="auto"/>
        <w:ind w:left="709" w:right="709"/>
        <w:jc w:val="both"/>
        <w:rPr>
          <w:rFonts w:ascii="Verdana" w:eastAsia="Calibri" w:hAnsi="Verdana" w:cs="Arial"/>
          <w:sz w:val="20"/>
          <w:szCs w:val="20"/>
          <w:lang w:val="es-ES"/>
        </w:rPr>
      </w:pPr>
    </w:p>
    <w:p w14:paraId="78977971" w14:textId="49F7FC38" w:rsidR="00AC19DA" w:rsidRPr="00C43757" w:rsidRDefault="00AC19DA" w:rsidP="000E345D">
      <w:pPr>
        <w:spacing w:after="0" w:line="240" w:lineRule="auto"/>
        <w:ind w:left="709" w:right="709"/>
        <w:jc w:val="both"/>
        <w:rPr>
          <w:rFonts w:ascii="Verdana" w:eastAsia="Calibri" w:hAnsi="Verdana" w:cs="Arial"/>
          <w:sz w:val="20"/>
          <w:szCs w:val="20"/>
          <w:lang w:val="es-ES"/>
        </w:rPr>
      </w:pPr>
      <w:r w:rsidRPr="00C43757">
        <w:rPr>
          <w:rFonts w:ascii="Verdana" w:eastAsia="Calibri" w:hAnsi="Verdana" w:cs="Arial"/>
          <w:sz w:val="20"/>
          <w:szCs w:val="20"/>
          <w:lang w:val="es-ES"/>
        </w:rPr>
        <w:t>La función que cumplen los principios públicos también se representa en la necesidad práctica —normalmente no por orden de una norma— de expedir un reglamento interno de contratación que concrete la mayor parte de aportes de esos principios a la transformación de las reglas del derecho privado. Es por esta influencia que surge la necesidad de contar con procesos de selección de contratistas que garanticen la libre concurrencia, la igualdad de oportunidades de acceso a los negocios del Estado, la trasparencia y en general los demás valores propios de la gestión de lo público”</w:t>
      </w:r>
      <w:r w:rsidRPr="00C43757">
        <w:rPr>
          <w:rFonts w:ascii="Verdana" w:eastAsia="Calibri" w:hAnsi="Verdana" w:cs="Arial"/>
          <w:sz w:val="20"/>
          <w:szCs w:val="20"/>
          <w:vertAlign w:val="superscript"/>
          <w:lang w:val="es-ES"/>
        </w:rPr>
        <w:footnoteReference w:id="19"/>
      </w:r>
      <w:r w:rsidRPr="00C43757">
        <w:rPr>
          <w:rFonts w:ascii="Verdana" w:eastAsia="Calibri" w:hAnsi="Verdana" w:cs="Arial"/>
          <w:sz w:val="20"/>
          <w:szCs w:val="20"/>
          <w:lang w:val="es-ES"/>
        </w:rPr>
        <w:t>.</w:t>
      </w:r>
    </w:p>
    <w:p w14:paraId="661ADFC1" w14:textId="77777777" w:rsidR="00AC19DA" w:rsidRPr="00C43757" w:rsidRDefault="00AC19DA" w:rsidP="00AC19DA">
      <w:pPr>
        <w:spacing w:after="120" w:line="276" w:lineRule="auto"/>
        <w:ind w:firstLine="708"/>
        <w:jc w:val="both"/>
        <w:rPr>
          <w:rFonts w:ascii="Verdana" w:eastAsia="Calibri" w:hAnsi="Verdana" w:cs="Arial"/>
          <w:lang w:val="es-ES"/>
        </w:rPr>
      </w:pPr>
      <w:r w:rsidRPr="00C43757">
        <w:rPr>
          <w:rFonts w:ascii="Verdana" w:hAnsi="Verdana" w:cs="Arial"/>
          <w:bCs/>
          <w:lang w:val="es-ES"/>
        </w:rPr>
        <w:t xml:space="preserve">En consecuencia, el régimen de derecho privado que, por regla general, caracteriza a los regímenes especiales, como es el caso de las Entidades de Servicios Públicos Domiciliarios, no implica </w:t>
      </w:r>
      <w:r w:rsidRPr="00C43757">
        <w:rPr>
          <w:rFonts w:ascii="Verdana" w:hAnsi="Verdana" w:cs="Arial"/>
          <w:lang w:val="es-ES"/>
        </w:rPr>
        <w:t xml:space="preserve">una privatización absoluta, pues la actividad contractual de dichas entidades debe someterse a los principios </w:t>
      </w:r>
      <w:r w:rsidRPr="00C43757">
        <w:rPr>
          <w:rFonts w:ascii="Verdana" w:eastAsia="Calibri" w:hAnsi="Verdana" w:cs="Arial"/>
          <w:lang w:val="es-ES"/>
        </w:rPr>
        <w:t>de la función administrativa y de la gestión fiscal, as</w:t>
      </w:r>
      <w:r>
        <w:rPr>
          <w:rFonts w:ascii="Verdana" w:eastAsia="Calibri" w:hAnsi="Verdana" w:cs="Arial"/>
          <w:lang w:val="es-ES"/>
        </w:rPr>
        <w:t>í</w:t>
      </w:r>
      <w:r w:rsidRPr="00C43757">
        <w:rPr>
          <w:rFonts w:ascii="Verdana" w:eastAsia="Calibri" w:hAnsi="Verdana" w:cs="Arial"/>
          <w:lang w:val="es-ES"/>
        </w:rPr>
        <w:t xml:space="preserve"> como a otras reglas de contratación que son transversales a todas las entidades.</w:t>
      </w:r>
    </w:p>
    <w:p w14:paraId="3006EB1F" w14:textId="77777777" w:rsidR="00AC19DA" w:rsidRPr="00C43757" w:rsidRDefault="00AC19DA" w:rsidP="00AC19DA">
      <w:pPr>
        <w:spacing w:after="120" w:line="276" w:lineRule="auto"/>
        <w:ind w:firstLine="708"/>
        <w:jc w:val="both"/>
        <w:rPr>
          <w:rFonts w:ascii="Verdana" w:eastAsia="Calibri" w:hAnsi="Verdana" w:cs="Arial"/>
          <w:lang w:val="es-ES"/>
        </w:rPr>
      </w:pPr>
      <w:r w:rsidRPr="00C43757">
        <w:rPr>
          <w:rFonts w:ascii="Verdana" w:hAnsi="Verdana" w:cs="Arial"/>
          <w:color w:val="000000" w:themeColor="text1"/>
          <w:lang w:val="es-ES"/>
        </w:rPr>
        <w:t>Una de las reglas derivada de las normas de derecho público que irradian el régimen jurídico de las entidades exceptuadas del EGCAP, consiste en el deber de expedir un manual de contratación. Este documento debe concretar los principios de la función administrativa y de la gestión fiscal, así como determinar la manera concreta en que dichos principios orientarán el derecho privado en el ejercicio de la actividad contractual. De esta manera, los potenciales oferentes podrán identificar las reglas que aplica la entidad en sus procesos contractuales.</w:t>
      </w:r>
    </w:p>
    <w:p w14:paraId="1476CF58" w14:textId="77777777" w:rsidR="00AC19DA" w:rsidRPr="00C43757" w:rsidRDefault="00AC19DA" w:rsidP="00AC19DA">
      <w:pPr>
        <w:spacing w:after="120" w:line="276" w:lineRule="auto"/>
        <w:ind w:firstLine="709"/>
        <w:jc w:val="both"/>
        <w:rPr>
          <w:rFonts w:ascii="Verdana" w:hAnsi="Verdana" w:cs="Arial"/>
          <w:color w:val="000000" w:themeColor="text1"/>
          <w:lang w:val="es-ES"/>
        </w:rPr>
      </w:pPr>
      <w:r w:rsidRPr="00C43757">
        <w:rPr>
          <w:rFonts w:ascii="Verdana" w:hAnsi="Verdana" w:cs="Arial"/>
          <w:color w:val="000000" w:themeColor="text1"/>
          <w:lang w:val="es-ES"/>
        </w:rPr>
        <w:t>Las entidades sometidas a regímenes especiales de derecho privado tienen una amplia libertad de configuración del contenido de su manual de contratación. Esta libertad se deriva del principio de autonomía de la voluntad reconocido a estas entidades, que les permite establecer la manera en que adelantarán sus procesos de contratación</w:t>
      </w:r>
      <w:r w:rsidRPr="00C43757">
        <w:rPr>
          <w:rFonts w:ascii="Verdana" w:hAnsi="Verdana" w:cs="Arial"/>
          <w:color w:val="000000" w:themeColor="text1"/>
          <w:vertAlign w:val="superscript"/>
          <w:lang w:val="es-ES"/>
        </w:rPr>
        <w:footnoteReference w:id="20"/>
      </w:r>
      <w:r w:rsidRPr="00C43757">
        <w:rPr>
          <w:rFonts w:ascii="Verdana" w:hAnsi="Verdana" w:cs="Arial"/>
          <w:color w:val="000000" w:themeColor="text1"/>
          <w:lang w:val="es-ES"/>
        </w:rPr>
        <w:t>. Esta libertad es similar a la reconocida a los particulares por el derecho privado, pero no es idéntica en la medida en que encuentra importantes límites</w:t>
      </w:r>
      <w:r w:rsidRPr="00C43757">
        <w:rPr>
          <w:rFonts w:ascii="Verdana" w:eastAsia="Calibri" w:hAnsi="Verdana" w:cs="Arial"/>
          <w:lang w:val="es-ES"/>
        </w:rPr>
        <w:t xml:space="preserve"> en el cumplimiento los principios de la función administrativa y la gestión fiscal, así como por el régimen de inhabilidades e incompatibilidades</w:t>
      </w:r>
      <w:r w:rsidRPr="00C43757">
        <w:rPr>
          <w:rFonts w:ascii="Verdana" w:hAnsi="Verdana" w:cs="Arial"/>
          <w:color w:val="000000" w:themeColor="text1"/>
          <w:lang w:val="es-ES"/>
        </w:rPr>
        <w:t>.</w:t>
      </w:r>
    </w:p>
    <w:p w14:paraId="2CFD1699" w14:textId="77777777" w:rsidR="00AC19DA" w:rsidRPr="00C43757" w:rsidRDefault="00AC19DA" w:rsidP="00AC19DA">
      <w:pPr>
        <w:spacing w:after="120" w:line="276" w:lineRule="auto"/>
        <w:ind w:firstLine="709"/>
        <w:jc w:val="both"/>
        <w:rPr>
          <w:rFonts w:ascii="Verdana" w:hAnsi="Verdana" w:cs="Arial"/>
          <w:color w:val="000000" w:themeColor="text1"/>
          <w:lang w:val="es-ES"/>
        </w:rPr>
      </w:pPr>
      <w:r w:rsidRPr="00C43757">
        <w:rPr>
          <w:rFonts w:ascii="Verdana" w:hAnsi="Verdana" w:cs="Arial"/>
          <w:color w:val="000000" w:themeColor="text1"/>
          <w:lang w:val="es-ES"/>
        </w:rPr>
        <w:t>La elaboración de esos manuales debe incluir procedimientos de selección públicos que garanticen la imparcialidad de la entidad contratante, la igualdad entre los oferentes, y en los cuales se respeten los principios constitucionales relevantes, como la eficacia, economía, celeridad, moralidad, entre otros. Es decir, deben reflejar los principios de la función administrativa y los de la gestión fiscal. La forma precisa que la forma en que estos principios se armonizan con su régimen de derecho privado, es un asunto que debe decidir la entidad en el ejercicio de la discrecionalidad concedida por el ordenamiento jurídico. No obstante, como mínimo, los manuales diseñados por la entidad de régimen especial deben indicar cuáles son sus procedimientos de selección y una descripción de cada uno de ellos, al igual que las etapas que los componen, las cuales deben estar alineadas con la garantía de los principios de la función administrativa</w:t>
      </w:r>
      <w:r w:rsidRPr="00C43757">
        <w:rPr>
          <w:rFonts w:ascii="Verdana" w:hAnsi="Verdana" w:cs="Arial"/>
          <w:color w:val="000000" w:themeColor="text1"/>
          <w:vertAlign w:val="superscript"/>
          <w:lang w:val="es-ES"/>
        </w:rPr>
        <w:footnoteReference w:id="21"/>
      </w:r>
      <w:r w:rsidRPr="00C43757">
        <w:rPr>
          <w:rFonts w:ascii="Verdana" w:hAnsi="Verdana" w:cs="Arial"/>
          <w:color w:val="000000" w:themeColor="text1"/>
          <w:lang w:val="es-ES"/>
        </w:rPr>
        <w:t xml:space="preserve">. </w:t>
      </w:r>
    </w:p>
    <w:p w14:paraId="0458A4D5" w14:textId="77777777" w:rsidR="00AC19DA" w:rsidRPr="00C43757" w:rsidRDefault="00AC19DA" w:rsidP="00AC19DA">
      <w:pPr>
        <w:spacing w:after="120" w:line="276" w:lineRule="auto"/>
        <w:ind w:firstLine="709"/>
        <w:jc w:val="both"/>
        <w:rPr>
          <w:rFonts w:ascii="Verdana" w:hAnsi="Verdana" w:cs="Arial"/>
          <w:color w:val="000000" w:themeColor="text1"/>
          <w:lang w:val="es-ES"/>
        </w:rPr>
      </w:pPr>
      <w:r w:rsidRPr="00C43757">
        <w:rPr>
          <w:rFonts w:ascii="Verdana" w:hAnsi="Verdana" w:cs="Arial"/>
          <w:color w:val="000000" w:themeColor="text1"/>
          <w:lang w:val="es-ES"/>
        </w:rPr>
        <w:t>El ordenamiento jurídico determina ciertos contenidos que no pueden ser modificados por los manuales internos, por tratarse de asuntos con reserva de ley. En este sentido, estos reglamentos internos de las entidades con régimen especial no pueden crear causales de inhabilidad o incompatibilidad, crear nuevos supuestos de conflictos de interés, prescribir requisitos de perfeccionamiento, tipologías contractuales o limitar la capacidad contractual establecida en la ley. En general, no pueden modificar o incluir aspectos con reserva de ley dado que un acto administrativo no podría alterarlos</w:t>
      </w:r>
      <w:r w:rsidRPr="00C43757">
        <w:rPr>
          <w:rFonts w:ascii="Verdana" w:hAnsi="Verdana" w:cs="Arial"/>
          <w:color w:val="000000" w:themeColor="text1"/>
          <w:vertAlign w:val="superscript"/>
          <w:lang w:val="es-ES"/>
        </w:rPr>
        <w:footnoteReference w:id="22"/>
      </w:r>
      <w:r w:rsidRPr="00C43757">
        <w:rPr>
          <w:rFonts w:ascii="Verdana" w:hAnsi="Verdana" w:cs="Arial"/>
          <w:color w:val="000000" w:themeColor="text1"/>
          <w:lang w:val="es-ES"/>
        </w:rPr>
        <w:t>.</w:t>
      </w:r>
    </w:p>
    <w:p w14:paraId="57B82A29" w14:textId="77777777" w:rsidR="00AC19DA" w:rsidRDefault="00AC19DA" w:rsidP="00AC19DA">
      <w:pPr>
        <w:spacing w:after="120" w:line="276" w:lineRule="auto"/>
        <w:ind w:firstLine="709"/>
        <w:jc w:val="both"/>
        <w:rPr>
          <w:rFonts w:ascii="Verdana" w:hAnsi="Verdana" w:cs="Arial"/>
          <w:color w:val="000000" w:themeColor="text1"/>
          <w:lang w:val="es-ES"/>
        </w:rPr>
      </w:pPr>
      <w:r w:rsidRPr="00C43757">
        <w:rPr>
          <w:rFonts w:ascii="Verdana" w:hAnsi="Verdana" w:cs="Arial"/>
          <w:color w:val="000000" w:themeColor="text1"/>
          <w:lang w:val="es-ES"/>
        </w:rPr>
        <w:t>Sin perjuicio de lo anterior, otros aspectos pueden ser objeto de regulación en el manual de contratación, por hacer parte del ámbito de configuración en desarrollo de su autonomía contractual, siempre que no contravengan la Constitución ni la ley. Por ejemplo, la definición de algunos requisitos de ejecución del contrato, con excepción de los que la ley imponga, la definición de si una actuación de la actividad contractual la debe realizar cierta dependencia de la entidad, establecer límites en cuanto a posibilidad de realizar adiciones, así como detallar los trámites internos que se surten al interior de la entidad</w:t>
      </w:r>
      <w:r>
        <w:rPr>
          <w:rFonts w:ascii="Verdana" w:hAnsi="Verdana" w:cs="Arial"/>
          <w:color w:val="000000" w:themeColor="text1"/>
          <w:lang w:val="es-ES"/>
        </w:rPr>
        <w:t>. así como los eventos en los que procede la contratación directa por la declaratoria de urgencia manifiesta</w:t>
      </w:r>
      <w:r w:rsidRPr="00C43757">
        <w:rPr>
          <w:rFonts w:ascii="Verdana" w:hAnsi="Verdana" w:cs="Arial"/>
          <w:color w:val="000000" w:themeColor="text1"/>
          <w:lang w:val="es-ES"/>
        </w:rPr>
        <w:t xml:space="preserve">. Por ser parte de los aspectos que pueden ser objeto de regulación en su manual, las entidades de régimen especial tienen la facultad de establecer las condiciones para la liquidación o finalización de sus contratos y demás aspectos que hagan parte de su ámbito de configuración. </w:t>
      </w:r>
    </w:p>
    <w:p w14:paraId="4F365C3B" w14:textId="77777777" w:rsidR="00AC19DA" w:rsidRDefault="00AC19DA" w:rsidP="00AC19DA">
      <w:pPr>
        <w:spacing w:after="120" w:line="276" w:lineRule="auto"/>
        <w:jc w:val="both"/>
        <w:rPr>
          <w:rFonts w:ascii="Verdana" w:hAnsi="Verdana" w:cs="Arial"/>
          <w:color w:val="000000" w:themeColor="text1"/>
        </w:rPr>
      </w:pPr>
      <w:r>
        <w:rPr>
          <w:rFonts w:ascii="Verdana" w:hAnsi="Verdana" w:cs="Arial"/>
          <w:color w:val="000000" w:themeColor="text1"/>
        </w:rPr>
        <w:t>ii) Bajo el anterior contexto otro</w:t>
      </w:r>
      <w:r>
        <w:rPr>
          <w:rFonts w:ascii="Verdana" w:hAnsi="Verdana" w:cs="Arial"/>
          <w:color w:val="000000" w:themeColor="text1"/>
          <w:lang w:val="es-ES"/>
        </w:rPr>
        <w:t xml:space="preserve"> análisis que debe efectuarse con ocasión al control fiscal de los contratos que celebren las empresas de servicios públicos domiciliarios  en virtud de la declaratoria de urgencia manifiesta corresponde a lo dispuesto en el artículo 66 de la Ley 1523 de 2012</w:t>
      </w:r>
      <w:r>
        <w:rPr>
          <w:rStyle w:val="Refdenotaalpie"/>
          <w:rFonts w:ascii="Verdana" w:hAnsi="Verdana" w:cs="Arial"/>
          <w:color w:val="000000" w:themeColor="text1"/>
        </w:rPr>
        <w:footnoteReference w:id="23"/>
      </w:r>
      <w:r>
        <w:rPr>
          <w:rFonts w:ascii="Verdana" w:hAnsi="Verdana" w:cs="Arial"/>
          <w:color w:val="000000" w:themeColor="text1"/>
        </w:rPr>
        <w:t xml:space="preserve">. El mencionado artículo dispone lo siguiente: </w:t>
      </w:r>
    </w:p>
    <w:p w14:paraId="737D2E81" w14:textId="77777777" w:rsidR="00AC19DA" w:rsidRDefault="00AC19DA" w:rsidP="00AC19DA">
      <w:pPr>
        <w:spacing w:after="0" w:line="240" w:lineRule="auto"/>
        <w:ind w:left="851" w:right="760"/>
        <w:jc w:val="both"/>
        <w:rPr>
          <w:rFonts w:ascii="Verdana" w:hAnsi="Verdana" w:cs="Arial"/>
          <w:color w:val="000000" w:themeColor="text1"/>
          <w:sz w:val="20"/>
          <w:szCs w:val="20"/>
          <w:lang w:val="es-ES_tradnl"/>
        </w:rPr>
      </w:pPr>
    </w:p>
    <w:p w14:paraId="246DFA5C" w14:textId="77777777" w:rsidR="00AC19DA" w:rsidRPr="002D021F" w:rsidRDefault="00AC19DA" w:rsidP="00AC19DA">
      <w:pPr>
        <w:spacing w:after="0" w:line="240" w:lineRule="auto"/>
        <w:ind w:left="851" w:right="760"/>
        <w:jc w:val="both"/>
        <w:rPr>
          <w:rFonts w:ascii="Verdana" w:hAnsi="Verdana" w:cs="Arial"/>
          <w:color w:val="000000" w:themeColor="text1"/>
          <w:sz w:val="20"/>
          <w:szCs w:val="20"/>
          <w:lang w:val="es-ES_tradnl"/>
        </w:rPr>
      </w:pPr>
      <w:r>
        <w:rPr>
          <w:rFonts w:ascii="Verdana" w:hAnsi="Verdana" w:cs="Arial"/>
          <w:color w:val="000000" w:themeColor="text1"/>
          <w:sz w:val="20"/>
          <w:szCs w:val="20"/>
          <w:lang w:val="es-ES_tradnl"/>
        </w:rPr>
        <w:t>“</w:t>
      </w:r>
      <w:r w:rsidRPr="002D021F">
        <w:rPr>
          <w:rFonts w:ascii="Verdana" w:hAnsi="Verdana" w:cs="Arial"/>
          <w:color w:val="000000" w:themeColor="text1"/>
          <w:sz w:val="20"/>
          <w:szCs w:val="20"/>
          <w:lang w:val="es-ES_tradnl"/>
        </w:rPr>
        <w:t>Art</w:t>
      </w:r>
      <w:r>
        <w:rPr>
          <w:rFonts w:ascii="Verdana" w:hAnsi="Verdana" w:cs="Arial"/>
          <w:color w:val="000000" w:themeColor="text1"/>
          <w:sz w:val="20"/>
          <w:szCs w:val="20"/>
          <w:lang w:val="es-ES_tradnl"/>
        </w:rPr>
        <w:t>ículo</w:t>
      </w:r>
      <w:r w:rsidRPr="002D021F">
        <w:rPr>
          <w:rFonts w:ascii="Verdana" w:hAnsi="Verdana" w:cs="Arial"/>
          <w:color w:val="000000" w:themeColor="text1"/>
          <w:sz w:val="20"/>
          <w:szCs w:val="20"/>
          <w:lang w:val="es-ES_tradnl"/>
        </w:rPr>
        <w:t xml:space="preserve"> 66. Salvo lo dispuesto para los contratos de empréstito interno y externo, los contratos que celebre la sociedad fiduciaria para la ejecución de los bienes, derechos e intereses del Fondo Nacional de Gestión del Riesgo o los celebrados por las entidades ejecutoras que reciban recursos provenientes de este fondo o los celebrados por las entidades territoriales y sus fondos de gestión del riesgo, relacionados directamente con las actividades de respuesta, de rehabilitación y reconstrucción de las zonas declaradas en situación de desastre o calamidad pública, se someterán a los requisitos y formalidades que exige la ley para la contratación entre particulares, con sujeción al régimen especial dispuesto en el artículo 13 de la Ley 1150 de 2007, y podrán contemplar cláusulas excepcionales de conformidad con lo dispuesto en los artículos 14 a 18 de la Ley 80 de 1993.</w:t>
      </w:r>
    </w:p>
    <w:p w14:paraId="2A2A59B0" w14:textId="77777777" w:rsidR="00AC19DA" w:rsidRDefault="00AC19DA" w:rsidP="00AC19DA">
      <w:pPr>
        <w:spacing w:after="0" w:line="240" w:lineRule="auto"/>
        <w:ind w:left="851" w:right="760"/>
        <w:jc w:val="both"/>
        <w:rPr>
          <w:rFonts w:ascii="Verdana" w:hAnsi="Verdana" w:cs="Arial"/>
          <w:color w:val="000000" w:themeColor="text1"/>
          <w:sz w:val="20"/>
          <w:szCs w:val="20"/>
          <w:lang w:val="es-ES_tradnl"/>
        </w:rPr>
      </w:pPr>
    </w:p>
    <w:p w14:paraId="35BF8C9B" w14:textId="77777777" w:rsidR="00AC19DA" w:rsidRDefault="00AC19DA" w:rsidP="00AC19DA">
      <w:pPr>
        <w:spacing w:after="0" w:line="240" w:lineRule="auto"/>
        <w:ind w:left="851" w:right="760"/>
        <w:jc w:val="both"/>
        <w:rPr>
          <w:rFonts w:ascii="Verdana" w:hAnsi="Verdana" w:cs="Arial"/>
          <w:color w:val="000000" w:themeColor="text1"/>
          <w:sz w:val="20"/>
          <w:szCs w:val="20"/>
          <w:lang w:val="es-ES_tradnl"/>
        </w:rPr>
      </w:pPr>
      <w:r w:rsidRPr="002D021F">
        <w:rPr>
          <w:rFonts w:ascii="Verdana" w:hAnsi="Verdana" w:cs="Arial"/>
          <w:color w:val="000000" w:themeColor="text1"/>
          <w:sz w:val="20"/>
          <w:szCs w:val="20"/>
          <w:lang w:val="es-ES_tradnl"/>
        </w:rPr>
        <w:t>Parágrafo. Los contratos celebrados por las entidades territoriales en virtud del artículo anterior se someterán al control fiscal dispuesto para los celebrados en el marco de la declaratoria de urgencia manifiesta contemplada en los artículos 42 y 43 de la Ley 80 de 1993 y demás normas que la modifiquen”.</w:t>
      </w:r>
    </w:p>
    <w:p w14:paraId="1081DDB8" w14:textId="77777777" w:rsidR="00AC19DA" w:rsidRPr="00C1185B" w:rsidRDefault="00AC19DA" w:rsidP="00AC19DA">
      <w:pPr>
        <w:spacing w:after="0" w:line="240" w:lineRule="auto"/>
        <w:ind w:left="851" w:right="760"/>
        <w:jc w:val="both"/>
        <w:rPr>
          <w:rFonts w:ascii="Verdana" w:hAnsi="Verdana" w:cs="Arial"/>
          <w:color w:val="000000" w:themeColor="text1"/>
          <w:sz w:val="20"/>
          <w:szCs w:val="20"/>
          <w:lang w:val="es-ES_tradnl"/>
        </w:rPr>
      </w:pPr>
    </w:p>
    <w:p w14:paraId="6123934A" w14:textId="77777777" w:rsidR="00AC19DA" w:rsidRDefault="00AC19DA" w:rsidP="00AC19DA">
      <w:pPr>
        <w:spacing w:after="120" w:line="276" w:lineRule="auto"/>
        <w:ind w:firstLine="709"/>
        <w:jc w:val="both"/>
        <w:rPr>
          <w:rFonts w:ascii="Verdana" w:eastAsia="Calibri" w:hAnsi="Verdana" w:cs="Arial"/>
        </w:rPr>
      </w:pPr>
      <w:r>
        <w:rPr>
          <w:rFonts w:ascii="Verdana" w:eastAsia="Calibri" w:hAnsi="Verdana" w:cs="Arial"/>
          <w:lang w:val="es-ES"/>
        </w:rPr>
        <w:t xml:space="preserve">Según esta norma, </w:t>
      </w:r>
      <w:r w:rsidRPr="009D13DD">
        <w:rPr>
          <w:rFonts w:ascii="Verdana" w:eastAsia="Calibri" w:hAnsi="Verdana" w:cs="Arial"/>
        </w:rPr>
        <w:t>los contratos que celebre</w:t>
      </w:r>
      <w:r>
        <w:rPr>
          <w:rFonts w:ascii="Verdana" w:eastAsia="Calibri" w:hAnsi="Verdana" w:cs="Arial"/>
        </w:rPr>
        <w:t>n:</w:t>
      </w:r>
      <w:r w:rsidRPr="009D13DD">
        <w:rPr>
          <w:rFonts w:ascii="Verdana" w:eastAsia="Calibri" w:hAnsi="Verdana" w:cs="Arial"/>
        </w:rPr>
        <w:t xml:space="preserve"> </w:t>
      </w:r>
      <w:r>
        <w:rPr>
          <w:rFonts w:ascii="Verdana" w:eastAsia="Calibri" w:hAnsi="Verdana" w:cs="Arial"/>
        </w:rPr>
        <w:t xml:space="preserve">a) </w:t>
      </w:r>
      <w:r w:rsidRPr="009D13DD">
        <w:rPr>
          <w:rFonts w:ascii="Verdana" w:eastAsia="Calibri" w:hAnsi="Verdana" w:cs="Arial"/>
        </w:rPr>
        <w:t>la sociedad fiduciaria para la ejecución de los bienes, derechos e intereses del Fondo Nacional de Gestión del Riesgo</w:t>
      </w:r>
      <w:r>
        <w:rPr>
          <w:rFonts w:ascii="Verdana" w:eastAsia="Calibri" w:hAnsi="Verdana" w:cs="Arial"/>
        </w:rPr>
        <w:t>;</w:t>
      </w:r>
      <w:r w:rsidRPr="009D13DD">
        <w:rPr>
          <w:rFonts w:ascii="Verdana" w:eastAsia="Calibri" w:hAnsi="Verdana" w:cs="Arial"/>
        </w:rPr>
        <w:t xml:space="preserve"> </w:t>
      </w:r>
      <w:r>
        <w:rPr>
          <w:rFonts w:ascii="Verdana" w:eastAsia="Calibri" w:hAnsi="Verdana" w:cs="Arial"/>
        </w:rPr>
        <w:t xml:space="preserve">b) </w:t>
      </w:r>
      <w:r w:rsidRPr="009D13DD">
        <w:rPr>
          <w:rFonts w:ascii="Verdana" w:eastAsia="Calibri" w:hAnsi="Verdana" w:cs="Arial"/>
        </w:rPr>
        <w:t>las entidades ejecutoras que reciban recursos de este fondo</w:t>
      </w:r>
      <w:r>
        <w:rPr>
          <w:rFonts w:ascii="Verdana" w:eastAsia="Calibri" w:hAnsi="Verdana" w:cs="Arial"/>
        </w:rPr>
        <w:t>; o</w:t>
      </w:r>
      <w:r w:rsidRPr="009D13DD">
        <w:rPr>
          <w:rFonts w:ascii="Verdana" w:eastAsia="Calibri" w:hAnsi="Verdana" w:cs="Arial"/>
        </w:rPr>
        <w:t xml:space="preserve"> </w:t>
      </w:r>
      <w:r>
        <w:rPr>
          <w:rFonts w:ascii="Verdana" w:eastAsia="Calibri" w:hAnsi="Verdana" w:cs="Arial"/>
        </w:rPr>
        <w:t xml:space="preserve">c) </w:t>
      </w:r>
      <w:r w:rsidRPr="009D13DD">
        <w:rPr>
          <w:rFonts w:ascii="Verdana" w:eastAsia="Calibri" w:hAnsi="Verdana" w:cs="Arial"/>
        </w:rPr>
        <w:t xml:space="preserve">las entidades territoriales y sus fondos de gestión del riesgo, </w:t>
      </w:r>
      <w:r>
        <w:rPr>
          <w:rFonts w:ascii="Verdana" w:eastAsia="Calibri" w:hAnsi="Verdana" w:cs="Arial"/>
        </w:rPr>
        <w:t xml:space="preserve">que se encuentren relacionados </w:t>
      </w:r>
      <w:r w:rsidRPr="009D13DD">
        <w:rPr>
          <w:rFonts w:ascii="Verdana" w:eastAsia="Calibri" w:hAnsi="Verdana" w:cs="Arial"/>
        </w:rPr>
        <w:t xml:space="preserve">directamente </w:t>
      </w:r>
      <w:r>
        <w:rPr>
          <w:rFonts w:ascii="Verdana" w:eastAsia="Calibri" w:hAnsi="Verdana" w:cs="Arial"/>
        </w:rPr>
        <w:t xml:space="preserve">con </w:t>
      </w:r>
      <w:r w:rsidRPr="009D13DD">
        <w:rPr>
          <w:rFonts w:ascii="Verdana" w:eastAsia="Calibri" w:hAnsi="Verdana" w:cs="Arial"/>
        </w:rPr>
        <w:t xml:space="preserve">actividades de respuesta, rehabilitación y reconstrucción de las zonas declaradas en situación de desastre o calamidad pública, se someterán a los requisitos y formalidades que exige la ley para la contratación </w:t>
      </w:r>
      <w:r w:rsidRPr="0076368A">
        <w:rPr>
          <w:rFonts w:ascii="Verdana" w:eastAsia="Calibri" w:hAnsi="Verdana" w:cs="Arial"/>
          <w:i/>
          <w:iCs/>
        </w:rPr>
        <w:t>entre particulares</w:t>
      </w:r>
      <w:r>
        <w:rPr>
          <w:rFonts w:ascii="Verdana" w:eastAsia="Calibri" w:hAnsi="Verdana" w:cs="Arial"/>
        </w:rPr>
        <w:t xml:space="preserve">. </w:t>
      </w:r>
    </w:p>
    <w:p w14:paraId="2CD6679C" w14:textId="77777777" w:rsidR="00AC19DA" w:rsidRDefault="00AC19DA" w:rsidP="00AC19DA">
      <w:pPr>
        <w:spacing w:after="120" w:line="276" w:lineRule="auto"/>
        <w:ind w:firstLine="708"/>
        <w:jc w:val="both"/>
        <w:rPr>
          <w:rFonts w:ascii="Verdana" w:eastAsia="Calibri" w:hAnsi="Verdana" w:cs="Arial"/>
        </w:rPr>
      </w:pPr>
      <w:r>
        <w:rPr>
          <w:rFonts w:ascii="Verdana" w:eastAsia="Calibri" w:hAnsi="Verdana" w:cs="Arial"/>
        </w:rPr>
        <w:t xml:space="preserve">De esta manera, el artículo crea un régimen de contratación exceptuado del Estatuto General de Contratación de la Administración Pública. En cualquier caso, la norma aclara que este </w:t>
      </w:r>
      <w:r w:rsidRPr="009D13DD">
        <w:rPr>
          <w:rFonts w:ascii="Verdana" w:eastAsia="Calibri" w:hAnsi="Verdana" w:cs="Arial"/>
        </w:rPr>
        <w:t xml:space="preserve">régimen especial </w:t>
      </w:r>
      <w:r>
        <w:rPr>
          <w:rFonts w:ascii="Verdana" w:eastAsia="Calibri" w:hAnsi="Verdana" w:cs="Arial"/>
        </w:rPr>
        <w:t xml:space="preserve">se rige por lo dispuesto en el artículo </w:t>
      </w:r>
      <w:r w:rsidRPr="009D13DD">
        <w:rPr>
          <w:rFonts w:ascii="Verdana" w:eastAsia="Calibri" w:hAnsi="Verdana" w:cs="Arial"/>
        </w:rPr>
        <w:t>13 de la Ley 1150 de 2007,</w:t>
      </w:r>
      <w:r>
        <w:rPr>
          <w:rFonts w:ascii="Verdana" w:eastAsia="Calibri" w:hAnsi="Verdana" w:cs="Arial"/>
        </w:rPr>
        <w:t xml:space="preserve"> es decir, que las entidades contratantes deberán cumplir con los principios de la </w:t>
      </w:r>
      <w:r w:rsidRPr="00C95372">
        <w:rPr>
          <w:rFonts w:ascii="Verdana" w:eastAsia="Calibri" w:hAnsi="Verdana" w:cs="Arial"/>
        </w:rPr>
        <w:t>función administrativa y de la gestión fiscal de que tratan los artículos 209 y </w:t>
      </w:r>
      <w:r w:rsidRPr="00BD1E80">
        <w:rPr>
          <w:rFonts w:ascii="Verdana" w:eastAsia="Calibri" w:hAnsi="Verdana" w:cs="Arial"/>
        </w:rPr>
        <w:t>267</w:t>
      </w:r>
      <w:r w:rsidRPr="00C95372">
        <w:rPr>
          <w:rFonts w:ascii="Verdana" w:eastAsia="Calibri" w:hAnsi="Verdana" w:cs="Arial"/>
        </w:rPr>
        <w:t> de la Constitución Política, y estarán sometidas al régimen de inhabilidades e incompatibilidades previsto para la contratación estatal.</w:t>
      </w:r>
      <w:r>
        <w:rPr>
          <w:rFonts w:ascii="Verdana" w:eastAsia="Calibri" w:hAnsi="Verdana" w:cs="Arial"/>
        </w:rPr>
        <w:t xml:space="preserve"> Adicionalmente, el legislador otorgó a las entidades allí señaladas la capacidad de incorporar</w:t>
      </w:r>
      <w:r w:rsidRPr="009D13DD">
        <w:rPr>
          <w:rFonts w:ascii="Verdana" w:eastAsia="Calibri" w:hAnsi="Verdana" w:cs="Arial"/>
        </w:rPr>
        <w:t xml:space="preserve"> cláusulas excepcionales de conformidad con lo dispuesto en los artículos 14 a 18 de la Ley 80 de 1993.</w:t>
      </w:r>
    </w:p>
    <w:p w14:paraId="38518A76" w14:textId="77777777" w:rsidR="00AC19DA" w:rsidRDefault="00AC19DA" w:rsidP="00AC19DA">
      <w:pPr>
        <w:spacing w:after="120" w:line="276" w:lineRule="auto"/>
        <w:ind w:firstLine="709"/>
        <w:jc w:val="both"/>
        <w:rPr>
          <w:rFonts w:ascii="Verdana" w:eastAsia="Calibri" w:hAnsi="Verdana" w:cs="Arial"/>
          <w:lang w:val="es-ES"/>
        </w:rPr>
      </w:pPr>
      <w:r>
        <w:rPr>
          <w:rFonts w:ascii="Verdana" w:eastAsia="Calibri" w:hAnsi="Verdana" w:cs="Arial"/>
        </w:rPr>
        <w:t xml:space="preserve">Con base en lo anterior, en estos casos </w:t>
      </w:r>
      <w:r w:rsidRPr="66443382">
        <w:rPr>
          <w:rFonts w:ascii="Verdana" w:eastAsia="Calibri" w:hAnsi="Verdana" w:cs="Arial"/>
          <w:lang w:val="es-ES"/>
        </w:rPr>
        <w:t xml:space="preserve">basta </w:t>
      </w:r>
      <w:r>
        <w:rPr>
          <w:rFonts w:ascii="Verdana" w:eastAsia="Calibri" w:hAnsi="Verdana" w:cs="Arial"/>
          <w:lang w:val="es-ES"/>
        </w:rPr>
        <w:t>la declaración de l</w:t>
      </w:r>
      <w:r w:rsidRPr="66443382">
        <w:rPr>
          <w:rFonts w:ascii="Verdana" w:eastAsia="Calibri" w:hAnsi="Verdana" w:cs="Arial"/>
          <w:lang w:val="es-ES"/>
        </w:rPr>
        <w:t>a situación de desastre o de calamidad pública para</w:t>
      </w:r>
      <w:r>
        <w:rPr>
          <w:rFonts w:ascii="Verdana" w:eastAsia="Calibri" w:hAnsi="Verdana" w:cs="Arial"/>
          <w:lang w:val="es-ES"/>
        </w:rPr>
        <w:t xml:space="preserve"> que las entidades señaladas en la norma queden autorizadas para aplicar el régimen especial de contratación. En cualquier caso, los contratos que las entidades territoriales suscriban bajo este régimen estarán sometidos al control fiscal dispuesto para los contratos que celebran las entidades estatales en el marco de declaratorias de urgencia manifiesta, a los cuales se refieren los artículos 42 y 43 de la Ley 80 de 1993. </w:t>
      </w:r>
    </w:p>
    <w:p w14:paraId="2B39B2F3" w14:textId="77777777" w:rsidR="00AC19DA"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color w:val="000000" w:themeColor="text1"/>
        </w:rPr>
        <w:t xml:space="preserve">En este sentido, aunque </w:t>
      </w:r>
      <w:r w:rsidRPr="00E84F10">
        <w:rPr>
          <w:rFonts w:ascii="Verdana" w:eastAsia="Calibri" w:hAnsi="Verdana" w:cs="Arial"/>
          <w:lang w:val="es-ES_tradnl"/>
        </w:rPr>
        <w:t>el parágrafo 3 del artículo 50 de la Ley 1523 de 2012 dispone que</w:t>
      </w:r>
      <w:r>
        <w:rPr>
          <w:rFonts w:ascii="Verdana" w:eastAsia="Calibri" w:hAnsi="Verdana" w:cs="Arial"/>
          <w:lang w:val="es-ES_tradnl"/>
        </w:rPr>
        <w:t>, por regla general,</w:t>
      </w:r>
      <w:r w:rsidRPr="00E84F10">
        <w:rPr>
          <w:rFonts w:ascii="Verdana" w:eastAsia="Calibri" w:hAnsi="Verdana" w:cs="Arial"/>
          <w:lang w:val="es-ES_tradnl"/>
        </w:rPr>
        <w:t xml:space="preserve"> los contratos del </w:t>
      </w:r>
      <w:r w:rsidRPr="00E84F10">
        <w:rPr>
          <w:rFonts w:ascii="Verdana" w:eastAsia="Century Gothic" w:hAnsi="Verdana" w:cs="Century Gothic"/>
          <w:lang w:val="es-ES_tradnl"/>
        </w:rPr>
        <w:t>Fondo Nacional de Gestión del Riesgo de Desastres</w:t>
      </w:r>
      <w:r w:rsidRPr="00E84F10">
        <w:rPr>
          <w:rFonts w:ascii="Verdana" w:eastAsia="Calibri" w:hAnsi="Verdana" w:cs="Arial"/>
          <w:lang w:val="es-ES_tradnl"/>
        </w:rPr>
        <w:t xml:space="preserve"> se somete</w:t>
      </w:r>
      <w:r>
        <w:rPr>
          <w:rFonts w:ascii="Verdana" w:eastAsia="Calibri" w:hAnsi="Verdana" w:cs="Arial"/>
          <w:lang w:val="es-ES_tradnl"/>
        </w:rPr>
        <w:t>rán</w:t>
      </w:r>
      <w:r w:rsidRPr="00E84F10">
        <w:rPr>
          <w:rFonts w:ascii="Verdana" w:eastAsia="Calibri" w:hAnsi="Verdana" w:cs="Arial"/>
          <w:lang w:val="es-ES_tradnl"/>
        </w:rPr>
        <w:t xml:space="preserve"> al régimen aplicable a las empresas industriales y comerciales del Estado</w:t>
      </w:r>
      <w:r>
        <w:rPr>
          <w:rFonts w:ascii="Verdana" w:eastAsia="Calibri" w:hAnsi="Verdana" w:cs="Arial"/>
          <w:lang w:val="es-ES_tradnl"/>
        </w:rPr>
        <w:t xml:space="preserve">, el artículo 66 referido </w:t>
      </w:r>
      <w:r w:rsidRPr="00E84F10">
        <w:rPr>
          <w:rFonts w:ascii="Verdana" w:eastAsia="Calibri" w:hAnsi="Verdana" w:cs="Arial"/>
          <w:lang w:val="es-ES_tradnl"/>
        </w:rPr>
        <w:t xml:space="preserve">establece una </w:t>
      </w:r>
      <w:r w:rsidRPr="00E84F10">
        <w:rPr>
          <w:rFonts w:ascii="Verdana" w:eastAsia="Calibri" w:hAnsi="Verdana" w:cs="Arial"/>
          <w:i/>
          <w:iCs/>
          <w:lang w:val="es-ES_tradnl"/>
        </w:rPr>
        <w:t>excepción</w:t>
      </w:r>
      <w:r w:rsidRPr="00E84F10">
        <w:rPr>
          <w:rFonts w:ascii="Verdana" w:eastAsia="Calibri" w:hAnsi="Verdana" w:cs="Arial"/>
          <w:lang w:val="es-ES_tradnl"/>
        </w:rPr>
        <w:t xml:space="preserve"> </w:t>
      </w:r>
      <w:r>
        <w:rPr>
          <w:rFonts w:ascii="Verdana" w:eastAsia="Calibri" w:hAnsi="Verdana" w:cs="Arial"/>
          <w:lang w:val="es-ES_tradnl"/>
        </w:rPr>
        <w:t xml:space="preserve">con respecto al </w:t>
      </w:r>
      <w:r w:rsidRPr="00E84F10">
        <w:rPr>
          <w:rFonts w:ascii="Verdana" w:eastAsia="Calibri" w:hAnsi="Verdana" w:cs="Arial"/>
          <w:lang w:val="es-ES_tradnl"/>
        </w:rPr>
        <w:t xml:space="preserve">“[…] régimen de contratación previsto para las situaciones de desastres o de similar naturaleza y a evitar la extensión de los efectos”. </w:t>
      </w:r>
    </w:p>
    <w:p w14:paraId="5F92E533" w14:textId="77777777" w:rsidR="00AC19DA" w:rsidRPr="0004417F"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Respecto al </w:t>
      </w:r>
      <w:r w:rsidRPr="00E84F10">
        <w:rPr>
          <w:rFonts w:ascii="Verdana" w:eastAsia="Calibri" w:hAnsi="Verdana" w:cs="Arial"/>
          <w:lang w:val="es-ES_tradnl"/>
        </w:rPr>
        <w:t>Fondo Nacional de Gestión del Riesgo</w:t>
      </w:r>
      <w:r>
        <w:rPr>
          <w:rFonts w:ascii="Verdana" w:eastAsia="Calibri" w:hAnsi="Verdana" w:cs="Arial"/>
          <w:lang w:val="es-ES_tradnl"/>
        </w:rPr>
        <w:t xml:space="preserve">, esta norma es congruente con el artículo 3 del </w:t>
      </w:r>
      <w:r w:rsidRPr="00E84F10">
        <w:rPr>
          <w:rFonts w:ascii="Verdana" w:eastAsia="Calibri" w:hAnsi="Verdana" w:cs="Arial"/>
          <w:lang w:val="es-ES_tradnl"/>
        </w:rPr>
        <w:t>Decreto Ley 4702 de 2010</w:t>
      </w:r>
      <w:r>
        <w:rPr>
          <w:rFonts w:ascii="Verdana" w:eastAsia="Calibri" w:hAnsi="Verdana" w:cs="Arial"/>
          <w:lang w:val="es-ES_tradnl"/>
        </w:rPr>
        <w:t>, el cual está vigente conforme al inciso segundo del artículo 96 de la Ley 1523 de 2012</w:t>
      </w:r>
      <w:r>
        <w:rPr>
          <w:rStyle w:val="Refdenotaalpie"/>
          <w:rFonts w:ascii="Verdana" w:eastAsia="Calibri" w:hAnsi="Verdana" w:cs="Arial"/>
          <w:lang w:val="es-ES_tradnl"/>
        </w:rPr>
        <w:footnoteReference w:id="24"/>
      </w:r>
      <w:r>
        <w:rPr>
          <w:rFonts w:ascii="Verdana" w:eastAsia="Calibri" w:hAnsi="Verdana" w:cs="Arial"/>
          <w:lang w:val="es-ES_tradnl"/>
        </w:rPr>
        <w:t>. Este modificó el D</w:t>
      </w:r>
      <w:r w:rsidRPr="00141C9C">
        <w:rPr>
          <w:rFonts w:ascii="Verdana" w:eastAsia="Calibri" w:hAnsi="Verdana" w:cs="Arial"/>
          <w:lang w:val="es-ES_tradnl"/>
        </w:rPr>
        <w:t>ecreto</w:t>
      </w:r>
      <w:r>
        <w:rPr>
          <w:rFonts w:ascii="Verdana" w:eastAsia="Calibri" w:hAnsi="Verdana" w:cs="Arial"/>
          <w:lang w:val="es-ES_tradnl"/>
        </w:rPr>
        <w:t xml:space="preserve"> Ley</w:t>
      </w:r>
      <w:r w:rsidRPr="00141C9C">
        <w:rPr>
          <w:rFonts w:ascii="Verdana" w:eastAsia="Calibri" w:hAnsi="Verdana" w:cs="Arial"/>
          <w:lang w:val="es-ES_tradnl"/>
        </w:rPr>
        <w:t xml:space="preserve"> 919 </w:t>
      </w:r>
      <w:r>
        <w:rPr>
          <w:rFonts w:ascii="Verdana" w:eastAsia="Calibri" w:hAnsi="Verdana" w:cs="Arial"/>
          <w:lang w:val="es-ES_tradnl"/>
        </w:rPr>
        <w:t>d</w:t>
      </w:r>
      <w:r w:rsidRPr="00141C9C">
        <w:rPr>
          <w:rFonts w:ascii="Verdana" w:eastAsia="Calibri" w:hAnsi="Verdana" w:cs="Arial"/>
          <w:lang w:val="es-ES_tradnl"/>
        </w:rPr>
        <w:t>e 1989</w:t>
      </w:r>
      <w:r>
        <w:rPr>
          <w:rFonts w:ascii="Verdana" w:eastAsia="Calibri" w:hAnsi="Verdana" w:cs="Arial"/>
          <w:lang w:val="es-ES_tradnl"/>
        </w:rPr>
        <w:t xml:space="preserve">, el cual organizaba anteriormente </w:t>
      </w:r>
      <w:r w:rsidRPr="008633CC">
        <w:rPr>
          <w:rFonts w:ascii="Verdana" w:eastAsia="Calibri" w:hAnsi="Verdana" w:cs="Arial"/>
          <w:lang w:val="es-ES_tradnl"/>
        </w:rPr>
        <w:t>el Sistema Nacional para la Prevención y Atención de Desastres</w:t>
      </w:r>
      <w:r>
        <w:rPr>
          <w:rFonts w:ascii="Verdana" w:eastAsia="Calibri" w:hAnsi="Verdana" w:cs="Arial"/>
          <w:lang w:val="es-ES_tradnl"/>
        </w:rPr>
        <w:t xml:space="preserve">. Asimismo, </w:t>
      </w:r>
      <w:r w:rsidRPr="00E84F10">
        <w:rPr>
          <w:rFonts w:ascii="Verdana" w:eastAsia="Calibri" w:hAnsi="Verdana" w:cs="Arial"/>
          <w:lang w:val="es-ES_tradnl"/>
        </w:rPr>
        <w:t>el artículo 66 de la Ley 1523 de 2012</w:t>
      </w:r>
      <w:r>
        <w:rPr>
          <w:rFonts w:ascii="Verdana" w:eastAsia="Calibri" w:hAnsi="Verdana" w:cs="Arial"/>
          <w:lang w:val="es-ES_tradnl"/>
        </w:rPr>
        <w:t xml:space="preserve"> concuerda con el artículo 54 </w:t>
      </w:r>
      <w:r w:rsidRPr="008633CC">
        <w:rPr>
          <w:rFonts w:ascii="Verdana" w:eastAsia="Calibri" w:hAnsi="Verdana" w:cs="Arial"/>
          <w:i/>
          <w:iCs/>
          <w:lang w:val="es-ES_tradnl"/>
        </w:rPr>
        <w:t>ibidem</w:t>
      </w:r>
      <w:r>
        <w:rPr>
          <w:rFonts w:ascii="Verdana" w:eastAsia="Calibri" w:hAnsi="Verdana" w:cs="Arial"/>
          <w:lang w:val="es-ES_tradnl"/>
        </w:rPr>
        <w:t xml:space="preserve">, </w:t>
      </w:r>
      <w:r w:rsidRPr="008633CC">
        <w:rPr>
          <w:rFonts w:ascii="Verdana" w:eastAsia="Calibri" w:hAnsi="Verdana" w:cs="Arial"/>
          <w:lang w:val="es-ES_tradnl"/>
        </w:rPr>
        <w:t xml:space="preserve">pues este último establece que las entidades territoriales deben constituir sus propios </w:t>
      </w:r>
      <w:r w:rsidRPr="008633CC">
        <w:rPr>
          <w:rFonts w:ascii="Verdana" w:eastAsia="Calibri" w:hAnsi="Verdana" w:cs="Arial"/>
          <w:i/>
          <w:iCs/>
          <w:lang w:val="es-ES_tradnl"/>
        </w:rPr>
        <w:t>fondos de gestión del riesgo</w:t>
      </w:r>
      <w:r w:rsidRPr="008633CC">
        <w:rPr>
          <w:rFonts w:ascii="Verdana" w:eastAsia="Calibri" w:hAnsi="Verdana" w:cs="Arial"/>
          <w:lang w:val="es-ES_tradnl"/>
        </w:rPr>
        <w:t xml:space="preserve">, bajo el mismo esquema del Fondo Nacional, con el propósito de invertir, destinar y ejecutar sus recursos en la adopción de medidas de conocimiento y reducción del riesgo, preparación, respuesta, rehabilitación y reconstrucción en situaciones de </w:t>
      </w:r>
      <w:r w:rsidRPr="0004417F">
        <w:rPr>
          <w:rFonts w:ascii="Verdana" w:eastAsia="Calibri" w:hAnsi="Verdana" w:cs="Arial"/>
          <w:lang w:val="es-ES_tradnl"/>
        </w:rPr>
        <w:t>desastre o calamidad pública</w:t>
      </w:r>
      <w:r w:rsidRPr="0004417F">
        <w:rPr>
          <w:rStyle w:val="Refdenotaalpie"/>
          <w:rFonts w:ascii="Verdana" w:eastAsia="Calibri" w:hAnsi="Verdana" w:cs="Arial"/>
          <w:lang w:val="es-ES_tradnl"/>
        </w:rPr>
        <w:footnoteReference w:id="25"/>
      </w:r>
      <w:r w:rsidRPr="0004417F">
        <w:rPr>
          <w:rFonts w:ascii="Verdana" w:eastAsia="Calibri" w:hAnsi="Verdana" w:cs="Arial"/>
          <w:lang w:val="es-ES_tradnl"/>
        </w:rPr>
        <w:t>.</w:t>
      </w:r>
    </w:p>
    <w:p w14:paraId="216FB5F6" w14:textId="77777777" w:rsidR="00AC19DA" w:rsidRPr="0004417F" w:rsidRDefault="00AC19DA" w:rsidP="00AC19DA">
      <w:pPr>
        <w:spacing w:after="120" w:line="276" w:lineRule="auto"/>
        <w:ind w:firstLine="708"/>
        <w:jc w:val="both"/>
        <w:rPr>
          <w:rFonts w:ascii="Verdana" w:eastAsia="Calibri" w:hAnsi="Verdana" w:cs="Arial"/>
          <w:lang w:val="es-ES"/>
        </w:rPr>
      </w:pPr>
      <w:bookmarkStart w:id="23" w:name="_Hlk37246222"/>
      <w:r w:rsidRPr="3F4931A3">
        <w:rPr>
          <w:rFonts w:ascii="Verdana" w:eastAsia="Calibri" w:hAnsi="Verdana" w:cs="Arial"/>
          <w:lang w:val="es-ES"/>
        </w:rPr>
        <w:t>De acuerdo con lo dispuesto en el artículo 66 de la Ley 1523 de 2012, una vez declarada la situación de desastre o la situación de calamidad pública, los sujetos expresamente señalad</w:t>
      </w:r>
      <w:r>
        <w:rPr>
          <w:rFonts w:ascii="Verdana" w:eastAsia="Calibri" w:hAnsi="Verdana" w:cs="Arial"/>
          <w:lang w:val="es-ES"/>
        </w:rPr>
        <w:t>o</w:t>
      </w:r>
      <w:r w:rsidRPr="3F4931A3">
        <w:rPr>
          <w:rFonts w:ascii="Verdana" w:eastAsia="Calibri" w:hAnsi="Verdana" w:cs="Arial"/>
          <w:lang w:val="es-ES"/>
        </w:rPr>
        <w:t>s allí son las únic</w:t>
      </w:r>
      <w:r>
        <w:rPr>
          <w:rFonts w:ascii="Verdana" w:eastAsia="Calibri" w:hAnsi="Verdana" w:cs="Arial"/>
          <w:lang w:val="es-ES"/>
        </w:rPr>
        <w:t>o</w:t>
      </w:r>
      <w:r w:rsidRPr="3F4931A3">
        <w:rPr>
          <w:rFonts w:ascii="Verdana" w:eastAsia="Calibri" w:hAnsi="Verdana" w:cs="Arial"/>
          <w:lang w:val="es-ES"/>
        </w:rPr>
        <w:t>s excluid</w:t>
      </w:r>
      <w:r>
        <w:rPr>
          <w:rFonts w:ascii="Verdana" w:eastAsia="Calibri" w:hAnsi="Verdana" w:cs="Arial"/>
          <w:lang w:val="es-ES"/>
        </w:rPr>
        <w:t>o</w:t>
      </w:r>
      <w:r w:rsidRPr="3F4931A3">
        <w:rPr>
          <w:rFonts w:ascii="Verdana" w:eastAsia="Calibri" w:hAnsi="Verdana" w:cs="Arial"/>
          <w:lang w:val="es-ES"/>
        </w:rPr>
        <w:t xml:space="preserve">s de la aplicación de la Ley 80 de 1993 en materia de la contratación por urgencia manifiesta. </w:t>
      </w:r>
    </w:p>
    <w:p w14:paraId="55A46F70" w14:textId="77777777" w:rsidR="00AC19DA" w:rsidRDefault="00AC19DA" w:rsidP="00AC19DA">
      <w:pPr>
        <w:spacing w:after="120" w:line="276" w:lineRule="auto"/>
        <w:ind w:firstLine="709"/>
        <w:jc w:val="both"/>
        <w:rPr>
          <w:rFonts w:ascii="Verdana" w:eastAsia="Calibri" w:hAnsi="Verdana" w:cs="Arial"/>
          <w:lang w:val="es-ES_tradnl"/>
        </w:rPr>
      </w:pPr>
      <w:r w:rsidRPr="0004417F">
        <w:rPr>
          <w:rFonts w:ascii="Verdana" w:eastAsia="Calibri" w:hAnsi="Verdana" w:cs="Arial"/>
          <w:lang w:val="es-ES_tradnl"/>
        </w:rPr>
        <w:t xml:space="preserve">Además, según el parágrafo del artículo 66 de la Ley 1523 de 2012, sólo los contratos celebrados por las entidades territoriales se someten al control fiscal, con independencia de que sean producto de la contratación directa; razón por la cual también recae sobre aquellos que son resultado de procesos de selección competitivos. En otras palabras, la pura y simple declaración de desastre o de calamidad pública conduce a que las autoridades mencionadas atrás se excluyan del EGCAP y pasen a formar parte del régimen especial de contratación, siempre que los contratos estén relacionados directamente con las actividades de respuesta, de rehabilitación y reconstrucción para superar la situación de calamidad o desastre declarados, caso en el cual, podrán pactar poderes excepcionales. </w:t>
      </w:r>
      <w:bookmarkEnd w:id="23"/>
    </w:p>
    <w:p w14:paraId="20540A0F" w14:textId="77777777" w:rsidR="00AC19DA" w:rsidRPr="00D05D0E" w:rsidRDefault="00AC19DA" w:rsidP="00AC19DA">
      <w:pPr>
        <w:spacing w:after="120" w:line="276" w:lineRule="auto"/>
        <w:ind w:firstLine="709"/>
        <w:jc w:val="both"/>
        <w:rPr>
          <w:rFonts w:ascii="Verdana" w:eastAsia="Calibri" w:hAnsi="Verdana" w:cs="Arial"/>
          <w:lang w:val="es-ES_tradnl"/>
        </w:rPr>
      </w:pPr>
      <w:r>
        <w:rPr>
          <w:rFonts w:ascii="Verdana" w:eastAsia="Calibri" w:hAnsi="Verdana" w:cs="Arial"/>
          <w:lang w:val="es-ES_tradnl"/>
        </w:rPr>
        <w:t xml:space="preserve">Ahora bien, de esta norma podría efectuarse dos interpretaciones. La primera de carácter restrictivo, tras considerar que solo las entidades territoriales que suscriban contratos conforme a lo dispuesto en el artículo 66 están </w:t>
      </w:r>
      <w:r>
        <w:rPr>
          <w:rFonts w:ascii="Verdana" w:eastAsia="Calibri" w:hAnsi="Verdana" w:cs="Arial"/>
          <w:lang w:val="es-ES"/>
        </w:rPr>
        <w:t>sometidas al control fiscal dispuesto para los contratos que celebran las entidades estatales en el marco de declaratorias de urgencia manifiesta, a los cuales se refieren los artículos 42 y 43 de la Ley 80 de 1993.</w:t>
      </w:r>
    </w:p>
    <w:p w14:paraId="5312AA47" w14:textId="77777777" w:rsidR="00AC19DA" w:rsidRDefault="00AC19DA" w:rsidP="00AC19DA">
      <w:pPr>
        <w:spacing w:after="120" w:line="276" w:lineRule="auto"/>
        <w:ind w:firstLine="709"/>
        <w:jc w:val="both"/>
        <w:rPr>
          <w:rFonts w:ascii="Verdana" w:eastAsia="Calibri" w:hAnsi="Verdana" w:cs="Arial"/>
          <w:lang w:val="es-ES"/>
        </w:rPr>
      </w:pPr>
      <w:r>
        <w:rPr>
          <w:rFonts w:ascii="Verdana" w:eastAsia="Calibri" w:hAnsi="Verdana" w:cs="Arial"/>
          <w:lang w:val="es-ES"/>
        </w:rPr>
        <w:t xml:space="preserve">La segunda postura es ampliar su aplicación incluyendo a las entidades prestadoras de servicios públicos domiciliarios, con el fin darle un tratamiento similar para que el control del artículo 43 de la Ley 80 de 1993 sea efectivo, dado que en definitiva gestionan recursos públicos para lograr sus cometidos. Sin embargo, esta última posición no tendría cabida teniendo en consideración que la norma es explícita en definir los sujetos excluidos del EGCAP y a cuáles entidades deberían aplicarse los artículos 42 y 43 de la Ley 80 de 1993. </w:t>
      </w:r>
    </w:p>
    <w:p w14:paraId="0E1B54EA" w14:textId="77777777" w:rsidR="00AC19DA" w:rsidRPr="009072F9" w:rsidRDefault="00AC19DA" w:rsidP="00AC19DA">
      <w:pPr>
        <w:spacing w:after="120" w:line="276" w:lineRule="auto"/>
        <w:jc w:val="both"/>
        <w:rPr>
          <w:rFonts w:ascii="Verdana" w:eastAsia="Calibri" w:hAnsi="Verdana" w:cs="Arial"/>
          <w:lang w:val="es-ES"/>
        </w:rPr>
      </w:pPr>
      <w:r>
        <w:rPr>
          <w:rFonts w:ascii="Verdana" w:eastAsia="Calibri" w:hAnsi="Verdana" w:cs="Arial"/>
          <w:lang w:val="es-ES"/>
        </w:rPr>
        <w:t xml:space="preserve">iii) </w:t>
      </w:r>
      <w:r w:rsidRPr="00F66432">
        <w:rPr>
          <w:rFonts w:ascii="Verdana" w:hAnsi="Verdana" w:cs="Arial"/>
          <w:color w:val="000000" w:themeColor="text1"/>
        </w:rPr>
        <w:t>La Constitución Política de 1991 estructura el control fiscal como una función pública que tiene por objeto vigilar la gestión fiscal de la administración y de los particulares, o de entidades que manejan fondos o bienes de la Nación; para su ejercicio se han concebido unos órganos de control, autónomos e independientes, que colaboran armónicamente en la realización de los fines del Estado (arts. 113, 117, 119 y 267). El ordenamiento jurídico utiliza tanto el criterio subjetivo para someter al control fiscal a la administración, como el criterio objetivo o material para comprender en la vigilancia la realización de cualquier forma de gestión fiscal, en la medida en que ésta repercute en las finanzas públicas, independientemente de la calidad del sujeto que maneje los recursos y de la especie de éstos</w:t>
      </w:r>
      <w:r>
        <w:rPr>
          <w:rStyle w:val="Refdenotaalpie"/>
          <w:rFonts w:ascii="Verdana" w:hAnsi="Verdana" w:cs="Arial"/>
          <w:color w:val="000000" w:themeColor="text1"/>
        </w:rPr>
        <w:footnoteReference w:id="26"/>
      </w:r>
      <w:r w:rsidRPr="00F66432">
        <w:rPr>
          <w:rFonts w:ascii="Verdana" w:hAnsi="Verdana" w:cs="Arial"/>
          <w:color w:val="000000" w:themeColor="text1"/>
        </w:rPr>
        <w:t>.</w:t>
      </w:r>
    </w:p>
    <w:p w14:paraId="1CA0610C" w14:textId="77777777" w:rsidR="000E345D" w:rsidRDefault="00AC19DA" w:rsidP="000E345D">
      <w:pPr>
        <w:spacing w:after="0" w:line="276" w:lineRule="auto"/>
        <w:ind w:firstLine="709"/>
        <w:jc w:val="both"/>
        <w:rPr>
          <w:rFonts w:ascii="Verdana" w:hAnsi="Verdana" w:cs="Arial"/>
          <w:color w:val="000000" w:themeColor="text1"/>
        </w:rPr>
      </w:pPr>
      <w:r>
        <w:rPr>
          <w:rFonts w:ascii="Verdana" w:hAnsi="Verdana" w:cs="Arial"/>
          <w:color w:val="000000" w:themeColor="text1"/>
        </w:rPr>
        <w:t xml:space="preserve">En este contexto la Ley 610 de 2000 modificado por el </w:t>
      </w:r>
      <w:r w:rsidRPr="00521458">
        <w:rPr>
          <w:rFonts w:ascii="Verdana" w:hAnsi="Verdana" w:cs="Arial"/>
          <w:color w:val="000000" w:themeColor="text1"/>
        </w:rPr>
        <w:t>Decreto 403 de 2020</w:t>
      </w:r>
      <w:r w:rsidRPr="00521458">
        <w:rPr>
          <w:rStyle w:val="Refdenotaalpie"/>
          <w:rFonts w:ascii="Verdana" w:eastAsia="Calibri" w:hAnsi="Verdana" w:cs="Arial"/>
          <w:bCs/>
          <w:color w:val="000000"/>
          <w:lang w:eastAsia="es-MX"/>
        </w:rPr>
        <w:footnoteReference w:id="27"/>
      </w:r>
      <w:r w:rsidRPr="00521458">
        <w:rPr>
          <w:rFonts w:ascii="Verdana" w:hAnsi="Verdana" w:cs="Arial"/>
          <w:color w:val="000000" w:themeColor="text1"/>
        </w:rPr>
        <w:t xml:space="preserve"> en el artículo 2 define los conceptos de vigilancia fiscal</w:t>
      </w:r>
      <w:r w:rsidRPr="00521458">
        <w:rPr>
          <w:rStyle w:val="Refdenotaalpie"/>
          <w:rFonts w:ascii="Verdana" w:hAnsi="Verdana" w:cs="Arial"/>
          <w:color w:val="000000" w:themeColor="text1"/>
        </w:rPr>
        <w:footnoteReference w:id="28"/>
      </w:r>
      <w:r w:rsidRPr="00521458">
        <w:rPr>
          <w:rFonts w:ascii="Verdana" w:hAnsi="Verdana" w:cs="Arial"/>
          <w:color w:val="000000" w:themeColor="text1"/>
        </w:rPr>
        <w:t xml:space="preserve"> y control fiscal</w:t>
      </w:r>
      <w:r>
        <w:rPr>
          <w:rFonts w:ascii="Verdana" w:hAnsi="Verdana" w:cs="Arial"/>
          <w:color w:val="000000" w:themeColor="text1"/>
        </w:rPr>
        <w:t>.</w:t>
      </w:r>
      <w:r w:rsidRPr="00521458">
        <w:rPr>
          <w:rFonts w:ascii="Verdana" w:hAnsi="Verdana" w:cs="Arial"/>
          <w:color w:val="000000" w:themeColor="text1"/>
        </w:rPr>
        <w:t xml:space="preserve"> </w:t>
      </w:r>
      <w:r w:rsidRPr="00521458">
        <w:rPr>
          <w:rFonts w:ascii="Verdana" w:hAnsi="Verdana"/>
          <w:lang w:val="es-ES"/>
        </w:rPr>
        <w:t xml:space="preserve">Sobre este último </w:t>
      </w:r>
      <w:r>
        <w:rPr>
          <w:rFonts w:ascii="Verdana" w:hAnsi="Verdana"/>
          <w:lang w:val="es-ES"/>
        </w:rPr>
        <w:t xml:space="preserve">concepto, </w:t>
      </w:r>
      <w:r w:rsidRPr="00521458">
        <w:rPr>
          <w:rFonts w:ascii="Verdana" w:hAnsi="Verdana"/>
          <w:lang w:val="es-ES"/>
        </w:rPr>
        <w:t xml:space="preserve">la norma indica que </w:t>
      </w:r>
      <w:r w:rsidRPr="00521458">
        <w:rPr>
          <w:rFonts w:ascii="Verdana" w:hAnsi="Verdana"/>
          <w:i/>
          <w:iCs/>
          <w:lang w:val="es-ES"/>
        </w:rPr>
        <w:t>“e</w:t>
      </w:r>
      <w:r w:rsidRPr="00521458">
        <w:rPr>
          <w:rFonts w:ascii="Verdana" w:hAnsi="Verdana"/>
          <w:i/>
          <w:iCs/>
        </w:rPr>
        <w:t>s la función pública de fiscalización de la gestión fiscal de la administración y de los particulares o entidades que manejen fondos o bienes públicos, que ejercen los órganos de control fiscal de manera autónoma e independiente de cualquier otra forma de inspección y vigilancia administrativa, con el fin de determinar si la gestión fiscal y sus resultados se ajustan a los principios, políticas, planes, programas, proyectos, presupuestos y normatividad aplicables y logran efectos positivos para la consecución de los fines esenciales del Estado, y supone un pronunciamiento de carácter valorativo sobre la gestión examinada y el adelantamiento del proceso de responsabilidad fiscal si se dan los presupuestos para ello.</w:t>
      </w:r>
      <w:r>
        <w:rPr>
          <w:rFonts w:ascii="Verdana" w:hAnsi="Verdana" w:cs="Arial"/>
          <w:color w:val="000000" w:themeColor="text1"/>
        </w:rPr>
        <w:t xml:space="preserve"> </w:t>
      </w:r>
      <w:r w:rsidRPr="00521458">
        <w:rPr>
          <w:rFonts w:ascii="Verdana" w:hAnsi="Verdana"/>
          <w:i/>
          <w:iCs/>
        </w:rPr>
        <w:t>El control fiscal será ejercido en forma posterior y selectiva por los órganos de control fiscal, sin perjuicio del control concomitante y preventivo, para garantizar la defensa y protección del patrimonio público en los términos que establece la Constitución Política y la ley</w:t>
      </w:r>
      <w:r>
        <w:rPr>
          <w:rFonts w:ascii="Verdana" w:hAnsi="Verdana"/>
          <w:i/>
          <w:iCs/>
        </w:rPr>
        <w:t>”</w:t>
      </w:r>
      <w:r w:rsidRPr="00521458">
        <w:rPr>
          <w:rFonts w:ascii="Verdana" w:hAnsi="Verdana"/>
          <w:i/>
          <w:iCs/>
        </w:rPr>
        <w:t>.</w:t>
      </w:r>
    </w:p>
    <w:p w14:paraId="5A5AC6CE" w14:textId="77777777" w:rsidR="000E345D" w:rsidRDefault="000E345D" w:rsidP="000E345D">
      <w:pPr>
        <w:spacing w:after="0" w:line="240" w:lineRule="auto"/>
        <w:ind w:firstLine="709"/>
        <w:jc w:val="both"/>
        <w:rPr>
          <w:rFonts w:ascii="Verdana" w:hAnsi="Verdana" w:cs="Arial"/>
          <w:color w:val="000000" w:themeColor="text1"/>
        </w:rPr>
      </w:pPr>
    </w:p>
    <w:p w14:paraId="3FBBE3C7" w14:textId="77777777" w:rsidR="000E345D" w:rsidRDefault="00AC19DA" w:rsidP="000E345D">
      <w:pPr>
        <w:spacing w:after="120" w:line="276" w:lineRule="auto"/>
        <w:ind w:firstLine="709"/>
        <w:jc w:val="both"/>
        <w:rPr>
          <w:rFonts w:ascii="Verdana" w:hAnsi="Verdana" w:cs="Arial"/>
          <w:color w:val="000000" w:themeColor="text1"/>
        </w:rPr>
      </w:pPr>
      <w:r w:rsidRPr="00521458">
        <w:rPr>
          <w:rFonts w:ascii="Verdana" w:hAnsi="Verdana"/>
          <w:lang w:val="es-ES"/>
        </w:rPr>
        <w:t>Así mismo</w:t>
      </w:r>
      <w:r>
        <w:rPr>
          <w:rFonts w:ascii="Verdana" w:hAnsi="Verdana"/>
          <w:lang w:val="es-ES"/>
        </w:rPr>
        <w:t>,</w:t>
      </w:r>
      <w:r w:rsidRPr="00521458">
        <w:rPr>
          <w:rFonts w:ascii="Verdana" w:hAnsi="Verdana"/>
          <w:lang w:val="es-ES"/>
        </w:rPr>
        <w:t xml:space="preserve"> el mismo artículo define quiénes son los sujetos de la vigilancia y control fiscal al indicar que son </w:t>
      </w:r>
      <w:r w:rsidRPr="00521458">
        <w:rPr>
          <w:rFonts w:ascii="Verdana" w:hAnsi="Verdana"/>
        </w:rPr>
        <w:t>“los órganos que integran las ramas del poder público, los órganos autónomos e independientes, los de control y electorales, los organismos creados por la Constitución Política y la ley que tienen régimen especial, el Banco de la República, y las demás entidades públicas en todos los niveles administrativos, los particulares, las personas jurídicas y cualquier otro tipo de organización o sociedad que a cualquier título recauden, administren, manejen, dispongan o inviertan fondos, recursos del Estado y/o bienes o recursos públicos en lo relacionado con éstos”.</w:t>
      </w:r>
    </w:p>
    <w:p w14:paraId="6ADC5CC0" w14:textId="131FA2F9" w:rsidR="00AC19DA" w:rsidRPr="000E345D" w:rsidRDefault="00AC19DA" w:rsidP="000E345D">
      <w:pPr>
        <w:spacing w:after="120" w:line="276" w:lineRule="auto"/>
        <w:ind w:firstLine="709"/>
        <w:jc w:val="both"/>
        <w:rPr>
          <w:rFonts w:ascii="Verdana" w:hAnsi="Verdana" w:cs="Arial"/>
          <w:color w:val="000000" w:themeColor="text1"/>
        </w:rPr>
      </w:pPr>
      <w:r>
        <w:rPr>
          <w:rFonts w:ascii="Verdana" w:hAnsi="Verdana"/>
        </w:rPr>
        <w:t>De otra parte</w:t>
      </w:r>
      <w:r w:rsidRPr="00521458">
        <w:rPr>
          <w:rFonts w:ascii="Verdana" w:hAnsi="Verdana"/>
        </w:rPr>
        <w:t>, también define qué es objeto de vigilancia y control, y corresponde a las actividades, acciones, omisiones, operaciones, procesos, cuenta, contrato, convenio, proyecto, programa, acto o hecho, y los demás asuntos que se encuentren comprendidos o que incidan directa o indirectamente en la gestión fiscal o que involucren bienes, fondos o recursos públicos, así como el uso, explotación, exploración, administración o beneficio de los mismos.</w:t>
      </w:r>
    </w:p>
    <w:p w14:paraId="22DF1AEA" w14:textId="77777777" w:rsidR="00AC19DA" w:rsidRPr="001B70B2" w:rsidRDefault="00AC19DA" w:rsidP="00AC19DA">
      <w:pPr>
        <w:spacing w:after="120" w:line="276" w:lineRule="auto"/>
        <w:ind w:firstLine="709"/>
        <w:jc w:val="both"/>
        <w:rPr>
          <w:rFonts w:ascii="Verdana" w:hAnsi="Verdana"/>
        </w:rPr>
      </w:pPr>
      <w:r>
        <w:rPr>
          <w:rFonts w:ascii="Verdana" w:hAnsi="Verdana"/>
        </w:rPr>
        <w:t xml:space="preserve">El control fiscal según lo establecido en el artículo 53 es posterior y selectivo de la </w:t>
      </w:r>
      <w:r w:rsidRPr="001B70B2">
        <w:rPr>
          <w:rFonts w:ascii="Verdana" w:hAnsi="Verdana"/>
        </w:rPr>
        <w:t>administración y de los particulares o entidades que manejen fondos o bienes públicos, con el fin de determinar si las actividades,</w:t>
      </w:r>
      <w:r>
        <w:rPr>
          <w:rFonts w:ascii="Verdana" w:hAnsi="Verdana"/>
        </w:rPr>
        <w:t xml:space="preserve"> </w:t>
      </w:r>
      <w:r w:rsidRPr="001B70B2">
        <w:rPr>
          <w:rFonts w:ascii="Verdana" w:hAnsi="Verdana"/>
        </w:rPr>
        <w:t>operaciones y procesos ejecutados y sus resultados se ajustan a los principios, políticas, planes, programas, proyectos, presupuestos y normatividad aplicables y logran efectos positivos para la consecución de los fines esenciales del Estado. Este tipo de control se efectuará aplicando el principio de selectividad.</w:t>
      </w:r>
    </w:p>
    <w:p w14:paraId="6418471E" w14:textId="77777777" w:rsidR="00AC19DA" w:rsidRDefault="00AC19DA" w:rsidP="00AC19DA">
      <w:pPr>
        <w:spacing w:after="120" w:line="276" w:lineRule="auto"/>
        <w:ind w:firstLine="709"/>
        <w:jc w:val="both"/>
        <w:rPr>
          <w:rFonts w:ascii="Verdana" w:hAnsi="Verdana"/>
        </w:rPr>
      </w:pPr>
      <w:r w:rsidRPr="001B70B2">
        <w:rPr>
          <w:rFonts w:ascii="Verdana" w:hAnsi="Verdana"/>
        </w:rPr>
        <w:t>Para el ejercicio del control fiscal posterior y selectivo, la vigilancia fiscal podrá realizarse a través del seguimiento permanente del recurso público por parte de los órganos de control fiscal, mediante el acceso irrestricto a la información por parte de estos.</w:t>
      </w:r>
    </w:p>
    <w:p w14:paraId="126D2803" w14:textId="77777777" w:rsidR="00AC19DA" w:rsidRPr="000D4E6B" w:rsidRDefault="00AC19DA" w:rsidP="00AC19DA">
      <w:pPr>
        <w:spacing w:after="120" w:line="276" w:lineRule="auto"/>
        <w:ind w:firstLine="709"/>
        <w:jc w:val="both"/>
        <w:rPr>
          <w:rFonts w:ascii="Verdana" w:eastAsia="Calibri" w:hAnsi="Verdana" w:cs="Arial"/>
          <w:lang w:val="es-ES"/>
        </w:rPr>
      </w:pPr>
      <w:r w:rsidRPr="00521458">
        <w:rPr>
          <w:rFonts w:ascii="Verdana" w:hAnsi="Verdana"/>
        </w:rPr>
        <w:t xml:space="preserve">En este escenario, con fundamento en las funciones de la Contraloría General de la República, </w:t>
      </w:r>
      <w:r>
        <w:rPr>
          <w:rFonts w:ascii="Verdana" w:hAnsi="Verdana"/>
        </w:rPr>
        <w:t>tratándose</w:t>
      </w:r>
      <w:r>
        <w:rPr>
          <w:rFonts w:ascii="Verdana" w:hAnsi="Verdana" w:cs="Arial"/>
          <w:color w:val="000000" w:themeColor="text1"/>
          <w:lang w:val="es-ES"/>
        </w:rPr>
        <w:t xml:space="preserve"> de los contratos celebrados por las empresas de servicios públicos domiciliarios con ocasión de la declaratoria de urgencia manifiesta definida en su manual de contratación, se desarrolla el control fiscal en atención a las normas que definen dicho control esto es la Ley 610 de 2000 y el Decreto 403 de 2020. Adicionalmente, teniendo en cuenta que por regla general las empresas de servicios públicos tienen una participación del estado, aquellas </w:t>
      </w:r>
      <w:r w:rsidRPr="00C43757">
        <w:rPr>
          <w:rFonts w:ascii="Verdana" w:eastAsia="Calibri" w:hAnsi="Verdana" w:cs="Arial"/>
          <w:lang w:val="es-ES"/>
        </w:rPr>
        <w:t xml:space="preserve">cumplen una finalidad pública y utilizan recursos públicos para </w:t>
      </w:r>
      <w:r>
        <w:rPr>
          <w:rFonts w:ascii="Verdana" w:eastAsia="Calibri" w:hAnsi="Verdana" w:cs="Arial"/>
          <w:lang w:val="es-ES"/>
        </w:rPr>
        <w:t>el logro de sus funciones</w:t>
      </w:r>
      <w:r w:rsidRPr="00C43757">
        <w:rPr>
          <w:rFonts w:ascii="Verdana" w:eastAsia="Calibri" w:hAnsi="Verdana" w:cs="Arial"/>
          <w:lang w:val="es-ES"/>
        </w:rPr>
        <w:t>.</w:t>
      </w:r>
      <w:r>
        <w:rPr>
          <w:rFonts w:ascii="Verdana" w:eastAsia="Calibri" w:hAnsi="Verdana" w:cs="Arial"/>
          <w:lang w:val="es-ES"/>
        </w:rPr>
        <w:t xml:space="preserve"> Por esta razón resulta importante destacar la necesidad del control por parte de los entes de control en el ejercicio de la contratación directa bajo la modalidad de la declaratoria de urgencia manifiesta. </w:t>
      </w:r>
      <w:bookmarkEnd w:id="18"/>
    </w:p>
    <w:p w14:paraId="00A4B3F7" w14:textId="77777777" w:rsidR="00AC19DA" w:rsidRDefault="00AC19DA" w:rsidP="00AC19DA">
      <w:pPr>
        <w:spacing w:after="120" w:line="276" w:lineRule="auto"/>
        <w:ind w:firstLine="709"/>
        <w:jc w:val="both"/>
        <w:rPr>
          <w:rFonts w:ascii="Verdana" w:hAnsi="Verdana" w:cs="Arial"/>
        </w:rPr>
      </w:pPr>
      <w:r w:rsidRPr="00EC0FFE">
        <w:rPr>
          <w:rFonts w:ascii="Verdana" w:eastAsia="Calibri" w:hAnsi="Verdana" w:cs="Arial"/>
          <w:bCs/>
          <w:color w:val="000000"/>
          <w:lang w:eastAsia="es-MX"/>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998B909" w14:textId="77777777" w:rsidR="00AC19DA" w:rsidRDefault="00AC19DA" w:rsidP="00AC19DA">
      <w:pPr>
        <w:spacing w:after="120" w:line="276" w:lineRule="auto"/>
        <w:ind w:firstLine="709"/>
        <w:jc w:val="both"/>
        <w:rPr>
          <w:rFonts w:ascii="Verdana" w:eastAsia="Calibri" w:hAnsi="Verdana" w:cs="Arial"/>
          <w:bCs/>
          <w:color w:val="000000"/>
          <w:lang w:eastAsia="es-MX"/>
        </w:rPr>
      </w:pPr>
      <w:r w:rsidRPr="00EC0FFE">
        <w:rPr>
          <w:rFonts w:ascii="Verdana" w:eastAsia="Calibri" w:hAnsi="Verdana" w:cs="Arial"/>
          <w:bCs/>
          <w:color w:val="000000"/>
          <w:lang w:eastAsia="es-MX"/>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02FF71DB" w14:textId="77777777" w:rsidR="00AC19DA" w:rsidRPr="00FC7C30" w:rsidRDefault="00AC19DA" w:rsidP="00AC19DA">
      <w:pPr>
        <w:spacing w:after="0" w:line="240" w:lineRule="auto"/>
        <w:ind w:firstLine="709"/>
        <w:jc w:val="both"/>
        <w:rPr>
          <w:rFonts w:ascii="Verdana" w:eastAsia="Calibri" w:hAnsi="Verdana" w:cs="Arial"/>
          <w:bCs/>
          <w:color w:val="000000"/>
          <w:lang w:eastAsia="es-MX"/>
        </w:rPr>
      </w:pPr>
    </w:p>
    <w:p w14:paraId="1CBF867F" w14:textId="77777777" w:rsidR="00AC19DA" w:rsidRDefault="00AC19DA" w:rsidP="00AC19DA">
      <w:pPr>
        <w:spacing w:after="0" w:line="276" w:lineRule="auto"/>
        <w:jc w:val="both"/>
        <w:rPr>
          <w:rFonts w:ascii="Verdana" w:eastAsia="Century Gothic" w:hAnsi="Verdana" w:cs="Century Gothic"/>
          <w:b/>
          <w:bCs/>
        </w:rPr>
      </w:pPr>
      <w:bookmarkStart w:id="24" w:name="_Hlk204854194"/>
      <w:r w:rsidRPr="00237877">
        <w:rPr>
          <w:rFonts w:ascii="Verdana" w:hAnsi="Verdana" w:cs="Arial"/>
          <w:b/>
          <w:color w:val="000000" w:themeColor="text1"/>
        </w:rPr>
        <w:t>4.</w:t>
      </w:r>
      <w:r>
        <w:rPr>
          <w:rFonts w:ascii="Verdana" w:hAnsi="Verdana" w:cs="Arial"/>
          <w:bCs/>
          <w:color w:val="000000" w:themeColor="text1"/>
        </w:rPr>
        <w:t xml:space="preserve"> </w:t>
      </w:r>
      <w:r w:rsidRPr="005644FE">
        <w:rPr>
          <w:rFonts w:ascii="Verdana" w:eastAsia="Century Gothic" w:hAnsi="Verdana" w:cs="Century Gothic"/>
          <w:b/>
          <w:bCs/>
        </w:rPr>
        <w:t>Referencias normativas</w:t>
      </w:r>
      <w:r>
        <w:rPr>
          <w:rFonts w:ascii="Verdana" w:eastAsia="Century Gothic" w:hAnsi="Verdana" w:cs="Century Gothic"/>
          <w:b/>
          <w:bCs/>
        </w:rPr>
        <w:t>, jurisprudenciales y otras fuentes</w:t>
      </w:r>
      <w:r w:rsidRPr="005644FE">
        <w:rPr>
          <w:rFonts w:ascii="Verdana" w:eastAsia="Century Gothic" w:hAnsi="Verdana" w:cs="Century Gothic"/>
          <w:b/>
          <w:bCs/>
        </w:rPr>
        <w:t>:</w:t>
      </w:r>
      <w:bookmarkEnd w:id="24"/>
    </w:p>
    <w:p w14:paraId="7A9788DB" w14:textId="77777777" w:rsidR="00AC19DA" w:rsidRPr="00E5656D" w:rsidRDefault="00AC19DA" w:rsidP="00AC19DA">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C19DA" w:rsidRPr="002D2C18" w14:paraId="73CB7B2F" w14:textId="77777777" w:rsidTr="000506E8">
        <w:trPr>
          <w:trHeight w:val="56"/>
          <w:jc w:val="center"/>
        </w:trPr>
        <w:tc>
          <w:tcPr>
            <w:tcW w:w="8647" w:type="dxa"/>
          </w:tcPr>
          <w:p w14:paraId="226A3EC9"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Constitución Política. Artículos 209, 212, 213, 215, 267, 365.</w:t>
            </w:r>
          </w:p>
          <w:p w14:paraId="60F756FF"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Código Civil. Artículo 64.</w:t>
            </w:r>
          </w:p>
          <w:p w14:paraId="0BD15466" w14:textId="77777777" w:rsidR="00AC19DA" w:rsidRPr="00855762"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Decreto 222 de 1983. Artículo 43 numeral 16.</w:t>
            </w:r>
          </w:p>
          <w:p w14:paraId="789F85C6"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Ley 80 de 1993. Artículo</w:t>
            </w:r>
            <w:r>
              <w:rPr>
                <w:rFonts w:ascii="Verdana" w:eastAsia="Calibri" w:hAnsi="Verdana" w:cs="Arial"/>
                <w:shd w:val="clear" w:color="auto" w:fill="FFFFFF"/>
                <w:lang w:val="es-CO"/>
              </w:rPr>
              <w:t>s 3, 13,</w:t>
            </w:r>
            <w:r w:rsidRPr="00855762">
              <w:rPr>
                <w:rFonts w:ascii="Verdana" w:eastAsia="Calibri" w:hAnsi="Verdana" w:cs="Arial"/>
                <w:shd w:val="clear" w:color="auto" w:fill="FFFFFF"/>
                <w:lang w:val="es-CO"/>
              </w:rPr>
              <w:t xml:space="preserve"> 42</w:t>
            </w:r>
            <w:r>
              <w:rPr>
                <w:rFonts w:ascii="Verdana" w:eastAsia="Calibri" w:hAnsi="Verdana" w:cs="Arial"/>
                <w:shd w:val="clear" w:color="auto" w:fill="FFFFFF"/>
                <w:lang w:val="es-CO"/>
              </w:rPr>
              <w:t>,43</w:t>
            </w:r>
            <w:r w:rsidRPr="00855762">
              <w:rPr>
                <w:rFonts w:ascii="Verdana" w:eastAsia="Calibri" w:hAnsi="Verdana" w:cs="Arial"/>
                <w:shd w:val="clear" w:color="auto" w:fill="FFFFFF"/>
                <w:lang w:val="es-CO"/>
              </w:rPr>
              <w:t>.</w:t>
            </w:r>
          </w:p>
          <w:p w14:paraId="1ADBEA07"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Ley 142 de 1994. Artículos 14, 15, 17, 31, 32.</w:t>
            </w:r>
          </w:p>
          <w:p w14:paraId="01ADD401"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Ley 489 ce 1998. Artículos 38, 68.</w:t>
            </w:r>
          </w:p>
          <w:p w14:paraId="04AAEC74"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Ley 610 de 2000.</w:t>
            </w:r>
          </w:p>
          <w:p w14:paraId="2C3DD990" w14:textId="77777777" w:rsidR="00AC19DA" w:rsidRPr="00855762"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C43757">
              <w:rPr>
                <w:rFonts w:ascii="Verdana" w:eastAsia="Calibri" w:hAnsi="Verdana" w:cs="Arial"/>
                <w:color w:val="000000"/>
                <w:szCs w:val="24"/>
                <w:lang w:eastAsia="es-ES_tradnl"/>
              </w:rPr>
              <w:t>Ley 689 de 2001</w:t>
            </w:r>
            <w:r>
              <w:rPr>
                <w:rFonts w:ascii="Verdana" w:eastAsia="Calibri" w:hAnsi="Verdana" w:cs="Arial"/>
                <w:color w:val="000000"/>
                <w:szCs w:val="24"/>
                <w:lang w:eastAsia="es-ES_tradnl"/>
              </w:rPr>
              <w:t>. Artículo 3.</w:t>
            </w:r>
            <w:r>
              <w:rPr>
                <w:rFonts w:ascii="Verdana" w:eastAsia="Calibri" w:hAnsi="Verdana" w:cs="Arial"/>
                <w:shd w:val="clear" w:color="auto" w:fill="FFFFFF"/>
                <w:lang w:val="es-CO"/>
              </w:rPr>
              <w:t xml:space="preserve"> </w:t>
            </w:r>
          </w:p>
          <w:p w14:paraId="5BD0355B"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 xml:space="preserve">Ley 1150 de 2007. Artículo 2 numeral 4 literal a. </w:t>
            </w:r>
          </w:p>
          <w:p w14:paraId="5D9BBCA9"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 xml:space="preserve">Ley 1523 de 2012. Artículos 4, 56, 57, 59, 66. </w:t>
            </w:r>
          </w:p>
          <w:p w14:paraId="3AA18466" w14:textId="77777777" w:rsidR="00AC19DA" w:rsidRPr="00E34982"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Pr>
                <w:rFonts w:ascii="Verdana" w:eastAsia="Calibri" w:hAnsi="Verdana" w:cs="Arial"/>
                <w:shd w:val="clear" w:color="auto" w:fill="FFFFFF"/>
                <w:lang w:val="es-CO"/>
              </w:rPr>
              <w:t xml:space="preserve">Decreto 1082 de 2015. Artículo </w:t>
            </w:r>
            <w:r w:rsidRPr="00BE5FE3">
              <w:rPr>
                <w:rFonts w:ascii="Verdana" w:eastAsia="Calibri" w:hAnsi="Verdana" w:cs="Arial"/>
                <w:lang w:val="es-ES_tradnl"/>
              </w:rPr>
              <w:t>2.2.1.2.1.4.2</w:t>
            </w:r>
            <w:r>
              <w:rPr>
                <w:rFonts w:ascii="Verdana" w:eastAsia="Calibri" w:hAnsi="Verdana" w:cs="Arial"/>
                <w:lang w:val="es-ES_tradnl"/>
              </w:rPr>
              <w:t>.</w:t>
            </w:r>
          </w:p>
          <w:p w14:paraId="61611133"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521458">
              <w:rPr>
                <w:rFonts w:ascii="Verdana" w:hAnsi="Verdana" w:cs="Arial"/>
                <w:color w:val="000000" w:themeColor="text1"/>
              </w:rPr>
              <w:t>Decreto 403 de 2020</w:t>
            </w:r>
            <w:r>
              <w:rPr>
                <w:rFonts w:ascii="Verdana" w:hAnsi="Verdana" w:cs="Arial"/>
                <w:color w:val="000000" w:themeColor="text1"/>
              </w:rPr>
              <w:t>. Artículos 2 y 53.</w:t>
            </w:r>
          </w:p>
          <w:p w14:paraId="63DDAAB1"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C</w:t>
            </w:r>
            <w:r>
              <w:rPr>
                <w:rFonts w:ascii="Verdana" w:eastAsia="Calibri" w:hAnsi="Verdana" w:cs="Arial"/>
                <w:shd w:val="clear" w:color="auto" w:fill="FFFFFF"/>
                <w:lang w:val="es-CO"/>
              </w:rPr>
              <w:t>onsejo de Estado</w:t>
            </w:r>
            <w:r w:rsidRPr="00855762">
              <w:rPr>
                <w:rFonts w:ascii="Verdana" w:eastAsia="Calibri" w:hAnsi="Verdana" w:cs="Arial"/>
                <w:shd w:val="clear" w:color="auto" w:fill="FFFFFF"/>
                <w:lang w:val="es-CO"/>
              </w:rPr>
              <w:t>. Sala de Consulta y de Servicio Civil. Concepto del 28 de enero de 1998. Rad. 1.073. C.P. Javier Henao Hidrón.</w:t>
            </w:r>
          </w:p>
          <w:p w14:paraId="49EA27FC"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Consejo de Estado. Sala de lo Contencioso Administrativo. Sección Tercera. Subsección C. Sentencia del 7 de febrero de 2011. Rad. 34.425. C.P. Jaime Orlando Santofimio Gamboa.</w:t>
            </w:r>
          </w:p>
          <w:p w14:paraId="370CC6AA"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E34982">
              <w:rPr>
                <w:rFonts w:ascii="Verdana" w:eastAsia="Calibri" w:hAnsi="Verdana" w:cs="Arial"/>
                <w:shd w:val="clear" w:color="auto" w:fill="FFFFFF"/>
                <w:lang w:val="es-CO"/>
              </w:rPr>
              <w:t xml:space="preserve">Consejo de Estado. Sala de lo Contencioso Administrativo. Sección Tercera. Subsección C. Sentencia del 13 de abril de 2011. Exp. 37423. C.P. Jaime Orlando Santofimio Gamboa. </w:t>
            </w:r>
          </w:p>
          <w:p w14:paraId="002E329E"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E34982">
              <w:rPr>
                <w:rFonts w:ascii="Verdana" w:eastAsia="Calibri" w:hAnsi="Verdana" w:cs="Arial"/>
                <w:shd w:val="clear" w:color="auto" w:fill="FFFFFF"/>
                <w:lang w:val="es-CO"/>
              </w:rPr>
              <w:t>Consejo de Estado. Sala de lo Contencioso Administrativo. Sección Tercera. Subsección B. Sentencia del 15 de noviembre de 2011. Exp. 21178. C.P. Ruth Stella Correa Palacio.</w:t>
            </w:r>
          </w:p>
          <w:p w14:paraId="0758761F" w14:textId="77777777" w:rsidR="00AC19DA" w:rsidRPr="000D4E6B"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E34982">
              <w:rPr>
                <w:rFonts w:ascii="Verdana" w:eastAsia="Calibri" w:hAnsi="Verdana" w:cs="Arial"/>
                <w:shd w:val="clear" w:color="auto" w:fill="FFFFFF"/>
                <w:lang w:val="es-CO"/>
              </w:rPr>
              <w:t>Consejo de Estado. Sala de lo Contencioso Administrativo. Sección Tercera. Subsección A. Radicado No. 45.607 del 24 de octubre de 2016. C.P: Marta Nubia Velásquez Rico.</w:t>
            </w:r>
            <w:r w:rsidRPr="000D4E6B">
              <w:rPr>
                <w:rFonts w:ascii="Verdana" w:eastAsia="Calibri" w:hAnsi="Verdana" w:cs="Arial"/>
                <w:shd w:val="clear" w:color="auto" w:fill="FFFFFF"/>
              </w:rPr>
              <w:t xml:space="preserve">   </w:t>
            </w:r>
          </w:p>
          <w:p w14:paraId="67B848DF" w14:textId="77777777" w:rsidR="00AC19DA"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462D91">
              <w:rPr>
                <w:rFonts w:ascii="Verdana" w:eastAsia="Calibri" w:hAnsi="Verdana" w:cs="Arial"/>
                <w:shd w:val="clear" w:color="auto" w:fill="FFFFFF"/>
                <w:lang w:val="pt-BR"/>
              </w:rPr>
              <w:t xml:space="preserve">Corte Constitucional. Sentencia C-772 de 1998. </w:t>
            </w:r>
            <w:r w:rsidRPr="00855762">
              <w:rPr>
                <w:rFonts w:ascii="Verdana" w:eastAsia="Calibri" w:hAnsi="Verdana" w:cs="Arial"/>
                <w:shd w:val="clear" w:color="auto" w:fill="FFFFFF"/>
                <w:lang w:val="es-CO"/>
              </w:rPr>
              <w:t>M.P. Fabio Morón Díaz.</w:t>
            </w:r>
          </w:p>
          <w:p w14:paraId="23D0716A" w14:textId="77777777" w:rsidR="00AC19DA" w:rsidRPr="00855762"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462D91">
              <w:rPr>
                <w:rFonts w:ascii="Verdana" w:eastAsia="Calibri" w:hAnsi="Verdana" w:cs="Arial"/>
                <w:shd w:val="clear" w:color="auto" w:fill="FFFFFF"/>
                <w:lang w:val="pt-BR"/>
              </w:rPr>
              <w:t xml:space="preserve">Corte Constitucional. Sentencia C-736 de 2007. </w:t>
            </w:r>
            <w:r w:rsidRPr="00E34982">
              <w:rPr>
                <w:rFonts w:ascii="Verdana" w:eastAsia="Calibri" w:hAnsi="Verdana" w:cs="Arial"/>
                <w:shd w:val="clear" w:color="auto" w:fill="FFFFFF"/>
                <w:lang w:val="es-CO"/>
              </w:rPr>
              <w:t>M.P. Marco Gerardo Monroy Cabra.</w:t>
            </w:r>
          </w:p>
          <w:p w14:paraId="0E9BB4F8" w14:textId="77777777" w:rsidR="00AC19DA" w:rsidRPr="00855762" w:rsidRDefault="00AC19DA" w:rsidP="000506E8">
            <w:pPr>
              <w:pStyle w:val="Prrafodelista"/>
              <w:numPr>
                <w:ilvl w:val="0"/>
                <w:numId w:val="16"/>
              </w:numPr>
              <w:spacing w:after="120" w:line="276" w:lineRule="auto"/>
              <w:jc w:val="both"/>
              <w:rPr>
                <w:rFonts w:ascii="Verdana" w:eastAsia="Calibri" w:hAnsi="Verdana" w:cs="Arial"/>
                <w:shd w:val="clear" w:color="auto" w:fill="FFFFFF"/>
                <w:lang w:val="es-CO"/>
              </w:rPr>
            </w:pPr>
            <w:r w:rsidRPr="00855762">
              <w:rPr>
                <w:rFonts w:ascii="Verdana" w:eastAsia="Calibri" w:hAnsi="Verdana" w:cs="Arial"/>
                <w:shd w:val="clear" w:color="auto" w:fill="FFFFFF"/>
                <w:lang w:val="es-CO"/>
              </w:rPr>
              <w:t>MATALLANA CAMACHO, Ernesto. Manual de contratación de la administración pública. Segunda Edición. Bogotá: Universidad Externado de Colombia, 2009.</w:t>
            </w:r>
          </w:p>
          <w:p w14:paraId="067A502F" w14:textId="77777777" w:rsidR="00AC19DA" w:rsidRPr="00E34982" w:rsidRDefault="00AC19DA" w:rsidP="000506E8">
            <w:pPr>
              <w:pStyle w:val="Prrafodelista"/>
              <w:numPr>
                <w:ilvl w:val="0"/>
                <w:numId w:val="16"/>
              </w:numPr>
              <w:spacing w:after="120" w:line="276" w:lineRule="auto"/>
              <w:jc w:val="both"/>
              <w:rPr>
                <w:rFonts w:ascii="Verdana" w:eastAsia="Calibri" w:hAnsi="Verdana" w:cs="Arial"/>
                <w:bCs/>
                <w:color w:val="000000" w:themeColor="text1"/>
              </w:rPr>
            </w:pPr>
            <w:r w:rsidRPr="00855762">
              <w:rPr>
                <w:rFonts w:ascii="Verdana" w:eastAsia="Calibri" w:hAnsi="Verdana" w:cs="Arial"/>
                <w:shd w:val="clear" w:color="auto" w:fill="FFFFFF"/>
                <w:lang w:val="es-CO"/>
              </w:rPr>
              <w:t>DROMI, José Roberto. La licitación pública. Buenos Aires: Ciudad Argentina, 1980.</w:t>
            </w:r>
          </w:p>
          <w:p w14:paraId="1D62D67F" w14:textId="77777777" w:rsidR="00AC19DA" w:rsidRPr="00E13B17" w:rsidRDefault="00AC19DA" w:rsidP="000506E8">
            <w:pPr>
              <w:pStyle w:val="Prrafodelista"/>
              <w:numPr>
                <w:ilvl w:val="0"/>
                <w:numId w:val="16"/>
              </w:numPr>
              <w:spacing w:after="120" w:line="276" w:lineRule="auto"/>
              <w:jc w:val="both"/>
              <w:rPr>
                <w:rFonts w:ascii="Verdana" w:eastAsia="Calibri" w:hAnsi="Verdana" w:cs="Arial"/>
                <w:bCs/>
                <w:color w:val="000000" w:themeColor="text1"/>
              </w:rPr>
            </w:pPr>
            <w:r w:rsidRPr="00E34982">
              <w:rPr>
                <w:rFonts w:ascii="Verdana" w:eastAsia="Calibri" w:hAnsi="Verdana" w:cs="Arial"/>
                <w:bCs/>
                <w:color w:val="000000" w:themeColor="text1"/>
              </w:rPr>
              <w:t>HINESTROSA FORERO, Fernando. Tratado de las Obligaciones II. De las fuentes de las obligaciones: el negocio jurídico. Volumen I. Bogotá: Universidad Externado de Colombia, 2015</w:t>
            </w:r>
            <w:r>
              <w:rPr>
                <w:rFonts w:ascii="Verdana" w:eastAsia="Calibri" w:hAnsi="Verdana" w:cs="Arial"/>
                <w:bCs/>
                <w:color w:val="000000" w:themeColor="text1"/>
              </w:rPr>
              <w:t>.</w:t>
            </w:r>
          </w:p>
        </w:tc>
      </w:tr>
    </w:tbl>
    <w:p w14:paraId="6041AAFD" w14:textId="77777777" w:rsidR="00AC19DA" w:rsidRDefault="00AC19DA" w:rsidP="00AC19DA">
      <w:pPr>
        <w:tabs>
          <w:tab w:val="left" w:pos="142"/>
          <w:tab w:val="left" w:pos="284"/>
          <w:tab w:val="left" w:pos="3828"/>
        </w:tabs>
        <w:spacing w:after="0" w:line="276" w:lineRule="auto"/>
        <w:jc w:val="both"/>
        <w:rPr>
          <w:rFonts w:ascii="Verdana" w:eastAsia="Century Gothic" w:hAnsi="Verdana" w:cs="Century Gothic"/>
          <w:b/>
          <w:bCs/>
        </w:rPr>
      </w:pPr>
    </w:p>
    <w:p w14:paraId="5249A1EC" w14:textId="77777777" w:rsidR="00AC19DA" w:rsidRPr="0091091D" w:rsidRDefault="00AC19DA" w:rsidP="00AC19DA">
      <w:pPr>
        <w:tabs>
          <w:tab w:val="left" w:pos="142"/>
          <w:tab w:val="left" w:pos="284"/>
          <w:tab w:val="left" w:pos="3828"/>
        </w:tabs>
        <w:spacing w:after="0" w:line="276" w:lineRule="auto"/>
        <w:jc w:val="both"/>
        <w:rPr>
          <w:rFonts w:ascii="Verdana" w:eastAsia="Century Gothic" w:hAnsi="Verdana" w:cs="Century Gothic"/>
          <w:b/>
          <w:bCs/>
        </w:rPr>
      </w:pPr>
      <w:r w:rsidRPr="0091091D">
        <w:rPr>
          <w:rFonts w:ascii="Verdana" w:eastAsia="Century Gothic" w:hAnsi="Verdana" w:cs="Century Gothic"/>
          <w:b/>
          <w:bCs/>
        </w:rPr>
        <w:t>5. Doctrina de la Agencia Nacional de Contratación Pública:</w:t>
      </w:r>
    </w:p>
    <w:p w14:paraId="6DD5B7CB" w14:textId="77777777" w:rsidR="00AC19DA" w:rsidRDefault="00AC19DA" w:rsidP="00AC19DA">
      <w:pPr>
        <w:widowControl w:val="0"/>
        <w:autoSpaceDE w:val="0"/>
        <w:autoSpaceDN w:val="0"/>
        <w:spacing w:after="0" w:line="240" w:lineRule="auto"/>
        <w:jc w:val="both"/>
        <w:rPr>
          <w:rFonts w:ascii="Verdana" w:eastAsia="Calibri" w:hAnsi="Verdana" w:cs="Arial"/>
          <w:shd w:val="clear" w:color="auto" w:fill="FFFFFF"/>
        </w:rPr>
      </w:pPr>
    </w:p>
    <w:p w14:paraId="3AF8D784" w14:textId="77777777" w:rsidR="00AC19DA" w:rsidRDefault="00AC19DA" w:rsidP="00AC19DA">
      <w:pPr>
        <w:widowControl w:val="0"/>
        <w:autoSpaceDE w:val="0"/>
        <w:autoSpaceDN w:val="0"/>
        <w:spacing w:after="0" w:line="276" w:lineRule="auto"/>
        <w:jc w:val="both"/>
        <w:rPr>
          <w:rStyle w:val="normaltextrun"/>
          <w:rFonts w:ascii="Verdana" w:hAnsi="Verdana" w:cs="Arial"/>
          <w:shd w:val="clear" w:color="auto" w:fill="FFFFFF"/>
        </w:rPr>
      </w:pPr>
      <w:r w:rsidRPr="00B82837">
        <w:rPr>
          <w:rFonts w:ascii="Verdana" w:eastAsia="Calibri" w:hAnsi="Verdana" w:cs="Arial"/>
          <w:shd w:val="clear" w:color="auto" w:fill="FFFFFF"/>
        </w:rPr>
        <w:t xml:space="preserve">La Agencia Nacional de Contratación Pública – Colombia Compra Eficiente se ha pronunciado </w:t>
      </w:r>
      <w:r w:rsidRPr="00B82837">
        <w:rPr>
          <w:rFonts w:ascii="Verdana" w:hAnsi="Verdana" w:cs="Arial"/>
          <w:shd w:val="clear" w:color="auto" w:fill="FFFFFF"/>
        </w:rPr>
        <w:t>sobre</w:t>
      </w:r>
      <w:r w:rsidRPr="00B82837">
        <w:rPr>
          <w:rFonts w:ascii="Verdana" w:eastAsia="Times New Roman" w:hAnsi="Verdana" w:cs="Arial"/>
        </w:rPr>
        <w:t xml:space="preserve"> </w:t>
      </w:r>
      <w:r w:rsidRPr="00B82837">
        <w:rPr>
          <w:rFonts w:ascii="Verdana" w:hAnsi="Verdana" w:cs="Arial"/>
          <w:shd w:val="clear" w:color="auto" w:fill="FFFFFF"/>
          <w:lang w:val="es-ES"/>
        </w:rPr>
        <w:t>las empresas de servicios públicos domiciliarios en los conceptos con radicado C-792 del 28 de noviembre de 2024, C-429 del 13 de mayo de 2025, C-477 del 20 de mayo de 2025, C-1004 del 29 de agosto de 2025, C-1012 del 4 de septiembre de 2025, C-1368 del 5 de noviembre de 2025, C-1519 del 19 de noviembre de 2015, C-1605 del 15 de diciembre de 2025, C-1606 del 15 de diciembre de 2025</w:t>
      </w:r>
      <w:r w:rsidRPr="00B82837">
        <w:rPr>
          <w:rFonts w:ascii="Verdana" w:eastAsia="Calibri" w:hAnsi="Verdana" w:cs="Arial"/>
          <w:lang w:eastAsia="es-ES"/>
        </w:rPr>
        <w:t xml:space="preserve">, C-252 del 31 de marzo de 2026, </w:t>
      </w:r>
      <w:r w:rsidRPr="00B82837">
        <w:rPr>
          <w:rStyle w:val="normaltextrun"/>
          <w:rFonts w:ascii="Verdana" w:hAnsi="Verdana" w:cs="Arial"/>
          <w:shd w:val="clear" w:color="auto" w:fill="FFFFFF"/>
        </w:rPr>
        <w:t>entre otros.</w:t>
      </w:r>
      <w:r>
        <w:rPr>
          <w:rStyle w:val="normaltextrun"/>
          <w:rFonts w:ascii="Verdana" w:hAnsi="Verdana" w:cs="Arial"/>
          <w:shd w:val="clear" w:color="auto" w:fill="FFFFFF"/>
        </w:rPr>
        <w:t xml:space="preserve"> </w:t>
      </w:r>
    </w:p>
    <w:p w14:paraId="3769F310" w14:textId="77777777" w:rsidR="00AC19DA" w:rsidRDefault="00AC19DA" w:rsidP="00AC19DA">
      <w:pPr>
        <w:widowControl w:val="0"/>
        <w:autoSpaceDE w:val="0"/>
        <w:autoSpaceDN w:val="0"/>
        <w:spacing w:after="0" w:line="276" w:lineRule="auto"/>
        <w:jc w:val="both"/>
        <w:rPr>
          <w:rFonts w:ascii="Verdana" w:hAnsi="Verdana" w:cs="Arial"/>
          <w:shd w:val="clear" w:color="auto" w:fill="FFFFFF"/>
        </w:rPr>
      </w:pPr>
      <w:r>
        <w:rPr>
          <w:rStyle w:val="normaltextrun"/>
          <w:rFonts w:ascii="Verdana" w:hAnsi="Verdana" w:cs="Arial"/>
          <w:shd w:val="clear" w:color="auto" w:fill="FFFFFF"/>
        </w:rPr>
        <w:t xml:space="preserve">Así mismo, se ha pronunciado sobre la contratación por urgencia manifiesta en los conceptos </w:t>
      </w:r>
      <w:r w:rsidRPr="00FC7C30">
        <w:rPr>
          <w:rFonts w:ascii="Verdana" w:hAnsi="Verdana" w:cs="Arial"/>
          <w:shd w:val="clear" w:color="auto" w:fill="FFFFFF"/>
        </w:rPr>
        <w:t>C-003 del 23 de abril de 2020, C-004 25 de abril de 2020, C-135 del 10 de abril de 2020, C-241 del 10 de abril de 2020, C-257 del 10 de abril de 2020, C-266 del 21 de mayo de 2020, C-269 del 10 de abril de 2020, C-275 del del 10 de abril de 2020, C-284 del 27 de mayo de 2020, C-300 del 25 de abril de 2020, C-301 del 25 de abril de 2020, C-333 del 19 de mayo de 2020, C-357 del 7 de julio de 2020, C-390 del 23 de junio de 2020, C-403 del 24 de junio de 2020, C-887 del 22 de diciembre de 2022</w:t>
      </w:r>
      <w:r>
        <w:rPr>
          <w:rFonts w:ascii="Verdana" w:hAnsi="Verdana" w:cs="Arial"/>
          <w:shd w:val="clear" w:color="auto" w:fill="FFFFFF"/>
        </w:rPr>
        <w:t xml:space="preserve">, </w:t>
      </w:r>
      <w:r w:rsidRPr="00FC7C30">
        <w:rPr>
          <w:rFonts w:ascii="Verdana" w:hAnsi="Verdana" w:cs="Arial"/>
          <w:shd w:val="clear" w:color="auto" w:fill="FFFFFF"/>
        </w:rPr>
        <w:t>C-131 del 25 de mayo de 2023</w:t>
      </w:r>
      <w:r>
        <w:rPr>
          <w:rFonts w:ascii="Verdana" w:hAnsi="Verdana" w:cs="Arial"/>
          <w:shd w:val="clear" w:color="auto" w:fill="FFFFFF"/>
        </w:rPr>
        <w:t xml:space="preserve">, </w:t>
      </w:r>
      <w:r w:rsidRPr="00FC7C30">
        <w:rPr>
          <w:rFonts w:ascii="Verdana" w:hAnsi="Verdana" w:cs="Arial"/>
          <w:shd w:val="clear" w:color="auto" w:fill="FFFFFF"/>
          <w:lang w:val="es-ES"/>
        </w:rPr>
        <w:t>C– 1189 del 25 de septiembre de 2025</w:t>
      </w:r>
      <w:r>
        <w:rPr>
          <w:rFonts w:ascii="Verdana" w:hAnsi="Verdana" w:cs="Arial"/>
          <w:shd w:val="clear" w:color="auto" w:fill="FFFFFF"/>
        </w:rPr>
        <w:t>, C-</w:t>
      </w:r>
      <w:r w:rsidRPr="00FC7C30">
        <w:rPr>
          <w:rFonts w:ascii="Verdana" w:hAnsi="Verdana" w:cs="Arial"/>
          <w:shd w:val="clear" w:color="auto" w:fill="FFFFFF"/>
        </w:rPr>
        <w:t xml:space="preserve">1793 </w:t>
      </w:r>
      <w:r>
        <w:rPr>
          <w:rFonts w:ascii="Verdana" w:hAnsi="Verdana" w:cs="Arial"/>
          <w:shd w:val="clear" w:color="auto" w:fill="FFFFFF"/>
        </w:rPr>
        <w:t xml:space="preserve">del 10 de diciembre </w:t>
      </w:r>
      <w:r w:rsidRPr="00FC7C30">
        <w:rPr>
          <w:rFonts w:ascii="Verdana" w:hAnsi="Verdana" w:cs="Arial"/>
          <w:shd w:val="clear" w:color="auto" w:fill="FFFFFF"/>
        </w:rPr>
        <w:t>de 2025</w:t>
      </w:r>
      <w:r>
        <w:rPr>
          <w:rFonts w:ascii="Verdana" w:hAnsi="Verdana" w:cs="Arial"/>
          <w:shd w:val="clear" w:color="auto" w:fill="FFFFFF"/>
        </w:rPr>
        <w:t>, entre otros.</w:t>
      </w:r>
      <w:r w:rsidRPr="00B82837">
        <w:rPr>
          <w:rStyle w:val="normaltextrun"/>
          <w:rFonts w:ascii="Verdana" w:hAnsi="Verdana" w:cs="Arial"/>
          <w:shd w:val="clear" w:color="auto" w:fill="FFFFFF"/>
        </w:rPr>
        <w:t xml:space="preserve"> </w:t>
      </w:r>
      <w:r w:rsidRPr="00B82837">
        <w:rPr>
          <w:rFonts w:ascii="Verdana" w:hAnsi="Verdana" w:cs="Arial"/>
        </w:rPr>
        <w:t xml:space="preserve">Estos y otros </w:t>
      </w:r>
      <w:r w:rsidRPr="00B82837">
        <w:rPr>
          <w:rFonts w:ascii="Verdana" w:hAnsi="Verdana"/>
        </w:rPr>
        <w:t>conceptos se encuentran disponibles para consulta en el Sistema de relatoría de la Agencia, al cual se puede acceder a través del siguiente enlace:</w:t>
      </w:r>
      <w:r w:rsidRPr="00B82837">
        <w:rPr>
          <w:rFonts w:ascii="Verdana" w:hAnsi="Verdana" w:cs="Arial"/>
          <w:shd w:val="clear" w:color="auto" w:fill="FFFFFF"/>
        </w:rPr>
        <w:t xml:space="preserve"> </w:t>
      </w:r>
      <w:hyperlink r:id="rId14" w:history="1">
        <w:r w:rsidRPr="0060005E">
          <w:rPr>
            <w:rStyle w:val="Hipervnculo"/>
            <w:rFonts w:ascii="Verdana" w:hAnsi="Verdana" w:cs="Arial"/>
            <w:shd w:val="clear" w:color="auto" w:fill="FFFFFF"/>
          </w:rPr>
          <w:t>https://relatoria.colombiacompra.gov.co/busqueda/conceptos</w:t>
        </w:r>
      </w:hyperlink>
      <w:r w:rsidRPr="00B82837">
        <w:rPr>
          <w:rFonts w:ascii="Verdana" w:hAnsi="Verdana" w:cs="Arial"/>
          <w:shd w:val="clear" w:color="auto" w:fill="FFFFFF"/>
        </w:rPr>
        <w:t>.</w:t>
      </w:r>
      <w:r w:rsidRPr="00147D6A">
        <w:rPr>
          <w:rFonts w:ascii="Verdana" w:hAnsi="Verdana" w:cs="Arial"/>
          <w:color w:val="FF0000"/>
          <w:shd w:val="clear" w:color="auto" w:fill="FFFFFF"/>
        </w:rPr>
        <w:t xml:space="preserve"> </w:t>
      </w:r>
    </w:p>
    <w:p w14:paraId="769E7677" w14:textId="77777777" w:rsidR="00AC19DA" w:rsidRDefault="00AC19DA" w:rsidP="00AC19DA">
      <w:pPr>
        <w:widowControl w:val="0"/>
        <w:autoSpaceDE w:val="0"/>
        <w:autoSpaceDN w:val="0"/>
        <w:spacing w:after="0" w:line="276" w:lineRule="auto"/>
        <w:jc w:val="both"/>
        <w:rPr>
          <w:rFonts w:ascii="Verdana" w:hAnsi="Verdana"/>
        </w:rPr>
      </w:pPr>
    </w:p>
    <w:p w14:paraId="3833A246" w14:textId="77777777" w:rsidR="00AC19DA" w:rsidRPr="004B1764" w:rsidRDefault="00AC19DA" w:rsidP="00AC19DA">
      <w:pPr>
        <w:widowControl w:val="0"/>
        <w:autoSpaceDE w:val="0"/>
        <w:autoSpaceDN w:val="0"/>
        <w:spacing w:after="0" w:line="276" w:lineRule="auto"/>
        <w:jc w:val="both"/>
        <w:rPr>
          <w:rFonts w:ascii="Verdana" w:hAnsi="Verdana" w:cs="Arial"/>
          <w:shd w:val="clear" w:color="auto" w:fill="FFFFFF"/>
        </w:rPr>
      </w:pPr>
      <w:r w:rsidRPr="00147D6A">
        <w:rPr>
          <w:rFonts w:ascii="Verdana" w:hAnsi="Verdana"/>
        </w:rPr>
        <w:t>La sostenibilidad no es una opción, es una obligación. Por ello</w:t>
      </w:r>
      <w:r w:rsidRPr="009A385A">
        <w:rPr>
          <w:rFonts w:ascii="Verdana" w:hAnsi="Verdana"/>
        </w:rPr>
        <w:t xml:space="preserve">,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5" w:tgtFrame="_new" w:history="1">
        <w:r w:rsidRPr="008746BD">
          <w:rPr>
            <w:rStyle w:val="Hipervnculo"/>
            <w:rFonts w:ascii="Verdana" w:hAnsi="Verdana"/>
          </w:rPr>
          <w:t>https://formacionvirtual.colombiacompra.gov.co/mod/page/view.php?id=3718</w:t>
        </w:r>
      </w:hyperlink>
    </w:p>
    <w:p w14:paraId="2FE538C3" w14:textId="77777777" w:rsidR="00AC19DA" w:rsidRDefault="00AC19DA" w:rsidP="00AC19DA">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da</w:t>
      </w:r>
      <w:r>
        <w:rPr>
          <w:rFonts w:ascii="Verdana" w:hAnsi="Verdana"/>
        </w:rPr>
        <w:t>do</w:t>
      </w:r>
      <w:r w:rsidRPr="00635F16">
        <w:rPr>
          <w:rFonts w:ascii="Verdana" w:hAnsi="Verdana"/>
        </w:rPr>
        <w:t xml:space="preserve">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0E1EA7">
        <w:rPr>
          <w:rFonts w:ascii="Verdana" w:hAnsi="Verdana"/>
          <w:b/>
          <w:bCs/>
        </w:rPr>
        <w:t>Resoluciones 539, 540, 541, 952 y 953 de 2025</w:t>
      </w:r>
      <w:r w:rsidRPr="000E1EA7">
        <w:rPr>
          <w:rFonts w:ascii="Verdana" w:hAnsi="Verdana"/>
        </w:rPr>
        <w:t xml:space="preserve">, </w:t>
      </w:r>
      <w:r w:rsidRPr="000E1EA7">
        <w:rPr>
          <w:rFonts w:ascii="Verdana" w:hAnsi="Verdana"/>
          <w:b/>
          <w:bCs/>
        </w:rPr>
        <w:t>mediante las cuales adoptó Documentos Tipo</w:t>
      </w:r>
      <w:r w:rsidRPr="000E1EA7">
        <w:rPr>
          <w:rFonts w:ascii="Verdana" w:hAnsi="Verdana"/>
        </w:rPr>
        <w:t xml:space="preserve"> para las modalidades de selección de</w:t>
      </w:r>
      <w:r w:rsidRPr="000E1EA7">
        <w:rPr>
          <w:rFonts w:ascii="Verdana" w:hAnsi="Verdana"/>
          <w:b/>
          <w:bCs/>
        </w:rPr>
        <w:t xml:space="preserve"> licitación pública (versión 2), selección abreviada de menor cuantía, mínima cuantía, consultoría e interventoría</w:t>
      </w:r>
      <w:r w:rsidRPr="000E1EA7">
        <w:rPr>
          <w:rFonts w:ascii="Verdana" w:hAnsi="Verdana"/>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0E1EA7">
          <w:rPr>
            <w:rStyle w:val="Hipervnculo"/>
            <w:rFonts w:ascii="Verdana" w:hAnsi="Verdana"/>
          </w:rPr>
          <w:t>https://www.colombiacompra.gov.co/normativa-y-relatoria/documentos-tipo</w:t>
        </w:r>
      </w:hyperlink>
    </w:p>
    <w:p w14:paraId="07BF68CF" w14:textId="77777777" w:rsidR="00AC19DA" w:rsidRDefault="00AC19DA" w:rsidP="00AC19DA">
      <w:pPr>
        <w:widowControl w:val="0"/>
        <w:autoSpaceDE w:val="0"/>
        <w:autoSpaceDN w:val="0"/>
        <w:spacing w:after="0" w:line="240" w:lineRule="auto"/>
        <w:jc w:val="both"/>
        <w:rPr>
          <w:rFonts w:ascii="Verdana" w:hAnsi="Verdana"/>
        </w:rPr>
      </w:pPr>
    </w:p>
    <w:p w14:paraId="55248A1D" w14:textId="77777777" w:rsidR="00AC19DA" w:rsidRPr="00847D72" w:rsidRDefault="00AC19DA" w:rsidP="00AC19DA">
      <w:pPr>
        <w:widowControl w:val="0"/>
        <w:autoSpaceDE w:val="0"/>
        <w:autoSpaceDN w:val="0"/>
        <w:spacing w:after="120" w:line="276" w:lineRule="auto"/>
        <w:jc w:val="both"/>
        <w:rPr>
          <w:rStyle w:val="Hipervnculo"/>
          <w:rFonts w:ascii="Verdana" w:hAnsi="Verdana" w:cs="Arial"/>
          <w:color w:val="auto"/>
          <w:u w:val="none"/>
          <w:shd w:val="clear" w:color="auto" w:fill="FFFFFF"/>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8746BD">
        <w:rPr>
          <w:rFonts w:ascii="Verdana" w:hAnsi="Verdana"/>
        </w:rPr>
        <w:t>Además se incluyeron lineamientos que orientan la implementación de los criterios ambientales y sociales incluidos en los documentos tipo: Consulta la guía aquí:</w:t>
      </w:r>
      <w:r w:rsidRPr="008746BD">
        <w:rPr>
          <w:rFonts w:ascii="Verdana" w:hAnsi="Verdana"/>
        </w:rPr>
        <w:br/>
      </w:r>
      <w:hyperlink r:id="rId17" w:tgtFrame="_new" w:history="1">
        <w:r w:rsidRPr="008746BD">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75D36E39" w14:textId="77777777" w:rsidR="00AC19DA" w:rsidRPr="007A3DD4" w:rsidRDefault="00AC19DA" w:rsidP="00AC19DA">
      <w:pPr>
        <w:widowControl w:val="0"/>
        <w:autoSpaceDE w:val="0"/>
        <w:autoSpaceDN w:val="0"/>
        <w:spacing w:after="120" w:line="276" w:lineRule="auto"/>
        <w:jc w:val="both"/>
        <w:rPr>
          <w:rFonts w:ascii="Verdana" w:hAnsi="Verdana" w:cs="Arial"/>
        </w:rPr>
      </w:pPr>
      <w:r w:rsidRPr="001A68FB">
        <w:rPr>
          <w:rFonts w:ascii="Verdana" w:hAnsi="Verdana"/>
        </w:rPr>
        <w:t>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w:t>
      </w:r>
      <w:r w:rsidRPr="00116940">
        <w:rPr>
          <w:rFonts w:ascii="Verdana" w:hAnsi="Verdana"/>
        </w:rPr>
        <w:t xml:space="preserve"> </w:t>
      </w:r>
    </w:p>
    <w:p w14:paraId="4B386BEE" w14:textId="77777777" w:rsidR="00AC19DA" w:rsidRPr="00116940" w:rsidRDefault="00AC19DA" w:rsidP="00AC19DA">
      <w:pPr>
        <w:pStyle w:val="Prrafodelista"/>
        <w:numPr>
          <w:ilvl w:val="0"/>
          <w:numId w:val="15"/>
        </w:numPr>
        <w:spacing w:after="0" w:line="276" w:lineRule="auto"/>
        <w:contextualSpacing w:val="0"/>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E91609A" w14:textId="77777777" w:rsidR="00AC19DA" w:rsidRPr="00116940" w:rsidRDefault="00AC19DA" w:rsidP="00AC19DA">
      <w:pPr>
        <w:pStyle w:val="Prrafodelista"/>
        <w:numPr>
          <w:ilvl w:val="0"/>
          <w:numId w:val="15"/>
        </w:numPr>
        <w:spacing w:after="0" w:line="276" w:lineRule="auto"/>
        <w:contextualSpacing w:val="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3A33D74D" w14:textId="77777777" w:rsidR="00AC19DA" w:rsidRPr="00116940" w:rsidRDefault="00AC19DA" w:rsidP="00AC19DA">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71D77944" w14:textId="77777777" w:rsidR="00AC19DA" w:rsidRPr="00DD2E5C" w:rsidRDefault="00AC19DA" w:rsidP="00AC19DA">
      <w:pPr>
        <w:pStyle w:val="Prrafodelista"/>
        <w:numPr>
          <w:ilvl w:val="0"/>
          <w:numId w:val="15"/>
        </w:numPr>
        <w:spacing w:after="0" w:line="276" w:lineRule="auto"/>
        <w:contextualSpacing w:val="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72540CCD" w14:textId="77777777" w:rsidR="00AC19DA" w:rsidRDefault="00AC19DA" w:rsidP="00AC19DA">
      <w:pPr>
        <w:spacing w:after="0" w:line="276" w:lineRule="auto"/>
        <w:jc w:val="both"/>
        <w:rPr>
          <w:rFonts w:ascii="Verdana" w:hAnsi="Verdana"/>
        </w:rPr>
      </w:pPr>
    </w:p>
    <w:p w14:paraId="1D7C1248" w14:textId="77777777" w:rsidR="00AC19DA" w:rsidRDefault="00AC19DA" w:rsidP="00AC19DA">
      <w:pPr>
        <w:spacing w:after="0" w:line="276" w:lineRule="auto"/>
        <w:jc w:val="both"/>
        <w:rPr>
          <w:rFonts w:ascii="Verdana" w:hAnsi="Verdana"/>
        </w:rPr>
      </w:pPr>
      <w:r w:rsidRPr="00116940">
        <w:rPr>
          <w:rFonts w:ascii="Verdana" w:hAnsi="Verdana"/>
        </w:rPr>
        <w:t>Evalúa el servicio que ofrece la Agencia por el canal de atención de PQRSD en el siguiente enlace:</w:t>
      </w:r>
      <w:r>
        <w:rPr>
          <w:rFonts w:ascii="Verdana" w:hAnsi="Verdana"/>
        </w:rPr>
        <w:t xml:space="preserve"> </w:t>
      </w:r>
      <w:hyperlink r:id="rId20" w:history="1">
        <w:r w:rsidRPr="008746BD">
          <w:rPr>
            <w:rStyle w:val="Hipervnculo"/>
            <w:rFonts w:ascii="Verdana" w:eastAsia="Verdana" w:hAnsi="Verdana" w:cs="Verdana"/>
            <w:lang w:val="es-MX"/>
          </w:rPr>
          <w:t>https://forms.office.com/r/pPHyWVs2SZ</w:t>
        </w:r>
      </w:hyperlink>
      <w:r w:rsidRPr="008746BD">
        <w:rPr>
          <w:rStyle w:val="Hipervnculo"/>
          <w:rFonts w:ascii="Verdana" w:eastAsia="Verdana" w:hAnsi="Verdana" w:cs="Verdana"/>
          <w:lang w:val="es-MX"/>
        </w:rPr>
        <w:t>.</w:t>
      </w:r>
      <w:r>
        <w:rPr>
          <w:rFonts w:ascii="Verdana" w:hAnsi="Verdana"/>
        </w:rPr>
        <w:t xml:space="preserve"> </w:t>
      </w:r>
      <w:r w:rsidRPr="00116940">
        <w:rPr>
          <w:rFonts w:ascii="Verdana" w:hAnsi="Verdana"/>
        </w:rPr>
        <w:t>¡Ayúdanos a mejorar porque el compromiso es de todos!</w:t>
      </w:r>
    </w:p>
    <w:p w14:paraId="3BD606BC" w14:textId="77777777" w:rsidR="00AC19DA" w:rsidRDefault="00AC19DA" w:rsidP="00AC19DA">
      <w:pPr>
        <w:spacing w:after="0" w:line="240" w:lineRule="auto"/>
        <w:jc w:val="both"/>
        <w:rPr>
          <w:rFonts w:ascii="Verdana" w:hAnsi="Verdana"/>
        </w:rPr>
      </w:pPr>
    </w:p>
    <w:p w14:paraId="1CCD2514" w14:textId="77777777" w:rsidR="00AC19DA" w:rsidRPr="00116940" w:rsidRDefault="00AC19DA" w:rsidP="00AC19DA">
      <w:pPr>
        <w:spacing w:after="0" w:line="276"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05142E63" w14:textId="77777777" w:rsidR="00AC19DA" w:rsidRPr="00116940" w:rsidRDefault="00AC19DA" w:rsidP="00AC19DA">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2442F54" w14:textId="77777777" w:rsidR="00AC19DA" w:rsidRPr="00116940" w:rsidRDefault="00AC19DA" w:rsidP="00AC19DA">
      <w:pPr>
        <w:spacing w:after="0" w:line="276"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3CD89F87" w14:textId="77777777" w:rsidR="00AC19DA" w:rsidRPr="00116940" w:rsidRDefault="00AC19DA" w:rsidP="00AC19DA">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D6CDB2D" w14:textId="77777777" w:rsidR="00AC19DA" w:rsidRDefault="00AC19DA" w:rsidP="00AC19DA">
      <w:pPr>
        <w:spacing w:after="0" w:line="240" w:lineRule="auto"/>
        <w:jc w:val="both"/>
        <w:rPr>
          <w:rFonts w:ascii="Century Gothic" w:eastAsia="Century Gothic" w:hAnsi="Century Gothic" w:cs="Century Gothic"/>
          <w:lang w:val="es-ES" w:eastAsia="es-ES_tradnl"/>
        </w:rPr>
      </w:pPr>
    </w:p>
    <w:p w14:paraId="34214516" w14:textId="77777777" w:rsidR="00AC19DA" w:rsidRPr="00842775" w:rsidRDefault="00AC19DA" w:rsidP="00AC19DA">
      <w:pPr>
        <w:spacing w:after="120" w:line="276" w:lineRule="auto"/>
        <w:jc w:val="both"/>
        <w:rPr>
          <w:rFonts w:ascii="Verdana" w:hAnsi="Verdana"/>
          <w:lang w:val="es-MX"/>
        </w:rPr>
      </w:pPr>
      <w:r w:rsidRPr="00842775">
        <w:rPr>
          <w:rFonts w:ascii="Verdana" w:eastAsia="Century Gothic" w:hAnsi="Verdana" w:cs="Century Gothic"/>
          <w:lang w:val="es-ES" w:eastAsia="es-ES_tradn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r>
        <w:rPr>
          <w:rFonts w:ascii="Verdana" w:eastAsia="Century Gothic" w:hAnsi="Verdana" w:cs="Century Gothic"/>
          <w:lang w:val="es-ES" w:eastAsia="es-ES_tradnl"/>
        </w:rPr>
        <w:t>.</w:t>
      </w:r>
    </w:p>
    <w:p w14:paraId="7B641A81" w14:textId="77777777" w:rsidR="00AC19DA" w:rsidRDefault="00AC19DA" w:rsidP="00AC19DA">
      <w:pPr>
        <w:spacing w:after="0" w:line="276" w:lineRule="auto"/>
        <w:jc w:val="both"/>
        <w:rPr>
          <w:rFonts w:ascii="Verdana" w:hAnsi="Verdana"/>
          <w:lang w:val="es-MX"/>
        </w:rPr>
      </w:pPr>
    </w:p>
    <w:p w14:paraId="4A59CBF0" w14:textId="77777777" w:rsidR="00AC19DA" w:rsidRDefault="00AC19DA" w:rsidP="00AC19DA">
      <w:pPr>
        <w:spacing w:after="0" w:line="276" w:lineRule="auto"/>
        <w:jc w:val="both"/>
        <w:rPr>
          <w:rFonts w:ascii="Verdana" w:hAnsi="Verdana"/>
          <w:lang w:val="es-MX"/>
        </w:rPr>
      </w:pPr>
      <w:r w:rsidRPr="00E02524">
        <w:rPr>
          <w:rFonts w:ascii="Verdana" w:hAnsi="Verdana"/>
          <w:lang w:val="es-MX"/>
        </w:rPr>
        <w:t>Cordialmente,</w:t>
      </w:r>
    </w:p>
    <w:p w14:paraId="5A60C7C6" w14:textId="77777777" w:rsidR="000E345D" w:rsidRDefault="000E345D" w:rsidP="00AC19DA">
      <w:pPr>
        <w:spacing w:after="0" w:line="276" w:lineRule="auto"/>
        <w:jc w:val="both"/>
        <w:rPr>
          <w:rFonts w:ascii="Verdana" w:hAnsi="Verdana"/>
          <w:lang w:val="es-MX"/>
        </w:rPr>
      </w:pPr>
    </w:p>
    <w:p w14:paraId="48795E8A" w14:textId="732CB0F7" w:rsidR="000E345D" w:rsidRPr="00330029" w:rsidRDefault="000E345D" w:rsidP="000E345D">
      <w:pPr>
        <w:spacing w:after="0" w:line="276" w:lineRule="auto"/>
        <w:jc w:val="center"/>
        <w:rPr>
          <w:rFonts w:ascii="Verdana" w:hAnsi="Verdana"/>
          <w:lang w:val="es-MX"/>
        </w:rPr>
      </w:pPr>
      <w:r w:rsidRPr="0065791A">
        <w:rPr>
          <w:rFonts w:ascii="Century Gothic" w:hAnsi="Century Gothic"/>
          <w:noProof/>
        </w:rPr>
        <w:drawing>
          <wp:inline distT="0" distB="0" distL="0" distR="0" wp14:anchorId="148DF5F5" wp14:editId="7972D1EF">
            <wp:extent cx="3513667" cy="1655478"/>
            <wp:effectExtent l="0" t="0" r="0" b="1905"/>
            <wp:docPr id="119417683" name="Imagen 1"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7683" name="Imagen 1" descr="Interfaz de usuario gráfica, Texto, Aplicación&#10;&#10;Descripción generada automáticamente con confianza media"/>
                    <pic:cNvPicPr/>
                  </pic:nvPicPr>
                  <pic:blipFill>
                    <a:blip r:embed="rId21"/>
                    <a:stretch>
                      <a:fillRect/>
                    </a:stretch>
                  </pic:blipFill>
                  <pic:spPr>
                    <a:xfrm>
                      <a:off x="0" y="0"/>
                      <a:ext cx="3521162" cy="1659010"/>
                    </a:xfrm>
                    <a:prstGeom prst="rect">
                      <a:avLst/>
                    </a:prstGeom>
                  </pic:spPr>
                </pic:pic>
              </a:graphicData>
            </a:graphic>
          </wp:inline>
        </w:drawing>
      </w:r>
    </w:p>
    <w:p w14:paraId="71F18070" w14:textId="46E00541" w:rsidR="00AC19DA" w:rsidRDefault="00AC19DA" w:rsidP="00AC19DA">
      <w:pPr>
        <w:spacing w:after="0" w:line="256" w:lineRule="auto"/>
        <w:jc w:val="center"/>
        <w:rPr>
          <w:rFonts w:ascii="Verdana" w:eastAsia="Calibri" w:hAnsi="Verdana" w:cs="Times New Roman"/>
        </w:rPr>
      </w:pPr>
    </w:p>
    <w:p w14:paraId="58D9491D" w14:textId="1B365C3E" w:rsidR="00AC19DA" w:rsidRDefault="00AC19DA" w:rsidP="00AC19DA">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AC19DA" w:rsidRPr="005644FE" w14:paraId="1F07B35A" w14:textId="77777777" w:rsidTr="000506E8">
        <w:trPr>
          <w:trHeight w:val="288"/>
        </w:trPr>
        <w:tc>
          <w:tcPr>
            <w:tcW w:w="893" w:type="dxa"/>
            <w:vAlign w:val="center"/>
            <w:hideMark/>
          </w:tcPr>
          <w:p w14:paraId="22D6C444" w14:textId="77777777" w:rsidR="00AC19DA" w:rsidRPr="005644FE" w:rsidRDefault="00AC19DA" w:rsidP="000506E8">
            <w:pPr>
              <w:contextualSpacing/>
              <w:rPr>
                <w:rFonts w:ascii="Verdana" w:hAnsi="Verdana" w:cs="Arial"/>
                <w:sz w:val="16"/>
                <w:szCs w:val="16"/>
                <w:lang w:eastAsia="es-ES"/>
              </w:rPr>
            </w:pPr>
            <w:r w:rsidRPr="005644FE">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2434194E" w14:textId="77777777" w:rsidR="00AC19DA" w:rsidRPr="005644FE" w:rsidRDefault="00AC19DA" w:rsidP="000506E8">
            <w:pPr>
              <w:contextualSpacing/>
              <w:rPr>
                <w:rStyle w:val="normaltextrun"/>
                <w:rFonts w:ascii="Verdana" w:hAnsi="Verdana"/>
                <w:sz w:val="16"/>
                <w:szCs w:val="16"/>
              </w:rPr>
            </w:pPr>
            <w:r w:rsidRPr="005644FE">
              <w:rPr>
                <w:rStyle w:val="normaltextrun"/>
                <w:rFonts w:ascii="Verdana" w:hAnsi="Verdana"/>
                <w:sz w:val="16"/>
                <w:szCs w:val="16"/>
              </w:rPr>
              <w:t xml:space="preserve">Esperanza Contreras P </w:t>
            </w:r>
          </w:p>
          <w:p w14:paraId="7DBB8C70" w14:textId="77777777" w:rsidR="00AC19DA" w:rsidRPr="005644FE" w:rsidRDefault="00AC19DA" w:rsidP="000506E8">
            <w:pPr>
              <w:contextualSpacing/>
              <w:rPr>
                <w:rFonts w:ascii="Verdana" w:eastAsia="Arial" w:hAnsi="Verdana" w:cs="Arial"/>
                <w:sz w:val="16"/>
                <w:szCs w:val="16"/>
              </w:rPr>
            </w:pPr>
            <w:r w:rsidRPr="005644FE">
              <w:rPr>
                <w:rStyle w:val="normaltextrun"/>
                <w:rFonts w:ascii="Verdana" w:hAnsi="Verdana" w:cs="Arial"/>
                <w:sz w:val="16"/>
                <w:szCs w:val="16"/>
              </w:rPr>
              <w:t>Contratista de la Subdirección de Gestión Contractual</w:t>
            </w:r>
            <w:r w:rsidRPr="005644FE">
              <w:rPr>
                <w:rStyle w:val="eop"/>
                <w:rFonts w:ascii="Verdana" w:hAnsi="Verdana" w:cs="Arial"/>
                <w:sz w:val="16"/>
                <w:szCs w:val="16"/>
              </w:rPr>
              <w:t> </w:t>
            </w:r>
          </w:p>
        </w:tc>
      </w:tr>
      <w:tr w:rsidR="00AC19DA" w:rsidRPr="005644FE" w14:paraId="76AC0720" w14:textId="77777777" w:rsidTr="000506E8">
        <w:trPr>
          <w:trHeight w:val="330"/>
        </w:trPr>
        <w:tc>
          <w:tcPr>
            <w:tcW w:w="893" w:type="dxa"/>
            <w:vAlign w:val="center"/>
            <w:hideMark/>
          </w:tcPr>
          <w:p w14:paraId="0578578B" w14:textId="77777777" w:rsidR="00AC19DA" w:rsidRPr="005644FE" w:rsidRDefault="00AC19DA" w:rsidP="000506E8">
            <w:pPr>
              <w:contextualSpacing/>
              <w:rPr>
                <w:rFonts w:ascii="Verdana" w:hAnsi="Verdana" w:cs="Arial"/>
                <w:sz w:val="16"/>
                <w:szCs w:val="16"/>
                <w:lang w:eastAsia="es-ES"/>
              </w:rPr>
            </w:pPr>
            <w:r w:rsidRPr="005644FE">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74C32CC9" w14:textId="77777777" w:rsidR="00AC19DA" w:rsidRPr="00147D6A" w:rsidRDefault="00AC19DA" w:rsidP="000506E8">
            <w:pPr>
              <w:pStyle w:val="paragraph"/>
              <w:spacing w:before="0" w:beforeAutospacing="0" w:after="0" w:afterAutospacing="0"/>
              <w:contextualSpacing/>
              <w:textAlignment w:val="baseline"/>
              <w:rPr>
                <w:rStyle w:val="normaltextrun"/>
                <w:rFonts w:ascii="Verdana" w:hAnsi="Verdana"/>
                <w:sz w:val="16"/>
                <w:szCs w:val="16"/>
              </w:rPr>
            </w:pPr>
            <w:r w:rsidRPr="00147D6A">
              <w:rPr>
                <w:rStyle w:val="normaltextrun"/>
                <w:rFonts w:ascii="Verdana" w:hAnsi="Verdana"/>
                <w:sz w:val="16"/>
                <w:szCs w:val="16"/>
              </w:rPr>
              <w:t>Adriana Katerine López</w:t>
            </w:r>
            <w:r>
              <w:rPr>
                <w:rStyle w:val="normaltextrun"/>
                <w:rFonts w:ascii="Verdana" w:hAnsi="Verdana"/>
                <w:sz w:val="16"/>
                <w:szCs w:val="16"/>
              </w:rPr>
              <w:t xml:space="preserve"> Rodríguez. </w:t>
            </w:r>
          </w:p>
          <w:p w14:paraId="7E9A0B2F" w14:textId="77777777" w:rsidR="00AC19DA" w:rsidRPr="00147D6A" w:rsidRDefault="00AC19DA" w:rsidP="000506E8">
            <w:pPr>
              <w:pStyle w:val="paragraph"/>
              <w:spacing w:before="0" w:beforeAutospacing="0" w:after="0" w:afterAutospacing="0"/>
              <w:contextualSpacing/>
              <w:textAlignment w:val="baseline"/>
              <w:rPr>
                <w:rFonts w:ascii="Verdana" w:hAnsi="Verdana" w:cs="Segoe UI"/>
                <w:sz w:val="16"/>
                <w:szCs w:val="16"/>
              </w:rPr>
            </w:pPr>
            <w:r w:rsidRPr="00147D6A">
              <w:rPr>
                <w:rStyle w:val="normaltextrun"/>
                <w:rFonts w:ascii="Verdana" w:hAnsi="Verdana"/>
                <w:sz w:val="16"/>
                <w:szCs w:val="16"/>
              </w:rPr>
              <w:t xml:space="preserve">Contratista Subdirección Gestión Contractual  </w:t>
            </w:r>
          </w:p>
        </w:tc>
      </w:tr>
      <w:tr w:rsidR="00AC19DA" w:rsidRPr="005644FE" w14:paraId="2A7AA843" w14:textId="77777777" w:rsidTr="000506E8">
        <w:trPr>
          <w:trHeight w:val="300"/>
        </w:trPr>
        <w:tc>
          <w:tcPr>
            <w:tcW w:w="893" w:type="dxa"/>
            <w:vAlign w:val="center"/>
          </w:tcPr>
          <w:p w14:paraId="409A5CF9" w14:textId="77777777" w:rsidR="00AC19DA" w:rsidRPr="005644FE" w:rsidRDefault="00AC19DA" w:rsidP="000506E8">
            <w:pPr>
              <w:contextualSpacing/>
              <w:rPr>
                <w:rFonts w:ascii="Verdana" w:hAnsi="Verdana" w:cs="Arial"/>
                <w:sz w:val="16"/>
                <w:szCs w:val="16"/>
                <w:lang w:eastAsia="es-ES"/>
              </w:rPr>
            </w:pPr>
            <w:r w:rsidRPr="005644FE">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7CED8A27" w14:textId="77777777" w:rsidR="00AC19DA" w:rsidRPr="00147D6A" w:rsidRDefault="00AC19DA" w:rsidP="000506E8">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Carolina Quintero Gacharná</w:t>
            </w:r>
          </w:p>
          <w:p w14:paraId="3FDA083B" w14:textId="77777777" w:rsidR="00AC19DA" w:rsidRPr="00147D6A" w:rsidRDefault="00AC19DA" w:rsidP="000506E8">
            <w:pPr>
              <w:contextualSpacing/>
              <w:rPr>
                <w:rFonts w:ascii="Verdana" w:eastAsia="Calibri" w:hAnsi="Verdana" w:cs="Arial"/>
                <w:sz w:val="16"/>
                <w:szCs w:val="16"/>
                <w:lang w:eastAsia="es-ES"/>
              </w:rPr>
            </w:pPr>
            <w:r w:rsidRPr="00147D6A">
              <w:rPr>
                <w:rFonts w:ascii="Verdana" w:eastAsia="Calibri" w:hAnsi="Verdana" w:cs="Arial"/>
                <w:sz w:val="16"/>
                <w:szCs w:val="16"/>
                <w:lang w:eastAsia="es-ES"/>
              </w:rPr>
              <w:t>Subdirectora de Gestión Contractual ANCP – CCE</w:t>
            </w:r>
          </w:p>
        </w:tc>
      </w:tr>
      <w:bookmarkEnd w:id="1"/>
    </w:tbl>
    <w:p w14:paraId="3E95CA3D" w14:textId="77777777" w:rsidR="00AC19DA" w:rsidRPr="0024624F" w:rsidRDefault="00AC19DA" w:rsidP="00AC19DA">
      <w:pPr>
        <w:spacing w:after="0"/>
        <w:rPr>
          <w:rFonts w:ascii="Verdana" w:eastAsia="Verdana" w:hAnsi="Verdana" w:cs="Verdana"/>
        </w:rPr>
      </w:pPr>
    </w:p>
    <w:p w14:paraId="137C4CF8" w14:textId="77777777" w:rsidR="00AC19DA" w:rsidRPr="00A374FD" w:rsidRDefault="00AC19DA" w:rsidP="00AC19DA"/>
    <w:bookmarkEnd w:id="0"/>
    <w:p w14:paraId="22A19286" w14:textId="77777777" w:rsidR="00AC19DA" w:rsidRPr="004B5410" w:rsidRDefault="00AC19DA" w:rsidP="00AC19DA">
      <w:pPr>
        <w:spacing w:after="0"/>
      </w:pPr>
    </w:p>
    <w:p w14:paraId="0F293BF4" w14:textId="53AA4670" w:rsidR="00127233" w:rsidRPr="002A36C0" w:rsidRDefault="00127233" w:rsidP="002A36C0"/>
    <w:sectPr w:rsidR="00127233" w:rsidRPr="002A36C0"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C5D21" w14:textId="77777777" w:rsidR="0071621D" w:rsidRDefault="0071621D" w:rsidP="004A1847">
      <w:pPr>
        <w:spacing w:after="0" w:line="240" w:lineRule="auto"/>
      </w:pPr>
      <w:r>
        <w:separator/>
      </w:r>
    </w:p>
  </w:endnote>
  <w:endnote w:type="continuationSeparator" w:id="0">
    <w:p w14:paraId="01125348" w14:textId="77777777" w:rsidR="0071621D" w:rsidRDefault="0071621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462D91"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462D91">
      <w:rPr>
        <w:rFonts w:ascii="Verdana" w:eastAsia="Verdana" w:hAnsi="Verdana" w:cs="Verdana"/>
        <w:b/>
        <w:color w:val="000000" w:themeColor="text1"/>
        <w:sz w:val="18"/>
        <w:szCs w:val="18"/>
        <w:lang w:val="pt-BR" w:eastAsia="es-CO"/>
      </w:rPr>
      <w:t xml:space="preserve">Código: </w:t>
    </w:r>
    <w:r w:rsidRPr="00462D91">
      <w:rPr>
        <w:rFonts w:ascii="Verdana" w:eastAsia="Verdana" w:hAnsi="Verdana" w:cs="Verdana"/>
        <w:color w:val="000000" w:themeColor="text1"/>
        <w:sz w:val="18"/>
        <w:szCs w:val="18"/>
        <w:lang w:val="pt-BR" w:eastAsia="es-CO"/>
      </w:rPr>
      <w:t xml:space="preserve">CCE-REC-FM-17 </w:t>
    </w:r>
    <w:r w:rsidRPr="00462D91">
      <w:rPr>
        <w:rFonts w:ascii="Verdana" w:eastAsia="Verdana" w:hAnsi="Verdana" w:cs="Verdana"/>
        <w:b/>
        <w:color w:val="000000" w:themeColor="text1"/>
        <w:sz w:val="18"/>
        <w:szCs w:val="18"/>
        <w:lang w:val="pt-BR" w:eastAsia="es-CO"/>
      </w:rPr>
      <w:t xml:space="preserve">V: </w:t>
    </w:r>
    <w:r w:rsidRPr="00462D91">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853C4" w14:textId="77777777" w:rsidR="0071621D" w:rsidRDefault="0071621D" w:rsidP="004A1847">
      <w:pPr>
        <w:spacing w:after="0" w:line="240" w:lineRule="auto"/>
      </w:pPr>
      <w:r>
        <w:separator/>
      </w:r>
    </w:p>
  </w:footnote>
  <w:footnote w:type="continuationSeparator" w:id="0">
    <w:p w14:paraId="5C7C7BEF" w14:textId="77777777" w:rsidR="0071621D" w:rsidRDefault="0071621D" w:rsidP="004A1847">
      <w:pPr>
        <w:spacing w:after="0" w:line="240" w:lineRule="auto"/>
      </w:pPr>
      <w:r>
        <w:continuationSeparator/>
      </w:r>
    </w:p>
  </w:footnote>
  <w:footnote w:id="1">
    <w:p w14:paraId="6261C103" w14:textId="77777777" w:rsidR="00AC19DA"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El inciso primero de norma disponía que, conforme al principio de transparencia, “</w:t>
      </w:r>
      <w:r w:rsidRPr="00817BE8">
        <w:rPr>
          <w:rFonts w:ascii="Verdana" w:hAnsi="Verdana" w:cs="Arial"/>
          <w:i/>
          <w:iCs/>
          <w:sz w:val="16"/>
          <w:szCs w:val="16"/>
        </w:rPr>
        <w:t>La escogencia del contratista se efectuará siempre a través de licitación o concurso públicos</w:t>
      </w:r>
      <w:r w:rsidRPr="00817BE8">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p w14:paraId="2536CFC9" w14:textId="77777777" w:rsidR="00AC19DA" w:rsidRPr="00817BE8" w:rsidRDefault="00AC19DA" w:rsidP="00AC19DA">
      <w:pPr>
        <w:pStyle w:val="Textonotapie"/>
        <w:ind w:firstLine="708"/>
        <w:jc w:val="both"/>
        <w:rPr>
          <w:rFonts w:ascii="Verdana" w:hAnsi="Verdana" w:cs="Arial"/>
          <w:sz w:val="16"/>
          <w:szCs w:val="16"/>
        </w:rPr>
      </w:pPr>
    </w:p>
  </w:footnote>
  <w:footnote w:id="2">
    <w:p w14:paraId="593A16E7" w14:textId="77777777" w:rsidR="00EC24CC"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817BE8">
        <w:rPr>
          <w:rFonts w:ascii="Verdana" w:hAnsi="Verdana" w:cs="Arial"/>
          <w:i/>
          <w:iCs/>
          <w:sz w:val="16"/>
          <w:szCs w:val="16"/>
        </w:rPr>
        <w:t>Presentación de la oferta de manera dinámica</w:t>
      </w:r>
      <w:r w:rsidRPr="00817BE8">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p w14:paraId="5B367AF0" w14:textId="01EF6D20" w:rsidR="00AC19DA" w:rsidRPr="00817BE8" w:rsidRDefault="00AC19DA" w:rsidP="00AC19DA">
      <w:pPr>
        <w:pStyle w:val="Textonotapie"/>
        <w:ind w:firstLine="708"/>
        <w:jc w:val="both"/>
        <w:rPr>
          <w:rFonts w:ascii="Verdana" w:hAnsi="Verdana" w:cs="Arial"/>
          <w:sz w:val="16"/>
          <w:szCs w:val="16"/>
        </w:rPr>
      </w:pPr>
      <w:r w:rsidRPr="00817BE8">
        <w:rPr>
          <w:rFonts w:ascii="Verdana" w:hAnsi="Verdana" w:cs="Arial"/>
          <w:sz w:val="16"/>
          <w:szCs w:val="16"/>
        </w:rPr>
        <w:t xml:space="preserve"> </w:t>
      </w:r>
    </w:p>
  </w:footnote>
  <w:footnote w:id="3">
    <w:p w14:paraId="541723C6" w14:textId="77777777" w:rsidR="00AC19DA"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DROMI, José Roberto. La licitación pública. Buenos Aires: Ciudad Argentina, 1980. p. 166-168.</w:t>
      </w:r>
    </w:p>
    <w:p w14:paraId="16C453ED" w14:textId="77777777" w:rsidR="00AC19DA" w:rsidRPr="00817BE8" w:rsidRDefault="00AC19DA" w:rsidP="00AC19DA">
      <w:pPr>
        <w:pStyle w:val="Textonotapie"/>
        <w:ind w:firstLine="708"/>
        <w:jc w:val="both"/>
        <w:rPr>
          <w:rFonts w:ascii="Verdana" w:hAnsi="Verdana" w:cs="Arial"/>
          <w:sz w:val="16"/>
          <w:szCs w:val="16"/>
        </w:rPr>
      </w:pPr>
    </w:p>
  </w:footnote>
  <w:footnote w:id="4">
    <w:p w14:paraId="04D45B48" w14:textId="77777777" w:rsidR="00AC19DA"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CONSEJO DE ESTADO. Sala de Consulta y de Servicio Civil. Concepto del 28 de enero de 1998. Rad. 1.073. C.P. Javier Henao Hidrón.</w:t>
      </w:r>
    </w:p>
    <w:p w14:paraId="7A61497F" w14:textId="77777777" w:rsidR="00AC19DA" w:rsidRPr="00817BE8" w:rsidRDefault="00AC19DA" w:rsidP="00AC19DA">
      <w:pPr>
        <w:pStyle w:val="Textonotapie"/>
        <w:ind w:firstLine="708"/>
        <w:jc w:val="both"/>
        <w:rPr>
          <w:rFonts w:ascii="Verdana" w:hAnsi="Verdana" w:cs="Arial"/>
          <w:sz w:val="16"/>
          <w:szCs w:val="16"/>
        </w:rPr>
      </w:pPr>
    </w:p>
  </w:footnote>
  <w:footnote w:id="5">
    <w:p w14:paraId="61BE84C3" w14:textId="77777777" w:rsidR="00AC19DA"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Al respecto, “[…] si los funcionarios han sido negligentes en la realización de determinadas obras, y éstas se tornan gravemente imperiosas por el transcurso del tiempo, no podrá por tal causa la Administración la posibilidad de satisfacer la necesidad pública con la verdadera urgencia que la misma requiere. Lo que corresponde es hacer responsables, administrativa y civilmente, a los funcionarios en cuestión, sin perjuicio de solucionar el problema de la urgencia que el mismo objetivamente requiera” (GORDILLO, Agustín. Tratado de derecho administrativo y obras selectas. Tomo IX. Buenos Aires: FDA, 2014. p. XVI-16).</w:t>
      </w:r>
    </w:p>
    <w:p w14:paraId="64F8221A" w14:textId="77777777" w:rsidR="00AC19DA" w:rsidRPr="00817BE8" w:rsidRDefault="00AC19DA" w:rsidP="00AC19DA">
      <w:pPr>
        <w:pStyle w:val="Textonotapie"/>
        <w:ind w:firstLine="708"/>
        <w:jc w:val="both"/>
        <w:rPr>
          <w:rFonts w:ascii="Verdana" w:hAnsi="Verdana" w:cs="Arial"/>
          <w:sz w:val="16"/>
          <w:szCs w:val="16"/>
        </w:rPr>
      </w:pPr>
    </w:p>
  </w:footnote>
  <w:footnote w:id="6">
    <w:p w14:paraId="1E41238D" w14:textId="77777777" w:rsidR="00AC19DA" w:rsidRDefault="00AC19DA" w:rsidP="00AC19DA">
      <w:pPr>
        <w:spacing w:after="0" w:line="240" w:lineRule="auto"/>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Style w:val="Refdenotaalpie"/>
          <w:rFonts w:ascii="Verdana" w:hAnsi="Verdana" w:cs="Arial"/>
          <w:sz w:val="16"/>
          <w:szCs w:val="16"/>
        </w:rPr>
        <w:t xml:space="preserve">  </w:t>
      </w:r>
      <w:r>
        <w:rPr>
          <w:rFonts w:ascii="Verdana" w:hAnsi="Verdana" w:cs="Arial"/>
          <w:sz w:val="16"/>
          <w:szCs w:val="16"/>
        </w:rPr>
        <w:t xml:space="preserve">Consejo de Estado. Sala de lo Contencioso Administrativo. </w:t>
      </w:r>
      <w:r w:rsidRPr="00817BE8">
        <w:rPr>
          <w:rFonts w:ascii="Verdana" w:hAnsi="Verdana" w:cs="Arial"/>
          <w:sz w:val="16"/>
          <w:szCs w:val="16"/>
        </w:rPr>
        <w:t>Sección Tercera. Subsección C. Sentencia del 7 de febrero de 2011. Rad. 34.425. C.P. Jaime Orlando Santofimio Gamboa.</w:t>
      </w:r>
    </w:p>
    <w:p w14:paraId="43FDA579" w14:textId="77777777" w:rsidR="00AC19DA" w:rsidRPr="00817BE8" w:rsidRDefault="00AC19DA" w:rsidP="00AC19DA">
      <w:pPr>
        <w:spacing w:after="0" w:line="240" w:lineRule="auto"/>
        <w:ind w:firstLine="708"/>
        <w:jc w:val="both"/>
        <w:rPr>
          <w:rFonts w:ascii="Verdana" w:hAnsi="Verdana" w:cs="Arial"/>
          <w:sz w:val="16"/>
          <w:szCs w:val="16"/>
        </w:rPr>
      </w:pPr>
    </w:p>
  </w:footnote>
  <w:footnote w:id="7">
    <w:p w14:paraId="74C1F735" w14:textId="77777777" w:rsidR="00AC19DA" w:rsidRPr="00817BE8" w:rsidRDefault="00AC19DA" w:rsidP="00AC19DA">
      <w:pPr>
        <w:pStyle w:val="Textonotapie"/>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Cfr. ASAMBLEA NACIONAL CONSTITUYENTE. Gaceta Constitucional Nº 76 de mayo 18 de 1991. pp. 12-13.</w:t>
      </w:r>
    </w:p>
  </w:footnote>
  <w:footnote w:id="8">
    <w:p w14:paraId="5035ADCE" w14:textId="77777777" w:rsidR="00AC19DA" w:rsidRDefault="00AC19DA" w:rsidP="00AC19DA">
      <w:pPr>
        <w:spacing w:after="0" w:line="240" w:lineRule="auto"/>
        <w:ind w:firstLine="708"/>
        <w:jc w:val="both"/>
        <w:rPr>
          <w:rFonts w:ascii="Verdana" w:hAnsi="Verdana" w:cs="Arial"/>
          <w:sz w:val="16"/>
          <w:szCs w:val="16"/>
        </w:rPr>
      </w:pPr>
      <w:r w:rsidRPr="00817BE8">
        <w:rPr>
          <w:rStyle w:val="Refdenotaalpie"/>
          <w:rFonts w:ascii="Verdana" w:hAnsi="Verdana" w:cs="Arial"/>
          <w:sz w:val="16"/>
          <w:szCs w:val="16"/>
        </w:rPr>
        <w:footnoteRef/>
      </w:r>
      <w:r w:rsidRPr="00817BE8">
        <w:rPr>
          <w:rFonts w:ascii="Verdana" w:hAnsi="Verdana" w:cs="Arial"/>
          <w:sz w:val="16"/>
          <w:szCs w:val="16"/>
        </w:rPr>
        <w:t xml:space="preserve"> </w:t>
      </w:r>
      <w:r w:rsidRPr="00817BE8">
        <w:rPr>
          <w:rFonts w:ascii="Verdana" w:eastAsia="Calibri" w:hAnsi="Verdana" w:cs="Arial"/>
          <w:sz w:val="16"/>
          <w:szCs w:val="16"/>
          <w:lang w:val="es-ES_tradnl"/>
        </w:rPr>
        <w:t>En resumen, la jurisprudencia explica que la urgencia manifiesta procede: “[...] en aquellos eventos en los cuales puede suscitarse la necesidad de remediar o evitar males presentes o futuros pero inminentes, provocados bien sea en virtud de los estados de excepción, o por la paralización de los servicios públicos, o provenientes de situaciones de calamidad o hechos constitutivos de fuerza mayor o desastres, o cualquier otra circunstancia similar que tampoco dé espera en su solución, de tal manera que resulte inconveniente el trámite del proceso licitatorio de selección de contratistas reglado en el estatuto contractual, por cuanto implica el agotamiento de una serie de etapas que se toman su tiempo y hacen más o menos largo el lapso para adjudicar el respectivo contrato, circunstancia que, frente a una situación de urgencia obviamente resulta entorpecedora, porque la solución en estas condiciones, puede llegar tardíamente, cuando ya se haya producido o agravado el daño” (</w:t>
      </w:r>
      <w:r>
        <w:rPr>
          <w:rFonts w:ascii="Verdana" w:hAnsi="Verdana" w:cs="Arial"/>
          <w:sz w:val="16"/>
          <w:szCs w:val="16"/>
        </w:rPr>
        <w:t>Consejo de Estado</w:t>
      </w:r>
      <w:r w:rsidRPr="00817BE8">
        <w:rPr>
          <w:rFonts w:ascii="Verdana" w:hAnsi="Verdana" w:cs="Arial"/>
          <w:sz w:val="16"/>
          <w:szCs w:val="16"/>
        </w:rPr>
        <w:t xml:space="preserve">. Sección Tercera. Sentencia del 27 de abril de 2006. Rad. 5.229. C.P. Ramiro Saavedra Becerra). </w:t>
      </w:r>
    </w:p>
    <w:p w14:paraId="365993EC" w14:textId="77777777" w:rsidR="00AC19DA" w:rsidRPr="00817BE8" w:rsidRDefault="00AC19DA" w:rsidP="00AC19DA">
      <w:pPr>
        <w:spacing w:after="0" w:line="240" w:lineRule="auto"/>
        <w:ind w:firstLine="708"/>
        <w:jc w:val="both"/>
        <w:rPr>
          <w:rFonts w:ascii="Verdana" w:eastAsia="Calibri" w:hAnsi="Verdana" w:cs="Arial"/>
          <w:sz w:val="16"/>
          <w:szCs w:val="16"/>
          <w:lang w:val="es-ES_tradnl"/>
        </w:rPr>
      </w:pPr>
    </w:p>
  </w:footnote>
  <w:footnote w:id="9">
    <w:p w14:paraId="258CA7A4" w14:textId="77777777" w:rsidR="00AC19DA" w:rsidRDefault="00AC19DA" w:rsidP="00AC19DA">
      <w:pPr>
        <w:pStyle w:val="Textonotapie"/>
        <w:ind w:firstLine="709"/>
        <w:jc w:val="both"/>
        <w:rPr>
          <w:rFonts w:ascii="Verdana" w:hAnsi="Verdana" w:cs="Arial"/>
          <w:sz w:val="16"/>
          <w:szCs w:val="16"/>
          <w:lang w:val="es-ES"/>
        </w:rPr>
      </w:pPr>
      <w:r w:rsidRPr="00817BE8">
        <w:rPr>
          <w:rStyle w:val="Refdenotaalpie"/>
          <w:rFonts w:ascii="Verdana" w:hAnsi="Verdana" w:cs="Arial"/>
          <w:sz w:val="16"/>
          <w:szCs w:val="16"/>
        </w:rPr>
        <w:footnoteRef/>
      </w:r>
      <w:r w:rsidRPr="00462D91">
        <w:rPr>
          <w:rFonts w:ascii="Verdana" w:hAnsi="Verdana" w:cs="Arial"/>
          <w:sz w:val="16"/>
          <w:szCs w:val="16"/>
          <w:lang w:val="pt-BR"/>
        </w:rPr>
        <w:t xml:space="preserve"> Corte Constitucional. Sentencia C-772 de 1998. </w:t>
      </w:r>
      <w:r w:rsidRPr="00817BE8">
        <w:rPr>
          <w:rFonts w:ascii="Verdana" w:hAnsi="Verdana" w:cs="Arial"/>
          <w:sz w:val="16"/>
          <w:szCs w:val="16"/>
          <w:lang w:val="es-ES"/>
        </w:rPr>
        <w:t>M.P. Fabio Morón Díaz.</w:t>
      </w:r>
    </w:p>
    <w:p w14:paraId="20080F6E" w14:textId="77777777" w:rsidR="00AC19DA" w:rsidRPr="00817BE8" w:rsidRDefault="00AC19DA" w:rsidP="00AC19DA">
      <w:pPr>
        <w:pStyle w:val="Textonotapie"/>
        <w:ind w:firstLine="709"/>
        <w:jc w:val="both"/>
        <w:rPr>
          <w:rFonts w:ascii="Verdana" w:hAnsi="Verdana" w:cs="Arial"/>
          <w:sz w:val="16"/>
          <w:szCs w:val="16"/>
          <w:lang w:val="es-ES"/>
        </w:rPr>
      </w:pPr>
    </w:p>
  </w:footnote>
  <w:footnote w:id="10">
    <w:p w14:paraId="7044A20F" w14:textId="77777777" w:rsidR="00AC19DA" w:rsidRPr="00817BE8" w:rsidRDefault="00AC19DA" w:rsidP="00AC19DA">
      <w:pPr>
        <w:spacing w:after="0" w:line="240" w:lineRule="auto"/>
        <w:ind w:firstLine="708"/>
        <w:jc w:val="both"/>
        <w:rPr>
          <w:rFonts w:ascii="Verdana" w:eastAsia="Calibri" w:hAnsi="Verdana" w:cs="Arial"/>
          <w:sz w:val="16"/>
          <w:szCs w:val="16"/>
          <w:lang w:val="es-ES_tradnl"/>
        </w:rPr>
      </w:pPr>
      <w:r w:rsidRPr="00817BE8">
        <w:rPr>
          <w:rStyle w:val="Refdenotaalpie"/>
          <w:rFonts w:ascii="Verdana" w:hAnsi="Verdana" w:cs="Arial"/>
          <w:sz w:val="16"/>
          <w:szCs w:val="16"/>
        </w:rPr>
        <w:footnoteRef/>
      </w:r>
      <w:r w:rsidRPr="00817BE8">
        <w:rPr>
          <w:rFonts w:ascii="Verdana" w:hAnsi="Verdana" w:cs="Arial"/>
          <w:sz w:val="16"/>
          <w:szCs w:val="16"/>
        </w:rPr>
        <w:t xml:space="preserve"> </w:t>
      </w:r>
      <w:r w:rsidRPr="00817BE8">
        <w:rPr>
          <w:rFonts w:ascii="Verdana" w:hAnsi="Verdana" w:cs="Arial"/>
          <w:sz w:val="16"/>
          <w:szCs w:val="16"/>
          <w:lang w:val="es-ES_tradnl"/>
        </w:rPr>
        <w:t>La jurisprudencia delimita su sentido y alcance de la siguiente manera –</w:t>
      </w:r>
      <w:r w:rsidRPr="00817BE8">
        <w:rPr>
          <w:rFonts w:ascii="Verdana" w:hAnsi="Verdana" w:cs="Arial"/>
          <w:sz w:val="16"/>
          <w:szCs w:val="16"/>
          <w:lang w:val="es-ES"/>
        </w:rPr>
        <w:t>CORTE SUPREMA DE JUSTICIA. Sala de Casación Civil. Sentencia 20 de noviembre de 1989. MP. Alberto Ospina Botero. Publicada en la Gaceta Judicial. Tomo CXCVI. N° 2435. p. 93</w:t>
      </w:r>
      <w:r w:rsidRPr="00817BE8">
        <w:rPr>
          <w:rFonts w:ascii="Verdana" w:hAnsi="Verdana" w:cs="Arial"/>
          <w:sz w:val="16"/>
          <w:szCs w:val="16"/>
          <w:lang w:val="es-ES_tradnl"/>
        </w:rPr>
        <w:t>–:</w:t>
      </w:r>
    </w:p>
    <w:p w14:paraId="140A1502" w14:textId="77777777" w:rsidR="00AC19DA" w:rsidRPr="00817BE8" w:rsidRDefault="00AC19DA" w:rsidP="00AC19DA">
      <w:pPr>
        <w:spacing w:after="0" w:line="240" w:lineRule="auto"/>
        <w:ind w:right="49" w:firstLine="708"/>
        <w:jc w:val="both"/>
        <w:rPr>
          <w:rFonts w:ascii="Verdana" w:eastAsia="Calibri" w:hAnsi="Verdana" w:cs="Arial"/>
          <w:sz w:val="16"/>
          <w:szCs w:val="16"/>
          <w:lang w:val="es-ES_tradnl"/>
        </w:rPr>
      </w:pPr>
      <w:r w:rsidRPr="00817BE8">
        <w:rPr>
          <w:rFonts w:ascii="Verdana" w:eastAsia="Calibri" w:hAnsi="Verdana" w:cs="Arial"/>
          <w:sz w:val="16"/>
          <w:szCs w:val="16"/>
          <w:lang w:val="es-ES_tradnl"/>
        </w:rPr>
        <w:t>“6. […] la fuerza mayor o caso fortuito se configura por la concurrencia de dos factores:</w:t>
      </w:r>
    </w:p>
    <w:p w14:paraId="61D4B56E" w14:textId="77777777" w:rsidR="00AC19DA" w:rsidRPr="00817BE8" w:rsidRDefault="00AC19DA" w:rsidP="00AC19DA">
      <w:pPr>
        <w:spacing w:after="0" w:line="240" w:lineRule="auto"/>
        <w:ind w:right="49" w:firstLine="708"/>
        <w:jc w:val="both"/>
        <w:rPr>
          <w:rFonts w:ascii="Verdana" w:eastAsia="Calibri" w:hAnsi="Verdana" w:cs="Arial"/>
          <w:sz w:val="16"/>
          <w:szCs w:val="16"/>
          <w:lang w:val="es-ES_tradnl"/>
        </w:rPr>
      </w:pPr>
      <w:r w:rsidRPr="00817BE8">
        <w:rPr>
          <w:rFonts w:ascii="Verdana" w:eastAsia="Calibri" w:hAnsi="Verdana" w:cs="Arial"/>
          <w:sz w:val="16"/>
          <w:szCs w:val="16"/>
          <w:lang w:val="es-ES_tradnl"/>
        </w:rPr>
        <w:t>a) Que el hecho sea imprevisible, esto es, que dentro de las circunstancias normales de la vida, no sea posible contemplar por anticipado su ocurrencia. Por el contrario, si el hecho razonablemente hubiera podido preverse, por ser un acontecimiento normal o de ocurrencia frecuente, tal hecho no estructura el elemento imprevisible, y</w:t>
      </w:r>
    </w:p>
    <w:p w14:paraId="384136A5" w14:textId="77777777" w:rsidR="00AC19DA" w:rsidRPr="00817BE8" w:rsidRDefault="00AC19DA" w:rsidP="00AC19DA">
      <w:pPr>
        <w:spacing w:after="0" w:line="240" w:lineRule="auto"/>
        <w:ind w:right="49" w:firstLine="708"/>
        <w:jc w:val="both"/>
        <w:rPr>
          <w:rFonts w:ascii="Verdana" w:eastAsia="Calibri" w:hAnsi="Verdana" w:cs="Arial"/>
          <w:sz w:val="16"/>
          <w:szCs w:val="16"/>
          <w:lang w:val="es-ES_tradnl"/>
        </w:rPr>
      </w:pPr>
      <w:r w:rsidRPr="00817BE8">
        <w:rPr>
          <w:rFonts w:ascii="Verdana" w:eastAsia="Calibri" w:hAnsi="Verdana" w:cs="Arial"/>
          <w:sz w:val="16"/>
          <w:szCs w:val="16"/>
          <w:lang w:val="es-ES_tradnl"/>
        </w:rPr>
        <w:t>b) Que el hecho sea irresistible, o sea, que el agente no pueda evitar su acaecimiento ni superar sus consecuencias.</w:t>
      </w:r>
    </w:p>
    <w:p w14:paraId="38DA312F" w14:textId="77777777" w:rsidR="00AC19DA" w:rsidRPr="00817BE8" w:rsidRDefault="00AC19DA" w:rsidP="00AC19DA">
      <w:pPr>
        <w:spacing w:after="0" w:line="240" w:lineRule="auto"/>
        <w:ind w:right="49" w:firstLine="708"/>
        <w:jc w:val="both"/>
        <w:rPr>
          <w:rFonts w:ascii="Verdana" w:eastAsia="Calibri" w:hAnsi="Verdana" w:cs="Arial"/>
          <w:sz w:val="16"/>
          <w:szCs w:val="16"/>
          <w:lang w:val="es-ES_tradnl"/>
        </w:rPr>
      </w:pPr>
      <w:r w:rsidRPr="00817BE8">
        <w:rPr>
          <w:rFonts w:ascii="Verdana" w:eastAsia="Calibri" w:hAnsi="Verdana" w:cs="Arial"/>
          <w:sz w:val="16"/>
          <w:szCs w:val="16"/>
          <w:lang w:val="es-ES_tradnl"/>
        </w:rPr>
        <w:t>En este preciso punto es indispensable anotar la diferencia existente entre la imposibilidad para resistir o superar el hecho y la dificultad para enfrentarlo. Porque un hecho no constituye caso fortuito o fuerza mayor, por la sola circunstancia de que se haga más difícil o más onerosa de lo previsto inicialmente.</w:t>
      </w:r>
    </w:p>
    <w:p w14:paraId="259D985D" w14:textId="77777777" w:rsidR="00AC19DA" w:rsidRPr="00817BE8" w:rsidRDefault="00AC19DA" w:rsidP="00AC19DA">
      <w:pPr>
        <w:spacing w:after="0" w:line="240" w:lineRule="auto"/>
        <w:ind w:right="49" w:firstLine="708"/>
        <w:jc w:val="both"/>
        <w:rPr>
          <w:rFonts w:ascii="Verdana" w:eastAsia="Calibri" w:hAnsi="Verdana" w:cs="Arial"/>
          <w:sz w:val="16"/>
          <w:szCs w:val="16"/>
          <w:lang w:val="es-ES_tradnl"/>
        </w:rPr>
      </w:pPr>
      <w:r w:rsidRPr="00817BE8">
        <w:rPr>
          <w:rFonts w:ascii="Verdana" w:eastAsia="Calibri" w:hAnsi="Verdana" w:cs="Arial"/>
          <w:sz w:val="16"/>
          <w:szCs w:val="16"/>
          <w:lang w:val="es-ES_tradnl"/>
        </w:rPr>
        <w:t>7. Según el verdadero sentido o inteligencia […] los elementos integrantes del caso fortuito o fuerza mayor, antes reseñados, deben ser concurrentes, lo cual se traduce en que si el hecho o suceso ciertamente es imprevisible pero se le puede resistir, no se da tal fenómeno, como tampoco se configura cuando a pesar de ser irresistible pudo preverse</w:t>
      </w:r>
    </w:p>
    <w:p w14:paraId="29EAFBC8" w14:textId="77777777" w:rsidR="00AC19DA" w:rsidRPr="00817BE8" w:rsidRDefault="00AC19DA" w:rsidP="00AC19DA">
      <w:pPr>
        <w:spacing w:after="0" w:line="240" w:lineRule="auto"/>
        <w:ind w:right="49"/>
        <w:jc w:val="both"/>
        <w:rPr>
          <w:rFonts w:ascii="Verdana" w:eastAsia="Calibri" w:hAnsi="Verdana" w:cs="Arial"/>
          <w:sz w:val="16"/>
          <w:szCs w:val="16"/>
          <w:lang w:val="es-ES_tradnl"/>
        </w:rPr>
      </w:pPr>
      <w:r w:rsidRPr="00817BE8">
        <w:rPr>
          <w:rFonts w:ascii="Verdana" w:eastAsia="Calibri" w:hAnsi="Verdana" w:cs="Arial"/>
          <w:sz w:val="16"/>
          <w:szCs w:val="16"/>
          <w:lang w:val="es-ES_tradnl"/>
        </w:rPr>
        <w:t>[…]</w:t>
      </w:r>
    </w:p>
    <w:p w14:paraId="36C9F2E3" w14:textId="77777777" w:rsidR="00AC19DA" w:rsidRPr="00817BE8" w:rsidRDefault="00AC19DA" w:rsidP="00AC19DA">
      <w:pPr>
        <w:pStyle w:val="Textonotapie"/>
        <w:ind w:right="49" w:firstLine="708"/>
        <w:jc w:val="both"/>
        <w:rPr>
          <w:rFonts w:ascii="Verdana" w:hAnsi="Verdana" w:cs="Arial"/>
          <w:sz w:val="16"/>
          <w:szCs w:val="16"/>
          <w:lang w:val="es-CO"/>
        </w:rPr>
      </w:pPr>
      <w:r w:rsidRPr="00817BE8">
        <w:rPr>
          <w:rFonts w:ascii="Verdana" w:eastAsia="Calibri" w:hAnsi="Verdana" w:cs="Arial"/>
          <w:sz w:val="16"/>
          <w:szCs w:val="16"/>
          <w:lang w:val="es-ES_tradnl"/>
        </w:rPr>
        <w:t>8. Si, sólo puede calificarse como caso fortuito o fuerza mayor el hecho que concurrentemente contemple los caracteres de imprevisible e irresistible, no resulta propio elaborar un listado de los acontecimientos que constituyen tal fenómeno, ni de los que no lo constituyen. Por tal virtud, ha sostenido la doctrina nacional y foránea que un acontecimiento determinado no puede calificarse fatalmente, por sí mismo y por fuerza de su naturaleza específica como constitutivo de fuerza mayor o caso fortuito, puesto que es indispensable, en cada caso o acontecimiento, analizar y ponderar todas las circunstancias que rodearon el hecho”.</w:t>
      </w:r>
    </w:p>
  </w:footnote>
  <w:footnote w:id="11">
    <w:p w14:paraId="7C77B006" w14:textId="77777777" w:rsidR="00AC19DA" w:rsidRPr="00817BE8" w:rsidRDefault="00AC19DA" w:rsidP="00AC19DA">
      <w:pPr>
        <w:pStyle w:val="Textonotapie"/>
        <w:ind w:firstLine="708"/>
        <w:jc w:val="both"/>
        <w:rPr>
          <w:rFonts w:ascii="Verdana" w:hAnsi="Verdana" w:cs="Arial"/>
          <w:sz w:val="16"/>
          <w:szCs w:val="16"/>
          <w:lang w:val="es-ES"/>
        </w:rPr>
      </w:pPr>
      <w:r w:rsidRPr="00817BE8">
        <w:rPr>
          <w:rStyle w:val="Refdenotaalpie"/>
          <w:rFonts w:ascii="Verdana" w:hAnsi="Verdana" w:cs="Arial"/>
          <w:sz w:val="16"/>
          <w:szCs w:val="16"/>
        </w:rPr>
        <w:footnoteRef/>
      </w:r>
      <w:r w:rsidRPr="00817BE8">
        <w:rPr>
          <w:rFonts w:ascii="Verdana" w:hAnsi="Verdana" w:cs="Arial"/>
          <w:sz w:val="16"/>
          <w:szCs w:val="16"/>
        </w:rPr>
        <w:t xml:space="preserve"> “</w:t>
      </w:r>
      <w:r w:rsidRPr="00817BE8">
        <w:rPr>
          <w:rFonts w:ascii="Verdana" w:hAnsi="Verdana" w:cs="Arial"/>
          <w:sz w:val="16"/>
          <w:szCs w:val="16"/>
          <w:lang w:val="es-ES"/>
        </w:rPr>
        <w:t>Artículo 56. Declaratoria de situación de desastre. Previa recomendación del Consejo Nacional, el Presidente de la República declarará mediante decreto la existencia de una situación de desastre y, en el mismo acto, la clasificará según su magnitud y efectos como de carácter nacional, regional, departamental, distrital o municipal, y pondrá en vigor las normas pertinentes propias del régimen especial para situaciones de desastre.</w:t>
      </w:r>
    </w:p>
    <w:p w14:paraId="16A8D3EA" w14:textId="77777777" w:rsidR="00AC19DA" w:rsidRPr="00817BE8"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1. Nacional. Existirá una situación de desastre nacional:</w:t>
      </w:r>
    </w:p>
    <w:p w14:paraId="65D663B0" w14:textId="77777777" w:rsidR="00AC19DA" w:rsidRPr="00817BE8"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a). Cuando la materialización del riesgo afecte de manera desfavorable y grave los bienes jurídicos protegidos de las personas, de la colectividad nacional y de las instituciones de la Administración Pública Nacional, en todo el territorio nacional o en parte considerable del mismo.</w:t>
      </w:r>
    </w:p>
    <w:p w14:paraId="6CBB532B" w14:textId="77777777" w:rsidR="00AC19DA" w:rsidRPr="00817BE8"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b). Cuando se hayan producido efectos adversos en uno (1) o más departamentos y su impacto rebase la capacidad técnica y los recursos de las administraciones departamentales y municipales involucradas.</w:t>
      </w:r>
    </w:p>
    <w:p w14:paraId="6972789A" w14:textId="77777777" w:rsidR="00AC19DA" w:rsidRPr="00817BE8"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c). Cuando la emergencia tenga la capacidad de impactar de manera desfavorable y grave la economía nacional, las redes de servicios nacionales en su totalidad o en parte significativa de las mismas, el distrito capital y otros centros urbanos de importancia regional en la red de ciudades.</w:t>
      </w:r>
    </w:p>
    <w:p w14:paraId="6789A002" w14:textId="77777777" w:rsidR="00AC19DA" w:rsidRPr="00817BE8"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2. Departamental. Existirá una situación de desastre departamental cuando la materialización del riesgo afecte de manera desfavorable y grave los bienes jurídicos protegidos de los habitantes de un (1) departamento y de la administración pública departamental. El desastre de orden departamental puede presentarse en todo el departamento o en parte sustancial de su territorio rebasando la capacidad técnica y de recursos de los municipios afectados.</w:t>
      </w:r>
    </w:p>
    <w:p w14:paraId="25CC546E" w14:textId="77777777" w:rsidR="00AC19DA" w:rsidRDefault="00AC19DA" w:rsidP="00AC19DA">
      <w:pPr>
        <w:pStyle w:val="Textonotapie"/>
        <w:ind w:firstLine="708"/>
        <w:jc w:val="both"/>
        <w:rPr>
          <w:rFonts w:ascii="Verdana" w:hAnsi="Verdana" w:cs="Arial"/>
          <w:sz w:val="16"/>
          <w:szCs w:val="16"/>
          <w:lang w:val="es-ES"/>
        </w:rPr>
      </w:pPr>
      <w:r w:rsidRPr="00817BE8">
        <w:rPr>
          <w:rFonts w:ascii="Verdana" w:hAnsi="Verdana" w:cs="Arial"/>
          <w:sz w:val="16"/>
          <w:szCs w:val="16"/>
          <w:lang w:val="es-ES"/>
        </w:rPr>
        <w:t>3. Distrital o Municipal. Existirá una situación de desastre municipal o distrital cuando la materialización del riesgo afecte de manera desfavorable y grave los bienes jurídicos protegidos de los habitantes del municipio o distrito impactado y de la administración pública distrital. El desastre de orden distrital o municipal puede presentarse en todo el distrito o municipio o en parte sustancial del territorio de su jurisdicción, rebasando su capacidad técnica y de recursos […]”.</w:t>
      </w:r>
    </w:p>
    <w:p w14:paraId="2ACFC26D" w14:textId="77777777" w:rsidR="00AC19DA" w:rsidRPr="00817BE8" w:rsidRDefault="00AC19DA" w:rsidP="00AC19DA">
      <w:pPr>
        <w:pStyle w:val="Textonotapie"/>
        <w:ind w:firstLine="708"/>
        <w:jc w:val="both"/>
        <w:rPr>
          <w:rFonts w:ascii="Verdana" w:hAnsi="Verdana" w:cs="Arial"/>
          <w:sz w:val="16"/>
          <w:szCs w:val="16"/>
          <w:lang w:val="es-ES"/>
        </w:rPr>
      </w:pPr>
    </w:p>
  </w:footnote>
  <w:footnote w:id="12">
    <w:p w14:paraId="7F62877E" w14:textId="77777777" w:rsidR="00AC19DA" w:rsidRPr="00817BE8" w:rsidRDefault="00AC19DA" w:rsidP="00AC19DA">
      <w:pPr>
        <w:pStyle w:val="Textonotapie"/>
        <w:ind w:firstLine="708"/>
        <w:jc w:val="both"/>
        <w:rPr>
          <w:rFonts w:ascii="Verdana" w:hAnsi="Verdana" w:cs="Arial"/>
          <w:sz w:val="16"/>
          <w:szCs w:val="16"/>
          <w:lang w:val="es-CO"/>
        </w:rPr>
      </w:pPr>
      <w:r w:rsidRPr="00817BE8">
        <w:rPr>
          <w:rStyle w:val="Refdenotaalpie"/>
          <w:rFonts w:ascii="Verdana" w:hAnsi="Verdana" w:cs="Arial"/>
          <w:sz w:val="16"/>
          <w:szCs w:val="16"/>
        </w:rPr>
        <w:footnoteRef/>
      </w:r>
      <w:r w:rsidRPr="00817BE8">
        <w:rPr>
          <w:rFonts w:ascii="Verdana" w:hAnsi="Verdana" w:cs="Arial"/>
          <w:sz w:val="16"/>
          <w:szCs w:val="16"/>
        </w:rPr>
        <w:t xml:space="preserve"> “</w:t>
      </w:r>
      <w:r w:rsidRPr="00817BE8">
        <w:rPr>
          <w:rFonts w:ascii="Verdana" w:hAnsi="Verdana" w:cs="Arial"/>
          <w:sz w:val="16"/>
          <w:szCs w:val="16"/>
          <w:lang w:val="es-ES"/>
        </w:rPr>
        <w:t xml:space="preserve">Artículo 57. Declaratoria de situación de calamidad pública. </w:t>
      </w:r>
      <w:bookmarkStart w:id="14" w:name="_Hlk132729568"/>
      <w:r w:rsidRPr="00817BE8">
        <w:rPr>
          <w:rFonts w:ascii="Verdana" w:hAnsi="Verdana" w:cs="Arial"/>
          <w:sz w:val="16"/>
          <w:szCs w:val="16"/>
          <w:lang w:val="es-ES"/>
        </w:rPr>
        <w:t>Los gobernadores y alcaldes, previo concepto favorable del Consejo Departamental, Distrital o Municipal de Gestión del Riesgo, podrán declararla situación de calamidad pública en su respectiva jurisdicción. Las declaratorias de situación de calamidad pública se producirán y aplicarán, en lo pertinente, de conformidad con las reglas de la declaratoria de la situación de desastre</w:t>
      </w:r>
      <w:bookmarkEnd w:id="14"/>
      <w:r w:rsidRPr="00817BE8">
        <w:rPr>
          <w:rFonts w:ascii="Verdana" w:hAnsi="Verdana" w:cs="Arial"/>
          <w:sz w:val="16"/>
          <w:szCs w:val="16"/>
          <w:lang w:val="es-ES"/>
        </w:rPr>
        <w:t>”.</w:t>
      </w:r>
    </w:p>
  </w:footnote>
  <w:footnote w:id="13">
    <w:p w14:paraId="01F4D9F3" w14:textId="77777777" w:rsidR="00AC19DA" w:rsidRPr="00973B44" w:rsidRDefault="00AC19DA" w:rsidP="00AC19DA">
      <w:pPr>
        <w:pStyle w:val="Textonotapie"/>
        <w:ind w:firstLine="709"/>
        <w:jc w:val="both"/>
        <w:rPr>
          <w:rFonts w:ascii="Verdana" w:hAnsi="Verdana"/>
          <w:color w:val="000000" w:themeColor="text1"/>
          <w:sz w:val="16"/>
          <w:szCs w:val="16"/>
          <w:lang w:val="es-CO"/>
        </w:rPr>
      </w:pPr>
      <w:r w:rsidRPr="00973B44">
        <w:rPr>
          <w:rStyle w:val="Refdenotaalpie"/>
          <w:rFonts w:ascii="Verdana" w:hAnsi="Verdana"/>
          <w:color w:val="000000" w:themeColor="text1"/>
          <w:sz w:val="16"/>
          <w:szCs w:val="16"/>
        </w:rPr>
        <w:footnoteRef/>
      </w:r>
      <w:r w:rsidRPr="00973B44">
        <w:rPr>
          <w:rFonts w:ascii="Verdana" w:hAnsi="Verdana"/>
          <w:color w:val="000000" w:themeColor="text1"/>
          <w:sz w:val="16"/>
          <w:szCs w:val="16"/>
        </w:rPr>
        <w:t xml:space="preserve"> </w:t>
      </w:r>
      <w:r w:rsidRPr="00973B44">
        <w:rPr>
          <w:rFonts w:ascii="Verdana" w:hAnsi="Verdana"/>
          <w:b/>
          <w:bCs/>
          <w:color w:val="000000" w:themeColor="text1"/>
          <w:sz w:val="16"/>
          <w:szCs w:val="16"/>
          <w:lang w:val="es-CO"/>
        </w:rPr>
        <w:t>ARTÍCULO </w:t>
      </w:r>
      <w:bookmarkStart w:id="19" w:name="BM2"/>
      <w:bookmarkStart w:id="20" w:name="2"/>
      <w:bookmarkEnd w:id="19"/>
      <w:bookmarkEnd w:id="20"/>
      <w:r w:rsidRPr="00973B44">
        <w:rPr>
          <w:rFonts w:ascii="Verdana" w:hAnsi="Verdana"/>
          <w:b/>
          <w:bCs/>
          <w:color w:val="000000" w:themeColor="text1"/>
          <w:sz w:val="16"/>
          <w:szCs w:val="16"/>
          <w:lang w:val="es-CO"/>
        </w:rPr>
        <w:t>2.- </w:t>
      </w:r>
      <w:r w:rsidRPr="00973B44">
        <w:rPr>
          <w:rFonts w:ascii="Verdana" w:hAnsi="Verdana"/>
          <w:b/>
          <w:bCs/>
          <w:i/>
          <w:iCs/>
          <w:color w:val="000000" w:themeColor="text1"/>
          <w:sz w:val="16"/>
          <w:szCs w:val="16"/>
          <w:lang w:val="es-CO"/>
        </w:rPr>
        <w:t>De la Definición de Entidades, Servidores y Servicios Públicos</w:t>
      </w:r>
      <w:r w:rsidRPr="00973B44">
        <w:rPr>
          <w:rFonts w:ascii="Verdana" w:hAnsi="Verdana"/>
          <w:color w:val="000000" w:themeColor="text1"/>
          <w:sz w:val="16"/>
          <w:szCs w:val="16"/>
          <w:lang w:val="es-CO"/>
        </w:rPr>
        <w:t>. Para los solos efectos de esta Ley:</w:t>
      </w:r>
    </w:p>
    <w:p w14:paraId="2959E56B" w14:textId="77777777" w:rsidR="00AC19DA" w:rsidRPr="00973B44" w:rsidRDefault="00AC19DA" w:rsidP="00AC19DA">
      <w:pPr>
        <w:pStyle w:val="Textonotapie"/>
        <w:ind w:firstLine="709"/>
        <w:jc w:val="both"/>
        <w:rPr>
          <w:rFonts w:ascii="Verdana" w:hAnsi="Verdana"/>
          <w:color w:val="000000" w:themeColor="text1"/>
          <w:sz w:val="16"/>
          <w:szCs w:val="16"/>
          <w:lang w:val="es-CO"/>
        </w:rPr>
      </w:pPr>
      <w:r w:rsidRPr="00973B44">
        <w:rPr>
          <w:rFonts w:ascii="Verdana" w:hAnsi="Verdana"/>
          <w:color w:val="000000" w:themeColor="text1"/>
          <w:sz w:val="16"/>
          <w:szCs w:val="16"/>
          <w:lang w:val="es-CO"/>
        </w:rPr>
        <w:t>1o. Se denominan entidades estatales:</w:t>
      </w:r>
    </w:p>
    <w:p w14:paraId="78C2FECE" w14:textId="77777777" w:rsidR="00AC19DA" w:rsidRPr="00973B44" w:rsidRDefault="00AC19DA" w:rsidP="00AC19DA">
      <w:pPr>
        <w:pStyle w:val="Textonotapie"/>
        <w:ind w:firstLine="709"/>
        <w:jc w:val="both"/>
        <w:rPr>
          <w:rFonts w:ascii="Verdana" w:hAnsi="Verdana"/>
          <w:color w:val="000000" w:themeColor="text1"/>
          <w:sz w:val="16"/>
          <w:szCs w:val="16"/>
          <w:lang w:val="es-CO"/>
        </w:rPr>
      </w:pPr>
      <w:r w:rsidRPr="00973B44">
        <w:rPr>
          <w:rFonts w:ascii="Verdana" w:hAnsi="Verdana"/>
          <w:color w:val="000000" w:themeColor="text1"/>
          <w:sz w:val="16"/>
          <w:szCs w:val="16"/>
          <w:lang w:val="es-CO"/>
        </w:rPr>
        <w:t>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w:t>
      </w:r>
    </w:p>
    <w:p w14:paraId="6BB619DF" w14:textId="77777777" w:rsidR="00AC19DA" w:rsidRPr="00973B44" w:rsidRDefault="00AC19DA" w:rsidP="00AC19DA">
      <w:pPr>
        <w:pStyle w:val="Textonotapie"/>
        <w:ind w:firstLine="709"/>
        <w:jc w:val="both"/>
        <w:rPr>
          <w:rFonts w:ascii="Verdana" w:hAnsi="Verdana"/>
          <w:color w:val="000000" w:themeColor="text1"/>
          <w:sz w:val="16"/>
          <w:szCs w:val="16"/>
          <w:lang w:val="es-CO"/>
        </w:rPr>
      </w:pPr>
      <w:r w:rsidRPr="00973B44">
        <w:rPr>
          <w:rFonts w:ascii="Verdana" w:hAnsi="Verdana"/>
          <w:color w:val="000000" w:themeColor="text1"/>
          <w:sz w:val="16"/>
          <w:szCs w:val="16"/>
          <w:lang w:val="es-CO"/>
        </w:rPr>
        <w:t>(Ver los Conceptos de la Sec. General </w:t>
      </w:r>
      <w:hyperlink r:id="rId1" w:anchor="1" w:history="1">
        <w:r w:rsidRPr="00973B44">
          <w:rPr>
            <w:rStyle w:val="Hipervnculo"/>
            <w:rFonts w:ascii="Verdana" w:hAnsi="Verdana"/>
            <w:color w:val="000000" w:themeColor="text1"/>
            <w:sz w:val="16"/>
            <w:szCs w:val="16"/>
            <w:lang w:val="es-CO"/>
          </w:rPr>
          <w:t>140</w:t>
        </w:r>
      </w:hyperlink>
      <w:r w:rsidRPr="00973B44">
        <w:rPr>
          <w:rFonts w:ascii="Verdana" w:hAnsi="Verdana"/>
          <w:color w:val="000000" w:themeColor="text1"/>
          <w:sz w:val="16"/>
          <w:szCs w:val="16"/>
          <w:lang w:val="es-CO"/>
        </w:rPr>
        <w:t> y </w:t>
      </w:r>
      <w:hyperlink r:id="rId2" w:anchor="1" w:history="1">
        <w:r w:rsidRPr="00973B44">
          <w:rPr>
            <w:rStyle w:val="Hipervnculo"/>
            <w:rFonts w:ascii="Verdana" w:hAnsi="Verdana"/>
            <w:color w:val="000000" w:themeColor="text1"/>
            <w:sz w:val="16"/>
            <w:szCs w:val="16"/>
            <w:lang w:val="es-CO"/>
          </w:rPr>
          <w:t>390</w:t>
        </w:r>
      </w:hyperlink>
      <w:r w:rsidRPr="00973B44">
        <w:rPr>
          <w:rFonts w:ascii="Verdana" w:hAnsi="Verdana"/>
          <w:color w:val="000000" w:themeColor="text1"/>
          <w:sz w:val="16"/>
          <w:szCs w:val="16"/>
          <w:lang w:val="es-CO"/>
        </w:rPr>
        <w:t> de 1998.)</w:t>
      </w:r>
    </w:p>
    <w:p w14:paraId="440B75B9" w14:textId="77777777" w:rsidR="00AC19DA" w:rsidRPr="00973B44" w:rsidRDefault="00AC19DA" w:rsidP="00AC19DA">
      <w:pPr>
        <w:pStyle w:val="Textonotapie"/>
        <w:ind w:firstLine="709"/>
        <w:jc w:val="both"/>
        <w:rPr>
          <w:rFonts w:ascii="Verdana" w:hAnsi="Verdana"/>
          <w:color w:val="000000" w:themeColor="text1"/>
          <w:sz w:val="16"/>
          <w:szCs w:val="16"/>
          <w:lang w:val="es-CO"/>
        </w:rPr>
      </w:pPr>
      <w:r w:rsidRPr="00973B44">
        <w:rPr>
          <w:rFonts w:ascii="Verdana" w:hAnsi="Verdana"/>
          <w:color w:val="000000" w:themeColor="text1"/>
          <w:sz w:val="16"/>
          <w:szCs w:val="16"/>
          <w:lang w:val="es-CO"/>
        </w:rPr>
        <w:t>b) El Senado de la República, la Cámara de Representantes, el Consejo Superior de la Judicatura, la Fiscalía General de la Nación, la </w:t>
      </w:r>
      <w:hyperlink r:id="rId3" w:tgtFrame="_blank" w:history="1">
        <w:r w:rsidRPr="00973B44">
          <w:rPr>
            <w:rStyle w:val="Hipervnculo"/>
            <w:rFonts w:ascii="Verdana" w:hAnsi="Verdana"/>
            <w:color w:val="000000" w:themeColor="text1"/>
            <w:sz w:val="16"/>
            <w:szCs w:val="16"/>
            <w:lang w:val="es-CO"/>
          </w:rPr>
          <w:t>Contraloría General de la República</w:t>
        </w:r>
      </w:hyperlink>
      <w:r w:rsidRPr="00973B44">
        <w:rPr>
          <w:rFonts w:ascii="Verdana" w:hAnsi="Verdana"/>
          <w:color w:val="000000" w:themeColor="text1"/>
          <w:sz w:val="16"/>
          <w:szCs w:val="16"/>
          <w:lang w:val="es-CO"/>
        </w:rPr>
        <w:t>,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p w14:paraId="06B021D6" w14:textId="77777777" w:rsidR="00AC19DA" w:rsidRPr="00973B44" w:rsidRDefault="00AC19DA" w:rsidP="00AC19DA">
      <w:pPr>
        <w:pStyle w:val="Textonotapie"/>
        <w:rPr>
          <w:lang w:val="es-CO"/>
        </w:rPr>
      </w:pPr>
    </w:p>
  </w:footnote>
  <w:footnote w:id="14">
    <w:p w14:paraId="2E0ECA3D" w14:textId="77777777" w:rsidR="00AC19DA" w:rsidRPr="00480A3F" w:rsidRDefault="00AC19DA" w:rsidP="00AC19DA">
      <w:pPr>
        <w:pStyle w:val="Textonotapie"/>
        <w:ind w:firstLine="707"/>
        <w:jc w:val="both"/>
        <w:rPr>
          <w:rFonts w:ascii="Verdana" w:hAnsi="Verdana"/>
          <w:sz w:val="16"/>
          <w:szCs w:val="16"/>
          <w:lang w:val="es-CO"/>
        </w:rPr>
      </w:pPr>
      <w:r w:rsidRPr="00480A3F">
        <w:rPr>
          <w:rStyle w:val="Refdenotaalpie"/>
          <w:rFonts w:ascii="Verdana" w:hAnsi="Verdana"/>
          <w:sz w:val="16"/>
          <w:szCs w:val="16"/>
        </w:rPr>
        <w:footnoteRef/>
      </w:r>
      <w:r w:rsidRPr="00480A3F">
        <w:rPr>
          <w:rFonts w:ascii="Verdana" w:hAnsi="Verdana"/>
          <w:sz w:val="16"/>
          <w:szCs w:val="16"/>
        </w:rPr>
        <w:t xml:space="preserve"> </w:t>
      </w:r>
      <w:r w:rsidRPr="00480A3F">
        <w:rPr>
          <w:rFonts w:ascii="Verdana" w:hAnsi="Verdana"/>
          <w:sz w:val="16"/>
          <w:szCs w:val="16"/>
          <w:lang w:val="es-CO"/>
        </w:rPr>
        <w:t xml:space="preserve">Superintendencia de Servicios Públicos Domiciliarios. Concepto 169 del 30 de marzo de 2023 disponible en el siguiente enlace: </w:t>
      </w:r>
      <w:hyperlink r:id="rId4" w:history="1">
        <w:r w:rsidRPr="00480A3F">
          <w:rPr>
            <w:rStyle w:val="Hipervnculo"/>
            <w:rFonts w:ascii="Verdana" w:hAnsi="Verdana"/>
            <w:sz w:val="16"/>
            <w:szCs w:val="16"/>
            <w:lang w:val="es-CO"/>
          </w:rPr>
          <w:t>https://normas.cra.gov.co/gestor/docs/concepto_superservicios_0000169_2023.htm</w:t>
        </w:r>
      </w:hyperlink>
      <w:r w:rsidRPr="00480A3F">
        <w:rPr>
          <w:rFonts w:ascii="Verdana" w:hAnsi="Verdana"/>
          <w:sz w:val="16"/>
          <w:szCs w:val="16"/>
          <w:lang w:val="es-CO"/>
        </w:rPr>
        <w:t xml:space="preserve"> </w:t>
      </w:r>
    </w:p>
    <w:p w14:paraId="0871422E" w14:textId="77777777" w:rsidR="00AC19DA" w:rsidRPr="00480A3F" w:rsidRDefault="00AC19DA" w:rsidP="00AC19DA">
      <w:pPr>
        <w:pStyle w:val="Textonotapie"/>
        <w:ind w:firstLine="707"/>
        <w:jc w:val="both"/>
        <w:rPr>
          <w:rFonts w:ascii="Verdana" w:hAnsi="Verdana"/>
          <w:sz w:val="16"/>
          <w:szCs w:val="16"/>
          <w:lang w:val="es-CO"/>
        </w:rPr>
      </w:pPr>
    </w:p>
  </w:footnote>
  <w:footnote w:id="15">
    <w:p w14:paraId="7C04A524" w14:textId="77777777" w:rsidR="00AC19DA" w:rsidRDefault="00AC19DA" w:rsidP="00AC19DA">
      <w:pPr>
        <w:pStyle w:val="Textonotapie"/>
        <w:ind w:firstLine="709"/>
        <w:jc w:val="both"/>
      </w:pPr>
      <w:r w:rsidRPr="00592ECB">
        <w:rPr>
          <w:rStyle w:val="Refdenotaalpie"/>
          <w:rFonts w:ascii="Verdana" w:hAnsi="Verdana"/>
          <w:sz w:val="16"/>
          <w:szCs w:val="16"/>
        </w:rPr>
        <w:footnoteRef/>
      </w:r>
      <w:r w:rsidRPr="00592ECB">
        <w:rPr>
          <w:rFonts w:ascii="Verdana" w:hAnsi="Verdana"/>
          <w:sz w:val="16"/>
          <w:szCs w:val="16"/>
        </w:rPr>
        <w:t xml:space="preserve"> Es importante señalar que la naturaleza jurídica de una entidad no depende solo de la función que cumple. En otras palabras, prestar un servicio público no convierte a una empresa en entidad pública. Lo determinante es su origen legal, su régimen jurídico y su vinculación con el Estado. Aunque las empresas privadas con capital 100% privado de servicios públicos cumplen una función pública, siguen siendo entidades privadas en cuanto a su estructura, gestión y responsabilidad jurídica. Esto, sin dejar de lado que las empresas de servicios públicos domiciliarios mixtas y las empresas privadas con participación minoritaria del Estado son comprendidas como entidades descentralizadas por servicios, de acuerdo con lo expresado</w:t>
      </w:r>
      <w:r w:rsidRPr="00592ECB">
        <w:t xml:space="preserve"> por la Corte Constitucional en la sentencia </w:t>
      </w:r>
      <w:r w:rsidRPr="00462D91">
        <w:rPr>
          <w:rFonts w:ascii="Verdana" w:hAnsi="Verdana" w:cs="Arial"/>
          <w:color w:val="000000" w:themeColor="text1"/>
          <w:sz w:val="16"/>
          <w:szCs w:val="16"/>
          <w:lang w:val="es-CO"/>
        </w:rPr>
        <w:t xml:space="preserve">C-736 de 2007. </w:t>
      </w:r>
      <w:r w:rsidRPr="00251D4A">
        <w:rPr>
          <w:rFonts w:ascii="Verdana" w:hAnsi="Verdana" w:cs="Arial"/>
          <w:color w:val="000000" w:themeColor="text1"/>
          <w:sz w:val="16"/>
          <w:szCs w:val="16"/>
        </w:rPr>
        <w:t>M.P. Marco Gerardo Monroy Cabra</w:t>
      </w:r>
      <w:r w:rsidRPr="00592ECB">
        <w:t>.</w:t>
      </w:r>
      <w:r>
        <w:t xml:space="preserve"> Se pueden consultar los conceptos proferidos por la Agencia Nacional de Contratación Pública C-631 de 2026 y C-1519 de 2025.</w:t>
      </w:r>
    </w:p>
    <w:p w14:paraId="59404C64" w14:textId="77777777" w:rsidR="00AC19DA" w:rsidRPr="00592ECB" w:rsidRDefault="00AC19DA" w:rsidP="00AC19DA">
      <w:pPr>
        <w:pStyle w:val="Textonotapie"/>
        <w:ind w:firstLine="709"/>
        <w:jc w:val="both"/>
        <w:rPr>
          <w:lang w:val="es-ES"/>
        </w:rPr>
      </w:pPr>
    </w:p>
  </w:footnote>
  <w:footnote w:id="16">
    <w:p w14:paraId="12BF6AFA" w14:textId="77777777" w:rsidR="00AC19DA" w:rsidRPr="00462D91" w:rsidRDefault="00AC19DA" w:rsidP="00AC19DA">
      <w:pPr>
        <w:pStyle w:val="Textonotapie"/>
        <w:ind w:firstLine="709"/>
        <w:jc w:val="both"/>
        <w:rPr>
          <w:rFonts w:ascii="Verdana" w:hAnsi="Verdana" w:cs="Arial"/>
          <w:color w:val="000000" w:themeColor="text1"/>
          <w:sz w:val="16"/>
          <w:szCs w:val="16"/>
          <w:lang w:val="pt-BR"/>
        </w:rPr>
      </w:pPr>
      <w:r>
        <w:rPr>
          <w:rStyle w:val="Refdenotaalpie"/>
          <w:rFonts w:ascii="Verdana" w:hAnsi="Verdana"/>
          <w:sz w:val="16"/>
          <w:szCs w:val="16"/>
        </w:rPr>
        <w:footnoteRef/>
      </w:r>
      <w:r w:rsidRPr="00462D91">
        <w:rPr>
          <w:rFonts w:ascii="Verdana" w:hAnsi="Verdana"/>
          <w:sz w:val="16"/>
          <w:szCs w:val="16"/>
          <w:lang w:val="pt-BR"/>
        </w:rPr>
        <w:t xml:space="preserve"> </w:t>
      </w:r>
      <w:r w:rsidRPr="00251D4A">
        <w:rPr>
          <w:rFonts w:ascii="Verdana" w:hAnsi="Verdana" w:cs="Arial"/>
          <w:color w:val="000000" w:themeColor="text1"/>
          <w:sz w:val="16"/>
          <w:szCs w:val="16"/>
          <w:lang w:val="pt-BR"/>
        </w:rPr>
        <w:t xml:space="preserve">Corte Constitucional. Sentencia C-736 de 2007. </w:t>
      </w:r>
      <w:r w:rsidRPr="00462D91">
        <w:rPr>
          <w:rFonts w:ascii="Verdana" w:hAnsi="Verdana" w:cs="Arial"/>
          <w:color w:val="000000" w:themeColor="text1"/>
          <w:sz w:val="16"/>
          <w:szCs w:val="16"/>
          <w:lang w:val="pt-BR"/>
        </w:rPr>
        <w:t>M.P. Marco Gerardo Monroy Cabra.</w:t>
      </w:r>
    </w:p>
    <w:p w14:paraId="5477B9B5" w14:textId="77777777" w:rsidR="00AC19DA" w:rsidRPr="00462D91" w:rsidRDefault="00AC19DA" w:rsidP="00AC19DA">
      <w:pPr>
        <w:pStyle w:val="Textonotapie"/>
        <w:ind w:firstLine="709"/>
        <w:jc w:val="both"/>
        <w:rPr>
          <w:rFonts w:ascii="Verdana" w:hAnsi="Verdana" w:cs="Arial"/>
          <w:color w:val="000000" w:themeColor="text1"/>
          <w:sz w:val="16"/>
          <w:szCs w:val="16"/>
          <w:lang w:val="pt-BR"/>
        </w:rPr>
      </w:pPr>
    </w:p>
  </w:footnote>
  <w:footnote w:id="17">
    <w:p w14:paraId="101C3A23" w14:textId="77777777" w:rsidR="00AC19DA" w:rsidRDefault="00AC19DA" w:rsidP="00AC19DA">
      <w:pPr>
        <w:pStyle w:val="Textonotapie"/>
        <w:ind w:firstLine="709"/>
        <w:jc w:val="both"/>
        <w:rPr>
          <w:rFonts w:ascii="Verdana" w:hAnsi="Verdana" w:cs="Arial"/>
          <w:color w:val="000000" w:themeColor="text1"/>
          <w:sz w:val="16"/>
          <w:szCs w:val="16"/>
        </w:rPr>
      </w:pPr>
      <w:r w:rsidRPr="008F51F1">
        <w:rPr>
          <w:rStyle w:val="Refdenotaalpie"/>
          <w:rFonts w:ascii="Verdana" w:hAnsi="Verdana" w:cs="Arial"/>
          <w:color w:val="000000" w:themeColor="text1"/>
          <w:sz w:val="16"/>
          <w:szCs w:val="16"/>
        </w:rPr>
        <w:footnoteRef/>
      </w:r>
      <w:r w:rsidRPr="00462D91">
        <w:rPr>
          <w:rFonts w:ascii="Verdana" w:hAnsi="Verdana" w:cs="Arial"/>
          <w:color w:val="000000" w:themeColor="text1"/>
          <w:sz w:val="16"/>
          <w:szCs w:val="16"/>
          <w:lang w:val="pt-BR"/>
        </w:rPr>
        <w:t xml:space="preserve"> Consejo de Estado. Sala de lo Contencioso Administrativo. Sección Tercera. Subsección C. Sentencia del 13 de abril de 2011. Exp. 37423. C.P. Jaime Orlando Santofimio Gamboa. En similar sentido, puede verse: Consejo de Estado. Sala de lo Contencioso Administrativo. </w:t>
      </w:r>
      <w:r w:rsidRPr="008F51F1">
        <w:rPr>
          <w:rFonts w:ascii="Verdana" w:hAnsi="Verdana" w:cs="Arial"/>
          <w:color w:val="000000" w:themeColor="text1"/>
          <w:sz w:val="16"/>
          <w:szCs w:val="16"/>
        </w:rPr>
        <w:t>Sección Tercera. Subsección B. Sentencia del 15 de noviembre de 2011. Exp. 21178. C.P. Ruth Stella Correa Palacio.</w:t>
      </w:r>
    </w:p>
    <w:p w14:paraId="25EEFAFA" w14:textId="77777777" w:rsidR="00AC19DA" w:rsidRPr="008F51F1" w:rsidRDefault="00AC19DA" w:rsidP="00AC19DA">
      <w:pPr>
        <w:pStyle w:val="Textonotapie"/>
        <w:ind w:firstLine="709"/>
        <w:jc w:val="both"/>
        <w:rPr>
          <w:rFonts w:ascii="Verdana" w:hAnsi="Verdana" w:cs="Arial"/>
          <w:color w:val="000000" w:themeColor="text1"/>
          <w:sz w:val="16"/>
          <w:szCs w:val="16"/>
        </w:rPr>
      </w:pPr>
    </w:p>
  </w:footnote>
  <w:footnote w:id="18">
    <w:p w14:paraId="5C1F0D61" w14:textId="77777777" w:rsidR="00AC19DA" w:rsidRDefault="00AC19DA" w:rsidP="00AC19DA">
      <w:pPr>
        <w:spacing w:after="0" w:line="240" w:lineRule="auto"/>
        <w:ind w:firstLine="709"/>
        <w:jc w:val="both"/>
        <w:rPr>
          <w:rFonts w:ascii="Verdana" w:eastAsia="Calibri" w:hAnsi="Verdana" w:cs="Arial"/>
          <w:color w:val="000000"/>
          <w:sz w:val="16"/>
          <w:szCs w:val="16"/>
          <w:lang w:val="es-ES_tradnl"/>
        </w:rPr>
      </w:pPr>
      <w:r w:rsidRPr="0013167A">
        <w:rPr>
          <w:rStyle w:val="Refdenotaalpie"/>
          <w:rFonts w:ascii="Verdana" w:hAnsi="Verdana" w:cs="Arial"/>
          <w:color w:val="000000"/>
          <w:sz w:val="16"/>
          <w:szCs w:val="16"/>
        </w:rPr>
        <w:footnoteRef/>
      </w:r>
      <w:r w:rsidRPr="0013167A">
        <w:rPr>
          <w:rFonts w:ascii="Verdana" w:hAnsi="Verdana" w:cs="Arial"/>
          <w:color w:val="000000"/>
          <w:sz w:val="16"/>
          <w:szCs w:val="16"/>
        </w:rPr>
        <w:t xml:space="preserve"> </w:t>
      </w:r>
      <w:r w:rsidRPr="0013167A">
        <w:rPr>
          <w:rFonts w:ascii="Verdana" w:hAnsi="Verdana" w:cs="Arial"/>
          <w:color w:val="000000"/>
          <w:sz w:val="16"/>
          <w:szCs w:val="16"/>
          <w:lang w:val="es-ES"/>
        </w:rPr>
        <w:t>Esta norma dispone: “</w:t>
      </w:r>
      <w:r w:rsidRPr="0013167A">
        <w:rPr>
          <w:rFonts w:ascii="Verdana" w:eastAsia="Calibri" w:hAnsi="Verdana" w:cs="Arial"/>
          <w:color w:val="000000"/>
          <w:sz w:val="16"/>
          <w:szCs w:val="16"/>
          <w:lang w:val="es-ES_tradnl"/>
        </w:rPr>
        <w:t>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2E5123CC" w14:textId="77777777" w:rsidR="00AC19DA" w:rsidRPr="00C645FE" w:rsidRDefault="00AC19DA" w:rsidP="00AC19DA">
      <w:pPr>
        <w:spacing w:after="0" w:line="240" w:lineRule="auto"/>
        <w:ind w:firstLine="709"/>
        <w:jc w:val="both"/>
        <w:rPr>
          <w:rFonts w:ascii="Verdana" w:eastAsia="Calibri" w:hAnsi="Verdana" w:cs="Arial"/>
          <w:color w:val="000000"/>
          <w:sz w:val="16"/>
          <w:szCs w:val="16"/>
          <w:lang w:val="es-ES_tradnl"/>
        </w:rPr>
      </w:pPr>
    </w:p>
  </w:footnote>
  <w:footnote w:id="19">
    <w:p w14:paraId="4A7EF751" w14:textId="36EDB81A" w:rsidR="00AC19DA" w:rsidRPr="00137B4E" w:rsidRDefault="00AC19DA" w:rsidP="00EC24CC">
      <w:pPr>
        <w:pStyle w:val="Textonotapie"/>
        <w:snapToGrid w:val="0"/>
        <w:ind w:firstLine="709"/>
        <w:jc w:val="both"/>
        <w:rPr>
          <w:rFonts w:ascii="Verdana" w:hAnsi="Verdana" w:cs="Arial"/>
          <w:color w:val="000000"/>
          <w:sz w:val="16"/>
          <w:szCs w:val="16"/>
        </w:rPr>
      </w:pPr>
      <w:r w:rsidRPr="00137B4E">
        <w:rPr>
          <w:rStyle w:val="Refdenotaalpie"/>
          <w:rFonts w:ascii="Verdana" w:hAnsi="Verdana" w:cs="Arial"/>
          <w:color w:val="000000"/>
          <w:sz w:val="16"/>
          <w:szCs w:val="16"/>
        </w:rPr>
        <w:footnoteRef/>
      </w:r>
      <w:r w:rsidRPr="00137B4E">
        <w:rPr>
          <w:rFonts w:ascii="Verdana" w:hAnsi="Verdana" w:cs="Arial"/>
          <w:color w:val="000000"/>
          <w:sz w:val="16"/>
          <w:szCs w:val="16"/>
        </w:rPr>
        <w:t xml:space="preserve"> Consejo de Estado. </w:t>
      </w:r>
      <w:r>
        <w:rPr>
          <w:rFonts w:ascii="Verdana" w:hAnsi="Verdana" w:cs="Arial"/>
          <w:color w:val="000000" w:themeColor="text1"/>
          <w:sz w:val="16"/>
          <w:szCs w:val="16"/>
        </w:rPr>
        <w:t xml:space="preserve">Sala de lo Contencioso Administrativo. </w:t>
      </w:r>
      <w:r w:rsidRPr="00137B4E">
        <w:rPr>
          <w:rFonts w:ascii="Verdana" w:hAnsi="Verdana" w:cs="Arial"/>
          <w:color w:val="000000"/>
          <w:sz w:val="16"/>
          <w:szCs w:val="16"/>
        </w:rPr>
        <w:t>Sección Tercera.</w:t>
      </w:r>
      <w:r>
        <w:rPr>
          <w:rFonts w:ascii="Verdana" w:hAnsi="Verdana" w:cs="Arial"/>
          <w:color w:val="000000"/>
          <w:sz w:val="16"/>
          <w:szCs w:val="16"/>
        </w:rPr>
        <w:t xml:space="preserve"> Subsección A.</w:t>
      </w:r>
      <w:r w:rsidRPr="00137B4E">
        <w:rPr>
          <w:rFonts w:ascii="Verdana" w:hAnsi="Verdana" w:cs="Arial"/>
          <w:color w:val="000000"/>
          <w:sz w:val="16"/>
          <w:szCs w:val="16"/>
        </w:rPr>
        <w:t xml:space="preserve"> Radicado No. 45.607 del 24 de octubre de 2016. C</w:t>
      </w:r>
      <w:r>
        <w:rPr>
          <w:rFonts w:ascii="Verdana" w:hAnsi="Verdana" w:cs="Arial"/>
          <w:color w:val="000000"/>
          <w:sz w:val="16"/>
          <w:szCs w:val="16"/>
        </w:rPr>
        <w:t>.</w:t>
      </w:r>
      <w:r w:rsidRPr="00137B4E">
        <w:rPr>
          <w:rFonts w:ascii="Verdana" w:hAnsi="Verdana" w:cs="Arial"/>
          <w:color w:val="000000"/>
          <w:sz w:val="16"/>
          <w:szCs w:val="16"/>
        </w:rPr>
        <w:t>P</w:t>
      </w:r>
      <w:r>
        <w:rPr>
          <w:rFonts w:ascii="Verdana" w:hAnsi="Verdana" w:cs="Arial"/>
          <w:color w:val="000000"/>
          <w:sz w:val="16"/>
          <w:szCs w:val="16"/>
        </w:rPr>
        <w:t>:</w:t>
      </w:r>
      <w:r w:rsidRPr="00137B4E">
        <w:rPr>
          <w:rFonts w:ascii="Verdana" w:hAnsi="Verdana" w:cs="Arial"/>
          <w:color w:val="000000"/>
          <w:sz w:val="16"/>
          <w:szCs w:val="16"/>
        </w:rPr>
        <w:t xml:space="preserve"> Mar</w:t>
      </w:r>
      <w:r>
        <w:rPr>
          <w:rFonts w:ascii="Verdana" w:hAnsi="Verdana" w:cs="Arial"/>
          <w:color w:val="000000"/>
          <w:sz w:val="16"/>
          <w:szCs w:val="16"/>
        </w:rPr>
        <w:t>ta</w:t>
      </w:r>
      <w:r w:rsidRPr="00137B4E">
        <w:rPr>
          <w:rFonts w:ascii="Verdana" w:hAnsi="Verdana" w:cs="Arial"/>
          <w:color w:val="000000"/>
          <w:sz w:val="16"/>
          <w:szCs w:val="16"/>
        </w:rPr>
        <w:t xml:space="preserve"> Nubia Velásquez Rico.</w:t>
      </w:r>
    </w:p>
  </w:footnote>
  <w:footnote w:id="20">
    <w:p w14:paraId="03E2ACE1" w14:textId="77777777" w:rsidR="00AC19DA" w:rsidRDefault="00AC19DA" w:rsidP="00AC19DA">
      <w:pPr>
        <w:pStyle w:val="Textonotapie"/>
        <w:snapToGrid w:val="0"/>
        <w:ind w:firstLine="708"/>
        <w:jc w:val="both"/>
        <w:rPr>
          <w:rFonts w:ascii="Verdana" w:hAnsi="Verdana" w:cs="Arial"/>
          <w:color w:val="000000" w:themeColor="text1"/>
          <w:sz w:val="16"/>
          <w:szCs w:val="16"/>
        </w:rPr>
      </w:pPr>
      <w:r w:rsidRPr="00137B4E">
        <w:rPr>
          <w:rStyle w:val="Refdenotaalpie"/>
          <w:rFonts w:ascii="Verdana" w:hAnsi="Verdana" w:cs="Arial"/>
          <w:color w:val="000000" w:themeColor="text1"/>
          <w:sz w:val="16"/>
          <w:szCs w:val="16"/>
        </w:rPr>
        <w:footnoteRef/>
      </w:r>
      <w:r w:rsidRPr="00137B4E">
        <w:rPr>
          <w:rFonts w:ascii="Verdana" w:hAnsi="Verdana" w:cs="Arial"/>
          <w:color w:val="000000" w:themeColor="text1"/>
          <w:sz w:val="16"/>
          <w:szCs w:val="16"/>
        </w:rPr>
        <w:t xml:space="preserve"> HINESTROSA FORERO, Fernando. Tratado de las Obligaciones II. De las fuentes de las obligaciones: el negocio jurídico. Volumen I. Bogotá: Universidad Externado de Colombia, 2015. p. 116.  </w:t>
      </w:r>
    </w:p>
    <w:p w14:paraId="2A0EEE09" w14:textId="77777777" w:rsidR="00AC19DA" w:rsidRPr="00137B4E" w:rsidRDefault="00AC19DA" w:rsidP="00AC19DA">
      <w:pPr>
        <w:pStyle w:val="Textonotapie"/>
        <w:snapToGrid w:val="0"/>
        <w:ind w:firstLine="708"/>
        <w:jc w:val="both"/>
        <w:rPr>
          <w:rFonts w:ascii="Verdana" w:hAnsi="Verdana" w:cs="Arial"/>
          <w:color w:val="000000" w:themeColor="text1"/>
          <w:sz w:val="16"/>
          <w:szCs w:val="16"/>
        </w:rPr>
      </w:pPr>
    </w:p>
  </w:footnote>
  <w:footnote w:id="21">
    <w:p w14:paraId="19CE8EE3" w14:textId="77777777" w:rsidR="00AC19DA" w:rsidRDefault="00AC19DA" w:rsidP="00AC19DA">
      <w:pPr>
        <w:pStyle w:val="Textonotapie"/>
        <w:snapToGrid w:val="0"/>
        <w:ind w:firstLine="708"/>
        <w:jc w:val="both"/>
        <w:rPr>
          <w:rFonts w:ascii="Verdana" w:hAnsi="Verdana" w:cs="Arial"/>
          <w:sz w:val="16"/>
          <w:szCs w:val="16"/>
        </w:rPr>
      </w:pPr>
      <w:r w:rsidRPr="00137B4E">
        <w:rPr>
          <w:rStyle w:val="Refdenotaalpie"/>
          <w:rFonts w:ascii="Verdana" w:hAnsi="Verdana" w:cs="Arial"/>
          <w:sz w:val="16"/>
          <w:szCs w:val="16"/>
        </w:rPr>
        <w:footnoteRef/>
      </w:r>
      <w:r w:rsidRPr="00137B4E">
        <w:rPr>
          <w:rFonts w:ascii="Verdana" w:hAnsi="Verdana" w:cs="Arial"/>
          <w:sz w:val="16"/>
          <w:szCs w:val="16"/>
        </w:rPr>
        <w:t xml:space="preserve"> Cfr. Colombia Compra Eficiente. Subdirección de Gestión Contractual. Concepto C-362 del 3 de julio de 2020. Pág. 9.</w:t>
      </w:r>
    </w:p>
    <w:p w14:paraId="244C561C" w14:textId="77777777" w:rsidR="00AC19DA" w:rsidRPr="00137B4E" w:rsidRDefault="00AC19DA" w:rsidP="00AC19DA">
      <w:pPr>
        <w:pStyle w:val="Textonotapie"/>
        <w:snapToGrid w:val="0"/>
        <w:ind w:firstLine="708"/>
        <w:jc w:val="both"/>
        <w:rPr>
          <w:rFonts w:ascii="Verdana" w:hAnsi="Verdana" w:cs="Arial"/>
          <w:sz w:val="16"/>
          <w:szCs w:val="16"/>
        </w:rPr>
      </w:pPr>
    </w:p>
  </w:footnote>
  <w:footnote w:id="22">
    <w:p w14:paraId="1F903A21" w14:textId="77777777" w:rsidR="00AC19DA" w:rsidRDefault="00AC19DA" w:rsidP="00AC19DA">
      <w:pPr>
        <w:pStyle w:val="Textonotapie"/>
        <w:snapToGrid w:val="0"/>
        <w:ind w:firstLine="708"/>
        <w:jc w:val="both"/>
        <w:rPr>
          <w:rFonts w:ascii="Verdana" w:hAnsi="Verdana" w:cs="Arial"/>
          <w:sz w:val="16"/>
          <w:szCs w:val="16"/>
        </w:rPr>
      </w:pPr>
      <w:r w:rsidRPr="00137B4E">
        <w:rPr>
          <w:rStyle w:val="Refdenotaalpie"/>
          <w:rFonts w:ascii="Verdana" w:hAnsi="Verdana" w:cs="Arial"/>
          <w:sz w:val="16"/>
          <w:szCs w:val="16"/>
        </w:rPr>
        <w:footnoteRef/>
      </w:r>
      <w:r w:rsidRPr="00137B4E">
        <w:rPr>
          <w:rFonts w:ascii="Verdana" w:hAnsi="Verdana" w:cs="Arial"/>
          <w:sz w:val="16"/>
          <w:szCs w:val="16"/>
        </w:rPr>
        <w:t xml:space="preserve"> Ibíd. </w:t>
      </w:r>
    </w:p>
    <w:p w14:paraId="7B12C22D" w14:textId="77777777" w:rsidR="00AC19DA" w:rsidRPr="00137B4E" w:rsidRDefault="00AC19DA" w:rsidP="00AC19DA">
      <w:pPr>
        <w:pStyle w:val="Textonotapie"/>
        <w:snapToGrid w:val="0"/>
        <w:ind w:firstLine="708"/>
        <w:jc w:val="both"/>
        <w:rPr>
          <w:rFonts w:ascii="Verdana" w:hAnsi="Verdana" w:cs="Arial"/>
          <w:sz w:val="16"/>
          <w:szCs w:val="16"/>
        </w:rPr>
      </w:pPr>
    </w:p>
  </w:footnote>
  <w:footnote w:id="23">
    <w:p w14:paraId="19B02F69" w14:textId="77777777" w:rsidR="00AC19DA" w:rsidRPr="002D021F" w:rsidRDefault="00AC19DA" w:rsidP="00AC19DA">
      <w:pPr>
        <w:pStyle w:val="Textonotapie"/>
        <w:ind w:firstLine="709"/>
        <w:jc w:val="both"/>
        <w:rPr>
          <w:rFonts w:ascii="Verdana" w:hAnsi="Verdana"/>
          <w:sz w:val="16"/>
          <w:szCs w:val="16"/>
          <w:lang w:val="es-ES"/>
        </w:rPr>
      </w:pPr>
      <w:r w:rsidRPr="002D021F">
        <w:rPr>
          <w:rStyle w:val="Refdenotaalpie"/>
          <w:rFonts w:ascii="Verdana" w:hAnsi="Verdana"/>
          <w:sz w:val="16"/>
          <w:szCs w:val="16"/>
        </w:rPr>
        <w:footnoteRef/>
      </w:r>
      <w:r w:rsidRPr="002D021F">
        <w:rPr>
          <w:rFonts w:ascii="Verdana" w:hAnsi="Verdana"/>
          <w:sz w:val="16"/>
          <w:szCs w:val="16"/>
        </w:rPr>
        <w:t xml:space="preserve"> </w:t>
      </w:r>
      <w:r w:rsidRPr="002D021F">
        <w:rPr>
          <w:rFonts w:ascii="Verdana" w:hAnsi="Verdana"/>
          <w:sz w:val="16"/>
          <w:szCs w:val="16"/>
          <w:lang w:val="es-CO"/>
        </w:rPr>
        <w:t>Por la cual se adopta la política nacional de gestión del riesgo de desastres y se establece el Sistema Nacional de Gestión del Riesgo de Desastres y se dictan otras disposiciones</w:t>
      </w:r>
      <w:r>
        <w:rPr>
          <w:rFonts w:ascii="Verdana" w:hAnsi="Verdana"/>
          <w:sz w:val="16"/>
          <w:szCs w:val="16"/>
          <w:lang w:val="es-CO"/>
        </w:rPr>
        <w:t>.</w:t>
      </w:r>
    </w:p>
  </w:footnote>
  <w:footnote w:id="24">
    <w:p w14:paraId="56D673C0" w14:textId="71CB9B0B" w:rsidR="00EC24CC" w:rsidRPr="00EC24CC" w:rsidRDefault="00AC19DA" w:rsidP="00EC24CC">
      <w:pPr>
        <w:pStyle w:val="Textonotapie"/>
        <w:ind w:firstLine="708"/>
        <w:contextualSpacing/>
        <w:jc w:val="both"/>
        <w:rPr>
          <w:rFonts w:ascii="Verdana" w:hAnsi="Verdana"/>
          <w:sz w:val="16"/>
          <w:szCs w:val="16"/>
        </w:rPr>
      </w:pPr>
      <w:r w:rsidRPr="002D021F">
        <w:rPr>
          <w:rStyle w:val="Refdenotaalpie"/>
          <w:rFonts w:ascii="Verdana" w:hAnsi="Verdana"/>
          <w:sz w:val="16"/>
          <w:szCs w:val="16"/>
        </w:rPr>
        <w:footnoteRef/>
      </w:r>
      <w:r w:rsidRPr="002D021F">
        <w:rPr>
          <w:rFonts w:ascii="Verdana" w:hAnsi="Verdana"/>
          <w:sz w:val="16"/>
          <w:szCs w:val="16"/>
        </w:rPr>
        <w:t xml:space="preserve"> La norma citada prescribe que “Salvo lo dispuesto para los contratos de empréstito interno y externo, los contratos que celebre la sociedad fiduciaria para la ejecución de los bienes, derechos e intereses del Fondo Nacional de Calamidades se someterán únicamente a los requisitos y formalidades que exige la ley para la contratación entre particulares, dando aplicación a los artículos 14 a 18 de la Ley 80 de 1993 y 13 de la Ley 1150 de 2007”. Por lo demás, el el inciso segundo del artículo 96 de la Ley 1523 de 2012 indica que “[…] mantendrán plena vigencia los artículos 2°, 3°, 4°, 9° y 10 del Decreto-ley 4702 de 2010 […]”.</w:t>
      </w:r>
    </w:p>
  </w:footnote>
  <w:footnote w:id="25">
    <w:p w14:paraId="7F9875C9" w14:textId="77777777" w:rsidR="00AC19DA" w:rsidRPr="002D021F" w:rsidRDefault="00AC19DA" w:rsidP="00AC19DA">
      <w:pPr>
        <w:pStyle w:val="NormalWeb"/>
        <w:spacing w:before="0" w:beforeAutospacing="0" w:after="0" w:afterAutospacing="0"/>
        <w:ind w:firstLine="708"/>
        <w:contextualSpacing/>
        <w:jc w:val="both"/>
        <w:rPr>
          <w:rFonts w:ascii="Verdana" w:hAnsi="Verdana" w:cs="Arial"/>
          <w:sz w:val="16"/>
          <w:szCs w:val="16"/>
          <w:lang w:eastAsia="es-ES_tradnl"/>
        </w:rPr>
      </w:pPr>
      <w:r w:rsidRPr="002D021F">
        <w:rPr>
          <w:rStyle w:val="Refdenotaalpie"/>
          <w:rFonts w:ascii="Verdana" w:hAnsi="Verdana" w:cs="Arial"/>
          <w:sz w:val="16"/>
          <w:szCs w:val="16"/>
        </w:rPr>
        <w:footnoteRef/>
      </w:r>
      <w:r w:rsidRPr="002D021F">
        <w:rPr>
          <w:rFonts w:ascii="Verdana" w:hAnsi="Verdana" w:cs="Arial"/>
          <w:sz w:val="16"/>
          <w:szCs w:val="16"/>
        </w:rPr>
        <w:t xml:space="preserve"> </w:t>
      </w:r>
      <w:bookmarkStart w:id="22" w:name="54"/>
      <w:r w:rsidRPr="002D021F">
        <w:rPr>
          <w:rFonts w:ascii="Verdana" w:hAnsi="Verdana" w:cs="Arial"/>
          <w:sz w:val="16"/>
          <w:szCs w:val="16"/>
        </w:rPr>
        <w:t>“</w:t>
      </w:r>
      <w:r w:rsidRPr="002D021F">
        <w:rPr>
          <w:rFonts w:ascii="Verdana" w:hAnsi="Verdana" w:cs="Arial"/>
          <w:sz w:val="16"/>
          <w:szCs w:val="16"/>
          <w:lang w:eastAsia="es-ES_tradnl"/>
        </w:rPr>
        <w:t>Artículo 54. Fondos territoriales.</w:t>
      </w:r>
      <w:bookmarkEnd w:id="22"/>
      <w:r w:rsidRPr="002D021F">
        <w:rPr>
          <w:rFonts w:ascii="Verdana" w:hAnsi="Verdana" w:cs="Arial"/>
          <w:sz w:val="16"/>
          <w:szCs w:val="16"/>
          <w:lang w:eastAsia="es-ES_tradnl"/>
        </w:rPr>
        <w:t> Las administraciones departamentales, distritales y municipales, en un plazo no mayor a noventa (90) días posteriores a la fecha en que se sancione la presente ley, constituirán sus propios fondos de gestión del riesgo bajo el esquema del Fondo Nacional, como cuentas especiales con autonomía técnica y financiera, con el propósito de invertir, destinar y ejecutar sus recursos en la adopción de medidas de conocimiento y reducción del riesgo de desastre, preparación, respuesta, rehabilitación y reconstrucción. Podrá establecer mecanismos de financiación dirigidos a las entidades involucradas en los procesos y a la población afectada por la ocurrencia de desastres o calamidad. El Fondo podrá crear subcuentas para los diferentes procesos de la gestión del riesgo. </w:t>
      </w:r>
    </w:p>
    <w:p w14:paraId="16EBAF83" w14:textId="77777777" w:rsidR="00AC19DA" w:rsidRPr="002D021F" w:rsidRDefault="00AC19DA" w:rsidP="00AC19DA">
      <w:pPr>
        <w:spacing w:after="0" w:line="240" w:lineRule="auto"/>
        <w:ind w:firstLine="708"/>
        <w:contextualSpacing/>
        <w:jc w:val="both"/>
        <w:rPr>
          <w:rFonts w:ascii="Verdana" w:eastAsia="Times New Roman" w:hAnsi="Verdana" w:cs="Arial"/>
          <w:sz w:val="16"/>
          <w:szCs w:val="16"/>
          <w:lang w:eastAsia="es-ES_tradnl"/>
        </w:rPr>
      </w:pPr>
      <w:r w:rsidRPr="002D021F">
        <w:rPr>
          <w:rFonts w:ascii="Verdana" w:eastAsia="Times New Roman" w:hAnsi="Verdana" w:cs="Arial"/>
          <w:sz w:val="16"/>
          <w:szCs w:val="16"/>
          <w:lang w:eastAsia="es-ES_tradnl"/>
        </w:rPr>
        <w:t>Parágrafo. Los recursos destinados a los fondos de los que habla este artículo, serán de carácter acumulativo y no podrán en ningún caso ser retirados del mismo, por motivos diferentes a la gestión del riesgo. En todo caso el monto de los recursos deberá guardar coherencia con los niveles de riesgo de desastre que enfrenta el departamento, distrito o municipio”.</w:t>
      </w:r>
    </w:p>
  </w:footnote>
  <w:footnote w:id="26">
    <w:p w14:paraId="6AB8E212" w14:textId="77777777" w:rsidR="00AC19DA" w:rsidRDefault="00AC19DA" w:rsidP="00AC19DA">
      <w:pPr>
        <w:pStyle w:val="Textonotapie"/>
        <w:ind w:firstLine="709"/>
        <w:jc w:val="both"/>
        <w:rPr>
          <w:rFonts w:ascii="Verdana" w:hAnsi="Verdana"/>
          <w:sz w:val="16"/>
          <w:szCs w:val="16"/>
          <w:lang w:val="es-ES"/>
        </w:rPr>
      </w:pPr>
      <w:r w:rsidRPr="00F66432">
        <w:rPr>
          <w:rStyle w:val="Refdenotaalpie"/>
          <w:rFonts w:ascii="Verdana" w:hAnsi="Verdana"/>
          <w:sz w:val="16"/>
          <w:szCs w:val="16"/>
        </w:rPr>
        <w:footnoteRef/>
      </w:r>
      <w:r w:rsidRPr="00F66432">
        <w:rPr>
          <w:rFonts w:ascii="Verdana" w:hAnsi="Verdana"/>
          <w:sz w:val="16"/>
          <w:szCs w:val="16"/>
        </w:rPr>
        <w:t xml:space="preserve"> </w:t>
      </w:r>
      <w:r w:rsidRPr="00F66432">
        <w:rPr>
          <w:rFonts w:ascii="Verdana" w:hAnsi="Verdana"/>
          <w:sz w:val="16"/>
          <w:szCs w:val="16"/>
          <w:lang w:val="es-ES"/>
        </w:rPr>
        <w:t>Consejo de Estado. S</w:t>
      </w:r>
      <w:r>
        <w:rPr>
          <w:rFonts w:ascii="Verdana" w:hAnsi="Verdana"/>
          <w:sz w:val="16"/>
          <w:szCs w:val="16"/>
          <w:lang w:val="es-ES"/>
        </w:rPr>
        <w:t>a</w:t>
      </w:r>
      <w:r w:rsidRPr="00F66432">
        <w:rPr>
          <w:rFonts w:ascii="Verdana" w:hAnsi="Verdana"/>
          <w:sz w:val="16"/>
          <w:szCs w:val="16"/>
          <w:lang w:val="es-ES"/>
        </w:rPr>
        <w:t xml:space="preserve">la de Consulta y Servicio Civil. Concepto del 10 de septiembre de 1998. Radicado: 1141. C.P: Augusto Trejos Jaramillo. </w:t>
      </w:r>
    </w:p>
    <w:p w14:paraId="51C5B031" w14:textId="77777777" w:rsidR="00AC19DA" w:rsidRPr="00F66432" w:rsidRDefault="00AC19DA" w:rsidP="00AC19DA">
      <w:pPr>
        <w:pStyle w:val="Textonotapie"/>
        <w:ind w:firstLine="709"/>
        <w:jc w:val="both"/>
        <w:rPr>
          <w:rFonts w:ascii="Verdana" w:hAnsi="Verdana"/>
          <w:sz w:val="16"/>
          <w:szCs w:val="16"/>
          <w:lang w:val="es-ES"/>
        </w:rPr>
      </w:pPr>
    </w:p>
  </w:footnote>
  <w:footnote w:id="27">
    <w:p w14:paraId="280537F8" w14:textId="77777777" w:rsidR="00AC19DA" w:rsidRDefault="00AC19DA" w:rsidP="00AC19DA">
      <w:pPr>
        <w:pStyle w:val="Textonotapie"/>
        <w:ind w:firstLine="709"/>
        <w:jc w:val="both"/>
        <w:rPr>
          <w:rFonts w:ascii="Verdana" w:hAnsi="Verdana"/>
          <w:sz w:val="16"/>
          <w:szCs w:val="16"/>
          <w:lang w:val="es-ES"/>
        </w:rPr>
      </w:pPr>
      <w:r w:rsidRPr="00091F9F">
        <w:rPr>
          <w:rStyle w:val="Refdenotaalpie"/>
          <w:rFonts w:ascii="Verdana" w:hAnsi="Verdana"/>
          <w:sz w:val="16"/>
          <w:szCs w:val="16"/>
        </w:rPr>
        <w:footnoteRef/>
      </w:r>
      <w:r w:rsidRPr="00091F9F">
        <w:rPr>
          <w:rFonts w:ascii="Verdana" w:hAnsi="Verdana"/>
          <w:sz w:val="16"/>
          <w:szCs w:val="16"/>
        </w:rPr>
        <w:t xml:space="preserve"> </w:t>
      </w:r>
      <w:r w:rsidRPr="00091F9F">
        <w:rPr>
          <w:rFonts w:ascii="Verdana" w:hAnsi="Verdana"/>
          <w:sz w:val="16"/>
          <w:szCs w:val="16"/>
          <w:lang w:val="es-ES"/>
        </w:rPr>
        <w:t>“por el cual se dictan normas para la correcta implementación del Acto Legislativo 04 de 2019 y el fortalecimiento del control fiscal</w:t>
      </w:r>
      <w:r>
        <w:rPr>
          <w:rFonts w:ascii="Verdana" w:hAnsi="Verdana"/>
          <w:sz w:val="16"/>
          <w:szCs w:val="16"/>
          <w:lang w:val="es-ES"/>
        </w:rPr>
        <w:t>”</w:t>
      </w:r>
      <w:r w:rsidRPr="00091F9F">
        <w:rPr>
          <w:rFonts w:ascii="Verdana" w:hAnsi="Verdana"/>
          <w:sz w:val="16"/>
          <w:szCs w:val="16"/>
          <w:lang w:val="es-ES"/>
        </w:rPr>
        <w:t>.</w:t>
      </w:r>
    </w:p>
    <w:p w14:paraId="6B40FBB5" w14:textId="77777777" w:rsidR="00AC19DA" w:rsidRPr="00091F9F" w:rsidRDefault="00AC19DA" w:rsidP="00AC19DA">
      <w:pPr>
        <w:pStyle w:val="Textonotapie"/>
        <w:ind w:firstLine="709"/>
        <w:jc w:val="both"/>
        <w:rPr>
          <w:rFonts w:ascii="Verdana" w:hAnsi="Verdana"/>
          <w:sz w:val="16"/>
          <w:szCs w:val="16"/>
          <w:lang w:val="es-ES"/>
        </w:rPr>
      </w:pPr>
    </w:p>
  </w:footnote>
  <w:footnote w:id="28">
    <w:p w14:paraId="37054E0F" w14:textId="77777777" w:rsidR="00AC19DA" w:rsidRDefault="00AC19DA" w:rsidP="00AC19DA">
      <w:pPr>
        <w:pStyle w:val="Textonotapie"/>
        <w:ind w:firstLine="709"/>
        <w:jc w:val="both"/>
        <w:rPr>
          <w:rFonts w:ascii="Verdana" w:hAnsi="Verdana"/>
          <w:sz w:val="16"/>
          <w:szCs w:val="16"/>
          <w:lang w:val="es-CO"/>
        </w:rPr>
      </w:pPr>
      <w:r w:rsidRPr="00521458">
        <w:rPr>
          <w:rStyle w:val="Refdenotaalpie"/>
          <w:rFonts w:ascii="Verdana" w:hAnsi="Verdana"/>
          <w:sz w:val="16"/>
          <w:szCs w:val="16"/>
        </w:rPr>
        <w:footnoteRef/>
      </w:r>
      <w:r w:rsidRPr="00521458">
        <w:rPr>
          <w:rFonts w:ascii="Verdana" w:hAnsi="Verdana"/>
          <w:sz w:val="16"/>
          <w:szCs w:val="16"/>
        </w:rPr>
        <w:t xml:space="preserve"> </w:t>
      </w:r>
      <w:r w:rsidRPr="00521458">
        <w:rPr>
          <w:rFonts w:ascii="Verdana" w:hAnsi="Verdana"/>
          <w:sz w:val="16"/>
          <w:szCs w:val="16"/>
          <w:lang w:val="es-CO"/>
        </w:rPr>
        <w:t>Es la función pública de vigilancia de la gestión fiscal de la administración y de los particulares o entidades que manejen fondos o bienes públicos, que ejercen los órganos de control fiscal de manera autónoma e independiente de cualquier otra forma de inspección y vigilancia administrativa. Consiste en observar el desarrollo o ejecución de los procesos o toma de decisiones de los sujetos de control, sin intervenir en aquellos o tener injerencia en estas, así como con posterioridad al ejercicio de la gestión fiscal, con el fin de obtener información útil para realizar el control fiscal.</w:t>
      </w:r>
    </w:p>
    <w:p w14:paraId="6190604D" w14:textId="77777777" w:rsidR="00AC19DA" w:rsidRPr="00521458" w:rsidRDefault="00AC19DA" w:rsidP="00AC19DA">
      <w:pPr>
        <w:pStyle w:val="Textonotapie"/>
        <w:ind w:firstLine="709"/>
        <w:jc w:val="both"/>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425CC"/>
    <w:multiLevelType w:val="hybridMultilevel"/>
    <w:tmpl w:val="C7D6E1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8"/>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2096783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E345D"/>
    <w:rsid w:val="000F6486"/>
    <w:rsid w:val="00104F5A"/>
    <w:rsid w:val="00116940"/>
    <w:rsid w:val="00116B4B"/>
    <w:rsid w:val="00125105"/>
    <w:rsid w:val="00127233"/>
    <w:rsid w:val="0015699B"/>
    <w:rsid w:val="001A33BF"/>
    <w:rsid w:val="001E4177"/>
    <w:rsid w:val="001F0B24"/>
    <w:rsid w:val="001F7DC6"/>
    <w:rsid w:val="0022400B"/>
    <w:rsid w:val="002421BB"/>
    <w:rsid w:val="0025796E"/>
    <w:rsid w:val="0026215B"/>
    <w:rsid w:val="002707A2"/>
    <w:rsid w:val="002776FD"/>
    <w:rsid w:val="002951A0"/>
    <w:rsid w:val="002962BC"/>
    <w:rsid w:val="002A093D"/>
    <w:rsid w:val="002A0DD0"/>
    <w:rsid w:val="002A36C0"/>
    <w:rsid w:val="002A49AC"/>
    <w:rsid w:val="002A64FD"/>
    <w:rsid w:val="002C7A84"/>
    <w:rsid w:val="002E2BF8"/>
    <w:rsid w:val="002E4FD9"/>
    <w:rsid w:val="0030657A"/>
    <w:rsid w:val="00322A85"/>
    <w:rsid w:val="00324168"/>
    <w:rsid w:val="00330834"/>
    <w:rsid w:val="00331562"/>
    <w:rsid w:val="003448F4"/>
    <w:rsid w:val="00374F5E"/>
    <w:rsid w:val="00377E3E"/>
    <w:rsid w:val="003A779E"/>
    <w:rsid w:val="003D0F4D"/>
    <w:rsid w:val="003D5B0D"/>
    <w:rsid w:val="003E0499"/>
    <w:rsid w:val="003E4F80"/>
    <w:rsid w:val="003E6439"/>
    <w:rsid w:val="003E6B99"/>
    <w:rsid w:val="003F3941"/>
    <w:rsid w:val="00406575"/>
    <w:rsid w:val="00414C74"/>
    <w:rsid w:val="0042061F"/>
    <w:rsid w:val="0042722E"/>
    <w:rsid w:val="0044528D"/>
    <w:rsid w:val="00462D91"/>
    <w:rsid w:val="00466E39"/>
    <w:rsid w:val="0047576B"/>
    <w:rsid w:val="004A1847"/>
    <w:rsid w:val="004A305D"/>
    <w:rsid w:val="004A3120"/>
    <w:rsid w:val="004F21C4"/>
    <w:rsid w:val="004F685F"/>
    <w:rsid w:val="005566E8"/>
    <w:rsid w:val="00566467"/>
    <w:rsid w:val="00574867"/>
    <w:rsid w:val="00591460"/>
    <w:rsid w:val="005A65E0"/>
    <w:rsid w:val="005C3777"/>
    <w:rsid w:val="005C5CDC"/>
    <w:rsid w:val="005D476C"/>
    <w:rsid w:val="006200BF"/>
    <w:rsid w:val="006219F8"/>
    <w:rsid w:val="006302F7"/>
    <w:rsid w:val="00646B9F"/>
    <w:rsid w:val="00665D70"/>
    <w:rsid w:val="006900D9"/>
    <w:rsid w:val="00706C16"/>
    <w:rsid w:val="0071621D"/>
    <w:rsid w:val="007340C3"/>
    <w:rsid w:val="0075235A"/>
    <w:rsid w:val="00756841"/>
    <w:rsid w:val="007649AB"/>
    <w:rsid w:val="007667D0"/>
    <w:rsid w:val="00771D0C"/>
    <w:rsid w:val="007833AC"/>
    <w:rsid w:val="007B268C"/>
    <w:rsid w:val="007B7171"/>
    <w:rsid w:val="007C0C0F"/>
    <w:rsid w:val="007C3DC2"/>
    <w:rsid w:val="007E5497"/>
    <w:rsid w:val="007F06BF"/>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E7615"/>
    <w:rsid w:val="009F3A13"/>
    <w:rsid w:val="00A122D3"/>
    <w:rsid w:val="00A14468"/>
    <w:rsid w:val="00A17F13"/>
    <w:rsid w:val="00A20739"/>
    <w:rsid w:val="00A23AF9"/>
    <w:rsid w:val="00A33C78"/>
    <w:rsid w:val="00AB0ADB"/>
    <w:rsid w:val="00AC19DA"/>
    <w:rsid w:val="00AE580C"/>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D5C9D"/>
    <w:rsid w:val="00DF5254"/>
    <w:rsid w:val="00E02524"/>
    <w:rsid w:val="00E16408"/>
    <w:rsid w:val="00E20894"/>
    <w:rsid w:val="00E245AB"/>
    <w:rsid w:val="00E2764C"/>
    <w:rsid w:val="00E27F2E"/>
    <w:rsid w:val="00E50AFE"/>
    <w:rsid w:val="00E75C92"/>
    <w:rsid w:val="00E771DC"/>
    <w:rsid w:val="00E82924"/>
    <w:rsid w:val="00E8772A"/>
    <w:rsid w:val="00E90F6B"/>
    <w:rsid w:val="00E92C27"/>
    <w:rsid w:val="00EA0E3D"/>
    <w:rsid w:val="00EC24CC"/>
    <w:rsid w:val="00EC38A7"/>
    <w:rsid w:val="00EE1AA8"/>
    <w:rsid w:val="00F23FEA"/>
    <w:rsid w:val="00F31EDC"/>
    <w:rsid w:val="00F462B3"/>
    <w:rsid w:val="00F5664F"/>
    <w:rsid w:val="00F666C4"/>
    <w:rsid w:val="00F76AFC"/>
    <w:rsid w:val="00F822C1"/>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274B74A"/>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E7615"/>
    <w:rPr>
      <w:rFonts w:ascii="Geomanist Light" w:hAnsi="Geomanist Light"/>
      <w:lang w:val="es-ES"/>
    </w:rPr>
  </w:style>
  <w:style w:type="paragraph" w:customStyle="1" w:styleId="Appelnotedebasde">
    <w:name w:val="Appel note de bas de..."/>
    <w:basedOn w:val="Normal"/>
    <w:link w:val="Refdenotaalpie"/>
    <w:uiPriority w:val="99"/>
    <w:rsid w:val="009E7615"/>
    <w:pPr>
      <w:spacing w:line="240" w:lineRule="exact"/>
    </w:pPr>
    <w:rPr>
      <w:vertAlign w:val="superscript"/>
    </w:rPr>
  </w:style>
  <w:style w:type="character" w:customStyle="1" w:styleId="NormalWebCar">
    <w:name w:val="Normal (Web) Car"/>
    <w:link w:val="NormalWeb"/>
    <w:uiPriority w:val="99"/>
    <w:rsid w:val="00AC19DA"/>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isanabriab@contraloriageneraldecaldas.gov.co"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colombiacompra.gov.co/pqrsd/informacion-importante-antes-de-formular-una-pqrs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go.vlex.com/vid/60004013?fbt=webapp_preview&amp;addon_version=6.9" TargetMode="External"/><Relationship Id="rId2" Type="http://schemas.openxmlformats.org/officeDocument/2006/relationships/hyperlink" Target="https://www.funcionpublica.gov.co/eva/gestornormativo/norma.php?i=233" TargetMode="External"/><Relationship Id="rId1" Type="http://schemas.openxmlformats.org/officeDocument/2006/relationships/hyperlink" Target="https://www.funcionpublica.gov.co/eva/gestornormativo/norma.php?i=201" TargetMode="External"/><Relationship Id="rId4" Type="http://schemas.openxmlformats.org/officeDocument/2006/relationships/hyperlink" Target="https://normas.cra.gov.co/gestor/docs/concepto_superservicios_0000169_202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ACCC62FE-CCC4-49AC-9F4E-227F5B23DD57}"/>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32</TotalTime>
  <Pages>42</Pages>
  <Words>14090</Words>
  <Characters>77501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Esperanza Contreras Pedreros</cp:lastModifiedBy>
  <cp:revision>4</cp:revision>
  <cp:lastPrinted>2023-01-10T21:18:00Z</cp:lastPrinted>
  <dcterms:created xsi:type="dcterms:W3CDTF">2026-07-28T01:11:00Z</dcterms:created>
  <dcterms:modified xsi:type="dcterms:W3CDTF">2026-07-30T00:17:00Z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