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C49B4" w14:textId="77777777" w:rsidR="002B6154" w:rsidRPr="002B6154" w:rsidRDefault="002B6154" w:rsidP="002B6154">
      <w:pPr>
        <w:spacing w:after="0" w:line="276" w:lineRule="auto"/>
        <w:jc w:val="both"/>
        <w:rPr>
          <w:rFonts w:ascii="Verdana" w:eastAsia="Calibri" w:hAnsi="Verdana" w:cs="Times New Roman"/>
          <w:lang w:eastAsia="es-MX"/>
        </w:rPr>
      </w:pPr>
      <w:bookmarkStart w:id="0" w:name="_Hlk143780582"/>
      <w:r w:rsidRPr="002B6154">
        <w:rPr>
          <w:rFonts w:ascii="Verdana" w:eastAsia="Calibri" w:hAnsi="Verdana" w:cs="Arial"/>
          <w:b/>
          <w:bCs/>
          <w:lang w:val="es-ES_tradnl" w:eastAsia="es-ES"/>
        </w:rPr>
        <w:t xml:space="preserve">DOCUMENTOS TIPO – Generalidades – </w:t>
      </w:r>
      <w:r w:rsidRPr="002B6154">
        <w:rPr>
          <w:rFonts w:ascii="Verdana" w:eastAsia="Aptos" w:hAnsi="Verdana" w:cs="Times New Roman"/>
          <w:b/>
          <w:bCs/>
          <w:lang w:val="es-ES_tradnl" w:eastAsia="es-ES"/>
        </w:rPr>
        <w:t xml:space="preserve">Obligatoriedad </w:t>
      </w:r>
    </w:p>
    <w:p w14:paraId="55247B12" w14:textId="77777777" w:rsidR="002B6154" w:rsidRPr="002B6154" w:rsidRDefault="002B6154" w:rsidP="002B6154">
      <w:pPr>
        <w:snapToGrid w:val="0"/>
        <w:spacing w:after="0" w:line="240" w:lineRule="auto"/>
        <w:jc w:val="both"/>
        <w:rPr>
          <w:rFonts w:ascii="Verdana" w:eastAsia="Calibri" w:hAnsi="Verdana" w:cs="Arial"/>
          <w:b/>
          <w:bCs/>
          <w:lang w:val="es-ES_tradnl" w:eastAsia="es-ES"/>
        </w:rPr>
      </w:pPr>
    </w:p>
    <w:p w14:paraId="739244F7" w14:textId="77777777" w:rsidR="002B6154" w:rsidRPr="002B6154" w:rsidRDefault="002B6154" w:rsidP="002B6154">
      <w:pPr>
        <w:snapToGrid w:val="0"/>
        <w:spacing w:after="0" w:line="240" w:lineRule="auto"/>
        <w:jc w:val="both"/>
        <w:rPr>
          <w:rFonts w:ascii="Verdana" w:eastAsia="Calibri" w:hAnsi="Verdana" w:cs="Arial"/>
          <w:sz w:val="20"/>
          <w:szCs w:val="20"/>
          <w:lang w:val="es-ES_tradnl" w:eastAsia="es-MX"/>
        </w:rPr>
      </w:pPr>
      <w:r w:rsidRPr="002B6154">
        <w:rPr>
          <w:rFonts w:ascii="Verdana" w:eastAsia="Calibri" w:hAnsi="Verdana" w:cs="Arial"/>
          <w:sz w:val="20"/>
          <w:szCs w:val="20"/>
          <w:lang w:val="es-ES_tradnl" w:eastAsia="es-MX"/>
        </w:rPr>
        <w:t xml:space="preserve">Los Documentos Tipo expedidos por esta Agencia en ejercicio de la potestad otorgada por la Ley 2022 de 2020 son de obligatoria observancia por parte de las Entidades Estatales sometidas al Estatuto General de Contratación de la Administración Pública –EGCAP–. Debido a esto, tales entidades deben aplicar de manera forzosa los Documentos Tipo para desarrollar los Procesos de Contratación en los objetos y modalidades cobijadas por los Documentos Tipo. </w:t>
      </w:r>
    </w:p>
    <w:p w14:paraId="4D6CB95B" w14:textId="77777777" w:rsidR="002B6154" w:rsidRPr="002B6154" w:rsidRDefault="002B6154" w:rsidP="002B6154">
      <w:pPr>
        <w:snapToGrid w:val="0"/>
        <w:spacing w:after="0" w:line="240" w:lineRule="auto"/>
        <w:jc w:val="both"/>
        <w:rPr>
          <w:rFonts w:ascii="Verdana" w:eastAsia="Calibri" w:hAnsi="Verdana" w:cs="Arial"/>
          <w:sz w:val="20"/>
          <w:szCs w:val="20"/>
          <w:lang w:val="es-ES_tradnl" w:eastAsia="es-MX"/>
        </w:rPr>
      </w:pPr>
    </w:p>
    <w:p w14:paraId="5F0FBB0A" w14:textId="77777777" w:rsidR="002B6154" w:rsidRPr="002B6154" w:rsidRDefault="002B6154" w:rsidP="002B6154">
      <w:pPr>
        <w:spacing w:after="0" w:line="240" w:lineRule="auto"/>
        <w:jc w:val="both"/>
        <w:rPr>
          <w:rFonts w:ascii="Verdana" w:eastAsia="Calibri" w:hAnsi="Verdana" w:cs="Arial"/>
          <w:b/>
          <w:bCs/>
          <w:kern w:val="2"/>
          <w:lang w:val="es-ES_tradnl"/>
          <w14:ligatures w14:val="standardContextual"/>
        </w:rPr>
      </w:pPr>
      <w:r w:rsidRPr="002B6154">
        <w:rPr>
          <w:rFonts w:ascii="Verdana" w:eastAsia="Calibri" w:hAnsi="Verdana" w:cs="Arial"/>
          <w:b/>
          <w:bCs/>
          <w:kern w:val="2"/>
          <w:lang w:val="es-ES_tradnl"/>
          <w14:ligatures w14:val="standardContextual"/>
        </w:rPr>
        <w:t>DOCUMENTOS TIPO – Infraestructura social – Sector educativo – Salud, – Cultura, recreación y deporte – Institucional –Vivienda</w:t>
      </w:r>
    </w:p>
    <w:p w14:paraId="79874672" w14:textId="77777777" w:rsidR="002B6154" w:rsidRPr="002B6154" w:rsidRDefault="002B6154" w:rsidP="002B6154">
      <w:pPr>
        <w:snapToGrid w:val="0"/>
        <w:spacing w:after="0" w:line="240" w:lineRule="auto"/>
        <w:jc w:val="both"/>
        <w:rPr>
          <w:rFonts w:ascii="Verdana" w:eastAsia="Calibri" w:hAnsi="Verdana" w:cs="Arial"/>
          <w:sz w:val="20"/>
          <w:szCs w:val="20"/>
          <w:lang w:val="es-ES_tradnl" w:eastAsia="es-MX"/>
        </w:rPr>
      </w:pPr>
    </w:p>
    <w:p w14:paraId="55A67F1F" w14:textId="77777777" w:rsidR="002B6154" w:rsidRPr="002B6154" w:rsidRDefault="002B6154" w:rsidP="002B6154">
      <w:pPr>
        <w:widowControl w:val="0"/>
        <w:autoSpaceDE w:val="0"/>
        <w:autoSpaceDN w:val="0"/>
        <w:snapToGrid w:val="0"/>
        <w:spacing w:after="0" w:line="240" w:lineRule="auto"/>
        <w:jc w:val="both"/>
        <w:rPr>
          <w:rFonts w:ascii="Verdana" w:eastAsia="Calibri" w:hAnsi="Verdana" w:cs="Arial"/>
          <w:sz w:val="20"/>
          <w:szCs w:val="20"/>
          <w:lang w:val="es-ES" w:eastAsia="es-MX"/>
        </w:rPr>
      </w:pPr>
      <w:r w:rsidRPr="002B6154">
        <w:rPr>
          <w:rFonts w:ascii="Verdana" w:eastAsia="Aptos" w:hAnsi="Verdana" w:cs="Times New Roman"/>
          <w:sz w:val="20"/>
          <w:szCs w:val="20"/>
          <w:lang w:eastAsia="es-MX"/>
        </w:rPr>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p>
    <w:p w14:paraId="6F679DE7" w14:textId="77777777" w:rsidR="002B6154" w:rsidRPr="002B6154" w:rsidRDefault="002B6154" w:rsidP="002B6154">
      <w:pPr>
        <w:shd w:val="clear" w:color="auto" w:fill="FFFFFF"/>
        <w:spacing w:after="0" w:line="276" w:lineRule="auto"/>
        <w:ind w:right="709"/>
        <w:jc w:val="both"/>
        <w:textAlignment w:val="baseline"/>
        <w:rPr>
          <w:rFonts w:ascii="Aptos" w:eastAsia="Aptos" w:hAnsi="Aptos" w:cs="Times New Roman"/>
          <w:lang w:val="es-ES"/>
        </w:rPr>
      </w:pPr>
    </w:p>
    <w:p w14:paraId="7521985B" w14:textId="77777777" w:rsidR="002B6154" w:rsidRPr="002B6154" w:rsidRDefault="002B6154" w:rsidP="002B6154">
      <w:pPr>
        <w:spacing w:after="0" w:line="276" w:lineRule="auto"/>
        <w:jc w:val="both"/>
        <w:rPr>
          <w:rFonts w:ascii="Verdana" w:eastAsia="Calibri" w:hAnsi="Verdana" w:cs="Times New Roman"/>
          <w:kern w:val="2"/>
          <w:lang w:val="es-ES"/>
          <w14:ligatures w14:val="standardContextual"/>
        </w:rPr>
      </w:pPr>
      <w:r w:rsidRPr="002B6154">
        <w:rPr>
          <w:rFonts w:ascii="Verdana" w:eastAsia="Calibri" w:hAnsi="Verdana" w:cs="Times New Roman"/>
          <w:b/>
          <w:bCs/>
          <w:kern w:val="2"/>
          <w:lang w:val="es-ES"/>
          <w14:ligatures w14:val="standardContextual"/>
        </w:rPr>
        <w:t xml:space="preserve">DOCUMENTOS TIPO – Aplicación – Matriz de Experiencia </w:t>
      </w:r>
    </w:p>
    <w:p w14:paraId="24DEDB6A" w14:textId="77777777" w:rsidR="002B6154" w:rsidRPr="002B6154" w:rsidRDefault="002B6154" w:rsidP="002B6154">
      <w:pPr>
        <w:spacing w:after="0" w:line="240" w:lineRule="auto"/>
        <w:rPr>
          <w:rFonts w:ascii="Verdana" w:eastAsia="Geomanist Light" w:hAnsi="Verdana" w:cs="Arial"/>
          <w:kern w:val="2"/>
          <w:sz w:val="24"/>
          <w:szCs w:val="24"/>
          <w:lang w:val="es-MX"/>
          <w14:ligatures w14:val="standardContextual"/>
        </w:rPr>
      </w:pPr>
    </w:p>
    <w:p w14:paraId="14942AD5" w14:textId="77777777" w:rsidR="002B6154" w:rsidRPr="002B6154" w:rsidRDefault="002B6154" w:rsidP="002B6154">
      <w:pPr>
        <w:widowControl w:val="0"/>
        <w:autoSpaceDE w:val="0"/>
        <w:autoSpaceDN w:val="0"/>
        <w:spacing w:after="0" w:line="240" w:lineRule="auto"/>
        <w:jc w:val="both"/>
        <w:rPr>
          <w:rFonts w:ascii="Verdana" w:eastAsia="Calibri" w:hAnsi="Verdana" w:cs="Times New Roman"/>
          <w:kern w:val="2"/>
          <w:sz w:val="20"/>
          <w:szCs w:val="20"/>
          <w:lang w:val="es-ES"/>
          <w14:ligatures w14:val="standardContextual"/>
        </w:rPr>
      </w:pPr>
      <w:r w:rsidRPr="002B6154">
        <w:rPr>
          <w:rFonts w:ascii="Verdana" w:eastAsia="Calibri" w:hAnsi="Verdana" w:cs="Times New Roman"/>
          <w:kern w:val="2"/>
          <w:sz w:val="20"/>
          <w:szCs w:val="20"/>
          <w:lang w:val="es-ES"/>
          <w14:ligatures w14:val="standardContextual"/>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133BDF22" w14:textId="77777777" w:rsidR="002B6154" w:rsidRPr="002B6154" w:rsidRDefault="002B6154" w:rsidP="002B6154">
      <w:pPr>
        <w:widowControl w:val="0"/>
        <w:autoSpaceDE w:val="0"/>
        <w:autoSpaceDN w:val="0"/>
        <w:spacing w:after="0" w:line="240" w:lineRule="auto"/>
        <w:jc w:val="both"/>
        <w:rPr>
          <w:rFonts w:ascii="Verdana" w:eastAsia="Calibri" w:hAnsi="Verdana" w:cs="Times New Roman"/>
          <w:kern w:val="2"/>
          <w:sz w:val="20"/>
          <w:szCs w:val="20"/>
          <w:lang w:val="es-ES"/>
          <w14:ligatures w14:val="standardContextual"/>
        </w:rPr>
      </w:pPr>
    </w:p>
    <w:p w14:paraId="7AEBE634" w14:textId="77777777" w:rsidR="002B6154" w:rsidRPr="002B6154" w:rsidRDefault="002B6154" w:rsidP="002B6154">
      <w:pPr>
        <w:widowControl w:val="0"/>
        <w:autoSpaceDE w:val="0"/>
        <w:autoSpaceDN w:val="0"/>
        <w:spacing w:after="0" w:line="240" w:lineRule="auto"/>
        <w:jc w:val="both"/>
        <w:rPr>
          <w:rFonts w:ascii="Verdana" w:eastAsia="Calibri" w:hAnsi="Verdana" w:cs="Times New Roman"/>
          <w:kern w:val="2"/>
          <w:sz w:val="20"/>
          <w:szCs w:val="20"/>
          <w:lang w:val="es-ES"/>
          <w14:ligatures w14:val="standardContextual"/>
        </w:rPr>
      </w:pPr>
      <w:r w:rsidRPr="002B6154">
        <w:rPr>
          <w:rFonts w:ascii="Verdana" w:eastAsia="Calibri" w:hAnsi="Verdana" w:cs="Times New Roman"/>
          <w:kern w:val="2"/>
          <w:sz w:val="20"/>
          <w:szCs w:val="20"/>
          <w:lang w:val="es-ES"/>
          <w14:ligatures w14:val="standardContextual"/>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46EB4456" w14:textId="77777777" w:rsidR="002B6154" w:rsidRPr="002B6154" w:rsidRDefault="002B6154" w:rsidP="002B6154">
      <w:pPr>
        <w:shd w:val="clear" w:color="auto" w:fill="FFFFFF"/>
        <w:spacing w:after="0" w:line="276" w:lineRule="auto"/>
        <w:ind w:right="709"/>
        <w:jc w:val="both"/>
        <w:textAlignment w:val="baseline"/>
        <w:rPr>
          <w:rFonts w:ascii="Aptos" w:eastAsia="Aptos" w:hAnsi="Aptos" w:cs="Times New Roman"/>
          <w:lang w:val="es-ES"/>
        </w:rPr>
      </w:pPr>
    </w:p>
    <w:p w14:paraId="4AA98337" w14:textId="77777777" w:rsidR="002B6154" w:rsidRPr="002B6154" w:rsidRDefault="002B6154" w:rsidP="002B6154">
      <w:pPr>
        <w:spacing w:after="0" w:line="240" w:lineRule="auto"/>
        <w:jc w:val="both"/>
        <w:rPr>
          <w:rFonts w:ascii="Verdana" w:eastAsia="Calibri" w:hAnsi="Verdana" w:cs="Arial"/>
          <w:b/>
          <w:bCs/>
          <w:kern w:val="2"/>
          <w:lang w:val="es-ES_tradnl"/>
          <w14:ligatures w14:val="standardContextual"/>
        </w:rPr>
      </w:pPr>
      <w:r w:rsidRPr="002B6154">
        <w:rPr>
          <w:rFonts w:ascii="Verdana" w:eastAsia="Calibri" w:hAnsi="Verdana" w:cs="Arial"/>
          <w:b/>
          <w:bCs/>
          <w:kern w:val="2"/>
          <w:lang w:val="es-ES_tradnl"/>
          <w14:ligatures w14:val="standardContextual"/>
        </w:rPr>
        <w:t>SECTOR CULTURA, RECREACIÓN Y DEPORTE – Documentos tipo – Aplicación –Matriz 1 – Experiencia</w:t>
      </w:r>
    </w:p>
    <w:p w14:paraId="641BA501" w14:textId="77777777" w:rsidR="002B6154" w:rsidRPr="002B6154" w:rsidRDefault="002B6154" w:rsidP="002B6154">
      <w:pPr>
        <w:spacing w:after="0" w:line="240" w:lineRule="auto"/>
        <w:jc w:val="both"/>
        <w:rPr>
          <w:rFonts w:ascii="Verdana" w:eastAsia="Calibri" w:hAnsi="Verdana" w:cs="Arial"/>
          <w:b/>
          <w:bCs/>
          <w:kern w:val="2"/>
          <w:lang w:val="es-ES_tradnl"/>
          <w14:ligatures w14:val="standardContextual"/>
        </w:rPr>
      </w:pPr>
    </w:p>
    <w:p w14:paraId="1395F0E8" w14:textId="77777777" w:rsidR="002B6154" w:rsidRPr="002B6154" w:rsidRDefault="002B6154" w:rsidP="002B6154">
      <w:pPr>
        <w:spacing w:after="0" w:line="276" w:lineRule="auto"/>
        <w:jc w:val="both"/>
        <w:rPr>
          <w:rFonts w:ascii="Verdana" w:eastAsia="Calibri" w:hAnsi="Verdana" w:cs="Times New Roman"/>
          <w:kern w:val="2"/>
          <w:sz w:val="20"/>
          <w:szCs w:val="20"/>
          <w:lang w:val="es-ES" w:eastAsia="es-MX"/>
          <w14:ligatures w14:val="standardContextual"/>
        </w:rPr>
      </w:pPr>
      <w:r w:rsidRPr="002B6154">
        <w:rPr>
          <w:rFonts w:ascii="Verdana" w:eastAsia="Calibri" w:hAnsi="Verdana" w:cs="Times New Roman"/>
          <w:kern w:val="2"/>
          <w:sz w:val="20"/>
          <w:szCs w:val="20"/>
          <w:lang w:val="es-ES" w:eastAsia="es-MX"/>
          <w14:ligatures w14:val="standardContextual"/>
        </w:rPr>
        <w:t xml:space="preserve">El artículo 14 de la Resolución 539 del 21 de agosto de 2025, y el artículo 13 de las Resoluciones 540 y 541 del 21 de agosto de 2025, adoptan los documentos tipo </w:t>
      </w:r>
      <w:r w:rsidRPr="002B6154">
        <w:rPr>
          <w:rFonts w:ascii="Verdana" w:eastAsia="Calibri" w:hAnsi="Verdana" w:cs="Times New Roman"/>
          <w:kern w:val="2"/>
          <w:sz w:val="20"/>
          <w:szCs w:val="20"/>
          <w:lang w:val="es-ES" w:eastAsia="es-MX"/>
          <w14:ligatures w14:val="standardContextual"/>
        </w:rPr>
        <w:lastRenderedPageBreak/>
        <w:t xml:space="preserve">complementarios para los procesos de infraestructura social relacionados con el Sector Cultura, recreación y deporte -según la modalidad que corresponda-. De acuerdo con el parágrafo segundo de los artículos 15 y 14 de las citadas resoluciones, estos documentos aplican a los procesos contractuales que correspondan a las actividades definidas en la Matriz 1 – Experiencia del Sector Cultura, recreación y deporte. </w:t>
      </w:r>
    </w:p>
    <w:p w14:paraId="7A47AA14" w14:textId="77777777" w:rsidR="002B6154" w:rsidRPr="002B6154" w:rsidRDefault="002B6154" w:rsidP="002B6154">
      <w:pPr>
        <w:spacing w:after="0" w:line="276" w:lineRule="auto"/>
        <w:jc w:val="both"/>
        <w:rPr>
          <w:rFonts w:ascii="Verdana" w:eastAsia="Calibri" w:hAnsi="Verdana" w:cs="Times New Roman"/>
          <w:kern w:val="2"/>
          <w:sz w:val="20"/>
          <w:szCs w:val="20"/>
          <w:lang w:val="es-ES" w:eastAsia="es-MX"/>
          <w14:ligatures w14:val="standardContextual"/>
        </w:rPr>
      </w:pPr>
    </w:p>
    <w:p w14:paraId="2A54AB24" w14:textId="77777777" w:rsidR="002B6154" w:rsidRPr="002B6154" w:rsidRDefault="002B6154" w:rsidP="002B6154">
      <w:pPr>
        <w:spacing w:after="0" w:line="276" w:lineRule="auto"/>
        <w:jc w:val="both"/>
        <w:rPr>
          <w:rFonts w:ascii="Verdana" w:eastAsia="Aptos" w:hAnsi="Verdana" w:cs="Times New Roman"/>
          <w:kern w:val="2"/>
          <w:sz w:val="20"/>
          <w:szCs w:val="20"/>
          <w14:ligatures w14:val="standardContextual"/>
        </w:rPr>
      </w:pPr>
      <w:r w:rsidRPr="002B6154">
        <w:rPr>
          <w:rFonts w:ascii="Verdana" w:eastAsia="Calibri" w:hAnsi="Verdana" w:cs="Times New Roman"/>
          <w:kern w:val="2"/>
          <w:sz w:val="20"/>
          <w:szCs w:val="20"/>
          <w:lang w:val="es-ES" w:eastAsia="es-MX"/>
          <w14:ligatures w14:val="standardContextual"/>
        </w:rPr>
        <w:t xml:space="preserve">La Matriz 1 – Experiencia del Sector Cultura, recreación y deporte, </w:t>
      </w:r>
      <w:r w:rsidRPr="002B6154">
        <w:rPr>
          <w:rFonts w:ascii="Verdana" w:eastAsia="Times New Roman" w:hAnsi="Verdana" w:cs="Times New Roman"/>
          <w:color w:val="000000"/>
          <w:kern w:val="2"/>
          <w:sz w:val="20"/>
          <w:szCs w:val="20"/>
          <w:lang w:eastAsia="es-CO"/>
          <w14:ligatures w14:val="standardContextual"/>
        </w:rPr>
        <w:t xml:space="preserve">en la modalidad de licitación pública, selección abreviada de menor cuantía y mínima cuantía dispone de los siguientes cinco (5) tipos de infraestructura: </w:t>
      </w:r>
      <w:r w:rsidRPr="002B6154">
        <w:rPr>
          <w:rFonts w:ascii="Verdana" w:eastAsia="Arial" w:hAnsi="Verdana" w:cs="Aptos"/>
          <w:kern w:val="2"/>
          <w:sz w:val="20"/>
          <w:szCs w:val="20"/>
          <w:lang w:eastAsia="es-ES"/>
          <w14:ligatures w14:val="standardContextual"/>
        </w:rPr>
        <w:t>“1. OBRAS EN INFRAESTRUCTURA CULTURAL; 2. OBRAS EN INFRAESTRUCTURA RECREO DEPORTIVA; 3. OBRAS EN INFRAESTRUCTURA DEL SECTOR DE CULTURA, RECREACIÓN Y DEPORTE; 4. OBRAS EN BIBLIOTECAS PÚBLICAS; y 5. OBRAS PARA ATENCIÓN, PREVENCIÓN O MITIGACIÓN DE EMERGENCIAS DIFERENTES A CONTRATACIÓN DIRECTA PARA EL SECTOR CULTURA, RECREACIÓN Y DEPORTE”</w:t>
      </w:r>
      <w:r w:rsidRPr="002B6154">
        <w:rPr>
          <w:rFonts w:ascii="Verdana" w:eastAsia="Aptos" w:hAnsi="Verdana" w:cs="Times New Roman"/>
          <w:kern w:val="2"/>
          <w:sz w:val="20"/>
          <w:szCs w:val="20"/>
          <w14:ligatures w14:val="standardContextual"/>
        </w:rPr>
        <w:t xml:space="preserve">. </w:t>
      </w:r>
    </w:p>
    <w:p w14:paraId="0D3650E2" w14:textId="77777777" w:rsidR="002B6154" w:rsidRPr="002B6154" w:rsidRDefault="002B6154" w:rsidP="002B6154">
      <w:pPr>
        <w:spacing w:after="0" w:line="276" w:lineRule="auto"/>
        <w:jc w:val="both"/>
        <w:rPr>
          <w:rFonts w:ascii="Verdana" w:eastAsia="Aptos" w:hAnsi="Verdana" w:cs="Times New Roman"/>
          <w:kern w:val="2"/>
          <w:sz w:val="20"/>
          <w:szCs w:val="20"/>
          <w14:ligatures w14:val="standardContextual"/>
        </w:rPr>
      </w:pPr>
    </w:p>
    <w:p w14:paraId="77C9A88B" w14:textId="77777777" w:rsidR="002B6154" w:rsidRPr="002B6154" w:rsidRDefault="002B6154" w:rsidP="002B6154">
      <w:pPr>
        <w:spacing w:after="0" w:line="240" w:lineRule="auto"/>
        <w:jc w:val="both"/>
        <w:rPr>
          <w:rFonts w:ascii="Verdana" w:eastAsia="Calibri" w:hAnsi="Verdana" w:cs="Arial"/>
          <w:b/>
          <w:bCs/>
          <w:kern w:val="2"/>
          <w:lang w:val="es-ES_tradnl"/>
          <w14:ligatures w14:val="standardContextual"/>
        </w:rPr>
      </w:pPr>
      <w:r w:rsidRPr="002B6154">
        <w:rPr>
          <w:rFonts w:ascii="Verdana" w:eastAsia="Calibri" w:hAnsi="Verdana" w:cs="Arial"/>
          <w:b/>
          <w:bCs/>
          <w:kern w:val="2"/>
          <w:lang w:val="es-ES_tradnl"/>
          <w14:ligatures w14:val="standardContextual"/>
        </w:rPr>
        <w:t xml:space="preserve">SECTOR CULTURA, RECREACIÓN Y DEPORTE – Documentos tipo –Matriz 1 – Experiencia – Actividades – Sitios de reunión – Definición – Anexo Glosario – NSR10 </w:t>
      </w:r>
    </w:p>
    <w:p w14:paraId="0E53D06A" w14:textId="77777777" w:rsidR="002B6154" w:rsidRPr="002B6154" w:rsidRDefault="002B6154" w:rsidP="002B6154">
      <w:pPr>
        <w:spacing w:after="0" w:line="276" w:lineRule="auto"/>
        <w:jc w:val="both"/>
        <w:rPr>
          <w:rFonts w:ascii="Verdana" w:eastAsia="Aptos" w:hAnsi="Verdana" w:cs="Times New Roman"/>
          <w:kern w:val="2"/>
          <w:sz w:val="20"/>
          <w:szCs w:val="20"/>
          <w:lang w:val="es-ES_tradnl"/>
          <w14:ligatures w14:val="standardContextual"/>
        </w:rPr>
      </w:pPr>
    </w:p>
    <w:p w14:paraId="406F25FC" w14:textId="77777777" w:rsidR="002B6154" w:rsidRPr="002B6154" w:rsidRDefault="002B6154" w:rsidP="002B6154">
      <w:pPr>
        <w:spacing w:after="0" w:line="240" w:lineRule="auto"/>
        <w:jc w:val="both"/>
        <w:rPr>
          <w:rFonts w:ascii="Verdana" w:eastAsia="Times New Roman" w:hAnsi="Verdana" w:cs="Aptos"/>
          <w:i/>
          <w:iCs/>
          <w:kern w:val="2"/>
          <w:sz w:val="20"/>
          <w:szCs w:val="20"/>
          <w:lang w:eastAsia="es-MX"/>
          <w14:ligatures w14:val="standardContextual"/>
        </w:rPr>
      </w:pPr>
      <w:r w:rsidRPr="002B6154">
        <w:rPr>
          <w:rFonts w:ascii="Verdana" w:eastAsia="Calibri" w:hAnsi="Verdana" w:cs="Arial"/>
          <w:sz w:val="20"/>
          <w:szCs w:val="20"/>
          <w:lang w:val="es-ES_tradnl"/>
        </w:rPr>
        <w:t>De esta forma, de acuerdo con el Anexo 5 – Glosario de los documentos tipo de licitación de obra pública de infraestructura social – versión 2, el numeral 2.102 señala la definición de “Grupo de ocupación de lugares de reunión” lo cual, es importante para comprender el alcance de las actividades 3.1 y 3.2 contenidas en la Matriz 1 – Experiencia y enmarcar los objetos de su solicitud en estas actividades. Así, en el numeral se dispone lo siguiente:</w:t>
      </w:r>
    </w:p>
    <w:p w14:paraId="03110639" w14:textId="77777777" w:rsidR="002B6154" w:rsidRPr="002B6154" w:rsidRDefault="002B6154" w:rsidP="002B6154">
      <w:pPr>
        <w:spacing w:after="0" w:line="240" w:lineRule="auto"/>
        <w:jc w:val="both"/>
        <w:rPr>
          <w:rFonts w:ascii="Verdana" w:eastAsia="Times New Roman" w:hAnsi="Verdana" w:cs="Aptos"/>
          <w:i/>
          <w:iCs/>
          <w:kern w:val="2"/>
          <w:sz w:val="20"/>
          <w:szCs w:val="20"/>
          <w:lang w:eastAsia="es-MX"/>
          <w14:ligatures w14:val="standardContextual"/>
        </w:rPr>
      </w:pPr>
    </w:p>
    <w:p w14:paraId="3F286BBC" w14:textId="77777777" w:rsidR="002B6154" w:rsidRPr="002B6154" w:rsidRDefault="002B6154" w:rsidP="002B6154">
      <w:pPr>
        <w:spacing w:after="0" w:line="240" w:lineRule="auto"/>
        <w:jc w:val="both"/>
        <w:rPr>
          <w:rFonts w:ascii="Verdana" w:eastAsia="Times New Roman" w:hAnsi="Verdana" w:cs="Aptos"/>
          <w:kern w:val="2"/>
          <w:sz w:val="20"/>
          <w:szCs w:val="20"/>
          <w:lang w:eastAsia="es-MX"/>
          <w14:ligatures w14:val="standardContextual"/>
        </w:rPr>
      </w:pPr>
      <w:r w:rsidRPr="002B6154">
        <w:rPr>
          <w:rFonts w:ascii="Verdana" w:eastAsia="Times New Roman" w:hAnsi="Verdana" w:cs="Aptos"/>
          <w:kern w:val="2"/>
          <w:sz w:val="20"/>
          <w:szCs w:val="20"/>
          <w:lang w:eastAsia="es-MX"/>
          <w14:ligatures w14:val="standardContextual"/>
        </w:rPr>
        <w:t>(…)</w:t>
      </w:r>
    </w:p>
    <w:p w14:paraId="0CB9D987" w14:textId="77777777" w:rsidR="002B6154" w:rsidRPr="002B6154" w:rsidRDefault="002B6154" w:rsidP="002B6154">
      <w:pPr>
        <w:spacing w:after="0" w:line="240" w:lineRule="auto"/>
        <w:jc w:val="both"/>
        <w:rPr>
          <w:rFonts w:ascii="Verdana" w:eastAsia="Times New Roman" w:hAnsi="Verdana" w:cs="Aptos"/>
          <w:i/>
          <w:iCs/>
          <w:kern w:val="2"/>
          <w:sz w:val="20"/>
          <w:szCs w:val="20"/>
          <w:lang w:eastAsia="es-MX"/>
          <w14:ligatures w14:val="standardContextual"/>
        </w:rPr>
      </w:pPr>
    </w:p>
    <w:p w14:paraId="50DACC6F" w14:textId="77777777" w:rsidR="002B6154" w:rsidRPr="002B6154" w:rsidRDefault="002B6154" w:rsidP="002B6154">
      <w:pPr>
        <w:spacing w:after="0" w:line="240" w:lineRule="auto"/>
        <w:jc w:val="both"/>
        <w:rPr>
          <w:rFonts w:ascii="Verdana" w:eastAsia="Times New Roman" w:hAnsi="Verdana" w:cs="Aptos"/>
          <w:i/>
          <w:iCs/>
          <w:kern w:val="2"/>
          <w:sz w:val="20"/>
          <w:szCs w:val="20"/>
          <w:lang w:eastAsia="es-MX"/>
          <w14:ligatures w14:val="standardContextual"/>
        </w:rPr>
      </w:pPr>
      <w:r w:rsidRPr="002B6154">
        <w:rPr>
          <w:rFonts w:ascii="Verdana" w:eastAsia="Calibri" w:hAnsi="Verdana" w:cs="Arial"/>
          <w:sz w:val="20"/>
          <w:szCs w:val="20"/>
          <w:lang w:val="es-ES"/>
        </w:rPr>
        <w:t xml:space="preserve">De acuerdo con la definición del grupo de ocupación de lugares de reunión, esta clasificación abarca edificaciones o espacios destinados al encuentro de personas con fines religiosos, deportivos, políticos culturales, sociales, recreativos o de transporte. Esta categoría incluye toda infraestructura que sirva como punto de congregación comunitaria, siempre que su finalidad principal sea la reunión de personas en torno a actividades colectivas. Dentro de esta tipología se consideran espacios como iglesias, salones de culto y otros destinados a la interacción social o comunitaria, por lo que su clasificación no depende exclusivamente del tipo de evento específico que alberguen, sino de su función como espacio de reunión. </w:t>
      </w:r>
    </w:p>
    <w:p w14:paraId="74E1A798" w14:textId="77777777" w:rsidR="002B6154" w:rsidRPr="002B6154" w:rsidRDefault="002B6154" w:rsidP="002B6154">
      <w:pPr>
        <w:spacing w:after="0" w:line="276" w:lineRule="auto"/>
        <w:jc w:val="both"/>
        <w:rPr>
          <w:rFonts w:ascii="Verdana" w:eastAsia="Aptos" w:hAnsi="Verdana" w:cs="Times New Roman"/>
          <w:kern w:val="2"/>
          <w14:ligatures w14:val="standardContextual"/>
        </w:rPr>
      </w:pPr>
    </w:p>
    <w:p w14:paraId="0FE77A4B" w14:textId="77777777" w:rsidR="002B6154" w:rsidRPr="002B6154" w:rsidRDefault="002B6154" w:rsidP="002B6154">
      <w:pPr>
        <w:spacing w:after="0" w:line="240" w:lineRule="auto"/>
        <w:jc w:val="both"/>
        <w:rPr>
          <w:rFonts w:ascii="Verdana" w:eastAsia="Calibri" w:hAnsi="Verdana" w:cs="Arial"/>
          <w:b/>
          <w:bCs/>
          <w:kern w:val="2"/>
          <w:lang w:val="es-ES_tradnl"/>
          <w14:ligatures w14:val="standardContextual"/>
        </w:rPr>
      </w:pPr>
      <w:r w:rsidRPr="002B6154">
        <w:rPr>
          <w:rFonts w:ascii="Verdana" w:eastAsia="Calibri" w:hAnsi="Verdana" w:cs="Arial"/>
          <w:b/>
          <w:bCs/>
          <w:kern w:val="2"/>
          <w:lang w:val="es-ES_tradnl"/>
          <w14:ligatures w14:val="standardContextual"/>
        </w:rPr>
        <w:t>SALONES COMUNALES – Definición – Sitios de reunión – Definición – Anexo Glosario – NSR10 – Aplicación – Documentos tipo – Sector cultura, recreación y deporte</w:t>
      </w:r>
    </w:p>
    <w:p w14:paraId="3E4B3D54" w14:textId="77777777" w:rsidR="002B6154" w:rsidRPr="002B6154" w:rsidRDefault="002B6154" w:rsidP="002B6154">
      <w:pPr>
        <w:spacing w:after="0" w:line="240" w:lineRule="auto"/>
        <w:jc w:val="both"/>
        <w:rPr>
          <w:rFonts w:ascii="Verdana" w:eastAsia="Calibri" w:hAnsi="Verdana" w:cs="Arial"/>
          <w:b/>
          <w:bCs/>
          <w:kern w:val="2"/>
          <w:lang w:val="es-ES_tradnl"/>
          <w14:ligatures w14:val="standardContextual"/>
        </w:rPr>
      </w:pPr>
    </w:p>
    <w:p w14:paraId="677C8E30" w14:textId="0D7CF27D" w:rsidR="002B6154" w:rsidRPr="002B6154" w:rsidRDefault="002B6154" w:rsidP="002B6154">
      <w:pPr>
        <w:spacing w:after="0" w:line="240" w:lineRule="auto"/>
        <w:jc w:val="both"/>
        <w:rPr>
          <w:rFonts w:ascii="Verdana" w:eastAsia="Calibri" w:hAnsi="Verdana" w:cs="Arial"/>
          <w:sz w:val="20"/>
          <w:szCs w:val="20"/>
          <w:lang w:val="es-ES"/>
        </w:rPr>
      </w:pPr>
      <w:r w:rsidRPr="002B6154">
        <w:rPr>
          <w:rFonts w:ascii="Verdana" w:eastAsia="Calibri" w:hAnsi="Verdana" w:cs="Arial"/>
          <w:sz w:val="20"/>
          <w:szCs w:val="20"/>
        </w:rPr>
        <w:lastRenderedPageBreak/>
        <w:t xml:space="preserve">Así las cosas, se concluye que los salones comunales son espacios administrados por las juntas de acción comunal cuyo propósito principal es garantizar el desarrollo integral, sostenible y sustentable de la comunidad, mediante procesos territoriales, económicos, políticos, ambientales, culturales y sociales que integren los esfuerzos de la población, sus organismos y las del Estado para promover la mejor calidad de vida. Por tanto, está definición está alineada con lo previsto en el numeral 2.102 del “Anexo 5 – Glosario” del sector cultura, recreación y deporte y con la </w:t>
      </w:r>
      <w:r w:rsidRPr="1ACCD1CD">
        <w:rPr>
          <w:rFonts w:ascii="Verdana" w:eastAsia="Calibri" w:hAnsi="Verdana" w:cs="Arial"/>
          <w:sz w:val="20"/>
          <w:szCs w:val="20"/>
        </w:rPr>
        <w:t>norma</w:t>
      </w:r>
      <w:r w:rsidR="0369C9AF" w:rsidRPr="1ACCD1CD">
        <w:rPr>
          <w:rFonts w:ascii="Verdana" w:eastAsia="Calibri" w:hAnsi="Verdana" w:cs="Arial"/>
          <w:sz w:val="20"/>
          <w:szCs w:val="20"/>
        </w:rPr>
        <w:t xml:space="preserve"> </w:t>
      </w:r>
      <w:proofErr w:type="spellStart"/>
      <w:r w:rsidR="0369C9AF" w:rsidRPr="1ACCD1CD">
        <w:rPr>
          <w:rFonts w:ascii="Verdana" w:eastAsia="Calibri" w:hAnsi="Verdana" w:cs="Arial"/>
          <w:sz w:val="20"/>
          <w:szCs w:val="20"/>
        </w:rPr>
        <w:t>sismoresistente</w:t>
      </w:r>
      <w:proofErr w:type="spellEnd"/>
      <w:r w:rsidRPr="002B6154">
        <w:rPr>
          <w:rFonts w:ascii="Verdana" w:eastAsia="Calibri" w:hAnsi="Verdana" w:cs="Arial"/>
          <w:sz w:val="20"/>
          <w:szCs w:val="20"/>
        </w:rPr>
        <w:t xml:space="preserve"> NSR-10 en los que se define el “</w:t>
      </w:r>
      <w:r w:rsidRPr="002B6154">
        <w:rPr>
          <w:rFonts w:ascii="Verdana" w:eastAsia="Arial" w:hAnsi="Verdana" w:cs="Arial"/>
          <w:sz w:val="20"/>
          <w:szCs w:val="20"/>
          <w:lang w:val="es-ES"/>
        </w:rPr>
        <w:t>Grupo de ocupación de lugares de reunión”.</w:t>
      </w:r>
      <w:r w:rsidRPr="002B6154">
        <w:rPr>
          <w:rFonts w:ascii="Verdana" w:eastAsia="Arial" w:hAnsi="Verdana" w:cs="Arial"/>
          <w:b/>
          <w:bCs/>
          <w:sz w:val="20"/>
          <w:szCs w:val="20"/>
          <w:lang w:val="es-ES"/>
        </w:rPr>
        <w:t xml:space="preserve"> </w:t>
      </w:r>
      <w:r w:rsidRPr="002B6154">
        <w:rPr>
          <w:rFonts w:ascii="Verdana" w:eastAsia="Calibri" w:hAnsi="Verdana" w:cs="Arial"/>
          <w:sz w:val="20"/>
          <w:szCs w:val="20"/>
        </w:rPr>
        <w:t xml:space="preserve"> Es así como</w:t>
      </w:r>
      <w:r w:rsidRPr="002B6154">
        <w:rPr>
          <w:rFonts w:ascii="Verdana" w:eastAsia="Calibri" w:hAnsi="Verdana" w:cs="Arial"/>
          <w:sz w:val="20"/>
          <w:szCs w:val="20"/>
          <w:lang w:val="es-ES"/>
        </w:rPr>
        <w:t>, desde una perspectiva técnica, los salones comunales deben ser considerados como parte integral de este grupo de ocupación y las disposiciones aplicables a este tipo de edificaciones son las contenidas en la Matriz 1 – Experiencia de los documentos tipo específicos del sector de infraestructura de cultura, recreación y deporte, concretamente, las señalas en los numerales 3.1 a 3.5.</w:t>
      </w:r>
    </w:p>
    <w:p w14:paraId="3067BD00" w14:textId="77777777" w:rsidR="002B6154" w:rsidRPr="002B6154" w:rsidRDefault="002B6154" w:rsidP="002B6154">
      <w:pPr>
        <w:spacing w:after="0" w:line="240" w:lineRule="auto"/>
        <w:jc w:val="both"/>
        <w:rPr>
          <w:rFonts w:ascii="Verdana" w:eastAsia="Calibri" w:hAnsi="Verdana" w:cs="Arial"/>
          <w:sz w:val="20"/>
          <w:szCs w:val="20"/>
        </w:rPr>
      </w:pPr>
    </w:p>
    <w:p w14:paraId="16CA829E" w14:textId="77777777" w:rsidR="002B6154" w:rsidRPr="002B6154" w:rsidRDefault="002B6154" w:rsidP="002B6154">
      <w:pPr>
        <w:spacing w:after="0" w:line="240" w:lineRule="auto"/>
        <w:jc w:val="both"/>
        <w:rPr>
          <w:rFonts w:ascii="Verdana" w:eastAsia="Calibri" w:hAnsi="Verdana" w:cs="Arial"/>
          <w:sz w:val="20"/>
          <w:szCs w:val="20"/>
          <w:lang w:val="es-ES"/>
        </w:rPr>
      </w:pPr>
      <w:r w:rsidRPr="002B6154">
        <w:rPr>
          <w:rFonts w:ascii="Verdana" w:eastAsia="Calibri" w:hAnsi="Verdana" w:cs="Arial"/>
          <w:sz w:val="20"/>
          <w:szCs w:val="20"/>
          <w:lang w:val="es-ES"/>
        </w:rPr>
        <w:t>(…)</w:t>
      </w:r>
    </w:p>
    <w:p w14:paraId="7201A42A" w14:textId="77777777" w:rsidR="002B6154" w:rsidRPr="002B6154" w:rsidRDefault="002B6154" w:rsidP="002B6154">
      <w:pPr>
        <w:spacing w:after="0" w:line="240" w:lineRule="auto"/>
        <w:jc w:val="both"/>
        <w:rPr>
          <w:rFonts w:ascii="Verdana" w:eastAsia="Calibri" w:hAnsi="Verdana" w:cs="Arial"/>
          <w:sz w:val="20"/>
          <w:szCs w:val="20"/>
          <w:lang w:val="es-ES"/>
        </w:rPr>
      </w:pPr>
    </w:p>
    <w:p w14:paraId="4403C503" w14:textId="77777777" w:rsidR="002B6154" w:rsidRPr="002B6154" w:rsidRDefault="002B6154" w:rsidP="002B6154">
      <w:pPr>
        <w:spacing w:after="0" w:line="240" w:lineRule="auto"/>
        <w:jc w:val="both"/>
        <w:rPr>
          <w:rFonts w:ascii="Verdana" w:eastAsia="Calibri" w:hAnsi="Verdana" w:cs="Arial"/>
          <w:sz w:val="20"/>
          <w:szCs w:val="20"/>
          <w:lang w:val="es-ES"/>
        </w:rPr>
      </w:pPr>
      <w:r w:rsidRPr="002B6154">
        <w:rPr>
          <w:rFonts w:ascii="Verdana" w:eastAsia="Calibri" w:hAnsi="Verdana" w:cs="Arial"/>
          <w:sz w:val="20"/>
          <w:szCs w:val="20"/>
          <w:lang w:val="es-ES"/>
        </w:rPr>
        <w:t xml:space="preserve">Así las cosas, la Agencia Nacional de Contratación Pública – Colombia Compra Eficiente le informa que a partir del 16 de febrero de 2026, si una entidad de aquellas obligadas a utilizar los documentos tipo expedidos por esta Entidad adelanta un proceso que tenga por objeto la construcción, ampliación, adecuación o mejoramiento, entre otras actividades de obra de salones comunales, deberá aplicar los documentos tipo complementarios del sector de cultura, recreación y deporte acogidos por esta Agencia mediante las Resoluciones 539, 540 y 541 de 2025, según el proyecto se adelante por la modalidad de licitación de obra pública, selección abreviada de menor cuantía o mínima cuantía, en donde se encuentran dispuestas las actividades 3.1 y 3.2 aplicables al proyecto por el que se indaga en su solicitud. </w:t>
      </w:r>
    </w:p>
    <w:p w14:paraId="5FA9D130" w14:textId="77777777" w:rsidR="002B6154" w:rsidRPr="002B6154" w:rsidRDefault="002B6154" w:rsidP="002B6154">
      <w:pPr>
        <w:spacing w:after="0" w:line="276" w:lineRule="auto"/>
        <w:jc w:val="both"/>
        <w:rPr>
          <w:rFonts w:ascii="Verdana" w:eastAsia="Calibri" w:hAnsi="Verdana" w:cs="Arial"/>
        </w:rPr>
      </w:pPr>
    </w:p>
    <w:p w14:paraId="10CB1B1F" w14:textId="77777777" w:rsidR="002B6154" w:rsidRPr="002B6154" w:rsidRDefault="002B6154" w:rsidP="002B6154">
      <w:pPr>
        <w:spacing w:after="0" w:line="276" w:lineRule="auto"/>
        <w:jc w:val="both"/>
        <w:rPr>
          <w:rFonts w:ascii="Verdana" w:eastAsia="Times New Roman" w:hAnsi="Verdana" w:cs="Arial"/>
          <w:b/>
          <w:bCs/>
          <w:bdr w:val="none" w:sz="0" w:space="0" w:color="auto" w:frame="1"/>
          <w:lang w:val="es-MX" w:eastAsia="es-CO"/>
        </w:rPr>
      </w:pPr>
      <w:r w:rsidRPr="002B6154">
        <w:rPr>
          <w:rFonts w:ascii="Verdana" w:eastAsia="Calibri" w:hAnsi="Verdana" w:cs="Arial"/>
          <w:b/>
          <w:bCs/>
        </w:rPr>
        <w:t xml:space="preserve">DOCUMENTO BASE – Documentos tipo – Sector cultura, recreación y deporte – Numeral 1.4 – Numeral 3.5.3 </w:t>
      </w:r>
      <w:r w:rsidRPr="002B6154">
        <w:rPr>
          <w:rFonts w:ascii="Verdana" w:eastAsia="Times New Roman" w:hAnsi="Verdana" w:cs="Arial"/>
          <w:b/>
          <w:bCs/>
          <w:bdr w:val="none" w:sz="0" w:space="0" w:color="auto" w:frame="1"/>
          <w:lang w:val="es-MX" w:eastAsia="es-CO"/>
        </w:rPr>
        <w:t>– Clasificador de bienes y servicios de Naciones Unidad (UNSPSC)</w:t>
      </w:r>
    </w:p>
    <w:p w14:paraId="5ADC3154" w14:textId="77777777" w:rsidR="002B6154" w:rsidRPr="002B6154" w:rsidRDefault="002B6154" w:rsidP="002B6154">
      <w:pPr>
        <w:spacing w:after="0" w:line="276" w:lineRule="auto"/>
        <w:jc w:val="both"/>
        <w:rPr>
          <w:rFonts w:ascii="Verdana" w:eastAsia="Calibri" w:hAnsi="Verdana" w:cs="Arial"/>
        </w:rPr>
      </w:pPr>
    </w:p>
    <w:p w14:paraId="4C5D3EC7" w14:textId="77777777" w:rsidR="002B6154" w:rsidRPr="002B6154" w:rsidRDefault="002B6154" w:rsidP="002B6154">
      <w:pPr>
        <w:shd w:val="clear" w:color="auto" w:fill="FFFFFF"/>
        <w:spacing w:after="0" w:line="240" w:lineRule="auto"/>
        <w:jc w:val="both"/>
        <w:textAlignment w:val="baseline"/>
        <w:rPr>
          <w:rFonts w:ascii="Verdana" w:eastAsia="Times New Roman" w:hAnsi="Verdana" w:cs="Arial"/>
          <w:sz w:val="20"/>
          <w:szCs w:val="20"/>
          <w:lang w:val="es-MX" w:eastAsia="es-CO"/>
        </w:rPr>
      </w:pPr>
      <w:r w:rsidRPr="002B6154">
        <w:rPr>
          <w:rFonts w:ascii="Verdana" w:eastAsia="Times New Roman" w:hAnsi="Verdana" w:cs="Arial"/>
          <w:sz w:val="20"/>
          <w:szCs w:val="20"/>
          <w:bdr w:val="none" w:sz="0" w:space="0" w:color="auto" w:frame="1"/>
          <w:lang w:val="es-MX" w:eastAsia="es-CO"/>
        </w:rPr>
        <w:t xml:space="preserve">De acuerdo con el numeral uno del artículo 2.2.1.1.2.1.3 del Decreto 1082 de 2015, al expedir los documentos tipo de licitación para obras de infraestructura social – versión 2, esta Agencia incluyó dentro del correspondiente documento base el numeral 1.4 “Clasificador de bienes y servicios de Naciones Unidad (UNSPSC)”, el cual señala que </w:t>
      </w:r>
      <w:r w:rsidRPr="002B6154">
        <w:rPr>
          <w:rFonts w:ascii="Verdana" w:eastAsia="Times New Roman" w:hAnsi="Verdana" w:cs="Arial"/>
          <w:i/>
          <w:iCs/>
          <w:sz w:val="20"/>
          <w:szCs w:val="20"/>
          <w:bdr w:val="none" w:sz="0" w:space="0" w:color="auto" w:frame="1"/>
          <w:lang w:val="es-MX" w:eastAsia="es-CO"/>
        </w:rPr>
        <w:t xml:space="preserve">“La obra pública objeto del presente Proceso de Contratación está codificada en el Clasificador de Bienes y Servicios de Naciones Unidas (UNSPSC) bajo el segmento 72 con el [hasta el tercer nivel] (…)”. </w:t>
      </w:r>
      <w:r w:rsidRPr="002B6154">
        <w:rPr>
          <w:rFonts w:ascii="Verdana" w:eastAsia="Times New Roman" w:hAnsi="Verdana" w:cs="Arial"/>
          <w:sz w:val="20"/>
          <w:szCs w:val="20"/>
          <w:bdr w:val="none" w:sz="0" w:space="0" w:color="auto" w:frame="1"/>
          <w:lang w:val="es-MX" w:eastAsia="es-CO"/>
        </w:rPr>
        <w:t xml:space="preserve"> Conforme a esto, dependiendo del tipo de obra que se pretenda contratar, la entidad debe asociar la misma, hasta el tercer nivel jerárquico del Clasificador de Bienes y Servicios. Para cumplir con esto las entidades deben diligenciar el siguiente cuadro:</w:t>
      </w:r>
    </w:p>
    <w:p w14:paraId="303E3B46" w14:textId="77777777" w:rsidR="002B6154" w:rsidRPr="002B6154" w:rsidRDefault="002B6154" w:rsidP="002B6154">
      <w:pPr>
        <w:shd w:val="clear" w:color="auto" w:fill="FFFFFF"/>
        <w:spacing w:after="0" w:line="240" w:lineRule="auto"/>
        <w:ind w:right="709"/>
        <w:jc w:val="both"/>
        <w:textAlignment w:val="baseline"/>
        <w:rPr>
          <w:rFonts w:ascii="Verdana" w:eastAsia="Times New Roman" w:hAnsi="Verdana" w:cs="Calibri"/>
          <w:sz w:val="20"/>
          <w:szCs w:val="20"/>
          <w:bdr w:val="none" w:sz="0" w:space="0" w:color="auto" w:frame="1"/>
          <w:lang w:val="es-MX" w:eastAsia="es-CO"/>
        </w:rPr>
      </w:pPr>
    </w:p>
    <w:p w14:paraId="5E74C43E" w14:textId="77777777" w:rsidR="002B6154" w:rsidRPr="002B6154" w:rsidRDefault="002B6154" w:rsidP="002B6154">
      <w:pPr>
        <w:shd w:val="clear" w:color="auto" w:fill="FFFFFF"/>
        <w:spacing w:after="0" w:line="240" w:lineRule="auto"/>
        <w:ind w:right="709"/>
        <w:jc w:val="both"/>
        <w:textAlignment w:val="baseline"/>
        <w:rPr>
          <w:rFonts w:ascii="Verdana" w:eastAsia="Times New Roman" w:hAnsi="Verdana" w:cs="Calibri"/>
          <w:sz w:val="20"/>
          <w:szCs w:val="20"/>
          <w:bdr w:val="none" w:sz="0" w:space="0" w:color="auto" w:frame="1"/>
          <w:lang w:val="es-MX" w:eastAsia="es-CO"/>
        </w:rPr>
      </w:pPr>
      <w:r w:rsidRPr="002B6154">
        <w:rPr>
          <w:rFonts w:ascii="Verdana" w:eastAsia="Times New Roman" w:hAnsi="Verdana" w:cs="Calibri"/>
          <w:sz w:val="20"/>
          <w:szCs w:val="20"/>
          <w:bdr w:val="none" w:sz="0" w:space="0" w:color="auto" w:frame="1"/>
          <w:lang w:val="es-MX" w:eastAsia="es-CO"/>
        </w:rPr>
        <w:t>(…)</w:t>
      </w:r>
    </w:p>
    <w:p w14:paraId="40997A3B" w14:textId="77777777" w:rsidR="002B6154" w:rsidRPr="002B6154" w:rsidRDefault="002B6154" w:rsidP="002B6154">
      <w:pPr>
        <w:shd w:val="clear" w:color="auto" w:fill="FFFFFF"/>
        <w:spacing w:after="0" w:line="240" w:lineRule="auto"/>
        <w:ind w:right="709"/>
        <w:jc w:val="both"/>
        <w:textAlignment w:val="baseline"/>
        <w:rPr>
          <w:rFonts w:ascii="Verdana" w:eastAsia="Aptos" w:hAnsi="Verdana" w:cs="Times New Roman"/>
          <w:sz w:val="20"/>
          <w:szCs w:val="20"/>
        </w:rPr>
      </w:pPr>
      <w:r w:rsidRPr="002B6154">
        <w:rPr>
          <w:rFonts w:ascii="Verdana" w:eastAsia="Verdana" w:hAnsi="Verdana" w:cs="Verdana"/>
          <w:sz w:val="20"/>
          <w:szCs w:val="20"/>
          <w:lang w:val="es-MX"/>
        </w:rPr>
        <w:t xml:space="preserve"> </w:t>
      </w:r>
    </w:p>
    <w:p w14:paraId="5AF2FF00" w14:textId="77777777" w:rsidR="002B6154" w:rsidRPr="002B6154" w:rsidRDefault="002B6154" w:rsidP="002B6154">
      <w:pPr>
        <w:spacing w:after="120" w:line="240" w:lineRule="auto"/>
        <w:jc w:val="both"/>
        <w:rPr>
          <w:rFonts w:ascii="Verdana" w:eastAsia="Aptos" w:hAnsi="Verdana" w:cs="Times New Roman"/>
          <w:kern w:val="2"/>
          <w:lang w:val="es-MX"/>
          <w14:ligatures w14:val="standardContextual"/>
        </w:rPr>
      </w:pPr>
      <w:r w:rsidRPr="002B6154">
        <w:rPr>
          <w:rFonts w:ascii="Verdana" w:eastAsia="Times New Roman" w:hAnsi="Verdana" w:cs="Arial"/>
          <w:kern w:val="2"/>
          <w:sz w:val="20"/>
          <w:szCs w:val="20"/>
          <w:bdr w:val="none" w:sz="0" w:space="0" w:color="auto" w:frame="1"/>
          <w:lang w:val="es-MX" w:eastAsia="es-CO"/>
          <w14:ligatures w14:val="standardContextual"/>
        </w:rPr>
        <w:lastRenderedPageBreak/>
        <w:t>Por su parte, el numeral 3.5.3 del documento base, referente a la clasificación de la experiencia de los contratistas, incluye una tabla en la que cada columna corresponde a uno de los niveles del clasificador. Esta tabla es un parámetro para determinar si la experiencia del contratista se relaciona con el objeto contractual ofertado, por lo que al diligenciarla las entidades deben desagregar los códigos incluidos en la tabla del numeral 1.4. Al respecto, el numeral 3.5.3 dispone lo siguiente</w:t>
      </w:r>
      <w:r w:rsidRPr="002B6154">
        <w:rPr>
          <w:rFonts w:ascii="Verdana" w:eastAsia="Times New Roman" w:hAnsi="Verdana" w:cs="Arial"/>
          <w:kern w:val="2"/>
          <w:bdr w:val="none" w:sz="0" w:space="0" w:color="auto" w:frame="1"/>
          <w:lang w:val="es-MX" w:eastAsia="es-CO"/>
          <w14:ligatures w14:val="standardContextual"/>
        </w:rPr>
        <w:t xml:space="preserve"> </w:t>
      </w:r>
      <w:r w:rsidRPr="00AC7F38">
        <w:rPr>
          <w:rFonts w:ascii="Verdana" w:eastAsia="Times New Roman" w:hAnsi="Verdana" w:cs="Arial"/>
          <w:kern w:val="2"/>
          <w:sz w:val="20"/>
          <w:szCs w:val="20"/>
          <w:bdr w:val="none" w:sz="0" w:space="0" w:color="auto" w:frame="1"/>
          <w:lang w:val="es-MX" w:eastAsia="es-CO"/>
          <w14:ligatures w14:val="standardContextual"/>
        </w:rPr>
        <w:t>(…).</w:t>
      </w:r>
    </w:p>
    <w:p w14:paraId="372D8D79" w14:textId="77777777" w:rsidR="002B6154" w:rsidRPr="002B6154" w:rsidRDefault="002B6154" w:rsidP="002B6154">
      <w:pPr>
        <w:spacing w:after="0" w:line="240" w:lineRule="auto"/>
        <w:jc w:val="right"/>
        <w:rPr>
          <w:rFonts w:ascii="Arial" w:eastAsia="Calibri" w:hAnsi="Arial" w:cs="Arial"/>
          <w:sz w:val="20"/>
          <w:szCs w:val="20"/>
          <w:lang w:val="es-MX"/>
        </w:rPr>
      </w:pPr>
    </w:p>
    <w:p w14:paraId="69993911" w14:textId="77777777" w:rsidR="002B6154" w:rsidRPr="002B6154" w:rsidRDefault="002B6154" w:rsidP="002B6154">
      <w:pPr>
        <w:spacing w:after="0" w:line="240" w:lineRule="auto"/>
        <w:jc w:val="right"/>
        <w:rPr>
          <w:rFonts w:ascii="Arial" w:eastAsia="Calibri" w:hAnsi="Arial" w:cs="Arial"/>
          <w:sz w:val="20"/>
          <w:szCs w:val="20"/>
          <w:lang w:val="es-MX"/>
        </w:rPr>
      </w:pPr>
    </w:p>
    <w:p w14:paraId="362F2069" w14:textId="77777777" w:rsidR="002B6154" w:rsidRPr="002B6154" w:rsidRDefault="002B6154" w:rsidP="002B6154">
      <w:pPr>
        <w:spacing w:after="0" w:line="240" w:lineRule="auto"/>
        <w:jc w:val="right"/>
        <w:rPr>
          <w:rFonts w:ascii="Arial" w:eastAsia="Calibri" w:hAnsi="Arial" w:cs="Arial"/>
          <w:sz w:val="20"/>
          <w:szCs w:val="20"/>
          <w:lang w:val="es-MX"/>
        </w:rPr>
      </w:pPr>
    </w:p>
    <w:p w14:paraId="48FB30D0" w14:textId="77777777" w:rsidR="002B6154" w:rsidRPr="002B6154" w:rsidRDefault="002B6154" w:rsidP="002B6154">
      <w:pPr>
        <w:spacing w:after="0" w:line="240" w:lineRule="auto"/>
        <w:jc w:val="right"/>
        <w:rPr>
          <w:rFonts w:ascii="Arial" w:eastAsia="Calibri" w:hAnsi="Arial" w:cs="Arial"/>
          <w:sz w:val="20"/>
          <w:szCs w:val="20"/>
          <w:lang w:val="es-MX"/>
        </w:rPr>
      </w:pPr>
    </w:p>
    <w:p w14:paraId="678C7F24" w14:textId="77777777" w:rsidR="002B6154" w:rsidRPr="002B6154" w:rsidRDefault="002B6154" w:rsidP="002B6154">
      <w:pPr>
        <w:spacing w:after="0" w:line="240" w:lineRule="auto"/>
        <w:jc w:val="right"/>
        <w:rPr>
          <w:rFonts w:ascii="Arial" w:eastAsia="Calibri" w:hAnsi="Arial" w:cs="Arial"/>
          <w:sz w:val="20"/>
          <w:szCs w:val="20"/>
          <w:lang w:val="es-MX"/>
        </w:rPr>
      </w:pPr>
    </w:p>
    <w:p w14:paraId="13F67148" w14:textId="77777777" w:rsidR="002B6154" w:rsidRPr="002B6154" w:rsidRDefault="002B6154" w:rsidP="002B6154">
      <w:pPr>
        <w:spacing w:after="0" w:line="240" w:lineRule="auto"/>
        <w:jc w:val="right"/>
        <w:rPr>
          <w:rFonts w:ascii="Arial" w:eastAsia="Calibri" w:hAnsi="Arial" w:cs="Arial"/>
          <w:sz w:val="20"/>
          <w:szCs w:val="20"/>
          <w:lang w:val="es-MX"/>
        </w:rPr>
      </w:pPr>
    </w:p>
    <w:p w14:paraId="70648B87" w14:textId="77777777" w:rsidR="002B6154" w:rsidRPr="002B6154" w:rsidRDefault="002B6154" w:rsidP="002B6154">
      <w:pPr>
        <w:spacing w:after="0" w:line="240" w:lineRule="auto"/>
        <w:jc w:val="right"/>
        <w:rPr>
          <w:rFonts w:ascii="Arial" w:eastAsia="Calibri" w:hAnsi="Arial" w:cs="Arial"/>
          <w:sz w:val="20"/>
          <w:szCs w:val="20"/>
          <w:lang w:val="es-MX"/>
        </w:rPr>
      </w:pPr>
    </w:p>
    <w:p w14:paraId="5C49B8F8" w14:textId="77777777" w:rsidR="002B6154" w:rsidRPr="002B6154" w:rsidRDefault="002B6154" w:rsidP="002B6154">
      <w:pPr>
        <w:spacing w:after="0" w:line="240" w:lineRule="auto"/>
        <w:jc w:val="right"/>
        <w:rPr>
          <w:rFonts w:ascii="Arial" w:eastAsia="Calibri" w:hAnsi="Arial" w:cs="Arial"/>
          <w:sz w:val="20"/>
          <w:szCs w:val="20"/>
          <w:lang w:val="es-MX"/>
        </w:rPr>
      </w:pPr>
    </w:p>
    <w:p w14:paraId="1349F6C3" w14:textId="77777777" w:rsidR="002B6154" w:rsidRPr="002B6154" w:rsidRDefault="002B6154" w:rsidP="002B6154">
      <w:pPr>
        <w:spacing w:after="0" w:line="240" w:lineRule="auto"/>
        <w:jc w:val="right"/>
        <w:rPr>
          <w:rFonts w:ascii="Arial" w:eastAsia="Calibri" w:hAnsi="Arial" w:cs="Arial"/>
          <w:sz w:val="20"/>
          <w:szCs w:val="20"/>
          <w:lang w:val="es-MX"/>
        </w:rPr>
      </w:pPr>
    </w:p>
    <w:p w14:paraId="178C4333" w14:textId="77777777" w:rsidR="002B6154" w:rsidRPr="002B6154" w:rsidRDefault="002B6154" w:rsidP="002B6154">
      <w:pPr>
        <w:spacing w:after="0" w:line="240" w:lineRule="auto"/>
        <w:jc w:val="right"/>
        <w:rPr>
          <w:rFonts w:ascii="Arial" w:eastAsia="Calibri" w:hAnsi="Arial" w:cs="Arial"/>
          <w:sz w:val="20"/>
          <w:szCs w:val="20"/>
          <w:lang w:val="es-MX"/>
        </w:rPr>
      </w:pPr>
    </w:p>
    <w:p w14:paraId="7AFAC361" w14:textId="77777777" w:rsidR="002B6154" w:rsidRPr="002B6154" w:rsidRDefault="002B6154" w:rsidP="002B6154">
      <w:pPr>
        <w:spacing w:after="0" w:line="240" w:lineRule="auto"/>
        <w:jc w:val="right"/>
        <w:rPr>
          <w:rFonts w:ascii="Arial" w:eastAsia="Calibri" w:hAnsi="Arial" w:cs="Arial"/>
          <w:sz w:val="20"/>
          <w:szCs w:val="20"/>
          <w:lang w:val="es-MX"/>
        </w:rPr>
      </w:pPr>
    </w:p>
    <w:p w14:paraId="012667DD" w14:textId="77777777" w:rsidR="002B6154" w:rsidRPr="002B6154" w:rsidRDefault="002B6154" w:rsidP="002B6154">
      <w:pPr>
        <w:spacing w:after="0" w:line="240" w:lineRule="auto"/>
        <w:jc w:val="right"/>
        <w:rPr>
          <w:rFonts w:ascii="Arial" w:eastAsia="Calibri" w:hAnsi="Arial" w:cs="Arial"/>
          <w:sz w:val="20"/>
          <w:szCs w:val="20"/>
          <w:lang w:val="es-MX"/>
        </w:rPr>
      </w:pPr>
    </w:p>
    <w:p w14:paraId="396B33EC" w14:textId="77777777" w:rsidR="002B6154" w:rsidRPr="002B6154" w:rsidRDefault="002B6154" w:rsidP="002B6154">
      <w:pPr>
        <w:spacing w:after="0" w:line="240" w:lineRule="auto"/>
        <w:jc w:val="right"/>
        <w:rPr>
          <w:rFonts w:ascii="Arial" w:eastAsia="Calibri" w:hAnsi="Arial" w:cs="Arial"/>
          <w:sz w:val="20"/>
          <w:szCs w:val="20"/>
          <w:lang w:val="es-MX"/>
        </w:rPr>
      </w:pPr>
    </w:p>
    <w:p w14:paraId="60B3A5C6" w14:textId="77777777" w:rsidR="002B6154" w:rsidRPr="002B6154" w:rsidRDefault="002B6154" w:rsidP="002B6154">
      <w:pPr>
        <w:spacing w:after="0" w:line="240" w:lineRule="auto"/>
        <w:jc w:val="right"/>
        <w:rPr>
          <w:rFonts w:ascii="Arial" w:eastAsia="Calibri" w:hAnsi="Arial" w:cs="Arial"/>
          <w:sz w:val="20"/>
          <w:szCs w:val="20"/>
          <w:lang w:val="es-MX"/>
        </w:rPr>
      </w:pPr>
    </w:p>
    <w:p w14:paraId="66EB7558" w14:textId="77777777" w:rsidR="002B6154" w:rsidRPr="002B6154" w:rsidRDefault="002B6154" w:rsidP="002B6154">
      <w:pPr>
        <w:spacing w:after="0" w:line="240" w:lineRule="auto"/>
        <w:jc w:val="right"/>
        <w:rPr>
          <w:rFonts w:ascii="Arial" w:eastAsia="Calibri" w:hAnsi="Arial" w:cs="Arial"/>
          <w:sz w:val="20"/>
          <w:szCs w:val="20"/>
          <w:lang w:val="es-MX"/>
        </w:rPr>
      </w:pPr>
    </w:p>
    <w:p w14:paraId="720197B1" w14:textId="77777777" w:rsidR="002B6154" w:rsidRPr="002B6154" w:rsidRDefault="002B6154" w:rsidP="002B6154">
      <w:pPr>
        <w:spacing w:after="0" w:line="240" w:lineRule="auto"/>
        <w:jc w:val="right"/>
        <w:rPr>
          <w:rFonts w:ascii="Arial" w:eastAsia="Calibri" w:hAnsi="Arial" w:cs="Arial"/>
          <w:sz w:val="20"/>
          <w:szCs w:val="20"/>
          <w:lang w:val="es-MX"/>
        </w:rPr>
      </w:pPr>
    </w:p>
    <w:p w14:paraId="422562A1" w14:textId="77777777" w:rsidR="002B6154" w:rsidRPr="002B6154" w:rsidRDefault="002B6154" w:rsidP="002B6154">
      <w:pPr>
        <w:spacing w:after="0" w:line="240" w:lineRule="auto"/>
        <w:jc w:val="right"/>
        <w:rPr>
          <w:rFonts w:ascii="Arial" w:eastAsia="Calibri" w:hAnsi="Arial" w:cs="Arial"/>
          <w:sz w:val="20"/>
          <w:szCs w:val="20"/>
          <w:lang w:val="es-MX"/>
        </w:rPr>
      </w:pPr>
    </w:p>
    <w:p w14:paraId="2F458199" w14:textId="77777777" w:rsidR="002B6154" w:rsidRPr="002B6154" w:rsidRDefault="002B6154" w:rsidP="002B6154">
      <w:pPr>
        <w:spacing w:after="0" w:line="240" w:lineRule="auto"/>
        <w:jc w:val="right"/>
        <w:rPr>
          <w:rFonts w:ascii="Arial" w:eastAsia="Calibri" w:hAnsi="Arial" w:cs="Arial"/>
          <w:sz w:val="20"/>
          <w:szCs w:val="20"/>
          <w:lang w:val="es-MX"/>
        </w:rPr>
      </w:pPr>
    </w:p>
    <w:p w14:paraId="18898C86" w14:textId="77777777" w:rsidR="002B6154" w:rsidRPr="002B6154" w:rsidRDefault="002B6154" w:rsidP="002B6154">
      <w:pPr>
        <w:spacing w:after="0" w:line="240" w:lineRule="auto"/>
        <w:jc w:val="right"/>
        <w:rPr>
          <w:rFonts w:ascii="Arial" w:eastAsia="Calibri" w:hAnsi="Arial" w:cs="Arial"/>
          <w:sz w:val="20"/>
          <w:szCs w:val="20"/>
          <w:lang w:val="es-MX"/>
        </w:rPr>
      </w:pPr>
    </w:p>
    <w:p w14:paraId="6FE09E29" w14:textId="77777777" w:rsidR="002B6154" w:rsidRPr="002B6154" w:rsidRDefault="002B6154" w:rsidP="002B6154">
      <w:pPr>
        <w:spacing w:after="0" w:line="240" w:lineRule="auto"/>
        <w:jc w:val="right"/>
        <w:rPr>
          <w:rFonts w:ascii="Arial" w:eastAsia="Calibri" w:hAnsi="Arial" w:cs="Arial"/>
          <w:sz w:val="20"/>
          <w:szCs w:val="20"/>
          <w:lang w:val="es-MX"/>
        </w:rPr>
      </w:pPr>
    </w:p>
    <w:p w14:paraId="17206E8D" w14:textId="77777777" w:rsidR="002B6154" w:rsidRPr="002B6154" w:rsidRDefault="002B6154" w:rsidP="002B6154">
      <w:pPr>
        <w:spacing w:after="0" w:line="240" w:lineRule="auto"/>
        <w:jc w:val="right"/>
        <w:rPr>
          <w:rFonts w:ascii="Arial" w:eastAsia="Calibri" w:hAnsi="Arial" w:cs="Arial"/>
          <w:sz w:val="20"/>
          <w:szCs w:val="20"/>
          <w:lang w:val="es-MX"/>
        </w:rPr>
      </w:pPr>
    </w:p>
    <w:p w14:paraId="523DE107" w14:textId="77777777" w:rsidR="002B6154" w:rsidRPr="002B6154" w:rsidRDefault="002B6154" w:rsidP="002B6154">
      <w:pPr>
        <w:spacing w:after="0" w:line="240" w:lineRule="auto"/>
        <w:jc w:val="right"/>
        <w:rPr>
          <w:rFonts w:ascii="Arial" w:eastAsia="Calibri" w:hAnsi="Arial" w:cs="Arial"/>
          <w:sz w:val="20"/>
          <w:szCs w:val="20"/>
          <w:lang w:val="es-MX"/>
        </w:rPr>
      </w:pPr>
    </w:p>
    <w:p w14:paraId="2AEEA029" w14:textId="77777777" w:rsidR="002B6154" w:rsidRPr="002B6154" w:rsidRDefault="002B6154" w:rsidP="002B6154">
      <w:pPr>
        <w:spacing w:after="0" w:line="240" w:lineRule="auto"/>
        <w:jc w:val="right"/>
        <w:rPr>
          <w:rFonts w:ascii="Arial" w:eastAsia="Calibri" w:hAnsi="Arial" w:cs="Arial"/>
          <w:sz w:val="20"/>
          <w:szCs w:val="20"/>
          <w:lang w:val="es-MX"/>
        </w:rPr>
      </w:pPr>
    </w:p>
    <w:p w14:paraId="1F831DD6" w14:textId="77777777" w:rsidR="002B6154" w:rsidRPr="002B6154" w:rsidRDefault="002B6154" w:rsidP="002B6154">
      <w:pPr>
        <w:spacing w:after="0" w:line="240" w:lineRule="auto"/>
        <w:jc w:val="right"/>
        <w:rPr>
          <w:rFonts w:ascii="Arial" w:eastAsia="Calibri" w:hAnsi="Arial" w:cs="Arial"/>
          <w:sz w:val="20"/>
          <w:szCs w:val="20"/>
          <w:lang w:val="es-MX"/>
        </w:rPr>
      </w:pPr>
    </w:p>
    <w:p w14:paraId="041C6586" w14:textId="77777777" w:rsidR="002B6154" w:rsidRPr="002B6154" w:rsidRDefault="002B6154" w:rsidP="002B6154">
      <w:pPr>
        <w:spacing w:after="0" w:line="240" w:lineRule="auto"/>
        <w:jc w:val="right"/>
        <w:rPr>
          <w:rFonts w:ascii="Arial" w:eastAsia="Calibri" w:hAnsi="Arial" w:cs="Arial"/>
          <w:sz w:val="20"/>
          <w:szCs w:val="20"/>
          <w:lang w:val="es-MX"/>
        </w:rPr>
      </w:pPr>
    </w:p>
    <w:p w14:paraId="506F83CB" w14:textId="77777777" w:rsidR="002B6154" w:rsidRPr="002B6154" w:rsidRDefault="002B6154" w:rsidP="002B6154">
      <w:pPr>
        <w:spacing w:after="0" w:line="240" w:lineRule="auto"/>
        <w:jc w:val="right"/>
        <w:rPr>
          <w:rFonts w:ascii="Arial" w:eastAsia="Calibri" w:hAnsi="Arial" w:cs="Arial"/>
          <w:sz w:val="20"/>
          <w:szCs w:val="20"/>
          <w:lang w:val="es-MX"/>
        </w:rPr>
      </w:pPr>
    </w:p>
    <w:p w14:paraId="611FF2D6" w14:textId="77777777" w:rsidR="002B6154" w:rsidRPr="002B6154" w:rsidRDefault="002B6154" w:rsidP="002B6154">
      <w:pPr>
        <w:spacing w:after="0" w:line="240" w:lineRule="auto"/>
        <w:jc w:val="right"/>
        <w:rPr>
          <w:rFonts w:ascii="Arial" w:eastAsia="Calibri" w:hAnsi="Arial" w:cs="Arial"/>
          <w:sz w:val="20"/>
          <w:szCs w:val="20"/>
          <w:lang w:val="es-MX"/>
        </w:rPr>
      </w:pPr>
    </w:p>
    <w:p w14:paraId="21B3F1C2" w14:textId="77777777" w:rsidR="002B6154" w:rsidRPr="002B6154" w:rsidRDefault="002B6154" w:rsidP="002B6154">
      <w:pPr>
        <w:spacing w:after="0" w:line="240" w:lineRule="auto"/>
        <w:jc w:val="right"/>
        <w:rPr>
          <w:rFonts w:ascii="Arial" w:eastAsia="Calibri" w:hAnsi="Arial" w:cs="Arial"/>
          <w:sz w:val="20"/>
          <w:szCs w:val="20"/>
          <w:lang w:val="es-MX"/>
        </w:rPr>
      </w:pPr>
    </w:p>
    <w:p w14:paraId="0F4E562D" w14:textId="77777777" w:rsidR="002B6154" w:rsidRPr="002B6154" w:rsidRDefault="002B6154" w:rsidP="002B6154">
      <w:pPr>
        <w:spacing w:after="0" w:line="240" w:lineRule="auto"/>
        <w:jc w:val="right"/>
        <w:rPr>
          <w:rFonts w:ascii="Arial" w:eastAsia="Calibri" w:hAnsi="Arial" w:cs="Arial"/>
          <w:sz w:val="20"/>
          <w:szCs w:val="20"/>
          <w:lang w:val="es-MX"/>
        </w:rPr>
      </w:pPr>
    </w:p>
    <w:p w14:paraId="4B4CC6C0" w14:textId="77777777" w:rsidR="002B6154" w:rsidRPr="002B6154" w:rsidRDefault="002B6154" w:rsidP="002B6154">
      <w:pPr>
        <w:spacing w:after="0" w:line="240" w:lineRule="auto"/>
        <w:jc w:val="both"/>
        <w:rPr>
          <w:rFonts w:ascii="Verdana" w:eastAsia="Geomanist Light" w:hAnsi="Verdana" w:cs="Arial"/>
          <w:sz w:val="20"/>
          <w:szCs w:val="20"/>
          <w:lang w:val="es-MX" w:eastAsia="es-MX"/>
        </w:rPr>
      </w:pPr>
    </w:p>
    <w:p w14:paraId="5B719BC0" w14:textId="77777777" w:rsidR="002B6154" w:rsidRPr="002B6154" w:rsidRDefault="002B6154" w:rsidP="002B6154">
      <w:pPr>
        <w:spacing w:after="0"/>
        <w:rPr>
          <w:rFonts w:ascii="Verdana" w:eastAsia="Calibri" w:hAnsi="Verdana" w:cs="Times New Roman"/>
          <w:lang w:eastAsia="es-MX"/>
        </w:rPr>
      </w:pPr>
    </w:p>
    <w:p w14:paraId="3070F316" w14:textId="77777777" w:rsidR="002B6154" w:rsidRPr="002B6154" w:rsidRDefault="002B6154" w:rsidP="002B6154">
      <w:pPr>
        <w:spacing w:after="0"/>
        <w:rPr>
          <w:rFonts w:ascii="Verdana" w:eastAsia="Calibri" w:hAnsi="Verdana" w:cs="Times New Roman"/>
          <w:lang w:eastAsia="es-MX"/>
        </w:rPr>
      </w:pPr>
    </w:p>
    <w:p w14:paraId="782A60C4" w14:textId="77777777" w:rsidR="002B6154" w:rsidRPr="002B6154" w:rsidRDefault="002B6154" w:rsidP="002B6154">
      <w:pPr>
        <w:spacing w:after="0"/>
        <w:rPr>
          <w:rFonts w:ascii="Verdana" w:eastAsia="Calibri" w:hAnsi="Verdana" w:cs="Times New Roman"/>
          <w:lang w:eastAsia="es-MX"/>
        </w:rPr>
      </w:pPr>
    </w:p>
    <w:p w14:paraId="0CCF2DE0" w14:textId="77777777" w:rsidR="002B6154" w:rsidRPr="002B6154" w:rsidRDefault="002B6154" w:rsidP="002B6154">
      <w:pPr>
        <w:spacing w:after="0"/>
        <w:rPr>
          <w:rFonts w:ascii="Verdana" w:eastAsia="Calibri" w:hAnsi="Verdana" w:cs="Times New Roman"/>
          <w:lang w:eastAsia="es-MX"/>
        </w:rPr>
      </w:pPr>
    </w:p>
    <w:p w14:paraId="031FA8CB" w14:textId="77777777" w:rsidR="002B6154" w:rsidRPr="002B6154" w:rsidRDefault="002B6154" w:rsidP="002B6154">
      <w:pPr>
        <w:spacing w:after="0"/>
        <w:rPr>
          <w:rFonts w:ascii="Verdana" w:eastAsia="Calibri" w:hAnsi="Verdana" w:cs="Times New Roman"/>
          <w:lang w:eastAsia="es-MX"/>
        </w:rPr>
      </w:pPr>
    </w:p>
    <w:p w14:paraId="709B32FC" w14:textId="77777777" w:rsidR="002B6154" w:rsidRPr="002B6154" w:rsidRDefault="002B6154" w:rsidP="002B6154">
      <w:pPr>
        <w:spacing w:after="0"/>
        <w:rPr>
          <w:rFonts w:ascii="Verdana" w:eastAsia="Calibri" w:hAnsi="Verdana" w:cs="Times New Roman"/>
          <w:lang w:eastAsia="es-MX"/>
        </w:rPr>
      </w:pPr>
    </w:p>
    <w:p w14:paraId="0CFFD315" w14:textId="77777777" w:rsidR="002B6154" w:rsidRPr="002B6154" w:rsidRDefault="002B6154" w:rsidP="002B6154">
      <w:pPr>
        <w:spacing w:after="0"/>
        <w:rPr>
          <w:rFonts w:ascii="Verdana" w:eastAsia="Calibri" w:hAnsi="Verdana" w:cs="Times New Roman"/>
          <w:lang w:eastAsia="es-MX"/>
        </w:rPr>
      </w:pPr>
    </w:p>
    <w:p w14:paraId="4D517577" w14:textId="77777777" w:rsidR="002B6154" w:rsidRPr="002B6154" w:rsidRDefault="002B6154" w:rsidP="002B6154">
      <w:pPr>
        <w:spacing w:after="0"/>
        <w:rPr>
          <w:rFonts w:ascii="Verdana" w:eastAsia="Calibri" w:hAnsi="Verdana" w:cs="Times New Roman"/>
          <w:lang w:eastAsia="es-MX"/>
        </w:rPr>
      </w:pPr>
    </w:p>
    <w:p w14:paraId="49142FD8" w14:textId="77777777" w:rsidR="002B6154" w:rsidRPr="002B6154" w:rsidRDefault="002B6154" w:rsidP="002B6154">
      <w:pPr>
        <w:spacing w:after="0"/>
        <w:rPr>
          <w:rFonts w:ascii="Verdana" w:eastAsia="Calibri" w:hAnsi="Verdana" w:cs="Times New Roman"/>
          <w:lang w:eastAsia="es-MX"/>
        </w:rPr>
      </w:pPr>
    </w:p>
    <w:p w14:paraId="07EE68E6" w14:textId="77777777" w:rsidR="00927414" w:rsidRDefault="002B6154" w:rsidP="002B6154">
      <w:pPr>
        <w:spacing w:after="0" w:line="240" w:lineRule="auto"/>
        <w:rPr>
          <w:rFonts w:ascii="Verdana" w:eastAsia="Calibri" w:hAnsi="Verdana" w:cs="Vrinda"/>
          <w:lang w:eastAsia="es-MX"/>
        </w:rPr>
      </w:pPr>
      <w:r w:rsidRPr="002B6154">
        <w:rPr>
          <w:rFonts w:ascii="Verdana" w:eastAsia="Calibri" w:hAnsi="Verdana" w:cs="Vrinda"/>
          <w:lang w:eastAsia="es-MX"/>
        </w:rPr>
        <w:lastRenderedPageBreak/>
        <w:t xml:space="preserve">Bogotá D.C., </w:t>
      </w:r>
      <w:r w:rsidR="00927414">
        <w:rPr>
          <w:rFonts w:ascii="Verdana" w:eastAsia="Calibri" w:hAnsi="Verdana" w:cs="Vrinda"/>
          <w:lang w:eastAsia="es-MX"/>
        </w:rPr>
        <w:t>22 de julio de 2026</w:t>
      </w:r>
    </w:p>
    <w:p w14:paraId="510BA5C2" w14:textId="327EC9B4" w:rsidR="00927414" w:rsidRDefault="00927414" w:rsidP="002B6154">
      <w:pPr>
        <w:spacing w:after="0" w:line="240" w:lineRule="auto"/>
        <w:rPr>
          <w:rFonts w:ascii="Verdana" w:eastAsia="Calibri" w:hAnsi="Verdana" w:cs="Vrinda"/>
          <w:lang w:eastAsia="es-MX"/>
        </w:rPr>
      </w:pPr>
    </w:p>
    <w:p w14:paraId="267C549A" w14:textId="450CCE7D" w:rsidR="002B6154" w:rsidRPr="002B6154" w:rsidRDefault="00E475DD" w:rsidP="00927414">
      <w:pPr>
        <w:spacing w:after="0" w:line="240" w:lineRule="auto"/>
        <w:jc w:val="right"/>
        <w:rPr>
          <w:rFonts w:ascii="Verdana" w:eastAsia="Calibri" w:hAnsi="Verdana" w:cs="Vrinda"/>
          <w:lang w:eastAsia="es-MX"/>
        </w:rPr>
      </w:pPr>
      <w:r w:rsidRPr="00927414">
        <w:rPr>
          <w:rFonts w:ascii="Verdana" w:eastAsia="Calibri" w:hAnsi="Verdana" w:cs="Vrinda"/>
          <w:noProof/>
          <w:lang w:eastAsia="es-MX"/>
        </w:rPr>
        <w:drawing>
          <wp:anchor distT="0" distB="0" distL="114300" distR="114300" simplePos="0" relativeHeight="251658240" behindDoc="0" locked="0" layoutInCell="1" allowOverlap="1" wp14:anchorId="782EB0F9" wp14:editId="1E06C97F">
            <wp:simplePos x="0" y="0"/>
            <wp:positionH relativeFrom="margin">
              <wp:align>right</wp:align>
            </wp:positionH>
            <wp:positionV relativeFrom="paragraph">
              <wp:posOffset>8945</wp:posOffset>
            </wp:positionV>
            <wp:extent cx="2556510" cy="788670"/>
            <wp:effectExtent l="0" t="0" r="0" b="0"/>
            <wp:wrapSquare wrapText="bothSides"/>
            <wp:docPr id="6392246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2463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6510" cy="788670"/>
                    </a:xfrm>
                    <a:prstGeom prst="rect">
                      <a:avLst/>
                    </a:prstGeom>
                  </pic:spPr>
                </pic:pic>
              </a:graphicData>
            </a:graphic>
            <wp14:sizeRelH relativeFrom="margin">
              <wp14:pctWidth>0</wp14:pctWidth>
            </wp14:sizeRelH>
            <wp14:sizeRelV relativeFrom="margin">
              <wp14:pctHeight>0</wp14:pctHeight>
            </wp14:sizeRelV>
          </wp:anchor>
        </w:drawing>
      </w:r>
      <w:r w:rsidR="002B6154" w:rsidRPr="002B6154">
        <w:rPr>
          <w:rFonts w:ascii="Verdana" w:eastAsia="Calibri" w:hAnsi="Verdana" w:cs="Vrinda"/>
          <w:lang w:eastAsia="es-MX"/>
        </w:rPr>
        <w:tab/>
      </w:r>
    </w:p>
    <w:p w14:paraId="0AC65757" w14:textId="77777777" w:rsidR="002B6154" w:rsidRPr="002B6154" w:rsidRDefault="002B6154" w:rsidP="002B6154">
      <w:pPr>
        <w:spacing w:after="0" w:line="240" w:lineRule="auto"/>
        <w:rPr>
          <w:rFonts w:ascii="Verdana" w:eastAsia="Calibri" w:hAnsi="Verdana" w:cs="Vrinda"/>
          <w:lang w:eastAsia="es-MX"/>
        </w:rPr>
      </w:pPr>
    </w:p>
    <w:p w14:paraId="76114B57" w14:textId="77777777" w:rsidR="002B6154" w:rsidRPr="002B6154" w:rsidRDefault="002B6154" w:rsidP="002B6154">
      <w:pPr>
        <w:spacing w:after="0" w:line="240" w:lineRule="auto"/>
        <w:jc w:val="both"/>
        <w:rPr>
          <w:rFonts w:ascii="Verdana" w:eastAsia="Calibri" w:hAnsi="Verdana" w:cs="Vrinda"/>
          <w:lang w:eastAsia="es-ES"/>
        </w:rPr>
      </w:pPr>
      <w:r w:rsidRPr="002B6154">
        <w:rPr>
          <w:rFonts w:ascii="Verdana" w:eastAsia="Calibri" w:hAnsi="Verdana" w:cs="Vrinda"/>
          <w:lang w:eastAsia="es-ES"/>
        </w:rPr>
        <w:t>Señor</w:t>
      </w:r>
    </w:p>
    <w:p w14:paraId="1084454A" w14:textId="77777777" w:rsidR="002B6154" w:rsidRPr="002B6154" w:rsidRDefault="002B6154" w:rsidP="002B6154">
      <w:pPr>
        <w:spacing w:after="0" w:line="240" w:lineRule="auto"/>
        <w:jc w:val="both"/>
        <w:rPr>
          <w:rFonts w:ascii="Verdana" w:eastAsia="Aptos" w:hAnsi="Verdana" w:cs="Times New Roman"/>
          <w:b/>
          <w:bCs/>
          <w:kern w:val="2"/>
          <w14:ligatures w14:val="standardContextual"/>
        </w:rPr>
      </w:pPr>
      <w:r w:rsidRPr="002B6154">
        <w:rPr>
          <w:rFonts w:ascii="Verdana" w:eastAsia="Aptos" w:hAnsi="Verdana" w:cs="Times New Roman"/>
          <w:b/>
          <w:bCs/>
          <w:kern w:val="2"/>
          <w14:ligatures w14:val="standardContextual"/>
        </w:rPr>
        <w:t xml:space="preserve">Carlos Figueroa Narváez </w:t>
      </w:r>
    </w:p>
    <w:p w14:paraId="3D62E4F3" w14:textId="77777777" w:rsidR="002B6154" w:rsidRPr="002B6154" w:rsidRDefault="002B6154" w:rsidP="002B6154">
      <w:pPr>
        <w:spacing w:after="0" w:line="240" w:lineRule="auto"/>
        <w:jc w:val="both"/>
        <w:rPr>
          <w:rFonts w:ascii="Verdana" w:eastAsia="Times New Roman" w:hAnsi="Verdana" w:cs="Vrinda"/>
          <w:lang w:eastAsia="es-CO"/>
        </w:rPr>
      </w:pPr>
      <w:r w:rsidRPr="002B6154">
        <w:rPr>
          <w:rFonts w:ascii="Verdana" w:eastAsia="Aptos" w:hAnsi="Verdana" w:cs="Times New Roman"/>
          <w:kern w:val="2"/>
          <w14:ligatures w14:val="standardContextual"/>
        </w:rPr>
        <w:t>Pasto, Nariño</w:t>
      </w:r>
    </w:p>
    <w:p w14:paraId="15F6198B" w14:textId="77777777" w:rsidR="002B6154" w:rsidRPr="002B6154" w:rsidRDefault="002B6154" w:rsidP="002B6154">
      <w:pPr>
        <w:spacing w:after="0" w:line="240" w:lineRule="auto"/>
        <w:rPr>
          <w:rFonts w:ascii="Verdana" w:eastAsia="Calibri" w:hAnsi="Verdana" w:cs="Arial"/>
          <w:b/>
          <w:bCs/>
          <w:lang w:eastAsia="es-ES_tradnl"/>
        </w:rPr>
      </w:pPr>
    </w:p>
    <w:tbl>
      <w:tblPr>
        <w:tblStyle w:val="Tablaconcuadrcula1"/>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2B6154" w:rsidRPr="002B6154" w14:paraId="0E37180B" w14:textId="77777777" w:rsidTr="00A46F1D">
        <w:trPr>
          <w:trHeight w:val="884"/>
        </w:trPr>
        <w:tc>
          <w:tcPr>
            <w:tcW w:w="2689" w:type="dxa"/>
          </w:tcPr>
          <w:p w14:paraId="1D3EA61E" w14:textId="77777777" w:rsidR="002B6154" w:rsidRPr="002B6154" w:rsidRDefault="002B6154" w:rsidP="002B6154">
            <w:pPr>
              <w:jc w:val="both"/>
              <w:rPr>
                <w:rFonts w:ascii="Verdana" w:eastAsia="Calibri" w:hAnsi="Verdana" w:cs="Arial"/>
                <w:b/>
                <w:bCs/>
                <w:lang w:val="es-ES_tradnl" w:eastAsia="es-ES_tradnl"/>
              </w:rPr>
            </w:pPr>
          </w:p>
        </w:tc>
        <w:tc>
          <w:tcPr>
            <w:tcW w:w="6100" w:type="dxa"/>
          </w:tcPr>
          <w:p w14:paraId="07777E5B" w14:textId="30F765BD" w:rsidR="002B6154" w:rsidRPr="00E475DD" w:rsidRDefault="002B6154" w:rsidP="002B6154">
            <w:pPr>
              <w:jc w:val="both"/>
              <w:rPr>
                <w:rFonts w:ascii="Verdana" w:eastAsia="Calibri" w:hAnsi="Verdana" w:cs="Arial"/>
                <w:b/>
                <w:bCs/>
                <w:sz w:val="22"/>
                <w:szCs w:val="22"/>
                <w:lang w:val="es-ES_tradnl" w:eastAsia="es-ES"/>
              </w:rPr>
            </w:pPr>
            <w:r w:rsidRPr="00E475DD">
              <w:rPr>
                <w:rFonts w:ascii="Verdana" w:eastAsia="Calibri" w:hAnsi="Verdana" w:cs="Arial"/>
                <w:b/>
                <w:bCs/>
                <w:sz w:val="22"/>
                <w:szCs w:val="22"/>
                <w:lang w:val="es-ES_tradnl" w:eastAsia="es-ES"/>
              </w:rPr>
              <w:t>Concepto C</w:t>
            </w:r>
            <w:r w:rsidR="00E475DD">
              <w:rPr>
                <w:rFonts w:ascii="Verdana" w:eastAsia="Calibri" w:hAnsi="Verdana" w:cs="Arial"/>
                <w:b/>
                <w:bCs/>
                <w:sz w:val="22"/>
                <w:szCs w:val="22"/>
                <w:lang w:val="es-ES_tradnl" w:eastAsia="es-ES"/>
              </w:rPr>
              <w:t>-</w:t>
            </w:r>
            <w:r w:rsidRPr="00E475DD">
              <w:rPr>
                <w:rFonts w:ascii="Verdana" w:eastAsia="Calibri" w:hAnsi="Verdana" w:cs="Arial"/>
                <w:b/>
                <w:bCs/>
                <w:sz w:val="22"/>
                <w:szCs w:val="22"/>
                <w:lang w:val="es-ES_tradnl" w:eastAsia="es-ES"/>
              </w:rPr>
              <w:t>987 de 2026</w:t>
            </w:r>
          </w:p>
        </w:tc>
      </w:tr>
      <w:tr w:rsidR="002B6154" w:rsidRPr="002B6154" w14:paraId="07BE1F48" w14:textId="77777777" w:rsidTr="00A46F1D">
        <w:trPr>
          <w:trHeight w:val="884"/>
        </w:trPr>
        <w:tc>
          <w:tcPr>
            <w:tcW w:w="2689" w:type="dxa"/>
          </w:tcPr>
          <w:p w14:paraId="72A20D33" w14:textId="77777777" w:rsidR="002B6154" w:rsidRPr="002B6154" w:rsidRDefault="002B6154" w:rsidP="002B6154">
            <w:pPr>
              <w:jc w:val="both"/>
              <w:rPr>
                <w:rFonts w:ascii="Verdana" w:eastAsia="Calibri" w:hAnsi="Verdana" w:cs="Arial"/>
                <w:sz w:val="22"/>
                <w:szCs w:val="22"/>
                <w:lang w:val="es-ES_tradnl" w:eastAsia="es-ES_tradnl"/>
              </w:rPr>
            </w:pPr>
            <w:r w:rsidRPr="002B6154">
              <w:rPr>
                <w:rFonts w:ascii="Verdana" w:eastAsia="Calibri" w:hAnsi="Verdana" w:cs="Arial"/>
                <w:b/>
                <w:sz w:val="22"/>
                <w:szCs w:val="22"/>
                <w:lang w:val="es-ES_tradnl" w:eastAsia="es-ES_tradnl"/>
              </w:rPr>
              <w:t>Temas:</w:t>
            </w:r>
            <w:r w:rsidRPr="002B6154">
              <w:rPr>
                <w:rFonts w:ascii="Verdana" w:eastAsia="Calibri" w:hAnsi="Verdana" w:cs="Arial"/>
                <w:sz w:val="22"/>
                <w:szCs w:val="22"/>
                <w:lang w:val="es-ES_tradnl" w:eastAsia="es-ES_tradnl"/>
              </w:rPr>
              <w:t xml:space="preserve">                   </w:t>
            </w:r>
          </w:p>
        </w:tc>
        <w:tc>
          <w:tcPr>
            <w:tcW w:w="6100" w:type="dxa"/>
          </w:tcPr>
          <w:p w14:paraId="4DE14800" w14:textId="77777777" w:rsidR="002B6154" w:rsidRPr="002B6154" w:rsidRDefault="002B6154" w:rsidP="002B6154">
            <w:pPr>
              <w:spacing w:line="276" w:lineRule="auto"/>
              <w:jc w:val="both"/>
              <w:rPr>
                <w:rFonts w:ascii="Verdana" w:eastAsia="Times New Roman" w:hAnsi="Verdana" w:cs="Arial"/>
                <w:sz w:val="22"/>
                <w:szCs w:val="22"/>
                <w:bdr w:val="none" w:sz="0" w:space="0" w:color="auto" w:frame="1"/>
                <w:lang w:val="es-MX" w:eastAsia="es-CO"/>
              </w:rPr>
            </w:pPr>
            <w:r w:rsidRPr="002B6154">
              <w:rPr>
                <w:rFonts w:ascii="Verdana" w:eastAsia="Calibri" w:hAnsi="Verdana" w:cs="Arial"/>
                <w:sz w:val="22"/>
                <w:szCs w:val="22"/>
                <w:lang w:val="es-ES_tradnl" w:eastAsia="es-ES"/>
              </w:rPr>
              <w:t xml:space="preserve">DOCUMENTOS TIPO – Generalidades – </w:t>
            </w:r>
            <w:r w:rsidRPr="002B6154">
              <w:rPr>
                <w:rFonts w:ascii="Verdana" w:eastAsia="Aptos" w:hAnsi="Verdana" w:cs="Times New Roman"/>
                <w:sz w:val="22"/>
                <w:szCs w:val="22"/>
                <w:lang w:val="es-ES_tradnl" w:eastAsia="es-ES"/>
              </w:rPr>
              <w:t xml:space="preserve">Obligatoriedad </w:t>
            </w:r>
            <w:r w:rsidRPr="002B6154">
              <w:rPr>
                <w:rFonts w:ascii="Verdana" w:eastAsia="Calibri" w:hAnsi="Verdana" w:cs="Times New Roman"/>
                <w:sz w:val="22"/>
                <w:szCs w:val="22"/>
                <w:lang w:eastAsia="es-MX"/>
              </w:rPr>
              <w:t xml:space="preserve">/ </w:t>
            </w:r>
            <w:r w:rsidRPr="002B6154">
              <w:rPr>
                <w:rFonts w:ascii="Verdana" w:eastAsia="Calibri" w:hAnsi="Verdana" w:cs="Arial"/>
                <w:sz w:val="22"/>
                <w:szCs w:val="22"/>
                <w:lang w:val="es-ES_tradnl"/>
              </w:rPr>
              <w:t xml:space="preserve">DOCUMENTOS TIPO – Infraestructura social – Sector educativo – Salud, – Cultura, recreación y deporte – Institucional –Vivienda / </w:t>
            </w:r>
            <w:r w:rsidRPr="002B6154">
              <w:rPr>
                <w:rFonts w:ascii="Verdana" w:eastAsia="Calibri" w:hAnsi="Verdana" w:cs="Times New Roman"/>
                <w:sz w:val="22"/>
                <w:szCs w:val="22"/>
                <w:lang w:val="es-ES"/>
              </w:rPr>
              <w:t xml:space="preserve">DOCUMENTOS TIPO – Aplicación – Matriz de Experiencia / </w:t>
            </w:r>
            <w:r w:rsidRPr="002B6154">
              <w:rPr>
                <w:rFonts w:ascii="Verdana" w:eastAsia="Calibri" w:hAnsi="Verdana" w:cs="Arial"/>
                <w:sz w:val="22"/>
                <w:szCs w:val="22"/>
                <w:lang w:val="es-ES_tradnl"/>
              </w:rPr>
              <w:t xml:space="preserve">SECTOR CULTURA, RECREACIÓN Y DEPORTE – Documentos tipo – Aplicación –Matriz 1 – Experiencia / SECTOR CULTURA, RECREACIÓN Y DEPORTE – Documentos tipo –Matriz 1 – Experiencia – Actividades – Sitios de reunión – Definición – Anexo Glosario – NSR10 / SALONES COMUNALES – Definición – Sitios de reunión – Definición – Anexo Glosario – NSR10 – Aplicación – Documentos tipo – Sector cultura, recreación y deporte / </w:t>
            </w:r>
            <w:r w:rsidRPr="002B6154">
              <w:rPr>
                <w:rFonts w:ascii="Verdana" w:eastAsia="Calibri" w:hAnsi="Verdana" w:cs="Arial"/>
                <w:sz w:val="22"/>
                <w:szCs w:val="22"/>
              </w:rPr>
              <w:t xml:space="preserve">DOCUMENTO BASE – Documentos tipo – Sector cultura, recreación y deporte – Numeral 1.4 – Numeral 3.5.3 </w:t>
            </w:r>
            <w:r w:rsidRPr="002B6154">
              <w:rPr>
                <w:rFonts w:ascii="Verdana" w:eastAsia="Times New Roman" w:hAnsi="Verdana" w:cs="Arial"/>
                <w:sz w:val="22"/>
                <w:szCs w:val="22"/>
                <w:bdr w:val="none" w:sz="0" w:space="0" w:color="auto" w:frame="1"/>
                <w:lang w:val="es-MX" w:eastAsia="es-CO"/>
              </w:rPr>
              <w:t>– Clasificador de bienes y servicios de Naciones Unidad (UNSPSC)</w:t>
            </w:r>
          </w:p>
          <w:p w14:paraId="5694062F" w14:textId="77777777" w:rsidR="002B6154" w:rsidRPr="002B6154" w:rsidRDefault="002B6154" w:rsidP="002B6154">
            <w:pPr>
              <w:spacing w:line="276" w:lineRule="auto"/>
              <w:jc w:val="both"/>
              <w:rPr>
                <w:rFonts w:ascii="Verdana" w:eastAsia="Calibri" w:hAnsi="Verdana" w:cs="Arial"/>
                <w:sz w:val="22"/>
                <w:szCs w:val="22"/>
                <w:highlight w:val="yellow"/>
                <w:lang w:val="es-MX" w:eastAsia="es-ES"/>
              </w:rPr>
            </w:pPr>
          </w:p>
        </w:tc>
      </w:tr>
      <w:tr w:rsidR="002B6154" w:rsidRPr="002B6154" w14:paraId="2AB81BA1" w14:textId="77777777" w:rsidTr="00A46F1D">
        <w:tc>
          <w:tcPr>
            <w:tcW w:w="2689" w:type="dxa"/>
          </w:tcPr>
          <w:p w14:paraId="23C2B758" w14:textId="77777777" w:rsidR="002B6154" w:rsidRPr="002B6154" w:rsidRDefault="002B6154" w:rsidP="002B6154">
            <w:pPr>
              <w:jc w:val="both"/>
              <w:rPr>
                <w:rFonts w:ascii="Verdana" w:eastAsia="Calibri" w:hAnsi="Verdana" w:cs="Arial"/>
                <w:b/>
                <w:lang w:val="es-ES_tradnl" w:eastAsia="es-ES_tradnl"/>
              </w:rPr>
            </w:pPr>
            <w:r w:rsidRPr="002B6154">
              <w:rPr>
                <w:rFonts w:ascii="Verdana" w:eastAsia="Calibri" w:hAnsi="Verdana" w:cs="Arial"/>
                <w:b/>
                <w:lang w:val="es-ES_tradnl" w:eastAsia="es-ES_tradnl"/>
              </w:rPr>
              <w:t>Radicación:</w:t>
            </w:r>
            <w:r w:rsidRPr="002B6154">
              <w:rPr>
                <w:rFonts w:ascii="Verdana" w:eastAsia="Calibri" w:hAnsi="Verdana" w:cs="Arial"/>
                <w:lang w:val="es-ES_tradnl" w:eastAsia="es-ES_tradnl"/>
              </w:rPr>
              <w:t xml:space="preserve">               </w:t>
            </w:r>
          </w:p>
        </w:tc>
        <w:tc>
          <w:tcPr>
            <w:tcW w:w="6100" w:type="dxa"/>
          </w:tcPr>
          <w:p w14:paraId="00006890" w14:textId="77777777" w:rsidR="002B6154" w:rsidRPr="002B6154" w:rsidRDefault="002B6154" w:rsidP="002B6154">
            <w:pPr>
              <w:jc w:val="both"/>
              <w:rPr>
                <w:rFonts w:ascii="Verdana" w:eastAsia="Calibri" w:hAnsi="Verdana" w:cs="Arial"/>
                <w:lang w:val="es-ES_tradnl" w:eastAsia="es-ES_tradnl"/>
              </w:rPr>
            </w:pPr>
            <w:r w:rsidRPr="002B6154">
              <w:rPr>
                <w:rFonts w:ascii="Verdana" w:eastAsia="Calibri" w:hAnsi="Verdana" w:cs="Arial"/>
                <w:lang w:val="es-ES_tradnl" w:eastAsia="es-ES_tradnl"/>
              </w:rPr>
              <w:t>Respuesta a consulta con radicado No. 1_2026_06_18_008186</w:t>
            </w:r>
          </w:p>
        </w:tc>
      </w:tr>
    </w:tbl>
    <w:p w14:paraId="7408B59F" w14:textId="77777777" w:rsidR="002B6154" w:rsidRPr="002B6154" w:rsidRDefault="002B6154" w:rsidP="002B6154">
      <w:pPr>
        <w:spacing w:after="0" w:line="240" w:lineRule="auto"/>
        <w:jc w:val="both"/>
        <w:rPr>
          <w:rFonts w:ascii="Verdana" w:eastAsia="Calibri" w:hAnsi="Verdana" w:cs="Arial"/>
          <w:lang w:val="es-ES_tradnl" w:eastAsia="es-ES_tradnl"/>
        </w:rPr>
      </w:pPr>
    </w:p>
    <w:p w14:paraId="0D2C7CFE" w14:textId="77777777" w:rsidR="002B6154" w:rsidRPr="002B6154" w:rsidRDefault="002B6154" w:rsidP="002B6154">
      <w:pPr>
        <w:spacing w:after="0" w:line="276" w:lineRule="auto"/>
        <w:jc w:val="both"/>
        <w:rPr>
          <w:rFonts w:ascii="Verdana" w:eastAsia="Calibri" w:hAnsi="Verdana" w:cs="Vrinda"/>
          <w:lang w:val="es-ES" w:eastAsia="es-ES"/>
        </w:rPr>
      </w:pPr>
      <w:r w:rsidRPr="002B6154">
        <w:rPr>
          <w:rFonts w:ascii="Verdana" w:eastAsia="Calibri" w:hAnsi="Verdana" w:cs="Vrinda"/>
          <w:lang w:val="es-ES" w:eastAsia="es-ES"/>
        </w:rPr>
        <w:t xml:space="preserve">Estimado señor </w:t>
      </w:r>
      <w:r w:rsidRPr="002B6154">
        <w:rPr>
          <w:rFonts w:ascii="Verdana" w:eastAsia="Aptos" w:hAnsi="Verdana" w:cs="Times New Roman"/>
          <w:kern w:val="2"/>
          <w14:ligatures w14:val="standardContextual"/>
        </w:rPr>
        <w:t>Figueroa Narváez</w:t>
      </w:r>
      <w:r w:rsidRPr="002B6154">
        <w:rPr>
          <w:rFonts w:ascii="Verdana" w:eastAsia="Calibri" w:hAnsi="Verdana" w:cs="Vrinda"/>
          <w:lang w:val="es-ES" w:eastAsia="es-ES"/>
        </w:rPr>
        <w:t xml:space="preserve">: </w:t>
      </w:r>
    </w:p>
    <w:p w14:paraId="7EC3C2DC" w14:textId="77777777" w:rsidR="002B6154" w:rsidRPr="002B6154" w:rsidRDefault="002B6154" w:rsidP="002B6154">
      <w:pPr>
        <w:tabs>
          <w:tab w:val="left" w:pos="3768"/>
        </w:tabs>
        <w:spacing w:after="0" w:line="276" w:lineRule="auto"/>
        <w:jc w:val="both"/>
        <w:rPr>
          <w:rFonts w:ascii="Verdana" w:eastAsia="Calibri" w:hAnsi="Verdana" w:cs="Arial"/>
          <w:lang w:val="es-ES_tradnl" w:eastAsia="es-ES"/>
        </w:rPr>
      </w:pPr>
      <w:r w:rsidRPr="002B6154">
        <w:rPr>
          <w:rFonts w:ascii="Verdana" w:eastAsia="Calibri" w:hAnsi="Verdana" w:cs="Arial"/>
          <w:lang w:val="es-ES_tradnl" w:eastAsia="es-ES"/>
        </w:rPr>
        <w:tab/>
      </w:r>
    </w:p>
    <w:p w14:paraId="371760AB" w14:textId="77777777" w:rsidR="002B6154" w:rsidRPr="002B6154" w:rsidRDefault="002B6154" w:rsidP="002B6154">
      <w:pPr>
        <w:spacing w:after="0" w:line="276" w:lineRule="auto"/>
        <w:jc w:val="both"/>
        <w:rPr>
          <w:rFonts w:ascii="Verdana" w:eastAsia="Calibri" w:hAnsi="Verdana" w:cs="Vrinda"/>
          <w:lang w:val="es-ES" w:eastAsia="es-ES"/>
        </w:rPr>
      </w:pPr>
      <w:r w:rsidRPr="002B6154">
        <w:rPr>
          <w:rFonts w:ascii="Verdana" w:eastAsia="Calibri" w:hAnsi="Verdana" w:cs="Vrinda"/>
          <w:lang w:val="es-ES" w:eastAsia="es-ES"/>
        </w:rPr>
        <w:t>En ejercicio de la competencia otorgada por los artículos 3, numeral 5º, y 11, numeral 8º, del Decreto Ley 4170 de 2011,</w:t>
      </w:r>
      <w:r w:rsidRPr="002B6154">
        <w:rPr>
          <w:rFonts w:ascii="Verdana" w:eastAsia="Arial MT" w:hAnsi="Verdana" w:cs="Vrinda"/>
          <w:lang w:val="es-ES" w:eastAsia="es-ES"/>
        </w:rPr>
        <w:t xml:space="preserve"> </w:t>
      </w:r>
      <w:r w:rsidRPr="002B6154">
        <w:rPr>
          <w:rFonts w:ascii="Verdana" w:eastAsia="Calibri" w:hAnsi="Verdana" w:cs="Vrinda"/>
          <w:lang w:eastAsia="es-MX"/>
        </w:rPr>
        <w:t xml:space="preserve">así como lo establecido en la Resolución 469 de 2025 expedida por esta Entidad, </w:t>
      </w:r>
      <w:r w:rsidRPr="002B6154">
        <w:rPr>
          <w:rFonts w:ascii="Verdana" w:eastAsia="Calibri" w:hAnsi="Verdana" w:cs="Vrinda"/>
          <w:lang w:val="es-ES" w:eastAsia="es-ES"/>
        </w:rPr>
        <w:t xml:space="preserve">la Agencia Nacional de </w:t>
      </w:r>
      <w:r w:rsidRPr="002B6154">
        <w:rPr>
          <w:rFonts w:ascii="Verdana" w:eastAsia="Calibri" w:hAnsi="Verdana" w:cs="Vrinda"/>
          <w:lang w:val="es-ES" w:eastAsia="es-ES"/>
        </w:rPr>
        <w:lastRenderedPageBreak/>
        <w:t>Contratación Pública – Colombia Compra Eficiente– responde su solicitud del 18 de junio de 2026. En dicha petición usted manifiesta lo siguiente:</w:t>
      </w:r>
    </w:p>
    <w:p w14:paraId="16E4456F" w14:textId="77777777" w:rsidR="002B6154" w:rsidRPr="002B6154" w:rsidRDefault="002B6154" w:rsidP="002B6154">
      <w:pPr>
        <w:tabs>
          <w:tab w:val="left" w:pos="142"/>
          <w:tab w:val="left" w:pos="284"/>
        </w:tabs>
        <w:snapToGrid w:val="0"/>
        <w:spacing w:after="0" w:line="240" w:lineRule="auto"/>
        <w:jc w:val="both"/>
        <w:rPr>
          <w:rFonts w:ascii="Verdana" w:eastAsia="Century Gothic" w:hAnsi="Verdana" w:cs="Century Gothic"/>
          <w:b/>
          <w:bCs/>
          <w:sz w:val="21"/>
          <w:szCs w:val="21"/>
          <w:lang w:val="es-ES_tradnl" w:eastAsia="es-MX"/>
        </w:rPr>
      </w:pPr>
    </w:p>
    <w:p w14:paraId="4E486779" w14:textId="77777777" w:rsidR="002B6154" w:rsidRPr="002B6154" w:rsidRDefault="002B6154" w:rsidP="002B61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09" w:right="709"/>
        <w:jc w:val="both"/>
        <w:rPr>
          <w:rFonts w:ascii="Verdana" w:eastAsia="Aptos" w:hAnsi="Verdana" w:cs="Times New Roman"/>
          <w:kern w:val="2"/>
          <w:sz w:val="20"/>
          <w:szCs w:val="20"/>
          <w14:ligatures w14:val="standardContextual"/>
        </w:rPr>
      </w:pPr>
      <w:r w:rsidRPr="002B6154">
        <w:rPr>
          <w:rFonts w:ascii="Verdana" w:eastAsia="Century Gothic" w:hAnsi="Verdana" w:cs="Arial"/>
          <w:sz w:val="20"/>
          <w:szCs w:val="20"/>
          <w:lang w:val="es-ES_tradnl" w:eastAsia="es-MX"/>
        </w:rPr>
        <w:t>“</w:t>
      </w:r>
      <w:r w:rsidRPr="002B6154">
        <w:rPr>
          <w:rFonts w:ascii="Verdana" w:eastAsia="Aptos" w:hAnsi="Verdana" w:cs="Times New Roman"/>
          <w:kern w:val="2"/>
          <w:sz w:val="20"/>
          <w:szCs w:val="20"/>
          <w14:ligatures w14:val="standardContextual"/>
        </w:rPr>
        <w:t xml:space="preserve">Por medio del presente, me permito elevar solicitud de concepto jurídico para determinar la obligatoriedad y correcta aplicación de los Documentos Tipo vigentes, con base en los siguientes: </w:t>
      </w:r>
    </w:p>
    <w:p w14:paraId="4AB676FB" w14:textId="77777777" w:rsidR="002B6154" w:rsidRPr="002B6154" w:rsidRDefault="002B6154" w:rsidP="002B61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09" w:right="709"/>
        <w:jc w:val="both"/>
        <w:rPr>
          <w:rFonts w:ascii="Verdana" w:eastAsia="Aptos" w:hAnsi="Verdana" w:cs="Times New Roman"/>
          <w:kern w:val="2"/>
          <w:sz w:val="20"/>
          <w:szCs w:val="20"/>
          <w14:ligatures w14:val="standardContextual"/>
        </w:rPr>
      </w:pPr>
      <w:r w:rsidRPr="002B6154">
        <w:rPr>
          <w:rFonts w:ascii="Verdana" w:eastAsia="Aptos" w:hAnsi="Verdana" w:cs="Times New Roman"/>
          <w:kern w:val="2"/>
          <w:sz w:val="20"/>
          <w:szCs w:val="20"/>
          <w14:ligatures w14:val="standardContextual"/>
        </w:rPr>
        <w:t xml:space="preserve">I. ANTECEDENTES Y HECHOS </w:t>
      </w:r>
    </w:p>
    <w:p w14:paraId="54FF55D9" w14:textId="77777777" w:rsidR="002B6154" w:rsidRPr="002B6154" w:rsidRDefault="002B6154" w:rsidP="002B61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09" w:right="709"/>
        <w:jc w:val="both"/>
        <w:rPr>
          <w:rFonts w:ascii="Verdana" w:eastAsia="Aptos" w:hAnsi="Verdana" w:cs="Times New Roman"/>
          <w:kern w:val="2"/>
          <w:sz w:val="20"/>
          <w:szCs w:val="20"/>
          <w14:ligatures w14:val="standardContextual"/>
        </w:rPr>
      </w:pPr>
      <w:r w:rsidRPr="002B6154">
        <w:rPr>
          <w:rFonts w:ascii="Verdana" w:eastAsia="Aptos" w:hAnsi="Verdana" w:cs="Times New Roman"/>
          <w:kern w:val="2"/>
          <w:sz w:val="20"/>
          <w:szCs w:val="20"/>
          <w14:ligatures w14:val="standardContextual"/>
        </w:rPr>
        <w:t xml:space="preserve">1. Se requiere adelantar un proceso de selección bajo la modalidad de Licitación para contratar la Construcción y ampliación de salones comunales. </w:t>
      </w:r>
    </w:p>
    <w:p w14:paraId="628D376D" w14:textId="77777777" w:rsidR="002B6154" w:rsidRPr="002B6154" w:rsidRDefault="002B6154" w:rsidP="002B61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09" w:right="709"/>
        <w:jc w:val="both"/>
        <w:rPr>
          <w:rFonts w:ascii="Verdana" w:eastAsia="Aptos" w:hAnsi="Verdana" w:cs="Times New Roman"/>
          <w:kern w:val="2"/>
          <w:sz w:val="20"/>
          <w:szCs w:val="20"/>
          <w14:ligatures w14:val="standardContextual"/>
        </w:rPr>
      </w:pPr>
      <w:r w:rsidRPr="002B6154">
        <w:rPr>
          <w:rFonts w:ascii="Verdana" w:eastAsia="Aptos" w:hAnsi="Verdana" w:cs="Times New Roman"/>
          <w:kern w:val="2"/>
          <w:sz w:val="20"/>
          <w:szCs w:val="20"/>
          <w14:ligatures w14:val="standardContextual"/>
        </w:rPr>
        <w:t xml:space="preserve">2. La Agencia Nacional de Contratación Pública (ANCP-CCE) expidió e implementó el Pliego Tipo Transversal de Licitación de Obra Pública de Infraestructura Social (Versión 2). </w:t>
      </w:r>
    </w:p>
    <w:p w14:paraId="5E944961" w14:textId="77777777" w:rsidR="002B6154" w:rsidRPr="002B6154" w:rsidRDefault="002B6154" w:rsidP="002B61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09" w:right="709"/>
        <w:jc w:val="both"/>
        <w:rPr>
          <w:rFonts w:ascii="Verdana" w:eastAsia="Aptos" w:hAnsi="Verdana" w:cs="Times New Roman"/>
          <w:kern w:val="2"/>
          <w:sz w:val="20"/>
          <w:szCs w:val="20"/>
          <w14:ligatures w14:val="standardContextual"/>
        </w:rPr>
      </w:pPr>
      <w:r w:rsidRPr="002B6154">
        <w:rPr>
          <w:rFonts w:ascii="Verdana" w:eastAsia="Aptos" w:hAnsi="Verdana" w:cs="Times New Roman"/>
          <w:kern w:val="2"/>
          <w:sz w:val="20"/>
          <w:szCs w:val="20"/>
          <w14:ligatures w14:val="standardContextual"/>
        </w:rPr>
        <w:t>3. Al analizar la matriz de experiencia y los anexos técnicos correspondientes a la Infraestructura Social, surge la necesidad de precisar si la tipología específica de "salón comunal" se enmarca taxativamente dentro de las clasificaciones del Código Estándar de Productos y Servicios de las Naciones Unidas (UNSPSC) exigidas y amparadas por este Pliego Tipo. 4. Garantizar el principio de legalidad y el estricto cumplimiento de las normas que regulan la contratación estatal exige determinar sin equívocos si el uso de este documento estandarizado es de forzosa aplicación para la infraestructura mencionada, o si la Entidad Estatal cuenta con el margen para estructurar un pliego de condiciones.</w:t>
      </w:r>
      <w:r w:rsidRPr="002B6154" w:rsidDel="00F36C02">
        <w:rPr>
          <w:rFonts w:ascii="Verdana" w:eastAsia="Aptos" w:hAnsi="Verdana" w:cs="Times New Roman"/>
          <w:kern w:val="2"/>
          <w:sz w:val="20"/>
          <w:szCs w:val="20"/>
          <w14:ligatures w14:val="standardContextual"/>
        </w:rPr>
        <w:t xml:space="preserve"> </w:t>
      </w:r>
    </w:p>
    <w:p w14:paraId="79D006F2" w14:textId="77777777" w:rsidR="002B6154" w:rsidRPr="002B6154" w:rsidRDefault="002B6154" w:rsidP="002B61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09" w:right="709"/>
        <w:jc w:val="both"/>
        <w:rPr>
          <w:rFonts w:ascii="Verdana" w:eastAsia="Aptos" w:hAnsi="Verdana" w:cs="Times New Roman"/>
          <w:kern w:val="2"/>
          <w:sz w:val="20"/>
          <w:szCs w:val="20"/>
          <w14:ligatures w14:val="standardContextual"/>
        </w:rPr>
      </w:pPr>
      <w:r w:rsidRPr="002B6154">
        <w:rPr>
          <w:rFonts w:ascii="Verdana" w:eastAsia="Aptos" w:hAnsi="Verdana" w:cs="Times New Roman"/>
          <w:kern w:val="2"/>
          <w:sz w:val="20"/>
          <w:szCs w:val="20"/>
          <w14:ligatures w14:val="standardContextual"/>
        </w:rPr>
        <w:t xml:space="preserve">II. CONSULTA </w:t>
      </w:r>
    </w:p>
    <w:p w14:paraId="3CA763A8" w14:textId="77777777" w:rsidR="002B6154" w:rsidRPr="002B6154" w:rsidRDefault="002B6154" w:rsidP="002B61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09" w:right="709"/>
        <w:jc w:val="both"/>
        <w:rPr>
          <w:rFonts w:ascii="Verdana" w:eastAsia="Aptos" w:hAnsi="Verdana" w:cs="Times New Roman"/>
          <w:kern w:val="2"/>
          <w:sz w:val="20"/>
          <w:szCs w:val="20"/>
          <w14:ligatures w14:val="standardContextual"/>
        </w:rPr>
      </w:pPr>
      <w:r w:rsidRPr="002B6154">
        <w:rPr>
          <w:rFonts w:ascii="Verdana" w:eastAsia="Aptos" w:hAnsi="Verdana" w:cs="Times New Roman"/>
          <w:kern w:val="2"/>
          <w:sz w:val="20"/>
          <w:szCs w:val="20"/>
          <w14:ligatures w14:val="standardContextual"/>
        </w:rPr>
        <w:t xml:space="preserve">Con fundamento en lo expuesto, comedidamente solicito a la ANCP-CCE emitir concepto jurídico resolviendo los siguientes interrogantes: </w:t>
      </w:r>
    </w:p>
    <w:p w14:paraId="7CA6F387" w14:textId="77777777" w:rsidR="002B6154" w:rsidRPr="002B6154" w:rsidRDefault="002B6154" w:rsidP="002B61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09" w:right="709"/>
        <w:jc w:val="both"/>
        <w:rPr>
          <w:rFonts w:ascii="Verdana" w:eastAsia="Aptos" w:hAnsi="Verdana" w:cs="Times New Roman"/>
          <w:kern w:val="2"/>
          <w:sz w:val="20"/>
          <w:szCs w:val="20"/>
          <w14:ligatures w14:val="standardContextual"/>
        </w:rPr>
      </w:pPr>
      <w:r w:rsidRPr="002B6154">
        <w:rPr>
          <w:rFonts w:ascii="Verdana" w:eastAsia="Aptos" w:hAnsi="Verdana" w:cs="Times New Roman"/>
          <w:kern w:val="2"/>
          <w:sz w:val="20"/>
          <w:szCs w:val="20"/>
          <w14:ligatures w14:val="standardContextual"/>
        </w:rPr>
        <w:t>• PRIMERA: ¿Resulta obligatorio, y por ende de forzosa aplicación, el uso del Pliego Tipo Transversal de Licitación de Obra Pública de Infraestructura Social – Versión 2 para adelantar un proceso de selección cuyo objeto principal es la construcción, adecuación y/o ampliación de salones comunales?</w:t>
      </w:r>
    </w:p>
    <w:p w14:paraId="2BD97788" w14:textId="77777777" w:rsidR="002B6154" w:rsidRPr="002B6154" w:rsidRDefault="002B6154" w:rsidP="002B61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09" w:right="709"/>
        <w:jc w:val="both"/>
        <w:rPr>
          <w:rFonts w:ascii="Verdana" w:eastAsia="Aptos" w:hAnsi="Verdana" w:cs="Times New Roman"/>
          <w:kern w:val="2"/>
          <w:sz w:val="20"/>
          <w:szCs w:val="20"/>
          <w14:ligatures w14:val="standardContextual"/>
        </w:rPr>
      </w:pPr>
      <w:r w:rsidRPr="002B6154">
        <w:rPr>
          <w:rFonts w:ascii="Verdana" w:eastAsia="Aptos" w:hAnsi="Verdana" w:cs="Times New Roman"/>
          <w:kern w:val="2"/>
          <w:sz w:val="20"/>
          <w:szCs w:val="20"/>
          <w14:ligatures w14:val="standardContextual"/>
        </w:rPr>
        <w:t xml:space="preserve">• SEGUNDA: En caso de que la respuesta anterior sea afirmativa, ¿cuáles son los Códigos UNSPSC y las matrices de experiencia (indicadores) que la ANCP-CCE recomienda o determina como aplicables dentro del Pliego Tipo para la tipología específica de un salón comunal? </w:t>
      </w:r>
    </w:p>
    <w:p w14:paraId="50CB6F0D" w14:textId="77777777" w:rsidR="002B6154" w:rsidRPr="002B6154" w:rsidRDefault="002B6154" w:rsidP="002B61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right="709"/>
        <w:jc w:val="both"/>
        <w:rPr>
          <w:rFonts w:ascii="Verdana" w:eastAsia="Calibri" w:hAnsi="Verdana" w:cs="Arial"/>
          <w:color w:val="000000"/>
          <w:sz w:val="20"/>
          <w:szCs w:val="20"/>
          <w:lang w:val="es-MX" w:eastAsia="es-MX"/>
        </w:rPr>
      </w:pPr>
      <w:r w:rsidRPr="002B6154">
        <w:rPr>
          <w:rFonts w:ascii="Verdana" w:eastAsia="Aptos" w:hAnsi="Verdana" w:cs="Times New Roman"/>
          <w:kern w:val="2"/>
          <w:sz w:val="20"/>
          <w:szCs w:val="20"/>
          <w14:ligatures w14:val="standardContextual"/>
        </w:rPr>
        <w:t>• TERCERA: En caso de que el Pliego Tipo de Infraestructura Social no sea el aplicable para esta tipología constructiva, ¿se encuentra la Entidad Estatal facultada para elaborar un pliego de condiciones no estandarizado, observando las reglas generales de la Ley 80 de 1993 y la Ley 1150 de 2007, Decreto 1082 de 2015?</w:t>
      </w:r>
      <w:r w:rsidRPr="002B6154">
        <w:rPr>
          <w:rFonts w:ascii="Verdana" w:eastAsia="Calibri" w:hAnsi="Verdana" w:cs="Arial"/>
          <w:color w:val="000000"/>
          <w:sz w:val="20"/>
          <w:szCs w:val="20"/>
          <w:lang w:val="es-MX" w:eastAsia="es-MX"/>
        </w:rPr>
        <w:t>”.</w:t>
      </w:r>
    </w:p>
    <w:p w14:paraId="27702CFA" w14:textId="77777777" w:rsidR="002B6154" w:rsidRPr="002B6154" w:rsidRDefault="002B6154" w:rsidP="002B6154">
      <w:pPr>
        <w:tabs>
          <w:tab w:val="left" w:pos="142"/>
          <w:tab w:val="left" w:pos="1020"/>
        </w:tabs>
        <w:spacing w:after="0" w:line="276" w:lineRule="auto"/>
        <w:contextualSpacing/>
        <w:jc w:val="both"/>
        <w:rPr>
          <w:rFonts w:ascii="Verdana" w:eastAsia="Century Gothic" w:hAnsi="Verdana" w:cs="Century Gothic"/>
          <w:b/>
          <w:bCs/>
          <w:lang w:val="es-ES_tradnl" w:eastAsia="es-MX"/>
        </w:rPr>
      </w:pPr>
      <w:r w:rsidRPr="002B6154">
        <w:rPr>
          <w:rFonts w:ascii="Verdana" w:eastAsia="Century Gothic" w:hAnsi="Verdana" w:cs="Century Gothic"/>
          <w:b/>
          <w:bCs/>
          <w:lang w:val="es-ES_tradnl" w:eastAsia="es-MX"/>
        </w:rPr>
        <w:tab/>
      </w:r>
      <w:r w:rsidRPr="002B6154">
        <w:rPr>
          <w:rFonts w:ascii="Verdana" w:eastAsia="Century Gothic" w:hAnsi="Verdana" w:cs="Century Gothic"/>
          <w:b/>
          <w:bCs/>
          <w:lang w:val="es-ES_tradnl" w:eastAsia="es-MX"/>
        </w:rPr>
        <w:tab/>
      </w:r>
    </w:p>
    <w:p w14:paraId="157A31D7" w14:textId="77777777" w:rsidR="002B6154" w:rsidRPr="002B6154" w:rsidRDefault="002B6154" w:rsidP="002B6154">
      <w:pPr>
        <w:spacing w:after="120" w:line="276" w:lineRule="auto"/>
        <w:ind w:firstLine="709"/>
        <w:jc w:val="both"/>
        <w:rPr>
          <w:rFonts w:ascii="Verdana" w:eastAsia="Calibri" w:hAnsi="Verdana" w:cs="Arial"/>
          <w:lang w:val="es-ES" w:eastAsia="es-ES"/>
        </w:rPr>
      </w:pPr>
      <w:r w:rsidRPr="002B6154">
        <w:rPr>
          <w:rFonts w:ascii="Verdana" w:eastAsia="Calibri" w:hAnsi="Verdana" w:cs="Arial"/>
          <w:lang w:val="es-ES" w:eastAsia="es-ES"/>
        </w:rPr>
        <w:lastRenderedPageBreak/>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compras públicas.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2B6154">
        <w:rPr>
          <w:rFonts w:ascii="Calibri" w:eastAsia="Calibri" w:hAnsi="Calibri" w:cs="Times New Roman"/>
          <w:lang w:eastAsia="es-MX"/>
        </w:rPr>
        <w:tab/>
      </w:r>
    </w:p>
    <w:p w14:paraId="0BD6AF5E" w14:textId="77777777" w:rsidR="002B6154" w:rsidRPr="002B6154" w:rsidRDefault="002B6154" w:rsidP="002B6154">
      <w:pPr>
        <w:snapToGrid w:val="0"/>
        <w:spacing w:after="0" w:line="276" w:lineRule="auto"/>
        <w:ind w:firstLine="709"/>
        <w:jc w:val="both"/>
        <w:rPr>
          <w:rFonts w:ascii="Verdana" w:eastAsia="Calibri" w:hAnsi="Verdana" w:cs="Arial"/>
          <w:lang w:val="es-ES_tradnl" w:eastAsia="es-ES"/>
        </w:rPr>
      </w:pPr>
      <w:r w:rsidRPr="002B6154">
        <w:rPr>
          <w:rFonts w:ascii="Verdana" w:eastAsia="Calibri" w:hAnsi="Verdana" w:cs="Arial"/>
          <w:lang w:val="es-ES_tradnl" w:eastAsia="es-ES"/>
        </w:rPr>
        <w:t xml:space="preserve">Conforme a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46126DB5" w14:textId="77777777" w:rsidR="002B6154" w:rsidRPr="002B6154" w:rsidRDefault="002B6154" w:rsidP="002B6154">
      <w:pPr>
        <w:snapToGrid w:val="0"/>
        <w:spacing w:after="0" w:line="276" w:lineRule="auto"/>
        <w:ind w:firstLine="709"/>
        <w:jc w:val="both"/>
        <w:rPr>
          <w:rFonts w:ascii="Verdana" w:eastAsia="Calibri" w:hAnsi="Verdana" w:cs="Arial"/>
          <w:lang w:val="es-ES_tradnl" w:eastAsia="es-ES"/>
        </w:rPr>
      </w:pPr>
    </w:p>
    <w:p w14:paraId="4C079A4F" w14:textId="77777777" w:rsidR="002B6154" w:rsidRPr="002B6154" w:rsidRDefault="002B6154" w:rsidP="002B615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eastAsia="es-MX"/>
        </w:rPr>
      </w:pPr>
      <w:r w:rsidRPr="002B6154">
        <w:rPr>
          <w:rFonts w:ascii="Verdana" w:eastAsia="Century Gothic" w:hAnsi="Verdana" w:cs="Century Gothic"/>
          <w:b/>
          <w:bCs/>
          <w:lang w:val="es-ES_tradnl" w:eastAsia="es-MX"/>
        </w:rPr>
        <w:t>Problema planteado:</w:t>
      </w:r>
    </w:p>
    <w:p w14:paraId="5AB7B592" w14:textId="77777777" w:rsidR="002B6154" w:rsidRPr="002B6154" w:rsidRDefault="002B6154" w:rsidP="002B6154">
      <w:pPr>
        <w:tabs>
          <w:tab w:val="left" w:pos="426"/>
        </w:tabs>
        <w:snapToGrid w:val="0"/>
        <w:spacing w:after="0" w:line="276" w:lineRule="auto"/>
        <w:jc w:val="both"/>
        <w:rPr>
          <w:rFonts w:ascii="Verdana" w:eastAsia="Century Gothic" w:hAnsi="Verdana" w:cs="Century Gothic"/>
          <w:lang w:val="es-ES_tradnl" w:eastAsia="es-MX"/>
        </w:rPr>
      </w:pPr>
    </w:p>
    <w:p w14:paraId="54BD78F4" w14:textId="77777777" w:rsidR="002B6154" w:rsidRPr="002B6154" w:rsidRDefault="002B6154" w:rsidP="002B6154">
      <w:pPr>
        <w:spacing w:after="0" w:line="276" w:lineRule="auto"/>
        <w:jc w:val="both"/>
        <w:rPr>
          <w:rFonts w:ascii="Verdana" w:eastAsia="Times New Roman" w:hAnsi="Verdana" w:cs="Times New Roman"/>
          <w:lang w:eastAsia="es-MX"/>
        </w:rPr>
      </w:pPr>
      <w:r w:rsidRPr="002B6154">
        <w:rPr>
          <w:rFonts w:ascii="Verdana" w:eastAsia="Century Gothic" w:hAnsi="Verdana" w:cs="Century Gothic"/>
          <w:lang w:val="es-ES" w:eastAsia="es-MX"/>
        </w:rPr>
        <w:t xml:space="preserve">De acuerdo con el contenido de su solicitud, esta Agencia resolverá los siguientes problemas jurídicos: i) ¿Aplican los documentos tipo expedidos por la Agencia Nacional de Contratación Pública – Colombia Compra Eficiente para adelantar un proceso que tiene como objeto la construcción y ampliación de salones comunales? y </w:t>
      </w:r>
      <w:proofErr w:type="spellStart"/>
      <w:r w:rsidRPr="002B6154">
        <w:rPr>
          <w:rFonts w:ascii="Verdana" w:eastAsia="Century Gothic" w:hAnsi="Verdana" w:cs="Century Gothic"/>
          <w:lang w:val="es-ES" w:eastAsia="es-MX"/>
        </w:rPr>
        <w:t>ii</w:t>
      </w:r>
      <w:proofErr w:type="spellEnd"/>
      <w:r w:rsidRPr="002B6154">
        <w:rPr>
          <w:rFonts w:ascii="Verdana" w:eastAsia="Century Gothic" w:hAnsi="Verdana" w:cs="Century Gothic"/>
          <w:lang w:val="es-ES" w:eastAsia="es-MX"/>
        </w:rPr>
        <w:t xml:space="preserve">) </w:t>
      </w:r>
      <w:r w:rsidRPr="002B6154">
        <w:rPr>
          <w:rFonts w:ascii="Verdana" w:eastAsia="Times New Roman" w:hAnsi="Verdana" w:cs="Arial"/>
          <w:kern w:val="2"/>
          <w:bdr w:val="none" w:sz="0" w:space="0" w:color="auto" w:frame="1"/>
          <w:lang w:val="es-MX" w:eastAsia="es-CO"/>
          <w14:ligatures w14:val="standardContextual"/>
        </w:rPr>
        <w:t xml:space="preserve">¿cuáles son los códigos UNSPSC que podrían ser exigidos en un proceso de contratación cuyo objeto consiste en la construcción y ampliación de salones comunales? </w:t>
      </w:r>
    </w:p>
    <w:p w14:paraId="03D61D75" w14:textId="77777777" w:rsidR="002B6154" w:rsidRPr="002B6154" w:rsidRDefault="002B6154" w:rsidP="002B6154">
      <w:pPr>
        <w:spacing w:after="0" w:line="240" w:lineRule="auto"/>
        <w:jc w:val="both"/>
        <w:rPr>
          <w:rFonts w:ascii="Verdana" w:eastAsia="Calibri" w:hAnsi="Verdana" w:cs="Arial"/>
          <w:lang w:eastAsia="es-MX"/>
        </w:rPr>
      </w:pPr>
    </w:p>
    <w:p w14:paraId="4834CBCC" w14:textId="77777777" w:rsidR="002B6154" w:rsidRPr="002B6154" w:rsidRDefault="002B6154" w:rsidP="002B615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eastAsia="es-MX"/>
        </w:rPr>
      </w:pPr>
      <w:r w:rsidRPr="002B6154">
        <w:rPr>
          <w:rFonts w:ascii="Verdana" w:eastAsia="Century Gothic" w:hAnsi="Verdana" w:cs="Century Gothic"/>
          <w:b/>
          <w:bCs/>
          <w:lang w:val="es-ES_tradnl" w:eastAsia="es-MX"/>
        </w:rPr>
        <w:t>Respuesta:</w:t>
      </w:r>
    </w:p>
    <w:p w14:paraId="2C7B3717" w14:textId="77777777" w:rsidR="002B6154" w:rsidRPr="002B6154" w:rsidRDefault="002B6154" w:rsidP="002B6154">
      <w:pPr>
        <w:tabs>
          <w:tab w:val="left" w:pos="142"/>
          <w:tab w:val="left" w:pos="284"/>
        </w:tabs>
        <w:snapToGrid w:val="0"/>
        <w:spacing w:after="0" w:line="276" w:lineRule="auto"/>
        <w:jc w:val="both"/>
        <w:rPr>
          <w:rFonts w:ascii="Verdana" w:eastAsia="Century Gothic" w:hAnsi="Verdana" w:cs="Century Gothic"/>
          <w:b/>
          <w:bCs/>
          <w:lang w:val="es-ES_tradnl"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B6154" w:rsidRPr="002B6154" w14:paraId="28AF75BA" w14:textId="77777777" w:rsidTr="72C1FDD2">
        <w:tc>
          <w:tcPr>
            <w:tcW w:w="8828" w:type="dxa"/>
          </w:tcPr>
          <w:p w14:paraId="0DFD2900" w14:textId="77777777" w:rsidR="002B6154" w:rsidRPr="002B6154" w:rsidRDefault="002B6154" w:rsidP="002B6154">
            <w:pPr>
              <w:spacing w:line="276" w:lineRule="auto"/>
              <w:jc w:val="both"/>
              <w:rPr>
                <w:rFonts w:ascii="Verdana" w:eastAsia="Calibri" w:hAnsi="Verdana" w:cs="Times New Roman"/>
                <w:lang w:val="es-ES"/>
              </w:rPr>
            </w:pPr>
            <w:r w:rsidRPr="002B6154">
              <w:rPr>
                <w:rFonts w:ascii="Verdana" w:eastAsia="Calibri" w:hAnsi="Verdana" w:cs="Times New Roman"/>
                <w:lang w:val="es-ES" w:eastAsia="es-MX"/>
              </w:rPr>
              <w:t xml:space="preserve">i) Considerando el primer problema jurídico de este concepto, </w:t>
            </w:r>
            <w:r w:rsidRPr="002B6154">
              <w:rPr>
                <w:rFonts w:ascii="Verdana" w:eastAsia="Times New Roman" w:hAnsi="Verdana" w:cs="Times New Roman"/>
                <w:color w:val="000000"/>
                <w:lang w:eastAsia="es-CO"/>
              </w:rPr>
              <w:t xml:space="preserve">en el que se indaga sobre la aplicación de los documentos tipo del sector social expedidos por la Agencia Nacional de Contratación Pública – Colombia Compra Eficiente </w:t>
            </w:r>
            <w:r w:rsidRPr="002B6154">
              <w:rPr>
                <w:rFonts w:ascii="Verdana" w:eastAsia="Times New Roman" w:hAnsi="Verdana" w:cs="Times New Roman"/>
                <w:i/>
                <w:iCs/>
                <w:color w:val="000000"/>
                <w:lang w:eastAsia="es-CO"/>
              </w:rPr>
              <w:t xml:space="preserve">“para adelantar un proceso de selección cuyo objeto principal es la construcción, adecuación y/o ampliación de salones </w:t>
            </w:r>
            <w:r w:rsidRPr="002B6154">
              <w:rPr>
                <w:rFonts w:ascii="Verdana" w:eastAsia="Times New Roman" w:hAnsi="Verdana" w:cs="Times New Roman"/>
                <w:i/>
                <w:iCs/>
                <w:color w:val="000000"/>
                <w:lang w:eastAsia="es-CO"/>
              </w:rPr>
              <w:lastRenderedPageBreak/>
              <w:t>comunales”.</w:t>
            </w:r>
            <w:r w:rsidRPr="002B6154">
              <w:rPr>
                <w:rFonts w:ascii="Verdana" w:eastAsia="Times New Roman" w:hAnsi="Verdana" w:cs="Times New Roman"/>
                <w:color w:val="000000"/>
                <w:lang w:eastAsia="es-CO"/>
              </w:rPr>
              <w:t xml:space="preserve"> Sobre el particular, en el capítulo </w:t>
            </w:r>
            <w:r w:rsidRPr="002B6154">
              <w:rPr>
                <w:rFonts w:ascii="Verdana" w:eastAsia="Times New Roman" w:hAnsi="Verdana" w:cs="Times New Roman"/>
                <w:i/>
                <w:iCs/>
                <w:color w:val="000000"/>
                <w:lang w:eastAsia="es-CO"/>
              </w:rPr>
              <w:t>“3. Obras de infraestructura del sector cultura, recreación y deporte”</w:t>
            </w:r>
            <w:r w:rsidRPr="002B6154">
              <w:rPr>
                <w:rFonts w:ascii="Verdana" w:eastAsia="Times New Roman" w:hAnsi="Verdana" w:cs="Times New Roman"/>
                <w:color w:val="000000"/>
                <w:lang w:eastAsia="es-CO"/>
              </w:rPr>
              <w:t xml:space="preserve"> de la Matriz 1 – Experiencia” de </w:t>
            </w:r>
            <w:r w:rsidRPr="002B6154">
              <w:rPr>
                <w:rFonts w:ascii="Verdana" w:eastAsia="Calibri" w:hAnsi="Verdana" w:cs="Times New Roman"/>
                <w:lang w:val="es-ES"/>
              </w:rPr>
              <w:t>los documentos tipo complementarios del sector cultura, recreación y deporte, en la modalidad de licitación de obra pública, selección abreviada de menor cuantía y mínima cuantía, se encuentran las siguientes actividades que recaen sobre infraestructura para reuniones sociales y/o religiosas:</w:t>
            </w:r>
          </w:p>
          <w:p w14:paraId="441AAEF4" w14:textId="77777777" w:rsidR="002B6154" w:rsidRPr="002B6154" w:rsidRDefault="002B6154" w:rsidP="002B6154">
            <w:pPr>
              <w:spacing w:line="276" w:lineRule="auto"/>
              <w:jc w:val="both"/>
              <w:rPr>
                <w:rFonts w:ascii="Verdana" w:eastAsia="Calibri" w:hAnsi="Verdana" w:cs="Times New Roman"/>
                <w:lang w:val="es-ES"/>
              </w:rPr>
            </w:pPr>
          </w:p>
          <w:p w14:paraId="4EB6AB32" w14:textId="77777777" w:rsidR="002B6154" w:rsidRPr="002B6154" w:rsidRDefault="002B6154" w:rsidP="002B6154">
            <w:pPr>
              <w:spacing w:after="120"/>
              <w:ind w:left="709" w:right="709"/>
              <w:jc w:val="both"/>
              <w:rPr>
                <w:rFonts w:ascii="Verdana" w:eastAsia="Calibri" w:hAnsi="Verdana" w:cs="Times New Roman"/>
                <w:sz w:val="21"/>
                <w:szCs w:val="21"/>
                <w:lang w:val="es-ES"/>
              </w:rPr>
            </w:pPr>
            <w:r w:rsidRPr="002B6154">
              <w:rPr>
                <w:rFonts w:ascii="Verdana" w:eastAsia="Calibri" w:hAnsi="Verdana" w:cs="Times New Roman"/>
                <w:sz w:val="21"/>
                <w:szCs w:val="21"/>
                <w:lang w:val="es-ES"/>
              </w:rPr>
              <w:t>“3.1. PROYECTOS DE CONSTRUCCIÓN Y/O AMPLIACIÓN Y/O RECONSTRUCCIÓN DE INSTALACIONES EN INFRAESTRUCTURA PARA REUNIONES SOCIALES Y/O RELIGIOSOS</w:t>
            </w:r>
          </w:p>
          <w:p w14:paraId="50D26DDC" w14:textId="77777777" w:rsidR="002B6154" w:rsidRPr="002B6154" w:rsidRDefault="002B6154" w:rsidP="002B6154">
            <w:pPr>
              <w:ind w:left="709" w:right="709"/>
              <w:jc w:val="both"/>
              <w:rPr>
                <w:rFonts w:ascii="Verdana" w:eastAsia="Calibri" w:hAnsi="Verdana" w:cs="Times New Roman"/>
                <w:sz w:val="21"/>
                <w:szCs w:val="21"/>
                <w:lang w:val="es-ES"/>
              </w:rPr>
            </w:pPr>
            <w:r w:rsidRPr="002B6154">
              <w:rPr>
                <w:rFonts w:ascii="Verdana" w:eastAsia="Calibri" w:hAnsi="Verdana" w:cs="Times New Roman"/>
                <w:sz w:val="21"/>
                <w:szCs w:val="21"/>
                <w:lang w:val="es-ES"/>
              </w:rPr>
              <w:t xml:space="preserve">3.2. PROYECTOS DE ADECUACIÓN Y/O CONSERVACIÓN Y/O INTERVENCIÓN Y/O INSTALACIÓN Y/O MANTENIMIENTO Y/O MEJORAMIENTO Y/O MODIFICACIÓN U OPTIMIZACIÓN Y/O REHABILITACIÓN Y/O REMODELACIÓN Y/O REPOSICIÓN Y/O REPARACIÓN LOCATIVA Y/O RESTAURACIÓN Y/O RESTITUCIÓN Y/O TERMINACIÓN EN INFRAESTRUCTURA PARA REUNIONES SOCIALES Y/O RELIGIOSOS”. </w:t>
            </w:r>
          </w:p>
          <w:p w14:paraId="33CD82D0" w14:textId="77777777" w:rsidR="002B6154" w:rsidRPr="002B6154" w:rsidRDefault="002B6154" w:rsidP="002B6154">
            <w:pPr>
              <w:spacing w:line="276" w:lineRule="auto"/>
              <w:jc w:val="both"/>
              <w:rPr>
                <w:rFonts w:ascii="Verdana" w:eastAsia="Calibri" w:hAnsi="Verdana" w:cs="Times New Roman"/>
              </w:rPr>
            </w:pPr>
            <w:r w:rsidRPr="002B6154">
              <w:rPr>
                <w:rFonts w:ascii="Verdana" w:eastAsia="Calibri" w:hAnsi="Verdana" w:cs="Times New Roman"/>
              </w:rPr>
              <w:tab/>
            </w:r>
          </w:p>
          <w:p w14:paraId="6E2042FF" w14:textId="11F90FC0" w:rsidR="002B6154" w:rsidRPr="002B6154" w:rsidRDefault="002B6154" w:rsidP="002B6154">
            <w:pPr>
              <w:spacing w:after="120" w:line="276" w:lineRule="auto"/>
              <w:jc w:val="both"/>
              <w:rPr>
                <w:rFonts w:ascii="Verdana" w:eastAsia="Aptos" w:hAnsi="Verdana" w:cs="Times New Roman"/>
              </w:rPr>
            </w:pPr>
            <w:r w:rsidRPr="002B6154">
              <w:rPr>
                <w:rFonts w:ascii="Verdana" w:eastAsia="Calibri" w:hAnsi="Verdana" w:cs="Times New Roman"/>
              </w:rPr>
              <w:tab/>
            </w:r>
            <w:r w:rsidRPr="002B6154">
              <w:rPr>
                <w:rFonts w:ascii="Verdana" w:eastAsia="Aptos" w:hAnsi="Verdana" w:cs="Times New Roman"/>
              </w:rPr>
              <w:t>Como se aprecia, las actividades 3.1 y 3.2 de la Matriz 1 – Experiencia de los documentos tipo complementarios para el sector cultura, recreación y deporte, adoptados por esta Agencia para los procesos de contratación de obra pública, contemplan actividades tales como la construcción, reconstrucción, ampliación, adecuación y conservación, entre otras, de infraestructura destinada a reuniones sociales y/o religiosas.</w:t>
            </w:r>
          </w:p>
          <w:p w14:paraId="66B71DE1" w14:textId="77777777" w:rsidR="002B6154" w:rsidRPr="002B6154" w:rsidRDefault="002B6154" w:rsidP="002B6154">
            <w:pPr>
              <w:spacing w:after="120" w:line="276" w:lineRule="auto"/>
              <w:jc w:val="both"/>
              <w:rPr>
                <w:rFonts w:ascii="Verdana" w:eastAsia="Times New Roman" w:hAnsi="Verdana" w:cs="Times New Roman"/>
                <w:i/>
                <w:iCs/>
                <w:color w:val="000000"/>
                <w:lang w:eastAsia="es-CO"/>
              </w:rPr>
            </w:pPr>
            <w:r w:rsidRPr="002B6154">
              <w:rPr>
                <w:rFonts w:ascii="Verdana" w:eastAsia="Calibri" w:hAnsi="Verdana" w:cs="Times New Roman"/>
                <w:lang w:val="es-ES"/>
              </w:rPr>
              <w:tab/>
            </w:r>
            <w:r w:rsidRPr="002B6154">
              <w:rPr>
                <w:rFonts w:ascii="Verdana" w:eastAsia="Times New Roman" w:hAnsi="Verdana" w:cs="Aptos"/>
                <w:lang w:eastAsia="es-MX"/>
              </w:rPr>
              <w:t xml:space="preserve">Para interpretar el alcance de este tipo de infraestructura –sitios de reuniones sociales y/o religiosos–, se debe tener en cuenta la nota general 1 de dicha Matriz, en las distintas modalidades de los documentos tipo. En esta se indica que </w:t>
            </w:r>
            <w:r w:rsidRPr="002B6154">
              <w:rPr>
                <w:rFonts w:ascii="Verdana" w:eastAsia="Times New Roman" w:hAnsi="Verdana" w:cs="Aptos"/>
                <w:i/>
                <w:iCs/>
                <w:lang w:eastAsia="es-MX"/>
              </w:rPr>
              <w:t>“(l)as definiciones contenidas en esta Matriz deben enmarcarse en la normativa vigente en la materia, así como en la NSR 10 o aquellas que los modifiquen, adicionen o sustituyan, así como a las definiciones contenidas en el "Anexo - Glosario del Sector Social””.</w:t>
            </w:r>
          </w:p>
          <w:p w14:paraId="1A023A80" w14:textId="77777777" w:rsidR="002B6154" w:rsidRPr="002B6154" w:rsidRDefault="002B6154" w:rsidP="002B6154">
            <w:pPr>
              <w:spacing w:after="120" w:line="278" w:lineRule="auto"/>
              <w:ind w:firstLine="708"/>
              <w:jc w:val="both"/>
              <w:rPr>
                <w:rFonts w:ascii="Verdana" w:eastAsia="Times New Roman" w:hAnsi="Verdana" w:cs="Aptos"/>
                <w:i/>
                <w:iCs/>
                <w:lang w:eastAsia="es-MX"/>
              </w:rPr>
            </w:pPr>
            <w:r w:rsidRPr="002B6154">
              <w:rPr>
                <w:rFonts w:ascii="Verdana" w:eastAsia="Times New Roman" w:hAnsi="Verdana" w:cs="Aptos"/>
                <w:lang w:eastAsia="es-MX"/>
              </w:rPr>
              <w:lastRenderedPageBreak/>
              <w:t xml:space="preserve">La nota general 1 contenida en la Matriz 1 – Experiencia de los documentos tipo indicados, es congruente con el numeral 1.10 del documento base que dispone que </w:t>
            </w:r>
            <w:r w:rsidRPr="002B6154">
              <w:rPr>
                <w:rFonts w:ascii="Verdana" w:eastAsia="Times New Roman" w:hAnsi="Verdana" w:cs="Aptos"/>
                <w:i/>
                <w:iCs/>
                <w:lang w:eastAsia="es-MX"/>
              </w:rPr>
              <w:t>“[p]ara los fines de este Pliego de Condiciones, a menos que expresamente se estipule de otra manera, los términos deben entenderse de acuerdo con la definición contenida en el artículo 2.2.1.1.1.3.1 del Decreto 1082 de 2015, el glosario aplicable a la obra pública de infraestructura social y demás normas, decretos reglamentarios y legislación aplicable en la materia”.</w:t>
            </w:r>
          </w:p>
          <w:p w14:paraId="628AFA58" w14:textId="77777777" w:rsidR="002B6154" w:rsidRPr="002B6154" w:rsidRDefault="002B6154" w:rsidP="002B6154">
            <w:pPr>
              <w:spacing w:line="276" w:lineRule="auto"/>
              <w:ind w:firstLine="708"/>
              <w:jc w:val="both"/>
              <w:rPr>
                <w:rFonts w:ascii="Verdana" w:eastAsia="Calibri" w:hAnsi="Verdana" w:cs="Arial"/>
                <w:lang w:val="es-ES_tradnl"/>
              </w:rPr>
            </w:pPr>
            <w:r w:rsidRPr="002B6154">
              <w:rPr>
                <w:rFonts w:ascii="Verdana" w:eastAsia="Calibri" w:hAnsi="Verdana" w:cs="Arial"/>
                <w:lang w:val="es-ES_tradnl"/>
              </w:rPr>
              <w:t>De esta forma, de acuerdo con el Anexo 5 – Glosario de los documentos tipo de licitación de obra pública de infraestructura social – versión 2, el numeral 2.102 señala la definición de “Grupo de ocupación de lugares de reunión” lo cual, es importante para comprender el alcance de las actividades 3.1 y 3.2 contenidas en la Matriz 1 – Experiencia y enmarcar los objetos de su solicitud en estas actividades. Así, en el numeral se dispone lo siguiente:</w:t>
            </w:r>
          </w:p>
          <w:p w14:paraId="08B2E481" w14:textId="77777777" w:rsidR="002B6154" w:rsidRPr="002B6154" w:rsidRDefault="002B6154" w:rsidP="002B6154">
            <w:pPr>
              <w:spacing w:line="276" w:lineRule="auto"/>
              <w:ind w:firstLine="708"/>
              <w:jc w:val="both"/>
              <w:rPr>
                <w:rFonts w:ascii="Verdana" w:eastAsia="Calibri" w:hAnsi="Verdana" w:cs="Arial"/>
                <w:lang w:val="es-ES_tradnl"/>
              </w:rPr>
            </w:pPr>
          </w:p>
          <w:p w14:paraId="51F4D6DE" w14:textId="6F11990F" w:rsidR="002B6154" w:rsidRPr="002B6154" w:rsidRDefault="002B6154" w:rsidP="002B6154">
            <w:pPr>
              <w:ind w:left="1069" w:right="709"/>
              <w:contextualSpacing/>
              <w:jc w:val="both"/>
              <w:rPr>
                <w:rFonts w:ascii="Verdana" w:eastAsia="Arial" w:hAnsi="Verdana" w:cs="Arial"/>
                <w:sz w:val="21"/>
                <w:szCs w:val="21"/>
                <w:lang w:val="es-ES"/>
              </w:rPr>
            </w:pPr>
            <w:r w:rsidRPr="002B6154">
              <w:rPr>
                <w:rFonts w:ascii="Verdana" w:eastAsia="Arial" w:hAnsi="Verdana" w:cs="Arial"/>
                <w:b/>
                <w:bCs/>
                <w:sz w:val="21"/>
                <w:szCs w:val="21"/>
                <w:lang w:val="es-ES"/>
              </w:rPr>
              <w:t xml:space="preserve">“2.102 Grupo de ocupación de lugares de reunión: </w:t>
            </w:r>
            <w:r w:rsidRPr="002B6154">
              <w:rPr>
                <w:rFonts w:ascii="Verdana" w:eastAsia="Arial" w:hAnsi="Verdana" w:cs="Arial"/>
                <w:sz w:val="21"/>
                <w:szCs w:val="21"/>
                <w:lang w:val="es-ES"/>
              </w:rPr>
              <w:t>En el grupo de ocupación de lugares de reunión se clasifican las edificaciones o espacios en donde se reúne o agrupa la gente con fines religiosos, deportivos, políticos, culturales, sociales, recreativos o de transporte y que, en general, disponen de medios comunes de salida o</w:t>
            </w:r>
            <w:r w:rsidR="6D301276" w:rsidRPr="1ACCD1CD">
              <w:rPr>
                <w:rFonts w:ascii="Verdana" w:eastAsia="Arial" w:hAnsi="Verdana" w:cs="Arial"/>
                <w:sz w:val="21"/>
                <w:szCs w:val="21"/>
                <w:lang w:val="es-ES"/>
              </w:rPr>
              <w:t>,</w:t>
            </w:r>
            <w:r w:rsidRPr="002B6154">
              <w:rPr>
                <w:rFonts w:ascii="Verdana" w:eastAsia="Arial" w:hAnsi="Verdana" w:cs="Arial"/>
                <w:sz w:val="21"/>
                <w:szCs w:val="21"/>
                <w:lang w:val="es-ES"/>
              </w:rPr>
              <w:t xml:space="preserve"> de entrada.</w:t>
            </w:r>
            <w:r w:rsidRPr="002B6154">
              <w:rPr>
                <w:rFonts w:ascii="Verdana" w:eastAsia="Arial" w:hAnsi="Verdana" w:cs="Arial"/>
                <w:b/>
                <w:bCs/>
                <w:sz w:val="21"/>
                <w:szCs w:val="21"/>
                <w:lang w:val="es-ES"/>
              </w:rPr>
              <w:t xml:space="preserve"> </w:t>
            </w:r>
            <w:r w:rsidRPr="002B6154">
              <w:rPr>
                <w:rFonts w:ascii="Verdana" w:eastAsia="Arial" w:hAnsi="Verdana" w:cs="Arial"/>
                <w:sz w:val="21"/>
                <w:szCs w:val="21"/>
                <w:lang w:val="es-ES"/>
              </w:rPr>
              <w:t xml:space="preserve">Para sitios religiosos se encuentran entre otros, Iglesias, Capillas, Salones de Culto, Salones para agremiaciones Religiosas y similares”.   </w:t>
            </w:r>
          </w:p>
          <w:p w14:paraId="38E3F0B8" w14:textId="77777777" w:rsidR="002B6154" w:rsidRPr="002B6154" w:rsidRDefault="002B6154" w:rsidP="002B6154">
            <w:pPr>
              <w:spacing w:line="276" w:lineRule="auto"/>
              <w:ind w:firstLine="708"/>
              <w:jc w:val="both"/>
              <w:rPr>
                <w:rFonts w:ascii="Verdana" w:eastAsia="Calibri" w:hAnsi="Verdana" w:cs="Arial"/>
                <w:lang w:val="es-ES"/>
              </w:rPr>
            </w:pPr>
          </w:p>
          <w:p w14:paraId="1B96962B" w14:textId="77777777" w:rsidR="002B6154" w:rsidRPr="002B6154" w:rsidRDefault="002B6154" w:rsidP="002B6154">
            <w:pPr>
              <w:spacing w:after="120" w:line="276" w:lineRule="auto"/>
              <w:ind w:firstLine="708"/>
              <w:jc w:val="both"/>
              <w:rPr>
                <w:rFonts w:ascii="Verdana" w:eastAsia="Calibri" w:hAnsi="Verdana" w:cs="Arial"/>
                <w:lang w:val="es-ES"/>
              </w:rPr>
            </w:pPr>
            <w:r w:rsidRPr="002B6154">
              <w:rPr>
                <w:rFonts w:ascii="Verdana" w:eastAsia="Calibri" w:hAnsi="Verdana" w:cs="Arial"/>
                <w:lang w:val="es-ES"/>
              </w:rPr>
              <w:t xml:space="preserve">De acuerdo con la definición del grupo de ocupación de lugares de reunión, esta clasificación abarca edificaciones o espacios destinados al encuentro de personas con fines religiosos, deportivos, políticos culturales, sociales, recreativos o de transporte. Esta categoría incluye toda infraestructura que sirva como punto de congregación comunitaria, siempre que su finalidad principal sea la reunión de personas en torno a actividades colectivas. Dentro de esta tipología se consideran espacios como iglesias, salones de culto y otros destinados a la interacción social o comunitaria, por lo que su clasificación no depende exclusivamente </w:t>
            </w:r>
            <w:r w:rsidRPr="002B6154">
              <w:rPr>
                <w:rFonts w:ascii="Verdana" w:eastAsia="Calibri" w:hAnsi="Verdana" w:cs="Arial"/>
                <w:lang w:val="es-ES"/>
              </w:rPr>
              <w:lastRenderedPageBreak/>
              <w:t xml:space="preserve">del tipo de evento específico que alberguen, sino de su función como espacio de reunión. </w:t>
            </w:r>
          </w:p>
          <w:p w14:paraId="7B0BA27E" w14:textId="77777777" w:rsidR="002B6154" w:rsidRPr="002B6154" w:rsidRDefault="002B6154" w:rsidP="002B6154">
            <w:pPr>
              <w:spacing w:after="120" w:line="276" w:lineRule="auto"/>
              <w:ind w:firstLine="708"/>
              <w:jc w:val="both"/>
              <w:rPr>
                <w:rFonts w:ascii="Verdana" w:eastAsia="Calibri" w:hAnsi="Verdana" w:cs="Arial"/>
                <w:lang w:val="es-ES"/>
              </w:rPr>
            </w:pPr>
            <w:r w:rsidRPr="002B6154">
              <w:rPr>
                <w:rFonts w:ascii="Verdana" w:eastAsia="Aptos" w:hAnsi="Verdana" w:cs="Times New Roman"/>
              </w:rPr>
              <w:t>La definición contenida en el numeral 2.102 del Anexo 5 – Glosario es consistente con la prevista en la Norma NSR-10, la cual, además, señala que dentro del grupo de lugares de reunión se incluyen los siguientes subgrupos: “Lugares de Reunión Deportivos (L-1), Lugares de Reunión Culturales (L-2), Lugares de Reunión Sociales y Recreativos (L-3), Lugares de Reunión Religiosos (L-4) y Lugares de Reunión de Transporte (L-5).</w:t>
            </w:r>
            <w:r w:rsidRPr="002B6154">
              <w:rPr>
                <w:rFonts w:ascii="Verdana" w:eastAsia="Calibri" w:hAnsi="Verdana" w:cs="Arial"/>
                <w:lang w:val="es-ES"/>
              </w:rPr>
              <w:t>”.</w:t>
            </w:r>
          </w:p>
          <w:p w14:paraId="0865C8CB" w14:textId="77777777" w:rsidR="002B6154" w:rsidRPr="002B6154" w:rsidRDefault="002B6154" w:rsidP="002B6154">
            <w:pPr>
              <w:tabs>
                <w:tab w:val="left" w:pos="2694"/>
              </w:tabs>
              <w:spacing w:after="120" w:line="276" w:lineRule="auto"/>
              <w:ind w:firstLine="709"/>
              <w:jc w:val="both"/>
              <w:rPr>
                <w:rFonts w:ascii="Verdana" w:eastAsia="Calibri" w:hAnsi="Verdana" w:cs="Arial"/>
                <w:lang w:val="es-ES_tradnl"/>
              </w:rPr>
            </w:pPr>
            <w:r w:rsidRPr="002B6154">
              <w:rPr>
                <w:rFonts w:ascii="Verdana" w:eastAsia="Calibri" w:hAnsi="Verdana" w:cs="Arial"/>
                <w:lang w:val="es-ES_tradnl"/>
              </w:rPr>
              <w:t xml:space="preserve">Ahora bien, tal como lo señaló esta Subdirección en el concepto C-1399 del 6 de noviembre de 2025, la naturaleza jurídica de los salones comunales es privada o pública: i) los privados, es decir, aquellos construidos en predios de propiedad de las Juntas de Acción Comunal, o levantados en predios en donde concurren derechos de copropiedad sometidos a los términos de la ley de propiedad horizontal, y pertenecientes en común y proindiviso a todos los propietarios de predios privados, y, por su parte, </w:t>
            </w:r>
            <w:proofErr w:type="spellStart"/>
            <w:r w:rsidRPr="002B6154">
              <w:rPr>
                <w:rFonts w:ascii="Verdana" w:eastAsia="Calibri" w:hAnsi="Verdana" w:cs="Arial"/>
                <w:lang w:val="es-ES_tradnl"/>
              </w:rPr>
              <w:t>ii</w:t>
            </w:r>
            <w:proofErr w:type="spellEnd"/>
            <w:r w:rsidRPr="002B6154">
              <w:rPr>
                <w:rFonts w:ascii="Verdana" w:eastAsia="Calibri" w:hAnsi="Verdana" w:cs="Arial"/>
                <w:lang w:val="es-ES_tradnl"/>
              </w:rPr>
              <w:t>) la pública, son aquellos construidos sobre predios de propiedad de entidades públicas</w:t>
            </w:r>
            <w:r w:rsidRPr="002B6154">
              <w:rPr>
                <w:rFonts w:ascii="Verdana" w:eastAsia="Calibri" w:hAnsi="Verdana" w:cs="Arial"/>
                <w:vertAlign w:val="superscript"/>
              </w:rPr>
              <w:footnoteReference w:id="2"/>
            </w:r>
            <w:r w:rsidRPr="002B6154">
              <w:rPr>
                <w:rFonts w:ascii="Verdana" w:eastAsia="Calibri" w:hAnsi="Verdana" w:cs="Arial"/>
              </w:rPr>
              <w:t xml:space="preserve">. </w:t>
            </w:r>
          </w:p>
          <w:p w14:paraId="43D4C161" w14:textId="77777777" w:rsidR="002B6154" w:rsidRPr="002B6154" w:rsidRDefault="002B6154" w:rsidP="002B6154">
            <w:pPr>
              <w:spacing w:after="120" w:line="276" w:lineRule="auto"/>
              <w:ind w:firstLine="708"/>
              <w:jc w:val="both"/>
              <w:rPr>
                <w:rFonts w:ascii="Verdana" w:eastAsia="Calibri" w:hAnsi="Verdana" w:cs="Arial"/>
              </w:rPr>
            </w:pPr>
            <w:r w:rsidRPr="002B6154">
              <w:rPr>
                <w:rFonts w:ascii="Verdana" w:eastAsia="Calibri" w:hAnsi="Verdana" w:cs="Arial"/>
              </w:rPr>
              <w:t xml:space="preserve">En relación con la administración, los salones comunales privados son administrados por la correspondiente junta de acción comunal o el administrador del conjunto o unidad residencial, y los de carácter público han entregado esta actividad a las juntas de acción comunal u otras organizaciones como cooperativas, asociaciones y fundaciones del respectivo barrio, garantizando en todo caso el debido uso en beneficio de la comunidad en general. </w:t>
            </w:r>
          </w:p>
          <w:p w14:paraId="540B7177" w14:textId="77777777" w:rsidR="002B6154" w:rsidRPr="002B6154" w:rsidRDefault="002B6154" w:rsidP="002B6154">
            <w:pPr>
              <w:spacing w:after="120" w:line="276" w:lineRule="auto"/>
              <w:ind w:firstLine="708"/>
              <w:jc w:val="both"/>
              <w:rPr>
                <w:rFonts w:ascii="Verdana" w:eastAsia="Calibri" w:hAnsi="Verdana" w:cs="Arial"/>
                <w:lang w:val="es-ES_tradnl"/>
              </w:rPr>
            </w:pPr>
            <w:r w:rsidRPr="002B6154">
              <w:rPr>
                <w:rFonts w:ascii="Verdana" w:eastAsia="Calibri" w:hAnsi="Verdana" w:cs="Arial"/>
              </w:rPr>
              <w:t xml:space="preserve">Debido a que los salones comunales son administrados por las juntas de acción comunal, es importante </w:t>
            </w:r>
            <w:r w:rsidRPr="002B6154">
              <w:rPr>
                <w:rFonts w:ascii="Verdana" w:eastAsia="Calibri" w:hAnsi="Verdana" w:cs="Arial"/>
                <w:lang w:val="es-ES_tradnl"/>
              </w:rPr>
              <w:t>mencionar que el artículo 7 de la Ley 2166 de 2021 las define como: “</w:t>
            </w:r>
            <w:r w:rsidRPr="002B6154">
              <w:rPr>
                <w:rFonts w:ascii="Verdana" w:eastAsia="Calibri" w:hAnsi="Verdana" w:cs="Arial"/>
              </w:rPr>
              <w:t xml:space="preserve">una organización cívica, social y </w:t>
            </w:r>
            <w:r w:rsidRPr="002B6154">
              <w:rPr>
                <w:rFonts w:ascii="Verdana" w:eastAsia="Calibri" w:hAnsi="Verdana" w:cs="Arial"/>
              </w:rPr>
              <w:lastRenderedPageBreak/>
              <w:t xml:space="preserve">comunitaria de gestión social, sin ánimo de lucro, de naturaleza solidaria, con personería jurídica y patrimonio propio, integrada voluntariamente por los residentes de un lugar que aúnan esfuerzos y recursos para procurar un desarrollo integral, sostenible y sustentable con fundamento en el ejercicio de la democracia participativa […]”. Esto significa que una de las funciones principales de las juntas de acción comunal es garantizar el desarrollo integral, sostenible y sustentable de la comunidad. </w:t>
            </w:r>
          </w:p>
          <w:p w14:paraId="560CCA28" w14:textId="77777777" w:rsidR="002B6154" w:rsidRPr="002B6154" w:rsidRDefault="002B6154" w:rsidP="002B6154">
            <w:pPr>
              <w:spacing w:after="120" w:line="276" w:lineRule="auto"/>
              <w:ind w:firstLine="708"/>
              <w:jc w:val="both"/>
              <w:rPr>
                <w:rFonts w:ascii="Verdana" w:eastAsia="Calibri" w:hAnsi="Verdana" w:cs="Arial"/>
              </w:rPr>
            </w:pPr>
            <w:r w:rsidRPr="002B6154">
              <w:rPr>
                <w:rFonts w:ascii="Verdana" w:eastAsia="Calibri" w:hAnsi="Verdana" w:cs="Arial"/>
              </w:rPr>
              <w:t xml:space="preserve">El artículo 2 de manera expresa define que el desarrollo de la comunidad es el conjunto de procesos territoriales, económicos, políticos, ambientales, </w:t>
            </w:r>
            <w:r w:rsidRPr="002B6154">
              <w:rPr>
                <w:rFonts w:ascii="Verdana" w:eastAsia="Calibri" w:hAnsi="Verdana" w:cs="Arial"/>
                <w:i/>
                <w:iCs/>
              </w:rPr>
              <w:t xml:space="preserve">culturales y sociales </w:t>
            </w:r>
            <w:r w:rsidRPr="002B6154">
              <w:rPr>
                <w:rFonts w:ascii="Verdana" w:eastAsia="Calibri" w:hAnsi="Verdana" w:cs="Arial"/>
              </w:rPr>
              <w:t xml:space="preserve">que integran los esfuerzos de la población, sus organismos y las del Estado, para mejorar la calidad de vida de las comunidades (Énfasis por fuera del texto). Por tanto, las juntas de acción comunal, en los salones comunales, promueven el desarrollo de la comunidad mediante espacios culturales y sociales como presentaciones de baile, bazares, rifas, entre otros. </w:t>
            </w:r>
          </w:p>
          <w:p w14:paraId="43B437E6" w14:textId="77777777" w:rsidR="002B6154" w:rsidRPr="002B6154" w:rsidRDefault="002B6154" w:rsidP="002B6154">
            <w:pPr>
              <w:spacing w:after="120" w:line="276" w:lineRule="auto"/>
              <w:ind w:firstLine="708"/>
              <w:jc w:val="both"/>
              <w:rPr>
                <w:rFonts w:ascii="Verdana" w:eastAsia="Calibri" w:hAnsi="Verdana" w:cs="Arial"/>
              </w:rPr>
            </w:pPr>
            <w:r w:rsidRPr="002B6154">
              <w:rPr>
                <w:rFonts w:ascii="Verdana" w:eastAsia="Calibri" w:hAnsi="Verdana" w:cs="Arial"/>
              </w:rPr>
              <w:t xml:space="preserve">De igual manera, </w:t>
            </w:r>
            <w:r w:rsidRPr="002B6154">
              <w:rPr>
                <w:rFonts w:ascii="Verdana" w:eastAsia="Calibri" w:hAnsi="Verdana" w:cs="Arial"/>
                <w:lang w:val="es-ES_tradnl"/>
              </w:rPr>
              <w:t>el Concejo de Bogotá define a los salones comunales como: “bienes de uso público administrados por la Junta de Acción Comunal en donde las comunidades se reúnen, celebran sus festividades y agasajos, como los matrimonios, cumpleaños, bautizos, entre otros, estos salones han sido espacios en donde se construye la historia y la cultura de los barrios de nuestra ciudad”</w:t>
            </w:r>
            <w:r w:rsidRPr="002B6154">
              <w:rPr>
                <w:rFonts w:ascii="Verdana" w:eastAsia="Calibri" w:hAnsi="Verdana" w:cs="Arial"/>
                <w:vertAlign w:val="superscript"/>
                <w:lang w:val="es-ES_tradnl"/>
              </w:rPr>
              <w:footnoteReference w:id="3"/>
            </w:r>
            <w:r w:rsidRPr="002B6154">
              <w:rPr>
                <w:rFonts w:ascii="Verdana" w:eastAsia="Calibri" w:hAnsi="Verdana" w:cs="Arial"/>
                <w:lang w:val="es-ES_tradnl"/>
              </w:rPr>
              <w:t xml:space="preserve">. </w:t>
            </w:r>
          </w:p>
          <w:p w14:paraId="73D14473" w14:textId="1A0E4061" w:rsidR="002B6154" w:rsidRPr="002B6154" w:rsidRDefault="002B6154" w:rsidP="002B6154">
            <w:pPr>
              <w:spacing w:after="120" w:line="276" w:lineRule="auto"/>
              <w:ind w:firstLine="708"/>
              <w:jc w:val="both"/>
              <w:rPr>
                <w:rFonts w:ascii="Verdana" w:eastAsia="Calibri" w:hAnsi="Verdana" w:cs="Arial"/>
              </w:rPr>
            </w:pPr>
            <w:r w:rsidRPr="72C1FDD2">
              <w:rPr>
                <w:rFonts w:ascii="Verdana" w:eastAsia="Calibri" w:hAnsi="Verdana" w:cs="Arial"/>
              </w:rPr>
              <w:t xml:space="preserve">De esta forma, se concluye que los salones comunales son espacios administrados por las juntas de acción comunal cuyo propósito principal es garantizar el desarrollo integral, sostenible y sustentable de la comunidad, mediante procesos territoriales, económicos, políticos, ambientales, culturales y sociales que integren los esfuerzos de la población, sus organismos y las del Estado para promover la mejor calidad de vida. Por tanto, está definición está alineada con lo previsto en el numeral 2.102 del “Anexo 5 – Glosario” del sector cultura, </w:t>
            </w:r>
            <w:r w:rsidRPr="72C1FDD2">
              <w:rPr>
                <w:rFonts w:ascii="Verdana" w:eastAsia="Calibri" w:hAnsi="Verdana" w:cs="Arial"/>
              </w:rPr>
              <w:lastRenderedPageBreak/>
              <w:t xml:space="preserve">recreación y deporte y con </w:t>
            </w:r>
            <w:r w:rsidRPr="1ACCD1CD">
              <w:rPr>
                <w:rFonts w:ascii="Verdana" w:eastAsia="Calibri" w:hAnsi="Verdana" w:cs="Arial"/>
              </w:rPr>
              <w:t>la norma</w:t>
            </w:r>
            <w:r w:rsidRPr="72C1FDD2">
              <w:rPr>
                <w:rFonts w:ascii="Verdana" w:eastAsia="Calibri" w:hAnsi="Verdana" w:cs="Arial"/>
              </w:rPr>
              <w:t xml:space="preserve"> NSR-10 en los que se define el “</w:t>
            </w:r>
            <w:r w:rsidRPr="72C1FDD2">
              <w:rPr>
                <w:rFonts w:ascii="Verdana" w:eastAsia="Arial" w:hAnsi="Verdana" w:cs="Arial"/>
                <w:sz w:val="21"/>
                <w:szCs w:val="21"/>
                <w:lang w:val="es-ES"/>
              </w:rPr>
              <w:t>Grupo de ocupación de lugares de reunión”.</w:t>
            </w:r>
            <w:r w:rsidRPr="72C1FDD2">
              <w:rPr>
                <w:rFonts w:ascii="Verdana" w:eastAsia="Arial" w:hAnsi="Verdana" w:cs="Arial"/>
                <w:b/>
                <w:bCs/>
                <w:sz w:val="21"/>
                <w:szCs w:val="21"/>
                <w:lang w:val="es-ES"/>
              </w:rPr>
              <w:t xml:space="preserve"> </w:t>
            </w:r>
            <w:r w:rsidRPr="72C1FDD2">
              <w:rPr>
                <w:rFonts w:ascii="Verdana" w:eastAsia="Calibri" w:hAnsi="Verdana" w:cs="Arial"/>
              </w:rPr>
              <w:t xml:space="preserve"> Es así como</w:t>
            </w:r>
            <w:r w:rsidRPr="72C1FDD2">
              <w:rPr>
                <w:rFonts w:ascii="Verdana" w:eastAsia="Calibri" w:hAnsi="Verdana" w:cs="Arial"/>
                <w:lang w:val="es-ES"/>
              </w:rPr>
              <w:t xml:space="preserve">, desde una perspectiva técnica, los salones comunales deben ser considerados como parte integral de este grupo de ocupación y las disposiciones aplicables a este tipo de edificaciones son las contenidas en la Matriz 1 – Experiencia de los documentos tipo específicos del sector de infraestructura de cultura, recreación y deporte, concretamente, las </w:t>
            </w:r>
            <w:r w:rsidRPr="1ACCD1CD">
              <w:rPr>
                <w:rFonts w:ascii="Verdana" w:eastAsia="Calibri" w:hAnsi="Verdana" w:cs="Arial"/>
                <w:lang w:val="es-ES"/>
              </w:rPr>
              <w:t>señala</w:t>
            </w:r>
            <w:r w:rsidR="471A749D" w:rsidRPr="1ACCD1CD">
              <w:rPr>
                <w:rFonts w:ascii="Verdana" w:eastAsia="Calibri" w:hAnsi="Verdana" w:cs="Arial"/>
                <w:lang w:val="es-ES"/>
              </w:rPr>
              <w:t>da</w:t>
            </w:r>
            <w:r w:rsidRPr="1ACCD1CD">
              <w:rPr>
                <w:rFonts w:ascii="Verdana" w:eastAsia="Calibri" w:hAnsi="Verdana" w:cs="Arial"/>
                <w:lang w:val="es-ES"/>
              </w:rPr>
              <w:t>s</w:t>
            </w:r>
            <w:r w:rsidRPr="72C1FDD2">
              <w:rPr>
                <w:rFonts w:ascii="Verdana" w:eastAsia="Calibri" w:hAnsi="Verdana" w:cs="Arial"/>
                <w:lang w:val="es-ES"/>
              </w:rPr>
              <w:t xml:space="preserve"> en los numerales 3.1 a 3.5.</w:t>
            </w:r>
          </w:p>
          <w:p w14:paraId="3E3BDE12" w14:textId="77777777" w:rsidR="002B6154" w:rsidRPr="002B6154" w:rsidRDefault="002B6154" w:rsidP="002B6154">
            <w:pPr>
              <w:spacing w:after="120" w:line="276" w:lineRule="auto"/>
              <w:ind w:firstLine="708"/>
              <w:jc w:val="both"/>
              <w:rPr>
                <w:rFonts w:ascii="Verdana" w:eastAsia="Calibri" w:hAnsi="Verdana" w:cs="Arial"/>
                <w:lang w:val="es-ES"/>
              </w:rPr>
            </w:pPr>
            <w:r w:rsidRPr="002B6154">
              <w:rPr>
                <w:rFonts w:ascii="Verdana" w:eastAsia="Calibri" w:hAnsi="Verdana" w:cs="Arial"/>
                <w:lang w:val="es-ES"/>
              </w:rPr>
              <w:t xml:space="preserve">Por lo anterior, cualquier proyecto que tenga como finalidad la construcción, adecuación, aplicación o mejoramiento, entre otras actividades de obra, sobre salones comunales debe adelantarse por los documentos tipo complementarios del sector cultura, recreación y deporte, expedidos por la Agencia Nacional de Contratación Pública – Colombia Compra Eficiente. Esta obligación se fundamenta en que las actividades asociadas a dichos proyectos están contempladas en la Matriz 1 – Experiencia, específicamente en los numerales 3.1 y 3.2 previamente señaladas. En consecuencia, la aplicación de estos documentos tipo garantiza el cumplimiento de los estándares técnicos y jurídicos definidos por esta Agencia promoviendo la eficacia, transparencia y calidad en la ejecución de este tipo de intervenciones en salones comunales. </w:t>
            </w:r>
          </w:p>
          <w:p w14:paraId="19C340C4" w14:textId="77777777" w:rsidR="002B6154" w:rsidRPr="002B6154" w:rsidRDefault="002B6154" w:rsidP="002B6154">
            <w:pPr>
              <w:spacing w:line="276" w:lineRule="auto"/>
              <w:ind w:firstLine="708"/>
              <w:jc w:val="both"/>
              <w:rPr>
                <w:rFonts w:ascii="Verdana" w:eastAsia="Calibri" w:hAnsi="Verdana" w:cs="Arial"/>
                <w:lang w:val="es-ES"/>
              </w:rPr>
            </w:pPr>
            <w:r w:rsidRPr="002B6154">
              <w:rPr>
                <w:rFonts w:ascii="Verdana" w:eastAsia="Calibri" w:hAnsi="Verdana" w:cs="Arial"/>
                <w:lang w:val="es-ES"/>
              </w:rPr>
              <w:t xml:space="preserve">Así las cosas, la Agencia Nacional de Contratación Pública – Colombia Compra Eficiente le informa que a partir del 16 de febrero de 2026, si una entidad de aquellas obligadas a utilizar los documentos tipo expedidos por esta Entidad adelanta un proceso que tenga por objeto la construcción, ampliación, adecuación o mejoramiento, entre otras actividades de obra de salones comunales, deberá aplicar los documentos tipo complementarios del sector de cultura, recreación y deporte acogidos por esta Agencia mediante las Resoluciones 539, 540 y 541 de 2025, según el proyecto se adelante por la modalidad de licitación de obra pública, selección abreviada de menor cuantía o </w:t>
            </w:r>
            <w:r w:rsidRPr="002B6154">
              <w:rPr>
                <w:rFonts w:ascii="Verdana" w:eastAsia="Calibri" w:hAnsi="Verdana" w:cs="Arial"/>
                <w:lang w:val="es-ES"/>
              </w:rPr>
              <w:lastRenderedPageBreak/>
              <w:t xml:space="preserve">mínima cuantía, en donde se encuentran dispuestas las actividades 3.1 y 3.2 aplicables al proyecto por el que se indaga en su solicitud. </w:t>
            </w:r>
          </w:p>
          <w:p w14:paraId="72986C14" w14:textId="77777777" w:rsidR="002B6154" w:rsidRPr="002B6154" w:rsidRDefault="002B6154" w:rsidP="002B6154">
            <w:pPr>
              <w:spacing w:line="276" w:lineRule="auto"/>
              <w:jc w:val="both"/>
              <w:rPr>
                <w:rFonts w:ascii="Verdana" w:eastAsia="Calibri" w:hAnsi="Verdana" w:cs="Arial"/>
              </w:rPr>
            </w:pPr>
          </w:p>
          <w:p w14:paraId="5C77230A" w14:textId="77777777" w:rsidR="002B6154" w:rsidRPr="002B6154" w:rsidRDefault="002B6154" w:rsidP="002B6154">
            <w:pPr>
              <w:shd w:val="clear" w:color="auto" w:fill="FFFFFF"/>
              <w:spacing w:after="120" w:line="276" w:lineRule="auto"/>
              <w:jc w:val="both"/>
              <w:textAlignment w:val="baseline"/>
              <w:rPr>
                <w:rFonts w:ascii="Verdana" w:eastAsia="Aptos" w:hAnsi="Verdana" w:cs="Times New Roman"/>
              </w:rPr>
            </w:pPr>
            <w:proofErr w:type="spellStart"/>
            <w:r w:rsidRPr="002B6154">
              <w:rPr>
                <w:rFonts w:ascii="Verdana" w:eastAsia="Calibri" w:hAnsi="Verdana" w:cs="Arial"/>
              </w:rPr>
              <w:t>iii</w:t>
            </w:r>
            <w:proofErr w:type="spellEnd"/>
            <w:r w:rsidRPr="002B6154">
              <w:rPr>
                <w:rFonts w:ascii="Verdana" w:eastAsia="Calibri" w:hAnsi="Verdana" w:cs="Arial"/>
              </w:rPr>
              <w:t xml:space="preserve">. </w:t>
            </w:r>
            <w:r w:rsidRPr="002B6154">
              <w:rPr>
                <w:rFonts w:ascii="Verdana" w:eastAsia="Times New Roman" w:hAnsi="Verdana" w:cs="Arial"/>
                <w:bdr w:val="none" w:sz="0" w:space="0" w:color="auto" w:frame="1"/>
                <w:lang w:val="es-MX" w:eastAsia="es-CO"/>
              </w:rPr>
              <w:t xml:space="preserve">De acuerdo con el numeral uno del artículo 2.2.1.1.2.1.3 del Decreto 1082 de 2015, al expedir los documentos tipo de licitación para obras de infraestructura social – versión 2, esta Agencia incluyó dentro del correspondiente documento base el numeral 1.4 “Clasificador de bienes y servicios de Naciones Unidad (UNSPSC)”, el cual señala que </w:t>
            </w:r>
            <w:r w:rsidRPr="002B6154">
              <w:rPr>
                <w:rFonts w:ascii="Verdana" w:eastAsia="Times New Roman" w:hAnsi="Verdana" w:cs="Arial"/>
                <w:i/>
                <w:iCs/>
                <w:bdr w:val="none" w:sz="0" w:space="0" w:color="auto" w:frame="1"/>
                <w:lang w:val="es-MX" w:eastAsia="es-CO"/>
              </w:rPr>
              <w:t xml:space="preserve">“La obra pública objeto del presente Proceso de Contratación está codificada en el Clasificador de Bienes y Servicios de Naciones Unidas (UNSPSC) bajo el segmento 72 con el [hasta el tercer nivel] (…)”. </w:t>
            </w:r>
            <w:r w:rsidRPr="002B6154">
              <w:rPr>
                <w:rFonts w:ascii="Verdana" w:eastAsia="Times New Roman" w:hAnsi="Verdana" w:cs="Arial"/>
                <w:bdr w:val="none" w:sz="0" w:space="0" w:color="auto" w:frame="1"/>
                <w:lang w:val="es-MX" w:eastAsia="es-CO"/>
              </w:rPr>
              <w:t xml:space="preserve"> Conforme a esto, dependiendo del tipo de obra que se pretenda contratar, la entidad debe asociar la misma, hasta el tercer nivel jerárquico del Clasificador de Bienes y Servicios. </w:t>
            </w:r>
          </w:p>
          <w:p w14:paraId="61882680" w14:textId="77777777" w:rsidR="002B6154" w:rsidRPr="002B6154" w:rsidRDefault="002B6154" w:rsidP="002B6154">
            <w:pPr>
              <w:spacing w:after="120" w:line="276" w:lineRule="auto"/>
              <w:ind w:firstLine="708"/>
              <w:jc w:val="both"/>
              <w:rPr>
                <w:rFonts w:ascii="Verdana" w:eastAsia="Times New Roman" w:hAnsi="Verdana" w:cs="Arial"/>
                <w:bdr w:val="none" w:sz="0" w:space="0" w:color="auto" w:frame="1"/>
                <w:lang w:val="es-MX" w:eastAsia="es-CO"/>
              </w:rPr>
            </w:pPr>
            <w:r w:rsidRPr="002B6154">
              <w:rPr>
                <w:rFonts w:ascii="Verdana" w:eastAsia="Times New Roman" w:hAnsi="Verdana" w:cs="Arial"/>
                <w:bdr w:val="none" w:sz="0" w:space="0" w:color="auto" w:frame="1"/>
                <w:lang w:val="es-MX" w:eastAsia="es-CO"/>
              </w:rPr>
              <w:t xml:space="preserve">Ahora bien, el numeral 3.5.3 del documento base, referente a la clasificación de la experiencia de los contratistas, incluye una tabla en la que cada columna corresponde a uno de los niveles del clasificador. Esta tabla es un parámetro para determinar si la experiencia del contratista se relaciona con el objeto contractual ofertado, por lo que al diligenciarla las entidades deben desagregar los códigos incluidos en la tabla del numeral 1.4. </w:t>
            </w:r>
          </w:p>
          <w:p w14:paraId="3F39DD9C" w14:textId="77777777" w:rsidR="002B6154" w:rsidRPr="002B6154" w:rsidRDefault="002B6154" w:rsidP="002B6154">
            <w:pPr>
              <w:spacing w:after="120" w:line="276" w:lineRule="auto"/>
              <w:jc w:val="both"/>
              <w:rPr>
                <w:rFonts w:ascii="Verdana" w:eastAsia="Times New Roman" w:hAnsi="Verdana" w:cs="Arial"/>
                <w:bdr w:val="none" w:sz="0" w:space="0" w:color="auto" w:frame="1"/>
                <w:lang w:val="es-MX" w:eastAsia="es-CO"/>
              </w:rPr>
            </w:pPr>
            <w:r w:rsidRPr="002B6154">
              <w:rPr>
                <w:rFonts w:ascii="Verdana" w:eastAsia="Times New Roman" w:hAnsi="Verdana" w:cs="Arial"/>
                <w:bdr w:val="none" w:sz="0" w:space="0" w:color="auto" w:frame="1"/>
                <w:lang w:val="es-MX" w:eastAsia="es-CO"/>
              </w:rPr>
              <w:tab/>
              <w:t>Conforme con lo anterior, y teniendo en cuenta el segundo problema jurídico planteado en este concepto que se dirige a determinar ¿cuáles son los códigos UNSPSC que podrían ser exigidos en un proceso de contratación cuyo objeto consiste en la construcción y ampliación de salones comunales? La Agencia Nacional de Contratación Pública – Colombia Compra Eficiente le informa que las competencias atribuidas por el ordenamiento jurídico no le permiten pronunciarse sobre situaciones particulares y concretas ni definir aspectos específicos de los procesos de contratación que adelantan las entidades, así estas utilicen los documentos tipo implementados por esta Agencia.</w:t>
            </w:r>
          </w:p>
          <w:p w14:paraId="29F76CBC" w14:textId="77777777" w:rsidR="002B6154" w:rsidRPr="002B6154" w:rsidRDefault="002B6154" w:rsidP="002B6154">
            <w:pPr>
              <w:spacing w:after="120" w:line="276" w:lineRule="auto"/>
              <w:jc w:val="both"/>
              <w:rPr>
                <w:rFonts w:ascii="Verdana" w:eastAsia="Times New Roman" w:hAnsi="Verdana" w:cs="Arial"/>
                <w:bdr w:val="none" w:sz="0" w:space="0" w:color="auto" w:frame="1"/>
                <w:lang w:val="es-MX" w:eastAsia="es-CO"/>
              </w:rPr>
            </w:pPr>
            <w:r w:rsidRPr="002B6154">
              <w:rPr>
                <w:rFonts w:ascii="Verdana" w:eastAsia="Times New Roman" w:hAnsi="Verdana" w:cs="Arial"/>
                <w:bdr w:val="none" w:sz="0" w:space="0" w:color="auto" w:frame="1"/>
                <w:lang w:val="es-MX" w:eastAsia="es-CO"/>
              </w:rPr>
              <w:lastRenderedPageBreak/>
              <w:tab/>
              <w:t>No obstante, de manera general y con carácter orientador, la entidad que adelanta el proceso de selección para la construcción y/o ampliación de salones comunales con los documentos tipo de obra pública de infraestructura social expedidos por esta Agencia, podría considerar utilizar los códigos UNPSC relacionados con actividades de construcción de edificaciones e infraestructura, tales como: i) el Código UNSPSC 72121400 – Clase: Servicios de construcción de edificios públicos especializados; ii) el Código UNSPSC 72101500 – Clase: Servicios de apoyo para la construcción; o iii) el Código UNSPSC 72101507 – Producto: Servicio de mantenimiento de edificios, entre otros que eventualmente puedan guardar relación con el objeto contractual.</w:t>
            </w:r>
          </w:p>
          <w:p w14:paraId="14133194" w14:textId="570FD44A" w:rsidR="002B6154" w:rsidRPr="002B6154" w:rsidRDefault="002B6154" w:rsidP="002B6154">
            <w:pPr>
              <w:spacing w:line="276" w:lineRule="auto"/>
              <w:jc w:val="both"/>
              <w:rPr>
                <w:rFonts w:ascii="Verdana" w:eastAsia="Times New Roman" w:hAnsi="Verdana" w:cs="Arial"/>
                <w:bdr w:val="none" w:sz="0" w:space="0" w:color="auto" w:frame="1"/>
                <w:lang w:val="es-MX" w:eastAsia="es-CO"/>
              </w:rPr>
            </w:pPr>
            <w:r w:rsidRPr="002B6154">
              <w:rPr>
                <w:rFonts w:ascii="Verdana" w:eastAsia="Times New Roman" w:hAnsi="Verdana" w:cs="Arial"/>
                <w:bdr w:val="none" w:sz="0" w:space="0" w:color="auto" w:frame="1"/>
                <w:lang w:val="es-MX" w:eastAsia="es-CO"/>
              </w:rPr>
              <w:tab/>
              <w:t>Sin perjuicio de lo anterior, la determinación de los códigos UNSPSC aplicables corresponde exclusivamente a la entidad estatal, en atención a que es esta la que cuenta con el conocimiento integral del proyecto, de sus especificaciones técnicas y del alcance de las actividades que pretende contratar, En este senti</w:t>
            </w:r>
            <w:r w:rsidR="11920450" w:rsidRPr="1ACCD1CD">
              <w:rPr>
                <w:rFonts w:ascii="Verdana" w:eastAsia="Times New Roman" w:hAnsi="Verdana" w:cs="Arial"/>
                <w:lang w:val="es-MX" w:eastAsia="es-CO"/>
              </w:rPr>
              <w:t>d</w:t>
            </w:r>
            <w:r w:rsidRPr="1ACCD1CD">
              <w:rPr>
                <w:rFonts w:ascii="Verdana" w:eastAsia="Times New Roman" w:hAnsi="Verdana" w:cs="Arial"/>
                <w:lang w:val="es-MX" w:eastAsia="es-CO"/>
              </w:rPr>
              <w:t>o, la entidad deberá tener en cuenta las orientaciones dadas en este punto sobre el alcance del nu</w:t>
            </w:r>
            <w:r w:rsidR="4E797722" w:rsidRPr="1ACCD1CD">
              <w:rPr>
                <w:rFonts w:ascii="Verdana" w:eastAsia="Times New Roman" w:hAnsi="Verdana" w:cs="Arial"/>
                <w:lang w:val="es-MX" w:eastAsia="es-CO"/>
              </w:rPr>
              <w:t>m</w:t>
            </w:r>
            <w:r w:rsidRPr="1ACCD1CD">
              <w:rPr>
                <w:rFonts w:ascii="Verdana" w:eastAsia="Times New Roman" w:hAnsi="Verdana" w:cs="Arial"/>
                <w:lang w:val="es-MX" w:eastAsia="es-CO"/>
              </w:rPr>
              <w:t>eral 1.4 y 3.5.3 del documento base de los documentos tipo de licitación de obra pública de infraestr</w:t>
            </w:r>
            <w:r w:rsidR="6BBCEDCB" w:rsidRPr="1ACCD1CD">
              <w:rPr>
                <w:rFonts w:ascii="Verdana" w:eastAsia="Times New Roman" w:hAnsi="Verdana" w:cs="Arial"/>
                <w:lang w:val="es-MX" w:eastAsia="es-CO"/>
              </w:rPr>
              <w:t>u</w:t>
            </w:r>
            <w:r w:rsidRPr="1ACCD1CD">
              <w:rPr>
                <w:rFonts w:ascii="Verdana" w:eastAsia="Times New Roman" w:hAnsi="Verdana" w:cs="Arial"/>
                <w:lang w:val="es-MX" w:eastAsia="es-CO"/>
              </w:rPr>
              <w:t>ctura social, y deberá verificar que los códigos seleccionados reflej</w:t>
            </w:r>
            <w:r w:rsidR="34B55CE2" w:rsidRPr="1ACCD1CD">
              <w:rPr>
                <w:rFonts w:ascii="Verdana" w:eastAsia="Times New Roman" w:hAnsi="Verdana" w:cs="Arial"/>
                <w:lang w:val="es-MX" w:eastAsia="es-CO"/>
              </w:rPr>
              <w:t>e</w:t>
            </w:r>
            <w:r w:rsidRPr="1ACCD1CD">
              <w:rPr>
                <w:rFonts w:ascii="Verdana" w:eastAsia="Times New Roman" w:hAnsi="Verdana" w:cs="Arial"/>
                <w:lang w:val="es-MX" w:eastAsia="es-CO"/>
              </w:rPr>
              <w:t>n adecuadamente el objeto contractual y permitan identificar la experiencia requerida para su ejecución.</w:t>
            </w:r>
          </w:p>
          <w:p w14:paraId="3F61C6F8" w14:textId="77777777" w:rsidR="002B6154" w:rsidRPr="002B6154" w:rsidRDefault="002B6154" w:rsidP="002B6154">
            <w:pPr>
              <w:spacing w:line="276" w:lineRule="auto"/>
              <w:jc w:val="both"/>
              <w:rPr>
                <w:rFonts w:ascii="Verdana" w:eastAsia="Times New Roman" w:hAnsi="Verdana" w:cs="Arial"/>
                <w:bdr w:val="none" w:sz="0" w:space="0" w:color="auto" w:frame="1"/>
                <w:lang w:val="es-MX" w:eastAsia="es-CO"/>
              </w:rPr>
            </w:pPr>
          </w:p>
          <w:p w14:paraId="251AE785" w14:textId="77777777" w:rsidR="002B6154" w:rsidRPr="002B6154" w:rsidRDefault="002B6154" w:rsidP="002B6154">
            <w:pPr>
              <w:snapToGrid w:val="0"/>
              <w:spacing w:after="120" w:line="276" w:lineRule="auto"/>
              <w:jc w:val="both"/>
              <w:rPr>
                <w:rFonts w:ascii="Verdana" w:eastAsia="Calibri" w:hAnsi="Verdana" w:cs="Arial"/>
                <w:lang w:eastAsia="es-MX"/>
              </w:rPr>
            </w:pPr>
            <w:r w:rsidRPr="002B6154">
              <w:rPr>
                <w:rFonts w:ascii="Verdana" w:eastAsia="Calibri" w:hAnsi="Verdana" w:cs="Arial"/>
                <w:lang w:eastAsia="es-MX"/>
              </w:rPr>
              <w:t>Finalmente, debe advertirse que, el análisis requerido para resolver problemas específicos en torno a la contratación de las entidades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430A17A" w14:textId="77777777" w:rsidR="002B6154" w:rsidRPr="002B6154" w:rsidRDefault="002B6154" w:rsidP="002B6154">
            <w:pPr>
              <w:spacing w:before="120" w:line="276" w:lineRule="auto"/>
              <w:ind w:firstLine="709"/>
              <w:jc w:val="both"/>
              <w:rPr>
                <w:rFonts w:ascii="Verdana" w:eastAsia="Aptos" w:hAnsi="Verdana" w:cs="Times New Roman"/>
                <w:lang w:val="es-ES"/>
              </w:rPr>
            </w:pPr>
            <w:r w:rsidRPr="002B6154">
              <w:rPr>
                <w:rFonts w:ascii="Verdana" w:eastAsia="Times New Roman" w:hAnsi="Verdana" w:cs="Arial"/>
                <w:bdr w:val="none" w:sz="0" w:space="0" w:color="auto" w:frame="1"/>
                <w:lang w:val="es-MX" w:eastAsia="es-CO"/>
              </w:rPr>
              <w:lastRenderedPageBreak/>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tc>
      </w:tr>
    </w:tbl>
    <w:p w14:paraId="6E442115" w14:textId="77777777" w:rsidR="002B6154" w:rsidRPr="002B6154" w:rsidRDefault="002B6154" w:rsidP="002B6154">
      <w:pPr>
        <w:tabs>
          <w:tab w:val="left" w:pos="142"/>
          <w:tab w:val="left" w:pos="284"/>
        </w:tabs>
        <w:snapToGrid w:val="0"/>
        <w:spacing w:after="0" w:line="276" w:lineRule="auto"/>
        <w:jc w:val="both"/>
        <w:rPr>
          <w:rFonts w:ascii="Verdana" w:eastAsia="Century Gothic" w:hAnsi="Verdana" w:cs="Century Gothic"/>
          <w:b/>
          <w:bCs/>
          <w:lang w:eastAsia="es-MX"/>
        </w:rPr>
      </w:pPr>
    </w:p>
    <w:p w14:paraId="46B60B87" w14:textId="77777777" w:rsidR="002B6154" w:rsidRPr="002B6154" w:rsidRDefault="002B6154" w:rsidP="002B615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eastAsia="es-MX"/>
        </w:rPr>
      </w:pPr>
      <w:r w:rsidRPr="002B6154">
        <w:rPr>
          <w:rFonts w:ascii="Verdana" w:eastAsia="Century Gothic" w:hAnsi="Verdana" w:cs="Century Gothic"/>
          <w:b/>
          <w:bCs/>
          <w:lang w:val="es-ES_tradnl" w:eastAsia="es-MX"/>
        </w:rPr>
        <w:t>Razones de la respuesta:</w:t>
      </w:r>
    </w:p>
    <w:p w14:paraId="50E51F45" w14:textId="77777777" w:rsidR="002B6154" w:rsidRPr="002B6154" w:rsidRDefault="002B6154" w:rsidP="002B6154">
      <w:pPr>
        <w:snapToGrid w:val="0"/>
        <w:spacing w:after="0" w:line="276" w:lineRule="auto"/>
        <w:jc w:val="both"/>
        <w:rPr>
          <w:rFonts w:ascii="Verdana" w:eastAsia="Calibri" w:hAnsi="Verdana" w:cs="Arial"/>
          <w:lang w:val="es-ES_tradnl" w:eastAsia="es-MX"/>
        </w:rPr>
      </w:pPr>
    </w:p>
    <w:p w14:paraId="00ED831F" w14:textId="77777777" w:rsidR="002B6154" w:rsidRPr="002B6154" w:rsidRDefault="002B6154" w:rsidP="002B6154">
      <w:pPr>
        <w:spacing w:after="0" w:line="276" w:lineRule="auto"/>
        <w:jc w:val="both"/>
        <w:rPr>
          <w:rFonts w:ascii="Verdana" w:eastAsia="Calibri" w:hAnsi="Verdana" w:cs="Arial"/>
          <w:lang w:eastAsia="es-MX"/>
        </w:rPr>
      </w:pPr>
      <w:r w:rsidRPr="002B6154">
        <w:rPr>
          <w:rFonts w:ascii="Verdana" w:eastAsia="Calibri" w:hAnsi="Verdana" w:cs="Arial"/>
          <w:lang w:eastAsia="es-MX"/>
        </w:rPr>
        <w:t xml:space="preserve">Lo anterior se sustenta en las siguientes consideraciones: </w:t>
      </w:r>
    </w:p>
    <w:p w14:paraId="32CBE2B3" w14:textId="77777777" w:rsidR="002B6154" w:rsidRPr="002B6154" w:rsidRDefault="002B6154" w:rsidP="002B6154">
      <w:pPr>
        <w:spacing w:after="0" w:line="276" w:lineRule="auto"/>
        <w:jc w:val="both"/>
        <w:rPr>
          <w:rFonts w:ascii="Verdana" w:eastAsia="Calibri" w:hAnsi="Verdana" w:cs="Arial"/>
          <w:lang w:val="es-ES" w:eastAsia="es-MX"/>
        </w:rPr>
      </w:pPr>
    </w:p>
    <w:p w14:paraId="52C4CDD6" w14:textId="77777777" w:rsidR="002B6154" w:rsidRPr="002B6154" w:rsidRDefault="002B6154" w:rsidP="002B6154">
      <w:pPr>
        <w:spacing w:after="120" w:line="276" w:lineRule="auto"/>
        <w:jc w:val="both"/>
        <w:rPr>
          <w:rFonts w:ascii="Verdana" w:eastAsia="Aptos" w:hAnsi="Verdana" w:cs="Arial"/>
          <w:lang w:eastAsia="es-MX"/>
        </w:rPr>
      </w:pPr>
      <w:r w:rsidRPr="002B6154">
        <w:rPr>
          <w:rFonts w:ascii="Verdana" w:eastAsia="Aptos" w:hAnsi="Verdana" w:cs="Arial"/>
          <w:lang w:eastAsia="es-MX"/>
        </w:rPr>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631963CB" w14:textId="77777777" w:rsidR="002B6154" w:rsidRPr="002B6154" w:rsidRDefault="002B6154" w:rsidP="002B6154">
      <w:pPr>
        <w:spacing w:after="120" w:line="276" w:lineRule="auto"/>
        <w:ind w:firstLine="708"/>
        <w:jc w:val="both"/>
        <w:rPr>
          <w:rFonts w:ascii="Verdana" w:eastAsia="Aptos" w:hAnsi="Verdana" w:cs="Arial"/>
          <w:lang w:eastAsia="es-MX"/>
        </w:rPr>
      </w:pPr>
      <w:r w:rsidRPr="002B6154">
        <w:rPr>
          <w:rFonts w:ascii="Verdana" w:eastAsia="Aptos" w:hAnsi="Verdana" w:cs="Arial"/>
          <w:lang w:val="es-ES" w:eastAsia="es-MX"/>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60164B32" w14:textId="77777777" w:rsidR="002B6154" w:rsidRPr="002B6154" w:rsidRDefault="002B6154" w:rsidP="002B6154">
      <w:pPr>
        <w:spacing w:after="120" w:line="276" w:lineRule="auto"/>
        <w:ind w:firstLine="708"/>
        <w:jc w:val="both"/>
        <w:rPr>
          <w:rFonts w:ascii="Verdana" w:eastAsia="Times New Roman" w:hAnsi="Verdana" w:cs="Times New Roman"/>
          <w:color w:val="000000"/>
          <w:lang w:eastAsia="es-CO"/>
        </w:rPr>
      </w:pPr>
      <w:r w:rsidRPr="002B6154">
        <w:rPr>
          <w:rFonts w:ascii="Verdana" w:eastAsia="Aptos" w:hAnsi="Verdana" w:cs="Arial"/>
          <w:lang w:eastAsia="es-MX"/>
        </w:rPr>
        <w:t xml:space="preserve">En el sector social, </w:t>
      </w:r>
      <w:r w:rsidRPr="002B6154">
        <w:rPr>
          <w:rFonts w:ascii="Verdana" w:eastAsia="Calibri" w:hAnsi="Verdana" w:cs="Arial"/>
          <w:lang w:val="es-MX" w:eastAsia="es-MX"/>
        </w:rPr>
        <w:t xml:space="preserve">la Agencia Nacional de Contratación Pública – Colombia Compra </w:t>
      </w:r>
      <w:r w:rsidRPr="002B6154">
        <w:rPr>
          <w:rFonts w:ascii="Verdana" w:eastAsia="Calibri" w:hAnsi="Verdana" w:cs="Arial"/>
          <w:lang w:eastAsia="es-MX"/>
        </w:rPr>
        <w:t xml:space="preserve">Eficiente </w:t>
      </w:r>
      <w:r w:rsidRPr="002B6154">
        <w:rPr>
          <w:rFonts w:ascii="Verdana" w:eastAsia="Times New Roman" w:hAnsi="Verdana" w:cs="Times New Roman"/>
          <w:color w:val="000000"/>
          <w:lang w:eastAsia="es-CO"/>
        </w:rPr>
        <w:t>en el segundo semestre del año 2025 adoptó las siguientes Resoluciones para contratar obra pública y concurso de méritos:</w:t>
      </w:r>
    </w:p>
    <w:p w14:paraId="524F9EF2" w14:textId="77777777" w:rsidR="002B6154" w:rsidRPr="002B6154" w:rsidRDefault="002B6154" w:rsidP="002B6154">
      <w:pPr>
        <w:spacing w:after="120" w:line="276" w:lineRule="auto"/>
        <w:ind w:firstLine="708"/>
        <w:jc w:val="both"/>
        <w:rPr>
          <w:rFonts w:ascii="Verdana" w:eastAsia="Times New Roman" w:hAnsi="Verdana" w:cs="Times New Roman"/>
          <w:color w:val="000000"/>
          <w:lang w:eastAsia="es-CO"/>
        </w:rPr>
      </w:pPr>
      <w:r w:rsidRPr="002B6154">
        <w:rPr>
          <w:rFonts w:ascii="Verdana" w:eastAsia="Times New Roman" w:hAnsi="Verdana" w:cs="Times New Roman"/>
          <w:color w:val="000000"/>
          <w:lang w:eastAsia="es-CO"/>
        </w:rPr>
        <w:lastRenderedPageBreak/>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53918553" w14:textId="77777777" w:rsidR="002B6154" w:rsidRPr="002B6154" w:rsidRDefault="002B6154" w:rsidP="002B6154">
      <w:pPr>
        <w:spacing w:after="120" w:line="276" w:lineRule="auto"/>
        <w:ind w:firstLine="708"/>
        <w:jc w:val="both"/>
        <w:rPr>
          <w:rFonts w:ascii="Verdana" w:eastAsia="Times New Roman" w:hAnsi="Verdana" w:cs="Times New Roman"/>
          <w:color w:val="000000"/>
          <w:lang w:eastAsia="es-CO"/>
        </w:rPr>
      </w:pPr>
      <w:r w:rsidRPr="002B6154">
        <w:rPr>
          <w:rFonts w:ascii="Verdana" w:eastAsia="Times New Roman" w:hAnsi="Verdana" w:cs="Times New Roman"/>
          <w:color w:val="000000"/>
          <w:lang w:eastAsia="es-CO"/>
        </w:rPr>
        <w:t xml:space="preserve"> </w:t>
      </w:r>
      <w:proofErr w:type="spellStart"/>
      <w:r w:rsidRPr="002B6154">
        <w:rPr>
          <w:rFonts w:ascii="Verdana" w:eastAsia="Times New Roman" w:hAnsi="Verdana" w:cs="Times New Roman"/>
          <w:color w:val="000000"/>
          <w:lang w:eastAsia="es-CO"/>
        </w:rPr>
        <w:t>ii</w:t>
      </w:r>
      <w:proofErr w:type="spellEnd"/>
      <w:r w:rsidRPr="002B6154">
        <w:rPr>
          <w:rFonts w:ascii="Verdana" w:eastAsia="Times New Roman" w:hAnsi="Verdana" w:cs="Times New Roman"/>
          <w:color w:val="000000"/>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10B4B213" w14:textId="77777777" w:rsidR="002B6154" w:rsidRPr="002B6154" w:rsidRDefault="002B6154" w:rsidP="002B6154">
      <w:pPr>
        <w:spacing w:after="120" w:line="276" w:lineRule="auto"/>
        <w:ind w:firstLine="708"/>
        <w:jc w:val="both"/>
        <w:rPr>
          <w:rFonts w:ascii="Verdana" w:eastAsia="Times New Roman" w:hAnsi="Verdana" w:cs="Times New Roman"/>
          <w:color w:val="000000"/>
          <w:lang w:eastAsia="es-CO"/>
        </w:rPr>
      </w:pPr>
      <w:proofErr w:type="spellStart"/>
      <w:r w:rsidRPr="002B6154">
        <w:rPr>
          <w:rFonts w:ascii="Verdana" w:eastAsia="Times New Roman" w:hAnsi="Verdana" w:cs="Times New Roman"/>
          <w:color w:val="000000"/>
          <w:lang w:eastAsia="es-CO"/>
        </w:rPr>
        <w:t>iii</w:t>
      </w:r>
      <w:proofErr w:type="spellEnd"/>
      <w:r w:rsidRPr="002B6154">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7F202C1C" w14:textId="77777777" w:rsidR="002B6154" w:rsidRPr="002B6154" w:rsidRDefault="002B6154" w:rsidP="002B6154">
      <w:pPr>
        <w:spacing w:after="120" w:line="276" w:lineRule="auto"/>
        <w:ind w:firstLine="708"/>
        <w:jc w:val="both"/>
        <w:rPr>
          <w:rFonts w:ascii="Verdana" w:eastAsia="Times New Roman" w:hAnsi="Verdana" w:cs="Times New Roman"/>
          <w:color w:val="000000"/>
          <w:lang w:eastAsia="es-CO"/>
        </w:rPr>
      </w:pPr>
      <w:proofErr w:type="spellStart"/>
      <w:r w:rsidRPr="002B6154">
        <w:rPr>
          <w:rFonts w:ascii="Verdana" w:eastAsia="Times New Roman" w:hAnsi="Verdana" w:cs="Times New Roman"/>
          <w:color w:val="000000"/>
          <w:lang w:eastAsia="es-CO"/>
        </w:rPr>
        <w:t>iv</w:t>
      </w:r>
      <w:proofErr w:type="spellEnd"/>
      <w:r w:rsidRPr="002B6154">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10492AA2" w14:textId="77777777" w:rsidR="002B6154" w:rsidRPr="002B6154" w:rsidRDefault="002B6154" w:rsidP="002B6154">
      <w:pPr>
        <w:spacing w:after="120" w:line="276" w:lineRule="auto"/>
        <w:ind w:firstLine="708"/>
        <w:jc w:val="both"/>
        <w:rPr>
          <w:rFonts w:ascii="Verdana" w:eastAsia="Times New Roman" w:hAnsi="Verdana" w:cs="Times New Roman"/>
          <w:color w:val="000000"/>
          <w:lang w:eastAsia="es-CO"/>
        </w:rPr>
      </w:pPr>
      <w:r w:rsidRPr="002B6154">
        <w:rPr>
          <w:rFonts w:ascii="Verdana" w:eastAsia="Times New Roman" w:hAnsi="Verdana" w:cs="Times New Roman"/>
          <w:color w:val="000000"/>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2B6154">
        <w:rPr>
          <w:rFonts w:ascii="Verdana" w:eastAsia="Aptos" w:hAnsi="Verdana" w:cs="Times New Roman"/>
          <w:lang w:eastAsia="es-MX"/>
        </w:rPr>
        <w:t xml:space="preserve"> </w:t>
      </w:r>
    </w:p>
    <w:p w14:paraId="61F53116" w14:textId="77777777" w:rsidR="002B6154" w:rsidRPr="002B6154" w:rsidRDefault="002B6154" w:rsidP="002B6154">
      <w:pPr>
        <w:spacing w:after="120" w:line="276" w:lineRule="auto"/>
        <w:ind w:firstLine="708"/>
        <w:jc w:val="both"/>
        <w:textAlignment w:val="baseline"/>
        <w:rPr>
          <w:rFonts w:ascii="Verdana" w:eastAsia="Calibri" w:hAnsi="Verdana" w:cs="Arial"/>
          <w:lang w:eastAsia="es-MX"/>
        </w:rPr>
      </w:pPr>
      <w:r w:rsidRPr="002B6154">
        <w:rPr>
          <w:rFonts w:ascii="Verdana" w:eastAsia="Aptos" w:hAnsi="Verdana" w:cs="Times New Roman"/>
          <w:lang w:eastAsia="es-MX"/>
        </w:rPr>
        <w:lastRenderedPageBreak/>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r w:rsidRPr="002B6154">
        <w:rPr>
          <w:rFonts w:ascii="Verdana" w:eastAsia="Calibri" w:hAnsi="Verdana" w:cs="Arial"/>
          <w:vertAlign w:val="superscript"/>
          <w:lang w:eastAsia="es-MX"/>
        </w:rPr>
        <w:footnoteReference w:id="4"/>
      </w:r>
      <w:r w:rsidRPr="002B6154">
        <w:rPr>
          <w:rFonts w:ascii="Verdana" w:eastAsia="Calibri" w:hAnsi="Verdana" w:cs="Arial"/>
          <w:lang w:eastAsia="es-MX"/>
        </w:rPr>
        <w:t>.</w:t>
      </w:r>
    </w:p>
    <w:p w14:paraId="16690797" w14:textId="77777777" w:rsidR="002B6154" w:rsidRPr="002B6154" w:rsidRDefault="002B6154" w:rsidP="002B6154">
      <w:pPr>
        <w:widowControl w:val="0"/>
        <w:autoSpaceDE w:val="0"/>
        <w:autoSpaceDN w:val="0"/>
        <w:spacing w:after="120" w:line="276" w:lineRule="auto"/>
        <w:ind w:firstLine="708"/>
        <w:jc w:val="both"/>
        <w:rPr>
          <w:rFonts w:ascii="Verdana" w:eastAsia="Calibri" w:hAnsi="Verdana" w:cs="Times New Roman"/>
          <w:lang w:val="es-ES" w:eastAsia="es-MX"/>
        </w:rPr>
      </w:pPr>
      <w:r w:rsidRPr="002B6154">
        <w:rPr>
          <w:rFonts w:ascii="Verdana" w:eastAsia="Calibri" w:hAnsi="Verdana" w:cs="Times New Roman"/>
          <w:lang w:val="es-ES" w:eastAsia="es-MX"/>
        </w:rPr>
        <w:t xml:space="preserve">Es importante resaltar que, en virtud de la regla de inalterabilidad, los documentos tipo solo pueden ser modificados en los aspectos en que estos lo permitan. Esto corresponde a aquellos aspectos que se encuentran entre corchetes y resaltados en gris </w:t>
      </w:r>
      <w:r w:rsidRPr="002B6154">
        <w:rPr>
          <w:rFonts w:ascii="Verdana" w:eastAsia="Calibri" w:hAnsi="Verdana" w:cs="Times New Roman"/>
          <w:shd w:val="clear" w:color="auto" w:fill="E8E8E8"/>
          <w:lang w:val="es-ES" w:eastAsia="es-MX"/>
        </w:rPr>
        <w:t>–[texto]–,</w:t>
      </w:r>
      <w:r w:rsidRPr="002B6154">
        <w:rPr>
          <w:rFonts w:ascii="Verdana" w:eastAsia="Calibri" w:hAnsi="Verdana" w:cs="Times New Roman"/>
          <w:lang w:val="es-ES" w:eastAsia="es-MX"/>
        </w:rPr>
        <w:t xml:space="preserve"> para lo cual deberán observarse las instrucciones contenidas en los mismos para su diligenciamiento.</w:t>
      </w:r>
    </w:p>
    <w:p w14:paraId="5654E33A" w14:textId="77777777" w:rsidR="002B6154" w:rsidRPr="002B6154" w:rsidRDefault="002B6154" w:rsidP="002B6154">
      <w:pPr>
        <w:widowControl w:val="0"/>
        <w:autoSpaceDE w:val="0"/>
        <w:autoSpaceDN w:val="0"/>
        <w:spacing w:after="120" w:line="276" w:lineRule="auto"/>
        <w:ind w:firstLine="708"/>
        <w:jc w:val="both"/>
        <w:rPr>
          <w:rFonts w:ascii="Verdana" w:eastAsia="Calibri" w:hAnsi="Verdana" w:cs="Times New Roman"/>
          <w:lang w:val="es-ES" w:eastAsia="es-MX"/>
        </w:rPr>
      </w:pPr>
      <w:r w:rsidRPr="002B6154">
        <w:rPr>
          <w:rFonts w:ascii="Verdana" w:eastAsia="Calibri" w:hAnsi="Verdana" w:cs="Times New Roman"/>
          <w:lang w:val="es-ES" w:eastAsia="es-MX"/>
        </w:rPr>
        <w:lastRenderedPageBreak/>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119E0AD4" w14:textId="77777777" w:rsidR="002B6154" w:rsidRPr="002B6154" w:rsidRDefault="002B6154" w:rsidP="002B6154">
      <w:pPr>
        <w:widowControl w:val="0"/>
        <w:autoSpaceDE w:val="0"/>
        <w:autoSpaceDN w:val="0"/>
        <w:spacing w:after="120" w:line="276" w:lineRule="auto"/>
        <w:ind w:firstLine="708"/>
        <w:jc w:val="both"/>
        <w:rPr>
          <w:rFonts w:ascii="Verdana" w:eastAsia="Calibri" w:hAnsi="Verdana" w:cs="Times New Roman"/>
          <w:lang w:val="es-ES" w:eastAsia="es-MX"/>
        </w:rPr>
      </w:pPr>
      <w:r w:rsidRPr="002B6154">
        <w:rPr>
          <w:rFonts w:ascii="Verdana" w:eastAsia="Calibri" w:hAnsi="Verdana" w:cs="Times New Roman"/>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771229EC" w14:textId="77777777" w:rsidR="002B6154" w:rsidRPr="002B6154" w:rsidRDefault="002B6154" w:rsidP="002B6154">
      <w:pPr>
        <w:widowControl w:val="0"/>
        <w:autoSpaceDE w:val="0"/>
        <w:autoSpaceDN w:val="0"/>
        <w:spacing w:after="120" w:line="276" w:lineRule="auto"/>
        <w:ind w:firstLine="708"/>
        <w:jc w:val="both"/>
        <w:rPr>
          <w:rFonts w:ascii="Verdana" w:eastAsia="Calibri" w:hAnsi="Verdana" w:cs="Times New Roman"/>
          <w:lang w:val="es-ES" w:eastAsia="es-MX"/>
        </w:rPr>
      </w:pPr>
      <w:r w:rsidRPr="002B6154">
        <w:rPr>
          <w:rFonts w:ascii="Verdana" w:eastAsia="Calibri" w:hAnsi="Verdana" w:cs="Times New Roman"/>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0EDF4ACF" w14:textId="77777777" w:rsidR="002B6154" w:rsidRPr="002B6154" w:rsidRDefault="002B6154" w:rsidP="002B6154">
      <w:pPr>
        <w:widowControl w:val="0"/>
        <w:autoSpaceDE w:val="0"/>
        <w:autoSpaceDN w:val="0"/>
        <w:spacing w:after="120" w:line="276" w:lineRule="auto"/>
        <w:ind w:firstLine="708"/>
        <w:jc w:val="both"/>
        <w:rPr>
          <w:rFonts w:ascii="Verdana" w:eastAsia="Calibri" w:hAnsi="Verdana" w:cs="Times New Roman"/>
          <w:lang w:val="es-ES" w:eastAsia="es-MX"/>
        </w:rPr>
      </w:pPr>
      <w:r w:rsidRPr="002B6154">
        <w:rPr>
          <w:rFonts w:ascii="Verdana" w:eastAsia="Calibri" w:hAnsi="Verdana" w:cs="Times New Roman"/>
          <w:lang w:val="es-ES" w:eastAsia="es-MX"/>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27459548" w14:textId="77777777" w:rsidR="002B6154" w:rsidRPr="002B6154" w:rsidRDefault="002B6154" w:rsidP="002B6154">
      <w:pPr>
        <w:widowControl w:val="0"/>
        <w:autoSpaceDE w:val="0"/>
        <w:autoSpaceDN w:val="0"/>
        <w:spacing w:after="0" w:line="276" w:lineRule="auto"/>
        <w:ind w:firstLine="708"/>
        <w:jc w:val="both"/>
        <w:rPr>
          <w:rFonts w:ascii="Verdana" w:eastAsia="Calibri" w:hAnsi="Verdana" w:cs="Times New Roman"/>
          <w:lang w:val="es-ES" w:eastAsia="es-MX"/>
        </w:rPr>
      </w:pPr>
      <w:r w:rsidRPr="002B6154">
        <w:rPr>
          <w:rFonts w:ascii="Verdana" w:eastAsia="Calibri" w:hAnsi="Verdana" w:cs="Times New Roman"/>
          <w:lang w:val="es-ES" w:eastAsia="es-MX"/>
        </w:rPr>
        <w:t xml:space="preserve">De esta manera, para saber a qué actividades deben aplicarse los documentos tipo de licitación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w:t>
      </w:r>
      <w:r w:rsidRPr="002B6154">
        <w:rPr>
          <w:rFonts w:ascii="Verdana" w:eastAsia="Calibri" w:hAnsi="Verdana" w:cs="Times New Roman"/>
          <w:lang w:val="es-ES" w:eastAsia="es-MX"/>
        </w:rPr>
        <w:lastRenderedPageBreak/>
        <w:t>sectores −según corresponda−, mientras que en el caso contrario no será forzosa su aplicación.</w:t>
      </w:r>
    </w:p>
    <w:p w14:paraId="337CB9D5" w14:textId="77777777" w:rsidR="002B6154" w:rsidRPr="002B6154" w:rsidRDefault="002B6154" w:rsidP="002B6154">
      <w:pPr>
        <w:widowControl w:val="0"/>
        <w:autoSpaceDE w:val="0"/>
        <w:autoSpaceDN w:val="0"/>
        <w:spacing w:after="0" w:line="276" w:lineRule="auto"/>
        <w:jc w:val="both"/>
        <w:rPr>
          <w:rFonts w:ascii="Verdana" w:eastAsia="Arial" w:hAnsi="Verdana" w:cs="Arial"/>
          <w:bCs/>
          <w:lang w:val="es-ES" w:eastAsia="es-MX"/>
        </w:rPr>
      </w:pPr>
    </w:p>
    <w:p w14:paraId="52F1EF94" w14:textId="77777777" w:rsidR="002B6154" w:rsidRPr="002B6154" w:rsidRDefault="002B6154" w:rsidP="002B6154">
      <w:pPr>
        <w:spacing w:after="120" w:line="276" w:lineRule="auto"/>
        <w:jc w:val="both"/>
        <w:rPr>
          <w:rFonts w:ascii="Verdana" w:eastAsia="Calibri" w:hAnsi="Verdana" w:cs="Times New Roman"/>
          <w:kern w:val="2"/>
          <w:lang w:val="es-ES" w:eastAsia="es-MX"/>
          <w14:ligatures w14:val="standardContextual"/>
        </w:rPr>
      </w:pPr>
      <w:proofErr w:type="spellStart"/>
      <w:r w:rsidRPr="002B6154">
        <w:rPr>
          <w:rFonts w:ascii="Verdana" w:eastAsia="Arial" w:hAnsi="Verdana" w:cs="Arial"/>
          <w:bCs/>
          <w:lang w:val="es-ES" w:eastAsia="es-MX"/>
        </w:rPr>
        <w:t>ii</w:t>
      </w:r>
      <w:proofErr w:type="spellEnd"/>
      <w:r w:rsidRPr="002B6154">
        <w:rPr>
          <w:rFonts w:ascii="Verdana" w:eastAsia="Arial" w:hAnsi="Verdana" w:cs="Arial"/>
          <w:bCs/>
          <w:lang w:val="es-ES" w:eastAsia="es-MX"/>
        </w:rPr>
        <w:t xml:space="preserve">. </w:t>
      </w:r>
      <w:r w:rsidRPr="002B6154">
        <w:rPr>
          <w:rFonts w:ascii="Verdana" w:eastAsia="Calibri" w:hAnsi="Verdana" w:cs="Times New Roman"/>
          <w:kern w:val="2"/>
          <w:lang w:val="es-ES" w:eastAsia="es-MX"/>
          <w14:ligatures w14:val="standardContextual"/>
        </w:rPr>
        <w:t xml:space="preserve">El artículo 14 de la Resolución 539 del 21 de agosto de 2025, y el artículo 13 de las Resoluciones 540 y 541 del 21 de agosto de 2025, adoptan los documentos tipo complementarios para los procesos de infraestructura social relacionados con el Sector Cultura, recreación y deporte -según la modalidad que corresponda-. De acuerdo con el parágrafo segundo de los artículos 15 y 14 de las citadas resoluciones, estos documentos aplican a los procesos contractuales que correspondan a las actividades definidas en la Matriz 1 – Experiencia del Sector Cultura, recreación y deporte. </w:t>
      </w:r>
    </w:p>
    <w:p w14:paraId="2680DA62" w14:textId="77777777" w:rsidR="002B6154" w:rsidRPr="002B6154" w:rsidRDefault="002B6154" w:rsidP="002B6154">
      <w:pPr>
        <w:spacing w:after="120" w:line="276" w:lineRule="auto"/>
        <w:jc w:val="both"/>
        <w:rPr>
          <w:rFonts w:ascii="Verdana" w:eastAsia="Aptos" w:hAnsi="Verdana" w:cs="Times New Roman"/>
          <w:kern w:val="2"/>
          <w14:ligatures w14:val="standardContextual"/>
        </w:rPr>
      </w:pPr>
      <w:r w:rsidRPr="002B6154">
        <w:rPr>
          <w:rFonts w:ascii="Aptos" w:eastAsia="Calibri" w:hAnsi="Aptos" w:cs="Times New Roman"/>
          <w:kern w:val="2"/>
          <w:sz w:val="24"/>
          <w:szCs w:val="24"/>
          <w:lang w:val="es-ES" w:eastAsia="es-MX"/>
          <w14:ligatures w14:val="standardContextual"/>
        </w:rPr>
        <w:tab/>
      </w:r>
      <w:r w:rsidRPr="002B6154">
        <w:rPr>
          <w:rFonts w:ascii="Verdana" w:eastAsia="Calibri" w:hAnsi="Verdana" w:cs="Times New Roman"/>
          <w:kern w:val="2"/>
          <w:lang w:val="es-ES" w:eastAsia="es-MX"/>
          <w14:ligatures w14:val="standardContextual"/>
        </w:rPr>
        <w:t xml:space="preserve">La Matriz 1 – Experiencia del Sector Cultura, recreación y deporte, </w:t>
      </w:r>
      <w:r w:rsidRPr="002B6154">
        <w:rPr>
          <w:rFonts w:ascii="Verdana" w:eastAsia="Times New Roman" w:hAnsi="Verdana" w:cs="Times New Roman"/>
          <w:color w:val="000000"/>
          <w:kern w:val="2"/>
          <w:lang w:eastAsia="es-CO"/>
          <w14:ligatures w14:val="standardContextual"/>
        </w:rPr>
        <w:t xml:space="preserve">en la modalidad de licitación pública, selección abreviada de menor cuantía y mínima cuantía dispone de los siguientes cinco (5) tipos de infraestructura: </w:t>
      </w:r>
      <w:r w:rsidRPr="002B6154">
        <w:rPr>
          <w:rFonts w:ascii="Verdana" w:eastAsia="Arial" w:hAnsi="Verdana" w:cs="Aptos"/>
          <w:kern w:val="2"/>
          <w:lang w:eastAsia="es-ES"/>
          <w14:ligatures w14:val="standardContextual"/>
        </w:rPr>
        <w:t>“1. OBRAS EN INFRAESTRUCTURA CULTURAL; 2. OBRAS EN INFRAESTRUCTURA RECREO DEPORTIVA; 3. OBRAS EN INFRAESTRUCTURA DEL SECTOR DE CULTURA, RECREACIÓN Y DEPORTE; 4. OBRAS EN BIBLIOTECAS PÚBLICAS; y 5. OBRAS PARA ATENCIÓN, PREVENCIÓN O MITIGACIÓN DE EMERGENCIAS DIFERENTES A CONTRATACIÓN DIRECTA PARA EL SECTOR CULTURA, RECREACIÓN Y DEPORTE”</w:t>
      </w:r>
      <w:r w:rsidRPr="002B6154">
        <w:rPr>
          <w:rFonts w:ascii="Verdana" w:eastAsia="Aptos" w:hAnsi="Verdana" w:cs="Times New Roman"/>
          <w:kern w:val="2"/>
          <w14:ligatures w14:val="standardContextual"/>
        </w:rPr>
        <w:t xml:space="preserve">. </w:t>
      </w:r>
    </w:p>
    <w:p w14:paraId="38469E5F" w14:textId="77777777" w:rsidR="002B6154" w:rsidRPr="002B6154" w:rsidRDefault="002B6154" w:rsidP="002B6154">
      <w:pPr>
        <w:spacing w:after="120" w:line="276" w:lineRule="auto"/>
        <w:ind w:firstLine="708"/>
        <w:jc w:val="both"/>
        <w:rPr>
          <w:rFonts w:ascii="Verdana" w:eastAsia="Arial" w:hAnsi="Verdana" w:cs="Aptos"/>
          <w:kern w:val="2"/>
          <w:lang w:eastAsia="es-ES"/>
          <w14:ligatures w14:val="standardContextual"/>
        </w:rPr>
      </w:pPr>
      <w:r w:rsidRPr="002B6154">
        <w:rPr>
          <w:rFonts w:ascii="Verdana" w:eastAsia="Arial" w:hAnsi="Verdana" w:cs="Aptos"/>
          <w:kern w:val="2"/>
          <w:lang w:eastAsia="es-ES"/>
          <w14:ligatures w14:val="standardContextual"/>
        </w:rPr>
        <w:t xml:space="preserve">Sobre los tipos de obras señaladas, la Matriz 1 – Experiencia contiene una serie de actividades donde la entidad debe encuadrar el objeto del proceso que pretende ejecutar. </w:t>
      </w:r>
      <w:r w:rsidRPr="002B6154">
        <w:rPr>
          <w:rFonts w:ascii="Verdana" w:eastAsia="Aptos" w:hAnsi="Verdana" w:cs="Times New Roman"/>
          <w:kern w:val="2"/>
          <w14:ligatures w14:val="standardContextual"/>
        </w:rPr>
        <w:t xml:space="preserve">Estas se relacionan con proyectos de construcción, ampliación, reconstrucción, adecuación, conservación, intervención, remodelación, mantenimiento, mejoramiento, modificación, optimización, rehabilitación, remodelación, reposición y/o reparación y/o suministro, entre otras actividades, sobre infraestructura del sector cultura, recreación y deporte. </w:t>
      </w:r>
    </w:p>
    <w:p w14:paraId="083661E8" w14:textId="77777777" w:rsidR="002B6154" w:rsidRPr="002B6154" w:rsidRDefault="002B6154" w:rsidP="002B6154">
      <w:pPr>
        <w:spacing w:after="120" w:line="276" w:lineRule="auto"/>
        <w:jc w:val="both"/>
        <w:rPr>
          <w:rFonts w:ascii="Verdana" w:eastAsia="Times New Roman" w:hAnsi="Verdana" w:cs="Times New Roman"/>
          <w:color w:val="000000"/>
          <w:kern w:val="2"/>
          <w:lang w:eastAsia="es-CO"/>
          <w14:ligatures w14:val="standardContextual"/>
        </w:rPr>
      </w:pPr>
      <w:r w:rsidRPr="002B6154">
        <w:rPr>
          <w:rFonts w:ascii="Verdana" w:eastAsia="Arial" w:hAnsi="Verdana" w:cs="Aptos"/>
          <w:kern w:val="2"/>
          <w:sz w:val="24"/>
          <w:szCs w:val="24"/>
          <w:lang w:eastAsia="es-ES"/>
          <w14:ligatures w14:val="standardContextual"/>
        </w:rPr>
        <w:tab/>
      </w:r>
      <w:r w:rsidRPr="002B6154">
        <w:rPr>
          <w:rFonts w:ascii="Verdana" w:eastAsia="Arial" w:hAnsi="Verdana" w:cs="Aptos"/>
          <w:kern w:val="2"/>
          <w:lang w:eastAsia="es-ES"/>
          <w14:ligatures w14:val="standardContextual"/>
        </w:rPr>
        <w:t>De esta forma, los tipos de obras señaladas y las actividades previstas en la Matriz 1</w:t>
      </w:r>
      <w:r w:rsidRPr="002B6154">
        <w:rPr>
          <w:rFonts w:ascii="Verdana" w:eastAsia="Calibri" w:hAnsi="Verdana" w:cs="Times New Roman"/>
          <w:kern w:val="2"/>
          <w:lang w:val="es-ES" w:eastAsia="es-MX"/>
          <w14:ligatures w14:val="standardContextual"/>
        </w:rPr>
        <w:t xml:space="preserve">– Experiencia del Sector Cultura, recreación y deporte, </w:t>
      </w:r>
      <w:r w:rsidRPr="002B6154">
        <w:rPr>
          <w:rFonts w:ascii="Verdana" w:eastAsia="Times New Roman" w:hAnsi="Verdana" w:cs="Times New Roman"/>
          <w:color w:val="000000"/>
          <w:kern w:val="2"/>
          <w:lang w:eastAsia="es-CO"/>
          <w14:ligatures w14:val="standardContextual"/>
        </w:rPr>
        <w:t>en la modalidad de licitación pública, selección abreviada de menor cuantía y mínima cuantía, recaen sobre infraestructura cultural, recreo deportiva, cultura, recreación y deporte y bibliotecas. Esto es importante para precisar el ámbito de aplicación de los documentos tipo de este sector adoptados en las Resoluciones 539, 540 y 541 de 2025.</w:t>
      </w:r>
    </w:p>
    <w:p w14:paraId="2956A805" w14:textId="77777777" w:rsidR="002B6154" w:rsidRPr="002B6154" w:rsidRDefault="002B6154" w:rsidP="002B6154">
      <w:pPr>
        <w:spacing w:after="0" w:line="276" w:lineRule="auto"/>
        <w:jc w:val="both"/>
        <w:rPr>
          <w:rFonts w:ascii="Verdana" w:eastAsia="Calibri" w:hAnsi="Verdana" w:cs="Times New Roman"/>
          <w:lang w:val="es-ES"/>
        </w:rPr>
      </w:pPr>
      <w:r w:rsidRPr="002B6154">
        <w:rPr>
          <w:rFonts w:ascii="Verdana" w:eastAsia="Times New Roman" w:hAnsi="Verdana" w:cs="Times New Roman"/>
          <w:color w:val="000000"/>
          <w:kern w:val="2"/>
          <w:lang w:eastAsia="es-CO"/>
          <w14:ligatures w14:val="standardContextual"/>
        </w:rPr>
        <w:lastRenderedPageBreak/>
        <w:tab/>
      </w:r>
      <w:r w:rsidRPr="002B6154">
        <w:rPr>
          <w:rFonts w:ascii="Verdana" w:eastAsia="Times New Roman" w:hAnsi="Verdana" w:cs="Times New Roman"/>
          <w:color w:val="000000"/>
          <w:lang w:eastAsia="es-CO"/>
        </w:rPr>
        <w:t xml:space="preserve">Concretamente, en su solicitud usted indaga sobre la aplicación de los documentos tipo del sector social expedidos por la Agencia Nacional de Contratación Pública – Colombia Compra Eficiente </w:t>
      </w:r>
      <w:r w:rsidRPr="002B6154">
        <w:rPr>
          <w:rFonts w:ascii="Verdana" w:eastAsia="Times New Roman" w:hAnsi="Verdana" w:cs="Times New Roman"/>
          <w:i/>
          <w:iCs/>
          <w:color w:val="000000"/>
          <w:lang w:eastAsia="es-CO"/>
        </w:rPr>
        <w:t>“para adelantar un proceso de selección cuyo objeto principal es la construcción, adecuación y/o ampliación de salones comunales”.</w:t>
      </w:r>
      <w:r w:rsidRPr="002B6154">
        <w:rPr>
          <w:rFonts w:ascii="Verdana" w:eastAsia="Times New Roman" w:hAnsi="Verdana" w:cs="Times New Roman"/>
          <w:color w:val="000000"/>
          <w:lang w:eastAsia="es-CO"/>
        </w:rPr>
        <w:t xml:space="preserve"> Sobre el particular, en el capítulo </w:t>
      </w:r>
      <w:r w:rsidRPr="002B6154">
        <w:rPr>
          <w:rFonts w:ascii="Verdana" w:eastAsia="Times New Roman" w:hAnsi="Verdana" w:cs="Times New Roman"/>
          <w:i/>
          <w:iCs/>
          <w:color w:val="000000"/>
          <w:lang w:eastAsia="es-CO"/>
        </w:rPr>
        <w:t>“3. Obras de infraestructura del sector cultura, recreación y deporte”</w:t>
      </w:r>
      <w:r w:rsidRPr="002B6154">
        <w:rPr>
          <w:rFonts w:ascii="Verdana" w:eastAsia="Times New Roman" w:hAnsi="Verdana" w:cs="Times New Roman"/>
          <w:color w:val="000000"/>
          <w:lang w:eastAsia="es-CO"/>
        </w:rPr>
        <w:t xml:space="preserve"> de la Matriz 1 – Experiencia” de </w:t>
      </w:r>
      <w:r w:rsidRPr="002B6154">
        <w:rPr>
          <w:rFonts w:ascii="Verdana" w:eastAsia="Calibri" w:hAnsi="Verdana" w:cs="Times New Roman"/>
          <w:lang w:val="es-ES"/>
        </w:rPr>
        <w:t>los documentos tipo complementarios del sector cultura, recreación y deporte, en la modalidad de licitación de obra pública, selección abreviada de menor cuantía y mínima cuantía, se encuentran las siguientes actividades que recaen sobre infraestructura para reuniones sociales y/o religiosas:</w:t>
      </w:r>
    </w:p>
    <w:p w14:paraId="7C789E21" w14:textId="77777777" w:rsidR="002B6154" w:rsidRPr="002B6154" w:rsidRDefault="002B6154" w:rsidP="002B6154">
      <w:pPr>
        <w:spacing w:after="0" w:line="276" w:lineRule="auto"/>
        <w:jc w:val="both"/>
        <w:rPr>
          <w:rFonts w:ascii="Verdana" w:eastAsia="Calibri" w:hAnsi="Verdana" w:cs="Times New Roman"/>
          <w:lang w:val="es-ES"/>
        </w:rPr>
      </w:pPr>
    </w:p>
    <w:p w14:paraId="3A5761C8" w14:textId="77777777" w:rsidR="002B6154" w:rsidRPr="002B6154" w:rsidRDefault="002B6154" w:rsidP="002B6154">
      <w:pPr>
        <w:spacing w:after="120" w:line="240" w:lineRule="auto"/>
        <w:ind w:left="709" w:right="709"/>
        <w:jc w:val="both"/>
        <w:rPr>
          <w:rFonts w:ascii="Verdana" w:eastAsia="Calibri" w:hAnsi="Verdana" w:cs="Times New Roman"/>
          <w:sz w:val="21"/>
          <w:szCs w:val="21"/>
          <w:lang w:val="es-ES"/>
        </w:rPr>
      </w:pPr>
      <w:r w:rsidRPr="002B6154">
        <w:rPr>
          <w:rFonts w:ascii="Verdana" w:eastAsia="Calibri" w:hAnsi="Verdana" w:cs="Times New Roman"/>
          <w:sz w:val="21"/>
          <w:szCs w:val="21"/>
          <w:lang w:val="es-ES"/>
        </w:rPr>
        <w:t>“3.1. PROYECTOS DE CONSTRUCCIÓN Y/O AMPLIACIÓN Y/O RECONSTRUCCIÓN DE INSTALACIONES EN INFRAESTRUCTURA PARA REUNIONES SOCIALES Y/O RELIGIOSOS</w:t>
      </w:r>
    </w:p>
    <w:p w14:paraId="454F10FE" w14:textId="77777777" w:rsidR="002B6154" w:rsidRPr="002B6154" w:rsidRDefault="002B6154" w:rsidP="002B6154">
      <w:pPr>
        <w:spacing w:after="0" w:line="240" w:lineRule="auto"/>
        <w:ind w:left="709" w:right="709"/>
        <w:jc w:val="both"/>
        <w:rPr>
          <w:rFonts w:ascii="Verdana" w:eastAsia="Calibri" w:hAnsi="Verdana" w:cs="Times New Roman"/>
          <w:sz w:val="21"/>
          <w:szCs w:val="21"/>
          <w:lang w:val="es-ES"/>
        </w:rPr>
      </w:pPr>
      <w:r w:rsidRPr="002B6154">
        <w:rPr>
          <w:rFonts w:ascii="Verdana" w:eastAsia="Calibri" w:hAnsi="Verdana" w:cs="Times New Roman"/>
          <w:sz w:val="21"/>
          <w:szCs w:val="21"/>
          <w:lang w:val="es-ES"/>
        </w:rPr>
        <w:t xml:space="preserve">3.2. PROYECTOS DE ADECUACIÓN Y/O CONSERVACIÓN Y/O INTERVENCIÓN Y/O INSTALACIÓN Y/O MANTENIMIENTO Y/O MEJORAMIENTO Y/O MODIFICACIÓN U OPTIMIZACIÓN Y/O REHABILITACIÓN Y/O REMODELACIÓN Y/O REPOSICIÓN Y/O REPARACIÓN LOCATIVA Y/O RESTAURACIÓN Y/O RESTITUCIÓN Y/O TERMINACIÓN EN INFRAESTRUCTURA PARA REUNIONES SOCIALES Y/O RELIGIOSOS”. </w:t>
      </w:r>
    </w:p>
    <w:p w14:paraId="054BCA3A" w14:textId="77777777" w:rsidR="002B6154" w:rsidRPr="002B6154" w:rsidRDefault="002B6154" w:rsidP="002B6154">
      <w:pPr>
        <w:spacing w:after="0" w:line="276" w:lineRule="auto"/>
        <w:jc w:val="both"/>
        <w:rPr>
          <w:rFonts w:ascii="Verdana" w:eastAsia="Calibri" w:hAnsi="Verdana" w:cs="Times New Roman"/>
        </w:rPr>
      </w:pPr>
      <w:r w:rsidRPr="002B6154">
        <w:rPr>
          <w:rFonts w:ascii="Verdana" w:eastAsia="Calibri" w:hAnsi="Verdana" w:cs="Times New Roman"/>
        </w:rPr>
        <w:tab/>
      </w:r>
    </w:p>
    <w:p w14:paraId="4799C067" w14:textId="77777777" w:rsidR="002B6154" w:rsidRPr="002B6154" w:rsidRDefault="002B6154" w:rsidP="002B6154">
      <w:pPr>
        <w:spacing w:after="120" w:line="276" w:lineRule="auto"/>
        <w:jc w:val="both"/>
        <w:rPr>
          <w:rFonts w:ascii="Verdana" w:eastAsia="Aptos" w:hAnsi="Verdana" w:cs="Times New Roman"/>
          <w:kern w:val="2"/>
          <w14:ligatures w14:val="standardContextual"/>
        </w:rPr>
      </w:pPr>
      <w:r w:rsidRPr="002B6154">
        <w:rPr>
          <w:rFonts w:ascii="Verdana" w:eastAsia="Calibri" w:hAnsi="Verdana" w:cs="Times New Roman"/>
        </w:rPr>
        <w:tab/>
      </w:r>
      <w:r w:rsidRPr="002B6154">
        <w:rPr>
          <w:rFonts w:ascii="Verdana" w:eastAsia="Aptos" w:hAnsi="Verdana" w:cs="Times New Roman"/>
          <w:kern w:val="2"/>
          <w14:ligatures w14:val="standardContextual"/>
        </w:rPr>
        <w:t>Como se aprecia, las actividades 3.1 y 3.2 de la Matriz 1 – Experiencia de los documentos tipo complementarios para el sector cultura, recreación y deporte, adoptados por esta Agencia para los procesos de contratación de obra pública, contemplan actividades tales como la construcción, reconstrucción, ampliación, adecuación y conservación, entre otras, de infraestructura destinada a reuniones sociales y/o religiosas.</w:t>
      </w:r>
    </w:p>
    <w:p w14:paraId="70770522" w14:textId="77777777" w:rsidR="002B6154" w:rsidRPr="002B6154" w:rsidRDefault="002B6154" w:rsidP="002B6154">
      <w:pPr>
        <w:spacing w:after="120" w:line="276" w:lineRule="auto"/>
        <w:jc w:val="both"/>
        <w:rPr>
          <w:rFonts w:ascii="Verdana" w:eastAsia="Times New Roman" w:hAnsi="Verdana" w:cs="Times New Roman"/>
          <w:i/>
          <w:iCs/>
          <w:color w:val="000000"/>
          <w:kern w:val="2"/>
          <w:lang w:eastAsia="es-CO"/>
          <w14:ligatures w14:val="standardContextual"/>
        </w:rPr>
      </w:pPr>
      <w:r w:rsidRPr="002B6154">
        <w:rPr>
          <w:rFonts w:ascii="Verdana" w:eastAsia="Calibri" w:hAnsi="Verdana" w:cs="Times New Roman"/>
          <w:lang w:val="es-ES"/>
        </w:rPr>
        <w:tab/>
      </w:r>
      <w:r w:rsidRPr="002B6154">
        <w:rPr>
          <w:rFonts w:ascii="Verdana" w:eastAsia="Times New Roman" w:hAnsi="Verdana" w:cs="Aptos"/>
          <w:kern w:val="2"/>
          <w:lang w:eastAsia="es-MX"/>
          <w14:ligatures w14:val="standardContextual"/>
        </w:rPr>
        <w:t xml:space="preserve">Para interpretar el alcance de este tipo de infraestructura –sitios de reuniones sociales y/o religiosos–, se debe tener en cuenta la nota general 1 de dicha Matriz, en las distintas modalidades de los documentos tipo. En esta se indica que </w:t>
      </w:r>
      <w:r w:rsidRPr="002B6154">
        <w:rPr>
          <w:rFonts w:ascii="Verdana" w:eastAsia="Times New Roman" w:hAnsi="Verdana" w:cs="Aptos"/>
          <w:i/>
          <w:iCs/>
          <w:kern w:val="2"/>
          <w:lang w:eastAsia="es-MX"/>
          <w14:ligatures w14:val="standardContextual"/>
        </w:rPr>
        <w:t>“(l)as definiciones contenidas en esta Matriz deben enmarcarse en la normativa vigente en la materia, así como en la NSR 10 o aquellas que los modifiquen, adicionen o sustituyan, así como a las definiciones contenidas en el "Anexo - Glosario del Sector Social””.</w:t>
      </w:r>
    </w:p>
    <w:p w14:paraId="210CE1C3" w14:textId="77777777" w:rsidR="002B6154" w:rsidRPr="002B6154" w:rsidRDefault="002B6154" w:rsidP="002B6154">
      <w:pPr>
        <w:spacing w:after="120" w:line="278" w:lineRule="auto"/>
        <w:ind w:firstLine="708"/>
        <w:jc w:val="both"/>
        <w:rPr>
          <w:rFonts w:ascii="Verdana" w:eastAsia="Times New Roman" w:hAnsi="Verdana" w:cs="Aptos"/>
          <w:i/>
          <w:iCs/>
          <w:kern w:val="2"/>
          <w:lang w:eastAsia="es-MX"/>
          <w14:ligatures w14:val="standardContextual"/>
        </w:rPr>
      </w:pPr>
      <w:r w:rsidRPr="002B6154">
        <w:rPr>
          <w:rFonts w:ascii="Verdana" w:eastAsia="Times New Roman" w:hAnsi="Verdana" w:cs="Aptos"/>
          <w:kern w:val="2"/>
          <w:lang w:eastAsia="es-MX"/>
          <w14:ligatures w14:val="standardContextual"/>
        </w:rPr>
        <w:lastRenderedPageBreak/>
        <w:t xml:space="preserve">La nota general 1 contenida en la Matriz 1 – Experiencia de los documentos tipo indicados, es congruente con el numeral 1.10 del documento base que dispone que </w:t>
      </w:r>
      <w:r w:rsidRPr="002B6154">
        <w:rPr>
          <w:rFonts w:ascii="Verdana" w:eastAsia="Times New Roman" w:hAnsi="Verdana" w:cs="Aptos"/>
          <w:i/>
          <w:iCs/>
          <w:kern w:val="2"/>
          <w:lang w:eastAsia="es-MX"/>
          <w14:ligatures w14:val="standardContextual"/>
        </w:rPr>
        <w:t>“[p]ara los fines de este Pliego de Condiciones, a menos que expresamente se estipule de otra manera, los términos deben entenderse de acuerdo con la definición contenida en el artículo 2.2.1.1.1.3.1 del Decreto 1082 de 2015, el glosario aplicable a la obra pública de infraestructura social y demás normas, decretos reglamentarios y legislación aplicable en la materia”.</w:t>
      </w:r>
    </w:p>
    <w:p w14:paraId="063DCBC9" w14:textId="77777777" w:rsidR="002B6154" w:rsidRPr="002B6154" w:rsidRDefault="002B6154" w:rsidP="002B6154">
      <w:pPr>
        <w:spacing w:after="0" w:line="276" w:lineRule="auto"/>
        <w:ind w:firstLine="708"/>
        <w:jc w:val="both"/>
        <w:rPr>
          <w:rFonts w:ascii="Verdana" w:eastAsia="Calibri" w:hAnsi="Verdana" w:cs="Arial"/>
          <w:lang w:val="es-ES_tradnl"/>
        </w:rPr>
      </w:pPr>
      <w:r w:rsidRPr="002B6154">
        <w:rPr>
          <w:rFonts w:ascii="Verdana" w:eastAsia="Calibri" w:hAnsi="Verdana" w:cs="Arial"/>
          <w:lang w:val="es-ES_tradnl"/>
        </w:rPr>
        <w:t>De esta forma, de acuerdo con el Anexo 5 – Glosario de los documentos tipo de licitación de obra pública de infraestructura social – versión 2, el numeral 2.102 señala la definición de “Grupo de ocupación de lugares de reunión” lo cual, es importante para comprender el alcance de las actividades 3.1 y 3.2 contenidas en la Matriz 1 – Experiencia y enmarcar los objetos de su solicitud en estas actividades. Así, en el numeral se dispone lo siguiente:</w:t>
      </w:r>
    </w:p>
    <w:p w14:paraId="0BBF9E9C" w14:textId="77777777" w:rsidR="002B6154" w:rsidRPr="002B6154" w:rsidRDefault="002B6154" w:rsidP="002B6154">
      <w:pPr>
        <w:spacing w:after="0" w:line="276" w:lineRule="auto"/>
        <w:ind w:firstLine="708"/>
        <w:jc w:val="both"/>
        <w:rPr>
          <w:rFonts w:ascii="Verdana" w:eastAsia="Calibri" w:hAnsi="Verdana" w:cs="Arial"/>
          <w:lang w:val="es-ES_tradnl"/>
        </w:rPr>
      </w:pPr>
    </w:p>
    <w:p w14:paraId="5134902D" w14:textId="77777777" w:rsidR="002B6154" w:rsidRPr="002B6154" w:rsidRDefault="002B6154" w:rsidP="002B6154">
      <w:pPr>
        <w:spacing w:after="0" w:line="240" w:lineRule="auto"/>
        <w:ind w:left="1069" w:right="709"/>
        <w:contextualSpacing/>
        <w:jc w:val="both"/>
        <w:rPr>
          <w:rFonts w:ascii="Verdana" w:eastAsia="Arial" w:hAnsi="Verdana" w:cs="Arial"/>
          <w:sz w:val="21"/>
          <w:szCs w:val="21"/>
          <w:lang w:val="es-ES"/>
        </w:rPr>
      </w:pPr>
      <w:r w:rsidRPr="002B6154">
        <w:rPr>
          <w:rFonts w:ascii="Verdana" w:eastAsia="Arial" w:hAnsi="Verdana" w:cs="Arial"/>
          <w:b/>
          <w:bCs/>
          <w:sz w:val="21"/>
          <w:szCs w:val="21"/>
          <w:lang w:val="es-ES"/>
        </w:rPr>
        <w:t xml:space="preserve">“2.102 Grupo de ocupación de lugares de reunión: </w:t>
      </w:r>
      <w:r w:rsidRPr="002B6154">
        <w:rPr>
          <w:rFonts w:ascii="Verdana" w:eastAsia="Arial" w:hAnsi="Verdana" w:cs="Arial"/>
          <w:sz w:val="21"/>
          <w:szCs w:val="21"/>
          <w:lang w:val="es-ES"/>
        </w:rPr>
        <w:t xml:space="preserve">En el grupo de ocupación de lugares de reunión se clasifican las edificaciones o espacios en donde se reúne o agrupa la gente con fines religiosos, deportivos, políticos, culturales, sociales, recreativos o de transporte y que, en general, disponen de medios comunes de salida </w:t>
      </w:r>
      <w:proofErr w:type="gramStart"/>
      <w:r w:rsidRPr="002B6154">
        <w:rPr>
          <w:rFonts w:ascii="Verdana" w:eastAsia="Arial" w:hAnsi="Verdana" w:cs="Arial"/>
          <w:sz w:val="21"/>
          <w:szCs w:val="21"/>
          <w:lang w:val="es-ES"/>
        </w:rPr>
        <w:t>o</w:t>
      </w:r>
      <w:proofErr w:type="gramEnd"/>
      <w:r w:rsidRPr="002B6154">
        <w:rPr>
          <w:rFonts w:ascii="Verdana" w:eastAsia="Arial" w:hAnsi="Verdana" w:cs="Arial"/>
          <w:sz w:val="21"/>
          <w:szCs w:val="21"/>
          <w:lang w:val="es-ES"/>
        </w:rPr>
        <w:t xml:space="preserve"> de entrada.</w:t>
      </w:r>
      <w:r w:rsidRPr="002B6154">
        <w:rPr>
          <w:rFonts w:ascii="Verdana" w:eastAsia="Arial" w:hAnsi="Verdana" w:cs="Arial"/>
          <w:b/>
          <w:bCs/>
          <w:sz w:val="21"/>
          <w:szCs w:val="21"/>
          <w:lang w:val="es-ES"/>
        </w:rPr>
        <w:t xml:space="preserve"> </w:t>
      </w:r>
      <w:r w:rsidRPr="002B6154">
        <w:rPr>
          <w:rFonts w:ascii="Verdana" w:eastAsia="Arial" w:hAnsi="Verdana" w:cs="Arial"/>
          <w:sz w:val="21"/>
          <w:szCs w:val="21"/>
          <w:lang w:val="es-ES"/>
        </w:rPr>
        <w:t xml:space="preserve">Para sitios religiosos se encuentran entre otros, Iglesias, Capillas, Salones de Culto, Salones para agremiaciones Religiosas y similares”.   </w:t>
      </w:r>
    </w:p>
    <w:p w14:paraId="688BEF74" w14:textId="77777777" w:rsidR="002B6154" w:rsidRPr="002B6154" w:rsidRDefault="002B6154" w:rsidP="002B6154">
      <w:pPr>
        <w:spacing w:after="0" w:line="276" w:lineRule="auto"/>
        <w:ind w:firstLine="708"/>
        <w:jc w:val="both"/>
        <w:rPr>
          <w:rFonts w:ascii="Verdana" w:eastAsia="Calibri" w:hAnsi="Verdana" w:cs="Arial"/>
          <w:lang w:val="es-ES"/>
        </w:rPr>
      </w:pPr>
    </w:p>
    <w:p w14:paraId="5B6E1E90" w14:textId="77777777" w:rsidR="002B6154" w:rsidRPr="002B6154" w:rsidRDefault="002B6154" w:rsidP="002B6154">
      <w:pPr>
        <w:spacing w:after="120" w:line="276" w:lineRule="auto"/>
        <w:ind w:firstLine="708"/>
        <w:jc w:val="both"/>
        <w:rPr>
          <w:rFonts w:ascii="Verdana" w:eastAsia="Calibri" w:hAnsi="Verdana" w:cs="Arial"/>
          <w:lang w:val="es-ES"/>
        </w:rPr>
      </w:pPr>
      <w:r w:rsidRPr="002B6154">
        <w:rPr>
          <w:rFonts w:ascii="Verdana" w:eastAsia="Calibri" w:hAnsi="Verdana" w:cs="Arial"/>
          <w:lang w:val="es-ES"/>
        </w:rPr>
        <w:t xml:space="preserve">De acuerdo con la definición del grupo de ocupación de lugares de reunión, esta clasificación abarca edificaciones o espacios destinados al encuentro de personas con fines religiosos, deportivos, políticos culturales, sociales, recreativos o de transporte. Esta categoría incluye toda infraestructura que sirva como punto de congregación comunitaria, siempre que su finalidad principal sea la reunión de personas en torno a actividades colectivas. Dentro de esta tipología se consideran espacios como iglesias, salones de culto y otros destinados a la interacción social o comunitaria, por lo que su clasificación no depende exclusivamente del tipo de evento específico que alberguen, sino de su función como espacio de reunión. </w:t>
      </w:r>
    </w:p>
    <w:p w14:paraId="2A9769F5" w14:textId="77777777" w:rsidR="002B6154" w:rsidRPr="002B6154" w:rsidRDefault="002B6154" w:rsidP="002B6154">
      <w:pPr>
        <w:spacing w:after="120" w:line="276" w:lineRule="auto"/>
        <w:ind w:firstLine="708"/>
        <w:jc w:val="both"/>
        <w:rPr>
          <w:rFonts w:ascii="Verdana" w:eastAsia="Calibri" w:hAnsi="Verdana" w:cs="Arial"/>
          <w:lang w:val="es-ES"/>
        </w:rPr>
      </w:pPr>
      <w:r w:rsidRPr="002B6154">
        <w:rPr>
          <w:rFonts w:ascii="Verdana" w:eastAsia="Aptos" w:hAnsi="Verdana" w:cs="Times New Roman"/>
          <w:kern w:val="2"/>
          <w14:ligatures w14:val="standardContextual"/>
        </w:rPr>
        <w:t xml:space="preserve">La definición contenida en el numeral 2.102 del Anexo 5 – Glosario es consistente con la prevista en la Norma NSR-10, la cual, además, señala que dentro del grupo de lugares de reunión se incluyen los siguientes subgrupos: “Lugares de Reunión Deportivos (L-1), Lugares de Reunión Culturales (L-2), </w:t>
      </w:r>
      <w:r w:rsidRPr="002B6154">
        <w:rPr>
          <w:rFonts w:ascii="Verdana" w:eastAsia="Aptos" w:hAnsi="Verdana" w:cs="Times New Roman"/>
          <w:kern w:val="2"/>
          <w14:ligatures w14:val="standardContextual"/>
        </w:rPr>
        <w:lastRenderedPageBreak/>
        <w:t>Lugares de Reunión Sociales y Recreativos (L-3), Lugares de Reunión Religiosos (L-4) y Lugares de Reunión de Transporte (L-5).</w:t>
      </w:r>
      <w:r w:rsidRPr="002B6154">
        <w:rPr>
          <w:rFonts w:ascii="Verdana" w:eastAsia="Calibri" w:hAnsi="Verdana" w:cs="Arial"/>
          <w:lang w:val="es-ES"/>
        </w:rPr>
        <w:t>”</w:t>
      </w:r>
      <w:r w:rsidRPr="002B6154">
        <w:rPr>
          <w:rFonts w:ascii="Verdana" w:eastAsia="Calibri" w:hAnsi="Verdana" w:cs="Arial"/>
          <w:vertAlign w:val="superscript"/>
          <w:lang w:val="es-ES"/>
        </w:rPr>
        <w:footnoteReference w:id="5"/>
      </w:r>
      <w:r w:rsidRPr="002B6154">
        <w:rPr>
          <w:rFonts w:ascii="Verdana" w:eastAsia="Calibri" w:hAnsi="Verdana" w:cs="Arial"/>
          <w:lang w:val="es-ES"/>
        </w:rPr>
        <w:t>.</w:t>
      </w:r>
    </w:p>
    <w:p w14:paraId="0DC8A836" w14:textId="77777777" w:rsidR="002B6154" w:rsidRPr="002B6154" w:rsidRDefault="002B6154" w:rsidP="002B6154">
      <w:pPr>
        <w:tabs>
          <w:tab w:val="left" w:pos="2694"/>
        </w:tabs>
        <w:spacing w:after="120" w:line="276" w:lineRule="auto"/>
        <w:ind w:firstLine="709"/>
        <w:jc w:val="both"/>
        <w:rPr>
          <w:rFonts w:ascii="Verdana" w:eastAsia="Calibri" w:hAnsi="Verdana" w:cs="Arial"/>
          <w:lang w:val="es-ES_tradnl"/>
        </w:rPr>
      </w:pPr>
      <w:r w:rsidRPr="002B6154">
        <w:rPr>
          <w:rFonts w:ascii="Verdana" w:eastAsia="Calibri" w:hAnsi="Verdana" w:cs="Arial"/>
          <w:lang w:val="es-ES_tradnl"/>
        </w:rPr>
        <w:t xml:space="preserve">Ahora bien, tal como lo señaló esta Subdirección en el concepto C-1399 del 6 de noviembre de 2025, la naturaleza jurídica de los salones comunales es privada o pública: i) los privados, es decir, aquellos construidos en predios de propiedad de las Juntas de Acción Comunal, o levantados en predios en donde concurren derechos de copropiedad sometidos a los términos de la ley de propiedad horizontal, y pertenecientes en común y proindiviso a todos los propietarios de predios privados, y, por su parte, </w:t>
      </w:r>
      <w:proofErr w:type="spellStart"/>
      <w:r w:rsidRPr="002B6154">
        <w:rPr>
          <w:rFonts w:ascii="Verdana" w:eastAsia="Calibri" w:hAnsi="Verdana" w:cs="Arial"/>
          <w:lang w:val="es-ES_tradnl"/>
        </w:rPr>
        <w:t>ii</w:t>
      </w:r>
      <w:proofErr w:type="spellEnd"/>
      <w:r w:rsidRPr="002B6154">
        <w:rPr>
          <w:rFonts w:ascii="Verdana" w:eastAsia="Calibri" w:hAnsi="Verdana" w:cs="Arial"/>
          <w:lang w:val="es-ES_tradnl"/>
        </w:rPr>
        <w:t>) la pública, son aquellos construidos sobre predios de propiedad de entidades públicas</w:t>
      </w:r>
      <w:r w:rsidRPr="002B6154">
        <w:rPr>
          <w:rFonts w:ascii="Verdana" w:eastAsia="Calibri" w:hAnsi="Verdana" w:cs="Arial"/>
          <w:vertAlign w:val="superscript"/>
        </w:rPr>
        <w:footnoteReference w:id="6"/>
      </w:r>
      <w:r w:rsidRPr="002B6154">
        <w:rPr>
          <w:rFonts w:ascii="Verdana" w:eastAsia="Calibri" w:hAnsi="Verdana" w:cs="Arial"/>
        </w:rPr>
        <w:t xml:space="preserve">. </w:t>
      </w:r>
    </w:p>
    <w:p w14:paraId="65E9C8AD" w14:textId="77777777" w:rsidR="002B6154" w:rsidRPr="002B6154" w:rsidRDefault="002B6154" w:rsidP="002B6154">
      <w:pPr>
        <w:spacing w:after="120" w:line="276" w:lineRule="auto"/>
        <w:ind w:firstLine="708"/>
        <w:jc w:val="both"/>
        <w:rPr>
          <w:rFonts w:ascii="Verdana" w:eastAsia="Calibri" w:hAnsi="Verdana" w:cs="Arial"/>
        </w:rPr>
      </w:pPr>
      <w:r w:rsidRPr="002B6154">
        <w:rPr>
          <w:rFonts w:ascii="Verdana" w:eastAsia="Calibri" w:hAnsi="Verdana" w:cs="Arial"/>
        </w:rPr>
        <w:t>En relación con la administración, los salones comunales privados son administrados por la correspondiente junta de acción comunal o el administrador del conjunto o unidad residencial, y los de carácter público han entregado esta actividad a las juntas de acción comunal u otras organizaciones como cooperativas, asociaciones y fundaciones del respectivo barrio, garantizando en todo caso el debido uso en beneficio de la comunidad en general</w:t>
      </w:r>
      <w:r w:rsidRPr="002B6154">
        <w:rPr>
          <w:rFonts w:ascii="Verdana" w:eastAsia="Calibri" w:hAnsi="Verdana" w:cs="Arial"/>
          <w:vertAlign w:val="superscript"/>
        </w:rPr>
        <w:footnoteReference w:id="7"/>
      </w:r>
      <w:r w:rsidRPr="002B6154">
        <w:rPr>
          <w:rFonts w:ascii="Verdana" w:eastAsia="Calibri" w:hAnsi="Verdana" w:cs="Arial"/>
        </w:rPr>
        <w:t xml:space="preserve">. </w:t>
      </w:r>
    </w:p>
    <w:p w14:paraId="54C4835E" w14:textId="77777777" w:rsidR="002B6154" w:rsidRPr="002B6154" w:rsidRDefault="002B6154" w:rsidP="002B6154">
      <w:pPr>
        <w:spacing w:after="120" w:line="276" w:lineRule="auto"/>
        <w:ind w:firstLine="708"/>
        <w:jc w:val="both"/>
        <w:rPr>
          <w:rFonts w:ascii="Verdana" w:eastAsia="Calibri" w:hAnsi="Verdana" w:cs="Arial"/>
          <w:lang w:val="es-ES_tradnl"/>
        </w:rPr>
      </w:pPr>
      <w:r w:rsidRPr="002B6154">
        <w:rPr>
          <w:rFonts w:ascii="Verdana" w:eastAsia="Calibri" w:hAnsi="Verdana" w:cs="Arial"/>
        </w:rPr>
        <w:t xml:space="preserve">Debido a que los salones comunales son administrados por las juntas de acción comunal, es importante </w:t>
      </w:r>
      <w:r w:rsidRPr="002B6154">
        <w:rPr>
          <w:rFonts w:ascii="Verdana" w:eastAsia="Calibri" w:hAnsi="Verdana" w:cs="Arial"/>
          <w:lang w:val="es-ES_tradnl"/>
        </w:rPr>
        <w:t>mencionar que el artículo 7 de la Ley 2166 de 2021 las define como: “</w:t>
      </w:r>
      <w:r w:rsidRPr="002B6154">
        <w:rPr>
          <w:rFonts w:ascii="Verdana" w:eastAsia="Calibri" w:hAnsi="Verdana" w:cs="Arial"/>
        </w:rPr>
        <w:t xml:space="preserve">una organización cívica, social y comunitaria de gestión social, sin ánimo de lucro, de naturaleza solidaria, con personería jurídica y patrimonio propio, integrada voluntariamente por los residentes de un lugar que aúnan esfuerzos y recursos para procurar un desarrollo integral, sostenible y sustentable con fundamento en el ejercicio de la democracia participativa […]”. Esto significa que una de las funciones principales de las juntas de acción comunal es garantizar el desarrollo integral, sostenible y sustentable de la comunidad. </w:t>
      </w:r>
    </w:p>
    <w:p w14:paraId="11F083EB" w14:textId="77777777" w:rsidR="002B6154" w:rsidRPr="002B6154" w:rsidRDefault="002B6154" w:rsidP="002B6154">
      <w:pPr>
        <w:spacing w:after="120" w:line="276" w:lineRule="auto"/>
        <w:ind w:firstLine="708"/>
        <w:jc w:val="both"/>
        <w:rPr>
          <w:rFonts w:ascii="Verdana" w:eastAsia="Calibri" w:hAnsi="Verdana" w:cs="Arial"/>
        </w:rPr>
      </w:pPr>
      <w:r w:rsidRPr="002B6154">
        <w:rPr>
          <w:rFonts w:ascii="Verdana" w:eastAsia="Calibri" w:hAnsi="Verdana" w:cs="Arial"/>
        </w:rPr>
        <w:t xml:space="preserve">El artículo 2 de manera expresa define que el desarrollo de la comunidad es el conjunto de procesos territoriales, económicos, políticos, ambientales, </w:t>
      </w:r>
      <w:r w:rsidRPr="002B6154">
        <w:rPr>
          <w:rFonts w:ascii="Verdana" w:eastAsia="Calibri" w:hAnsi="Verdana" w:cs="Arial"/>
          <w:i/>
          <w:iCs/>
        </w:rPr>
        <w:lastRenderedPageBreak/>
        <w:t xml:space="preserve">culturales y sociales </w:t>
      </w:r>
      <w:r w:rsidRPr="002B6154">
        <w:rPr>
          <w:rFonts w:ascii="Verdana" w:eastAsia="Calibri" w:hAnsi="Verdana" w:cs="Arial"/>
        </w:rPr>
        <w:t xml:space="preserve">que integran los esfuerzos de la población, sus organismos y las del Estado, para mejorar la calidad de vida de las comunidades (Énfasis por fuera del texto). Por tanto, las juntas de acción comunal, en los salones comunales, promueven el desarrollo de la comunidad mediante espacios culturales y sociales como presentaciones de baile, bazares, rifas, entre otros. </w:t>
      </w:r>
    </w:p>
    <w:p w14:paraId="53018EE2" w14:textId="77777777" w:rsidR="002B6154" w:rsidRPr="002B6154" w:rsidRDefault="002B6154" w:rsidP="002B6154">
      <w:pPr>
        <w:spacing w:after="120" w:line="276" w:lineRule="auto"/>
        <w:ind w:firstLine="708"/>
        <w:jc w:val="both"/>
        <w:rPr>
          <w:rFonts w:ascii="Verdana" w:eastAsia="Calibri" w:hAnsi="Verdana" w:cs="Arial"/>
        </w:rPr>
      </w:pPr>
      <w:r w:rsidRPr="002B6154">
        <w:rPr>
          <w:rFonts w:ascii="Verdana" w:eastAsia="Calibri" w:hAnsi="Verdana" w:cs="Arial"/>
        </w:rPr>
        <w:t xml:space="preserve">De igual manera, </w:t>
      </w:r>
      <w:r w:rsidRPr="002B6154">
        <w:rPr>
          <w:rFonts w:ascii="Verdana" w:eastAsia="Calibri" w:hAnsi="Verdana" w:cs="Arial"/>
          <w:lang w:val="es-ES_tradnl"/>
        </w:rPr>
        <w:t>el Concejo de Bogotá define a los salones comunales como: “bienes de uso público administrados por la Junta de Acción Comunal en donde las comunidades se reúnen, celebran sus festividades y agasajos, como los matrimonios, cumpleaños, bautizos, entre otros, estos salones han sido espacios en donde se construye la historia y la cultura de los barrios de nuestra ciudad”</w:t>
      </w:r>
      <w:r w:rsidRPr="002B6154">
        <w:rPr>
          <w:rFonts w:ascii="Verdana" w:eastAsia="Calibri" w:hAnsi="Verdana" w:cs="Arial"/>
          <w:vertAlign w:val="superscript"/>
          <w:lang w:val="es-ES_tradnl"/>
        </w:rPr>
        <w:footnoteReference w:id="8"/>
      </w:r>
      <w:r w:rsidRPr="002B6154">
        <w:rPr>
          <w:rFonts w:ascii="Verdana" w:eastAsia="Calibri" w:hAnsi="Verdana" w:cs="Arial"/>
          <w:lang w:val="es-ES_tradnl"/>
        </w:rPr>
        <w:t xml:space="preserve">. </w:t>
      </w:r>
    </w:p>
    <w:p w14:paraId="7DD35CFF" w14:textId="77777777" w:rsidR="002B6154" w:rsidRPr="002B6154" w:rsidRDefault="002B6154" w:rsidP="002B6154">
      <w:pPr>
        <w:spacing w:after="120" w:line="276" w:lineRule="auto"/>
        <w:ind w:firstLine="708"/>
        <w:jc w:val="both"/>
        <w:rPr>
          <w:rFonts w:ascii="Verdana" w:eastAsia="Calibri" w:hAnsi="Verdana" w:cs="Arial"/>
        </w:rPr>
      </w:pPr>
      <w:r w:rsidRPr="002B6154">
        <w:rPr>
          <w:rFonts w:ascii="Verdana" w:eastAsia="Calibri" w:hAnsi="Verdana" w:cs="Arial"/>
        </w:rPr>
        <w:t>Así las cosas, se concluye que los salones comunales son espacios administrados por las juntas de acción comunal cuyo propósito principal es garantizar el desarrollo integral, sostenible y sustentable de la comunidad, mediante procesos territoriales, económicos, políticos, ambientales, culturales y sociales que integren los esfuerzos de la población, sus organismos y las del Estado para promover la mejor calidad de vida. Por tanto, está definición está alineada con lo previsto en el numeral 2.102 del “Anexo 5 – Glosario” del sector cultura, recreación y deporte y con la normas NSR-10 en los que se define el “</w:t>
      </w:r>
      <w:r w:rsidRPr="002B6154">
        <w:rPr>
          <w:rFonts w:ascii="Verdana" w:eastAsia="Arial" w:hAnsi="Verdana" w:cs="Arial"/>
          <w:sz w:val="21"/>
          <w:szCs w:val="21"/>
          <w:lang w:val="es-ES"/>
        </w:rPr>
        <w:t>Grupo de ocupación de lugares de reunión”.</w:t>
      </w:r>
      <w:r w:rsidRPr="002B6154">
        <w:rPr>
          <w:rFonts w:ascii="Verdana" w:eastAsia="Arial" w:hAnsi="Verdana" w:cs="Arial"/>
          <w:b/>
          <w:bCs/>
          <w:sz w:val="21"/>
          <w:szCs w:val="21"/>
          <w:lang w:val="es-ES"/>
        </w:rPr>
        <w:t xml:space="preserve"> </w:t>
      </w:r>
      <w:r w:rsidRPr="002B6154">
        <w:rPr>
          <w:rFonts w:ascii="Verdana" w:eastAsia="Calibri" w:hAnsi="Verdana" w:cs="Arial"/>
        </w:rPr>
        <w:t xml:space="preserve"> Es así como</w:t>
      </w:r>
      <w:r w:rsidRPr="002B6154">
        <w:rPr>
          <w:rFonts w:ascii="Verdana" w:eastAsia="Calibri" w:hAnsi="Verdana" w:cs="Arial"/>
          <w:lang w:val="es-ES"/>
        </w:rPr>
        <w:t>, desde una perspectiva técnica, los salones comunales deben ser considerados como parte integral de este grupo de ocupación y las disposiciones aplicables a este tipo de edificaciones son las contenidas en la Matriz 1 – Experiencia de los documentos tipo específicos del sector de infraestructura de cultura, recreación y deporte, concretamente, las señalas en los numerales 3.1 a 3.5.</w:t>
      </w:r>
    </w:p>
    <w:p w14:paraId="30A3AE3B" w14:textId="77777777" w:rsidR="002B6154" w:rsidRPr="002B6154" w:rsidRDefault="002B6154" w:rsidP="002B6154">
      <w:pPr>
        <w:spacing w:after="120" w:line="276" w:lineRule="auto"/>
        <w:ind w:firstLine="708"/>
        <w:jc w:val="both"/>
        <w:rPr>
          <w:rFonts w:ascii="Verdana" w:eastAsia="Calibri" w:hAnsi="Verdana" w:cs="Arial"/>
          <w:lang w:val="es-ES"/>
        </w:rPr>
      </w:pPr>
      <w:r w:rsidRPr="002B6154">
        <w:rPr>
          <w:rFonts w:ascii="Verdana" w:eastAsia="Calibri" w:hAnsi="Verdana" w:cs="Arial"/>
          <w:lang w:val="es-ES"/>
        </w:rPr>
        <w:t xml:space="preserve">Por lo anterior, cualquier proyecto que tenga como finalidad la construcción, adecuación, aplicación o mejoramiento, entre otras actividades de obra, sobre salones comunales debe adelantarse por los documentos tipo complementarios del sector cultura, recreación y deporte, expedidos por la Agencia Nacional de Contratación Pública – Colombia Compra Eficiente. Esta obligación se fundamenta en que las actividades asociadas a dichos proyectos están contempladas en la Matriz 1 – Experiencia, específicamente en los numerales 3.1 y 3.2 previamente señaladas. En consecuencia, la aplicación de </w:t>
      </w:r>
      <w:r w:rsidRPr="002B6154">
        <w:rPr>
          <w:rFonts w:ascii="Verdana" w:eastAsia="Calibri" w:hAnsi="Verdana" w:cs="Arial"/>
          <w:lang w:val="es-ES"/>
        </w:rPr>
        <w:lastRenderedPageBreak/>
        <w:t xml:space="preserve">estos documentos tipo garantiza el cumplimiento de los estándares técnicos y jurídicos definidos por esta Agencia promoviendo la eficacia, transparencia y calidad en la ejecución de este tipo de intervenciones en salones comunales. </w:t>
      </w:r>
    </w:p>
    <w:p w14:paraId="125FD033" w14:textId="77777777" w:rsidR="002B6154" w:rsidRPr="002B6154" w:rsidRDefault="002B6154" w:rsidP="002B6154">
      <w:pPr>
        <w:spacing w:after="120" w:line="276" w:lineRule="auto"/>
        <w:ind w:firstLine="708"/>
        <w:jc w:val="both"/>
        <w:rPr>
          <w:rFonts w:ascii="Verdana" w:eastAsia="Calibri" w:hAnsi="Verdana" w:cs="Arial"/>
          <w:lang w:val="es-ES"/>
        </w:rPr>
      </w:pPr>
      <w:r w:rsidRPr="002B6154">
        <w:rPr>
          <w:rFonts w:ascii="Verdana" w:eastAsia="Calibri" w:hAnsi="Verdana" w:cs="Arial"/>
          <w:lang w:val="es-ES"/>
        </w:rPr>
        <w:t xml:space="preserve">Así las cosas, la Agencia Nacional de Contratación Pública – Colombia Compra Eficiente le informa que a partir del 16 de febrero de 2026, si una entidad de aquellas obligadas a utilizar los documentos tipo expedidos por esta Entidad adelanta un proceso que tenga por objeto la construcción, ampliación, adecuación o mejoramiento, entre otras actividades de obra de salones comunales, deberá aplicar los documentos tipo complementarios del sector de cultura, recreación y deporte acogidos por esta Agencia mediante las Resoluciones 539, 540 y 541 de 2025, según el proyecto se adelante por la modalidad de licitación de obra pública, selección abreviada de menor cuantía o mínima cuantía, en donde se encuentran dispuestas las actividades 3.1 y 3.2 aplicables al proyecto por el que se indaga en su solicitud. </w:t>
      </w:r>
    </w:p>
    <w:p w14:paraId="00C2E1F0" w14:textId="77777777" w:rsidR="002B6154" w:rsidRPr="002B6154" w:rsidRDefault="002B6154" w:rsidP="002B6154">
      <w:pPr>
        <w:spacing w:after="0" w:line="276" w:lineRule="auto"/>
        <w:ind w:firstLine="708"/>
        <w:jc w:val="both"/>
        <w:rPr>
          <w:rFonts w:ascii="Verdana" w:eastAsia="Calibri" w:hAnsi="Verdana" w:cs="Arial"/>
        </w:rPr>
      </w:pPr>
      <w:r w:rsidRPr="002B6154">
        <w:rPr>
          <w:rFonts w:ascii="Verdana" w:eastAsia="Calibri" w:hAnsi="Verdana" w:cs="Arial"/>
          <w:lang w:val="es-ES"/>
        </w:rPr>
        <w:t xml:space="preserve">Sin perjuicio de lo anterior, </w:t>
      </w:r>
      <w:r w:rsidRPr="002B6154">
        <w:rPr>
          <w:rFonts w:ascii="Verdana" w:eastAsia="Times New Roman" w:hAnsi="Verdana" w:cs="Arial"/>
          <w:lang w:val="es-ES" w:eastAsia="es-ES_tradnl"/>
        </w:rPr>
        <w:t>e</w:t>
      </w:r>
      <w:r w:rsidRPr="002B6154">
        <w:rPr>
          <w:rFonts w:ascii="Verdana" w:eastAsia="Times New Roman" w:hAnsi="Verdana" w:cs="Arial"/>
          <w:lang w:eastAsia="es-ES_tradnl"/>
        </w:rPr>
        <w:t xml:space="preserve">s importante advertir que es la entidad contratante, al momento de adelantar sus actividades de planeación de cada proceso contractual, la competente para determinar si de acuerdo con las particularidades del contrato a ejecutar, este se encuadra o no dentro de alguna de las actividades de la </w:t>
      </w:r>
      <w:r w:rsidRPr="002B6154">
        <w:rPr>
          <w:rFonts w:ascii="Verdana" w:eastAsia="Calibri" w:hAnsi="Verdana" w:cs="Arial"/>
          <w:color w:val="0D0D0D"/>
          <w:lang w:val="es-MX"/>
        </w:rPr>
        <w:t>“Matriz 1 – Experiencia” de los documentos tipo del sector cultura, recreación y deporte</w:t>
      </w:r>
      <w:r w:rsidRPr="002B6154">
        <w:rPr>
          <w:rFonts w:ascii="Verdana" w:eastAsia="Calibri" w:hAnsi="Verdana" w:cs="Arial"/>
        </w:rPr>
        <w:t xml:space="preserve">. </w:t>
      </w:r>
    </w:p>
    <w:p w14:paraId="4F626A83" w14:textId="77777777" w:rsidR="002B6154" w:rsidRPr="002B6154" w:rsidRDefault="002B6154" w:rsidP="002B6154">
      <w:pPr>
        <w:spacing w:after="0" w:line="276" w:lineRule="auto"/>
        <w:jc w:val="both"/>
        <w:rPr>
          <w:rFonts w:ascii="Verdana" w:eastAsia="Calibri" w:hAnsi="Verdana" w:cs="Arial"/>
        </w:rPr>
      </w:pPr>
    </w:p>
    <w:p w14:paraId="0D9CF185" w14:textId="77777777" w:rsidR="002B6154" w:rsidRPr="002B6154" w:rsidRDefault="002B6154" w:rsidP="002B6154">
      <w:pPr>
        <w:shd w:val="clear" w:color="auto" w:fill="FFFFFF"/>
        <w:spacing w:after="0" w:line="276" w:lineRule="auto"/>
        <w:jc w:val="both"/>
        <w:textAlignment w:val="baseline"/>
        <w:rPr>
          <w:rFonts w:ascii="Verdana" w:eastAsia="Times New Roman" w:hAnsi="Verdana" w:cs="Arial"/>
          <w:lang w:val="es-MX" w:eastAsia="es-CO"/>
        </w:rPr>
      </w:pPr>
      <w:proofErr w:type="spellStart"/>
      <w:r w:rsidRPr="002B6154">
        <w:rPr>
          <w:rFonts w:ascii="Verdana" w:eastAsia="Calibri" w:hAnsi="Verdana" w:cs="Arial"/>
        </w:rPr>
        <w:t>iii</w:t>
      </w:r>
      <w:proofErr w:type="spellEnd"/>
      <w:r w:rsidRPr="002B6154">
        <w:rPr>
          <w:rFonts w:ascii="Verdana" w:eastAsia="Calibri" w:hAnsi="Verdana" w:cs="Arial"/>
        </w:rPr>
        <w:t xml:space="preserve">. </w:t>
      </w:r>
      <w:r w:rsidRPr="002B6154">
        <w:rPr>
          <w:rFonts w:ascii="Verdana" w:eastAsia="Times New Roman" w:hAnsi="Verdana" w:cs="Arial"/>
          <w:bdr w:val="none" w:sz="0" w:space="0" w:color="auto" w:frame="1"/>
          <w:lang w:val="es-MX" w:eastAsia="es-CO"/>
        </w:rPr>
        <w:t xml:space="preserve">De acuerdo con el numeral uno del artículo 2.2.1.1.2.1.3 del Decreto 1082 de 2015, al expedir los documentos tipo de licitación para obras de infraestructura social – versión 2, esta Agencia incluyó dentro del correspondiente documento base el numeral 1.4 “Clasificador de bienes y servicios de Naciones Unidad (UNSPSC)”, el cual señala que </w:t>
      </w:r>
      <w:r w:rsidRPr="002B6154">
        <w:rPr>
          <w:rFonts w:ascii="Verdana" w:eastAsia="Times New Roman" w:hAnsi="Verdana" w:cs="Arial"/>
          <w:i/>
          <w:iCs/>
          <w:bdr w:val="none" w:sz="0" w:space="0" w:color="auto" w:frame="1"/>
          <w:lang w:val="es-MX" w:eastAsia="es-CO"/>
        </w:rPr>
        <w:t xml:space="preserve">“La obra pública objeto del presente Proceso de Contratación está codificada en el Clasificador de Bienes y Servicios de Naciones Unidas (UNSPSC) bajo el segmento 72 con el [hasta el tercer nivel] (…)”. </w:t>
      </w:r>
      <w:r w:rsidRPr="002B6154">
        <w:rPr>
          <w:rFonts w:ascii="Verdana" w:eastAsia="Times New Roman" w:hAnsi="Verdana" w:cs="Arial"/>
          <w:bdr w:val="none" w:sz="0" w:space="0" w:color="auto" w:frame="1"/>
          <w:lang w:val="es-MX" w:eastAsia="es-CO"/>
        </w:rPr>
        <w:t xml:space="preserve"> Conforme a esto, dependiendo del tipo de obra que se pretenda contratar, la entidad debe asociar la misma, hasta el tercer nivel jerárquico del Clasificador de Bienes y Servicios. Para cumplir con esto las entidades deben diligenciar el siguiente cuadro:</w:t>
      </w:r>
    </w:p>
    <w:p w14:paraId="58EA36A9" w14:textId="77777777" w:rsidR="002B6154" w:rsidRPr="002B6154" w:rsidRDefault="002B6154" w:rsidP="002B6154">
      <w:pPr>
        <w:shd w:val="clear" w:color="auto" w:fill="FFFFFF"/>
        <w:spacing w:after="0" w:line="276" w:lineRule="auto"/>
        <w:ind w:left="709" w:right="709"/>
        <w:jc w:val="both"/>
        <w:textAlignment w:val="baseline"/>
        <w:rPr>
          <w:rFonts w:ascii="Verdana" w:eastAsia="Times New Roman" w:hAnsi="Verdana" w:cs="Arial"/>
          <w:lang w:val="es-MX" w:eastAsia="es-CO"/>
        </w:rPr>
      </w:pPr>
      <w:r w:rsidRPr="002B6154">
        <w:rPr>
          <w:rFonts w:ascii="Verdana" w:eastAsia="Times New Roman" w:hAnsi="Verdana" w:cs="Calibri"/>
          <w:bdr w:val="none" w:sz="0" w:space="0" w:color="auto" w:frame="1"/>
          <w:lang w:val="es-MX" w:eastAsia="es-CO"/>
        </w:rPr>
        <w:t>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3954"/>
        <w:gridCol w:w="2867"/>
      </w:tblGrid>
      <w:tr w:rsidR="002B6154" w:rsidRPr="002B6154" w14:paraId="76ECA2DA" w14:textId="77777777" w:rsidTr="002B6154">
        <w:trPr>
          <w:trHeight w:val="397"/>
          <w:tblHeader/>
          <w:jc w:val="center"/>
        </w:trPr>
        <w:tc>
          <w:tcPr>
            <w:tcW w:w="3954" w:type="dxa"/>
            <w:tcBorders>
              <w:top w:val="double" w:sz="4" w:space="0" w:color="auto"/>
              <w:bottom w:val="single" w:sz="6" w:space="0" w:color="auto"/>
            </w:tcBorders>
            <w:shd w:val="clear" w:color="auto" w:fill="404040"/>
            <w:vAlign w:val="center"/>
          </w:tcPr>
          <w:p w14:paraId="2C3FC5D7" w14:textId="77777777" w:rsidR="002B6154" w:rsidRPr="002B6154" w:rsidRDefault="002B6154" w:rsidP="002B6154">
            <w:pPr>
              <w:spacing w:after="0" w:line="240" w:lineRule="auto"/>
              <w:ind w:left="709" w:right="709"/>
              <w:jc w:val="center"/>
              <w:rPr>
                <w:rFonts w:ascii="Verdana" w:eastAsia="Arial,Times New Roman" w:hAnsi="Verdana" w:cs="Arial"/>
                <w:b/>
                <w:bCs/>
                <w:color w:val="FFFFFF"/>
                <w:sz w:val="20"/>
                <w:szCs w:val="20"/>
                <w:lang w:eastAsia="es-CO"/>
              </w:rPr>
            </w:pPr>
            <w:r w:rsidRPr="002B6154">
              <w:rPr>
                <w:rFonts w:ascii="Verdana" w:eastAsia="Aptos" w:hAnsi="Verdana" w:cs="Arial"/>
                <w:b/>
                <w:bCs/>
                <w:color w:val="FFFFFF"/>
                <w:sz w:val="20"/>
                <w:szCs w:val="20"/>
                <w:lang w:eastAsia="es-CO"/>
              </w:rPr>
              <w:lastRenderedPageBreak/>
              <w:t>Clasificación</w:t>
            </w:r>
            <w:r w:rsidRPr="002B6154">
              <w:rPr>
                <w:rFonts w:ascii="Verdana" w:eastAsia="Arial,Times New Roman" w:hAnsi="Verdana" w:cs="Arial"/>
                <w:b/>
                <w:bCs/>
                <w:color w:val="FFFFFF"/>
                <w:sz w:val="20"/>
                <w:szCs w:val="20"/>
                <w:lang w:eastAsia="es-CO"/>
              </w:rPr>
              <w:t xml:space="preserve"> </w:t>
            </w:r>
            <w:r w:rsidRPr="002B6154">
              <w:rPr>
                <w:rFonts w:ascii="Verdana" w:eastAsia="Aptos" w:hAnsi="Verdana" w:cs="Arial"/>
                <w:b/>
                <w:bCs/>
                <w:color w:val="FFFFFF"/>
                <w:sz w:val="20"/>
                <w:szCs w:val="20"/>
                <w:lang w:eastAsia="es-CO"/>
              </w:rPr>
              <w:t>UNSPSC</w:t>
            </w:r>
          </w:p>
        </w:tc>
        <w:tc>
          <w:tcPr>
            <w:tcW w:w="2410" w:type="dxa"/>
            <w:tcBorders>
              <w:top w:val="double" w:sz="4" w:space="0" w:color="auto"/>
              <w:bottom w:val="single" w:sz="6" w:space="0" w:color="auto"/>
            </w:tcBorders>
            <w:shd w:val="clear" w:color="auto" w:fill="404040"/>
            <w:vAlign w:val="center"/>
          </w:tcPr>
          <w:p w14:paraId="259597C8" w14:textId="77777777" w:rsidR="002B6154" w:rsidRPr="002B6154" w:rsidRDefault="002B6154" w:rsidP="002B6154">
            <w:pPr>
              <w:spacing w:after="0" w:line="240" w:lineRule="auto"/>
              <w:ind w:left="709" w:right="709"/>
              <w:jc w:val="center"/>
              <w:rPr>
                <w:rFonts w:ascii="Verdana" w:eastAsia="Arial,Times New Roman" w:hAnsi="Verdana" w:cs="Arial"/>
                <w:b/>
                <w:bCs/>
                <w:color w:val="FFFFFF"/>
                <w:sz w:val="20"/>
                <w:szCs w:val="20"/>
                <w:lang w:eastAsia="es-CO"/>
              </w:rPr>
            </w:pPr>
            <w:r w:rsidRPr="002B6154">
              <w:rPr>
                <w:rFonts w:ascii="Verdana" w:eastAsia="Aptos" w:hAnsi="Verdana" w:cs="Arial"/>
                <w:b/>
                <w:bCs/>
                <w:color w:val="FFFFFF"/>
                <w:sz w:val="20"/>
                <w:szCs w:val="20"/>
                <w:lang w:eastAsia="es-CO"/>
              </w:rPr>
              <w:t>Descripción</w:t>
            </w:r>
          </w:p>
        </w:tc>
      </w:tr>
      <w:tr w:rsidR="002B6154" w:rsidRPr="002B6154" w14:paraId="2FB05A5D" w14:textId="77777777" w:rsidTr="00A46F1D">
        <w:trPr>
          <w:trHeight w:val="283"/>
          <w:jc w:val="center"/>
        </w:trPr>
        <w:tc>
          <w:tcPr>
            <w:tcW w:w="3954" w:type="dxa"/>
            <w:tcBorders>
              <w:top w:val="single" w:sz="6" w:space="0" w:color="auto"/>
              <w:bottom w:val="single" w:sz="6" w:space="0" w:color="auto"/>
            </w:tcBorders>
            <w:vAlign w:val="center"/>
          </w:tcPr>
          <w:p w14:paraId="6F30852C" w14:textId="77777777" w:rsidR="002B6154" w:rsidRPr="002B6154" w:rsidRDefault="002B6154" w:rsidP="002B6154">
            <w:pPr>
              <w:spacing w:after="0" w:line="240" w:lineRule="auto"/>
              <w:ind w:left="709" w:right="709"/>
              <w:jc w:val="center"/>
              <w:rPr>
                <w:rFonts w:ascii="Verdana" w:eastAsia="Arial,Times New Roman" w:hAnsi="Verdana" w:cs="Arial"/>
                <w:sz w:val="20"/>
                <w:szCs w:val="20"/>
                <w:highlight w:val="lightGray"/>
                <w:lang w:eastAsia="es-CO"/>
              </w:rPr>
            </w:pPr>
            <w:r w:rsidRPr="002B6154">
              <w:rPr>
                <w:rFonts w:ascii="Verdana" w:eastAsia="Arial,Times New Roman" w:hAnsi="Verdana" w:cs="Arial"/>
                <w:sz w:val="20"/>
                <w:szCs w:val="20"/>
                <w:highlight w:val="lightGray"/>
                <w:lang w:eastAsia="es-CO"/>
              </w:rPr>
              <w:t>[</w:t>
            </w:r>
            <w:r w:rsidRPr="002B6154">
              <w:rPr>
                <w:rFonts w:ascii="Verdana" w:eastAsia="Aptos" w:hAnsi="Verdana" w:cs="Arial"/>
                <w:sz w:val="20"/>
                <w:szCs w:val="20"/>
                <w:highlight w:val="lightGray"/>
                <w:lang w:eastAsia="es-CO"/>
              </w:rPr>
              <w:t>completar de acuerdo con familia, clase, y producto</w:t>
            </w:r>
            <w:r w:rsidRPr="002B6154">
              <w:rPr>
                <w:rFonts w:ascii="Verdana" w:eastAsia="Arial,Times New Roman" w:hAnsi="Verdana" w:cs="Arial"/>
                <w:sz w:val="20"/>
                <w:szCs w:val="20"/>
                <w:highlight w:val="lightGray"/>
                <w:lang w:eastAsia="es-CO"/>
              </w:rPr>
              <w:t>]</w:t>
            </w:r>
          </w:p>
        </w:tc>
        <w:tc>
          <w:tcPr>
            <w:tcW w:w="2410" w:type="dxa"/>
            <w:tcBorders>
              <w:top w:val="single" w:sz="6" w:space="0" w:color="auto"/>
              <w:bottom w:val="single" w:sz="6" w:space="0" w:color="auto"/>
            </w:tcBorders>
            <w:vAlign w:val="center"/>
          </w:tcPr>
          <w:p w14:paraId="3371CC1E" w14:textId="77777777" w:rsidR="002B6154" w:rsidRPr="002B6154" w:rsidRDefault="002B6154" w:rsidP="002B6154">
            <w:pPr>
              <w:spacing w:after="0" w:line="240" w:lineRule="auto"/>
              <w:ind w:left="709" w:right="709"/>
              <w:jc w:val="center"/>
              <w:rPr>
                <w:rFonts w:ascii="Verdana" w:eastAsia="Arial,Times New Roman" w:hAnsi="Verdana" w:cs="Arial"/>
                <w:sz w:val="20"/>
                <w:szCs w:val="20"/>
                <w:highlight w:val="lightGray"/>
                <w:lang w:eastAsia="es-CO"/>
              </w:rPr>
            </w:pPr>
            <w:r w:rsidRPr="002B6154">
              <w:rPr>
                <w:rFonts w:ascii="Verdana" w:eastAsia="Aptos" w:hAnsi="Verdana" w:cs="Arial"/>
                <w:sz w:val="20"/>
                <w:szCs w:val="20"/>
                <w:highlight w:val="lightGray"/>
                <w:lang w:eastAsia="es-CO"/>
              </w:rPr>
              <w:t>[Incluir</w:t>
            </w:r>
            <w:r w:rsidRPr="002B6154">
              <w:rPr>
                <w:rFonts w:ascii="Verdana" w:eastAsia="Arial,Times New Roman" w:hAnsi="Verdana" w:cs="Arial"/>
                <w:sz w:val="20"/>
                <w:szCs w:val="20"/>
                <w:highlight w:val="lightGray"/>
                <w:lang w:eastAsia="es-CO"/>
              </w:rPr>
              <w:t xml:space="preserve"> </w:t>
            </w:r>
            <w:r w:rsidRPr="002B6154">
              <w:rPr>
                <w:rFonts w:ascii="Verdana" w:eastAsia="Aptos" w:hAnsi="Verdana" w:cs="Arial"/>
                <w:sz w:val="20"/>
                <w:szCs w:val="20"/>
                <w:highlight w:val="lightGray"/>
                <w:lang w:eastAsia="es-CO"/>
              </w:rPr>
              <w:t>descripción]</w:t>
            </w:r>
          </w:p>
        </w:tc>
      </w:tr>
      <w:tr w:rsidR="002B6154" w:rsidRPr="002B6154" w14:paraId="2AABE3EB" w14:textId="77777777" w:rsidTr="00A46F1D">
        <w:trPr>
          <w:trHeight w:val="283"/>
          <w:jc w:val="center"/>
        </w:trPr>
        <w:tc>
          <w:tcPr>
            <w:tcW w:w="3954" w:type="dxa"/>
            <w:tcBorders>
              <w:top w:val="single" w:sz="6" w:space="0" w:color="auto"/>
              <w:bottom w:val="single" w:sz="6" w:space="0" w:color="auto"/>
            </w:tcBorders>
            <w:vAlign w:val="center"/>
          </w:tcPr>
          <w:p w14:paraId="1B8775DB" w14:textId="77777777" w:rsidR="002B6154" w:rsidRPr="002B6154" w:rsidRDefault="002B6154" w:rsidP="002B6154">
            <w:pPr>
              <w:spacing w:after="0" w:line="240" w:lineRule="auto"/>
              <w:ind w:left="709" w:right="709"/>
              <w:jc w:val="center"/>
              <w:rPr>
                <w:rFonts w:ascii="Verdana" w:eastAsia="Arial,Times New Roman" w:hAnsi="Verdana" w:cs="Arial"/>
                <w:sz w:val="20"/>
                <w:szCs w:val="20"/>
                <w:highlight w:val="lightGray"/>
                <w:lang w:eastAsia="es-CO"/>
              </w:rPr>
            </w:pPr>
            <w:r w:rsidRPr="002B6154">
              <w:rPr>
                <w:rFonts w:ascii="Verdana" w:eastAsia="Arial,Times New Roman" w:hAnsi="Verdana" w:cs="Arial"/>
                <w:sz w:val="20"/>
                <w:szCs w:val="20"/>
                <w:highlight w:val="lightGray"/>
                <w:lang w:eastAsia="es-CO"/>
              </w:rPr>
              <w:t>[</w:t>
            </w:r>
            <w:r w:rsidRPr="002B6154">
              <w:rPr>
                <w:rFonts w:ascii="Verdana" w:eastAsia="Aptos" w:hAnsi="Verdana" w:cs="Arial"/>
                <w:sz w:val="20"/>
                <w:szCs w:val="20"/>
                <w:highlight w:val="lightGray"/>
                <w:lang w:eastAsia="es-CO"/>
              </w:rPr>
              <w:t>completar de acuerdo con familia, clase, y producto</w:t>
            </w:r>
            <w:r w:rsidRPr="002B6154">
              <w:rPr>
                <w:rFonts w:ascii="Verdana" w:eastAsia="Arial,Times New Roman" w:hAnsi="Verdana" w:cs="Arial"/>
                <w:sz w:val="20"/>
                <w:szCs w:val="20"/>
                <w:highlight w:val="lightGray"/>
                <w:lang w:eastAsia="es-CO"/>
              </w:rPr>
              <w:t>]</w:t>
            </w:r>
          </w:p>
        </w:tc>
        <w:tc>
          <w:tcPr>
            <w:tcW w:w="2410" w:type="dxa"/>
            <w:tcBorders>
              <w:top w:val="single" w:sz="6" w:space="0" w:color="auto"/>
              <w:bottom w:val="single" w:sz="6" w:space="0" w:color="auto"/>
            </w:tcBorders>
            <w:vAlign w:val="center"/>
          </w:tcPr>
          <w:p w14:paraId="36C124C1" w14:textId="77777777" w:rsidR="002B6154" w:rsidRPr="002B6154" w:rsidRDefault="002B6154" w:rsidP="002B6154">
            <w:pPr>
              <w:spacing w:after="0" w:line="240" w:lineRule="auto"/>
              <w:ind w:left="709" w:right="709"/>
              <w:jc w:val="center"/>
              <w:rPr>
                <w:rFonts w:ascii="Verdana" w:eastAsia="Arial,Times New Roman" w:hAnsi="Verdana" w:cs="Arial"/>
                <w:sz w:val="20"/>
                <w:szCs w:val="20"/>
                <w:highlight w:val="lightGray"/>
                <w:lang w:eastAsia="es-CO"/>
              </w:rPr>
            </w:pPr>
            <w:r w:rsidRPr="002B6154">
              <w:rPr>
                <w:rFonts w:ascii="Verdana" w:eastAsia="Aptos" w:hAnsi="Verdana" w:cs="Arial"/>
                <w:sz w:val="20"/>
                <w:szCs w:val="20"/>
                <w:highlight w:val="lightGray"/>
                <w:lang w:eastAsia="es-CO"/>
              </w:rPr>
              <w:t>[Incluir</w:t>
            </w:r>
            <w:r w:rsidRPr="002B6154">
              <w:rPr>
                <w:rFonts w:ascii="Verdana" w:eastAsia="Arial,Times New Roman" w:hAnsi="Verdana" w:cs="Arial"/>
                <w:sz w:val="20"/>
                <w:szCs w:val="20"/>
                <w:highlight w:val="lightGray"/>
                <w:lang w:eastAsia="es-CO"/>
              </w:rPr>
              <w:t xml:space="preserve"> </w:t>
            </w:r>
            <w:r w:rsidRPr="002B6154">
              <w:rPr>
                <w:rFonts w:ascii="Verdana" w:eastAsia="Aptos" w:hAnsi="Verdana" w:cs="Arial"/>
                <w:sz w:val="20"/>
                <w:szCs w:val="20"/>
                <w:highlight w:val="lightGray"/>
                <w:lang w:eastAsia="es-CO"/>
              </w:rPr>
              <w:t>descripción]</w:t>
            </w:r>
          </w:p>
        </w:tc>
      </w:tr>
      <w:tr w:rsidR="002B6154" w:rsidRPr="002B6154" w14:paraId="3890C856" w14:textId="77777777" w:rsidTr="00A46F1D">
        <w:trPr>
          <w:trHeight w:val="283"/>
          <w:jc w:val="center"/>
        </w:trPr>
        <w:tc>
          <w:tcPr>
            <w:tcW w:w="3954" w:type="dxa"/>
            <w:tcBorders>
              <w:top w:val="single" w:sz="6" w:space="0" w:color="auto"/>
            </w:tcBorders>
            <w:vAlign w:val="center"/>
          </w:tcPr>
          <w:p w14:paraId="1F53861D" w14:textId="77777777" w:rsidR="002B6154" w:rsidRPr="002B6154" w:rsidRDefault="002B6154" w:rsidP="002B6154">
            <w:pPr>
              <w:spacing w:after="0" w:line="240" w:lineRule="auto"/>
              <w:ind w:left="709" w:right="709"/>
              <w:jc w:val="center"/>
              <w:rPr>
                <w:rFonts w:ascii="Verdana" w:eastAsia="Arial,Times New Roman" w:hAnsi="Verdana" w:cs="Arial"/>
                <w:sz w:val="20"/>
                <w:szCs w:val="20"/>
                <w:highlight w:val="lightGray"/>
                <w:lang w:eastAsia="es-CO"/>
              </w:rPr>
            </w:pPr>
            <w:r w:rsidRPr="002B6154">
              <w:rPr>
                <w:rFonts w:ascii="Verdana" w:eastAsia="Arial,Times New Roman" w:hAnsi="Verdana" w:cs="Arial"/>
                <w:sz w:val="20"/>
                <w:szCs w:val="20"/>
                <w:highlight w:val="lightGray"/>
                <w:lang w:eastAsia="es-CO"/>
              </w:rPr>
              <w:t>[</w:t>
            </w:r>
            <w:r w:rsidRPr="002B6154">
              <w:rPr>
                <w:rFonts w:ascii="Verdana" w:eastAsia="Aptos" w:hAnsi="Verdana" w:cs="Arial"/>
                <w:sz w:val="20"/>
                <w:szCs w:val="20"/>
                <w:highlight w:val="lightGray"/>
                <w:lang w:eastAsia="es-CO"/>
              </w:rPr>
              <w:t>completar de acuerdo con familia, clase, y producto</w:t>
            </w:r>
            <w:r w:rsidRPr="002B6154">
              <w:rPr>
                <w:rFonts w:ascii="Verdana" w:eastAsia="Arial,Times New Roman" w:hAnsi="Verdana" w:cs="Arial"/>
                <w:sz w:val="20"/>
                <w:szCs w:val="20"/>
                <w:highlight w:val="lightGray"/>
                <w:lang w:eastAsia="es-CO"/>
              </w:rPr>
              <w:t>]</w:t>
            </w:r>
          </w:p>
        </w:tc>
        <w:tc>
          <w:tcPr>
            <w:tcW w:w="2410" w:type="dxa"/>
            <w:tcBorders>
              <w:top w:val="single" w:sz="6" w:space="0" w:color="auto"/>
            </w:tcBorders>
            <w:vAlign w:val="center"/>
          </w:tcPr>
          <w:p w14:paraId="624CD4E9" w14:textId="77777777" w:rsidR="002B6154" w:rsidRPr="002B6154" w:rsidRDefault="002B6154" w:rsidP="002B6154">
            <w:pPr>
              <w:spacing w:after="0" w:line="240" w:lineRule="auto"/>
              <w:ind w:left="709" w:right="709"/>
              <w:jc w:val="center"/>
              <w:rPr>
                <w:rFonts w:ascii="Verdana" w:eastAsia="Arial,Times New Roman" w:hAnsi="Verdana" w:cs="Arial"/>
                <w:sz w:val="20"/>
                <w:szCs w:val="20"/>
                <w:highlight w:val="lightGray"/>
                <w:lang w:eastAsia="es-CO"/>
              </w:rPr>
            </w:pPr>
            <w:r w:rsidRPr="002B6154">
              <w:rPr>
                <w:rFonts w:ascii="Verdana" w:eastAsia="Aptos" w:hAnsi="Verdana" w:cs="Arial"/>
                <w:sz w:val="20"/>
                <w:szCs w:val="20"/>
                <w:highlight w:val="lightGray"/>
                <w:lang w:eastAsia="es-CO"/>
              </w:rPr>
              <w:t>[Incluir</w:t>
            </w:r>
            <w:r w:rsidRPr="002B6154">
              <w:rPr>
                <w:rFonts w:ascii="Verdana" w:eastAsia="Arial,Times New Roman" w:hAnsi="Verdana" w:cs="Arial"/>
                <w:sz w:val="20"/>
                <w:szCs w:val="20"/>
                <w:highlight w:val="lightGray"/>
                <w:lang w:eastAsia="es-CO"/>
              </w:rPr>
              <w:t xml:space="preserve"> </w:t>
            </w:r>
            <w:r w:rsidRPr="002B6154">
              <w:rPr>
                <w:rFonts w:ascii="Verdana" w:eastAsia="Aptos" w:hAnsi="Verdana" w:cs="Arial"/>
                <w:sz w:val="20"/>
                <w:szCs w:val="20"/>
                <w:highlight w:val="lightGray"/>
                <w:lang w:eastAsia="es-CO"/>
              </w:rPr>
              <w:t>descripción]</w:t>
            </w:r>
          </w:p>
        </w:tc>
      </w:tr>
    </w:tbl>
    <w:p w14:paraId="25624EFB" w14:textId="77777777" w:rsidR="002B6154" w:rsidRPr="002B6154" w:rsidRDefault="002B6154" w:rsidP="002B6154">
      <w:pPr>
        <w:shd w:val="clear" w:color="auto" w:fill="FFFFFF"/>
        <w:spacing w:after="0" w:line="240" w:lineRule="auto"/>
        <w:jc w:val="both"/>
        <w:textAlignment w:val="baseline"/>
        <w:rPr>
          <w:rFonts w:ascii="Verdana" w:eastAsia="Times New Roman" w:hAnsi="Verdana" w:cs="Times New Roman"/>
          <w:sz w:val="20"/>
          <w:szCs w:val="20"/>
          <w:lang w:val="es-MX" w:eastAsia="es-CO"/>
        </w:rPr>
      </w:pPr>
      <w:r w:rsidRPr="002B6154">
        <w:rPr>
          <w:rFonts w:ascii="Verdana" w:eastAsia="Times New Roman" w:hAnsi="Verdana" w:cs="Calibri"/>
          <w:sz w:val="20"/>
          <w:szCs w:val="20"/>
          <w:bdr w:val="none" w:sz="0" w:space="0" w:color="auto" w:frame="1"/>
          <w:lang w:val="es-MX" w:eastAsia="es-CO"/>
        </w:rPr>
        <w:t> </w:t>
      </w:r>
    </w:p>
    <w:p w14:paraId="477CAE74" w14:textId="77777777" w:rsidR="002B6154" w:rsidRPr="002B6154" w:rsidRDefault="002B6154" w:rsidP="002B6154">
      <w:pPr>
        <w:shd w:val="clear" w:color="auto" w:fill="FFFFFF"/>
        <w:spacing w:after="120" w:line="276" w:lineRule="auto"/>
        <w:ind w:firstLine="709"/>
        <w:jc w:val="both"/>
        <w:textAlignment w:val="baseline"/>
        <w:rPr>
          <w:rFonts w:ascii="Verdana" w:eastAsia="Times New Roman" w:hAnsi="Verdana" w:cs="Arial"/>
          <w:bdr w:val="none" w:sz="0" w:space="0" w:color="auto" w:frame="1"/>
          <w:lang w:val="es-MX" w:eastAsia="es-CO"/>
        </w:rPr>
      </w:pPr>
      <w:r w:rsidRPr="002B6154">
        <w:rPr>
          <w:rFonts w:ascii="Verdana" w:eastAsia="Times New Roman" w:hAnsi="Verdana" w:cs="Arial"/>
          <w:bdr w:val="none" w:sz="0" w:space="0" w:color="auto" w:frame="1"/>
          <w:lang w:val="es-MX" w:eastAsia="es-CO"/>
        </w:rPr>
        <w:t xml:space="preserve">Como se aprecia, en la primera de las columnas las entidades estatales deben consignar el código que resulta de la combinación de la familia, clase y producto al que está asociada el servicio o bien a contratarse, mientras que en la segunda se debe consignar la descripción de este. </w:t>
      </w:r>
      <w:bookmarkStart w:id="1" w:name="_Hlk62141976"/>
      <w:r w:rsidRPr="002B6154">
        <w:rPr>
          <w:rFonts w:ascii="Verdana" w:eastAsia="Times New Roman" w:hAnsi="Verdana" w:cs="Arial"/>
          <w:bdr w:val="none" w:sz="0" w:space="0" w:color="auto" w:frame="1"/>
          <w:lang w:val="es-MX" w:eastAsia="es-CO"/>
        </w:rPr>
        <w:t>En ese sentido, si el objeto contractual implica la prestación de servicios asociados a distintos códigos, la entidad deberá diligenciar tantas filas como códigos abarque el desarrollo del objeto contractual</w:t>
      </w:r>
      <w:bookmarkEnd w:id="1"/>
      <w:r w:rsidRPr="002B6154">
        <w:rPr>
          <w:rFonts w:ascii="Verdana" w:eastAsia="Times New Roman" w:hAnsi="Verdana" w:cs="Arial"/>
          <w:bdr w:val="none" w:sz="0" w:space="0" w:color="auto" w:frame="1"/>
          <w:lang w:val="es-MX" w:eastAsia="es-CO"/>
        </w:rPr>
        <w:t>.   </w:t>
      </w:r>
    </w:p>
    <w:p w14:paraId="153D659F" w14:textId="77777777" w:rsidR="002B6154" w:rsidRPr="002B6154" w:rsidRDefault="002B6154" w:rsidP="002B6154">
      <w:pPr>
        <w:spacing w:after="120" w:line="276" w:lineRule="auto"/>
        <w:ind w:firstLine="708"/>
        <w:jc w:val="both"/>
        <w:rPr>
          <w:rFonts w:ascii="Verdana" w:eastAsia="Aptos" w:hAnsi="Verdana" w:cs="Times New Roman"/>
        </w:rPr>
      </w:pPr>
      <w:r w:rsidRPr="002B6154">
        <w:rPr>
          <w:rFonts w:ascii="Verdana" w:eastAsia="Times New Roman" w:hAnsi="Verdana" w:cs="Arial"/>
          <w:bdr w:val="none" w:sz="0" w:space="0" w:color="auto" w:frame="1"/>
          <w:lang w:val="es-MX" w:eastAsia="es-CO"/>
        </w:rPr>
        <w:t>Asimismo, en el numeral se incluye que “</w:t>
      </w:r>
      <w:r w:rsidRPr="002B6154">
        <w:rPr>
          <w:rFonts w:ascii="Verdana" w:eastAsia="Times New Roman" w:hAnsi="Verdana" w:cs="Arial"/>
          <w:highlight w:val="lightGray"/>
          <w:bdr w:val="none" w:sz="0" w:space="0" w:color="auto" w:frame="1"/>
          <w:lang w:val="es-MX" w:eastAsia="es-CO"/>
        </w:rPr>
        <w:t>[En caso de que el proceso de contratación esté relacionado con las actividades de “terrenos, edificios o estructuras” previstas en la “Matriz 1- Experiencia”, también se podrá incluir el segmento 95]”.</w:t>
      </w:r>
      <w:r w:rsidRPr="002B6154">
        <w:rPr>
          <w:rFonts w:ascii="Verdana" w:eastAsia="Times New Roman" w:hAnsi="Verdana" w:cs="Arial"/>
          <w:bdr w:val="none" w:sz="0" w:space="0" w:color="auto" w:frame="1"/>
          <w:lang w:val="es-MX" w:eastAsia="es-CO"/>
        </w:rPr>
        <w:t xml:space="preserve"> Adicionalmente, se indica que “</w:t>
      </w:r>
      <w:r w:rsidRPr="002B6154">
        <w:rPr>
          <w:rFonts w:ascii="Verdana" w:eastAsia="Verdana" w:hAnsi="Verdana" w:cs="Verdana"/>
          <w:highlight w:val="lightGray"/>
          <w:lang w:val="es-MX"/>
        </w:rPr>
        <w:t>[La Entidad deberá diligenciar el cuadro y exigir los contratos identificados con el Clasificador de Bienes y Servicios bajo el segmento respectivo y hasta el tercer nivel que sean concordantes con el objeto principal del objeto a ejecutar]</w:t>
      </w:r>
      <w:r w:rsidRPr="002B6154">
        <w:rPr>
          <w:rFonts w:ascii="Verdana" w:eastAsia="Verdana" w:hAnsi="Verdana" w:cs="Verdana"/>
          <w:lang w:val="es-MX"/>
        </w:rPr>
        <w:t xml:space="preserve">”. </w:t>
      </w:r>
    </w:p>
    <w:p w14:paraId="6F703131" w14:textId="77777777" w:rsidR="002B6154" w:rsidRPr="002B6154" w:rsidRDefault="002B6154" w:rsidP="002B6154">
      <w:pPr>
        <w:spacing w:after="120" w:line="276" w:lineRule="auto"/>
        <w:ind w:firstLine="708"/>
        <w:jc w:val="both"/>
        <w:rPr>
          <w:rFonts w:ascii="Verdana" w:eastAsia="Aptos" w:hAnsi="Verdana" w:cs="Times New Roman"/>
          <w:kern w:val="2"/>
          <w:lang w:val="es-MX"/>
          <w14:ligatures w14:val="standardContextual"/>
        </w:rPr>
      </w:pPr>
      <w:r w:rsidRPr="002B6154">
        <w:rPr>
          <w:rFonts w:ascii="Verdana" w:eastAsia="Times New Roman" w:hAnsi="Verdana" w:cs="Arial"/>
          <w:kern w:val="2"/>
          <w:bdr w:val="none" w:sz="0" w:space="0" w:color="auto" w:frame="1"/>
          <w:lang w:val="es-MX" w:eastAsia="es-CO"/>
          <w14:ligatures w14:val="standardContextual"/>
        </w:rPr>
        <w:t>Por su parte, el numeral 3.5.3 del documento base, referente a la clasificación de la experiencia de los contratistas, incluye una tabla en la que cada columna corresponde a uno de los niveles del clasificador. Esta tabla es un parámetro para determinar si la experiencia del contratista se relaciona con el objeto contractual ofertado, por lo que al diligenciarla las entidades deben desagregar los códigos incluidos en la tabla del numeral 1.4. Al respecto, el numeral 3.5.3 dispone lo siguiente:</w:t>
      </w:r>
    </w:p>
    <w:p w14:paraId="3E1C19FD" w14:textId="77777777" w:rsidR="002B6154" w:rsidRPr="002B6154" w:rsidRDefault="002B6154" w:rsidP="002B6154">
      <w:pPr>
        <w:spacing w:after="0" w:line="276" w:lineRule="auto"/>
        <w:ind w:left="709" w:right="709"/>
        <w:jc w:val="both"/>
        <w:rPr>
          <w:rFonts w:ascii="Verdana" w:eastAsia="Calibri" w:hAnsi="Verdana" w:cs="Arial"/>
          <w:kern w:val="2"/>
          <w:sz w:val="20"/>
          <w:szCs w:val="20"/>
          <w:lang w:val="es-MX" w:eastAsia="es-ES"/>
          <w14:ligatures w14:val="standardContextual"/>
        </w:rPr>
      </w:pPr>
    </w:p>
    <w:p w14:paraId="571DDC0C" w14:textId="77777777" w:rsidR="002B6154" w:rsidRPr="002B6154" w:rsidRDefault="002B6154" w:rsidP="002B6154">
      <w:pPr>
        <w:spacing w:after="0" w:line="240" w:lineRule="auto"/>
        <w:ind w:left="709" w:right="709"/>
        <w:jc w:val="both"/>
        <w:rPr>
          <w:rFonts w:ascii="Verdana" w:eastAsia="Calibri"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“Los</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contratos</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aportados</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para</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efectos</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de</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acreditación</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de</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la</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experiencia</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requerida</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deben</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estar</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clasificados</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en</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alguno</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de</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los</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siguientes</w:t>
      </w:r>
      <w:r w:rsidRPr="002B6154">
        <w:rPr>
          <w:rFonts w:ascii="Verdana" w:eastAsia="Arial" w:hAnsi="Verdana" w:cs="Arial"/>
          <w:kern w:val="2"/>
          <w:sz w:val="20"/>
          <w:szCs w:val="20"/>
          <w:lang w:val="es-MX" w:eastAsia="es-ES"/>
          <w14:ligatures w14:val="standardContextual"/>
        </w:rPr>
        <w:t xml:space="preserve"> </w:t>
      </w:r>
      <w:r w:rsidRPr="002B6154">
        <w:rPr>
          <w:rFonts w:ascii="Verdana" w:eastAsia="Calibri" w:hAnsi="Verdana" w:cs="Arial"/>
          <w:kern w:val="2"/>
          <w:sz w:val="20"/>
          <w:szCs w:val="20"/>
          <w:lang w:val="es-MX" w:eastAsia="es-ES"/>
          <w14:ligatures w14:val="standardContextual"/>
        </w:rPr>
        <w:t>códigos:</w:t>
      </w:r>
    </w:p>
    <w:p w14:paraId="2F8F89BC" w14:textId="77777777" w:rsidR="002B6154" w:rsidRPr="002B6154" w:rsidRDefault="002B6154" w:rsidP="002B6154">
      <w:pPr>
        <w:spacing w:after="0" w:line="240" w:lineRule="auto"/>
        <w:ind w:left="709" w:right="709"/>
        <w:jc w:val="both"/>
        <w:rPr>
          <w:rFonts w:ascii="Verdana" w:eastAsia="Arial" w:hAnsi="Verdana" w:cs="Arial"/>
          <w:kern w:val="2"/>
          <w:sz w:val="20"/>
          <w:szCs w:val="20"/>
          <w:lang w:val="es-MX" w:eastAsia="es-ES"/>
          <w14:ligatures w14:val="standardContextual"/>
        </w:rPr>
      </w:pPr>
    </w:p>
    <w:tbl>
      <w:tblPr>
        <w:tblW w:w="7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2130"/>
        <w:gridCol w:w="1694"/>
        <w:gridCol w:w="1942"/>
      </w:tblGrid>
      <w:tr w:rsidR="002B6154" w:rsidRPr="002B6154" w14:paraId="312A39CB" w14:textId="77777777" w:rsidTr="00A46F1D">
        <w:trPr>
          <w:trHeight w:val="361"/>
          <w:tblHeader/>
          <w:jc w:val="center"/>
        </w:trPr>
        <w:tc>
          <w:tcPr>
            <w:tcW w:w="1289" w:type="dxa"/>
            <w:tcBorders>
              <w:top w:val="double" w:sz="4" w:space="0" w:color="auto"/>
              <w:left w:val="double" w:sz="4" w:space="0" w:color="auto"/>
              <w:bottom w:val="single" w:sz="4" w:space="0" w:color="auto"/>
              <w:right w:val="single" w:sz="4" w:space="0" w:color="auto"/>
            </w:tcBorders>
            <w:shd w:val="clear" w:color="auto" w:fill="404040"/>
            <w:vAlign w:val="center"/>
            <w:hideMark/>
          </w:tcPr>
          <w:p w14:paraId="30A3AED0" w14:textId="77777777" w:rsidR="002B6154" w:rsidRPr="002B6154" w:rsidRDefault="002B6154" w:rsidP="002B6154">
            <w:pPr>
              <w:spacing w:after="0" w:line="240" w:lineRule="auto"/>
              <w:ind w:right="-65"/>
              <w:rPr>
                <w:rFonts w:ascii="Verdana" w:eastAsia="Times New Roman" w:hAnsi="Verdana" w:cs="Arial"/>
                <w:b/>
                <w:bCs/>
                <w:kern w:val="2"/>
                <w:sz w:val="20"/>
                <w:szCs w:val="20"/>
                <w:lang w:val="es-MX" w:eastAsia="es-ES"/>
                <w14:ligatures w14:val="standardContextual"/>
              </w:rPr>
            </w:pPr>
            <w:hyperlink r:id="rId11" w:tooltip="ordenar por Segmentos" w:history="1">
              <w:r w:rsidRPr="002B6154">
                <w:rPr>
                  <w:rFonts w:ascii="Verdana" w:eastAsia="Calibri" w:hAnsi="Verdana" w:cs="Arial"/>
                  <w:b/>
                  <w:bCs/>
                  <w:kern w:val="2"/>
                  <w:sz w:val="20"/>
                  <w:szCs w:val="20"/>
                  <w:u w:val="single"/>
                  <w:lang w:val="es-MX" w:eastAsia="es-ES"/>
                  <w14:ligatures w14:val="standardContextual"/>
                </w:rPr>
                <w:t>Segmentos</w:t>
              </w:r>
            </w:hyperlink>
          </w:p>
        </w:tc>
        <w:tc>
          <w:tcPr>
            <w:tcW w:w="2204" w:type="dxa"/>
            <w:tcBorders>
              <w:top w:val="double" w:sz="4" w:space="0" w:color="auto"/>
              <w:left w:val="single" w:sz="4" w:space="0" w:color="auto"/>
              <w:bottom w:val="single" w:sz="4" w:space="0" w:color="auto"/>
              <w:right w:val="single" w:sz="4" w:space="0" w:color="auto"/>
            </w:tcBorders>
            <w:shd w:val="clear" w:color="auto" w:fill="404040"/>
            <w:vAlign w:val="center"/>
            <w:hideMark/>
          </w:tcPr>
          <w:p w14:paraId="12764046" w14:textId="77777777" w:rsidR="002B6154" w:rsidRPr="002B6154" w:rsidRDefault="002B6154" w:rsidP="002B6154">
            <w:pPr>
              <w:spacing w:after="0" w:line="240" w:lineRule="auto"/>
              <w:jc w:val="center"/>
              <w:rPr>
                <w:rFonts w:ascii="Verdana" w:eastAsia="Times New Roman" w:hAnsi="Verdana" w:cs="Arial"/>
                <w:b/>
                <w:bCs/>
                <w:kern w:val="2"/>
                <w:sz w:val="20"/>
                <w:szCs w:val="20"/>
                <w:lang w:val="es-MX" w:eastAsia="es-ES"/>
                <w14:ligatures w14:val="standardContextual"/>
              </w:rPr>
            </w:pPr>
            <w:hyperlink r:id="rId12" w:tooltip="ordenar por Familia " w:history="1">
              <w:r w:rsidRPr="002B6154">
                <w:rPr>
                  <w:rFonts w:ascii="Verdana" w:eastAsia="Calibri" w:hAnsi="Verdana" w:cs="Arial"/>
                  <w:b/>
                  <w:bCs/>
                  <w:kern w:val="2"/>
                  <w:sz w:val="20"/>
                  <w:szCs w:val="20"/>
                  <w:u w:val="single"/>
                  <w:lang w:val="es-MX" w:eastAsia="es-ES"/>
                  <w14:ligatures w14:val="standardContextual"/>
                </w:rPr>
                <w:t xml:space="preserve">Familia </w:t>
              </w:r>
            </w:hyperlink>
          </w:p>
        </w:tc>
        <w:tc>
          <w:tcPr>
            <w:tcW w:w="1747" w:type="dxa"/>
            <w:tcBorders>
              <w:top w:val="double" w:sz="4" w:space="0" w:color="auto"/>
              <w:left w:val="single" w:sz="4" w:space="0" w:color="auto"/>
              <w:bottom w:val="single" w:sz="4" w:space="0" w:color="auto"/>
              <w:right w:val="single" w:sz="4" w:space="0" w:color="auto"/>
            </w:tcBorders>
            <w:shd w:val="clear" w:color="auto" w:fill="404040"/>
            <w:vAlign w:val="center"/>
            <w:hideMark/>
          </w:tcPr>
          <w:p w14:paraId="5D8C87AF" w14:textId="77777777" w:rsidR="002B6154" w:rsidRPr="002B6154" w:rsidRDefault="002B6154" w:rsidP="002B6154">
            <w:pPr>
              <w:spacing w:after="0" w:line="240" w:lineRule="auto"/>
              <w:ind w:left="95"/>
              <w:jc w:val="center"/>
              <w:rPr>
                <w:rFonts w:ascii="Verdana" w:eastAsia="Times New Roman" w:hAnsi="Verdana" w:cs="Arial"/>
                <w:b/>
                <w:bCs/>
                <w:kern w:val="2"/>
                <w:sz w:val="20"/>
                <w:szCs w:val="20"/>
                <w:lang w:val="es-MX" w:eastAsia="es-ES"/>
                <w14:ligatures w14:val="standardContextual"/>
              </w:rPr>
            </w:pPr>
            <w:hyperlink r:id="rId13" w:tooltip="ordenar por Clase  " w:history="1">
              <w:r w:rsidRPr="002B6154">
                <w:rPr>
                  <w:rFonts w:ascii="Verdana" w:eastAsia="Calibri" w:hAnsi="Verdana" w:cs="Arial"/>
                  <w:b/>
                  <w:bCs/>
                  <w:kern w:val="2"/>
                  <w:sz w:val="20"/>
                  <w:szCs w:val="20"/>
                  <w:u w:val="single"/>
                  <w:lang w:val="es-MX" w:eastAsia="es-ES"/>
                  <w14:ligatures w14:val="standardContextual"/>
                </w:rPr>
                <w:t xml:space="preserve">Clase </w:t>
              </w:r>
            </w:hyperlink>
          </w:p>
        </w:tc>
        <w:tc>
          <w:tcPr>
            <w:tcW w:w="1992" w:type="dxa"/>
            <w:tcBorders>
              <w:top w:val="double" w:sz="4" w:space="0" w:color="auto"/>
              <w:left w:val="single" w:sz="4" w:space="0" w:color="auto"/>
              <w:bottom w:val="single" w:sz="4" w:space="0" w:color="auto"/>
              <w:right w:val="double" w:sz="4" w:space="0" w:color="auto"/>
            </w:tcBorders>
            <w:shd w:val="clear" w:color="auto" w:fill="404040"/>
            <w:vAlign w:val="center"/>
            <w:hideMark/>
          </w:tcPr>
          <w:p w14:paraId="733E1EA3" w14:textId="77777777" w:rsidR="002B6154" w:rsidRPr="002B6154" w:rsidRDefault="002B6154" w:rsidP="002B6154">
            <w:pPr>
              <w:spacing w:after="0" w:line="240" w:lineRule="auto"/>
              <w:ind w:left="21" w:right="73"/>
              <w:jc w:val="center"/>
              <w:rPr>
                <w:rFonts w:ascii="Verdana" w:eastAsia="Times New Roman" w:hAnsi="Verdana" w:cs="Arial"/>
                <w:b/>
                <w:bCs/>
                <w:kern w:val="2"/>
                <w:sz w:val="20"/>
                <w:szCs w:val="20"/>
                <w:lang w:val="es-MX" w:eastAsia="es-ES"/>
                <w14:ligatures w14:val="standardContextual"/>
              </w:rPr>
            </w:pPr>
            <w:hyperlink r:id="rId14" w:tooltip="ordenar por Nombre  " w:history="1">
              <w:r w:rsidRPr="002B6154">
                <w:rPr>
                  <w:rFonts w:ascii="Verdana" w:eastAsia="Calibri" w:hAnsi="Verdana" w:cs="Arial"/>
                  <w:b/>
                  <w:bCs/>
                  <w:kern w:val="2"/>
                  <w:sz w:val="20"/>
                  <w:szCs w:val="20"/>
                  <w:u w:val="single"/>
                  <w:lang w:val="es-MX" w:eastAsia="es-ES"/>
                  <w14:ligatures w14:val="standardContextual"/>
                </w:rPr>
                <w:t xml:space="preserve">Nombre </w:t>
              </w:r>
            </w:hyperlink>
          </w:p>
        </w:tc>
      </w:tr>
      <w:tr w:rsidR="002B6154" w:rsidRPr="002B6154" w14:paraId="228B386E" w14:textId="77777777" w:rsidTr="00A46F1D">
        <w:trPr>
          <w:trHeight w:val="20"/>
          <w:tblHeader/>
          <w:jc w:val="center"/>
        </w:trPr>
        <w:tc>
          <w:tcPr>
            <w:tcW w:w="1289" w:type="dxa"/>
            <w:tcBorders>
              <w:top w:val="single" w:sz="4" w:space="0" w:color="auto"/>
              <w:left w:val="double" w:sz="4" w:space="0" w:color="auto"/>
              <w:bottom w:val="single" w:sz="4" w:space="0" w:color="auto"/>
              <w:right w:val="single" w:sz="4" w:space="0" w:color="auto"/>
            </w:tcBorders>
            <w:hideMark/>
          </w:tcPr>
          <w:p w14:paraId="3BF7EDD9" w14:textId="77777777" w:rsidR="002B6154" w:rsidRPr="002B6154" w:rsidRDefault="002B6154" w:rsidP="002B6154">
            <w:pPr>
              <w:spacing w:after="0" w:line="240" w:lineRule="auto"/>
              <w:ind w:left="22"/>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w:t>
            </w:r>
          </w:p>
        </w:tc>
        <w:tc>
          <w:tcPr>
            <w:tcW w:w="2204" w:type="dxa"/>
            <w:tcBorders>
              <w:top w:val="single" w:sz="4" w:space="0" w:color="auto"/>
              <w:left w:val="single" w:sz="4" w:space="0" w:color="auto"/>
              <w:bottom w:val="single" w:sz="4" w:space="0" w:color="auto"/>
              <w:right w:val="single" w:sz="4" w:space="0" w:color="auto"/>
            </w:tcBorders>
            <w:vAlign w:val="center"/>
            <w:hideMark/>
          </w:tcPr>
          <w:p w14:paraId="316C7427" w14:textId="77777777" w:rsidR="002B6154" w:rsidRPr="002B6154" w:rsidRDefault="002B6154" w:rsidP="002B6154">
            <w:pPr>
              <w:spacing w:after="0" w:line="240" w:lineRule="auto"/>
              <w:ind w:left="-102" w:right="-128"/>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w:t>
            </w:r>
          </w:p>
        </w:tc>
        <w:tc>
          <w:tcPr>
            <w:tcW w:w="1747" w:type="dxa"/>
            <w:tcBorders>
              <w:top w:val="single" w:sz="4" w:space="0" w:color="auto"/>
              <w:left w:val="single" w:sz="4" w:space="0" w:color="auto"/>
              <w:bottom w:val="single" w:sz="4" w:space="0" w:color="auto"/>
              <w:right w:val="single" w:sz="4" w:space="0" w:color="auto"/>
            </w:tcBorders>
            <w:vAlign w:val="center"/>
            <w:hideMark/>
          </w:tcPr>
          <w:p w14:paraId="28B0B93C" w14:textId="77777777" w:rsidR="002B6154" w:rsidRPr="002B6154" w:rsidRDefault="002B6154" w:rsidP="002B6154">
            <w:pPr>
              <w:spacing w:after="0" w:line="240" w:lineRule="auto"/>
              <w:ind w:left="49" w:right="91"/>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w:t>
            </w:r>
          </w:p>
        </w:tc>
        <w:tc>
          <w:tcPr>
            <w:tcW w:w="1992" w:type="dxa"/>
            <w:tcBorders>
              <w:top w:val="single" w:sz="4" w:space="0" w:color="auto"/>
              <w:left w:val="single" w:sz="4" w:space="0" w:color="auto"/>
              <w:bottom w:val="single" w:sz="4" w:space="0" w:color="auto"/>
              <w:right w:val="double" w:sz="4" w:space="0" w:color="auto"/>
            </w:tcBorders>
            <w:vAlign w:val="center"/>
            <w:hideMark/>
          </w:tcPr>
          <w:p w14:paraId="1EBF0E10" w14:textId="77777777" w:rsidR="002B6154" w:rsidRPr="002B6154" w:rsidRDefault="002B6154" w:rsidP="002B6154">
            <w:pPr>
              <w:spacing w:after="0" w:line="240" w:lineRule="auto"/>
              <w:ind w:left="134"/>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XXXX</w:t>
            </w:r>
          </w:p>
        </w:tc>
      </w:tr>
      <w:tr w:rsidR="002B6154" w:rsidRPr="002B6154" w14:paraId="7DF8F718" w14:textId="77777777" w:rsidTr="00A46F1D">
        <w:trPr>
          <w:trHeight w:val="20"/>
          <w:jc w:val="center"/>
        </w:trPr>
        <w:tc>
          <w:tcPr>
            <w:tcW w:w="1289" w:type="dxa"/>
            <w:tcBorders>
              <w:top w:val="single" w:sz="4" w:space="0" w:color="auto"/>
              <w:left w:val="double" w:sz="4" w:space="0" w:color="auto"/>
              <w:bottom w:val="single" w:sz="4" w:space="0" w:color="auto"/>
              <w:right w:val="single" w:sz="4" w:space="0" w:color="auto"/>
            </w:tcBorders>
            <w:hideMark/>
          </w:tcPr>
          <w:p w14:paraId="5200ABC7" w14:textId="77777777" w:rsidR="002B6154" w:rsidRPr="002B6154" w:rsidRDefault="002B6154" w:rsidP="002B6154">
            <w:pPr>
              <w:spacing w:after="0" w:line="240" w:lineRule="auto"/>
              <w:ind w:left="22"/>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w:t>
            </w:r>
          </w:p>
        </w:tc>
        <w:tc>
          <w:tcPr>
            <w:tcW w:w="2204" w:type="dxa"/>
            <w:tcBorders>
              <w:top w:val="single" w:sz="4" w:space="0" w:color="auto"/>
              <w:left w:val="single" w:sz="4" w:space="0" w:color="auto"/>
              <w:bottom w:val="single" w:sz="4" w:space="0" w:color="auto"/>
              <w:right w:val="single" w:sz="4" w:space="0" w:color="auto"/>
            </w:tcBorders>
            <w:vAlign w:val="center"/>
            <w:hideMark/>
          </w:tcPr>
          <w:p w14:paraId="7ECAC6A2" w14:textId="77777777" w:rsidR="002B6154" w:rsidRPr="002B6154" w:rsidRDefault="002B6154" w:rsidP="002B6154">
            <w:pPr>
              <w:spacing w:after="0" w:line="240" w:lineRule="auto"/>
              <w:ind w:left="-102" w:right="-128"/>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w:t>
            </w:r>
          </w:p>
        </w:tc>
        <w:tc>
          <w:tcPr>
            <w:tcW w:w="1747" w:type="dxa"/>
            <w:tcBorders>
              <w:top w:val="single" w:sz="4" w:space="0" w:color="auto"/>
              <w:left w:val="single" w:sz="4" w:space="0" w:color="auto"/>
              <w:bottom w:val="single" w:sz="4" w:space="0" w:color="auto"/>
              <w:right w:val="single" w:sz="4" w:space="0" w:color="auto"/>
            </w:tcBorders>
            <w:vAlign w:val="center"/>
            <w:hideMark/>
          </w:tcPr>
          <w:p w14:paraId="443330C8" w14:textId="77777777" w:rsidR="002B6154" w:rsidRPr="002B6154" w:rsidRDefault="002B6154" w:rsidP="002B6154">
            <w:pPr>
              <w:spacing w:after="0" w:line="240" w:lineRule="auto"/>
              <w:ind w:left="49" w:right="91"/>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w:t>
            </w:r>
          </w:p>
        </w:tc>
        <w:tc>
          <w:tcPr>
            <w:tcW w:w="1992" w:type="dxa"/>
            <w:tcBorders>
              <w:top w:val="single" w:sz="4" w:space="0" w:color="auto"/>
              <w:left w:val="single" w:sz="4" w:space="0" w:color="auto"/>
              <w:bottom w:val="single" w:sz="4" w:space="0" w:color="auto"/>
              <w:right w:val="double" w:sz="4" w:space="0" w:color="auto"/>
            </w:tcBorders>
            <w:vAlign w:val="center"/>
            <w:hideMark/>
          </w:tcPr>
          <w:p w14:paraId="7AE35320" w14:textId="77777777" w:rsidR="002B6154" w:rsidRPr="002B6154" w:rsidRDefault="002B6154" w:rsidP="002B6154">
            <w:pPr>
              <w:spacing w:after="0" w:line="240" w:lineRule="auto"/>
              <w:ind w:left="134"/>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XXXX</w:t>
            </w:r>
          </w:p>
        </w:tc>
      </w:tr>
      <w:tr w:rsidR="002B6154" w:rsidRPr="002B6154" w14:paraId="5151A924" w14:textId="77777777" w:rsidTr="00A46F1D">
        <w:trPr>
          <w:trHeight w:val="20"/>
          <w:jc w:val="center"/>
        </w:trPr>
        <w:tc>
          <w:tcPr>
            <w:tcW w:w="1289" w:type="dxa"/>
            <w:tcBorders>
              <w:top w:val="single" w:sz="4" w:space="0" w:color="auto"/>
              <w:left w:val="double" w:sz="4" w:space="0" w:color="auto"/>
              <w:bottom w:val="single" w:sz="4" w:space="0" w:color="auto"/>
              <w:right w:val="single" w:sz="4" w:space="0" w:color="auto"/>
            </w:tcBorders>
            <w:hideMark/>
          </w:tcPr>
          <w:p w14:paraId="532C5951" w14:textId="77777777" w:rsidR="002B6154" w:rsidRPr="002B6154" w:rsidRDefault="002B6154" w:rsidP="002B6154">
            <w:pPr>
              <w:spacing w:after="0" w:line="240" w:lineRule="auto"/>
              <w:ind w:left="22"/>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w:t>
            </w:r>
          </w:p>
        </w:tc>
        <w:tc>
          <w:tcPr>
            <w:tcW w:w="2204" w:type="dxa"/>
            <w:tcBorders>
              <w:top w:val="single" w:sz="4" w:space="0" w:color="auto"/>
              <w:left w:val="single" w:sz="4" w:space="0" w:color="auto"/>
              <w:bottom w:val="single" w:sz="4" w:space="0" w:color="auto"/>
              <w:right w:val="single" w:sz="4" w:space="0" w:color="auto"/>
            </w:tcBorders>
            <w:vAlign w:val="center"/>
            <w:hideMark/>
          </w:tcPr>
          <w:p w14:paraId="676B4D2B" w14:textId="77777777" w:rsidR="002B6154" w:rsidRPr="002B6154" w:rsidRDefault="002B6154" w:rsidP="002B6154">
            <w:pPr>
              <w:spacing w:after="0" w:line="240" w:lineRule="auto"/>
              <w:ind w:left="-102" w:right="-128"/>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w:t>
            </w:r>
          </w:p>
        </w:tc>
        <w:tc>
          <w:tcPr>
            <w:tcW w:w="1747" w:type="dxa"/>
            <w:tcBorders>
              <w:top w:val="single" w:sz="4" w:space="0" w:color="auto"/>
              <w:left w:val="single" w:sz="4" w:space="0" w:color="auto"/>
              <w:bottom w:val="single" w:sz="4" w:space="0" w:color="auto"/>
              <w:right w:val="single" w:sz="4" w:space="0" w:color="auto"/>
            </w:tcBorders>
            <w:vAlign w:val="center"/>
            <w:hideMark/>
          </w:tcPr>
          <w:p w14:paraId="1A7C552C" w14:textId="77777777" w:rsidR="002B6154" w:rsidRPr="002B6154" w:rsidRDefault="002B6154" w:rsidP="002B6154">
            <w:pPr>
              <w:spacing w:after="0" w:line="240" w:lineRule="auto"/>
              <w:ind w:left="49" w:right="91"/>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w:t>
            </w:r>
          </w:p>
        </w:tc>
        <w:tc>
          <w:tcPr>
            <w:tcW w:w="1992" w:type="dxa"/>
            <w:tcBorders>
              <w:top w:val="single" w:sz="4" w:space="0" w:color="auto"/>
              <w:left w:val="single" w:sz="4" w:space="0" w:color="auto"/>
              <w:bottom w:val="single" w:sz="4" w:space="0" w:color="auto"/>
              <w:right w:val="double" w:sz="4" w:space="0" w:color="auto"/>
            </w:tcBorders>
            <w:vAlign w:val="center"/>
            <w:hideMark/>
          </w:tcPr>
          <w:p w14:paraId="2EDC37B3" w14:textId="77777777" w:rsidR="002B6154" w:rsidRPr="002B6154" w:rsidRDefault="002B6154" w:rsidP="002B6154">
            <w:pPr>
              <w:spacing w:after="0" w:line="240" w:lineRule="auto"/>
              <w:ind w:left="134"/>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XXXX</w:t>
            </w:r>
          </w:p>
        </w:tc>
      </w:tr>
      <w:tr w:rsidR="002B6154" w:rsidRPr="002B6154" w14:paraId="62E9D6F0" w14:textId="77777777" w:rsidTr="00A46F1D">
        <w:trPr>
          <w:trHeight w:val="20"/>
          <w:jc w:val="center"/>
        </w:trPr>
        <w:tc>
          <w:tcPr>
            <w:tcW w:w="1289" w:type="dxa"/>
            <w:tcBorders>
              <w:top w:val="single" w:sz="4" w:space="0" w:color="auto"/>
              <w:left w:val="double" w:sz="4" w:space="0" w:color="auto"/>
              <w:bottom w:val="double" w:sz="4" w:space="0" w:color="auto"/>
              <w:right w:val="single" w:sz="4" w:space="0" w:color="auto"/>
            </w:tcBorders>
            <w:hideMark/>
          </w:tcPr>
          <w:p w14:paraId="44D29F1F" w14:textId="77777777" w:rsidR="002B6154" w:rsidRPr="002B6154" w:rsidRDefault="002B6154" w:rsidP="002B6154">
            <w:pPr>
              <w:spacing w:after="0" w:line="240" w:lineRule="auto"/>
              <w:ind w:left="22"/>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w:t>
            </w:r>
          </w:p>
        </w:tc>
        <w:tc>
          <w:tcPr>
            <w:tcW w:w="2204" w:type="dxa"/>
            <w:tcBorders>
              <w:top w:val="single" w:sz="4" w:space="0" w:color="auto"/>
              <w:left w:val="single" w:sz="4" w:space="0" w:color="auto"/>
              <w:bottom w:val="double" w:sz="4" w:space="0" w:color="auto"/>
              <w:right w:val="single" w:sz="4" w:space="0" w:color="auto"/>
            </w:tcBorders>
            <w:vAlign w:val="center"/>
            <w:hideMark/>
          </w:tcPr>
          <w:p w14:paraId="5F2F4851" w14:textId="77777777" w:rsidR="002B6154" w:rsidRPr="002B6154" w:rsidRDefault="002B6154" w:rsidP="002B6154">
            <w:pPr>
              <w:spacing w:after="0" w:line="240" w:lineRule="auto"/>
              <w:ind w:left="-102" w:right="-128"/>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w:t>
            </w:r>
          </w:p>
        </w:tc>
        <w:tc>
          <w:tcPr>
            <w:tcW w:w="1747" w:type="dxa"/>
            <w:tcBorders>
              <w:top w:val="single" w:sz="4" w:space="0" w:color="auto"/>
              <w:left w:val="single" w:sz="4" w:space="0" w:color="auto"/>
              <w:bottom w:val="double" w:sz="4" w:space="0" w:color="auto"/>
              <w:right w:val="single" w:sz="4" w:space="0" w:color="auto"/>
            </w:tcBorders>
            <w:vAlign w:val="center"/>
            <w:hideMark/>
          </w:tcPr>
          <w:p w14:paraId="33F64662" w14:textId="77777777" w:rsidR="002B6154" w:rsidRPr="002B6154" w:rsidRDefault="002B6154" w:rsidP="002B6154">
            <w:pPr>
              <w:spacing w:after="0" w:line="240" w:lineRule="auto"/>
              <w:ind w:left="49" w:right="91"/>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w:t>
            </w:r>
          </w:p>
        </w:tc>
        <w:tc>
          <w:tcPr>
            <w:tcW w:w="1992" w:type="dxa"/>
            <w:tcBorders>
              <w:top w:val="single" w:sz="4" w:space="0" w:color="auto"/>
              <w:left w:val="single" w:sz="4" w:space="0" w:color="auto"/>
              <w:bottom w:val="double" w:sz="4" w:space="0" w:color="auto"/>
              <w:right w:val="double" w:sz="4" w:space="0" w:color="auto"/>
            </w:tcBorders>
            <w:vAlign w:val="center"/>
            <w:hideMark/>
          </w:tcPr>
          <w:p w14:paraId="09F6FA37" w14:textId="77777777" w:rsidR="002B6154" w:rsidRPr="002B6154" w:rsidRDefault="002B6154" w:rsidP="002B6154">
            <w:pPr>
              <w:spacing w:after="0" w:line="240" w:lineRule="auto"/>
              <w:ind w:left="134"/>
              <w:jc w:val="center"/>
              <w:rPr>
                <w:rFonts w:ascii="Verdana" w:eastAsia="Arial,Times New Roman" w:hAnsi="Verdana" w:cs="Arial"/>
                <w:kern w:val="2"/>
                <w:sz w:val="20"/>
                <w:szCs w:val="20"/>
                <w:lang w:val="es-MX" w:eastAsia="es-ES"/>
                <w14:ligatures w14:val="standardContextual"/>
              </w:rPr>
            </w:pPr>
            <w:r w:rsidRPr="002B6154">
              <w:rPr>
                <w:rFonts w:ascii="Verdana" w:eastAsia="Calibri" w:hAnsi="Verdana" w:cs="Arial"/>
                <w:kern w:val="2"/>
                <w:sz w:val="20"/>
                <w:szCs w:val="20"/>
                <w:lang w:val="es-MX" w:eastAsia="es-ES"/>
                <w14:ligatures w14:val="standardContextual"/>
              </w:rPr>
              <w:t>XXXX</w:t>
            </w:r>
          </w:p>
        </w:tc>
      </w:tr>
    </w:tbl>
    <w:p w14:paraId="3FE78F8D" w14:textId="77777777" w:rsidR="002B6154" w:rsidRPr="002B6154" w:rsidRDefault="002B6154" w:rsidP="002B6154">
      <w:pPr>
        <w:spacing w:after="0" w:line="240" w:lineRule="auto"/>
        <w:ind w:left="709" w:right="709"/>
        <w:jc w:val="center"/>
        <w:rPr>
          <w:rFonts w:ascii="Verdana" w:eastAsia="Calibri" w:hAnsi="Verdana" w:cs="Arial"/>
          <w:kern w:val="2"/>
          <w:sz w:val="20"/>
          <w:szCs w:val="20"/>
          <w:highlight w:val="lightGray"/>
          <w:lang w:val="es-MX" w:eastAsia="es-ES"/>
          <w14:ligatures w14:val="standardContextual"/>
        </w:rPr>
      </w:pPr>
    </w:p>
    <w:p w14:paraId="317AF050" w14:textId="77777777" w:rsidR="002B6154" w:rsidRPr="002B6154" w:rsidRDefault="002B6154" w:rsidP="002B6154">
      <w:pPr>
        <w:spacing w:line="240" w:lineRule="auto"/>
        <w:ind w:left="709" w:right="709"/>
        <w:jc w:val="both"/>
        <w:rPr>
          <w:rFonts w:ascii="Verdana" w:eastAsia="Aptos" w:hAnsi="Verdana" w:cs="Times New Roman"/>
          <w:kern w:val="2"/>
          <w:sz w:val="20"/>
          <w:szCs w:val="20"/>
          <w:highlight w:val="lightGray"/>
          <w:lang w:val="es-MX"/>
          <w14:ligatures w14:val="standardContextual"/>
        </w:rPr>
      </w:pPr>
      <w:r w:rsidRPr="002B6154">
        <w:rPr>
          <w:rFonts w:ascii="Verdana" w:eastAsia="Aptos" w:hAnsi="Verdana" w:cs="Times New Roman"/>
          <w:kern w:val="2"/>
          <w:sz w:val="20"/>
          <w:szCs w:val="20"/>
          <w:highlight w:val="lightGray"/>
          <w:lang w:val="es-MX"/>
          <w14:ligatures w14:val="standardContextual"/>
        </w:rPr>
        <w:t>[La Entidad deberá diligenciar el cuadro y exigir los contratos identificados con el Clasificador de Bienes y Servicios bajo el segmento respectivo y hasta el tercer nivel que sean concordantes con el objeto principal del objeto a ejecutar]</w:t>
      </w:r>
    </w:p>
    <w:p w14:paraId="5461E99B" w14:textId="77777777" w:rsidR="002B6154" w:rsidRPr="002B6154" w:rsidRDefault="002B6154" w:rsidP="002B6154">
      <w:pPr>
        <w:spacing w:line="240" w:lineRule="auto"/>
        <w:ind w:left="709" w:right="709"/>
        <w:jc w:val="both"/>
        <w:rPr>
          <w:rFonts w:ascii="Verdana" w:eastAsia="Aptos" w:hAnsi="Verdana" w:cs="Times New Roman"/>
          <w:kern w:val="2"/>
          <w:sz w:val="20"/>
          <w:szCs w:val="20"/>
          <w:highlight w:val="lightGray"/>
          <w:lang w:val="es-MX"/>
          <w14:ligatures w14:val="standardContextual"/>
        </w:rPr>
      </w:pPr>
      <w:r w:rsidRPr="002B6154">
        <w:rPr>
          <w:rFonts w:ascii="Verdana" w:eastAsia="Aptos" w:hAnsi="Verdana" w:cs="Times New Roman"/>
          <w:kern w:val="2"/>
          <w:sz w:val="20"/>
          <w:szCs w:val="20"/>
          <w:highlight w:val="lightGray"/>
          <w:lang w:val="es-MX"/>
          <w14:ligatures w14:val="standardContextual"/>
        </w:rPr>
        <w:t>[En caso de que el proceso de contratación esté relacionado con las actividades de “terrenos, edificios o estructuras” previstas en la “Matriz 1- Experiencia”, también se podrá incluir el segmento 95]</w:t>
      </w:r>
    </w:p>
    <w:p w14:paraId="4B4BB028" w14:textId="77777777" w:rsidR="002B6154" w:rsidRPr="002B6154" w:rsidRDefault="002B6154" w:rsidP="002B6154">
      <w:pPr>
        <w:spacing w:after="0" w:line="240" w:lineRule="auto"/>
        <w:ind w:left="709" w:right="709"/>
        <w:jc w:val="both"/>
        <w:rPr>
          <w:rFonts w:ascii="Verdana" w:eastAsia="Aptos" w:hAnsi="Verdana" w:cs="Times New Roman"/>
          <w:kern w:val="2"/>
          <w:sz w:val="20"/>
          <w:szCs w:val="20"/>
          <w:highlight w:val="lightGray"/>
          <w:lang w:val="es-MX"/>
          <w14:ligatures w14:val="standardContextual"/>
        </w:rPr>
      </w:pPr>
      <w:r w:rsidRPr="002B6154">
        <w:rPr>
          <w:rFonts w:ascii="Verdana" w:eastAsia="Aptos" w:hAnsi="Verdana" w:cs="Times New Roman"/>
          <w:kern w:val="2"/>
          <w:sz w:val="20"/>
          <w:szCs w:val="20"/>
          <w:highlight w:val="lightGray"/>
          <w:lang w:val="es-MX"/>
          <w14:ligatures w14:val="standardContextual"/>
        </w:rPr>
        <w:t xml:space="preserve">(…)”. </w:t>
      </w:r>
    </w:p>
    <w:p w14:paraId="31B1C7FF" w14:textId="77777777" w:rsidR="002B6154" w:rsidRPr="002B6154" w:rsidRDefault="002B6154" w:rsidP="002B6154">
      <w:pPr>
        <w:shd w:val="clear" w:color="auto" w:fill="FFFFFF"/>
        <w:spacing w:after="0" w:line="276" w:lineRule="auto"/>
        <w:ind w:firstLine="709"/>
        <w:jc w:val="both"/>
        <w:textAlignment w:val="baseline"/>
        <w:rPr>
          <w:rFonts w:ascii="Verdana" w:eastAsia="Times New Roman" w:hAnsi="Verdana" w:cs="Arial"/>
          <w:kern w:val="2"/>
          <w:bdr w:val="none" w:sz="0" w:space="0" w:color="auto" w:frame="1"/>
          <w:lang w:val="es-MX" w:eastAsia="es-CO"/>
          <w14:ligatures w14:val="standardContextual"/>
        </w:rPr>
      </w:pPr>
    </w:p>
    <w:p w14:paraId="0C5256D5" w14:textId="77777777" w:rsidR="002B6154" w:rsidRPr="002B6154" w:rsidRDefault="002B6154" w:rsidP="002B6154">
      <w:pPr>
        <w:shd w:val="clear" w:color="auto" w:fill="FFFFFF"/>
        <w:spacing w:after="120" w:line="276" w:lineRule="auto"/>
        <w:ind w:firstLine="709"/>
        <w:jc w:val="both"/>
        <w:textAlignment w:val="baseline"/>
        <w:rPr>
          <w:rFonts w:ascii="Verdana" w:eastAsia="Times New Roman" w:hAnsi="Verdana" w:cs="Arial"/>
          <w:kern w:val="2"/>
          <w:lang w:val="es-MX" w:eastAsia="es-CO"/>
          <w14:ligatures w14:val="standardContextual"/>
        </w:rPr>
      </w:pPr>
      <w:r w:rsidRPr="002B6154">
        <w:rPr>
          <w:rFonts w:ascii="Verdana" w:eastAsia="Times New Roman" w:hAnsi="Verdana" w:cs="Arial"/>
          <w:kern w:val="2"/>
          <w:bdr w:val="none" w:sz="0" w:space="0" w:color="auto" w:frame="1"/>
          <w:lang w:val="es-MX" w:eastAsia="es-CO"/>
          <w14:ligatures w14:val="standardContextual"/>
        </w:rPr>
        <w:t xml:space="preserve">Ahora, considerando las distintas obras de infraestructura social incluidas en la “Matriz 1 – Experiencia” de cada subsector, el documento base dispuso que estas pueden estar asociadas a los segmentos 72, con exclusión de las actividades de terrenos, edificios o estructuras –segmento 95–. </w:t>
      </w:r>
    </w:p>
    <w:p w14:paraId="4DD9F103" w14:textId="77777777" w:rsidR="002B6154" w:rsidRPr="002B6154" w:rsidRDefault="002B6154" w:rsidP="002B6154">
      <w:pPr>
        <w:shd w:val="clear" w:color="auto" w:fill="FFFFFF"/>
        <w:spacing w:after="120" w:line="276" w:lineRule="auto"/>
        <w:jc w:val="both"/>
        <w:textAlignment w:val="baseline"/>
        <w:rPr>
          <w:rFonts w:ascii="Verdana" w:eastAsia="Times New Roman" w:hAnsi="Verdana" w:cs="Arial"/>
          <w:kern w:val="2"/>
          <w:bdr w:val="none" w:sz="0" w:space="0" w:color="auto" w:frame="1"/>
          <w:lang w:val="es-MX" w:eastAsia="es-CO"/>
          <w14:ligatures w14:val="standardContextual"/>
        </w:rPr>
      </w:pPr>
      <w:r w:rsidRPr="002B6154">
        <w:rPr>
          <w:rFonts w:ascii="Verdana" w:eastAsia="Times New Roman" w:hAnsi="Verdana" w:cs="Arial"/>
          <w:kern w:val="2"/>
          <w:bdr w:val="none" w:sz="0" w:space="0" w:color="auto" w:frame="1"/>
          <w:lang w:val="es-MX" w:eastAsia="es-CO"/>
          <w14:ligatures w14:val="standardContextual"/>
        </w:rPr>
        <w:t> </w:t>
      </w:r>
      <w:r w:rsidRPr="002B6154">
        <w:rPr>
          <w:rFonts w:ascii="Verdana" w:eastAsia="Times New Roman" w:hAnsi="Verdana" w:cs="Arial"/>
          <w:kern w:val="2"/>
          <w:bdr w:val="none" w:sz="0" w:space="0" w:color="auto" w:frame="1"/>
          <w:lang w:val="es-MX" w:eastAsia="es-CO"/>
          <w14:ligatures w14:val="standardContextual"/>
        </w:rPr>
        <w:tab/>
        <w:t xml:space="preserve">En virtud de esto, la entidad para obtener el o los códigos del Clasificador de Bienes y Servicios a los que se asocia su objeto contractual, debe subsumir el mismo en los distintos niveles del clasificador. Es decir, partiendo de los segmentos aludidos, para luego asociarlo a una familia, clase y un producto, combinando los dígitos de cada uno para obtener el correspondiente código. Conforme a esto, el segmento determina los primeros dos dígitos, la familia el tercer y cuarto, la clase el quinto y sexto, mientras que el producto los dígitos séptimo y octavo.  En todo caso, la entidad debe identificar el código hasta el tercer  primeros nivel. </w:t>
      </w:r>
    </w:p>
    <w:p w14:paraId="3CFFCC71" w14:textId="77777777" w:rsidR="002B6154" w:rsidRPr="002B6154" w:rsidRDefault="002B6154" w:rsidP="002B6154">
      <w:pPr>
        <w:spacing w:after="120" w:line="276" w:lineRule="auto"/>
        <w:jc w:val="both"/>
        <w:rPr>
          <w:rFonts w:ascii="Verdana" w:eastAsia="Times New Roman" w:hAnsi="Verdana" w:cs="Arial"/>
          <w:kern w:val="2"/>
          <w:bdr w:val="none" w:sz="0" w:space="0" w:color="auto" w:frame="1"/>
          <w:lang w:val="es-MX" w:eastAsia="es-CO"/>
          <w14:ligatures w14:val="standardContextual"/>
        </w:rPr>
      </w:pPr>
      <w:r w:rsidRPr="002B6154">
        <w:rPr>
          <w:rFonts w:ascii="Verdana" w:eastAsia="Times New Roman" w:hAnsi="Verdana" w:cs="Arial"/>
          <w:kern w:val="2"/>
          <w:bdr w:val="none" w:sz="0" w:space="0" w:color="auto" w:frame="1"/>
          <w:lang w:val="es-MX" w:eastAsia="es-CO"/>
          <w14:ligatures w14:val="standardContextual"/>
        </w:rPr>
        <w:tab/>
        <w:t>Conforme con lo anterior, y teniendo en cuenta que una de als preguntas formuladas en su solicitud está orientada a determinar ¿cuáles son los códigos UNSPSC que podrían ser exigidos en un proceso de contratación cuyo objeto consiste en la construcción y ampliación de salones comunales? La Agencia Nacional de Contratación Pública – Colombia Compra Eficiente le informa que las competencias atribuidas por el ordenamiento jurídico no le permiten pronunciarse sobre situaciones particulares y concretas ni definir aspectos específicos de los procesos de contratación que adelantan las entidades, así estas utilicen los documentos tipo implementados por esta Agencia.</w:t>
      </w:r>
    </w:p>
    <w:p w14:paraId="3C52E869" w14:textId="77777777" w:rsidR="002B6154" w:rsidRPr="002B6154" w:rsidRDefault="002B6154" w:rsidP="002B6154">
      <w:pPr>
        <w:spacing w:after="120" w:line="276" w:lineRule="auto"/>
        <w:jc w:val="both"/>
        <w:rPr>
          <w:rFonts w:ascii="Verdana" w:eastAsia="Times New Roman" w:hAnsi="Verdana" w:cs="Arial"/>
          <w:kern w:val="2"/>
          <w:bdr w:val="none" w:sz="0" w:space="0" w:color="auto" w:frame="1"/>
          <w:lang w:val="es-MX" w:eastAsia="es-CO"/>
          <w14:ligatures w14:val="standardContextual"/>
        </w:rPr>
      </w:pPr>
      <w:r w:rsidRPr="002B6154">
        <w:rPr>
          <w:rFonts w:ascii="Verdana" w:eastAsia="Times New Roman" w:hAnsi="Verdana" w:cs="Arial"/>
          <w:kern w:val="2"/>
          <w:bdr w:val="none" w:sz="0" w:space="0" w:color="auto" w:frame="1"/>
          <w:lang w:val="es-MX" w:eastAsia="es-CO"/>
          <w14:ligatures w14:val="standardContextual"/>
        </w:rPr>
        <w:lastRenderedPageBreak/>
        <w:tab/>
        <w:t>No obstante, de manera general y con carácter orientador, la entidad que adelanta el proceso de selección para la construcción y/o ampliación de salones comunales con los documentos tipo de obra pública de infraestructura social expedidos por esta Agencia, podría considerar utilizar los códigos UNPSC relacionados con actividades de construcción de edificaciones e infraestructura, tales como: i) el Código UNSPSC 72121400 – Clase: Servicios de construcción de edificios públicos especializados; ii) el Código UNSPSC 72101500 – Clase: Servicios de apoyo para la construcción; o iii) el Código UNSPSC 72101507 – Producto: Servicio de mantenimiento de edificios, entre otros que eventualmente puedan guardar relación con el objeto contractual.</w:t>
      </w:r>
    </w:p>
    <w:p w14:paraId="53AAEA6C" w14:textId="77777777" w:rsidR="002B6154" w:rsidRPr="002B6154" w:rsidRDefault="002B6154" w:rsidP="002B6154">
      <w:pPr>
        <w:spacing w:after="0" w:line="276" w:lineRule="auto"/>
        <w:jc w:val="both"/>
        <w:rPr>
          <w:rFonts w:ascii="Verdana" w:eastAsia="Times New Roman" w:hAnsi="Verdana" w:cs="Arial"/>
          <w:kern w:val="2"/>
          <w:bdr w:val="none" w:sz="0" w:space="0" w:color="auto" w:frame="1"/>
          <w:lang w:val="es-MX" w:eastAsia="es-CO"/>
          <w14:ligatures w14:val="standardContextual"/>
        </w:rPr>
      </w:pPr>
      <w:r w:rsidRPr="002B6154">
        <w:rPr>
          <w:rFonts w:ascii="Verdana" w:eastAsia="Times New Roman" w:hAnsi="Verdana" w:cs="Arial"/>
          <w:kern w:val="2"/>
          <w:bdr w:val="none" w:sz="0" w:space="0" w:color="auto" w:frame="1"/>
          <w:lang w:val="es-MX" w:eastAsia="es-CO"/>
          <w14:ligatures w14:val="standardContextual"/>
        </w:rPr>
        <w:tab/>
        <w:t>Sin perjuicio de lo anterior, la determinación de los códigos UNSPSC aplicables corresponde exclusivamente a la entidad estatal, en atención a que es esta la que cuenta con el conocimiento integral del proyecto, de sus especificaciones técnicas y del alcance de las actividades que pretende contratar, En este sentio, la entidad deberá tener en cuenta las orientaciones dadas en este punto sobre el alcance del nuneral 1.4 y 3.5.3 del documento base de los documentos tipo de licitación de obra pública de infraesturctura social, y deberá verificar que los códigos seleccionados reflejn adecuadamente el objeto contractual y permitan identificar la experiencia requerida para su ejecución.</w:t>
      </w:r>
    </w:p>
    <w:p w14:paraId="5EF008C0" w14:textId="77777777" w:rsidR="002B6154" w:rsidRPr="002B6154" w:rsidRDefault="002B6154" w:rsidP="002B6154">
      <w:pPr>
        <w:spacing w:after="0" w:line="240" w:lineRule="auto"/>
        <w:jc w:val="both"/>
        <w:rPr>
          <w:rFonts w:ascii="Verdana" w:eastAsia="Calibri" w:hAnsi="Verdana" w:cs="Arial"/>
          <w:kern w:val="2"/>
          <w:sz w:val="20"/>
          <w:szCs w:val="20"/>
          <w:lang w:val="es-ES"/>
          <w14:ligatures w14:val="standardContextual"/>
        </w:rPr>
      </w:pPr>
    </w:p>
    <w:p w14:paraId="398C8D96" w14:textId="77777777" w:rsidR="002B6154" w:rsidRPr="002B6154" w:rsidRDefault="002B6154" w:rsidP="002B6154">
      <w:pPr>
        <w:snapToGrid w:val="0"/>
        <w:spacing w:after="120" w:line="276" w:lineRule="auto"/>
        <w:jc w:val="both"/>
        <w:rPr>
          <w:rFonts w:ascii="Verdana" w:eastAsia="Calibri" w:hAnsi="Verdana" w:cs="Arial"/>
          <w:lang w:eastAsia="es-MX"/>
        </w:rPr>
      </w:pPr>
      <w:proofErr w:type="spellStart"/>
      <w:r w:rsidRPr="002B6154">
        <w:rPr>
          <w:rFonts w:ascii="Verdana" w:eastAsia="Calibri" w:hAnsi="Verdana" w:cs="Arial"/>
          <w:lang w:val="es-ES" w:eastAsia="es-MX"/>
        </w:rPr>
        <w:t>iv</w:t>
      </w:r>
      <w:proofErr w:type="spellEnd"/>
      <w:r w:rsidRPr="002B6154">
        <w:rPr>
          <w:rFonts w:ascii="Verdana" w:eastAsia="Calibri" w:hAnsi="Verdana" w:cs="Arial"/>
          <w:lang w:val="es-ES" w:eastAsia="es-MX"/>
        </w:rPr>
        <w:t xml:space="preserve">. </w:t>
      </w:r>
      <w:r w:rsidRPr="002B6154">
        <w:rPr>
          <w:rFonts w:ascii="Verdana" w:eastAsia="Calibri" w:hAnsi="Verdana" w:cs="Arial"/>
          <w:lang w:eastAsia="es-MX"/>
        </w:rPr>
        <w:t>Finalmente, debe advertirse que, el análisis requerido para resolver problemas específicos en torno a la contratación de las entidades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6020732E" w14:textId="77777777" w:rsidR="002B6154" w:rsidRPr="002B6154" w:rsidRDefault="002B6154" w:rsidP="002B6154">
      <w:pPr>
        <w:snapToGrid w:val="0"/>
        <w:spacing w:after="0" w:line="276" w:lineRule="auto"/>
        <w:ind w:firstLine="708"/>
        <w:jc w:val="both"/>
        <w:rPr>
          <w:rFonts w:ascii="Verdana" w:eastAsia="Calibri" w:hAnsi="Verdana" w:cs="Arial"/>
          <w:lang w:eastAsia="es-MX"/>
        </w:rPr>
      </w:pPr>
      <w:r w:rsidRPr="002B6154">
        <w:rPr>
          <w:rFonts w:ascii="Verdana" w:eastAsia="Calibri" w:hAnsi="Verdana" w:cs="Arial"/>
          <w:lang w:eastAsia="es-MX"/>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w:t>
      </w:r>
      <w:r w:rsidRPr="002B6154">
        <w:rPr>
          <w:rFonts w:ascii="Verdana" w:eastAsia="Calibri" w:hAnsi="Verdana" w:cs="Arial"/>
          <w:lang w:eastAsia="es-MX"/>
        </w:rPr>
        <w:lastRenderedPageBreak/>
        <w:t xml:space="preserve">gestión contractual, sin que sea atribución de Colombia Compra Eficiente validar sus actuaciones. </w:t>
      </w:r>
    </w:p>
    <w:p w14:paraId="57EF94AF" w14:textId="77777777" w:rsidR="002B6154" w:rsidRPr="002B6154" w:rsidRDefault="002B6154" w:rsidP="002B6154">
      <w:pPr>
        <w:snapToGrid w:val="0"/>
        <w:spacing w:after="0" w:line="276" w:lineRule="auto"/>
        <w:jc w:val="both"/>
        <w:rPr>
          <w:rFonts w:ascii="Verdana" w:eastAsia="Calibri" w:hAnsi="Verdana" w:cs="Arial"/>
          <w:lang w:val="es-ES_tradnl" w:eastAsia="es-MX"/>
        </w:rPr>
      </w:pPr>
    </w:p>
    <w:p w14:paraId="1D27E9C6" w14:textId="77777777" w:rsidR="002B6154" w:rsidRPr="002B6154" w:rsidRDefault="002B6154" w:rsidP="002B615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eastAsia="es-MX"/>
        </w:rPr>
      </w:pPr>
      <w:r w:rsidRPr="002B6154">
        <w:rPr>
          <w:rFonts w:ascii="Verdana" w:eastAsia="Century Gothic" w:hAnsi="Verdana" w:cs="Century Gothic"/>
          <w:b/>
          <w:bCs/>
          <w:lang w:val="es-ES_tradnl" w:eastAsia="es-MX"/>
        </w:rPr>
        <w:t>Referencias normativas, jurisprudenciales y otras fuentes:</w:t>
      </w:r>
    </w:p>
    <w:p w14:paraId="1F400F7F" w14:textId="77777777" w:rsidR="002B6154" w:rsidRPr="002B6154" w:rsidRDefault="002B6154" w:rsidP="002B6154">
      <w:pPr>
        <w:widowControl w:val="0"/>
        <w:autoSpaceDE w:val="0"/>
        <w:autoSpaceDN w:val="0"/>
        <w:snapToGrid w:val="0"/>
        <w:spacing w:after="0" w:line="276" w:lineRule="auto"/>
        <w:jc w:val="both"/>
        <w:rPr>
          <w:rFonts w:ascii="Verdana" w:eastAsia="Calibri" w:hAnsi="Verdana" w:cs="Arial"/>
          <w:lang w:val="es-ES_tradnl" w:eastAsia="es-MX"/>
        </w:rPr>
      </w:pPr>
    </w:p>
    <w:tbl>
      <w:tblPr>
        <w:tblStyle w:val="Tablaconcuadrcula1"/>
        <w:tblW w:w="8647" w:type="dxa"/>
        <w:tblInd w:w="13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8647"/>
      </w:tblGrid>
      <w:tr w:rsidR="002B6154" w:rsidRPr="002B6154" w14:paraId="7EF18154" w14:textId="77777777" w:rsidTr="00A46F1D">
        <w:trPr>
          <w:trHeight w:val="870"/>
        </w:trPr>
        <w:tc>
          <w:tcPr>
            <w:tcW w:w="8647" w:type="dxa"/>
          </w:tcPr>
          <w:p w14:paraId="779F484F" w14:textId="77777777" w:rsidR="002B6154" w:rsidRPr="00AC7F38" w:rsidRDefault="002B6154" w:rsidP="002B6154">
            <w:pPr>
              <w:widowControl w:val="0"/>
              <w:numPr>
                <w:ilvl w:val="0"/>
                <w:numId w:val="17"/>
              </w:numPr>
              <w:autoSpaceDE w:val="0"/>
              <w:autoSpaceDN w:val="0"/>
              <w:snapToGrid w:val="0"/>
              <w:spacing w:after="120" w:line="276" w:lineRule="auto"/>
              <w:ind w:left="714" w:hanging="357"/>
              <w:jc w:val="both"/>
              <w:rPr>
                <w:rFonts w:ascii="Verdana" w:eastAsia="Calibri" w:hAnsi="Verdana" w:cs="Arial"/>
                <w:sz w:val="22"/>
                <w:szCs w:val="22"/>
                <w:lang w:val="es-ES_tradnl" w:eastAsia="es-MX"/>
              </w:rPr>
            </w:pPr>
            <w:r w:rsidRPr="00AC7F38">
              <w:rPr>
                <w:rFonts w:ascii="Verdana" w:eastAsia="MS Mincho" w:hAnsi="Verdana" w:cs="Arial"/>
                <w:sz w:val="22"/>
                <w:szCs w:val="22"/>
                <w:lang w:eastAsia="es-CO"/>
              </w:rPr>
              <w:t>Ley 1150 de 2007: artículo 6</w:t>
            </w:r>
          </w:p>
          <w:p w14:paraId="34A60259" w14:textId="77777777" w:rsidR="002B6154" w:rsidRPr="00AC7F38" w:rsidRDefault="002B6154" w:rsidP="002B6154">
            <w:pPr>
              <w:widowControl w:val="0"/>
              <w:numPr>
                <w:ilvl w:val="0"/>
                <w:numId w:val="17"/>
              </w:numPr>
              <w:autoSpaceDE w:val="0"/>
              <w:autoSpaceDN w:val="0"/>
              <w:snapToGrid w:val="0"/>
              <w:spacing w:after="120" w:line="276" w:lineRule="auto"/>
              <w:ind w:left="714" w:hanging="357"/>
              <w:jc w:val="both"/>
              <w:rPr>
                <w:rFonts w:ascii="Verdana" w:eastAsia="Calibri" w:hAnsi="Verdana" w:cs="Arial"/>
                <w:sz w:val="22"/>
                <w:szCs w:val="22"/>
                <w:lang w:val="es-ES_tradnl" w:eastAsia="es-MX"/>
              </w:rPr>
            </w:pPr>
            <w:r w:rsidRPr="00AC7F38">
              <w:rPr>
                <w:rFonts w:ascii="Verdana" w:eastAsia="Times New Roman" w:hAnsi="Verdana" w:cs="Arial"/>
                <w:sz w:val="22"/>
                <w:szCs w:val="22"/>
                <w:bdr w:val="none" w:sz="0" w:space="0" w:color="auto" w:frame="1"/>
                <w:lang w:val="es-MX" w:eastAsia="es-CO"/>
              </w:rPr>
              <w:t xml:space="preserve">Decreto 1082 de 2015: artículo 2.2.1.1.1.3.1, artículo </w:t>
            </w:r>
            <w:r w:rsidRPr="00AC7F38">
              <w:rPr>
                <w:rFonts w:ascii="Verdana" w:eastAsia="Times New Roman" w:hAnsi="Verdana" w:cs="Arial"/>
                <w:sz w:val="22"/>
                <w:szCs w:val="22"/>
                <w:bdr w:val="none" w:sz="0" w:space="0" w:color="auto" w:frame="1"/>
                <w:lang w:eastAsia="es-CO"/>
              </w:rPr>
              <w:t xml:space="preserve">2.2.1.1.1.4.1, artículo </w:t>
            </w:r>
            <w:r w:rsidRPr="00AC7F38">
              <w:rPr>
                <w:rFonts w:ascii="Verdana" w:eastAsia="MS Mincho" w:hAnsi="Verdana" w:cs="Arial"/>
                <w:sz w:val="22"/>
                <w:szCs w:val="22"/>
                <w:lang w:eastAsia="es-CO"/>
              </w:rPr>
              <w:t>2.2.1.1.1.5.2</w:t>
            </w:r>
          </w:p>
          <w:p w14:paraId="5FB4EFB7" w14:textId="77777777" w:rsidR="002B6154" w:rsidRPr="00AC7F38" w:rsidRDefault="002B6154" w:rsidP="002B6154">
            <w:pPr>
              <w:widowControl w:val="0"/>
              <w:numPr>
                <w:ilvl w:val="0"/>
                <w:numId w:val="17"/>
              </w:numPr>
              <w:autoSpaceDE w:val="0"/>
              <w:autoSpaceDN w:val="0"/>
              <w:snapToGrid w:val="0"/>
              <w:spacing w:after="120" w:line="276" w:lineRule="auto"/>
              <w:ind w:left="714" w:hanging="357"/>
              <w:jc w:val="both"/>
              <w:rPr>
                <w:rFonts w:ascii="Verdana" w:eastAsia="Calibri" w:hAnsi="Verdana" w:cs="Arial"/>
                <w:sz w:val="22"/>
                <w:szCs w:val="22"/>
                <w:lang w:val="es-ES_tradnl" w:eastAsia="es-MX"/>
              </w:rPr>
            </w:pPr>
            <w:r w:rsidRPr="00AC7F38">
              <w:rPr>
                <w:rFonts w:ascii="Verdana" w:eastAsia="Calibri" w:hAnsi="Verdana" w:cs="Arial"/>
                <w:sz w:val="22"/>
                <w:szCs w:val="22"/>
                <w:lang w:val="es-ES_tradnl" w:eastAsia="es-MX"/>
              </w:rPr>
              <w:t xml:space="preserve">Ley 2022 de 2020, artículo 1. </w:t>
            </w:r>
          </w:p>
          <w:p w14:paraId="3B5D2216" w14:textId="77777777" w:rsidR="002B6154" w:rsidRPr="002B6154" w:rsidRDefault="002B6154" w:rsidP="002B6154">
            <w:pPr>
              <w:widowControl w:val="0"/>
              <w:numPr>
                <w:ilvl w:val="0"/>
                <w:numId w:val="17"/>
              </w:numPr>
              <w:autoSpaceDE w:val="0"/>
              <w:autoSpaceDN w:val="0"/>
              <w:snapToGrid w:val="0"/>
              <w:spacing w:line="276" w:lineRule="auto"/>
              <w:ind w:left="714" w:hanging="357"/>
              <w:jc w:val="both"/>
              <w:rPr>
                <w:rFonts w:ascii="Verdana" w:eastAsia="Calibri" w:hAnsi="Verdana" w:cs="Arial"/>
                <w:lang w:val="es-ES_tradnl" w:eastAsia="es-MX"/>
              </w:rPr>
            </w:pPr>
            <w:r w:rsidRPr="002B6154">
              <w:rPr>
                <w:rFonts w:ascii="Verdana" w:eastAsia="Calibri" w:hAnsi="Verdana" w:cs="Arial"/>
                <w:lang w:val="es-ES_tradnl" w:eastAsia="es-MX"/>
              </w:rPr>
              <w:t xml:space="preserve">Documentos Tipo Disponibles en: </w:t>
            </w:r>
            <w:hyperlink r:id="rId15" w:history="1">
              <w:r w:rsidRPr="002B6154">
                <w:rPr>
                  <w:rFonts w:ascii="Verdana" w:eastAsia="Calibri" w:hAnsi="Verdana" w:cs="Arial"/>
                  <w:color w:val="0000FF"/>
                  <w:u w:val="single"/>
                  <w:lang w:val="es-ES_tradnl" w:eastAsia="es-MX"/>
                </w:rPr>
                <w:t>https://www.colombiacompra.gov.co/normativa-y-relatoria/documentos-tipo</w:t>
              </w:r>
            </w:hyperlink>
            <w:r w:rsidRPr="002B6154">
              <w:rPr>
                <w:rFonts w:ascii="Verdana" w:eastAsia="Calibri" w:hAnsi="Verdana" w:cs="Arial"/>
                <w:lang w:val="es-ES_tradnl" w:eastAsia="es-MX"/>
              </w:rPr>
              <w:t xml:space="preserve">. </w:t>
            </w:r>
          </w:p>
        </w:tc>
      </w:tr>
    </w:tbl>
    <w:p w14:paraId="11FB5D78" w14:textId="77777777" w:rsidR="002B6154" w:rsidRPr="002B6154" w:rsidRDefault="002B6154" w:rsidP="002B6154">
      <w:pPr>
        <w:widowControl w:val="0"/>
        <w:autoSpaceDE w:val="0"/>
        <w:autoSpaceDN w:val="0"/>
        <w:snapToGrid w:val="0"/>
        <w:spacing w:after="0" w:line="276" w:lineRule="auto"/>
        <w:jc w:val="both"/>
        <w:rPr>
          <w:rFonts w:ascii="Verdana" w:eastAsia="Calibri" w:hAnsi="Verdana" w:cs="Arial"/>
          <w:lang w:val="es-ES_tradnl" w:eastAsia="es-MX"/>
        </w:rPr>
      </w:pPr>
    </w:p>
    <w:p w14:paraId="733D71EC" w14:textId="77777777" w:rsidR="002B6154" w:rsidRPr="002B6154" w:rsidRDefault="002B6154" w:rsidP="002B615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eastAsia="es-MX"/>
        </w:rPr>
      </w:pPr>
      <w:r w:rsidRPr="002B6154">
        <w:rPr>
          <w:rFonts w:ascii="Verdana" w:eastAsia="Century Gothic" w:hAnsi="Verdana" w:cs="Century Gothic"/>
          <w:b/>
          <w:bCs/>
          <w:lang w:val="es-ES_tradnl" w:eastAsia="es-MX"/>
        </w:rPr>
        <w:t>Doctrina de la Agencia Nacional de Contratación Pública:</w:t>
      </w:r>
    </w:p>
    <w:p w14:paraId="174866D2" w14:textId="77777777" w:rsidR="002B6154" w:rsidRPr="002B6154" w:rsidRDefault="002B6154" w:rsidP="002B6154">
      <w:pPr>
        <w:widowControl w:val="0"/>
        <w:autoSpaceDE w:val="0"/>
        <w:autoSpaceDN w:val="0"/>
        <w:snapToGrid w:val="0"/>
        <w:spacing w:after="0" w:line="276" w:lineRule="auto"/>
        <w:jc w:val="both"/>
        <w:rPr>
          <w:rFonts w:ascii="Verdana" w:eastAsia="Calibri" w:hAnsi="Verdana" w:cs="Arial"/>
          <w:lang w:val="es-ES_tradnl" w:eastAsia="es-MX"/>
        </w:rPr>
      </w:pPr>
    </w:p>
    <w:p w14:paraId="4F9D31F9" w14:textId="77777777" w:rsidR="002B6154" w:rsidRPr="002B6154" w:rsidRDefault="002B6154" w:rsidP="002B6154">
      <w:pPr>
        <w:spacing w:after="0" w:line="276" w:lineRule="auto"/>
        <w:jc w:val="both"/>
        <w:rPr>
          <w:rFonts w:ascii="Verdana" w:eastAsia="Calibri" w:hAnsi="Verdana" w:cs="Arial"/>
          <w:shd w:val="clear" w:color="auto" w:fill="FFFFFF"/>
          <w:lang w:val="es-ES" w:eastAsia="es-MX"/>
        </w:rPr>
      </w:pPr>
      <w:r w:rsidRPr="002B6154">
        <w:rPr>
          <w:rFonts w:ascii="Verdana" w:eastAsia="Calibri" w:hAnsi="Verdana" w:cs="Arial"/>
          <w:shd w:val="clear" w:color="auto" w:fill="FFFFFF"/>
          <w:lang w:val="es-ES" w:eastAsia="es-MX"/>
        </w:rPr>
        <w:t>La Agencia Nacional de Contratación Pública – Colombia Compra Eficiente se pronunció</w:t>
      </w:r>
      <w:r w:rsidRPr="002B6154">
        <w:rPr>
          <w:rFonts w:ascii="Verdana" w:eastAsia="Calibri" w:hAnsi="Verdana" w:cs="Times New Roman"/>
          <w:lang w:eastAsia="es-MX"/>
        </w:rPr>
        <w:t xml:space="preserve"> </w:t>
      </w:r>
      <w:r w:rsidRPr="002B6154">
        <w:rPr>
          <w:rFonts w:ascii="Verdana" w:eastAsia="Calibri" w:hAnsi="Verdana" w:cs="Arial"/>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2B6154">
        <w:rPr>
          <w:rFonts w:ascii="Verdana" w:eastAsia="Calibri" w:hAnsi="Verdana" w:cs="Arial"/>
          <w:shd w:val="clear" w:color="auto" w:fill="FFFFFF"/>
          <w:lang w:val="es-ES" w:eastAsia="es-MX"/>
        </w:rPr>
        <w:tab/>
        <w:t xml:space="preserve">C-636 del 1 de noviembre de 2024, C-777 del 9 de diciembre de 2024, C-971 del 21 de enero de 2025 y C-1813 del 31 de diciembre de 2025, entre otros. Concretamente, sobre los documentos tipo del sector institucional, esta Agencia se pronunció en los conceptos C-258 del 19 de marzo de 2026, C-385 del 15 de abril, C-392 del 20 de abril de 2026, C-583 del 8 de mayo de 2026 y C-682 del 22 de mayo de 2026. </w:t>
      </w:r>
    </w:p>
    <w:p w14:paraId="5C92F353" w14:textId="77777777" w:rsidR="002B6154" w:rsidRPr="002B6154" w:rsidRDefault="002B6154" w:rsidP="002B6154">
      <w:pPr>
        <w:spacing w:after="0" w:line="276" w:lineRule="auto"/>
        <w:jc w:val="both"/>
        <w:rPr>
          <w:rFonts w:ascii="Verdana" w:eastAsia="Calibri" w:hAnsi="Verdana" w:cs="Arial"/>
          <w:shd w:val="clear" w:color="auto" w:fill="FFFFFF"/>
          <w:lang w:val="es-ES" w:eastAsia="es-MX"/>
        </w:rPr>
      </w:pPr>
    </w:p>
    <w:p w14:paraId="0C8D9724" w14:textId="77777777" w:rsidR="002B6154" w:rsidRPr="002B6154" w:rsidRDefault="002B6154" w:rsidP="002B6154">
      <w:pPr>
        <w:widowControl w:val="0"/>
        <w:autoSpaceDE w:val="0"/>
        <w:autoSpaceDN w:val="0"/>
        <w:snapToGrid w:val="0"/>
        <w:spacing w:after="0" w:line="276" w:lineRule="auto"/>
        <w:jc w:val="both"/>
        <w:rPr>
          <w:rFonts w:ascii="Verdana" w:eastAsia="Times New Roman" w:hAnsi="Verdana" w:cs="Arial"/>
          <w:kern w:val="2"/>
          <w:shd w:val="clear" w:color="auto" w:fill="FFFFFF"/>
          <w:lang w:val="es-ES_tradnl"/>
          <w14:ligatures w14:val="standardContextual"/>
        </w:rPr>
      </w:pPr>
      <w:r w:rsidRPr="002B6154">
        <w:rPr>
          <w:rFonts w:ascii="Verdana" w:eastAsia="Century Gothic" w:hAnsi="Verdana" w:cs="Century Gothic"/>
          <w:kern w:val="2"/>
          <w:lang w:val="es-ES" w:eastAsia="es-ES_tradnl"/>
          <w14:ligatures w14:val="standardContextual"/>
        </w:rPr>
        <w:t>Particularmente, esta subdirección se pronunció sobre la aplicación de los documentos tipo del sector social para la construcción de salones comunales, entre otros, en los siguientes conceptos:</w:t>
      </w:r>
      <w:r w:rsidRPr="002B6154">
        <w:rPr>
          <w:rFonts w:ascii="Verdana" w:eastAsia="Times New Roman" w:hAnsi="Verdana" w:cs="Arial"/>
          <w:kern w:val="2"/>
          <w:shd w:val="clear" w:color="auto" w:fill="FFFFFF"/>
          <w:lang w:val="es-ES_tradnl"/>
          <w14:ligatures w14:val="standardContextual"/>
        </w:rPr>
        <w:t xml:space="preserve">C-1399 del 6 de noviembre de 2025 y C-521 del 12 de mayo de 2025. </w:t>
      </w:r>
    </w:p>
    <w:p w14:paraId="2EEBE758" w14:textId="77777777" w:rsidR="002B6154" w:rsidRPr="002B6154" w:rsidRDefault="002B6154" w:rsidP="002B6154">
      <w:pPr>
        <w:widowControl w:val="0"/>
        <w:autoSpaceDE w:val="0"/>
        <w:autoSpaceDN w:val="0"/>
        <w:snapToGrid w:val="0"/>
        <w:spacing w:after="0" w:line="276" w:lineRule="auto"/>
        <w:jc w:val="both"/>
        <w:rPr>
          <w:rFonts w:ascii="Verdana" w:eastAsia="Calibri" w:hAnsi="Verdana" w:cs="Arial"/>
          <w:shd w:val="clear" w:color="auto" w:fill="FFFFFF"/>
          <w:lang w:val="es-ES_tradnl" w:eastAsia="es-MX"/>
        </w:rPr>
      </w:pPr>
    </w:p>
    <w:p w14:paraId="2B16D557" w14:textId="77777777" w:rsidR="002B6154" w:rsidRPr="002B6154" w:rsidRDefault="002B6154" w:rsidP="002B6154">
      <w:pPr>
        <w:widowControl w:val="0"/>
        <w:autoSpaceDE w:val="0"/>
        <w:autoSpaceDN w:val="0"/>
        <w:spacing w:after="0" w:line="276" w:lineRule="auto"/>
        <w:jc w:val="both"/>
        <w:rPr>
          <w:rFonts w:ascii="Verdana" w:eastAsia="Times New Roman" w:hAnsi="Verdana" w:cs="Arial"/>
          <w:shd w:val="clear" w:color="auto" w:fill="FFFFFF"/>
          <w:lang w:val="es-ES" w:eastAsia="es-MX"/>
        </w:rPr>
      </w:pPr>
      <w:r w:rsidRPr="002B6154">
        <w:rPr>
          <w:rFonts w:ascii="Verdana" w:eastAsia="Times New Roman" w:hAnsi="Verdana" w:cs="Arial"/>
          <w:shd w:val="clear" w:color="auto" w:fill="FFFFFF"/>
          <w:lang w:val="es-ES" w:eastAsia="es-MX"/>
        </w:rPr>
        <w:t xml:space="preserve">Estos y otros conceptos se encuentran disponibles para consulta en el Sistema </w:t>
      </w:r>
      <w:r w:rsidRPr="002B6154">
        <w:rPr>
          <w:rFonts w:ascii="Verdana" w:eastAsia="Times New Roman" w:hAnsi="Verdana" w:cs="Arial"/>
          <w:shd w:val="clear" w:color="auto" w:fill="FFFFFF"/>
          <w:lang w:val="es-ES" w:eastAsia="es-MX"/>
        </w:rPr>
        <w:lastRenderedPageBreak/>
        <w:t>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6" w:tgtFrame="_blank" w:tooltip="Dirección URL original: https://relatoria.colombiacompra.gov.co/. Haga clic o pulse si confía en este vínculo." w:history="1">
        <w:r w:rsidRPr="002B6154">
          <w:rPr>
            <w:rFonts w:ascii="Verdana" w:eastAsia="Calibri" w:hAnsi="Verdana" w:cs="Arial"/>
            <w:color w:val="0000FF"/>
            <w:u w:val="single"/>
            <w:shd w:val="clear" w:color="auto" w:fill="FFFFFF"/>
            <w:lang w:eastAsia="es-MX"/>
          </w:rPr>
          <w:t>https://relatoria.colombiacompra.gov.co/</w:t>
        </w:r>
      </w:hyperlink>
      <w:r w:rsidRPr="002B6154">
        <w:rPr>
          <w:rFonts w:ascii="Verdana" w:eastAsia="Calibri" w:hAnsi="Verdana" w:cs="Arial"/>
          <w:color w:val="0000FF"/>
          <w:u w:val="single"/>
          <w:shd w:val="clear" w:color="auto" w:fill="FFFFFF"/>
          <w:lang w:eastAsia="es-MX"/>
        </w:rPr>
        <w:t> .</w:t>
      </w:r>
    </w:p>
    <w:p w14:paraId="26033131" w14:textId="77777777" w:rsidR="002B6154" w:rsidRPr="002B6154" w:rsidRDefault="002B6154" w:rsidP="002B6154">
      <w:pPr>
        <w:spacing w:after="0" w:line="240" w:lineRule="auto"/>
        <w:jc w:val="both"/>
        <w:rPr>
          <w:rFonts w:ascii="Verdana" w:eastAsia="Calibri" w:hAnsi="Verdana" w:cs="Arial"/>
          <w:color w:val="000000"/>
          <w:shd w:val="clear" w:color="auto" w:fill="FFFFFF"/>
          <w:lang w:eastAsia="es-MX"/>
        </w:rPr>
      </w:pPr>
    </w:p>
    <w:p w14:paraId="6382DC52" w14:textId="77777777" w:rsidR="002B6154" w:rsidRPr="002B6154" w:rsidRDefault="002B6154" w:rsidP="002B6154">
      <w:pPr>
        <w:spacing w:after="0" w:line="276" w:lineRule="auto"/>
        <w:jc w:val="both"/>
        <w:rPr>
          <w:rFonts w:ascii="Verdana" w:eastAsia="Times New Roman" w:hAnsi="Verdana" w:cs="Arial"/>
          <w:lang w:eastAsia="es-MX"/>
        </w:rPr>
      </w:pPr>
      <w:r w:rsidRPr="002B6154">
        <w:rPr>
          <w:rFonts w:ascii="Verdana" w:eastAsia="Times New Roman" w:hAnsi="Verdana" w:cs="Arial"/>
          <w:lang w:eastAsia="es-MX"/>
        </w:rPr>
        <w:t xml:space="preserve">La sostenibilidad no es una opción, es una obligación. Por ello, la Agencia Nacional de Contratación Pública –Colombia Compra Eficiente– te invita a realizar el </w:t>
      </w:r>
      <w:r w:rsidRPr="002B6154">
        <w:rPr>
          <w:rFonts w:ascii="Verdana" w:eastAsia="Times New Roman" w:hAnsi="Verdana" w:cs="Arial"/>
          <w:b/>
          <w:bCs/>
          <w:lang w:eastAsia="es-MX"/>
        </w:rPr>
        <w:t>Curso de Contratación Pública Sostenible y Socialmente Responsable</w:t>
      </w:r>
      <w:r w:rsidRPr="002B6154">
        <w:rPr>
          <w:rFonts w:ascii="Verdana" w:eastAsia="Times New Roman" w:hAnsi="Verdana" w:cs="Arial"/>
          <w:lang w:eastAsia="es-MX"/>
        </w:rPr>
        <w:t>, una herramienta clave para fortalecer las capacidades de todos los compradores públicos, proveedores, servidores públicos y para generar mayor valor público. Accede al curso y aprende como implementar criterios sociales y ambientales en las diferentes etapas del proceso de contratación:</w:t>
      </w:r>
      <w:r w:rsidRPr="002B6154">
        <w:rPr>
          <w:rFonts w:ascii="Verdana" w:eastAsia="Times New Roman" w:hAnsi="Verdana" w:cs="Arial"/>
          <w:lang w:eastAsia="es-MX"/>
        </w:rPr>
        <w:br/>
      </w:r>
      <w:hyperlink r:id="rId17" w:tgtFrame="_new" w:history="1">
        <w:r w:rsidRPr="002B6154">
          <w:rPr>
            <w:rFonts w:ascii="Verdana" w:eastAsia="Times New Roman" w:hAnsi="Verdana" w:cs="Arial"/>
            <w:color w:val="0000FF"/>
            <w:u w:val="single"/>
            <w:lang w:eastAsia="es-MX"/>
          </w:rPr>
          <w:t>https://formacionvirtual.colombiacompra.gov.co/mod/page/view.php?id=3718</w:t>
        </w:r>
      </w:hyperlink>
    </w:p>
    <w:p w14:paraId="2E4B267C" w14:textId="77777777" w:rsidR="002B6154" w:rsidRPr="002B6154" w:rsidRDefault="002B6154" w:rsidP="002B6154">
      <w:pPr>
        <w:spacing w:after="0" w:line="276" w:lineRule="auto"/>
        <w:jc w:val="both"/>
        <w:rPr>
          <w:rFonts w:ascii="Verdana" w:eastAsia="Times New Roman" w:hAnsi="Verdana" w:cs="Arial"/>
          <w:lang w:eastAsia="es-MX"/>
        </w:rPr>
      </w:pPr>
      <w:r w:rsidRPr="002B6154">
        <w:rPr>
          <w:rFonts w:ascii="Verdana" w:eastAsia="Times New Roman" w:hAnsi="Verdana" w:cs="Arial"/>
          <w:lang w:eastAsia="es-MX"/>
        </w:rPr>
        <w:t xml:space="preserve">De otro lado, te contamos que esta Agencia ha da un paso decisivo en la estandarización y modernización del </w:t>
      </w:r>
      <w:r w:rsidRPr="002B6154">
        <w:rPr>
          <w:rFonts w:ascii="Verdana" w:eastAsia="Times New Roman" w:hAnsi="Verdana" w:cs="Arial"/>
          <w:b/>
          <w:bCs/>
          <w:lang w:eastAsia="es-MX"/>
        </w:rPr>
        <w:t>sector  social</w:t>
      </w:r>
      <w:r w:rsidRPr="002B6154">
        <w:rPr>
          <w:rFonts w:ascii="Verdana" w:eastAsia="Times New Roman" w:hAnsi="Verdana" w:cs="Arial"/>
          <w:lang w:eastAsia="es-MX"/>
        </w:rPr>
        <w:t xml:space="preserve"> con la expedición de las </w:t>
      </w:r>
      <w:r w:rsidRPr="002B6154">
        <w:rPr>
          <w:rFonts w:ascii="Verdana" w:eastAsia="Times New Roman" w:hAnsi="Verdana" w:cs="Arial"/>
          <w:b/>
          <w:bCs/>
          <w:lang w:eastAsia="es-MX"/>
        </w:rPr>
        <w:t>Resoluciones 539, 540, 541, 952 y 953 de 2025</w:t>
      </w:r>
      <w:r w:rsidRPr="002B6154">
        <w:rPr>
          <w:rFonts w:ascii="Verdana" w:eastAsia="Times New Roman" w:hAnsi="Verdana" w:cs="Arial"/>
          <w:lang w:eastAsia="es-MX"/>
        </w:rPr>
        <w:t xml:space="preserve">, </w:t>
      </w:r>
      <w:r w:rsidRPr="002B6154">
        <w:rPr>
          <w:rFonts w:ascii="Verdana" w:eastAsia="Times New Roman" w:hAnsi="Verdana" w:cs="Arial"/>
          <w:b/>
          <w:bCs/>
          <w:lang w:eastAsia="es-MX"/>
        </w:rPr>
        <w:t>mediante las cuales adoptó Documentos Tipo</w:t>
      </w:r>
      <w:r w:rsidRPr="002B6154">
        <w:rPr>
          <w:rFonts w:ascii="Verdana" w:eastAsia="Times New Roman" w:hAnsi="Verdana" w:cs="Arial"/>
          <w:lang w:eastAsia="es-MX"/>
        </w:rPr>
        <w:t xml:space="preserve"> para las modalidades de selección de</w:t>
      </w:r>
      <w:r w:rsidRPr="002B6154">
        <w:rPr>
          <w:rFonts w:ascii="Verdana" w:eastAsia="Times New Roman" w:hAnsi="Verdana" w:cs="Arial"/>
          <w:b/>
          <w:bCs/>
          <w:lang w:eastAsia="es-MX"/>
        </w:rPr>
        <w:t xml:space="preserve"> licitación pública (versión 2), selección abreviada de menor cuantía, mínima cuantía, consultoría e interventoría</w:t>
      </w:r>
      <w:r w:rsidRPr="002B6154">
        <w:rPr>
          <w:rFonts w:ascii="Verdana" w:eastAsia="Times New Roman" w:hAnsi="Verdana" w:cs="Arial"/>
          <w:lang w:eastAsia="es-MX"/>
        </w:rPr>
        <w:t xml:space="preserve">, promoviendo procesos más transparentes, eficientes  competitivos y sostenibles en sectores estratégicos como educación, salud, cultura, recreación, deporte, institucional y vivienda. Consulta y descarga los documentos aquí: </w:t>
      </w:r>
      <w:hyperlink r:id="rId18" w:tgtFrame="_new" w:history="1">
        <w:r w:rsidRPr="002B6154">
          <w:rPr>
            <w:rFonts w:ascii="Verdana" w:eastAsia="Times New Roman" w:hAnsi="Verdana" w:cs="Arial"/>
            <w:color w:val="0000FF"/>
            <w:u w:val="single"/>
            <w:lang w:eastAsia="es-MX"/>
          </w:rPr>
          <w:t>https://www.colombiacompra.gov.co/normativa-y-relatoria/documentos-tipo</w:t>
        </w:r>
      </w:hyperlink>
    </w:p>
    <w:p w14:paraId="14101DB8" w14:textId="77777777" w:rsidR="002B6154" w:rsidRPr="002B6154" w:rsidRDefault="002B6154" w:rsidP="002B6154">
      <w:pPr>
        <w:spacing w:after="0" w:line="276" w:lineRule="auto"/>
        <w:jc w:val="both"/>
        <w:rPr>
          <w:rFonts w:ascii="Verdana" w:eastAsia="Times New Roman" w:hAnsi="Verdana" w:cs="Arial"/>
          <w:lang w:eastAsia="es-MX"/>
        </w:rPr>
      </w:pPr>
    </w:p>
    <w:p w14:paraId="4950D7F0" w14:textId="77777777" w:rsidR="002B6154" w:rsidRPr="002B6154" w:rsidRDefault="002B6154" w:rsidP="002B6154">
      <w:pPr>
        <w:spacing w:after="0" w:line="276" w:lineRule="auto"/>
        <w:jc w:val="both"/>
        <w:rPr>
          <w:rFonts w:ascii="Verdana" w:eastAsia="Times New Roman" w:hAnsi="Verdana" w:cs="Arial"/>
          <w:lang w:eastAsia="es-MX"/>
        </w:rPr>
      </w:pPr>
      <w:r w:rsidRPr="002B6154">
        <w:rPr>
          <w:rFonts w:ascii="Verdana" w:eastAsia="Times New Roman" w:hAnsi="Verdana" w:cs="Arial"/>
          <w:lang w:eastAsia="es-MX"/>
        </w:rPr>
        <w:t xml:space="preserve">Si quieres conocer más sobre la aplicación de Documentos Tipo puedes consultar la última versión de la </w:t>
      </w:r>
      <w:r w:rsidRPr="002B6154">
        <w:rPr>
          <w:rFonts w:ascii="Verdana" w:eastAsia="Times New Roman" w:hAnsi="Verdana" w:cs="Arial"/>
          <w:b/>
          <w:bCs/>
          <w:lang w:eastAsia="es-MX"/>
        </w:rPr>
        <w:t>Guía para la comprensión e implementación de los Documentos Tipo de obra pública de infraestructura de transporte</w:t>
      </w:r>
      <w:r w:rsidRPr="002B6154">
        <w:rPr>
          <w:rFonts w:ascii="Verdana" w:eastAsia="Times New Roman" w:hAnsi="Verdana" w:cs="Arial"/>
          <w:lang w:eastAsia="es-MX"/>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2B6154">
        <w:rPr>
          <w:rFonts w:ascii="Verdana" w:eastAsia="Times New Roman" w:hAnsi="Verdana" w:cs="Arial"/>
          <w:lang w:eastAsia="es-MX"/>
        </w:rPr>
        <w:br/>
      </w:r>
      <w:hyperlink r:id="rId19" w:tgtFrame="_new" w:history="1">
        <w:r w:rsidRPr="002B6154">
          <w:rPr>
            <w:rFonts w:ascii="Verdana" w:eastAsia="Times New Roman" w:hAnsi="Verdana" w:cs="Arial"/>
            <w:color w:val="0000FF"/>
            <w:u w:val="single"/>
            <w:lang w:eastAsia="es-MX"/>
          </w:rPr>
          <w:t>https://www.colombiacompra.gov.co/archivos/manual/guia-para-la-comprension-e-implementacion-de-los-documentos-tipo-de-obra-publica-de-</w:t>
        </w:r>
        <w:r w:rsidRPr="002B6154">
          <w:rPr>
            <w:rFonts w:ascii="Verdana" w:eastAsia="Times New Roman" w:hAnsi="Verdana" w:cs="Arial"/>
            <w:color w:val="0000FF"/>
            <w:u w:val="single"/>
            <w:lang w:eastAsia="es-MX"/>
          </w:rPr>
          <w:lastRenderedPageBreak/>
          <w:t>infraestructura-de-transporte-bajo-las-diferentes-modalidades-de-contratacion-vigentes</w:t>
        </w:r>
      </w:hyperlink>
    </w:p>
    <w:p w14:paraId="3D78DF97" w14:textId="77777777" w:rsidR="002B6154" w:rsidRPr="002B6154" w:rsidRDefault="002B6154" w:rsidP="002B6154">
      <w:pPr>
        <w:spacing w:after="0"/>
        <w:jc w:val="both"/>
        <w:rPr>
          <w:rFonts w:ascii="Verdana" w:eastAsia="Aptos" w:hAnsi="Verdana" w:cs="Times New Roman"/>
          <w:color w:val="212121"/>
          <w:lang w:eastAsia="es-MX"/>
        </w:rPr>
      </w:pPr>
    </w:p>
    <w:p w14:paraId="61266FAE" w14:textId="77777777" w:rsidR="002B6154" w:rsidRPr="002B6154" w:rsidRDefault="002B6154" w:rsidP="002B6154">
      <w:pPr>
        <w:spacing w:after="0" w:line="240" w:lineRule="auto"/>
        <w:jc w:val="both"/>
        <w:rPr>
          <w:rFonts w:ascii="Verdana" w:eastAsia="Calibri" w:hAnsi="Verdana" w:cs="Times New Roman"/>
          <w:lang w:eastAsia="es-MX"/>
        </w:rPr>
      </w:pPr>
      <w:r w:rsidRPr="002B6154">
        <w:rPr>
          <w:rFonts w:ascii="Verdana" w:eastAsia="Aptos" w:hAnsi="Verdana" w:cs="Times New Roman"/>
          <w:lang w:eastAsia="es-MX"/>
        </w:rPr>
        <w:t xml:space="preserve">Por último, lo invitamos a seguirnos en las redes sociales en las cuales se difunde información institucional: </w:t>
      </w:r>
    </w:p>
    <w:p w14:paraId="1A975F86" w14:textId="77777777" w:rsidR="002B6154" w:rsidRPr="002B6154" w:rsidRDefault="002B6154" w:rsidP="002B6154">
      <w:pPr>
        <w:spacing w:after="0" w:line="240" w:lineRule="auto"/>
        <w:jc w:val="both"/>
        <w:rPr>
          <w:rFonts w:ascii="Verdana" w:eastAsia="Aptos" w:hAnsi="Verdana" w:cs="Times New Roman"/>
          <w:lang w:eastAsia="es-MX"/>
        </w:rPr>
      </w:pPr>
    </w:p>
    <w:p w14:paraId="3C384E14" w14:textId="77777777" w:rsidR="002B6154" w:rsidRPr="002B6154" w:rsidRDefault="002B6154" w:rsidP="002B6154">
      <w:pPr>
        <w:spacing w:after="0" w:line="240" w:lineRule="auto"/>
        <w:jc w:val="both"/>
        <w:rPr>
          <w:rFonts w:ascii="Verdana" w:eastAsia="Aptos" w:hAnsi="Verdana" w:cs="Times New Roman"/>
          <w:lang w:eastAsia="es-MX"/>
        </w:rPr>
      </w:pPr>
      <w:r w:rsidRPr="002B6154">
        <w:rPr>
          <w:rFonts w:ascii="Verdana" w:eastAsia="Aptos" w:hAnsi="Verdana" w:cs="Times New Roman"/>
          <w:lang w:eastAsia="es-MX"/>
        </w:rPr>
        <w:t xml:space="preserve">Twitter: </w:t>
      </w:r>
      <w:r w:rsidRPr="002B6154">
        <w:rPr>
          <w:rFonts w:ascii="Verdana" w:eastAsia="Calibri" w:hAnsi="Verdana" w:cs="Times New Roman"/>
          <w:color w:val="156082"/>
          <w:u w:val="single"/>
          <w:lang w:eastAsia="es-MX"/>
        </w:rPr>
        <w:t>@colombiacompra</w:t>
      </w:r>
      <w:r w:rsidRPr="002B6154">
        <w:rPr>
          <w:rFonts w:ascii="Verdana" w:eastAsia="Calibri" w:hAnsi="Verdana" w:cs="Times New Roman"/>
          <w:color w:val="156082"/>
          <w:lang w:eastAsia="es-MX"/>
        </w:rPr>
        <w:t xml:space="preserve"> </w:t>
      </w:r>
    </w:p>
    <w:p w14:paraId="57182A29" w14:textId="77777777" w:rsidR="002B6154" w:rsidRPr="002B6154" w:rsidRDefault="002B6154" w:rsidP="002B6154">
      <w:pPr>
        <w:spacing w:after="0" w:line="240" w:lineRule="auto"/>
        <w:jc w:val="both"/>
        <w:rPr>
          <w:rFonts w:ascii="Verdana" w:eastAsia="Aptos" w:hAnsi="Verdana" w:cs="Times New Roman"/>
          <w:lang w:eastAsia="es-MX"/>
        </w:rPr>
      </w:pPr>
      <w:r w:rsidRPr="002B6154">
        <w:rPr>
          <w:rFonts w:ascii="Verdana" w:eastAsia="Aptos" w:hAnsi="Verdana" w:cs="Times New Roman"/>
          <w:lang w:eastAsia="es-MX"/>
        </w:rPr>
        <w:t xml:space="preserve">Facebook: </w:t>
      </w:r>
      <w:proofErr w:type="spellStart"/>
      <w:r w:rsidRPr="002B6154">
        <w:rPr>
          <w:rFonts w:ascii="Verdana" w:eastAsia="Calibri" w:hAnsi="Verdana" w:cs="Times New Roman"/>
          <w:color w:val="156082"/>
          <w:u w:val="single"/>
          <w:lang w:eastAsia="es-MX"/>
        </w:rPr>
        <w:t>ColombiaCompraEficiente</w:t>
      </w:r>
      <w:proofErr w:type="spellEnd"/>
    </w:p>
    <w:p w14:paraId="55163904" w14:textId="77777777" w:rsidR="002B6154" w:rsidRPr="002B6154" w:rsidRDefault="002B6154" w:rsidP="002B6154">
      <w:pPr>
        <w:spacing w:after="0" w:line="240" w:lineRule="auto"/>
        <w:jc w:val="both"/>
        <w:rPr>
          <w:rFonts w:ascii="Verdana" w:eastAsia="Aptos" w:hAnsi="Verdana" w:cs="Times New Roman"/>
          <w:lang w:eastAsia="es-MX"/>
        </w:rPr>
      </w:pPr>
      <w:r w:rsidRPr="002B6154">
        <w:rPr>
          <w:rFonts w:ascii="Verdana" w:eastAsia="Aptos" w:hAnsi="Verdana" w:cs="Times New Roman"/>
          <w:lang w:eastAsia="es-MX"/>
        </w:rPr>
        <w:t xml:space="preserve">LinkedIn: </w:t>
      </w:r>
      <w:r w:rsidRPr="002B6154">
        <w:rPr>
          <w:rFonts w:ascii="Verdana" w:eastAsia="Calibri" w:hAnsi="Verdana" w:cs="Times New Roman"/>
          <w:color w:val="156082"/>
          <w:u w:val="single"/>
          <w:lang w:eastAsia="es-MX"/>
        </w:rPr>
        <w:t>Agencia Nacional de Contratación Pública - Colombia Compra Eficiente</w:t>
      </w:r>
      <w:r w:rsidRPr="002B6154">
        <w:rPr>
          <w:rFonts w:ascii="Verdana" w:eastAsia="Calibri" w:hAnsi="Verdana" w:cs="Times New Roman"/>
          <w:color w:val="156082"/>
          <w:lang w:eastAsia="es-MX"/>
        </w:rPr>
        <w:t xml:space="preserve"> </w:t>
      </w:r>
      <w:r w:rsidRPr="002B6154">
        <w:rPr>
          <w:rFonts w:ascii="Verdana" w:eastAsia="Aptos" w:hAnsi="Verdana" w:cs="Times New Roman"/>
          <w:lang w:eastAsia="es-MX"/>
        </w:rPr>
        <w:t xml:space="preserve">Instagram: </w:t>
      </w:r>
      <w:r w:rsidRPr="002B6154">
        <w:rPr>
          <w:rFonts w:ascii="Verdana" w:eastAsia="Calibri" w:hAnsi="Verdana" w:cs="Times New Roman"/>
          <w:color w:val="156082"/>
          <w:u w:val="single"/>
          <w:lang w:eastAsia="es-MX"/>
        </w:rPr>
        <w:t>@colombiacompraeficiente_cce</w:t>
      </w:r>
    </w:p>
    <w:p w14:paraId="50962B4A" w14:textId="77777777" w:rsidR="002B6154" w:rsidRPr="002B6154" w:rsidRDefault="002B6154" w:rsidP="002B6154">
      <w:pPr>
        <w:spacing w:after="0" w:line="276" w:lineRule="auto"/>
        <w:jc w:val="both"/>
        <w:rPr>
          <w:rFonts w:ascii="Verdana" w:eastAsia="Aptos" w:hAnsi="Verdana" w:cs="Times New Roman"/>
          <w:lang w:eastAsia="es-MX"/>
        </w:rPr>
      </w:pPr>
    </w:p>
    <w:p w14:paraId="2C0791BF" w14:textId="77777777" w:rsidR="002B6154" w:rsidRPr="002B6154" w:rsidRDefault="002B6154" w:rsidP="002B6154">
      <w:pPr>
        <w:spacing w:after="0" w:line="276" w:lineRule="auto"/>
        <w:jc w:val="both"/>
        <w:rPr>
          <w:rFonts w:ascii="Verdana" w:eastAsia="Calibri" w:hAnsi="Verdana" w:cs="Times New Roman"/>
          <w:bCs/>
          <w:lang w:val="es-ES_tradnl" w:eastAsia="es-MX"/>
        </w:rPr>
      </w:pPr>
      <w:r w:rsidRPr="002B6154">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396F1A63" w14:textId="77777777" w:rsidR="002B6154" w:rsidRPr="002B6154" w:rsidRDefault="002B6154" w:rsidP="002B6154">
      <w:pPr>
        <w:spacing w:after="0" w:line="276" w:lineRule="auto"/>
        <w:jc w:val="both"/>
        <w:rPr>
          <w:rFonts w:ascii="Verdana" w:eastAsia="Calibri" w:hAnsi="Verdana" w:cs="Times New Roman"/>
          <w:lang w:eastAsia="es-MX"/>
        </w:rPr>
      </w:pPr>
    </w:p>
    <w:p w14:paraId="7654252C" w14:textId="77777777" w:rsidR="002B6154" w:rsidRPr="002B6154" w:rsidRDefault="002B6154" w:rsidP="002B6154">
      <w:pPr>
        <w:spacing w:after="0" w:line="276" w:lineRule="auto"/>
        <w:jc w:val="both"/>
        <w:rPr>
          <w:rFonts w:ascii="Verdana" w:eastAsia="Calibri" w:hAnsi="Verdana" w:cs="Times New Roman"/>
          <w:lang w:eastAsia="es-MX"/>
        </w:rPr>
      </w:pPr>
      <w:r w:rsidRPr="002B6154">
        <w:rPr>
          <w:rFonts w:ascii="Verdana" w:eastAsia="Calibri" w:hAnsi="Verdana" w:cs="Times New Roman"/>
          <w:lang w:eastAsia="es-MX"/>
        </w:rPr>
        <w:t>Atentamente,</w:t>
      </w:r>
    </w:p>
    <w:p w14:paraId="152307B1" w14:textId="77777777" w:rsidR="002B6154" w:rsidRPr="002B6154" w:rsidRDefault="002B6154" w:rsidP="002B6154">
      <w:pPr>
        <w:tabs>
          <w:tab w:val="left" w:pos="1320"/>
        </w:tabs>
        <w:spacing w:after="0"/>
        <w:jc w:val="center"/>
        <w:rPr>
          <w:rFonts w:ascii="Verdana" w:eastAsia="Calibri" w:hAnsi="Verdana" w:cs="Times New Roman"/>
          <w:lang w:eastAsia="es-MX"/>
        </w:rPr>
      </w:pPr>
    </w:p>
    <w:p w14:paraId="7BEACAC4" w14:textId="4D5A47C9" w:rsidR="002B6154" w:rsidRPr="002B6154" w:rsidRDefault="00331199" w:rsidP="002B6154">
      <w:pPr>
        <w:tabs>
          <w:tab w:val="left" w:pos="1320"/>
        </w:tabs>
        <w:spacing w:after="0"/>
        <w:jc w:val="center"/>
        <w:rPr>
          <w:rFonts w:ascii="Verdana" w:eastAsia="Calibri" w:hAnsi="Verdana" w:cs="Times New Roman"/>
          <w:lang w:eastAsia="es-MX"/>
        </w:rPr>
      </w:pPr>
      <w:r w:rsidRPr="004D5C25">
        <w:rPr>
          <w:rFonts w:ascii="Century Gothic" w:hAnsi="Century Gothic"/>
          <w:noProof/>
        </w:rPr>
        <w:drawing>
          <wp:inline distT="0" distB="0" distL="0" distR="0" wp14:anchorId="1B80CB51" wp14:editId="3704A3C4">
            <wp:extent cx="2547937" cy="1093844"/>
            <wp:effectExtent l="0" t="0" r="5080"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20"/>
                    <a:stretch>
                      <a:fillRect/>
                    </a:stretch>
                  </pic:blipFill>
                  <pic:spPr>
                    <a:xfrm>
                      <a:off x="0" y="0"/>
                      <a:ext cx="2553823" cy="1096371"/>
                    </a:xfrm>
                    <a:prstGeom prst="rect">
                      <a:avLst/>
                    </a:prstGeom>
                  </pic:spPr>
                </pic:pic>
              </a:graphicData>
            </a:graphic>
          </wp:inline>
        </w:drawing>
      </w:r>
    </w:p>
    <w:p w14:paraId="7971CD9E" w14:textId="77777777" w:rsidR="002B6154" w:rsidRPr="002B6154" w:rsidRDefault="002B6154" w:rsidP="002B6154">
      <w:pPr>
        <w:tabs>
          <w:tab w:val="left" w:pos="1320"/>
        </w:tabs>
        <w:spacing w:after="0"/>
        <w:jc w:val="center"/>
        <w:rPr>
          <w:rFonts w:ascii="Verdana" w:eastAsia="Calibri" w:hAnsi="Verdana" w:cs="Times New Roman"/>
          <w:lang w:eastAsia="es-MX"/>
        </w:rPr>
      </w:pPr>
    </w:p>
    <w:tbl>
      <w:tblPr>
        <w:tblStyle w:val="Tablaconcuadrcula1"/>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2B6154" w:rsidRPr="002B6154" w14:paraId="4ECD4C50" w14:textId="77777777" w:rsidTr="00A46F1D">
        <w:trPr>
          <w:trHeight w:val="323"/>
        </w:trPr>
        <w:tc>
          <w:tcPr>
            <w:tcW w:w="1041" w:type="dxa"/>
            <w:vAlign w:val="center"/>
            <w:hideMark/>
          </w:tcPr>
          <w:p w14:paraId="1DEA0F60" w14:textId="77777777" w:rsidR="002B6154" w:rsidRPr="002B6154" w:rsidRDefault="002B6154" w:rsidP="002B6154">
            <w:pPr>
              <w:rPr>
                <w:rFonts w:ascii="Verdana" w:eastAsia="Calibri" w:hAnsi="Verdana" w:cs="Arial"/>
                <w:sz w:val="16"/>
                <w:szCs w:val="16"/>
                <w:lang w:val="es-ES_tradnl" w:eastAsia="es-ES"/>
              </w:rPr>
            </w:pPr>
            <w:r w:rsidRPr="002B6154">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375C9BC9" w14:textId="77777777" w:rsidR="002B6154" w:rsidRPr="002B6154" w:rsidRDefault="002B6154" w:rsidP="002B6154">
            <w:pPr>
              <w:rPr>
                <w:rFonts w:ascii="Verdana" w:eastAsia="Arial" w:hAnsi="Verdana" w:cs="Arial"/>
                <w:sz w:val="16"/>
                <w:szCs w:val="16"/>
                <w:lang w:val="es-ES" w:eastAsia="es-MX"/>
              </w:rPr>
            </w:pPr>
            <w:r w:rsidRPr="002B6154">
              <w:rPr>
                <w:rFonts w:ascii="Verdana" w:eastAsia="Arial" w:hAnsi="Verdana" w:cs="Arial"/>
                <w:sz w:val="16"/>
                <w:szCs w:val="16"/>
                <w:lang w:val="es-ES" w:eastAsia="es-MX"/>
              </w:rPr>
              <w:t xml:space="preserve">Carlos Mario Castrillón Endo </w:t>
            </w:r>
          </w:p>
          <w:p w14:paraId="76D1338D" w14:textId="77777777" w:rsidR="002B6154" w:rsidRPr="002B6154" w:rsidRDefault="002B6154" w:rsidP="002B6154">
            <w:pPr>
              <w:rPr>
                <w:rFonts w:ascii="Verdana" w:eastAsia="Arial" w:hAnsi="Verdana" w:cs="Arial"/>
                <w:sz w:val="16"/>
                <w:szCs w:val="16"/>
                <w:lang w:val="es-ES_tradnl" w:eastAsia="es-MX"/>
              </w:rPr>
            </w:pPr>
            <w:r w:rsidRPr="002B6154">
              <w:rPr>
                <w:rFonts w:ascii="Verdana" w:eastAsia="Arial" w:hAnsi="Verdana" w:cs="Arial"/>
                <w:sz w:val="16"/>
                <w:szCs w:val="16"/>
                <w:lang w:val="es-ES_tradnl" w:eastAsia="es-MX"/>
              </w:rPr>
              <w:t>Contratista de la Subdirección de Gestión Contractual</w:t>
            </w:r>
          </w:p>
          <w:p w14:paraId="52B397A4" w14:textId="77777777" w:rsidR="002B6154" w:rsidRPr="002B6154" w:rsidRDefault="002B6154" w:rsidP="002B6154">
            <w:pPr>
              <w:rPr>
                <w:rFonts w:ascii="Verdana" w:eastAsia="Arial" w:hAnsi="Verdana" w:cs="Arial"/>
                <w:sz w:val="16"/>
                <w:szCs w:val="16"/>
                <w:lang w:val="es-ES_tradnl" w:eastAsia="es-MX"/>
              </w:rPr>
            </w:pPr>
          </w:p>
        </w:tc>
      </w:tr>
      <w:tr w:rsidR="002B6154" w:rsidRPr="002B6154" w14:paraId="2B162B33" w14:textId="77777777" w:rsidTr="00A46F1D">
        <w:trPr>
          <w:trHeight w:val="338"/>
        </w:trPr>
        <w:tc>
          <w:tcPr>
            <w:tcW w:w="1041" w:type="dxa"/>
            <w:vAlign w:val="center"/>
            <w:hideMark/>
          </w:tcPr>
          <w:p w14:paraId="34F57BD2" w14:textId="77777777" w:rsidR="002B6154" w:rsidRPr="002B6154" w:rsidRDefault="002B6154" w:rsidP="002B6154">
            <w:pPr>
              <w:rPr>
                <w:rFonts w:ascii="Verdana" w:eastAsia="Calibri" w:hAnsi="Verdana" w:cs="Arial"/>
                <w:sz w:val="16"/>
                <w:szCs w:val="16"/>
                <w:lang w:val="es-ES_tradnl" w:eastAsia="es-ES"/>
              </w:rPr>
            </w:pPr>
            <w:r w:rsidRPr="002B6154">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489BEA33" w14:textId="77777777" w:rsidR="002B6154" w:rsidRPr="002B6154" w:rsidRDefault="002B6154" w:rsidP="002B6154">
            <w:pPr>
              <w:textAlignment w:val="baseline"/>
              <w:rPr>
                <w:rFonts w:ascii="Verdana" w:eastAsia="Times New Roman" w:hAnsi="Verdana" w:cs="Segoe UI"/>
                <w:sz w:val="16"/>
                <w:szCs w:val="16"/>
                <w:lang w:val="es-ES_tradnl" w:eastAsia="es-ES_tradnl"/>
              </w:rPr>
            </w:pPr>
            <w:r w:rsidRPr="002B6154">
              <w:rPr>
                <w:rFonts w:ascii="Verdana" w:eastAsia="Times New Roman" w:hAnsi="Verdana" w:cs="Segoe UI"/>
                <w:sz w:val="16"/>
                <w:szCs w:val="16"/>
                <w:lang w:val="es-ES_tradnl" w:eastAsia="es-ES_tradnl"/>
              </w:rPr>
              <w:t>Martha Alicia Romero Vargas</w:t>
            </w:r>
          </w:p>
          <w:p w14:paraId="2074883C" w14:textId="77777777" w:rsidR="002B6154" w:rsidRPr="002B6154" w:rsidRDefault="002B6154" w:rsidP="002B6154">
            <w:pPr>
              <w:textAlignment w:val="baseline"/>
              <w:rPr>
                <w:rFonts w:ascii="Verdana" w:eastAsia="Times New Roman" w:hAnsi="Verdana" w:cs="Segoe UI"/>
                <w:sz w:val="16"/>
                <w:szCs w:val="16"/>
                <w:lang w:val="es-ES_tradnl" w:eastAsia="es-ES_tradnl"/>
              </w:rPr>
            </w:pPr>
            <w:r w:rsidRPr="002B6154">
              <w:rPr>
                <w:rFonts w:ascii="Verdana" w:eastAsia="Times New Roman" w:hAnsi="Verdana" w:cs="Segoe UI"/>
                <w:sz w:val="16"/>
                <w:szCs w:val="16"/>
                <w:lang w:val="es-ES_tradnl" w:eastAsia="es-ES_tradnl"/>
              </w:rPr>
              <w:t>Gestor T1-15 de la Subdirección de Gestión Contractual</w:t>
            </w:r>
          </w:p>
          <w:p w14:paraId="319B3A3E" w14:textId="77777777" w:rsidR="002B6154" w:rsidRPr="002B6154" w:rsidRDefault="002B6154" w:rsidP="002B6154">
            <w:pPr>
              <w:textAlignment w:val="baseline"/>
              <w:rPr>
                <w:rFonts w:ascii="Verdana" w:eastAsia="Times New Roman" w:hAnsi="Verdana" w:cs="Arial"/>
                <w:sz w:val="16"/>
                <w:szCs w:val="16"/>
                <w:lang w:val="es-ES_tradnl" w:eastAsia="es-ES_tradnl"/>
              </w:rPr>
            </w:pPr>
          </w:p>
        </w:tc>
      </w:tr>
      <w:tr w:rsidR="002B6154" w:rsidRPr="002B6154" w14:paraId="13D8C1A5" w14:textId="77777777" w:rsidTr="00A46F1D">
        <w:trPr>
          <w:trHeight w:val="308"/>
        </w:trPr>
        <w:tc>
          <w:tcPr>
            <w:tcW w:w="1041" w:type="dxa"/>
            <w:vAlign w:val="center"/>
          </w:tcPr>
          <w:p w14:paraId="0C8412BB" w14:textId="77777777" w:rsidR="002B6154" w:rsidRPr="002B6154" w:rsidRDefault="002B6154" w:rsidP="002B6154">
            <w:pPr>
              <w:rPr>
                <w:rFonts w:ascii="Verdana" w:eastAsia="Calibri" w:hAnsi="Verdana" w:cs="Arial"/>
                <w:sz w:val="16"/>
                <w:szCs w:val="16"/>
                <w:lang w:val="es-ES_tradnl" w:eastAsia="es-ES"/>
              </w:rPr>
            </w:pPr>
            <w:r w:rsidRPr="002B6154">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41CF432F" w14:textId="77777777" w:rsidR="002B6154" w:rsidRPr="002B6154" w:rsidRDefault="002B6154" w:rsidP="002B6154">
            <w:pPr>
              <w:rPr>
                <w:rFonts w:ascii="Verdana" w:eastAsia="Calibri" w:hAnsi="Verdana" w:cs="Arial"/>
                <w:sz w:val="16"/>
                <w:szCs w:val="16"/>
                <w:lang w:val="es-ES" w:eastAsia="es-ES"/>
              </w:rPr>
            </w:pPr>
            <w:r w:rsidRPr="002B6154">
              <w:rPr>
                <w:rFonts w:ascii="Verdana" w:eastAsia="Calibri" w:hAnsi="Verdana" w:cs="Arial"/>
                <w:sz w:val="16"/>
                <w:szCs w:val="16"/>
                <w:lang w:val="es-ES" w:eastAsia="es-ES"/>
              </w:rPr>
              <w:t>Carolina Quintero Gacharná</w:t>
            </w:r>
          </w:p>
          <w:p w14:paraId="47514534" w14:textId="77777777" w:rsidR="002B6154" w:rsidRPr="002B6154" w:rsidRDefault="002B6154" w:rsidP="002B6154">
            <w:pPr>
              <w:rPr>
                <w:rFonts w:ascii="Verdana" w:eastAsia="Calibri" w:hAnsi="Verdana" w:cs="Arial"/>
                <w:sz w:val="16"/>
                <w:szCs w:val="16"/>
                <w:lang w:val="es-ES_tradnl" w:eastAsia="es-ES"/>
              </w:rPr>
            </w:pPr>
            <w:r w:rsidRPr="002B6154">
              <w:rPr>
                <w:rFonts w:ascii="Verdana" w:eastAsia="Calibri" w:hAnsi="Verdana" w:cs="Arial"/>
                <w:sz w:val="16"/>
                <w:szCs w:val="16"/>
                <w:lang w:val="es-ES_tradnl" w:eastAsia="es-ES"/>
              </w:rPr>
              <w:t>Subdirectora de Gestión Contractual ANCP – CCE</w:t>
            </w:r>
          </w:p>
        </w:tc>
      </w:tr>
    </w:tbl>
    <w:p w14:paraId="7D89A40A" w14:textId="77777777" w:rsidR="002B6154" w:rsidRPr="002B6154" w:rsidRDefault="002B6154" w:rsidP="002B6154">
      <w:pPr>
        <w:spacing w:after="0" w:line="240" w:lineRule="auto"/>
        <w:jc w:val="both"/>
        <w:textAlignment w:val="baseline"/>
        <w:rPr>
          <w:rFonts w:ascii="Verdana" w:eastAsia="Verdana" w:hAnsi="Verdana" w:cs="Verdana"/>
          <w:lang w:eastAsia="es-CO"/>
        </w:rPr>
      </w:pPr>
    </w:p>
    <w:p w14:paraId="24671051" w14:textId="4CFE6337" w:rsidR="002B6154" w:rsidRPr="002B6154" w:rsidRDefault="002B6154" w:rsidP="002B6154">
      <w:pPr>
        <w:spacing w:after="0" w:line="240" w:lineRule="auto"/>
        <w:textAlignment w:val="baseline"/>
        <w:rPr>
          <w:rFonts w:ascii="Verdana" w:eastAsia="Verdana" w:hAnsi="Verdana" w:cs="Verdana"/>
          <w:lang w:eastAsia="es-CO"/>
        </w:rPr>
      </w:pPr>
      <w:r w:rsidRPr="002B6154">
        <w:rPr>
          <w:rFonts w:ascii="Verdana" w:eastAsia="Verdana" w:hAnsi="Verdana" w:cs="Verdana"/>
          <w:lang w:eastAsia="es-CO"/>
        </w:rPr>
        <w:t> </w:t>
      </w:r>
      <w:bookmarkEnd w:id="0"/>
    </w:p>
    <w:p w14:paraId="20E9B07F" w14:textId="77777777" w:rsidR="002B6154" w:rsidRPr="002B6154" w:rsidRDefault="002B6154" w:rsidP="002B6154">
      <w:pPr>
        <w:spacing w:line="278" w:lineRule="auto"/>
        <w:rPr>
          <w:rFonts w:ascii="Aptos" w:eastAsia="Aptos" w:hAnsi="Aptos" w:cs="Times New Roman"/>
          <w:kern w:val="2"/>
          <w:sz w:val="24"/>
          <w:szCs w:val="24"/>
          <w14:ligatures w14:val="standardContextual"/>
        </w:rPr>
      </w:pPr>
    </w:p>
    <w:p w14:paraId="0F293BF4" w14:textId="68503707" w:rsidR="00127233" w:rsidRPr="00C25356" w:rsidRDefault="00127233" w:rsidP="00C25356"/>
    <w:sectPr w:rsidR="00127233" w:rsidRPr="00C25356"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EF75D" w14:textId="77777777" w:rsidR="007E5DA5" w:rsidRDefault="007E5DA5" w:rsidP="004A1847">
      <w:pPr>
        <w:spacing w:after="0" w:line="240" w:lineRule="auto"/>
      </w:pPr>
      <w:r>
        <w:separator/>
      </w:r>
    </w:p>
  </w:endnote>
  <w:endnote w:type="continuationSeparator" w:id="0">
    <w:p w14:paraId="4F5BF2A9" w14:textId="77777777" w:rsidR="007E5DA5" w:rsidRDefault="007E5DA5" w:rsidP="004A1847">
      <w:pPr>
        <w:spacing w:after="0" w:line="240" w:lineRule="auto"/>
      </w:pPr>
      <w:r>
        <w:continuationSeparator/>
      </w:r>
    </w:p>
  </w:endnote>
  <w:endnote w:type="continuationNotice" w:id="1">
    <w:p w14:paraId="645A297D" w14:textId="77777777" w:rsidR="007E5DA5" w:rsidRDefault="007E5D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Times New Roman">
    <w:altName w:val="Arial"/>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2B6154">
      <w:rPr>
        <w:rFonts w:ascii="Verdana" w:eastAsia="Verdana" w:hAnsi="Verdana" w:cs="Verdana"/>
        <w:b/>
        <w:bCs/>
        <w:color w:val="000000"/>
        <w:sz w:val="18"/>
        <w:szCs w:val="18"/>
        <w:lang w:eastAsia="es-CO"/>
      </w:rPr>
      <w:t xml:space="preserve">Código: </w:t>
    </w:r>
    <w:r w:rsidRPr="002B6154">
      <w:rPr>
        <w:rFonts w:ascii="Verdana" w:eastAsia="Verdana" w:hAnsi="Verdana" w:cs="Verdana"/>
        <w:color w:val="000000"/>
        <w:sz w:val="18"/>
        <w:szCs w:val="18"/>
        <w:lang w:eastAsia="es-CO"/>
      </w:rPr>
      <w:t xml:space="preserve">CCE-REC-FM-17 </w:t>
    </w:r>
    <w:r w:rsidRPr="002B6154">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62EC7" w14:textId="77777777" w:rsidR="007E5DA5" w:rsidRDefault="007E5DA5" w:rsidP="004A1847">
      <w:pPr>
        <w:spacing w:after="0" w:line="240" w:lineRule="auto"/>
      </w:pPr>
      <w:r>
        <w:separator/>
      </w:r>
    </w:p>
  </w:footnote>
  <w:footnote w:type="continuationSeparator" w:id="0">
    <w:p w14:paraId="4FC48838" w14:textId="77777777" w:rsidR="007E5DA5" w:rsidRDefault="007E5DA5" w:rsidP="004A1847">
      <w:pPr>
        <w:spacing w:after="0" w:line="240" w:lineRule="auto"/>
      </w:pPr>
      <w:r>
        <w:continuationSeparator/>
      </w:r>
    </w:p>
  </w:footnote>
  <w:footnote w:type="continuationNotice" w:id="1">
    <w:p w14:paraId="4A1811DC" w14:textId="77777777" w:rsidR="007E5DA5" w:rsidRDefault="007E5DA5">
      <w:pPr>
        <w:spacing w:after="0" w:line="240" w:lineRule="auto"/>
      </w:pPr>
    </w:p>
  </w:footnote>
  <w:footnote w:id="2">
    <w:p w14:paraId="376090E3" w14:textId="77777777" w:rsidR="002B6154" w:rsidRPr="00977F6C" w:rsidRDefault="002B6154" w:rsidP="002B6154">
      <w:pPr>
        <w:pStyle w:val="Textonotapie"/>
        <w:ind w:firstLine="708"/>
        <w:jc w:val="both"/>
        <w:rPr>
          <w:rFonts w:ascii="Verdana" w:hAnsi="Verdana" w:cs="Arial"/>
          <w:sz w:val="19"/>
          <w:szCs w:val="19"/>
        </w:rPr>
      </w:pPr>
      <w:r w:rsidRPr="00977F6C">
        <w:rPr>
          <w:rStyle w:val="Refdenotaalpie"/>
          <w:rFonts w:ascii="Verdana" w:hAnsi="Verdana" w:cs="Arial"/>
          <w:sz w:val="19"/>
          <w:szCs w:val="19"/>
        </w:rPr>
        <w:footnoteRef/>
      </w:r>
      <w:r w:rsidRPr="00977F6C">
        <w:rPr>
          <w:rFonts w:ascii="Verdana" w:hAnsi="Verdana" w:cs="Arial"/>
          <w:sz w:val="19"/>
          <w:szCs w:val="19"/>
        </w:rPr>
        <w:t xml:space="preserve"> Concepto de la Secretaría General Alcaldía Mayor de Bogotá, Fecha. 14 de agosto de 2008. Disponible en el siguiente link: </w:t>
      </w:r>
      <w:hyperlink r:id="rId1" w:history="1">
        <w:r w:rsidRPr="00977F6C">
          <w:rPr>
            <w:rStyle w:val="Hipervnculo"/>
            <w:rFonts w:ascii="Verdana" w:hAnsi="Verdana" w:cs="Arial"/>
            <w:sz w:val="19"/>
            <w:szCs w:val="19"/>
          </w:rPr>
          <w:t>https://www.alcaldiabogota.gov.co/sisjur/normas/Norma1.jsp?i=36443</w:t>
        </w:r>
      </w:hyperlink>
    </w:p>
    <w:p w14:paraId="0EA31894" w14:textId="77777777" w:rsidR="002B6154" w:rsidRPr="00977F6C" w:rsidRDefault="002B6154" w:rsidP="002B6154">
      <w:pPr>
        <w:pStyle w:val="Textonotapie"/>
        <w:ind w:firstLine="708"/>
        <w:jc w:val="both"/>
        <w:rPr>
          <w:rFonts w:ascii="Verdana" w:hAnsi="Verdana" w:cs="Arial"/>
          <w:sz w:val="19"/>
          <w:szCs w:val="19"/>
        </w:rPr>
      </w:pPr>
    </w:p>
  </w:footnote>
  <w:footnote w:id="3">
    <w:p w14:paraId="21F29D84" w14:textId="77777777" w:rsidR="002B6154" w:rsidRPr="00977F6C" w:rsidRDefault="002B6154" w:rsidP="002B6154">
      <w:pPr>
        <w:pStyle w:val="Textonotapie"/>
        <w:ind w:firstLine="708"/>
        <w:jc w:val="both"/>
        <w:rPr>
          <w:rFonts w:ascii="Verdana" w:hAnsi="Verdana" w:cs="Arial"/>
          <w:sz w:val="19"/>
          <w:szCs w:val="19"/>
        </w:rPr>
      </w:pPr>
      <w:r w:rsidRPr="00977F6C">
        <w:rPr>
          <w:rStyle w:val="Refdenotaalpie"/>
          <w:rFonts w:ascii="Verdana" w:hAnsi="Verdana" w:cs="Arial"/>
          <w:sz w:val="19"/>
          <w:szCs w:val="19"/>
        </w:rPr>
        <w:footnoteRef/>
      </w:r>
      <w:r w:rsidRPr="00977F6C">
        <w:rPr>
          <w:rFonts w:ascii="Verdana" w:hAnsi="Verdana" w:cs="Arial"/>
          <w:sz w:val="19"/>
          <w:szCs w:val="19"/>
        </w:rPr>
        <w:t xml:space="preserve"> Página web del Concejo de Bogotá – Los salones comunales de la comunidad: </w:t>
      </w:r>
      <w:hyperlink r:id="rId2" w:anchor=":~:text=Estos%20espacios%20son%20y%20ser%C3%A1n,los%20barrios%20de%20nuestra%20ciudad." w:history="1">
        <w:r w:rsidRPr="00977F6C">
          <w:rPr>
            <w:rStyle w:val="Hipervnculo1"/>
            <w:rFonts w:ascii="Verdana" w:hAnsi="Verdana" w:cs="Arial"/>
            <w:sz w:val="19"/>
            <w:szCs w:val="19"/>
          </w:rPr>
          <w:t>Concejo de Bogotá D.C. - Los salones comunales de la comunidad (concejodebogota.gov.co)</w:t>
        </w:r>
      </w:hyperlink>
      <w:r w:rsidRPr="00977F6C">
        <w:rPr>
          <w:rFonts w:ascii="Verdana" w:hAnsi="Verdana" w:cs="Arial"/>
          <w:sz w:val="19"/>
          <w:szCs w:val="19"/>
        </w:rPr>
        <w:t xml:space="preserve"> </w:t>
      </w:r>
    </w:p>
  </w:footnote>
  <w:footnote w:id="4">
    <w:p w14:paraId="739189D2" w14:textId="77777777" w:rsidR="002B6154" w:rsidRPr="00977F6C" w:rsidRDefault="002B6154" w:rsidP="002B6154">
      <w:pPr>
        <w:pStyle w:val="Textonotapie"/>
        <w:ind w:firstLine="708"/>
        <w:jc w:val="both"/>
        <w:rPr>
          <w:rFonts w:ascii="Verdana" w:hAnsi="Verdana"/>
          <w:sz w:val="19"/>
          <w:szCs w:val="19"/>
        </w:rPr>
      </w:pPr>
      <w:r w:rsidRPr="00977F6C">
        <w:rPr>
          <w:rStyle w:val="Refdenotaalpie"/>
          <w:rFonts w:ascii="Verdana" w:hAnsi="Verdana"/>
          <w:sz w:val="19"/>
          <w:szCs w:val="19"/>
        </w:rPr>
        <w:footnoteRef/>
      </w:r>
      <w:r w:rsidRPr="00977F6C">
        <w:rPr>
          <w:rFonts w:ascii="Verdana" w:hAnsi="Verdana"/>
          <w:sz w:val="19"/>
          <w:szCs w:val="19"/>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31613853" w14:textId="77777777" w:rsidR="002B6154" w:rsidRPr="00977F6C" w:rsidRDefault="002B6154" w:rsidP="002B6154">
      <w:pPr>
        <w:pStyle w:val="Textonotapie"/>
        <w:ind w:firstLine="708"/>
        <w:jc w:val="both"/>
        <w:rPr>
          <w:rFonts w:ascii="Verdana" w:hAnsi="Verdana"/>
          <w:sz w:val="19"/>
          <w:szCs w:val="19"/>
        </w:rPr>
      </w:pPr>
    </w:p>
    <w:p w14:paraId="79BA855E" w14:textId="77777777" w:rsidR="002B6154" w:rsidRPr="00977F6C" w:rsidRDefault="002B6154" w:rsidP="002B6154">
      <w:pPr>
        <w:pStyle w:val="Textonotapie"/>
        <w:ind w:firstLine="708"/>
        <w:jc w:val="both"/>
        <w:rPr>
          <w:rFonts w:ascii="Verdana" w:hAnsi="Verdana"/>
          <w:sz w:val="19"/>
          <w:szCs w:val="19"/>
        </w:rPr>
      </w:pPr>
      <w:r w:rsidRPr="00977F6C">
        <w:rPr>
          <w:rFonts w:ascii="Verdana" w:hAnsi="Verdana"/>
          <w:sz w:val="19"/>
          <w:szCs w:val="19"/>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039B505A" w14:textId="77777777" w:rsidR="002B6154" w:rsidRPr="00977F6C" w:rsidRDefault="002B6154" w:rsidP="002B6154">
      <w:pPr>
        <w:pStyle w:val="Textonotapie"/>
        <w:ind w:firstLine="708"/>
        <w:jc w:val="both"/>
        <w:rPr>
          <w:rFonts w:ascii="Verdana" w:hAnsi="Verdana"/>
          <w:sz w:val="19"/>
          <w:szCs w:val="19"/>
        </w:rPr>
      </w:pPr>
    </w:p>
    <w:p w14:paraId="78664111" w14:textId="77777777" w:rsidR="002B6154" w:rsidRPr="00977F6C" w:rsidRDefault="002B6154" w:rsidP="002B6154">
      <w:pPr>
        <w:pStyle w:val="Textonotapie"/>
        <w:ind w:firstLine="708"/>
        <w:jc w:val="both"/>
        <w:rPr>
          <w:rFonts w:ascii="Verdana" w:hAnsi="Verdana"/>
          <w:sz w:val="19"/>
          <w:szCs w:val="19"/>
        </w:rPr>
      </w:pPr>
      <w:r w:rsidRPr="00977F6C">
        <w:rPr>
          <w:rFonts w:ascii="Verdana" w:hAnsi="Verdana"/>
          <w:sz w:val="19"/>
          <w:szCs w:val="19"/>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05DB281C" w14:textId="77777777" w:rsidR="002B6154" w:rsidRPr="00977F6C" w:rsidRDefault="002B6154" w:rsidP="002B6154">
      <w:pPr>
        <w:pStyle w:val="Textonotapie"/>
        <w:ind w:firstLine="708"/>
        <w:jc w:val="both"/>
        <w:rPr>
          <w:rFonts w:ascii="Verdana" w:hAnsi="Verdana"/>
          <w:sz w:val="19"/>
          <w:szCs w:val="19"/>
        </w:rPr>
      </w:pPr>
    </w:p>
    <w:p w14:paraId="439E621C" w14:textId="77777777" w:rsidR="002B6154" w:rsidRPr="00977F6C" w:rsidRDefault="002B6154" w:rsidP="002B6154">
      <w:pPr>
        <w:pStyle w:val="Textonotapie"/>
        <w:ind w:firstLine="708"/>
        <w:jc w:val="both"/>
        <w:rPr>
          <w:rFonts w:ascii="Verdana" w:hAnsi="Verdana"/>
          <w:sz w:val="19"/>
          <w:szCs w:val="19"/>
        </w:rPr>
      </w:pPr>
      <w:r w:rsidRPr="00977F6C">
        <w:rPr>
          <w:rFonts w:ascii="Verdana" w:hAnsi="Verdana"/>
          <w:sz w:val="19"/>
          <w:szCs w:val="19"/>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2E269EE5" w14:textId="77777777" w:rsidR="002B6154" w:rsidRPr="00977F6C" w:rsidRDefault="002B6154" w:rsidP="002B6154">
      <w:pPr>
        <w:pStyle w:val="Textonotapie"/>
        <w:ind w:firstLine="708"/>
        <w:jc w:val="both"/>
        <w:rPr>
          <w:rFonts w:ascii="Verdana" w:hAnsi="Verdana"/>
          <w:sz w:val="19"/>
          <w:szCs w:val="19"/>
        </w:rPr>
      </w:pPr>
    </w:p>
    <w:p w14:paraId="1AAA7F0D" w14:textId="77777777" w:rsidR="002B6154" w:rsidRPr="00977F6C" w:rsidRDefault="002B6154" w:rsidP="002B6154">
      <w:pPr>
        <w:pStyle w:val="Textonotapie"/>
        <w:ind w:firstLine="708"/>
        <w:jc w:val="both"/>
        <w:rPr>
          <w:rFonts w:ascii="Verdana" w:hAnsi="Verdana"/>
          <w:sz w:val="19"/>
          <w:szCs w:val="19"/>
        </w:rPr>
      </w:pPr>
      <w:r w:rsidRPr="00977F6C">
        <w:rPr>
          <w:rFonts w:ascii="Verdana" w:hAnsi="Verdana"/>
          <w:sz w:val="19"/>
          <w:szCs w:val="19"/>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 w:id="5">
    <w:p w14:paraId="19D8D09E" w14:textId="77777777" w:rsidR="002B6154" w:rsidRPr="00FF3F8B" w:rsidRDefault="002B6154" w:rsidP="002B6154">
      <w:pPr>
        <w:pStyle w:val="Textonotapie"/>
        <w:ind w:firstLine="708"/>
        <w:jc w:val="both"/>
        <w:rPr>
          <w:rFonts w:ascii="Verdana" w:hAnsi="Verdana"/>
          <w:sz w:val="19"/>
          <w:szCs w:val="19"/>
          <w:lang w:val="es-ES_tradnl"/>
        </w:rPr>
      </w:pPr>
      <w:r w:rsidRPr="00FF3F8B">
        <w:rPr>
          <w:rStyle w:val="Refdenotaalpie"/>
          <w:rFonts w:ascii="Verdana" w:hAnsi="Verdana"/>
          <w:sz w:val="19"/>
          <w:szCs w:val="19"/>
        </w:rPr>
        <w:footnoteRef/>
      </w:r>
      <w:r w:rsidRPr="00FF3F8B">
        <w:rPr>
          <w:rFonts w:ascii="Verdana" w:hAnsi="Verdana"/>
          <w:sz w:val="19"/>
          <w:szCs w:val="19"/>
        </w:rPr>
        <w:t xml:space="preserve"> </w:t>
      </w:r>
      <w:r w:rsidRPr="00FF3F8B">
        <w:rPr>
          <w:rFonts w:ascii="Verdana" w:hAnsi="Verdana"/>
          <w:sz w:val="19"/>
          <w:szCs w:val="19"/>
          <w:lang w:val="es-ES_tradnl"/>
        </w:rPr>
        <w:t xml:space="preserve">Normas de NSR-10 disponible en el siguiente enlace: </w:t>
      </w:r>
      <w:hyperlink r:id="rId3" w:history="1">
        <w:r w:rsidRPr="00FF3F8B">
          <w:rPr>
            <w:rStyle w:val="Hipervnculo"/>
            <w:rFonts w:ascii="Verdana" w:hAnsi="Verdana"/>
            <w:sz w:val="19"/>
            <w:szCs w:val="19"/>
            <w:lang w:val="es-ES_tradnl"/>
          </w:rPr>
          <w:t>https://www.unisdr.org/campaign/resilientcities/uploads/city/attachments/3871-10684.pdf</w:t>
        </w:r>
      </w:hyperlink>
      <w:r w:rsidRPr="00FF3F8B">
        <w:rPr>
          <w:rFonts w:ascii="Verdana" w:hAnsi="Verdana"/>
          <w:sz w:val="19"/>
          <w:szCs w:val="19"/>
          <w:lang w:val="es-ES_tradnl"/>
        </w:rPr>
        <w:t xml:space="preserve"> </w:t>
      </w:r>
    </w:p>
    <w:p w14:paraId="2DC80E66" w14:textId="77777777" w:rsidR="002B6154" w:rsidRPr="00FF3F8B" w:rsidRDefault="002B6154" w:rsidP="002B6154">
      <w:pPr>
        <w:pStyle w:val="Textonotapie"/>
        <w:ind w:firstLine="708"/>
        <w:jc w:val="both"/>
        <w:rPr>
          <w:rFonts w:ascii="Verdana" w:hAnsi="Verdana"/>
          <w:sz w:val="19"/>
          <w:szCs w:val="19"/>
          <w:lang w:val="es-ES_tradnl"/>
        </w:rPr>
      </w:pPr>
    </w:p>
  </w:footnote>
  <w:footnote w:id="6">
    <w:p w14:paraId="6EDD2017" w14:textId="77777777" w:rsidR="002B6154" w:rsidRPr="00977F6C" w:rsidRDefault="002B6154" w:rsidP="002B6154">
      <w:pPr>
        <w:pStyle w:val="Textonotapie"/>
        <w:ind w:firstLine="708"/>
        <w:jc w:val="both"/>
        <w:rPr>
          <w:rFonts w:ascii="Verdana" w:hAnsi="Verdana" w:cs="Arial"/>
          <w:sz w:val="19"/>
          <w:szCs w:val="19"/>
        </w:rPr>
      </w:pPr>
      <w:r w:rsidRPr="00977F6C">
        <w:rPr>
          <w:rStyle w:val="Refdenotaalpie"/>
          <w:rFonts w:ascii="Verdana" w:hAnsi="Verdana" w:cs="Arial"/>
          <w:sz w:val="19"/>
          <w:szCs w:val="19"/>
        </w:rPr>
        <w:footnoteRef/>
      </w:r>
      <w:r w:rsidRPr="00977F6C">
        <w:rPr>
          <w:rFonts w:ascii="Verdana" w:hAnsi="Verdana" w:cs="Arial"/>
          <w:sz w:val="19"/>
          <w:szCs w:val="19"/>
        </w:rPr>
        <w:t xml:space="preserve"> Concepto de la Secretaría General Alcaldía Mayor de Bogotá, Fecha. 14 de agosto de 2008. Disponible en el siguiente link: </w:t>
      </w:r>
      <w:hyperlink r:id="rId4" w:history="1">
        <w:r w:rsidRPr="00977F6C">
          <w:rPr>
            <w:rStyle w:val="Hipervnculo"/>
            <w:rFonts w:ascii="Verdana" w:hAnsi="Verdana" w:cs="Arial"/>
            <w:sz w:val="19"/>
            <w:szCs w:val="19"/>
          </w:rPr>
          <w:t>https://www.alcaldiabogota.gov.co/sisjur/normas/Norma1.jsp?i=36443</w:t>
        </w:r>
      </w:hyperlink>
    </w:p>
    <w:p w14:paraId="342505AC" w14:textId="77777777" w:rsidR="002B6154" w:rsidRPr="00977F6C" w:rsidRDefault="002B6154" w:rsidP="002B6154">
      <w:pPr>
        <w:pStyle w:val="Textonotapie"/>
        <w:ind w:firstLine="708"/>
        <w:jc w:val="both"/>
        <w:rPr>
          <w:rFonts w:ascii="Verdana" w:hAnsi="Verdana" w:cs="Arial"/>
          <w:sz w:val="19"/>
          <w:szCs w:val="19"/>
        </w:rPr>
      </w:pPr>
    </w:p>
  </w:footnote>
  <w:footnote w:id="7">
    <w:p w14:paraId="0B575FF2" w14:textId="77777777" w:rsidR="002B6154" w:rsidRPr="00977F6C" w:rsidRDefault="002B6154" w:rsidP="002B6154">
      <w:pPr>
        <w:pStyle w:val="Textonotapie"/>
        <w:ind w:firstLine="708"/>
        <w:jc w:val="both"/>
        <w:rPr>
          <w:rFonts w:ascii="Verdana" w:hAnsi="Verdana" w:cs="Arial"/>
          <w:sz w:val="19"/>
          <w:szCs w:val="19"/>
        </w:rPr>
      </w:pPr>
      <w:r w:rsidRPr="00977F6C">
        <w:rPr>
          <w:rStyle w:val="Refdenotaalpie"/>
          <w:rFonts w:ascii="Verdana" w:hAnsi="Verdana" w:cs="Arial"/>
          <w:sz w:val="19"/>
          <w:szCs w:val="19"/>
        </w:rPr>
        <w:footnoteRef/>
      </w:r>
      <w:r w:rsidRPr="00977F6C">
        <w:rPr>
          <w:rFonts w:ascii="Verdana" w:hAnsi="Verdana" w:cs="Arial"/>
          <w:sz w:val="19"/>
          <w:szCs w:val="19"/>
        </w:rPr>
        <w:t xml:space="preserve"> Ibid. </w:t>
      </w:r>
    </w:p>
  </w:footnote>
  <w:footnote w:id="8">
    <w:p w14:paraId="32086CD4" w14:textId="77777777" w:rsidR="002B6154" w:rsidRPr="00977F6C" w:rsidRDefault="002B6154" w:rsidP="002B6154">
      <w:pPr>
        <w:pStyle w:val="Textonotapie"/>
        <w:ind w:firstLine="708"/>
        <w:jc w:val="both"/>
        <w:rPr>
          <w:rFonts w:ascii="Verdana" w:hAnsi="Verdana" w:cs="Arial"/>
          <w:sz w:val="19"/>
          <w:szCs w:val="19"/>
        </w:rPr>
      </w:pPr>
      <w:r w:rsidRPr="00977F6C">
        <w:rPr>
          <w:rStyle w:val="Refdenotaalpie"/>
          <w:rFonts w:ascii="Verdana" w:hAnsi="Verdana" w:cs="Arial"/>
          <w:sz w:val="19"/>
          <w:szCs w:val="19"/>
        </w:rPr>
        <w:footnoteRef/>
      </w:r>
      <w:r w:rsidRPr="00977F6C">
        <w:rPr>
          <w:rFonts w:ascii="Verdana" w:hAnsi="Verdana" w:cs="Arial"/>
          <w:sz w:val="19"/>
          <w:szCs w:val="19"/>
        </w:rPr>
        <w:t xml:space="preserve"> Página web del Concejo de Bogotá – Los salones comunales de la comunidad: </w:t>
      </w:r>
      <w:hyperlink r:id="rId5" w:anchor=":~:text=Estos%20espacios%20son%20y%20ser%C3%A1n,los%20barrios%20de%20nuestra%20ciudad." w:history="1">
        <w:r w:rsidRPr="00977F6C">
          <w:rPr>
            <w:rStyle w:val="Hipervnculo1"/>
            <w:rFonts w:ascii="Verdana" w:hAnsi="Verdana" w:cs="Arial"/>
            <w:sz w:val="19"/>
            <w:szCs w:val="19"/>
          </w:rPr>
          <w:t>Concejo de Bogotá D.C. - Los salones comunales de la comunidad (concejodebogota.gov.co)</w:t>
        </w:r>
      </w:hyperlink>
      <w:r w:rsidRPr="00977F6C">
        <w:rPr>
          <w:rFonts w:ascii="Verdana" w:hAnsi="Verdana" w:cs="Arial"/>
          <w:sz w:val="19"/>
          <w:szCs w:val="19"/>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6A31D67"/>
    <w:multiLevelType w:val="multilevel"/>
    <w:tmpl w:val="C658B226"/>
    <w:lvl w:ilvl="0">
      <w:start w:val="2"/>
      <w:numFmt w:val="decimal"/>
      <w:lvlText w:val="%1"/>
      <w:lvlJc w:val="left"/>
      <w:pPr>
        <w:ind w:left="360" w:hanging="360"/>
      </w:pPr>
      <w:rPr>
        <w:b/>
      </w:rPr>
    </w:lvl>
    <w:lvl w:ilvl="1">
      <w:start w:val="1"/>
      <w:numFmt w:val="decimal"/>
      <w:lvlText w:val="%1.%2."/>
      <w:lvlJc w:val="left"/>
      <w:pPr>
        <w:ind w:left="928"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1"/>
  </w:num>
  <w:num w:numId="13" w16cid:durableId="1512908409">
    <w:abstractNumId w:val="4"/>
  </w:num>
  <w:num w:numId="14" w16cid:durableId="895897244">
    <w:abstractNumId w:val="15"/>
  </w:num>
  <w:num w:numId="15" w16cid:durableId="390349800">
    <w:abstractNumId w:val="11"/>
  </w:num>
  <w:num w:numId="16" w16cid:durableId="341274352">
    <w:abstractNumId w:val="0"/>
  </w:num>
  <w:num w:numId="17" w16cid:durableId="679089576">
    <w:abstractNumId w:val="10"/>
  </w:num>
  <w:num w:numId="18" w16cid:durableId="1308516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421BB"/>
    <w:rsid w:val="0024430B"/>
    <w:rsid w:val="0025796E"/>
    <w:rsid w:val="002707A2"/>
    <w:rsid w:val="002951A0"/>
    <w:rsid w:val="002962BC"/>
    <w:rsid w:val="002A093D"/>
    <w:rsid w:val="002A0DD0"/>
    <w:rsid w:val="002A49AC"/>
    <w:rsid w:val="002A64FD"/>
    <w:rsid w:val="002B6154"/>
    <w:rsid w:val="002C7A84"/>
    <w:rsid w:val="002E2BF8"/>
    <w:rsid w:val="002E4FD9"/>
    <w:rsid w:val="0030657A"/>
    <w:rsid w:val="00322A85"/>
    <w:rsid w:val="00324168"/>
    <w:rsid w:val="00330834"/>
    <w:rsid w:val="00331199"/>
    <w:rsid w:val="003448F4"/>
    <w:rsid w:val="00374D8A"/>
    <w:rsid w:val="00374F5E"/>
    <w:rsid w:val="00375E2D"/>
    <w:rsid w:val="00377E3E"/>
    <w:rsid w:val="00381235"/>
    <w:rsid w:val="003A779E"/>
    <w:rsid w:val="003D0F4D"/>
    <w:rsid w:val="003D5B0D"/>
    <w:rsid w:val="003E0499"/>
    <w:rsid w:val="003E4F80"/>
    <w:rsid w:val="003E6439"/>
    <w:rsid w:val="003F3941"/>
    <w:rsid w:val="00406575"/>
    <w:rsid w:val="00414C74"/>
    <w:rsid w:val="0042722E"/>
    <w:rsid w:val="0044528D"/>
    <w:rsid w:val="00466E39"/>
    <w:rsid w:val="004751AC"/>
    <w:rsid w:val="004A1847"/>
    <w:rsid w:val="004A305D"/>
    <w:rsid w:val="004F21C4"/>
    <w:rsid w:val="004F685F"/>
    <w:rsid w:val="005566E8"/>
    <w:rsid w:val="0056408C"/>
    <w:rsid w:val="00574867"/>
    <w:rsid w:val="00591460"/>
    <w:rsid w:val="005A65E0"/>
    <w:rsid w:val="005C3777"/>
    <w:rsid w:val="005C5CDC"/>
    <w:rsid w:val="005D476C"/>
    <w:rsid w:val="006200BF"/>
    <w:rsid w:val="006219F8"/>
    <w:rsid w:val="006302F7"/>
    <w:rsid w:val="00646B9F"/>
    <w:rsid w:val="00665D70"/>
    <w:rsid w:val="00682780"/>
    <w:rsid w:val="006900D9"/>
    <w:rsid w:val="00706C16"/>
    <w:rsid w:val="00726DCD"/>
    <w:rsid w:val="007340C3"/>
    <w:rsid w:val="0075235A"/>
    <w:rsid w:val="00756841"/>
    <w:rsid w:val="007649AB"/>
    <w:rsid w:val="00771D0C"/>
    <w:rsid w:val="007833AC"/>
    <w:rsid w:val="007B268C"/>
    <w:rsid w:val="007B7171"/>
    <w:rsid w:val="007C0C0F"/>
    <w:rsid w:val="007C3DC2"/>
    <w:rsid w:val="007E5497"/>
    <w:rsid w:val="007E5DA5"/>
    <w:rsid w:val="00806F5F"/>
    <w:rsid w:val="00820278"/>
    <w:rsid w:val="008258C9"/>
    <w:rsid w:val="00844AE9"/>
    <w:rsid w:val="00867F95"/>
    <w:rsid w:val="008843B6"/>
    <w:rsid w:val="00891928"/>
    <w:rsid w:val="008A446D"/>
    <w:rsid w:val="008B25F1"/>
    <w:rsid w:val="008D180B"/>
    <w:rsid w:val="008F0EA7"/>
    <w:rsid w:val="00923EEF"/>
    <w:rsid w:val="00927414"/>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13DC"/>
    <w:rsid w:val="00A33C78"/>
    <w:rsid w:val="00A36412"/>
    <w:rsid w:val="00AB0ADB"/>
    <w:rsid w:val="00AC7F38"/>
    <w:rsid w:val="00AD214E"/>
    <w:rsid w:val="00B00C0E"/>
    <w:rsid w:val="00B01B1A"/>
    <w:rsid w:val="00B02F6B"/>
    <w:rsid w:val="00B0381D"/>
    <w:rsid w:val="00B44A47"/>
    <w:rsid w:val="00B72CD3"/>
    <w:rsid w:val="00B72FFF"/>
    <w:rsid w:val="00B84531"/>
    <w:rsid w:val="00BC3D36"/>
    <w:rsid w:val="00BD54A6"/>
    <w:rsid w:val="00BD7F72"/>
    <w:rsid w:val="00BF7425"/>
    <w:rsid w:val="00C04FB3"/>
    <w:rsid w:val="00C11D8B"/>
    <w:rsid w:val="00C15139"/>
    <w:rsid w:val="00C25356"/>
    <w:rsid w:val="00C330EB"/>
    <w:rsid w:val="00C50D69"/>
    <w:rsid w:val="00C5365C"/>
    <w:rsid w:val="00C754BE"/>
    <w:rsid w:val="00C76B1C"/>
    <w:rsid w:val="00C925AC"/>
    <w:rsid w:val="00CB6357"/>
    <w:rsid w:val="00CC1B26"/>
    <w:rsid w:val="00D33D60"/>
    <w:rsid w:val="00D361FD"/>
    <w:rsid w:val="00D423A2"/>
    <w:rsid w:val="00D44E26"/>
    <w:rsid w:val="00D520D8"/>
    <w:rsid w:val="00D5596E"/>
    <w:rsid w:val="00D63AC2"/>
    <w:rsid w:val="00D7383B"/>
    <w:rsid w:val="00D7788A"/>
    <w:rsid w:val="00DA1E2F"/>
    <w:rsid w:val="00DA231B"/>
    <w:rsid w:val="00DC39FC"/>
    <w:rsid w:val="00DF5254"/>
    <w:rsid w:val="00E02524"/>
    <w:rsid w:val="00E16408"/>
    <w:rsid w:val="00E20894"/>
    <w:rsid w:val="00E245AB"/>
    <w:rsid w:val="00E2764C"/>
    <w:rsid w:val="00E27F2E"/>
    <w:rsid w:val="00E475DD"/>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D1F98"/>
    <w:rsid w:val="00FF1449"/>
    <w:rsid w:val="00FF7963"/>
    <w:rsid w:val="0369C9AF"/>
    <w:rsid w:val="071B8F93"/>
    <w:rsid w:val="07C73DD1"/>
    <w:rsid w:val="09908A09"/>
    <w:rsid w:val="0E0AF0F4"/>
    <w:rsid w:val="0EFE6349"/>
    <w:rsid w:val="0FF4CCA8"/>
    <w:rsid w:val="11920450"/>
    <w:rsid w:val="125981DA"/>
    <w:rsid w:val="13CFC91B"/>
    <w:rsid w:val="19A2EC2C"/>
    <w:rsid w:val="1ACCD1CD"/>
    <w:rsid w:val="21779BE6"/>
    <w:rsid w:val="26C96008"/>
    <w:rsid w:val="2859CA1B"/>
    <w:rsid w:val="2C4D2425"/>
    <w:rsid w:val="2EE1E026"/>
    <w:rsid w:val="2F44F38F"/>
    <w:rsid w:val="30821638"/>
    <w:rsid w:val="32A4F9CF"/>
    <w:rsid w:val="33A1FF93"/>
    <w:rsid w:val="34B55CE2"/>
    <w:rsid w:val="356CEDFD"/>
    <w:rsid w:val="3C591AFD"/>
    <w:rsid w:val="3FFB5793"/>
    <w:rsid w:val="42183F0A"/>
    <w:rsid w:val="471A749D"/>
    <w:rsid w:val="4E797722"/>
    <w:rsid w:val="519B287F"/>
    <w:rsid w:val="545B112A"/>
    <w:rsid w:val="5BEB1497"/>
    <w:rsid w:val="5F47AFC4"/>
    <w:rsid w:val="66AC136E"/>
    <w:rsid w:val="69614A15"/>
    <w:rsid w:val="6BBCEDCB"/>
    <w:rsid w:val="6D301276"/>
    <w:rsid w:val="6FC15E3F"/>
    <w:rsid w:val="72C1FDD2"/>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1">
    <w:name w:val="heading 1"/>
    <w:basedOn w:val="Normal"/>
    <w:next w:val="Normal"/>
    <w:link w:val="Ttulo1Car"/>
    <w:uiPriority w:val="9"/>
    <w:qFormat/>
    <w:rsid w:val="002B6154"/>
    <w:pPr>
      <w:keepNext/>
      <w:keepLines/>
      <w:spacing w:before="240" w:after="0"/>
      <w:outlineLvl w:val="0"/>
    </w:pPr>
    <w:rPr>
      <w:rFonts w:ascii="Aptos Display" w:eastAsia="Times New Roman" w:hAnsi="Aptos Display" w:cs="Times New Roman"/>
      <w:color w:val="0F4761"/>
      <w:sz w:val="40"/>
      <w:szCs w:val="40"/>
    </w:rPr>
  </w:style>
  <w:style w:type="paragraph" w:styleId="Ttulo2">
    <w:name w:val="heading 2"/>
    <w:basedOn w:val="Normal"/>
    <w:next w:val="Normal"/>
    <w:link w:val="Ttulo2Car"/>
    <w:uiPriority w:val="9"/>
    <w:semiHidden/>
    <w:unhideWhenUsed/>
    <w:qFormat/>
    <w:rsid w:val="002B6154"/>
    <w:pPr>
      <w:keepNext/>
      <w:keepLines/>
      <w:spacing w:before="40" w:after="0"/>
      <w:outlineLvl w:val="1"/>
    </w:pPr>
    <w:rPr>
      <w:rFonts w:ascii="Aptos Display" w:eastAsia="Times New Roman" w:hAnsi="Aptos Display" w:cs="Times New Roman"/>
      <w:color w:val="0F4761"/>
      <w:sz w:val="32"/>
      <w:szCs w:val="32"/>
    </w:rPr>
  </w:style>
  <w:style w:type="paragraph" w:styleId="Ttulo3">
    <w:name w:val="heading 3"/>
    <w:basedOn w:val="Normal"/>
    <w:next w:val="Normal"/>
    <w:link w:val="Ttulo3Car"/>
    <w:uiPriority w:val="9"/>
    <w:semiHidden/>
    <w:unhideWhenUsed/>
    <w:qFormat/>
    <w:rsid w:val="002B6154"/>
    <w:pPr>
      <w:keepNext/>
      <w:keepLines/>
      <w:spacing w:before="40" w:after="0"/>
      <w:outlineLvl w:val="2"/>
    </w:pPr>
    <w:rPr>
      <w:rFonts w:eastAsia="Times New Roman" w:cs="Times New Roman"/>
      <w:color w:val="0F4761"/>
      <w:sz w:val="28"/>
      <w:szCs w:val="28"/>
    </w:rPr>
  </w:style>
  <w:style w:type="paragraph" w:styleId="Ttulo4">
    <w:name w:val="heading 4"/>
    <w:basedOn w:val="Normal"/>
    <w:next w:val="Normal"/>
    <w:link w:val="Ttulo4Car"/>
    <w:uiPriority w:val="9"/>
    <w:semiHidden/>
    <w:unhideWhenUsed/>
    <w:qFormat/>
    <w:rsid w:val="002B6154"/>
    <w:pPr>
      <w:keepNext/>
      <w:keepLines/>
      <w:spacing w:before="40" w:after="0"/>
      <w:outlineLvl w:val="3"/>
    </w:pPr>
    <w:rPr>
      <w:rFonts w:eastAsia="Times New Roman" w:cs="Times New Roman"/>
      <w:i/>
      <w:iCs/>
      <w:color w:val="0F4761"/>
    </w:rPr>
  </w:style>
  <w:style w:type="paragraph" w:styleId="Ttulo5">
    <w:name w:val="heading 5"/>
    <w:basedOn w:val="Normal"/>
    <w:next w:val="Normal"/>
    <w:link w:val="Ttulo5Car"/>
    <w:uiPriority w:val="9"/>
    <w:semiHidden/>
    <w:unhideWhenUsed/>
    <w:qFormat/>
    <w:rsid w:val="002B6154"/>
    <w:pPr>
      <w:keepNext/>
      <w:keepLines/>
      <w:spacing w:before="40" w:after="0"/>
      <w:outlineLvl w:val="4"/>
    </w:pPr>
    <w:rPr>
      <w:rFonts w:eastAsia="Times New Roman" w:cs="Times New Roman"/>
      <w:color w:val="0F4761"/>
    </w:rPr>
  </w:style>
  <w:style w:type="paragraph" w:styleId="Ttulo6">
    <w:name w:val="heading 6"/>
    <w:basedOn w:val="Normal"/>
    <w:next w:val="Normal"/>
    <w:link w:val="Ttulo6Car"/>
    <w:uiPriority w:val="9"/>
    <w:semiHidden/>
    <w:unhideWhenUsed/>
    <w:qFormat/>
    <w:rsid w:val="002B6154"/>
    <w:pPr>
      <w:keepNext/>
      <w:keepLines/>
      <w:spacing w:before="40" w:after="0"/>
      <w:outlineLvl w:val="5"/>
    </w:pPr>
    <w:rPr>
      <w:rFonts w:eastAsia="Times New Roman" w:cs="Times New Roman"/>
      <w:i/>
      <w:iCs/>
      <w:color w:val="595959"/>
    </w:rPr>
  </w:style>
  <w:style w:type="paragraph" w:styleId="Ttulo7">
    <w:name w:val="heading 7"/>
    <w:basedOn w:val="Normal"/>
    <w:next w:val="Normal"/>
    <w:link w:val="Ttulo7Car"/>
    <w:uiPriority w:val="9"/>
    <w:semiHidden/>
    <w:unhideWhenUsed/>
    <w:qFormat/>
    <w:rsid w:val="002B6154"/>
    <w:pPr>
      <w:keepNext/>
      <w:keepLines/>
      <w:spacing w:before="40" w:after="0"/>
      <w:outlineLvl w:val="6"/>
    </w:pPr>
    <w:rPr>
      <w:rFonts w:eastAsia="Times New Roman" w:cs="Times New Roman"/>
      <w:color w:val="595959"/>
    </w:rPr>
  </w:style>
  <w:style w:type="paragraph" w:styleId="Ttulo8">
    <w:name w:val="heading 8"/>
    <w:basedOn w:val="Normal"/>
    <w:next w:val="Normal"/>
    <w:link w:val="Ttulo8Car"/>
    <w:uiPriority w:val="9"/>
    <w:semiHidden/>
    <w:unhideWhenUsed/>
    <w:qFormat/>
    <w:rsid w:val="002B6154"/>
    <w:pPr>
      <w:keepNext/>
      <w:keepLines/>
      <w:spacing w:before="40" w:after="0"/>
      <w:outlineLvl w:val="7"/>
    </w:pPr>
    <w:rPr>
      <w:rFonts w:eastAsia="Times New Roman" w:cs="Times New Roman"/>
      <w:i/>
      <w:iCs/>
      <w:color w:val="272727"/>
    </w:rPr>
  </w:style>
  <w:style w:type="paragraph" w:styleId="Ttulo9">
    <w:name w:val="heading 9"/>
    <w:basedOn w:val="Normal"/>
    <w:next w:val="Normal"/>
    <w:link w:val="Ttulo9Car"/>
    <w:uiPriority w:val="9"/>
    <w:semiHidden/>
    <w:unhideWhenUsed/>
    <w:qFormat/>
    <w:rsid w:val="002B6154"/>
    <w:pPr>
      <w:keepNext/>
      <w:keepLines/>
      <w:spacing w:before="40" w:after="0"/>
      <w:outlineLvl w:val="8"/>
    </w:pPr>
    <w:rPr>
      <w:rFonts w:eastAsia="Times New Roman" w:cs="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Ttulo11">
    <w:name w:val="Título 11"/>
    <w:basedOn w:val="Normal"/>
    <w:next w:val="Normal"/>
    <w:uiPriority w:val="9"/>
    <w:qFormat/>
    <w:rsid w:val="002B6154"/>
    <w:pPr>
      <w:keepNext/>
      <w:keepLines/>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Ttulo21">
    <w:name w:val="Título 21"/>
    <w:basedOn w:val="Normal"/>
    <w:next w:val="Normal"/>
    <w:uiPriority w:val="9"/>
    <w:semiHidden/>
    <w:unhideWhenUsed/>
    <w:qFormat/>
    <w:rsid w:val="002B6154"/>
    <w:pPr>
      <w:keepNext/>
      <w:keepLines/>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Ttulo31">
    <w:name w:val="Título 31"/>
    <w:basedOn w:val="Normal"/>
    <w:next w:val="Normal"/>
    <w:uiPriority w:val="9"/>
    <w:semiHidden/>
    <w:unhideWhenUsed/>
    <w:qFormat/>
    <w:rsid w:val="002B6154"/>
    <w:pPr>
      <w:keepNext/>
      <w:keepLines/>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Ttulo41">
    <w:name w:val="Título 41"/>
    <w:basedOn w:val="Normal"/>
    <w:next w:val="Normal"/>
    <w:uiPriority w:val="9"/>
    <w:semiHidden/>
    <w:unhideWhenUsed/>
    <w:qFormat/>
    <w:rsid w:val="002B6154"/>
    <w:pPr>
      <w:keepNext/>
      <w:keepLines/>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Ttulo51">
    <w:name w:val="Título 51"/>
    <w:basedOn w:val="Normal"/>
    <w:next w:val="Normal"/>
    <w:uiPriority w:val="9"/>
    <w:semiHidden/>
    <w:unhideWhenUsed/>
    <w:qFormat/>
    <w:rsid w:val="002B6154"/>
    <w:pPr>
      <w:keepNext/>
      <w:keepLines/>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Ttulo61">
    <w:name w:val="Título 61"/>
    <w:basedOn w:val="Normal"/>
    <w:next w:val="Normal"/>
    <w:uiPriority w:val="9"/>
    <w:semiHidden/>
    <w:unhideWhenUsed/>
    <w:qFormat/>
    <w:rsid w:val="002B6154"/>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Ttulo71">
    <w:name w:val="Título 71"/>
    <w:basedOn w:val="Normal"/>
    <w:next w:val="Normal"/>
    <w:uiPriority w:val="9"/>
    <w:semiHidden/>
    <w:unhideWhenUsed/>
    <w:qFormat/>
    <w:rsid w:val="002B6154"/>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Ttulo81">
    <w:name w:val="Título 81"/>
    <w:basedOn w:val="Normal"/>
    <w:next w:val="Normal"/>
    <w:uiPriority w:val="9"/>
    <w:semiHidden/>
    <w:unhideWhenUsed/>
    <w:qFormat/>
    <w:rsid w:val="002B6154"/>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Ttulo91">
    <w:name w:val="Título 91"/>
    <w:basedOn w:val="Normal"/>
    <w:next w:val="Normal"/>
    <w:uiPriority w:val="9"/>
    <w:semiHidden/>
    <w:unhideWhenUsed/>
    <w:qFormat/>
    <w:rsid w:val="002B6154"/>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Sinlista1">
    <w:name w:val="Sin lista1"/>
    <w:next w:val="Sinlista"/>
    <w:uiPriority w:val="99"/>
    <w:semiHidden/>
    <w:unhideWhenUsed/>
    <w:rsid w:val="002B6154"/>
  </w:style>
  <w:style w:type="character" w:customStyle="1" w:styleId="Ttulo1Car">
    <w:name w:val="Título 1 Car"/>
    <w:basedOn w:val="Fuentedeprrafopredeter"/>
    <w:link w:val="Ttulo1"/>
    <w:uiPriority w:val="9"/>
    <w:rsid w:val="002B6154"/>
    <w:rPr>
      <w:rFonts w:ascii="Aptos Display" w:eastAsia="Times New Roman" w:hAnsi="Aptos Display" w:cs="Times New Roman"/>
      <w:color w:val="0F4761"/>
      <w:sz w:val="40"/>
      <w:szCs w:val="40"/>
    </w:rPr>
  </w:style>
  <w:style w:type="character" w:customStyle="1" w:styleId="Ttulo2Car">
    <w:name w:val="Título 2 Car"/>
    <w:basedOn w:val="Fuentedeprrafopredeter"/>
    <w:link w:val="Ttulo2"/>
    <w:uiPriority w:val="9"/>
    <w:semiHidden/>
    <w:rsid w:val="002B6154"/>
    <w:rPr>
      <w:rFonts w:ascii="Aptos Display" w:eastAsia="Times New Roman" w:hAnsi="Aptos Display" w:cs="Times New Roman"/>
      <w:color w:val="0F4761"/>
      <w:sz w:val="32"/>
      <w:szCs w:val="32"/>
    </w:rPr>
  </w:style>
  <w:style w:type="character" w:customStyle="1" w:styleId="Ttulo3Car">
    <w:name w:val="Título 3 Car"/>
    <w:basedOn w:val="Fuentedeprrafopredeter"/>
    <w:link w:val="Ttulo3"/>
    <w:uiPriority w:val="9"/>
    <w:semiHidden/>
    <w:rsid w:val="002B6154"/>
    <w:rPr>
      <w:rFonts w:eastAsia="Times New Roman" w:cs="Times New Roman"/>
      <w:color w:val="0F4761"/>
      <w:sz w:val="28"/>
      <w:szCs w:val="28"/>
    </w:rPr>
  </w:style>
  <w:style w:type="character" w:customStyle="1" w:styleId="Ttulo4Car">
    <w:name w:val="Título 4 Car"/>
    <w:basedOn w:val="Fuentedeprrafopredeter"/>
    <w:link w:val="Ttulo4"/>
    <w:uiPriority w:val="9"/>
    <w:semiHidden/>
    <w:rsid w:val="002B6154"/>
    <w:rPr>
      <w:rFonts w:eastAsia="Times New Roman" w:cs="Times New Roman"/>
      <w:i/>
      <w:iCs/>
      <w:color w:val="0F4761"/>
    </w:rPr>
  </w:style>
  <w:style w:type="character" w:customStyle="1" w:styleId="Ttulo5Car">
    <w:name w:val="Título 5 Car"/>
    <w:basedOn w:val="Fuentedeprrafopredeter"/>
    <w:link w:val="Ttulo5"/>
    <w:uiPriority w:val="9"/>
    <w:semiHidden/>
    <w:rsid w:val="002B6154"/>
    <w:rPr>
      <w:rFonts w:eastAsia="Times New Roman" w:cs="Times New Roman"/>
      <w:color w:val="0F4761"/>
    </w:rPr>
  </w:style>
  <w:style w:type="character" w:customStyle="1" w:styleId="Ttulo6Car">
    <w:name w:val="Título 6 Car"/>
    <w:basedOn w:val="Fuentedeprrafopredeter"/>
    <w:link w:val="Ttulo6"/>
    <w:uiPriority w:val="9"/>
    <w:semiHidden/>
    <w:rsid w:val="002B6154"/>
    <w:rPr>
      <w:rFonts w:eastAsia="Times New Roman" w:cs="Times New Roman"/>
      <w:i/>
      <w:iCs/>
      <w:color w:val="595959"/>
    </w:rPr>
  </w:style>
  <w:style w:type="character" w:customStyle="1" w:styleId="Ttulo7Car">
    <w:name w:val="Título 7 Car"/>
    <w:basedOn w:val="Fuentedeprrafopredeter"/>
    <w:link w:val="Ttulo7"/>
    <w:uiPriority w:val="9"/>
    <w:semiHidden/>
    <w:rsid w:val="002B6154"/>
    <w:rPr>
      <w:rFonts w:eastAsia="Times New Roman" w:cs="Times New Roman"/>
      <w:color w:val="595959"/>
    </w:rPr>
  </w:style>
  <w:style w:type="character" w:customStyle="1" w:styleId="Ttulo8Car">
    <w:name w:val="Título 8 Car"/>
    <w:basedOn w:val="Fuentedeprrafopredeter"/>
    <w:link w:val="Ttulo8"/>
    <w:uiPriority w:val="9"/>
    <w:semiHidden/>
    <w:rsid w:val="002B6154"/>
    <w:rPr>
      <w:rFonts w:eastAsia="Times New Roman" w:cs="Times New Roman"/>
      <w:i/>
      <w:iCs/>
      <w:color w:val="272727"/>
    </w:rPr>
  </w:style>
  <w:style w:type="character" w:customStyle="1" w:styleId="Ttulo9Car">
    <w:name w:val="Título 9 Car"/>
    <w:basedOn w:val="Fuentedeprrafopredeter"/>
    <w:link w:val="Ttulo9"/>
    <w:uiPriority w:val="9"/>
    <w:semiHidden/>
    <w:rsid w:val="002B6154"/>
    <w:rPr>
      <w:rFonts w:eastAsia="Times New Roman" w:cs="Times New Roman"/>
      <w:color w:val="272727"/>
    </w:rPr>
  </w:style>
  <w:style w:type="paragraph" w:customStyle="1" w:styleId="Subttulo1">
    <w:name w:val="Subtítulo1"/>
    <w:basedOn w:val="Normal"/>
    <w:next w:val="Normal"/>
    <w:uiPriority w:val="11"/>
    <w:qFormat/>
    <w:rsid w:val="002B6154"/>
    <w:pPr>
      <w:numPr>
        <w:ilvl w:val="1"/>
      </w:numPr>
      <w:spacing w:line="278" w:lineRule="auto"/>
    </w:pPr>
    <w:rPr>
      <w:rFonts w:eastAsia="Times New Roman" w:cs="Times New Roman"/>
      <w:color w:val="595959"/>
      <w:spacing w:val="15"/>
      <w:kern w:val="2"/>
      <w:sz w:val="28"/>
      <w:szCs w:val="28"/>
      <w14:ligatures w14:val="standardContextual"/>
    </w:rPr>
  </w:style>
  <w:style w:type="character" w:customStyle="1" w:styleId="SubttuloCar">
    <w:name w:val="Subtítulo Car"/>
    <w:basedOn w:val="Fuentedeprrafopredeter"/>
    <w:link w:val="Subttulo"/>
    <w:uiPriority w:val="11"/>
    <w:rsid w:val="002B6154"/>
    <w:rPr>
      <w:rFonts w:eastAsia="Times New Roman" w:cs="Times New Roman"/>
      <w:color w:val="595959"/>
      <w:spacing w:val="15"/>
      <w:sz w:val="28"/>
      <w:szCs w:val="28"/>
    </w:rPr>
  </w:style>
  <w:style w:type="paragraph" w:customStyle="1" w:styleId="Cita1">
    <w:name w:val="Cita1"/>
    <w:basedOn w:val="Normal"/>
    <w:next w:val="Normal"/>
    <w:uiPriority w:val="29"/>
    <w:qFormat/>
    <w:rsid w:val="002B6154"/>
    <w:pPr>
      <w:spacing w:before="160" w:line="278" w:lineRule="auto"/>
      <w:jc w:val="center"/>
    </w:pPr>
    <w:rPr>
      <w:i/>
      <w:iCs/>
      <w:color w:val="404040"/>
      <w:kern w:val="2"/>
      <w:sz w:val="24"/>
      <w:szCs w:val="24"/>
      <w14:ligatures w14:val="standardContextual"/>
    </w:rPr>
  </w:style>
  <w:style w:type="character" w:customStyle="1" w:styleId="CitaCar">
    <w:name w:val="Cita Car"/>
    <w:basedOn w:val="Fuentedeprrafopredeter"/>
    <w:link w:val="Cita"/>
    <w:uiPriority w:val="29"/>
    <w:rsid w:val="002B6154"/>
    <w:rPr>
      <w:i/>
      <w:iCs/>
      <w:color w:val="404040"/>
    </w:rPr>
  </w:style>
  <w:style w:type="character" w:customStyle="1" w:styleId="nfasisintenso1">
    <w:name w:val="Énfasis intenso1"/>
    <w:basedOn w:val="Fuentedeprrafopredeter"/>
    <w:uiPriority w:val="21"/>
    <w:qFormat/>
    <w:rsid w:val="002B6154"/>
    <w:rPr>
      <w:i/>
      <w:iCs/>
      <w:color w:val="0F4761"/>
    </w:rPr>
  </w:style>
  <w:style w:type="paragraph" w:customStyle="1" w:styleId="Citadestacada1">
    <w:name w:val="Cita destacada1"/>
    <w:basedOn w:val="Normal"/>
    <w:next w:val="Normal"/>
    <w:uiPriority w:val="30"/>
    <w:qFormat/>
    <w:rsid w:val="002B6154"/>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CitadestacadaCar">
    <w:name w:val="Cita destacada Car"/>
    <w:basedOn w:val="Fuentedeprrafopredeter"/>
    <w:link w:val="Citadestacada"/>
    <w:uiPriority w:val="30"/>
    <w:rsid w:val="002B6154"/>
    <w:rPr>
      <w:i/>
      <w:iCs/>
      <w:color w:val="0F4761"/>
    </w:rPr>
  </w:style>
  <w:style w:type="character" w:customStyle="1" w:styleId="Referenciaintensa1">
    <w:name w:val="Referencia intensa1"/>
    <w:basedOn w:val="Fuentedeprrafopredeter"/>
    <w:uiPriority w:val="32"/>
    <w:qFormat/>
    <w:rsid w:val="002B6154"/>
    <w:rPr>
      <w:b/>
      <w:bCs/>
      <w:smallCaps/>
      <w:color w:val="0F4761"/>
      <w:spacing w:val="5"/>
    </w:rPr>
  </w:style>
  <w:style w:type="paragraph" w:customStyle="1" w:styleId="Encabezado1">
    <w:name w:val="Encabezado1"/>
    <w:basedOn w:val="Normal"/>
    <w:next w:val="Encabezado"/>
    <w:uiPriority w:val="99"/>
    <w:unhideWhenUsed/>
    <w:rsid w:val="002B6154"/>
    <w:pPr>
      <w:tabs>
        <w:tab w:val="center" w:pos="4419"/>
        <w:tab w:val="right" w:pos="8838"/>
      </w:tabs>
      <w:spacing w:after="0" w:line="240" w:lineRule="auto"/>
    </w:pPr>
  </w:style>
  <w:style w:type="paragraph" w:customStyle="1" w:styleId="Piedepgina1">
    <w:name w:val="Pie de página1"/>
    <w:basedOn w:val="Normal"/>
    <w:next w:val="Piedepgina"/>
    <w:uiPriority w:val="99"/>
    <w:unhideWhenUsed/>
    <w:rsid w:val="002B6154"/>
    <w:pPr>
      <w:tabs>
        <w:tab w:val="center" w:pos="4419"/>
        <w:tab w:val="right" w:pos="8838"/>
      </w:tabs>
      <w:spacing w:after="0" w:line="240" w:lineRule="auto"/>
    </w:pPr>
  </w:style>
  <w:style w:type="paragraph" w:customStyle="1" w:styleId="Appelnotedebasde">
    <w:name w:val="Appel note de bas de..."/>
    <w:basedOn w:val="Normal"/>
    <w:link w:val="Refdenotaalpie"/>
    <w:uiPriority w:val="99"/>
    <w:rsid w:val="002B6154"/>
    <w:pPr>
      <w:spacing w:line="240" w:lineRule="exact"/>
    </w:pPr>
    <w:rPr>
      <w:vertAlign w:val="superscript"/>
    </w:rPr>
  </w:style>
  <w:style w:type="table" w:customStyle="1" w:styleId="Tablaconcuadrcula1">
    <w:name w:val="Tabla con cuadrícula1"/>
    <w:basedOn w:val="Tablanormal"/>
    <w:next w:val="Tablaconcuadrcula"/>
    <w:uiPriority w:val="39"/>
    <w:qFormat/>
    <w:rsid w:val="002B615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ar">
    <w:name w:val="Normal (Web) Car"/>
    <w:link w:val="NormalWeb"/>
    <w:uiPriority w:val="99"/>
    <w:rsid w:val="002B6154"/>
    <w:rPr>
      <w:rFonts w:ascii="Times New Roman" w:eastAsia="Times New Roman" w:hAnsi="Times New Roman" w:cs="Times New Roman"/>
      <w:sz w:val="24"/>
      <w:szCs w:val="24"/>
      <w:lang w:eastAsia="es-CO"/>
    </w:rPr>
  </w:style>
  <w:style w:type="character" w:customStyle="1" w:styleId="EncabezadoCar1">
    <w:name w:val="Encabezado Car1"/>
    <w:basedOn w:val="Fuentedeprrafopredeter"/>
    <w:uiPriority w:val="99"/>
    <w:semiHidden/>
    <w:rsid w:val="002B6154"/>
  </w:style>
  <w:style w:type="character" w:customStyle="1" w:styleId="PiedepginaCar1">
    <w:name w:val="Pie de página Car1"/>
    <w:basedOn w:val="Fuentedeprrafopredeter"/>
    <w:uiPriority w:val="99"/>
    <w:semiHidden/>
    <w:rsid w:val="002B6154"/>
  </w:style>
  <w:style w:type="character" w:customStyle="1" w:styleId="Hipervnculo1">
    <w:name w:val="Hipervínculo1"/>
    <w:basedOn w:val="Fuentedeprrafopredeter"/>
    <w:uiPriority w:val="99"/>
    <w:unhideWhenUsed/>
    <w:rsid w:val="002B6154"/>
    <w:rPr>
      <w:color w:val="0563C1"/>
      <w:u w:val="single"/>
    </w:rPr>
  </w:style>
  <w:style w:type="character" w:customStyle="1" w:styleId="Ttulo1Car1">
    <w:name w:val="Título 1 Car1"/>
    <w:basedOn w:val="Fuentedeprrafopredeter"/>
    <w:uiPriority w:val="9"/>
    <w:rsid w:val="002B6154"/>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2B6154"/>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2B6154"/>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2B6154"/>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2B6154"/>
    <w:rPr>
      <w:rFonts w:asciiTheme="majorHAnsi" w:eastAsiaTheme="majorEastAsia" w:hAnsiTheme="majorHAnsi" w:cstheme="majorBidi"/>
      <w:color w:val="2F5496" w:themeColor="accent1" w:themeShade="BF"/>
    </w:rPr>
  </w:style>
  <w:style w:type="character" w:customStyle="1" w:styleId="Ttulo6Car1">
    <w:name w:val="Título 6 Car1"/>
    <w:basedOn w:val="Fuentedeprrafopredeter"/>
    <w:uiPriority w:val="9"/>
    <w:semiHidden/>
    <w:rsid w:val="002B6154"/>
    <w:rPr>
      <w:rFonts w:asciiTheme="majorHAnsi" w:eastAsiaTheme="majorEastAsia" w:hAnsiTheme="majorHAnsi" w:cstheme="majorBidi"/>
      <w:color w:val="1F3763" w:themeColor="accent1" w:themeShade="7F"/>
    </w:rPr>
  </w:style>
  <w:style w:type="character" w:customStyle="1" w:styleId="Ttulo7Car1">
    <w:name w:val="Título 7 Car1"/>
    <w:basedOn w:val="Fuentedeprrafopredeter"/>
    <w:uiPriority w:val="9"/>
    <w:semiHidden/>
    <w:rsid w:val="002B6154"/>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2B6154"/>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2B6154"/>
    <w:rPr>
      <w:rFonts w:asciiTheme="majorHAnsi" w:eastAsiaTheme="majorEastAsia" w:hAnsiTheme="majorHAnsi" w:cstheme="majorBidi"/>
      <w:i/>
      <w:iCs/>
      <w:color w:val="272727" w:themeColor="text1" w:themeTint="D8"/>
      <w:sz w:val="21"/>
      <w:szCs w:val="21"/>
    </w:rPr>
  </w:style>
  <w:style w:type="paragraph" w:styleId="Subttulo">
    <w:name w:val="Subtitle"/>
    <w:basedOn w:val="Normal"/>
    <w:next w:val="Normal"/>
    <w:link w:val="SubttuloCar"/>
    <w:uiPriority w:val="11"/>
    <w:qFormat/>
    <w:rsid w:val="002B6154"/>
    <w:pPr>
      <w:numPr>
        <w:ilvl w:val="1"/>
      </w:numPr>
    </w:pPr>
    <w:rPr>
      <w:rFonts w:eastAsia="Times New Roman" w:cs="Times New Roman"/>
      <w:color w:val="595959"/>
      <w:spacing w:val="15"/>
      <w:sz w:val="28"/>
      <w:szCs w:val="28"/>
    </w:rPr>
  </w:style>
  <w:style w:type="character" w:customStyle="1" w:styleId="SubttuloCar1">
    <w:name w:val="Subtítulo Car1"/>
    <w:basedOn w:val="Fuentedeprrafopredeter"/>
    <w:uiPriority w:val="11"/>
    <w:rsid w:val="002B6154"/>
    <w:rPr>
      <w:rFonts w:eastAsiaTheme="minorEastAsia"/>
      <w:color w:val="5A5A5A" w:themeColor="text1" w:themeTint="A5"/>
      <w:spacing w:val="15"/>
    </w:rPr>
  </w:style>
  <w:style w:type="paragraph" w:styleId="Cita">
    <w:name w:val="Quote"/>
    <w:basedOn w:val="Normal"/>
    <w:next w:val="Normal"/>
    <w:link w:val="CitaCar"/>
    <w:uiPriority w:val="29"/>
    <w:qFormat/>
    <w:rsid w:val="002B6154"/>
    <w:pPr>
      <w:spacing w:before="200"/>
      <w:ind w:left="864" w:right="864"/>
      <w:jc w:val="center"/>
    </w:pPr>
    <w:rPr>
      <w:i/>
      <w:iCs/>
      <w:color w:val="404040"/>
    </w:rPr>
  </w:style>
  <w:style w:type="character" w:customStyle="1" w:styleId="CitaCar1">
    <w:name w:val="Cita Car1"/>
    <w:basedOn w:val="Fuentedeprrafopredeter"/>
    <w:uiPriority w:val="29"/>
    <w:rsid w:val="002B6154"/>
    <w:rPr>
      <w:i/>
      <w:iCs/>
      <w:color w:val="404040" w:themeColor="text1" w:themeTint="BF"/>
    </w:rPr>
  </w:style>
  <w:style w:type="character" w:styleId="nfasisintenso">
    <w:name w:val="Intense Emphasis"/>
    <w:basedOn w:val="Fuentedeprrafopredeter"/>
    <w:uiPriority w:val="21"/>
    <w:qFormat/>
    <w:rsid w:val="002B6154"/>
    <w:rPr>
      <w:i/>
      <w:iCs/>
      <w:color w:val="4472C4" w:themeColor="accent1"/>
    </w:rPr>
  </w:style>
  <w:style w:type="paragraph" w:styleId="Citadestacada">
    <w:name w:val="Intense Quote"/>
    <w:basedOn w:val="Normal"/>
    <w:next w:val="Normal"/>
    <w:link w:val="CitadestacadaCar"/>
    <w:uiPriority w:val="30"/>
    <w:qFormat/>
    <w:rsid w:val="002B6154"/>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CitadestacadaCar1">
    <w:name w:val="Cita destacada Car1"/>
    <w:basedOn w:val="Fuentedeprrafopredeter"/>
    <w:uiPriority w:val="30"/>
    <w:rsid w:val="002B6154"/>
    <w:rPr>
      <w:i/>
      <w:iCs/>
      <w:color w:val="4472C4" w:themeColor="accent1"/>
    </w:rPr>
  </w:style>
  <w:style w:type="character" w:styleId="Referenciaintensa">
    <w:name w:val="Intense Reference"/>
    <w:basedOn w:val="Fuentedeprrafopredeter"/>
    <w:uiPriority w:val="32"/>
    <w:qFormat/>
    <w:rsid w:val="002B6154"/>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lombiacompra.gov.co/es/Clasificacion/test/pager/callback?_=1396361496688&amp;page=0&amp;field_event_category_value=All&amp;sort=asc&amp;order=Clase%20%20" TargetMode="External"/><Relationship Id="rId18" Type="http://schemas.openxmlformats.org/officeDocument/2006/relationships/hyperlink" Target="https://www.colombiacompra.gov.co/normativa-y-relatoria/documentos-tipo"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colombiacompra.gov.co/es/Clasificacion/test/pager/callback?_=1396361496688&amp;page=0&amp;field_event_category_value=All&amp;sort=asc&amp;order=Familia%20" TargetMode="External"/><Relationship Id="rId17" Type="http://schemas.openxmlformats.org/officeDocument/2006/relationships/hyperlink" Target="https://formacionvirtual.colombiacompra.gov.co/mod/page/view.php?id=3718"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lombiacompra.gov.co/es/Clasificacion/test/pager/callback?_=1396361496688&amp;page=0&amp;field_event_category_value=All&amp;sort=desc&amp;order=Segmento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olombiacompra.gov.co/es/Clasificacion/test/pager/callback?_=1396361496688&amp;page=0&amp;field_event_category_value=All&amp;sort=asc&amp;order=Nombre%20%20"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unisdr.org/campaign/resilientcities/uploads/city/attachments/3871-10684.pdf" TargetMode="External"/><Relationship Id="rId2" Type="http://schemas.openxmlformats.org/officeDocument/2006/relationships/hyperlink" Target="https://concejodebogota.gov.co/los-salones-comunales-de-la-comunidad/cbogota/2014-08-22/103007.php" TargetMode="External"/><Relationship Id="rId1" Type="http://schemas.openxmlformats.org/officeDocument/2006/relationships/hyperlink" Target="https://www.alcaldiabogota.gov.co/sisjur/normas/Norma1.jsp?i=36443" TargetMode="External"/><Relationship Id="rId5" Type="http://schemas.openxmlformats.org/officeDocument/2006/relationships/hyperlink" Target="https://concejodebogota.gov.co/los-salones-comunales-de-la-comunidad/cbogota/2014-08-22/103007.php" TargetMode="External"/><Relationship Id="rId4" Type="http://schemas.openxmlformats.org/officeDocument/2006/relationships/hyperlink" Target="https://www.alcaldiabogota.gov.co/sisjur/normas/Norma1.jsp?i=3644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E1F626-325F-4E28-8A4E-5A7786E55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30</Pages>
  <Words>9771</Words>
  <Characters>53742</Characters>
  <Application>Microsoft Office Word</Application>
  <DocSecurity>0</DocSecurity>
  <Lines>447</Lines>
  <Paragraphs>126</Paragraphs>
  <ScaleCrop>false</ScaleCrop>
  <Company/>
  <LinksUpToDate>false</LinksUpToDate>
  <CharactersWithSpaces>63387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2026-07-22T19:39:00Z</dcterms:created>
  <dcterms:modified xsi:type="dcterms:W3CDTF">2026-07-22T21:53:00Z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