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D4884" w14:textId="77777777" w:rsidR="006966D7" w:rsidRPr="00552607" w:rsidRDefault="006966D7" w:rsidP="006966D7">
      <w:pPr>
        <w:spacing w:after="0" w:line="240" w:lineRule="auto"/>
        <w:jc w:val="both"/>
        <w:rPr>
          <w:rFonts w:ascii="Verdana" w:eastAsia="Calibri" w:hAnsi="Verdana" w:cs="Arial"/>
          <w:b/>
          <w:bCs/>
          <w:lang w:val="es-ES" w:eastAsia="es-ES"/>
        </w:rPr>
      </w:pPr>
      <w:bookmarkStart w:id="0" w:name="_Hlk143780582"/>
      <w:r w:rsidRPr="1EB7BBFF">
        <w:rPr>
          <w:rFonts w:ascii="Verdana" w:eastAsia="Calibri" w:hAnsi="Verdana" w:cs="Arial"/>
          <w:b/>
          <w:bCs/>
          <w:lang w:val="es-ES" w:eastAsia="es-ES"/>
        </w:rPr>
        <w:t xml:space="preserve">CONVOCATORIAS LIMITADAS A MIPYMES – Requisitos – Artículo 2.2.1.2.4.2.2 – Decreto 1082 de 2015 </w:t>
      </w:r>
    </w:p>
    <w:p w14:paraId="1603CEF7" w14:textId="77777777" w:rsidR="006966D7" w:rsidRPr="00186D09" w:rsidRDefault="006966D7" w:rsidP="006966D7">
      <w:pPr>
        <w:spacing w:after="0" w:line="240" w:lineRule="auto"/>
        <w:jc w:val="both"/>
        <w:rPr>
          <w:rFonts w:ascii="Verdana" w:eastAsia="Calibri" w:hAnsi="Verdana" w:cs="Arial"/>
          <w:b/>
          <w:bCs/>
          <w:sz w:val="20"/>
          <w:szCs w:val="20"/>
          <w:highlight w:val="yellow"/>
          <w:lang w:val="es-ES_tradnl" w:eastAsia="es-ES_tradnl"/>
        </w:rPr>
      </w:pPr>
    </w:p>
    <w:p w14:paraId="2B27997F" w14:textId="77777777" w:rsidR="006966D7" w:rsidRPr="00552607" w:rsidRDefault="006966D7" w:rsidP="006966D7">
      <w:pPr>
        <w:spacing w:after="0" w:line="240" w:lineRule="auto"/>
        <w:jc w:val="both"/>
        <w:rPr>
          <w:rFonts w:ascii="Verdana" w:eastAsia="Aptos" w:hAnsi="Verdana" w:cs="Times New Roman"/>
          <w:sz w:val="20"/>
          <w:szCs w:val="20"/>
        </w:rPr>
      </w:pPr>
      <w:r w:rsidRPr="00552607">
        <w:rPr>
          <w:rFonts w:ascii="Verdana" w:eastAsia="Aptos" w:hAnsi="Verdana" w:cs="Times New Roman"/>
          <w:sz w:val="20"/>
          <w:szCs w:val="20"/>
        </w:rPr>
        <w:t>El numeral primero limita cuantitativamente los procesos contractuales en los que se puede hacer esa “convocatoria limitada a Mipymes”, en la medida en que el valor del proceso de contratación tendrá que ser “menor a ciento veinticinco mil dólares de los Estados Unidos de América”. Esta limitante, valga la pena aclarar, es establecida de acuerdo con la tasa que, para el efecto, determine cada dos años el Ministerio de Comercio, Industria y Turismo. Nótese que la norma no hace referencia a la tasa de cambio representativa del mercado –TRM –, establecida diariamente por la Superintendencia Financiera de Colombia, según lo que establece el artículo 40 de la Resolución Externa No. 1 de 2018 y la Circular Reglamentaria Externa- DODM-146, ambas expedidas por el Banco de la República.</w:t>
      </w:r>
    </w:p>
    <w:p w14:paraId="293866B8" w14:textId="77777777" w:rsidR="006966D7" w:rsidRPr="00552607" w:rsidRDefault="006966D7" w:rsidP="006966D7">
      <w:pPr>
        <w:spacing w:after="0" w:line="240" w:lineRule="auto"/>
        <w:jc w:val="both"/>
        <w:rPr>
          <w:rFonts w:ascii="Verdana" w:eastAsia="Aptos" w:hAnsi="Verdana" w:cs="Times New Roman"/>
          <w:sz w:val="20"/>
          <w:szCs w:val="20"/>
        </w:rPr>
      </w:pPr>
    </w:p>
    <w:p w14:paraId="73C9628E" w14:textId="77777777" w:rsidR="006966D7" w:rsidRPr="00495D57" w:rsidRDefault="006966D7" w:rsidP="006966D7">
      <w:pPr>
        <w:spacing w:after="0" w:line="240" w:lineRule="auto"/>
        <w:jc w:val="both"/>
        <w:rPr>
          <w:rFonts w:ascii="Verdana" w:eastAsia="Aptos" w:hAnsi="Verdana" w:cs="Times New Roman"/>
          <w:sz w:val="20"/>
          <w:szCs w:val="20"/>
        </w:rPr>
      </w:pPr>
      <w:r w:rsidRPr="00552607">
        <w:rPr>
          <w:rFonts w:ascii="Verdana" w:eastAsia="Aptos" w:hAnsi="Verdana" w:cs="Times New Roman"/>
          <w:sz w:val="20"/>
          <w:szCs w:val="20"/>
        </w:rPr>
        <w:t xml:space="preserve">El numeral segundo establece dos exigencias: por un lado, que al menos dos (2) Mipymes nacionales presenten a la entidad la solicitud formal de limitar el proceso contractual; y por el otro, que hagan la solicitud por lo menos un (1) día hábil antes de la expedición del acto administrativo de apertura, o el que haga sus veces de acuerdo con la normativa aplicable a cada Proceso de Contratación. Adicionalmente, el segundo inciso del numeral 2 de la norma indica que, tratándose de personas jurídicas, las solicitudes solo podrán realizarla las “[…] </w:t>
      </w:r>
      <w:proofErr w:type="spellStart"/>
      <w:r w:rsidRPr="00552607">
        <w:rPr>
          <w:rFonts w:ascii="Verdana" w:eastAsia="Aptos" w:hAnsi="Verdana" w:cs="Times New Roman"/>
          <w:sz w:val="20"/>
          <w:szCs w:val="20"/>
        </w:rPr>
        <w:t>Mipyme</w:t>
      </w:r>
      <w:proofErr w:type="spellEnd"/>
      <w:r w:rsidRPr="00552607">
        <w:rPr>
          <w:rFonts w:ascii="Verdana" w:eastAsia="Aptos" w:hAnsi="Verdana" w:cs="Times New Roman"/>
          <w:sz w:val="20"/>
          <w:szCs w:val="20"/>
        </w:rPr>
        <w:t xml:space="preserve">, cuyo objeto social les permita ejecutar el </w:t>
      </w:r>
      <w:r w:rsidRPr="00495D57">
        <w:rPr>
          <w:rFonts w:ascii="Verdana" w:eastAsia="Aptos" w:hAnsi="Verdana" w:cs="Times New Roman"/>
          <w:sz w:val="20"/>
          <w:szCs w:val="20"/>
        </w:rPr>
        <w:t>contrato relacionado con el proceso contractual”.</w:t>
      </w:r>
    </w:p>
    <w:p w14:paraId="0FD6C6E4" w14:textId="77777777" w:rsidR="006966D7" w:rsidRDefault="006966D7" w:rsidP="006966D7">
      <w:pPr>
        <w:spacing w:after="0" w:line="240" w:lineRule="auto"/>
        <w:rPr>
          <w:rFonts w:ascii="Verdana" w:eastAsia="Geomanist Light" w:hAnsi="Verdana" w:cs="Arial"/>
          <w:sz w:val="20"/>
          <w:szCs w:val="20"/>
          <w:lang w:val="es-MX"/>
        </w:rPr>
      </w:pPr>
    </w:p>
    <w:p w14:paraId="3D98E27C" w14:textId="77777777" w:rsidR="006966D7" w:rsidRPr="00155D68" w:rsidRDefault="006966D7" w:rsidP="006966D7">
      <w:pPr>
        <w:spacing w:after="0" w:line="240" w:lineRule="auto"/>
        <w:jc w:val="both"/>
        <w:rPr>
          <w:rFonts w:ascii="Verdana" w:eastAsia="Geomanist Light" w:hAnsi="Verdana" w:cs="Arial"/>
          <w:b/>
          <w:bCs/>
          <w:lang w:val="es-MX"/>
        </w:rPr>
      </w:pPr>
      <w:r>
        <w:rPr>
          <w:rFonts w:ascii="Verdana" w:eastAsia="Geomanist Light" w:hAnsi="Verdana" w:cs="Arial"/>
          <w:b/>
          <w:bCs/>
          <w:lang w:val="es-MX"/>
        </w:rPr>
        <w:t>CONVOCATORIAS LIMITADAS A MIPYMES – Improcedencia – Participación – Entes universitarios</w:t>
      </w:r>
    </w:p>
    <w:p w14:paraId="2D3577BB" w14:textId="77777777" w:rsidR="006966D7" w:rsidRPr="004A09CE" w:rsidRDefault="006966D7" w:rsidP="006966D7">
      <w:pPr>
        <w:spacing w:after="0" w:line="240" w:lineRule="auto"/>
        <w:rPr>
          <w:rFonts w:ascii="Verdana" w:eastAsia="Geomanist Light" w:hAnsi="Verdana" w:cs="Arial"/>
          <w:sz w:val="20"/>
          <w:szCs w:val="20"/>
          <w:lang w:val="es-MX"/>
        </w:rPr>
      </w:pPr>
    </w:p>
    <w:p w14:paraId="773EFBC0" w14:textId="77777777" w:rsidR="006966D7" w:rsidRDefault="006966D7" w:rsidP="006966D7">
      <w:pPr>
        <w:spacing w:after="0" w:line="240" w:lineRule="auto"/>
        <w:jc w:val="both"/>
        <w:rPr>
          <w:rFonts w:ascii="Verdana" w:eastAsia="Geomanist Light" w:hAnsi="Verdana" w:cs="Arial"/>
          <w:sz w:val="20"/>
          <w:szCs w:val="20"/>
          <w:lang w:val="es-MX"/>
        </w:rPr>
      </w:pPr>
      <w:r>
        <w:rPr>
          <w:rFonts w:ascii="Verdana" w:eastAsia="Geomanist Light" w:hAnsi="Verdana" w:cs="Arial"/>
          <w:sz w:val="20"/>
          <w:szCs w:val="20"/>
          <w:lang w:val="es-MX"/>
        </w:rPr>
        <w:t xml:space="preserve">[…] </w:t>
      </w:r>
      <w:r w:rsidRPr="00155D68">
        <w:rPr>
          <w:rFonts w:ascii="Verdana" w:eastAsia="Geomanist Light" w:hAnsi="Verdana" w:cs="Arial"/>
          <w:sz w:val="20"/>
          <w:szCs w:val="20"/>
          <w:lang w:val="es-MX"/>
        </w:rPr>
        <w:t xml:space="preserve">para que una Entidad Estatal pueda limitar un proceso de selección a Mipymes, deberán cumplirse de manera integral cada uno de los supuestos establecidos en el </w:t>
      </w:r>
      <w:proofErr w:type="spellStart"/>
      <w:r w:rsidRPr="00155D68">
        <w:rPr>
          <w:rFonts w:ascii="Verdana" w:eastAsia="Geomanist Light" w:hAnsi="Verdana" w:cs="Arial"/>
          <w:sz w:val="20"/>
          <w:szCs w:val="20"/>
          <w:lang w:val="es-MX"/>
        </w:rPr>
        <w:t>articulo</w:t>
      </w:r>
      <w:proofErr w:type="spellEnd"/>
      <w:r w:rsidRPr="00155D68">
        <w:rPr>
          <w:rFonts w:ascii="Verdana" w:eastAsia="Geomanist Light" w:hAnsi="Verdana" w:cs="Arial"/>
          <w:sz w:val="20"/>
          <w:szCs w:val="20"/>
          <w:lang w:val="es-MX"/>
        </w:rPr>
        <w:t xml:space="preserve"> 2.2.1.2.4.2.2 del Decreto 1082 de 2015, pues en caso contrario, no será factible que se realice tal limitación. En ese sentido, se precisa que, la limitación de procesos o convocatorias a Mipymes, impide la participación de interesados que no ostenten la calidad de tal, como es el caso de las universidades que, conforme a Ley 489 de 1998, al desarrollar la estructura y organización de la Administración Pública, establece que los entes universitarios hacen parte integral de esta, catalogándolos como entidades públicas de carácter autónomo a las que aplica un régimen especial.</w:t>
      </w:r>
    </w:p>
    <w:p w14:paraId="464CE524" w14:textId="77777777" w:rsidR="006966D7" w:rsidRPr="00155D68" w:rsidRDefault="006966D7" w:rsidP="006966D7">
      <w:pPr>
        <w:spacing w:after="0" w:line="240" w:lineRule="auto"/>
        <w:jc w:val="both"/>
        <w:rPr>
          <w:rFonts w:ascii="Verdana" w:eastAsia="Geomanist Light" w:hAnsi="Verdana" w:cs="Arial"/>
          <w:sz w:val="20"/>
          <w:szCs w:val="20"/>
          <w:lang w:val="es-MX"/>
        </w:rPr>
      </w:pPr>
    </w:p>
    <w:p w14:paraId="0EFF819B" w14:textId="77777777" w:rsidR="006966D7" w:rsidRPr="004A09CE" w:rsidRDefault="006966D7" w:rsidP="006966D7">
      <w:pPr>
        <w:spacing w:after="0" w:line="240" w:lineRule="auto"/>
        <w:jc w:val="both"/>
        <w:rPr>
          <w:rFonts w:ascii="Verdana" w:eastAsia="Geomanist Light" w:hAnsi="Verdana" w:cs="Arial"/>
          <w:sz w:val="20"/>
          <w:szCs w:val="20"/>
          <w:lang w:val="es-MX"/>
        </w:rPr>
      </w:pPr>
      <w:r w:rsidRPr="00155D68">
        <w:rPr>
          <w:rFonts w:ascii="Verdana" w:eastAsia="Geomanist Light" w:hAnsi="Verdana" w:cs="Arial"/>
          <w:sz w:val="20"/>
          <w:szCs w:val="20"/>
          <w:lang w:val="es-MX"/>
        </w:rPr>
        <w:t>Así pues, resulta claro entonces, que los entes universitarios no son considerados Mipymes, pues no encajan en la definición dispuesta en el artículo 2 de la Ley 590 de 2000, modificado por el artículo 43 de la Ley 1450 de 2011 que define “empresa”, como toda unidad de explotación económica que realiza una persona natural o jurídica en actividades agropecuarias, industriales, comerciales o de servicios. Además, establece que estas se clasifican en micro, pequeña, mediana y gran empresa, de acuerdo con los criterios del número de trabajadores totales, el valor de ventas brutales anuales y el valor de activos totales.</w:t>
      </w:r>
    </w:p>
    <w:p w14:paraId="7B1BBD85" w14:textId="77777777" w:rsidR="006966D7" w:rsidRPr="004A09CE" w:rsidRDefault="006966D7" w:rsidP="006966D7">
      <w:pPr>
        <w:spacing w:after="0" w:line="240" w:lineRule="auto"/>
        <w:rPr>
          <w:rFonts w:ascii="Verdana" w:eastAsia="Geomanist Light" w:hAnsi="Verdana" w:cs="Arial"/>
          <w:sz w:val="20"/>
          <w:szCs w:val="20"/>
          <w:lang w:val="es-MX"/>
        </w:rPr>
      </w:pPr>
    </w:p>
    <w:p w14:paraId="32834693" w14:textId="0B92F994" w:rsidR="00FB6486" w:rsidRPr="004A09CE" w:rsidRDefault="006966D7" w:rsidP="006966D7">
      <w:pPr>
        <w:spacing w:after="0" w:line="240" w:lineRule="auto"/>
        <w:rPr>
          <w:rFonts w:ascii="Verdana" w:eastAsia="Geomanist Light" w:hAnsi="Verdana" w:cs="Arial"/>
          <w:lang w:val="es-MX"/>
        </w:rPr>
      </w:pPr>
      <w:r w:rsidRPr="004A09CE">
        <w:rPr>
          <w:rFonts w:ascii="Verdana" w:eastAsia="Geomanist Light" w:hAnsi="Verdana" w:cs="Arial"/>
          <w:lang w:val="es-MX"/>
        </w:rPr>
        <w:lastRenderedPageBreak/>
        <w:t>Bogotá D.C., </w:t>
      </w:r>
      <w:r w:rsidR="00FB6486">
        <w:rPr>
          <w:rFonts w:ascii="Verdana" w:eastAsia="Geomanist Light" w:hAnsi="Verdana" w:cs="Arial"/>
          <w:lang w:val="es-MX"/>
        </w:rPr>
        <w:t xml:space="preserve">30 de </w:t>
      </w:r>
      <w:r w:rsidR="00AF2D3C">
        <w:rPr>
          <w:rFonts w:ascii="Verdana" w:eastAsia="Geomanist Light" w:hAnsi="Verdana" w:cs="Arial"/>
          <w:lang w:val="es-MX"/>
        </w:rPr>
        <w:t>julio de 2026</w:t>
      </w:r>
    </w:p>
    <w:p w14:paraId="3F501D52" w14:textId="77777777" w:rsidR="006966D7" w:rsidRPr="004A09CE" w:rsidRDefault="006966D7" w:rsidP="006966D7">
      <w:pPr>
        <w:spacing w:after="0" w:line="240" w:lineRule="auto"/>
        <w:jc w:val="both"/>
        <w:rPr>
          <w:rFonts w:ascii="Verdana" w:eastAsia="Calibri" w:hAnsi="Verdana" w:cs="Arial"/>
          <w:lang w:val="es-ES"/>
        </w:rPr>
      </w:pPr>
    </w:p>
    <w:p w14:paraId="7F81A49B" w14:textId="2B78D566" w:rsidR="006966D7" w:rsidRPr="004A09CE" w:rsidRDefault="00AF2D3C" w:rsidP="006966D7">
      <w:pPr>
        <w:spacing w:after="0" w:line="240" w:lineRule="auto"/>
        <w:jc w:val="right"/>
        <w:rPr>
          <w:rFonts w:ascii="Verdana" w:eastAsia="Calibri" w:hAnsi="Verdana" w:cs="Arial"/>
          <w:lang w:val="es-ES"/>
        </w:rPr>
      </w:pPr>
      <w:r w:rsidRPr="00AF2D3C">
        <w:rPr>
          <w:rFonts w:ascii="Verdana" w:eastAsia="Calibri" w:hAnsi="Verdana" w:cs="Arial"/>
          <w:lang w:val="es-ES"/>
        </w:rPr>
        <w:drawing>
          <wp:inline distT="0" distB="0" distL="0" distR="0" wp14:anchorId="559F852B" wp14:editId="63C497AA">
            <wp:extent cx="2210108" cy="666843"/>
            <wp:effectExtent l="0" t="0" r="0" b="0"/>
            <wp:docPr id="207304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4578" name=""/>
                    <pic:cNvPicPr/>
                  </pic:nvPicPr>
                  <pic:blipFill>
                    <a:blip r:embed="rId10"/>
                    <a:stretch>
                      <a:fillRect/>
                    </a:stretch>
                  </pic:blipFill>
                  <pic:spPr>
                    <a:xfrm>
                      <a:off x="0" y="0"/>
                      <a:ext cx="2210108" cy="666843"/>
                    </a:xfrm>
                    <a:prstGeom prst="rect">
                      <a:avLst/>
                    </a:prstGeom>
                  </pic:spPr>
                </pic:pic>
              </a:graphicData>
            </a:graphic>
          </wp:inline>
        </w:drawing>
      </w:r>
    </w:p>
    <w:p w14:paraId="2B94DC00" w14:textId="77777777" w:rsidR="006966D7" w:rsidRPr="004A09CE" w:rsidRDefault="006966D7" w:rsidP="006966D7">
      <w:pPr>
        <w:spacing w:after="0" w:line="240" w:lineRule="auto"/>
        <w:jc w:val="both"/>
        <w:rPr>
          <w:rFonts w:ascii="Verdana" w:eastAsia="Calibri" w:hAnsi="Verdana" w:cs="Arial"/>
          <w:lang w:val="es-ES"/>
        </w:rPr>
      </w:pPr>
    </w:p>
    <w:p w14:paraId="08C8B210" w14:textId="77777777" w:rsidR="006966D7" w:rsidRPr="004A09CE" w:rsidRDefault="006966D7" w:rsidP="006966D7">
      <w:pPr>
        <w:spacing w:after="0" w:line="240" w:lineRule="auto"/>
        <w:jc w:val="both"/>
        <w:rPr>
          <w:rFonts w:ascii="Verdana" w:eastAsia="Calibri" w:hAnsi="Verdana" w:cs="Arial"/>
          <w:lang w:val="es-ES" w:eastAsia="es-ES"/>
        </w:rPr>
      </w:pPr>
      <w:r w:rsidRPr="004A09CE">
        <w:rPr>
          <w:rFonts w:ascii="Verdana" w:eastAsia="Calibri" w:hAnsi="Verdana" w:cs="Arial"/>
          <w:lang w:val="es-ES" w:eastAsia="es-ES"/>
        </w:rPr>
        <w:t>Señor</w:t>
      </w:r>
      <w:r>
        <w:rPr>
          <w:rFonts w:ascii="Verdana" w:eastAsia="Calibri" w:hAnsi="Verdana" w:cs="Arial"/>
          <w:lang w:val="es-ES" w:eastAsia="es-ES"/>
        </w:rPr>
        <w:t>(a)</w:t>
      </w:r>
    </w:p>
    <w:p w14:paraId="1663BCEC" w14:textId="77777777" w:rsidR="006966D7" w:rsidRPr="004A09CE" w:rsidRDefault="006966D7" w:rsidP="006966D7">
      <w:pPr>
        <w:spacing w:after="0" w:line="240" w:lineRule="auto"/>
        <w:rPr>
          <w:rFonts w:ascii="Verdana" w:eastAsia="Calibri" w:hAnsi="Verdana" w:cs="Arial"/>
          <w:b/>
          <w:lang w:val="es-ES" w:eastAsia="es-ES"/>
        </w:rPr>
      </w:pPr>
      <w:r>
        <w:rPr>
          <w:rFonts w:ascii="Verdana" w:eastAsia="Calibri" w:hAnsi="Verdana" w:cs="Arial"/>
          <w:b/>
          <w:lang w:val="es-ES" w:eastAsia="es-ES"/>
        </w:rPr>
        <w:t>Ciudadano(a) Anónimo(a)</w:t>
      </w:r>
    </w:p>
    <w:p w14:paraId="0B536A8D" w14:textId="77777777" w:rsidR="006966D7" w:rsidRPr="00F1390C" w:rsidRDefault="006966D7" w:rsidP="006966D7">
      <w:pPr>
        <w:spacing w:after="0" w:line="240" w:lineRule="auto"/>
        <w:rPr>
          <w:rFonts w:ascii="Verdana" w:hAnsi="Verdana"/>
        </w:rPr>
      </w:pPr>
      <w:hyperlink r:id="rId11" w:history="1">
        <w:r w:rsidRPr="00F1390C">
          <w:rPr>
            <w:rStyle w:val="Hipervnculo"/>
            <w:rFonts w:ascii="Verdana" w:hAnsi="Verdana"/>
          </w:rPr>
          <w:t>carolina.gomez@metropol.gov.co</w:t>
        </w:r>
      </w:hyperlink>
    </w:p>
    <w:p w14:paraId="1A2B5B46" w14:textId="77777777" w:rsidR="006966D7" w:rsidRPr="004A09CE" w:rsidRDefault="006966D7" w:rsidP="006966D7">
      <w:pPr>
        <w:spacing w:after="0" w:line="240" w:lineRule="auto"/>
        <w:rPr>
          <w:rFonts w:ascii="Verdana" w:eastAsia="Calibri" w:hAnsi="Verdana" w:cs="Arial"/>
          <w:b/>
          <w:bCs/>
          <w:lang w:val="es-ES" w:eastAsia="es-ES"/>
        </w:rPr>
      </w:pPr>
      <w:r w:rsidRPr="004A09CE">
        <w:rPr>
          <w:rFonts w:ascii="Verdana" w:eastAsia="Calibri" w:hAnsi="Verdana" w:cs="Arial"/>
          <w:lang w:val="es-ES" w:eastAsia="es-ES"/>
        </w:rPr>
        <w:t>Ciudad</w:t>
      </w:r>
    </w:p>
    <w:p w14:paraId="0C593AD0" w14:textId="77777777" w:rsidR="006966D7" w:rsidRPr="004A09CE" w:rsidRDefault="006966D7" w:rsidP="006966D7">
      <w:pPr>
        <w:spacing w:after="0" w:line="240" w:lineRule="auto"/>
        <w:rPr>
          <w:rFonts w:ascii="Verdana" w:eastAsia="Calibri" w:hAnsi="Verdana" w:cs="Arial"/>
          <w:b/>
          <w:bCs/>
          <w:lang w:val="es-ES_tradnl" w:eastAsia="es-ES_tradnl"/>
        </w:rPr>
      </w:pPr>
    </w:p>
    <w:p w14:paraId="563201BF" w14:textId="77777777" w:rsidR="006966D7" w:rsidRPr="004A09CE" w:rsidRDefault="006966D7" w:rsidP="006966D7">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6966D7" w:rsidRPr="004A09CE" w14:paraId="0C2E9E04" w14:textId="77777777" w:rsidTr="00F84EC9">
        <w:trPr>
          <w:trHeight w:val="884"/>
        </w:trPr>
        <w:tc>
          <w:tcPr>
            <w:tcW w:w="2689" w:type="dxa"/>
          </w:tcPr>
          <w:p w14:paraId="5779E177" w14:textId="77777777" w:rsidR="006966D7" w:rsidRPr="004A09CE" w:rsidRDefault="006966D7" w:rsidP="00F84EC9">
            <w:pPr>
              <w:jc w:val="both"/>
              <w:rPr>
                <w:rFonts w:ascii="Verdana" w:eastAsia="Calibri" w:hAnsi="Verdana" w:cs="Arial"/>
                <w:b/>
                <w:bCs/>
                <w:lang w:val="es-ES_tradnl" w:eastAsia="es-ES_tradnl"/>
              </w:rPr>
            </w:pPr>
          </w:p>
        </w:tc>
        <w:tc>
          <w:tcPr>
            <w:tcW w:w="6100" w:type="dxa"/>
          </w:tcPr>
          <w:p w14:paraId="79CB6D57" w14:textId="77777777" w:rsidR="006966D7" w:rsidRPr="004A09CE" w:rsidRDefault="006966D7" w:rsidP="00F84EC9">
            <w:pPr>
              <w:jc w:val="both"/>
              <w:rPr>
                <w:rFonts w:ascii="Verdana" w:eastAsia="Calibri" w:hAnsi="Verdana" w:cs="Arial"/>
                <w:b/>
                <w:bCs/>
                <w:lang w:val="es-ES" w:eastAsia="es-ES"/>
              </w:rPr>
            </w:pPr>
            <w:r w:rsidRPr="004A09CE">
              <w:rPr>
                <w:rFonts w:ascii="Verdana" w:eastAsia="Calibri" w:hAnsi="Verdana" w:cs="Arial"/>
                <w:b/>
                <w:bCs/>
                <w:lang w:val="es-ES" w:eastAsia="es-ES"/>
              </w:rPr>
              <w:t>Concepto C-</w:t>
            </w:r>
            <w:r>
              <w:rPr>
                <w:rFonts w:ascii="Verdana" w:eastAsia="Calibri" w:hAnsi="Verdana" w:cs="Arial"/>
                <w:b/>
                <w:bCs/>
                <w:lang w:val="es-ES" w:eastAsia="es-ES"/>
              </w:rPr>
              <w:t>988</w:t>
            </w:r>
            <w:r w:rsidRPr="004A09CE">
              <w:rPr>
                <w:rFonts w:ascii="Verdana" w:eastAsia="Calibri" w:hAnsi="Verdana" w:cs="Arial"/>
                <w:b/>
                <w:bCs/>
                <w:lang w:val="es-ES" w:eastAsia="es-ES"/>
              </w:rPr>
              <w:t xml:space="preserve"> de 20</w:t>
            </w:r>
            <w:r>
              <w:rPr>
                <w:rFonts w:ascii="Verdana" w:eastAsia="Calibri" w:hAnsi="Verdana" w:cs="Arial"/>
                <w:b/>
                <w:bCs/>
                <w:lang w:val="es-ES" w:eastAsia="es-ES"/>
              </w:rPr>
              <w:t>26</w:t>
            </w:r>
          </w:p>
        </w:tc>
      </w:tr>
      <w:tr w:rsidR="006966D7" w:rsidRPr="004A09CE" w14:paraId="5A64BB05" w14:textId="77777777" w:rsidTr="00F84EC9">
        <w:trPr>
          <w:trHeight w:val="884"/>
        </w:trPr>
        <w:tc>
          <w:tcPr>
            <w:tcW w:w="2689" w:type="dxa"/>
          </w:tcPr>
          <w:p w14:paraId="7370B938" w14:textId="77777777" w:rsidR="006966D7" w:rsidRPr="003969B6" w:rsidRDefault="006966D7" w:rsidP="00F84EC9">
            <w:pPr>
              <w:jc w:val="both"/>
              <w:rPr>
                <w:rFonts w:ascii="Verdana" w:eastAsia="Calibri" w:hAnsi="Verdana" w:cs="Arial"/>
                <w:lang w:val="es-ES_tradnl" w:eastAsia="es-ES_tradnl"/>
              </w:rPr>
            </w:pPr>
            <w:r w:rsidRPr="003969B6">
              <w:rPr>
                <w:rFonts w:ascii="Verdana" w:eastAsia="Calibri" w:hAnsi="Verdana" w:cs="Arial"/>
                <w:b/>
                <w:lang w:val="es-ES_tradnl" w:eastAsia="es-ES_tradnl"/>
              </w:rPr>
              <w:t>Temas:</w:t>
            </w:r>
            <w:r w:rsidRPr="003969B6">
              <w:rPr>
                <w:rFonts w:ascii="Verdana" w:eastAsia="Calibri" w:hAnsi="Verdana" w:cs="Arial"/>
                <w:lang w:val="es-ES_tradnl" w:eastAsia="es-ES_tradnl"/>
              </w:rPr>
              <w:t xml:space="preserve">                   </w:t>
            </w:r>
          </w:p>
        </w:tc>
        <w:tc>
          <w:tcPr>
            <w:tcW w:w="6100" w:type="dxa"/>
          </w:tcPr>
          <w:p w14:paraId="467E9B45" w14:textId="77777777" w:rsidR="006966D7" w:rsidRPr="003969B6" w:rsidRDefault="006966D7" w:rsidP="00F84EC9">
            <w:pPr>
              <w:spacing w:line="276" w:lineRule="auto"/>
              <w:jc w:val="both"/>
              <w:rPr>
                <w:rFonts w:ascii="Verdana" w:eastAsia="Calibri" w:hAnsi="Verdana" w:cs="Arial"/>
                <w:lang w:val="es-ES" w:eastAsia="es-ES"/>
              </w:rPr>
            </w:pPr>
            <w:r w:rsidRPr="003969B6">
              <w:rPr>
                <w:rFonts w:ascii="Verdana" w:eastAsia="Calibri" w:hAnsi="Verdana" w:cs="Arial"/>
                <w:lang w:val="es-ES" w:eastAsia="es-ES"/>
              </w:rPr>
              <w:t>CONVOCATORIAS LIMITADAS A MIPYMES – Requisitos – Artículo 2.2.1.2.4.2.2 – Decreto 1082 de 2015 / CONVOCATORIAS LIMITADAS A MIPYMES – Improcedencia – Participación – Entes universitarios</w:t>
            </w:r>
          </w:p>
          <w:p w14:paraId="02177EB6" w14:textId="77777777" w:rsidR="006966D7" w:rsidRPr="003969B6" w:rsidRDefault="006966D7" w:rsidP="00F84EC9">
            <w:pPr>
              <w:spacing w:line="276" w:lineRule="auto"/>
              <w:jc w:val="both"/>
              <w:rPr>
                <w:rFonts w:ascii="Verdana" w:eastAsia="Calibri" w:hAnsi="Verdana" w:cs="Arial"/>
                <w:lang w:val="es-ES" w:eastAsia="es-ES"/>
              </w:rPr>
            </w:pPr>
          </w:p>
        </w:tc>
      </w:tr>
      <w:tr w:rsidR="006966D7" w:rsidRPr="004A09CE" w14:paraId="145F1580" w14:textId="77777777" w:rsidTr="00F84EC9">
        <w:tc>
          <w:tcPr>
            <w:tcW w:w="2689" w:type="dxa"/>
          </w:tcPr>
          <w:p w14:paraId="6567A3C8" w14:textId="77777777" w:rsidR="006966D7" w:rsidRPr="004A09CE" w:rsidRDefault="006966D7" w:rsidP="00F84EC9">
            <w:pPr>
              <w:jc w:val="both"/>
              <w:rPr>
                <w:rFonts w:ascii="Verdana" w:eastAsia="Calibri" w:hAnsi="Verdana" w:cs="Arial"/>
                <w:b/>
                <w:lang w:val="es-ES_tradnl" w:eastAsia="es-ES_tradnl"/>
              </w:rPr>
            </w:pPr>
            <w:r w:rsidRPr="004A09CE">
              <w:rPr>
                <w:rFonts w:ascii="Verdana" w:eastAsia="Calibri" w:hAnsi="Verdana" w:cs="Arial"/>
                <w:b/>
                <w:lang w:val="es-ES_tradnl" w:eastAsia="es-ES_tradnl"/>
              </w:rPr>
              <w:t>Radicación:</w:t>
            </w:r>
            <w:r w:rsidRPr="004A09CE">
              <w:rPr>
                <w:rFonts w:ascii="Verdana" w:eastAsia="Calibri" w:hAnsi="Verdana" w:cs="Arial"/>
                <w:lang w:val="es-ES_tradnl" w:eastAsia="es-ES_tradnl"/>
              </w:rPr>
              <w:t xml:space="preserve">               </w:t>
            </w:r>
          </w:p>
        </w:tc>
        <w:tc>
          <w:tcPr>
            <w:tcW w:w="6100" w:type="dxa"/>
          </w:tcPr>
          <w:p w14:paraId="54030EE4" w14:textId="77777777" w:rsidR="006966D7" w:rsidRPr="004A09CE" w:rsidRDefault="006966D7" w:rsidP="00F84EC9">
            <w:pPr>
              <w:jc w:val="both"/>
              <w:rPr>
                <w:rFonts w:ascii="Verdana" w:eastAsia="Calibri" w:hAnsi="Verdana" w:cs="Arial"/>
                <w:lang w:val="es-ES_tradnl" w:eastAsia="es-ES_tradnl"/>
              </w:rPr>
            </w:pPr>
            <w:r w:rsidRPr="004A09CE">
              <w:rPr>
                <w:rFonts w:ascii="Verdana" w:eastAsia="Calibri" w:hAnsi="Verdana" w:cs="Arial"/>
                <w:lang w:val="es-ES_tradnl" w:eastAsia="es-ES_tradnl"/>
              </w:rPr>
              <w:t xml:space="preserve">Respuesta a consulta con radicado No. </w:t>
            </w:r>
            <w:r w:rsidRPr="005A30A3">
              <w:rPr>
                <w:rFonts w:ascii="Verdana" w:eastAsia="Calibri" w:hAnsi="Verdana" w:cs="Arial"/>
                <w:lang w:val="es-ES_tradnl" w:eastAsia="es-ES_tradnl"/>
              </w:rPr>
              <w:t>1_2026_06_18_008198</w:t>
            </w:r>
          </w:p>
        </w:tc>
      </w:tr>
    </w:tbl>
    <w:p w14:paraId="1EC88CB8" w14:textId="77777777" w:rsidR="006966D7" w:rsidRPr="004A09CE" w:rsidRDefault="006966D7" w:rsidP="006966D7">
      <w:pPr>
        <w:spacing w:after="0" w:line="240" w:lineRule="auto"/>
        <w:jc w:val="both"/>
        <w:rPr>
          <w:rFonts w:ascii="Verdana" w:eastAsia="Calibri" w:hAnsi="Verdana" w:cs="Arial"/>
          <w:lang w:val="es-ES_tradnl" w:eastAsia="es-ES_tradnl"/>
        </w:rPr>
      </w:pPr>
    </w:p>
    <w:p w14:paraId="0ECB31AF" w14:textId="77777777" w:rsidR="006966D7" w:rsidRPr="004A09CE" w:rsidRDefault="006966D7" w:rsidP="006966D7">
      <w:pPr>
        <w:spacing w:after="0" w:line="240" w:lineRule="auto"/>
        <w:jc w:val="both"/>
        <w:rPr>
          <w:rFonts w:ascii="Verdana" w:eastAsia="Calibri" w:hAnsi="Verdana" w:cs="Arial"/>
          <w:lang w:val="es-ES_tradnl" w:eastAsia="es-ES_tradnl"/>
        </w:rPr>
      </w:pPr>
    </w:p>
    <w:p w14:paraId="243DBAF3" w14:textId="77777777" w:rsidR="006966D7" w:rsidRPr="004A09CE" w:rsidRDefault="006966D7" w:rsidP="006966D7">
      <w:pPr>
        <w:spacing w:after="0" w:line="276" w:lineRule="auto"/>
        <w:jc w:val="both"/>
        <w:rPr>
          <w:rFonts w:ascii="Verdana" w:eastAsia="Calibri" w:hAnsi="Verdana" w:cs="Arial"/>
          <w:lang w:val="es-ES" w:eastAsia="es-ES"/>
        </w:rPr>
      </w:pPr>
      <w:r w:rsidRPr="004A09CE">
        <w:rPr>
          <w:rFonts w:ascii="Verdana" w:eastAsia="Calibri" w:hAnsi="Verdana" w:cs="Arial"/>
          <w:lang w:val="es-ES" w:eastAsia="es-ES"/>
        </w:rPr>
        <w:t>Estimado</w:t>
      </w:r>
      <w:r>
        <w:rPr>
          <w:rFonts w:ascii="Verdana" w:eastAsia="Calibri" w:hAnsi="Verdana" w:cs="Arial"/>
          <w:lang w:val="es-ES" w:eastAsia="es-ES"/>
        </w:rPr>
        <w:t>(a)</w:t>
      </w:r>
      <w:r w:rsidRPr="004A09CE">
        <w:rPr>
          <w:rFonts w:ascii="Verdana" w:eastAsia="Calibri" w:hAnsi="Verdana" w:cs="Arial"/>
          <w:lang w:val="es-ES" w:eastAsia="es-ES"/>
        </w:rPr>
        <w:t xml:space="preserve"> </w:t>
      </w:r>
      <w:r>
        <w:rPr>
          <w:rFonts w:ascii="Verdana" w:eastAsia="Calibri" w:hAnsi="Verdana" w:cs="Arial"/>
          <w:lang w:val="es-ES" w:eastAsia="es-ES"/>
        </w:rPr>
        <w:t>S</w:t>
      </w:r>
      <w:r w:rsidRPr="004A09CE">
        <w:rPr>
          <w:rFonts w:ascii="Verdana" w:eastAsia="Calibri" w:hAnsi="Verdana" w:cs="Arial"/>
          <w:lang w:val="es-ES" w:eastAsia="es-ES"/>
        </w:rPr>
        <w:t>eñor</w:t>
      </w:r>
      <w:r>
        <w:rPr>
          <w:rFonts w:ascii="Verdana" w:eastAsia="Calibri" w:hAnsi="Verdana" w:cs="Arial"/>
          <w:lang w:val="es-ES" w:eastAsia="es-ES"/>
        </w:rPr>
        <w:t>(a) Ciudadano(a) Anónimo(a)</w:t>
      </w:r>
      <w:r w:rsidRPr="004A09CE">
        <w:rPr>
          <w:rFonts w:ascii="Verdana" w:eastAsia="Calibri" w:hAnsi="Verdana" w:cs="Arial"/>
          <w:lang w:val="es-ES" w:eastAsia="es-ES"/>
        </w:rPr>
        <w:t xml:space="preserve">: </w:t>
      </w:r>
    </w:p>
    <w:p w14:paraId="6F39D4D7" w14:textId="77777777" w:rsidR="006966D7" w:rsidRPr="004A09CE" w:rsidRDefault="006966D7" w:rsidP="006966D7">
      <w:pPr>
        <w:tabs>
          <w:tab w:val="left" w:pos="3768"/>
        </w:tabs>
        <w:spacing w:after="0" w:line="276" w:lineRule="auto"/>
        <w:jc w:val="both"/>
        <w:rPr>
          <w:rFonts w:ascii="Verdana" w:eastAsia="Calibri" w:hAnsi="Verdana" w:cs="Arial"/>
          <w:lang w:val="es-ES" w:eastAsia="es-ES"/>
        </w:rPr>
      </w:pPr>
      <w:r w:rsidRPr="004A09CE">
        <w:rPr>
          <w:rFonts w:ascii="Verdana" w:eastAsia="Calibri" w:hAnsi="Verdana" w:cs="Arial"/>
          <w:lang w:val="es-ES" w:eastAsia="es-ES"/>
        </w:rPr>
        <w:tab/>
      </w:r>
    </w:p>
    <w:p w14:paraId="18A730C6" w14:textId="77777777" w:rsidR="006966D7" w:rsidRPr="004A09CE" w:rsidRDefault="006966D7" w:rsidP="006966D7">
      <w:pPr>
        <w:spacing w:after="0" w:line="276" w:lineRule="auto"/>
        <w:jc w:val="both"/>
        <w:rPr>
          <w:rFonts w:ascii="Verdana" w:eastAsia="Calibri" w:hAnsi="Verdana" w:cs="Arial"/>
          <w:lang w:val="es-ES" w:eastAsia="es-ES"/>
        </w:rPr>
      </w:pPr>
      <w:r w:rsidRPr="004A09CE">
        <w:rPr>
          <w:rFonts w:ascii="Verdana" w:eastAsia="Calibri" w:hAnsi="Verdana" w:cs="Arial"/>
          <w:lang w:val="es-ES" w:eastAsia="es-ES"/>
        </w:rPr>
        <w:t>En ejercicio de la competencia otorgada por los artículos 3, numeral 5º, y 11, numeral 8º, del Decreto Ley 4170 de 2011,</w:t>
      </w:r>
      <w:r w:rsidRPr="004A09CE">
        <w:rPr>
          <w:rFonts w:ascii="Verdana" w:eastAsia="Arial MT" w:hAnsi="Verdana" w:cs="Arial MT"/>
          <w:lang w:val="es-ES" w:eastAsia="es-ES"/>
        </w:rPr>
        <w:t xml:space="preserve"> </w:t>
      </w:r>
      <w:r w:rsidRPr="004A09CE">
        <w:rPr>
          <w:rFonts w:ascii="Verdana" w:eastAsia="Aptos" w:hAnsi="Verdana" w:cs="Arial"/>
        </w:rPr>
        <w:t xml:space="preserve">así como lo establecido en el artículo 4 de la Resolución 1707 de 2018 expedida por esta Entidad, </w:t>
      </w:r>
      <w:r w:rsidRPr="004A09CE">
        <w:rPr>
          <w:rFonts w:ascii="Verdana" w:eastAsia="Calibri" w:hAnsi="Verdana" w:cs="Arial"/>
          <w:lang w:val="es-ES" w:eastAsia="es-ES"/>
        </w:rPr>
        <w:t xml:space="preserve">la Agencia Nacional de Contratación Pública – Colombia Compra Eficiente– responde su solicitud de consulta de fecha del </w:t>
      </w:r>
      <w:r>
        <w:rPr>
          <w:rFonts w:ascii="Verdana" w:eastAsia="Calibri" w:hAnsi="Verdana" w:cs="Arial"/>
          <w:lang w:val="es-ES" w:eastAsia="es-ES"/>
        </w:rPr>
        <w:t>18</w:t>
      </w:r>
      <w:r w:rsidRPr="004A09CE">
        <w:rPr>
          <w:rFonts w:ascii="Verdana" w:eastAsia="Calibri" w:hAnsi="Verdana" w:cs="Arial"/>
          <w:lang w:val="es-ES" w:eastAsia="es-ES"/>
        </w:rPr>
        <w:t xml:space="preserve"> de junio de 202</w:t>
      </w:r>
      <w:r>
        <w:rPr>
          <w:rFonts w:ascii="Verdana" w:eastAsia="Calibri" w:hAnsi="Verdana" w:cs="Arial"/>
          <w:lang w:val="es-ES" w:eastAsia="es-ES"/>
        </w:rPr>
        <w:t>6</w:t>
      </w:r>
      <w:r w:rsidRPr="004A09CE">
        <w:rPr>
          <w:rFonts w:ascii="Verdana" w:eastAsia="Calibri" w:hAnsi="Verdana" w:cs="Arial"/>
          <w:lang w:val="es-ES" w:eastAsia="es-ES"/>
        </w:rPr>
        <w:t xml:space="preserve">, en la que realiza la siguiente consulta: </w:t>
      </w:r>
      <w:r>
        <w:rPr>
          <w:rFonts w:ascii="Verdana" w:eastAsia="Calibri" w:hAnsi="Verdana" w:cs="Arial"/>
          <w:lang w:val="es-ES" w:eastAsia="es-ES"/>
        </w:rPr>
        <w:t>“En un proceso de selección que haya sido limitado a Mipymes, pueden presentar propuestas las universidades?” [sic].</w:t>
      </w:r>
    </w:p>
    <w:p w14:paraId="6106C85C" w14:textId="77777777" w:rsidR="006966D7" w:rsidRPr="004A09CE" w:rsidRDefault="006966D7" w:rsidP="006966D7">
      <w:pPr>
        <w:spacing w:before="120" w:after="120" w:line="276" w:lineRule="auto"/>
        <w:ind w:firstLine="709"/>
        <w:jc w:val="both"/>
        <w:rPr>
          <w:rFonts w:ascii="Verdana" w:eastAsia="Calibri" w:hAnsi="Verdana" w:cs="Arial"/>
          <w:szCs w:val="24"/>
          <w:lang w:val="es-ES_tradnl" w:eastAsia="es-ES_tradnl"/>
        </w:rPr>
      </w:pPr>
      <w:r w:rsidRPr="004A09CE">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4A09CE">
        <w:rPr>
          <w:rFonts w:ascii="Verdana" w:eastAsia="Calibri" w:hAnsi="Verdana" w:cs="Arial"/>
          <w:lang w:val="es-ES" w:eastAsia="es-ES"/>
        </w:rPr>
        <w:lastRenderedPageBreak/>
        <w:t xml:space="preserve">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4A09CE">
        <w:rPr>
          <w:rFonts w:ascii="Verdana" w:eastAsia="Calibri" w:hAnsi="Verdana" w:cs="Arial"/>
          <w:szCs w:val="24"/>
          <w:lang w:val="es-ES_tradnl" w:eastAsia="es-ES_tradnl"/>
        </w:rPr>
        <w:tab/>
      </w:r>
    </w:p>
    <w:p w14:paraId="5C41669C" w14:textId="77777777" w:rsidR="006966D7" w:rsidRPr="004A09CE" w:rsidRDefault="006966D7" w:rsidP="006966D7">
      <w:pPr>
        <w:spacing w:after="0" w:line="276" w:lineRule="auto"/>
        <w:ind w:firstLine="709"/>
        <w:jc w:val="both"/>
        <w:rPr>
          <w:rFonts w:ascii="Verdana" w:eastAsia="Calibri" w:hAnsi="Verdana" w:cs="Arial"/>
          <w:lang w:val="es-ES" w:eastAsia="es-ES"/>
        </w:rPr>
      </w:pPr>
      <w:r w:rsidRPr="004A09CE">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540A4BCF" w14:textId="77777777" w:rsidR="006966D7" w:rsidRPr="004A09CE" w:rsidRDefault="006966D7" w:rsidP="006966D7">
      <w:pPr>
        <w:spacing w:after="0" w:line="276" w:lineRule="auto"/>
        <w:ind w:firstLine="709"/>
        <w:jc w:val="both"/>
        <w:rPr>
          <w:rFonts w:ascii="Verdana" w:eastAsia="Calibri" w:hAnsi="Verdana" w:cs="Arial"/>
          <w:lang w:val="es-ES" w:eastAsia="es-ES"/>
        </w:rPr>
      </w:pPr>
    </w:p>
    <w:p w14:paraId="2A0B1593" w14:textId="77777777" w:rsidR="006966D7" w:rsidRPr="004A09CE" w:rsidRDefault="006966D7" w:rsidP="006966D7">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4A09CE">
        <w:rPr>
          <w:rFonts w:ascii="Verdana" w:eastAsia="Arial" w:hAnsi="Verdana" w:cs="Arial"/>
          <w:b/>
          <w:bCs/>
          <w:lang w:val="es-ES"/>
        </w:rPr>
        <w:t>1. Problema planteado:</w:t>
      </w:r>
    </w:p>
    <w:p w14:paraId="064765EC" w14:textId="77777777" w:rsidR="006966D7" w:rsidRPr="004A09CE" w:rsidRDefault="006966D7" w:rsidP="006966D7">
      <w:pPr>
        <w:tabs>
          <w:tab w:val="left" w:pos="426"/>
        </w:tabs>
        <w:spacing w:after="0" w:line="276" w:lineRule="auto"/>
        <w:jc w:val="both"/>
        <w:rPr>
          <w:rFonts w:ascii="Verdana" w:eastAsia="Century Gothic" w:hAnsi="Verdana" w:cs="Century Gothic"/>
          <w:lang w:val="es-ES"/>
        </w:rPr>
      </w:pPr>
    </w:p>
    <w:p w14:paraId="7C1DC714" w14:textId="77777777" w:rsidR="006966D7" w:rsidRPr="004A09CE" w:rsidRDefault="006966D7" w:rsidP="006966D7">
      <w:pPr>
        <w:spacing w:after="0" w:line="276" w:lineRule="auto"/>
        <w:jc w:val="both"/>
        <w:rPr>
          <w:rFonts w:ascii="Verdana" w:eastAsia="Century Gothic" w:hAnsi="Verdana" w:cs="Century Gothic"/>
        </w:rPr>
      </w:pPr>
      <w:r w:rsidRPr="004A09CE">
        <w:rPr>
          <w:rFonts w:ascii="Verdana" w:eastAsia="Century Gothic" w:hAnsi="Verdana" w:cs="Century Gothic"/>
        </w:rPr>
        <w:t xml:space="preserve">De acuerdo con el contenido de su solicitud, le informamos que la misma será atendida desde el siguiente interrogante: </w:t>
      </w:r>
      <w:r>
        <w:rPr>
          <w:rFonts w:ascii="Verdana" w:eastAsia="Century Gothic" w:hAnsi="Verdana" w:cs="Century Gothic"/>
        </w:rPr>
        <w:t>¿Es factible que en un proceso de selección limitado a Mipymes, participen los entes universitarios?</w:t>
      </w:r>
    </w:p>
    <w:p w14:paraId="1D6B3AE3" w14:textId="77777777" w:rsidR="006966D7" w:rsidRPr="004A09CE" w:rsidRDefault="006966D7" w:rsidP="006966D7">
      <w:pPr>
        <w:spacing w:after="0" w:line="276" w:lineRule="auto"/>
        <w:jc w:val="both"/>
        <w:rPr>
          <w:rFonts w:ascii="Verdana" w:eastAsia="Calibri" w:hAnsi="Verdana" w:cs="Arial"/>
          <w:lang w:val="es-ES"/>
        </w:rPr>
      </w:pPr>
      <w:bookmarkStart w:id="1" w:name="_Hlk171070029"/>
    </w:p>
    <w:bookmarkEnd w:id="1"/>
    <w:p w14:paraId="35BECA3E" w14:textId="77777777" w:rsidR="006966D7" w:rsidRPr="004A09CE" w:rsidRDefault="006966D7" w:rsidP="006966D7">
      <w:pPr>
        <w:widowControl w:val="0"/>
        <w:autoSpaceDE w:val="0"/>
        <w:autoSpaceDN w:val="0"/>
        <w:spacing w:before="1" w:after="0" w:line="240" w:lineRule="auto"/>
        <w:jc w:val="both"/>
        <w:outlineLvl w:val="0"/>
        <w:rPr>
          <w:rFonts w:ascii="Verdana" w:eastAsia="Arial" w:hAnsi="Verdana" w:cs="Arial"/>
          <w:b/>
          <w:bCs/>
          <w:lang w:val="es-ES"/>
        </w:rPr>
      </w:pPr>
      <w:r w:rsidRPr="004A09CE">
        <w:rPr>
          <w:rFonts w:ascii="Verdana" w:eastAsia="Arial" w:hAnsi="Verdana" w:cs="Arial"/>
          <w:b/>
          <w:bCs/>
          <w:lang w:val="es-ES"/>
        </w:rPr>
        <w:t>2. Respuesta:</w:t>
      </w:r>
    </w:p>
    <w:p w14:paraId="736173B4" w14:textId="77777777" w:rsidR="006966D7" w:rsidRPr="004A09CE" w:rsidRDefault="006966D7" w:rsidP="006966D7">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966D7" w:rsidRPr="004A09CE" w14:paraId="43A34B7E" w14:textId="77777777" w:rsidTr="00F84EC9">
        <w:tc>
          <w:tcPr>
            <w:tcW w:w="8828" w:type="dxa"/>
          </w:tcPr>
          <w:p w14:paraId="7CA0AFA8" w14:textId="77777777" w:rsidR="006966D7" w:rsidRPr="004A09CE" w:rsidRDefault="006966D7" w:rsidP="00F84EC9">
            <w:pPr>
              <w:spacing w:line="276" w:lineRule="auto"/>
              <w:jc w:val="both"/>
              <w:rPr>
                <w:rFonts w:ascii="Verdana" w:eastAsia="Calibri" w:hAnsi="Verdana" w:cs="Arial"/>
              </w:rPr>
            </w:pPr>
            <w:bookmarkStart w:id="2" w:name="_Hlk171067516"/>
            <w:r w:rsidRPr="004A09CE">
              <w:rPr>
                <w:rFonts w:ascii="Verdana" w:eastAsia="Calibri" w:hAnsi="Verdana" w:cs="Arial"/>
              </w:rPr>
              <w:t xml:space="preserve">Inicialmente es pertinente precisarse que, para que proceda la limitación de convocatorias a Mipymes de acuerdo con lo dispuesto el artículo 2.2.1.2.4.2.2 del Decreto 1082 de 2015, deben cumplirse los siguientes requisitos o supuestos: i) El primer inciso de la referida norma, estable que “[l]as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w:t>
            </w:r>
            <w:proofErr w:type="spellStart"/>
            <w:r w:rsidRPr="004A09CE">
              <w:rPr>
                <w:rFonts w:ascii="Verdana" w:eastAsia="Calibri" w:hAnsi="Verdana" w:cs="Arial"/>
              </w:rPr>
              <w:t>Mipyme</w:t>
            </w:r>
            <w:proofErr w:type="spellEnd"/>
            <w:r w:rsidRPr="004A09CE">
              <w:rPr>
                <w:rFonts w:ascii="Verdana" w:eastAsia="Calibri" w:hAnsi="Verdana" w:cs="Arial"/>
              </w:rPr>
              <w:t xml:space="preserve"> colombianas con mínimo un (1) año de existencia […]”. </w:t>
            </w:r>
            <w:proofErr w:type="spellStart"/>
            <w:r w:rsidRPr="004A09CE">
              <w:rPr>
                <w:rFonts w:ascii="Verdana" w:eastAsia="Calibri" w:hAnsi="Verdana" w:cs="Arial"/>
              </w:rPr>
              <w:t>ii</w:t>
            </w:r>
            <w:proofErr w:type="spellEnd"/>
            <w:r w:rsidRPr="004A09CE">
              <w:rPr>
                <w:rFonts w:ascii="Verdana" w:eastAsia="Calibri" w:hAnsi="Verdana" w:cs="Arial"/>
              </w:rPr>
              <w:t xml:space="preserve">) Por otra parte, el numeral primero de dicho artículo, limita cuantitativamente los procesos contractuales en los que se puede hacer esa “convocatoria limitada a Mipymes”, en la medida en que el valor del proceso tendrá que ser “menor a ciento veinticinco mil dólares de los Estados unidos de América”. </w:t>
            </w:r>
            <w:proofErr w:type="spellStart"/>
            <w:r w:rsidRPr="004A09CE">
              <w:rPr>
                <w:rFonts w:ascii="Verdana" w:eastAsia="Calibri" w:hAnsi="Verdana" w:cs="Arial"/>
              </w:rPr>
              <w:t>iii</w:t>
            </w:r>
            <w:proofErr w:type="spellEnd"/>
            <w:r w:rsidRPr="004A09CE">
              <w:rPr>
                <w:rFonts w:ascii="Verdana" w:eastAsia="Calibri" w:hAnsi="Verdana" w:cs="Arial"/>
              </w:rPr>
              <w:t xml:space="preserve">) Y por último, el numeral segundo de la </w:t>
            </w:r>
            <w:r w:rsidRPr="004A09CE">
              <w:rPr>
                <w:rFonts w:ascii="Verdana" w:eastAsia="Calibri" w:hAnsi="Verdana" w:cs="Arial"/>
              </w:rPr>
              <w:lastRenderedPageBreak/>
              <w:t>precitada norma, establece dos exigencias. Por un lado, que al menos dos (2) Mipymes nacionales presenten a la entidad la solicitud formal de limitar el proceso contractual; y por el otro, que hagan la solicitud por lo menos un (1) día hábil antes de la expedición del acto administrativo de apertura, o el que haga sus veces de acuerdo con la normativa aplicable a cada Proceso de Contratación.</w:t>
            </w:r>
          </w:p>
          <w:p w14:paraId="3B7FB632" w14:textId="77777777" w:rsidR="006966D7" w:rsidRDefault="006966D7" w:rsidP="00F84EC9">
            <w:pPr>
              <w:spacing w:before="120" w:after="160" w:line="276" w:lineRule="auto"/>
              <w:ind w:firstLine="709"/>
              <w:jc w:val="both"/>
              <w:rPr>
                <w:rFonts w:ascii="Verdana" w:eastAsia="Calibri" w:hAnsi="Verdana" w:cs="Arial"/>
              </w:rPr>
            </w:pPr>
            <w:r w:rsidRPr="004A09CE">
              <w:rPr>
                <w:rFonts w:ascii="Verdana" w:eastAsia="Calibri" w:hAnsi="Verdana" w:cs="Arial"/>
              </w:rPr>
              <w:t xml:space="preserve">De esta forma, para que una Entidad Estatal pueda limitar un proceso de selección a Mipymes, deberán cumplirse de manera integral cada uno de los supuestos establecidos en el articulo </w:t>
            </w:r>
            <w:r w:rsidRPr="004A09CE">
              <w:rPr>
                <w:rFonts w:ascii="Verdana" w:eastAsia="Calibri" w:hAnsi="Verdana" w:cs="Arial"/>
                <w:lang w:val="es-ES"/>
              </w:rPr>
              <w:t>2.2.1.2.4.2.2 del Decreto 1082 de 2015</w:t>
            </w:r>
            <w:r w:rsidRPr="004A09CE">
              <w:rPr>
                <w:rFonts w:ascii="Verdana" w:eastAsia="Calibri" w:hAnsi="Verdana" w:cs="Arial"/>
              </w:rPr>
              <w:t>, pues en caso contrario, no será factible que se realice tal limitación</w:t>
            </w:r>
            <w:r>
              <w:rPr>
                <w:rFonts w:ascii="Verdana" w:eastAsia="Calibri" w:hAnsi="Verdana" w:cs="Arial"/>
              </w:rPr>
              <w:t>. En ese sentido, se precisa que, la limitación de procesos o convocatorias a Mipymes, impide la participación de interesados que no ostenten la calidad de tal, como es el caso de las universidades que, conforme a Ley 489 de 1998, al desarrollar la estructura y organización de la Administración Pública, establece que los entes universitarios hacen parte integral de esta</w:t>
            </w:r>
            <w:r w:rsidRPr="00436042">
              <w:rPr>
                <w:rFonts w:ascii="Verdana" w:eastAsia="Calibri" w:hAnsi="Verdana" w:cs="Arial"/>
              </w:rPr>
              <w:t>, catalogándolos como entidades públicas de carácter autónomo a las que aplica un régimen especial</w:t>
            </w:r>
            <w:r w:rsidRPr="00436042">
              <w:rPr>
                <w:rFonts w:ascii="Verdana" w:eastAsia="Calibri" w:hAnsi="Verdana" w:cs="Times New Roman"/>
              </w:rPr>
              <w:t>.</w:t>
            </w:r>
          </w:p>
          <w:p w14:paraId="2D7D60E0" w14:textId="77777777" w:rsidR="006966D7" w:rsidRDefault="006966D7" w:rsidP="00F84EC9">
            <w:pPr>
              <w:spacing w:before="120" w:line="276" w:lineRule="auto"/>
              <w:ind w:firstLine="709"/>
              <w:jc w:val="both"/>
              <w:rPr>
                <w:rFonts w:ascii="Verdana" w:eastAsia="Arial" w:hAnsi="Verdana" w:cs="Arial"/>
                <w:lang w:val="es-ES_tradnl"/>
              </w:rPr>
            </w:pPr>
            <w:r>
              <w:rPr>
                <w:rFonts w:ascii="Verdana" w:eastAsia="Calibri" w:hAnsi="Verdana" w:cs="Arial"/>
              </w:rPr>
              <w:t xml:space="preserve">Así pues, resulta claro entonces, que los entes universitarios no son considerados Mipymes, pues no encajan en la definición dispuesta en el </w:t>
            </w:r>
            <w:r>
              <w:rPr>
                <w:rFonts w:ascii="Verdana" w:eastAsia="Arial" w:hAnsi="Verdana" w:cs="Arial"/>
                <w:lang w:val="es-MX" w:eastAsia="es-ES" w:bidi="es-ES"/>
              </w:rPr>
              <w:t>artículo 2 de la Ley 590 de 2000, modificado por el artículo 43 de la Ley 1450 de 2011 que define “empresa”, como toda unidad de explotación económica que realiza una persona natural o jurídica en actividades agropecuarias, industriales, comerciales o de servicios</w:t>
            </w:r>
            <w:r w:rsidRPr="00967EED">
              <w:rPr>
                <w:rFonts w:ascii="Verdana" w:hAnsi="Verdana" w:cs="Arial"/>
                <w:lang w:val="es-ES_tradnl"/>
              </w:rPr>
              <w:t>.</w:t>
            </w:r>
            <w:r>
              <w:rPr>
                <w:rFonts w:ascii="Verdana" w:hAnsi="Verdana" w:cs="Arial"/>
                <w:lang w:val="es-ES_tradnl"/>
              </w:rPr>
              <w:t xml:space="preserve"> Además, establece que estas se clasifican en micro, pequeña, mediana y gran empresa, </w:t>
            </w:r>
            <w:r w:rsidRPr="00967EED">
              <w:rPr>
                <w:rFonts w:ascii="Verdana" w:hAnsi="Verdana" w:cs="Arial"/>
                <w:lang w:val="es-ES_tradnl"/>
              </w:rPr>
              <w:t>de acuerdo con los criterios del número de trabajadores totales, el valor de ventas brutales anuales y el valor de activos totales.</w:t>
            </w:r>
            <w:r w:rsidRPr="00967EED">
              <w:rPr>
                <w:rFonts w:ascii="Verdana" w:eastAsia="Arial" w:hAnsi="Verdana" w:cs="Arial"/>
                <w:lang w:val="es-ES_tradnl"/>
              </w:rPr>
              <w:t xml:space="preserve"> </w:t>
            </w:r>
          </w:p>
          <w:p w14:paraId="3DFA3A81" w14:textId="77777777" w:rsidR="006966D7" w:rsidRPr="004A09CE" w:rsidRDefault="006966D7" w:rsidP="00F84EC9">
            <w:pPr>
              <w:spacing w:before="120" w:line="276" w:lineRule="auto"/>
              <w:ind w:firstLine="709"/>
              <w:jc w:val="both"/>
              <w:rPr>
                <w:rFonts w:ascii="Aptos" w:eastAsia="Aptos" w:hAnsi="Aptos" w:cs="Times New Roman"/>
              </w:rPr>
            </w:pPr>
            <w:r w:rsidRPr="004A09CE">
              <w:rPr>
                <w:rFonts w:ascii="Verdana" w:eastAsia="Calibri" w:hAnsi="Verdana" w:cs="Arial"/>
              </w:rPr>
              <w:t>Finalmente, debe advertirse que, el análisis requerido para resolver problemas específicos en torno a la limitación de convocatorias a Mipymes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w:t>
            </w:r>
          </w:p>
        </w:tc>
      </w:tr>
      <w:bookmarkEnd w:id="2"/>
    </w:tbl>
    <w:p w14:paraId="6A93F870" w14:textId="77777777" w:rsidR="006966D7" w:rsidRPr="004A09CE" w:rsidRDefault="006966D7" w:rsidP="006966D7">
      <w:pPr>
        <w:tabs>
          <w:tab w:val="left" w:pos="142"/>
          <w:tab w:val="left" w:pos="967"/>
        </w:tabs>
        <w:spacing w:after="0" w:line="276" w:lineRule="auto"/>
        <w:jc w:val="both"/>
        <w:rPr>
          <w:rFonts w:ascii="Verdana" w:eastAsia="Century Gothic" w:hAnsi="Verdana" w:cs="Century Gothic"/>
          <w:b/>
          <w:bCs/>
          <w:lang w:val="es-ES"/>
        </w:rPr>
      </w:pPr>
    </w:p>
    <w:p w14:paraId="49AECE75" w14:textId="77777777" w:rsidR="006966D7" w:rsidRPr="004A09CE" w:rsidRDefault="006966D7" w:rsidP="006966D7">
      <w:pPr>
        <w:widowControl w:val="0"/>
        <w:autoSpaceDE w:val="0"/>
        <w:autoSpaceDN w:val="0"/>
        <w:spacing w:before="1" w:after="0" w:line="240" w:lineRule="auto"/>
        <w:ind w:left="360" w:hanging="360"/>
        <w:outlineLvl w:val="0"/>
        <w:rPr>
          <w:rFonts w:ascii="Verdana" w:eastAsia="Arial" w:hAnsi="Verdana" w:cs="Arial"/>
          <w:b/>
          <w:bCs/>
          <w:lang w:val="es-ES"/>
        </w:rPr>
      </w:pPr>
      <w:r w:rsidRPr="004A09CE">
        <w:rPr>
          <w:rFonts w:ascii="Verdana" w:eastAsia="Arial" w:hAnsi="Verdana" w:cs="Arial"/>
          <w:b/>
          <w:bCs/>
          <w:lang w:val="es-ES"/>
        </w:rPr>
        <w:t>3. Razones de la respuesta</w:t>
      </w:r>
    </w:p>
    <w:p w14:paraId="52333C50" w14:textId="77777777" w:rsidR="006966D7" w:rsidRPr="004A09CE" w:rsidRDefault="006966D7" w:rsidP="006966D7">
      <w:pPr>
        <w:spacing w:after="0" w:line="276" w:lineRule="auto"/>
        <w:jc w:val="both"/>
        <w:rPr>
          <w:rFonts w:ascii="Verdana" w:eastAsia="Calibri" w:hAnsi="Verdana" w:cs="Arial"/>
          <w:lang w:val="es-ES"/>
        </w:rPr>
      </w:pPr>
    </w:p>
    <w:p w14:paraId="129DB2CA" w14:textId="77777777" w:rsidR="006966D7" w:rsidRPr="004A09CE" w:rsidRDefault="006966D7" w:rsidP="006966D7">
      <w:pPr>
        <w:spacing w:after="0" w:line="276" w:lineRule="auto"/>
        <w:jc w:val="both"/>
        <w:rPr>
          <w:rFonts w:ascii="Verdana" w:eastAsia="Calibri" w:hAnsi="Verdana" w:cs="Arial"/>
          <w:lang w:val="es-ES"/>
        </w:rPr>
      </w:pPr>
      <w:r w:rsidRPr="004A09CE">
        <w:rPr>
          <w:rFonts w:ascii="Verdana" w:eastAsia="Calibri" w:hAnsi="Verdana" w:cs="Arial"/>
          <w:lang w:val="es-ES"/>
        </w:rPr>
        <w:t xml:space="preserve">La respuesta anterior se sustenta en las siguientes consideraciones: </w:t>
      </w:r>
    </w:p>
    <w:p w14:paraId="46E0AE2C" w14:textId="77777777" w:rsidR="006966D7" w:rsidRPr="004A09CE" w:rsidRDefault="006966D7" w:rsidP="006966D7">
      <w:pPr>
        <w:spacing w:after="0" w:line="276" w:lineRule="auto"/>
        <w:jc w:val="both"/>
        <w:rPr>
          <w:rFonts w:ascii="Verdana" w:eastAsia="Calibri" w:hAnsi="Verdana" w:cs="Arial"/>
          <w:lang w:val="es-ES"/>
        </w:rPr>
      </w:pPr>
    </w:p>
    <w:p w14:paraId="3486B011" w14:textId="77777777" w:rsidR="006966D7" w:rsidRPr="00B2223C" w:rsidRDefault="006966D7" w:rsidP="006966D7">
      <w:pPr>
        <w:spacing w:after="120" w:line="276" w:lineRule="auto"/>
        <w:jc w:val="both"/>
        <w:rPr>
          <w:rFonts w:ascii="Verdana" w:eastAsia="Aptos" w:hAnsi="Verdana" w:cs="Arial"/>
        </w:rPr>
      </w:pPr>
      <w:r w:rsidRPr="00B2223C">
        <w:rPr>
          <w:rFonts w:ascii="Verdana" w:eastAsia="Aptos" w:hAnsi="Verdana" w:cs="Arial"/>
        </w:rPr>
        <w:t>El artículo 2.2.1.2.4.2.2. del Decreto 1082 de 2015 establece los requisitos que se deben atender en las “convocatorias limitadas a Mipymes”. El primer elemento delimitador del ámbito de aplicación de esta norma deriva del primer inciso en donde se estable que “</w:t>
      </w:r>
      <w:r>
        <w:rPr>
          <w:rFonts w:ascii="Verdana" w:eastAsia="Aptos" w:hAnsi="Verdana" w:cs="Arial"/>
        </w:rPr>
        <w:t>[l]</w:t>
      </w:r>
      <w:r w:rsidRPr="00B2223C">
        <w:rPr>
          <w:rFonts w:ascii="Verdana" w:eastAsia="Aptos" w:hAnsi="Verdana" w:cs="Arial"/>
        </w:rPr>
        <w:t xml:space="preserve">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w:t>
      </w:r>
      <w:proofErr w:type="spellStart"/>
      <w:r w:rsidRPr="00B2223C">
        <w:rPr>
          <w:rFonts w:ascii="Verdana" w:eastAsia="Aptos" w:hAnsi="Verdana" w:cs="Arial"/>
        </w:rPr>
        <w:t>Mipyme</w:t>
      </w:r>
      <w:proofErr w:type="spellEnd"/>
      <w:r w:rsidRPr="00B2223C">
        <w:rPr>
          <w:rFonts w:ascii="Verdana" w:eastAsia="Aptos" w:hAnsi="Verdana" w:cs="Arial"/>
        </w:rPr>
        <w:t xml:space="preserve"> colombianas con mínimo un (1) año de existencia […]”. Esta redacción obedece a un cambio introducido por el Decreto 1860 de 2021, el cual solo permitía la limitación a Mipymes nacionales en los procedimientos de licitación pública, selección abreviada y concurso de méritos.</w:t>
      </w:r>
    </w:p>
    <w:p w14:paraId="2E1D4D1A" w14:textId="77777777" w:rsidR="006966D7" w:rsidRPr="00B2223C" w:rsidRDefault="006966D7" w:rsidP="006966D7">
      <w:pPr>
        <w:spacing w:after="120" w:line="276" w:lineRule="auto"/>
        <w:jc w:val="both"/>
        <w:rPr>
          <w:rFonts w:ascii="Verdana" w:eastAsia="Calibri" w:hAnsi="Verdana" w:cs="Arial"/>
          <w:lang w:val="es-ES"/>
        </w:rPr>
      </w:pPr>
      <w:r w:rsidRPr="00B2223C">
        <w:rPr>
          <w:rFonts w:ascii="Verdana" w:eastAsia="Aptos" w:hAnsi="Verdana" w:cs="Arial"/>
        </w:rPr>
        <w:tab/>
        <w:t>El numeral primero del referido artículo limita cuantitativamente los procesos contractuales en los que se puede hacer esa “convocatoria limitada a Mipymes”, en la medida en que el valor del proceso de contratación tendrá que ser “menor a ciento veinticinco mil dólares de los Estados Unidos de América”. Esta limitante, valga la pena aclarar, es establecida de acuerdo con la tasa que, para el efecto, determine cada dos años el Ministerio de Comercio, Industria y Turismo. Nótese que la norma no hace referencia a la tasa de cambio representativa del mercado –TRM–, establecida diariamente por la Superintendencia Financiera de Colombia, según lo que establece el artículo 40 de la Resolución Externa No. 1 de 2018 y la Circular Reglamentaria Externa- DODM-146, ambas expedidas por el Banco de la República.</w:t>
      </w:r>
    </w:p>
    <w:p w14:paraId="35239884" w14:textId="77777777" w:rsidR="006966D7" w:rsidRPr="00B2223C" w:rsidRDefault="006966D7" w:rsidP="006966D7">
      <w:pPr>
        <w:spacing w:after="120" w:line="276" w:lineRule="auto"/>
        <w:jc w:val="both"/>
        <w:rPr>
          <w:rFonts w:ascii="Verdana" w:eastAsia="Calibri" w:hAnsi="Verdana" w:cs="Arial"/>
          <w:lang w:val="es-ES"/>
        </w:rPr>
      </w:pPr>
      <w:r w:rsidRPr="00B2223C">
        <w:rPr>
          <w:rFonts w:ascii="Verdana" w:eastAsia="Calibri" w:hAnsi="Verdana" w:cs="Arial"/>
          <w:lang w:val="es-ES"/>
        </w:rPr>
        <w:tab/>
        <w:t xml:space="preserve">El numeral segundo establece dos exigencias: por un lado, que al menos dos (2) Mipymes nacionales presenten a la entidad la solicitud formal de limitar el proceso contractual; y por el otro, que hagan la solicitud por lo menos un (1) día hábil antes de la expedición del acto administrativo de apertura, o el que haga sus veces de acuerdo con la normativa aplicable a cada Proceso de Contratación. Adicionalmente, el segundo inciso del numeral 2 de la norma indica que, tratándose de personas jurídicas, las solicitudes solo podrán realizarla las “[…] </w:t>
      </w:r>
      <w:proofErr w:type="spellStart"/>
      <w:r w:rsidRPr="00B2223C">
        <w:rPr>
          <w:rFonts w:ascii="Verdana" w:eastAsia="Calibri" w:hAnsi="Verdana" w:cs="Arial"/>
          <w:lang w:val="es-ES"/>
        </w:rPr>
        <w:t>Mipyme</w:t>
      </w:r>
      <w:proofErr w:type="spellEnd"/>
      <w:r w:rsidRPr="00B2223C">
        <w:rPr>
          <w:rFonts w:ascii="Verdana" w:eastAsia="Calibri" w:hAnsi="Verdana" w:cs="Arial"/>
          <w:lang w:val="es-ES"/>
        </w:rPr>
        <w:t>, cuyo objeto social les permita ejecutar el contrato relacionado con el proceso contractual”.</w:t>
      </w:r>
    </w:p>
    <w:p w14:paraId="319ED107" w14:textId="77777777" w:rsidR="006966D7" w:rsidRDefault="006966D7" w:rsidP="006966D7">
      <w:pPr>
        <w:spacing w:before="120" w:line="276" w:lineRule="auto"/>
        <w:ind w:firstLine="709"/>
        <w:jc w:val="both"/>
        <w:rPr>
          <w:rFonts w:ascii="Verdana" w:eastAsia="Calibri" w:hAnsi="Verdana" w:cs="Arial"/>
        </w:rPr>
      </w:pPr>
      <w:r w:rsidRPr="004A09CE">
        <w:rPr>
          <w:rFonts w:ascii="Verdana" w:eastAsia="Calibri" w:hAnsi="Verdana" w:cs="Arial"/>
        </w:rPr>
        <w:lastRenderedPageBreak/>
        <w:t xml:space="preserve">De esta forma, para que una Entidad Estatal pueda limitar un proceso de selección a Mipymes, deberán cumplirse de manera integral cada uno de los supuestos establecidos en el articulo </w:t>
      </w:r>
      <w:r w:rsidRPr="004A09CE">
        <w:rPr>
          <w:rFonts w:ascii="Verdana" w:eastAsia="Calibri" w:hAnsi="Verdana" w:cs="Arial"/>
          <w:lang w:val="es-ES"/>
        </w:rPr>
        <w:t>2.2.1.2.4.2.2 del Decreto 1082 de 2015</w:t>
      </w:r>
      <w:r w:rsidRPr="004A09CE">
        <w:rPr>
          <w:rFonts w:ascii="Verdana" w:eastAsia="Calibri" w:hAnsi="Verdana" w:cs="Arial"/>
        </w:rPr>
        <w:t>, pues en caso contrario, no será factible que se realice tal limitación</w:t>
      </w:r>
      <w:r>
        <w:rPr>
          <w:rFonts w:ascii="Verdana" w:eastAsia="Calibri" w:hAnsi="Verdana" w:cs="Arial"/>
        </w:rPr>
        <w:t>. En ese sentido, se precisa que, la limitación de procesos o convocatorias a Mipymes, impide la participación de interesados que no ostenten la calidad de tal, como es el caso de las universidades que, conforme a Ley 489 de 1998, al desarrollar la estructura y organización de la Administración Pública, establece que los entes universitarios hacen parte integral de esta</w:t>
      </w:r>
      <w:r w:rsidRPr="00436042">
        <w:rPr>
          <w:rFonts w:ascii="Verdana" w:eastAsia="Calibri" w:hAnsi="Verdana" w:cs="Arial"/>
          <w:vertAlign w:val="superscript"/>
        </w:rPr>
        <w:footnoteReference w:id="1"/>
      </w:r>
      <w:r w:rsidRPr="00436042">
        <w:rPr>
          <w:rFonts w:ascii="Verdana" w:eastAsia="Calibri" w:hAnsi="Verdana" w:cs="Arial"/>
        </w:rPr>
        <w:t>, catalogándolos como entidades públicas de carácter autónomo a las que aplica un régimen especial</w:t>
      </w:r>
      <w:r w:rsidRPr="00436042">
        <w:rPr>
          <w:rFonts w:ascii="Verdana" w:eastAsia="Calibri" w:hAnsi="Verdana" w:cs="Times New Roman"/>
          <w:vertAlign w:val="superscript"/>
        </w:rPr>
        <w:footnoteReference w:id="2"/>
      </w:r>
      <w:r w:rsidRPr="00436042">
        <w:rPr>
          <w:rFonts w:ascii="Verdana" w:eastAsia="Calibri" w:hAnsi="Verdana" w:cs="Times New Roman"/>
        </w:rPr>
        <w:t>.</w:t>
      </w:r>
    </w:p>
    <w:p w14:paraId="34C5C18D" w14:textId="77777777" w:rsidR="006966D7" w:rsidRPr="00967EED" w:rsidRDefault="006966D7" w:rsidP="006966D7">
      <w:pPr>
        <w:spacing w:after="120" w:line="276" w:lineRule="auto"/>
        <w:ind w:firstLine="708"/>
        <w:jc w:val="both"/>
        <w:rPr>
          <w:rFonts w:ascii="Verdana" w:eastAsia="Arial" w:hAnsi="Verdana" w:cs="Arial"/>
          <w:lang w:val="es-ES_tradnl"/>
        </w:rPr>
      </w:pPr>
      <w:r>
        <w:rPr>
          <w:rFonts w:ascii="Verdana" w:eastAsia="Calibri" w:hAnsi="Verdana" w:cs="Arial"/>
        </w:rPr>
        <w:t xml:space="preserve">Así pues, resulta claro entonces, que los entes universitarios no son considerados Mipymes, pues no encajan en la definición dispuesta en el </w:t>
      </w:r>
      <w:r>
        <w:rPr>
          <w:rFonts w:ascii="Verdana" w:eastAsia="Arial" w:hAnsi="Verdana" w:cs="Arial"/>
          <w:lang w:val="es-MX" w:eastAsia="es-ES" w:bidi="es-ES"/>
        </w:rPr>
        <w:t>artículo 2 de la Ley 590 de 2000, modificado por el artículo 43 de la Ley 1450 de 2011 que define “empresa”, como toda unidad de explotación económica que realiza una persona natural o jurídica en actividades agropecuarias, industriales, comerciales o de servicios</w:t>
      </w:r>
      <w:r w:rsidRPr="00967EED">
        <w:rPr>
          <w:rFonts w:ascii="Verdana" w:hAnsi="Verdana" w:cs="Arial"/>
          <w:vertAlign w:val="superscript"/>
          <w:lang w:val="es-ES_tradnl"/>
        </w:rPr>
        <w:footnoteReference w:id="3"/>
      </w:r>
      <w:r w:rsidRPr="00967EED">
        <w:rPr>
          <w:rFonts w:ascii="Verdana" w:hAnsi="Verdana" w:cs="Arial"/>
          <w:lang w:val="es-ES_tradnl"/>
        </w:rPr>
        <w:t>.</w:t>
      </w:r>
      <w:r>
        <w:rPr>
          <w:rFonts w:ascii="Verdana" w:hAnsi="Verdana" w:cs="Arial"/>
          <w:lang w:val="es-ES_tradnl"/>
        </w:rPr>
        <w:t xml:space="preserve"> Además, establece que estas se clasifican en micro, </w:t>
      </w:r>
      <w:r>
        <w:rPr>
          <w:rFonts w:ascii="Verdana" w:hAnsi="Verdana" w:cs="Arial"/>
          <w:lang w:val="es-ES_tradnl"/>
        </w:rPr>
        <w:lastRenderedPageBreak/>
        <w:t xml:space="preserve">pequeña, mediana y gran empresa, </w:t>
      </w:r>
      <w:r w:rsidRPr="00967EED">
        <w:rPr>
          <w:rFonts w:ascii="Verdana" w:hAnsi="Verdana" w:cs="Arial"/>
          <w:lang w:val="es-ES_tradnl"/>
        </w:rPr>
        <w:t>de acuerdo con los criterios del número de trabajadores totales, el valor de ventas brutales anuales y el valor de activos totales.</w:t>
      </w:r>
      <w:r w:rsidRPr="00967EED">
        <w:rPr>
          <w:rFonts w:ascii="Verdana" w:eastAsia="Arial" w:hAnsi="Verdana" w:cs="Arial"/>
          <w:lang w:val="es-ES_tradnl"/>
        </w:rPr>
        <w:t xml:space="preserve"> </w:t>
      </w:r>
      <w:r>
        <w:rPr>
          <w:rFonts w:ascii="Verdana" w:eastAsia="Arial" w:hAnsi="Verdana" w:cs="Arial"/>
          <w:lang w:val="es-ES_tradnl"/>
        </w:rPr>
        <w:t>En ese sentido</w:t>
      </w:r>
      <w:r w:rsidRPr="00967EED">
        <w:rPr>
          <w:rFonts w:ascii="Verdana" w:eastAsia="Arial" w:hAnsi="Verdana" w:cs="Arial"/>
          <w:lang w:val="es-ES_tradnl"/>
        </w:rPr>
        <w:t xml:space="preserve">, el artículo 2.2.1.13.2.2 del Decreto 1074 de 2015, adicionado por el Decreto 957 de 2019, establece que: </w:t>
      </w:r>
    </w:p>
    <w:p w14:paraId="219F070E" w14:textId="77777777" w:rsidR="006966D7" w:rsidRPr="00967EED" w:rsidRDefault="006966D7" w:rsidP="006966D7">
      <w:pPr>
        <w:spacing w:after="120" w:line="276" w:lineRule="auto"/>
        <w:ind w:firstLine="709"/>
        <w:jc w:val="both"/>
        <w:rPr>
          <w:rFonts w:ascii="Verdana" w:eastAsia="Arial" w:hAnsi="Verdana" w:cs="Arial"/>
          <w:lang w:val="es-ES_tradnl"/>
        </w:rPr>
      </w:pPr>
      <w:r w:rsidRPr="00967EED">
        <w:rPr>
          <w:rFonts w:ascii="Verdana" w:eastAsia="Arial" w:hAnsi="Verdana" w:cs="Arial"/>
          <w:lang w:val="es-ES_tradnl"/>
        </w:rPr>
        <w:t xml:space="preserve">i) La </w:t>
      </w:r>
      <w:r w:rsidRPr="00967EED">
        <w:rPr>
          <w:rFonts w:ascii="Verdana" w:eastAsia="Arial" w:hAnsi="Verdana" w:cs="Arial"/>
          <w:i/>
          <w:iCs/>
          <w:lang w:val="es-ES_tradnl"/>
        </w:rPr>
        <w:t>mediana empresa</w:t>
      </w:r>
      <w:r w:rsidRPr="00967EED">
        <w:rPr>
          <w:rFonts w:ascii="Verdana" w:eastAsia="Arial" w:hAnsi="Verdana" w:cs="Arial"/>
          <w:lang w:val="es-ES_tradnl"/>
        </w:rPr>
        <w:t xml:space="preserve">, en el sector manufacturero, es aquella “cuyos ingresos por actividades ordinarias anuales sean superiores a doscientos cuatro mil novecientos noventa y cinco Unidades de Valor Tributario (204.995 UVT) e inferiores o iguales a un millón setecientos treinta y seis mil quinientos sesenta y cinco Unidades de Valor Tributario (1'736.565 UVT)”; en el sector servicios, la que sus “ingresos por actividades ordinarias anuales sean superiores a ciento treinta y un mil novecientos cincuenta y un Unidades de Valor Tributario (131.951 UVT) e inferiores o iguales a cuatrocientos ochenta y tres mil treinta y cuatro Unidades de Valor Tributario (483.034 UVT)”, y en el sector comercio, la que sus “ingresos por actividades ordinarias anuales sean superiores a cuatrocientos treinta y un mil ciento noventa y seis Unidades de Valor Tributario (431.196 UVT) e inferiores o iguales a dos millones ciento sesenta mil seiscientos noventa y dos Unidades de Valor Tributario (2'160 .692 UVT)”.  </w:t>
      </w:r>
    </w:p>
    <w:p w14:paraId="6CDE6CD7" w14:textId="77777777" w:rsidR="006966D7" w:rsidRPr="00967EED" w:rsidRDefault="006966D7" w:rsidP="006966D7">
      <w:pPr>
        <w:spacing w:after="120" w:line="276" w:lineRule="auto"/>
        <w:ind w:firstLine="709"/>
        <w:jc w:val="both"/>
        <w:rPr>
          <w:rFonts w:ascii="Verdana" w:eastAsia="Arial" w:hAnsi="Verdana" w:cs="Arial"/>
          <w:lang w:val="es-ES"/>
        </w:rPr>
      </w:pPr>
      <w:proofErr w:type="spellStart"/>
      <w:r w:rsidRPr="037F31CB">
        <w:rPr>
          <w:rFonts w:ascii="Verdana" w:eastAsia="Arial" w:hAnsi="Verdana" w:cs="Arial"/>
          <w:lang w:val="es-ES"/>
        </w:rPr>
        <w:t>ii</w:t>
      </w:r>
      <w:proofErr w:type="spellEnd"/>
      <w:r w:rsidRPr="037F31CB">
        <w:rPr>
          <w:rFonts w:ascii="Verdana" w:eastAsia="Arial" w:hAnsi="Verdana" w:cs="Arial"/>
          <w:lang w:val="es-ES"/>
        </w:rPr>
        <w:t xml:space="preserve">) La </w:t>
      </w:r>
      <w:r w:rsidRPr="037F31CB">
        <w:rPr>
          <w:rFonts w:ascii="Verdana" w:eastAsia="Arial" w:hAnsi="Verdana" w:cs="Arial"/>
          <w:i/>
          <w:iCs/>
          <w:lang w:val="es-ES"/>
        </w:rPr>
        <w:t>pequeña empresa</w:t>
      </w:r>
      <w:r w:rsidRPr="037F31CB">
        <w:rPr>
          <w:rFonts w:ascii="Verdana" w:eastAsia="Arial" w:hAnsi="Verdana" w:cs="Arial"/>
          <w:lang w:val="es-ES"/>
        </w:rPr>
        <w:t xml:space="preserve"> en el sector manufacturero, es aquella “cuyos ingresos por actividades ordinarias anuales sean superiores a veintitrés mil quinientos sesenta y tres Unidades de Valor Tributario (23.563 UVT) e inferiores o iguales a doscientos cuatro mil novecientos noventa y cinco Unidades de Valor Tributario (204.995 UVT)”; en el sector servicios, la que sus “ingresos por actividades ordinarias anuales sean superiores a treinta y dos mil novecientos ochenta y ocho Unidades de Valor Tributario (32.988 UVT) e inferiores o iguales a ciento treinta y un mil novecientos cincuenta y uno Unidades de Valor Tributario (131. 951 UVT)”; y en el sector comercio, la que sus “ingresos por actividades ordinarias anuales sean superiores a cuarenta y cuatro mil setecientos sesenta y nueve Unidades de Valor Tributario (44.769 UVT) e inferiores o iguales a cuatrocientos treinta y un mil ciento noventa y seis Unidades de Valor Tributario (431.196 UVT)”.</w:t>
      </w:r>
    </w:p>
    <w:p w14:paraId="2C025C42" w14:textId="77777777" w:rsidR="006966D7" w:rsidRDefault="006966D7" w:rsidP="006966D7">
      <w:pPr>
        <w:spacing w:after="120" w:line="276" w:lineRule="auto"/>
        <w:ind w:firstLine="708"/>
        <w:jc w:val="both"/>
        <w:rPr>
          <w:rFonts w:ascii="Verdana" w:eastAsia="Arial" w:hAnsi="Verdana" w:cs="Arial"/>
          <w:lang w:val="es-MX" w:eastAsia="es-ES" w:bidi="es-ES"/>
        </w:rPr>
      </w:pPr>
      <w:proofErr w:type="spellStart"/>
      <w:r w:rsidRPr="037F31CB">
        <w:rPr>
          <w:rFonts w:ascii="Verdana" w:eastAsia="Arial" w:hAnsi="Verdana" w:cs="Arial"/>
          <w:lang w:val="es-ES"/>
        </w:rPr>
        <w:lastRenderedPageBreak/>
        <w:t>iii</w:t>
      </w:r>
      <w:proofErr w:type="spellEnd"/>
      <w:r w:rsidRPr="037F31CB">
        <w:rPr>
          <w:rFonts w:ascii="Verdana" w:eastAsia="Arial" w:hAnsi="Verdana" w:cs="Arial"/>
          <w:lang w:val="es-ES"/>
        </w:rPr>
        <w:t xml:space="preserve">) La </w:t>
      </w:r>
      <w:r w:rsidRPr="037F31CB">
        <w:rPr>
          <w:rFonts w:ascii="Verdana" w:eastAsia="Arial" w:hAnsi="Verdana" w:cs="Arial"/>
          <w:i/>
          <w:iCs/>
          <w:lang w:val="es-ES"/>
        </w:rPr>
        <w:t>microempresa</w:t>
      </w:r>
      <w:r w:rsidRPr="037F31CB">
        <w:rPr>
          <w:rFonts w:ascii="Verdana" w:eastAsia="Arial" w:hAnsi="Verdana" w:cs="Arial"/>
          <w:lang w:val="es-ES"/>
        </w:rPr>
        <w:t xml:space="preserve"> en el sector manufacturero, es “aquella cuyos ingresos por actividades ordinarias anuales sean inferiores o iguales a veintitrés mil quinientos sesenta y tres Unidades de Valor Tributario (23.563 UVT)”, en el sector servicios, la que sus “ingresos por actividades ordinarias anuales sean inferiores o iguales a treinta y dos mil novecientos ochenta y ocho Unidades de Valor Tributario (32.988 UVT)”, y en el sector comercio, la que sus “ingresos por actividades ordinarias anuales sean inferiores o iguales a cuarenta y cuatro mil setecientos sesenta y nueve Unidades de Valor Tributario (44.769 UVT)”</w:t>
      </w:r>
      <w:r w:rsidRPr="037F31CB">
        <w:rPr>
          <w:rFonts w:ascii="Verdana" w:hAnsi="Verdana" w:cs="Arial"/>
          <w:vertAlign w:val="superscript"/>
          <w:lang w:val="es-ES"/>
        </w:rPr>
        <w:footnoteReference w:id="4"/>
      </w:r>
      <w:r w:rsidRPr="037F31CB">
        <w:rPr>
          <w:rFonts w:ascii="Verdana" w:eastAsia="Arial" w:hAnsi="Verdana" w:cs="Arial"/>
          <w:lang w:val="es-ES"/>
        </w:rPr>
        <w:t>.</w:t>
      </w:r>
    </w:p>
    <w:p w14:paraId="719A1608" w14:textId="77777777" w:rsidR="006966D7" w:rsidRDefault="006966D7" w:rsidP="006966D7">
      <w:pPr>
        <w:spacing w:after="120" w:line="276" w:lineRule="auto"/>
        <w:ind w:firstLine="708"/>
        <w:jc w:val="both"/>
        <w:rPr>
          <w:rFonts w:ascii="Verdana" w:eastAsia="Arial" w:hAnsi="Verdana" w:cs="Arial"/>
          <w:lang w:val="es-MX" w:eastAsia="es-ES" w:bidi="es-ES"/>
        </w:rPr>
      </w:pPr>
      <w:r>
        <w:rPr>
          <w:rFonts w:ascii="Verdana" w:eastAsia="Arial" w:hAnsi="Verdana" w:cs="Arial"/>
          <w:lang w:val="es-MX" w:eastAsia="es-ES" w:bidi="es-ES"/>
        </w:rPr>
        <w:t>En conclusión, se precisa que</w:t>
      </w:r>
      <w:r w:rsidRPr="00AE0E10">
        <w:t xml:space="preserve"> </w:t>
      </w:r>
      <w:r w:rsidRPr="00AE0E10">
        <w:rPr>
          <w:rFonts w:ascii="Verdana" w:eastAsia="Arial" w:hAnsi="Verdana" w:cs="Arial"/>
          <w:lang w:val="es-MX" w:eastAsia="es-ES" w:bidi="es-ES"/>
        </w:rPr>
        <w:t>en virtud del artículo 43 de la Ley 1450 de 2011, que modificó el artículo 2 de la Ley 590 de 2000, y a la luz de las consideraciones contenidas en los párrafos precedentes, puede decirse que solo podrán ser Mipymes las empresas, entendidas estas como las unidades de explotación económica que buscan el reparto de utilidades entre los miembros de la empresa, sin perjuicio de las precisiones que se realizarán más adelante en relación con el artículo 23 de la Ley 2069 de 2020.</w:t>
      </w:r>
      <w:r>
        <w:rPr>
          <w:rFonts w:ascii="Verdana" w:eastAsia="Arial" w:hAnsi="Verdana" w:cs="Arial"/>
          <w:lang w:val="es-MX" w:eastAsia="es-ES" w:bidi="es-ES"/>
        </w:rPr>
        <w:t xml:space="preserve"> </w:t>
      </w:r>
    </w:p>
    <w:p w14:paraId="3F4C2ABD" w14:textId="77777777" w:rsidR="006966D7" w:rsidRPr="004A09CE" w:rsidRDefault="006966D7" w:rsidP="006966D7">
      <w:pPr>
        <w:spacing w:line="276" w:lineRule="auto"/>
        <w:ind w:firstLine="708"/>
        <w:jc w:val="both"/>
        <w:rPr>
          <w:rFonts w:ascii="Verdana" w:eastAsia="Calibri" w:hAnsi="Verdana" w:cs="Arial"/>
        </w:rPr>
      </w:pPr>
      <w:r>
        <w:rPr>
          <w:rFonts w:ascii="Verdana" w:eastAsia="Calibri" w:hAnsi="Verdana" w:cs="Arial"/>
        </w:rPr>
        <w:t xml:space="preserve">Finalmente, se advierte que, la resolución de </w:t>
      </w:r>
      <w:r w:rsidRPr="004A09CE">
        <w:rPr>
          <w:rFonts w:ascii="Verdana" w:eastAsia="Calibri" w:hAnsi="Verdana" w:cs="Arial"/>
        </w:rPr>
        <w:t>problemas específicos en torno a la limitación de convocatorias a Mipymes</w:t>
      </w:r>
      <w:r>
        <w:rPr>
          <w:rFonts w:ascii="Verdana" w:eastAsia="Calibri" w:hAnsi="Verdana" w:cs="Arial"/>
        </w:rPr>
        <w:t xml:space="preserve">, </w:t>
      </w:r>
      <w:r w:rsidRPr="004A09CE">
        <w:rPr>
          <w:rFonts w:ascii="Verdana" w:eastAsia="Calibri" w:hAnsi="Verdana" w:cs="Arial"/>
        </w:rPr>
        <w:t xml:space="preserve">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68107BFC" w14:textId="77777777" w:rsidR="006966D7" w:rsidRPr="004A09CE" w:rsidRDefault="006966D7" w:rsidP="006966D7">
      <w:pPr>
        <w:spacing w:after="120" w:line="276" w:lineRule="auto"/>
        <w:ind w:firstLine="708"/>
        <w:jc w:val="both"/>
        <w:rPr>
          <w:rFonts w:ascii="Verdana" w:eastAsia="Calibri" w:hAnsi="Verdana" w:cs="Arial"/>
        </w:rPr>
      </w:pPr>
      <w:r w:rsidRPr="004A09CE">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5B715EE4" w14:textId="77777777" w:rsidR="006966D7" w:rsidRPr="004A09CE" w:rsidRDefault="006966D7" w:rsidP="006966D7">
      <w:pPr>
        <w:widowControl w:val="0"/>
        <w:autoSpaceDE w:val="0"/>
        <w:autoSpaceDN w:val="0"/>
        <w:spacing w:after="0" w:line="276" w:lineRule="auto"/>
        <w:contextualSpacing/>
        <w:jc w:val="both"/>
        <w:rPr>
          <w:rFonts w:ascii="Verdana" w:eastAsia="Aptos" w:hAnsi="Verdana" w:cs="Arial"/>
        </w:rPr>
      </w:pPr>
    </w:p>
    <w:p w14:paraId="275243B2" w14:textId="77777777" w:rsidR="006966D7" w:rsidRPr="004A09CE" w:rsidRDefault="006966D7" w:rsidP="006966D7">
      <w:pPr>
        <w:widowControl w:val="0"/>
        <w:autoSpaceDE w:val="0"/>
        <w:autoSpaceDN w:val="0"/>
        <w:spacing w:before="1" w:after="0" w:line="240" w:lineRule="auto"/>
        <w:outlineLvl w:val="0"/>
        <w:rPr>
          <w:rFonts w:ascii="Arial" w:eastAsia="Arial" w:hAnsi="Arial" w:cs="Arial"/>
          <w:b/>
          <w:bCs/>
          <w:lang w:val="es-ES"/>
        </w:rPr>
      </w:pPr>
      <w:r w:rsidRPr="004A09CE">
        <w:rPr>
          <w:rFonts w:ascii="Arial" w:eastAsia="Arial" w:hAnsi="Arial" w:cs="Arial"/>
          <w:b/>
          <w:bCs/>
          <w:lang w:val="es-ES"/>
        </w:rPr>
        <w:t xml:space="preserve">4. </w:t>
      </w:r>
      <w:r w:rsidRPr="004A09CE">
        <w:rPr>
          <w:rFonts w:ascii="Verdana" w:eastAsia="Arial" w:hAnsi="Verdana" w:cs="Arial"/>
          <w:b/>
          <w:bCs/>
          <w:lang w:val="es-ES"/>
        </w:rPr>
        <w:t>Referencias normativas, jurisprudenciales y otras fuentes:</w:t>
      </w:r>
    </w:p>
    <w:p w14:paraId="19FBC89A" w14:textId="77777777" w:rsidR="006966D7" w:rsidRPr="004A09CE" w:rsidRDefault="006966D7" w:rsidP="006966D7">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966D7" w:rsidRPr="004A09CE" w14:paraId="1C64AF3C" w14:textId="77777777" w:rsidTr="00F84EC9">
        <w:trPr>
          <w:trHeight w:val="870"/>
        </w:trPr>
        <w:tc>
          <w:tcPr>
            <w:tcW w:w="8647" w:type="dxa"/>
          </w:tcPr>
          <w:p w14:paraId="6B4B739D" w14:textId="77777777" w:rsidR="006966D7" w:rsidRPr="004A09CE" w:rsidRDefault="006966D7" w:rsidP="006966D7">
            <w:pPr>
              <w:widowControl w:val="0"/>
              <w:numPr>
                <w:ilvl w:val="0"/>
                <w:numId w:val="1"/>
              </w:numPr>
              <w:autoSpaceDE w:val="0"/>
              <w:autoSpaceDN w:val="0"/>
              <w:spacing w:after="120" w:line="276" w:lineRule="auto"/>
              <w:contextualSpacing/>
              <w:jc w:val="both"/>
              <w:rPr>
                <w:rFonts w:ascii="Verdana" w:eastAsia="Aptos" w:hAnsi="Verdana" w:cs="Arial"/>
              </w:rPr>
            </w:pPr>
            <w:r w:rsidRPr="004A09CE">
              <w:rPr>
                <w:rFonts w:ascii="Verdana" w:eastAsia="Calibri" w:hAnsi="Verdana" w:cs="Arial"/>
                <w:lang w:val="es-ES"/>
              </w:rPr>
              <w:t>Decreto 1082. Artículo 2.2.1.2.4.2.2</w:t>
            </w:r>
            <w:r w:rsidRPr="004A09CE">
              <w:rPr>
                <w:rFonts w:ascii="Verdana" w:eastAsia="Calibri" w:hAnsi="Verdana" w:cs="Times New Roman"/>
                <w:lang w:val="es-ES"/>
              </w:rPr>
              <w:t xml:space="preserve"> </w:t>
            </w:r>
          </w:p>
          <w:p w14:paraId="489F4CAA" w14:textId="77777777" w:rsidR="006966D7" w:rsidRPr="007A00BD" w:rsidRDefault="006966D7" w:rsidP="006966D7">
            <w:pPr>
              <w:widowControl w:val="0"/>
              <w:numPr>
                <w:ilvl w:val="0"/>
                <w:numId w:val="1"/>
              </w:numPr>
              <w:autoSpaceDE w:val="0"/>
              <w:autoSpaceDN w:val="0"/>
              <w:spacing w:line="276" w:lineRule="auto"/>
              <w:contextualSpacing/>
              <w:jc w:val="both"/>
              <w:rPr>
                <w:rFonts w:ascii="Verdana" w:eastAsia="Aptos" w:hAnsi="Verdana" w:cs="Arial"/>
              </w:rPr>
            </w:pPr>
            <w:r w:rsidRPr="007A00BD">
              <w:rPr>
                <w:rFonts w:ascii="Verdana" w:eastAsia="Aptos" w:hAnsi="Verdana" w:cs="Arial"/>
              </w:rPr>
              <w:t>Ley 590 de 2000. Artículo 2</w:t>
            </w:r>
          </w:p>
          <w:p w14:paraId="224CEEB3" w14:textId="77777777" w:rsidR="006966D7" w:rsidRPr="007A00BD" w:rsidRDefault="006966D7" w:rsidP="006966D7">
            <w:pPr>
              <w:widowControl w:val="0"/>
              <w:numPr>
                <w:ilvl w:val="0"/>
                <w:numId w:val="1"/>
              </w:numPr>
              <w:autoSpaceDE w:val="0"/>
              <w:autoSpaceDN w:val="0"/>
              <w:spacing w:line="276" w:lineRule="auto"/>
              <w:contextualSpacing/>
              <w:jc w:val="both"/>
              <w:rPr>
                <w:rFonts w:ascii="Verdana" w:eastAsia="Aptos" w:hAnsi="Verdana" w:cs="Arial"/>
              </w:rPr>
            </w:pPr>
            <w:r w:rsidRPr="007A00BD">
              <w:rPr>
                <w:rFonts w:ascii="Verdana" w:eastAsia="Aptos" w:hAnsi="Verdana" w:cs="Arial"/>
              </w:rPr>
              <w:t>Ley 1450 de 2011. Artículo 43</w:t>
            </w:r>
          </w:p>
          <w:p w14:paraId="7C6E13CD" w14:textId="77777777" w:rsidR="006966D7" w:rsidRPr="007A00BD" w:rsidRDefault="006966D7" w:rsidP="006966D7">
            <w:pPr>
              <w:widowControl w:val="0"/>
              <w:numPr>
                <w:ilvl w:val="0"/>
                <w:numId w:val="1"/>
              </w:numPr>
              <w:autoSpaceDE w:val="0"/>
              <w:autoSpaceDN w:val="0"/>
              <w:spacing w:line="276" w:lineRule="auto"/>
              <w:contextualSpacing/>
              <w:jc w:val="both"/>
              <w:rPr>
                <w:rFonts w:ascii="Verdana" w:eastAsia="Aptos" w:hAnsi="Verdana" w:cs="Arial"/>
              </w:rPr>
            </w:pPr>
            <w:r w:rsidRPr="007A00BD">
              <w:rPr>
                <w:rFonts w:ascii="Verdana" w:eastAsia="Aptos" w:hAnsi="Verdana" w:cs="Arial"/>
              </w:rPr>
              <w:t>Decreto 1074 de 2015. Artículo 2.2.1.13.2.2</w:t>
            </w:r>
          </w:p>
          <w:p w14:paraId="25FAAA51" w14:textId="77777777" w:rsidR="006966D7" w:rsidRPr="004A09CE" w:rsidRDefault="006966D7" w:rsidP="00F84EC9">
            <w:pPr>
              <w:widowControl w:val="0"/>
              <w:autoSpaceDE w:val="0"/>
              <w:autoSpaceDN w:val="0"/>
              <w:spacing w:line="276" w:lineRule="auto"/>
              <w:ind w:left="720"/>
              <w:contextualSpacing/>
              <w:jc w:val="both"/>
              <w:rPr>
                <w:rFonts w:ascii="Verdana" w:eastAsia="Aptos" w:hAnsi="Verdana" w:cs="Arial"/>
              </w:rPr>
            </w:pPr>
          </w:p>
        </w:tc>
      </w:tr>
    </w:tbl>
    <w:p w14:paraId="5DA3410D" w14:textId="77777777" w:rsidR="006966D7" w:rsidRPr="004A09CE" w:rsidRDefault="006966D7" w:rsidP="006966D7">
      <w:pPr>
        <w:widowControl w:val="0"/>
        <w:autoSpaceDE w:val="0"/>
        <w:autoSpaceDN w:val="0"/>
        <w:spacing w:after="0" w:line="276" w:lineRule="auto"/>
        <w:jc w:val="both"/>
        <w:rPr>
          <w:rFonts w:ascii="Verdana" w:eastAsia="Aptos" w:hAnsi="Verdana" w:cs="Arial"/>
        </w:rPr>
      </w:pPr>
    </w:p>
    <w:p w14:paraId="5B0368A9" w14:textId="77777777" w:rsidR="006966D7" w:rsidRPr="004A09CE" w:rsidRDefault="006966D7" w:rsidP="006966D7">
      <w:pPr>
        <w:widowControl w:val="0"/>
        <w:autoSpaceDE w:val="0"/>
        <w:autoSpaceDN w:val="0"/>
        <w:spacing w:before="1" w:after="0" w:line="240" w:lineRule="auto"/>
        <w:outlineLvl w:val="0"/>
        <w:rPr>
          <w:rFonts w:ascii="Verdana" w:eastAsia="Arial" w:hAnsi="Verdana" w:cs="Arial"/>
          <w:b/>
          <w:bCs/>
          <w:lang w:val="es-ES"/>
        </w:rPr>
      </w:pPr>
      <w:r w:rsidRPr="004A09CE">
        <w:rPr>
          <w:rFonts w:ascii="Verdana" w:eastAsia="Arial" w:hAnsi="Verdana" w:cs="Arial"/>
          <w:b/>
          <w:bCs/>
          <w:lang w:val="es-ES"/>
        </w:rPr>
        <w:t>5. Doctrina de la Agencia Nacional de Contratación Pública:</w:t>
      </w:r>
    </w:p>
    <w:p w14:paraId="2CD30C8A" w14:textId="77777777" w:rsidR="006966D7" w:rsidRPr="004A09CE" w:rsidRDefault="006966D7" w:rsidP="006966D7">
      <w:pPr>
        <w:widowControl w:val="0"/>
        <w:autoSpaceDE w:val="0"/>
        <w:autoSpaceDN w:val="0"/>
        <w:spacing w:after="0" w:line="276" w:lineRule="auto"/>
        <w:jc w:val="both"/>
        <w:rPr>
          <w:rFonts w:ascii="Verdana" w:eastAsia="Aptos" w:hAnsi="Verdana" w:cs="Arial"/>
        </w:rPr>
      </w:pPr>
    </w:p>
    <w:p w14:paraId="3794C840" w14:textId="77777777" w:rsidR="006966D7" w:rsidRPr="004A09CE" w:rsidRDefault="006966D7" w:rsidP="006966D7">
      <w:pPr>
        <w:widowControl w:val="0"/>
        <w:autoSpaceDE w:val="0"/>
        <w:autoSpaceDN w:val="0"/>
        <w:spacing w:after="0" w:line="276" w:lineRule="auto"/>
        <w:jc w:val="both"/>
        <w:rPr>
          <w:rFonts w:ascii="Verdana" w:eastAsia="Aptos" w:hAnsi="Verdana" w:cs="Arial"/>
          <w:shd w:val="clear" w:color="auto" w:fill="FFFFFF"/>
          <w:lang w:val="es-ES"/>
        </w:rPr>
      </w:pPr>
      <w:r>
        <w:rPr>
          <w:rFonts w:ascii="Verdana" w:eastAsia="Aptos" w:hAnsi="Verdana" w:cs="Arial"/>
          <w:shd w:val="clear" w:color="auto" w:fill="FFFFFF"/>
          <w:lang w:val="es-ES"/>
        </w:rPr>
        <w:t xml:space="preserve">Sobre </w:t>
      </w:r>
      <w:r w:rsidRPr="004A09CE">
        <w:rPr>
          <w:rFonts w:ascii="Verdana" w:eastAsia="Aptos" w:hAnsi="Verdana" w:cs="Arial"/>
          <w:shd w:val="clear" w:color="auto" w:fill="FFFFFF"/>
          <w:lang w:val="es-ES"/>
        </w:rPr>
        <w:t>las limitaciones de convocatorias a Mipymes,</w:t>
      </w:r>
      <w:r>
        <w:rPr>
          <w:rFonts w:ascii="Verdana" w:eastAsia="Aptos" w:hAnsi="Verdana" w:cs="Arial"/>
          <w:shd w:val="clear" w:color="auto" w:fill="FFFFFF"/>
          <w:lang w:val="es-ES"/>
        </w:rPr>
        <w:t xml:space="preserve"> esta Subdirección</w:t>
      </w:r>
      <w:r w:rsidRPr="004A09CE">
        <w:rPr>
          <w:rFonts w:ascii="Verdana" w:eastAsia="Aptos" w:hAnsi="Verdana" w:cs="Arial"/>
          <w:shd w:val="clear" w:color="auto" w:fill="FFFFFF"/>
          <w:lang w:val="es-ES"/>
        </w:rPr>
        <w:t xml:space="preserve"> se ha manifestado en los conceptos concepto C-705 del 7 de diciembre de 2020, C-523 del 11 de agosto de 2020, C-438 de 27 de septiembre de 2021, C- 041 del 2 de marzo de 2022 y C-460 del 18 de julio de 2022, C-523 del 16 de agosto de 2022, C- 539 del 29 de agosto de 2022, C-585 del 19 de septiembre de 2022, C-587 del 21 de septiembre de 2022, C-597 del 9 de septiembre de 2022, C-627 del 12 de septiembre de 2022, C-643 del 10 de octubre de 2022, C-662 del 13 de octubre de 2022, C-699 del 25 de octubre de 2022, C-744 del 08 de noviembre de 2022, C-758 del 10 de noviembre de 2022, C-089 del 28 de abril de 2023, C-251 del 9 de agosto de 2024, C-417 del 15 de mayo de 2025, C-483 del 20 de mayo de 2025, entre otros. Es</w:t>
      </w:r>
      <w:r w:rsidRPr="004A09CE">
        <w:rPr>
          <w:rFonts w:ascii="Verdana" w:eastAsia="Aptos" w:hAnsi="Verdana" w:cs="Times New Roman"/>
        </w:rPr>
        <w:t>tos y otros conceptos se encuentran disponibles para consulta en el Sistema de relatoría de la Agencia, al cual se puede acceder a través del siguiente enlace:</w:t>
      </w:r>
      <w:r w:rsidRPr="004A09CE">
        <w:rPr>
          <w:rFonts w:ascii="Verdana" w:eastAsia="Aptos" w:hAnsi="Verdana" w:cs="Arial"/>
          <w:shd w:val="clear" w:color="auto" w:fill="FFFFFF"/>
          <w:lang w:val="es-ES"/>
        </w:rPr>
        <w:t xml:space="preserve"> </w:t>
      </w:r>
      <w:hyperlink r:id="rId12" w:history="1">
        <w:r w:rsidRPr="004A09CE">
          <w:rPr>
            <w:rFonts w:ascii="Verdana" w:eastAsia="Aptos" w:hAnsi="Verdana" w:cs="Arial"/>
            <w:color w:val="467886"/>
            <w:u w:val="single"/>
            <w:shd w:val="clear" w:color="auto" w:fill="FFFFFF"/>
            <w:lang w:val="es-ES"/>
          </w:rPr>
          <w:t>https://relatoria.colombiacompra.gov.co/busqueda/conceptos</w:t>
        </w:r>
      </w:hyperlink>
      <w:r w:rsidRPr="004A09CE">
        <w:rPr>
          <w:rFonts w:ascii="Verdana" w:eastAsia="Aptos" w:hAnsi="Verdana" w:cs="Arial"/>
          <w:color w:val="FF0000"/>
          <w:shd w:val="clear" w:color="auto" w:fill="FFFFFF"/>
          <w:lang w:val="es-ES"/>
        </w:rPr>
        <w:t>.</w:t>
      </w:r>
    </w:p>
    <w:p w14:paraId="61D308FA" w14:textId="77777777" w:rsidR="006966D7" w:rsidRDefault="006966D7" w:rsidP="006966D7">
      <w:pPr>
        <w:widowControl w:val="0"/>
        <w:autoSpaceDE w:val="0"/>
        <w:autoSpaceDN w:val="0"/>
        <w:spacing w:after="0" w:line="276" w:lineRule="auto"/>
        <w:jc w:val="both"/>
        <w:rPr>
          <w:rFonts w:ascii="Verdana" w:eastAsia="Aptos" w:hAnsi="Verdana" w:cs="Arial"/>
          <w:shd w:val="clear" w:color="auto" w:fill="FFFFFF"/>
          <w:lang w:val="es-ES"/>
        </w:rPr>
      </w:pPr>
    </w:p>
    <w:p w14:paraId="5CB37A61" w14:textId="77777777" w:rsidR="00B60B6B" w:rsidRPr="006263D8" w:rsidRDefault="00B60B6B" w:rsidP="00B60B6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6263D8">
        <w:rPr>
          <w:rFonts w:ascii="Verdana" w:eastAsia="Times New Roman" w:hAnsi="Verdana" w:cs="Times New Roman"/>
          <w:b/>
          <w:bCs/>
          <w:color w:val="000000"/>
          <w:lang w:eastAsia="es-CO"/>
        </w:rPr>
        <w:t>Guía para la Exigencia y Constitución de Garantías en los Procesos de Contratación</w:t>
      </w:r>
      <w:r w:rsidRPr="006263D8">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6263D8">
          <w:rPr>
            <w:rStyle w:val="Hipervnculo"/>
            <w:rFonts w:ascii="Verdana" w:eastAsia="Times New Roman" w:hAnsi="Verdana" w:cs="Times New Roman"/>
            <w:lang w:eastAsia="es-CO"/>
          </w:rPr>
          <w:t>https://www.colombiacompra.gov.co/archivos/manual/guia-de-garantias-en-procesos-de-contratacion</w:t>
        </w:r>
      </w:hyperlink>
    </w:p>
    <w:p w14:paraId="6C6AD37F" w14:textId="77777777" w:rsidR="00B60B6B" w:rsidRPr="006263D8" w:rsidRDefault="00B60B6B" w:rsidP="00B60B6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lastRenderedPageBreak/>
        <w:t>De otro lado, te contamos que el Decreto 287 del 19 de marzo de 2026 sustituyó los artículos 2.2.1.2.4.2.6., 2.2.1.2.4.2.7. y 2.2.1.2.4.2.8. del Decreto 1082 de 2015 y estructuró el </w:t>
      </w:r>
      <w:r w:rsidRPr="006263D8">
        <w:rPr>
          <w:rFonts w:ascii="Verdana" w:eastAsia="Times New Roman" w:hAnsi="Verdana" w:cs="Times New Roman"/>
          <w:b/>
          <w:bCs/>
          <w:color w:val="000000"/>
          <w:lang w:eastAsia="es-CO"/>
        </w:rPr>
        <w:t>Sistema Integral de Preferencias en favor de las personas con discapacidad</w:t>
      </w:r>
      <w:r w:rsidRPr="006263D8">
        <w:rPr>
          <w:rFonts w:ascii="Verdana" w:eastAsia="Times New Roman" w:hAnsi="Verdana" w:cs="Times New Roman"/>
          <w:color w:val="000000"/>
          <w:lang w:eastAsia="es-CO"/>
        </w:rPr>
        <w:t>, en cumplimiento del artículo 13 de la Ley Estatutaria 1618 de 2013. Para orientar su aplicación, esta Agencia expidió la </w:t>
      </w:r>
      <w:r w:rsidRPr="006263D8">
        <w:rPr>
          <w:rFonts w:ascii="Verdana" w:eastAsia="Times New Roman" w:hAnsi="Verdana" w:cs="Times New Roman"/>
          <w:b/>
          <w:bCs/>
          <w:color w:val="000000"/>
          <w:lang w:eastAsia="es-CO"/>
        </w:rPr>
        <w:t>Circular Externa 003 del 12 de mayo de 2026, </w:t>
      </w:r>
      <w:r w:rsidRPr="006263D8">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6263D8">
          <w:rPr>
            <w:rStyle w:val="Hipervnculo"/>
            <w:rFonts w:ascii="Verdana" w:eastAsia="Times New Roman" w:hAnsi="Verdana" w:cs="Times New Roman"/>
            <w:lang w:eastAsia="es-CO"/>
          </w:rPr>
          <w:t>https://www.colombiacompra.gov.co/archivos/circular/circular-externa-003-de-2026</w:t>
        </w:r>
      </w:hyperlink>
    </w:p>
    <w:p w14:paraId="59409D6E" w14:textId="77777777" w:rsidR="00B60B6B" w:rsidRPr="006263D8" w:rsidRDefault="00B60B6B" w:rsidP="00B60B6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Recuerda también que la</w:t>
      </w:r>
      <w:r w:rsidRPr="006263D8">
        <w:rPr>
          <w:rFonts w:ascii="Verdana" w:eastAsia="Times New Roman" w:hAnsi="Verdana" w:cs="Times New Roman"/>
          <w:b/>
          <w:bCs/>
          <w:color w:val="000000"/>
          <w:lang w:eastAsia="es-CO"/>
        </w:rPr>
        <w:t> información sobre sanciones e inhabilidades </w:t>
      </w:r>
      <w:r w:rsidRPr="006263D8">
        <w:rPr>
          <w:rFonts w:ascii="Verdana" w:eastAsia="Times New Roman" w:hAnsi="Verdana" w:cs="Times New Roman"/>
          <w:color w:val="000000"/>
          <w:lang w:eastAsia="es-CO"/>
        </w:rPr>
        <w:t>solo cumple su función preventiva si llega oportunamente a los registros públicos. Sobre este deber, esta Agencia expidió la </w:t>
      </w:r>
      <w:r w:rsidRPr="006263D8">
        <w:rPr>
          <w:rFonts w:ascii="Verdana" w:eastAsia="Times New Roman" w:hAnsi="Verdana" w:cs="Times New Roman"/>
          <w:b/>
          <w:bCs/>
          <w:color w:val="000000"/>
          <w:lang w:eastAsia="es-CO"/>
        </w:rPr>
        <w:t>Circular Externa 002 del 5 de mayo de 2026,</w:t>
      </w:r>
      <w:r w:rsidRPr="006263D8">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6263D8">
          <w:rPr>
            <w:rStyle w:val="Hipervnculo"/>
            <w:rFonts w:ascii="Verdana" w:eastAsia="Times New Roman" w:hAnsi="Verdana" w:cs="Times New Roman"/>
            <w:lang w:eastAsia="es-CO"/>
          </w:rPr>
          <w:t>https://www.colombiacompra.gov.co/archivos/circular/circular-externa-002-de-2026</w:t>
        </w:r>
      </w:hyperlink>
    </w:p>
    <w:p w14:paraId="1EE46D30" w14:textId="77777777" w:rsidR="00B60B6B" w:rsidRDefault="00B60B6B" w:rsidP="00B60B6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otra parte, si quieres seguir de cerca la actividad de la Agencia, la tercera edición de 2026 del</w:t>
      </w:r>
      <w:r w:rsidRPr="006263D8">
        <w:rPr>
          <w:rFonts w:ascii="Verdana" w:eastAsia="Times New Roman" w:hAnsi="Verdana" w:cs="Times New Roman"/>
          <w:b/>
          <w:bCs/>
          <w:color w:val="000000"/>
          <w:lang w:eastAsia="es-CO"/>
        </w:rPr>
        <w:t> Radar de la Compra Pública</w:t>
      </w:r>
      <w:r w:rsidRPr="006263D8">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history="1">
        <w:r w:rsidRPr="006263D8">
          <w:rPr>
            <w:rStyle w:val="Hipervnculo"/>
            <w:rFonts w:ascii="Verdana" w:eastAsia="Times New Roman" w:hAnsi="Verdana" w:cs="Times New Roman"/>
            <w:lang w:eastAsia="es-CO"/>
          </w:rPr>
          <w:t>https://www.colombiacompra.gov.co/archivos/boletin/boletin-edicion-n-3-de-2026-radar-de-la-compra-publica</w:t>
        </w:r>
      </w:hyperlink>
      <w:r w:rsidRPr="006263D8">
        <w:rPr>
          <w:rFonts w:ascii="Verdana" w:eastAsia="Times New Roman" w:hAnsi="Verdana" w:cs="Times New Roman"/>
          <w:color w:val="000000"/>
          <w:lang w:eastAsia="es-CO"/>
        </w:rPr>
        <w:t>"</w:t>
      </w:r>
    </w:p>
    <w:p w14:paraId="3C3D9751" w14:textId="77777777" w:rsidR="00B60B6B" w:rsidRPr="0089556E" w:rsidRDefault="00B60B6B" w:rsidP="00B60B6B">
      <w:pPr>
        <w:widowControl w:val="0"/>
        <w:autoSpaceDE w:val="0"/>
        <w:autoSpaceDN w:val="0"/>
        <w:spacing w:after="0" w:line="276" w:lineRule="auto"/>
        <w:jc w:val="both"/>
        <w:rPr>
          <w:rFonts w:ascii="Verdana" w:eastAsia="Aptos" w:hAnsi="Verdana" w:cs="Arial"/>
          <w:shd w:val="clear" w:color="auto" w:fill="FFFFFF"/>
          <w:lang w:val="es-ES"/>
        </w:rPr>
      </w:pPr>
    </w:p>
    <w:p w14:paraId="6783B631" w14:textId="77777777" w:rsidR="006966D7" w:rsidRPr="004A09CE" w:rsidRDefault="006966D7" w:rsidP="006966D7">
      <w:pPr>
        <w:spacing w:after="0" w:line="240" w:lineRule="auto"/>
        <w:jc w:val="both"/>
        <w:rPr>
          <w:rFonts w:ascii="Verdana" w:eastAsia="Aptos" w:hAnsi="Verdana" w:cs="Times New Roman"/>
        </w:rPr>
      </w:pPr>
      <w:r w:rsidRPr="004A09CE">
        <w:rPr>
          <w:rFonts w:ascii="Verdana" w:eastAsia="Aptos" w:hAnsi="Verdana" w:cs="Times New Roman"/>
        </w:rPr>
        <w:t xml:space="preserve">Por último, lo invitamos a seguirnos en las redes sociales en las cuales se difunde información institucional: </w:t>
      </w:r>
    </w:p>
    <w:p w14:paraId="42F16AB0" w14:textId="77777777" w:rsidR="006966D7" w:rsidRPr="004A09CE" w:rsidRDefault="006966D7" w:rsidP="006966D7">
      <w:pPr>
        <w:spacing w:after="0" w:line="240" w:lineRule="auto"/>
        <w:jc w:val="both"/>
        <w:rPr>
          <w:rFonts w:ascii="Verdana" w:eastAsia="Aptos" w:hAnsi="Verdana" w:cs="Times New Roman"/>
        </w:rPr>
      </w:pPr>
    </w:p>
    <w:p w14:paraId="4296C990" w14:textId="77777777" w:rsidR="006966D7" w:rsidRPr="004A09CE" w:rsidRDefault="006966D7" w:rsidP="006966D7">
      <w:pPr>
        <w:spacing w:after="0" w:line="240" w:lineRule="auto"/>
        <w:jc w:val="both"/>
        <w:rPr>
          <w:rFonts w:ascii="Verdana" w:eastAsia="Aptos" w:hAnsi="Verdana" w:cs="Times New Roman"/>
        </w:rPr>
      </w:pPr>
      <w:r w:rsidRPr="004A09CE">
        <w:rPr>
          <w:rFonts w:ascii="Verdana" w:eastAsia="Aptos" w:hAnsi="Verdana" w:cs="Times New Roman"/>
        </w:rPr>
        <w:t xml:space="preserve">Twitter: </w:t>
      </w:r>
      <w:r w:rsidRPr="004A09CE">
        <w:rPr>
          <w:rFonts w:ascii="Verdana" w:eastAsia="Aptos" w:hAnsi="Verdana" w:cs="Times New Roman"/>
          <w:color w:val="156082"/>
          <w:u w:val="single"/>
        </w:rPr>
        <w:t>@colombiacompra</w:t>
      </w:r>
      <w:r w:rsidRPr="004A09CE">
        <w:rPr>
          <w:rFonts w:ascii="Verdana" w:eastAsia="Aptos" w:hAnsi="Verdana" w:cs="Times New Roman"/>
          <w:color w:val="156082"/>
        </w:rPr>
        <w:t xml:space="preserve"> </w:t>
      </w:r>
    </w:p>
    <w:p w14:paraId="2DBF7B2C" w14:textId="77777777" w:rsidR="006966D7" w:rsidRPr="004A09CE" w:rsidRDefault="006966D7" w:rsidP="006966D7">
      <w:pPr>
        <w:spacing w:after="0" w:line="240" w:lineRule="auto"/>
        <w:jc w:val="both"/>
        <w:rPr>
          <w:rFonts w:ascii="Verdana" w:eastAsia="Aptos" w:hAnsi="Verdana" w:cs="Times New Roman"/>
        </w:rPr>
      </w:pPr>
      <w:r w:rsidRPr="004A09CE">
        <w:rPr>
          <w:rFonts w:ascii="Verdana" w:eastAsia="Aptos" w:hAnsi="Verdana" w:cs="Times New Roman"/>
        </w:rPr>
        <w:t xml:space="preserve">Facebook: </w:t>
      </w:r>
      <w:proofErr w:type="spellStart"/>
      <w:r w:rsidRPr="004A09CE">
        <w:rPr>
          <w:rFonts w:ascii="Verdana" w:eastAsia="Aptos" w:hAnsi="Verdana" w:cs="Times New Roman"/>
          <w:color w:val="156082"/>
          <w:u w:val="single"/>
        </w:rPr>
        <w:t>ColombiaCompraEficiente</w:t>
      </w:r>
      <w:proofErr w:type="spellEnd"/>
    </w:p>
    <w:p w14:paraId="25E50301" w14:textId="77777777" w:rsidR="006966D7" w:rsidRPr="004A09CE" w:rsidRDefault="006966D7" w:rsidP="006966D7">
      <w:pPr>
        <w:spacing w:after="0" w:line="240" w:lineRule="auto"/>
        <w:jc w:val="both"/>
        <w:rPr>
          <w:rFonts w:ascii="Verdana" w:eastAsia="Aptos" w:hAnsi="Verdana" w:cs="Times New Roman"/>
        </w:rPr>
      </w:pPr>
      <w:r w:rsidRPr="004A09CE">
        <w:rPr>
          <w:rFonts w:ascii="Verdana" w:eastAsia="Aptos" w:hAnsi="Verdana" w:cs="Times New Roman"/>
        </w:rPr>
        <w:t xml:space="preserve">LinkedIn: </w:t>
      </w:r>
      <w:r w:rsidRPr="004A09CE">
        <w:rPr>
          <w:rFonts w:ascii="Verdana" w:eastAsia="Aptos" w:hAnsi="Verdana" w:cs="Times New Roman"/>
          <w:color w:val="156082"/>
          <w:u w:val="single"/>
        </w:rPr>
        <w:t>Agencia Nacional de Contratación Pública - Colombia Compra Eficiente</w:t>
      </w:r>
      <w:r w:rsidRPr="004A09CE">
        <w:rPr>
          <w:rFonts w:ascii="Verdana" w:eastAsia="Aptos" w:hAnsi="Verdana" w:cs="Times New Roman"/>
          <w:color w:val="156082"/>
        </w:rPr>
        <w:t xml:space="preserve"> </w:t>
      </w:r>
      <w:r w:rsidRPr="004A09CE">
        <w:rPr>
          <w:rFonts w:ascii="Verdana" w:eastAsia="Aptos" w:hAnsi="Verdana" w:cs="Times New Roman"/>
        </w:rPr>
        <w:t xml:space="preserve">Instagram: </w:t>
      </w:r>
      <w:r w:rsidRPr="004A09CE">
        <w:rPr>
          <w:rFonts w:ascii="Verdana" w:eastAsia="Aptos" w:hAnsi="Verdana" w:cs="Times New Roman"/>
          <w:color w:val="156082"/>
          <w:u w:val="single"/>
        </w:rPr>
        <w:t>@colombiacompraeficiente_cce</w:t>
      </w:r>
    </w:p>
    <w:p w14:paraId="5DB103CB" w14:textId="77777777" w:rsidR="006966D7" w:rsidRPr="004A09CE" w:rsidRDefault="006966D7" w:rsidP="006966D7">
      <w:pPr>
        <w:widowControl w:val="0"/>
        <w:autoSpaceDE w:val="0"/>
        <w:autoSpaceDN w:val="0"/>
        <w:spacing w:after="0" w:line="276" w:lineRule="auto"/>
        <w:jc w:val="both"/>
        <w:rPr>
          <w:rFonts w:ascii="Verdana" w:eastAsia="Aptos" w:hAnsi="Verdana" w:cs="Arial"/>
        </w:rPr>
      </w:pPr>
    </w:p>
    <w:p w14:paraId="6AEB790E" w14:textId="77777777" w:rsidR="006966D7" w:rsidRPr="004A09CE" w:rsidRDefault="006966D7" w:rsidP="006966D7">
      <w:pPr>
        <w:widowControl w:val="0"/>
        <w:autoSpaceDE w:val="0"/>
        <w:autoSpaceDN w:val="0"/>
        <w:spacing w:after="0" w:line="276" w:lineRule="auto"/>
        <w:jc w:val="both"/>
        <w:rPr>
          <w:rFonts w:ascii="Verdana" w:eastAsia="Aptos" w:hAnsi="Verdana" w:cs="Arial"/>
          <w:lang w:val="es-ES_tradnl"/>
        </w:rPr>
      </w:pPr>
      <w:r w:rsidRPr="004A09CE">
        <w:rPr>
          <w:rFonts w:ascii="Verdana" w:eastAsia="Aptos" w:hAnsi="Verdana" w:cs="Arial"/>
        </w:rPr>
        <w:t xml:space="preserve">Este concepto tiene el alcance previsto en el artículo 28 del Código de </w:t>
      </w:r>
      <w:r w:rsidRPr="004A09CE">
        <w:rPr>
          <w:rFonts w:ascii="Verdana" w:eastAsia="Aptos" w:hAnsi="Verdana" w:cs="Arial"/>
        </w:rPr>
        <w:lastRenderedPageBreak/>
        <w:t xml:space="preserve">Procedimiento Administrativo y de lo Contencioso Administrativo </w:t>
      </w:r>
      <w:r w:rsidRPr="004A09CE">
        <w:rPr>
          <w:rFonts w:ascii="Verdana" w:eastAsia="Aptos" w:hAnsi="Verdana" w:cs="Arial"/>
          <w:lang w:val="es-ES_tradnl"/>
        </w:rPr>
        <w:t>y las expresiones aquí utilizadas con mayúscula inicial deben ser entendidas con el significado que les otorga el artículo 2.2.1.1.1.3.1. del Decreto 1082 de 2015.</w:t>
      </w:r>
    </w:p>
    <w:p w14:paraId="66900705" w14:textId="77777777" w:rsidR="006966D7" w:rsidRPr="004A09CE" w:rsidRDefault="006966D7" w:rsidP="006966D7">
      <w:pPr>
        <w:widowControl w:val="0"/>
        <w:autoSpaceDE w:val="0"/>
        <w:autoSpaceDN w:val="0"/>
        <w:spacing w:after="0" w:line="276" w:lineRule="auto"/>
        <w:jc w:val="both"/>
        <w:rPr>
          <w:rFonts w:ascii="Verdana" w:eastAsia="Aptos" w:hAnsi="Verdana" w:cs="Arial"/>
        </w:rPr>
      </w:pPr>
    </w:p>
    <w:p w14:paraId="3E6A2B40" w14:textId="77777777" w:rsidR="006966D7" w:rsidRPr="004A09CE" w:rsidRDefault="006966D7" w:rsidP="006966D7">
      <w:pPr>
        <w:spacing w:after="0" w:line="240" w:lineRule="auto"/>
        <w:rPr>
          <w:rFonts w:ascii="Verdana" w:eastAsia="Aptos" w:hAnsi="Verdana" w:cs="Arial"/>
          <w:lang w:eastAsia="es-CO"/>
        </w:rPr>
      </w:pPr>
      <w:r w:rsidRPr="004A09CE">
        <w:rPr>
          <w:rFonts w:ascii="Verdana" w:eastAsia="Times New Roman" w:hAnsi="Verdana" w:cs="Arial"/>
          <w:lang w:eastAsia="es-CO"/>
        </w:rPr>
        <w:t>Atentamente,</w:t>
      </w:r>
      <w:r w:rsidRPr="004A09CE">
        <w:rPr>
          <w:rFonts w:ascii="Verdana" w:eastAsia="Aptos" w:hAnsi="Verdana" w:cs="Arial"/>
          <w:lang w:eastAsia="es-CO"/>
        </w:rPr>
        <w:t xml:space="preserve"> </w:t>
      </w:r>
    </w:p>
    <w:p w14:paraId="0A0A0753" w14:textId="77777777" w:rsidR="006966D7" w:rsidRPr="004A09CE" w:rsidRDefault="006966D7" w:rsidP="006966D7">
      <w:pPr>
        <w:spacing w:line="276" w:lineRule="auto"/>
        <w:jc w:val="center"/>
        <w:rPr>
          <w:rFonts w:ascii="Verdana" w:eastAsia="Aptos" w:hAnsi="Verdana" w:cs="Times New Roman"/>
          <w:noProof/>
        </w:rPr>
      </w:pPr>
    </w:p>
    <w:p w14:paraId="3DC7C329" w14:textId="216E7953" w:rsidR="006966D7" w:rsidRPr="004A09CE" w:rsidRDefault="00BC3C8F" w:rsidP="006966D7">
      <w:pPr>
        <w:spacing w:line="276" w:lineRule="auto"/>
        <w:jc w:val="center"/>
        <w:rPr>
          <w:rFonts w:ascii="Verdana" w:eastAsia="Aptos" w:hAnsi="Verdana" w:cs="Times New Roman"/>
          <w:noProof/>
          <w:lang w:eastAsia="es-CO"/>
        </w:rPr>
      </w:pPr>
      <w:r>
        <w:rPr>
          <w:noProof/>
        </w:rPr>
        <w:drawing>
          <wp:inline distT="0" distB="0" distL="0" distR="0" wp14:anchorId="26311F60" wp14:editId="458D5E85">
            <wp:extent cx="3257550" cy="1390650"/>
            <wp:effectExtent l="0" t="0" r="0" b="0"/>
            <wp:docPr id="160631609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o&#10;&#10;El contenido generado por IA puede ser incorrec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7550" cy="1390650"/>
                    </a:xfrm>
                    <a:prstGeom prst="rect">
                      <a:avLst/>
                    </a:prstGeom>
                    <a:noFill/>
                    <a:ln>
                      <a:noFill/>
                    </a:ln>
                  </pic:spPr>
                </pic:pic>
              </a:graphicData>
            </a:graphic>
          </wp:inline>
        </w:drawing>
      </w:r>
    </w:p>
    <w:p w14:paraId="3396C4BA" w14:textId="77777777" w:rsidR="006966D7" w:rsidRPr="004A09CE" w:rsidRDefault="006966D7" w:rsidP="006966D7">
      <w:pPr>
        <w:spacing w:line="276" w:lineRule="auto"/>
        <w:jc w:val="center"/>
        <w:rPr>
          <w:rFonts w:ascii="Verdana" w:eastAsia="Aptos" w:hAnsi="Verdana" w:cs="Arial"/>
          <w:lang w:val="es-ES_tradnl" w:eastAsia="es-CO"/>
        </w:rPr>
      </w:pP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6966D7" w:rsidRPr="004A09CE" w14:paraId="4358786C" w14:textId="77777777" w:rsidTr="00F84EC9">
        <w:trPr>
          <w:trHeight w:val="286"/>
        </w:trPr>
        <w:tc>
          <w:tcPr>
            <w:tcW w:w="901" w:type="dxa"/>
            <w:vAlign w:val="center"/>
            <w:hideMark/>
          </w:tcPr>
          <w:p w14:paraId="3A05DC54" w14:textId="77777777" w:rsidR="006966D7" w:rsidRPr="004A09CE" w:rsidRDefault="006966D7" w:rsidP="00F84EC9">
            <w:pPr>
              <w:rPr>
                <w:rFonts w:ascii="Verdana" w:eastAsia="Aptos" w:hAnsi="Verdana" w:cs="Arial"/>
                <w:sz w:val="14"/>
                <w:szCs w:val="14"/>
                <w:lang w:eastAsia="es-ES"/>
              </w:rPr>
            </w:pPr>
            <w:r w:rsidRPr="004A09CE">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0DE2444E" w14:textId="77777777" w:rsidR="006966D7" w:rsidRPr="004A09CE" w:rsidRDefault="006966D7" w:rsidP="00F84EC9">
            <w:pPr>
              <w:rPr>
                <w:rFonts w:ascii="Verdana" w:eastAsia="Aptos" w:hAnsi="Verdana" w:cs="Arial"/>
                <w:sz w:val="14"/>
                <w:szCs w:val="14"/>
                <w:lang w:eastAsia="es-ES"/>
              </w:rPr>
            </w:pPr>
            <w:r w:rsidRPr="004A09CE">
              <w:rPr>
                <w:rFonts w:ascii="Verdana" w:eastAsia="Aptos" w:hAnsi="Verdana" w:cs="Arial"/>
                <w:sz w:val="14"/>
                <w:szCs w:val="14"/>
                <w:lang w:eastAsia="es-ES"/>
              </w:rPr>
              <w:t>Nasly Yeana Mosquera Rivas</w:t>
            </w:r>
          </w:p>
          <w:p w14:paraId="3C632A3F" w14:textId="77777777" w:rsidR="006966D7" w:rsidRPr="004A09CE" w:rsidRDefault="006966D7" w:rsidP="00F84EC9">
            <w:pPr>
              <w:rPr>
                <w:rFonts w:ascii="Verdana" w:eastAsia="Aptos" w:hAnsi="Verdana" w:cs="Arial"/>
                <w:sz w:val="14"/>
                <w:szCs w:val="14"/>
                <w:lang w:eastAsia="es-ES"/>
              </w:rPr>
            </w:pPr>
            <w:r w:rsidRPr="004A09CE">
              <w:rPr>
                <w:rFonts w:ascii="Verdana" w:eastAsia="Aptos" w:hAnsi="Verdana" w:cs="Arial"/>
                <w:sz w:val="14"/>
                <w:szCs w:val="14"/>
                <w:lang w:eastAsia="es-ES"/>
              </w:rPr>
              <w:t>Analista T2–06 de la Subdirección de Gestión Contractual</w:t>
            </w:r>
          </w:p>
        </w:tc>
      </w:tr>
      <w:tr w:rsidR="006966D7" w:rsidRPr="004A09CE" w14:paraId="1C3A0BA1" w14:textId="77777777" w:rsidTr="00F84EC9">
        <w:trPr>
          <w:trHeight w:val="299"/>
        </w:trPr>
        <w:tc>
          <w:tcPr>
            <w:tcW w:w="901" w:type="dxa"/>
            <w:vAlign w:val="center"/>
          </w:tcPr>
          <w:p w14:paraId="3410904A" w14:textId="77777777" w:rsidR="006966D7" w:rsidRPr="004A09CE" w:rsidRDefault="006966D7" w:rsidP="00F84EC9">
            <w:pPr>
              <w:rPr>
                <w:rFonts w:ascii="Verdana" w:eastAsia="Aptos" w:hAnsi="Verdana" w:cs="Arial"/>
                <w:sz w:val="14"/>
                <w:szCs w:val="14"/>
                <w:lang w:eastAsia="es-ES"/>
              </w:rPr>
            </w:pPr>
            <w:r w:rsidRPr="004A09CE">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7A7C448A" w14:textId="77777777" w:rsidR="006966D7" w:rsidRPr="004A09CE" w:rsidRDefault="006966D7" w:rsidP="00F84EC9">
            <w:pPr>
              <w:rPr>
                <w:rFonts w:ascii="Verdana" w:eastAsia="Aptos" w:hAnsi="Verdana" w:cs="Arial"/>
                <w:sz w:val="14"/>
                <w:szCs w:val="14"/>
                <w:lang w:eastAsia="es-ES"/>
              </w:rPr>
            </w:pPr>
            <w:r>
              <w:rPr>
                <w:rFonts w:ascii="Verdana" w:eastAsia="Aptos" w:hAnsi="Verdana" w:cs="Arial"/>
                <w:sz w:val="14"/>
                <w:szCs w:val="14"/>
                <w:lang w:eastAsia="es-ES"/>
              </w:rPr>
              <w:t>Adriana Katerine López Rodríguez</w:t>
            </w:r>
          </w:p>
          <w:p w14:paraId="0C5E6449" w14:textId="77777777" w:rsidR="006966D7" w:rsidRPr="004A09CE" w:rsidRDefault="006966D7" w:rsidP="00F84EC9">
            <w:pPr>
              <w:rPr>
                <w:rFonts w:ascii="Verdana" w:eastAsia="Aptos" w:hAnsi="Verdana" w:cs="Arial"/>
                <w:sz w:val="14"/>
                <w:szCs w:val="14"/>
                <w:lang w:eastAsia="es-ES"/>
              </w:rPr>
            </w:pPr>
            <w:r>
              <w:rPr>
                <w:rFonts w:ascii="Verdana" w:eastAsia="Aptos" w:hAnsi="Verdana" w:cs="Arial"/>
                <w:sz w:val="14"/>
                <w:szCs w:val="14"/>
                <w:lang w:eastAsia="es-ES"/>
              </w:rPr>
              <w:t>Contratista</w:t>
            </w:r>
            <w:r w:rsidRPr="004A09CE">
              <w:rPr>
                <w:rFonts w:ascii="Verdana" w:eastAsia="Aptos" w:hAnsi="Verdana" w:cs="Arial"/>
                <w:sz w:val="14"/>
                <w:szCs w:val="14"/>
                <w:lang w:eastAsia="es-ES"/>
              </w:rPr>
              <w:t xml:space="preserve"> de la Subdirección de Gestión Contractual</w:t>
            </w:r>
          </w:p>
        </w:tc>
      </w:tr>
      <w:tr w:rsidR="006966D7" w:rsidRPr="004A09CE" w14:paraId="2E6EA96E" w14:textId="77777777" w:rsidTr="00F84EC9">
        <w:trPr>
          <w:trHeight w:val="272"/>
        </w:trPr>
        <w:tc>
          <w:tcPr>
            <w:tcW w:w="901" w:type="dxa"/>
            <w:vAlign w:val="center"/>
            <w:hideMark/>
          </w:tcPr>
          <w:p w14:paraId="79DCE16C" w14:textId="77777777" w:rsidR="006966D7" w:rsidRPr="004A09CE" w:rsidRDefault="006966D7" w:rsidP="00F84EC9">
            <w:pPr>
              <w:rPr>
                <w:rFonts w:ascii="Verdana" w:eastAsia="Aptos" w:hAnsi="Verdana" w:cs="Arial"/>
                <w:sz w:val="14"/>
                <w:szCs w:val="14"/>
                <w:lang w:eastAsia="es-ES"/>
              </w:rPr>
            </w:pPr>
            <w:r w:rsidRPr="004A09CE">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29C0E672" w14:textId="77777777" w:rsidR="006966D7" w:rsidRPr="004A09CE" w:rsidRDefault="006966D7" w:rsidP="00F84EC9">
            <w:pPr>
              <w:rPr>
                <w:rFonts w:ascii="Verdana" w:eastAsia="Aptos" w:hAnsi="Verdana" w:cs="Arial"/>
                <w:sz w:val="14"/>
                <w:szCs w:val="14"/>
                <w:lang w:eastAsia="es-ES"/>
              </w:rPr>
            </w:pPr>
            <w:r>
              <w:rPr>
                <w:rFonts w:ascii="Verdana" w:eastAsia="Aptos" w:hAnsi="Verdana" w:cs="Arial"/>
                <w:sz w:val="14"/>
                <w:szCs w:val="14"/>
                <w:lang w:eastAsia="es-ES"/>
              </w:rPr>
              <w:t>Carolina Quintero Gacharná</w:t>
            </w:r>
          </w:p>
          <w:p w14:paraId="685560C7" w14:textId="77777777" w:rsidR="006966D7" w:rsidRPr="004A09CE" w:rsidRDefault="006966D7" w:rsidP="00F84EC9">
            <w:pPr>
              <w:rPr>
                <w:rFonts w:ascii="Verdana" w:eastAsia="Aptos" w:hAnsi="Verdana" w:cs="Arial"/>
                <w:sz w:val="14"/>
                <w:szCs w:val="14"/>
                <w:lang w:eastAsia="es-ES"/>
              </w:rPr>
            </w:pPr>
            <w:r w:rsidRPr="004A09CE">
              <w:rPr>
                <w:rFonts w:ascii="Verdana" w:eastAsia="Aptos" w:hAnsi="Verdana" w:cs="Arial"/>
                <w:sz w:val="14"/>
                <w:szCs w:val="14"/>
                <w:lang w:eastAsia="es-ES"/>
              </w:rPr>
              <w:t>Subdirectora de Gestión Contractual ANCP – CCE</w:t>
            </w:r>
          </w:p>
        </w:tc>
      </w:tr>
    </w:tbl>
    <w:p w14:paraId="6666B374" w14:textId="77777777" w:rsidR="006966D7" w:rsidRPr="004A09CE" w:rsidRDefault="006966D7" w:rsidP="006966D7">
      <w:pPr>
        <w:spacing w:after="0" w:line="240" w:lineRule="auto"/>
        <w:rPr>
          <w:rFonts w:ascii="Verdana" w:eastAsia="Times New Roman" w:hAnsi="Verdana" w:cs="Arial"/>
          <w:sz w:val="24"/>
          <w:szCs w:val="24"/>
          <w:lang w:eastAsia="es-ES"/>
        </w:rPr>
      </w:pPr>
    </w:p>
    <w:p w14:paraId="0CFF68D2" w14:textId="77777777" w:rsidR="006966D7" w:rsidRPr="004A09CE" w:rsidRDefault="006966D7" w:rsidP="006966D7">
      <w:pPr>
        <w:rPr>
          <w:rFonts w:ascii="Aptos" w:eastAsia="Aptos" w:hAnsi="Aptos" w:cs="Times New Roman"/>
        </w:rPr>
      </w:pPr>
    </w:p>
    <w:p w14:paraId="3D65078C" w14:textId="77777777" w:rsidR="006966D7" w:rsidRPr="004A09CE" w:rsidRDefault="006966D7" w:rsidP="006966D7">
      <w:pPr>
        <w:spacing w:after="0"/>
        <w:jc w:val="both"/>
        <w:rPr>
          <w:rFonts w:ascii="Verdana" w:eastAsia="Aptos" w:hAnsi="Verdana" w:cs="Times New Roman"/>
        </w:rPr>
      </w:pPr>
    </w:p>
    <w:p w14:paraId="67DF55BB" w14:textId="77777777" w:rsidR="006966D7" w:rsidRPr="000E2B93" w:rsidRDefault="006966D7" w:rsidP="006966D7">
      <w:pPr>
        <w:spacing w:after="0" w:line="240" w:lineRule="auto"/>
        <w:jc w:val="both"/>
        <w:textAlignment w:val="baseline"/>
        <w:rPr>
          <w:rFonts w:ascii="Verdana" w:eastAsia="Verdana" w:hAnsi="Verdana" w:cs="Verdana"/>
          <w:lang w:eastAsia="es-CO"/>
        </w:rPr>
      </w:pPr>
    </w:p>
    <w:p w14:paraId="7DE8D8E5" w14:textId="5A3BBD1C" w:rsidR="006966D7" w:rsidRPr="000E2B93" w:rsidRDefault="006966D7" w:rsidP="006966D7">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21CD7B05" w14:textId="77777777" w:rsidR="006966D7" w:rsidRDefault="006966D7"/>
    <w:sectPr w:rsidR="006966D7" w:rsidSect="006966D7">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AE11" w14:textId="77777777" w:rsidR="007B14F5" w:rsidRDefault="007B14F5" w:rsidP="006966D7">
      <w:pPr>
        <w:spacing w:after="0" w:line="240" w:lineRule="auto"/>
      </w:pPr>
      <w:r>
        <w:separator/>
      </w:r>
    </w:p>
  </w:endnote>
  <w:endnote w:type="continuationSeparator" w:id="0">
    <w:p w14:paraId="58F6A1E0" w14:textId="77777777" w:rsidR="007B14F5" w:rsidRDefault="007B14F5" w:rsidP="00696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3F4D" w14:textId="77777777" w:rsidR="006966D7" w:rsidRDefault="006966D7">
    <w:pPr>
      <w:pStyle w:val="Piedepgina"/>
    </w:pPr>
  </w:p>
  <w:p w14:paraId="53C42BD6" w14:textId="77777777" w:rsidR="006966D7" w:rsidRPr="00174B77" w:rsidRDefault="006966D7"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27D299CB" w14:textId="77777777" w:rsidR="006966D7" w:rsidRDefault="006966D7"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5562CD8C" w14:textId="77777777" w:rsidR="006966D7" w:rsidRPr="00E41027" w:rsidRDefault="006966D7"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4A7454AB" w14:textId="77777777" w:rsidR="006966D7" w:rsidRDefault="006966D7"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9F32C" w14:textId="77777777" w:rsidR="007B14F5" w:rsidRDefault="007B14F5" w:rsidP="006966D7">
      <w:pPr>
        <w:spacing w:after="0" w:line="240" w:lineRule="auto"/>
      </w:pPr>
      <w:r>
        <w:separator/>
      </w:r>
    </w:p>
  </w:footnote>
  <w:footnote w:type="continuationSeparator" w:id="0">
    <w:p w14:paraId="36DC1DCB" w14:textId="77777777" w:rsidR="007B14F5" w:rsidRDefault="007B14F5" w:rsidP="006966D7">
      <w:pPr>
        <w:spacing w:after="0" w:line="240" w:lineRule="auto"/>
      </w:pPr>
      <w:r>
        <w:continuationSeparator/>
      </w:r>
    </w:p>
  </w:footnote>
  <w:footnote w:id="1">
    <w:p w14:paraId="38A1BC00" w14:textId="77777777" w:rsidR="006966D7" w:rsidRPr="0040095B" w:rsidRDefault="006966D7" w:rsidP="006966D7">
      <w:pPr>
        <w:spacing w:after="0" w:line="240" w:lineRule="auto"/>
        <w:ind w:firstLine="708"/>
        <w:jc w:val="both"/>
        <w:rPr>
          <w:rFonts w:ascii="Verdana" w:hAnsi="Verdana" w:cs="Arial"/>
          <w:sz w:val="18"/>
          <w:szCs w:val="18"/>
        </w:rPr>
      </w:pPr>
      <w:r w:rsidRPr="0040095B">
        <w:rPr>
          <w:rStyle w:val="Refdenotaalpie"/>
          <w:rFonts w:ascii="Verdana" w:hAnsi="Verdana" w:cs="Arial"/>
          <w:sz w:val="18"/>
          <w:szCs w:val="18"/>
        </w:rPr>
        <w:footnoteRef/>
      </w:r>
      <w:r w:rsidRPr="0040095B">
        <w:rPr>
          <w:rFonts w:ascii="Verdana" w:hAnsi="Verdana" w:cs="Arial"/>
          <w:sz w:val="18"/>
          <w:szCs w:val="18"/>
        </w:rPr>
        <w:t xml:space="preserve"> “Artículo 39. Integración de la Administración Pública. La Administración Pública se integra por los organismos que conforman la Rama Ejecutiva del Poder Público y por todos los demás organismos y entidades de naturaleza pública que de manera permanente tienen a su cargo el ejercicio de las actividades y funciones administrativas o la prestación de servicios públicos del Estado Colombiano”.</w:t>
      </w:r>
    </w:p>
    <w:p w14:paraId="2FB6210C" w14:textId="77777777" w:rsidR="006966D7" w:rsidRPr="0040095B" w:rsidRDefault="006966D7" w:rsidP="006966D7">
      <w:pPr>
        <w:spacing w:after="0" w:line="240" w:lineRule="auto"/>
        <w:ind w:firstLine="708"/>
        <w:jc w:val="both"/>
        <w:rPr>
          <w:rFonts w:ascii="Verdana" w:hAnsi="Verdana" w:cs="Arial"/>
          <w:sz w:val="18"/>
          <w:szCs w:val="18"/>
        </w:rPr>
      </w:pPr>
    </w:p>
  </w:footnote>
  <w:footnote w:id="2">
    <w:p w14:paraId="791E830D" w14:textId="77777777" w:rsidR="006966D7" w:rsidRPr="0040095B" w:rsidRDefault="006966D7" w:rsidP="006966D7">
      <w:pPr>
        <w:spacing w:after="0" w:line="240" w:lineRule="auto"/>
        <w:ind w:firstLine="708"/>
        <w:jc w:val="both"/>
        <w:rPr>
          <w:rFonts w:ascii="Verdana" w:hAnsi="Verdana" w:cs="Arial"/>
          <w:sz w:val="18"/>
          <w:szCs w:val="18"/>
        </w:rPr>
      </w:pPr>
      <w:r w:rsidRPr="0040095B">
        <w:rPr>
          <w:rStyle w:val="Refdenotaalpie"/>
          <w:rFonts w:ascii="Verdana" w:hAnsi="Verdana" w:cs="Arial"/>
          <w:sz w:val="18"/>
          <w:szCs w:val="18"/>
        </w:rPr>
        <w:footnoteRef/>
      </w:r>
      <w:r w:rsidRPr="0040095B">
        <w:rPr>
          <w:rFonts w:ascii="Verdana" w:hAnsi="Verdana" w:cs="Arial"/>
          <w:sz w:val="18"/>
          <w:szCs w:val="18"/>
        </w:rPr>
        <w:t xml:space="preserve"> “Artículo 40. Entidades y organismos estatales sujetos a régimen especial. El Banco de la República, los entes universitarios autónomos, las corporaciones autónomas regionales, la Comisión Nacional de Televisión y los demás organismos y entidades con régimen especial otorgado por la Constitución Política se sujetan a las disposiciones que para ellos establezcan las respectivas leyes”.</w:t>
      </w:r>
    </w:p>
    <w:p w14:paraId="229684AF" w14:textId="77777777" w:rsidR="006966D7" w:rsidRPr="0040095B" w:rsidRDefault="006966D7" w:rsidP="006966D7">
      <w:pPr>
        <w:spacing w:after="0" w:line="240" w:lineRule="auto"/>
        <w:ind w:firstLine="708"/>
        <w:jc w:val="both"/>
        <w:rPr>
          <w:rFonts w:ascii="Verdana" w:hAnsi="Verdana" w:cs="Arial"/>
          <w:sz w:val="18"/>
          <w:szCs w:val="18"/>
        </w:rPr>
      </w:pPr>
    </w:p>
  </w:footnote>
  <w:footnote w:id="3">
    <w:p w14:paraId="036CE3E7" w14:textId="77777777" w:rsidR="006966D7" w:rsidRPr="0040095B" w:rsidRDefault="006966D7" w:rsidP="006966D7">
      <w:pPr>
        <w:pStyle w:val="Textonotapie"/>
        <w:ind w:firstLine="708"/>
        <w:contextualSpacing/>
        <w:jc w:val="both"/>
        <w:rPr>
          <w:rFonts w:ascii="Verdana" w:hAnsi="Verdana" w:cs="Arial"/>
          <w:sz w:val="18"/>
          <w:szCs w:val="18"/>
        </w:rPr>
      </w:pPr>
      <w:r w:rsidRPr="0040095B">
        <w:rPr>
          <w:rStyle w:val="Refdenotaalpie"/>
          <w:rFonts w:ascii="Verdana" w:hAnsi="Verdana" w:cs="Arial"/>
          <w:sz w:val="18"/>
          <w:szCs w:val="18"/>
        </w:rPr>
        <w:footnoteRef/>
      </w:r>
      <w:r w:rsidRPr="0040095B">
        <w:rPr>
          <w:rFonts w:ascii="Verdana" w:hAnsi="Verdana" w:cs="Arial"/>
          <w:sz w:val="18"/>
          <w:szCs w:val="18"/>
        </w:rPr>
        <w:t xml:space="preserve"> Ley 1450 de 2011. “Artículo 43. Definiciones de tamaño empresarial. El artículo 2° de la Ley 590 de 2000, quedará así: </w:t>
      </w:r>
    </w:p>
    <w:p w14:paraId="036FBC7C" w14:textId="77777777" w:rsidR="006966D7" w:rsidRPr="0040095B" w:rsidRDefault="006966D7" w:rsidP="006966D7">
      <w:pPr>
        <w:pStyle w:val="Textonotapie"/>
        <w:ind w:firstLine="708"/>
        <w:contextualSpacing/>
        <w:jc w:val="both"/>
        <w:rPr>
          <w:rFonts w:ascii="Verdana" w:hAnsi="Verdana" w:cs="Arial"/>
          <w:sz w:val="18"/>
          <w:szCs w:val="18"/>
        </w:rPr>
      </w:pPr>
      <w:r w:rsidRPr="0040095B">
        <w:rPr>
          <w:rFonts w:ascii="Verdana" w:hAnsi="Verdana" w:cs="Arial"/>
          <w:sz w:val="18"/>
          <w:szCs w:val="18"/>
        </w:rPr>
        <w:t xml:space="preserve">"Artículo 2°. Definiciones de tamaño empresarial. Para todos los efectos, se entiende por empresa, toda unidad de explotación económica, realizada por persona natural o jurídica, en actividades agropecuarias, industriales, comerciales o de servicios, en el área rural o urbana. Para la clasificación por tamaño empresarial, entiéndase micro, pequeña, mediana y gran empresa, se podrá utilizar uno o varios de los siguientes criterios: </w:t>
      </w:r>
    </w:p>
    <w:p w14:paraId="709E90EC" w14:textId="77777777" w:rsidR="006966D7" w:rsidRPr="0040095B" w:rsidRDefault="006966D7" w:rsidP="006966D7">
      <w:pPr>
        <w:pStyle w:val="Textonotapie"/>
        <w:ind w:firstLine="708"/>
        <w:contextualSpacing/>
        <w:jc w:val="both"/>
        <w:rPr>
          <w:rFonts w:ascii="Verdana" w:hAnsi="Verdana" w:cs="Arial"/>
          <w:sz w:val="18"/>
          <w:szCs w:val="18"/>
        </w:rPr>
      </w:pPr>
      <w:r w:rsidRPr="0040095B">
        <w:rPr>
          <w:rFonts w:ascii="Verdana" w:hAnsi="Verdana" w:cs="Arial"/>
          <w:sz w:val="18"/>
          <w:szCs w:val="18"/>
        </w:rPr>
        <w:t xml:space="preserve">1. Número de trabajadores totales. </w:t>
      </w:r>
    </w:p>
    <w:p w14:paraId="0E2AB090" w14:textId="77777777" w:rsidR="006966D7" w:rsidRPr="0040095B" w:rsidRDefault="006966D7" w:rsidP="006966D7">
      <w:pPr>
        <w:pStyle w:val="Textonotapie"/>
        <w:contextualSpacing/>
        <w:jc w:val="both"/>
        <w:rPr>
          <w:rFonts w:ascii="Verdana" w:hAnsi="Verdana" w:cs="Arial"/>
          <w:sz w:val="18"/>
          <w:szCs w:val="18"/>
        </w:rPr>
      </w:pPr>
      <w:r w:rsidRPr="0040095B">
        <w:rPr>
          <w:rFonts w:ascii="Verdana" w:hAnsi="Verdana" w:cs="Arial"/>
          <w:sz w:val="18"/>
          <w:szCs w:val="18"/>
        </w:rPr>
        <w:t xml:space="preserve"> </w:t>
      </w:r>
      <w:r w:rsidRPr="0040095B">
        <w:rPr>
          <w:rFonts w:ascii="Verdana" w:hAnsi="Verdana" w:cs="Arial"/>
          <w:sz w:val="18"/>
          <w:szCs w:val="18"/>
        </w:rPr>
        <w:tab/>
        <w:t xml:space="preserve">2. Valor de ventas brutas anuales. </w:t>
      </w:r>
    </w:p>
    <w:p w14:paraId="16C43D7C" w14:textId="77777777" w:rsidR="006966D7" w:rsidRPr="0040095B" w:rsidRDefault="006966D7" w:rsidP="006966D7">
      <w:pPr>
        <w:pStyle w:val="Textonotapie"/>
        <w:ind w:firstLine="708"/>
        <w:contextualSpacing/>
        <w:jc w:val="both"/>
        <w:rPr>
          <w:rFonts w:ascii="Verdana" w:hAnsi="Verdana" w:cs="Arial"/>
          <w:sz w:val="18"/>
          <w:szCs w:val="18"/>
        </w:rPr>
      </w:pPr>
      <w:r w:rsidRPr="0040095B">
        <w:rPr>
          <w:rFonts w:ascii="Verdana" w:hAnsi="Verdana" w:cs="Arial"/>
          <w:sz w:val="18"/>
          <w:szCs w:val="18"/>
        </w:rPr>
        <w:t xml:space="preserve">3. Valor activos totales. </w:t>
      </w:r>
    </w:p>
    <w:p w14:paraId="0177883B" w14:textId="77777777" w:rsidR="006966D7" w:rsidRPr="0040095B" w:rsidRDefault="006966D7" w:rsidP="006966D7">
      <w:pPr>
        <w:pStyle w:val="Textonotapie"/>
        <w:ind w:firstLine="708"/>
        <w:contextualSpacing/>
        <w:jc w:val="both"/>
        <w:rPr>
          <w:rFonts w:ascii="Verdana" w:hAnsi="Verdana" w:cs="Arial"/>
          <w:sz w:val="18"/>
          <w:szCs w:val="18"/>
        </w:rPr>
      </w:pPr>
      <w:r w:rsidRPr="0040095B">
        <w:rPr>
          <w:rFonts w:ascii="Verdana" w:hAnsi="Verdana" w:cs="Arial"/>
          <w:sz w:val="18"/>
          <w:szCs w:val="18"/>
        </w:rPr>
        <w:t xml:space="preserve">Para efectos de los beneficios otorgados por el Gobierno nacional a las micro, pequeñas y medianas empresas el criterio determinante será el valor de ventas brutas anuales. </w:t>
      </w:r>
    </w:p>
    <w:p w14:paraId="61B1EC2A" w14:textId="77777777" w:rsidR="006966D7" w:rsidRPr="0040095B" w:rsidRDefault="006966D7" w:rsidP="006966D7">
      <w:pPr>
        <w:pStyle w:val="Textonotapie"/>
        <w:ind w:firstLine="708"/>
        <w:contextualSpacing/>
        <w:jc w:val="both"/>
        <w:rPr>
          <w:rFonts w:ascii="Verdana" w:hAnsi="Verdana" w:cs="Arial"/>
          <w:sz w:val="18"/>
          <w:szCs w:val="18"/>
        </w:rPr>
      </w:pPr>
      <w:r w:rsidRPr="0040095B">
        <w:rPr>
          <w:rFonts w:ascii="Verdana" w:hAnsi="Verdana" w:cs="Arial"/>
          <w:sz w:val="18"/>
          <w:szCs w:val="18"/>
        </w:rPr>
        <w:t xml:space="preserve">Parágrafo 1°. El Gobierno Nacional reglamentará los rangos que aplicarán para los tres criterios e incluirá especificidades sectoriales en los casos que considere necesario. </w:t>
      </w:r>
    </w:p>
    <w:p w14:paraId="01BDF1F6" w14:textId="77777777" w:rsidR="006966D7" w:rsidRPr="0040095B" w:rsidRDefault="006966D7" w:rsidP="006966D7">
      <w:pPr>
        <w:pStyle w:val="Textonotapie"/>
        <w:ind w:firstLine="708"/>
        <w:contextualSpacing/>
        <w:jc w:val="both"/>
        <w:rPr>
          <w:rFonts w:ascii="Verdana" w:hAnsi="Verdana" w:cs="Arial"/>
          <w:sz w:val="18"/>
          <w:szCs w:val="18"/>
        </w:rPr>
      </w:pPr>
      <w:r w:rsidRPr="0040095B">
        <w:rPr>
          <w:rFonts w:ascii="Verdana" w:hAnsi="Verdana" w:cs="Arial"/>
          <w:sz w:val="18"/>
          <w:szCs w:val="18"/>
        </w:rPr>
        <w:t>Parágrafo 2°. Las definiciones contenidas en el artículo 2° de la Ley 590 de 2000 continuarán vigentes hasta tanto entren a regir las normas reglamentarias que profiera el Gobierno Nacional en desarrollo de lo previsto en el presente artículo"”.</w:t>
      </w:r>
    </w:p>
    <w:p w14:paraId="6EF81C1E" w14:textId="77777777" w:rsidR="006966D7" w:rsidRPr="0040095B" w:rsidRDefault="006966D7" w:rsidP="006966D7">
      <w:pPr>
        <w:pStyle w:val="Textonotapie"/>
        <w:ind w:firstLine="708"/>
        <w:contextualSpacing/>
        <w:jc w:val="both"/>
        <w:rPr>
          <w:rFonts w:ascii="Verdana" w:hAnsi="Verdana" w:cs="Arial"/>
          <w:sz w:val="18"/>
          <w:szCs w:val="18"/>
          <w:lang w:val="es-CO"/>
        </w:rPr>
      </w:pPr>
    </w:p>
  </w:footnote>
  <w:footnote w:id="4">
    <w:p w14:paraId="3F5B9C1E" w14:textId="77777777" w:rsidR="006966D7" w:rsidRPr="0040095B" w:rsidRDefault="006966D7" w:rsidP="006966D7">
      <w:pPr>
        <w:spacing w:after="0" w:line="240" w:lineRule="auto"/>
        <w:ind w:firstLine="708"/>
        <w:contextualSpacing/>
        <w:jc w:val="both"/>
        <w:rPr>
          <w:rFonts w:ascii="Verdana" w:eastAsia="Arial" w:hAnsi="Verdana" w:cs="Arial"/>
          <w:color w:val="000000"/>
          <w:sz w:val="18"/>
          <w:szCs w:val="18"/>
        </w:rPr>
      </w:pPr>
      <w:r w:rsidRPr="0040095B">
        <w:rPr>
          <w:rStyle w:val="Refdenotaalpie"/>
          <w:rFonts w:ascii="Verdana" w:hAnsi="Verdana" w:cs="Arial"/>
          <w:sz w:val="18"/>
          <w:szCs w:val="18"/>
        </w:rPr>
        <w:footnoteRef/>
      </w:r>
      <w:r w:rsidRPr="0040095B">
        <w:rPr>
          <w:rFonts w:ascii="Verdana" w:eastAsia="Arial" w:hAnsi="Verdana" w:cs="Arial"/>
          <w:color w:val="000000"/>
          <w:sz w:val="18"/>
          <w:szCs w:val="18"/>
        </w:rPr>
        <w:t xml:space="preserve"> Artículo 2.2.1.13.2.2. del Decreto 1074 de 2015, adicionado por el Decreto 957 de 2019.</w:t>
      </w:r>
    </w:p>
    <w:p w14:paraId="388106FC" w14:textId="77777777" w:rsidR="006966D7" w:rsidRPr="0040095B" w:rsidRDefault="006966D7" w:rsidP="006966D7">
      <w:pPr>
        <w:spacing w:after="0" w:line="240" w:lineRule="auto"/>
        <w:ind w:firstLine="708"/>
        <w:contextualSpacing/>
        <w:jc w:val="both"/>
        <w:rPr>
          <w:rFonts w:ascii="Verdana" w:eastAsia="Arial" w:hAnsi="Verdana" w:cs="Arial"/>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D474" w14:textId="77777777" w:rsidR="006966D7" w:rsidRDefault="006966D7"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36C6253A" wp14:editId="6A8EEA39">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07BC89D7" wp14:editId="6700BD9E">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9E436FE" w14:textId="77777777" w:rsidR="006966D7" w:rsidRDefault="006966D7">
    <w:pPr>
      <w:pStyle w:val="Encabezado"/>
    </w:pPr>
  </w:p>
  <w:p w14:paraId="631E615F" w14:textId="77777777" w:rsidR="006966D7" w:rsidRPr="004A305D" w:rsidRDefault="006966D7" w:rsidP="00B01B1A">
    <w:pPr>
      <w:spacing w:after="0" w:line="120" w:lineRule="auto"/>
      <w:rPr>
        <w:rFonts w:ascii="Century Gothic" w:eastAsia="Geo" w:hAnsi="Century Gothic" w:cs="Geo"/>
        <w:sz w:val="16"/>
        <w:szCs w:val="16"/>
        <w:lang w:eastAsia="es-CO"/>
      </w:rPr>
    </w:pPr>
  </w:p>
  <w:p w14:paraId="1F8A7512" w14:textId="77777777" w:rsidR="006966D7" w:rsidRDefault="006966D7" w:rsidP="00844AE9">
    <w:pPr>
      <w:spacing w:after="0" w:line="240" w:lineRule="auto"/>
      <w:rPr>
        <w:rFonts w:ascii="Verdana" w:hAnsi="Verdana"/>
        <w:sz w:val="24"/>
        <w:szCs w:val="24"/>
      </w:rPr>
    </w:pPr>
  </w:p>
  <w:p w14:paraId="1DB9FB2C" w14:textId="77777777" w:rsidR="006966D7" w:rsidRPr="00C925AC" w:rsidRDefault="006966D7" w:rsidP="00844AE9">
    <w:pPr>
      <w:spacing w:after="0" w:line="240" w:lineRule="auto"/>
      <w:rPr>
        <w:rFonts w:ascii="Verdana" w:hAnsi="Verdana"/>
        <w:sz w:val="24"/>
        <w:szCs w:val="24"/>
      </w:rPr>
    </w:pPr>
  </w:p>
  <w:p w14:paraId="02E59357" w14:textId="77777777" w:rsidR="006966D7" w:rsidRPr="00C925AC" w:rsidRDefault="006966D7"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7908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D7"/>
    <w:rsid w:val="006966D7"/>
    <w:rsid w:val="007B14F5"/>
    <w:rsid w:val="009230D8"/>
    <w:rsid w:val="00AF2D3C"/>
    <w:rsid w:val="00B508BB"/>
    <w:rsid w:val="00B60B6B"/>
    <w:rsid w:val="00BC3C8F"/>
    <w:rsid w:val="00FB64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65ED9"/>
  <w15:chartTrackingRefBased/>
  <w15:docId w15:val="{5952AF14-8730-42F5-A7C7-1FFEE104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6D7"/>
    <w:pPr>
      <w:spacing w:line="259" w:lineRule="auto"/>
    </w:pPr>
    <w:rPr>
      <w:kern w:val="0"/>
      <w:sz w:val="22"/>
      <w:szCs w:val="22"/>
      <w14:ligatures w14:val="none"/>
    </w:rPr>
  </w:style>
  <w:style w:type="paragraph" w:styleId="Ttulo1">
    <w:name w:val="heading 1"/>
    <w:basedOn w:val="Normal"/>
    <w:next w:val="Normal"/>
    <w:link w:val="Ttulo1Car"/>
    <w:uiPriority w:val="9"/>
    <w:qFormat/>
    <w:rsid w:val="006966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D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D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D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D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D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D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D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D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D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D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D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D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D7"/>
    <w:rPr>
      <w:rFonts w:eastAsiaTheme="majorEastAsia" w:cstheme="majorBidi"/>
      <w:color w:val="272727" w:themeColor="text1" w:themeTint="D8"/>
    </w:rPr>
  </w:style>
  <w:style w:type="paragraph" w:styleId="Ttulo">
    <w:name w:val="Title"/>
    <w:basedOn w:val="Normal"/>
    <w:next w:val="Normal"/>
    <w:link w:val="TtuloCar"/>
    <w:uiPriority w:val="10"/>
    <w:qFormat/>
    <w:rsid w:val="00696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D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D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D7"/>
    <w:pPr>
      <w:spacing w:before="160"/>
      <w:jc w:val="center"/>
    </w:pPr>
    <w:rPr>
      <w:i/>
      <w:iCs/>
      <w:color w:val="404040" w:themeColor="text1" w:themeTint="BF"/>
    </w:rPr>
  </w:style>
  <w:style w:type="character" w:customStyle="1" w:styleId="CitaCar">
    <w:name w:val="Cita Car"/>
    <w:basedOn w:val="Fuentedeprrafopredeter"/>
    <w:link w:val="Cita"/>
    <w:uiPriority w:val="29"/>
    <w:rsid w:val="006966D7"/>
    <w:rPr>
      <w:i/>
      <w:iCs/>
      <w:color w:val="404040" w:themeColor="text1" w:themeTint="BF"/>
    </w:rPr>
  </w:style>
  <w:style w:type="paragraph" w:styleId="Prrafodelista">
    <w:name w:val="List Paragraph"/>
    <w:basedOn w:val="Normal"/>
    <w:uiPriority w:val="34"/>
    <w:qFormat/>
    <w:rsid w:val="006966D7"/>
    <w:pPr>
      <w:ind w:left="720"/>
      <w:contextualSpacing/>
    </w:pPr>
  </w:style>
  <w:style w:type="character" w:styleId="nfasisintenso">
    <w:name w:val="Intense Emphasis"/>
    <w:basedOn w:val="Fuentedeprrafopredeter"/>
    <w:uiPriority w:val="21"/>
    <w:qFormat/>
    <w:rsid w:val="006966D7"/>
    <w:rPr>
      <w:i/>
      <w:iCs/>
      <w:color w:val="0F4761" w:themeColor="accent1" w:themeShade="BF"/>
    </w:rPr>
  </w:style>
  <w:style w:type="paragraph" w:styleId="Citadestacada">
    <w:name w:val="Intense Quote"/>
    <w:basedOn w:val="Normal"/>
    <w:next w:val="Normal"/>
    <w:link w:val="CitadestacadaCar"/>
    <w:uiPriority w:val="30"/>
    <w:qFormat/>
    <w:rsid w:val="006966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D7"/>
    <w:rPr>
      <w:i/>
      <w:iCs/>
      <w:color w:val="0F4761" w:themeColor="accent1" w:themeShade="BF"/>
    </w:rPr>
  </w:style>
  <w:style w:type="character" w:styleId="Referenciaintensa">
    <w:name w:val="Intense Reference"/>
    <w:basedOn w:val="Fuentedeprrafopredeter"/>
    <w:uiPriority w:val="32"/>
    <w:qFormat/>
    <w:rsid w:val="006966D7"/>
    <w:rPr>
      <w:b/>
      <w:bCs/>
      <w:smallCaps/>
      <w:color w:val="0F4761" w:themeColor="accent1" w:themeShade="BF"/>
      <w:spacing w:val="5"/>
    </w:rPr>
  </w:style>
  <w:style w:type="paragraph" w:styleId="Encabezado">
    <w:name w:val="header"/>
    <w:basedOn w:val="Normal"/>
    <w:link w:val="EncabezadoCar"/>
    <w:uiPriority w:val="99"/>
    <w:unhideWhenUsed/>
    <w:rsid w:val="006966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D7"/>
    <w:rPr>
      <w:kern w:val="0"/>
      <w:sz w:val="22"/>
      <w:szCs w:val="22"/>
      <w14:ligatures w14:val="none"/>
    </w:rPr>
  </w:style>
  <w:style w:type="paragraph" w:styleId="Piedepgina">
    <w:name w:val="footer"/>
    <w:basedOn w:val="Normal"/>
    <w:link w:val="PiedepginaCar"/>
    <w:uiPriority w:val="99"/>
    <w:unhideWhenUsed/>
    <w:rsid w:val="006966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D7"/>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966D7"/>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966D7"/>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6966D7"/>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966D7"/>
    <w:rPr>
      <w:vertAlign w:val="superscript"/>
    </w:rPr>
  </w:style>
  <w:style w:type="table" w:styleId="Tablaconcuadrcula">
    <w:name w:val="Table Grid"/>
    <w:basedOn w:val="Tablanormal"/>
    <w:uiPriority w:val="39"/>
    <w:qFormat/>
    <w:rsid w:val="006966D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966D7"/>
    <w:rPr>
      <w:color w:val="0000FF"/>
      <w:u w:val="single"/>
    </w:rPr>
  </w:style>
  <w:style w:type="paragraph" w:customStyle="1" w:styleId="Appelnotedebasde">
    <w:name w:val="Appel note de bas de..."/>
    <w:basedOn w:val="Normal"/>
    <w:link w:val="Refdenotaalpie"/>
    <w:uiPriority w:val="99"/>
    <w:rsid w:val="006966D7"/>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6966D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nasly.mosquera%40colombiacompra.gov.co%7C7128555136e04fa6887d08dee99e1b50%7C7b09041e245149d08cb179d5e3d8c1be%7C0%7C0%7C639205062451728331%7CUnknown%7CTWFpbGZsb3d8eyJFbXB0eU1hcGkiOnRydWUsIlYiOiIwLjAuMDAwMCIsIlAiOiJXaW4zMiIsIkFOIjoiTWFpbCIsIldUIjoyfQ%3D%3D%7C0%7C%7C%7C&amp;sdata=mpBUgI4TXQKUTiyJ3t%2BZk2bDWYkbeNUXbMTuRbUjxuA%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olombiacompra.gov.co/archivos/boletin/boletin-edicion-n-3-de-2026-radar-de-la-compra-publ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olina.gomez@metropol.gov.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nasly.mosquera%40colombiacompra.gov.co%7C7128555136e04fa6887d08dee99e1b50%7C7b09041e245149d08cb179d5e3d8c1be%7C0%7C0%7C639205062451781137%7CUnknown%7CTWFpbGZsb3d8eyJFbXB0eU1hcGkiOnRydWUsIlYiOiIwLjAuMDAwMCIsIlAiOiJXaW4zMiIsIkFOIjoiTWFpbCIsIldUIjoyfQ%3D%3D%7C0%7C%7C%7C&amp;sdata=SXRTp2tiejOc5p2GVUwQiVeHZcjBX97o%2BwIhu4ngMCc%3D&amp;reserved=0"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nasly.mosquera%40colombiacompra.gov.co%7C7128555136e04fa6887d08dee99e1b50%7C7b09041e245149d08cb179d5e3d8c1be%7C0%7C0%7C639205062451758910%7CUnknown%7CTWFpbGZsb3d8eyJFbXB0eU1hcGkiOnRydWUsIlYiOiIwLjAuMDAwMCIsIlAiOiJXaW4zMiIsIkFOIjoiTWFpbCIsIldUIjoyfQ%3D%3D%7C0%7C%7C%7C&amp;sdata=OPnXajpdAyoK0A6MfQYru7F7qDuDOdN2UPaU0NJQ1Gk%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31076F-FE0B-4F99-B422-2925B18B6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153D1-60E6-4B1B-91ED-9BBFEEFA005D}">
  <ds:schemaRefs>
    <ds:schemaRef ds:uri="http://schemas.microsoft.com/sharepoint/v3/contenttype/forms"/>
  </ds:schemaRefs>
</ds:datastoreItem>
</file>

<file path=customXml/itemProps3.xml><?xml version="1.0" encoding="utf-8"?>
<ds:datastoreItem xmlns:ds="http://schemas.openxmlformats.org/officeDocument/2006/customXml" ds:itemID="{4D131B0A-E22F-40B9-B099-859148826BF0}">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3773</Words>
  <Characters>20757</Characters>
  <Application>Microsoft Office Word</Application>
  <DocSecurity>0</DocSecurity>
  <Lines>172</Lines>
  <Paragraphs>48</Paragraphs>
  <ScaleCrop>false</ScaleCrop>
  <Company/>
  <LinksUpToDate>false</LinksUpToDate>
  <CharactersWithSpaces>24482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2026-07-30T19:30:00Z</dcterms:created>
  <dcterms:modified xsi:type="dcterms:W3CDTF">2026-07-30T19:30:00Z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