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D21C4" w14:textId="77777777" w:rsidR="00FD5B81" w:rsidRDefault="00FD5B81" w:rsidP="00326E13">
      <w:pPr>
        <w:snapToGrid w:val="0"/>
        <w:spacing w:after="0" w:line="240" w:lineRule="auto"/>
        <w:contextualSpacing/>
        <w:jc w:val="both"/>
        <w:rPr>
          <w:rFonts w:ascii="Verdana" w:eastAsia="Times New Roman" w:hAnsi="Verdana" w:cs="Arial"/>
          <w:b/>
          <w:bCs/>
          <w:lang w:eastAsia="es-ES"/>
        </w:rPr>
      </w:pPr>
      <w:bookmarkStart w:id="0" w:name="_Hlk143780582"/>
      <w:r w:rsidRPr="00FD5B81">
        <w:rPr>
          <w:rFonts w:ascii="Verdana" w:eastAsia="Times New Roman" w:hAnsi="Verdana" w:cs="Arial"/>
          <w:b/>
          <w:bCs/>
          <w:lang w:eastAsia="es-ES"/>
        </w:rPr>
        <w:t>TRANSPORTE FERROVIARIO – Ley 336 de 1996 – Habilitación y permiso de operación</w:t>
      </w:r>
    </w:p>
    <w:p w14:paraId="4F5A0B6C" w14:textId="77777777" w:rsidR="00D35B5B" w:rsidRPr="001D32DF" w:rsidRDefault="00D35B5B" w:rsidP="00326E13">
      <w:pPr>
        <w:snapToGrid w:val="0"/>
        <w:spacing w:after="0" w:line="240" w:lineRule="auto"/>
        <w:contextualSpacing/>
        <w:jc w:val="both"/>
        <w:rPr>
          <w:rFonts w:ascii="Verdana" w:eastAsia="Times New Roman" w:hAnsi="Verdana" w:cs="Arial"/>
          <w:b/>
          <w:bCs/>
          <w:sz w:val="20"/>
          <w:szCs w:val="20"/>
          <w:lang w:eastAsia="es-ES"/>
        </w:rPr>
      </w:pPr>
    </w:p>
    <w:p w14:paraId="7675EF6B" w14:textId="77777777" w:rsidR="00D35B5B" w:rsidRDefault="00D35B5B" w:rsidP="00326E13">
      <w:pPr>
        <w:snapToGrid w:val="0"/>
        <w:spacing w:after="0" w:line="240" w:lineRule="auto"/>
        <w:contextualSpacing/>
        <w:jc w:val="both"/>
        <w:rPr>
          <w:rFonts w:ascii="Verdana" w:hAnsi="Verdana"/>
          <w:sz w:val="20"/>
          <w:szCs w:val="20"/>
          <w:lang w:val="es-ES"/>
        </w:rPr>
      </w:pPr>
      <w:r w:rsidRPr="001D32DF">
        <w:rPr>
          <w:rFonts w:ascii="Verdana" w:hAnsi="Verdana"/>
          <w:sz w:val="20"/>
          <w:szCs w:val="20"/>
          <w:lang w:val="es-ES"/>
        </w:rPr>
        <w:t>Sin embargo, lo anterior se refiere exclusivamente al régimen bajo el cual la entidad puede adelantar su actividad contractual, pero no desplaza o modifica las normas que le sean aplicables</w:t>
      </w:r>
      <w:r w:rsidRPr="001D32DF">
        <w:rPr>
          <w:sz w:val="20"/>
          <w:szCs w:val="20"/>
        </w:rPr>
        <w:t xml:space="preserve"> </w:t>
      </w:r>
      <w:r w:rsidRPr="001D32DF">
        <w:rPr>
          <w:rFonts w:ascii="Verdana" w:hAnsi="Verdana"/>
          <w:sz w:val="20"/>
          <w:szCs w:val="20"/>
        </w:rPr>
        <w:t>por razón del sector al que pertenece, de las actividades que desarrolla o de los servicios que presta</w:t>
      </w:r>
      <w:r w:rsidRPr="001D32DF">
        <w:rPr>
          <w:rFonts w:ascii="Verdana" w:hAnsi="Verdana"/>
          <w:sz w:val="20"/>
          <w:szCs w:val="20"/>
          <w:lang w:val="es-ES"/>
        </w:rPr>
        <w:t>. En el supuesto objeto de consulta, se resalta que el artículo 14 de la Ley 1150 de 2007 dispone que dichas entidades se regirán por “las disposiciones legales y reglamentarias aplicables a sus actividades económicas y comerciales”. En consecuencia, la entidad no podrá acudir a su régimen contractual privado o a su manual de contratación en perjuicio de las reglas dispuestas en el Estatuto Nacional de Transporte, Ley 336 de 1996. Así lo dispone expresamente el artículo 80 de esta norma según el cual “El Modo de Transporte Ferroviario, además de ser un servicio público esencial, se regula por las normas estipuladas en esta Ley y las normas especiales sobre la materia”.</w:t>
      </w:r>
    </w:p>
    <w:p w14:paraId="7578968B" w14:textId="77777777" w:rsidR="00326E13" w:rsidRPr="001D32DF" w:rsidRDefault="00326E13" w:rsidP="00326E13">
      <w:pPr>
        <w:snapToGrid w:val="0"/>
        <w:spacing w:after="0" w:line="240" w:lineRule="auto"/>
        <w:contextualSpacing/>
        <w:jc w:val="both"/>
        <w:rPr>
          <w:rFonts w:ascii="Verdana" w:hAnsi="Verdana"/>
          <w:sz w:val="20"/>
          <w:szCs w:val="20"/>
          <w:lang w:val="es-ES"/>
        </w:rPr>
      </w:pPr>
    </w:p>
    <w:p w14:paraId="256ED110" w14:textId="77777777" w:rsidR="00D35B5B" w:rsidRDefault="00D35B5B" w:rsidP="00326E13">
      <w:pPr>
        <w:snapToGrid w:val="0"/>
        <w:spacing w:after="0" w:line="240" w:lineRule="auto"/>
        <w:contextualSpacing/>
        <w:jc w:val="both"/>
        <w:rPr>
          <w:rFonts w:ascii="Verdana" w:hAnsi="Verdana"/>
          <w:sz w:val="20"/>
          <w:szCs w:val="20"/>
          <w:lang w:val="es-ES"/>
        </w:rPr>
      </w:pPr>
      <w:r w:rsidRPr="001D32DF">
        <w:rPr>
          <w:rFonts w:ascii="Verdana" w:hAnsi="Verdana"/>
          <w:sz w:val="20"/>
          <w:szCs w:val="20"/>
          <w:lang w:val="es-ES"/>
        </w:rPr>
        <w:t>En la misma dirección, el artículo 81 ibidem prevé que la infraestructura férrea podrá ser concesionada en los términos de las normas vigentes, quedando a cargo del concesionario la rehabilitación, mantenimiento, conservación, control y operación de la vía y la prestación del servicio de transporte, lo que confirma que el componente de habilitación y operación no es disponible por la sola vía del régimen contractual de la entidad.</w:t>
      </w:r>
    </w:p>
    <w:p w14:paraId="265B858A" w14:textId="77777777" w:rsidR="00326E13" w:rsidRPr="001D32DF" w:rsidRDefault="00326E13" w:rsidP="00326E13">
      <w:pPr>
        <w:snapToGrid w:val="0"/>
        <w:spacing w:after="0" w:line="240" w:lineRule="auto"/>
        <w:contextualSpacing/>
        <w:jc w:val="both"/>
        <w:rPr>
          <w:rFonts w:ascii="Verdana" w:hAnsi="Verdana"/>
          <w:sz w:val="20"/>
          <w:szCs w:val="20"/>
          <w:lang w:val="es-ES"/>
        </w:rPr>
      </w:pPr>
    </w:p>
    <w:p w14:paraId="173A1209" w14:textId="77777777" w:rsidR="00FD5B81" w:rsidRDefault="00FD5B81" w:rsidP="00326E13">
      <w:pPr>
        <w:snapToGrid w:val="0"/>
        <w:spacing w:after="0" w:line="240" w:lineRule="auto"/>
        <w:contextualSpacing/>
        <w:jc w:val="both"/>
        <w:rPr>
          <w:rFonts w:ascii="Verdana" w:eastAsia="Times New Roman" w:hAnsi="Verdana" w:cs="Arial"/>
          <w:b/>
          <w:bCs/>
          <w:lang w:eastAsia="es-ES"/>
        </w:rPr>
      </w:pPr>
      <w:r w:rsidRPr="00FD5B81">
        <w:rPr>
          <w:rFonts w:ascii="Verdana" w:eastAsia="Times New Roman" w:hAnsi="Verdana" w:cs="Arial"/>
          <w:b/>
          <w:bCs/>
          <w:lang w:eastAsia="es-ES"/>
        </w:rPr>
        <w:t>SERVICIO PÚBLICO DE TRANSPORTE – Decreto 1079 de 2015 – Título habilitante</w:t>
      </w:r>
    </w:p>
    <w:p w14:paraId="1C71CC45" w14:textId="77777777" w:rsidR="00D35B5B" w:rsidRDefault="00D35B5B" w:rsidP="00326E13">
      <w:pPr>
        <w:snapToGrid w:val="0"/>
        <w:spacing w:after="0" w:line="240" w:lineRule="auto"/>
        <w:contextualSpacing/>
        <w:jc w:val="both"/>
        <w:rPr>
          <w:rFonts w:ascii="Verdana" w:eastAsia="Times New Roman" w:hAnsi="Verdana" w:cs="Arial"/>
          <w:b/>
          <w:bCs/>
          <w:lang w:eastAsia="es-ES"/>
        </w:rPr>
      </w:pPr>
    </w:p>
    <w:p w14:paraId="2FCD7BBA" w14:textId="77777777" w:rsidR="00D35B5B" w:rsidRDefault="00D35B5B" w:rsidP="00326E13">
      <w:pPr>
        <w:snapToGrid w:val="0"/>
        <w:spacing w:after="0" w:line="240" w:lineRule="auto"/>
        <w:contextualSpacing/>
        <w:jc w:val="both"/>
        <w:rPr>
          <w:rFonts w:ascii="Verdana" w:hAnsi="Verdana"/>
          <w:sz w:val="20"/>
          <w:szCs w:val="20"/>
          <w:lang w:val="es-ES"/>
        </w:rPr>
      </w:pPr>
      <w:r w:rsidRPr="001D32DF">
        <w:rPr>
          <w:rFonts w:ascii="Verdana" w:hAnsi="Verdana"/>
          <w:sz w:val="20"/>
          <w:szCs w:val="20"/>
          <w:lang w:val="es-ES"/>
        </w:rPr>
        <w:t xml:space="preserve">Se resalta que dicho Estatuto fue reglamentado mediante el Decreto 1079 de 2015, el cual establece el marco jurídico aplicable al servicio público de transporte ferroviario. En efecto, los artículos 2.2.4.2.1. y 2.2.4.2.2. disponen los requisitos que deben cumplirse para la habilitación y la obtención del permiso de operación en dicho sector. Al respecto, este último artículo señala que la “habilitación y el permiso de operación se otorgarán como consecuencia de la celebración de un contrato de concesión adjudicado mediante licitación pública”. </w:t>
      </w:r>
    </w:p>
    <w:p w14:paraId="5526F74D" w14:textId="77777777" w:rsidR="00326E13" w:rsidRPr="001D32DF" w:rsidRDefault="00326E13" w:rsidP="00326E13">
      <w:pPr>
        <w:snapToGrid w:val="0"/>
        <w:spacing w:after="0" w:line="240" w:lineRule="auto"/>
        <w:contextualSpacing/>
        <w:jc w:val="both"/>
        <w:rPr>
          <w:rFonts w:ascii="Verdana" w:hAnsi="Verdana"/>
          <w:sz w:val="20"/>
          <w:szCs w:val="20"/>
          <w:lang w:val="es-ES"/>
        </w:rPr>
      </w:pPr>
    </w:p>
    <w:p w14:paraId="05B053C0" w14:textId="6A3DA197" w:rsidR="00D35B5B" w:rsidRPr="001D32DF" w:rsidRDefault="00D35B5B" w:rsidP="00326E13">
      <w:pPr>
        <w:snapToGrid w:val="0"/>
        <w:spacing w:after="0" w:line="240" w:lineRule="auto"/>
        <w:contextualSpacing/>
        <w:jc w:val="both"/>
        <w:rPr>
          <w:rFonts w:ascii="Verdana" w:hAnsi="Verdana"/>
          <w:sz w:val="20"/>
          <w:szCs w:val="20"/>
          <w:lang w:val="es-ES"/>
        </w:rPr>
      </w:pPr>
      <w:r w:rsidRPr="001D32DF">
        <w:rPr>
          <w:rFonts w:ascii="Verdana" w:hAnsi="Verdana"/>
          <w:sz w:val="20"/>
          <w:szCs w:val="20"/>
          <w:lang w:val="es-ES"/>
        </w:rPr>
        <w:t xml:space="preserve">De esta manera, aunque el régimen de contratación permite a las entidades objeto de consulta acudir a mecanismos de participación privada bajo las normas que regulan su actividad, esta autorización relativa al régimen contractual no modifica o desplaza otros aspectos propios de la normativa que rige su actividad, por ejemplo, en materia de los requisitos que deben satisfacer las empresas interesadas en prestar el servicio público de transporte para obtener la habilitación, así como para el permiso de operación en materia de la prestación del servicio de transporte ferroviario. </w:t>
      </w:r>
    </w:p>
    <w:p w14:paraId="6EC5A811" w14:textId="77777777" w:rsidR="00D35B5B" w:rsidRPr="00FD5B81" w:rsidRDefault="00D35B5B" w:rsidP="00326E13">
      <w:pPr>
        <w:snapToGrid w:val="0"/>
        <w:spacing w:after="0" w:line="240" w:lineRule="auto"/>
        <w:contextualSpacing/>
        <w:jc w:val="both"/>
        <w:rPr>
          <w:rFonts w:ascii="Verdana" w:eastAsia="Times New Roman" w:hAnsi="Verdana" w:cs="Arial"/>
          <w:b/>
          <w:bCs/>
          <w:lang w:eastAsia="es-ES"/>
        </w:rPr>
      </w:pPr>
    </w:p>
    <w:p w14:paraId="19CE2899" w14:textId="77777777" w:rsidR="00FD5B81" w:rsidRDefault="00FD5B81" w:rsidP="00326E13">
      <w:pPr>
        <w:snapToGrid w:val="0"/>
        <w:spacing w:after="0" w:line="240" w:lineRule="auto"/>
        <w:contextualSpacing/>
        <w:jc w:val="both"/>
        <w:rPr>
          <w:rFonts w:ascii="Verdana" w:eastAsia="Times New Roman" w:hAnsi="Verdana" w:cs="Arial"/>
          <w:b/>
          <w:bCs/>
          <w:lang w:eastAsia="es-ES"/>
        </w:rPr>
      </w:pPr>
      <w:r w:rsidRPr="00FD5B81">
        <w:rPr>
          <w:rFonts w:ascii="Verdana" w:eastAsia="Times New Roman" w:hAnsi="Verdana" w:cs="Arial"/>
          <w:b/>
          <w:bCs/>
          <w:lang w:eastAsia="es-ES"/>
        </w:rPr>
        <w:t>PLANEACIÓN – Ley 1150 de 2007 – Artículo 13</w:t>
      </w:r>
    </w:p>
    <w:p w14:paraId="2B94891F" w14:textId="77777777" w:rsidR="00D35B5B" w:rsidRDefault="00D35B5B" w:rsidP="00326E13">
      <w:pPr>
        <w:snapToGrid w:val="0"/>
        <w:spacing w:after="0" w:line="240" w:lineRule="auto"/>
        <w:contextualSpacing/>
        <w:jc w:val="both"/>
        <w:rPr>
          <w:rFonts w:ascii="Verdana" w:eastAsia="Times New Roman" w:hAnsi="Verdana" w:cs="Arial"/>
          <w:b/>
          <w:bCs/>
          <w:lang w:eastAsia="es-ES"/>
        </w:rPr>
      </w:pPr>
    </w:p>
    <w:p w14:paraId="68EDE3AE" w14:textId="47A8D3D5" w:rsidR="00D35B5B" w:rsidRDefault="00D35B5B" w:rsidP="00326E13">
      <w:pPr>
        <w:snapToGrid w:val="0"/>
        <w:spacing w:after="0" w:line="240" w:lineRule="auto"/>
        <w:contextualSpacing/>
        <w:jc w:val="both"/>
        <w:rPr>
          <w:rFonts w:ascii="Verdana" w:hAnsi="Verdana"/>
          <w:sz w:val="20"/>
          <w:szCs w:val="20"/>
          <w:lang w:val="es-ES"/>
        </w:rPr>
      </w:pPr>
      <w:r w:rsidRPr="001D32DF">
        <w:rPr>
          <w:rFonts w:ascii="Verdana" w:hAnsi="Verdana"/>
          <w:sz w:val="20"/>
          <w:szCs w:val="20"/>
          <w:lang w:val="es-ES"/>
        </w:rPr>
        <w:lastRenderedPageBreak/>
        <w:t>En cualquier caso, en los términos del artículo 13 de la Ley 1150 de 2007, adicionado por el artículo 53 de la Ley 2195 de 2022, corresponde a la entidad contratante, en la etapa de planeación y bajo su exclusiva responsabilidad, verificar y consignar en los estudios y documentos previos el cumplimiento de los requisitos previstos para la habilitación y el permiso de operación del servicio público de transporte ferroviario, así como analizar su incidencia en la viabilidad jurídica, técnica y financiera del proyecto de infraestructura que pretenda contratar mediante esquemas de participación privada. Dicho análisis resulta exigible con mayor rigor cuando la entidad opte por modalidades de contratación directa, sin que la sola previsión de estos mecanismos en su manual de contratación constituya justificación suficiente de su procedencia.</w:t>
      </w:r>
    </w:p>
    <w:p w14:paraId="7984D08D" w14:textId="77777777" w:rsidR="00326E13" w:rsidRPr="001D32DF" w:rsidRDefault="00326E13" w:rsidP="00326E13">
      <w:pPr>
        <w:snapToGrid w:val="0"/>
        <w:spacing w:after="0" w:line="240" w:lineRule="auto"/>
        <w:contextualSpacing/>
        <w:jc w:val="both"/>
        <w:rPr>
          <w:rFonts w:ascii="Verdana" w:hAnsi="Verdana"/>
          <w:sz w:val="20"/>
          <w:szCs w:val="20"/>
          <w:lang w:val="es-ES"/>
        </w:rPr>
      </w:pPr>
    </w:p>
    <w:p w14:paraId="09448925" w14:textId="77777777" w:rsidR="00D35B5B" w:rsidRPr="001D32DF" w:rsidRDefault="00D35B5B" w:rsidP="00326E13">
      <w:pPr>
        <w:snapToGrid w:val="0"/>
        <w:spacing w:after="0" w:line="240" w:lineRule="auto"/>
        <w:contextualSpacing/>
        <w:jc w:val="both"/>
        <w:rPr>
          <w:rFonts w:ascii="Verdana" w:hAnsi="Verdana"/>
          <w:sz w:val="20"/>
          <w:szCs w:val="20"/>
          <w:lang w:val="es-ES"/>
        </w:rPr>
      </w:pPr>
      <w:r w:rsidRPr="001D32DF">
        <w:rPr>
          <w:rFonts w:ascii="Verdana" w:hAnsi="Verdana"/>
          <w:sz w:val="20"/>
          <w:szCs w:val="20"/>
          <w:lang w:val="es-ES"/>
        </w:rPr>
        <w:t>La determinación de la modalidad aplicable debe sustentarse en un ejercicio de planeación robusto y responder a los principios que igualmente gobiernan los regímenes especiales de contratación, conforme al artículo 13 de la Ley 1150 de 2007, adicionado por el artículo 53 de la Ley 2195 de 2022. En tal medida, la sola habilitación de contratar esquemas de participación privada de manera directa no implica, por sí misma, que su utilización resulte adecuada, conveniente, competitiva y transparente frente a un proyecto de la naturaleza del consultado.</w:t>
      </w:r>
    </w:p>
    <w:p w14:paraId="1FC8799B" w14:textId="77777777" w:rsidR="00D35B5B" w:rsidRPr="00FD5B81" w:rsidRDefault="00D35B5B" w:rsidP="00326E13">
      <w:pPr>
        <w:snapToGrid w:val="0"/>
        <w:spacing w:after="0" w:line="240" w:lineRule="auto"/>
        <w:contextualSpacing/>
        <w:jc w:val="both"/>
        <w:rPr>
          <w:rFonts w:ascii="Verdana" w:eastAsia="Times New Roman" w:hAnsi="Verdana" w:cs="Arial"/>
          <w:b/>
          <w:bCs/>
          <w:lang w:eastAsia="es-ES"/>
        </w:rPr>
      </w:pPr>
    </w:p>
    <w:p w14:paraId="62AEFFFA" w14:textId="77777777" w:rsidR="00FD5B81" w:rsidRDefault="00FD5B81" w:rsidP="00326E13">
      <w:pPr>
        <w:snapToGrid w:val="0"/>
        <w:contextualSpacing/>
        <w:jc w:val="both"/>
        <w:rPr>
          <w:rFonts w:ascii="Verdana" w:eastAsia="Times New Roman" w:hAnsi="Verdana" w:cs="Arial"/>
          <w:b/>
          <w:bCs/>
          <w:lang w:val="es-ES" w:eastAsia="es-ES"/>
        </w:rPr>
      </w:pPr>
      <w:r w:rsidRPr="00FD5B81">
        <w:rPr>
          <w:rFonts w:ascii="Verdana" w:eastAsia="Times New Roman" w:hAnsi="Verdana" w:cs="Arial"/>
          <w:b/>
          <w:bCs/>
          <w:lang w:val="es-ES" w:eastAsia="es-ES"/>
        </w:rPr>
        <w:t>EMPRESAS INDUSTRIALES Y COMERCIALES DEL ESTADO – Naturaleza jurídica – Régimen de contratación</w:t>
      </w:r>
    </w:p>
    <w:p w14:paraId="172040AC" w14:textId="77777777" w:rsidR="00326E13" w:rsidRDefault="00326E13" w:rsidP="00326E13">
      <w:pPr>
        <w:snapToGrid w:val="0"/>
        <w:contextualSpacing/>
        <w:jc w:val="both"/>
        <w:rPr>
          <w:rFonts w:ascii="Verdana" w:eastAsia="Times New Roman" w:hAnsi="Verdana" w:cs="Arial"/>
          <w:b/>
          <w:bCs/>
          <w:lang w:val="es-ES" w:eastAsia="es-ES"/>
        </w:rPr>
      </w:pPr>
    </w:p>
    <w:p w14:paraId="21677734" w14:textId="50E3A4B5" w:rsidR="00326E13" w:rsidRPr="00326E13" w:rsidRDefault="00326E13" w:rsidP="00326E13">
      <w:pPr>
        <w:snapToGrid w:val="0"/>
        <w:spacing w:line="240" w:lineRule="auto"/>
        <w:contextualSpacing/>
        <w:jc w:val="both"/>
        <w:rPr>
          <w:rFonts w:ascii="Verdana" w:eastAsia="Calibri" w:hAnsi="Verdana" w:cs="Arial"/>
          <w:bCs/>
          <w:sz w:val="20"/>
          <w:szCs w:val="20"/>
          <w:lang w:val="es-ES"/>
        </w:rPr>
      </w:pPr>
      <w:r w:rsidRPr="00326E13">
        <w:rPr>
          <w:rFonts w:ascii="Verdana" w:eastAsia="Calibri" w:hAnsi="Verdana" w:cs="Arial"/>
          <w:bCs/>
          <w:sz w:val="20"/>
          <w:szCs w:val="20"/>
          <w:lang w:val="es-ES"/>
        </w:rPr>
        <w:t>De acuerdo con lo establecido en el primer parágrafo del artículo 38 de la Ley 489 de 1998, las sociedades públicas y las sociedades de economía mixta en las que el Estado posea el noventa por ciento (90%) o más de su capital social, se someten al régimen previsto para las</w:t>
      </w:r>
      <w:r w:rsidRPr="00326E13">
        <w:rPr>
          <w:rFonts w:ascii="Verdana" w:eastAsia="Calibri" w:hAnsi="Verdana" w:cs="Arial"/>
          <w:color w:val="000000" w:themeColor="text1"/>
          <w:sz w:val="20"/>
          <w:szCs w:val="20"/>
          <w:lang w:val="es-ES"/>
        </w:rPr>
        <w:t xml:space="preserve"> Empresas Industriales y Comerciales del Estado (en adelante, EICE)</w:t>
      </w:r>
      <w:r w:rsidRPr="00326E13">
        <w:rPr>
          <w:rFonts w:ascii="Verdana" w:eastAsia="Calibri" w:hAnsi="Verdana" w:cs="Arial"/>
          <w:bCs/>
          <w:sz w:val="20"/>
          <w:szCs w:val="20"/>
          <w:lang w:val="es-ES"/>
        </w:rPr>
        <w:t>.</w:t>
      </w:r>
    </w:p>
    <w:p w14:paraId="7A0E062B" w14:textId="77777777" w:rsidR="00326E13" w:rsidRPr="00326E13" w:rsidRDefault="00326E13" w:rsidP="00326E13">
      <w:pPr>
        <w:snapToGrid w:val="0"/>
        <w:spacing w:line="240" w:lineRule="auto"/>
        <w:contextualSpacing/>
        <w:jc w:val="both"/>
        <w:rPr>
          <w:rFonts w:ascii="Verdana" w:eastAsia="Calibri" w:hAnsi="Verdana" w:cs="Arial"/>
          <w:color w:val="000000" w:themeColor="text1"/>
          <w:sz w:val="20"/>
          <w:szCs w:val="20"/>
          <w:lang w:val="es-ES"/>
        </w:rPr>
      </w:pPr>
    </w:p>
    <w:p w14:paraId="66D916D9" w14:textId="7B4501EA" w:rsidR="00326E13" w:rsidRPr="00326E13" w:rsidRDefault="00326E13" w:rsidP="00326E13">
      <w:pPr>
        <w:snapToGrid w:val="0"/>
        <w:spacing w:after="0" w:line="240" w:lineRule="auto"/>
        <w:contextualSpacing/>
        <w:jc w:val="both"/>
        <w:rPr>
          <w:rFonts w:ascii="Verdana" w:eastAsia="Times New Roman" w:hAnsi="Verdana" w:cs="Arial"/>
          <w:b/>
          <w:bCs/>
          <w:sz w:val="20"/>
          <w:szCs w:val="20"/>
          <w:lang w:val="es-ES" w:eastAsia="es-ES"/>
        </w:rPr>
      </w:pPr>
      <w:r w:rsidRPr="00326E13">
        <w:rPr>
          <w:rFonts w:ascii="Verdana" w:eastAsia="Calibri" w:hAnsi="Verdana" w:cs="Arial"/>
          <w:color w:val="000000" w:themeColor="text1"/>
          <w:sz w:val="20"/>
          <w:szCs w:val="20"/>
          <w:lang w:val="es-ES"/>
        </w:rPr>
        <w:t>En materia contractual, las EICE fueron incluidas dentro de la categoría de Entidades Estatales sujetas al Estatuto General de Contratación de la Administración Pública (en adelante, EGCAP), conforme a lo dispuesto en el artículo 2, numeral 1, literal a) de la Ley 80 de 1993. Por su parte, la Ley 489 de 1998, que regula la estructura y el funcionamiento de las entidades del orden nacional, precisó en su artículo 93 el régimen jurídico aplicable a los contratos celebrados por las EICE […]</w:t>
      </w:r>
    </w:p>
    <w:p w14:paraId="62BA5295" w14:textId="77777777" w:rsidR="00326E13" w:rsidRPr="00FD5B81" w:rsidRDefault="00326E13" w:rsidP="00326E13">
      <w:pPr>
        <w:snapToGrid w:val="0"/>
        <w:spacing w:after="0" w:line="240" w:lineRule="auto"/>
        <w:contextualSpacing/>
        <w:jc w:val="both"/>
        <w:rPr>
          <w:rFonts w:ascii="Verdana" w:eastAsia="Times New Roman" w:hAnsi="Verdana" w:cs="Arial"/>
          <w:b/>
          <w:bCs/>
          <w:lang w:val="es-ES" w:eastAsia="es-ES"/>
        </w:rPr>
      </w:pPr>
    </w:p>
    <w:p w14:paraId="512C4B1F" w14:textId="77777777" w:rsidR="00FD5B81" w:rsidRDefault="00FD5B81" w:rsidP="00326E13">
      <w:pPr>
        <w:snapToGrid w:val="0"/>
        <w:spacing w:after="0" w:line="240" w:lineRule="auto"/>
        <w:contextualSpacing/>
        <w:jc w:val="both"/>
        <w:rPr>
          <w:rFonts w:ascii="Verdana" w:eastAsia="Times New Roman" w:hAnsi="Verdana" w:cs="Arial"/>
          <w:b/>
          <w:bCs/>
          <w:lang w:val="es-ES" w:eastAsia="es-ES"/>
        </w:rPr>
      </w:pPr>
      <w:r w:rsidRPr="00FD5B81">
        <w:rPr>
          <w:rFonts w:ascii="Verdana" w:eastAsia="Times New Roman" w:hAnsi="Verdana" w:cs="Arial"/>
          <w:b/>
          <w:bCs/>
          <w:lang w:val="es-ES" w:eastAsia="es-ES"/>
        </w:rPr>
        <w:t xml:space="preserve">EMPRESAS INDUSTRIALES Y COMERCIALES DEL ESTADO </w:t>
      </w:r>
      <w:r w:rsidRPr="00FD5B81">
        <w:rPr>
          <w:rFonts w:ascii="Verdana" w:eastAsia="Calibri" w:hAnsi="Verdana" w:cs="Arial"/>
          <w:b/>
          <w:bCs/>
          <w:color w:val="000000"/>
          <w:szCs w:val="24"/>
          <w:lang w:val="es-ES" w:eastAsia="es-ES_tradnl"/>
        </w:rPr>
        <w:t>–</w:t>
      </w:r>
      <w:r w:rsidRPr="00FD5B81">
        <w:rPr>
          <w:rFonts w:ascii="Verdana" w:eastAsia="Times New Roman" w:hAnsi="Verdana" w:cs="Arial"/>
          <w:b/>
          <w:bCs/>
          <w:lang w:val="es-ES" w:eastAsia="es-ES"/>
        </w:rPr>
        <w:t xml:space="preserve"> Desarrollo de actividades con el sector privado</w:t>
      </w:r>
    </w:p>
    <w:p w14:paraId="65F36C39" w14:textId="77777777" w:rsidR="00D35B5B" w:rsidRDefault="00D35B5B" w:rsidP="00326E13">
      <w:pPr>
        <w:snapToGrid w:val="0"/>
        <w:spacing w:after="0" w:line="240" w:lineRule="auto"/>
        <w:contextualSpacing/>
        <w:jc w:val="both"/>
        <w:rPr>
          <w:rFonts w:ascii="Verdana" w:eastAsia="Times New Roman" w:hAnsi="Verdana" w:cs="Arial"/>
          <w:b/>
          <w:bCs/>
          <w:lang w:val="es-ES" w:eastAsia="es-ES"/>
        </w:rPr>
      </w:pPr>
    </w:p>
    <w:p w14:paraId="0C7E7BC1" w14:textId="3B38A1E2" w:rsidR="00FD5B81" w:rsidRPr="00326E13" w:rsidRDefault="00D35B5B" w:rsidP="00326E13">
      <w:pPr>
        <w:snapToGrid w:val="0"/>
        <w:spacing w:after="0" w:line="240" w:lineRule="auto"/>
        <w:contextualSpacing/>
        <w:jc w:val="both"/>
        <w:rPr>
          <w:rFonts w:ascii="Verdana" w:hAnsi="Verdana"/>
          <w:sz w:val="20"/>
          <w:szCs w:val="20"/>
          <w:lang w:val="es-ES"/>
        </w:rPr>
      </w:pPr>
      <w:r w:rsidRPr="00326E13">
        <w:rPr>
          <w:rFonts w:ascii="Verdana" w:eastAsia="Calibri" w:hAnsi="Verdana" w:cs="Times New Roman"/>
          <w:sz w:val="20"/>
          <w:szCs w:val="20"/>
          <w:lang w:val="es-ES"/>
        </w:rPr>
        <w:t xml:space="preserve">En suma, </w:t>
      </w:r>
      <w:r w:rsidRPr="00326E13">
        <w:rPr>
          <w:rFonts w:ascii="Verdana" w:hAnsi="Verdana"/>
          <w:sz w:val="20"/>
          <w:szCs w:val="20"/>
          <w:lang w:val="es-ES"/>
        </w:rPr>
        <w:t>las EICE con participación pública superior al cincuenta por ciento (50%), están sometidas, por regla general, al Estatuto General de Contratación de la Administración Pública (Ley 80 de 1993), a la Ley 1150 de 2007, Decreto 1082 de 2015 y demás normas de la materia.</w:t>
      </w:r>
      <w:r w:rsidRPr="00326E13">
        <w:rPr>
          <w:rFonts w:ascii="Verdana" w:eastAsia="Times New Roman" w:hAnsi="Verdana" w:cs="Arial"/>
          <w:sz w:val="20"/>
          <w:szCs w:val="20"/>
          <w:lang w:val="es-ES" w:eastAsia="es-ES_tradnl"/>
        </w:rPr>
        <w:t xml:space="preserve"> Sin embargo, </w:t>
      </w:r>
      <w:r w:rsidRPr="00326E13">
        <w:rPr>
          <w:rFonts w:ascii="Verdana" w:hAnsi="Verdana"/>
          <w:sz w:val="20"/>
          <w:szCs w:val="20"/>
          <w:lang w:val="es-ES"/>
        </w:rPr>
        <w:t xml:space="preserve">cuando las Empresas Industriales y Comerciales del Estado con participación estatal superior al 50% desarrollen: i) actividades comerciales en competencia con el sector privado y/o público, nacional o internacional; o </w:t>
      </w:r>
      <w:proofErr w:type="spellStart"/>
      <w:r w:rsidRPr="00326E13">
        <w:rPr>
          <w:rFonts w:ascii="Verdana" w:hAnsi="Verdana"/>
          <w:sz w:val="20"/>
          <w:szCs w:val="20"/>
          <w:lang w:val="es-ES"/>
        </w:rPr>
        <w:t>ii</w:t>
      </w:r>
      <w:proofErr w:type="spellEnd"/>
      <w:r w:rsidRPr="00326E13">
        <w:rPr>
          <w:rFonts w:ascii="Verdana" w:hAnsi="Verdana"/>
          <w:sz w:val="20"/>
          <w:szCs w:val="20"/>
          <w:lang w:val="es-ES"/>
        </w:rPr>
        <w:t xml:space="preserve">) actividades en mercados regulados, se regirán </w:t>
      </w:r>
      <w:r w:rsidRPr="00326E13">
        <w:rPr>
          <w:rFonts w:ascii="Verdana" w:hAnsi="Verdana"/>
          <w:i/>
          <w:iCs/>
          <w:sz w:val="20"/>
          <w:szCs w:val="20"/>
          <w:lang w:val="es-ES"/>
        </w:rPr>
        <w:t>por las disposiciones que regulen su actividad</w:t>
      </w:r>
      <w:r w:rsidRPr="00326E13">
        <w:rPr>
          <w:rFonts w:ascii="Verdana" w:hAnsi="Verdana"/>
          <w:sz w:val="20"/>
          <w:szCs w:val="20"/>
          <w:lang w:val="es-ES"/>
        </w:rPr>
        <w:t xml:space="preserve">, por </w:t>
      </w:r>
      <w:r w:rsidRPr="00326E13">
        <w:rPr>
          <w:rFonts w:ascii="Verdana" w:hAnsi="Verdana"/>
          <w:sz w:val="20"/>
          <w:szCs w:val="20"/>
          <w:lang w:val="es-ES"/>
        </w:rPr>
        <w:lastRenderedPageBreak/>
        <w:t>su propio manual de contratación, y/o disposiciones de derecho privado debido a que lo que predomina es la actividad económica que se ejerce para esta excepción.</w:t>
      </w:r>
    </w:p>
    <w:p w14:paraId="600A60A4" w14:textId="77777777" w:rsidR="00D35B5B" w:rsidRPr="00FD5B81" w:rsidRDefault="00D35B5B" w:rsidP="00326E13">
      <w:pPr>
        <w:snapToGrid w:val="0"/>
        <w:spacing w:after="0" w:line="240" w:lineRule="auto"/>
        <w:contextualSpacing/>
        <w:jc w:val="both"/>
        <w:rPr>
          <w:rFonts w:ascii="Verdana" w:eastAsia="Times New Roman" w:hAnsi="Verdana" w:cs="Arial"/>
          <w:b/>
          <w:bCs/>
          <w:lang w:val="es-ES" w:eastAsia="es-ES"/>
        </w:rPr>
      </w:pPr>
    </w:p>
    <w:p w14:paraId="1723F820" w14:textId="3E9937E9" w:rsidR="00326E13" w:rsidRDefault="00FD5B81" w:rsidP="00326E13">
      <w:pPr>
        <w:snapToGrid w:val="0"/>
        <w:contextualSpacing/>
        <w:jc w:val="both"/>
        <w:rPr>
          <w:rFonts w:ascii="Verdana" w:eastAsia="Times New Roman" w:hAnsi="Verdana" w:cs="Arial"/>
          <w:b/>
          <w:bCs/>
          <w:lang w:val="es-ES" w:eastAsia="es-ES"/>
        </w:rPr>
      </w:pPr>
      <w:r w:rsidRPr="00FD5B81">
        <w:rPr>
          <w:rFonts w:ascii="Verdana" w:eastAsia="Times New Roman" w:hAnsi="Verdana" w:cs="Arial"/>
          <w:b/>
          <w:bCs/>
          <w:lang w:val="es-ES" w:eastAsia="es-ES"/>
        </w:rPr>
        <w:t>ASOCIACIONES PÚBLICO PRIVADAS – Normativa – Ley 1508 de 2012 – Artículo 8</w:t>
      </w:r>
    </w:p>
    <w:p w14:paraId="71B65306" w14:textId="77777777" w:rsidR="00326E13" w:rsidRPr="00326E13" w:rsidRDefault="00326E13" w:rsidP="00326E13">
      <w:pPr>
        <w:snapToGrid w:val="0"/>
        <w:spacing w:after="0" w:line="240" w:lineRule="auto"/>
        <w:contextualSpacing/>
        <w:jc w:val="both"/>
        <w:rPr>
          <w:rFonts w:ascii="Verdana" w:eastAsia="Times New Roman" w:hAnsi="Verdana" w:cs="Arial"/>
          <w:b/>
          <w:bCs/>
          <w:lang w:val="es-ES" w:eastAsia="es-ES"/>
        </w:rPr>
      </w:pPr>
    </w:p>
    <w:p w14:paraId="441D4BEC" w14:textId="38BF1F63" w:rsidR="00D35B5B" w:rsidRPr="00326E13" w:rsidRDefault="00D35B5B" w:rsidP="00326E13">
      <w:pPr>
        <w:snapToGrid w:val="0"/>
        <w:spacing w:after="0" w:line="240" w:lineRule="auto"/>
        <w:contextualSpacing/>
        <w:jc w:val="both"/>
        <w:rPr>
          <w:rFonts w:ascii="Verdana" w:hAnsi="Verdana" w:cs="Arial"/>
          <w:color w:val="000000" w:themeColor="text1"/>
          <w:sz w:val="20"/>
          <w:szCs w:val="20"/>
          <w:lang w:val="es-ES" w:bidi="es-ES"/>
        </w:rPr>
      </w:pPr>
      <w:r w:rsidRPr="00326E13">
        <w:rPr>
          <w:rFonts w:ascii="Verdana" w:eastAsia="Calibri" w:hAnsi="Verdana" w:cs="Arial"/>
          <w:sz w:val="20"/>
          <w:szCs w:val="20"/>
          <w:lang w:val="es-ES" w:eastAsia="es-CO"/>
        </w:rPr>
        <w:t xml:space="preserve">Conforme se desprende del texto principal de la norma en cita, la propia Ley 1508 de 2012, haciendo referencia expresa a las leyes 80 de 1993, 1150 de 2007 y 489 de </w:t>
      </w:r>
      <w:proofErr w:type="gramStart"/>
      <w:r w:rsidRPr="00326E13">
        <w:rPr>
          <w:rFonts w:ascii="Verdana" w:eastAsia="Calibri" w:hAnsi="Verdana" w:cs="Arial"/>
          <w:sz w:val="20"/>
          <w:szCs w:val="20"/>
          <w:lang w:val="es-ES" w:eastAsia="es-CO"/>
        </w:rPr>
        <w:t>1998,  contempla</w:t>
      </w:r>
      <w:proofErr w:type="gramEnd"/>
      <w:r w:rsidRPr="00326E13">
        <w:rPr>
          <w:rFonts w:ascii="Verdana" w:eastAsia="Calibri" w:hAnsi="Verdana" w:cs="Arial"/>
          <w:sz w:val="20"/>
          <w:szCs w:val="20"/>
          <w:lang w:val="es-ES" w:eastAsia="es-CO"/>
        </w:rPr>
        <w:t xml:space="preserve"> la posibilidad de que las entidades estatales celebren contratos y convenios interadministrativos con el objeto de desarrollar esquemas de APP, no </w:t>
      </w:r>
      <w:proofErr w:type="gramStart"/>
      <w:r w:rsidRPr="00326E13">
        <w:rPr>
          <w:rFonts w:ascii="Verdana" w:eastAsia="Calibri" w:hAnsi="Verdana" w:cs="Arial"/>
          <w:sz w:val="20"/>
          <w:szCs w:val="20"/>
          <w:lang w:val="es-ES" w:eastAsia="es-CO"/>
        </w:rPr>
        <w:t>obstante</w:t>
      </w:r>
      <w:proofErr w:type="gramEnd"/>
      <w:r w:rsidRPr="00326E13">
        <w:rPr>
          <w:rFonts w:ascii="Verdana" w:eastAsia="Calibri" w:hAnsi="Verdana" w:cs="Arial"/>
          <w:sz w:val="20"/>
          <w:szCs w:val="20"/>
          <w:lang w:val="es-ES" w:eastAsia="es-CO"/>
        </w:rPr>
        <w:t xml:space="preserve"> dicho inciso impone la aplicación de </w:t>
      </w:r>
      <w:r w:rsidRPr="00326E13">
        <w:rPr>
          <w:rFonts w:ascii="Verdana" w:eastAsia="Calibri" w:hAnsi="Verdana" w:cs="Arial"/>
          <w:i/>
          <w:sz w:val="20"/>
          <w:szCs w:val="20"/>
          <w:lang w:val="es-ES" w:eastAsia="es-CO"/>
        </w:rPr>
        <w:t>“los procedimientos de estructuración, aprobación y gestión contractual previstos en la presente ley”.</w:t>
      </w:r>
      <w:r w:rsidRPr="00326E13">
        <w:rPr>
          <w:rFonts w:ascii="Verdana" w:eastAsia="Calibri" w:hAnsi="Verdana" w:cs="Arial"/>
          <w:sz w:val="20"/>
          <w:szCs w:val="20"/>
          <w:lang w:val="es-ES" w:eastAsia="es-CO"/>
        </w:rPr>
        <w:t xml:space="preserve"> A su vez, el parágrafo de dicho artículo avala la posibilidad de que las empresas industriales y comerciales del Estado, las sociedades de economía mixta en las que el Estado tenga participación superior al cincuenta por ciento (50%), sus filiales, las sociedades entre entidades públicas con participación mayoritaria del Estado superior al cincuenta por ciento (50%) y las empresas de servicios públicos domiciliarios oficiales o mixtas, opten voluntariamente</w:t>
      </w:r>
      <w:r w:rsidRPr="00326E13">
        <w:rPr>
          <w:rFonts w:ascii="Verdana" w:hAnsi="Verdana" w:cs="Arial"/>
          <w:color w:val="000000" w:themeColor="text1"/>
          <w:sz w:val="20"/>
          <w:szCs w:val="20"/>
          <w:lang w:val="es-ES" w:bidi="es-ES"/>
        </w:rPr>
        <w:t xml:space="preserve"> por celebrar </w:t>
      </w:r>
      <w:r w:rsidRPr="00326E13">
        <w:rPr>
          <w:rFonts w:ascii="Verdana" w:hAnsi="Verdana"/>
          <w:sz w:val="20"/>
          <w:szCs w:val="20"/>
          <w:lang w:val="es-ES"/>
        </w:rPr>
        <w:t xml:space="preserve">esquemas de APP bajo el régimen de dicha ley. </w:t>
      </w:r>
    </w:p>
    <w:p w14:paraId="01F30F0D" w14:textId="77777777" w:rsidR="00D35B5B" w:rsidRPr="00FD5B81" w:rsidRDefault="00D35B5B" w:rsidP="00326E13">
      <w:pPr>
        <w:snapToGrid w:val="0"/>
        <w:spacing w:after="0" w:line="240" w:lineRule="auto"/>
        <w:contextualSpacing/>
        <w:jc w:val="both"/>
        <w:rPr>
          <w:rFonts w:ascii="Verdana" w:eastAsia="Times New Roman" w:hAnsi="Verdana" w:cs="Arial"/>
          <w:b/>
          <w:bCs/>
          <w:lang w:val="es-ES" w:eastAsia="es-ES"/>
        </w:rPr>
      </w:pPr>
    </w:p>
    <w:p w14:paraId="11CC7C8E" w14:textId="30345FAF" w:rsidR="00FD5B81" w:rsidRDefault="00FD5B81" w:rsidP="00326E13">
      <w:pPr>
        <w:snapToGrid w:val="0"/>
        <w:spacing w:after="0" w:line="240" w:lineRule="auto"/>
        <w:contextualSpacing/>
        <w:jc w:val="both"/>
        <w:rPr>
          <w:rFonts w:ascii="Verdana" w:eastAsia="Times New Roman" w:hAnsi="Verdana" w:cs="Arial"/>
          <w:b/>
          <w:bCs/>
          <w:lang w:val="es-ES" w:eastAsia="es-ES"/>
        </w:rPr>
      </w:pPr>
      <w:r w:rsidRPr="00FD5B81">
        <w:rPr>
          <w:rFonts w:ascii="Verdana" w:eastAsia="Times New Roman" w:hAnsi="Verdana" w:cs="Arial"/>
          <w:b/>
          <w:bCs/>
          <w:lang w:val="es-ES" w:eastAsia="es-ES"/>
        </w:rPr>
        <w:t>ENTIDADES DE RÉGIMEN ESPECIAL – Esquemas de participación privada – Alcance</w:t>
      </w:r>
    </w:p>
    <w:p w14:paraId="7503CC23" w14:textId="77777777" w:rsidR="00D35B5B" w:rsidRDefault="00D35B5B" w:rsidP="00326E13">
      <w:pPr>
        <w:snapToGrid w:val="0"/>
        <w:spacing w:after="0" w:line="240" w:lineRule="auto"/>
        <w:contextualSpacing/>
        <w:jc w:val="both"/>
        <w:rPr>
          <w:rFonts w:ascii="Verdana" w:eastAsia="Times New Roman" w:hAnsi="Verdana" w:cs="Arial"/>
          <w:b/>
          <w:bCs/>
          <w:lang w:val="es-ES" w:eastAsia="es-ES"/>
        </w:rPr>
      </w:pPr>
    </w:p>
    <w:p w14:paraId="72E3D9EF" w14:textId="77777777" w:rsidR="00D35B5B" w:rsidRDefault="00D35B5B" w:rsidP="00326E13">
      <w:pPr>
        <w:snapToGrid w:val="0"/>
        <w:spacing w:after="0" w:line="240" w:lineRule="auto"/>
        <w:contextualSpacing/>
        <w:jc w:val="both"/>
        <w:rPr>
          <w:rFonts w:ascii="Verdana" w:hAnsi="Verdana" w:cs="Arial"/>
          <w:color w:val="000000" w:themeColor="text1"/>
          <w:sz w:val="20"/>
          <w:szCs w:val="20"/>
          <w:lang w:val="es-ES" w:bidi="es-ES"/>
        </w:rPr>
      </w:pPr>
      <w:r w:rsidRPr="00326E13">
        <w:rPr>
          <w:rFonts w:ascii="Verdana" w:hAnsi="Verdana"/>
          <w:sz w:val="20"/>
          <w:szCs w:val="20"/>
          <w:lang w:val="es-ES"/>
        </w:rPr>
        <w:t>Por su parte, el tercer inciso del parágrafo del referido artículo 8 señala que, en el caso en que dichas entidades opten por adoptar esquemas distintos a las Asociaciones Público-Privadas sujetas a la Ley 1508 de 2012, tienen la facultad de contratar esquemas de participación privada en cualquier tipo de infraestructura conforme a su régimen de contratación, lo cual podría incluir, sin limitarse a ello, la concesión de que trata el numeral 4 del artículo 32 de la Ley 80 de 1993.</w:t>
      </w:r>
      <w:r w:rsidRPr="00326E13">
        <w:rPr>
          <w:rFonts w:ascii="Verdana" w:hAnsi="Verdana" w:cs="Arial"/>
          <w:color w:val="000000" w:themeColor="text1"/>
          <w:sz w:val="20"/>
          <w:szCs w:val="20"/>
          <w:lang w:val="es-ES" w:bidi="es-ES"/>
        </w:rPr>
        <w:t xml:space="preserve">  </w:t>
      </w:r>
    </w:p>
    <w:p w14:paraId="2E8E10EE" w14:textId="77777777" w:rsidR="00326E13" w:rsidRPr="00326E13" w:rsidRDefault="00326E13" w:rsidP="00326E13">
      <w:pPr>
        <w:snapToGrid w:val="0"/>
        <w:spacing w:after="0" w:line="240" w:lineRule="auto"/>
        <w:contextualSpacing/>
        <w:jc w:val="both"/>
        <w:rPr>
          <w:rFonts w:ascii="Verdana" w:hAnsi="Verdana" w:cs="Arial"/>
          <w:color w:val="000000" w:themeColor="text1"/>
          <w:sz w:val="20"/>
          <w:szCs w:val="20"/>
          <w:lang w:val="es-ES" w:bidi="es-ES"/>
        </w:rPr>
      </w:pPr>
    </w:p>
    <w:p w14:paraId="2A2C9F96" w14:textId="77777777" w:rsidR="00D35B5B" w:rsidRPr="00326E13" w:rsidRDefault="00D35B5B" w:rsidP="00326E13">
      <w:pPr>
        <w:snapToGrid w:val="0"/>
        <w:spacing w:after="0" w:line="240" w:lineRule="auto"/>
        <w:contextualSpacing/>
        <w:jc w:val="both"/>
        <w:rPr>
          <w:rFonts w:ascii="Verdana" w:hAnsi="Verdana"/>
          <w:sz w:val="20"/>
          <w:szCs w:val="20"/>
          <w:lang w:val="es-ES"/>
        </w:rPr>
      </w:pPr>
      <w:r w:rsidRPr="00326E13">
        <w:rPr>
          <w:rFonts w:ascii="Verdana" w:hAnsi="Verdana"/>
          <w:sz w:val="20"/>
          <w:szCs w:val="20"/>
          <w:lang w:val="es-ES"/>
        </w:rPr>
        <w:t xml:space="preserve">En efecto, cuando alguna de las entidades antes mencionadas requiera contratar esquemas de participación privada para proyectos de infraestructura tendrá dos posibilidades. i) Primero, celebrar un esquema de Asociación Público-Privada conforme a lo establecido en la Ley 1508 de 2012; cuando las entidades opten por esta opción, deberán dar estricto cumplimiento a lo previsto en dicha norma y sujetarse a las disposiciones particulares que les sean aplicables en materia contractual y presupuestal, lo cual incluye los mecanismos y modalidades de contratación allí dispuestas para la contratación de APP. </w:t>
      </w:r>
      <w:proofErr w:type="spellStart"/>
      <w:r w:rsidRPr="00326E13">
        <w:rPr>
          <w:rFonts w:ascii="Verdana" w:hAnsi="Verdana"/>
          <w:sz w:val="20"/>
          <w:szCs w:val="20"/>
          <w:lang w:val="es-ES"/>
        </w:rPr>
        <w:t>ii</w:t>
      </w:r>
      <w:proofErr w:type="spellEnd"/>
      <w:r w:rsidRPr="00326E13">
        <w:rPr>
          <w:rFonts w:ascii="Verdana" w:hAnsi="Verdana"/>
          <w:sz w:val="20"/>
          <w:szCs w:val="20"/>
          <w:lang w:val="es-ES"/>
        </w:rPr>
        <w:t xml:space="preserve">)  La segunda opción será adoptar otros esquemas de participación privada de conformidad con lo establecido en su régimen de contratación, caso en el cual no estarán obligadas a adelantar procedimientos de licitación pública en el marco del EGCAP para la celebración de contratos de concesión. </w:t>
      </w:r>
    </w:p>
    <w:p w14:paraId="05965267" w14:textId="77777777" w:rsidR="00D35B5B" w:rsidRPr="00FD5B81" w:rsidRDefault="00D35B5B" w:rsidP="00FD5B81">
      <w:pPr>
        <w:snapToGrid w:val="0"/>
        <w:spacing w:after="0" w:line="276" w:lineRule="auto"/>
        <w:contextualSpacing/>
        <w:jc w:val="both"/>
        <w:rPr>
          <w:rFonts w:ascii="Verdana" w:eastAsia="Times New Roman" w:hAnsi="Verdana" w:cs="Arial"/>
          <w:b/>
          <w:bCs/>
          <w:lang w:val="es-ES" w:eastAsia="es-ES"/>
        </w:rPr>
      </w:pPr>
    </w:p>
    <w:p w14:paraId="34D2A995" w14:textId="77777777" w:rsidR="00FD5B81" w:rsidRDefault="00FD5B81" w:rsidP="002A2CE2">
      <w:pPr>
        <w:spacing w:after="0"/>
        <w:rPr>
          <w:rFonts w:ascii="Verdana" w:hAnsi="Verdana"/>
          <w:lang w:val="es-ES"/>
        </w:rPr>
      </w:pPr>
    </w:p>
    <w:p w14:paraId="75D6368B" w14:textId="77777777" w:rsidR="00326E13" w:rsidRDefault="00326E13" w:rsidP="002A2CE2">
      <w:pPr>
        <w:spacing w:after="0"/>
        <w:rPr>
          <w:rFonts w:ascii="Verdana" w:hAnsi="Verdana"/>
          <w:lang w:val="es-ES"/>
        </w:rPr>
      </w:pPr>
    </w:p>
    <w:p w14:paraId="6FDE5B72" w14:textId="77777777" w:rsidR="0058025B" w:rsidRDefault="0058025B" w:rsidP="002A2CE2">
      <w:pPr>
        <w:spacing w:after="0"/>
        <w:rPr>
          <w:rFonts w:ascii="Verdana" w:hAnsi="Verdana"/>
          <w:lang w:val="es-ES"/>
        </w:rPr>
      </w:pPr>
    </w:p>
    <w:p w14:paraId="100A1A27" w14:textId="3D72A8C7" w:rsidR="002A2CE2" w:rsidRPr="001B3113" w:rsidRDefault="002A2CE2" w:rsidP="002A2CE2">
      <w:pPr>
        <w:spacing w:after="0"/>
        <w:rPr>
          <w:rFonts w:ascii="Verdana" w:hAnsi="Verdana"/>
          <w:lang w:val="es-ES"/>
        </w:rPr>
      </w:pPr>
      <w:r w:rsidRPr="001B3113">
        <w:rPr>
          <w:rFonts w:ascii="Verdana" w:hAnsi="Verdana"/>
          <w:lang w:val="es-ES"/>
        </w:rPr>
        <w:lastRenderedPageBreak/>
        <w:t>Bogotá D.C.,</w:t>
      </w:r>
      <w:r w:rsidR="00F23566">
        <w:rPr>
          <w:rFonts w:ascii="Verdana" w:hAnsi="Verdana"/>
          <w:lang w:val="es-ES"/>
        </w:rPr>
        <w:t xml:space="preserve"> 30 de julio de 2026</w:t>
      </w:r>
      <w:r w:rsidRPr="001B3113">
        <w:rPr>
          <w:rFonts w:ascii="Verdana" w:hAnsi="Verdana"/>
          <w:lang w:val="es-ES"/>
        </w:rPr>
        <w:tab/>
      </w:r>
    </w:p>
    <w:p w14:paraId="6E99F327" w14:textId="4F3E7376" w:rsidR="002A2CE2" w:rsidRPr="001B3113" w:rsidRDefault="002A2CE2" w:rsidP="002A2CE2">
      <w:pPr>
        <w:spacing w:after="0"/>
        <w:rPr>
          <w:rFonts w:ascii="Verdana" w:hAnsi="Verdana"/>
          <w:lang w:val="es-ES"/>
        </w:rPr>
      </w:pPr>
    </w:p>
    <w:p w14:paraId="231206B9" w14:textId="522381B1" w:rsidR="002A2CE2" w:rsidRPr="001B3113" w:rsidRDefault="00E55612" w:rsidP="002A2CE2">
      <w:pPr>
        <w:spacing w:after="0" w:line="240" w:lineRule="auto"/>
        <w:jc w:val="both"/>
        <w:rPr>
          <w:rFonts w:ascii="Verdana" w:eastAsia="Calibri" w:hAnsi="Verdana" w:cs="Arial"/>
          <w:color w:val="000000" w:themeColor="text1"/>
          <w:lang w:val="es-ES" w:eastAsia="es-ES"/>
        </w:rPr>
      </w:pPr>
      <w:r w:rsidRPr="00E55612">
        <w:rPr>
          <w:rFonts w:ascii="Verdana" w:eastAsia="Calibri" w:hAnsi="Verdana" w:cs="Arial"/>
          <w:b/>
          <w:bCs/>
          <w:color w:val="000000" w:themeColor="text1"/>
          <w:lang w:val="es-ES" w:eastAsia="es-ES"/>
        </w:rPr>
        <w:drawing>
          <wp:anchor distT="0" distB="0" distL="114300" distR="114300" simplePos="0" relativeHeight="251662336" behindDoc="0" locked="0" layoutInCell="1" allowOverlap="1" wp14:anchorId="6F039EB0" wp14:editId="4AC81B37">
            <wp:simplePos x="0" y="0"/>
            <wp:positionH relativeFrom="margin">
              <wp:align>right</wp:align>
            </wp:positionH>
            <wp:positionV relativeFrom="paragraph">
              <wp:posOffset>8255</wp:posOffset>
            </wp:positionV>
            <wp:extent cx="2156460" cy="818515"/>
            <wp:effectExtent l="0" t="0" r="0" b="635"/>
            <wp:wrapSquare wrapText="bothSides"/>
            <wp:docPr id="2634732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473221" name=""/>
                    <pic:cNvPicPr/>
                  </pic:nvPicPr>
                  <pic:blipFill>
                    <a:blip r:embed="rId10">
                      <a:extLst>
                        <a:ext uri="{28A0092B-C50C-407E-A947-70E740481C1C}">
                          <a14:useLocalDpi xmlns:a14="http://schemas.microsoft.com/office/drawing/2010/main" val="0"/>
                        </a:ext>
                      </a:extLst>
                    </a:blip>
                    <a:stretch>
                      <a:fillRect/>
                    </a:stretch>
                  </pic:blipFill>
                  <pic:spPr>
                    <a:xfrm>
                      <a:off x="0" y="0"/>
                      <a:ext cx="2166838" cy="822925"/>
                    </a:xfrm>
                    <a:prstGeom prst="rect">
                      <a:avLst/>
                    </a:prstGeom>
                  </pic:spPr>
                </pic:pic>
              </a:graphicData>
            </a:graphic>
            <wp14:sizeRelH relativeFrom="margin">
              <wp14:pctWidth>0</wp14:pctWidth>
            </wp14:sizeRelH>
            <wp14:sizeRelV relativeFrom="margin">
              <wp14:pctHeight>0</wp14:pctHeight>
            </wp14:sizeRelV>
          </wp:anchor>
        </w:drawing>
      </w:r>
      <w:r w:rsidR="002A2CE2" w:rsidRPr="001B3113">
        <w:rPr>
          <w:rFonts w:ascii="Verdana" w:eastAsia="Calibri" w:hAnsi="Verdana" w:cs="Arial"/>
          <w:color w:val="000000" w:themeColor="text1"/>
          <w:lang w:val="es-ES" w:eastAsia="es-ES"/>
        </w:rPr>
        <w:t>Doctora</w:t>
      </w:r>
    </w:p>
    <w:p w14:paraId="05989BE3" w14:textId="28D2D59B" w:rsidR="002A2CE2" w:rsidRPr="001B3113" w:rsidRDefault="002A2CE2" w:rsidP="002A2CE2">
      <w:pPr>
        <w:spacing w:after="0" w:line="240" w:lineRule="auto"/>
        <w:rPr>
          <w:rFonts w:ascii="Verdana" w:eastAsia="Calibri" w:hAnsi="Verdana" w:cs="Arial"/>
          <w:b/>
          <w:bCs/>
          <w:color w:val="000000" w:themeColor="text1"/>
          <w:lang w:val="es-ES" w:eastAsia="es-ES"/>
        </w:rPr>
      </w:pPr>
      <w:r w:rsidRPr="001B3113">
        <w:rPr>
          <w:rFonts w:ascii="Verdana" w:eastAsia="Calibri" w:hAnsi="Verdana" w:cs="Arial"/>
          <w:b/>
          <w:bCs/>
          <w:color w:val="000000" w:themeColor="text1"/>
          <w:lang w:val="es-ES" w:eastAsia="es-ES"/>
        </w:rPr>
        <w:t xml:space="preserve">María Marcela Holguín Moreno </w:t>
      </w:r>
    </w:p>
    <w:p w14:paraId="4AA0FB2D" w14:textId="3FC5D80A" w:rsidR="002A2CE2" w:rsidRPr="001B3113" w:rsidRDefault="002A2CE2" w:rsidP="002A2CE2">
      <w:pPr>
        <w:spacing w:after="0" w:line="240" w:lineRule="auto"/>
        <w:rPr>
          <w:rFonts w:ascii="Verdana" w:eastAsia="Calibri" w:hAnsi="Verdana" w:cs="Arial"/>
          <w:color w:val="000000" w:themeColor="text1"/>
          <w:lang w:val="es-ES" w:eastAsia="es-ES"/>
        </w:rPr>
      </w:pPr>
      <w:r w:rsidRPr="001B3113">
        <w:rPr>
          <w:rFonts w:ascii="Verdana" w:eastAsia="Calibri" w:hAnsi="Verdana" w:cs="Arial"/>
          <w:color w:val="000000" w:themeColor="text1"/>
          <w:lang w:val="es-ES" w:eastAsia="es-ES"/>
        </w:rPr>
        <w:t>Gerente</w:t>
      </w:r>
      <w:r w:rsidR="00724EFB">
        <w:rPr>
          <w:rFonts w:ascii="Verdana" w:eastAsia="Calibri" w:hAnsi="Verdana" w:cs="Arial"/>
          <w:color w:val="000000" w:themeColor="text1"/>
          <w:lang w:val="es-ES" w:eastAsia="es-ES"/>
        </w:rPr>
        <w:t xml:space="preserve"> de la </w:t>
      </w:r>
      <w:r w:rsidRPr="001B3113">
        <w:rPr>
          <w:rFonts w:ascii="Verdana" w:eastAsia="Calibri" w:hAnsi="Verdana" w:cs="Arial"/>
          <w:color w:val="000000" w:themeColor="text1"/>
          <w:lang w:val="es-ES" w:eastAsia="es-ES"/>
        </w:rPr>
        <w:t>Promotora Ferrocarril De Antioquia SAS</w:t>
      </w:r>
    </w:p>
    <w:p w14:paraId="1CD0D187" w14:textId="3F704C14" w:rsidR="002A2CE2" w:rsidRPr="001B3113" w:rsidRDefault="002A2CE2" w:rsidP="002A2CE2">
      <w:pPr>
        <w:spacing w:after="0" w:line="240" w:lineRule="auto"/>
        <w:rPr>
          <w:rFonts w:ascii="Verdana" w:eastAsia="Calibri" w:hAnsi="Verdana" w:cs="Arial"/>
          <w:color w:val="000000" w:themeColor="text1"/>
          <w:lang w:val="es-ES" w:eastAsia="es-ES"/>
        </w:rPr>
      </w:pPr>
      <w:hyperlink r:id="rId11" w:history="1">
        <w:r w:rsidRPr="001B3113">
          <w:rPr>
            <w:rStyle w:val="Hipervnculo"/>
            <w:rFonts w:ascii="Verdana" w:eastAsia="Calibri" w:hAnsi="Verdana" w:cs="Arial"/>
            <w:lang w:val="es-ES" w:eastAsia="es-ES"/>
          </w:rPr>
          <w:t>marcela.holguin@ferrocarrildeantioquia.gov.co</w:t>
        </w:r>
      </w:hyperlink>
    </w:p>
    <w:p w14:paraId="1202FC44" w14:textId="77777777" w:rsidR="002A2CE2" w:rsidRPr="001B3113" w:rsidRDefault="002A2CE2" w:rsidP="002A2CE2">
      <w:pPr>
        <w:spacing w:after="0" w:line="240" w:lineRule="auto"/>
        <w:rPr>
          <w:rFonts w:ascii="Verdana" w:eastAsia="Calibri" w:hAnsi="Verdana" w:cs="Arial"/>
          <w:color w:val="000000" w:themeColor="text1"/>
          <w:lang w:val="es-ES" w:eastAsia="es-ES"/>
        </w:rPr>
      </w:pPr>
      <w:hyperlink r:id="rId12" w:history="1">
        <w:r w:rsidRPr="001B3113">
          <w:rPr>
            <w:rStyle w:val="Hipervnculo"/>
            <w:rFonts w:ascii="Verdana" w:eastAsia="Calibri" w:hAnsi="Verdana" w:cs="Arial"/>
            <w:lang w:val="es-ES" w:eastAsia="es-ES"/>
          </w:rPr>
          <w:t>gestion.documental@ferrocarrildeantioquia.gov.co</w:t>
        </w:r>
      </w:hyperlink>
    </w:p>
    <w:p w14:paraId="1794767A" w14:textId="29FA775F" w:rsidR="002A2CE2" w:rsidRPr="001B3113" w:rsidRDefault="00615543" w:rsidP="002A2CE2">
      <w:pPr>
        <w:spacing w:after="0" w:line="240" w:lineRule="auto"/>
        <w:rPr>
          <w:rFonts w:ascii="Verdana" w:eastAsia="Calibri" w:hAnsi="Verdana" w:cs="Arial"/>
          <w:color w:val="000000" w:themeColor="text1"/>
          <w:lang w:val="es-ES" w:eastAsia="es-ES"/>
        </w:rPr>
      </w:pPr>
      <w:r>
        <w:rPr>
          <w:rFonts w:ascii="Verdana" w:eastAsia="Calibri" w:hAnsi="Verdana" w:cs="Arial"/>
          <w:color w:val="000000" w:themeColor="text1"/>
          <w:lang w:val="es-ES" w:eastAsia="es-ES"/>
        </w:rPr>
        <w:t>Medellín, Antioquia</w:t>
      </w:r>
    </w:p>
    <w:p w14:paraId="3591DB85" w14:textId="77777777" w:rsidR="002A2CE2" w:rsidRPr="001B3113" w:rsidRDefault="002A2CE2" w:rsidP="002A2CE2">
      <w:pPr>
        <w:spacing w:after="0" w:line="240" w:lineRule="auto"/>
        <w:rPr>
          <w:rFonts w:ascii="Verdana" w:eastAsia="Calibri" w:hAnsi="Verdana" w:cs="Arial"/>
          <w:color w:val="000000" w:themeColor="text1"/>
          <w:lang w:val="es-ES" w:eastAsia="es-ES_tradnl"/>
        </w:rPr>
      </w:pPr>
    </w:p>
    <w:tbl>
      <w:tblPr>
        <w:tblStyle w:val="Tablaconcuadrcula"/>
        <w:tblW w:w="129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gridCol w:w="4179"/>
      </w:tblGrid>
      <w:tr w:rsidR="002A2CE2" w:rsidRPr="001B3113" w14:paraId="62FB8BCE" w14:textId="77777777" w:rsidTr="00D71998">
        <w:trPr>
          <w:gridAfter w:val="1"/>
          <w:wAfter w:w="4179" w:type="dxa"/>
          <w:trHeight w:val="304"/>
        </w:trPr>
        <w:tc>
          <w:tcPr>
            <w:tcW w:w="2689" w:type="dxa"/>
          </w:tcPr>
          <w:p w14:paraId="379F55CF" w14:textId="77777777" w:rsidR="002A2CE2" w:rsidRPr="001B3113" w:rsidRDefault="002A2CE2" w:rsidP="00D71998">
            <w:pPr>
              <w:jc w:val="both"/>
              <w:rPr>
                <w:rFonts w:ascii="Verdana" w:eastAsia="Calibri" w:hAnsi="Verdana" w:cs="Arial"/>
                <w:b/>
                <w:bCs/>
                <w:color w:val="000000" w:themeColor="text1"/>
                <w:lang w:val="es-ES" w:eastAsia="es-ES_tradnl"/>
              </w:rPr>
            </w:pPr>
          </w:p>
        </w:tc>
        <w:tc>
          <w:tcPr>
            <w:tcW w:w="6100" w:type="dxa"/>
          </w:tcPr>
          <w:p w14:paraId="76ABAD87" w14:textId="77777777" w:rsidR="002A2CE2" w:rsidRPr="001B3113" w:rsidRDefault="002A2CE2" w:rsidP="00D71998">
            <w:pPr>
              <w:jc w:val="both"/>
              <w:rPr>
                <w:rFonts w:ascii="Verdana" w:eastAsia="Calibri" w:hAnsi="Verdana" w:cs="Arial"/>
                <w:b/>
                <w:bCs/>
                <w:color w:val="000000" w:themeColor="text1"/>
                <w:lang w:val="es-ES" w:eastAsia="es-ES"/>
              </w:rPr>
            </w:pPr>
            <w:r w:rsidRPr="001B3113">
              <w:rPr>
                <w:rFonts w:ascii="Verdana" w:eastAsia="Calibri" w:hAnsi="Verdana" w:cs="Arial"/>
                <w:b/>
                <w:bCs/>
                <w:color w:val="000000" w:themeColor="text1"/>
                <w:lang w:val="es-ES" w:eastAsia="es-ES"/>
              </w:rPr>
              <w:t>Concepto C-1000 de 2026</w:t>
            </w:r>
          </w:p>
          <w:p w14:paraId="332D1140" w14:textId="77777777" w:rsidR="002A2CE2" w:rsidRPr="001B3113" w:rsidRDefault="002A2CE2" w:rsidP="00D71998">
            <w:pPr>
              <w:jc w:val="both"/>
              <w:rPr>
                <w:rFonts w:ascii="Verdana" w:eastAsia="Calibri" w:hAnsi="Verdana" w:cs="Arial"/>
                <w:b/>
                <w:bCs/>
                <w:color w:val="000000" w:themeColor="text1"/>
                <w:lang w:val="es-ES" w:eastAsia="es-ES"/>
              </w:rPr>
            </w:pPr>
          </w:p>
        </w:tc>
      </w:tr>
      <w:tr w:rsidR="002A2CE2" w:rsidRPr="001B3113" w14:paraId="6D0402CD" w14:textId="77777777" w:rsidTr="00D71998">
        <w:trPr>
          <w:trHeight w:val="1422"/>
        </w:trPr>
        <w:tc>
          <w:tcPr>
            <w:tcW w:w="2689" w:type="dxa"/>
          </w:tcPr>
          <w:p w14:paraId="672F4995" w14:textId="77777777" w:rsidR="002A2CE2" w:rsidRPr="001B3113" w:rsidRDefault="002A2CE2" w:rsidP="00D71998">
            <w:pPr>
              <w:jc w:val="both"/>
              <w:rPr>
                <w:rFonts w:ascii="Verdana" w:eastAsia="Calibri" w:hAnsi="Verdana" w:cs="Arial"/>
                <w:color w:val="000000" w:themeColor="text1"/>
                <w:lang w:val="es-ES" w:eastAsia="es-ES_tradnl"/>
              </w:rPr>
            </w:pPr>
            <w:r w:rsidRPr="001B3113">
              <w:rPr>
                <w:rFonts w:ascii="Verdana" w:eastAsia="Calibri" w:hAnsi="Verdana" w:cs="Arial"/>
                <w:b/>
                <w:color w:val="000000" w:themeColor="text1"/>
                <w:lang w:val="es-ES" w:eastAsia="es-ES_tradnl"/>
              </w:rPr>
              <w:t>Temas:</w:t>
            </w:r>
            <w:r w:rsidRPr="001B3113">
              <w:rPr>
                <w:rFonts w:ascii="Verdana" w:eastAsia="Calibri" w:hAnsi="Verdana" w:cs="Arial"/>
                <w:color w:val="000000" w:themeColor="text1"/>
                <w:lang w:val="es-ES" w:eastAsia="es-ES_tradnl"/>
              </w:rPr>
              <w:t xml:space="preserve">                   </w:t>
            </w:r>
          </w:p>
        </w:tc>
        <w:tc>
          <w:tcPr>
            <w:tcW w:w="6100" w:type="dxa"/>
          </w:tcPr>
          <w:p w14:paraId="1C26BA9D" w14:textId="7D269DBF" w:rsidR="002A2CE2" w:rsidRDefault="00BF34C7" w:rsidP="00D71998">
            <w:pPr>
              <w:spacing w:line="276" w:lineRule="auto"/>
              <w:jc w:val="both"/>
              <w:rPr>
                <w:rFonts w:ascii="Verdana" w:eastAsia="Times New Roman" w:hAnsi="Verdana" w:cs="Arial"/>
                <w:lang w:val="es-ES" w:eastAsia="es-ES"/>
              </w:rPr>
            </w:pPr>
            <w:r w:rsidRPr="00BF34C7">
              <w:rPr>
                <w:rFonts w:ascii="Verdana" w:eastAsia="Times New Roman" w:hAnsi="Verdana" w:cs="Arial"/>
                <w:lang w:eastAsia="es-ES"/>
              </w:rPr>
              <w:t>TRANSPORTE FERROVIARIO – Ley 336 de 1996 – Habilitación y permiso de operación / SERVICIO PÚBLICO DE TRANSPORTE – Decreto 1079 de 2015 – Título habilitante / PLANEACIÓN – Ley 1150 de 2007 – Artículo 13</w:t>
            </w:r>
            <w:r w:rsidR="00FD5B81">
              <w:rPr>
                <w:rFonts w:ascii="Verdana" w:eastAsia="Times New Roman" w:hAnsi="Verdana" w:cs="Arial"/>
                <w:lang w:eastAsia="es-ES"/>
              </w:rPr>
              <w:t xml:space="preserve"> / </w:t>
            </w:r>
            <w:r w:rsidR="002A2CE2" w:rsidRPr="001B3113">
              <w:rPr>
                <w:rFonts w:ascii="Verdana" w:eastAsia="Times New Roman" w:hAnsi="Verdana" w:cs="Arial"/>
                <w:lang w:val="es-ES" w:eastAsia="es-ES"/>
              </w:rPr>
              <w:t xml:space="preserve">EMPRESAS INDUSTRIALES Y COMERCIALES DEL ESTADO – Naturaleza jurídica – Régimen de contratación / EMPRESAS INDUSTRIALES Y COMERCIALES DEL ESTADO </w:t>
            </w:r>
            <w:r w:rsidR="002A2CE2" w:rsidRPr="001B3113">
              <w:rPr>
                <w:rFonts w:ascii="Verdana" w:eastAsia="Calibri" w:hAnsi="Verdana" w:cs="Arial"/>
                <w:color w:val="000000"/>
                <w:szCs w:val="24"/>
                <w:lang w:val="es-ES" w:eastAsia="es-ES_tradnl"/>
              </w:rPr>
              <w:t>–</w:t>
            </w:r>
            <w:r w:rsidR="002A2CE2" w:rsidRPr="001B3113">
              <w:rPr>
                <w:rFonts w:ascii="Verdana" w:eastAsia="Times New Roman" w:hAnsi="Verdana" w:cs="Arial"/>
                <w:lang w:val="es-ES" w:eastAsia="es-ES"/>
              </w:rPr>
              <w:t xml:space="preserve"> Desarrollo de actividades con el sector privado</w:t>
            </w:r>
            <w:r w:rsidR="002A2CE2">
              <w:rPr>
                <w:rFonts w:ascii="Verdana" w:eastAsia="Times New Roman" w:hAnsi="Verdana" w:cs="Arial"/>
                <w:lang w:val="es-ES" w:eastAsia="es-ES"/>
              </w:rPr>
              <w:t xml:space="preserve"> </w:t>
            </w:r>
            <w:r w:rsidR="002A2CE2" w:rsidRPr="001B3113">
              <w:rPr>
                <w:rFonts w:ascii="Verdana" w:eastAsia="Times New Roman" w:hAnsi="Verdana" w:cs="Arial"/>
                <w:lang w:val="es-ES" w:eastAsia="es-ES"/>
              </w:rPr>
              <w:t>/ ASOCIACIONES PÚBLICO PRIVADAS – Normativa – Ley 1508 de 2012 –</w:t>
            </w:r>
            <w:r w:rsidR="002A2CE2">
              <w:rPr>
                <w:rFonts w:ascii="Verdana" w:eastAsia="Times New Roman" w:hAnsi="Verdana" w:cs="Arial"/>
                <w:lang w:val="es-ES" w:eastAsia="es-ES"/>
              </w:rPr>
              <w:t xml:space="preserve"> Artículo 8 / </w:t>
            </w:r>
            <w:r w:rsidR="002A2CE2" w:rsidRPr="001B3113">
              <w:rPr>
                <w:rFonts w:ascii="Verdana" w:eastAsia="Times New Roman" w:hAnsi="Verdana" w:cs="Arial"/>
                <w:lang w:val="es-ES" w:eastAsia="es-ES"/>
              </w:rPr>
              <w:t>ENTIDADES DE RÉGIMEN ESPECIAL –</w:t>
            </w:r>
            <w:r w:rsidR="002A2CE2">
              <w:rPr>
                <w:rFonts w:ascii="Verdana" w:eastAsia="Times New Roman" w:hAnsi="Verdana" w:cs="Arial"/>
                <w:lang w:val="es-ES" w:eastAsia="es-ES"/>
              </w:rPr>
              <w:t xml:space="preserve"> Esquemas de participación privada </w:t>
            </w:r>
            <w:r w:rsidR="002A2CE2" w:rsidRPr="001B3113">
              <w:rPr>
                <w:rFonts w:ascii="Verdana" w:eastAsia="Times New Roman" w:hAnsi="Verdana" w:cs="Arial"/>
                <w:lang w:val="es-ES" w:eastAsia="es-ES"/>
              </w:rPr>
              <w:t>–</w:t>
            </w:r>
            <w:r w:rsidR="002A2CE2">
              <w:rPr>
                <w:rFonts w:ascii="Verdana" w:eastAsia="Times New Roman" w:hAnsi="Verdana" w:cs="Arial"/>
                <w:lang w:val="es-ES" w:eastAsia="es-ES"/>
              </w:rPr>
              <w:t xml:space="preserve"> Alcance</w:t>
            </w:r>
          </w:p>
          <w:p w14:paraId="14D1D894" w14:textId="77777777" w:rsidR="002A2CE2" w:rsidRPr="001B3113" w:rsidRDefault="002A2CE2" w:rsidP="00D71998">
            <w:pPr>
              <w:spacing w:line="276" w:lineRule="auto"/>
              <w:jc w:val="both"/>
              <w:rPr>
                <w:rFonts w:ascii="Verdana" w:eastAsia="Calibri" w:hAnsi="Verdana" w:cs="Arial"/>
                <w:color w:val="000000" w:themeColor="text1"/>
                <w:lang w:val="es-ES" w:eastAsia="es-ES"/>
              </w:rPr>
            </w:pPr>
          </w:p>
        </w:tc>
        <w:tc>
          <w:tcPr>
            <w:tcW w:w="4179" w:type="dxa"/>
          </w:tcPr>
          <w:p w14:paraId="516E5A71" w14:textId="77777777" w:rsidR="002A2CE2" w:rsidRPr="001B3113" w:rsidRDefault="002A2CE2" w:rsidP="00D71998">
            <w:pPr>
              <w:spacing w:line="276" w:lineRule="auto"/>
              <w:jc w:val="both"/>
              <w:rPr>
                <w:rFonts w:ascii="Verdana" w:eastAsia="Calibri" w:hAnsi="Verdana" w:cs="Arial"/>
                <w:b/>
                <w:bCs/>
                <w:color w:val="000000" w:themeColor="text1"/>
                <w:lang w:val="es-ES" w:eastAsia="es-ES"/>
              </w:rPr>
            </w:pPr>
          </w:p>
          <w:p w14:paraId="11906F21" w14:textId="77777777" w:rsidR="002A2CE2" w:rsidRPr="001B3113" w:rsidRDefault="002A2CE2" w:rsidP="00D71998">
            <w:pPr>
              <w:rPr>
                <w:rFonts w:ascii="Verdana" w:hAnsi="Verdana"/>
                <w:lang w:val="es-ES"/>
              </w:rPr>
            </w:pPr>
          </w:p>
        </w:tc>
      </w:tr>
      <w:tr w:rsidR="002A2CE2" w:rsidRPr="001B3113" w14:paraId="369649E8" w14:textId="77777777" w:rsidTr="00D71998">
        <w:trPr>
          <w:gridAfter w:val="1"/>
          <w:wAfter w:w="4179" w:type="dxa"/>
        </w:trPr>
        <w:tc>
          <w:tcPr>
            <w:tcW w:w="2689" w:type="dxa"/>
          </w:tcPr>
          <w:p w14:paraId="4DEC6D0E" w14:textId="77777777" w:rsidR="002A2CE2" w:rsidRPr="001B3113" w:rsidRDefault="002A2CE2" w:rsidP="00D71998">
            <w:pPr>
              <w:jc w:val="both"/>
              <w:rPr>
                <w:rFonts w:ascii="Verdana" w:eastAsia="Calibri" w:hAnsi="Verdana" w:cs="Arial"/>
                <w:b/>
                <w:color w:val="000000" w:themeColor="text1"/>
                <w:lang w:val="es-ES" w:eastAsia="es-ES_tradnl"/>
              </w:rPr>
            </w:pPr>
            <w:r w:rsidRPr="001B3113">
              <w:rPr>
                <w:rFonts w:ascii="Verdana" w:eastAsia="Calibri" w:hAnsi="Verdana" w:cs="Arial"/>
                <w:b/>
                <w:color w:val="000000" w:themeColor="text1"/>
                <w:lang w:val="es-ES" w:eastAsia="es-ES_tradnl"/>
              </w:rPr>
              <w:t>Radicación:</w:t>
            </w:r>
            <w:r w:rsidRPr="001B3113">
              <w:rPr>
                <w:rFonts w:ascii="Verdana" w:eastAsia="Calibri" w:hAnsi="Verdana" w:cs="Arial"/>
                <w:color w:val="000000" w:themeColor="text1"/>
                <w:lang w:val="es-ES" w:eastAsia="es-ES_tradnl"/>
              </w:rPr>
              <w:t xml:space="preserve">               </w:t>
            </w:r>
          </w:p>
        </w:tc>
        <w:tc>
          <w:tcPr>
            <w:tcW w:w="6100" w:type="dxa"/>
          </w:tcPr>
          <w:p w14:paraId="02209239" w14:textId="77777777" w:rsidR="002A2CE2" w:rsidRPr="001B3113" w:rsidRDefault="002A2CE2" w:rsidP="00D71998">
            <w:pPr>
              <w:jc w:val="both"/>
              <w:rPr>
                <w:rFonts w:ascii="Verdana" w:eastAsia="Calibri" w:hAnsi="Verdana" w:cs="Arial"/>
                <w:color w:val="000000" w:themeColor="text1"/>
                <w:lang w:val="es-ES" w:eastAsia="es-ES_tradnl"/>
              </w:rPr>
            </w:pPr>
            <w:r w:rsidRPr="001B3113">
              <w:rPr>
                <w:rFonts w:ascii="Verdana" w:eastAsia="Calibri" w:hAnsi="Verdana" w:cs="Arial"/>
                <w:color w:val="000000" w:themeColor="text1"/>
                <w:lang w:val="es-ES" w:eastAsia="es-ES_tradnl"/>
              </w:rPr>
              <w:t>Respuesta a la consulta con radicado No. 1_2026_06_22_008333</w:t>
            </w:r>
          </w:p>
        </w:tc>
      </w:tr>
    </w:tbl>
    <w:p w14:paraId="3E9E21C6" w14:textId="77777777" w:rsidR="002A2CE2" w:rsidRPr="001B3113" w:rsidRDefault="002A2CE2" w:rsidP="002A2CE2">
      <w:pPr>
        <w:spacing w:after="0" w:line="276" w:lineRule="auto"/>
        <w:jc w:val="both"/>
        <w:rPr>
          <w:rFonts w:ascii="Verdana" w:eastAsia="Calibri" w:hAnsi="Verdana" w:cs="Arial"/>
          <w:color w:val="000000" w:themeColor="text1"/>
          <w:lang w:val="es-ES" w:eastAsia="es-ES_tradnl"/>
        </w:rPr>
      </w:pPr>
    </w:p>
    <w:p w14:paraId="53828743" w14:textId="77777777" w:rsidR="002A2CE2" w:rsidRDefault="002A2CE2" w:rsidP="002A2CE2">
      <w:pPr>
        <w:spacing w:after="0" w:line="240" w:lineRule="auto"/>
        <w:jc w:val="both"/>
        <w:rPr>
          <w:rFonts w:ascii="Verdana" w:eastAsia="Calibri" w:hAnsi="Verdana" w:cs="Arial"/>
          <w:color w:val="000000" w:themeColor="text1"/>
          <w:lang w:val="es-ES" w:eastAsia="es-ES"/>
        </w:rPr>
      </w:pPr>
    </w:p>
    <w:p w14:paraId="518C097A" w14:textId="77777777" w:rsidR="002A2CE2" w:rsidRPr="001B3113" w:rsidRDefault="002A2CE2" w:rsidP="002A2CE2">
      <w:pPr>
        <w:spacing w:after="0" w:line="240" w:lineRule="auto"/>
        <w:jc w:val="both"/>
        <w:rPr>
          <w:rFonts w:ascii="Verdana" w:eastAsia="Calibri" w:hAnsi="Verdana" w:cs="Arial"/>
          <w:color w:val="000000" w:themeColor="text1"/>
          <w:lang w:val="es-ES" w:eastAsia="es-ES"/>
        </w:rPr>
      </w:pPr>
      <w:r w:rsidRPr="001B3113">
        <w:rPr>
          <w:rFonts w:ascii="Verdana" w:eastAsia="Calibri" w:hAnsi="Verdana" w:cs="Arial"/>
          <w:color w:val="000000" w:themeColor="text1"/>
          <w:lang w:val="es-ES" w:eastAsia="es-ES"/>
        </w:rPr>
        <w:t>Estimada doctora Holguín:</w:t>
      </w:r>
    </w:p>
    <w:p w14:paraId="04547BFE" w14:textId="77777777" w:rsidR="002A2CE2" w:rsidRPr="001B3113" w:rsidRDefault="002A2CE2" w:rsidP="002A2CE2">
      <w:pPr>
        <w:tabs>
          <w:tab w:val="left" w:pos="3768"/>
        </w:tabs>
        <w:spacing w:after="0" w:line="276" w:lineRule="auto"/>
        <w:jc w:val="both"/>
        <w:rPr>
          <w:rFonts w:ascii="Verdana" w:eastAsia="Calibri" w:hAnsi="Verdana" w:cs="Arial"/>
          <w:color w:val="000000" w:themeColor="text1"/>
          <w:lang w:val="es-ES" w:eastAsia="es-ES"/>
        </w:rPr>
      </w:pPr>
    </w:p>
    <w:p w14:paraId="38257D9D" w14:textId="77777777" w:rsidR="002A2CE2" w:rsidRPr="001B3113" w:rsidRDefault="002A2CE2" w:rsidP="002A2CE2">
      <w:pPr>
        <w:spacing w:after="0" w:line="276" w:lineRule="auto"/>
        <w:jc w:val="both"/>
        <w:rPr>
          <w:rFonts w:ascii="Verdana" w:eastAsia="Calibri" w:hAnsi="Verdana" w:cs="Arial"/>
          <w:color w:val="000000" w:themeColor="text1"/>
          <w:lang w:val="es-ES" w:eastAsia="es-ES"/>
        </w:rPr>
      </w:pPr>
      <w:r w:rsidRPr="001B3113">
        <w:rPr>
          <w:rFonts w:ascii="Verdana" w:eastAsia="Calibri" w:hAnsi="Verdana" w:cs="Arial"/>
          <w:color w:val="000000" w:themeColor="text1"/>
          <w:lang w:val="es-ES" w:eastAsia="es-ES"/>
        </w:rPr>
        <w:t>En ejercicio de la competencia otorgada por los artículos 3, numeral 5º, y 11, numeral 8º, del Decreto Ley 4170 de 2011,</w:t>
      </w:r>
      <w:r w:rsidRPr="001B3113">
        <w:rPr>
          <w:rFonts w:ascii="Verdana" w:eastAsia="Arial MT" w:hAnsi="Verdana" w:cs="Arial MT"/>
          <w:color w:val="000000" w:themeColor="text1"/>
          <w:lang w:val="es-ES" w:eastAsia="es-ES"/>
        </w:rPr>
        <w:t xml:space="preserve"> </w:t>
      </w:r>
      <w:r w:rsidRPr="001B3113">
        <w:rPr>
          <w:rFonts w:ascii="Verdana" w:hAnsi="Verdana" w:cs="Arial"/>
          <w:color w:val="000000" w:themeColor="text1"/>
          <w:lang w:val="es-ES"/>
        </w:rPr>
        <w:t>así como lo establecido en el artículo 4 de la Resolución 1707 de 2018 expedida por esta Entidad, la Agencia Nacional de Contratación Pública – Colombia Compra Eficiente– responde su solicitud de concepto del 22 de junio de 2026, en la cual manifiesta lo siguiente:</w:t>
      </w:r>
      <w:r w:rsidRPr="001B3113">
        <w:rPr>
          <w:rFonts w:ascii="Verdana" w:eastAsia="Calibri" w:hAnsi="Verdana" w:cs="Arial"/>
          <w:color w:val="000000" w:themeColor="text1"/>
          <w:lang w:val="es-ES" w:eastAsia="es-ES"/>
        </w:rPr>
        <w:t xml:space="preserve"> </w:t>
      </w:r>
    </w:p>
    <w:p w14:paraId="1150CEAC" w14:textId="77777777" w:rsidR="002A2CE2" w:rsidRPr="001B3113" w:rsidRDefault="002A2CE2" w:rsidP="002A2CE2">
      <w:pPr>
        <w:spacing w:after="0" w:line="276" w:lineRule="auto"/>
        <w:jc w:val="both"/>
        <w:rPr>
          <w:rFonts w:ascii="Verdana" w:eastAsia="Calibri" w:hAnsi="Verdana" w:cs="Arial"/>
          <w:color w:val="000000" w:themeColor="text1"/>
          <w:lang w:val="es-ES" w:eastAsia="es-ES"/>
        </w:rPr>
      </w:pPr>
    </w:p>
    <w:p w14:paraId="64155FC5" w14:textId="77777777" w:rsidR="002A2CE2" w:rsidRPr="001B3113" w:rsidRDefault="002A2CE2" w:rsidP="002A2CE2">
      <w:pPr>
        <w:spacing w:after="0"/>
        <w:ind w:left="709" w:right="709"/>
        <w:contextualSpacing/>
        <w:jc w:val="both"/>
        <w:rPr>
          <w:rFonts w:ascii="Verdana" w:eastAsia="Century Gothic" w:hAnsi="Verdana" w:cs="Century Gothic"/>
          <w:i/>
          <w:iCs/>
          <w:color w:val="000000" w:themeColor="text1"/>
          <w:sz w:val="20"/>
          <w:szCs w:val="20"/>
          <w:lang w:val="es-ES"/>
        </w:rPr>
      </w:pPr>
      <w:r w:rsidRPr="001B3113">
        <w:rPr>
          <w:rFonts w:ascii="Verdana" w:eastAsia="Century Gothic" w:hAnsi="Verdana" w:cs="Century Gothic"/>
          <w:i/>
          <w:iCs/>
          <w:color w:val="000000" w:themeColor="text1"/>
          <w:sz w:val="20"/>
          <w:szCs w:val="20"/>
          <w:lang w:val="es-ES"/>
        </w:rPr>
        <w:lastRenderedPageBreak/>
        <w:t xml:space="preserve">“[…] En atención a la coexistencia de disposiciones legales que regulan de manera diferenciada los mecanismos de vinculación de capital privado para proyectos de infraestructura ferroviaria que comprendan su construcción, habilitación, operación y mantenimiento, particularmente respecto de entidades estatales sometidas a régimen jurídico de Empresa Industrial y Comercial del Estado que desarrollan actividades en competencia, como ocurre con la Promotora Ferrocarril de Antioquia S.A.S. – PFA, se considera necesario solicitar concepto a Colombia Compra Eficiente respecto del alcance e interpretación armónica de las disposiciones contenidas en la Ley 336 de 1996, la Ley 1150 de 2007, la Ley 1508 de 2012 y sus modificaciones introducidas por la Ley 1955 de 2019. </w:t>
      </w:r>
    </w:p>
    <w:p w14:paraId="2307E6C1" w14:textId="77777777" w:rsidR="002A2CE2" w:rsidRPr="001B3113" w:rsidRDefault="002A2CE2" w:rsidP="002A2CE2">
      <w:pPr>
        <w:spacing w:after="0"/>
        <w:ind w:left="709" w:right="709"/>
        <w:contextualSpacing/>
        <w:jc w:val="both"/>
        <w:rPr>
          <w:rFonts w:ascii="Verdana" w:eastAsia="Century Gothic" w:hAnsi="Verdana" w:cs="Century Gothic"/>
          <w:i/>
          <w:iCs/>
          <w:color w:val="000000" w:themeColor="text1"/>
          <w:sz w:val="20"/>
          <w:szCs w:val="20"/>
          <w:lang w:val="es-ES"/>
        </w:rPr>
      </w:pPr>
      <w:r w:rsidRPr="001B3113">
        <w:rPr>
          <w:rFonts w:ascii="Verdana" w:eastAsia="Century Gothic" w:hAnsi="Verdana" w:cs="Century Gothic"/>
          <w:i/>
          <w:iCs/>
          <w:color w:val="000000" w:themeColor="text1"/>
          <w:sz w:val="20"/>
          <w:szCs w:val="20"/>
          <w:lang w:val="es-ES"/>
        </w:rPr>
        <w:t xml:space="preserve">Esta consulta pretende el análisis jurídico diferenciado, de ser posible, del régimen contractual de selección del inversionista privado más no del régimen sustancial de prestación del servicio de transporte ferroviario, pues se da por sentado el cumplimiento de todo del derecho sustancial que regula la prestación del servicio y </w:t>
      </w:r>
      <w:proofErr w:type="spellStart"/>
      <w:r w:rsidRPr="001B3113">
        <w:rPr>
          <w:rFonts w:ascii="Verdana" w:eastAsia="Century Gothic" w:hAnsi="Verdana" w:cs="Century Gothic"/>
          <w:i/>
          <w:iCs/>
          <w:color w:val="000000" w:themeColor="text1"/>
          <w:sz w:val="20"/>
          <w:szCs w:val="20"/>
          <w:lang w:val="es-ES"/>
        </w:rPr>
        <w:t>sólo</w:t>
      </w:r>
      <w:proofErr w:type="spellEnd"/>
      <w:r w:rsidRPr="001B3113">
        <w:rPr>
          <w:rFonts w:ascii="Verdana" w:eastAsia="Century Gothic" w:hAnsi="Verdana" w:cs="Century Gothic"/>
          <w:i/>
          <w:iCs/>
          <w:color w:val="000000" w:themeColor="text1"/>
          <w:sz w:val="20"/>
          <w:szCs w:val="20"/>
          <w:lang w:val="es-ES"/>
        </w:rPr>
        <w:t xml:space="preserve"> se limita a la forma en que se perfecciona el contrato con el privado inversionista. </w:t>
      </w:r>
    </w:p>
    <w:p w14:paraId="012C39F5" w14:textId="77777777" w:rsidR="002A2CE2" w:rsidRPr="001B3113" w:rsidRDefault="002A2CE2" w:rsidP="002A2CE2">
      <w:pPr>
        <w:spacing w:after="0"/>
        <w:ind w:left="709" w:right="709"/>
        <w:contextualSpacing/>
        <w:jc w:val="both"/>
        <w:rPr>
          <w:rFonts w:ascii="Verdana" w:eastAsia="Century Gothic" w:hAnsi="Verdana" w:cs="Century Gothic"/>
          <w:i/>
          <w:iCs/>
          <w:color w:val="000000" w:themeColor="text1"/>
          <w:sz w:val="20"/>
          <w:szCs w:val="20"/>
          <w:lang w:val="es-ES"/>
        </w:rPr>
      </w:pPr>
      <w:r w:rsidRPr="001B3113">
        <w:rPr>
          <w:rFonts w:ascii="Verdana" w:eastAsia="Century Gothic" w:hAnsi="Verdana" w:cs="Century Gothic"/>
          <w:i/>
          <w:iCs/>
          <w:color w:val="000000" w:themeColor="text1"/>
          <w:sz w:val="20"/>
          <w:szCs w:val="20"/>
          <w:lang w:val="es-ES"/>
        </w:rPr>
        <w:t xml:space="preserve">Las consultas que se elevan son la siguientes: </w:t>
      </w:r>
    </w:p>
    <w:p w14:paraId="18B81631" w14:textId="77777777" w:rsidR="002A2CE2" w:rsidRPr="001B3113" w:rsidRDefault="002A2CE2" w:rsidP="002A2CE2">
      <w:pPr>
        <w:spacing w:after="0"/>
        <w:ind w:left="709" w:right="709"/>
        <w:contextualSpacing/>
        <w:jc w:val="both"/>
        <w:rPr>
          <w:rFonts w:ascii="Verdana" w:eastAsia="Century Gothic" w:hAnsi="Verdana" w:cs="Century Gothic"/>
          <w:i/>
          <w:iCs/>
          <w:color w:val="000000" w:themeColor="text1"/>
          <w:sz w:val="20"/>
          <w:szCs w:val="20"/>
          <w:lang w:val="es-ES"/>
        </w:rPr>
      </w:pPr>
      <w:r w:rsidRPr="001B3113">
        <w:rPr>
          <w:rFonts w:ascii="Verdana" w:eastAsia="Century Gothic" w:hAnsi="Verdana" w:cs="Century Gothic"/>
          <w:i/>
          <w:iCs/>
          <w:color w:val="000000" w:themeColor="text1"/>
          <w:sz w:val="20"/>
          <w:szCs w:val="20"/>
          <w:lang w:val="es-ES"/>
        </w:rPr>
        <w:t xml:space="preserve">1. ¿Las sociedades entre entidades públicas con participación estatal superior al cincuenta por ciento (50%), sometidas al régimen jurídico de las Empresas Industriales y Comerciales del Estado y exceptuadas del Estatuto General de Contratación de la Administración Pública en virtud del artículo 14 de la Ley 1150 de 2007, pueden estructurar y contratar esquemas de vinculación de capital privado para proyectos de infraestructura ferroviaria, incluyendo su habilitación y operación, mediante su propio régimen de contratación? </w:t>
      </w:r>
    </w:p>
    <w:p w14:paraId="69381364" w14:textId="77777777" w:rsidR="002A2CE2" w:rsidRPr="001B3113" w:rsidRDefault="002A2CE2" w:rsidP="002A2CE2">
      <w:pPr>
        <w:numPr>
          <w:ilvl w:val="0"/>
          <w:numId w:val="18"/>
        </w:numPr>
        <w:spacing w:after="0"/>
        <w:ind w:right="709"/>
        <w:contextualSpacing/>
        <w:jc w:val="both"/>
        <w:rPr>
          <w:rFonts w:ascii="Verdana" w:eastAsia="Century Gothic" w:hAnsi="Verdana" w:cs="Century Gothic"/>
          <w:i/>
          <w:iCs/>
          <w:color w:val="000000" w:themeColor="text1"/>
          <w:sz w:val="20"/>
          <w:szCs w:val="20"/>
          <w:lang w:val="es-ES"/>
        </w:rPr>
      </w:pPr>
      <w:r w:rsidRPr="001B3113">
        <w:rPr>
          <w:rFonts w:ascii="Verdana" w:eastAsia="Century Gothic" w:hAnsi="Verdana" w:cs="Century Gothic"/>
          <w:i/>
          <w:iCs/>
          <w:color w:val="000000" w:themeColor="text1"/>
          <w:sz w:val="20"/>
          <w:szCs w:val="20"/>
          <w:lang w:val="es-ES"/>
        </w:rPr>
        <w:t xml:space="preserve">¿El inciso tercero del parágrafo del artículo 8 de la Ley 1508 de 2012, modificado por el artículo 104 de la Ley 1955 de 2019, habilita a este tipo de entidades para contratar esquemas de participación privada en infraestructura conforme a su Manual de Contratación, aun cuando el proyecto involucre la prestación del servicio público de transporte ferroviario? </w:t>
      </w:r>
    </w:p>
    <w:p w14:paraId="274CD482" w14:textId="77777777" w:rsidR="002A2CE2" w:rsidRPr="001B3113" w:rsidRDefault="002A2CE2" w:rsidP="002A2CE2">
      <w:pPr>
        <w:numPr>
          <w:ilvl w:val="0"/>
          <w:numId w:val="18"/>
        </w:numPr>
        <w:spacing w:after="0"/>
        <w:ind w:right="709"/>
        <w:contextualSpacing/>
        <w:jc w:val="both"/>
        <w:rPr>
          <w:rFonts w:ascii="Verdana" w:eastAsia="Century Gothic" w:hAnsi="Verdana" w:cs="Century Gothic"/>
          <w:i/>
          <w:iCs/>
          <w:color w:val="000000" w:themeColor="text1"/>
          <w:sz w:val="20"/>
          <w:szCs w:val="20"/>
          <w:lang w:val="es-ES"/>
        </w:rPr>
      </w:pPr>
      <w:proofErr w:type="gramStart"/>
      <w:r w:rsidRPr="001B3113">
        <w:rPr>
          <w:rFonts w:ascii="Verdana" w:eastAsia="Century Gothic" w:hAnsi="Verdana" w:cs="Century Gothic"/>
          <w:i/>
          <w:iCs/>
          <w:color w:val="000000" w:themeColor="text1"/>
          <w:sz w:val="20"/>
          <w:szCs w:val="20"/>
          <w:lang w:val="es-ES"/>
        </w:rPr>
        <w:t>¿La referencia contenida en el artículo 21 de la Ley 336 de 1996 y en el artículo 2.</w:t>
      </w:r>
      <w:proofErr w:type="gramEnd"/>
      <w:r w:rsidRPr="001B3113">
        <w:rPr>
          <w:rFonts w:ascii="Verdana" w:eastAsia="Century Gothic" w:hAnsi="Verdana" w:cs="Century Gothic"/>
          <w:i/>
          <w:iCs/>
          <w:color w:val="000000" w:themeColor="text1"/>
          <w:sz w:val="20"/>
          <w:szCs w:val="20"/>
          <w:lang w:val="es-ES"/>
        </w:rPr>
        <w:t xml:space="preserve">2.4.2.2 del Decreto 1079 de 2015, relativa a contratos de concesión adjudicados mediante licitación pública, constituye una regla imperativa y exclusiva para toda vinculación de capital </w:t>
      </w:r>
      <w:proofErr w:type="gramStart"/>
      <w:r w:rsidRPr="001B3113">
        <w:rPr>
          <w:rFonts w:ascii="Verdana" w:eastAsia="Century Gothic" w:hAnsi="Verdana" w:cs="Century Gothic"/>
          <w:i/>
          <w:iCs/>
          <w:color w:val="000000" w:themeColor="text1"/>
          <w:sz w:val="20"/>
          <w:szCs w:val="20"/>
          <w:lang w:val="es-ES"/>
        </w:rPr>
        <w:t>privado asociada</w:t>
      </w:r>
      <w:proofErr w:type="gramEnd"/>
      <w:r w:rsidRPr="001B3113">
        <w:rPr>
          <w:rFonts w:ascii="Verdana" w:eastAsia="Century Gothic" w:hAnsi="Verdana" w:cs="Century Gothic"/>
          <w:i/>
          <w:iCs/>
          <w:color w:val="000000" w:themeColor="text1"/>
          <w:sz w:val="20"/>
          <w:szCs w:val="20"/>
          <w:lang w:val="es-ES"/>
        </w:rPr>
        <w:t xml:space="preserve"> a la habilitación y operación ferroviaria, o dicha disposición debe interpretarse sistemáticamente con las modificaciones introducidas posteriormente por la Ley 1150 de 2007 y la Ley 1955 de 2019? </w:t>
      </w:r>
    </w:p>
    <w:p w14:paraId="4981540C" w14:textId="77777777" w:rsidR="002A2CE2" w:rsidRPr="001B3113" w:rsidRDefault="002A2CE2" w:rsidP="002A2CE2">
      <w:pPr>
        <w:numPr>
          <w:ilvl w:val="0"/>
          <w:numId w:val="18"/>
        </w:numPr>
        <w:spacing w:after="0"/>
        <w:ind w:right="709"/>
        <w:contextualSpacing/>
        <w:jc w:val="both"/>
        <w:rPr>
          <w:rFonts w:ascii="Verdana" w:eastAsia="Century Gothic" w:hAnsi="Verdana" w:cs="Century Gothic"/>
          <w:i/>
          <w:iCs/>
          <w:color w:val="000000" w:themeColor="text1"/>
          <w:sz w:val="20"/>
          <w:szCs w:val="20"/>
          <w:lang w:val="es-ES"/>
        </w:rPr>
      </w:pPr>
      <w:r w:rsidRPr="001B3113">
        <w:rPr>
          <w:rFonts w:ascii="Verdana" w:eastAsia="Century Gothic" w:hAnsi="Verdana" w:cs="Century Gothic"/>
          <w:i/>
          <w:iCs/>
          <w:color w:val="000000" w:themeColor="text1"/>
          <w:sz w:val="20"/>
          <w:szCs w:val="20"/>
          <w:lang w:val="es-ES"/>
        </w:rPr>
        <w:t xml:space="preserve">¿Resulta jurídicamente viable que una entidad con régimen exceptuado de contratación, como la PFA, estructure mecanismos contractuales de alianza estratégica, colaboración empresarial, concesión u otras formas </w:t>
      </w:r>
      <w:r w:rsidRPr="001B3113">
        <w:rPr>
          <w:rFonts w:ascii="Verdana" w:eastAsia="Century Gothic" w:hAnsi="Verdana" w:cs="Century Gothic"/>
          <w:i/>
          <w:iCs/>
          <w:color w:val="000000" w:themeColor="text1"/>
          <w:sz w:val="20"/>
          <w:szCs w:val="20"/>
          <w:lang w:val="es-ES"/>
        </w:rPr>
        <w:lastRenderedPageBreak/>
        <w:t xml:space="preserve">asociativas previstas en su Manual de Contratación para proyectos ferroviarios con participación privada, sin acudir a un proceso regido integralmente por el Estatuto General de Contratación de la Administración Pública? </w:t>
      </w:r>
    </w:p>
    <w:p w14:paraId="7766518B" w14:textId="4BAB03EC" w:rsidR="002A2CE2" w:rsidRPr="00055B87" w:rsidRDefault="002A2CE2" w:rsidP="00055B87">
      <w:pPr>
        <w:pStyle w:val="NormalWeb"/>
        <w:numPr>
          <w:ilvl w:val="0"/>
          <w:numId w:val="18"/>
        </w:numPr>
        <w:ind w:right="709"/>
        <w:jc w:val="both"/>
        <w:rPr>
          <w:rFonts w:ascii="Verdana" w:eastAsia="Century Gothic" w:hAnsi="Verdana" w:cs="Century Gothic"/>
          <w:i/>
          <w:iCs/>
          <w:color w:val="000000" w:themeColor="text1"/>
          <w:sz w:val="20"/>
          <w:szCs w:val="20"/>
          <w:lang w:val="es-ES" w:eastAsia="en-US"/>
        </w:rPr>
      </w:pPr>
      <w:r w:rsidRPr="001B3113">
        <w:rPr>
          <w:rFonts w:ascii="Verdana" w:eastAsia="Century Gothic" w:hAnsi="Verdana" w:cs="Century Gothic"/>
          <w:i/>
          <w:iCs/>
          <w:color w:val="000000" w:themeColor="text1"/>
          <w:sz w:val="20"/>
          <w:szCs w:val="20"/>
          <w:lang w:val="es-ES" w:eastAsia="en-US"/>
        </w:rPr>
        <w:t>¿La expresión “esquemas de participación privada en infraestructura conforme a su régimen de contratación”, prevista en el inciso tercero del parágrafo del artículo 8 de la Ley 1508 de 2012, comprende proyectos ferroviarios destinados a la prestación del servicio público de transporte y su operación?”</w:t>
      </w:r>
    </w:p>
    <w:p w14:paraId="2B534359" w14:textId="77777777" w:rsidR="002A2CE2" w:rsidRPr="001B3113" w:rsidRDefault="002A2CE2" w:rsidP="002A2CE2">
      <w:pPr>
        <w:spacing w:after="0" w:line="276" w:lineRule="auto"/>
        <w:contextualSpacing/>
        <w:jc w:val="both"/>
        <w:rPr>
          <w:rFonts w:ascii="Verdana" w:eastAsia="Calibri" w:hAnsi="Verdana" w:cs="Arial"/>
          <w:color w:val="000000" w:themeColor="text1"/>
          <w:szCs w:val="24"/>
          <w:lang w:val="es-ES" w:eastAsia="es-ES_tradnl"/>
        </w:rPr>
      </w:pPr>
      <w:r w:rsidRPr="001B3113">
        <w:rPr>
          <w:rFonts w:ascii="Verdana" w:eastAsia="Calibri" w:hAnsi="Verdana" w:cs="Arial"/>
          <w:color w:val="000000" w:themeColor="text1"/>
          <w:lang w:val="es-ES" w:eastAsia="es-ES"/>
        </w:rPr>
        <w:tab/>
        <w:t xml:space="preserve">De manera preliminar, resulta necesario acotar que esta </w:t>
      </w:r>
      <w:r>
        <w:rPr>
          <w:rFonts w:ascii="Verdana" w:eastAsia="Calibri" w:hAnsi="Verdana" w:cs="Arial"/>
          <w:color w:val="000000" w:themeColor="text1"/>
          <w:lang w:val="es-ES" w:eastAsia="es-ES"/>
        </w:rPr>
        <w:t xml:space="preserve">Agencia </w:t>
      </w:r>
      <w:r w:rsidRPr="001B3113">
        <w:rPr>
          <w:rFonts w:ascii="Verdana" w:eastAsia="Calibri" w:hAnsi="Verdana" w:cs="Arial"/>
          <w:color w:val="000000" w:themeColor="text1"/>
          <w:lang w:val="es-ES" w:eastAsia="es-ES"/>
        </w:rPr>
        <w:t xml:space="preserve">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w:t>
      </w:r>
      <w:r>
        <w:rPr>
          <w:rFonts w:ascii="Verdana" w:eastAsia="Calibri" w:hAnsi="Verdana" w:cs="Arial"/>
          <w:color w:val="000000" w:themeColor="text1"/>
          <w:lang w:val="es-ES" w:eastAsia="es-ES"/>
        </w:rPr>
        <w:t>E</w:t>
      </w:r>
      <w:r w:rsidRPr="001B3113">
        <w:rPr>
          <w:rFonts w:ascii="Verdana" w:eastAsia="Calibri" w:hAnsi="Verdana" w:cs="Arial"/>
          <w:color w:val="000000" w:themeColor="text1"/>
          <w:lang w:val="es-ES" w:eastAsia="es-ES"/>
        </w:rPr>
        <w:t xml:space="preserv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1B3113">
        <w:rPr>
          <w:rFonts w:ascii="Verdana" w:eastAsia="Calibri" w:hAnsi="Verdana" w:cs="Arial"/>
          <w:color w:val="000000" w:themeColor="text1"/>
          <w:szCs w:val="24"/>
          <w:lang w:val="es-ES" w:eastAsia="es-ES_tradnl"/>
        </w:rPr>
        <w:tab/>
      </w:r>
    </w:p>
    <w:p w14:paraId="344B8A78" w14:textId="77777777" w:rsidR="002A2CE2" w:rsidRPr="001B3113" w:rsidRDefault="002A2CE2" w:rsidP="002A2CE2">
      <w:pPr>
        <w:spacing w:before="120" w:after="120" w:line="276" w:lineRule="auto"/>
        <w:ind w:firstLine="709"/>
        <w:jc w:val="both"/>
        <w:rPr>
          <w:rFonts w:ascii="Verdana" w:eastAsia="Calibri" w:hAnsi="Verdana" w:cs="Arial"/>
          <w:color w:val="000000" w:themeColor="text1"/>
          <w:lang w:val="es-ES" w:eastAsia="es-ES"/>
        </w:rPr>
      </w:pPr>
      <w:r w:rsidRPr="001B3113">
        <w:rPr>
          <w:rFonts w:ascii="Verdana" w:eastAsia="Calibri" w:hAnsi="Verdana" w:cs="Arial"/>
          <w:color w:val="000000" w:themeColor="text1"/>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 </w:t>
      </w:r>
    </w:p>
    <w:p w14:paraId="510BEEF7" w14:textId="77777777" w:rsidR="002A2CE2" w:rsidRPr="001B3113" w:rsidRDefault="002A2CE2" w:rsidP="002A2CE2">
      <w:pPr>
        <w:spacing w:after="0" w:line="276" w:lineRule="auto"/>
        <w:jc w:val="both"/>
        <w:rPr>
          <w:rFonts w:ascii="Verdana" w:eastAsia="Calibri" w:hAnsi="Verdana" w:cs="Arial"/>
          <w:color w:val="000000" w:themeColor="text1"/>
          <w:lang w:val="es-ES" w:eastAsia="es-ES"/>
        </w:rPr>
      </w:pPr>
    </w:p>
    <w:p w14:paraId="51DB5D9C" w14:textId="77777777" w:rsidR="002A2CE2" w:rsidRPr="001B3113" w:rsidRDefault="002A2CE2" w:rsidP="002A2CE2">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color w:val="000000" w:themeColor="text1"/>
        </w:rPr>
      </w:pPr>
      <w:r w:rsidRPr="001B3113">
        <w:rPr>
          <w:rFonts w:ascii="Verdana" w:eastAsia="Century Gothic" w:hAnsi="Verdana" w:cs="Century Gothic"/>
          <w:b/>
          <w:bCs/>
          <w:color w:val="000000" w:themeColor="text1"/>
        </w:rPr>
        <w:t>Problema planteado:</w:t>
      </w:r>
    </w:p>
    <w:p w14:paraId="67A30861" w14:textId="77777777" w:rsidR="002A2CE2" w:rsidRPr="001B3113" w:rsidRDefault="002A2CE2" w:rsidP="002A2CE2">
      <w:pPr>
        <w:tabs>
          <w:tab w:val="left" w:pos="426"/>
        </w:tabs>
        <w:spacing w:after="0" w:line="276" w:lineRule="auto"/>
        <w:jc w:val="both"/>
        <w:rPr>
          <w:rFonts w:ascii="Verdana" w:eastAsia="Century Gothic" w:hAnsi="Verdana" w:cs="Century Gothic"/>
          <w:color w:val="000000" w:themeColor="text1"/>
          <w:lang w:val="es-ES"/>
        </w:rPr>
      </w:pPr>
    </w:p>
    <w:p w14:paraId="748561DA" w14:textId="77777777" w:rsidR="002A2CE2" w:rsidRPr="00825648" w:rsidRDefault="002A2CE2" w:rsidP="002A2CE2">
      <w:pPr>
        <w:spacing w:after="0" w:line="276" w:lineRule="auto"/>
        <w:jc w:val="both"/>
        <w:rPr>
          <w:rFonts w:ascii="Verdana" w:eastAsia="Century Gothic" w:hAnsi="Verdana" w:cs="Century Gothic"/>
          <w:color w:val="000000" w:themeColor="text1"/>
          <w:lang w:val="es-ES"/>
        </w:rPr>
      </w:pPr>
      <w:r w:rsidRPr="001B3113">
        <w:rPr>
          <w:rFonts w:ascii="Verdana" w:eastAsia="Century Gothic" w:hAnsi="Verdana" w:cs="Century Gothic"/>
          <w:color w:val="000000" w:themeColor="text1"/>
          <w:lang w:val="es-ES"/>
        </w:rPr>
        <w:t xml:space="preserve">De acuerdo con el contenido de su solicitud, esta Agencia resolverá el siguiente problema jurídico: ¿cuál es el régimen jurídico aplicable </w:t>
      </w:r>
      <w:r>
        <w:rPr>
          <w:rFonts w:ascii="Verdana" w:eastAsia="Century Gothic" w:hAnsi="Verdana" w:cs="Century Gothic"/>
          <w:color w:val="000000" w:themeColor="text1"/>
          <w:lang w:val="es-ES"/>
        </w:rPr>
        <w:t xml:space="preserve">a las sociedades de </w:t>
      </w:r>
      <w:r w:rsidRPr="001B3113">
        <w:rPr>
          <w:rFonts w:ascii="Verdana" w:eastAsia="Century Gothic" w:hAnsi="Verdana" w:cs="Century Gothic"/>
          <w:color w:val="000000" w:themeColor="text1"/>
          <w:lang w:val="es-ES"/>
        </w:rPr>
        <w:t xml:space="preserve">participación mayoritaria estatal que desarrollan actividades en competencia para contratar </w:t>
      </w:r>
      <w:r>
        <w:rPr>
          <w:rFonts w:ascii="Verdana" w:eastAsia="Century Gothic" w:hAnsi="Verdana" w:cs="Century Gothic"/>
          <w:color w:val="000000" w:themeColor="text1"/>
          <w:lang w:val="es-ES"/>
        </w:rPr>
        <w:t>esquemas de participación privada</w:t>
      </w:r>
      <w:r w:rsidRPr="001B3113">
        <w:rPr>
          <w:rFonts w:ascii="Verdana" w:eastAsia="Century Gothic" w:hAnsi="Verdana" w:cs="Century Gothic"/>
          <w:color w:val="000000" w:themeColor="text1"/>
          <w:lang w:val="es-ES"/>
        </w:rPr>
        <w:t>?</w:t>
      </w:r>
    </w:p>
    <w:p w14:paraId="3C07E89F" w14:textId="77777777" w:rsidR="002A2CE2" w:rsidRPr="001B3113" w:rsidRDefault="002A2CE2" w:rsidP="002A2CE2">
      <w:pPr>
        <w:spacing w:after="0" w:line="276" w:lineRule="auto"/>
        <w:jc w:val="both"/>
        <w:rPr>
          <w:rFonts w:ascii="Verdana" w:eastAsia="Calibri" w:hAnsi="Verdana" w:cs="Arial"/>
          <w:color w:val="000000" w:themeColor="text1"/>
          <w:lang w:val="es-ES"/>
        </w:rPr>
      </w:pPr>
    </w:p>
    <w:p w14:paraId="1674027E" w14:textId="77777777" w:rsidR="002A2CE2" w:rsidRPr="001B3113" w:rsidRDefault="002A2CE2" w:rsidP="002A2CE2">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1B3113">
        <w:rPr>
          <w:rFonts w:ascii="Verdana" w:eastAsia="Century Gothic" w:hAnsi="Verdana" w:cs="Century Gothic"/>
          <w:b/>
          <w:bCs/>
          <w:color w:val="000000" w:themeColor="text1"/>
        </w:rPr>
        <w:t>Respuesta:</w:t>
      </w:r>
    </w:p>
    <w:p w14:paraId="7B90505F" w14:textId="77777777" w:rsidR="002A2CE2" w:rsidRPr="001B3113" w:rsidRDefault="002A2CE2" w:rsidP="002A2CE2">
      <w:pPr>
        <w:tabs>
          <w:tab w:val="left" w:pos="142"/>
          <w:tab w:val="left" w:pos="284"/>
        </w:tabs>
        <w:spacing w:after="0" w:line="276" w:lineRule="auto"/>
        <w:jc w:val="both"/>
        <w:rPr>
          <w:rFonts w:ascii="Verdana" w:eastAsia="Century Gothic" w:hAnsi="Verdana" w:cs="Century Gothic"/>
          <w:b/>
          <w:bCs/>
          <w:color w:val="000000" w:themeColor="text1"/>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2A2CE2" w:rsidRPr="001B3113" w14:paraId="6666EAA5" w14:textId="77777777" w:rsidTr="00D71998">
        <w:tc>
          <w:tcPr>
            <w:tcW w:w="8828" w:type="dxa"/>
          </w:tcPr>
          <w:p w14:paraId="50C49D22" w14:textId="6BAAB114" w:rsidR="009A39BA" w:rsidRPr="009A39BA" w:rsidRDefault="009A39BA" w:rsidP="009A39BA">
            <w:pPr>
              <w:spacing w:before="120" w:after="120" w:line="276" w:lineRule="auto"/>
              <w:jc w:val="both"/>
              <w:rPr>
                <w:rFonts w:ascii="Verdana" w:eastAsia="Arial" w:hAnsi="Verdana" w:cs="Arial"/>
              </w:rPr>
            </w:pPr>
            <w:r w:rsidRPr="009A39BA">
              <w:rPr>
                <w:rFonts w:ascii="Verdana" w:eastAsia="Arial" w:hAnsi="Verdana" w:cs="Arial"/>
              </w:rPr>
              <w:lastRenderedPageBreak/>
              <w:t>Las Empresas Industriales y Comerciales del Estado, las sociedades de economía mixta con participación estatal superior al cincuenta por ciento (50%), sus filiales y las sociedades entre entidades públicas con participación mayoritaria del Estado superior al cincuenta por ciento (50%) están sometidas, por regla general, al Estatuto General de Contratación de la Administración Pública. No obstante, cuando desarrollan actividades comerciales en competencia con el sector privado o público, nacional o internacional, o en mercados regulados, se rigen por las disposiciones aplicables a sus actividades económicas y comerciales, por su manual de contratación y por el derecho privado, sin perjuicio de lo previsto en el artículo 13 de la Ley 1150 de 2007</w:t>
            </w:r>
            <w:r w:rsidR="001C04BC">
              <w:rPr>
                <w:rFonts w:ascii="Verdana" w:eastAsia="Arial" w:hAnsi="Verdana" w:cs="Arial"/>
              </w:rPr>
              <w:t xml:space="preserve">. </w:t>
            </w:r>
          </w:p>
          <w:p w14:paraId="21CD0E39" w14:textId="77777777" w:rsidR="009A39BA" w:rsidRPr="009A39BA" w:rsidRDefault="009A39BA" w:rsidP="00D71998">
            <w:pPr>
              <w:spacing w:before="120" w:after="120" w:line="276" w:lineRule="auto"/>
              <w:ind w:firstLine="709"/>
              <w:jc w:val="both"/>
              <w:rPr>
                <w:rFonts w:ascii="Verdana" w:eastAsia="Arial" w:hAnsi="Verdana" w:cs="Arial"/>
              </w:rPr>
            </w:pPr>
            <w:r w:rsidRPr="009A39BA">
              <w:rPr>
                <w:rFonts w:ascii="Verdana" w:eastAsia="Arial" w:hAnsi="Verdana" w:cs="Arial"/>
              </w:rPr>
              <w:t>Para la vinculación de capital privado en infraestructura, el parágrafo del artículo 8 de la Ley 1508 de 2012 —cuyo inciso tercero fue adicionado por el artículo 104 de la Ley 1955 de 2019— confiere a estas entidades la potestad de optar entre dos alternativas: (i) actuar como contratantes de esquemas de Asociación Público Privada bajo el régimen de dicha ley, con estricto cumplimiento de sus disposiciones contractuales y presupuestales; o (</w:t>
            </w:r>
            <w:proofErr w:type="spellStart"/>
            <w:r w:rsidRPr="009A39BA">
              <w:rPr>
                <w:rFonts w:ascii="Verdana" w:eastAsia="Arial" w:hAnsi="Verdana" w:cs="Arial"/>
              </w:rPr>
              <w:t>ii</w:t>
            </w:r>
            <w:proofErr w:type="spellEnd"/>
            <w:r w:rsidRPr="009A39BA">
              <w:rPr>
                <w:rFonts w:ascii="Verdana" w:eastAsia="Arial" w:hAnsi="Verdana" w:cs="Arial"/>
              </w:rPr>
              <w:t>) no acogerse a ese régimen y contratar esquemas de participación privada conforme a su propio régimen de contratación, caso en el cual no están obligadas a adelantar licitación pública en el marco del Estatuto General para la celebración de contratos de concesión.</w:t>
            </w:r>
          </w:p>
          <w:p w14:paraId="52A7779F" w14:textId="482B8294" w:rsidR="009A39BA" w:rsidRPr="009A39BA" w:rsidRDefault="009A39BA" w:rsidP="00D71998">
            <w:pPr>
              <w:spacing w:before="120" w:after="120" w:line="276" w:lineRule="auto"/>
              <w:ind w:firstLine="709"/>
              <w:jc w:val="both"/>
              <w:rPr>
                <w:rFonts w:ascii="Verdana" w:eastAsia="Arial" w:hAnsi="Verdana" w:cs="Arial"/>
              </w:rPr>
            </w:pPr>
            <w:r w:rsidRPr="009A39BA">
              <w:rPr>
                <w:rFonts w:ascii="Verdana" w:eastAsia="Arial" w:hAnsi="Verdana" w:cs="Arial"/>
              </w:rPr>
              <w:t xml:space="preserve">Esa potestad se circunscribe al régimen bajo el cual la entidad adelanta su actividad contractual y no desplaza las normas que le resultan aplicables por razón del sector, de sus actividades o de los servicios que presta. El propio artículo 14 de la Ley 1150 de 2007 remite a las disposiciones legales y reglamentarias de sus actividades económicas y comerciales, de modo que la entidad no puede acudir a su régimen privado ni a su manual de contratación en perjuicio del Estatuto Nacional de Transporte </w:t>
            </w:r>
            <w:r w:rsidR="001C04BC">
              <w:rPr>
                <w:rFonts w:ascii="Verdana" w:eastAsia="Arial" w:hAnsi="Verdana" w:cs="Arial"/>
              </w:rPr>
              <w:t>–</w:t>
            </w:r>
            <w:r w:rsidRPr="009A39BA">
              <w:rPr>
                <w:rFonts w:ascii="Verdana" w:eastAsia="Arial" w:hAnsi="Verdana" w:cs="Arial"/>
              </w:rPr>
              <w:t>Ley 336 de 1996, artículos 80 y 81</w:t>
            </w:r>
            <w:r w:rsidR="001C04BC">
              <w:rPr>
                <w:rFonts w:ascii="Verdana" w:eastAsia="Arial" w:hAnsi="Verdana" w:cs="Arial"/>
              </w:rPr>
              <w:t>–</w:t>
            </w:r>
            <w:r w:rsidRPr="009A39BA">
              <w:rPr>
                <w:rFonts w:ascii="Verdana" w:eastAsia="Arial" w:hAnsi="Verdana" w:cs="Arial"/>
              </w:rPr>
              <w:t xml:space="preserve"> ni de los requisitos de habilitación y permiso de operación previstos en los artículos 2.2.4.2.1. y 2.2.4.2.2. del Decreto 1079 de 2015. Por ello, si el régimen sectorial exige que la habilitación y el permiso de operación se obtengan mediante contrato de concesión adjudicado por licitación pública, la facultad de acudir al régimen propio quedaría materialmente condicionada para ese componente del proyecto. La interpretación, el alcance y las alternativas para la obtención de dichos títulos exceden la competencia de esta </w:t>
            </w:r>
            <w:r w:rsidRPr="009A39BA">
              <w:rPr>
                <w:rFonts w:ascii="Verdana" w:eastAsia="Arial" w:hAnsi="Verdana" w:cs="Arial"/>
              </w:rPr>
              <w:lastRenderedPageBreak/>
              <w:t>Agencia y corresponden al Ministerio de Transporte y, en las vías férreas de su respectiva competencia, al Instituto Nacional de Vías – INVIAS y a la Agencia Nacional de Infraestructura – ANI.</w:t>
            </w:r>
          </w:p>
          <w:p w14:paraId="1AF28F0F" w14:textId="763A7E13" w:rsidR="002A2CE2" w:rsidRPr="004600CC" w:rsidRDefault="009A39BA" w:rsidP="00D71998">
            <w:pPr>
              <w:spacing w:after="120" w:line="276" w:lineRule="auto"/>
              <w:ind w:firstLine="738"/>
              <w:jc w:val="both"/>
              <w:rPr>
                <w:rFonts w:ascii="Verdana" w:eastAsia="Arial" w:hAnsi="Verdana" w:cs="Arial"/>
              </w:rPr>
            </w:pPr>
            <w:r w:rsidRPr="009A39BA">
              <w:rPr>
                <w:rFonts w:ascii="Verdana" w:eastAsia="Arial" w:hAnsi="Verdana" w:cs="Arial"/>
              </w:rPr>
              <w:t>En todo caso, conforme al artículo 13 de la Ley 1150 de 2007, adicionado por el artículo 53 de la Ley 2195 de 2022, corresponde a la entidad, en la etapa de planeación y bajo su exclusiva responsabilidad, verificar y consignar en los estudios y documentos previos el cumplimiento de los requisitos de habilitación y permiso de operación del servicio público de transporte ferroviario, así como su incidencia en la viabilidad jurídica, técnica y financiera del proyecto. La determinación de la modalidad debe sustentarse en un ejercicio de planeación robusto y responder a los principios que rigen la función administrativa y la gestión fiscal (artículos 209 y 267 de la Constitución Política), sin que la sola previsión de mecanismos de contratación directa en el manual constituya justificación suficiente de su procedencia, ni implique por sí misma que su utilización resulte adecuada, conveniente, competitiva y transparente frente a un proyecto de la naturaleza del consultado.</w:t>
            </w:r>
          </w:p>
        </w:tc>
      </w:tr>
    </w:tbl>
    <w:p w14:paraId="15449EA0" w14:textId="77777777" w:rsidR="002A2CE2" w:rsidRPr="001B3113" w:rsidRDefault="002A2CE2" w:rsidP="002A2CE2">
      <w:pPr>
        <w:tabs>
          <w:tab w:val="left" w:pos="142"/>
          <w:tab w:val="left" w:pos="284"/>
        </w:tabs>
        <w:spacing w:after="0" w:line="276" w:lineRule="auto"/>
        <w:jc w:val="both"/>
        <w:rPr>
          <w:rFonts w:ascii="Verdana" w:eastAsia="Century Gothic" w:hAnsi="Verdana" w:cs="Century Gothic"/>
          <w:b/>
          <w:bCs/>
          <w:color w:val="000000" w:themeColor="text1"/>
          <w:lang w:val="es-ES"/>
        </w:rPr>
      </w:pPr>
    </w:p>
    <w:p w14:paraId="04861C12" w14:textId="77777777" w:rsidR="002A2CE2" w:rsidRPr="001B3113" w:rsidRDefault="002A2CE2" w:rsidP="002A2CE2">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1B3113">
        <w:rPr>
          <w:rFonts w:ascii="Verdana" w:eastAsia="Century Gothic" w:hAnsi="Verdana" w:cs="Century Gothic"/>
          <w:b/>
          <w:bCs/>
          <w:color w:val="000000" w:themeColor="text1"/>
        </w:rPr>
        <w:t>Razones de la respuesta:</w:t>
      </w:r>
    </w:p>
    <w:p w14:paraId="27EF9E01" w14:textId="77777777" w:rsidR="002A2CE2" w:rsidRPr="001B3113" w:rsidRDefault="002A2CE2" w:rsidP="002A2CE2">
      <w:pPr>
        <w:spacing w:after="0" w:line="276" w:lineRule="auto"/>
        <w:jc w:val="both"/>
        <w:rPr>
          <w:rFonts w:ascii="Verdana" w:eastAsia="Calibri" w:hAnsi="Verdana" w:cs="Arial"/>
          <w:color w:val="000000" w:themeColor="text1"/>
          <w:lang w:val="es-ES"/>
        </w:rPr>
      </w:pPr>
    </w:p>
    <w:p w14:paraId="2E8D606F" w14:textId="77777777" w:rsidR="002A2CE2" w:rsidRPr="001B3113" w:rsidRDefault="002A2CE2" w:rsidP="002A2CE2">
      <w:pPr>
        <w:spacing w:after="0" w:line="276" w:lineRule="auto"/>
        <w:jc w:val="both"/>
        <w:rPr>
          <w:rFonts w:ascii="Verdana" w:eastAsia="Calibri" w:hAnsi="Verdana" w:cs="Arial"/>
          <w:color w:val="000000" w:themeColor="text1"/>
          <w:lang w:val="es-ES"/>
        </w:rPr>
      </w:pPr>
      <w:r w:rsidRPr="001B3113">
        <w:rPr>
          <w:rFonts w:ascii="Verdana" w:eastAsia="Calibri" w:hAnsi="Verdana" w:cs="Arial"/>
          <w:color w:val="000000" w:themeColor="text1"/>
          <w:lang w:val="es-ES"/>
        </w:rPr>
        <w:t xml:space="preserve">Lo anterior se sustenta en las siguientes consideraciones: </w:t>
      </w:r>
    </w:p>
    <w:p w14:paraId="00B95486" w14:textId="77777777" w:rsidR="002A2CE2" w:rsidRPr="001B3113" w:rsidRDefault="002A2CE2" w:rsidP="002A2CE2">
      <w:pPr>
        <w:spacing w:after="0" w:line="276" w:lineRule="auto"/>
        <w:jc w:val="both"/>
        <w:rPr>
          <w:rFonts w:ascii="Verdana" w:eastAsia="Calibri" w:hAnsi="Verdana" w:cs="Arial"/>
          <w:lang w:val="es-ES"/>
        </w:rPr>
      </w:pPr>
    </w:p>
    <w:p w14:paraId="60EC561F" w14:textId="77777777" w:rsidR="002A2CE2" w:rsidRDefault="002A2CE2" w:rsidP="002A2CE2">
      <w:pPr>
        <w:spacing w:after="0" w:line="276" w:lineRule="auto"/>
        <w:jc w:val="both"/>
        <w:rPr>
          <w:rFonts w:ascii="Verdana" w:eastAsia="Calibri" w:hAnsi="Verdana" w:cs="Arial"/>
          <w:bCs/>
          <w:lang w:val="es-ES"/>
        </w:rPr>
      </w:pPr>
      <w:r w:rsidRPr="001B3113">
        <w:rPr>
          <w:rFonts w:ascii="Verdana" w:eastAsia="Calibri" w:hAnsi="Verdana" w:cs="Arial"/>
          <w:bCs/>
          <w:lang w:val="es-ES"/>
        </w:rPr>
        <w:t>i.</w:t>
      </w:r>
      <w:r>
        <w:rPr>
          <w:rFonts w:ascii="Verdana" w:eastAsia="Calibri" w:hAnsi="Verdana" w:cs="Arial"/>
          <w:bCs/>
          <w:lang w:val="es-ES"/>
        </w:rPr>
        <w:t xml:space="preserve"> </w:t>
      </w:r>
      <w:bookmarkStart w:id="1" w:name="OLE_LINK1"/>
      <w:r>
        <w:rPr>
          <w:rFonts w:ascii="Verdana" w:eastAsia="Calibri" w:hAnsi="Verdana" w:cs="Arial"/>
          <w:bCs/>
          <w:lang w:val="es-ES"/>
        </w:rPr>
        <w:t>De acuerdo con lo establecido en el primer parágrafo del artículo 38 de la Ley 489 de 1998, l</w:t>
      </w:r>
      <w:r w:rsidRPr="001B3113">
        <w:rPr>
          <w:rFonts w:ascii="Verdana" w:eastAsia="Calibri" w:hAnsi="Verdana" w:cs="Arial"/>
          <w:bCs/>
          <w:lang w:val="es-ES"/>
        </w:rPr>
        <w:t>as sociedades públicas y las sociedades de economía mixta en las que el Estado posea el noventa por ciento (90%) o más de su capital social, se someten al régimen previsto para las</w:t>
      </w:r>
      <w:r w:rsidRPr="00AC5CFE">
        <w:rPr>
          <w:rFonts w:ascii="Verdana" w:eastAsia="Calibri" w:hAnsi="Verdana" w:cs="Arial"/>
          <w:color w:val="000000" w:themeColor="text1"/>
          <w:lang w:val="es-ES"/>
        </w:rPr>
        <w:t xml:space="preserve"> </w:t>
      </w:r>
      <w:r w:rsidRPr="001B3113">
        <w:rPr>
          <w:rFonts w:ascii="Verdana" w:eastAsia="Calibri" w:hAnsi="Verdana" w:cs="Arial"/>
          <w:color w:val="000000" w:themeColor="text1"/>
          <w:lang w:val="es-ES"/>
        </w:rPr>
        <w:t>Empresas Industriales y Comerciales del Estado (en adelante, EICE)</w:t>
      </w:r>
      <w:r w:rsidRPr="001B3113">
        <w:rPr>
          <w:rFonts w:ascii="Verdana" w:eastAsia="Calibri" w:hAnsi="Verdana" w:cs="Arial"/>
          <w:bCs/>
          <w:lang w:val="es-ES"/>
        </w:rPr>
        <w:t>.</w:t>
      </w:r>
      <w:bookmarkEnd w:id="1"/>
    </w:p>
    <w:p w14:paraId="65B0BB00" w14:textId="77777777" w:rsidR="002A2CE2" w:rsidRPr="00AC5CFE" w:rsidRDefault="002A2CE2" w:rsidP="002A2CE2">
      <w:pPr>
        <w:spacing w:before="120" w:after="0" w:line="276" w:lineRule="auto"/>
        <w:ind w:firstLine="708"/>
        <w:jc w:val="both"/>
        <w:rPr>
          <w:rFonts w:ascii="Verdana" w:eastAsia="Calibri" w:hAnsi="Verdana" w:cs="Arial"/>
          <w:bCs/>
          <w:lang w:val="es-ES"/>
        </w:rPr>
      </w:pPr>
      <w:r>
        <w:rPr>
          <w:rFonts w:ascii="Verdana" w:eastAsia="Calibri" w:hAnsi="Verdana" w:cs="Arial"/>
          <w:color w:val="000000" w:themeColor="text1"/>
          <w:lang w:val="es-ES"/>
        </w:rPr>
        <w:t xml:space="preserve">En materia contractual, las EICE </w:t>
      </w:r>
      <w:r w:rsidRPr="001B3113">
        <w:rPr>
          <w:rFonts w:ascii="Verdana" w:eastAsia="Calibri" w:hAnsi="Verdana" w:cs="Arial"/>
          <w:color w:val="000000" w:themeColor="text1"/>
          <w:lang w:val="es-ES"/>
        </w:rPr>
        <w:t xml:space="preserve">fueron incluidas dentro de la categoría de </w:t>
      </w:r>
      <w:r>
        <w:rPr>
          <w:rFonts w:ascii="Verdana" w:eastAsia="Calibri" w:hAnsi="Verdana" w:cs="Arial"/>
          <w:color w:val="000000" w:themeColor="text1"/>
          <w:lang w:val="es-ES"/>
        </w:rPr>
        <w:t>E</w:t>
      </w:r>
      <w:r w:rsidRPr="001B3113">
        <w:rPr>
          <w:rFonts w:ascii="Verdana" w:eastAsia="Calibri" w:hAnsi="Verdana" w:cs="Arial"/>
          <w:color w:val="000000" w:themeColor="text1"/>
          <w:lang w:val="es-ES"/>
        </w:rPr>
        <w:t xml:space="preserve">ntidades </w:t>
      </w:r>
      <w:r>
        <w:rPr>
          <w:rFonts w:ascii="Verdana" w:eastAsia="Calibri" w:hAnsi="Verdana" w:cs="Arial"/>
          <w:color w:val="000000" w:themeColor="text1"/>
          <w:lang w:val="es-ES"/>
        </w:rPr>
        <w:t>E</w:t>
      </w:r>
      <w:r w:rsidRPr="001B3113">
        <w:rPr>
          <w:rFonts w:ascii="Verdana" w:eastAsia="Calibri" w:hAnsi="Verdana" w:cs="Arial"/>
          <w:color w:val="000000" w:themeColor="text1"/>
          <w:lang w:val="es-ES"/>
        </w:rPr>
        <w:t>statales sujetas al Estatuto General de Contratación de la Administración Pública</w:t>
      </w:r>
      <w:r>
        <w:rPr>
          <w:rFonts w:ascii="Verdana" w:eastAsia="Calibri" w:hAnsi="Verdana" w:cs="Arial"/>
          <w:color w:val="000000" w:themeColor="text1"/>
          <w:lang w:val="es-ES"/>
        </w:rPr>
        <w:t xml:space="preserve"> (en adelante, EGCAP)</w:t>
      </w:r>
      <w:r w:rsidRPr="001B3113">
        <w:rPr>
          <w:rFonts w:ascii="Verdana" w:eastAsia="Calibri" w:hAnsi="Verdana" w:cs="Arial"/>
          <w:color w:val="000000" w:themeColor="text1"/>
          <w:lang w:val="es-ES"/>
        </w:rPr>
        <w:t>, conforme a lo dispuesto en el artículo 2, numeral 1, literal a) de la Ley 80 de 1993. Po</w:t>
      </w:r>
      <w:r>
        <w:rPr>
          <w:rFonts w:ascii="Verdana" w:eastAsia="Calibri" w:hAnsi="Verdana" w:cs="Arial"/>
          <w:color w:val="000000" w:themeColor="text1"/>
          <w:lang w:val="es-ES"/>
        </w:rPr>
        <w:t>r su parte</w:t>
      </w:r>
      <w:r w:rsidRPr="001B3113">
        <w:rPr>
          <w:rFonts w:ascii="Verdana" w:eastAsia="Calibri" w:hAnsi="Verdana" w:cs="Arial"/>
          <w:color w:val="000000" w:themeColor="text1"/>
          <w:lang w:val="es-ES"/>
        </w:rPr>
        <w:t>, la Ley 489 de 1998, que regula la estructura y el funcionamiento de las entidades del orden nacional, precisó en su artículo 93 el régimen jurídico aplicable a los contratos celebrados por las EICE</w:t>
      </w:r>
      <w:r>
        <w:rPr>
          <w:rFonts w:ascii="Verdana" w:eastAsia="Calibri" w:hAnsi="Verdana" w:cs="Arial"/>
          <w:color w:val="000000" w:themeColor="text1"/>
          <w:lang w:val="es-ES"/>
        </w:rPr>
        <w:t>, así</w:t>
      </w:r>
      <w:r w:rsidRPr="001B3113">
        <w:rPr>
          <w:rFonts w:ascii="Verdana" w:eastAsia="Calibri" w:hAnsi="Verdana" w:cs="Arial"/>
          <w:color w:val="000000" w:themeColor="text1"/>
          <w:lang w:val="es-ES"/>
        </w:rPr>
        <w:t>:</w:t>
      </w:r>
    </w:p>
    <w:p w14:paraId="4802EF34" w14:textId="77777777" w:rsidR="002A2CE2" w:rsidRPr="001B3113" w:rsidRDefault="002A2CE2" w:rsidP="002A2CE2">
      <w:pPr>
        <w:spacing w:after="0" w:line="276" w:lineRule="auto"/>
        <w:jc w:val="both"/>
        <w:rPr>
          <w:rFonts w:ascii="Verdana" w:eastAsia="Calibri" w:hAnsi="Verdana" w:cs="Arial"/>
          <w:color w:val="000000" w:themeColor="text1"/>
          <w:lang w:val="es-ES"/>
        </w:rPr>
      </w:pPr>
    </w:p>
    <w:p w14:paraId="339F6F90" w14:textId="77777777" w:rsidR="002A2CE2" w:rsidRPr="001B3113" w:rsidRDefault="002A2CE2" w:rsidP="002A2CE2">
      <w:pPr>
        <w:widowControl w:val="0"/>
        <w:autoSpaceDE w:val="0"/>
        <w:autoSpaceDN w:val="0"/>
        <w:spacing w:after="0"/>
        <w:ind w:left="709" w:right="709"/>
        <w:jc w:val="both"/>
        <w:rPr>
          <w:rFonts w:ascii="Verdana" w:eastAsia="Arial" w:hAnsi="Verdana" w:cs="Arial"/>
          <w:sz w:val="20"/>
          <w:szCs w:val="20"/>
          <w:lang w:val="es-ES" w:eastAsia="es-ES" w:bidi="es-ES"/>
        </w:rPr>
      </w:pPr>
      <w:r w:rsidRPr="001B3113">
        <w:rPr>
          <w:rFonts w:ascii="Verdana" w:eastAsia="Arial" w:hAnsi="Verdana" w:cs="Arial"/>
          <w:sz w:val="20"/>
          <w:szCs w:val="20"/>
          <w:lang w:val="es-ES" w:eastAsia="es-ES" w:bidi="es-ES"/>
        </w:rPr>
        <w:t xml:space="preserve">Artículo 93. Régimen de los actos y contratos. Los actos que expidan las </w:t>
      </w:r>
      <w:r w:rsidRPr="001B3113">
        <w:rPr>
          <w:rFonts w:ascii="Verdana" w:eastAsia="Arial" w:hAnsi="Verdana" w:cs="Arial"/>
          <w:sz w:val="20"/>
          <w:szCs w:val="20"/>
          <w:lang w:val="es-ES" w:eastAsia="es-ES" w:bidi="es-ES"/>
        </w:rPr>
        <w:lastRenderedPageBreak/>
        <w:t>empresas industriales y comerciales del Estado para el desarrollo de su actividad propia, industrial o comercial o de gestión económica se sujetarán a las disposiciones del Derecho Privado. Los contratos que celebren para el cumplimiento de su objeto se sujetarán a las disposiciones del Estatuto General de Contratación de las entidades estatales.</w:t>
      </w:r>
    </w:p>
    <w:p w14:paraId="0687C0B5" w14:textId="77777777" w:rsidR="002A2CE2" w:rsidRPr="001B3113" w:rsidRDefault="002A2CE2" w:rsidP="002A2CE2">
      <w:pPr>
        <w:widowControl w:val="0"/>
        <w:autoSpaceDE w:val="0"/>
        <w:autoSpaceDN w:val="0"/>
        <w:spacing w:after="0"/>
        <w:ind w:left="709" w:right="709"/>
        <w:jc w:val="both"/>
        <w:rPr>
          <w:rFonts w:ascii="Verdana" w:eastAsia="Arial" w:hAnsi="Verdana" w:cs="Arial"/>
          <w:sz w:val="20"/>
          <w:szCs w:val="20"/>
          <w:lang w:val="es-ES" w:eastAsia="es-ES" w:bidi="es-ES"/>
        </w:rPr>
      </w:pPr>
    </w:p>
    <w:p w14:paraId="20F8879E" w14:textId="77777777" w:rsidR="002A2CE2" w:rsidRPr="001B3113" w:rsidRDefault="42D89173" w:rsidP="002A2CE2">
      <w:pPr>
        <w:autoSpaceDE w:val="0"/>
        <w:autoSpaceDN w:val="0"/>
        <w:adjustRightInd w:val="0"/>
        <w:spacing w:after="120" w:line="276" w:lineRule="auto"/>
        <w:ind w:firstLine="709"/>
        <w:jc w:val="both"/>
        <w:rPr>
          <w:rFonts w:ascii="Verdana" w:hAnsi="Verdana" w:cs="Arial"/>
          <w:lang w:val="es-ES"/>
        </w:rPr>
      </w:pPr>
      <w:r w:rsidRPr="001B3113">
        <w:rPr>
          <w:rFonts w:ascii="Verdana" w:hAnsi="Verdana" w:cs="Arial"/>
          <w:lang w:val="es-ES"/>
        </w:rPr>
        <w:t>No obstante las dificultades hermenéuticas que suscitaba la disposición anterior, el artículo 14 de la Ley 1150 de 2007 –modificado por el artículo 93 de la Ley 1474 de 2011– dispuso un régimen exceptivo de aplicación del derecho privado para la actividad contractual de las EICE que ejercen su actividad en competencia con el sector público o privado, o en mercados regulados, quedando las otras EICE dentro del ámbito de aplicación del Estatuto General de Contratación de la Administración Pública</w:t>
      </w:r>
      <w:r w:rsidR="002A2CE2" w:rsidRPr="001B3113">
        <w:rPr>
          <w:rStyle w:val="Refdenotaalpie"/>
          <w:rFonts w:ascii="Verdana" w:hAnsi="Verdana" w:cs="Arial"/>
          <w:lang w:val="es-ES"/>
        </w:rPr>
        <w:footnoteReference w:id="2"/>
      </w:r>
      <w:r w:rsidRPr="001B3113">
        <w:rPr>
          <w:rFonts w:ascii="Verdana" w:hAnsi="Verdana" w:cs="Arial"/>
          <w:lang w:val="es-ES"/>
        </w:rPr>
        <w:t>. Así, la norma vigente respecto a su régimen contractual establece:</w:t>
      </w:r>
    </w:p>
    <w:p w14:paraId="79778426" w14:textId="77777777" w:rsidR="002A2CE2" w:rsidRPr="001B3113" w:rsidRDefault="42D89173" w:rsidP="002A2CE2">
      <w:pPr>
        <w:autoSpaceDE w:val="0"/>
        <w:autoSpaceDN w:val="0"/>
        <w:adjustRightInd w:val="0"/>
        <w:spacing w:after="0" w:line="240" w:lineRule="auto"/>
        <w:ind w:left="709" w:right="709"/>
        <w:jc w:val="both"/>
        <w:rPr>
          <w:rFonts w:ascii="Verdana" w:eastAsia="Arial" w:hAnsi="Verdana" w:cs="Arial"/>
          <w:sz w:val="20"/>
          <w:szCs w:val="20"/>
          <w:lang w:val="es-ES" w:eastAsia="es-ES" w:bidi="es-ES"/>
        </w:rPr>
      </w:pPr>
      <w:r w:rsidRPr="001B3113">
        <w:rPr>
          <w:rFonts w:ascii="Verdana" w:eastAsia="Arial" w:hAnsi="Verdana" w:cs="Arial"/>
          <w:sz w:val="20"/>
          <w:szCs w:val="20"/>
          <w:lang w:val="es-ES" w:eastAsia="es-ES" w:bidi="es-ES"/>
        </w:rPr>
        <w:t xml:space="preserve">Artículo 14. Del régimen contractual de las empresas industriales y comerciales del estado, las sociedades de economía mixta, sus filiales y empresas con participación mayoritaria del estado. Las Empresas Industriales y Comerciales del Estado, las Sociedades de Economía Mixta en las que el Estado tenga participación superior al cincuenta por ciento (50%), sus filiales y las Sociedades entre Entidades Públicas con participación mayoritaria del Estado superior al cincuenta por ciento (50%), estarán sometidas al Estatuto General de Contratación de la Administración Pública, con excepción de aquellas que desarrollen actividades comerciales en competencia con el sector privado y/o público, nacional o internacional o en mercados regulados, caso en el cual se regirán por las disposiciones legales y reglamentarias aplicables a sus actividades económicas y comerciales, sin perjuicio de lo previsto en el artículo 13 de la presente ley. Se exceptúan los contratos de ciencia y </w:t>
      </w:r>
      <w:r w:rsidRPr="001B3113">
        <w:rPr>
          <w:rFonts w:ascii="Verdana" w:eastAsia="Arial" w:hAnsi="Verdana" w:cs="Arial"/>
          <w:sz w:val="20"/>
          <w:szCs w:val="20"/>
          <w:lang w:val="es-ES" w:eastAsia="es-ES" w:bidi="es-ES"/>
        </w:rPr>
        <w:lastRenderedPageBreak/>
        <w:t>tecnología, que se regirán por la Ley 29 de 1990 y las disposiciones normativas existentes</w:t>
      </w:r>
      <w:r w:rsidR="002A2CE2" w:rsidRPr="001B3113">
        <w:rPr>
          <w:rStyle w:val="Refdenotaalpie"/>
          <w:rFonts w:ascii="Verdana" w:eastAsia="Arial" w:hAnsi="Verdana" w:cs="Arial"/>
          <w:sz w:val="20"/>
          <w:szCs w:val="20"/>
          <w:lang w:val="es-ES" w:eastAsia="es-ES" w:bidi="es-ES"/>
        </w:rPr>
        <w:footnoteReference w:id="3"/>
      </w:r>
      <w:r w:rsidRPr="001B3113">
        <w:rPr>
          <w:rFonts w:ascii="Verdana" w:eastAsia="Arial" w:hAnsi="Verdana" w:cs="Arial"/>
          <w:sz w:val="20"/>
          <w:szCs w:val="20"/>
          <w:lang w:val="es-ES" w:eastAsia="es-ES" w:bidi="es-ES"/>
        </w:rPr>
        <w:t>.</w:t>
      </w:r>
    </w:p>
    <w:p w14:paraId="79159824" w14:textId="77777777" w:rsidR="002A2CE2" w:rsidRPr="001B3113" w:rsidRDefault="002A2CE2" w:rsidP="002A2CE2">
      <w:pPr>
        <w:autoSpaceDE w:val="0"/>
        <w:autoSpaceDN w:val="0"/>
        <w:adjustRightInd w:val="0"/>
        <w:spacing w:after="0" w:line="240" w:lineRule="auto"/>
        <w:ind w:left="709" w:right="709"/>
        <w:jc w:val="both"/>
        <w:rPr>
          <w:rFonts w:ascii="Verdana" w:eastAsia="Arial" w:hAnsi="Verdana" w:cs="Arial"/>
          <w:sz w:val="20"/>
          <w:szCs w:val="20"/>
          <w:lang w:val="es-ES" w:eastAsia="es-ES" w:bidi="es-ES"/>
        </w:rPr>
      </w:pPr>
    </w:p>
    <w:p w14:paraId="4C7AA479" w14:textId="77777777" w:rsidR="002A2CE2" w:rsidRPr="001B3113" w:rsidRDefault="42D89173" w:rsidP="002A2CE2">
      <w:pPr>
        <w:autoSpaceDE w:val="0"/>
        <w:autoSpaceDN w:val="0"/>
        <w:adjustRightInd w:val="0"/>
        <w:spacing w:after="120" w:line="276" w:lineRule="auto"/>
        <w:ind w:firstLine="708"/>
        <w:jc w:val="both"/>
        <w:rPr>
          <w:rFonts w:ascii="Verdana" w:hAnsi="Verdana" w:cs="Arial"/>
          <w:lang w:val="es-ES"/>
        </w:rPr>
      </w:pPr>
      <w:r w:rsidRPr="001B3113">
        <w:rPr>
          <w:rFonts w:ascii="Verdana" w:hAnsi="Verdana" w:cs="Arial"/>
          <w:lang w:val="es-ES"/>
        </w:rPr>
        <w:t xml:space="preserve">El sometimiento parcial de las </w:t>
      </w:r>
      <w:r>
        <w:rPr>
          <w:rFonts w:ascii="Verdana" w:hAnsi="Verdana" w:cs="Arial"/>
          <w:lang w:val="es-ES"/>
        </w:rPr>
        <w:t xml:space="preserve">EICE </w:t>
      </w:r>
      <w:r w:rsidRPr="001B3113">
        <w:rPr>
          <w:rFonts w:ascii="Verdana" w:hAnsi="Verdana" w:cs="Arial"/>
          <w:lang w:val="es-ES"/>
        </w:rPr>
        <w:t xml:space="preserve">al régimen de derecho privado, se ha justificado por </w:t>
      </w:r>
      <w:r w:rsidRPr="5A13C693">
        <w:rPr>
          <w:rFonts w:ascii="Verdana" w:eastAsia="Calibri" w:hAnsi="Verdana" w:cs="Arial"/>
          <w:lang w:val="es-ES"/>
        </w:rPr>
        <w:t>“</w:t>
      </w:r>
      <w:r w:rsidRPr="001B3113">
        <w:rPr>
          <w:rFonts w:ascii="Verdana" w:hAnsi="Verdana" w:cs="Arial"/>
          <w:lang w:val="es-ES"/>
        </w:rPr>
        <w:t>la necesidad de que en su actividad industrial y comercial, tradicionalmente ajena al Estado y propia de los particulares, ellas actúen en términos equivalentes a éstos cuando realicen actividades similares, sin tener prerrogativas exorbitantes que atenten contra el derecho a la igualdad ni estar sujetas a procedimientos administrativos que entraben sus actuaciones y las pongan en situación de desventaja frente a sus competidores (…). Por ello, la regla general es que en sus actos y contratos rijan las normas de derecho privado, salvo en cuanto a sus relaciones con la Administración y en aquellos casos en los que por expresa disposición legal ejerzan alguna función administrativa, puesto que allí sí deberá dar aplicación a las reglas de derecho público pertinentes (…)</w:t>
      </w:r>
      <w:r>
        <w:rPr>
          <w:rFonts w:ascii="Verdana" w:hAnsi="Verdana" w:cs="Arial"/>
          <w:lang w:val="es-ES"/>
        </w:rPr>
        <w:t>”</w:t>
      </w:r>
      <w:r w:rsidR="002A2CE2" w:rsidRPr="001B3113">
        <w:rPr>
          <w:rStyle w:val="Refdenotaalpie"/>
          <w:rFonts w:ascii="Verdana" w:hAnsi="Verdana" w:cs="Arial"/>
          <w:lang w:val="es-ES"/>
        </w:rPr>
        <w:footnoteReference w:id="4"/>
      </w:r>
      <w:r w:rsidRPr="001B3113">
        <w:rPr>
          <w:rFonts w:ascii="Verdana" w:hAnsi="Verdana" w:cs="Arial"/>
          <w:lang w:val="es-ES"/>
        </w:rPr>
        <w:t>.</w:t>
      </w:r>
    </w:p>
    <w:p w14:paraId="1804987E" w14:textId="77777777" w:rsidR="002A2CE2" w:rsidRDefault="002A2CE2" w:rsidP="002A2CE2">
      <w:pPr>
        <w:spacing w:after="0" w:line="276" w:lineRule="auto"/>
        <w:ind w:firstLine="709"/>
        <w:jc w:val="both"/>
        <w:rPr>
          <w:rFonts w:ascii="Verdana" w:hAnsi="Verdana"/>
          <w:lang w:val="es-ES"/>
        </w:rPr>
      </w:pPr>
      <w:r w:rsidRPr="001B3113">
        <w:rPr>
          <w:rFonts w:ascii="Verdana" w:eastAsia="Calibri" w:hAnsi="Verdana" w:cs="Times New Roman"/>
          <w:lang w:val="es-ES"/>
        </w:rPr>
        <w:t>En suma,</w:t>
      </w:r>
      <w:r>
        <w:rPr>
          <w:rFonts w:ascii="Verdana" w:eastAsia="Calibri" w:hAnsi="Verdana" w:cs="Times New Roman"/>
          <w:lang w:val="es-ES"/>
        </w:rPr>
        <w:t xml:space="preserve"> </w:t>
      </w:r>
      <w:r w:rsidRPr="001B3113">
        <w:rPr>
          <w:rFonts w:ascii="Verdana" w:hAnsi="Verdana"/>
          <w:lang w:val="es-ES"/>
        </w:rPr>
        <w:t>las </w:t>
      </w:r>
      <w:r>
        <w:rPr>
          <w:rFonts w:ascii="Verdana" w:hAnsi="Verdana"/>
          <w:lang w:val="es-ES"/>
        </w:rPr>
        <w:t>EICE</w:t>
      </w:r>
      <w:r w:rsidRPr="001B3113">
        <w:rPr>
          <w:rFonts w:ascii="Verdana" w:hAnsi="Verdana"/>
          <w:lang w:val="es-ES"/>
        </w:rPr>
        <w:t xml:space="preserve"> con participación pública superior al cincuenta por ciento (50%), están sometidas, por regla general, al Estatuto General de Contratación de la Administración Pública (Ley 80 de 1993), a la Ley 1150 de 2007, Decreto 1082 de 2015 y demás normas de la materia.</w:t>
      </w:r>
      <w:r w:rsidRPr="001B3113">
        <w:rPr>
          <w:rFonts w:ascii="Verdana" w:eastAsia="Times New Roman" w:hAnsi="Verdana" w:cs="Arial"/>
          <w:lang w:val="es-ES" w:eastAsia="es-ES_tradnl"/>
        </w:rPr>
        <w:t xml:space="preserve"> Sin embargo, </w:t>
      </w:r>
      <w:r w:rsidRPr="001B3113">
        <w:rPr>
          <w:rFonts w:ascii="Verdana" w:hAnsi="Verdana"/>
          <w:lang w:val="es-ES"/>
        </w:rPr>
        <w:t xml:space="preserve">cuando las Empresas Industriales y Comerciales del Estado con participación </w:t>
      </w:r>
      <w:r>
        <w:rPr>
          <w:rFonts w:ascii="Verdana" w:hAnsi="Verdana"/>
          <w:lang w:val="es-ES"/>
        </w:rPr>
        <w:t xml:space="preserve">estatal </w:t>
      </w:r>
      <w:r w:rsidRPr="001B3113">
        <w:rPr>
          <w:rFonts w:ascii="Verdana" w:hAnsi="Verdana"/>
          <w:lang w:val="es-ES"/>
        </w:rPr>
        <w:t>superior al 50% desarrollen: i) actividades comerciales en competencia con el sector privado y/o público, nacional o internacional</w:t>
      </w:r>
      <w:r>
        <w:rPr>
          <w:rFonts w:ascii="Verdana" w:hAnsi="Verdana"/>
          <w:lang w:val="es-ES"/>
        </w:rPr>
        <w:t>;</w:t>
      </w:r>
      <w:r w:rsidRPr="001B3113">
        <w:rPr>
          <w:rFonts w:ascii="Verdana" w:hAnsi="Verdana"/>
          <w:lang w:val="es-ES"/>
        </w:rPr>
        <w:t xml:space="preserve"> o </w:t>
      </w:r>
      <w:proofErr w:type="spellStart"/>
      <w:r w:rsidRPr="001B3113">
        <w:rPr>
          <w:rFonts w:ascii="Verdana" w:hAnsi="Verdana"/>
          <w:lang w:val="es-ES"/>
        </w:rPr>
        <w:t>ii</w:t>
      </w:r>
      <w:proofErr w:type="spellEnd"/>
      <w:r w:rsidRPr="001B3113">
        <w:rPr>
          <w:rFonts w:ascii="Verdana" w:hAnsi="Verdana"/>
          <w:lang w:val="es-ES"/>
        </w:rPr>
        <w:t xml:space="preserve">) actividades en mercados regulados, se regirán </w:t>
      </w:r>
      <w:r w:rsidRPr="001B3113">
        <w:rPr>
          <w:rFonts w:ascii="Verdana" w:hAnsi="Verdana"/>
          <w:i/>
          <w:iCs/>
          <w:lang w:val="es-ES"/>
        </w:rPr>
        <w:t>por las disposiciones que regulen su actividad</w:t>
      </w:r>
      <w:r w:rsidRPr="001B3113">
        <w:rPr>
          <w:rFonts w:ascii="Verdana" w:hAnsi="Verdana"/>
          <w:lang w:val="es-ES"/>
        </w:rPr>
        <w:t>, por su propio manual de contratación, y/o disposiciones de derecho privado debido a que lo que predomina es la actividad económica que se ejerce para esta excepción.</w:t>
      </w:r>
    </w:p>
    <w:p w14:paraId="035AC7C9" w14:textId="77777777" w:rsidR="002A2CE2" w:rsidRPr="001B3113" w:rsidRDefault="002A2CE2" w:rsidP="002A2CE2">
      <w:pPr>
        <w:spacing w:after="0" w:line="276" w:lineRule="auto"/>
        <w:ind w:firstLine="709"/>
        <w:jc w:val="both"/>
        <w:rPr>
          <w:rFonts w:ascii="Verdana" w:hAnsi="Verdana"/>
          <w:lang w:val="es-ES"/>
        </w:rPr>
      </w:pPr>
    </w:p>
    <w:p w14:paraId="4CAF0B5D" w14:textId="0BC7D7C7" w:rsidR="002A2CE2" w:rsidRPr="001B3113" w:rsidRDefault="002A2CE2" w:rsidP="002A2CE2">
      <w:pPr>
        <w:spacing w:after="0" w:line="276" w:lineRule="auto"/>
        <w:jc w:val="both"/>
        <w:rPr>
          <w:rFonts w:ascii="Verdana" w:hAnsi="Verdana"/>
          <w:lang w:val="es-ES"/>
        </w:rPr>
      </w:pPr>
      <w:proofErr w:type="spellStart"/>
      <w:r>
        <w:rPr>
          <w:rFonts w:ascii="Verdana" w:hAnsi="Verdana"/>
          <w:lang w:val="es-ES"/>
        </w:rPr>
        <w:t>ii</w:t>
      </w:r>
      <w:proofErr w:type="spellEnd"/>
      <w:r>
        <w:rPr>
          <w:rFonts w:ascii="Verdana" w:hAnsi="Verdana"/>
          <w:lang w:val="es-ES"/>
        </w:rPr>
        <w:t xml:space="preserve">. </w:t>
      </w:r>
      <w:r w:rsidRPr="001B3113">
        <w:rPr>
          <w:rFonts w:ascii="Verdana" w:hAnsi="Verdana"/>
          <w:lang w:val="es-ES"/>
        </w:rPr>
        <w:t>Por su parte</w:t>
      </w:r>
      <w:r w:rsidRPr="001B3113">
        <w:rPr>
          <w:rFonts w:ascii="Verdana" w:eastAsia="Times New Roman" w:hAnsi="Verdana" w:cs="Arial"/>
          <w:lang w:val="es-ES" w:eastAsia="es-ES_tradnl"/>
        </w:rPr>
        <w:t>, e</w:t>
      </w:r>
      <w:r w:rsidRPr="001B3113">
        <w:rPr>
          <w:rFonts w:ascii="Verdana" w:hAnsi="Verdana" w:cs="Arial"/>
          <w:color w:val="000000" w:themeColor="text1"/>
          <w:lang w:val="es-ES" w:bidi="es-ES"/>
        </w:rPr>
        <w:t>l artículo 8 de la Ley 1508 de 2012</w:t>
      </w:r>
      <w:r w:rsidRPr="008C3315">
        <w:t xml:space="preserve"> </w:t>
      </w:r>
      <w:r w:rsidR="008C3315" w:rsidRPr="008C3315">
        <w:rPr>
          <w:rFonts w:ascii="Verdana" w:hAnsi="Verdana" w:cs="Arial"/>
          <w:color w:val="000000" w:themeColor="text1"/>
          <w:lang w:bidi="es-ES"/>
        </w:rPr>
        <w:t>—cuyo parágrafo fue adicionado en su inciso tercero por el artículo 104 de la Ley 1955 de 2019—</w:t>
      </w:r>
      <w:r w:rsidR="008C3315">
        <w:rPr>
          <w:rFonts w:ascii="Verdana" w:hAnsi="Verdana" w:cs="Arial"/>
          <w:color w:val="000000" w:themeColor="text1"/>
          <w:lang w:bidi="es-ES"/>
        </w:rPr>
        <w:t>,</w:t>
      </w:r>
      <w:r w:rsidRPr="001B3113">
        <w:rPr>
          <w:rFonts w:ascii="Verdana" w:hAnsi="Verdana" w:cs="Arial"/>
          <w:color w:val="000000" w:themeColor="text1"/>
          <w:lang w:val="es-ES" w:bidi="es-ES"/>
        </w:rPr>
        <w:t xml:space="preserve"> establece de manera general el régimen jurídico aplicable a la celebración de contratos o convenios interadministrativos, regulando la participación de </w:t>
      </w:r>
      <w:r w:rsidRPr="001B3113">
        <w:rPr>
          <w:rFonts w:ascii="Verdana" w:hAnsi="Verdana" w:cs="Arial"/>
          <w:color w:val="000000" w:themeColor="text1"/>
          <w:lang w:val="es-ES" w:bidi="es-ES"/>
        </w:rPr>
        <w:lastRenderedPageBreak/>
        <w:t xml:space="preserve">entidades de naturaleza pública o mixta en esquemas de </w:t>
      </w:r>
      <w:r>
        <w:rPr>
          <w:rFonts w:ascii="Verdana" w:hAnsi="Verdana" w:cs="Arial"/>
          <w:color w:val="000000" w:themeColor="text1"/>
          <w:lang w:val="es-ES" w:bidi="es-ES"/>
        </w:rPr>
        <w:t>A</w:t>
      </w:r>
      <w:r w:rsidRPr="001B3113">
        <w:rPr>
          <w:rFonts w:ascii="Verdana" w:hAnsi="Verdana" w:cs="Arial"/>
          <w:color w:val="000000" w:themeColor="text1"/>
          <w:lang w:val="es-ES" w:bidi="es-ES"/>
        </w:rPr>
        <w:t xml:space="preserve">sociación </w:t>
      </w:r>
      <w:r>
        <w:rPr>
          <w:rFonts w:ascii="Verdana" w:hAnsi="Verdana" w:cs="Arial"/>
          <w:color w:val="000000" w:themeColor="text1"/>
          <w:lang w:val="es-ES" w:bidi="es-ES"/>
        </w:rPr>
        <w:t>P</w:t>
      </w:r>
      <w:r w:rsidRPr="001B3113">
        <w:rPr>
          <w:rFonts w:ascii="Verdana" w:hAnsi="Verdana" w:cs="Arial"/>
          <w:color w:val="000000" w:themeColor="text1"/>
          <w:lang w:val="es-ES" w:bidi="es-ES"/>
        </w:rPr>
        <w:t>úblico–</w:t>
      </w:r>
      <w:r>
        <w:rPr>
          <w:rFonts w:ascii="Verdana" w:hAnsi="Verdana" w:cs="Arial"/>
          <w:color w:val="000000" w:themeColor="text1"/>
          <w:lang w:val="es-ES" w:bidi="es-ES"/>
        </w:rPr>
        <w:t>P</w:t>
      </w:r>
      <w:r w:rsidRPr="001B3113">
        <w:rPr>
          <w:rFonts w:ascii="Verdana" w:hAnsi="Verdana" w:cs="Arial"/>
          <w:color w:val="000000" w:themeColor="text1"/>
          <w:lang w:val="es-ES" w:bidi="es-ES"/>
        </w:rPr>
        <w:t>rivada</w:t>
      </w:r>
      <w:r>
        <w:rPr>
          <w:rFonts w:ascii="Verdana" w:hAnsi="Verdana" w:cs="Arial"/>
          <w:color w:val="000000" w:themeColor="text1"/>
          <w:lang w:val="es-ES" w:bidi="es-ES"/>
        </w:rPr>
        <w:t xml:space="preserve"> (en adelante, APP)</w:t>
      </w:r>
      <w:r w:rsidRPr="001B3113">
        <w:rPr>
          <w:rFonts w:ascii="Verdana" w:hAnsi="Verdana" w:cs="Arial"/>
          <w:color w:val="000000" w:themeColor="text1"/>
          <w:lang w:val="es-ES" w:bidi="es-ES"/>
        </w:rPr>
        <w:t>. Dicha norma señala lo siguiente:</w:t>
      </w:r>
    </w:p>
    <w:p w14:paraId="7253C21A" w14:textId="77777777" w:rsidR="002A2CE2" w:rsidRPr="001B3113" w:rsidRDefault="002A2CE2" w:rsidP="002A2CE2">
      <w:pPr>
        <w:spacing w:after="0"/>
        <w:ind w:left="720"/>
        <w:contextualSpacing/>
        <w:jc w:val="both"/>
        <w:rPr>
          <w:rFonts w:ascii="Verdana" w:hAnsi="Verdana" w:cs="Arial"/>
          <w:color w:val="000000" w:themeColor="text1"/>
          <w:lang w:val="es-ES" w:bidi="es-ES"/>
        </w:rPr>
      </w:pPr>
    </w:p>
    <w:p w14:paraId="124A5F0D" w14:textId="77777777" w:rsidR="002A2CE2" w:rsidRPr="001B3113" w:rsidRDefault="002A2CE2" w:rsidP="002A2CE2">
      <w:pPr>
        <w:spacing w:before="120" w:after="120" w:line="240" w:lineRule="auto"/>
        <w:ind w:left="709" w:right="709"/>
        <w:contextualSpacing/>
        <w:jc w:val="both"/>
        <w:rPr>
          <w:rFonts w:ascii="Verdana" w:hAnsi="Verdana" w:cs="Arial"/>
          <w:color w:val="000000" w:themeColor="text1"/>
          <w:sz w:val="20"/>
          <w:szCs w:val="20"/>
          <w:lang w:val="es-ES" w:bidi="es-ES"/>
        </w:rPr>
      </w:pPr>
      <w:r w:rsidRPr="001B3113">
        <w:rPr>
          <w:rFonts w:ascii="Verdana" w:hAnsi="Verdana" w:cs="Arial"/>
          <w:color w:val="000000" w:themeColor="text1"/>
          <w:sz w:val="20"/>
          <w:szCs w:val="20"/>
          <w:lang w:val="es-ES" w:bidi="es-ES"/>
        </w:rPr>
        <w:t xml:space="preserve">“Artículo 8°. Participación de entidades de naturaleza pública o mixta. Para la celebración y ejecución de contratos o convenios interadministrativos regidos por la Ley 80 de 1993, 1150 de 2007 y 489 de 1998, que tengan por objeto el desarrollo de esquemas de asociación </w:t>
      </w:r>
      <w:proofErr w:type="gramStart"/>
      <w:r w:rsidRPr="001B3113">
        <w:rPr>
          <w:rFonts w:ascii="Verdana" w:hAnsi="Verdana" w:cs="Arial"/>
          <w:color w:val="000000" w:themeColor="text1"/>
          <w:sz w:val="20"/>
          <w:szCs w:val="20"/>
          <w:lang w:val="es-ES" w:bidi="es-ES"/>
        </w:rPr>
        <w:t>público privada</w:t>
      </w:r>
      <w:proofErr w:type="gramEnd"/>
      <w:r w:rsidRPr="001B3113">
        <w:rPr>
          <w:rFonts w:ascii="Verdana" w:hAnsi="Verdana" w:cs="Arial"/>
          <w:color w:val="000000" w:themeColor="text1"/>
          <w:sz w:val="20"/>
          <w:szCs w:val="20"/>
          <w:lang w:val="es-ES" w:bidi="es-ES"/>
        </w:rPr>
        <w:t xml:space="preserve">, las entidades estatales deberán cumplir con los procedimientos de estructuración, aprobación y gestión contractual previstos en la presente ley, sin desconocer el régimen de inhabilidades e incompatibilidades previstas en la ley. </w:t>
      </w:r>
    </w:p>
    <w:p w14:paraId="4A2D3616" w14:textId="77777777" w:rsidR="002A2CE2" w:rsidRPr="001B3113" w:rsidRDefault="002A2CE2" w:rsidP="002A2CE2">
      <w:pPr>
        <w:spacing w:before="120" w:after="120" w:line="240" w:lineRule="auto"/>
        <w:ind w:left="709" w:right="709"/>
        <w:contextualSpacing/>
        <w:jc w:val="both"/>
        <w:rPr>
          <w:rFonts w:ascii="Verdana" w:hAnsi="Verdana" w:cs="Arial"/>
          <w:color w:val="000000" w:themeColor="text1"/>
          <w:sz w:val="20"/>
          <w:szCs w:val="20"/>
          <w:lang w:val="es-ES" w:bidi="es-ES"/>
        </w:rPr>
      </w:pPr>
    </w:p>
    <w:p w14:paraId="4380C4F5" w14:textId="77777777" w:rsidR="002A2CE2" w:rsidRPr="001B3113" w:rsidRDefault="002A2CE2" w:rsidP="002A2CE2">
      <w:pPr>
        <w:spacing w:before="120" w:after="120" w:line="240" w:lineRule="auto"/>
        <w:ind w:left="709" w:right="709"/>
        <w:contextualSpacing/>
        <w:jc w:val="both"/>
        <w:rPr>
          <w:rFonts w:ascii="Verdana" w:hAnsi="Verdana" w:cs="Arial"/>
          <w:color w:val="000000" w:themeColor="text1"/>
          <w:sz w:val="20"/>
          <w:szCs w:val="20"/>
          <w:lang w:val="es-ES" w:bidi="es-ES"/>
        </w:rPr>
      </w:pPr>
      <w:r w:rsidRPr="001B3113">
        <w:rPr>
          <w:rFonts w:ascii="Verdana" w:hAnsi="Verdana" w:cs="Arial"/>
          <w:color w:val="000000" w:themeColor="text1"/>
          <w:sz w:val="20"/>
          <w:szCs w:val="20"/>
          <w:lang w:val="es-ES" w:bidi="es-ES"/>
        </w:rPr>
        <w:t xml:space="preserve">Parágrafo. Podrán ser contratantes de esquemas de Asociación Público- Privada bajo el régimen previsto en la presente ley, las Empresas Industriales y Comerciales del Estado, las Sociedades de Economía Mixta en las que el Estado tenga participación superior al cincuenta por ciento (50%), sus filiales y las Sociedades entre Entidades Públicas con participación mayoritaria del Estado superior al cincuenta por ciento (50%) y las empresas de servicios públicos domiciliarios oficiales o mixtas.  </w:t>
      </w:r>
    </w:p>
    <w:p w14:paraId="3E10B21C" w14:textId="77777777" w:rsidR="002A2CE2" w:rsidRPr="001B3113" w:rsidRDefault="002A2CE2" w:rsidP="002A2CE2">
      <w:pPr>
        <w:spacing w:before="120" w:after="120" w:line="240" w:lineRule="auto"/>
        <w:ind w:left="709" w:right="709"/>
        <w:contextualSpacing/>
        <w:jc w:val="both"/>
        <w:rPr>
          <w:rFonts w:ascii="Verdana" w:hAnsi="Verdana" w:cs="Arial"/>
          <w:color w:val="000000" w:themeColor="text1"/>
          <w:sz w:val="20"/>
          <w:szCs w:val="20"/>
          <w:lang w:val="es-ES" w:bidi="es-ES"/>
        </w:rPr>
      </w:pPr>
      <w:r w:rsidRPr="001B3113">
        <w:rPr>
          <w:rFonts w:ascii="Verdana" w:hAnsi="Verdana" w:cs="Arial"/>
          <w:color w:val="000000" w:themeColor="text1"/>
          <w:sz w:val="20"/>
          <w:szCs w:val="20"/>
          <w:lang w:val="es-ES" w:bidi="es-ES"/>
        </w:rPr>
        <w:t xml:space="preserve">  </w:t>
      </w:r>
    </w:p>
    <w:p w14:paraId="218DC479" w14:textId="77777777" w:rsidR="002A2CE2" w:rsidRPr="001B3113" w:rsidRDefault="002A2CE2" w:rsidP="002A2CE2">
      <w:pPr>
        <w:spacing w:before="120" w:after="120" w:line="240" w:lineRule="auto"/>
        <w:ind w:left="709" w:right="709"/>
        <w:contextualSpacing/>
        <w:jc w:val="both"/>
        <w:rPr>
          <w:rFonts w:ascii="Verdana" w:hAnsi="Verdana" w:cs="Arial"/>
          <w:color w:val="000000" w:themeColor="text1"/>
          <w:sz w:val="20"/>
          <w:szCs w:val="20"/>
          <w:lang w:val="es-ES" w:bidi="es-ES"/>
        </w:rPr>
      </w:pPr>
      <w:r w:rsidRPr="001B3113">
        <w:rPr>
          <w:rFonts w:ascii="Verdana" w:hAnsi="Verdana" w:cs="Arial"/>
          <w:color w:val="000000" w:themeColor="text1"/>
          <w:sz w:val="20"/>
          <w:szCs w:val="20"/>
          <w:lang w:val="es-ES" w:bidi="es-ES"/>
        </w:rPr>
        <w:t xml:space="preserve">En el caso en que las entidades a que se refiere el inciso anterior decidan optar por esquemas de Asociación </w:t>
      </w:r>
      <w:proofErr w:type="gramStart"/>
      <w:r w:rsidRPr="001B3113">
        <w:rPr>
          <w:rFonts w:ascii="Verdana" w:hAnsi="Verdana" w:cs="Arial"/>
          <w:color w:val="000000" w:themeColor="text1"/>
          <w:sz w:val="20"/>
          <w:szCs w:val="20"/>
          <w:lang w:val="es-ES" w:bidi="es-ES"/>
        </w:rPr>
        <w:t>Público Privada</w:t>
      </w:r>
      <w:proofErr w:type="gramEnd"/>
      <w:r w:rsidRPr="001B3113">
        <w:rPr>
          <w:rFonts w:ascii="Verdana" w:hAnsi="Verdana" w:cs="Arial"/>
          <w:color w:val="000000" w:themeColor="text1"/>
          <w:sz w:val="20"/>
          <w:szCs w:val="20"/>
          <w:lang w:val="es-ES" w:bidi="es-ES"/>
        </w:rPr>
        <w:t xml:space="preserve"> bajo el régimen previsto en la presente ley, dichas empresas o sociedades deberán dar cumplimiento a lo previsto en la misma y sujetarse a las disposiciones particulares que les sean aplicables en materia contractual y presupuestal.  </w:t>
      </w:r>
    </w:p>
    <w:p w14:paraId="56B729CD" w14:textId="77777777" w:rsidR="002A2CE2" w:rsidRPr="001B3113" w:rsidRDefault="002A2CE2" w:rsidP="002A2CE2">
      <w:pPr>
        <w:spacing w:before="120" w:after="120" w:line="240" w:lineRule="auto"/>
        <w:ind w:left="709" w:right="709"/>
        <w:contextualSpacing/>
        <w:jc w:val="both"/>
        <w:rPr>
          <w:rFonts w:ascii="Verdana" w:hAnsi="Verdana" w:cs="Arial"/>
          <w:color w:val="000000" w:themeColor="text1"/>
          <w:sz w:val="20"/>
          <w:szCs w:val="20"/>
          <w:lang w:val="es-ES" w:bidi="es-ES"/>
        </w:rPr>
      </w:pPr>
      <w:r w:rsidRPr="001B3113">
        <w:rPr>
          <w:rFonts w:ascii="Verdana" w:hAnsi="Verdana" w:cs="Arial"/>
          <w:color w:val="000000" w:themeColor="text1"/>
          <w:sz w:val="20"/>
          <w:szCs w:val="20"/>
          <w:lang w:val="es-ES" w:bidi="es-ES"/>
        </w:rPr>
        <w:t xml:space="preserve">  </w:t>
      </w:r>
    </w:p>
    <w:p w14:paraId="4BCB8120" w14:textId="77777777" w:rsidR="002A2CE2" w:rsidRPr="001B3113" w:rsidRDefault="002A2CE2" w:rsidP="002A2CE2">
      <w:pPr>
        <w:spacing w:before="120" w:after="120" w:line="240" w:lineRule="auto"/>
        <w:ind w:left="709" w:right="709"/>
        <w:contextualSpacing/>
        <w:jc w:val="both"/>
        <w:rPr>
          <w:rFonts w:ascii="Verdana" w:hAnsi="Verdana" w:cs="Arial"/>
          <w:color w:val="000000" w:themeColor="text1"/>
          <w:sz w:val="20"/>
          <w:szCs w:val="20"/>
          <w:lang w:val="es-ES" w:bidi="es-ES"/>
        </w:rPr>
      </w:pPr>
      <w:r w:rsidRPr="001B3113">
        <w:rPr>
          <w:rFonts w:ascii="Verdana" w:hAnsi="Verdana" w:cs="Arial"/>
          <w:color w:val="000000" w:themeColor="text1"/>
          <w:sz w:val="20"/>
          <w:szCs w:val="20"/>
          <w:lang w:val="es-ES" w:bidi="es-ES"/>
        </w:rPr>
        <w:t xml:space="preserve">Cuando las entidades a que se refiere el primer inciso del presente parágrafo decidan no acogerse a los esquemas de Asociación </w:t>
      </w:r>
      <w:proofErr w:type="gramStart"/>
      <w:r w:rsidRPr="001B3113">
        <w:rPr>
          <w:rFonts w:ascii="Verdana" w:hAnsi="Verdana" w:cs="Arial"/>
          <w:color w:val="000000" w:themeColor="text1"/>
          <w:sz w:val="20"/>
          <w:szCs w:val="20"/>
          <w:lang w:val="es-ES" w:bidi="es-ES"/>
        </w:rPr>
        <w:t>Público Privada</w:t>
      </w:r>
      <w:proofErr w:type="gramEnd"/>
      <w:r w:rsidRPr="001B3113">
        <w:rPr>
          <w:rFonts w:ascii="Verdana" w:hAnsi="Verdana" w:cs="Arial"/>
          <w:color w:val="000000" w:themeColor="text1"/>
          <w:sz w:val="20"/>
          <w:szCs w:val="20"/>
          <w:lang w:val="es-ES" w:bidi="es-ES"/>
        </w:rPr>
        <w:t xml:space="preserve"> bajo el régimen previsto en la presente ley, podrán contratar esquemas de participación privada en infraestructura conforme a su régimen de contratación, incluyendo la utilización, cuando a ello haya lugar, de la concesión de que trata el numeral 4 del artículo 32 de la Ley 80 de 1993.  </w:t>
      </w:r>
    </w:p>
    <w:p w14:paraId="592598CB" w14:textId="77777777" w:rsidR="002A2CE2" w:rsidRPr="001B3113" w:rsidRDefault="002A2CE2" w:rsidP="002A2CE2">
      <w:pPr>
        <w:spacing w:before="120" w:after="120" w:line="240" w:lineRule="auto"/>
        <w:ind w:left="709" w:right="709"/>
        <w:contextualSpacing/>
        <w:jc w:val="both"/>
        <w:rPr>
          <w:rFonts w:ascii="Verdana" w:hAnsi="Verdana" w:cs="Arial"/>
          <w:color w:val="000000" w:themeColor="text1"/>
          <w:sz w:val="20"/>
          <w:szCs w:val="20"/>
          <w:lang w:val="es-ES" w:bidi="es-ES"/>
        </w:rPr>
      </w:pPr>
      <w:r w:rsidRPr="001B3113">
        <w:rPr>
          <w:rFonts w:ascii="Verdana" w:hAnsi="Verdana" w:cs="Arial"/>
          <w:color w:val="000000" w:themeColor="text1"/>
          <w:sz w:val="20"/>
          <w:szCs w:val="20"/>
          <w:lang w:val="es-ES" w:bidi="es-ES"/>
        </w:rPr>
        <w:t xml:space="preserve">  </w:t>
      </w:r>
    </w:p>
    <w:p w14:paraId="12637A5E" w14:textId="77777777" w:rsidR="002A2CE2" w:rsidRPr="001B3113" w:rsidRDefault="002A2CE2" w:rsidP="002A2CE2">
      <w:pPr>
        <w:spacing w:before="120" w:after="120" w:line="240" w:lineRule="auto"/>
        <w:ind w:left="709" w:right="709"/>
        <w:contextualSpacing/>
        <w:jc w:val="both"/>
        <w:rPr>
          <w:rFonts w:ascii="Verdana" w:hAnsi="Verdana" w:cs="Arial"/>
          <w:color w:val="000000" w:themeColor="text1"/>
          <w:lang w:val="es-ES" w:bidi="es-ES"/>
        </w:rPr>
      </w:pPr>
      <w:r w:rsidRPr="001B3113">
        <w:rPr>
          <w:rFonts w:ascii="Verdana" w:hAnsi="Verdana" w:cs="Arial"/>
          <w:color w:val="000000" w:themeColor="text1"/>
          <w:sz w:val="20"/>
          <w:szCs w:val="20"/>
          <w:lang w:val="es-ES" w:bidi="es-ES"/>
        </w:rPr>
        <w:t>Lo anterior, sin perjuicio de que las entidades a las que se refiere el primer inciso de este parágrafo puedan presentar oferta para participar en los procesos de selección de esquemas de asociación público- privada regidos por esta ley, siempre que cumplan con los requisitos establecidos para el efecto en el respectivo proceso de selección”.</w:t>
      </w:r>
      <w:r w:rsidRPr="001B3113">
        <w:rPr>
          <w:rFonts w:ascii="Verdana" w:hAnsi="Verdana" w:cs="Arial"/>
          <w:color w:val="000000" w:themeColor="text1"/>
          <w:lang w:val="es-ES" w:bidi="es-ES"/>
        </w:rPr>
        <w:t xml:space="preserve"> </w:t>
      </w:r>
      <w:r w:rsidRPr="001B3113">
        <w:rPr>
          <w:rFonts w:ascii="Verdana" w:hAnsi="Verdana" w:cs="Arial"/>
          <w:color w:val="000000" w:themeColor="text1"/>
          <w:lang w:val="es-ES" w:bidi="es-ES"/>
        </w:rPr>
        <w:tab/>
      </w:r>
    </w:p>
    <w:p w14:paraId="0D5A1ABA" w14:textId="77777777" w:rsidR="002A2CE2" w:rsidRPr="001B3113" w:rsidRDefault="002A2CE2" w:rsidP="002A2CE2">
      <w:pPr>
        <w:spacing w:before="120" w:after="120" w:line="240" w:lineRule="auto"/>
        <w:ind w:left="1134" w:right="709"/>
        <w:contextualSpacing/>
        <w:jc w:val="both"/>
        <w:rPr>
          <w:rFonts w:ascii="Verdana" w:hAnsi="Verdana" w:cs="Arial"/>
          <w:color w:val="000000" w:themeColor="text1"/>
          <w:lang w:val="es-ES" w:bidi="es-ES"/>
        </w:rPr>
      </w:pPr>
    </w:p>
    <w:p w14:paraId="54C01C59" w14:textId="77777777" w:rsidR="002A2CE2" w:rsidRPr="007E18AD" w:rsidRDefault="002A2CE2" w:rsidP="002A2CE2">
      <w:pPr>
        <w:spacing w:after="120" w:line="276" w:lineRule="auto"/>
        <w:ind w:firstLine="709"/>
        <w:jc w:val="both"/>
        <w:rPr>
          <w:rFonts w:ascii="Verdana" w:hAnsi="Verdana" w:cs="Arial"/>
          <w:color w:val="000000" w:themeColor="text1"/>
          <w:lang w:val="es-ES" w:bidi="es-ES"/>
        </w:rPr>
      </w:pPr>
      <w:r w:rsidRPr="001B3113">
        <w:rPr>
          <w:rFonts w:ascii="Verdana" w:eastAsia="Calibri" w:hAnsi="Verdana" w:cs="Arial"/>
          <w:lang w:val="es-ES" w:eastAsia="es-CO"/>
        </w:rPr>
        <w:t xml:space="preserve">Conforme se desprende del texto principal de la norma en cita, la propia Ley 1508 de 2012, haciendo referencia expresa a las leyes 80 de 1993, 1150 de 2007 y 489 de </w:t>
      </w:r>
      <w:proofErr w:type="gramStart"/>
      <w:r w:rsidRPr="001B3113">
        <w:rPr>
          <w:rFonts w:ascii="Verdana" w:eastAsia="Calibri" w:hAnsi="Verdana" w:cs="Arial"/>
          <w:lang w:val="es-ES" w:eastAsia="es-CO"/>
        </w:rPr>
        <w:t>1998,  contempla</w:t>
      </w:r>
      <w:proofErr w:type="gramEnd"/>
      <w:r w:rsidRPr="001B3113">
        <w:rPr>
          <w:rFonts w:ascii="Verdana" w:eastAsia="Calibri" w:hAnsi="Verdana" w:cs="Arial"/>
          <w:lang w:val="es-ES" w:eastAsia="es-CO"/>
        </w:rPr>
        <w:t xml:space="preserve"> la posibilidad de que las entidades estatales celebren contratos y convenios interadministrativos con el objeto de desarrollar </w:t>
      </w:r>
      <w:r w:rsidRPr="001B3113">
        <w:rPr>
          <w:rFonts w:ascii="Verdana" w:eastAsia="Calibri" w:hAnsi="Verdana" w:cs="Arial"/>
          <w:lang w:val="es-ES" w:eastAsia="es-CO"/>
        </w:rPr>
        <w:lastRenderedPageBreak/>
        <w:t>esquemas de</w:t>
      </w:r>
      <w:r>
        <w:rPr>
          <w:rFonts w:ascii="Verdana" w:eastAsia="Calibri" w:hAnsi="Verdana" w:cs="Arial"/>
          <w:lang w:val="es-ES" w:eastAsia="es-CO"/>
        </w:rPr>
        <w:t xml:space="preserve"> APP</w:t>
      </w:r>
      <w:r w:rsidRPr="001B3113">
        <w:rPr>
          <w:rFonts w:ascii="Verdana" w:eastAsia="Calibri" w:hAnsi="Verdana" w:cs="Arial"/>
          <w:lang w:val="es-ES" w:eastAsia="es-CO"/>
        </w:rPr>
        <w:t xml:space="preserve">, no </w:t>
      </w:r>
      <w:proofErr w:type="gramStart"/>
      <w:r w:rsidRPr="001B3113">
        <w:rPr>
          <w:rFonts w:ascii="Verdana" w:eastAsia="Calibri" w:hAnsi="Verdana" w:cs="Arial"/>
          <w:lang w:val="es-ES" w:eastAsia="es-CO"/>
        </w:rPr>
        <w:t>obstante</w:t>
      </w:r>
      <w:proofErr w:type="gramEnd"/>
      <w:r w:rsidRPr="001B3113">
        <w:rPr>
          <w:rFonts w:ascii="Verdana" w:eastAsia="Calibri" w:hAnsi="Verdana" w:cs="Arial"/>
          <w:lang w:val="es-ES" w:eastAsia="es-CO"/>
        </w:rPr>
        <w:t xml:space="preserve"> dicho inciso impone la aplicación de </w:t>
      </w:r>
      <w:r w:rsidRPr="001B3113">
        <w:rPr>
          <w:rFonts w:ascii="Verdana" w:eastAsia="Calibri" w:hAnsi="Verdana" w:cs="Arial"/>
          <w:i/>
          <w:lang w:val="es-ES" w:eastAsia="es-CO"/>
        </w:rPr>
        <w:t>“los procedimientos de estructuración, aprobación y gestión contractual previstos en la presente ley”.</w:t>
      </w:r>
      <w:r w:rsidRPr="001B3113">
        <w:rPr>
          <w:rFonts w:ascii="Verdana" w:eastAsia="Calibri" w:hAnsi="Verdana" w:cs="Arial"/>
          <w:lang w:val="es-ES" w:eastAsia="es-CO"/>
        </w:rPr>
        <w:t xml:space="preserve"> A su vez, el parágrafo de dicho artículo avala la posibilidad de que las empresas industriales y comerciales del Estado, las sociedades de economía mixta en las que el Estado tenga participación superior al cincuenta por ciento (50%), sus filiales</w:t>
      </w:r>
      <w:r>
        <w:rPr>
          <w:rFonts w:ascii="Verdana" w:eastAsia="Calibri" w:hAnsi="Verdana" w:cs="Arial"/>
          <w:lang w:val="es-ES" w:eastAsia="es-CO"/>
        </w:rPr>
        <w:t xml:space="preserve">, </w:t>
      </w:r>
      <w:r w:rsidRPr="001B3113">
        <w:rPr>
          <w:rFonts w:ascii="Verdana" w:eastAsia="Calibri" w:hAnsi="Verdana" w:cs="Arial"/>
          <w:lang w:val="es-ES" w:eastAsia="es-CO"/>
        </w:rPr>
        <w:t xml:space="preserve">las sociedades entre entidades públicas con participación mayoritaria del Estado superior al cincuenta por ciento (50%) y las empresas de servicios públicos domiciliarios oficiales o mixtas, </w:t>
      </w:r>
      <w:r>
        <w:rPr>
          <w:rFonts w:ascii="Verdana" w:eastAsia="Calibri" w:hAnsi="Verdana" w:cs="Arial"/>
          <w:lang w:val="es-ES" w:eastAsia="es-CO"/>
        </w:rPr>
        <w:t>opten voluntariamente</w:t>
      </w:r>
      <w:r>
        <w:rPr>
          <w:rFonts w:ascii="Verdana" w:hAnsi="Verdana" w:cs="Arial"/>
          <w:color w:val="000000" w:themeColor="text1"/>
          <w:lang w:val="es-ES" w:bidi="es-ES"/>
        </w:rPr>
        <w:t xml:space="preserve"> </w:t>
      </w:r>
      <w:r w:rsidRPr="001B3113">
        <w:rPr>
          <w:rFonts w:ascii="Verdana" w:hAnsi="Verdana" w:cs="Arial"/>
          <w:color w:val="000000" w:themeColor="text1"/>
          <w:lang w:val="es-ES" w:bidi="es-ES"/>
        </w:rPr>
        <w:t xml:space="preserve">por celebrar </w:t>
      </w:r>
      <w:r w:rsidRPr="001B3113">
        <w:rPr>
          <w:rFonts w:ascii="Verdana" w:hAnsi="Verdana"/>
          <w:lang w:val="es-ES"/>
        </w:rPr>
        <w:t xml:space="preserve">esquemas de </w:t>
      </w:r>
      <w:r>
        <w:rPr>
          <w:rFonts w:ascii="Verdana" w:hAnsi="Verdana"/>
          <w:lang w:val="es-ES"/>
        </w:rPr>
        <w:t xml:space="preserve">APP </w:t>
      </w:r>
      <w:r w:rsidRPr="001B3113">
        <w:rPr>
          <w:rFonts w:ascii="Verdana" w:hAnsi="Verdana"/>
          <w:lang w:val="es-ES"/>
        </w:rPr>
        <w:t xml:space="preserve">bajo el régimen de dicha ley. </w:t>
      </w:r>
    </w:p>
    <w:p w14:paraId="690C66CF" w14:textId="77777777" w:rsidR="002A2CE2" w:rsidRPr="001B3113" w:rsidRDefault="002A2CE2" w:rsidP="002A2CE2">
      <w:pPr>
        <w:spacing w:after="120" w:line="276" w:lineRule="auto"/>
        <w:ind w:firstLine="709"/>
        <w:jc w:val="both"/>
        <w:rPr>
          <w:rFonts w:ascii="Verdana" w:hAnsi="Verdana" w:cs="Arial"/>
          <w:color w:val="000000" w:themeColor="text1"/>
          <w:sz w:val="20"/>
          <w:szCs w:val="20"/>
          <w:lang w:val="es-ES" w:bidi="es-ES"/>
        </w:rPr>
      </w:pPr>
      <w:r>
        <w:rPr>
          <w:rFonts w:ascii="Verdana" w:hAnsi="Verdana"/>
          <w:lang w:val="es-ES"/>
        </w:rPr>
        <w:t xml:space="preserve">Por su parte, </w:t>
      </w:r>
      <w:r w:rsidRPr="001B3113">
        <w:rPr>
          <w:rFonts w:ascii="Verdana" w:hAnsi="Verdana"/>
          <w:lang w:val="es-ES"/>
        </w:rPr>
        <w:t>el tercer inciso del</w:t>
      </w:r>
      <w:r>
        <w:rPr>
          <w:rFonts w:ascii="Verdana" w:hAnsi="Verdana"/>
          <w:lang w:val="es-ES"/>
        </w:rPr>
        <w:t xml:space="preserve"> parágrafo del referido</w:t>
      </w:r>
      <w:r w:rsidRPr="001B3113">
        <w:rPr>
          <w:rFonts w:ascii="Verdana" w:hAnsi="Verdana"/>
          <w:lang w:val="es-ES"/>
        </w:rPr>
        <w:t xml:space="preserve"> artículo 8</w:t>
      </w:r>
      <w:r>
        <w:rPr>
          <w:rFonts w:ascii="Verdana" w:hAnsi="Verdana"/>
          <w:lang w:val="es-ES"/>
        </w:rPr>
        <w:t xml:space="preserve"> señala que, </w:t>
      </w:r>
      <w:r w:rsidRPr="001B3113">
        <w:rPr>
          <w:rFonts w:ascii="Verdana" w:hAnsi="Verdana"/>
          <w:lang w:val="es-ES"/>
        </w:rPr>
        <w:t>en el caso en que dichas entidades opten por adoptar esquemas distintos a las Asociaci</w:t>
      </w:r>
      <w:r>
        <w:rPr>
          <w:rFonts w:ascii="Verdana" w:hAnsi="Verdana"/>
          <w:lang w:val="es-ES"/>
        </w:rPr>
        <w:t>ones</w:t>
      </w:r>
      <w:r w:rsidRPr="001B3113">
        <w:rPr>
          <w:rFonts w:ascii="Verdana" w:hAnsi="Verdana"/>
          <w:lang w:val="es-ES"/>
        </w:rPr>
        <w:t xml:space="preserve"> Público</w:t>
      </w:r>
      <w:r>
        <w:rPr>
          <w:rFonts w:ascii="Verdana" w:hAnsi="Verdana"/>
          <w:lang w:val="es-ES"/>
        </w:rPr>
        <w:t>-</w:t>
      </w:r>
      <w:r w:rsidRPr="001B3113">
        <w:rPr>
          <w:rFonts w:ascii="Verdana" w:hAnsi="Verdana"/>
          <w:lang w:val="es-ES"/>
        </w:rPr>
        <w:t>Privadas sujetas a la Ley 1508 de 2012, tienen la facultad de contratar esquemas de participación privada en cualquier tipo de infraestructura conforme a su régimen de contratación, lo cual podría incluir, sin limitarse a ello, la concesión de que trata el numeral 4 del artículo 32 de la Ley 80 de 1993.</w:t>
      </w:r>
      <w:r w:rsidRPr="001B3113">
        <w:rPr>
          <w:rFonts w:ascii="Verdana" w:hAnsi="Verdana" w:cs="Arial"/>
          <w:color w:val="000000" w:themeColor="text1"/>
          <w:sz w:val="20"/>
          <w:szCs w:val="20"/>
          <w:lang w:val="es-ES" w:bidi="es-ES"/>
        </w:rPr>
        <w:t xml:space="preserve">  </w:t>
      </w:r>
    </w:p>
    <w:p w14:paraId="1BD1034B" w14:textId="77777777" w:rsidR="002A2CE2" w:rsidRPr="001B3113" w:rsidRDefault="002A2CE2" w:rsidP="002A2CE2">
      <w:pPr>
        <w:spacing w:after="120" w:line="276" w:lineRule="auto"/>
        <w:ind w:firstLine="709"/>
        <w:jc w:val="both"/>
        <w:rPr>
          <w:rFonts w:ascii="Verdana" w:hAnsi="Verdana"/>
          <w:lang w:val="es-ES"/>
        </w:rPr>
      </w:pPr>
      <w:r w:rsidRPr="001B3113">
        <w:rPr>
          <w:rFonts w:ascii="Verdana" w:hAnsi="Verdana"/>
          <w:lang w:val="es-ES"/>
        </w:rPr>
        <w:t xml:space="preserve">En efecto, cuando alguna de las entidades antes mencionadas requiera contratar esquemas de participación privada para proyectos de infraestructura tendrá dos posibilidades. i) Primero, celebrar un esquema de Asociación Público-Privada conforme a lo establecido en la Ley 1508 de 2012; cuando las entidades opten por esta opción, deberán dar estricto cumplimiento a lo previsto en dicha norma y sujetarse a las disposiciones particulares que les sean aplicables en materia contractual y presupuestal, lo cual incluye los mecanismos y modalidades de contratación allí dispuestas para la contratación de APP. </w:t>
      </w:r>
      <w:proofErr w:type="spellStart"/>
      <w:r w:rsidRPr="001B3113">
        <w:rPr>
          <w:rFonts w:ascii="Verdana" w:hAnsi="Verdana"/>
          <w:lang w:val="es-ES"/>
        </w:rPr>
        <w:t>ii</w:t>
      </w:r>
      <w:proofErr w:type="spellEnd"/>
      <w:r w:rsidRPr="001B3113">
        <w:rPr>
          <w:rFonts w:ascii="Verdana" w:hAnsi="Verdana"/>
          <w:lang w:val="es-ES"/>
        </w:rPr>
        <w:t xml:space="preserve">)  La segunda opción será adoptar otros esquemas de participación privada de conformidad con lo establecido en su régimen de contratación, caso en el cual no estarán obligadas a adelantar procedimientos de licitación pública en el marco del EGCAP para la celebración de contratos de concesión. </w:t>
      </w:r>
    </w:p>
    <w:p w14:paraId="3C7823E5" w14:textId="77777777" w:rsidR="002A2CE2" w:rsidRDefault="002A2CE2" w:rsidP="002A2CE2">
      <w:pPr>
        <w:spacing w:after="0" w:line="276" w:lineRule="auto"/>
        <w:ind w:firstLine="709"/>
        <w:jc w:val="both"/>
        <w:rPr>
          <w:rFonts w:ascii="Verdana" w:hAnsi="Verdana"/>
          <w:lang w:val="es-ES"/>
        </w:rPr>
      </w:pPr>
      <w:r w:rsidRPr="001B3113">
        <w:rPr>
          <w:rFonts w:ascii="Verdana" w:hAnsi="Verdana"/>
          <w:lang w:val="es-ES"/>
        </w:rPr>
        <w:t>En el supuesto objeto de consulta, se trata de una entidad bajo el régimen de contratación de las EICE que cumple con los supuestos del artículo 14 de la Ley 1150 de 2007 para sujetarse a “las disposiciones legales y reglamentarias aplicables a su</w:t>
      </w:r>
      <w:r>
        <w:rPr>
          <w:rFonts w:ascii="Verdana" w:hAnsi="Verdana"/>
          <w:lang w:val="es-ES"/>
        </w:rPr>
        <w:t>s</w:t>
      </w:r>
      <w:r w:rsidRPr="001B3113">
        <w:rPr>
          <w:rFonts w:ascii="Verdana" w:hAnsi="Verdana"/>
          <w:lang w:val="es-ES"/>
        </w:rPr>
        <w:t xml:space="preserve"> actividades económicas y comerciales”. Lo anterior porque cuenta con una participación estatal del 100%, pero desarrolla actividades comerciales en competencia. Es decir, que su régimen contractual a la hora de </w:t>
      </w:r>
      <w:r w:rsidRPr="001B3113">
        <w:rPr>
          <w:rFonts w:ascii="Verdana" w:hAnsi="Verdana"/>
          <w:lang w:val="es-ES"/>
        </w:rPr>
        <w:lastRenderedPageBreak/>
        <w:t xml:space="preserve">adelantar procesos de contratación que vinculen capital privado será el que disponga su norma de creación, su manual de contratación y el derecho privado. </w:t>
      </w:r>
    </w:p>
    <w:p w14:paraId="6805E540" w14:textId="77777777" w:rsidR="002A2CE2" w:rsidRPr="001B3113" w:rsidRDefault="002A2CE2" w:rsidP="002A2CE2">
      <w:pPr>
        <w:spacing w:before="120" w:after="0" w:line="276" w:lineRule="auto"/>
        <w:ind w:firstLine="709"/>
        <w:jc w:val="both"/>
        <w:rPr>
          <w:rFonts w:ascii="Verdana" w:hAnsi="Verdana"/>
          <w:lang w:val="es-ES"/>
        </w:rPr>
      </w:pPr>
      <w:r>
        <w:rPr>
          <w:rFonts w:ascii="Verdana" w:hAnsi="Verdana"/>
          <w:lang w:val="es-ES"/>
        </w:rPr>
        <w:t xml:space="preserve">En virtud de </w:t>
      </w:r>
      <w:r w:rsidRPr="001B3113">
        <w:rPr>
          <w:rFonts w:ascii="Verdana" w:hAnsi="Verdana"/>
          <w:lang w:val="es-ES"/>
        </w:rPr>
        <w:t>lo dispuesto en el parágrafo del artículo 8 de la Ley 1508 de 2012, al tratarse de una</w:t>
      </w:r>
      <w:r w:rsidRPr="001B3113">
        <w:rPr>
          <w:rFonts w:ascii="Verdana" w:hAnsi="Verdana"/>
          <w:color w:val="333333"/>
          <w:sz w:val="25"/>
          <w:szCs w:val="25"/>
          <w:shd w:val="clear" w:color="auto" w:fill="FFFFFF"/>
          <w:lang w:val="es-ES"/>
        </w:rPr>
        <w:t xml:space="preserve"> “</w:t>
      </w:r>
      <w:r w:rsidRPr="001B3113">
        <w:rPr>
          <w:rFonts w:ascii="Verdana" w:hAnsi="Verdana"/>
          <w:lang w:val="es-ES"/>
        </w:rPr>
        <w:t>Sociedad entre Entidades Públicas con participación mayoritaria del Estado superior al cincuenta por ciento (50%)”</w:t>
      </w:r>
      <w:r>
        <w:rPr>
          <w:rFonts w:ascii="Verdana" w:hAnsi="Verdana"/>
          <w:lang w:val="es-ES"/>
        </w:rPr>
        <w:t xml:space="preserve">, </w:t>
      </w:r>
      <w:r w:rsidRPr="001B3113">
        <w:rPr>
          <w:rFonts w:ascii="Verdana" w:hAnsi="Verdana"/>
          <w:lang w:val="es-ES"/>
        </w:rPr>
        <w:t xml:space="preserve">tendrá la potestad de elegir i) actuar como contratante de esquemas de Asociación Público Privada para infraestructura de cualquier tipo con sujeción y cumplimiento del marco jurídico previsto en la Ley 1508 de 2012; o </w:t>
      </w:r>
      <w:proofErr w:type="spellStart"/>
      <w:r w:rsidRPr="001B3113">
        <w:rPr>
          <w:rFonts w:ascii="Verdana" w:hAnsi="Verdana"/>
          <w:lang w:val="es-ES"/>
        </w:rPr>
        <w:t>ii</w:t>
      </w:r>
      <w:proofErr w:type="spellEnd"/>
      <w:r w:rsidRPr="001B3113">
        <w:rPr>
          <w:rFonts w:ascii="Verdana" w:hAnsi="Verdana"/>
          <w:lang w:val="es-ES"/>
        </w:rPr>
        <w:t>) no acogerse a las modalidades y esquemas previstos en esta norma y contratar esquemas de participación privada en infraestructura conforme a su régimen de contratación</w:t>
      </w:r>
      <w:r>
        <w:rPr>
          <w:rFonts w:ascii="Verdana" w:hAnsi="Verdana"/>
          <w:lang w:val="es-ES"/>
        </w:rPr>
        <w:t>, los cuales</w:t>
      </w:r>
      <w:r w:rsidRPr="001B3113">
        <w:rPr>
          <w:rFonts w:ascii="Verdana" w:hAnsi="Verdana"/>
          <w:lang w:val="es-ES"/>
        </w:rPr>
        <w:t xml:space="preserve"> pueden o no incluir la utilización de los contratos de concesión a los que se refiere la Ley 80 de 1993. </w:t>
      </w:r>
    </w:p>
    <w:p w14:paraId="4538B904" w14:textId="77777777" w:rsidR="002A2CE2" w:rsidRDefault="002A2CE2" w:rsidP="002A2CE2">
      <w:pPr>
        <w:spacing w:before="120" w:after="120" w:line="276" w:lineRule="auto"/>
        <w:ind w:firstLine="709"/>
        <w:jc w:val="both"/>
        <w:rPr>
          <w:rFonts w:ascii="Verdana" w:hAnsi="Verdana"/>
          <w:lang w:val="es-ES"/>
        </w:rPr>
      </w:pPr>
      <w:r w:rsidRPr="001B3113">
        <w:rPr>
          <w:rFonts w:ascii="Verdana" w:hAnsi="Verdana"/>
          <w:lang w:val="es-ES"/>
        </w:rPr>
        <w:t>Sin embargo, lo anterior se refiere exclusivamente al régimen bajo el cual la entidad puede adelantar su actividad contractual, pero no desplaza o modifica las normas que le sean aplicables</w:t>
      </w:r>
      <w:r w:rsidRPr="00970CB9">
        <w:t xml:space="preserve"> </w:t>
      </w:r>
      <w:r w:rsidRPr="00970CB9">
        <w:rPr>
          <w:rFonts w:ascii="Verdana" w:hAnsi="Verdana"/>
        </w:rPr>
        <w:t>por razón del sector al que pertenece, de las actividades que desarrolla o de los servicios que presta</w:t>
      </w:r>
      <w:r w:rsidRPr="001B3113">
        <w:rPr>
          <w:rFonts w:ascii="Verdana" w:hAnsi="Verdana"/>
          <w:lang w:val="es-ES"/>
        </w:rPr>
        <w:t>. En el supuesto objeto de consulta, se resalta que el artículo 1</w:t>
      </w:r>
      <w:r>
        <w:rPr>
          <w:rFonts w:ascii="Verdana" w:hAnsi="Verdana"/>
          <w:lang w:val="es-ES"/>
        </w:rPr>
        <w:t>4</w:t>
      </w:r>
      <w:r w:rsidRPr="001B3113">
        <w:rPr>
          <w:rFonts w:ascii="Verdana" w:hAnsi="Verdana"/>
          <w:lang w:val="es-ES"/>
        </w:rPr>
        <w:t xml:space="preserve"> de la Ley 1150 de 2007 </w:t>
      </w:r>
      <w:r>
        <w:rPr>
          <w:rFonts w:ascii="Verdana" w:hAnsi="Verdana"/>
          <w:lang w:val="es-ES"/>
        </w:rPr>
        <w:t xml:space="preserve">dispone </w:t>
      </w:r>
      <w:r w:rsidRPr="001B3113">
        <w:rPr>
          <w:rFonts w:ascii="Verdana" w:hAnsi="Verdana"/>
          <w:lang w:val="es-ES"/>
        </w:rPr>
        <w:t xml:space="preserve">que dichas entidades se regirán por “las disposiciones legales y reglamentarias aplicables a sus actividades económicas y comerciales”. En consecuencia, la entidad no podrá </w:t>
      </w:r>
      <w:r>
        <w:rPr>
          <w:rFonts w:ascii="Verdana" w:hAnsi="Verdana"/>
          <w:lang w:val="es-ES"/>
        </w:rPr>
        <w:t>a</w:t>
      </w:r>
      <w:r w:rsidRPr="001B3113">
        <w:rPr>
          <w:rFonts w:ascii="Verdana" w:hAnsi="Verdana"/>
          <w:lang w:val="es-ES"/>
        </w:rPr>
        <w:t xml:space="preserve">cudir a su régimen contractual privado o a su manual de contratación en perjuicio de las reglas dispuestas en el Estatuto </w:t>
      </w:r>
      <w:r>
        <w:rPr>
          <w:rFonts w:ascii="Verdana" w:hAnsi="Verdana"/>
          <w:lang w:val="es-ES"/>
        </w:rPr>
        <w:t xml:space="preserve">Nacional </w:t>
      </w:r>
      <w:r w:rsidRPr="001B3113">
        <w:rPr>
          <w:rFonts w:ascii="Verdana" w:hAnsi="Verdana"/>
          <w:lang w:val="es-ES"/>
        </w:rPr>
        <w:t xml:space="preserve">de Transporte, </w:t>
      </w:r>
      <w:r w:rsidRPr="00D86EEF">
        <w:rPr>
          <w:rFonts w:ascii="Verdana" w:hAnsi="Verdana"/>
          <w:lang w:val="es-ES"/>
        </w:rPr>
        <w:t>Ley 336 de 1996. Así lo dispone expresamente el artículo 80 de esta norma según el cual “El Modo de Transporte Ferroviario, además de ser un servicio público esencial, se regula por las normas estipuladas en esta Ley y las normas especiales sobre la materia”.</w:t>
      </w:r>
    </w:p>
    <w:p w14:paraId="130E78FC" w14:textId="57723470" w:rsidR="00715EDF" w:rsidRPr="00D71998" w:rsidRDefault="00715EDF" w:rsidP="002A2CE2">
      <w:pPr>
        <w:spacing w:before="120" w:after="120" w:line="276" w:lineRule="auto"/>
        <w:ind w:firstLine="709"/>
        <w:jc w:val="both"/>
        <w:rPr>
          <w:rFonts w:ascii="Verdana" w:hAnsi="Verdana"/>
          <w:lang w:val="es-ES"/>
        </w:rPr>
      </w:pPr>
      <w:r w:rsidRPr="00D71998">
        <w:rPr>
          <w:rFonts w:ascii="Verdana" w:hAnsi="Verdana"/>
          <w:lang w:val="es-ES"/>
        </w:rPr>
        <w:t>En la misma dirección, el artículo 81 ibidem prevé que la infraestructura férrea podrá ser concesionada en los términos de las normas vigentes, quedando a cargo del concesionario la rehabilitación, mantenimiento, conservación, control y operación de la vía y la prestación del servicio de transporte, lo que confirma que el componente de habilitación y operación no es disponible por la sola vía del régimen contractual de la entidad.</w:t>
      </w:r>
    </w:p>
    <w:p w14:paraId="314A5E7A" w14:textId="0903E131" w:rsidR="002A2CE2" w:rsidRPr="001B3113" w:rsidRDefault="002A2CE2" w:rsidP="00D35B5B">
      <w:pPr>
        <w:spacing w:after="120" w:line="276" w:lineRule="auto"/>
        <w:ind w:firstLine="708"/>
        <w:jc w:val="both"/>
        <w:rPr>
          <w:rFonts w:ascii="Verdana" w:hAnsi="Verdana"/>
          <w:lang w:val="es-ES"/>
        </w:rPr>
      </w:pPr>
      <w:r>
        <w:rPr>
          <w:rFonts w:ascii="Verdana" w:hAnsi="Verdana"/>
          <w:lang w:val="es-ES"/>
        </w:rPr>
        <w:t>S</w:t>
      </w:r>
      <w:r w:rsidRPr="001B3113">
        <w:rPr>
          <w:rFonts w:ascii="Verdana" w:hAnsi="Verdana"/>
          <w:lang w:val="es-ES"/>
        </w:rPr>
        <w:t xml:space="preserve">e resalta que dicho </w:t>
      </w:r>
      <w:r>
        <w:rPr>
          <w:rFonts w:ascii="Verdana" w:hAnsi="Verdana"/>
          <w:lang w:val="es-ES"/>
        </w:rPr>
        <w:t>E</w:t>
      </w:r>
      <w:r w:rsidRPr="001B3113">
        <w:rPr>
          <w:rFonts w:ascii="Verdana" w:hAnsi="Verdana"/>
          <w:lang w:val="es-ES"/>
        </w:rPr>
        <w:t xml:space="preserve">statuto fue reglamentado mediante el Decreto 1079 de 2015, el cual establece el marco jurídico </w:t>
      </w:r>
      <w:r>
        <w:rPr>
          <w:rFonts w:ascii="Verdana" w:hAnsi="Verdana"/>
          <w:lang w:val="es-ES"/>
        </w:rPr>
        <w:t>aplicable a</w:t>
      </w:r>
      <w:r w:rsidRPr="001B3113">
        <w:rPr>
          <w:rFonts w:ascii="Verdana" w:hAnsi="Verdana"/>
          <w:lang w:val="es-ES"/>
        </w:rPr>
        <w:t>l servicio público de transporte ferroviario. En efecto, los artículos 2.2.4.2.1. y 2.2.4.2.2. disponen l</w:t>
      </w:r>
      <w:r>
        <w:rPr>
          <w:rFonts w:ascii="Verdana" w:hAnsi="Verdana"/>
          <w:lang w:val="es-ES"/>
        </w:rPr>
        <w:t>o</w:t>
      </w:r>
      <w:r w:rsidRPr="001B3113">
        <w:rPr>
          <w:rFonts w:ascii="Verdana" w:hAnsi="Verdana"/>
          <w:lang w:val="es-ES"/>
        </w:rPr>
        <w:t>s requisitos que</w:t>
      </w:r>
      <w:r>
        <w:rPr>
          <w:rFonts w:ascii="Verdana" w:hAnsi="Verdana"/>
          <w:lang w:val="es-ES"/>
        </w:rPr>
        <w:t xml:space="preserve"> </w:t>
      </w:r>
      <w:r w:rsidRPr="001B3113">
        <w:rPr>
          <w:rFonts w:ascii="Verdana" w:hAnsi="Verdana"/>
          <w:lang w:val="es-ES"/>
        </w:rPr>
        <w:t xml:space="preserve">deben cumplirse para la habilitación y </w:t>
      </w:r>
      <w:r>
        <w:rPr>
          <w:rFonts w:ascii="Verdana" w:hAnsi="Verdana"/>
          <w:lang w:val="es-ES"/>
        </w:rPr>
        <w:t xml:space="preserve">la </w:t>
      </w:r>
      <w:r w:rsidRPr="001B3113">
        <w:rPr>
          <w:rFonts w:ascii="Verdana" w:hAnsi="Verdana"/>
          <w:lang w:val="es-ES"/>
        </w:rPr>
        <w:t xml:space="preserve">obtención del permiso </w:t>
      </w:r>
      <w:r w:rsidRPr="001B3113">
        <w:rPr>
          <w:rFonts w:ascii="Verdana" w:hAnsi="Verdana"/>
          <w:lang w:val="es-ES"/>
        </w:rPr>
        <w:lastRenderedPageBreak/>
        <w:t>de operación</w:t>
      </w:r>
      <w:r>
        <w:rPr>
          <w:rFonts w:ascii="Verdana" w:hAnsi="Verdana"/>
          <w:lang w:val="es-ES"/>
        </w:rPr>
        <w:t xml:space="preserve"> en dicho sector</w:t>
      </w:r>
      <w:r w:rsidRPr="001B3113">
        <w:rPr>
          <w:rFonts w:ascii="Verdana" w:hAnsi="Verdana"/>
          <w:lang w:val="es-ES"/>
        </w:rPr>
        <w:t>.</w:t>
      </w:r>
      <w:r>
        <w:rPr>
          <w:rFonts w:ascii="Verdana" w:hAnsi="Verdana"/>
          <w:lang w:val="es-ES"/>
        </w:rPr>
        <w:t xml:space="preserve"> Al respecto,</w:t>
      </w:r>
      <w:r w:rsidRPr="001B3113">
        <w:rPr>
          <w:rFonts w:ascii="Verdana" w:hAnsi="Verdana"/>
          <w:lang w:val="es-ES"/>
        </w:rPr>
        <w:t xml:space="preserve"> </w:t>
      </w:r>
      <w:r>
        <w:rPr>
          <w:rFonts w:ascii="Verdana" w:hAnsi="Verdana"/>
          <w:lang w:val="es-ES"/>
        </w:rPr>
        <w:t>e</w:t>
      </w:r>
      <w:r w:rsidRPr="001B3113">
        <w:rPr>
          <w:rFonts w:ascii="Verdana" w:hAnsi="Verdana"/>
          <w:lang w:val="es-ES"/>
        </w:rPr>
        <w:t xml:space="preserve">ste último artículo </w:t>
      </w:r>
      <w:r>
        <w:rPr>
          <w:rFonts w:ascii="Verdana" w:hAnsi="Verdana"/>
          <w:lang w:val="es-ES"/>
        </w:rPr>
        <w:t xml:space="preserve">señala que </w:t>
      </w:r>
      <w:r w:rsidRPr="001B3113">
        <w:rPr>
          <w:rFonts w:ascii="Verdana" w:hAnsi="Verdana"/>
          <w:lang w:val="es-ES"/>
        </w:rPr>
        <w:t xml:space="preserve">la “habilitación y el permiso de operación se otorgarán como consecuencia de la celebración de un contrato de concesión adjudicado mediante licitación pública”. </w:t>
      </w:r>
    </w:p>
    <w:p w14:paraId="0D173C19" w14:textId="77777777" w:rsidR="002A2CE2" w:rsidRDefault="002A2CE2" w:rsidP="002A2CE2">
      <w:pPr>
        <w:spacing w:after="0" w:line="276" w:lineRule="auto"/>
        <w:ind w:firstLine="709"/>
        <w:jc w:val="both"/>
        <w:rPr>
          <w:rFonts w:ascii="Verdana" w:hAnsi="Verdana"/>
          <w:lang w:val="es-ES"/>
        </w:rPr>
      </w:pPr>
      <w:r w:rsidRPr="00EE3C78">
        <w:rPr>
          <w:rFonts w:ascii="Verdana" w:hAnsi="Verdana"/>
          <w:lang w:val="es-ES"/>
        </w:rPr>
        <w:t xml:space="preserve">De esta manera, aunque el régimen de contratación permite a las entidades objeto de consulta acudir a mecanismos de participación privada bajo las normas que regulan su actividad, esta autorización relativa al régimen contractual no modifica o desplaza otros aspectos propios de la normativa que rige su actividad, por ejemplo, en materia de los requisitos que deben satisfacer las empresas interesadas en prestar el servicio público de transporte para obtener la habilitación, así como para el permiso de operación en materia de la prestación del servicio de transporte ferroviario. </w:t>
      </w:r>
    </w:p>
    <w:p w14:paraId="4F695363" w14:textId="3EAF19A0" w:rsidR="002A2CE2" w:rsidRPr="00EE3C78" w:rsidRDefault="002A2CE2" w:rsidP="002A2CE2">
      <w:pPr>
        <w:spacing w:before="120" w:after="0" w:line="276" w:lineRule="auto"/>
        <w:ind w:firstLine="709"/>
        <w:jc w:val="both"/>
        <w:rPr>
          <w:rFonts w:ascii="Verdana" w:hAnsi="Verdana"/>
          <w:lang w:val="es-ES"/>
        </w:rPr>
      </w:pPr>
      <w:r w:rsidRPr="00EE3C78">
        <w:rPr>
          <w:rFonts w:ascii="Verdana" w:hAnsi="Verdana"/>
          <w:lang w:val="es-ES"/>
        </w:rPr>
        <w:t xml:space="preserve">Al respecto, es fundamental destacar que, de acuerdo con lo señalado en el artículo 2.2.4.1.4. del Decreto 1079 </w:t>
      </w:r>
      <w:r>
        <w:rPr>
          <w:rFonts w:ascii="Verdana" w:hAnsi="Verdana"/>
          <w:lang w:val="es-ES"/>
        </w:rPr>
        <w:t>de</w:t>
      </w:r>
      <w:r w:rsidRPr="00EE3C78">
        <w:rPr>
          <w:rFonts w:ascii="Verdana" w:hAnsi="Verdana"/>
          <w:lang w:val="es-ES"/>
        </w:rPr>
        <w:t xml:space="preserve"> 2015, </w:t>
      </w:r>
      <w:r w:rsidRPr="00D14C33">
        <w:rPr>
          <w:rFonts w:ascii="Verdana" w:hAnsi="Verdana"/>
          <w:lang w:val="es-ES"/>
        </w:rPr>
        <w:t xml:space="preserve">corresponde al Ministerio de Transporte como organismo rector del sector, definir la política integral de transporte en el modo ferroviario en Colombia y planificar, regular y controlar el cumplimiento de </w:t>
      </w:r>
      <w:proofErr w:type="gramStart"/>
      <w:r w:rsidRPr="00D14C33">
        <w:rPr>
          <w:rFonts w:ascii="Verdana" w:hAnsi="Verdana"/>
          <w:lang w:val="es-ES"/>
        </w:rPr>
        <w:t>la misma</w:t>
      </w:r>
      <w:proofErr w:type="gramEnd"/>
      <w:r w:rsidRPr="00D14C33">
        <w:rPr>
          <w:rFonts w:ascii="Verdana" w:hAnsi="Verdana"/>
          <w:lang w:val="es-ES"/>
        </w:rPr>
        <w:t>.</w:t>
      </w:r>
      <w:r w:rsidRPr="00EE3C78">
        <w:rPr>
          <w:rFonts w:ascii="Verdana" w:hAnsi="Verdana"/>
          <w:lang w:val="es-ES"/>
        </w:rPr>
        <w:t xml:space="preserve"> En particular, es competencia del </w:t>
      </w:r>
      <w:r w:rsidRPr="00D14C33">
        <w:rPr>
          <w:rFonts w:ascii="Verdana" w:hAnsi="Verdana"/>
          <w:lang w:val="es-ES"/>
        </w:rPr>
        <w:t xml:space="preserve">Instituto Nacional de Vías - INVIAS y </w:t>
      </w:r>
      <w:r w:rsidRPr="00EE3C78">
        <w:rPr>
          <w:rFonts w:ascii="Verdana" w:hAnsi="Verdana"/>
          <w:lang w:val="es-ES"/>
        </w:rPr>
        <w:t>de</w:t>
      </w:r>
      <w:r w:rsidRPr="00D14C33">
        <w:rPr>
          <w:rFonts w:ascii="Verdana" w:hAnsi="Verdana"/>
          <w:lang w:val="es-ES"/>
        </w:rPr>
        <w:t xml:space="preserve"> la Agencia Nacional de Infraestructura -</w:t>
      </w:r>
      <w:proofErr w:type="gramStart"/>
      <w:r w:rsidRPr="00D14C33">
        <w:rPr>
          <w:rFonts w:ascii="Verdana" w:hAnsi="Verdana"/>
          <w:lang w:val="es-ES"/>
        </w:rPr>
        <w:t>ANI,</w:t>
      </w:r>
      <w:r w:rsidRPr="00EE3C78">
        <w:rPr>
          <w:rFonts w:ascii="Verdana" w:hAnsi="Verdana"/>
          <w:lang w:val="es-ES"/>
        </w:rPr>
        <w:t xml:space="preserve"> </w:t>
      </w:r>
      <w:r w:rsidRPr="00D14C33">
        <w:rPr>
          <w:rFonts w:ascii="Verdana" w:hAnsi="Verdana"/>
          <w:lang w:val="es-ES"/>
        </w:rPr>
        <w:t xml:space="preserve"> </w:t>
      </w:r>
      <w:r>
        <w:rPr>
          <w:rFonts w:ascii="Verdana" w:hAnsi="Verdana"/>
          <w:lang w:val="es-ES"/>
        </w:rPr>
        <w:t>o</w:t>
      </w:r>
      <w:proofErr w:type="gramEnd"/>
      <w:r>
        <w:rPr>
          <w:rFonts w:ascii="Verdana" w:hAnsi="Verdana"/>
          <w:lang w:val="es-ES"/>
        </w:rPr>
        <w:t xml:space="preserve"> </w:t>
      </w:r>
      <w:r w:rsidRPr="00D14C33">
        <w:rPr>
          <w:rFonts w:ascii="Verdana" w:hAnsi="Verdana"/>
          <w:lang w:val="es-ES"/>
        </w:rPr>
        <w:t>las entidades que hagan sus veces, ejecutar la política del Estado en esta materia, en las vías férreas de su respectiva competencia.</w:t>
      </w:r>
      <w:r w:rsidRPr="00EE3C78">
        <w:rPr>
          <w:rFonts w:ascii="Verdana" w:hAnsi="Verdana"/>
          <w:lang w:val="es-ES"/>
        </w:rPr>
        <w:t xml:space="preserve"> En efecto, excede la competencia de esta Agencia pronunciarse sobre la interpretación, alcance o </w:t>
      </w:r>
      <w:r>
        <w:rPr>
          <w:rFonts w:ascii="Verdana" w:hAnsi="Verdana"/>
          <w:lang w:val="es-ES"/>
        </w:rPr>
        <w:t xml:space="preserve">alternativas </w:t>
      </w:r>
      <w:r w:rsidRPr="00EE3C78">
        <w:rPr>
          <w:rFonts w:ascii="Verdana" w:hAnsi="Verdana"/>
          <w:lang w:val="es-ES"/>
        </w:rPr>
        <w:t xml:space="preserve">existentes para la obtención </w:t>
      </w:r>
      <w:r>
        <w:rPr>
          <w:rFonts w:ascii="Verdana" w:hAnsi="Verdana"/>
          <w:lang w:val="es-ES"/>
        </w:rPr>
        <w:t xml:space="preserve">de la habilitación o </w:t>
      </w:r>
      <w:r w:rsidRPr="00EE3C78">
        <w:rPr>
          <w:rFonts w:ascii="Verdana" w:hAnsi="Verdana"/>
          <w:lang w:val="es-ES"/>
        </w:rPr>
        <w:t>del permiso de operación</w:t>
      </w:r>
      <w:r>
        <w:rPr>
          <w:rFonts w:ascii="Verdana" w:hAnsi="Verdana"/>
          <w:lang w:val="es-ES"/>
        </w:rPr>
        <w:t xml:space="preserve">; en especial sobre la posibilidad de recurrir a vías distintas a las dispuestas en </w:t>
      </w:r>
      <w:r w:rsidRPr="00EE3C78">
        <w:rPr>
          <w:rFonts w:ascii="Verdana" w:hAnsi="Verdana"/>
          <w:lang w:val="es-ES"/>
        </w:rPr>
        <w:t>el referido artículo 2.2.4.2.2.</w:t>
      </w:r>
      <w:r w:rsidR="002E4EFE">
        <w:rPr>
          <w:rFonts w:ascii="Verdana" w:hAnsi="Verdana"/>
          <w:lang w:val="es-ES"/>
        </w:rPr>
        <w:t xml:space="preserve"> </w:t>
      </w:r>
      <w:r w:rsidR="002E4EFE" w:rsidRPr="002E4EFE">
        <w:rPr>
          <w:rFonts w:ascii="Verdana" w:hAnsi="Verdana"/>
        </w:rPr>
        <w:t xml:space="preserve">Debe advertirse, en todo caso, que si el régimen sectorial exige que la habilitación y el permiso de operación se obtengan a través de un contrato de concesión adjudicado mediante licitación pública </w:t>
      </w:r>
      <w:r w:rsidR="00796EBA">
        <w:rPr>
          <w:rFonts w:ascii="Verdana" w:hAnsi="Verdana"/>
        </w:rPr>
        <w:t>–</w:t>
      </w:r>
      <w:r w:rsidR="002E4EFE" w:rsidRPr="002E4EFE">
        <w:rPr>
          <w:rFonts w:ascii="Verdana" w:hAnsi="Verdana"/>
        </w:rPr>
        <w:t>artículo 2.2.4.2.2 del Decreto 1079 de 2015, en concordancia con los artículos 80 a 82 de la Ley 336 de 1996</w:t>
      </w:r>
      <w:r w:rsidR="00796EBA">
        <w:rPr>
          <w:rFonts w:ascii="Verdana" w:hAnsi="Verdana"/>
        </w:rPr>
        <w:t>–</w:t>
      </w:r>
      <w:r w:rsidR="002E4EFE" w:rsidRPr="002E4EFE">
        <w:rPr>
          <w:rFonts w:ascii="Verdana" w:hAnsi="Verdana"/>
        </w:rPr>
        <w:t>, la facultad de acudir al régimen propio de contratación reconocida por el artículo 8 de la Ley 1508 de 2012 quedaría materialmente condicionada para ese componente del proyecto, sin que a esta Agencia le corresponda definir el alcance de dicha exigencia, que es competencia del sector transporte</w:t>
      </w:r>
      <w:r w:rsidR="00CA32C4">
        <w:rPr>
          <w:rFonts w:ascii="Verdana" w:hAnsi="Verdana"/>
        </w:rPr>
        <w:t>.</w:t>
      </w:r>
      <w:r w:rsidRPr="00EE3C78">
        <w:rPr>
          <w:rFonts w:ascii="Verdana" w:hAnsi="Verdana"/>
          <w:lang w:val="es-ES"/>
        </w:rPr>
        <w:t xml:space="preserve"> Sobre lo anterior, será necesario consultar a las entidades competentes en la materia, a las cual se hizo alusión previamente. </w:t>
      </w:r>
    </w:p>
    <w:p w14:paraId="16B0E1AC" w14:textId="77777777" w:rsidR="002A2CE2" w:rsidRPr="00EE3C78" w:rsidRDefault="002A2CE2" w:rsidP="002A2CE2">
      <w:pPr>
        <w:spacing w:after="0" w:line="276" w:lineRule="auto"/>
        <w:ind w:firstLine="709"/>
        <w:jc w:val="both"/>
        <w:rPr>
          <w:rFonts w:ascii="Verdana" w:hAnsi="Verdana"/>
          <w:lang w:val="es-ES"/>
        </w:rPr>
      </w:pPr>
    </w:p>
    <w:p w14:paraId="1ACE3BC2" w14:textId="77777777" w:rsidR="002A2CE2" w:rsidRPr="001B3113" w:rsidRDefault="002A2CE2" w:rsidP="002A2CE2">
      <w:pPr>
        <w:spacing w:after="120" w:line="276" w:lineRule="auto"/>
        <w:jc w:val="both"/>
        <w:rPr>
          <w:rFonts w:ascii="Verdana" w:hAnsi="Verdana"/>
          <w:lang w:val="es-ES"/>
        </w:rPr>
      </w:pPr>
      <w:proofErr w:type="spellStart"/>
      <w:r>
        <w:rPr>
          <w:rFonts w:ascii="Verdana" w:hAnsi="Verdana"/>
          <w:lang w:val="es-ES"/>
        </w:rPr>
        <w:t>iii</w:t>
      </w:r>
      <w:proofErr w:type="spellEnd"/>
      <w:r>
        <w:rPr>
          <w:rFonts w:ascii="Verdana" w:hAnsi="Verdana"/>
          <w:lang w:val="es-ES"/>
        </w:rPr>
        <w:t xml:space="preserve">. </w:t>
      </w:r>
      <w:r w:rsidRPr="001B3113">
        <w:rPr>
          <w:rFonts w:ascii="Verdana" w:hAnsi="Verdana"/>
          <w:lang w:val="es-ES"/>
        </w:rPr>
        <w:t>En cualquier caso, en los términos del artículo 13 de la Ley 1150 de 2007, adicionado por el artículo 53 de la Ley 2195 de 2022, corresponde a la entidad</w:t>
      </w:r>
      <w:r>
        <w:rPr>
          <w:rFonts w:ascii="Verdana" w:hAnsi="Verdana"/>
          <w:lang w:val="es-ES"/>
        </w:rPr>
        <w:t xml:space="preserve"> contratante</w:t>
      </w:r>
      <w:r w:rsidRPr="001B3113">
        <w:rPr>
          <w:rFonts w:ascii="Verdana" w:hAnsi="Verdana"/>
          <w:lang w:val="es-ES"/>
        </w:rPr>
        <w:t xml:space="preserve">, en la etapa de planeación y bajo su exclusiva responsabilidad, </w:t>
      </w:r>
      <w:r w:rsidRPr="001B3113">
        <w:rPr>
          <w:rFonts w:ascii="Verdana" w:hAnsi="Verdana"/>
          <w:lang w:val="es-ES"/>
        </w:rPr>
        <w:lastRenderedPageBreak/>
        <w:t xml:space="preserve">verificar y consignar en los estudios y documentos previos el cumplimiento de los requisitos previstos para la habilitación y el permiso de operación del servicio público de transporte ferroviario, así como </w:t>
      </w:r>
      <w:r>
        <w:rPr>
          <w:rFonts w:ascii="Verdana" w:hAnsi="Verdana"/>
          <w:lang w:val="es-ES"/>
        </w:rPr>
        <w:t xml:space="preserve">analizar </w:t>
      </w:r>
      <w:r w:rsidRPr="001B3113">
        <w:rPr>
          <w:rFonts w:ascii="Verdana" w:hAnsi="Verdana"/>
          <w:lang w:val="es-ES"/>
        </w:rPr>
        <w:t xml:space="preserve">su incidencia en la viabilidad jurídica, técnica y financiera del proyecto de infraestructura que pretenda contratar mediante esquemas de participación privada. Dicho análisis resulta exigible con mayor rigor cuando la entidad opte por modalidades de contratación directa, sin que la sola previsión de </w:t>
      </w:r>
      <w:r>
        <w:rPr>
          <w:rFonts w:ascii="Verdana" w:hAnsi="Verdana"/>
          <w:lang w:val="es-ES"/>
        </w:rPr>
        <w:t xml:space="preserve">estos mecanismos </w:t>
      </w:r>
      <w:r w:rsidRPr="001B3113">
        <w:rPr>
          <w:rFonts w:ascii="Verdana" w:hAnsi="Verdana"/>
          <w:lang w:val="es-ES"/>
        </w:rPr>
        <w:t>en su manual de contratación constituya</w:t>
      </w:r>
      <w:r>
        <w:rPr>
          <w:rFonts w:ascii="Verdana" w:hAnsi="Verdana"/>
          <w:lang w:val="es-ES"/>
        </w:rPr>
        <w:t xml:space="preserve"> </w:t>
      </w:r>
      <w:r w:rsidRPr="001B3113">
        <w:rPr>
          <w:rFonts w:ascii="Verdana" w:hAnsi="Verdana"/>
          <w:lang w:val="es-ES"/>
        </w:rPr>
        <w:t>justificación suficiente de su procedencia</w:t>
      </w:r>
      <w:r>
        <w:rPr>
          <w:rFonts w:ascii="Verdana" w:hAnsi="Verdana"/>
          <w:lang w:val="es-ES"/>
        </w:rPr>
        <w:t>.</w:t>
      </w:r>
    </w:p>
    <w:p w14:paraId="74D744C2" w14:textId="77777777" w:rsidR="002A2CE2" w:rsidRPr="001B3113" w:rsidRDefault="002A2CE2" w:rsidP="002A2CE2">
      <w:pPr>
        <w:spacing w:after="0" w:line="276" w:lineRule="auto"/>
        <w:ind w:firstLine="709"/>
        <w:jc w:val="both"/>
        <w:rPr>
          <w:rFonts w:ascii="Verdana" w:hAnsi="Verdana"/>
          <w:lang w:val="es-ES"/>
        </w:rPr>
      </w:pPr>
      <w:r w:rsidRPr="001B3113">
        <w:rPr>
          <w:rFonts w:ascii="Verdana" w:hAnsi="Verdana"/>
          <w:lang w:val="es-ES"/>
        </w:rPr>
        <w:t>La determinación de la modalidad aplicable debe sustentarse en un ejercicio de planeación robusto y responder a los principios que igualmente gobiernan los regímenes especiales de contratación, conforme al artículo 13 de la Ley 1150 de 2007, adicionado por el artículo 53 de la Ley 2195 de 2022. En tal medida, la sola habilitación de contratar esquemas de participación privada de manera directa no implica, por sí misma, que su utilización resulte adecuada, conveniente, competitiva y transparente frente a un proyecto de la naturaleza del consultado.</w:t>
      </w:r>
    </w:p>
    <w:p w14:paraId="0175CB07" w14:textId="77777777" w:rsidR="002A2CE2" w:rsidRDefault="002A2CE2" w:rsidP="002A2CE2">
      <w:pPr>
        <w:spacing w:before="120" w:after="0" w:line="276" w:lineRule="auto"/>
        <w:ind w:firstLine="709"/>
        <w:jc w:val="both"/>
        <w:rPr>
          <w:rFonts w:ascii="Verdana" w:hAnsi="Verdana"/>
          <w:lang w:val="es-ES"/>
        </w:rPr>
      </w:pPr>
      <w:r w:rsidRPr="001B3113">
        <w:rPr>
          <w:rFonts w:ascii="Verdana" w:hAnsi="Verdana"/>
          <w:lang w:val="es-ES"/>
        </w:rPr>
        <w:t xml:space="preserve">De esta forma, cuando la entidad analice las alternativas de contratación disponibles —adelantar un esquema de Asociación </w:t>
      </w:r>
      <w:proofErr w:type="gramStart"/>
      <w:r w:rsidRPr="001B3113">
        <w:rPr>
          <w:rFonts w:ascii="Verdana" w:hAnsi="Verdana"/>
          <w:lang w:val="es-ES"/>
        </w:rPr>
        <w:t>Público Privada</w:t>
      </w:r>
      <w:proofErr w:type="gramEnd"/>
      <w:r w:rsidRPr="001B3113">
        <w:rPr>
          <w:rFonts w:ascii="Verdana" w:hAnsi="Verdana"/>
          <w:lang w:val="es-ES"/>
        </w:rPr>
        <w:t xml:space="preserve"> regido por la Ley 1508 de 2012, o implementar los mecanismos dispuestos en su manual de contratación— deberá determinar la viabilidad de cada alternativa con respecto a los requisitos exigidos por la Ley 336 de 1996 y su reglamentación para la prestación del servicio. La selección de la modalidad contractual es, en consecuencia, una decisión condicionada por la viabilidad sectorial del proyecto, y no un presupuesto previo e independiente de e</w:t>
      </w:r>
      <w:r>
        <w:rPr>
          <w:rFonts w:ascii="Verdana" w:hAnsi="Verdana"/>
          <w:lang w:val="es-ES"/>
        </w:rPr>
        <w:t>sta</w:t>
      </w:r>
      <w:r w:rsidRPr="001B3113">
        <w:rPr>
          <w:rFonts w:ascii="Verdana" w:hAnsi="Verdana"/>
          <w:lang w:val="es-ES"/>
        </w:rPr>
        <w:t>. La entidad deberá acreditar, en los estudios y documentos previos, que el aliado seleccionado se encuentra en condiciones de obtener los títulos habilitantes requeridos, y que la estructura contractual proyectada resulta compatible con el régimen sustancial de prestación del servicio.</w:t>
      </w:r>
    </w:p>
    <w:p w14:paraId="1EFA8B76" w14:textId="77777777" w:rsidR="002A2CE2" w:rsidRDefault="002A2CE2" w:rsidP="002A2CE2">
      <w:pPr>
        <w:spacing w:before="120" w:after="0" w:line="276" w:lineRule="auto"/>
        <w:ind w:firstLine="709"/>
        <w:jc w:val="both"/>
        <w:rPr>
          <w:rFonts w:ascii="Verdana" w:hAnsi="Verdana"/>
          <w:lang w:val="es-ES"/>
        </w:rPr>
      </w:pPr>
      <w:r w:rsidRPr="001B3113">
        <w:rPr>
          <w:rFonts w:ascii="Verdana" w:eastAsia="Calibri" w:hAnsi="Verdana" w:cs="Times New Roman"/>
          <w:lang w:val="es-ES"/>
        </w:rPr>
        <w:t>Aun en ausencia de restricciones espec</w:t>
      </w:r>
      <w:r>
        <w:rPr>
          <w:rFonts w:ascii="Verdana" w:eastAsia="Calibri" w:hAnsi="Verdana" w:cs="Times New Roman"/>
          <w:lang w:val="es-ES"/>
        </w:rPr>
        <w:t>í</w:t>
      </w:r>
      <w:r w:rsidRPr="001B3113">
        <w:rPr>
          <w:rFonts w:ascii="Verdana" w:eastAsia="Calibri" w:hAnsi="Verdana" w:cs="Times New Roman"/>
          <w:lang w:val="es-ES"/>
        </w:rPr>
        <w:t>ficas incluidas en los manuales de contratación, es importante recordar que la aplicación de derecho privado no excluye la aplicación de los principios de la gestión fiscal. En ese sentido, tales principios constituyen un límite axiológico y material en la estructuración de los procesos de contratación. Se reitera que el desarroll</w:t>
      </w:r>
      <w:r>
        <w:rPr>
          <w:rFonts w:ascii="Verdana" w:eastAsia="Calibri" w:hAnsi="Verdana" w:cs="Times New Roman"/>
          <w:lang w:val="es-ES"/>
        </w:rPr>
        <w:t>o de</w:t>
      </w:r>
      <w:r w:rsidRPr="001B3113">
        <w:rPr>
          <w:rFonts w:ascii="Verdana" w:eastAsia="Calibri" w:hAnsi="Verdana" w:cs="Times New Roman"/>
          <w:lang w:val="es-ES"/>
        </w:rPr>
        <w:t xml:space="preserve"> </w:t>
      </w:r>
      <w:r w:rsidRPr="001B3113">
        <w:rPr>
          <w:rFonts w:ascii="Verdana" w:hAnsi="Verdana"/>
          <w:lang w:val="es-ES"/>
        </w:rPr>
        <w:t xml:space="preserve">sus procesos contractuales bajo un régimen especial fundamentado en el derecho </w:t>
      </w:r>
      <w:proofErr w:type="gramStart"/>
      <w:r w:rsidRPr="001B3113">
        <w:rPr>
          <w:rFonts w:ascii="Verdana" w:hAnsi="Verdana"/>
          <w:lang w:val="es-ES"/>
        </w:rPr>
        <w:t>privado,</w:t>
      </w:r>
      <w:proofErr w:type="gramEnd"/>
      <w:r w:rsidRPr="001B3113">
        <w:rPr>
          <w:rFonts w:ascii="Verdana" w:hAnsi="Verdana"/>
          <w:lang w:val="es-ES"/>
        </w:rPr>
        <w:t xml:space="preserve"> no obsta para la irrestricta aplicación de los principios constitucionales que rigen la </w:t>
      </w:r>
      <w:r w:rsidRPr="001B3113">
        <w:rPr>
          <w:rFonts w:ascii="Verdana" w:hAnsi="Verdana"/>
          <w:lang w:val="es-ES"/>
        </w:rPr>
        <w:lastRenderedPageBreak/>
        <w:t>función administrativa (artículo 209 de la Constitución Política) y la gestión fiscal (artículo 267 de la Constitución Política).</w:t>
      </w:r>
    </w:p>
    <w:p w14:paraId="0CC4DF06" w14:textId="77777777" w:rsidR="002A2CE2" w:rsidRPr="001B3113" w:rsidRDefault="002A2CE2" w:rsidP="002A2CE2">
      <w:pPr>
        <w:spacing w:before="120" w:after="0" w:line="276" w:lineRule="auto"/>
        <w:ind w:firstLine="709"/>
        <w:jc w:val="both"/>
        <w:rPr>
          <w:rFonts w:ascii="Verdana" w:hAnsi="Verdana"/>
          <w:lang w:val="es-ES"/>
        </w:rPr>
      </w:pPr>
      <w:r w:rsidRPr="001B3113">
        <w:rPr>
          <w:rFonts w:ascii="Verdana" w:hAnsi="Verdana"/>
          <w:lang w:val="es-ES"/>
        </w:rPr>
        <w:t xml:space="preserve">En virtud de lo anterior, los procedimientos, requisitos, documentos y garantías exigibles en los procesos contractuales de las entidades </w:t>
      </w:r>
      <w:r>
        <w:rPr>
          <w:rFonts w:ascii="Verdana" w:hAnsi="Verdana"/>
          <w:lang w:val="es-ES"/>
        </w:rPr>
        <w:t>sujetas al</w:t>
      </w:r>
      <w:r w:rsidRPr="001B3113">
        <w:rPr>
          <w:rFonts w:ascii="Verdana" w:hAnsi="Verdana"/>
          <w:lang w:val="es-ES"/>
        </w:rPr>
        <w:t xml:space="preserve"> </w:t>
      </w:r>
      <w:r>
        <w:rPr>
          <w:rFonts w:ascii="Verdana" w:hAnsi="Verdana"/>
          <w:lang w:val="es-ES"/>
        </w:rPr>
        <w:t xml:space="preserve">régimen </w:t>
      </w:r>
      <w:r w:rsidRPr="001B3113">
        <w:rPr>
          <w:rFonts w:ascii="Verdana" w:hAnsi="Verdana"/>
          <w:lang w:val="es-ES"/>
        </w:rPr>
        <w:t>contractual de las EICE no están predefinidos de manera uniforme por una ley general. Por el contrario, la determinación de estos elementos recae en la autonomía de cada entidad, la cual debe ejercerse en coherencia con su marco normativo aplicable (incluyendo su acto de creación y las normas sectoriales que la rijan), así como con la observancia de los principios de transparencia, eficiencia, economía, responsabilidad y selección objetiva.</w:t>
      </w:r>
    </w:p>
    <w:p w14:paraId="77ACAE26" w14:textId="77777777" w:rsidR="002A2CE2" w:rsidRPr="001B3113" w:rsidRDefault="002A2CE2" w:rsidP="002A2CE2">
      <w:pPr>
        <w:spacing w:before="120" w:after="120" w:line="276" w:lineRule="auto"/>
        <w:ind w:firstLine="709"/>
        <w:jc w:val="both"/>
        <w:rPr>
          <w:rFonts w:ascii="Verdana" w:hAnsi="Verdana"/>
          <w:lang w:val="es-ES"/>
        </w:rPr>
      </w:pPr>
      <w:r>
        <w:rPr>
          <w:rFonts w:ascii="Verdana" w:hAnsi="Verdana"/>
          <w:lang w:val="es-ES"/>
        </w:rPr>
        <w:t xml:space="preserve">Como se dijo antes, </w:t>
      </w:r>
      <w:r w:rsidRPr="001B3113">
        <w:rPr>
          <w:rFonts w:ascii="Verdana" w:hAnsi="Verdana"/>
          <w:lang w:val="es-ES"/>
        </w:rPr>
        <w:t>la ausencia de una regulación contractual uniforme para entidades sometidas al régimen de las EICE no las exime del cumplimiento de los principios y normas que salvaguardan el interés general y el patrimonio público. Consecuentemente, la totalidad de los requisitos y condiciones contractuales que establezcan</w:t>
      </w:r>
      <w:r>
        <w:rPr>
          <w:rFonts w:ascii="Verdana" w:hAnsi="Verdana"/>
          <w:lang w:val="es-ES"/>
        </w:rPr>
        <w:t>, así como la determinación de la modalidad de selección en un caso concreto,</w:t>
      </w:r>
      <w:r w:rsidRPr="001B3113">
        <w:rPr>
          <w:rFonts w:ascii="Verdana" w:hAnsi="Verdana"/>
          <w:lang w:val="es-ES"/>
        </w:rPr>
        <w:t xml:space="preserve"> deben aplicarse de manera razonable, proporcionada y plenamente compatible con los fines estatales a los que sirve la entidad. De esta forma, las entidades tienen la responsabilidad de asegurar que la regulación de sus procesos contractuales sea el resultado de un análisis previo y específico. Dicho análisis debe justificar</w:t>
      </w:r>
      <w:r>
        <w:rPr>
          <w:rFonts w:ascii="Verdana" w:hAnsi="Verdana"/>
          <w:lang w:val="es-ES"/>
        </w:rPr>
        <w:t xml:space="preserve"> la estructuración del procedimiento contractual</w:t>
      </w:r>
      <w:r w:rsidRPr="001B3113">
        <w:rPr>
          <w:rFonts w:ascii="Verdana" w:hAnsi="Verdana"/>
          <w:lang w:val="es-ES"/>
        </w:rPr>
        <w:t>, garantizando su coherencia con la naturaleza jurídica de la entidad, su objeto misional y el marco legal que la gobierna, consolidando así la legalidad y la probidad en la gestión de los recursos públicos</w:t>
      </w:r>
      <w:r>
        <w:rPr>
          <w:rFonts w:ascii="Verdana" w:hAnsi="Verdana"/>
          <w:lang w:val="es-ES"/>
        </w:rPr>
        <w:t>.</w:t>
      </w:r>
    </w:p>
    <w:p w14:paraId="36A1DC82" w14:textId="77777777" w:rsidR="002A2CE2" w:rsidRPr="001B3113" w:rsidRDefault="002A2CE2" w:rsidP="002A2CE2">
      <w:pPr>
        <w:pStyle w:val="Sinespaciado"/>
        <w:spacing w:after="120" w:line="276" w:lineRule="auto"/>
        <w:ind w:firstLine="709"/>
        <w:jc w:val="both"/>
        <w:rPr>
          <w:rFonts w:ascii="Verdana" w:eastAsia="Calibri" w:hAnsi="Verdana" w:cs="Arial"/>
          <w:bCs/>
          <w:color w:val="000000" w:themeColor="text1"/>
          <w:sz w:val="22"/>
          <w:lang w:val="es-ES"/>
        </w:rPr>
      </w:pPr>
      <w:r w:rsidRPr="001B3113">
        <w:rPr>
          <w:rFonts w:ascii="Verdana" w:eastAsia="Calibri" w:hAnsi="Verdana" w:cs="Arial"/>
          <w:bCs/>
          <w:color w:val="000000" w:themeColor="text1"/>
          <w:sz w:val="22"/>
          <w:lang w:val="es-ES"/>
        </w:rPr>
        <w:t xml:space="preserve">Al margen de la explicación precedente debe advertirse que </w:t>
      </w:r>
      <w:r w:rsidRPr="001B3113">
        <w:rPr>
          <w:rStyle w:val="s15"/>
          <w:rFonts w:ascii="Verdana" w:hAnsi="Verdana"/>
          <w:color w:val="000000" w:themeColor="text1"/>
          <w:sz w:val="22"/>
          <w:lang w:val="es-ES"/>
        </w:rPr>
        <w:t xml:space="preserve">el análisis requerido para resolver problemas específicos en torno a la gestión contractual debe ser realizado por quienes tengan interés en ello, de acuerdo con lo explicado </w:t>
      </w:r>
      <w:r>
        <w:rPr>
          <w:rStyle w:val="s15"/>
          <w:rFonts w:ascii="Verdana" w:hAnsi="Verdana"/>
          <w:color w:val="000000" w:themeColor="text1"/>
          <w:sz w:val="22"/>
          <w:lang w:val="es-ES"/>
        </w:rPr>
        <w:t xml:space="preserve">en </w:t>
      </w:r>
      <w:r w:rsidRPr="001B3113">
        <w:rPr>
          <w:rStyle w:val="s15"/>
          <w:rFonts w:ascii="Verdana" w:hAnsi="Verdana"/>
          <w:color w:val="000000" w:themeColor="text1"/>
          <w:sz w:val="22"/>
          <w:lang w:val="es-ES"/>
        </w:rPr>
        <w:t>la aclaración preliminar del presente oficio</w:t>
      </w:r>
      <w:r w:rsidRPr="001B3113">
        <w:rPr>
          <w:rFonts w:ascii="Verdana" w:eastAsia="Calibri" w:hAnsi="Verdana" w:cs="Arial"/>
          <w:bCs/>
          <w:color w:val="000000" w:themeColor="text1"/>
          <w:sz w:val="22"/>
          <w:lang w:val="es-ES"/>
        </w:rPr>
        <w:t>.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en adoptar la decisión correspondiente y, en caso de conflicto, a las autoridades judiciales, fiscales y disciplinarias.</w:t>
      </w:r>
    </w:p>
    <w:p w14:paraId="7A952A49" w14:textId="77777777" w:rsidR="002A2CE2" w:rsidRPr="001B3113" w:rsidRDefault="002A2CE2" w:rsidP="002A2CE2">
      <w:pPr>
        <w:spacing w:after="120" w:line="276" w:lineRule="auto"/>
        <w:ind w:firstLine="709"/>
        <w:jc w:val="both"/>
        <w:rPr>
          <w:rFonts w:ascii="Verdana" w:hAnsi="Verdana"/>
          <w:lang w:val="es-ES"/>
        </w:rPr>
      </w:pPr>
      <w:r w:rsidRPr="001B3113">
        <w:rPr>
          <w:rFonts w:ascii="Verdana" w:hAnsi="Verdana" w:cs="Arial"/>
          <w:color w:val="000000" w:themeColor="text1"/>
          <w:lang w:val="es-ES"/>
        </w:rPr>
        <w:t xml:space="preserve">Dado que sólo tiene a cargo la interpretación abstracta de las normas del sistema de compras y contratación pública, la Agencia no puede definir un </w:t>
      </w:r>
      <w:r w:rsidRPr="001B3113">
        <w:rPr>
          <w:rFonts w:ascii="Verdana" w:hAnsi="Verdana" w:cs="Arial"/>
          <w:color w:val="000000" w:themeColor="text1"/>
          <w:lang w:val="es-ES"/>
        </w:rPr>
        <w:lastRenderedPageBreak/>
        <w:t>criterio universal y absoluto,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frente a las autoridades que cumplen funciones de control y vigilancia.</w:t>
      </w:r>
    </w:p>
    <w:p w14:paraId="4784222A" w14:textId="77777777" w:rsidR="002A2CE2" w:rsidRPr="001B3113" w:rsidRDefault="002A2CE2" w:rsidP="002A2CE2">
      <w:pPr>
        <w:spacing w:after="0" w:line="276" w:lineRule="auto"/>
        <w:ind w:firstLine="708"/>
        <w:jc w:val="both"/>
        <w:rPr>
          <w:rFonts w:ascii="Verdana" w:hAnsi="Verdana" w:cs="Arial"/>
          <w:lang w:val="es-ES"/>
        </w:rPr>
      </w:pPr>
    </w:p>
    <w:p w14:paraId="331F719C" w14:textId="77777777" w:rsidR="002A2CE2" w:rsidRPr="001B3113" w:rsidRDefault="002A2CE2" w:rsidP="002A2CE2">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1B3113">
        <w:rPr>
          <w:rFonts w:ascii="Verdana" w:eastAsia="Century Gothic" w:hAnsi="Verdana" w:cs="Century Gothic"/>
          <w:b/>
          <w:bCs/>
          <w:color w:val="000000" w:themeColor="text1"/>
        </w:rPr>
        <w:t>Referencias normativas, jurisprudenciales y otras fuentes:</w:t>
      </w:r>
    </w:p>
    <w:p w14:paraId="58564B08" w14:textId="77777777" w:rsidR="002A2CE2" w:rsidRPr="001B3113" w:rsidRDefault="002A2CE2" w:rsidP="002A2CE2">
      <w:pPr>
        <w:pStyle w:val="Prrafodelista"/>
        <w:tabs>
          <w:tab w:val="left" w:pos="142"/>
          <w:tab w:val="left" w:pos="284"/>
        </w:tabs>
        <w:spacing w:after="0" w:line="276" w:lineRule="auto"/>
        <w:ind w:left="0"/>
        <w:jc w:val="both"/>
        <w:rPr>
          <w:rFonts w:ascii="Verdana" w:eastAsia="Century Gothic" w:hAnsi="Verdana" w:cs="Century Gothic"/>
          <w:b/>
          <w:bCs/>
          <w:color w:val="000000" w:themeColor="text1"/>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2A2CE2" w:rsidRPr="001B3113" w14:paraId="1013B0AD" w14:textId="77777777" w:rsidTr="00D71998">
        <w:trPr>
          <w:trHeight w:val="870"/>
        </w:trPr>
        <w:tc>
          <w:tcPr>
            <w:tcW w:w="8647" w:type="dxa"/>
          </w:tcPr>
          <w:p w14:paraId="01895830" w14:textId="77777777" w:rsidR="002A2CE2" w:rsidRPr="008A617E" w:rsidRDefault="002A2CE2" w:rsidP="002A2CE2">
            <w:pPr>
              <w:pStyle w:val="Prrafodelista"/>
              <w:widowControl w:val="0"/>
              <w:numPr>
                <w:ilvl w:val="0"/>
                <w:numId w:val="17"/>
              </w:numPr>
              <w:autoSpaceDE w:val="0"/>
              <w:autoSpaceDN w:val="0"/>
              <w:snapToGrid w:val="0"/>
              <w:spacing w:before="120" w:after="120" w:line="276" w:lineRule="auto"/>
              <w:ind w:left="714" w:hanging="357"/>
              <w:contextualSpacing w:val="0"/>
              <w:jc w:val="both"/>
              <w:rPr>
                <w:rFonts w:ascii="Verdana" w:hAnsi="Verdana" w:cs="Arial"/>
              </w:rPr>
            </w:pPr>
            <w:r w:rsidRPr="008A617E">
              <w:rPr>
                <w:rFonts w:ascii="Verdana" w:hAnsi="Verdana" w:cs="Arial"/>
              </w:rPr>
              <w:t>Constitución Política. Artículos 209 y 267.</w:t>
            </w:r>
          </w:p>
          <w:p w14:paraId="0D08DA98" w14:textId="77777777" w:rsidR="002A2CE2" w:rsidRPr="008A617E" w:rsidRDefault="002A2CE2" w:rsidP="002A2CE2">
            <w:pPr>
              <w:pStyle w:val="Prrafodelista"/>
              <w:widowControl w:val="0"/>
              <w:numPr>
                <w:ilvl w:val="0"/>
                <w:numId w:val="17"/>
              </w:numPr>
              <w:autoSpaceDE w:val="0"/>
              <w:autoSpaceDN w:val="0"/>
              <w:snapToGrid w:val="0"/>
              <w:spacing w:before="120" w:after="120" w:line="276" w:lineRule="auto"/>
              <w:ind w:left="714" w:hanging="357"/>
              <w:contextualSpacing w:val="0"/>
              <w:jc w:val="both"/>
              <w:rPr>
                <w:rFonts w:ascii="Verdana" w:hAnsi="Verdana" w:cs="Arial"/>
              </w:rPr>
            </w:pPr>
            <w:r w:rsidRPr="008A617E">
              <w:rPr>
                <w:rFonts w:ascii="Verdana" w:hAnsi="Verdana" w:cs="Arial"/>
              </w:rPr>
              <w:t>Código Civil. Artículo 1849.</w:t>
            </w:r>
          </w:p>
          <w:p w14:paraId="27B6B2B1" w14:textId="77777777" w:rsidR="002A2CE2" w:rsidRPr="008A617E" w:rsidRDefault="002A2CE2" w:rsidP="002A2CE2">
            <w:pPr>
              <w:pStyle w:val="Prrafodelista"/>
              <w:widowControl w:val="0"/>
              <w:numPr>
                <w:ilvl w:val="0"/>
                <w:numId w:val="17"/>
              </w:numPr>
              <w:autoSpaceDE w:val="0"/>
              <w:autoSpaceDN w:val="0"/>
              <w:snapToGrid w:val="0"/>
              <w:spacing w:before="120" w:after="120" w:line="276" w:lineRule="auto"/>
              <w:ind w:left="714" w:hanging="357"/>
              <w:contextualSpacing w:val="0"/>
              <w:jc w:val="both"/>
              <w:rPr>
                <w:rFonts w:ascii="Verdana" w:hAnsi="Verdana" w:cs="Arial"/>
              </w:rPr>
            </w:pPr>
            <w:r w:rsidRPr="008A617E">
              <w:rPr>
                <w:rFonts w:ascii="Verdana" w:hAnsi="Verdana" w:cs="Arial"/>
              </w:rPr>
              <w:t>Código de Comercio. Artículo 99.</w:t>
            </w:r>
          </w:p>
          <w:p w14:paraId="26F1FB7E" w14:textId="77777777" w:rsidR="002A2CE2" w:rsidRPr="008A617E" w:rsidRDefault="002A2CE2" w:rsidP="002A2CE2">
            <w:pPr>
              <w:pStyle w:val="Prrafodelista"/>
              <w:widowControl w:val="0"/>
              <w:numPr>
                <w:ilvl w:val="0"/>
                <w:numId w:val="17"/>
              </w:numPr>
              <w:autoSpaceDE w:val="0"/>
              <w:autoSpaceDN w:val="0"/>
              <w:snapToGrid w:val="0"/>
              <w:spacing w:before="120" w:after="120" w:line="276" w:lineRule="auto"/>
              <w:ind w:left="714" w:hanging="357"/>
              <w:contextualSpacing w:val="0"/>
              <w:jc w:val="both"/>
              <w:rPr>
                <w:rFonts w:ascii="Verdana" w:hAnsi="Verdana" w:cs="Arial"/>
              </w:rPr>
            </w:pPr>
            <w:r w:rsidRPr="008A617E">
              <w:rPr>
                <w:rFonts w:ascii="Verdana" w:hAnsi="Verdana" w:cs="Arial"/>
              </w:rPr>
              <w:t>Ley 29 de 1990.</w:t>
            </w:r>
          </w:p>
          <w:p w14:paraId="2C49E209" w14:textId="77777777" w:rsidR="002A2CE2" w:rsidRPr="008A617E" w:rsidRDefault="002A2CE2" w:rsidP="002A2CE2">
            <w:pPr>
              <w:pStyle w:val="Prrafodelista"/>
              <w:widowControl w:val="0"/>
              <w:numPr>
                <w:ilvl w:val="0"/>
                <w:numId w:val="17"/>
              </w:numPr>
              <w:autoSpaceDE w:val="0"/>
              <w:autoSpaceDN w:val="0"/>
              <w:snapToGrid w:val="0"/>
              <w:spacing w:before="120" w:after="120" w:line="276" w:lineRule="auto"/>
              <w:ind w:left="714" w:hanging="357"/>
              <w:contextualSpacing w:val="0"/>
              <w:jc w:val="both"/>
              <w:rPr>
                <w:rFonts w:ascii="Verdana" w:hAnsi="Verdana" w:cs="Arial"/>
              </w:rPr>
            </w:pPr>
            <w:r w:rsidRPr="008A617E">
              <w:rPr>
                <w:rFonts w:ascii="Verdana" w:hAnsi="Verdana" w:cs="Arial"/>
              </w:rPr>
              <w:t>Ley 80 de 1993. Artículos 2 (numeral 1, literal a) y 32 (numeral 4 y parágrafo 1º).</w:t>
            </w:r>
          </w:p>
          <w:p w14:paraId="29713984" w14:textId="77777777" w:rsidR="002A2CE2" w:rsidRPr="008A617E" w:rsidRDefault="002A2CE2" w:rsidP="002A2CE2">
            <w:pPr>
              <w:pStyle w:val="Prrafodelista"/>
              <w:widowControl w:val="0"/>
              <w:numPr>
                <w:ilvl w:val="0"/>
                <w:numId w:val="17"/>
              </w:numPr>
              <w:autoSpaceDE w:val="0"/>
              <w:autoSpaceDN w:val="0"/>
              <w:snapToGrid w:val="0"/>
              <w:spacing w:before="120" w:after="120" w:line="276" w:lineRule="auto"/>
              <w:ind w:left="714" w:hanging="357"/>
              <w:contextualSpacing w:val="0"/>
              <w:jc w:val="both"/>
              <w:rPr>
                <w:rFonts w:ascii="Verdana" w:hAnsi="Verdana" w:cs="Arial"/>
              </w:rPr>
            </w:pPr>
            <w:r w:rsidRPr="008A617E">
              <w:rPr>
                <w:rFonts w:ascii="Verdana" w:hAnsi="Verdana" w:cs="Arial"/>
              </w:rPr>
              <w:t>Ley 336 de 1996. Artículo 80.</w:t>
            </w:r>
          </w:p>
          <w:p w14:paraId="77B84EA9" w14:textId="77777777" w:rsidR="002A2CE2" w:rsidRPr="008A617E" w:rsidRDefault="002A2CE2" w:rsidP="002A2CE2">
            <w:pPr>
              <w:pStyle w:val="Prrafodelista"/>
              <w:widowControl w:val="0"/>
              <w:numPr>
                <w:ilvl w:val="0"/>
                <w:numId w:val="17"/>
              </w:numPr>
              <w:autoSpaceDE w:val="0"/>
              <w:autoSpaceDN w:val="0"/>
              <w:snapToGrid w:val="0"/>
              <w:spacing w:before="120" w:after="120" w:line="276" w:lineRule="auto"/>
              <w:ind w:left="714" w:hanging="357"/>
              <w:contextualSpacing w:val="0"/>
              <w:jc w:val="both"/>
              <w:rPr>
                <w:rFonts w:ascii="Verdana" w:hAnsi="Verdana" w:cs="Arial"/>
              </w:rPr>
            </w:pPr>
            <w:r w:rsidRPr="008A617E">
              <w:rPr>
                <w:rFonts w:ascii="Verdana" w:hAnsi="Verdana" w:cs="Arial"/>
              </w:rPr>
              <w:t>Ley 489 de 1998. Artículos 38 (parágrafo 1º) y 93.</w:t>
            </w:r>
          </w:p>
          <w:p w14:paraId="74AE9972" w14:textId="77777777" w:rsidR="002A2CE2" w:rsidRPr="008A617E" w:rsidRDefault="002A2CE2" w:rsidP="002A2CE2">
            <w:pPr>
              <w:pStyle w:val="Prrafodelista"/>
              <w:widowControl w:val="0"/>
              <w:numPr>
                <w:ilvl w:val="0"/>
                <w:numId w:val="17"/>
              </w:numPr>
              <w:autoSpaceDE w:val="0"/>
              <w:autoSpaceDN w:val="0"/>
              <w:snapToGrid w:val="0"/>
              <w:spacing w:before="120" w:after="120" w:line="276" w:lineRule="auto"/>
              <w:ind w:left="714" w:hanging="357"/>
              <w:contextualSpacing w:val="0"/>
              <w:jc w:val="both"/>
              <w:rPr>
                <w:rFonts w:ascii="Verdana" w:hAnsi="Verdana" w:cs="Arial"/>
              </w:rPr>
            </w:pPr>
            <w:r w:rsidRPr="008A617E">
              <w:rPr>
                <w:rFonts w:ascii="Verdana" w:hAnsi="Verdana" w:cs="Arial"/>
              </w:rPr>
              <w:t>Ley 1150 de 2007. Artículos 2 (numeral 2, literal g), 13 y 14.</w:t>
            </w:r>
          </w:p>
          <w:p w14:paraId="6941B029" w14:textId="77777777" w:rsidR="002A2CE2" w:rsidRPr="008A617E" w:rsidRDefault="002A2CE2" w:rsidP="002A2CE2">
            <w:pPr>
              <w:pStyle w:val="Prrafodelista"/>
              <w:widowControl w:val="0"/>
              <w:numPr>
                <w:ilvl w:val="0"/>
                <w:numId w:val="17"/>
              </w:numPr>
              <w:autoSpaceDE w:val="0"/>
              <w:autoSpaceDN w:val="0"/>
              <w:snapToGrid w:val="0"/>
              <w:spacing w:before="120" w:after="120" w:line="276" w:lineRule="auto"/>
              <w:ind w:left="714" w:hanging="357"/>
              <w:contextualSpacing w:val="0"/>
              <w:jc w:val="both"/>
              <w:rPr>
                <w:rFonts w:ascii="Verdana" w:hAnsi="Verdana" w:cs="Arial"/>
              </w:rPr>
            </w:pPr>
            <w:r w:rsidRPr="008A617E">
              <w:rPr>
                <w:rFonts w:ascii="Verdana" w:hAnsi="Verdana" w:cs="Arial"/>
              </w:rPr>
              <w:t>Ley 1474 de 2011. Artículo 93.</w:t>
            </w:r>
          </w:p>
          <w:p w14:paraId="180FF794" w14:textId="77777777" w:rsidR="002A2CE2" w:rsidRPr="008A617E" w:rsidRDefault="002A2CE2" w:rsidP="002A2CE2">
            <w:pPr>
              <w:pStyle w:val="Prrafodelista"/>
              <w:widowControl w:val="0"/>
              <w:numPr>
                <w:ilvl w:val="0"/>
                <w:numId w:val="17"/>
              </w:numPr>
              <w:autoSpaceDE w:val="0"/>
              <w:autoSpaceDN w:val="0"/>
              <w:snapToGrid w:val="0"/>
              <w:spacing w:before="120" w:after="120" w:line="276" w:lineRule="auto"/>
              <w:ind w:left="714" w:hanging="357"/>
              <w:contextualSpacing w:val="0"/>
              <w:jc w:val="both"/>
              <w:rPr>
                <w:rFonts w:ascii="Verdana" w:hAnsi="Verdana" w:cs="Arial"/>
              </w:rPr>
            </w:pPr>
            <w:r w:rsidRPr="008A617E">
              <w:rPr>
                <w:rFonts w:ascii="Verdana" w:hAnsi="Verdana" w:cs="Arial"/>
              </w:rPr>
              <w:t>Ley 1508 de 2012. Artículo 8.</w:t>
            </w:r>
          </w:p>
          <w:p w14:paraId="3799A4B6" w14:textId="77777777" w:rsidR="002A2CE2" w:rsidRPr="008A617E" w:rsidRDefault="002A2CE2" w:rsidP="002A2CE2">
            <w:pPr>
              <w:pStyle w:val="Prrafodelista"/>
              <w:widowControl w:val="0"/>
              <w:numPr>
                <w:ilvl w:val="0"/>
                <w:numId w:val="17"/>
              </w:numPr>
              <w:autoSpaceDE w:val="0"/>
              <w:autoSpaceDN w:val="0"/>
              <w:snapToGrid w:val="0"/>
              <w:spacing w:before="120" w:after="120" w:line="276" w:lineRule="auto"/>
              <w:ind w:left="714" w:hanging="357"/>
              <w:contextualSpacing w:val="0"/>
              <w:jc w:val="both"/>
              <w:rPr>
                <w:rFonts w:ascii="Verdana" w:hAnsi="Verdana" w:cs="Arial"/>
              </w:rPr>
            </w:pPr>
            <w:r w:rsidRPr="008A617E">
              <w:rPr>
                <w:rFonts w:ascii="Verdana" w:hAnsi="Verdana" w:cs="Arial"/>
              </w:rPr>
              <w:t>Ley 2195 de 2022. Artículos 53 y 56 (parágrafo).</w:t>
            </w:r>
          </w:p>
          <w:p w14:paraId="1C509995" w14:textId="77777777" w:rsidR="002A2CE2" w:rsidRPr="008A617E" w:rsidRDefault="002A2CE2" w:rsidP="002A2CE2">
            <w:pPr>
              <w:pStyle w:val="Prrafodelista"/>
              <w:widowControl w:val="0"/>
              <w:numPr>
                <w:ilvl w:val="0"/>
                <w:numId w:val="17"/>
              </w:numPr>
              <w:autoSpaceDE w:val="0"/>
              <w:autoSpaceDN w:val="0"/>
              <w:snapToGrid w:val="0"/>
              <w:spacing w:before="120" w:after="120" w:line="276" w:lineRule="auto"/>
              <w:ind w:left="714" w:hanging="357"/>
              <w:contextualSpacing w:val="0"/>
              <w:jc w:val="both"/>
              <w:rPr>
                <w:rFonts w:ascii="Verdana" w:hAnsi="Verdana" w:cs="Arial"/>
              </w:rPr>
            </w:pPr>
            <w:r w:rsidRPr="008A617E">
              <w:rPr>
                <w:rFonts w:ascii="Verdana" w:hAnsi="Verdana" w:cs="Arial"/>
              </w:rPr>
              <w:t>Decreto 1079 de 2015. Artículos 2.2.4.1.4., 2.2.4.2.1. y 2.2.4.2.2.</w:t>
            </w:r>
          </w:p>
          <w:p w14:paraId="5B20BD32" w14:textId="77777777" w:rsidR="002A2CE2" w:rsidRPr="008A617E" w:rsidRDefault="002A2CE2" w:rsidP="002A2CE2">
            <w:pPr>
              <w:pStyle w:val="Prrafodelista"/>
              <w:widowControl w:val="0"/>
              <w:numPr>
                <w:ilvl w:val="0"/>
                <w:numId w:val="17"/>
              </w:numPr>
              <w:autoSpaceDE w:val="0"/>
              <w:autoSpaceDN w:val="0"/>
              <w:snapToGrid w:val="0"/>
              <w:spacing w:before="120" w:after="120" w:line="276" w:lineRule="auto"/>
              <w:ind w:left="714" w:hanging="357"/>
              <w:contextualSpacing w:val="0"/>
              <w:jc w:val="both"/>
              <w:rPr>
                <w:rFonts w:ascii="Verdana" w:hAnsi="Verdana" w:cs="Arial"/>
              </w:rPr>
            </w:pPr>
            <w:r w:rsidRPr="008A617E">
              <w:rPr>
                <w:rFonts w:ascii="Verdana" w:hAnsi="Verdana" w:cs="Arial"/>
              </w:rPr>
              <w:t>Decreto 1082 de 2015. Artículo 2.2.1.2.1.2.24.</w:t>
            </w:r>
          </w:p>
          <w:p w14:paraId="12071FBA" w14:textId="77777777" w:rsidR="002A2CE2" w:rsidRPr="008A617E" w:rsidRDefault="002A2CE2" w:rsidP="002A2CE2">
            <w:pPr>
              <w:pStyle w:val="Prrafodelista"/>
              <w:widowControl w:val="0"/>
              <w:numPr>
                <w:ilvl w:val="0"/>
                <w:numId w:val="17"/>
              </w:numPr>
              <w:autoSpaceDE w:val="0"/>
              <w:autoSpaceDN w:val="0"/>
              <w:snapToGrid w:val="0"/>
              <w:spacing w:before="120" w:after="120" w:line="276" w:lineRule="auto"/>
              <w:ind w:left="714" w:hanging="357"/>
              <w:contextualSpacing w:val="0"/>
              <w:jc w:val="both"/>
              <w:rPr>
                <w:rFonts w:ascii="Verdana" w:hAnsi="Verdana" w:cs="Arial"/>
              </w:rPr>
            </w:pPr>
            <w:r w:rsidRPr="008A617E">
              <w:rPr>
                <w:rFonts w:ascii="Verdana" w:hAnsi="Verdana" w:cs="Arial"/>
              </w:rPr>
              <w:t>CONSEJO DE ESTADO. Sección Tercera. Sentencia del 19 de agosto de 2004. Exp. No. 12342. Reiterada en sentencia del 6 de febrero de 2006, Exp. No. 13414.</w:t>
            </w:r>
          </w:p>
          <w:p w14:paraId="3658E003" w14:textId="77777777" w:rsidR="002A2CE2" w:rsidRPr="008A617E" w:rsidRDefault="002A2CE2" w:rsidP="002A2CE2">
            <w:pPr>
              <w:pStyle w:val="Prrafodelista"/>
              <w:widowControl w:val="0"/>
              <w:numPr>
                <w:ilvl w:val="0"/>
                <w:numId w:val="17"/>
              </w:numPr>
              <w:autoSpaceDE w:val="0"/>
              <w:autoSpaceDN w:val="0"/>
              <w:snapToGrid w:val="0"/>
              <w:spacing w:before="120" w:after="120" w:line="276" w:lineRule="auto"/>
              <w:ind w:left="714" w:hanging="357"/>
              <w:contextualSpacing w:val="0"/>
              <w:jc w:val="both"/>
              <w:rPr>
                <w:rFonts w:ascii="Verdana" w:hAnsi="Verdana" w:cs="Arial"/>
              </w:rPr>
            </w:pPr>
            <w:r w:rsidRPr="008A617E">
              <w:rPr>
                <w:rFonts w:ascii="Verdana" w:hAnsi="Verdana" w:cs="Arial"/>
              </w:rPr>
              <w:t>CONSEJO DE ESTADO. Sección Tercera. Sentencia del 6 de julio de 2005. Exp. No. 11575. C.P. Alier E. Hernández Enríquez.</w:t>
            </w:r>
          </w:p>
          <w:p w14:paraId="0A96AAD6" w14:textId="77777777" w:rsidR="002A2CE2" w:rsidRPr="008A617E" w:rsidRDefault="002A2CE2" w:rsidP="002A2CE2">
            <w:pPr>
              <w:pStyle w:val="Prrafodelista"/>
              <w:widowControl w:val="0"/>
              <w:numPr>
                <w:ilvl w:val="0"/>
                <w:numId w:val="17"/>
              </w:numPr>
              <w:autoSpaceDE w:val="0"/>
              <w:autoSpaceDN w:val="0"/>
              <w:snapToGrid w:val="0"/>
              <w:spacing w:before="120" w:after="120" w:line="276" w:lineRule="auto"/>
              <w:ind w:left="714" w:hanging="357"/>
              <w:contextualSpacing w:val="0"/>
              <w:jc w:val="both"/>
              <w:rPr>
                <w:rFonts w:ascii="Verdana" w:hAnsi="Verdana" w:cs="Arial"/>
              </w:rPr>
            </w:pPr>
            <w:r w:rsidRPr="008A617E">
              <w:rPr>
                <w:rFonts w:ascii="Verdana" w:hAnsi="Verdana" w:cs="Arial"/>
              </w:rPr>
              <w:t xml:space="preserve">CONSEJO DE ESTADO. Sección Tercera. Subsección B. Sentencia del </w:t>
            </w:r>
            <w:r w:rsidRPr="008A617E">
              <w:rPr>
                <w:rFonts w:ascii="Verdana" w:hAnsi="Verdana" w:cs="Arial"/>
              </w:rPr>
              <w:lastRenderedPageBreak/>
              <w:t>12 de octubre de 2011. Exp. No. 20070. C.P. Danilo Rojas Betancourt.</w:t>
            </w:r>
          </w:p>
          <w:p w14:paraId="51247BC1" w14:textId="77777777" w:rsidR="002A2CE2" w:rsidRPr="008A617E" w:rsidRDefault="002A2CE2" w:rsidP="002A2CE2">
            <w:pPr>
              <w:pStyle w:val="Prrafodelista"/>
              <w:widowControl w:val="0"/>
              <w:numPr>
                <w:ilvl w:val="0"/>
                <w:numId w:val="17"/>
              </w:numPr>
              <w:autoSpaceDE w:val="0"/>
              <w:autoSpaceDN w:val="0"/>
              <w:snapToGrid w:val="0"/>
              <w:spacing w:before="120" w:after="120" w:line="276" w:lineRule="auto"/>
              <w:ind w:left="714" w:hanging="357"/>
              <w:contextualSpacing w:val="0"/>
              <w:jc w:val="both"/>
              <w:rPr>
                <w:rFonts w:ascii="Verdana" w:hAnsi="Verdana" w:cs="Arial"/>
              </w:rPr>
            </w:pPr>
            <w:r w:rsidRPr="008A617E">
              <w:rPr>
                <w:rFonts w:ascii="Verdana" w:hAnsi="Verdana" w:cs="Arial"/>
              </w:rPr>
              <w:t>CORTE CONSTITUCIONAL. Sentencia C-382 de 2019. M.P. Alejandro Linares Cantillo.</w:t>
            </w:r>
          </w:p>
          <w:p w14:paraId="7FAC74CD" w14:textId="77777777" w:rsidR="002A2CE2" w:rsidRPr="008A617E" w:rsidRDefault="002A2CE2" w:rsidP="002A2CE2">
            <w:pPr>
              <w:pStyle w:val="Prrafodelista"/>
              <w:widowControl w:val="0"/>
              <w:numPr>
                <w:ilvl w:val="0"/>
                <w:numId w:val="17"/>
              </w:numPr>
              <w:autoSpaceDE w:val="0"/>
              <w:autoSpaceDN w:val="0"/>
              <w:snapToGrid w:val="0"/>
              <w:spacing w:before="120" w:after="120" w:line="276" w:lineRule="auto"/>
              <w:ind w:left="714" w:hanging="357"/>
              <w:contextualSpacing w:val="0"/>
              <w:jc w:val="both"/>
              <w:rPr>
                <w:rFonts w:ascii="Verdana" w:hAnsi="Verdana" w:cs="Arial"/>
              </w:rPr>
            </w:pPr>
            <w:r w:rsidRPr="008A617E">
              <w:rPr>
                <w:rFonts w:ascii="Verdana" w:hAnsi="Verdana" w:cs="Arial"/>
              </w:rPr>
              <w:t>CONSEJO DE ESTADO. Sección Tercera. Subsección A. Sentencia del 3 de marzo de 2021. Exp. No. 51373. C.P. José Roberto Sáchica Méndez.</w:t>
            </w:r>
          </w:p>
          <w:p w14:paraId="1609C693" w14:textId="77777777" w:rsidR="002A2CE2" w:rsidRPr="008A617E" w:rsidRDefault="002A2CE2" w:rsidP="002A2CE2">
            <w:pPr>
              <w:pStyle w:val="Prrafodelista"/>
              <w:widowControl w:val="0"/>
              <w:numPr>
                <w:ilvl w:val="0"/>
                <w:numId w:val="17"/>
              </w:numPr>
              <w:autoSpaceDE w:val="0"/>
              <w:autoSpaceDN w:val="0"/>
              <w:snapToGrid w:val="0"/>
              <w:spacing w:before="120" w:after="120" w:line="276" w:lineRule="auto"/>
              <w:ind w:left="714" w:hanging="357"/>
              <w:contextualSpacing w:val="0"/>
              <w:jc w:val="both"/>
              <w:rPr>
                <w:rFonts w:ascii="Verdana" w:hAnsi="Verdana" w:cs="Arial"/>
              </w:rPr>
            </w:pPr>
            <w:r w:rsidRPr="008A617E">
              <w:rPr>
                <w:rFonts w:ascii="Verdana" w:hAnsi="Verdana" w:cs="Arial"/>
              </w:rPr>
              <w:t xml:space="preserve">GARCÍA DE ENTERRÍA, Eduardo. </w:t>
            </w:r>
            <w:r w:rsidRPr="008A617E">
              <w:rPr>
                <w:rFonts w:ascii="Verdana" w:hAnsi="Verdana" w:cs="Arial"/>
                <w:i/>
              </w:rPr>
              <w:t>La lucha contra las inmunidades del poder en el derecho administrativo.</w:t>
            </w:r>
            <w:r w:rsidRPr="008A617E">
              <w:rPr>
                <w:rFonts w:ascii="Verdana" w:hAnsi="Verdana" w:cs="Arial"/>
              </w:rPr>
              <w:t xml:space="preserve"> 3ª ed. Madrid: </w:t>
            </w:r>
            <w:proofErr w:type="spellStart"/>
            <w:r w:rsidRPr="008A617E">
              <w:rPr>
                <w:rFonts w:ascii="Verdana" w:hAnsi="Verdana" w:cs="Arial"/>
              </w:rPr>
              <w:t>Civitas</w:t>
            </w:r>
            <w:proofErr w:type="spellEnd"/>
            <w:r w:rsidRPr="008A617E">
              <w:rPr>
                <w:rFonts w:ascii="Verdana" w:hAnsi="Verdana" w:cs="Arial"/>
              </w:rPr>
              <w:t>, 1983, pp. 33-34.</w:t>
            </w:r>
          </w:p>
        </w:tc>
      </w:tr>
    </w:tbl>
    <w:p w14:paraId="5E6D83F5" w14:textId="77777777" w:rsidR="002A2CE2" w:rsidRPr="001B3113" w:rsidRDefault="002A2CE2" w:rsidP="002A2CE2">
      <w:pPr>
        <w:widowControl w:val="0"/>
        <w:autoSpaceDE w:val="0"/>
        <w:autoSpaceDN w:val="0"/>
        <w:spacing w:after="0" w:line="276" w:lineRule="auto"/>
        <w:jc w:val="both"/>
        <w:rPr>
          <w:rFonts w:ascii="Verdana" w:hAnsi="Verdana" w:cs="Arial"/>
          <w:color w:val="000000" w:themeColor="text1"/>
          <w:lang w:val="es-ES"/>
        </w:rPr>
      </w:pPr>
    </w:p>
    <w:p w14:paraId="2A6C472A" w14:textId="77777777" w:rsidR="002A2CE2" w:rsidRPr="001B3113" w:rsidRDefault="002A2CE2" w:rsidP="002A2CE2">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1B3113">
        <w:rPr>
          <w:rFonts w:ascii="Verdana" w:eastAsia="Century Gothic" w:hAnsi="Verdana" w:cs="Century Gothic"/>
          <w:b/>
          <w:bCs/>
          <w:color w:val="000000" w:themeColor="text1"/>
        </w:rPr>
        <w:t>Doctrina de la Agencia Nacional de Contratación Pública:</w:t>
      </w:r>
    </w:p>
    <w:p w14:paraId="16F2E516" w14:textId="77777777" w:rsidR="002A2CE2" w:rsidRPr="001B3113" w:rsidRDefault="002A2CE2" w:rsidP="002A2CE2">
      <w:pPr>
        <w:widowControl w:val="0"/>
        <w:autoSpaceDE w:val="0"/>
        <w:autoSpaceDN w:val="0"/>
        <w:spacing w:after="0" w:line="276" w:lineRule="auto"/>
        <w:jc w:val="both"/>
        <w:rPr>
          <w:rFonts w:ascii="Verdana" w:hAnsi="Verdana" w:cs="Arial"/>
          <w:color w:val="000000" w:themeColor="text1"/>
          <w:lang w:val="es-ES"/>
        </w:rPr>
      </w:pPr>
    </w:p>
    <w:p w14:paraId="7F4B33C3" w14:textId="77777777" w:rsidR="002A2CE2" w:rsidRPr="001B3113" w:rsidRDefault="002A2CE2" w:rsidP="002A2CE2">
      <w:pPr>
        <w:ind w:left="3"/>
        <w:jc w:val="both"/>
        <w:rPr>
          <w:rStyle w:val="normaltextrun"/>
          <w:rFonts w:ascii="Verdana" w:eastAsia="Calibri" w:hAnsi="Verdana" w:cs="Arial"/>
          <w:b/>
          <w:bCs/>
          <w:color w:val="000000" w:themeColor="text1"/>
          <w:lang w:val="es-ES" w:eastAsia="es-ES"/>
        </w:rPr>
      </w:pPr>
      <w:r w:rsidRPr="001B3113">
        <w:rPr>
          <w:rStyle w:val="normaltextrun"/>
          <w:rFonts w:ascii="Verdana" w:hAnsi="Verdana" w:cs="Arial"/>
          <w:color w:val="000000" w:themeColor="text1"/>
          <w:shd w:val="clear" w:color="auto" w:fill="FFFFFF"/>
          <w:lang w:val="es-ES"/>
        </w:rPr>
        <w:t xml:space="preserve">La Agencia Nacional de Contratación Pública – Colombia Compra Eficiente se ha pronunciado </w:t>
      </w:r>
      <w:r w:rsidRPr="001B3113">
        <w:rPr>
          <w:rStyle w:val="normaltextrun"/>
          <w:rFonts w:ascii="Verdana" w:hAnsi="Verdana"/>
          <w:color w:val="000000" w:themeColor="text1"/>
          <w:shd w:val="clear" w:color="auto" w:fill="FFFFFF"/>
          <w:lang w:val="es-ES"/>
        </w:rPr>
        <w:t>sobre</w:t>
      </w:r>
      <w:r w:rsidRPr="001B3113">
        <w:rPr>
          <w:rStyle w:val="normaltextrun"/>
          <w:rFonts w:ascii="Verdana" w:hAnsi="Verdana" w:cs="Arial"/>
          <w:shd w:val="clear" w:color="auto" w:fill="FFFFFF"/>
          <w:lang w:val="es-ES"/>
        </w:rPr>
        <w:t xml:space="preserve"> la naturaleza jurídica, régimen de contratación de las empresas industriales y comerciales del Estado en los conceptos 2201913000009314 del 17 de diciembre de 2019 –dentro del radicado 4201913000001662–, C-251 del 27 de mayo de 2020, C–253 de 2 de junio de 2021, C-280 del 6 de julio de 2020, C-616 de 3 de noviembre de 2021, C-176 del 6 de abril de 2022, C-857 de 13 diciembre de 2022, C-501 de 30 de septiembre de 2024, </w:t>
      </w:r>
      <w:r w:rsidRPr="001B3113">
        <w:rPr>
          <w:rFonts w:ascii="Verdana" w:eastAsia="Calibri" w:hAnsi="Verdana" w:cs="Arial"/>
          <w:lang w:val="es-ES" w:eastAsia="es-ES"/>
        </w:rPr>
        <w:t>C-476 del 29 de mayo de 2025, entre otros</w:t>
      </w:r>
      <w:r w:rsidRPr="001B3113">
        <w:rPr>
          <w:rFonts w:ascii="Verdana" w:hAnsi="Verdana"/>
          <w:lang w:val="es-ES"/>
        </w:rPr>
        <w:t>. Estos y otros conceptos se encuentran disponibles para consulta en</w:t>
      </w:r>
      <w:r w:rsidRPr="001B3113">
        <w:rPr>
          <w:rStyle w:val="normaltextrun"/>
          <w:rFonts w:ascii="Verdana" w:hAnsi="Verdana" w:cs="Arial"/>
          <w:color w:val="000000" w:themeColor="text1"/>
          <w:shd w:val="clear" w:color="auto" w:fill="FFFFFF"/>
          <w:lang w:val="es-ES"/>
        </w:rPr>
        <w:t xml:space="preserve"> el Sistema de relatoría de la Agencia, al cual puede accederse a través del siguiente enlace: </w:t>
      </w:r>
      <w:hyperlink r:id="rId13" w:history="1">
        <w:r w:rsidRPr="001B3113">
          <w:rPr>
            <w:rStyle w:val="Hipervnculo"/>
            <w:rFonts w:ascii="Verdana" w:hAnsi="Verdana" w:cs="Arial"/>
            <w:shd w:val="clear" w:color="auto" w:fill="FFFFFF"/>
            <w:lang w:val="es-ES"/>
          </w:rPr>
          <w:t>https://relatoria.colombiacompra.gov.co/busqueda/conceptos</w:t>
        </w:r>
      </w:hyperlink>
      <w:r w:rsidRPr="001B3113">
        <w:rPr>
          <w:rStyle w:val="normaltextrun"/>
          <w:rFonts w:ascii="Verdana" w:hAnsi="Verdana" w:cs="Arial"/>
          <w:shd w:val="clear" w:color="auto" w:fill="FFFFFF"/>
          <w:lang w:val="es-ES"/>
        </w:rPr>
        <w:t>.</w:t>
      </w:r>
      <w:r w:rsidRPr="001B3113">
        <w:rPr>
          <w:rStyle w:val="normaltextrun"/>
          <w:rFonts w:ascii="Verdana" w:hAnsi="Verdana" w:cs="Arial"/>
          <w:color w:val="FF0000"/>
          <w:shd w:val="clear" w:color="auto" w:fill="FFFFFF"/>
          <w:lang w:val="es-ES"/>
        </w:rPr>
        <w:t xml:space="preserve"> </w:t>
      </w:r>
    </w:p>
    <w:p w14:paraId="030DB794" w14:textId="77777777" w:rsidR="002A2CE2" w:rsidRPr="001B3113" w:rsidRDefault="002A2CE2" w:rsidP="002A2CE2">
      <w:pPr>
        <w:widowControl w:val="0"/>
        <w:autoSpaceDE w:val="0"/>
        <w:autoSpaceDN w:val="0"/>
        <w:spacing w:after="0" w:line="276" w:lineRule="auto"/>
        <w:jc w:val="both"/>
        <w:rPr>
          <w:rStyle w:val="normaltextrun"/>
          <w:rFonts w:ascii="Verdana" w:hAnsi="Verdana" w:cs="Arial"/>
          <w:color w:val="FF0000"/>
          <w:shd w:val="clear" w:color="auto" w:fill="FFFFFF"/>
          <w:lang w:val="es-ES"/>
        </w:rPr>
      </w:pPr>
    </w:p>
    <w:p w14:paraId="763E8F31" w14:textId="77777777" w:rsidR="00A462F5" w:rsidRPr="004600CC" w:rsidRDefault="00A462F5" w:rsidP="00A462F5">
      <w:pPr>
        <w:spacing w:after="0" w:line="276" w:lineRule="auto"/>
        <w:jc w:val="both"/>
        <w:rPr>
          <w:rFonts w:ascii="Verdana" w:hAnsi="Verdana"/>
        </w:rPr>
      </w:pPr>
      <w:r w:rsidRPr="004600CC">
        <w:rPr>
          <w:rFonts w:ascii="Verdana" w:hAnsi="Verdana"/>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4600CC">
        <w:rPr>
          <w:rFonts w:ascii="Verdana" w:hAnsi="Verdana"/>
          <w:b/>
        </w:rPr>
        <w:t>Guía para la Exigencia y Constitución de Garantías en los Procesos de Contratación</w:t>
      </w:r>
      <w:r w:rsidRPr="004600CC">
        <w:rPr>
          <w:rFonts w:ascii="Verdana" w:hAnsi="Verdana"/>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4" w:tgtFrame="_blank" w:tooltip="Original URL: https://www.colombiacompra.gov.co/archivos/manual/guia-de-garantias-en-procesos-de-contratacion. Click or tap if you trust this link." w:history="1">
        <w:r w:rsidRPr="004600CC">
          <w:rPr>
            <w:rStyle w:val="Hipervnculo"/>
            <w:rFonts w:ascii="Verdana" w:hAnsi="Verdana"/>
          </w:rPr>
          <w:t>https://www.colombiacompra.gov.co/archivos/manual/guia-de-garantias-en-procesos-de-contratacion</w:t>
        </w:r>
      </w:hyperlink>
    </w:p>
    <w:p w14:paraId="5908514C" w14:textId="77777777" w:rsidR="00A462F5" w:rsidRPr="004600CC" w:rsidRDefault="00A462F5" w:rsidP="00A462F5">
      <w:pPr>
        <w:spacing w:after="0" w:line="276" w:lineRule="auto"/>
        <w:jc w:val="both"/>
        <w:rPr>
          <w:rFonts w:ascii="Verdana" w:hAnsi="Verdana"/>
        </w:rPr>
      </w:pPr>
      <w:r w:rsidRPr="004600CC">
        <w:rPr>
          <w:rFonts w:ascii="Verdana" w:hAnsi="Verdana"/>
        </w:rPr>
        <w:lastRenderedPageBreak/>
        <w:t>De otro lado, te contamos que el Decreto 287 del 19 de marzo de 2026 sustituyó los artículos 2.2.1.2.4.2.6., 2.2.1.2.4.2.7. y 2.2.1.2.4.2.8. del Decreto 1082 de 2015 y estructuró el </w:t>
      </w:r>
      <w:r w:rsidRPr="004600CC">
        <w:rPr>
          <w:rFonts w:ascii="Verdana" w:hAnsi="Verdana"/>
          <w:b/>
        </w:rPr>
        <w:t>Sistema Integral de Preferencias en favor de las personas con discapacidad</w:t>
      </w:r>
      <w:r w:rsidRPr="004600CC">
        <w:rPr>
          <w:rFonts w:ascii="Verdana" w:hAnsi="Verdana"/>
        </w:rPr>
        <w:t>, en cumplimiento del artículo 13 de la Ley Estatutaria 1618 de 2013. Para orientar su aplicación, esta Agencia expidió la </w:t>
      </w:r>
      <w:r w:rsidRPr="004600CC">
        <w:rPr>
          <w:rFonts w:ascii="Verdana" w:hAnsi="Verdana"/>
          <w:b/>
        </w:rPr>
        <w:t>Circular Externa 003 del 12 de mayo de 2026, </w:t>
      </w:r>
      <w:r w:rsidRPr="004600CC">
        <w:rPr>
          <w:rFonts w:ascii="Verdana" w:hAnsi="Verdana"/>
        </w:rPr>
        <w:t>en la que precisa quiénes son los beneficiarios, las cinco medidas que integran el sistema y su obligatoriedad según la modalidad de selección, y el régimen de transición aplicable a los procesos en curso. Consúltala aquí: </w:t>
      </w:r>
      <w:hyperlink r:id="rId15" w:tgtFrame="_blank" w:tooltip="Original URL: https://www.colombiacompra.gov.co/archivos/circular/circular-externa-003-de-2026. Click or tap if you trust this link." w:history="1">
        <w:r w:rsidRPr="004600CC">
          <w:rPr>
            <w:rStyle w:val="Hipervnculo"/>
            <w:rFonts w:ascii="Verdana" w:hAnsi="Verdana"/>
          </w:rPr>
          <w:t>https://www.colombiacompra.gov.co/archivos/circular/circular-externa-003-de-2026</w:t>
        </w:r>
      </w:hyperlink>
    </w:p>
    <w:p w14:paraId="027CC08C" w14:textId="77777777" w:rsidR="00A462F5" w:rsidRDefault="00A462F5" w:rsidP="00A462F5">
      <w:pPr>
        <w:spacing w:after="0" w:line="276" w:lineRule="auto"/>
        <w:jc w:val="both"/>
        <w:rPr>
          <w:rFonts w:ascii="Verdana" w:hAnsi="Verdana"/>
        </w:rPr>
      </w:pPr>
    </w:p>
    <w:p w14:paraId="2F23AC3F" w14:textId="198AF243" w:rsidR="00A462F5" w:rsidRPr="004600CC" w:rsidRDefault="00A462F5" w:rsidP="00A462F5">
      <w:pPr>
        <w:spacing w:after="0" w:line="276" w:lineRule="auto"/>
        <w:jc w:val="both"/>
        <w:rPr>
          <w:rFonts w:ascii="Verdana" w:hAnsi="Verdana"/>
        </w:rPr>
      </w:pPr>
      <w:r w:rsidRPr="004600CC">
        <w:rPr>
          <w:rFonts w:ascii="Verdana" w:hAnsi="Verdana"/>
        </w:rPr>
        <w:t>Recuerda también que la</w:t>
      </w:r>
      <w:r w:rsidRPr="004600CC">
        <w:rPr>
          <w:rFonts w:ascii="Verdana" w:hAnsi="Verdana"/>
          <w:b/>
        </w:rPr>
        <w:t> información sobre sanciones e inhabilidades </w:t>
      </w:r>
      <w:r w:rsidRPr="004600CC">
        <w:rPr>
          <w:rFonts w:ascii="Verdana" w:hAnsi="Verdana"/>
        </w:rPr>
        <w:t>solo cumple su función preventiva si llega oportunamente a los registros públicos. Sobre este deber, esta Agencia expidió la </w:t>
      </w:r>
      <w:r w:rsidRPr="004600CC">
        <w:rPr>
          <w:rFonts w:ascii="Verdana" w:hAnsi="Verdana"/>
          <w:b/>
        </w:rPr>
        <w:t>Circular Externa 002 del 5 de mayo de 2026,</w:t>
      </w:r>
      <w:r w:rsidRPr="004600CC">
        <w:rPr>
          <w:rFonts w:ascii="Verdana" w:hAnsi="Verdana"/>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6" w:tgtFrame="_blank" w:tooltip="Original URL: https://www.colombiacompra.gov.co/archivos/circular/circular-externa-002-de-2026. Click or tap if you trust this link." w:history="1">
        <w:r w:rsidRPr="004600CC">
          <w:rPr>
            <w:rStyle w:val="Hipervnculo"/>
            <w:rFonts w:ascii="Verdana" w:hAnsi="Verdana"/>
          </w:rPr>
          <w:t>https://www.colombiacompra.gov.co/archivos/circular/circular-externa-002-de-2026</w:t>
        </w:r>
      </w:hyperlink>
    </w:p>
    <w:p w14:paraId="46B2CBC3" w14:textId="77777777" w:rsidR="00A462F5" w:rsidRDefault="00A462F5" w:rsidP="00A462F5">
      <w:pPr>
        <w:spacing w:after="0" w:line="276" w:lineRule="auto"/>
        <w:jc w:val="both"/>
        <w:rPr>
          <w:rFonts w:ascii="Verdana" w:hAnsi="Verdana"/>
        </w:rPr>
      </w:pPr>
    </w:p>
    <w:p w14:paraId="0693CC59" w14:textId="543FBFC5" w:rsidR="00A462F5" w:rsidRPr="004600CC" w:rsidRDefault="00A462F5" w:rsidP="00A462F5">
      <w:pPr>
        <w:spacing w:after="0" w:line="276" w:lineRule="auto"/>
        <w:jc w:val="both"/>
        <w:rPr>
          <w:rFonts w:ascii="Verdana" w:hAnsi="Verdana"/>
        </w:rPr>
      </w:pPr>
      <w:r w:rsidRPr="004600CC">
        <w:rPr>
          <w:rFonts w:ascii="Verdana" w:hAnsi="Verdana"/>
        </w:rPr>
        <w:t>Finalmente, si quieres seguir de cerca la actividad de la Agencia, la tercera edición de 2026 del</w:t>
      </w:r>
      <w:r w:rsidRPr="004600CC">
        <w:rPr>
          <w:rFonts w:ascii="Verdana" w:hAnsi="Verdana"/>
          <w:b/>
        </w:rPr>
        <w:t> Radar de la Compra Pública</w:t>
      </w:r>
      <w:r w:rsidRPr="004600CC">
        <w:rPr>
          <w:rFonts w:ascii="Verdana" w:hAnsi="Verdana"/>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7" w:tgtFrame="_blank" w:tooltip="Original URL: https://www.colombiacompra.gov.co/archivos/boletin/boletin-edicion-n-3-de-2026-radar-de-la-compra-publica. Click or tap if you trust this link." w:history="1">
        <w:r w:rsidRPr="004600CC">
          <w:rPr>
            <w:rStyle w:val="Hipervnculo"/>
            <w:rFonts w:ascii="Verdana" w:hAnsi="Verdana"/>
          </w:rPr>
          <w:t>https://www.colombiacompra.gov.co/archivos/boletin/boletin-edicion-n-3-de-2026-radar-de-la-compra-publica</w:t>
        </w:r>
      </w:hyperlink>
    </w:p>
    <w:p w14:paraId="47C88C17" w14:textId="77777777" w:rsidR="00A462F5" w:rsidRDefault="00A462F5" w:rsidP="002A2CE2">
      <w:pPr>
        <w:spacing w:after="0" w:line="276" w:lineRule="auto"/>
        <w:jc w:val="both"/>
        <w:rPr>
          <w:rFonts w:ascii="Verdana" w:hAnsi="Verdana"/>
          <w:lang w:val="es-ES"/>
        </w:rPr>
      </w:pPr>
    </w:p>
    <w:p w14:paraId="4048666F" w14:textId="5DB8E736" w:rsidR="002A2CE2" w:rsidRPr="001B3113" w:rsidRDefault="002A2CE2" w:rsidP="002A2CE2">
      <w:pPr>
        <w:spacing w:after="0" w:line="276" w:lineRule="auto"/>
        <w:jc w:val="both"/>
        <w:rPr>
          <w:rFonts w:ascii="Verdana" w:hAnsi="Verdana"/>
          <w:lang w:val="es-ES"/>
        </w:rPr>
      </w:pPr>
      <w:r w:rsidRPr="001B3113">
        <w:rPr>
          <w:rFonts w:ascii="Verdana" w:hAnsi="Verdana"/>
          <w:lang w:val="es-ES"/>
        </w:rPr>
        <w:t xml:space="preserve">Por último, </w:t>
      </w:r>
      <w:r w:rsidR="00A462F5">
        <w:rPr>
          <w:rFonts w:ascii="Verdana" w:hAnsi="Verdana"/>
          <w:lang w:val="es-ES"/>
        </w:rPr>
        <w:t>te</w:t>
      </w:r>
      <w:r w:rsidRPr="001B3113">
        <w:rPr>
          <w:rFonts w:ascii="Verdana" w:hAnsi="Verdana"/>
          <w:lang w:val="es-ES"/>
        </w:rPr>
        <w:t xml:space="preserve"> invitamos a seguirnos en las redes sociales en las cuales se difunde información institucional: </w:t>
      </w:r>
    </w:p>
    <w:p w14:paraId="348E769C" w14:textId="77777777" w:rsidR="002A2CE2" w:rsidRPr="001B3113" w:rsidRDefault="002A2CE2" w:rsidP="002A2CE2">
      <w:pPr>
        <w:spacing w:after="0" w:line="276" w:lineRule="auto"/>
        <w:jc w:val="both"/>
        <w:rPr>
          <w:rFonts w:ascii="Verdana" w:hAnsi="Verdana"/>
          <w:lang w:val="es-ES"/>
        </w:rPr>
      </w:pPr>
    </w:p>
    <w:p w14:paraId="586917AF" w14:textId="77777777" w:rsidR="002A2CE2" w:rsidRPr="001B3113" w:rsidRDefault="002A2CE2" w:rsidP="002A2CE2">
      <w:pPr>
        <w:spacing w:after="0" w:line="276" w:lineRule="auto"/>
        <w:jc w:val="both"/>
        <w:rPr>
          <w:rFonts w:ascii="Verdana" w:hAnsi="Verdana"/>
          <w:lang w:val="es-ES"/>
        </w:rPr>
      </w:pPr>
      <w:r w:rsidRPr="001B3113">
        <w:rPr>
          <w:rFonts w:ascii="Verdana" w:hAnsi="Verdana"/>
          <w:lang w:val="es-ES"/>
        </w:rPr>
        <w:lastRenderedPageBreak/>
        <w:t xml:space="preserve">Twitter: </w:t>
      </w:r>
      <w:r w:rsidRPr="001B3113">
        <w:rPr>
          <w:rStyle w:val="Hipervnculo"/>
          <w:rFonts w:ascii="Verdana" w:hAnsi="Verdana" w:cs="Arial"/>
          <w:shd w:val="clear" w:color="auto" w:fill="FFFFFF"/>
          <w:lang w:val="es-ES"/>
        </w:rPr>
        <w:t>@colombiacompra</w:t>
      </w:r>
      <w:r w:rsidRPr="001B3113">
        <w:rPr>
          <w:rFonts w:ascii="Verdana" w:hAnsi="Verdana"/>
          <w:color w:val="4472C4" w:themeColor="accent1"/>
          <w:lang w:val="es-ES"/>
        </w:rPr>
        <w:t xml:space="preserve"> </w:t>
      </w:r>
    </w:p>
    <w:p w14:paraId="52BE8CAF" w14:textId="77777777" w:rsidR="002A2CE2" w:rsidRPr="001B3113" w:rsidRDefault="002A2CE2" w:rsidP="002A2CE2">
      <w:pPr>
        <w:spacing w:after="0" w:line="276" w:lineRule="auto"/>
        <w:jc w:val="both"/>
        <w:rPr>
          <w:rFonts w:ascii="Verdana" w:hAnsi="Verdana"/>
          <w:lang w:val="es-ES"/>
        </w:rPr>
      </w:pPr>
      <w:r w:rsidRPr="001B3113">
        <w:rPr>
          <w:rFonts w:ascii="Verdana" w:hAnsi="Verdana"/>
          <w:lang w:val="es-ES"/>
        </w:rPr>
        <w:t xml:space="preserve">Facebook: </w:t>
      </w:r>
      <w:proofErr w:type="spellStart"/>
      <w:r w:rsidRPr="001B3113">
        <w:rPr>
          <w:rStyle w:val="Hipervnculo"/>
          <w:rFonts w:ascii="Verdana" w:hAnsi="Verdana" w:cs="Arial"/>
          <w:shd w:val="clear" w:color="auto" w:fill="FFFFFF"/>
          <w:lang w:val="es-ES"/>
        </w:rPr>
        <w:t>ColombiaCompraEficiente</w:t>
      </w:r>
      <w:proofErr w:type="spellEnd"/>
    </w:p>
    <w:p w14:paraId="7327F5EE" w14:textId="77777777" w:rsidR="002A2CE2" w:rsidRPr="001B3113" w:rsidRDefault="002A2CE2" w:rsidP="002A2CE2">
      <w:pPr>
        <w:spacing w:after="0" w:line="276" w:lineRule="auto"/>
        <w:jc w:val="both"/>
        <w:rPr>
          <w:rFonts w:ascii="Verdana" w:hAnsi="Verdana"/>
          <w:lang w:val="es-ES"/>
        </w:rPr>
      </w:pPr>
      <w:r w:rsidRPr="001B3113">
        <w:rPr>
          <w:rFonts w:ascii="Verdana" w:hAnsi="Verdana"/>
          <w:lang w:val="es-ES"/>
        </w:rPr>
        <w:t xml:space="preserve">LinkedIn: </w:t>
      </w:r>
      <w:r w:rsidRPr="001B3113">
        <w:rPr>
          <w:rStyle w:val="Hipervnculo"/>
          <w:rFonts w:ascii="Verdana" w:hAnsi="Verdana" w:cs="Arial"/>
          <w:shd w:val="clear" w:color="auto" w:fill="FFFFFF"/>
          <w:lang w:val="es-ES"/>
        </w:rPr>
        <w:t xml:space="preserve">Agencia Nacional de Contratación Pública - Colombia Compra Eficiente </w:t>
      </w:r>
      <w:r w:rsidRPr="001B3113">
        <w:rPr>
          <w:rFonts w:ascii="Verdana" w:hAnsi="Verdana"/>
          <w:lang w:val="es-ES"/>
        </w:rPr>
        <w:t xml:space="preserve">Instagram: </w:t>
      </w:r>
      <w:r w:rsidRPr="001B3113">
        <w:rPr>
          <w:rStyle w:val="Hipervnculo"/>
          <w:rFonts w:ascii="Verdana" w:hAnsi="Verdana" w:cs="Arial"/>
          <w:shd w:val="clear" w:color="auto" w:fill="FFFFFF"/>
          <w:lang w:val="es-ES"/>
        </w:rPr>
        <w:t>@colombiacompraeficiente_cce</w:t>
      </w:r>
    </w:p>
    <w:p w14:paraId="5F129BED" w14:textId="77777777" w:rsidR="002A2CE2" w:rsidRPr="001B3113" w:rsidRDefault="002A2CE2" w:rsidP="002A2CE2">
      <w:pPr>
        <w:widowControl w:val="0"/>
        <w:autoSpaceDE w:val="0"/>
        <w:autoSpaceDN w:val="0"/>
        <w:spacing w:after="0" w:line="276" w:lineRule="auto"/>
        <w:jc w:val="both"/>
        <w:rPr>
          <w:rFonts w:ascii="Verdana" w:hAnsi="Verdana" w:cs="Arial"/>
          <w:color w:val="000000" w:themeColor="text1"/>
          <w:lang w:val="es-ES"/>
        </w:rPr>
      </w:pPr>
    </w:p>
    <w:p w14:paraId="67F4C5A9" w14:textId="77777777" w:rsidR="002A2CE2" w:rsidRPr="001B3113" w:rsidRDefault="002A2CE2" w:rsidP="002A2CE2">
      <w:pPr>
        <w:widowControl w:val="0"/>
        <w:autoSpaceDE w:val="0"/>
        <w:autoSpaceDN w:val="0"/>
        <w:spacing w:after="0" w:line="276" w:lineRule="auto"/>
        <w:jc w:val="both"/>
        <w:rPr>
          <w:rFonts w:ascii="Verdana" w:hAnsi="Verdana" w:cs="Arial"/>
          <w:color w:val="000000" w:themeColor="text1"/>
          <w:lang w:val="es-ES"/>
        </w:rPr>
      </w:pPr>
      <w:r w:rsidRPr="001B3113">
        <w:rPr>
          <w:rFonts w:ascii="Verdana" w:hAnsi="Verdana" w:cs="Arial"/>
          <w:color w:val="000000" w:themeColor="text1"/>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344FDA2F" w14:textId="06CE30C0" w:rsidR="002A2CE2" w:rsidRPr="001B3113" w:rsidRDefault="002A2CE2" w:rsidP="002A2CE2">
      <w:pPr>
        <w:widowControl w:val="0"/>
        <w:autoSpaceDE w:val="0"/>
        <w:autoSpaceDN w:val="0"/>
        <w:spacing w:after="0" w:line="276" w:lineRule="auto"/>
        <w:jc w:val="both"/>
        <w:rPr>
          <w:rFonts w:ascii="Verdana" w:hAnsi="Verdana" w:cs="Arial"/>
          <w:color w:val="000000" w:themeColor="text1"/>
          <w:lang w:val="es-ES"/>
        </w:rPr>
      </w:pPr>
    </w:p>
    <w:p w14:paraId="7672053A" w14:textId="3C55FAD7" w:rsidR="002A2CE2" w:rsidRDefault="002A2CE2" w:rsidP="002A2CE2">
      <w:pPr>
        <w:spacing w:after="0" w:line="276" w:lineRule="auto"/>
        <w:rPr>
          <w:rFonts w:ascii="Verdana" w:hAnsi="Verdana" w:cs="Arial"/>
          <w:color w:val="000000" w:themeColor="text1"/>
          <w:lang w:val="es-ES" w:eastAsia="es-CO"/>
        </w:rPr>
      </w:pPr>
      <w:r w:rsidRPr="001B3113">
        <w:rPr>
          <w:rFonts w:ascii="Verdana" w:eastAsia="Times New Roman" w:hAnsi="Verdana" w:cs="Arial"/>
          <w:color w:val="000000" w:themeColor="text1"/>
          <w:lang w:val="es-ES" w:eastAsia="es-CO"/>
        </w:rPr>
        <w:t>Atentamente,</w:t>
      </w:r>
      <w:r w:rsidRPr="001B3113">
        <w:rPr>
          <w:rFonts w:ascii="Verdana" w:hAnsi="Verdana" w:cs="Arial"/>
          <w:color w:val="000000" w:themeColor="text1"/>
          <w:lang w:val="es-ES" w:eastAsia="es-CO"/>
        </w:rPr>
        <w:t xml:space="preserve"> </w:t>
      </w:r>
    </w:p>
    <w:p w14:paraId="70863A99" w14:textId="408F5B31" w:rsidR="00DF21DC" w:rsidRPr="001B3113" w:rsidRDefault="00DF21DC" w:rsidP="002A2CE2">
      <w:pPr>
        <w:spacing w:after="0" w:line="276" w:lineRule="auto"/>
        <w:rPr>
          <w:rFonts w:ascii="Verdana" w:hAnsi="Verdana" w:cs="Arial"/>
          <w:color w:val="000000" w:themeColor="text1"/>
          <w:lang w:val="es-ES" w:eastAsia="es-CO"/>
        </w:rPr>
      </w:pPr>
    </w:p>
    <w:p w14:paraId="0F3F7F34" w14:textId="4984DDCD" w:rsidR="002A2CE2" w:rsidRDefault="00510EAB" w:rsidP="002A2CE2">
      <w:pPr>
        <w:spacing w:line="276" w:lineRule="auto"/>
        <w:rPr>
          <w:rFonts w:ascii="Verdana" w:hAnsi="Verdana"/>
          <w:lang w:val="es-ES"/>
        </w:rPr>
      </w:pPr>
      <w:r w:rsidRPr="002C3AD6">
        <w:rPr>
          <w:rFonts w:ascii="Century Gothic" w:hAnsi="Century Gothic"/>
          <w:noProof/>
        </w:rPr>
        <w:drawing>
          <wp:anchor distT="0" distB="0" distL="114300" distR="114300" simplePos="0" relativeHeight="251656192" behindDoc="0" locked="0" layoutInCell="1" allowOverlap="1" wp14:anchorId="00266730" wp14:editId="093DD732">
            <wp:simplePos x="0" y="0"/>
            <wp:positionH relativeFrom="margin">
              <wp:align>center</wp:align>
            </wp:positionH>
            <wp:positionV relativeFrom="page">
              <wp:posOffset>3959446</wp:posOffset>
            </wp:positionV>
            <wp:extent cx="3440430" cy="1276985"/>
            <wp:effectExtent l="0" t="0" r="7620" b="0"/>
            <wp:wrapSquare wrapText="bothSides"/>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18">
                      <a:extLst>
                        <a:ext uri="{28A0092B-C50C-407E-A947-70E740481C1C}">
                          <a14:useLocalDpi xmlns:a14="http://schemas.microsoft.com/office/drawing/2010/main" val="0"/>
                        </a:ext>
                      </a:extLst>
                    </a:blip>
                    <a:stretch>
                      <a:fillRect/>
                    </a:stretch>
                  </pic:blipFill>
                  <pic:spPr>
                    <a:xfrm>
                      <a:off x="0" y="0"/>
                      <a:ext cx="3440430" cy="1276985"/>
                    </a:xfrm>
                    <a:prstGeom prst="rect">
                      <a:avLst/>
                    </a:prstGeom>
                  </pic:spPr>
                </pic:pic>
              </a:graphicData>
            </a:graphic>
            <wp14:sizeRelH relativeFrom="page">
              <wp14:pctWidth>0</wp14:pctWidth>
            </wp14:sizeRelH>
            <wp14:sizeRelV relativeFrom="page">
              <wp14:pctHeight>0</wp14:pctHeight>
            </wp14:sizeRelV>
          </wp:anchor>
        </w:drawing>
      </w:r>
    </w:p>
    <w:p w14:paraId="1DA874F3" w14:textId="77777777" w:rsidR="00510EAB" w:rsidRDefault="00510EAB" w:rsidP="002A2CE2">
      <w:pPr>
        <w:spacing w:line="276" w:lineRule="auto"/>
        <w:rPr>
          <w:rFonts w:ascii="Verdana" w:hAnsi="Verdana"/>
          <w:lang w:val="es-ES"/>
        </w:rPr>
      </w:pPr>
    </w:p>
    <w:p w14:paraId="39940A3A" w14:textId="77777777" w:rsidR="00510EAB" w:rsidRDefault="00510EAB" w:rsidP="002A2CE2">
      <w:pPr>
        <w:spacing w:line="276" w:lineRule="auto"/>
        <w:rPr>
          <w:rFonts w:ascii="Verdana" w:hAnsi="Verdana"/>
          <w:lang w:val="es-ES"/>
        </w:rPr>
      </w:pPr>
    </w:p>
    <w:p w14:paraId="187656D7" w14:textId="77777777" w:rsidR="00510EAB" w:rsidRDefault="00510EAB" w:rsidP="002A2CE2">
      <w:pPr>
        <w:spacing w:line="276" w:lineRule="auto"/>
        <w:rPr>
          <w:rFonts w:ascii="Verdana" w:hAnsi="Verdana"/>
          <w:lang w:val="es-ES"/>
        </w:rPr>
      </w:pPr>
    </w:p>
    <w:p w14:paraId="63B7F40A" w14:textId="77777777" w:rsidR="00510EAB" w:rsidRDefault="00510EAB" w:rsidP="002A2CE2">
      <w:pPr>
        <w:spacing w:line="276" w:lineRule="auto"/>
        <w:rPr>
          <w:rFonts w:ascii="Verdana" w:hAnsi="Verdana"/>
          <w:lang w:val="es-ES"/>
        </w:rPr>
      </w:pPr>
    </w:p>
    <w:p w14:paraId="37969733" w14:textId="77777777" w:rsidR="00510EAB" w:rsidRPr="001B3113" w:rsidRDefault="00510EAB" w:rsidP="002A2CE2">
      <w:pPr>
        <w:spacing w:line="276" w:lineRule="auto"/>
        <w:rPr>
          <w:rFonts w:ascii="Verdana" w:hAnsi="Verdana"/>
          <w:lang w:val="es-ES"/>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2A2CE2" w:rsidRPr="001B3113" w14:paraId="132DF620" w14:textId="77777777" w:rsidTr="00D71998">
        <w:trPr>
          <w:trHeight w:val="315"/>
        </w:trPr>
        <w:tc>
          <w:tcPr>
            <w:tcW w:w="893" w:type="dxa"/>
            <w:vAlign w:val="center"/>
            <w:hideMark/>
          </w:tcPr>
          <w:p w14:paraId="11FFAE8F" w14:textId="77777777" w:rsidR="002A2CE2" w:rsidRPr="001B3113" w:rsidRDefault="002A2CE2" w:rsidP="00D71998">
            <w:pPr>
              <w:contextualSpacing/>
              <w:rPr>
                <w:rFonts w:ascii="Verdana" w:hAnsi="Verdana" w:cs="Arial"/>
                <w:sz w:val="15"/>
                <w:szCs w:val="15"/>
                <w:lang w:val="es-ES" w:eastAsia="es-ES"/>
              </w:rPr>
            </w:pPr>
            <w:r w:rsidRPr="001B3113">
              <w:rPr>
                <w:rFonts w:ascii="Verdana" w:hAnsi="Verdana" w:cs="Arial"/>
                <w:sz w:val="15"/>
                <w:szCs w:val="15"/>
                <w:lang w:val="es-ES" w:eastAsia="es-ES"/>
              </w:rPr>
              <w:t>Elaboró:</w:t>
            </w:r>
          </w:p>
        </w:tc>
        <w:tc>
          <w:tcPr>
            <w:tcW w:w="5628" w:type="dxa"/>
            <w:tcBorders>
              <w:top w:val="nil"/>
              <w:left w:val="nil"/>
              <w:bottom w:val="dotted" w:sz="4" w:space="0" w:color="7F7F7F" w:themeColor="text1" w:themeTint="80"/>
              <w:right w:val="nil"/>
            </w:tcBorders>
            <w:vAlign w:val="center"/>
            <w:hideMark/>
          </w:tcPr>
          <w:p w14:paraId="18D84E10" w14:textId="48FB2368" w:rsidR="002A2CE2" w:rsidRPr="001B3113" w:rsidRDefault="002A2CE2" w:rsidP="00D71998">
            <w:pPr>
              <w:contextualSpacing/>
              <w:rPr>
                <w:rFonts w:ascii="Verdana" w:eastAsia="Arial" w:hAnsi="Verdana" w:cs="Arial"/>
                <w:color w:val="000000" w:themeColor="text1"/>
                <w:sz w:val="15"/>
                <w:szCs w:val="15"/>
                <w:lang w:val="es-ES"/>
              </w:rPr>
            </w:pPr>
            <w:proofErr w:type="spellStart"/>
            <w:r w:rsidRPr="001B3113">
              <w:rPr>
                <w:rFonts w:ascii="Verdana" w:eastAsia="Arial" w:hAnsi="Verdana" w:cs="Arial"/>
                <w:color w:val="000000" w:themeColor="text1"/>
                <w:sz w:val="15"/>
                <w:szCs w:val="15"/>
                <w:lang w:val="es-ES"/>
              </w:rPr>
              <w:t>Anamaría</w:t>
            </w:r>
            <w:proofErr w:type="spellEnd"/>
            <w:r w:rsidRPr="001B3113">
              <w:rPr>
                <w:rFonts w:ascii="Verdana" w:eastAsia="Arial" w:hAnsi="Verdana" w:cs="Arial"/>
                <w:color w:val="000000" w:themeColor="text1"/>
                <w:sz w:val="15"/>
                <w:szCs w:val="15"/>
                <w:lang w:val="es-ES"/>
              </w:rPr>
              <w:t xml:space="preserve"> Bonilla Prieto</w:t>
            </w:r>
          </w:p>
          <w:p w14:paraId="3D377270" w14:textId="77777777" w:rsidR="002A2CE2" w:rsidRPr="001B3113" w:rsidRDefault="002A2CE2" w:rsidP="00D71998">
            <w:pPr>
              <w:contextualSpacing/>
              <w:rPr>
                <w:rFonts w:ascii="Verdana" w:eastAsia="Arial" w:hAnsi="Verdana" w:cs="Arial"/>
                <w:sz w:val="15"/>
                <w:szCs w:val="15"/>
                <w:lang w:val="es-ES"/>
              </w:rPr>
            </w:pPr>
            <w:r w:rsidRPr="001B3113">
              <w:rPr>
                <w:rStyle w:val="normaltextrun"/>
                <w:rFonts w:ascii="Verdana" w:eastAsia="Arial" w:hAnsi="Verdana" w:cs="Arial"/>
                <w:color w:val="000000" w:themeColor="text1"/>
                <w:sz w:val="15"/>
                <w:szCs w:val="15"/>
                <w:lang w:val="es-ES"/>
              </w:rPr>
              <w:t xml:space="preserve">Contratista de la Subdirección </w:t>
            </w:r>
            <w:r w:rsidRPr="001B3113">
              <w:rPr>
                <w:rStyle w:val="normaltextrun"/>
                <w:rFonts w:ascii="Verdana" w:eastAsia="Arial" w:hAnsi="Verdana" w:cs="Arial"/>
                <w:sz w:val="15"/>
                <w:szCs w:val="15"/>
                <w:lang w:val="es-ES"/>
              </w:rPr>
              <w:t>de Gestión Contractual</w:t>
            </w:r>
          </w:p>
        </w:tc>
      </w:tr>
      <w:tr w:rsidR="002A2CE2" w:rsidRPr="001B3113" w14:paraId="2B828CF6" w14:textId="77777777" w:rsidTr="00D71998">
        <w:trPr>
          <w:trHeight w:val="330"/>
        </w:trPr>
        <w:tc>
          <w:tcPr>
            <w:tcW w:w="893" w:type="dxa"/>
            <w:vAlign w:val="center"/>
            <w:hideMark/>
          </w:tcPr>
          <w:p w14:paraId="6547EF62" w14:textId="77777777" w:rsidR="002A2CE2" w:rsidRPr="001B3113" w:rsidRDefault="002A2CE2" w:rsidP="00D71998">
            <w:pPr>
              <w:contextualSpacing/>
              <w:rPr>
                <w:rFonts w:ascii="Verdana" w:hAnsi="Verdana" w:cs="Arial"/>
                <w:sz w:val="15"/>
                <w:szCs w:val="15"/>
                <w:lang w:val="es-ES" w:eastAsia="es-ES"/>
              </w:rPr>
            </w:pPr>
            <w:r w:rsidRPr="001B3113">
              <w:rPr>
                <w:rFonts w:ascii="Verdana" w:hAnsi="Verdana" w:cs="Arial"/>
                <w:sz w:val="15"/>
                <w:szCs w:val="15"/>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13B76091" w14:textId="358A3423" w:rsidR="002A2CE2" w:rsidRPr="001B3113" w:rsidRDefault="002A2CE2" w:rsidP="00D71998">
            <w:pPr>
              <w:contextualSpacing/>
              <w:rPr>
                <w:rFonts w:ascii="Verdana" w:eastAsia="Arial" w:hAnsi="Verdana" w:cs="Arial"/>
                <w:color w:val="000000" w:themeColor="text1"/>
                <w:sz w:val="15"/>
                <w:szCs w:val="15"/>
                <w:lang w:val="es-ES"/>
              </w:rPr>
            </w:pPr>
            <w:r w:rsidRPr="001B3113">
              <w:rPr>
                <w:rFonts w:ascii="Verdana" w:eastAsia="Arial" w:hAnsi="Verdana" w:cs="Arial"/>
                <w:color w:val="000000" w:themeColor="text1"/>
                <w:sz w:val="15"/>
                <w:szCs w:val="15"/>
                <w:lang w:val="es-ES"/>
              </w:rPr>
              <w:t>Alejandro Sarmiento Cantillo</w:t>
            </w:r>
          </w:p>
          <w:p w14:paraId="7D00459B" w14:textId="77777777" w:rsidR="002A2CE2" w:rsidRPr="001B3113" w:rsidRDefault="002A2CE2" w:rsidP="00D71998">
            <w:pPr>
              <w:pStyle w:val="paragraph"/>
              <w:spacing w:before="0" w:beforeAutospacing="0" w:after="0" w:afterAutospacing="0"/>
              <w:contextualSpacing/>
              <w:textAlignment w:val="baseline"/>
              <w:rPr>
                <w:rFonts w:ascii="Verdana" w:hAnsi="Verdana" w:cs="Segoe UI"/>
                <w:sz w:val="15"/>
                <w:szCs w:val="15"/>
                <w:lang w:val="es-ES"/>
              </w:rPr>
            </w:pPr>
            <w:r w:rsidRPr="001B3113">
              <w:rPr>
                <w:rFonts w:ascii="Verdana" w:eastAsia="Arial" w:hAnsi="Verdana" w:cs="Arial"/>
                <w:color w:val="000000" w:themeColor="text1"/>
                <w:sz w:val="15"/>
                <w:szCs w:val="15"/>
                <w:lang w:val="es-ES"/>
              </w:rPr>
              <w:t>Gestor T1 – 15 de la Subdirección de Gestión Contractual</w:t>
            </w:r>
            <w:r w:rsidRPr="001B3113">
              <w:rPr>
                <w:rFonts w:ascii="Verdana" w:hAnsi="Verdana" w:cs="Segoe UI"/>
                <w:sz w:val="15"/>
                <w:szCs w:val="15"/>
                <w:lang w:val="es-ES"/>
              </w:rPr>
              <w:t> </w:t>
            </w:r>
          </w:p>
          <w:p w14:paraId="0E7B4E96" w14:textId="77777777" w:rsidR="002A2CE2" w:rsidRPr="001B3113" w:rsidRDefault="002A2CE2" w:rsidP="00D71998">
            <w:pPr>
              <w:pStyle w:val="paragraph"/>
              <w:spacing w:before="0" w:beforeAutospacing="0" w:after="0" w:afterAutospacing="0"/>
              <w:contextualSpacing/>
              <w:textAlignment w:val="baseline"/>
              <w:rPr>
                <w:rFonts w:ascii="Verdana" w:hAnsi="Verdana" w:cs="Segoe UI"/>
                <w:sz w:val="15"/>
                <w:szCs w:val="15"/>
                <w:lang w:val="es-ES"/>
              </w:rPr>
            </w:pPr>
          </w:p>
        </w:tc>
      </w:tr>
      <w:tr w:rsidR="002A2CE2" w:rsidRPr="001B3113" w14:paraId="7F5FC871" w14:textId="77777777" w:rsidTr="00D71998">
        <w:trPr>
          <w:trHeight w:val="300"/>
        </w:trPr>
        <w:tc>
          <w:tcPr>
            <w:tcW w:w="893" w:type="dxa"/>
            <w:vAlign w:val="center"/>
          </w:tcPr>
          <w:p w14:paraId="4A66833F" w14:textId="77777777" w:rsidR="002A2CE2" w:rsidRPr="001B3113" w:rsidRDefault="002A2CE2" w:rsidP="00D71998">
            <w:pPr>
              <w:contextualSpacing/>
              <w:rPr>
                <w:rFonts w:ascii="Verdana" w:hAnsi="Verdana" w:cs="Arial"/>
                <w:sz w:val="15"/>
                <w:szCs w:val="15"/>
                <w:lang w:val="es-ES" w:eastAsia="es-ES"/>
              </w:rPr>
            </w:pPr>
            <w:r w:rsidRPr="001B3113">
              <w:rPr>
                <w:rFonts w:ascii="Verdana" w:hAnsi="Verdana" w:cs="Arial"/>
                <w:sz w:val="15"/>
                <w:szCs w:val="15"/>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59C5E579" w14:textId="77777777" w:rsidR="002A2CE2" w:rsidRPr="001B3113" w:rsidRDefault="002A2CE2" w:rsidP="00D71998">
            <w:pPr>
              <w:contextualSpacing/>
              <w:rPr>
                <w:rStyle w:val="normaltextrun"/>
                <w:rFonts w:ascii="Verdana" w:eastAsia="Arial" w:hAnsi="Verdana"/>
                <w:sz w:val="15"/>
                <w:szCs w:val="15"/>
                <w:lang w:val="es-ES"/>
              </w:rPr>
            </w:pPr>
            <w:r w:rsidRPr="001B3113">
              <w:rPr>
                <w:rStyle w:val="normaltextrun"/>
                <w:rFonts w:ascii="Verdana" w:eastAsia="Arial" w:hAnsi="Verdana"/>
                <w:sz w:val="15"/>
                <w:szCs w:val="15"/>
                <w:lang w:val="es-ES"/>
              </w:rPr>
              <w:t>Carolina Quintero Gacharná</w:t>
            </w:r>
          </w:p>
          <w:p w14:paraId="180127C7" w14:textId="77777777" w:rsidR="002A2CE2" w:rsidRPr="001B3113" w:rsidRDefault="002A2CE2" w:rsidP="00D71998">
            <w:pPr>
              <w:contextualSpacing/>
              <w:rPr>
                <w:rFonts w:ascii="Verdana" w:eastAsia="Calibri" w:hAnsi="Verdana" w:cs="Arial"/>
                <w:sz w:val="15"/>
                <w:szCs w:val="15"/>
                <w:lang w:val="es-ES" w:eastAsia="es-ES"/>
              </w:rPr>
            </w:pPr>
            <w:r w:rsidRPr="001B3113">
              <w:rPr>
                <w:rStyle w:val="normaltextrun"/>
                <w:rFonts w:ascii="Verdana" w:eastAsia="Arial" w:hAnsi="Verdana"/>
                <w:sz w:val="15"/>
                <w:szCs w:val="15"/>
                <w:lang w:val="es-ES"/>
              </w:rPr>
              <w:t>Subdirectora de Gestión Contractual ANCP – CCE</w:t>
            </w:r>
          </w:p>
        </w:tc>
      </w:tr>
      <w:bookmarkEnd w:id="0"/>
    </w:tbl>
    <w:p w14:paraId="18999E60" w14:textId="12F6D2D9" w:rsidR="002A2CE2" w:rsidRPr="001B3113" w:rsidRDefault="002A2CE2" w:rsidP="002A2CE2">
      <w:pPr>
        <w:rPr>
          <w:rFonts w:ascii="Verdana" w:hAnsi="Verdana"/>
          <w:lang w:val="es-ES"/>
        </w:rPr>
      </w:pPr>
    </w:p>
    <w:p w14:paraId="585D7E26" w14:textId="6A0659E3" w:rsidR="002A2CE2" w:rsidRPr="001B3113" w:rsidRDefault="002A2CE2" w:rsidP="002A2CE2">
      <w:pPr>
        <w:rPr>
          <w:rFonts w:ascii="Verdana" w:hAnsi="Verdana"/>
          <w:lang w:val="es-ES"/>
        </w:rPr>
      </w:pPr>
    </w:p>
    <w:p w14:paraId="1E7C7E3A" w14:textId="37AE0CDF" w:rsidR="002A2CE2" w:rsidRPr="001B3113" w:rsidRDefault="002A2CE2" w:rsidP="002A2CE2">
      <w:pPr>
        <w:rPr>
          <w:rFonts w:ascii="Verdana" w:hAnsi="Verdana"/>
          <w:lang w:val="es-ES"/>
        </w:rPr>
      </w:pPr>
    </w:p>
    <w:p w14:paraId="0F293BF4" w14:textId="7C9FF0DE" w:rsidR="00127233" w:rsidRPr="002A2CE2" w:rsidRDefault="00127233" w:rsidP="002A2CE2"/>
    <w:sectPr w:rsidR="00127233" w:rsidRPr="002A2CE2" w:rsidSect="007C0C0F">
      <w:headerReference w:type="default" r:id="rId19"/>
      <w:footerReference w:type="default" r:id="rId20"/>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51971" w14:textId="77777777" w:rsidR="002F62A7" w:rsidRDefault="002F62A7" w:rsidP="004A1847">
      <w:pPr>
        <w:spacing w:after="0" w:line="240" w:lineRule="auto"/>
      </w:pPr>
      <w:r>
        <w:separator/>
      </w:r>
    </w:p>
  </w:endnote>
  <w:endnote w:type="continuationSeparator" w:id="0">
    <w:p w14:paraId="46BEEB43" w14:textId="77777777" w:rsidR="002F62A7" w:rsidRDefault="002F62A7" w:rsidP="004A1847">
      <w:pPr>
        <w:spacing w:after="0" w:line="240" w:lineRule="auto"/>
      </w:pPr>
      <w:r>
        <w:continuationSeparator/>
      </w:r>
    </w:p>
  </w:endnote>
  <w:endnote w:type="continuationNotice" w:id="1">
    <w:p w14:paraId="2EAD35D9" w14:textId="77777777" w:rsidR="002F62A7" w:rsidRDefault="002F62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charset w:val="00"/>
    <w:family w:val="auto"/>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6B0D9" w14:textId="77777777" w:rsidR="002F62A7" w:rsidRDefault="002F62A7" w:rsidP="004A1847">
      <w:pPr>
        <w:spacing w:after="0" w:line="240" w:lineRule="auto"/>
      </w:pPr>
      <w:r>
        <w:separator/>
      </w:r>
    </w:p>
  </w:footnote>
  <w:footnote w:type="continuationSeparator" w:id="0">
    <w:p w14:paraId="1AFD2D70" w14:textId="77777777" w:rsidR="002F62A7" w:rsidRDefault="002F62A7" w:rsidP="004A1847">
      <w:pPr>
        <w:spacing w:after="0" w:line="240" w:lineRule="auto"/>
      </w:pPr>
      <w:r>
        <w:continuationSeparator/>
      </w:r>
    </w:p>
  </w:footnote>
  <w:footnote w:type="continuationNotice" w:id="1">
    <w:p w14:paraId="07DB6843" w14:textId="77777777" w:rsidR="002F62A7" w:rsidRDefault="002F62A7">
      <w:pPr>
        <w:spacing w:after="0" w:line="240" w:lineRule="auto"/>
      </w:pPr>
    </w:p>
  </w:footnote>
  <w:footnote w:id="2">
    <w:p w14:paraId="4BC4540B" w14:textId="77777777" w:rsidR="002A2CE2" w:rsidRPr="007E229C" w:rsidRDefault="002A2CE2" w:rsidP="002A2CE2">
      <w:pPr>
        <w:pStyle w:val="Textonotapie"/>
        <w:ind w:firstLine="709"/>
        <w:jc w:val="both"/>
        <w:rPr>
          <w:rFonts w:ascii="Verdana" w:hAnsi="Verdana"/>
          <w:sz w:val="16"/>
          <w:szCs w:val="16"/>
          <w:lang w:val="es-ES"/>
        </w:rPr>
      </w:pPr>
      <w:r>
        <w:rPr>
          <w:rStyle w:val="Refdenotaalpie"/>
        </w:rPr>
        <w:footnoteRef/>
      </w:r>
      <w:r>
        <w:t xml:space="preserve"> </w:t>
      </w:r>
      <w:r w:rsidRPr="007E229C">
        <w:rPr>
          <w:rFonts w:ascii="Verdana" w:hAnsi="Verdana" w:cs="Arial"/>
          <w:sz w:val="16"/>
          <w:szCs w:val="16"/>
        </w:rPr>
        <w:t>Sin perjuicio de la regla indicada, es importante señalar que el literal g, numeral 2, artículo 2 de la Ley 1150 de 2007, prevé como causal de selección abreviada: “Los actos y contratos que tengan por objeto directo las actividades comerciales e industriales propias de las Empresas Industriales y Comerciales Estatales y de las Sociedades de Economía Mixta, con excepción de los contratos que a título enunciativo identifica el artículo 32 de la Ley 80 de 1993 [obra, concesión, prestación de servicios, consultoría, fiducia pública]”. g)  Los actos y contratos que tengan por objeto directo las actividades comerciales e industriales propias de las Empresas Industriales y Comerciales Estatales y de las Sociedades de Economía Mixta, con excepción de los contratos que a título enunciativo identifica el artículo 32 de la Ley 80 de 1993.  Por su parte, el Decreto 1082 del 2015, artículo 2.2.1.2.1.2.24, prescribió: “Contratación de empresas industriales y comerciales del Estado. Las empresas industriales y comerciales del Estado y las sociedades de economía mixta, sus filiales y las empresas en las cuales el Estado tenga más del cincuenta por ciento (50%) del capital social que no se encuentren en situación de competencia, deben utilizar el procedimiento de selección abreviada de menor cuantía para los contratos que tengan como objeto su actividad comercial e industrial, salvo para los contratos de obra pública, consultoría, prestación de servicios, concesión, encargo fiduciario y fiducia pública para los cuales se aplicará la modalidad que corresponda”.</w:t>
      </w:r>
    </w:p>
  </w:footnote>
  <w:footnote w:id="3">
    <w:p w14:paraId="45D911EC" w14:textId="77777777" w:rsidR="002A2CE2" w:rsidRPr="00A71D6E" w:rsidRDefault="002A2CE2" w:rsidP="002A2CE2">
      <w:pPr>
        <w:pStyle w:val="Textonotapie"/>
        <w:ind w:firstLine="709"/>
        <w:jc w:val="both"/>
        <w:rPr>
          <w:lang w:val="es-ES"/>
        </w:rPr>
      </w:pPr>
      <w:r>
        <w:rPr>
          <w:rStyle w:val="Refdenotaalpie"/>
        </w:rPr>
        <w:footnoteRef/>
      </w:r>
      <w:r>
        <w:t xml:space="preserve"> </w:t>
      </w:r>
      <w:r w:rsidRPr="00A71D6E">
        <w:rPr>
          <w:rFonts w:ascii="Verdana" w:hAnsi="Verdana" w:cs="Arial"/>
          <w:sz w:val="16"/>
          <w:szCs w:val="16"/>
        </w:rPr>
        <w:t>El artículo 14 original de la Ley 1150 de 2007 excluía además aquellas cuya actividad se realizaba en “mercados monopolísticos”, pero, con buen tino, se eliminó en el artículo 93 de la Ley 1474 de 2011, pues en ese caso no se está en presencia de los fundamentos que soportan la excepción de no aplicar el Estatuto General de Contratación de la Administración Pública, cual es la “competencia y el libre juego del mercado”.</w:t>
      </w:r>
    </w:p>
  </w:footnote>
  <w:footnote w:id="4">
    <w:p w14:paraId="3391621A" w14:textId="77777777" w:rsidR="002A2CE2" w:rsidRPr="00CC032C" w:rsidRDefault="002A2CE2" w:rsidP="002A2CE2">
      <w:pPr>
        <w:pStyle w:val="Textonotapie"/>
        <w:ind w:firstLine="709"/>
        <w:jc w:val="both"/>
        <w:rPr>
          <w:lang w:val="es-ES"/>
        </w:rPr>
      </w:pPr>
      <w:r>
        <w:rPr>
          <w:rStyle w:val="Refdenotaalpie"/>
        </w:rPr>
        <w:footnoteRef/>
      </w:r>
      <w:r>
        <w:t xml:space="preserve"> </w:t>
      </w:r>
      <w:r w:rsidRPr="00CC032C">
        <w:rPr>
          <w:rFonts w:ascii="Verdana" w:hAnsi="Verdana" w:cs="Arial"/>
          <w:sz w:val="16"/>
          <w:szCs w:val="16"/>
        </w:rPr>
        <w:t>Consejo de Estado. Sección Tercera, Sentencia del 19 de agosto de 2004 Exp. 12.342, reiterada en sentencia de 6 de febrero de 2006, Exp. 13.414.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5pt;height:15.05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1E01FC9"/>
    <w:multiLevelType w:val="multilevel"/>
    <w:tmpl w:val="118A5D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15:restartNumberingAfterBreak="0">
    <w:nsid w:val="15B62B67"/>
    <w:multiLevelType w:val="multilevel"/>
    <w:tmpl w:val="8214A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2"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8"/>
  </w:num>
  <w:num w:numId="2" w16cid:durableId="19822139">
    <w:abstractNumId w:val="3"/>
  </w:num>
  <w:num w:numId="3" w16cid:durableId="876742304">
    <w:abstractNumId w:val="6"/>
  </w:num>
  <w:num w:numId="4" w16cid:durableId="2451864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3"/>
  </w:num>
  <w:num w:numId="6" w16cid:durableId="316692925">
    <w:abstractNumId w:val="14"/>
  </w:num>
  <w:num w:numId="7" w16cid:durableId="1946422806">
    <w:abstractNumId w:val="7"/>
  </w:num>
  <w:num w:numId="8" w16cid:durableId="152644682">
    <w:abstractNumId w:val="13"/>
  </w:num>
  <w:num w:numId="9" w16cid:durableId="1317221377">
    <w:abstractNumId w:val="9"/>
  </w:num>
  <w:num w:numId="10" w16cid:durableId="1471245386">
    <w:abstractNumId w:val="12"/>
  </w:num>
  <w:num w:numId="11" w16cid:durableId="289172385">
    <w:abstractNumId w:val="10"/>
  </w:num>
  <w:num w:numId="12" w16cid:durableId="1470781324">
    <w:abstractNumId w:val="2"/>
  </w:num>
  <w:num w:numId="13" w16cid:durableId="1512908409">
    <w:abstractNumId w:val="5"/>
  </w:num>
  <w:num w:numId="14" w16cid:durableId="895897244">
    <w:abstractNumId w:val="15"/>
  </w:num>
  <w:num w:numId="15" w16cid:durableId="390349800">
    <w:abstractNumId w:val="11"/>
  </w:num>
  <w:num w:numId="16" w16cid:durableId="341274352">
    <w:abstractNumId w:val="0"/>
  </w:num>
  <w:num w:numId="17" w16cid:durableId="1291131537">
    <w:abstractNumId w:val="4"/>
  </w:num>
  <w:num w:numId="18" w16cid:durableId="451106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245C"/>
    <w:rsid w:val="00016F78"/>
    <w:rsid w:val="00033C39"/>
    <w:rsid w:val="00046945"/>
    <w:rsid w:val="00055B87"/>
    <w:rsid w:val="00061B2A"/>
    <w:rsid w:val="00082362"/>
    <w:rsid w:val="000A683E"/>
    <w:rsid w:val="000B19B9"/>
    <w:rsid w:val="000D0334"/>
    <w:rsid w:val="000D5DA7"/>
    <w:rsid w:val="000F6486"/>
    <w:rsid w:val="00116940"/>
    <w:rsid w:val="00125105"/>
    <w:rsid w:val="00127233"/>
    <w:rsid w:val="0015699B"/>
    <w:rsid w:val="001A2A97"/>
    <w:rsid w:val="001A33BF"/>
    <w:rsid w:val="001B7174"/>
    <w:rsid w:val="001C04BC"/>
    <w:rsid w:val="001D32DF"/>
    <w:rsid w:val="001E4177"/>
    <w:rsid w:val="001F0B24"/>
    <w:rsid w:val="001F7DC6"/>
    <w:rsid w:val="00204D1E"/>
    <w:rsid w:val="00207830"/>
    <w:rsid w:val="0022400B"/>
    <w:rsid w:val="002270AA"/>
    <w:rsid w:val="00233269"/>
    <w:rsid w:val="002421BB"/>
    <w:rsid w:val="0025796E"/>
    <w:rsid w:val="002707A2"/>
    <w:rsid w:val="002951A0"/>
    <w:rsid w:val="002962BC"/>
    <w:rsid w:val="002A093D"/>
    <w:rsid w:val="002A0DD0"/>
    <w:rsid w:val="002A2CE2"/>
    <w:rsid w:val="002A49AC"/>
    <w:rsid w:val="002A64FD"/>
    <w:rsid w:val="002C7A84"/>
    <w:rsid w:val="002D139A"/>
    <w:rsid w:val="002E2BF8"/>
    <w:rsid w:val="002E4EFE"/>
    <w:rsid w:val="002E4FD9"/>
    <w:rsid w:val="002F62A7"/>
    <w:rsid w:val="0030657A"/>
    <w:rsid w:val="00322A85"/>
    <w:rsid w:val="00324168"/>
    <w:rsid w:val="00326333"/>
    <w:rsid w:val="00326E13"/>
    <w:rsid w:val="00330834"/>
    <w:rsid w:val="003448F4"/>
    <w:rsid w:val="00374F5E"/>
    <w:rsid w:val="00377E3E"/>
    <w:rsid w:val="003A779E"/>
    <w:rsid w:val="003D0F4D"/>
    <w:rsid w:val="003D5B0D"/>
    <w:rsid w:val="003E0499"/>
    <w:rsid w:val="003E4F80"/>
    <w:rsid w:val="003E6439"/>
    <w:rsid w:val="003F3941"/>
    <w:rsid w:val="00406575"/>
    <w:rsid w:val="00414C74"/>
    <w:rsid w:val="0042722E"/>
    <w:rsid w:val="0044528D"/>
    <w:rsid w:val="004600CC"/>
    <w:rsid w:val="00466E39"/>
    <w:rsid w:val="004A1847"/>
    <w:rsid w:val="004A305D"/>
    <w:rsid w:val="004D22C6"/>
    <w:rsid w:val="004D67C6"/>
    <w:rsid w:val="004F21C4"/>
    <w:rsid w:val="004F685F"/>
    <w:rsid w:val="00510EAB"/>
    <w:rsid w:val="005566E8"/>
    <w:rsid w:val="0057302F"/>
    <w:rsid w:val="00574867"/>
    <w:rsid w:val="0058025B"/>
    <w:rsid w:val="00586419"/>
    <w:rsid w:val="00591460"/>
    <w:rsid w:val="005A65E0"/>
    <w:rsid w:val="005C3777"/>
    <w:rsid w:val="005C5CDC"/>
    <w:rsid w:val="005D476C"/>
    <w:rsid w:val="005D4E58"/>
    <w:rsid w:val="005F524A"/>
    <w:rsid w:val="006078F8"/>
    <w:rsid w:val="00615543"/>
    <w:rsid w:val="006200BF"/>
    <w:rsid w:val="006219F8"/>
    <w:rsid w:val="006302F7"/>
    <w:rsid w:val="00646B9F"/>
    <w:rsid w:val="00662ECA"/>
    <w:rsid w:val="00665D70"/>
    <w:rsid w:val="006900D9"/>
    <w:rsid w:val="006F539D"/>
    <w:rsid w:val="00706C16"/>
    <w:rsid w:val="00715EDF"/>
    <w:rsid w:val="00724EFB"/>
    <w:rsid w:val="007340C3"/>
    <w:rsid w:val="0075235A"/>
    <w:rsid w:val="00756841"/>
    <w:rsid w:val="007649AB"/>
    <w:rsid w:val="00771D0C"/>
    <w:rsid w:val="007833AC"/>
    <w:rsid w:val="00796EBA"/>
    <w:rsid w:val="007B268C"/>
    <w:rsid w:val="007B7171"/>
    <w:rsid w:val="007C0C0F"/>
    <w:rsid w:val="007C3DC2"/>
    <w:rsid w:val="007E5497"/>
    <w:rsid w:val="00806F5F"/>
    <w:rsid w:val="00820278"/>
    <w:rsid w:val="008258C9"/>
    <w:rsid w:val="00844AE9"/>
    <w:rsid w:val="00867F95"/>
    <w:rsid w:val="008843B6"/>
    <w:rsid w:val="00891928"/>
    <w:rsid w:val="008A446D"/>
    <w:rsid w:val="008B25F1"/>
    <w:rsid w:val="008B6E8C"/>
    <w:rsid w:val="008C3315"/>
    <w:rsid w:val="008D180B"/>
    <w:rsid w:val="008F0EA7"/>
    <w:rsid w:val="00902C2F"/>
    <w:rsid w:val="00904C84"/>
    <w:rsid w:val="00923EEF"/>
    <w:rsid w:val="009419F9"/>
    <w:rsid w:val="0095685E"/>
    <w:rsid w:val="00961B09"/>
    <w:rsid w:val="00965334"/>
    <w:rsid w:val="0097093E"/>
    <w:rsid w:val="009A0DFA"/>
    <w:rsid w:val="009A1C6F"/>
    <w:rsid w:val="009A39BA"/>
    <w:rsid w:val="009B2D26"/>
    <w:rsid w:val="009C2D08"/>
    <w:rsid w:val="009C71FA"/>
    <w:rsid w:val="009C72E7"/>
    <w:rsid w:val="009C7F7E"/>
    <w:rsid w:val="009D3058"/>
    <w:rsid w:val="009F087B"/>
    <w:rsid w:val="009F3A13"/>
    <w:rsid w:val="00A11033"/>
    <w:rsid w:val="00A122D3"/>
    <w:rsid w:val="00A14468"/>
    <w:rsid w:val="00A150A0"/>
    <w:rsid w:val="00A17F13"/>
    <w:rsid w:val="00A20739"/>
    <w:rsid w:val="00A23AF9"/>
    <w:rsid w:val="00A33C78"/>
    <w:rsid w:val="00A462F5"/>
    <w:rsid w:val="00AB0ADB"/>
    <w:rsid w:val="00AB79A8"/>
    <w:rsid w:val="00AE2AB5"/>
    <w:rsid w:val="00AE41C0"/>
    <w:rsid w:val="00AE633C"/>
    <w:rsid w:val="00B00C0E"/>
    <w:rsid w:val="00B01B1A"/>
    <w:rsid w:val="00B0381D"/>
    <w:rsid w:val="00B2201E"/>
    <w:rsid w:val="00B44A47"/>
    <w:rsid w:val="00B501D2"/>
    <w:rsid w:val="00B62991"/>
    <w:rsid w:val="00B72CD3"/>
    <w:rsid w:val="00B72FFF"/>
    <w:rsid w:val="00BB75C1"/>
    <w:rsid w:val="00BC3D36"/>
    <w:rsid w:val="00BD54A6"/>
    <w:rsid w:val="00BD7F72"/>
    <w:rsid w:val="00BF34C7"/>
    <w:rsid w:val="00BF7425"/>
    <w:rsid w:val="00C04FB3"/>
    <w:rsid w:val="00C11D8B"/>
    <w:rsid w:val="00C15139"/>
    <w:rsid w:val="00C320D5"/>
    <w:rsid w:val="00C330EB"/>
    <w:rsid w:val="00C337B9"/>
    <w:rsid w:val="00C45165"/>
    <w:rsid w:val="00C50D69"/>
    <w:rsid w:val="00C5365C"/>
    <w:rsid w:val="00C754BE"/>
    <w:rsid w:val="00C76B1C"/>
    <w:rsid w:val="00C925AC"/>
    <w:rsid w:val="00CA32C4"/>
    <w:rsid w:val="00CB6357"/>
    <w:rsid w:val="00CC1B26"/>
    <w:rsid w:val="00CE54BA"/>
    <w:rsid w:val="00D20AA9"/>
    <w:rsid w:val="00D22373"/>
    <w:rsid w:val="00D35B5B"/>
    <w:rsid w:val="00D361FD"/>
    <w:rsid w:val="00D423A2"/>
    <w:rsid w:val="00D44E26"/>
    <w:rsid w:val="00D520D8"/>
    <w:rsid w:val="00D63AC2"/>
    <w:rsid w:val="00D71998"/>
    <w:rsid w:val="00D7383B"/>
    <w:rsid w:val="00D7788A"/>
    <w:rsid w:val="00DA231B"/>
    <w:rsid w:val="00DC39FC"/>
    <w:rsid w:val="00DD42D5"/>
    <w:rsid w:val="00DF21DC"/>
    <w:rsid w:val="00DF5254"/>
    <w:rsid w:val="00E02524"/>
    <w:rsid w:val="00E16408"/>
    <w:rsid w:val="00E20894"/>
    <w:rsid w:val="00E245AB"/>
    <w:rsid w:val="00E2764C"/>
    <w:rsid w:val="00E27F2E"/>
    <w:rsid w:val="00E4393B"/>
    <w:rsid w:val="00E50AFE"/>
    <w:rsid w:val="00E55612"/>
    <w:rsid w:val="00E75C21"/>
    <w:rsid w:val="00E75C92"/>
    <w:rsid w:val="00E771DC"/>
    <w:rsid w:val="00E8772A"/>
    <w:rsid w:val="00E90F6B"/>
    <w:rsid w:val="00E92C27"/>
    <w:rsid w:val="00E968BE"/>
    <w:rsid w:val="00EA0E3D"/>
    <w:rsid w:val="00EC38A7"/>
    <w:rsid w:val="00EC624E"/>
    <w:rsid w:val="00EE1AA8"/>
    <w:rsid w:val="00EF56C7"/>
    <w:rsid w:val="00F23566"/>
    <w:rsid w:val="00F23FEA"/>
    <w:rsid w:val="00F31EDC"/>
    <w:rsid w:val="00F462B3"/>
    <w:rsid w:val="00F5664F"/>
    <w:rsid w:val="00F666C4"/>
    <w:rsid w:val="00F76AFC"/>
    <w:rsid w:val="00FA47C0"/>
    <w:rsid w:val="00FB42E5"/>
    <w:rsid w:val="00FB4D0C"/>
    <w:rsid w:val="00FB5DD1"/>
    <w:rsid w:val="00FC2B5D"/>
    <w:rsid w:val="00FC48D1"/>
    <w:rsid w:val="00FD5B81"/>
    <w:rsid w:val="00FF1449"/>
    <w:rsid w:val="00FF7963"/>
    <w:rsid w:val="071B8F93"/>
    <w:rsid w:val="07C73DD1"/>
    <w:rsid w:val="09908A09"/>
    <w:rsid w:val="0E0AF0F4"/>
    <w:rsid w:val="0EFE6349"/>
    <w:rsid w:val="0FF4CCA8"/>
    <w:rsid w:val="13CFC91B"/>
    <w:rsid w:val="19A2EC2C"/>
    <w:rsid w:val="1CA02096"/>
    <w:rsid w:val="21779BE6"/>
    <w:rsid w:val="2859CA1B"/>
    <w:rsid w:val="2C4D2425"/>
    <w:rsid w:val="2EE1E026"/>
    <w:rsid w:val="2F44F38F"/>
    <w:rsid w:val="30821638"/>
    <w:rsid w:val="32A4F9CF"/>
    <w:rsid w:val="33A1FF93"/>
    <w:rsid w:val="356CEDFD"/>
    <w:rsid w:val="3C591AFD"/>
    <w:rsid w:val="42183F0A"/>
    <w:rsid w:val="42D89173"/>
    <w:rsid w:val="545B112A"/>
    <w:rsid w:val="5A13C693"/>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D4723D59-5288-044D-9C1D-837E3882A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
    <w:basedOn w:val="Normal"/>
    <w:link w:val="PrrafodelistaCar"/>
    <w:uiPriority w:val="1"/>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2A2CE2"/>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1"/>
    <w:qFormat/>
    <w:locked/>
    <w:rsid w:val="002A2CE2"/>
    <w:rPr>
      <w:rFonts w:ascii="Geomanist Light" w:hAnsi="Geomanist Light"/>
      <w:lang w:val="es-ES"/>
    </w:rPr>
  </w:style>
  <w:style w:type="character" w:customStyle="1" w:styleId="s15">
    <w:name w:val="s15"/>
    <w:basedOn w:val="Fuentedeprrafopredeter"/>
    <w:rsid w:val="002A2CE2"/>
  </w:style>
  <w:style w:type="character" w:customStyle="1" w:styleId="NormalWebCar">
    <w:name w:val="Normal (Web) Car"/>
    <w:link w:val="NormalWeb"/>
    <w:uiPriority w:val="99"/>
    <w:rsid w:val="002A2CE2"/>
    <w:rPr>
      <w:rFonts w:ascii="Times New Roman" w:eastAsia="Times New Roman" w:hAnsi="Times New Roman" w:cs="Times New Roman"/>
      <w:sz w:val="24"/>
      <w:szCs w:val="24"/>
      <w:lang w:eastAsia="es-CO"/>
    </w:rPr>
  </w:style>
  <w:style w:type="paragraph" w:styleId="Sinespaciado">
    <w:name w:val="No Spacing"/>
    <w:aliases w:val="No Indent"/>
    <w:uiPriority w:val="3"/>
    <w:qFormat/>
    <w:rsid w:val="002A2CE2"/>
    <w:pPr>
      <w:spacing w:after="0" w:line="240" w:lineRule="auto"/>
    </w:pPr>
    <w:rPr>
      <w:sz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15611">
      <w:bodyDiv w:val="1"/>
      <w:marLeft w:val="0"/>
      <w:marRight w:val="0"/>
      <w:marTop w:val="0"/>
      <w:marBottom w:val="0"/>
      <w:divBdr>
        <w:top w:val="none" w:sz="0" w:space="0" w:color="auto"/>
        <w:left w:val="none" w:sz="0" w:space="0" w:color="auto"/>
        <w:bottom w:val="none" w:sz="0" w:space="0" w:color="auto"/>
        <w:right w:val="none" w:sz="0" w:space="0" w:color="auto"/>
      </w:divBdr>
      <w:divsChild>
        <w:div w:id="121388856">
          <w:marLeft w:val="0"/>
          <w:marRight w:val="0"/>
          <w:marTop w:val="240"/>
          <w:marBottom w:val="240"/>
          <w:divBdr>
            <w:top w:val="none" w:sz="0" w:space="0" w:color="auto"/>
            <w:left w:val="none" w:sz="0" w:space="0" w:color="auto"/>
            <w:bottom w:val="none" w:sz="0" w:space="0" w:color="auto"/>
            <w:right w:val="none" w:sz="0" w:space="0" w:color="auto"/>
          </w:divBdr>
        </w:div>
        <w:div w:id="1223712685">
          <w:marLeft w:val="0"/>
          <w:marRight w:val="0"/>
          <w:marTop w:val="240"/>
          <w:marBottom w:val="240"/>
          <w:divBdr>
            <w:top w:val="none" w:sz="0" w:space="0" w:color="auto"/>
            <w:left w:val="none" w:sz="0" w:space="0" w:color="auto"/>
            <w:bottom w:val="none" w:sz="0" w:space="0" w:color="auto"/>
            <w:right w:val="none" w:sz="0" w:space="0" w:color="auto"/>
          </w:divBdr>
        </w:div>
        <w:div w:id="1343900245">
          <w:marLeft w:val="0"/>
          <w:marRight w:val="0"/>
          <w:marTop w:val="0"/>
          <w:marBottom w:val="0"/>
          <w:divBdr>
            <w:top w:val="none" w:sz="0" w:space="0" w:color="auto"/>
            <w:left w:val="none" w:sz="0" w:space="0" w:color="auto"/>
            <w:bottom w:val="none" w:sz="0" w:space="0" w:color="auto"/>
            <w:right w:val="none" w:sz="0" w:space="0" w:color="auto"/>
          </w:divBdr>
        </w:div>
        <w:div w:id="1885602606">
          <w:marLeft w:val="0"/>
          <w:marRight w:val="0"/>
          <w:marTop w:val="240"/>
          <w:marBottom w:val="240"/>
          <w:divBdr>
            <w:top w:val="none" w:sz="0" w:space="0" w:color="auto"/>
            <w:left w:val="none" w:sz="0" w:space="0" w:color="auto"/>
            <w:bottom w:val="none" w:sz="0" w:space="0" w:color="auto"/>
            <w:right w:val="none" w:sz="0" w:space="0" w:color="auto"/>
          </w:divBdr>
        </w:div>
      </w:divsChild>
    </w:div>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42593998">
      <w:bodyDiv w:val="1"/>
      <w:marLeft w:val="0"/>
      <w:marRight w:val="0"/>
      <w:marTop w:val="0"/>
      <w:marBottom w:val="0"/>
      <w:divBdr>
        <w:top w:val="none" w:sz="0" w:space="0" w:color="auto"/>
        <w:left w:val="none" w:sz="0" w:space="0" w:color="auto"/>
        <w:bottom w:val="none" w:sz="0" w:space="0" w:color="auto"/>
        <w:right w:val="none" w:sz="0" w:space="0" w:color="auto"/>
      </w:divBdr>
      <w:divsChild>
        <w:div w:id="374352573">
          <w:marLeft w:val="0"/>
          <w:marRight w:val="0"/>
          <w:marTop w:val="0"/>
          <w:marBottom w:val="0"/>
          <w:divBdr>
            <w:top w:val="none" w:sz="0" w:space="0" w:color="auto"/>
            <w:left w:val="none" w:sz="0" w:space="0" w:color="auto"/>
            <w:bottom w:val="none" w:sz="0" w:space="0" w:color="auto"/>
            <w:right w:val="none" w:sz="0" w:space="0" w:color="auto"/>
          </w:divBdr>
        </w:div>
        <w:div w:id="507987025">
          <w:marLeft w:val="0"/>
          <w:marRight w:val="0"/>
          <w:marTop w:val="240"/>
          <w:marBottom w:val="240"/>
          <w:divBdr>
            <w:top w:val="none" w:sz="0" w:space="0" w:color="auto"/>
            <w:left w:val="none" w:sz="0" w:space="0" w:color="auto"/>
            <w:bottom w:val="none" w:sz="0" w:space="0" w:color="auto"/>
            <w:right w:val="none" w:sz="0" w:space="0" w:color="auto"/>
          </w:divBdr>
        </w:div>
        <w:div w:id="855002135">
          <w:marLeft w:val="0"/>
          <w:marRight w:val="0"/>
          <w:marTop w:val="240"/>
          <w:marBottom w:val="240"/>
          <w:divBdr>
            <w:top w:val="none" w:sz="0" w:space="0" w:color="auto"/>
            <w:left w:val="none" w:sz="0" w:space="0" w:color="auto"/>
            <w:bottom w:val="none" w:sz="0" w:space="0" w:color="auto"/>
            <w:right w:val="none" w:sz="0" w:space="0" w:color="auto"/>
          </w:divBdr>
        </w:div>
        <w:div w:id="2118476495">
          <w:marLeft w:val="0"/>
          <w:marRight w:val="0"/>
          <w:marTop w:val="240"/>
          <w:marBottom w:val="240"/>
          <w:divBdr>
            <w:top w:val="none" w:sz="0" w:space="0" w:color="auto"/>
            <w:left w:val="none" w:sz="0" w:space="0" w:color="auto"/>
            <w:bottom w:val="none" w:sz="0" w:space="0" w:color="auto"/>
            <w:right w:val="none" w:sz="0" w:space="0" w:color="auto"/>
          </w:divBdr>
        </w:div>
      </w:divsChild>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elatoria.colombiacompra.gov.co/busqueda/conceptos"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gestion.documental@ferrocarrildeantioquia.gov.co" TargetMode="External"/><Relationship Id="rId17" Type="http://schemas.openxmlformats.org/officeDocument/2006/relationships/hyperlink" Target="https://nam02.safelinks.protection.outlook.com/?url=https%3A%2F%2Fwww.colombiacompra.gov.co%2Farchivos%2Fboletin%2Fboletin-edicion-n-3-de-2026-radar-de-la-compra-publica&amp;data=05%7C02%7Cana.bonilla%40colombiacompra.gov.co%7C7128555136e04fa6887d08dee99e1b50%7C7b09041e245149d08cb179d5e3d8c1be%7C0%7C0%7C639205062446582480%7CUnknown%7CTWFpbGZsb3d8eyJFbXB0eU1hcGkiOnRydWUsIlYiOiIwLjAuMDAwMCIsIlAiOiJXaW4zMiIsIkFOIjoiTWFpbCIsIldUIjoyfQ%3D%3D%7C0%7C%7C%7C&amp;sdata=3E87%2BXiPgcuKzNjb08X5RRG2n9%2BDsc2%2F5ZN9FROB4Eo%3D&amp;reserved=0"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circular%2Fcircular-externa-002-de-2026&amp;data=05%7C02%7Cana.bonilla%40colombiacompra.gov.co%7C7128555136e04fa6887d08dee99e1b50%7C7b09041e245149d08cb179d5e3d8c1be%7C0%7C0%7C639205062446570577%7CUnknown%7CTWFpbGZsb3d8eyJFbXB0eU1hcGkiOnRydWUsIlYiOiIwLjAuMDAwMCIsIlAiOiJXaW4zMiIsIkFOIjoiTWFpbCIsIldUIjoyfQ%3D%3D%7C0%7C%7C%7C&amp;sdata=6oYBTCkdsvDccXezxO3daP3zceLkDc7blme%2Fm%2BpFFVc%3D&amp;reserved=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rcela.holguin@ferrocarrildeantioquia.gov.co"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3-de-2026&amp;data=05%7C02%7Cana.bonilla%40colombiacompra.gov.co%7C7128555136e04fa6887d08dee99e1b50%7C7b09041e245149d08cb179d5e3d8c1be%7C0%7C0%7C639205062446555980%7CUnknown%7CTWFpbGZsb3d8eyJFbXB0eU1hcGkiOnRydWUsIlYiOiIwLjAuMDAwMCIsIlAiOiJXaW4zMiIsIkFOIjoiTWFpbCIsIldUIjoyfQ%3D%3D%7C0%7C%7C%7C&amp;sdata=z9tH46pz12Y%2F%2FZUje8KdKmYbKJBPtpJQlVjKii38yCI%3D&amp;reserved=0" TargetMode="Externa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manual%2Fguia-de-garantias-en-procesos-de-contratacion&amp;data=05%7C02%7Cana.bonilla%40colombiacompra.gov.co%7C7128555136e04fa6887d08dee99e1b50%7C7b09041e245149d08cb179d5e3d8c1be%7C0%7C0%7C639205062446530248%7CUnknown%7CTWFpbGZsb3d8eyJFbXB0eU1hcGkiOnRydWUsIlYiOiIwLjAuMDAwMCIsIlAiOiJXaW4zMiIsIkFOIjoiTWFpbCIsIldUIjoyfQ%3D%3D%7C0%7C%7C%7C&amp;sdata=oQgit%2FAMaGzdnE2GcsPlQcBfwpAYw24fEB6r%2BBBZutg%3D&amp;reserved=0"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2.xml><?xml version="1.0" encoding="utf-8"?>
<ds:datastoreItem xmlns:ds="http://schemas.openxmlformats.org/officeDocument/2006/customXml" ds:itemID="{73758B4D-7E8F-469A-9466-2E02A39A84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4</TotalTime>
  <Pages>20</Pages>
  <Words>7461</Words>
  <Characters>41038</Characters>
  <Application>Microsoft Office Word</Application>
  <DocSecurity>0</DocSecurity>
  <Lines>341</Lines>
  <Paragraphs>96</Paragraphs>
  <ScaleCrop>false</ScaleCrop>
  <Company/>
  <LinksUpToDate>false</LinksUpToDate>
  <CharactersWithSpaces>48403</CharactersWithSpaces>
  <SharedDoc>false</SharedDoc>
  <HLinks>
    <vt:vector size="42" baseType="variant">
      <vt:variant>
        <vt:i4>2424881</vt:i4>
      </vt:variant>
      <vt:variant>
        <vt:i4>18</vt:i4>
      </vt:variant>
      <vt:variant>
        <vt:i4>0</vt:i4>
      </vt:variant>
      <vt:variant>
        <vt:i4>5</vt:i4>
      </vt:variant>
      <vt:variant>
        <vt:lpwstr>https://nam02.safelinks.protection.outlook.com/?url=https%3A%2F%2Fwww.colombiacompra.gov.co%2Farchivos%2Fboletin%2Fboletin-edicion-n-3-de-2026-radar-de-la-compra-publica&amp;data=05%7C02%7Cana.bonilla%40colombiacompra.gov.co%7C7128555136e04fa6887d08dee99e1b50%7C7b09041e245149d08cb179d5e3d8c1be%7C0%7C0%7C639205062446582480%7CUnknown%7CTWFpbGZsb3d8eyJFbXB0eU1hcGkiOnRydWUsIlYiOiIwLjAuMDAwMCIsIlAiOiJXaW4zMiIsIkFOIjoiTWFpbCIsIldUIjoyfQ%3D%3D%7C0%7C%7C%7C&amp;sdata=3E87%2BXiPgcuKzNjb08X5RRG2n9%2BDsc2%2F5ZN9FROB4Eo%3D&amp;reserved=0</vt:lpwstr>
      </vt:variant>
      <vt:variant>
        <vt:lpwstr/>
      </vt:variant>
      <vt:variant>
        <vt:i4>2162795</vt:i4>
      </vt:variant>
      <vt:variant>
        <vt:i4>15</vt:i4>
      </vt:variant>
      <vt:variant>
        <vt:i4>0</vt:i4>
      </vt:variant>
      <vt:variant>
        <vt:i4>5</vt:i4>
      </vt:variant>
      <vt:variant>
        <vt:lpwstr>https://nam02.safelinks.protection.outlook.com/?url=https%3A%2F%2Fwww.colombiacompra.gov.co%2Farchivos%2Fcircular%2Fcircular-externa-002-de-2026&amp;data=05%7C02%7Cana.bonilla%40colombiacompra.gov.co%7C7128555136e04fa6887d08dee99e1b50%7C7b09041e245149d08cb179d5e3d8c1be%7C0%7C0%7C639205062446570577%7CUnknown%7CTWFpbGZsb3d8eyJFbXB0eU1hcGkiOnRydWUsIlYiOiIwLjAuMDAwMCIsIlAiOiJXaW4zMiIsIkFOIjoiTWFpbCIsIldUIjoyfQ%3D%3D%7C0%7C%7C%7C&amp;sdata=6oYBTCkdsvDccXezxO3daP3zceLkDc7blme%2Fm%2BpFFVc%3D&amp;reserved=0</vt:lpwstr>
      </vt:variant>
      <vt:variant>
        <vt:lpwstr/>
      </vt:variant>
      <vt:variant>
        <vt:i4>2097259</vt:i4>
      </vt:variant>
      <vt:variant>
        <vt:i4>12</vt:i4>
      </vt:variant>
      <vt:variant>
        <vt:i4>0</vt:i4>
      </vt:variant>
      <vt:variant>
        <vt:i4>5</vt:i4>
      </vt:variant>
      <vt:variant>
        <vt:lpwstr>https://nam02.safelinks.protection.outlook.com/?url=https%3A%2F%2Fwww.colombiacompra.gov.co%2Farchivos%2Fcircular%2Fcircular-externa-003-de-2026&amp;data=05%7C02%7Cana.bonilla%40colombiacompra.gov.co%7C7128555136e04fa6887d08dee99e1b50%7C7b09041e245149d08cb179d5e3d8c1be%7C0%7C0%7C639205062446555980%7CUnknown%7CTWFpbGZsb3d8eyJFbXB0eU1hcGkiOnRydWUsIlYiOiIwLjAuMDAwMCIsIlAiOiJXaW4zMiIsIkFOIjoiTWFpbCIsIldUIjoyfQ%3D%3D%7C0%7C%7C%7C&amp;sdata=z9tH46pz12Y%2F%2FZUje8KdKmYbKJBPtpJQlVjKii38yCI%3D&amp;reserved=0</vt:lpwstr>
      </vt:variant>
      <vt:variant>
        <vt:lpwstr/>
      </vt:variant>
      <vt:variant>
        <vt:i4>3145838</vt:i4>
      </vt:variant>
      <vt:variant>
        <vt:i4>9</vt:i4>
      </vt:variant>
      <vt:variant>
        <vt:i4>0</vt:i4>
      </vt:variant>
      <vt:variant>
        <vt:i4>5</vt:i4>
      </vt:variant>
      <vt:variant>
        <vt:lpwstr>https://nam02.safelinks.protection.outlook.com/?url=https%3A%2F%2Fwww.colombiacompra.gov.co%2Farchivos%2Fmanual%2Fguia-de-garantias-en-procesos-de-contratacion&amp;data=05%7C02%7Cana.bonilla%40colombiacompra.gov.co%7C7128555136e04fa6887d08dee99e1b50%7C7b09041e245149d08cb179d5e3d8c1be%7C0%7C0%7C639205062446530248%7CUnknown%7CTWFpbGZsb3d8eyJFbXB0eU1hcGkiOnRydWUsIlYiOiIwLjAuMDAwMCIsIlAiOiJXaW4zMiIsIkFOIjoiTWFpbCIsIldUIjoyfQ%3D%3D%7C0%7C%7C%7C&amp;sdata=oQgit%2FAMaGzdnE2GcsPlQcBfwpAYw24fEB6r%2BBBZutg%3D&amp;reserved=0</vt:lpwstr>
      </vt:variant>
      <vt:variant>
        <vt:lpwstr/>
      </vt:variant>
      <vt:variant>
        <vt:i4>7471218</vt:i4>
      </vt:variant>
      <vt:variant>
        <vt:i4>6</vt:i4>
      </vt:variant>
      <vt:variant>
        <vt:i4>0</vt:i4>
      </vt:variant>
      <vt:variant>
        <vt:i4>5</vt:i4>
      </vt:variant>
      <vt:variant>
        <vt:lpwstr>https://relatoria.colombiacompra.gov.co/busqueda/conceptos</vt:lpwstr>
      </vt:variant>
      <vt:variant>
        <vt:lpwstr/>
      </vt:variant>
      <vt:variant>
        <vt:i4>4391020</vt:i4>
      </vt:variant>
      <vt:variant>
        <vt:i4>3</vt:i4>
      </vt:variant>
      <vt:variant>
        <vt:i4>0</vt:i4>
      </vt:variant>
      <vt:variant>
        <vt:i4>5</vt:i4>
      </vt:variant>
      <vt:variant>
        <vt:lpwstr>mailto:gestion.documental@ferrocarrildeantioquia.gov.co</vt:lpwstr>
      </vt:variant>
      <vt:variant>
        <vt:lpwstr/>
      </vt:variant>
      <vt:variant>
        <vt:i4>1572924</vt:i4>
      </vt:variant>
      <vt:variant>
        <vt:i4>0</vt:i4>
      </vt:variant>
      <vt:variant>
        <vt:i4>0</vt:i4>
      </vt:variant>
      <vt:variant>
        <vt:i4>5</vt:i4>
      </vt:variant>
      <vt:variant>
        <vt:lpwstr>mailto:marcela.holguin@ferrocarrildeantioquia.gov.co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2</cp:revision>
  <cp:lastPrinted>2023-01-10T19:18:00Z</cp:lastPrinted>
  <dcterms:created xsi:type="dcterms:W3CDTF">2026-08-05T22:05:00Z</dcterms:created>
  <dcterms:modified xsi:type="dcterms:W3CDTF">2026-08-05T22:05:00Z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