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84D6" w14:textId="77777777" w:rsidR="00E84A1E" w:rsidRPr="00DA67B3" w:rsidRDefault="00E84A1E" w:rsidP="00E84A1E">
      <w:pPr>
        <w:spacing w:after="0" w:line="240" w:lineRule="auto"/>
        <w:contextualSpacing/>
        <w:jc w:val="both"/>
        <w:rPr>
          <w:rFonts w:ascii="Verdana" w:eastAsia="Calibri" w:hAnsi="Verdana" w:cs="Arial"/>
          <w:b/>
          <w:noProof/>
          <w:lang w:val="es-ES_tradnl" w:eastAsia="es-ES_tradnl"/>
        </w:rPr>
      </w:pPr>
      <w:bookmarkStart w:id="0" w:name="_Hlk143780582"/>
      <w:r w:rsidRPr="00DA67B3">
        <w:rPr>
          <w:rFonts w:ascii="Verdana" w:eastAsia="Calibri" w:hAnsi="Verdana" w:cs="Arial"/>
          <w:b/>
          <w:noProof/>
          <w:lang w:val="es-ES_tradnl" w:eastAsia="es-ES_tradnl"/>
        </w:rPr>
        <w:t xml:space="preserve">EXPERIENCIA – </w:t>
      </w:r>
      <w:r>
        <w:rPr>
          <w:rFonts w:ascii="Verdana" w:eastAsia="Calibri" w:hAnsi="Verdana" w:cs="Arial"/>
          <w:b/>
          <w:noProof/>
          <w:lang w:val="es-ES_tradnl" w:eastAsia="es-ES_tradnl"/>
        </w:rPr>
        <w:t xml:space="preserve">Requisito habilitante </w:t>
      </w:r>
      <w:r w:rsidRPr="00DA67B3">
        <w:rPr>
          <w:rFonts w:ascii="Verdana" w:eastAsia="Times New Roman" w:hAnsi="Verdana" w:cs="Arial"/>
          <w:b/>
          <w:bCs/>
          <w:lang w:eastAsia="es-ES_tradnl"/>
        </w:rPr>
        <w:t>–</w:t>
      </w:r>
      <w:r>
        <w:rPr>
          <w:rFonts w:ascii="Verdana" w:eastAsia="Times New Roman" w:hAnsi="Verdana" w:cs="Arial"/>
          <w:b/>
          <w:bCs/>
          <w:lang w:eastAsia="es-ES_tradnl"/>
        </w:rPr>
        <w:t xml:space="preserve"> RUP </w:t>
      </w:r>
      <w:r w:rsidRPr="00DA67B3">
        <w:rPr>
          <w:rFonts w:ascii="Verdana" w:eastAsia="Times New Roman" w:hAnsi="Verdana" w:cs="Arial"/>
          <w:b/>
          <w:bCs/>
          <w:lang w:eastAsia="es-ES_tradnl"/>
        </w:rPr>
        <w:t>–</w:t>
      </w:r>
      <w:r>
        <w:rPr>
          <w:rFonts w:ascii="Verdana" w:eastAsia="Times New Roman" w:hAnsi="Verdana" w:cs="Arial"/>
          <w:b/>
          <w:bCs/>
          <w:lang w:eastAsia="es-ES_tradnl"/>
        </w:rPr>
        <w:t xml:space="preserve"> Plena prueba</w:t>
      </w:r>
    </w:p>
    <w:p w14:paraId="50A3033F" w14:textId="77777777" w:rsidR="00E84A1E" w:rsidRPr="00DA67B3" w:rsidRDefault="00E84A1E" w:rsidP="00E84A1E">
      <w:pPr>
        <w:spacing w:after="0" w:line="240" w:lineRule="auto"/>
        <w:contextualSpacing/>
        <w:jc w:val="both"/>
        <w:rPr>
          <w:rFonts w:ascii="Verdana" w:eastAsia="Calibri" w:hAnsi="Verdana" w:cs="Arial"/>
          <w:b/>
          <w:noProof/>
          <w:sz w:val="20"/>
          <w:szCs w:val="20"/>
          <w:lang w:val="es-ES_tradnl" w:eastAsia="es-ES_tradnl"/>
        </w:rPr>
      </w:pPr>
    </w:p>
    <w:p w14:paraId="18C06B52" w14:textId="77777777" w:rsidR="00E84A1E" w:rsidRDefault="00E84A1E" w:rsidP="00E84A1E">
      <w:pPr>
        <w:spacing w:after="0" w:line="240" w:lineRule="auto"/>
        <w:contextualSpacing/>
        <w:jc w:val="both"/>
        <w:rPr>
          <w:rFonts w:ascii="Verdana" w:eastAsia="Calibri" w:hAnsi="Verdana" w:cs="Arial"/>
          <w:bCs/>
          <w:sz w:val="20"/>
          <w:szCs w:val="20"/>
          <w:lang w:val="es-ES_tradnl" w:eastAsia="es-MX"/>
        </w:rPr>
      </w:pPr>
      <w:r>
        <w:rPr>
          <w:rFonts w:ascii="Verdana" w:eastAsia="Calibri" w:hAnsi="Verdana" w:cs="Arial"/>
          <w:sz w:val="20"/>
          <w:szCs w:val="20"/>
          <w:lang w:val="es-ES" w:eastAsia="es-MX"/>
        </w:rPr>
        <w:t xml:space="preserve">[…] </w:t>
      </w:r>
      <w:r w:rsidRPr="00176945">
        <w:rPr>
          <w:rFonts w:ascii="Verdana" w:eastAsia="Calibri" w:hAnsi="Verdana" w:cs="Arial"/>
          <w:sz w:val="20"/>
          <w:szCs w:val="20"/>
          <w:lang w:val="es-ES" w:eastAsia="es-MX"/>
        </w:rPr>
        <w:t>la experiencia, constituye uno de los requisitos habilitantes y se deriva de los contratos que el proponente ha celebrado y ejecutado con distintos contratantes, sin que la naturaleza pública o privada de estos sea determinante. Su verificación se realiza a través del Registro Único de Proponentes – RUP, cuando este sea exigible conforme a la ley. El artículo 6 de la Ley 1150 de 2007 dispone que los requisitos habilitantes antes mencionados, entre ellos la experiencia, se acreditan mediante el RUP</w:t>
      </w:r>
      <w:r w:rsidRPr="00DA67B3">
        <w:rPr>
          <w:rFonts w:ascii="Verdana" w:eastAsia="Calibri" w:hAnsi="Verdana" w:cs="Arial"/>
          <w:bCs/>
          <w:sz w:val="20"/>
          <w:szCs w:val="20"/>
          <w:lang w:val="es-ES_tradnl" w:eastAsia="es-MX"/>
        </w:rPr>
        <w:t>.</w:t>
      </w:r>
    </w:p>
    <w:p w14:paraId="28E1DDB1" w14:textId="77777777" w:rsidR="00E84A1E" w:rsidRDefault="00E84A1E" w:rsidP="00E84A1E">
      <w:pPr>
        <w:spacing w:after="0" w:line="240" w:lineRule="auto"/>
        <w:contextualSpacing/>
        <w:jc w:val="both"/>
        <w:rPr>
          <w:rFonts w:ascii="Verdana" w:eastAsia="Calibri" w:hAnsi="Verdana" w:cs="Arial"/>
          <w:bCs/>
          <w:sz w:val="20"/>
          <w:szCs w:val="20"/>
          <w:lang w:val="es-ES_tradnl" w:eastAsia="es-MX"/>
        </w:rPr>
      </w:pPr>
    </w:p>
    <w:p w14:paraId="7C028BEA" w14:textId="77777777" w:rsidR="00E84A1E" w:rsidRDefault="00E84A1E" w:rsidP="00E84A1E">
      <w:pPr>
        <w:spacing w:after="0" w:line="240" w:lineRule="auto"/>
        <w:contextualSpacing/>
        <w:jc w:val="both"/>
        <w:rPr>
          <w:rFonts w:ascii="Verdana" w:eastAsia="Calibri" w:hAnsi="Verdana" w:cs="Arial"/>
          <w:bCs/>
          <w:sz w:val="20"/>
          <w:szCs w:val="20"/>
          <w:lang w:val="es-ES_tradnl" w:eastAsia="es-MX"/>
        </w:rPr>
      </w:pPr>
      <w:r>
        <w:rPr>
          <w:rFonts w:ascii="Verdana" w:eastAsia="Calibri" w:hAnsi="Verdana" w:cs="Arial"/>
          <w:bCs/>
          <w:sz w:val="20"/>
          <w:szCs w:val="20"/>
          <w:lang w:val="es-ES_tradnl" w:eastAsia="es-MX"/>
        </w:rPr>
        <w:t>[…]</w:t>
      </w:r>
    </w:p>
    <w:p w14:paraId="08BE8E31" w14:textId="77777777" w:rsidR="00E84A1E" w:rsidRDefault="00E84A1E" w:rsidP="00E84A1E">
      <w:pPr>
        <w:spacing w:after="0" w:line="240" w:lineRule="auto"/>
        <w:contextualSpacing/>
        <w:jc w:val="both"/>
        <w:rPr>
          <w:rFonts w:ascii="Verdana" w:eastAsia="Calibri" w:hAnsi="Verdana" w:cs="Arial"/>
          <w:bCs/>
          <w:sz w:val="20"/>
          <w:szCs w:val="20"/>
          <w:lang w:val="es-ES_tradnl" w:eastAsia="es-MX"/>
        </w:rPr>
      </w:pPr>
    </w:p>
    <w:p w14:paraId="11619CC9" w14:textId="77777777" w:rsidR="00E84A1E" w:rsidRDefault="00E84A1E" w:rsidP="00E84A1E">
      <w:pPr>
        <w:spacing w:after="0" w:line="240" w:lineRule="auto"/>
        <w:contextualSpacing/>
        <w:jc w:val="both"/>
        <w:rPr>
          <w:rFonts w:ascii="Verdana" w:eastAsia="Calibri" w:hAnsi="Verdana" w:cs="Arial"/>
          <w:bCs/>
          <w:sz w:val="20"/>
          <w:szCs w:val="20"/>
          <w:lang w:val="es-ES" w:eastAsia="es-ES_tradnl"/>
        </w:rPr>
      </w:pPr>
      <w:r>
        <w:rPr>
          <w:rFonts w:ascii="Verdana" w:eastAsia="Calibri" w:hAnsi="Verdana" w:cs="Arial"/>
          <w:bCs/>
          <w:sz w:val="20"/>
          <w:szCs w:val="20"/>
          <w:lang w:val="es-ES" w:eastAsia="es-ES_tradnl"/>
        </w:rPr>
        <w:t xml:space="preserve">[…] </w:t>
      </w:r>
      <w:r w:rsidRPr="00F3551B">
        <w:rPr>
          <w:rFonts w:ascii="Verdana" w:eastAsia="Calibri" w:hAnsi="Verdana" w:cs="Arial"/>
          <w:bCs/>
          <w:sz w:val="20"/>
          <w:szCs w:val="20"/>
          <w:lang w:val="es-ES" w:eastAsia="es-ES_tradnl"/>
        </w:rPr>
        <w:t>el Registro Único de Proponentes constituye plena prueba de las condiciones que en él consten y que hayan sido verificadas por las Cámaras de Comercio. En consecuencia, la acreditación de los requisitos habilitantes previstos en el numeral 1 del artículo 5 de la ley —entre ellos, la experiencia, la capacidad jurídica, financiera y de organización— debe efectuarse exclusivamente mediante el certificado del RUP, en el cual deben figurar dichas condiciones.</w:t>
      </w:r>
    </w:p>
    <w:p w14:paraId="68C87A39" w14:textId="77777777" w:rsidR="00E84A1E" w:rsidRPr="00F3551B" w:rsidRDefault="00E84A1E" w:rsidP="00E84A1E">
      <w:pPr>
        <w:spacing w:after="0" w:line="240" w:lineRule="auto"/>
        <w:contextualSpacing/>
        <w:jc w:val="both"/>
        <w:rPr>
          <w:rFonts w:ascii="Verdana" w:eastAsia="Calibri" w:hAnsi="Verdana" w:cs="Arial"/>
          <w:bCs/>
          <w:sz w:val="20"/>
          <w:szCs w:val="20"/>
          <w:lang w:val="es-ES" w:eastAsia="es-ES_tradnl"/>
        </w:rPr>
      </w:pPr>
    </w:p>
    <w:p w14:paraId="6E05C72D" w14:textId="77777777" w:rsidR="00E84A1E" w:rsidRPr="00F3551B" w:rsidRDefault="00E84A1E" w:rsidP="00E84A1E">
      <w:pPr>
        <w:spacing w:after="0" w:line="240" w:lineRule="auto"/>
        <w:contextualSpacing/>
        <w:jc w:val="both"/>
        <w:rPr>
          <w:rFonts w:ascii="Verdana" w:eastAsia="Calibri" w:hAnsi="Verdana" w:cs="Arial"/>
          <w:bCs/>
          <w:sz w:val="20"/>
          <w:szCs w:val="20"/>
          <w:lang w:val="es-ES" w:eastAsia="es-ES_tradnl"/>
        </w:rPr>
      </w:pPr>
      <w:r w:rsidRPr="00F3551B">
        <w:rPr>
          <w:rFonts w:ascii="Verdana" w:eastAsia="Calibri" w:hAnsi="Verdana" w:cs="Arial"/>
          <w:bCs/>
          <w:sz w:val="20"/>
          <w:szCs w:val="20"/>
          <w:lang w:val="es-ES" w:eastAsia="es-ES_tradnl"/>
        </w:rPr>
        <w:t>Por lo mismo, las entidades estatales no pueden exigir ni los proponentes aportar documentos adicionales destinados a soportar la información que ya fue verificada e inscrita en el Registro. No obstante, la norma admite una excepción: cuando las particularidades del objeto contractual hagan necesaria la comprobación de requisitos adicionales a los contenidos en el RUP, la entidad contratante podrá realizar dicha verificación directamente, con el fin de garantizar la selección objetiva y la adecuada ejecución del contrato.</w:t>
      </w:r>
    </w:p>
    <w:p w14:paraId="6EB70DD1" w14:textId="77777777" w:rsidR="00E84A1E" w:rsidRPr="00DA67B3" w:rsidRDefault="00E84A1E" w:rsidP="00E84A1E">
      <w:pPr>
        <w:spacing w:after="0" w:line="240" w:lineRule="auto"/>
        <w:contextualSpacing/>
        <w:jc w:val="both"/>
        <w:rPr>
          <w:rFonts w:ascii="Verdana" w:eastAsia="Calibri" w:hAnsi="Verdana" w:cs="Arial"/>
          <w:b/>
          <w:noProof/>
          <w:sz w:val="20"/>
          <w:szCs w:val="20"/>
          <w:lang w:val="es-ES_tradnl" w:eastAsia="es-ES_tradnl"/>
        </w:rPr>
      </w:pPr>
    </w:p>
    <w:p w14:paraId="7F9A1085" w14:textId="77777777" w:rsidR="00E84A1E" w:rsidRPr="00DA67B3" w:rsidRDefault="00E84A1E" w:rsidP="00E84A1E">
      <w:pPr>
        <w:spacing w:after="0" w:line="240" w:lineRule="auto"/>
        <w:contextualSpacing/>
        <w:jc w:val="both"/>
        <w:rPr>
          <w:rFonts w:ascii="Verdana" w:eastAsia="Times New Roman" w:hAnsi="Verdana" w:cs="Arial"/>
          <w:b/>
          <w:bCs/>
          <w:lang w:eastAsia="es-ES_tradnl"/>
        </w:rPr>
      </w:pPr>
      <w:r>
        <w:rPr>
          <w:rFonts w:ascii="Verdana" w:eastAsia="Times New Roman" w:hAnsi="Verdana" w:cs="Arial"/>
          <w:b/>
          <w:bCs/>
          <w:lang w:eastAsia="es-ES_tradnl"/>
        </w:rPr>
        <w:t xml:space="preserve">CÁMARAS DE COMERCIO </w:t>
      </w:r>
      <w:r w:rsidRPr="00DA67B3">
        <w:rPr>
          <w:rFonts w:ascii="Verdana" w:eastAsia="Calibri" w:hAnsi="Verdana" w:cs="Arial"/>
          <w:b/>
          <w:noProof/>
          <w:lang w:val="es-ES_tradnl" w:eastAsia="es-ES_tradnl"/>
        </w:rPr>
        <w:t>–</w:t>
      </w:r>
      <w:r>
        <w:rPr>
          <w:rFonts w:ascii="Verdana" w:eastAsia="Calibri" w:hAnsi="Verdana" w:cs="Arial"/>
          <w:b/>
          <w:noProof/>
          <w:lang w:val="es-ES_tradnl" w:eastAsia="es-ES_tradnl"/>
        </w:rPr>
        <w:t xml:space="preserve"> Verificación RUP</w:t>
      </w:r>
    </w:p>
    <w:p w14:paraId="5478B96C" w14:textId="77777777" w:rsidR="00E84A1E" w:rsidRPr="00DA67B3" w:rsidRDefault="00E84A1E" w:rsidP="00E84A1E">
      <w:pPr>
        <w:spacing w:after="0" w:line="240" w:lineRule="auto"/>
        <w:contextualSpacing/>
        <w:jc w:val="both"/>
        <w:rPr>
          <w:rFonts w:ascii="Verdana" w:eastAsia="Times New Roman" w:hAnsi="Verdana" w:cs="Arial"/>
          <w:sz w:val="20"/>
          <w:szCs w:val="20"/>
          <w:lang w:eastAsia="es-ES_tradnl"/>
        </w:rPr>
      </w:pPr>
    </w:p>
    <w:p w14:paraId="366E4EDC" w14:textId="77777777" w:rsidR="00E84A1E" w:rsidRPr="000B3333" w:rsidRDefault="00E84A1E" w:rsidP="00E84A1E">
      <w:pPr>
        <w:spacing w:after="0" w:line="240" w:lineRule="auto"/>
        <w:contextualSpacing/>
        <w:jc w:val="both"/>
        <w:rPr>
          <w:rFonts w:ascii="Verdana" w:eastAsia="Calibri" w:hAnsi="Verdana" w:cs="Arial"/>
          <w:sz w:val="20"/>
          <w:szCs w:val="20"/>
          <w:lang w:val="es-ES" w:eastAsia="es-ES_tradnl"/>
        </w:rPr>
      </w:pPr>
      <w:r w:rsidRPr="000B3333">
        <w:rPr>
          <w:rFonts w:ascii="Verdana" w:eastAsia="Calibri" w:hAnsi="Verdana" w:cs="Arial"/>
          <w:sz w:val="20"/>
          <w:szCs w:val="20"/>
          <w:lang w:eastAsia="es-ES_tradnl"/>
        </w:rPr>
        <w:t>Al marco normativo expuesto se le suma lo contemplado en el artículo 5.1 de la Ley 1150 de 2007, al fijar los criterios que deben tener en cuenta las entidades estatales para garantizar la selección objetiva. La disposición dispone que las Cámaras de Comercio verificarán la información suministrada por las personas naturales o jurídicas para la inscripción en el Registro. Esta información debe tenerse en cuenta por las entidades en los procedimientos de contratación en los que es exigible el RUP. De esta forma, la capacidad jurídica y las condiciones de experiencia, capacidad financiera y de organización de los proponentes deberán ser verificadas exclusivamente a través del RUP, pues de acuerdo con lo expuesto, este documento es plena prueba de la información financiera, de experiencia y de capacidad acreditada por la persona natural o jurídica.</w:t>
      </w:r>
    </w:p>
    <w:p w14:paraId="40D4139B" w14:textId="77777777" w:rsidR="00E84A1E" w:rsidRDefault="00E84A1E" w:rsidP="00E84A1E">
      <w:pPr>
        <w:spacing w:after="0" w:line="240" w:lineRule="auto"/>
        <w:jc w:val="both"/>
        <w:rPr>
          <w:rFonts w:ascii="Verdana" w:hAnsi="Verdana"/>
        </w:rPr>
      </w:pPr>
    </w:p>
    <w:p w14:paraId="2300F84D" w14:textId="77777777" w:rsidR="00E84A1E" w:rsidRDefault="00E84A1E" w:rsidP="00E84A1E">
      <w:pPr>
        <w:spacing w:after="0" w:line="240" w:lineRule="auto"/>
        <w:jc w:val="both"/>
        <w:rPr>
          <w:rFonts w:ascii="Verdana" w:hAnsi="Verdana"/>
        </w:rPr>
      </w:pPr>
    </w:p>
    <w:p w14:paraId="77427763" w14:textId="77777777" w:rsidR="00E84A1E" w:rsidRDefault="00E84A1E" w:rsidP="00E84A1E">
      <w:pPr>
        <w:spacing w:after="0" w:line="240" w:lineRule="auto"/>
        <w:jc w:val="both"/>
        <w:rPr>
          <w:rFonts w:ascii="Verdana" w:hAnsi="Verdana"/>
        </w:rPr>
      </w:pPr>
    </w:p>
    <w:p w14:paraId="515AE798"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7B12309"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06781FB6" w14:textId="77777777" w:rsidR="00093BF9" w:rsidRDefault="00093BF9" w:rsidP="00093BF9">
      <w:pPr>
        <w:tabs>
          <w:tab w:val="left" w:pos="426"/>
        </w:tabs>
        <w:spacing w:line="240" w:lineRule="auto"/>
        <w:contextualSpacing/>
        <w:jc w:val="both"/>
        <w:rPr>
          <w:rFonts w:ascii="Verdana" w:eastAsia="Verdana" w:hAnsi="Verdana" w:cs="Verdana"/>
          <w:color w:val="000000" w:themeColor="text1"/>
        </w:rPr>
      </w:pPr>
    </w:p>
    <w:p w14:paraId="30178751" w14:textId="7080E28F" w:rsidR="00B42204" w:rsidRPr="006E1F4C" w:rsidRDefault="008A2CFC" w:rsidP="00B42204">
      <w:pPr>
        <w:spacing w:after="0" w:line="240" w:lineRule="auto"/>
        <w:rPr>
          <w:rFonts w:ascii="Verdana" w:eastAsia="Calibri" w:hAnsi="Verdana" w:cs="Arial"/>
          <w:bCs/>
          <w:lang w:eastAsia="es-ES_tradnl"/>
        </w:rPr>
      </w:pPr>
      <w:r w:rsidRPr="006E1F4C">
        <w:rPr>
          <w:rFonts w:ascii="Verdana" w:eastAsia="Calibri" w:hAnsi="Verdana" w:cs="Arial"/>
          <w:bCs/>
          <w:lang w:eastAsia="es-ES_tradnl"/>
        </w:rPr>
        <w:lastRenderedPageBreak/>
        <w:t xml:space="preserve">Bogotá D.C., 05 de </w:t>
      </w:r>
      <w:r w:rsidR="006E1F4C" w:rsidRPr="006E1F4C">
        <w:rPr>
          <w:rFonts w:ascii="Verdana" w:eastAsia="Calibri" w:hAnsi="Verdana" w:cs="Arial"/>
          <w:bCs/>
          <w:lang w:eastAsia="es-ES_tradnl"/>
        </w:rPr>
        <w:t>agosto</w:t>
      </w:r>
      <w:r w:rsidRPr="006E1F4C">
        <w:rPr>
          <w:rFonts w:ascii="Verdana" w:eastAsia="Calibri" w:hAnsi="Verdana" w:cs="Arial"/>
          <w:bCs/>
          <w:lang w:eastAsia="es-ES_tradnl"/>
        </w:rPr>
        <w:t xml:space="preserve"> de 2026 </w:t>
      </w:r>
    </w:p>
    <w:p w14:paraId="3CD9C233" w14:textId="38D620CD" w:rsidR="007C31D6" w:rsidRPr="00D13475" w:rsidRDefault="007C31D6" w:rsidP="00093BF9">
      <w:pPr>
        <w:tabs>
          <w:tab w:val="left" w:pos="426"/>
        </w:tabs>
        <w:spacing w:line="240" w:lineRule="auto"/>
        <w:contextualSpacing/>
        <w:jc w:val="both"/>
        <w:rPr>
          <w:rFonts w:ascii="Verdana" w:eastAsia="Calibri" w:hAnsi="Verdana" w:cs="Arial"/>
          <w:noProof/>
          <w:color w:val="000000" w:themeColor="text1"/>
          <w:sz w:val="20"/>
          <w:szCs w:val="20"/>
          <w:lang w:val="es-ES_tradnl"/>
        </w:rPr>
      </w:pPr>
    </w:p>
    <w:p w14:paraId="1BACD2DF" w14:textId="1B808B4D" w:rsidR="00CB1DED" w:rsidRPr="00D13475" w:rsidRDefault="006E1F4C" w:rsidP="007C31D6">
      <w:pPr>
        <w:spacing w:after="0" w:line="240" w:lineRule="auto"/>
        <w:rPr>
          <w:rFonts w:ascii="Verdana" w:eastAsia="Calibri" w:hAnsi="Verdana" w:cs="Arial"/>
          <w:color w:val="000000" w:themeColor="text1"/>
          <w:lang w:eastAsia="es-ES_tradnl"/>
        </w:rPr>
      </w:pPr>
      <w:r w:rsidRPr="006E1F4C">
        <w:rPr>
          <w:rFonts w:ascii="Verdana" w:eastAsia="Calibri" w:hAnsi="Verdana" w:cs="Arial"/>
          <w:noProof/>
          <w:color w:val="000000" w:themeColor="text1"/>
          <w:sz w:val="24"/>
          <w:szCs w:val="24"/>
          <w:lang w:eastAsia="es-ES_tradnl"/>
        </w:rPr>
        <w:drawing>
          <wp:anchor distT="0" distB="0" distL="114300" distR="114300" simplePos="0" relativeHeight="251658240" behindDoc="1" locked="0" layoutInCell="1" allowOverlap="1" wp14:anchorId="6C6C7AAA" wp14:editId="0BACD0AC">
            <wp:simplePos x="0" y="0"/>
            <wp:positionH relativeFrom="column">
              <wp:posOffset>3340348</wp:posOffset>
            </wp:positionH>
            <wp:positionV relativeFrom="paragraph">
              <wp:posOffset>11154</wp:posOffset>
            </wp:positionV>
            <wp:extent cx="2632710" cy="850265"/>
            <wp:effectExtent l="0" t="0" r="0" b="6985"/>
            <wp:wrapSquare wrapText="bothSides"/>
            <wp:docPr id="29722354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23545" name="Imagen 1" descr="Text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2710" cy="850265"/>
                    </a:xfrm>
                    <a:prstGeom prst="rect">
                      <a:avLst/>
                    </a:prstGeom>
                  </pic:spPr>
                </pic:pic>
              </a:graphicData>
            </a:graphic>
            <wp14:sizeRelH relativeFrom="page">
              <wp14:pctWidth>0</wp14:pctWidth>
            </wp14:sizeRelH>
            <wp14:sizeRelV relativeFrom="page">
              <wp14:pctHeight>0</wp14:pctHeight>
            </wp14:sizeRelV>
          </wp:anchor>
        </w:drawing>
      </w:r>
    </w:p>
    <w:p w14:paraId="45EF9A42" w14:textId="55A4381B" w:rsidR="007C31D6" w:rsidRPr="00D13475" w:rsidRDefault="007C31D6" w:rsidP="007C31D6">
      <w:pPr>
        <w:spacing w:after="0" w:line="240" w:lineRule="auto"/>
        <w:rPr>
          <w:rFonts w:ascii="Verdana" w:eastAsia="Calibri" w:hAnsi="Verdana" w:cs="Arial"/>
          <w:color w:val="000000" w:themeColor="text1"/>
          <w:lang w:eastAsia="es-ES_tradnl"/>
        </w:rPr>
      </w:pPr>
      <w:r w:rsidRPr="00D13475">
        <w:rPr>
          <w:rFonts w:ascii="Verdana" w:eastAsia="Calibri" w:hAnsi="Verdana" w:cs="Arial"/>
          <w:color w:val="000000" w:themeColor="text1"/>
          <w:lang w:eastAsia="es-ES_tradnl"/>
        </w:rPr>
        <w:t>Señor</w:t>
      </w:r>
      <w:r w:rsidR="002C39A1">
        <w:rPr>
          <w:rFonts w:ascii="Verdana" w:eastAsia="Calibri" w:hAnsi="Verdana" w:cs="Arial"/>
          <w:color w:val="000000" w:themeColor="text1"/>
          <w:lang w:eastAsia="es-ES_tradnl"/>
        </w:rPr>
        <w:t xml:space="preserve"> </w:t>
      </w:r>
    </w:p>
    <w:p w14:paraId="10172902" w14:textId="01E5BD56" w:rsidR="007C31D6" w:rsidRDefault="00E84A1E" w:rsidP="007C31D6">
      <w:pPr>
        <w:spacing w:after="0" w:line="240" w:lineRule="auto"/>
        <w:rPr>
          <w:rFonts w:ascii="Verdana" w:eastAsia="Calibri" w:hAnsi="Verdana" w:cs="Arial"/>
          <w:b/>
          <w:bCs/>
          <w:color w:val="000000" w:themeColor="text1"/>
          <w:lang w:eastAsia="es-ES_tradnl"/>
        </w:rPr>
      </w:pPr>
      <w:r>
        <w:rPr>
          <w:rFonts w:ascii="Verdana" w:eastAsia="Calibri" w:hAnsi="Verdana" w:cs="Arial"/>
          <w:b/>
          <w:bCs/>
          <w:color w:val="000000" w:themeColor="text1"/>
          <w:lang w:eastAsia="es-ES_tradnl"/>
        </w:rPr>
        <w:t>Néstor Javier Gámez Castañeda</w:t>
      </w:r>
    </w:p>
    <w:p w14:paraId="7D23B72B" w14:textId="76BE9FD8" w:rsidR="00E84A1E" w:rsidRDefault="00E84A1E" w:rsidP="007C31D6">
      <w:pPr>
        <w:spacing w:after="0" w:line="240" w:lineRule="auto"/>
        <w:rPr>
          <w:rFonts w:ascii="Verdana" w:eastAsia="Calibri" w:hAnsi="Verdana" w:cs="Arial"/>
          <w:color w:val="000000" w:themeColor="text1"/>
          <w:lang w:eastAsia="es-ES_tradnl"/>
        </w:rPr>
      </w:pPr>
      <w:r>
        <w:rPr>
          <w:rFonts w:ascii="Verdana" w:eastAsia="Calibri" w:hAnsi="Verdana" w:cs="Arial"/>
          <w:color w:val="000000" w:themeColor="text1"/>
          <w:lang w:eastAsia="es-ES_tradnl"/>
        </w:rPr>
        <w:t>Representante Legal</w:t>
      </w:r>
    </w:p>
    <w:p w14:paraId="24DF58CF" w14:textId="74418C45" w:rsidR="00E84A1E" w:rsidRPr="00E84A1E" w:rsidRDefault="00E84A1E" w:rsidP="007C31D6">
      <w:pPr>
        <w:spacing w:after="0" w:line="240" w:lineRule="auto"/>
        <w:rPr>
          <w:rFonts w:ascii="Verdana" w:eastAsia="Calibri" w:hAnsi="Verdana" w:cs="Arial"/>
          <w:color w:val="000000" w:themeColor="text1"/>
          <w:lang w:eastAsia="es-ES_tradnl"/>
        </w:rPr>
      </w:pPr>
      <w:r>
        <w:rPr>
          <w:rFonts w:ascii="Verdana" w:eastAsia="Calibri" w:hAnsi="Verdana" w:cs="Arial"/>
          <w:color w:val="000000" w:themeColor="text1"/>
          <w:lang w:eastAsia="es-ES_tradnl"/>
        </w:rPr>
        <w:t>Proyectos y Suministros Ingenieriles S.A.S</w:t>
      </w:r>
    </w:p>
    <w:p w14:paraId="7165DC80" w14:textId="4E22D572" w:rsidR="002C39A1" w:rsidRPr="002C39A1" w:rsidRDefault="00E84A1E" w:rsidP="007C31D6">
      <w:pPr>
        <w:spacing w:after="0" w:line="240" w:lineRule="auto"/>
        <w:rPr>
          <w:rFonts w:ascii="Verdana" w:eastAsia="Calibri" w:hAnsi="Verdana" w:cs="Arial"/>
          <w:color w:val="000000" w:themeColor="text1"/>
          <w:lang w:eastAsia="es-ES_tradnl"/>
        </w:rPr>
      </w:pPr>
      <w:r>
        <w:rPr>
          <w:rFonts w:ascii="Verdana" w:eastAsia="Calibri" w:hAnsi="Verdana" w:cs="Arial"/>
          <w:color w:val="000000" w:themeColor="text1"/>
          <w:lang w:eastAsia="es-ES_tradnl"/>
        </w:rPr>
        <w:t>gestion@proingenieril.com</w:t>
      </w:r>
    </w:p>
    <w:p w14:paraId="76D2FFF3" w14:textId="25E77A36" w:rsidR="009979E9" w:rsidRPr="009979E9" w:rsidRDefault="009979E9" w:rsidP="007C31D6">
      <w:pPr>
        <w:spacing w:after="0" w:line="240" w:lineRule="auto"/>
        <w:rPr>
          <w:rFonts w:ascii="Verdana" w:eastAsia="Calibri" w:hAnsi="Verdana" w:cs="Arial"/>
          <w:color w:val="000000" w:themeColor="text1"/>
          <w:lang w:eastAsia="es-ES_tradnl"/>
        </w:rPr>
      </w:pPr>
      <w:r>
        <w:rPr>
          <w:rFonts w:ascii="Verdana" w:hAnsi="Verdana"/>
        </w:rPr>
        <w:t>Bogotá, Cundinamarca</w:t>
      </w:r>
    </w:p>
    <w:p w14:paraId="36B9961D" w14:textId="46FD53A3" w:rsidR="00BD40B4" w:rsidRPr="009979E9" w:rsidRDefault="00BD40B4" w:rsidP="007C31D6">
      <w:pPr>
        <w:spacing w:after="0" w:line="240" w:lineRule="auto"/>
        <w:rPr>
          <w:rFonts w:ascii="Verdana" w:eastAsia="Calibri" w:hAnsi="Verdana" w:cs="Arial"/>
          <w:color w:val="000000" w:themeColor="text1"/>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13475" w:rsidRPr="00D13475" w14:paraId="16601339" w14:textId="77777777" w:rsidTr="000E7260">
        <w:trPr>
          <w:trHeight w:val="190"/>
        </w:trPr>
        <w:tc>
          <w:tcPr>
            <w:tcW w:w="2689" w:type="dxa"/>
          </w:tcPr>
          <w:p w14:paraId="638CF024" w14:textId="77777777" w:rsidR="007C31D6" w:rsidRPr="00D13475" w:rsidRDefault="007C31D6" w:rsidP="000E7260">
            <w:pPr>
              <w:jc w:val="both"/>
              <w:rPr>
                <w:rFonts w:ascii="Verdana" w:eastAsia="Calibri" w:hAnsi="Verdana" w:cs="Arial"/>
                <w:b/>
                <w:bCs/>
                <w:color w:val="000000" w:themeColor="text1"/>
                <w:lang w:eastAsia="es-ES_tradnl"/>
              </w:rPr>
            </w:pPr>
          </w:p>
        </w:tc>
        <w:tc>
          <w:tcPr>
            <w:tcW w:w="6100" w:type="dxa"/>
          </w:tcPr>
          <w:p w14:paraId="30E57AAF" w14:textId="62DAA34C" w:rsidR="007C31D6" w:rsidRPr="00D13475" w:rsidRDefault="007C31D6" w:rsidP="000E7260">
            <w:pPr>
              <w:jc w:val="both"/>
              <w:rPr>
                <w:rFonts w:ascii="Verdana" w:eastAsia="Calibri" w:hAnsi="Verdana" w:cs="Arial"/>
                <w:b/>
                <w:bCs/>
                <w:color w:val="000000" w:themeColor="text1"/>
                <w:lang w:eastAsia="es-ES"/>
              </w:rPr>
            </w:pPr>
            <w:r w:rsidRPr="00D13475">
              <w:rPr>
                <w:rFonts w:ascii="Verdana" w:eastAsia="Calibri" w:hAnsi="Verdana" w:cs="Arial"/>
                <w:b/>
                <w:bCs/>
                <w:color w:val="000000" w:themeColor="text1"/>
                <w:lang w:eastAsia="es-ES"/>
              </w:rPr>
              <w:t>Concepto C-</w:t>
            </w:r>
            <w:r w:rsidR="00E84A1E">
              <w:rPr>
                <w:rFonts w:ascii="Verdana" w:eastAsia="Calibri" w:hAnsi="Verdana" w:cs="Arial"/>
                <w:b/>
                <w:bCs/>
                <w:color w:val="000000" w:themeColor="text1"/>
                <w:lang w:eastAsia="es-ES"/>
              </w:rPr>
              <w:t>1001</w:t>
            </w:r>
            <w:r w:rsidRPr="00D13475">
              <w:rPr>
                <w:rFonts w:ascii="Verdana" w:eastAsia="Calibri" w:hAnsi="Verdana" w:cs="Arial"/>
                <w:b/>
                <w:bCs/>
                <w:color w:val="000000" w:themeColor="text1"/>
                <w:lang w:eastAsia="es-ES"/>
              </w:rPr>
              <w:t xml:space="preserve"> de 2026</w:t>
            </w:r>
          </w:p>
          <w:p w14:paraId="6EA04ABC" w14:textId="77777777" w:rsidR="007C31D6" w:rsidRPr="00D13475" w:rsidRDefault="007C31D6" w:rsidP="000E7260">
            <w:pPr>
              <w:jc w:val="both"/>
              <w:rPr>
                <w:rFonts w:ascii="Verdana" w:eastAsia="Calibri" w:hAnsi="Verdana" w:cs="Arial"/>
                <w:b/>
                <w:bCs/>
                <w:color w:val="000000" w:themeColor="text1"/>
                <w:lang w:eastAsia="es-ES"/>
              </w:rPr>
            </w:pPr>
          </w:p>
        </w:tc>
      </w:tr>
      <w:tr w:rsidR="00B42204" w:rsidRPr="00D13475" w14:paraId="42C90597" w14:textId="77777777" w:rsidTr="000E7260">
        <w:trPr>
          <w:trHeight w:val="884"/>
        </w:trPr>
        <w:tc>
          <w:tcPr>
            <w:tcW w:w="2689" w:type="dxa"/>
          </w:tcPr>
          <w:p w14:paraId="7ECE2E2C" w14:textId="77777777" w:rsidR="00B42204" w:rsidRPr="00D13475" w:rsidRDefault="00B42204" w:rsidP="00B42204">
            <w:pPr>
              <w:jc w:val="both"/>
              <w:rPr>
                <w:rFonts w:ascii="Verdana" w:eastAsia="Calibri" w:hAnsi="Verdana" w:cs="Arial"/>
                <w:color w:val="000000" w:themeColor="text1"/>
                <w:lang w:eastAsia="es-ES_tradnl"/>
              </w:rPr>
            </w:pPr>
            <w:r w:rsidRPr="00D13475">
              <w:rPr>
                <w:rFonts w:ascii="Verdana" w:eastAsia="Calibri" w:hAnsi="Verdana" w:cs="Arial"/>
                <w:b/>
                <w:color w:val="000000" w:themeColor="text1"/>
                <w:lang w:eastAsia="es-ES_tradnl"/>
              </w:rPr>
              <w:t>Tema:</w:t>
            </w:r>
            <w:r w:rsidRPr="00D13475">
              <w:rPr>
                <w:rFonts w:ascii="Verdana" w:eastAsia="Calibri" w:hAnsi="Verdana" w:cs="Arial"/>
                <w:color w:val="000000" w:themeColor="text1"/>
                <w:lang w:eastAsia="es-ES_tradnl"/>
              </w:rPr>
              <w:t xml:space="preserve">                   </w:t>
            </w:r>
          </w:p>
        </w:tc>
        <w:tc>
          <w:tcPr>
            <w:tcW w:w="6100" w:type="dxa"/>
          </w:tcPr>
          <w:p w14:paraId="3AF29348" w14:textId="77777777" w:rsidR="00E84A1E" w:rsidRPr="00275986" w:rsidRDefault="00E84A1E" w:rsidP="00E84A1E">
            <w:pPr>
              <w:jc w:val="both"/>
              <w:rPr>
                <w:rFonts w:ascii="Verdana" w:eastAsia="Calibri" w:hAnsi="Verdana" w:cs="Arial"/>
                <w:lang w:val="es-ES" w:eastAsia="es-ES"/>
              </w:rPr>
            </w:pPr>
            <w:r w:rsidRPr="00275986">
              <w:rPr>
                <w:rFonts w:ascii="Verdana" w:eastAsia="Calibri" w:hAnsi="Verdana" w:cs="Arial"/>
                <w:lang w:val="es-ES" w:eastAsia="es-ES"/>
              </w:rPr>
              <w:t xml:space="preserve">EXPERIENCIA – Requisito habilitante – RUP – Plena prueba </w:t>
            </w:r>
            <w:r w:rsidRPr="005B31B3">
              <w:rPr>
                <w:rFonts w:ascii="Verdana" w:eastAsia="Calibri" w:hAnsi="Verdana" w:cs="Arial"/>
                <w:lang w:val="es-ES" w:eastAsia="es-ES"/>
              </w:rPr>
              <w:t xml:space="preserve">/ </w:t>
            </w:r>
            <w:r w:rsidRPr="0021170A">
              <w:rPr>
                <w:rFonts w:ascii="Verdana" w:eastAsia="Calibri" w:hAnsi="Verdana" w:cs="Arial"/>
                <w:lang w:val="es-ES" w:eastAsia="es-ES"/>
              </w:rPr>
              <w:t>CÁMARAS DE COMERCIO – Verificación RUP</w:t>
            </w:r>
          </w:p>
          <w:p w14:paraId="713614CE" w14:textId="14C285E5" w:rsidR="009D25AB" w:rsidRPr="00D13475" w:rsidRDefault="009D25AB" w:rsidP="00E84A1E">
            <w:pPr>
              <w:jc w:val="both"/>
              <w:rPr>
                <w:rFonts w:ascii="Verdana" w:eastAsia="Verdana" w:hAnsi="Verdana" w:cs="Verdana"/>
                <w:color w:val="000000" w:themeColor="text1"/>
                <w:sz w:val="20"/>
                <w:szCs w:val="20"/>
                <w:lang w:val="es-MX"/>
              </w:rPr>
            </w:pPr>
          </w:p>
        </w:tc>
      </w:tr>
      <w:tr w:rsidR="00B42204" w:rsidRPr="00D13475" w14:paraId="6D1E6EE3" w14:textId="77777777" w:rsidTr="000E7260">
        <w:tc>
          <w:tcPr>
            <w:tcW w:w="2689" w:type="dxa"/>
          </w:tcPr>
          <w:p w14:paraId="34E85B48" w14:textId="77777777" w:rsidR="00B42204" w:rsidRPr="00D13475" w:rsidRDefault="00B42204" w:rsidP="00B42204">
            <w:pPr>
              <w:jc w:val="both"/>
              <w:rPr>
                <w:rFonts w:ascii="Verdana" w:eastAsia="Calibri" w:hAnsi="Verdana" w:cs="Arial"/>
                <w:b/>
                <w:color w:val="000000" w:themeColor="text1"/>
                <w:lang w:eastAsia="es-ES_tradnl"/>
              </w:rPr>
            </w:pPr>
            <w:r w:rsidRPr="00D13475">
              <w:rPr>
                <w:rFonts w:ascii="Verdana" w:eastAsia="Calibri" w:hAnsi="Verdana" w:cs="Arial"/>
                <w:b/>
                <w:color w:val="000000" w:themeColor="text1"/>
                <w:lang w:eastAsia="es-ES_tradnl"/>
              </w:rPr>
              <w:t>Radicación:</w:t>
            </w:r>
            <w:r w:rsidRPr="00D13475">
              <w:rPr>
                <w:rFonts w:ascii="Verdana" w:eastAsia="Calibri" w:hAnsi="Verdana" w:cs="Arial"/>
                <w:color w:val="000000" w:themeColor="text1"/>
                <w:lang w:eastAsia="es-ES_tradnl"/>
              </w:rPr>
              <w:t xml:space="preserve">               </w:t>
            </w:r>
          </w:p>
        </w:tc>
        <w:tc>
          <w:tcPr>
            <w:tcW w:w="6100" w:type="dxa"/>
          </w:tcPr>
          <w:p w14:paraId="5102A26F" w14:textId="15BBDB59" w:rsidR="00B42204" w:rsidRPr="00D13475" w:rsidRDefault="00B42204" w:rsidP="00B42204">
            <w:pPr>
              <w:jc w:val="both"/>
              <w:rPr>
                <w:rFonts w:ascii="Verdana" w:eastAsia="Calibri" w:hAnsi="Verdana" w:cs="Arial"/>
                <w:color w:val="000000" w:themeColor="text1"/>
                <w:lang w:eastAsia="es-ES_tradnl"/>
              </w:rPr>
            </w:pPr>
            <w:r w:rsidRPr="00D13475">
              <w:rPr>
                <w:rFonts w:ascii="Verdana" w:eastAsia="Calibri" w:hAnsi="Verdana" w:cs="Arial"/>
                <w:color w:val="000000" w:themeColor="text1"/>
                <w:lang w:eastAsia="es-ES_tradnl"/>
              </w:rPr>
              <w:t xml:space="preserve">Respuesta a consulta con radicado </w:t>
            </w:r>
            <w:r w:rsidR="006E1F4C" w:rsidRPr="00D13475">
              <w:rPr>
                <w:rFonts w:ascii="Verdana" w:eastAsia="Calibri" w:hAnsi="Verdana" w:cs="Arial"/>
                <w:color w:val="000000" w:themeColor="text1"/>
                <w:lang w:eastAsia="es-ES_tradnl"/>
              </w:rPr>
              <w:t>No.</w:t>
            </w:r>
            <w:r w:rsidR="006E1F4C" w:rsidRPr="00D13475">
              <w:rPr>
                <w:rFonts w:ascii="Verdana" w:hAnsi="Verdana" w:cs="Segoe UI"/>
                <w:color w:val="000000" w:themeColor="text1"/>
                <w:shd w:val="clear" w:color="auto" w:fill="FFFFFF"/>
              </w:rPr>
              <w:t xml:space="preserve"> 1</w:t>
            </w:r>
            <w:r w:rsidR="00E84A1E" w:rsidRPr="00E84A1E">
              <w:rPr>
                <w:rFonts w:ascii="Verdana" w:hAnsi="Verdana" w:cs="Segoe UI"/>
                <w:color w:val="000000" w:themeColor="text1"/>
                <w:shd w:val="clear" w:color="auto" w:fill="FFFFFF"/>
              </w:rPr>
              <w:t>_2026_06_22_008346</w:t>
            </w:r>
          </w:p>
        </w:tc>
      </w:tr>
    </w:tbl>
    <w:p w14:paraId="4390F041" w14:textId="77777777" w:rsidR="007C31D6" w:rsidRPr="00D13475" w:rsidRDefault="007C31D6" w:rsidP="007C31D6">
      <w:pPr>
        <w:spacing w:after="0" w:line="240" w:lineRule="auto"/>
        <w:jc w:val="both"/>
        <w:rPr>
          <w:rFonts w:ascii="Verdana" w:eastAsia="Calibri" w:hAnsi="Verdana" w:cs="Arial"/>
          <w:color w:val="000000" w:themeColor="text1"/>
          <w:lang w:eastAsia="es-ES_tradnl"/>
        </w:rPr>
      </w:pPr>
    </w:p>
    <w:p w14:paraId="2A5DB5C5" w14:textId="5D45CD9B" w:rsidR="007C31D6" w:rsidRPr="00D13475" w:rsidRDefault="00F56178" w:rsidP="007C31D6">
      <w:pPr>
        <w:spacing w:after="0" w:line="276" w:lineRule="auto"/>
        <w:jc w:val="both"/>
        <w:rPr>
          <w:rFonts w:ascii="Verdana" w:eastAsia="Calibri" w:hAnsi="Verdana" w:cs="Arial"/>
          <w:color w:val="000000" w:themeColor="text1"/>
          <w:lang w:eastAsia="es-ES"/>
        </w:rPr>
      </w:pPr>
      <w:r w:rsidRPr="00F56178">
        <w:rPr>
          <w:rFonts w:ascii="Verdana" w:eastAsia="Calibri" w:hAnsi="Verdana" w:cs="Arial"/>
          <w:color w:val="000000" w:themeColor="text1"/>
          <w:lang w:eastAsia="es-ES"/>
        </w:rPr>
        <w:t xml:space="preserve">Respetado </w:t>
      </w:r>
      <w:r w:rsidR="00EE1E2C">
        <w:rPr>
          <w:rFonts w:ascii="Verdana" w:eastAsia="Calibri" w:hAnsi="Verdana" w:cs="Arial"/>
          <w:color w:val="000000" w:themeColor="text1"/>
          <w:lang w:eastAsia="es-ES"/>
        </w:rPr>
        <w:t xml:space="preserve">señor </w:t>
      </w:r>
      <w:r w:rsidR="00E84A1E">
        <w:rPr>
          <w:rFonts w:ascii="Verdana" w:eastAsia="Calibri" w:hAnsi="Verdana" w:cs="Arial"/>
          <w:color w:val="000000" w:themeColor="text1"/>
          <w:lang w:eastAsia="es-ES"/>
        </w:rPr>
        <w:t>Gámez</w:t>
      </w:r>
      <w:r w:rsidRPr="00F56178">
        <w:rPr>
          <w:rFonts w:ascii="Verdana" w:eastAsia="Calibri" w:hAnsi="Verdana" w:cs="Arial"/>
          <w:color w:val="000000" w:themeColor="text1"/>
          <w:lang w:eastAsia="es-ES"/>
        </w:rPr>
        <w:t>:</w:t>
      </w:r>
    </w:p>
    <w:p w14:paraId="68131D55" w14:textId="77777777" w:rsidR="007C31D6" w:rsidRPr="00D13475" w:rsidRDefault="007C31D6" w:rsidP="007C31D6">
      <w:pPr>
        <w:tabs>
          <w:tab w:val="left" w:pos="3768"/>
        </w:tabs>
        <w:spacing w:after="0" w:line="276" w:lineRule="auto"/>
        <w:jc w:val="both"/>
        <w:rPr>
          <w:rFonts w:ascii="Verdana" w:eastAsia="Calibri" w:hAnsi="Verdana" w:cs="Arial"/>
          <w:color w:val="000000" w:themeColor="text1"/>
          <w:lang w:eastAsia="es-ES"/>
        </w:rPr>
      </w:pPr>
    </w:p>
    <w:p w14:paraId="6ABFAF51" w14:textId="110B09B2" w:rsidR="0068231B" w:rsidRPr="00D13475" w:rsidRDefault="007C31D6" w:rsidP="007C31D6">
      <w:pPr>
        <w:spacing w:after="0" w:line="276" w:lineRule="auto"/>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En ejercicio de la competencia otorgada por los artículos 3, numeral 5º, y 11, numeral 8º, del Decreto Ley 4170 de 2011,</w:t>
      </w:r>
      <w:r w:rsidRPr="00D13475">
        <w:rPr>
          <w:rFonts w:ascii="Verdana" w:eastAsia="Arial MT" w:hAnsi="Verdana" w:cs="Arial MT"/>
          <w:color w:val="000000" w:themeColor="text1"/>
          <w:lang w:eastAsia="es-ES"/>
        </w:rPr>
        <w:t xml:space="preserve"> </w:t>
      </w:r>
      <w:r w:rsidRPr="00D13475">
        <w:rPr>
          <w:rFonts w:ascii="Verdana" w:hAnsi="Verdana" w:cs="Arial"/>
          <w:color w:val="000000" w:themeColor="text1"/>
        </w:rPr>
        <w:t xml:space="preserve">así como lo establecido en el artículo 4 de la Resolución 1707 de 2018 expedida por esta Entidad, </w:t>
      </w:r>
      <w:r w:rsidRPr="00D13475">
        <w:rPr>
          <w:rFonts w:ascii="Verdana" w:eastAsia="Calibri" w:hAnsi="Verdana" w:cs="Arial"/>
          <w:color w:val="000000" w:themeColor="text1"/>
          <w:lang w:eastAsia="es-ES"/>
        </w:rPr>
        <w:t xml:space="preserve">la Agencia Nacional de Contratación Pública – Colombia Compra Eficiente– responde su solicitud </w:t>
      </w:r>
      <w:r w:rsidR="00C3587D" w:rsidRPr="00D13475">
        <w:rPr>
          <w:rFonts w:ascii="Verdana" w:eastAsia="Calibri" w:hAnsi="Verdana" w:cs="Arial"/>
          <w:color w:val="000000" w:themeColor="text1"/>
          <w:lang w:eastAsia="es-ES"/>
        </w:rPr>
        <w:t xml:space="preserve">remitida </w:t>
      </w:r>
      <w:r w:rsidR="00051D01" w:rsidRPr="00D13475">
        <w:rPr>
          <w:rFonts w:ascii="Verdana" w:eastAsia="Calibri" w:hAnsi="Verdana" w:cs="Arial"/>
          <w:color w:val="000000" w:themeColor="text1"/>
          <w:lang w:eastAsia="es-ES"/>
        </w:rPr>
        <w:t xml:space="preserve">a esta Agencia el pasado </w:t>
      </w:r>
      <w:r w:rsidR="00E84A1E">
        <w:rPr>
          <w:rFonts w:ascii="Verdana" w:eastAsia="Calibri" w:hAnsi="Verdana" w:cs="Arial"/>
          <w:color w:val="000000" w:themeColor="text1"/>
          <w:lang w:eastAsia="es-ES"/>
        </w:rPr>
        <w:t>22</w:t>
      </w:r>
      <w:r w:rsidR="00B42204">
        <w:rPr>
          <w:rFonts w:ascii="Verdana" w:eastAsia="Calibri" w:hAnsi="Verdana" w:cs="Arial"/>
          <w:color w:val="000000" w:themeColor="text1"/>
          <w:lang w:eastAsia="es-ES"/>
        </w:rPr>
        <w:t xml:space="preserve"> </w:t>
      </w:r>
      <w:r w:rsidRPr="00D13475">
        <w:rPr>
          <w:rFonts w:ascii="Verdana" w:eastAsia="Calibri" w:hAnsi="Verdana" w:cs="Arial"/>
          <w:color w:val="000000" w:themeColor="text1"/>
          <w:lang w:eastAsia="es-ES"/>
        </w:rPr>
        <w:t xml:space="preserve">de </w:t>
      </w:r>
      <w:r w:rsidR="002C39A1">
        <w:rPr>
          <w:rFonts w:ascii="Verdana" w:eastAsia="Calibri" w:hAnsi="Verdana" w:cs="Arial"/>
          <w:color w:val="000000" w:themeColor="text1"/>
          <w:lang w:eastAsia="es-ES"/>
        </w:rPr>
        <w:t>jun</w:t>
      </w:r>
      <w:r w:rsidR="00EE1E2C">
        <w:rPr>
          <w:rFonts w:ascii="Verdana" w:eastAsia="Calibri" w:hAnsi="Verdana" w:cs="Arial"/>
          <w:color w:val="000000" w:themeColor="text1"/>
          <w:lang w:eastAsia="es-ES"/>
        </w:rPr>
        <w:t>io</w:t>
      </w:r>
      <w:r w:rsidRPr="00D13475">
        <w:rPr>
          <w:rFonts w:ascii="Verdana" w:eastAsia="Calibri" w:hAnsi="Verdana" w:cs="Arial"/>
          <w:color w:val="000000" w:themeColor="text1"/>
          <w:lang w:eastAsia="es-ES"/>
        </w:rPr>
        <w:t xml:space="preserve"> de 2026, en la cual manifiesta lo siguiente: </w:t>
      </w:r>
    </w:p>
    <w:p w14:paraId="40F334F8" w14:textId="77777777" w:rsidR="00093BF9" w:rsidRPr="00D13475" w:rsidRDefault="00093BF9" w:rsidP="007C31D6">
      <w:pPr>
        <w:spacing w:after="0" w:line="276" w:lineRule="auto"/>
        <w:jc w:val="both"/>
        <w:rPr>
          <w:rFonts w:ascii="Verdana" w:eastAsia="Calibri" w:hAnsi="Verdana" w:cs="Arial"/>
          <w:color w:val="000000" w:themeColor="text1"/>
          <w:lang w:eastAsia="es-ES"/>
        </w:rPr>
      </w:pPr>
    </w:p>
    <w:p w14:paraId="17681449" w14:textId="6BBBE4F7" w:rsidR="0068231B" w:rsidRPr="00D13475" w:rsidRDefault="00093BF9" w:rsidP="002C39A1">
      <w:pPr>
        <w:spacing w:after="0" w:line="276" w:lineRule="auto"/>
        <w:ind w:left="709" w:right="616"/>
        <w:jc w:val="both"/>
        <w:rPr>
          <w:rFonts w:ascii="Verdana" w:eastAsia="Calibri" w:hAnsi="Verdana" w:cs="Arial"/>
          <w:color w:val="000000" w:themeColor="text1"/>
          <w:sz w:val="20"/>
          <w:szCs w:val="20"/>
          <w:lang w:eastAsia="es-ES"/>
        </w:rPr>
      </w:pPr>
      <w:r w:rsidRPr="00D13475">
        <w:rPr>
          <w:rFonts w:ascii="Verdana" w:eastAsia="Calibri" w:hAnsi="Verdana" w:cs="Arial"/>
          <w:color w:val="000000" w:themeColor="text1"/>
          <w:sz w:val="20"/>
          <w:szCs w:val="20"/>
          <w:lang w:eastAsia="es-ES"/>
        </w:rPr>
        <w:t>“</w:t>
      </w:r>
      <w:proofErr w:type="gramStart"/>
      <w:r w:rsidR="00E84A1E">
        <w:rPr>
          <w:rFonts w:ascii="Verdana" w:eastAsia="Calibri" w:hAnsi="Verdana" w:cs="Arial"/>
          <w:color w:val="000000" w:themeColor="text1"/>
          <w:sz w:val="20"/>
          <w:szCs w:val="20"/>
          <w:lang w:eastAsia="es-ES"/>
        </w:rPr>
        <w:t>1.</w:t>
      </w:r>
      <w:r w:rsidR="00E84A1E" w:rsidRPr="00E84A1E">
        <w:rPr>
          <w:rFonts w:ascii="Verdana" w:eastAsia="Calibri" w:hAnsi="Verdana" w:cs="Arial"/>
          <w:color w:val="000000" w:themeColor="text1"/>
          <w:sz w:val="20"/>
          <w:szCs w:val="20"/>
          <w:lang w:eastAsia="es-ES"/>
        </w:rPr>
        <w:t>Para</w:t>
      </w:r>
      <w:proofErr w:type="gramEnd"/>
      <w:r w:rsidR="00E84A1E" w:rsidRPr="00E84A1E">
        <w:rPr>
          <w:rFonts w:ascii="Verdana" w:eastAsia="Calibri" w:hAnsi="Verdana" w:cs="Arial"/>
          <w:color w:val="000000" w:themeColor="text1"/>
          <w:sz w:val="20"/>
          <w:szCs w:val="20"/>
          <w:lang w:eastAsia="es-ES"/>
        </w:rPr>
        <w:t xml:space="preserve"> efectos de la acreditación de experiencia en el Registro Único de Proponentes – RUP, ¿puede considerarse como contratante a la entidad pública que solicita, supervisa, recibe y certifica las obras ejecutadas, aun cuando el pago sea efectuado por una compañía aseguradora como consecuencia de una indemnización derivada de una póliza de seguros? 2. Cuando una entidad estatal es quien suscribe las actas de recibo a satisfacción, certifica la correcta ejecución de los trabajos y ejerce la supervisión de estos, ¿constituyen dichas actas y certificaciones documentos válidos para acreditar la experiencia ejecutada por el contratista ante el RUP? 3. ¿Resulta procedente exigir que la aseguradora expida certificaciones de experiencia cuando esta manifiesta expresamente que no ostenta la calidad de contratante y que su intervención se limita al pago de la indemnización correspondiente? 4. ¿Cuál es el documento </w:t>
      </w:r>
      <w:r w:rsidR="00E84A1E" w:rsidRPr="00E84A1E">
        <w:rPr>
          <w:rFonts w:ascii="Verdana" w:eastAsia="Calibri" w:hAnsi="Verdana" w:cs="Arial"/>
          <w:color w:val="000000" w:themeColor="text1"/>
          <w:sz w:val="20"/>
          <w:szCs w:val="20"/>
          <w:lang w:eastAsia="es-ES"/>
        </w:rPr>
        <w:lastRenderedPageBreak/>
        <w:t xml:space="preserve">idóneo para acreditar la experiencia en eventos donde la entidad estatal beneficiaria de las obras es quien recibe y certifica su ejecución, pero el pago proviene de una compañía aseguradora? 5. En este tipo de situaciones, ¿la experiencia debe registrarse con base en la entidad que recibió y certificó la ejecución de la obra o con base en la entidad que efectuó el pago de los </w:t>
      </w:r>
      <w:proofErr w:type="gramStart"/>
      <w:r w:rsidR="00E84A1E" w:rsidRPr="00E84A1E">
        <w:rPr>
          <w:rFonts w:ascii="Verdana" w:eastAsia="Calibri" w:hAnsi="Verdana" w:cs="Arial"/>
          <w:color w:val="000000" w:themeColor="text1"/>
          <w:sz w:val="20"/>
          <w:szCs w:val="20"/>
          <w:lang w:eastAsia="es-ES"/>
        </w:rPr>
        <w:t>recursos?</w:t>
      </w:r>
      <w:r w:rsidR="00EE1E2C">
        <w:rPr>
          <w:rFonts w:ascii="Verdana" w:eastAsia="Calibri" w:hAnsi="Verdana" w:cs="Arial"/>
          <w:color w:val="000000" w:themeColor="text1"/>
          <w:sz w:val="20"/>
          <w:szCs w:val="20"/>
          <w:lang w:eastAsia="es-ES"/>
        </w:rPr>
        <w:t>.</w:t>
      </w:r>
      <w:proofErr w:type="gramEnd"/>
      <w:r w:rsidR="0068231B" w:rsidRPr="00D13475">
        <w:rPr>
          <w:rFonts w:ascii="Verdana" w:eastAsia="Calibri" w:hAnsi="Verdana" w:cs="Arial"/>
          <w:color w:val="000000" w:themeColor="text1"/>
          <w:sz w:val="20"/>
          <w:szCs w:val="20"/>
          <w:lang w:eastAsia="es-ES"/>
        </w:rPr>
        <w:t>”</w:t>
      </w:r>
    </w:p>
    <w:p w14:paraId="02C50C52" w14:textId="77777777" w:rsidR="007C31D6" w:rsidRPr="00D13475" w:rsidRDefault="007C31D6" w:rsidP="007C31D6">
      <w:pPr>
        <w:spacing w:after="0" w:line="276" w:lineRule="auto"/>
        <w:ind w:right="709"/>
        <w:jc w:val="both"/>
        <w:rPr>
          <w:rFonts w:ascii="Verdana" w:eastAsia="Calibri" w:hAnsi="Verdana" w:cs="Arial"/>
          <w:color w:val="000000" w:themeColor="text1"/>
          <w:lang w:eastAsia="es-ES"/>
        </w:rPr>
      </w:pPr>
    </w:p>
    <w:p w14:paraId="5C765451" w14:textId="77777777" w:rsidR="007C31D6" w:rsidRPr="00D13475" w:rsidRDefault="007C31D6" w:rsidP="007C31D6">
      <w:pPr>
        <w:spacing w:after="120" w:line="276" w:lineRule="auto"/>
        <w:ind w:firstLine="709"/>
        <w:jc w:val="both"/>
        <w:rPr>
          <w:rFonts w:ascii="Verdana" w:eastAsia="Calibri" w:hAnsi="Verdana" w:cs="Arial"/>
          <w:color w:val="000000" w:themeColor="text1"/>
          <w:szCs w:val="24"/>
          <w:lang w:eastAsia="es-ES_tradnl"/>
        </w:rPr>
      </w:pPr>
      <w:r w:rsidRPr="00D13475">
        <w:rPr>
          <w:rFonts w:ascii="Verdana" w:eastAsia="Calibri" w:hAnsi="Verdana" w:cs="Arial"/>
          <w:color w:val="000000" w:themeColor="text1"/>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13475">
        <w:rPr>
          <w:rFonts w:ascii="Verdana" w:eastAsia="Calibri" w:hAnsi="Verdana" w:cs="Arial"/>
          <w:color w:val="000000" w:themeColor="text1"/>
          <w:szCs w:val="24"/>
          <w:lang w:eastAsia="es-ES_tradnl"/>
        </w:rPr>
        <w:tab/>
      </w:r>
    </w:p>
    <w:p w14:paraId="53C18D10" w14:textId="434D853D" w:rsidR="00CB1DED" w:rsidRPr="00D13475" w:rsidRDefault="007C31D6" w:rsidP="00CB1DED">
      <w:pPr>
        <w:spacing w:after="0" w:line="276" w:lineRule="auto"/>
        <w:ind w:firstLine="709"/>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058A10A1" w14:textId="77777777" w:rsidR="00CB1DED" w:rsidRPr="00D13475" w:rsidRDefault="00CB1DED" w:rsidP="00CB1DED">
      <w:pPr>
        <w:spacing w:after="0" w:line="276" w:lineRule="auto"/>
        <w:ind w:firstLine="709"/>
        <w:jc w:val="both"/>
        <w:rPr>
          <w:rFonts w:ascii="Verdana" w:eastAsia="Calibri" w:hAnsi="Verdana" w:cs="Arial"/>
          <w:color w:val="000000" w:themeColor="text1"/>
          <w:lang w:eastAsia="es-ES"/>
        </w:rPr>
      </w:pPr>
    </w:p>
    <w:p w14:paraId="73CC0334" w14:textId="5C86FFFA" w:rsidR="007C31D6" w:rsidRPr="00D13475" w:rsidRDefault="007C31D6" w:rsidP="00CB1DE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Problema planteado:</w:t>
      </w:r>
    </w:p>
    <w:p w14:paraId="63D4123A" w14:textId="77777777" w:rsidR="001B7673" w:rsidRPr="00D13475" w:rsidRDefault="001B7673" w:rsidP="00D1347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1E2B530B" w14:textId="64082AF8" w:rsidR="00BD40B4" w:rsidRPr="00D13475" w:rsidRDefault="007C31D6" w:rsidP="00BD40B4">
      <w:pPr>
        <w:snapToGrid w:val="0"/>
        <w:spacing w:after="0" w:line="276" w:lineRule="auto"/>
        <w:jc w:val="both"/>
        <w:rPr>
          <w:rFonts w:ascii="Verdana" w:eastAsia="Century Gothic" w:hAnsi="Verdana" w:cs="Century Gothic"/>
          <w:color w:val="000000" w:themeColor="text1"/>
        </w:rPr>
      </w:pPr>
      <w:r w:rsidRPr="00D13475">
        <w:rPr>
          <w:rFonts w:ascii="Verdana" w:eastAsia="Century Gothic" w:hAnsi="Verdana" w:cs="Century Gothic"/>
          <w:color w:val="000000" w:themeColor="text1"/>
        </w:rPr>
        <w:t xml:space="preserve">De acuerdo con el contenido de su solicitud, esta Agencia resolverá el siguiente problema jurídico: </w:t>
      </w:r>
      <w:r w:rsidR="00E84A1E" w:rsidRPr="00E84A1E">
        <w:rPr>
          <w:rFonts w:ascii="Verdana" w:eastAsia="Century Gothic" w:hAnsi="Verdana" w:cs="Century Gothic"/>
          <w:color w:val="000000" w:themeColor="text1"/>
        </w:rPr>
        <w:t>¿Para efectos de registrar y acreditar la experiencia en el Registro Único de Proponentes –RUP–, puede el contratista presentar las actas de recibo a satisfacción y las certificaciones expedidas por la entidad estatal que solicitó, supervisó, recibió y certificó las obras, aun cuando su pago haya sido efectuado por una compañía aseguradora con cargo a una indemnización, o debe acreditar la experiencia mediante una certificación expedida por la aseguradora que realizó el pago?</w:t>
      </w:r>
    </w:p>
    <w:p w14:paraId="2B7FE07E" w14:textId="77777777" w:rsidR="00BD40B4" w:rsidRPr="00D13475" w:rsidRDefault="00BD40B4" w:rsidP="00BD40B4">
      <w:pPr>
        <w:snapToGrid w:val="0"/>
        <w:spacing w:after="0" w:line="276" w:lineRule="auto"/>
        <w:jc w:val="both"/>
        <w:rPr>
          <w:rFonts w:ascii="Verdana" w:eastAsia="Century Gothic" w:hAnsi="Verdana" w:cs="Century Gothic"/>
          <w:color w:val="000000" w:themeColor="text1"/>
        </w:rPr>
      </w:pPr>
    </w:p>
    <w:p w14:paraId="5F17CC91" w14:textId="7F1D8B8F" w:rsidR="007C31D6" w:rsidRPr="00D13475" w:rsidRDefault="007C31D6" w:rsidP="00BD40B4">
      <w:pPr>
        <w:snapToGrid w:val="0"/>
        <w:spacing w:after="0" w:line="276" w:lineRule="auto"/>
        <w:jc w:val="both"/>
        <w:rPr>
          <w:rFonts w:ascii="Verdana" w:eastAsia="Century Gothic" w:hAnsi="Verdana" w:cs="Century Gothic"/>
          <w:b/>
          <w:bCs/>
          <w:color w:val="000000" w:themeColor="text1"/>
        </w:rPr>
      </w:pPr>
      <w:r w:rsidRPr="00D13475">
        <w:rPr>
          <w:rFonts w:ascii="Verdana" w:eastAsia="Century Gothic" w:hAnsi="Verdana" w:cs="Century Gothic"/>
          <w:b/>
          <w:bCs/>
          <w:color w:val="000000" w:themeColor="text1"/>
        </w:rPr>
        <w:t>Respuesta:</w:t>
      </w:r>
    </w:p>
    <w:p w14:paraId="2F0FD1DC"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tbl>
      <w:tblPr>
        <w:tblStyle w:val="Tablaconcuadrcula"/>
        <w:tblW w:w="8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13475" w:rsidRPr="00D13475" w14:paraId="3CC15C7C" w14:textId="77777777" w:rsidTr="00D13475">
        <w:tc>
          <w:tcPr>
            <w:tcW w:w="8828" w:type="dxa"/>
          </w:tcPr>
          <w:p w14:paraId="7119627C" w14:textId="77777777" w:rsidR="00E84A1E" w:rsidRDefault="00E84A1E" w:rsidP="00E84A1E">
            <w:pPr>
              <w:spacing w:after="120" w:line="276" w:lineRule="auto"/>
              <w:jc w:val="both"/>
              <w:rPr>
                <w:rFonts w:ascii="Verdana" w:eastAsia="Calibri" w:hAnsi="Verdana" w:cs="Arial"/>
              </w:rPr>
            </w:pPr>
            <w:r>
              <w:rPr>
                <w:rFonts w:ascii="Verdana" w:eastAsia="Calibri" w:hAnsi="Verdana" w:cs="Arial"/>
              </w:rPr>
              <w:t>Respecto al problema jurídico planteado, e</w:t>
            </w:r>
            <w:r w:rsidRPr="00712B24">
              <w:rPr>
                <w:rFonts w:ascii="Verdana" w:eastAsia="Calibri" w:hAnsi="Verdana" w:cs="Arial"/>
              </w:rPr>
              <w:t>s importante hacer énfasis en que, de conformidad con lo dispuesto en el artículo 6 de la Ley 1150 de 2007, todas las personas naturales o jurídicas, nacionales o extranjeras, domiciliadas en Colombia o con sucursal en el país, que pretendan celebrar contratos con las entidades estatales, deben encontrarse inscritas en el Registro Único de Proponentes</w:t>
            </w:r>
            <w:r>
              <w:rPr>
                <w:rFonts w:ascii="Verdana" w:eastAsia="Calibri" w:hAnsi="Verdana" w:cs="Arial"/>
              </w:rPr>
              <w:t xml:space="preserve"> (RUP)</w:t>
            </w:r>
            <w:r w:rsidRPr="00712B24">
              <w:rPr>
                <w:rFonts w:ascii="Verdana" w:eastAsia="Calibri" w:hAnsi="Verdana" w:cs="Arial"/>
              </w:rPr>
              <w:t>. En dicha inscripción reposa la información referente a la experiencia, así como a la capacidad jurídica, financiera y organizacional del proponente, además de su clasificación. Esta inscripción constituye la base para la verificación de los requisitos habilitantes.</w:t>
            </w:r>
          </w:p>
          <w:p w14:paraId="75E43431" w14:textId="77777777" w:rsidR="00E84A1E" w:rsidRPr="004F345C" w:rsidRDefault="00E84A1E" w:rsidP="00E84A1E">
            <w:pPr>
              <w:spacing w:after="120" w:line="276" w:lineRule="auto"/>
              <w:jc w:val="both"/>
              <w:rPr>
                <w:rFonts w:ascii="Verdana" w:eastAsia="Calibri" w:hAnsi="Verdana" w:cs="Arial"/>
              </w:rPr>
            </w:pPr>
            <w:r>
              <w:rPr>
                <w:rFonts w:ascii="Verdana" w:eastAsia="Calibri" w:hAnsi="Verdana" w:cs="Arial"/>
              </w:rPr>
              <w:t xml:space="preserve">          </w:t>
            </w:r>
            <w:r w:rsidRPr="004F345C">
              <w:rPr>
                <w:rFonts w:ascii="Verdana" w:eastAsia="Calibri" w:hAnsi="Verdana" w:cs="Arial"/>
              </w:rPr>
              <w:t>En ese sentido, cuando el RUP es exigible, las entidades estatales deben acudir exclusivamente a la información allí contenida para verificar el cumplimiento de los requisitos habilitantes, incluida la experiencia, sin que resulte procedente exigir documentos adicionales destinados a soportar, complementar o reemplazar la información que ya fue objeto de verificación por parte de la Cámara de Comercio. Esta regla busca garantizar uniformidad en la acreditación de condiciones de participación, así como materializar los principios de transparencia, economía, eficiencia y selección objetiva que rigen la contratación estatal.</w:t>
            </w:r>
          </w:p>
          <w:p w14:paraId="4EB33376" w14:textId="77777777" w:rsidR="00E84A1E" w:rsidRPr="005D1E5D" w:rsidRDefault="00E84A1E" w:rsidP="00E84A1E">
            <w:pPr>
              <w:spacing w:after="120" w:line="276" w:lineRule="auto"/>
              <w:ind w:firstLine="709"/>
              <w:jc w:val="both"/>
              <w:rPr>
                <w:rFonts w:ascii="Verdana" w:hAnsi="Verdana" w:cs="Arial"/>
                <w:color w:val="000000" w:themeColor="text1"/>
              </w:rPr>
            </w:pPr>
            <w:r w:rsidRPr="005D1E5D">
              <w:rPr>
                <w:rFonts w:ascii="Verdana" w:hAnsi="Verdana" w:cs="Arial"/>
                <w:color w:val="000000" w:themeColor="text1"/>
              </w:rPr>
              <w:t>Para efectos de su inscripción, la experiencia debe estar debidamente soportada mediante certificaciones expedidas por el contratante o, en su defecto, con copias de los contratos, de modo que sea posible verificar elementos esenciales como el objeto, el alcance, el valor, el plazo y la participación del proponente. Igualmente, debe existir correspondencia entre la experiencia acreditada y su clasificación en el Clasificador de Bienes y Servicios, lo cual permite estandarizar su registro y facilitar su uso en los procesos de selección. En este contexto, corresponde a las Cámaras de Comercio verificar, evaluar y certificar la información aportada, constatando su autenticidad, consistencia, suficiencia y adecuada clasificación.</w:t>
            </w:r>
          </w:p>
          <w:p w14:paraId="4BCA12DA" w14:textId="77777777" w:rsidR="00E84A1E" w:rsidRDefault="00E84A1E" w:rsidP="00E84A1E">
            <w:pPr>
              <w:spacing w:after="120" w:line="276" w:lineRule="auto"/>
              <w:ind w:firstLine="709"/>
              <w:jc w:val="both"/>
              <w:rPr>
                <w:rFonts w:ascii="Verdana" w:hAnsi="Verdana" w:cs="Arial"/>
                <w:color w:val="000000" w:themeColor="text1"/>
              </w:rPr>
            </w:pPr>
            <w:r w:rsidRPr="005D1E5D">
              <w:rPr>
                <w:rFonts w:ascii="Verdana" w:hAnsi="Verdana" w:cs="Arial"/>
                <w:color w:val="000000" w:themeColor="text1"/>
              </w:rPr>
              <w:t xml:space="preserve">Como resultado de este proceso de verificación, la experiencia inscrita en el RUP adquiere el carácter de plena prueba frente a las entidades estatales, quienes, cuando el registro es exigible, deben limitarse a consultar la información allí contenida para verificar el cumplimiento de los requisitos </w:t>
            </w:r>
            <w:r w:rsidRPr="005D1E5D">
              <w:rPr>
                <w:rFonts w:ascii="Verdana" w:hAnsi="Verdana" w:cs="Arial"/>
                <w:color w:val="000000" w:themeColor="text1"/>
              </w:rPr>
              <w:lastRenderedPageBreak/>
              <w:t>habilitantes, sin exigir documentos adicionales. En todo caso, el proponente es responsable por la veracidad y calidad de la información suministrada, mientras que las Cámaras de Comercio garantizan la confiabilidad del registro, en el marco de lo previsto en la Ley 80 de 1993, la Ley 1150 de 2007 y el Decreto 1082 de 2015.</w:t>
            </w:r>
          </w:p>
          <w:p w14:paraId="22421EFF" w14:textId="77777777" w:rsidR="00E84A1E" w:rsidRDefault="00E84A1E" w:rsidP="00E84A1E">
            <w:pPr>
              <w:spacing w:after="120" w:line="276" w:lineRule="auto"/>
              <w:ind w:firstLine="709"/>
              <w:jc w:val="both"/>
              <w:rPr>
                <w:rFonts w:ascii="Verdana" w:hAnsi="Verdana" w:cs="Arial"/>
                <w:color w:val="000000" w:themeColor="text1"/>
              </w:rPr>
            </w:pPr>
            <w:r>
              <w:rPr>
                <w:rFonts w:ascii="Verdana" w:hAnsi="Verdana" w:cs="Arial"/>
                <w:color w:val="000000" w:themeColor="text1"/>
              </w:rPr>
              <w:t>En consecuencia</w:t>
            </w:r>
            <w:r w:rsidRPr="00504649">
              <w:rPr>
                <w:rFonts w:ascii="Verdana" w:hAnsi="Verdana" w:cs="Arial"/>
                <w:color w:val="000000" w:themeColor="text1"/>
              </w:rPr>
              <w:t xml:space="preserve">, </w:t>
            </w:r>
            <w:r w:rsidRPr="00731FBA">
              <w:rPr>
                <w:rFonts w:ascii="Verdana" w:hAnsi="Verdana" w:cs="Arial"/>
                <w:color w:val="000000" w:themeColor="text1"/>
              </w:rPr>
              <w:t>corresponde a las cámaras de comercio verificar la información que presenten los interesados para la inscripción de su experiencia en el RUP, en cumplimiento de la función que les atribuyen la Ley 1150 de 2007 y el Decreto 1082 de 2015, la cual consiste en adelantar una verificación formal, objetiva y previa de los documentos aportados —como certificados de contratos ejecutados o sus copias— con el fin de constatar la consistencia y suficiencia de la información relativa a los requisitos habilitantes; verificación que, una vez surtida, se refleja en el certificado del RUP, otorgándole el carácter de plena prueba frente a las entidades estatales.</w:t>
            </w:r>
          </w:p>
          <w:p w14:paraId="5DABE265" w14:textId="77777777" w:rsidR="00E84A1E" w:rsidRPr="00504649" w:rsidRDefault="00E84A1E" w:rsidP="00E84A1E">
            <w:pPr>
              <w:spacing w:after="120" w:line="276" w:lineRule="auto"/>
              <w:ind w:firstLine="709"/>
              <w:jc w:val="both"/>
              <w:rPr>
                <w:rFonts w:ascii="Verdana" w:hAnsi="Verdana" w:cs="Arial"/>
                <w:color w:val="000000" w:themeColor="text1"/>
              </w:rPr>
            </w:pPr>
            <w:r w:rsidRPr="009F2252">
              <w:rPr>
                <w:rFonts w:ascii="Verdana" w:hAnsi="Verdana" w:cs="Arial"/>
                <w:color w:val="000000" w:themeColor="text1"/>
              </w:rPr>
              <w:t>Finalmente, es pertinente precisar que la Agencia Nacional de Contratación Pública – Colombia Compra Eficiente no cuenta con competencia para pronunciarse de manera vinculante sobre situaciones particulares ni para validar o desestimar la información verificada por las cámaras de comercio en el RUP, toda vez que sus funciones son de carácter rector, orientador y de formulación de políticas del Sistema de Compra Pública, mas no de inspección, vigilancia, control o jurisdiccionales, por lo que sus conceptos constituyen únicamente criterios generales de interpretación normativa que deben ser aplicados por las entidades y demás partícipes en cada caso concreto.</w:t>
            </w:r>
          </w:p>
          <w:p w14:paraId="6398E78C" w14:textId="26191AA7" w:rsidR="00D13475" w:rsidRPr="00D13475" w:rsidRDefault="00E84A1E" w:rsidP="00E84A1E">
            <w:pPr>
              <w:spacing w:after="120" w:line="276" w:lineRule="auto"/>
              <w:ind w:firstLine="709"/>
              <w:jc w:val="both"/>
              <w:rPr>
                <w:rFonts w:ascii="Verdana" w:hAnsi="Verdana" w:cs="Arial"/>
                <w:color w:val="000000" w:themeColor="text1"/>
                <w:lang w:eastAsia="es-ES"/>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w:t>
            </w:r>
            <w:r>
              <w:rPr>
                <w:rFonts w:ascii="Verdana" w:eastAsia="Calibri" w:hAnsi="Verdana" w:cs="Times New Roman"/>
                <w:lang w:val="es-ES"/>
              </w:rPr>
              <w:t>s</w:t>
            </w:r>
            <w:r w:rsidRPr="00DB4737">
              <w:rPr>
                <w:rFonts w:ascii="Verdana" w:eastAsia="Calibri" w:hAnsi="Verdana" w:cs="Times New Roman"/>
                <w:lang w:val="es-ES"/>
              </w:rPr>
              <w:t>.</w:t>
            </w:r>
          </w:p>
        </w:tc>
      </w:tr>
    </w:tbl>
    <w:p w14:paraId="60F64467" w14:textId="77777777" w:rsidR="00D13475" w:rsidRPr="00D13475" w:rsidRDefault="00D13475" w:rsidP="007C31D6">
      <w:pPr>
        <w:tabs>
          <w:tab w:val="left" w:pos="142"/>
          <w:tab w:val="left" w:pos="284"/>
        </w:tabs>
        <w:spacing w:after="0" w:line="276" w:lineRule="auto"/>
        <w:jc w:val="both"/>
        <w:rPr>
          <w:rFonts w:ascii="Verdana" w:eastAsia="Century Gothic" w:hAnsi="Verdana" w:cs="Century Gothic"/>
          <w:b/>
          <w:bCs/>
          <w:color w:val="000000" w:themeColor="text1"/>
        </w:rPr>
      </w:pPr>
    </w:p>
    <w:p w14:paraId="37F8D028" w14:textId="77777777" w:rsidR="007C31D6" w:rsidRPr="00D13475" w:rsidRDefault="007C31D6" w:rsidP="007C31D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Razones de la respuesta:</w:t>
      </w:r>
    </w:p>
    <w:p w14:paraId="5F565AE2"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28631893" w14:textId="77777777" w:rsidR="00093BF9" w:rsidRPr="00D13475" w:rsidRDefault="00093BF9" w:rsidP="00D13475">
      <w:pPr>
        <w:pStyle w:val="Textoindependiente"/>
        <w:spacing w:line="276" w:lineRule="auto"/>
        <w:jc w:val="both"/>
        <w:rPr>
          <w:color w:val="000000" w:themeColor="text1"/>
          <w:spacing w:val="-2"/>
          <w:lang w:val="es-CO"/>
        </w:rPr>
      </w:pPr>
      <w:r w:rsidRPr="00D13475">
        <w:rPr>
          <w:color w:val="000000" w:themeColor="text1"/>
          <w:lang w:val="es-CO"/>
        </w:rPr>
        <w:t>Lo</w:t>
      </w:r>
      <w:r w:rsidRPr="00D13475">
        <w:rPr>
          <w:color w:val="000000" w:themeColor="text1"/>
          <w:spacing w:val="-4"/>
          <w:lang w:val="es-CO"/>
        </w:rPr>
        <w:t xml:space="preserve"> </w:t>
      </w:r>
      <w:r w:rsidRPr="00D13475">
        <w:rPr>
          <w:color w:val="000000" w:themeColor="text1"/>
          <w:lang w:val="es-CO"/>
        </w:rPr>
        <w:t>anterior</w:t>
      </w:r>
      <w:r w:rsidRPr="00D13475">
        <w:rPr>
          <w:color w:val="000000" w:themeColor="text1"/>
          <w:spacing w:val="-8"/>
          <w:lang w:val="es-CO"/>
        </w:rPr>
        <w:t xml:space="preserve"> </w:t>
      </w:r>
      <w:r w:rsidRPr="00D13475">
        <w:rPr>
          <w:color w:val="000000" w:themeColor="text1"/>
          <w:lang w:val="es-CO"/>
        </w:rPr>
        <w:t>se</w:t>
      </w:r>
      <w:r w:rsidRPr="00D13475">
        <w:rPr>
          <w:color w:val="000000" w:themeColor="text1"/>
          <w:spacing w:val="-5"/>
          <w:lang w:val="es-CO"/>
        </w:rPr>
        <w:t xml:space="preserve"> </w:t>
      </w:r>
      <w:r w:rsidRPr="00D13475">
        <w:rPr>
          <w:color w:val="000000" w:themeColor="text1"/>
          <w:lang w:val="es-CO"/>
        </w:rPr>
        <w:t>sustenta</w:t>
      </w:r>
      <w:r w:rsidRPr="00D13475">
        <w:rPr>
          <w:color w:val="000000" w:themeColor="text1"/>
          <w:spacing w:val="-8"/>
          <w:lang w:val="es-CO"/>
        </w:rPr>
        <w:t xml:space="preserve"> </w:t>
      </w:r>
      <w:r w:rsidRPr="00D13475">
        <w:rPr>
          <w:color w:val="000000" w:themeColor="text1"/>
          <w:lang w:val="es-CO"/>
        </w:rPr>
        <w:t>en</w:t>
      </w:r>
      <w:r w:rsidRPr="00D13475">
        <w:rPr>
          <w:color w:val="000000" w:themeColor="text1"/>
          <w:spacing w:val="-4"/>
          <w:lang w:val="es-CO"/>
        </w:rPr>
        <w:t xml:space="preserve"> </w:t>
      </w:r>
      <w:r w:rsidRPr="00D13475">
        <w:rPr>
          <w:color w:val="000000" w:themeColor="text1"/>
          <w:lang w:val="es-CO"/>
        </w:rPr>
        <w:t>las</w:t>
      </w:r>
      <w:r w:rsidRPr="00D13475">
        <w:rPr>
          <w:color w:val="000000" w:themeColor="text1"/>
          <w:spacing w:val="-5"/>
          <w:lang w:val="es-CO"/>
        </w:rPr>
        <w:t xml:space="preserve"> </w:t>
      </w:r>
      <w:r w:rsidRPr="00D13475">
        <w:rPr>
          <w:color w:val="000000" w:themeColor="text1"/>
          <w:lang w:val="es-CO"/>
        </w:rPr>
        <w:t>siguientes</w:t>
      </w:r>
      <w:r w:rsidRPr="00D13475">
        <w:rPr>
          <w:color w:val="000000" w:themeColor="text1"/>
          <w:spacing w:val="-4"/>
          <w:lang w:val="es-CO"/>
        </w:rPr>
        <w:t xml:space="preserve"> </w:t>
      </w:r>
      <w:r w:rsidRPr="00D13475">
        <w:rPr>
          <w:color w:val="000000" w:themeColor="text1"/>
          <w:spacing w:val="-2"/>
          <w:lang w:val="es-CO"/>
        </w:rPr>
        <w:t>consideraciones:</w:t>
      </w:r>
    </w:p>
    <w:p w14:paraId="7CB290B2" w14:textId="77777777" w:rsidR="00093BF9" w:rsidRPr="00D13475" w:rsidRDefault="00093BF9" w:rsidP="00093BF9">
      <w:pPr>
        <w:pStyle w:val="Textoindependiente"/>
        <w:spacing w:line="276" w:lineRule="auto"/>
        <w:ind w:left="260"/>
        <w:jc w:val="both"/>
        <w:rPr>
          <w:color w:val="000000" w:themeColor="text1"/>
          <w:spacing w:val="-2"/>
          <w:lang w:val="es-CO"/>
        </w:rPr>
      </w:pPr>
    </w:p>
    <w:p w14:paraId="73363F52" w14:textId="77777777" w:rsidR="00E84A1E" w:rsidRPr="0093544A" w:rsidRDefault="00E84A1E" w:rsidP="00E84A1E">
      <w:pPr>
        <w:spacing w:after="120" w:line="276" w:lineRule="auto"/>
        <w:jc w:val="both"/>
        <w:rPr>
          <w:rFonts w:ascii="Verdana" w:eastAsia="Calibri" w:hAnsi="Verdana" w:cs="Arial"/>
        </w:rPr>
      </w:pPr>
      <w:bookmarkStart w:id="1" w:name="_Hlk91599456"/>
      <w:bookmarkStart w:id="2" w:name="_Hlk102983874"/>
      <w:bookmarkStart w:id="3" w:name="_Hlk102388095"/>
      <w:r w:rsidRPr="0093544A">
        <w:rPr>
          <w:rFonts w:ascii="Verdana" w:eastAsia="Calibri" w:hAnsi="Verdana" w:cs="Arial"/>
        </w:rPr>
        <w:t xml:space="preserve">La Ley 1150 de 2007, en el artículo 5, </w:t>
      </w:r>
      <w:r w:rsidRPr="0093544A">
        <w:rPr>
          <w:rFonts w:ascii="Verdana" w:hAnsi="Verdana" w:cs="Arial"/>
        </w:rPr>
        <w:t xml:space="preserve">dispone que </w:t>
      </w:r>
      <w:r w:rsidRPr="0093544A">
        <w:rPr>
          <w:rFonts w:ascii="Verdana" w:eastAsia="Calibri" w:hAnsi="Verdana" w:cs="Arial"/>
        </w:rPr>
        <w:t xml:space="preserve">la capacidad jurídica y las condiciones de experiencia, así como la capacidad financiera y de organización de los proponentes, serán objeto de verificación por parte de las entidades como requisitos habilitantes para participar en los procesos de selección y no otorgarán puntaje. </w:t>
      </w:r>
    </w:p>
    <w:p w14:paraId="03280F66" w14:textId="77777777" w:rsidR="00E84A1E" w:rsidRPr="0093544A" w:rsidRDefault="00E84A1E" w:rsidP="00E84A1E">
      <w:pPr>
        <w:spacing w:after="120" w:line="276" w:lineRule="auto"/>
        <w:ind w:firstLine="709"/>
        <w:jc w:val="both"/>
        <w:rPr>
          <w:rFonts w:ascii="Verdana" w:eastAsia="Calibri" w:hAnsi="Verdana" w:cs="Arial"/>
        </w:rPr>
      </w:pPr>
      <w:r w:rsidRPr="0093544A">
        <w:rPr>
          <w:rFonts w:ascii="Verdana" w:eastAsia="Calibri" w:hAnsi="Verdana" w:cs="Arial"/>
        </w:rPr>
        <w:t xml:space="preserve">Para ello, </w:t>
      </w:r>
      <w:r w:rsidRPr="0093544A">
        <w:rPr>
          <w:rFonts w:ascii="Verdana" w:hAnsi="Verdana" w:cs="Arial"/>
        </w:rPr>
        <w:t>el artículo 6 de la Ley 1150 de 2007 señala que todas las personas naturales o jurídicas, nacionales o extranjeras, domiciliadas o con sucursal en Colombia, que aspiren celebrar contratos con las entidades estatales deberán estar inscritas en el Registro Único de Proponentes</w:t>
      </w:r>
      <w:r>
        <w:rPr>
          <w:rFonts w:ascii="Verdana" w:hAnsi="Verdana" w:cs="Arial"/>
        </w:rPr>
        <w:t xml:space="preserve"> (RUP)</w:t>
      </w:r>
      <w:r w:rsidRPr="0093544A">
        <w:rPr>
          <w:rFonts w:ascii="Verdana" w:hAnsi="Verdana" w:cs="Arial"/>
        </w:rPr>
        <w:t>. En dicho registro constará la información relacionada con la experiencia, la capacidad jurídica, financiera y de organización del proponente y su clasificación.</w:t>
      </w:r>
      <w:r w:rsidRPr="0093544A">
        <w:rPr>
          <w:rFonts w:ascii="Verdana" w:eastAsia="Calibri" w:hAnsi="Verdana" w:cs="Arial"/>
        </w:rPr>
        <w:t xml:space="preserve"> </w:t>
      </w:r>
      <w:bookmarkEnd w:id="1"/>
      <w:r w:rsidRPr="0093544A">
        <w:rPr>
          <w:rFonts w:ascii="Verdana" w:eastAsia="Calibri" w:hAnsi="Verdana" w:cs="Arial"/>
        </w:rPr>
        <w:t>En este registro constan los requisitos habilitantes que se evalúan exclusivamente con este documento, que es plena prueba, sin que la entidad o el proponente puedan, en principio, solicitar o aportar otra documentación</w:t>
      </w:r>
      <w:r w:rsidRPr="0093544A">
        <w:rPr>
          <w:rStyle w:val="Refdenotaalpie"/>
          <w:rFonts w:eastAsia="Calibri" w:cs="Arial"/>
        </w:rPr>
        <w:footnoteReference w:id="1"/>
      </w:r>
      <w:r w:rsidRPr="0093544A">
        <w:rPr>
          <w:rFonts w:ascii="Verdana" w:eastAsia="Calibri" w:hAnsi="Verdana" w:cs="Arial"/>
        </w:rPr>
        <w:t>.</w:t>
      </w:r>
    </w:p>
    <w:p w14:paraId="32E37108" w14:textId="77777777" w:rsidR="00E84A1E" w:rsidRPr="0093544A" w:rsidRDefault="00E84A1E" w:rsidP="00E84A1E">
      <w:pPr>
        <w:spacing w:after="120" w:line="276" w:lineRule="auto"/>
        <w:ind w:firstLine="709"/>
        <w:jc w:val="both"/>
        <w:rPr>
          <w:rFonts w:ascii="Verdana" w:eastAsia="Calibri" w:hAnsi="Verdana" w:cs="Arial"/>
        </w:rPr>
      </w:pPr>
      <w:r w:rsidRPr="0093544A">
        <w:rPr>
          <w:rFonts w:ascii="Verdana" w:eastAsia="Calibri" w:hAnsi="Verdana" w:cs="Arial"/>
        </w:rPr>
        <w:t>La experiencia debe inscribirse, renovarse o actualizarse en el RUP con copia de los contratos o con certificados de los contratos celebrados por el proponente con diferentes contratantes. Estos terceros expiden dichas certificaciones cuando el contrato fue ejecutado y recibieron los bienes, obras o servicios de parte del proponente</w:t>
      </w:r>
      <w:r w:rsidRPr="0093544A">
        <w:rPr>
          <w:rStyle w:val="Refdenotaalpie"/>
          <w:rFonts w:eastAsia="Calibri" w:cs="Arial"/>
        </w:rPr>
        <w:footnoteReference w:id="2"/>
      </w:r>
      <w:r w:rsidRPr="0093544A">
        <w:rPr>
          <w:rFonts w:ascii="Verdana" w:eastAsia="Calibri" w:hAnsi="Verdana" w:cs="Arial"/>
        </w:rPr>
        <w:t xml:space="preserve">. De esta manera, con el RUP se verifica que </w:t>
      </w:r>
      <w:r w:rsidRPr="0093544A">
        <w:rPr>
          <w:rFonts w:ascii="Verdana" w:eastAsia="Calibri" w:hAnsi="Verdana" w:cs="Arial"/>
        </w:rPr>
        <w:lastRenderedPageBreak/>
        <w:t xml:space="preserve">el proponente tenga experiencia en la ejecución del objeto que pretende contratar la entidad, esto es, que haya celebrado y ejecutado contratos que se asimilen a la necesidad que la entidad requiere satisfacer con el procedimiento contractual, sin que sea necesario que su objeto sea idéntico. </w:t>
      </w:r>
    </w:p>
    <w:p w14:paraId="5A74037E" w14:textId="77777777" w:rsidR="00E84A1E" w:rsidRDefault="00E84A1E" w:rsidP="00E84A1E">
      <w:pPr>
        <w:spacing w:after="120" w:line="276" w:lineRule="auto"/>
        <w:ind w:firstLine="709"/>
        <w:jc w:val="both"/>
        <w:rPr>
          <w:rFonts w:ascii="Verdana" w:eastAsia="Calibri" w:hAnsi="Verdana" w:cs="Arial"/>
        </w:rPr>
      </w:pPr>
      <w:r w:rsidRPr="0093544A">
        <w:rPr>
          <w:rFonts w:ascii="Verdana" w:eastAsia="Calibri" w:hAnsi="Verdana" w:cs="Arial"/>
        </w:rPr>
        <w:t xml:space="preserve">Así mismo, de manera correlativa a este deber de los proponentes, la norma impuso a las cámaras de comercio la obligación de verificar los requisitos habilitantes de quienes se registren. El inciso 2 del numeral 6.1. le otorga carácter de plena prueba a la información contenida en el registro que haya sido verificada por las cámaras de comercio y, además, dispuso que la verificación de las condiciones de que trata el numeral 1 del artículo 5 de la Ley 1150 de 2007 se demostrará </w:t>
      </w:r>
      <w:r>
        <w:rPr>
          <w:rFonts w:ascii="Verdana" w:eastAsia="Calibri" w:hAnsi="Verdana" w:cs="Arial"/>
        </w:rPr>
        <w:t>“</w:t>
      </w:r>
      <w:r w:rsidRPr="0093544A">
        <w:rPr>
          <w:rFonts w:ascii="Verdana" w:eastAsia="Calibri" w:hAnsi="Verdana" w:cs="Arial"/>
        </w:rPr>
        <w:t>exclusivamente con el respectivo certificado del RUP en donde deberán constar dichas condiciones</w:t>
      </w:r>
      <w:r>
        <w:rPr>
          <w:rFonts w:ascii="Verdana" w:eastAsia="Calibri" w:hAnsi="Verdana" w:cs="Arial"/>
        </w:rPr>
        <w:t>”</w:t>
      </w:r>
      <w:r w:rsidRPr="0093544A">
        <w:rPr>
          <w:rFonts w:ascii="Verdana" w:eastAsia="Calibri" w:hAnsi="Verdana" w:cs="Arial"/>
        </w:rPr>
        <w:t xml:space="preserve">. </w:t>
      </w:r>
    </w:p>
    <w:p w14:paraId="2FB6E379" w14:textId="77777777" w:rsidR="00E84A1E" w:rsidRPr="00EA41DB" w:rsidRDefault="00E84A1E" w:rsidP="00E84A1E">
      <w:pPr>
        <w:spacing w:after="0" w:line="276" w:lineRule="auto"/>
        <w:ind w:firstLine="709"/>
        <w:jc w:val="both"/>
        <w:rPr>
          <w:rFonts w:ascii="Verdana" w:eastAsia="Calibri" w:hAnsi="Verdana" w:cs="Arial"/>
          <w:bCs/>
          <w:lang w:val="es-ES" w:eastAsia="es-ES_tradnl"/>
        </w:rPr>
      </w:pPr>
      <w:r w:rsidRPr="00EA41DB">
        <w:rPr>
          <w:rFonts w:ascii="Verdana" w:eastAsia="Calibri" w:hAnsi="Verdana" w:cs="Arial"/>
          <w:bCs/>
          <w:lang w:val="es-ES" w:eastAsia="es-ES_tradnl"/>
        </w:rPr>
        <w:t xml:space="preserve">Justamente, la experiencia </w:t>
      </w:r>
      <w:r w:rsidRPr="00EA41DB">
        <w:rPr>
          <w:rFonts w:ascii="Verdana" w:eastAsia="Calibri" w:hAnsi="Verdana" w:cs="Arial"/>
          <w:bCs/>
          <w:lang w:eastAsia="es-ES_tradnl"/>
        </w:rPr>
        <w:t xml:space="preserve">constituye uno de los requisitos habilitantes y se deriva de los contratos que el proponente ha celebrado y ejecutado con distintos contratantes, sin que la naturaleza pública o privada de estos sea determinante. Su verificación se realiza a través del </w:t>
      </w:r>
      <w:r w:rsidRPr="00EA41DB">
        <w:rPr>
          <w:rFonts w:ascii="Verdana" w:eastAsia="Calibri" w:hAnsi="Verdana" w:cs="Arial"/>
          <w:lang w:eastAsia="es-ES_tradnl"/>
        </w:rPr>
        <w:t>RUP</w:t>
      </w:r>
      <w:r w:rsidRPr="00EA41DB">
        <w:rPr>
          <w:rFonts w:ascii="Verdana" w:eastAsia="Calibri" w:hAnsi="Verdana" w:cs="Arial"/>
          <w:bCs/>
          <w:lang w:eastAsia="es-ES_tradnl"/>
        </w:rPr>
        <w:t>, cuando este sea exigible conforme a la ley.</w:t>
      </w:r>
      <w:r w:rsidRPr="00EA41DB">
        <w:rPr>
          <w:rFonts w:ascii="Verdana" w:eastAsia="Calibri" w:hAnsi="Verdana" w:cs="Arial"/>
          <w:bCs/>
          <w:lang w:val="es-ES" w:eastAsia="es-ES_tradnl"/>
        </w:rPr>
        <w:t xml:space="preserve"> El artículo 6 de la Ley 1150 de 2007 dispone que los requisitos habilitantes antes mencionados, entre ellos la experiencia, se acreditan mediante el RUP, el cual:</w:t>
      </w:r>
    </w:p>
    <w:p w14:paraId="1641659D" w14:textId="77777777" w:rsidR="00E84A1E" w:rsidRPr="00EA41DB" w:rsidRDefault="00E84A1E" w:rsidP="00E84A1E">
      <w:pPr>
        <w:spacing w:after="0" w:line="276" w:lineRule="auto"/>
        <w:ind w:firstLine="708"/>
        <w:jc w:val="both"/>
        <w:rPr>
          <w:rFonts w:ascii="Verdana" w:eastAsia="Calibri" w:hAnsi="Verdana" w:cs="Arial"/>
          <w:bCs/>
          <w:lang w:val="es-ES" w:eastAsia="es-ES_tradnl"/>
        </w:rPr>
      </w:pPr>
    </w:p>
    <w:p w14:paraId="65E3E48A" w14:textId="77777777" w:rsidR="00E84A1E" w:rsidRPr="00ED3643" w:rsidRDefault="00E84A1E" w:rsidP="00E84A1E">
      <w:pPr>
        <w:spacing w:after="0" w:line="240" w:lineRule="auto"/>
        <w:ind w:left="720" w:right="709"/>
        <w:contextualSpacing/>
        <w:jc w:val="both"/>
        <w:rPr>
          <w:rFonts w:ascii="Verdana" w:eastAsia="Arial" w:hAnsi="Verdana" w:cs="Arial"/>
          <w:sz w:val="20"/>
          <w:szCs w:val="20"/>
          <w:lang w:val="es-ES"/>
        </w:rPr>
      </w:pPr>
      <w:r w:rsidRPr="00ED3643">
        <w:rPr>
          <w:rFonts w:ascii="Verdana" w:eastAsia="Arial" w:hAnsi="Verdana" w:cs="Arial"/>
          <w:sz w:val="20"/>
          <w:szCs w:val="20"/>
          <w:lang w:val="es-ES"/>
        </w:rPr>
        <w:t xml:space="preserve">“[...]será plena prueba de las circunstancias que en ella se hagan constar y que hayan sido </w:t>
      </w:r>
      <w:r w:rsidRPr="00ED3643">
        <w:rPr>
          <w:rFonts w:ascii="Verdana" w:eastAsia="Arial" w:hAnsi="Verdana" w:cs="Arial"/>
          <w:i/>
          <w:iCs/>
          <w:sz w:val="20"/>
          <w:szCs w:val="20"/>
          <w:lang w:val="es-ES"/>
        </w:rPr>
        <w:t>verificadas por las Cámaras de Comercio</w:t>
      </w:r>
      <w:r w:rsidRPr="00ED3643">
        <w:rPr>
          <w:rFonts w:ascii="Verdana" w:eastAsia="Arial" w:hAnsi="Verdana" w:cs="Arial"/>
          <w:sz w:val="20"/>
          <w:szCs w:val="20"/>
          <w:lang w:val="es-ES"/>
        </w:rPr>
        <w:t>. En tal sentido, la verificación de las condiciones establecidas en el numeral 1 del artículo 5 de la presente ley, se demostrará exclusivamente con el respectivo certificado del RUP en donde deberán constar dichas condiciones.</w:t>
      </w:r>
      <w:r w:rsidRPr="00ED3643">
        <w:rPr>
          <w:rFonts w:ascii="Verdana" w:hAnsi="Verdana"/>
          <w:sz w:val="20"/>
          <w:szCs w:val="20"/>
          <w:lang w:val="es-ES"/>
        </w:rPr>
        <w:t xml:space="preserve"> </w:t>
      </w:r>
      <w:r w:rsidRPr="00ED3643">
        <w:rPr>
          <w:rFonts w:ascii="Verdana" w:eastAsia="Arial" w:hAnsi="Verdana" w:cs="Arial"/>
          <w:sz w:val="20"/>
          <w:szCs w:val="20"/>
          <w:lang w:val="es-ES"/>
        </w:rPr>
        <w:t xml:space="preserve">En consecuencia, las entidades estatales en los procesos de contratación no podrán exigir, ni los proponentes aportar documentación que deba utilizarse para efectuar la inscripción en el registro. </w:t>
      </w:r>
      <w:r w:rsidRPr="00ED3643">
        <w:rPr>
          <w:rFonts w:ascii="Verdana" w:eastAsia="Arial" w:hAnsi="Verdana" w:cs="Arial"/>
          <w:i/>
          <w:iCs/>
          <w:sz w:val="20"/>
          <w:szCs w:val="20"/>
          <w:lang w:val="es-ES"/>
        </w:rPr>
        <w:t>No obstante, lo anterior, sólo en aquellos casos en que por las características del objeto a contratar se requiera la verificación de requisitos del proponente adicionales a los contenidos en el Registro, la entidad podrá hacer tal verificación en forma directa</w:t>
      </w:r>
      <w:r w:rsidRPr="00ED3643">
        <w:rPr>
          <w:rFonts w:ascii="Verdana" w:eastAsia="Arial" w:hAnsi="Verdana" w:cs="Arial"/>
          <w:sz w:val="20"/>
          <w:szCs w:val="20"/>
          <w:lang w:val="es-ES"/>
        </w:rPr>
        <w:t>”. [Énfasis fuera de texto]</w:t>
      </w:r>
    </w:p>
    <w:p w14:paraId="72C37E49" w14:textId="77777777" w:rsidR="00E84A1E" w:rsidRPr="00ED3643" w:rsidRDefault="00E84A1E" w:rsidP="00E84A1E">
      <w:pPr>
        <w:spacing w:after="0" w:line="276" w:lineRule="auto"/>
        <w:ind w:left="720" w:right="709"/>
        <w:jc w:val="both"/>
        <w:rPr>
          <w:rFonts w:ascii="Verdana" w:eastAsia="Arial" w:hAnsi="Verdana" w:cs="Arial"/>
          <w:lang w:val="es-ES"/>
        </w:rPr>
      </w:pPr>
    </w:p>
    <w:p w14:paraId="50D0B5E6" w14:textId="77777777" w:rsidR="00E84A1E" w:rsidRPr="00EA41DB" w:rsidRDefault="00E84A1E" w:rsidP="00E84A1E">
      <w:pPr>
        <w:spacing w:after="120" w:line="276" w:lineRule="auto"/>
        <w:ind w:firstLine="709"/>
        <w:jc w:val="both"/>
        <w:rPr>
          <w:rFonts w:ascii="Verdana" w:eastAsia="Calibri" w:hAnsi="Verdana" w:cs="Arial"/>
          <w:bCs/>
          <w:lang w:val="es-ES" w:eastAsia="es-ES_tradnl"/>
        </w:rPr>
      </w:pPr>
      <w:r w:rsidRPr="00EA41DB">
        <w:rPr>
          <w:rFonts w:ascii="Verdana" w:eastAsia="Calibri" w:hAnsi="Verdana" w:cs="Arial"/>
          <w:bCs/>
          <w:lang w:val="es-ES" w:eastAsia="es-ES_tradnl"/>
        </w:rPr>
        <w:t xml:space="preserve">De acuerdo con la norma en cita, el </w:t>
      </w:r>
      <w:r>
        <w:rPr>
          <w:rFonts w:ascii="Verdana" w:eastAsia="Calibri" w:hAnsi="Verdana" w:cs="Arial"/>
          <w:bCs/>
          <w:lang w:val="es-ES" w:eastAsia="es-ES_tradnl"/>
        </w:rPr>
        <w:t>RUP</w:t>
      </w:r>
      <w:r w:rsidRPr="00EA41DB">
        <w:rPr>
          <w:rFonts w:ascii="Verdana" w:eastAsia="Calibri" w:hAnsi="Verdana" w:cs="Arial"/>
          <w:bCs/>
          <w:lang w:val="es-ES" w:eastAsia="es-ES_tradnl"/>
        </w:rPr>
        <w:t xml:space="preserve"> constituye plena prueba de las condiciones que en él consten y que hayan sido verificadas por las </w:t>
      </w:r>
      <w:r>
        <w:rPr>
          <w:rFonts w:ascii="Verdana" w:eastAsia="Calibri" w:hAnsi="Verdana" w:cs="Arial"/>
          <w:bCs/>
          <w:lang w:val="es-ES" w:eastAsia="es-ES_tradnl"/>
        </w:rPr>
        <w:t>c</w:t>
      </w:r>
      <w:r w:rsidRPr="00EA41DB">
        <w:rPr>
          <w:rFonts w:ascii="Verdana" w:eastAsia="Calibri" w:hAnsi="Verdana" w:cs="Arial"/>
          <w:bCs/>
          <w:lang w:val="es-ES" w:eastAsia="es-ES_tradnl"/>
        </w:rPr>
        <w:t xml:space="preserve">ámaras de </w:t>
      </w:r>
      <w:r>
        <w:rPr>
          <w:rFonts w:ascii="Verdana" w:eastAsia="Calibri" w:hAnsi="Verdana" w:cs="Arial"/>
          <w:bCs/>
          <w:lang w:val="es-ES" w:eastAsia="es-ES_tradnl"/>
        </w:rPr>
        <w:t>c</w:t>
      </w:r>
      <w:r w:rsidRPr="00EA41DB">
        <w:rPr>
          <w:rFonts w:ascii="Verdana" w:eastAsia="Calibri" w:hAnsi="Verdana" w:cs="Arial"/>
          <w:bCs/>
          <w:lang w:val="es-ES" w:eastAsia="es-ES_tradnl"/>
        </w:rPr>
        <w:t xml:space="preserve">omercio. En consecuencia, la acreditación de los requisitos habilitantes </w:t>
      </w:r>
      <w:r w:rsidRPr="00EA41DB">
        <w:rPr>
          <w:rFonts w:ascii="Verdana" w:eastAsia="Calibri" w:hAnsi="Verdana" w:cs="Arial"/>
          <w:bCs/>
          <w:lang w:val="es-ES" w:eastAsia="es-ES_tradnl"/>
        </w:rPr>
        <w:lastRenderedPageBreak/>
        <w:t xml:space="preserve">previstos en el numeral 1 del artículo 5 de la ley —entre ellos, </w:t>
      </w:r>
      <w:r w:rsidRPr="00EA41DB">
        <w:rPr>
          <w:rFonts w:ascii="Verdana" w:eastAsia="Calibri" w:hAnsi="Verdana" w:cs="Arial"/>
          <w:bCs/>
          <w:i/>
          <w:iCs/>
          <w:lang w:val="es-ES" w:eastAsia="es-ES_tradnl"/>
        </w:rPr>
        <w:t>la experiencia</w:t>
      </w:r>
      <w:r w:rsidRPr="00EA41DB">
        <w:rPr>
          <w:rFonts w:ascii="Verdana" w:eastAsia="Calibri" w:hAnsi="Verdana" w:cs="Arial"/>
          <w:bCs/>
          <w:lang w:val="es-ES" w:eastAsia="es-ES_tradnl"/>
        </w:rPr>
        <w:t>, la capacidad jurídica, financiera y de organización— debe efectuarse exclusivamente mediante el certificado del RUP, en el cual deben figurar dichas condiciones.</w:t>
      </w:r>
    </w:p>
    <w:p w14:paraId="71DF0A4C" w14:textId="77777777" w:rsidR="00E84A1E" w:rsidRPr="0093544A" w:rsidRDefault="00E84A1E" w:rsidP="00E84A1E">
      <w:pPr>
        <w:spacing w:after="120" w:line="276" w:lineRule="auto"/>
        <w:ind w:firstLine="709"/>
        <w:jc w:val="both"/>
        <w:rPr>
          <w:rFonts w:ascii="Verdana" w:eastAsia="Calibri" w:hAnsi="Verdana" w:cs="Arial"/>
        </w:rPr>
      </w:pPr>
      <w:r w:rsidRPr="0093544A">
        <w:rPr>
          <w:rFonts w:ascii="Verdana" w:eastAsia="Calibri" w:hAnsi="Verdana" w:cs="Arial"/>
        </w:rPr>
        <w:t xml:space="preserve">En consecuencia, la norma establece que a las entidades les está prohibido exigir otros documentos para efectuar la inscripción en el registro, salvo lo dispuesto en el inciso 3 del numeral 6.1. del artículo 6 de la Ley 1150 de 2007, en el que se prevé que la entidad podrá verificar requisitos adicionales a los contenidos en el registro cuando se requiera en virtud de la naturaleza del objeto a contratar. La norma señala que solo en este último evento la entidad podrá hacer la verificación en forma directa, es decir, cuando por el objeto del contrato se requieran verificar requisitos adicionales a los contenidos en el registro.  </w:t>
      </w:r>
    </w:p>
    <w:p w14:paraId="149B0C55" w14:textId="77777777" w:rsidR="00E84A1E" w:rsidRDefault="00E84A1E" w:rsidP="00E84A1E">
      <w:pPr>
        <w:spacing w:after="120" w:line="276" w:lineRule="auto"/>
        <w:ind w:firstLine="709"/>
        <w:jc w:val="both"/>
        <w:rPr>
          <w:rFonts w:ascii="Verdana" w:eastAsia="Calibri" w:hAnsi="Verdana" w:cs="Arial"/>
        </w:rPr>
      </w:pPr>
      <w:r w:rsidRPr="0093544A">
        <w:rPr>
          <w:rFonts w:ascii="Verdana" w:eastAsia="Calibri" w:hAnsi="Verdana" w:cs="Arial"/>
        </w:rPr>
        <w:t>De lo anterior se concluye que la regla general es que la experiencia se acredite a través del RUP y, en consecuencia, la evaluación de la experiencia, como requisito habilitante, no puede ser realizada nuevamente por la entidad pública a partir de otros criterios distintos a los contenidos en el Registro Único de Proponentes.</w:t>
      </w:r>
      <w:r>
        <w:rPr>
          <w:rFonts w:ascii="Verdana" w:eastAsia="Calibri" w:hAnsi="Verdana" w:cs="Arial"/>
        </w:rPr>
        <w:t xml:space="preserve"> No obstante, existen procesos señalados en la norma donde no es exigible el RUP, principalmente en los procesos de mínima cuantía y contratación directa, entre otros. Allí la entidad realizará la verificación directa del cumplimiento de los requisitos habilitantes por los proponentes.</w:t>
      </w:r>
    </w:p>
    <w:p w14:paraId="1B34E323" w14:textId="77777777" w:rsidR="00E84A1E" w:rsidRPr="007F4296" w:rsidRDefault="00E84A1E" w:rsidP="00E84A1E">
      <w:pPr>
        <w:spacing w:after="120" w:line="276" w:lineRule="auto"/>
        <w:ind w:firstLine="709"/>
        <w:jc w:val="both"/>
        <w:rPr>
          <w:rFonts w:ascii="Verdana" w:eastAsia="Calibri" w:hAnsi="Verdana" w:cs="Arial"/>
          <w:lang w:eastAsia="es-ES_tradnl"/>
        </w:rPr>
      </w:pPr>
      <w:r w:rsidRPr="007F4296">
        <w:rPr>
          <w:rFonts w:ascii="Verdana" w:eastAsia="Calibri" w:hAnsi="Verdana" w:cs="Arial"/>
          <w:bCs/>
          <w:lang w:val="es-ES" w:eastAsia="es-ES_tradnl"/>
        </w:rPr>
        <w:t xml:space="preserve">En ese sentido, </w:t>
      </w:r>
      <w:r w:rsidRPr="007F4296">
        <w:rPr>
          <w:rFonts w:ascii="Verdana" w:eastAsia="Calibri" w:hAnsi="Verdana" w:cs="Arial"/>
          <w:bCs/>
          <w:lang w:eastAsia="es-ES_tradnl"/>
        </w:rPr>
        <w:t xml:space="preserve">el </w:t>
      </w:r>
      <w:r w:rsidRPr="007F4296">
        <w:rPr>
          <w:rFonts w:ascii="Verdana" w:eastAsia="Calibri" w:hAnsi="Verdana" w:cs="Arial"/>
          <w:lang w:eastAsia="es-ES_tradnl"/>
        </w:rPr>
        <w:t xml:space="preserve">RUP es el instrumento en el cual reposa la información relativa a las personas naturales y jurídicas interesadas en participar en los procedimientos de contratación que adelantan las entidades estatales. Su finalidad es consolidar en un único documento los aspectos relacionados con la </w:t>
      </w:r>
      <w:r w:rsidRPr="007F4296">
        <w:rPr>
          <w:rFonts w:ascii="Verdana" w:eastAsia="Calibri" w:hAnsi="Verdana" w:cs="Arial"/>
          <w:i/>
          <w:iCs/>
          <w:lang w:eastAsia="es-ES_tradnl"/>
        </w:rPr>
        <w:t>experiencia</w:t>
      </w:r>
      <w:r w:rsidRPr="007F4296">
        <w:rPr>
          <w:rFonts w:ascii="Verdana" w:eastAsia="Calibri" w:hAnsi="Verdana" w:cs="Arial"/>
          <w:lang w:eastAsia="es-ES_tradnl"/>
        </w:rPr>
        <w:t>, capacidad jurídica, técnica, financiera y organizacional de los posibles oferentes, con el propósito de facilitar la verificación de sus condiciones de idoneidad.</w:t>
      </w:r>
    </w:p>
    <w:p w14:paraId="56FA696A" w14:textId="77777777" w:rsidR="00E84A1E" w:rsidRPr="007F4296" w:rsidRDefault="00E84A1E" w:rsidP="00E84A1E">
      <w:pPr>
        <w:spacing w:after="0" w:line="276" w:lineRule="auto"/>
        <w:ind w:firstLine="708"/>
        <w:jc w:val="both"/>
        <w:rPr>
          <w:rFonts w:ascii="Verdana" w:eastAsia="Calibri" w:hAnsi="Verdana" w:cs="Arial"/>
          <w:lang w:eastAsia="es-ES_tradnl"/>
        </w:rPr>
      </w:pPr>
      <w:r w:rsidRPr="007F4296">
        <w:rPr>
          <w:rFonts w:ascii="Verdana" w:eastAsia="Calibri" w:hAnsi="Verdana" w:cs="Arial"/>
          <w:lang w:eastAsia="es-ES_tradnl"/>
        </w:rPr>
        <w:t>En línea con lo anterior, el Consejo de Estado ha precisado la naturaleza y finalidad del RUP en los siguientes términos:</w:t>
      </w:r>
    </w:p>
    <w:p w14:paraId="5FAAEE15" w14:textId="77777777" w:rsidR="00E84A1E" w:rsidRPr="007F4296" w:rsidRDefault="00E84A1E" w:rsidP="00E84A1E">
      <w:pPr>
        <w:spacing w:after="0" w:line="276" w:lineRule="auto"/>
        <w:ind w:firstLine="708"/>
        <w:jc w:val="both"/>
        <w:rPr>
          <w:rFonts w:ascii="Verdana" w:eastAsia="Calibri" w:hAnsi="Verdana" w:cs="Arial"/>
          <w:lang w:eastAsia="es-ES_tradnl"/>
        </w:rPr>
      </w:pPr>
    </w:p>
    <w:p w14:paraId="3B7C8F05" w14:textId="77777777" w:rsidR="00E84A1E" w:rsidRPr="00ED3643" w:rsidRDefault="00E84A1E" w:rsidP="00E84A1E">
      <w:pPr>
        <w:tabs>
          <w:tab w:val="left" w:pos="8505"/>
        </w:tabs>
        <w:spacing w:after="0" w:line="240" w:lineRule="auto"/>
        <w:ind w:left="709" w:right="709"/>
        <w:contextualSpacing/>
        <w:jc w:val="both"/>
        <w:rPr>
          <w:rFonts w:ascii="Verdana" w:hAnsi="Verdana" w:cs="Arial"/>
          <w:color w:val="000000" w:themeColor="text1"/>
          <w:sz w:val="20"/>
          <w:szCs w:val="20"/>
        </w:rPr>
      </w:pPr>
      <w:r w:rsidRPr="00ED3643">
        <w:rPr>
          <w:rFonts w:ascii="Verdana" w:eastAsia="Calibri" w:hAnsi="Verdana" w:cs="Arial"/>
          <w:sz w:val="20"/>
          <w:szCs w:val="20"/>
        </w:rPr>
        <w:t>“</w:t>
      </w:r>
      <w:r w:rsidRPr="00ED3643">
        <w:rPr>
          <w:rFonts w:ascii="Verdana" w:hAnsi="Verdana" w:cs="Arial"/>
          <w:color w:val="000000" w:themeColor="text1"/>
          <w:sz w:val="20"/>
          <w:szCs w:val="20"/>
        </w:rPr>
        <w:t xml:space="preserve">El Registro de Proponentes es un registro de creación legal en el cual se inscriben las personas naturales o jurídicas que aspiran a celebrar con entidades estatales contratos de obra, consultoría, suministro y compraventa de bienes muebles. Tiene como finalidad suministrar la información necesaria de un contratista inscrito, en lo relacionado con su </w:t>
      </w:r>
      <w:r w:rsidRPr="00ED3643">
        <w:rPr>
          <w:rFonts w:ascii="Verdana" w:hAnsi="Verdana" w:cs="Arial"/>
          <w:i/>
          <w:iCs/>
          <w:color w:val="000000" w:themeColor="text1"/>
          <w:sz w:val="20"/>
          <w:szCs w:val="20"/>
        </w:rPr>
        <w:t>experiencia</w:t>
      </w:r>
      <w:r w:rsidRPr="00ED3643">
        <w:rPr>
          <w:rFonts w:ascii="Verdana" w:hAnsi="Verdana" w:cs="Arial"/>
          <w:color w:val="000000" w:themeColor="text1"/>
          <w:sz w:val="20"/>
          <w:szCs w:val="20"/>
        </w:rPr>
        <w:t xml:space="preserve">, capacidad jurídica, capacidad técnica, capacidad de </w:t>
      </w:r>
      <w:r w:rsidRPr="00ED3643">
        <w:rPr>
          <w:rFonts w:ascii="Verdana" w:hAnsi="Verdana" w:cs="Arial"/>
          <w:color w:val="000000" w:themeColor="text1"/>
          <w:sz w:val="20"/>
          <w:szCs w:val="20"/>
        </w:rPr>
        <w:lastRenderedPageBreak/>
        <w:t xml:space="preserve">organización y capacidad financiera. En los términos del artículo 22 de la Ley 80 de 1993, todas las </w:t>
      </w:r>
      <w:r w:rsidRPr="00ED3643">
        <w:rPr>
          <w:rFonts w:ascii="Verdana" w:hAnsi="Verdana" w:cs="Arial"/>
          <w:i/>
          <w:iCs/>
          <w:color w:val="000000" w:themeColor="text1"/>
          <w:sz w:val="20"/>
          <w:szCs w:val="20"/>
        </w:rPr>
        <w:t>personas naturales</w:t>
      </w:r>
      <w:r w:rsidRPr="00ED3643">
        <w:rPr>
          <w:rFonts w:ascii="Verdana" w:hAnsi="Verdana" w:cs="Arial"/>
          <w:color w:val="000000" w:themeColor="text1"/>
          <w:sz w:val="20"/>
          <w:szCs w:val="20"/>
        </w:rPr>
        <w:t xml:space="preserve"> o jurídicas </w:t>
      </w:r>
      <w:r w:rsidRPr="00ED3643">
        <w:rPr>
          <w:rFonts w:ascii="Verdana" w:hAnsi="Verdana" w:cs="Arial"/>
          <w:i/>
          <w:iCs/>
          <w:color w:val="000000" w:themeColor="text1"/>
          <w:sz w:val="20"/>
          <w:szCs w:val="20"/>
        </w:rPr>
        <w:t>que aspiren a celebrar dichos contratos con las entidades estatales deberán inscribirse en el Registro de Proponentes de la Cámara de Comercio de su jurisdicción y deberán estar clasificadas y calificadas según lo dispuesto en esta norma</w:t>
      </w:r>
      <w:r w:rsidRPr="00ED3643">
        <w:rPr>
          <w:rFonts w:ascii="Verdana" w:hAnsi="Verdana" w:cs="Arial"/>
          <w:color w:val="000000" w:themeColor="text1"/>
          <w:sz w:val="20"/>
          <w:szCs w:val="20"/>
        </w:rPr>
        <w:t>”</w:t>
      </w:r>
      <w:r w:rsidRPr="00ED3643">
        <w:rPr>
          <w:rFonts w:ascii="Verdana" w:hAnsi="Verdana" w:cs="Arial"/>
          <w:color w:val="000000" w:themeColor="text1"/>
          <w:sz w:val="20"/>
          <w:szCs w:val="20"/>
          <w:vertAlign w:val="superscript"/>
        </w:rPr>
        <w:footnoteReference w:id="3"/>
      </w:r>
      <w:r w:rsidRPr="00ED3643">
        <w:rPr>
          <w:rFonts w:ascii="Verdana" w:hAnsi="Verdana" w:cs="Arial"/>
          <w:color w:val="000000" w:themeColor="text1"/>
          <w:sz w:val="20"/>
          <w:szCs w:val="20"/>
        </w:rPr>
        <w:t>.</w:t>
      </w:r>
      <w:r w:rsidRPr="00ED3643">
        <w:rPr>
          <w:rFonts w:ascii="Verdana" w:eastAsia="Arial" w:hAnsi="Verdana" w:cs="Arial"/>
          <w:sz w:val="20"/>
          <w:szCs w:val="20"/>
          <w:lang w:val="es-ES"/>
        </w:rPr>
        <w:t xml:space="preserve"> [Énfasis fuera de texto]</w:t>
      </w:r>
    </w:p>
    <w:p w14:paraId="3487822B" w14:textId="77777777" w:rsidR="00E84A1E" w:rsidRPr="007F4296" w:rsidRDefault="00E84A1E" w:rsidP="00E84A1E">
      <w:pPr>
        <w:tabs>
          <w:tab w:val="left" w:pos="8505"/>
        </w:tabs>
        <w:ind w:left="709" w:right="709"/>
        <w:contextualSpacing/>
        <w:jc w:val="both"/>
        <w:rPr>
          <w:rFonts w:ascii="Verdana" w:hAnsi="Verdana" w:cs="Arial"/>
          <w:color w:val="000000" w:themeColor="text1"/>
          <w:sz w:val="21"/>
          <w:szCs w:val="21"/>
        </w:rPr>
      </w:pPr>
    </w:p>
    <w:p w14:paraId="4D996CCF" w14:textId="77777777" w:rsidR="00E84A1E" w:rsidRPr="00297729" w:rsidRDefault="00E84A1E" w:rsidP="00E84A1E">
      <w:pPr>
        <w:spacing w:after="120" w:line="276" w:lineRule="auto"/>
        <w:ind w:firstLine="708"/>
        <w:jc w:val="both"/>
        <w:rPr>
          <w:rFonts w:ascii="Verdana" w:eastAsia="Calibri" w:hAnsi="Verdana" w:cs="Arial"/>
        </w:rPr>
      </w:pPr>
      <w:r w:rsidRPr="00297729">
        <w:rPr>
          <w:rFonts w:ascii="Verdana" w:eastAsia="Calibri" w:hAnsi="Verdana" w:cs="Arial"/>
        </w:rPr>
        <w:t xml:space="preserve">Ahora bien, </w:t>
      </w:r>
      <w:r>
        <w:rPr>
          <w:rFonts w:ascii="Verdana" w:hAnsi="Verdana" w:cs="Arial"/>
        </w:rPr>
        <w:t>e</w:t>
      </w:r>
      <w:r w:rsidRPr="00297729">
        <w:rPr>
          <w:rFonts w:ascii="Verdana" w:hAnsi="Verdana" w:cs="Arial"/>
        </w:rPr>
        <w:t>n relación con el requisito habilitante de experiencia, l</w:t>
      </w:r>
      <w:r w:rsidRPr="00297729">
        <w:rPr>
          <w:rFonts w:ascii="Verdana" w:eastAsia="Calibri" w:hAnsi="Verdana" w:cs="Arial"/>
        </w:rPr>
        <w:t xml:space="preserve">a Agencia Nacional de Contratación Pública – Colombia Compra Eficiente puso a disposición de los interesados del Sistema de Compra Pública el </w:t>
      </w:r>
      <w:r>
        <w:rPr>
          <w:rFonts w:ascii="Verdana" w:eastAsia="Calibri" w:hAnsi="Verdana" w:cs="Arial"/>
        </w:rPr>
        <w:t>“</w:t>
      </w:r>
      <w:r w:rsidRPr="00297729">
        <w:rPr>
          <w:rFonts w:ascii="Verdana" w:eastAsia="Calibri" w:hAnsi="Verdana" w:cs="Arial"/>
        </w:rPr>
        <w:t>Manual para determinar y verificar requisitos habilitantes en los Procesos de Contratación</w:t>
      </w:r>
      <w:r w:rsidRPr="00582263">
        <w:rPr>
          <w:rFonts w:ascii="Verdana" w:hAnsi="Verdana"/>
          <w:bCs/>
          <w:vertAlign w:val="superscript"/>
          <w:lang w:val="es-ES" w:eastAsia="es-ES_tradnl"/>
        </w:rPr>
        <w:footnoteReference w:id="4"/>
      </w:r>
      <w:r>
        <w:rPr>
          <w:rFonts w:ascii="Verdana" w:eastAsia="Calibri" w:hAnsi="Verdana" w:cs="Arial"/>
        </w:rPr>
        <w:t>”</w:t>
      </w:r>
      <w:r w:rsidRPr="00297729">
        <w:rPr>
          <w:rFonts w:ascii="Verdana" w:eastAsia="Calibri" w:hAnsi="Verdana" w:cs="Arial"/>
        </w:rPr>
        <w:t>. Allí se indica que la experiencia tiene un carácter personal, lo cual significa que esta se obtiene por la participación, con anterioridad, en actividades que le permitieron a alguien conocer cómo ejecutar determinado objeto contractual que la entidad ahora pretende desarrollar</w:t>
      </w:r>
      <w:r w:rsidRPr="00297729">
        <w:rPr>
          <w:rStyle w:val="Refdenotaalpie"/>
          <w:rFonts w:eastAsia="Calibri" w:cs="Arial"/>
        </w:rPr>
        <w:footnoteReference w:id="5"/>
      </w:r>
      <w:r w:rsidRPr="00297729">
        <w:rPr>
          <w:rFonts w:ascii="Verdana" w:eastAsia="Calibri" w:hAnsi="Verdana" w:cs="Arial"/>
        </w:rPr>
        <w:t>.</w:t>
      </w:r>
    </w:p>
    <w:p w14:paraId="11F01C17" w14:textId="77777777" w:rsidR="00E84A1E" w:rsidRDefault="00E84A1E" w:rsidP="00E84A1E">
      <w:pPr>
        <w:spacing w:after="120" w:line="276" w:lineRule="auto"/>
        <w:ind w:firstLine="708"/>
        <w:jc w:val="both"/>
        <w:rPr>
          <w:rFonts w:ascii="Verdana" w:eastAsia="Calibri" w:hAnsi="Verdana" w:cs="Arial"/>
        </w:rPr>
      </w:pPr>
      <w:r w:rsidRPr="0062140E">
        <w:rPr>
          <w:rFonts w:ascii="Verdana" w:eastAsia="Calibri" w:hAnsi="Verdana" w:cs="Arial"/>
        </w:rPr>
        <w:t xml:space="preserve">Lo anterior es determinante, porque no es posible adquirir la experiencia si en la práctica no se han ejecutado actividades previas. Precisamente, de la experiencia se deriva el conocimiento del proponente, lo cual es importante para la contratación pública, pues ello garantiza que no habrá improvisación ni mayores costos por errores o dificultades originadas en realizar una actividad </w:t>
      </w:r>
      <w:r w:rsidRPr="0062140E">
        <w:rPr>
          <w:rFonts w:ascii="Verdana" w:eastAsia="Calibri" w:hAnsi="Verdana" w:cs="Arial"/>
        </w:rPr>
        <w:lastRenderedPageBreak/>
        <w:t>por primera vez. Adicionalmente, el Manual explica que</w:t>
      </w:r>
      <w:r>
        <w:rPr>
          <w:rFonts w:ascii="Verdana" w:eastAsia="Calibri" w:hAnsi="Verdana" w:cs="Arial"/>
        </w:rPr>
        <w:t xml:space="preserve"> la experiencia</w:t>
      </w:r>
      <w:r w:rsidRPr="0062140E">
        <w:rPr>
          <w:rFonts w:ascii="Verdana" w:eastAsia="Calibri" w:hAnsi="Verdana" w:cs="Arial"/>
        </w:rPr>
        <w:t xml:space="preserve"> </w:t>
      </w:r>
      <w:r w:rsidRPr="00092F95">
        <w:rPr>
          <w:rFonts w:ascii="Verdana" w:eastAsia="Calibri" w:hAnsi="Verdana" w:cs="Arial"/>
        </w:rPr>
        <w:t>puede obtenerse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temporales.</w:t>
      </w:r>
      <w:r>
        <w:rPr>
          <w:rFonts w:ascii="Verdana" w:eastAsia="Calibri" w:hAnsi="Verdana" w:cs="Arial"/>
        </w:rPr>
        <w:t xml:space="preserve"> </w:t>
      </w:r>
      <w:r w:rsidRPr="0062140E">
        <w:rPr>
          <w:rFonts w:ascii="Verdana" w:eastAsia="Calibri" w:hAnsi="Verdana" w:cs="Arial"/>
        </w:rPr>
        <w:t xml:space="preserve">Por tratarse de esquemas asociativos, en estos casos la experiencia es compartida. </w:t>
      </w:r>
    </w:p>
    <w:p w14:paraId="43725E7F" w14:textId="77777777" w:rsidR="00E84A1E" w:rsidRDefault="00E84A1E" w:rsidP="00E84A1E">
      <w:pPr>
        <w:spacing w:after="0" w:line="276" w:lineRule="auto"/>
        <w:ind w:firstLine="709"/>
        <w:jc w:val="both"/>
        <w:rPr>
          <w:rFonts w:ascii="Verdana" w:eastAsia="Calibri" w:hAnsi="Verdana" w:cs="Arial"/>
        </w:rPr>
      </w:pPr>
      <w:r>
        <w:rPr>
          <w:rFonts w:ascii="Verdana" w:eastAsia="Calibri" w:hAnsi="Verdana" w:cs="Arial"/>
        </w:rPr>
        <w:t>Ahora bien</w:t>
      </w:r>
      <w:r w:rsidRPr="00593D01">
        <w:rPr>
          <w:rFonts w:ascii="Verdana" w:eastAsia="Calibri" w:hAnsi="Verdana" w:cs="Arial"/>
        </w:rPr>
        <w:t>,</w:t>
      </w:r>
      <w:r>
        <w:rPr>
          <w:rFonts w:ascii="Verdana" w:eastAsia="Calibri" w:hAnsi="Verdana" w:cs="Arial"/>
        </w:rPr>
        <w:t xml:space="preserve"> en atención a su consulta, debe señalarse que,</w:t>
      </w:r>
      <w:r w:rsidRPr="00593D01">
        <w:rPr>
          <w:rFonts w:ascii="Verdana" w:eastAsia="Calibri" w:hAnsi="Verdana" w:cs="Arial"/>
        </w:rPr>
        <w:t xml:space="preserve"> el artículo 2.2.1.1.1.5.3 del </w:t>
      </w:r>
      <w:r>
        <w:rPr>
          <w:rFonts w:ascii="Verdana" w:eastAsia="Calibri" w:hAnsi="Verdana" w:cs="Arial"/>
        </w:rPr>
        <w:t>d</w:t>
      </w:r>
      <w:r w:rsidRPr="00593D01">
        <w:rPr>
          <w:rFonts w:ascii="Verdana" w:eastAsia="Calibri" w:hAnsi="Verdana" w:cs="Arial"/>
        </w:rPr>
        <w:t xml:space="preserve">ecreto </w:t>
      </w:r>
      <w:r>
        <w:rPr>
          <w:rFonts w:ascii="Verdana" w:eastAsia="Calibri" w:hAnsi="Verdana" w:cs="Arial"/>
        </w:rPr>
        <w:t xml:space="preserve">1082 de 2015 </w:t>
      </w:r>
      <w:r w:rsidRPr="00593D01">
        <w:rPr>
          <w:rFonts w:ascii="Verdana" w:eastAsia="Calibri" w:hAnsi="Verdana" w:cs="Arial"/>
        </w:rPr>
        <w:t>dispone que las cámaras de comercio deben verificar y certificar, entre otros, el requisito habilitante de experiencia, en los siguientes términos:</w:t>
      </w:r>
      <w:bookmarkStart w:id="4" w:name="2.2.1.1.1.5.3.1"/>
      <w:bookmarkEnd w:id="4"/>
      <w:r>
        <w:rPr>
          <w:rFonts w:ascii="Verdana" w:eastAsia="Calibri" w:hAnsi="Verdana" w:cs="Arial"/>
        </w:rPr>
        <w:t xml:space="preserve"> </w:t>
      </w:r>
    </w:p>
    <w:p w14:paraId="159FF433" w14:textId="77777777" w:rsidR="00E84A1E" w:rsidRDefault="00E84A1E" w:rsidP="00E84A1E">
      <w:pPr>
        <w:spacing w:after="0" w:line="276" w:lineRule="auto"/>
        <w:ind w:firstLine="709"/>
        <w:jc w:val="both"/>
        <w:rPr>
          <w:rFonts w:ascii="Verdana" w:eastAsia="Calibri" w:hAnsi="Verdana" w:cs="Arial"/>
        </w:rPr>
      </w:pPr>
    </w:p>
    <w:p w14:paraId="3467F5A3" w14:textId="77777777" w:rsidR="00E84A1E" w:rsidRDefault="00E84A1E" w:rsidP="00E84A1E">
      <w:pPr>
        <w:spacing w:after="0" w:line="240" w:lineRule="auto"/>
        <w:ind w:left="709" w:right="709"/>
        <w:jc w:val="both"/>
        <w:rPr>
          <w:rFonts w:ascii="Verdana" w:eastAsia="Calibri" w:hAnsi="Verdana" w:cs="Arial"/>
          <w:sz w:val="20"/>
          <w:szCs w:val="20"/>
        </w:rPr>
      </w:pPr>
      <w:r>
        <w:rPr>
          <w:rFonts w:ascii="Verdana" w:eastAsia="Calibri" w:hAnsi="Verdana" w:cs="Arial"/>
          <w:sz w:val="20"/>
          <w:szCs w:val="20"/>
        </w:rPr>
        <w:t>“</w:t>
      </w:r>
      <w:r w:rsidRPr="00205483">
        <w:rPr>
          <w:rFonts w:ascii="Verdana" w:eastAsia="Calibri" w:hAnsi="Verdana" w:cs="Arial"/>
          <w:sz w:val="20"/>
          <w:szCs w:val="20"/>
        </w:rPr>
        <w:t>ARTÍCULO 2.2.1.1.1.5.3. Requisitos habilitantes contenidos en el RUP. Las cámaras de comercio, con base en la información a la que hace referencia el artículo anterior, deben verificar y certificar los siguientes requisitos habilitantes:</w:t>
      </w:r>
    </w:p>
    <w:p w14:paraId="13472F08" w14:textId="77777777" w:rsidR="00E84A1E" w:rsidRDefault="00E84A1E" w:rsidP="00E84A1E">
      <w:pPr>
        <w:spacing w:after="0" w:line="240" w:lineRule="auto"/>
        <w:ind w:left="709" w:right="709"/>
        <w:jc w:val="both"/>
        <w:rPr>
          <w:rFonts w:ascii="Verdana" w:eastAsia="Calibri" w:hAnsi="Verdana" w:cs="Arial"/>
          <w:sz w:val="20"/>
          <w:szCs w:val="20"/>
        </w:rPr>
      </w:pPr>
    </w:p>
    <w:p w14:paraId="2CE3FDF4" w14:textId="77777777" w:rsidR="00E84A1E" w:rsidRPr="00EA41DB" w:rsidRDefault="00E84A1E" w:rsidP="00E84A1E">
      <w:pPr>
        <w:spacing w:after="0" w:line="240" w:lineRule="auto"/>
        <w:ind w:left="709" w:right="709"/>
        <w:jc w:val="both"/>
        <w:rPr>
          <w:rFonts w:ascii="Verdana" w:eastAsia="Calibri" w:hAnsi="Verdana" w:cs="Arial"/>
          <w:sz w:val="20"/>
          <w:szCs w:val="20"/>
        </w:rPr>
      </w:pPr>
      <w:r w:rsidRPr="00EA41DB">
        <w:rPr>
          <w:rFonts w:ascii="Verdana" w:eastAsia="Calibri" w:hAnsi="Verdana" w:cs="Arial"/>
          <w:sz w:val="20"/>
          <w:szCs w:val="20"/>
        </w:rPr>
        <w:t>1. Experiencia - Los contratos celebrados por el interesado para cada uno de los bienes, obras y servicios que ofrecerá a las Entidades Estatales, identificados con el Clasificador de Bienes y Servicios en el tercer nivel y su valor expresado en SMMLV.</w:t>
      </w:r>
    </w:p>
    <w:p w14:paraId="41924E62" w14:textId="77777777" w:rsidR="00E84A1E" w:rsidRDefault="00E84A1E" w:rsidP="00E84A1E">
      <w:pPr>
        <w:spacing w:after="0" w:line="240" w:lineRule="auto"/>
        <w:ind w:left="709" w:right="709"/>
        <w:jc w:val="both"/>
        <w:rPr>
          <w:rFonts w:ascii="Verdana" w:eastAsia="Calibri" w:hAnsi="Verdana" w:cs="Arial"/>
          <w:sz w:val="20"/>
          <w:szCs w:val="20"/>
        </w:rPr>
      </w:pPr>
    </w:p>
    <w:p w14:paraId="24D5F027" w14:textId="77777777" w:rsidR="00E84A1E" w:rsidRPr="00EA41DB" w:rsidRDefault="00E84A1E" w:rsidP="00E84A1E">
      <w:pPr>
        <w:spacing w:after="0" w:line="240" w:lineRule="auto"/>
        <w:ind w:left="709" w:right="709"/>
        <w:jc w:val="both"/>
        <w:rPr>
          <w:rFonts w:ascii="Verdana" w:eastAsia="Calibri" w:hAnsi="Verdana" w:cs="Arial"/>
          <w:sz w:val="20"/>
          <w:szCs w:val="20"/>
        </w:rPr>
      </w:pPr>
      <w:r w:rsidRPr="00EA41DB">
        <w:rPr>
          <w:rFonts w:ascii="Verdana" w:eastAsia="Calibri" w:hAnsi="Verdana" w:cs="Arial"/>
          <w:sz w:val="20"/>
          <w:szCs w:val="20"/>
        </w:rPr>
        <w:t>Los contratos celebrados por consorcios, uniones temporales y sociedades en las cuales el interesado tenga o haya tenido participación, para cada uno de los bienes, obras y servicios que ofrecerá a las Entidades Estatales, identificados con el Clasificador de Bienes y Servicios en el tercer nivel y su valor expresado en SMMLV.</w:t>
      </w:r>
    </w:p>
    <w:p w14:paraId="3E6AC6E2" w14:textId="77777777" w:rsidR="00E84A1E" w:rsidRDefault="00E84A1E" w:rsidP="00E84A1E">
      <w:pPr>
        <w:spacing w:after="0" w:line="240" w:lineRule="auto"/>
        <w:ind w:left="709" w:right="709"/>
        <w:jc w:val="both"/>
        <w:rPr>
          <w:rFonts w:ascii="Verdana" w:eastAsia="Calibri" w:hAnsi="Verdana" w:cs="Arial"/>
          <w:sz w:val="20"/>
          <w:szCs w:val="20"/>
        </w:rPr>
      </w:pPr>
      <w:r w:rsidRPr="00EA41DB">
        <w:rPr>
          <w:rFonts w:ascii="Verdana" w:eastAsia="Calibri" w:hAnsi="Verdana" w:cs="Arial"/>
          <w:sz w:val="20"/>
          <w:szCs w:val="20"/>
        </w:rPr>
        <w:t>(…)</w:t>
      </w:r>
      <w:r>
        <w:rPr>
          <w:rFonts w:ascii="Verdana" w:eastAsia="Calibri" w:hAnsi="Verdana" w:cs="Arial"/>
          <w:sz w:val="20"/>
          <w:szCs w:val="20"/>
        </w:rPr>
        <w:t>”.</w:t>
      </w:r>
    </w:p>
    <w:p w14:paraId="215CA737" w14:textId="77777777" w:rsidR="00E84A1E" w:rsidRPr="00767CA0" w:rsidRDefault="00E84A1E" w:rsidP="00E84A1E">
      <w:pPr>
        <w:spacing w:after="0" w:line="276" w:lineRule="auto"/>
        <w:ind w:left="709" w:right="709"/>
        <w:jc w:val="both"/>
        <w:rPr>
          <w:rFonts w:ascii="Verdana" w:eastAsia="Calibri" w:hAnsi="Verdana" w:cs="Arial"/>
        </w:rPr>
      </w:pPr>
    </w:p>
    <w:p w14:paraId="7A87BE05" w14:textId="77777777" w:rsidR="00E84A1E" w:rsidRDefault="00E84A1E" w:rsidP="00E84A1E">
      <w:pPr>
        <w:spacing w:after="120" w:line="276" w:lineRule="auto"/>
        <w:ind w:firstLine="708"/>
        <w:jc w:val="both"/>
        <w:rPr>
          <w:rFonts w:ascii="Verdana" w:eastAsia="Calibri" w:hAnsi="Verdana" w:cs="Arial"/>
        </w:rPr>
      </w:pPr>
      <w:r w:rsidRPr="00290AEC">
        <w:rPr>
          <w:rFonts w:ascii="Verdana" w:eastAsia="Calibri" w:hAnsi="Verdana" w:cs="Arial"/>
        </w:rPr>
        <w:t>En consecuencia, el artículo 2.2.1.1.1.5.3 del Decreto 1082 de 2015 establece que las cámaras de comercio verifican y certifican los requisitos habilitantes en el RUP. En cuanto a la experiencia, esta se acredita con los contratos ejecutados por el proponente —incluidos los realizados en consorcios, uniones temporales o sociedades—, clasificados por bienes, obras o servicios y expresados en SMMLV</w:t>
      </w:r>
      <w:r>
        <w:rPr>
          <w:rFonts w:ascii="Verdana" w:eastAsia="Calibri" w:hAnsi="Verdana" w:cs="Arial"/>
        </w:rPr>
        <w:t>.</w:t>
      </w:r>
    </w:p>
    <w:p w14:paraId="4491CC3D" w14:textId="77777777" w:rsidR="00E84A1E" w:rsidRDefault="00E84A1E" w:rsidP="00E84A1E">
      <w:pPr>
        <w:spacing w:after="120" w:line="276" w:lineRule="auto"/>
        <w:ind w:firstLine="708"/>
        <w:jc w:val="both"/>
        <w:rPr>
          <w:rFonts w:ascii="Verdana" w:eastAsia="Calibri" w:hAnsi="Verdana" w:cs="Arial"/>
        </w:rPr>
      </w:pPr>
      <w:r w:rsidRPr="00B64A80">
        <w:rPr>
          <w:rFonts w:ascii="Verdana" w:eastAsia="Calibri" w:hAnsi="Verdana" w:cs="Arial"/>
        </w:rPr>
        <w:t xml:space="preserve">En este sentido, dichas entidades verifican la información relacionada con la capacidad jurídica, la experiencia, la capacidad financiera y la capacidad de organización del proponente. Para ello, el interesado debe aportar, entre otros, los documentos que acrediten su existencia y representación legal; los </w:t>
      </w:r>
      <w:r w:rsidRPr="00B64A80">
        <w:rPr>
          <w:rFonts w:ascii="Verdana" w:eastAsia="Calibri" w:hAnsi="Verdana" w:cs="Arial"/>
        </w:rPr>
        <w:lastRenderedPageBreak/>
        <w:t xml:space="preserve">certificados de experiencia en la ejecución de contratos, expedidos por terceros o, en su defecto, copias de </w:t>
      </w:r>
      <w:proofErr w:type="gramStart"/>
      <w:r w:rsidRPr="00B64A80">
        <w:rPr>
          <w:rFonts w:ascii="Verdana" w:eastAsia="Calibri" w:hAnsi="Verdana" w:cs="Arial"/>
        </w:rPr>
        <w:t>los mismos</w:t>
      </w:r>
      <w:proofErr w:type="gramEnd"/>
      <w:r w:rsidRPr="00B64A80">
        <w:rPr>
          <w:rFonts w:ascii="Verdana" w:eastAsia="Calibri" w:hAnsi="Verdana" w:cs="Arial"/>
        </w:rPr>
        <w:t xml:space="preserve">; los estados financieros y demás información contable necesaria para determinar su capacidad financiera; y los datos requeridos para establecer su capacidad organizacional. </w:t>
      </w:r>
    </w:p>
    <w:p w14:paraId="285514E8" w14:textId="77777777" w:rsidR="00E84A1E" w:rsidRPr="009D05D3" w:rsidRDefault="00E84A1E" w:rsidP="00E84A1E">
      <w:pPr>
        <w:spacing w:after="120" w:line="276" w:lineRule="auto"/>
        <w:ind w:firstLine="708"/>
        <w:jc w:val="both"/>
        <w:rPr>
          <w:rFonts w:ascii="Verdana" w:eastAsia="Calibri" w:hAnsi="Verdana" w:cs="Arial"/>
        </w:rPr>
      </w:pPr>
      <w:r w:rsidRPr="00B64A80">
        <w:rPr>
          <w:rFonts w:ascii="Verdana" w:eastAsia="Calibri" w:hAnsi="Verdana" w:cs="Arial"/>
        </w:rPr>
        <w:t>Esta verificación otorga al certificado del RUP el carácter de plena prueba respecto de las condiciones allí consignadas, las cuales serán las únicas que, por regla general, pueden ser exigidas por las entidades estatales en los procesos de contratación.</w:t>
      </w:r>
    </w:p>
    <w:p w14:paraId="630FCC77" w14:textId="77777777" w:rsidR="00E84A1E" w:rsidRDefault="00E84A1E" w:rsidP="00E84A1E">
      <w:pPr>
        <w:spacing w:after="120" w:line="276" w:lineRule="auto"/>
        <w:ind w:firstLine="709"/>
        <w:jc w:val="both"/>
        <w:rPr>
          <w:rFonts w:ascii="Verdana" w:eastAsia="Calibri" w:hAnsi="Verdana" w:cs="Arial"/>
        </w:rPr>
      </w:pPr>
      <w:r>
        <w:rPr>
          <w:rFonts w:ascii="Verdana" w:eastAsia="Calibri" w:hAnsi="Verdana" w:cs="Arial"/>
          <w:bCs/>
          <w:lang w:eastAsia="es-ES_tradnl"/>
        </w:rPr>
        <w:t xml:space="preserve">En consecuencia, para determinar la validez de la experiencia aportada debe atenderse lo dispuesto en </w:t>
      </w:r>
      <w:r>
        <w:rPr>
          <w:rFonts w:ascii="Verdana" w:eastAsia="Calibri" w:hAnsi="Verdana" w:cs="Arial"/>
        </w:rPr>
        <w:t>el</w:t>
      </w:r>
      <w:r w:rsidRPr="00FA70BB">
        <w:rPr>
          <w:rFonts w:ascii="Verdana" w:eastAsia="Calibri" w:hAnsi="Verdana" w:cs="Arial"/>
        </w:rPr>
        <w:t xml:space="preserve"> artículo 2.2.1.1.1.5.2, numeral 2.5</w:t>
      </w:r>
      <w:r w:rsidRPr="00FA70BB">
        <w:rPr>
          <w:rStyle w:val="Refdenotaalpie"/>
          <w:rFonts w:eastAsia="Calibri" w:cs="Arial"/>
        </w:rPr>
        <w:footnoteReference w:id="6"/>
      </w:r>
      <w:r w:rsidRPr="00FA70BB">
        <w:rPr>
          <w:rFonts w:ascii="Verdana" w:eastAsia="Calibri" w:hAnsi="Verdana" w:cs="Arial"/>
        </w:rPr>
        <w:t xml:space="preserve"> </w:t>
      </w:r>
      <w:r>
        <w:rPr>
          <w:rFonts w:ascii="Verdana" w:eastAsia="Calibri" w:hAnsi="Verdana" w:cs="Arial"/>
        </w:rPr>
        <w:t xml:space="preserve">del </w:t>
      </w:r>
      <w:r w:rsidRPr="00FA70BB">
        <w:rPr>
          <w:rFonts w:ascii="Verdana" w:eastAsia="Calibri" w:hAnsi="Verdana" w:cs="Arial"/>
        </w:rPr>
        <w:t xml:space="preserve">Decreto 1082 de 2015, </w:t>
      </w:r>
      <w:r>
        <w:rPr>
          <w:rFonts w:ascii="Verdana" w:eastAsia="Calibri" w:hAnsi="Verdana" w:cs="Arial"/>
        </w:rPr>
        <w:t xml:space="preserve">que </w:t>
      </w:r>
      <w:r w:rsidRPr="00FA70BB">
        <w:rPr>
          <w:rFonts w:ascii="Verdana" w:eastAsia="Calibri" w:hAnsi="Verdana" w:cs="Arial"/>
        </w:rPr>
        <w:t>señala</w:t>
      </w:r>
      <w:r>
        <w:rPr>
          <w:rFonts w:ascii="Verdana" w:eastAsia="Calibri" w:hAnsi="Verdana" w:cs="Arial"/>
        </w:rPr>
        <w:t>:</w:t>
      </w:r>
      <w:r w:rsidRPr="00FA70BB">
        <w:rPr>
          <w:rFonts w:ascii="Verdana" w:eastAsia="Calibri" w:hAnsi="Verdana" w:cs="Arial"/>
        </w:rPr>
        <w:t xml:space="preserve"> la persona jurídica se registrará aportando los certificados de la experiencia en la provisión de los bienes, obras y servicios que ofrecerá a las entidades estatales, </w:t>
      </w:r>
      <w:r w:rsidRPr="00026E4C">
        <w:rPr>
          <w:rFonts w:ascii="Verdana" w:eastAsia="Calibri" w:hAnsi="Verdana" w:cs="Arial"/>
          <w:i/>
          <w:iCs/>
        </w:rPr>
        <w:t>los cuales deben ser expedidos por terceros que hayan recibido tales bienes, obras o servicios</w:t>
      </w:r>
      <w:r w:rsidRPr="00FA70BB">
        <w:rPr>
          <w:rFonts w:ascii="Verdana" w:eastAsia="Calibri" w:hAnsi="Verdana" w:cs="Arial"/>
        </w:rPr>
        <w:t xml:space="preserve">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 </w:t>
      </w:r>
    </w:p>
    <w:p w14:paraId="7023D64E" w14:textId="77777777" w:rsidR="00E84A1E" w:rsidRDefault="00E84A1E" w:rsidP="00E84A1E">
      <w:pPr>
        <w:spacing w:before="120" w:after="120" w:line="276" w:lineRule="auto"/>
        <w:ind w:firstLine="709"/>
        <w:jc w:val="both"/>
        <w:rPr>
          <w:rFonts w:ascii="Verdana" w:eastAsia="Calibri" w:hAnsi="Verdana" w:cs="Arial"/>
        </w:rPr>
      </w:pPr>
      <w:r w:rsidRPr="00ED7CE7">
        <w:rPr>
          <w:rFonts w:ascii="Verdana" w:eastAsia="Calibri" w:hAnsi="Verdana" w:cs="Arial"/>
        </w:rPr>
        <w:t xml:space="preserve">En este contexto, </w:t>
      </w:r>
      <w:r w:rsidRPr="00921447">
        <w:rPr>
          <w:rFonts w:ascii="Verdana" w:eastAsia="Calibri" w:hAnsi="Verdana" w:cs="Arial"/>
        </w:rPr>
        <w:t>es importante precisar que la función de las cámaras de comercio se limita a una verificación formal y objetiva de la información aportada, sin que les corresponda realizar valoraciones subjetivas sobre la calidad o idoneidad de la experiencia. Así mismo, la experiencia inscrita en el RUP constituye el referente válido para acreditar este requisito habilitante ante las entidades estatales, quienes, por regla general, deben ceñirse a la información allí certificada, sin perjuicio de las facultades de verificación y control que les asisten durante los procesos de contratación.</w:t>
      </w:r>
    </w:p>
    <w:p w14:paraId="29E16FD0" w14:textId="77777777" w:rsidR="00E84A1E" w:rsidRPr="00767CA0" w:rsidRDefault="00E84A1E" w:rsidP="00E84A1E">
      <w:pPr>
        <w:spacing w:after="120" w:line="276" w:lineRule="auto"/>
        <w:ind w:firstLine="708"/>
        <w:jc w:val="both"/>
        <w:rPr>
          <w:rFonts w:ascii="Verdana" w:eastAsia="Times New Roman" w:hAnsi="Verdana" w:cs="Times New Roman"/>
          <w:lang w:eastAsia="es-ES_tradnl"/>
        </w:rPr>
      </w:pPr>
      <w:r w:rsidRPr="0021170A">
        <w:rPr>
          <w:rFonts w:ascii="Verdana" w:eastAsia="Calibri" w:hAnsi="Verdana" w:cs="Arial"/>
        </w:rPr>
        <w:lastRenderedPageBreak/>
        <w:t xml:space="preserve">En todo caso se debe recordar que, </w:t>
      </w:r>
      <w:r>
        <w:rPr>
          <w:rFonts w:ascii="Verdana" w:eastAsia="Times New Roman" w:hAnsi="Verdana" w:cs="Times New Roman"/>
          <w:lang w:eastAsia="es-ES_tradnl"/>
        </w:rPr>
        <w:t>e</w:t>
      </w:r>
      <w:r w:rsidRPr="00767CA0">
        <w:rPr>
          <w:rFonts w:ascii="Verdana" w:eastAsia="Times New Roman" w:hAnsi="Verdana" w:cs="Times New Roman"/>
          <w:lang w:eastAsia="es-ES_tradnl"/>
        </w:rPr>
        <w:t>l artículo 6.3 de la Ley 1150 de 2007 regula la impugnación del acto de inscripción de información en el RUP, para que cualquier persona presente recurso de reposición durante los diez (10) días hábiles siguientes a su publicación, tiempo después del cual el acto administrativo adquiere firmeza y será oponible a terceros, adquiriendo su presunción de legalidad, siempre que durante el término indicado no se presenten recursos. Si ocurre lo último, para que el acto de inscripción o renovación quede en firme, o que la actualización de la nueva información adquiera firmeza, será necesario que se resuelvan dichos recursos. En efecto, las normas que regulan las anteriores actuaciones deben complementarse en lo no regulado en el artículo 6 de la Ley 1150 de 2007, con las disposiciones del Código de procedimiento Administrativo y de lo Contencioso Administrativo –CPACA–, entre las que se encuentran los artículos 87 a 89, en virtud de lo establecido en el artículo 2 del mismo Código</w:t>
      </w:r>
      <w:r>
        <w:rPr>
          <w:rFonts w:ascii="Verdana" w:eastAsia="Times New Roman" w:hAnsi="Verdana" w:cs="Times New Roman"/>
          <w:lang w:eastAsia="es-ES_tradnl"/>
        </w:rPr>
        <w:t>.</w:t>
      </w:r>
    </w:p>
    <w:p w14:paraId="488B539B" w14:textId="77777777" w:rsidR="00E84A1E" w:rsidRPr="009111FE" w:rsidRDefault="00E84A1E" w:rsidP="00E84A1E">
      <w:pPr>
        <w:spacing w:before="120" w:after="120" w:line="276" w:lineRule="auto"/>
        <w:ind w:firstLine="709"/>
        <w:jc w:val="both"/>
        <w:rPr>
          <w:rFonts w:ascii="Verdana" w:eastAsia="Calibri" w:hAnsi="Verdana" w:cs="Arial"/>
        </w:rPr>
      </w:pPr>
      <w:r w:rsidRPr="009111FE">
        <w:rPr>
          <w:rFonts w:ascii="Verdana" w:eastAsia="Calibri" w:hAnsi="Verdana" w:cs="Arial"/>
        </w:rPr>
        <w:t>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EGCAP.</w:t>
      </w:r>
    </w:p>
    <w:p w14:paraId="2413415E" w14:textId="77777777" w:rsidR="00E84A1E" w:rsidRPr="006E57E6" w:rsidRDefault="00E84A1E" w:rsidP="00E84A1E">
      <w:pPr>
        <w:spacing w:before="120" w:after="0" w:line="276" w:lineRule="auto"/>
        <w:ind w:firstLine="709"/>
        <w:jc w:val="both"/>
        <w:rPr>
          <w:rFonts w:ascii="Verdana" w:eastAsia="Calibri" w:hAnsi="Verdana" w:cs="Arial"/>
        </w:rPr>
      </w:pPr>
      <w:r w:rsidRPr="006E57E6">
        <w:rPr>
          <w:rStyle w:val="s15"/>
          <w:rFonts w:ascii="Verdana" w:hAnsi="Verdana"/>
          <w:color w:val="000000"/>
        </w:rPr>
        <w:t>Al margen de la explicación precedente debe advertirse que el análisis requerido para resolver problemas específicos en torno a la gestión contractual debe ser realizado por quienes tengan interés en ello.</w:t>
      </w:r>
      <w:r w:rsidRPr="006E57E6">
        <w:rPr>
          <w:rStyle w:val="apple-converted-space"/>
          <w:rFonts w:ascii="Verdana" w:hAnsi="Verdana"/>
          <w:color w:val="000000"/>
        </w:rPr>
        <w:t> </w:t>
      </w:r>
      <w:r w:rsidRPr="006E57E6">
        <w:rPr>
          <w:rStyle w:val="s15"/>
          <w:rFonts w:ascii="Verdana" w:hAnsi="Verdana"/>
          <w:color w:val="000000"/>
        </w:rPr>
        <w:t>Por lo anterior, previo</w:t>
      </w:r>
      <w:r w:rsidRPr="006E57E6">
        <w:rPr>
          <w:rStyle w:val="apple-converted-space"/>
          <w:rFonts w:ascii="Verdana" w:hAnsi="Verdana"/>
          <w:color w:val="000000"/>
        </w:rPr>
        <w:t> </w:t>
      </w:r>
      <w:r w:rsidRPr="006E57E6">
        <w:rPr>
          <w:rStyle w:val="s15"/>
          <w:rFonts w:ascii="Verdana" w:hAnsi="Verdana"/>
          <w:color w:val="000000"/>
        </w:rPr>
        <w:t xml:space="preserve">concepto de sus asesores, la solución de situaciones particulares corresponde a los interesados adoptar la decisión correspondiente y, en caso de conflicto, a las autoridades judiciales, fiscales y disciplinarias. Así, cada partícipe del Sistema de Compra Pública definirá la forma de adelantar su gestión contractual, sin que sea atribución de Colombia Compra Eficiente validar sus </w:t>
      </w:r>
      <w:r w:rsidRPr="006E57E6">
        <w:rPr>
          <w:rFonts w:ascii="Verdana" w:eastAsia="Calibri" w:hAnsi="Verdana" w:cs="Arial"/>
        </w:rPr>
        <w:t>actuaciones.</w:t>
      </w:r>
    </w:p>
    <w:bookmarkEnd w:id="2"/>
    <w:bookmarkEnd w:id="3"/>
    <w:p w14:paraId="11BF87BF" w14:textId="77777777" w:rsidR="00E84A1E" w:rsidRPr="005B31B3" w:rsidRDefault="00E84A1E" w:rsidP="00E84A1E">
      <w:pPr>
        <w:widowControl w:val="0"/>
        <w:autoSpaceDE w:val="0"/>
        <w:autoSpaceDN w:val="0"/>
        <w:spacing w:after="0" w:line="276" w:lineRule="auto"/>
        <w:jc w:val="both"/>
        <w:rPr>
          <w:rFonts w:ascii="Verdana" w:hAnsi="Verdana" w:cs="Arial"/>
          <w:lang w:eastAsia="es-ES"/>
        </w:rPr>
      </w:pPr>
    </w:p>
    <w:p w14:paraId="7BC760A2" w14:textId="77777777" w:rsidR="00E84A1E" w:rsidRPr="005B31B3" w:rsidRDefault="00E84A1E" w:rsidP="00E84A1E">
      <w:pPr>
        <w:tabs>
          <w:tab w:val="left" w:pos="142"/>
          <w:tab w:val="left" w:pos="284"/>
        </w:tabs>
        <w:spacing w:after="0" w:line="276" w:lineRule="auto"/>
        <w:rPr>
          <w:rFonts w:ascii="Verdana" w:eastAsia="Century Gothic" w:hAnsi="Verdana" w:cs="Century Gothic"/>
          <w:b/>
          <w:bCs/>
        </w:rPr>
      </w:pPr>
      <w:r w:rsidRPr="005B31B3">
        <w:rPr>
          <w:rFonts w:ascii="Verdana" w:eastAsia="Century Gothic" w:hAnsi="Verdana" w:cs="Century Gothic"/>
          <w:b/>
          <w:bCs/>
        </w:rPr>
        <w:t>4. Referencias normativas:</w:t>
      </w:r>
    </w:p>
    <w:p w14:paraId="2AD3142C" w14:textId="77777777" w:rsidR="00E84A1E" w:rsidRPr="005B31B3" w:rsidRDefault="00E84A1E" w:rsidP="00E84A1E">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84A1E" w:rsidRPr="005B31B3" w14:paraId="7037E9D2" w14:textId="77777777" w:rsidTr="000D5F23">
        <w:trPr>
          <w:trHeight w:val="870"/>
          <w:jc w:val="center"/>
        </w:trPr>
        <w:tc>
          <w:tcPr>
            <w:tcW w:w="8647" w:type="dxa"/>
          </w:tcPr>
          <w:p w14:paraId="7EB9B66B" w14:textId="77777777" w:rsidR="00E84A1E" w:rsidRPr="005B31B3" w:rsidRDefault="00E84A1E" w:rsidP="00E84A1E">
            <w:pPr>
              <w:widowControl w:val="0"/>
              <w:numPr>
                <w:ilvl w:val="0"/>
                <w:numId w:val="17"/>
              </w:numPr>
              <w:autoSpaceDE w:val="0"/>
              <w:autoSpaceDN w:val="0"/>
              <w:spacing w:line="276" w:lineRule="auto"/>
              <w:jc w:val="both"/>
              <w:rPr>
                <w:rFonts w:ascii="Verdana" w:hAnsi="Verdana" w:cs="Arial"/>
                <w:lang w:val="es-ES"/>
              </w:rPr>
            </w:pPr>
            <w:r w:rsidRPr="005B31B3">
              <w:rPr>
                <w:rFonts w:ascii="Verdana" w:hAnsi="Verdana" w:cs="Arial"/>
                <w:lang w:val="es-ES"/>
              </w:rPr>
              <w:lastRenderedPageBreak/>
              <w:t>Ley 1150 de 2007, artículos 5 y 6.</w:t>
            </w:r>
          </w:p>
          <w:p w14:paraId="3598304A" w14:textId="77777777" w:rsidR="00E84A1E" w:rsidRPr="005B31B3" w:rsidRDefault="00E84A1E" w:rsidP="00E84A1E">
            <w:pPr>
              <w:widowControl w:val="0"/>
              <w:numPr>
                <w:ilvl w:val="0"/>
                <w:numId w:val="17"/>
              </w:numPr>
              <w:autoSpaceDE w:val="0"/>
              <w:autoSpaceDN w:val="0"/>
              <w:spacing w:line="276" w:lineRule="auto"/>
              <w:jc w:val="both"/>
              <w:rPr>
                <w:rFonts w:ascii="Verdana" w:hAnsi="Verdana" w:cs="Arial"/>
                <w:lang w:val="es-ES"/>
              </w:rPr>
            </w:pPr>
            <w:r w:rsidRPr="005B31B3">
              <w:rPr>
                <w:rFonts w:ascii="Verdana" w:hAnsi="Verdana" w:cs="Arial"/>
                <w:lang w:val="es-ES"/>
              </w:rPr>
              <w:t>Decreto 1082 de 2015, artículos 2.2.1.1.1.5.1. y 2.2.1.1.1.5.2.</w:t>
            </w:r>
          </w:p>
          <w:p w14:paraId="2A8165D2" w14:textId="77777777" w:rsidR="00E84A1E" w:rsidRPr="005B31B3" w:rsidRDefault="00E84A1E" w:rsidP="00E84A1E">
            <w:pPr>
              <w:widowControl w:val="0"/>
              <w:numPr>
                <w:ilvl w:val="0"/>
                <w:numId w:val="17"/>
              </w:numPr>
              <w:autoSpaceDE w:val="0"/>
              <w:autoSpaceDN w:val="0"/>
              <w:spacing w:line="276" w:lineRule="auto"/>
              <w:jc w:val="both"/>
              <w:rPr>
                <w:rFonts w:ascii="Verdana" w:hAnsi="Verdana" w:cs="Arial"/>
                <w:lang w:val="es-ES"/>
              </w:rPr>
            </w:pPr>
            <w:r w:rsidRPr="005B31B3">
              <w:rPr>
                <w:rFonts w:ascii="Verdana" w:hAnsi="Verdana" w:cs="Arial"/>
              </w:rPr>
              <w:t xml:space="preserve">Consejo de Estado. Sección Tercera. Subsección B. Sentencia del 6 de junio de 2013. </w:t>
            </w:r>
            <w:proofErr w:type="spellStart"/>
            <w:r w:rsidRPr="005B31B3">
              <w:rPr>
                <w:rFonts w:ascii="Verdana" w:hAnsi="Verdana" w:cs="Arial"/>
              </w:rPr>
              <w:t>Exp</w:t>
            </w:r>
            <w:proofErr w:type="spellEnd"/>
            <w:r w:rsidRPr="005B31B3">
              <w:rPr>
                <w:rFonts w:ascii="Verdana" w:hAnsi="Verdana" w:cs="Arial"/>
              </w:rPr>
              <w:t>. 25151. C.P. Stella Conto Díaz del Castillo.</w:t>
            </w:r>
          </w:p>
          <w:p w14:paraId="412BE216" w14:textId="77777777" w:rsidR="00E84A1E" w:rsidRPr="005B31B3" w:rsidRDefault="00E84A1E" w:rsidP="00E84A1E">
            <w:pPr>
              <w:widowControl w:val="0"/>
              <w:numPr>
                <w:ilvl w:val="0"/>
                <w:numId w:val="17"/>
              </w:numPr>
              <w:autoSpaceDE w:val="0"/>
              <w:autoSpaceDN w:val="0"/>
              <w:spacing w:line="276" w:lineRule="auto"/>
              <w:jc w:val="both"/>
              <w:rPr>
                <w:rFonts w:ascii="Verdana" w:hAnsi="Verdana" w:cs="Arial"/>
                <w:lang w:val="es-ES"/>
              </w:rPr>
            </w:pPr>
            <w:r w:rsidRPr="005B31B3">
              <w:rPr>
                <w:rFonts w:ascii="Verdana" w:hAnsi="Verdana" w:cs="Arial"/>
                <w:lang w:val="es-ES"/>
              </w:rPr>
              <w:t xml:space="preserve">Consejo de Estado. Sección Tercera. Subsección A. Sentencia del 12 de febrero de 2014. </w:t>
            </w:r>
            <w:proofErr w:type="spellStart"/>
            <w:r w:rsidRPr="005B31B3">
              <w:rPr>
                <w:rFonts w:ascii="Verdana" w:hAnsi="Verdana" w:cs="Arial"/>
                <w:lang w:val="es-ES"/>
              </w:rPr>
              <w:t>Exp</w:t>
            </w:r>
            <w:proofErr w:type="spellEnd"/>
            <w:r w:rsidRPr="005B31B3">
              <w:rPr>
                <w:rFonts w:ascii="Verdana" w:hAnsi="Verdana" w:cs="Arial"/>
                <w:lang w:val="es-ES"/>
              </w:rPr>
              <w:t>. 31.753. C.P. Mauricio Fajardo Gómez.</w:t>
            </w:r>
          </w:p>
          <w:p w14:paraId="4B8D33B1" w14:textId="77777777" w:rsidR="00E84A1E" w:rsidRPr="005B31B3" w:rsidRDefault="00E84A1E" w:rsidP="00E84A1E">
            <w:pPr>
              <w:widowControl w:val="0"/>
              <w:numPr>
                <w:ilvl w:val="0"/>
                <w:numId w:val="17"/>
              </w:numPr>
              <w:autoSpaceDE w:val="0"/>
              <w:autoSpaceDN w:val="0"/>
              <w:spacing w:line="276" w:lineRule="auto"/>
              <w:jc w:val="both"/>
              <w:rPr>
                <w:rFonts w:ascii="Verdana" w:hAnsi="Verdana" w:cs="Arial"/>
                <w:lang w:val="es-ES"/>
              </w:rPr>
            </w:pPr>
            <w:r w:rsidRPr="005B31B3">
              <w:rPr>
                <w:rFonts w:ascii="Verdana" w:hAnsi="Verdana" w:cs="Arial"/>
                <w:lang w:val="es-ES"/>
              </w:rPr>
              <w:t>Consejo de Estado. Sala de Consulta y Servicio Civil. Consulta del 20 de mayo de 2010. Exp.1992. C. P. Enrique José Arboleda Perdomo</w:t>
            </w:r>
          </w:p>
          <w:p w14:paraId="0304F501" w14:textId="77777777" w:rsidR="00E84A1E" w:rsidRPr="005B31B3" w:rsidRDefault="00E84A1E" w:rsidP="00E84A1E">
            <w:pPr>
              <w:pStyle w:val="Prrafodelista"/>
              <w:numPr>
                <w:ilvl w:val="0"/>
                <w:numId w:val="17"/>
              </w:numPr>
              <w:spacing w:line="276" w:lineRule="auto"/>
              <w:contextualSpacing w:val="0"/>
              <w:jc w:val="both"/>
              <w:rPr>
                <w:rFonts w:ascii="Verdana" w:hAnsi="Verdana" w:cs="Arial"/>
                <w:color w:val="000000" w:themeColor="text1"/>
              </w:rPr>
            </w:pPr>
            <w:r w:rsidRPr="005B31B3">
              <w:rPr>
                <w:rFonts w:ascii="Verdana" w:hAnsi="Verdana" w:cs="Arial"/>
              </w:rPr>
              <w:t>DÁVILA VINUEZA, Luis Guillermo. Régimen jurídico de la contratación estatal. Tercera edición, Bogotá: Legis, 2016.</w:t>
            </w:r>
          </w:p>
        </w:tc>
      </w:tr>
    </w:tbl>
    <w:p w14:paraId="2C1221EB" w14:textId="77777777" w:rsidR="00E84A1E" w:rsidRPr="005B31B3" w:rsidRDefault="00E84A1E" w:rsidP="00E84A1E">
      <w:pPr>
        <w:widowControl w:val="0"/>
        <w:autoSpaceDE w:val="0"/>
        <w:autoSpaceDN w:val="0"/>
        <w:spacing w:after="0" w:line="276" w:lineRule="auto"/>
        <w:jc w:val="both"/>
        <w:rPr>
          <w:rFonts w:ascii="Verdana" w:hAnsi="Verdana" w:cs="Arial"/>
        </w:rPr>
      </w:pPr>
    </w:p>
    <w:p w14:paraId="4EABEBE4" w14:textId="77777777" w:rsidR="00E84A1E" w:rsidRPr="005B31B3" w:rsidRDefault="00E84A1E" w:rsidP="00E84A1E">
      <w:pPr>
        <w:tabs>
          <w:tab w:val="left" w:pos="142"/>
          <w:tab w:val="left" w:pos="284"/>
        </w:tabs>
        <w:spacing w:after="0" w:line="276" w:lineRule="auto"/>
        <w:jc w:val="both"/>
        <w:rPr>
          <w:rFonts w:ascii="Verdana" w:eastAsia="Century Gothic" w:hAnsi="Verdana" w:cs="Century Gothic"/>
          <w:b/>
          <w:bCs/>
        </w:rPr>
      </w:pPr>
      <w:r w:rsidRPr="005B31B3">
        <w:rPr>
          <w:rFonts w:ascii="Verdana" w:eastAsia="Century Gothic" w:hAnsi="Verdana" w:cs="Century Gothic"/>
          <w:b/>
          <w:bCs/>
        </w:rPr>
        <w:t>5. Doctrina de la Agencia Nacional de Contratación Pública:</w:t>
      </w:r>
    </w:p>
    <w:p w14:paraId="34857A85" w14:textId="77777777" w:rsidR="00E84A1E" w:rsidRPr="002234CA" w:rsidRDefault="00E84A1E" w:rsidP="00E84A1E">
      <w:pPr>
        <w:widowControl w:val="0"/>
        <w:autoSpaceDE w:val="0"/>
        <w:autoSpaceDN w:val="0"/>
        <w:spacing w:after="0" w:line="276" w:lineRule="auto"/>
        <w:jc w:val="both"/>
        <w:rPr>
          <w:rStyle w:val="normaltextrun"/>
          <w:rFonts w:ascii="Verdana" w:hAnsi="Verdana" w:cs="Arial"/>
          <w:highlight w:val="yellow"/>
          <w:shd w:val="clear" w:color="auto" w:fill="FFFFFF"/>
          <w:lang w:val="es-ES"/>
        </w:rPr>
      </w:pPr>
    </w:p>
    <w:p w14:paraId="7FBA2158" w14:textId="77777777" w:rsidR="00E84A1E" w:rsidRPr="005B31B3" w:rsidRDefault="00E84A1E" w:rsidP="00E84A1E">
      <w:pPr>
        <w:widowControl w:val="0"/>
        <w:autoSpaceDE w:val="0"/>
        <w:autoSpaceDN w:val="0"/>
        <w:spacing w:after="0" w:line="276" w:lineRule="auto"/>
        <w:jc w:val="both"/>
        <w:rPr>
          <w:rStyle w:val="normaltextrun"/>
          <w:rFonts w:ascii="Verdana" w:hAnsi="Verdana" w:cs="Arial"/>
          <w:shd w:val="clear" w:color="auto" w:fill="FFFFFF"/>
          <w:lang w:val="es-ES"/>
        </w:rPr>
      </w:pPr>
      <w:r w:rsidRPr="0021170A">
        <w:rPr>
          <w:rFonts w:ascii="Verdana" w:eastAsia="Calibri" w:hAnsi="Verdana" w:cs="Arial"/>
          <w:lang w:val="es-ES_tradnl" w:eastAsia="es-ES_tradnl"/>
        </w:rPr>
        <w:t xml:space="preserve">Sobre la experiencia </w:t>
      </w:r>
      <w:r w:rsidRPr="005B31B3">
        <w:rPr>
          <w:rFonts w:ascii="Verdana" w:eastAsia="Calibri" w:hAnsi="Verdana" w:cs="Arial"/>
          <w:lang w:val="es-ES_tradnl" w:eastAsia="es-ES_tradnl"/>
        </w:rPr>
        <w:t xml:space="preserve">y requisitos habilitantes, esta Subdirección se ha pronunciado en los conceptos </w:t>
      </w:r>
      <w:r w:rsidRPr="005B31B3">
        <w:rPr>
          <w:rFonts w:ascii="Verdana" w:hAnsi="Verdana" w:cs="Arial"/>
          <w:bCs/>
          <w:shd w:val="clear" w:color="auto" w:fill="FFFFFF"/>
          <w:lang w:val="es-ES"/>
        </w:rPr>
        <w:t>C-868 del 19 de diciembre de 2022, C-877 del 26 de diciembre de 2022, C-417 del 27 de septiembre de 2023, C-432 del 23 de octubre de 2023, C-174 del 23 de julio de 2024, C- 530 del 4 de octubre de 2024, C-595 del 24 de octubre 2024, C-648 del 6 de noviembre 2024, C-116 del 11 de marzo de 2025, C-275 del 10 de abril de 2025, C- 397 del 7 de mayo de 2025, C-659 del 7 de julio de 2025, C-1355 del 29 de octubre de 2025, C-121 del 4 de marzo de 2026, entre otros</w:t>
      </w:r>
      <w:r w:rsidRPr="005B31B3">
        <w:rPr>
          <w:rFonts w:ascii="Verdana" w:eastAsia="Calibri" w:hAnsi="Verdana" w:cs="Arial"/>
          <w:shd w:val="clear" w:color="auto" w:fill="FFFFFF"/>
          <w:lang w:val="es-ES"/>
        </w:rPr>
        <w:t xml:space="preserve">. </w:t>
      </w:r>
      <w:r w:rsidRPr="005B31B3">
        <w:rPr>
          <w:rFonts w:ascii="Verdana" w:eastAsia="Aptos" w:hAnsi="Verdana" w:cs="Arial"/>
          <w:color w:val="000000"/>
          <w:shd w:val="clear" w:color="auto" w:fill="FFFFFF"/>
          <w:lang w:val="es-ES_tradnl"/>
        </w:rPr>
        <w:t xml:space="preserve">Sobre las problemáticas asociadas al RUP, relacionadas con la firmeza de la inscripción, renovación y actualización, se pronunció esta Subdirección en los conceptos C–005  del 14 de febrero de 2020, C–148 del 22 de abril de 2020, C–330 del 27 de mayo de 2020, C–303 del 3 de junio de 2020, C–328 de 30 de junio de 2020, C–454 del 6 de julio de 2020, C–374 del 23 de julio de 2020, C–466 del 24 de julio de 2020, C–420 del 28 de julio de 2020, C–534 del 12 de agosto de 2020, C-703 del 12 de enero de 2022, C-360 del 25 de mayo de 2022, C-426 del 5 de julio de 2022, C-353 del 30 de agosto de 2024 y C-1479 del 27 de octubre de 2025, C-116 del 13 de febrero de 2026, entre otros. </w:t>
      </w:r>
      <w:r w:rsidRPr="005B31B3">
        <w:rPr>
          <w:rStyle w:val="normaltextrun"/>
          <w:rFonts w:ascii="Verdana" w:hAnsi="Verdana" w:cs="Arial"/>
          <w:shd w:val="clear" w:color="auto" w:fill="FFFFFF"/>
          <w:lang w:val="es-ES"/>
        </w:rPr>
        <w:t>Es</w:t>
      </w:r>
      <w:r w:rsidRPr="005B31B3">
        <w:rPr>
          <w:rFonts w:ascii="Verdana" w:hAnsi="Verdana"/>
        </w:rPr>
        <w:t>tos y otros conceptos se encuentran disponibles para consulta en el Sistema de relatoría de la Agencia, al cual se puede acceder a través del siguiente enlace:</w:t>
      </w:r>
      <w:r w:rsidRPr="005B31B3">
        <w:rPr>
          <w:rStyle w:val="normaltextrun"/>
          <w:rFonts w:ascii="Verdana" w:hAnsi="Verdana" w:cs="Arial"/>
          <w:shd w:val="clear" w:color="auto" w:fill="FFFFFF"/>
          <w:lang w:val="es-ES"/>
        </w:rPr>
        <w:t xml:space="preserve"> </w:t>
      </w:r>
      <w:hyperlink r:id="rId11" w:history="1">
        <w:r w:rsidRPr="005B31B3">
          <w:rPr>
            <w:rStyle w:val="Hipervnculo"/>
            <w:rFonts w:ascii="Verdana" w:hAnsi="Verdana" w:cs="Arial"/>
            <w:shd w:val="clear" w:color="auto" w:fill="FFFFFF"/>
            <w:lang w:val="es-ES"/>
          </w:rPr>
          <w:t>https://relatoria.colombiacompra.gov.co/busqueda/conceptos</w:t>
        </w:r>
      </w:hyperlink>
      <w:r w:rsidRPr="005B31B3">
        <w:rPr>
          <w:rStyle w:val="normaltextrun"/>
          <w:rFonts w:ascii="Verdana" w:hAnsi="Verdana" w:cs="Arial"/>
          <w:shd w:val="clear" w:color="auto" w:fill="FFFFFF"/>
          <w:lang w:val="es-ES"/>
        </w:rPr>
        <w:t xml:space="preserve">. </w:t>
      </w:r>
    </w:p>
    <w:p w14:paraId="110A98C3" w14:textId="77777777" w:rsidR="00B42204" w:rsidRPr="00206556" w:rsidRDefault="00B42204" w:rsidP="00B42204">
      <w:pPr>
        <w:spacing w:after="0" w:line="276" w:lineRule="auto"/>
        <w:jc w:val="both"/>
        <w:rPr>
          <w:rFonts w:ascii="Verdana" w:hAnsi="Verdana" w:cs="Arial"/>
          <w:color w:val="ED7D31" w:themeColor="accent2"/>
          <w:shd w:val="clear" w:color="auto" w:fill="FFFFFF"/>
          <w:lang w:val="es-ES"/>
        </w:rPr>
      </w:pPr>
    </w:p>
    <w:p w14:paraId="5E931B66"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w:t>
      </w:r>
      <w:r>
        <w:rPr>
          <w:rFonts w:ascii="Verdana" w:hAnsi="Verdana" w:cs="Arial"/>
          <w:shd w:val="clear" w:color="auto" w:fill="FFFFFF"/>
        </w:rPr>
        <w:lastRenderedPageBreak/>
        <w:t xml:space="preserve">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2" w:history="1">
        <w:r>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4C8EF87D" w14:textId="77777777" w:rsidR="00B42204" w:rsidRPr="00206556" w:rsidRDefault="00B42204" w:rsidP="00B42204">
      <w:pPr>
        <w:spacing w:after="0" w:line="276" w:lineRule="auto"/>
        <w:jc w:val="both"/>
        <w:rPr>
          <w:rFonts w:ascii="Verdana" w:hAnsi="Verdana" w:cs="Arial"/>
          <w:shd w:val="clear" w:color="auto" w:fill="FFFFFF"/>
        </w:rPr>
      </w:pPr>
    </w:p>
    <w:p w14:paraId="23DFA47C"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3" w:history="1">
        <w:r>
          <w:rPr>
            <w:rStyle w:val="Hipervnculo"/>
            <w:rFonts w:ascii="Verdana" w:hAnsi="Verdana" w:cs="Arial"/>
            <w:shd w:val="clear" w:color="auto" w:fill="FFFFFF"/>
          </w:rPr>
          <w:t>https://www.colombiacompra.gov.co/normativa-y-relatoria/documentos-tipo</w:t>
        </w:r>
      </w:hyperlink>
    </w:p>
    <w:p w14:paraId="55B5F10D" w14:textId="77777777" w:rsidR="00B42204" w:rsidRPr="00206556" w:rsidRDefault="00B42204" w:rsidP="00B42204">
      <w:pPr>
        <w:spacing w:after="0" w:line="276" w:lineRule="auto"/>
        <w:jc w:val="both"/>
        <w:rPr>
          <w:rFonts w:ascii="Verdana" w:hAnsi="Verdana" w:cs="Arial"/>
          <w:shd w:val="clear" w:color="auto" w:fill="FFFFFF"/>
        </w:rPr>
      </w:pPr>
    </w:p>
    <w:p w14:paraId="3FED6EEB"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w:t>
      </w:r>
      <w:proofErr w:type="gramStart"/>
      <w:r>
        <w:rPr>
          <w:rFonts w:ascii="Verdana" w:hAnsi="Verdana" w:cs="Arial"/>
          <w:shd w:val="clear" w:color="auto" w:fill="FFFFFF"/>
        </w:rPr>
        <w:t>Además</w:t>
      </w:r>
      <w:proofErr w:type="gramEnd"/>
      <w:r>
        <w:rPr>
          <w:rFonts w:ascii="Verdana" w:hAnsi="Verdana" w:cs="Arial"/>
          <w:shd w:val="clear" w:color="auto" w:fill="FFFFFF"/>
        </w:rPr>
        <w:t xml:space="preserve">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12C4F621" w14:textId="77777777" w:rsidR="00B42204" w:rsidRPr="00206556" w:rsidRDefault="00B42204" w:rsidP="00B42204">
      <w:pPr>
        <w:spacing w:after="0" w:line="276" w:lineRule="auto"/>
        <w:jc w:val="both"/>
        <w:rPr>
          <w:rFonts w:ascii="Verdana" w:hAnsi="Verdana" w:cs="Arial"/>
          <w:color w:val="ED7D31" w:themeColor="accent2"/>
          <w:shd w:val="clear" w:color="auto" w:fill="FFFFFF"/>
        </w:rPr>
      </w:pPr>
    </w:p>
    <w:p w14:paraId="292311C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416DC534" w14:textId="77777777" w:rsidR="00B42204" w:rsidRPr="00206556" w:rsidRDefault="00B42204" w:rsidP="00B42204">
      <w:pPr>
        <w:spacing w:after="0"/>
        <w:jc w:val="both"/>
        <w:rPr>
          <w:rFonts w:ascii="Verdana" w:hAnsi="Verdana" w:cs="Arial"/>
          <w:shd w:val="clear" w:color="auto" w:fill="FFFFFF"/>
        </w:rPr>
      </w:pPr>
    </w:p>
    <w:p w14:paraId="2B33216D"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63961BA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w:t>
      </w:r>
      <w:proofErr w:type="spellStart"/>
      <w:r>
        <w:rPr>
          <w:rStyle w:val="Hipervnculo"/>
          <w:rFonts w:ascii="Verdana" w:hAnsi="Verdana"/>
          <w:lang w:val="es-ES"/>
        </w:rPr>
        <w:t>ColombiaCompraEficiente</w:t>
      </w:r>
      <w:proofErr w:type="spellEnd"/>
    </w:p>
    <w:p w14:paraId="10AFB355"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lastRenderedPageBreak/>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3F7F794E"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185D6C5F" w14:textId="77777777" w:rsidR="00B42204" w:rsidRPr="00206556" w:rsidRDefault="00B42204" w:rsidP="00B42204">
      <w:pPr>
        <w:widowControl w:val="0"/>
        <w:autoSpaceDE w:val="0"/>
        <w:autoSpaceDN w:val="0"/>
        <w:spacing w:after="0" w:line="276" w:lineRule="auto"/>
        <w:jc w:val="both"/>
        <w:rPr>
          <w:rFonts w:ascii="Verdana" w:hAnsi="Verdana" w:cs="Arial"/>
          <w:color w:val="ED7D31" w:themeColor="accent2"/>
          <w:lang w:val="es-ES"/>
        </w:rPr>
      </w:pPr>
    </w:p>
    <w:p w14:paraId="5313337B"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2AACDA7"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p>
    <w:p w14:paraId="0DA03C97" w14:textId="77777777" w:rsidR="00B42204" w:rsidRDefault="00B42204" w:rsidP="00B42204">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6B4CF40A" w14:textId="77777777" w:rsidR="00B42204" w:rsidRDefault="00B42204" w:rsidP="00B42204">
      <w:pPr>
        <w:spacing w:after="0" w:line="276" w:lineRule="auto"/>
        <w:rPr>
          <w:rFonts w:ascii="Verdana" w:hAnsi="Verdana" w:cs="Arial"/>
          <w:lang w:val="es-ES" w:eastAsia="es-CO"/>
        </w:rPr>
      </w:pPr>
    </w:p>
    <w:p w14:paraId="324D9551" w14:textId="63730939" w:rsidR="00B42204" w:rsidRPr="00206556" w:rsidRDefault="008A2CFC" w:rsidP="00B42204">
      <w:pPr>
        <w:spacing w:after="0" w:line="276" w:lineRule="auto"/>
        <w:jc w:val="center"/>
        <w:rPr>
          <w:rFonts w:ascii="Verdana" w:hAnsi="Verdana" w:cs="Arial"/>
          <w:lang w:val="es-ES" w:eastAsia="es-CO"/>
        </w:rPr>
      </w:pPr>
      <w:r>
        <w:rPr>
          <w:rFonts w:ascii="Verdana" w:hAnsi="Verdana" w:cs="Arial"/>
          <w:noProof/>
          <w:lang w:val="es-ES" w:eastAsia="es-CO"/>
        </w:rPr>
        <w:drawing>
          <wp:inline distT="0" distB="0" distL="0" distR="0" wp14:anchorId="4F35B6E2" wp14:editId="3ACF40F6">
            <wp:extent cx="3639058" cy="1343212"/>
            <wp:effectExtent l="0" t="0" r="0" b="0"/>
            <wp:docPr id="140899426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94267" name="Imagen 1" descr="Tex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1C20DF8C" w14:textId="377381CE" w:rsidR="007C31D6" w:rsidRPr="00D13475" w:rsidRDefault="007C31D6" w:rsidP="007C31D6">
      <w:pPr>
        <w:spacing w:after="0" w:line="276" w:lineRule="auto"/>
        <w:jc w:val="center"/>
        <w:rPr>
          <w:rFonts w:ascii="Verdana" w:hAnsi="Verdana"/>
          <w:color w:val="000000" w:themeColor="text1"/>
          <w:lang w:val="es-ES_tradnl"/>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13475" w:rsidRPr="00D13475" w14:paraId="275BB42E" w14:textId="77777777" w:rsidTr="000E7260">
        <w:trPr>
          <w:trHeight w:val="315"/>
        </w:trPr>
        <w:tc>
          <w:tcPr>
            <w:tcW w:w="893" w:type="dxa"/>
            <w:vAlign w:val="center"/>
            <w:hideMark/>
          </w:tcPr>
          <w:p w14:paraId="342CC9B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Elaboró:</w:t>
            </w:r>
          </w:p>
        </w:tc>
        <w:tc>
          <w:tcPr>
            <w:tcW w:w="5628" w:type="dxa"/>
            <w:tcBorders>
              <w:top w:val="nil"/>
              <w:left w:val="nil"/>
              <w:bottom w:val="dotted" w:sz="4" w:space="0" w:color="7F7F7F"/>
              <w:right w:val="nil"/>
            </w:tcBorders>
            <w:vAlign w:val="center"/>
            <w:hideMark/>
          </w:tcPr>
          <w:p w14:paraId="354237E2"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Gloria Elizabeth Arango Builes</w:t>
            </w:r>
          </w:p>
          <w:p w14:paraId="4866B5DD"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w:t>
            </w:r>
          </w:p>
        </w:tc>
      </w:tr>
      <w:tr w:rsidR="00D13475" w:rsidRPr="00D13475" w14:paraId="283ACB79" w14:textId="77777777" w:rsidTr="000E7260">
        <w:trPr>
          <w:trHeight w:val="330"/>
        </w:trPr>
        <w:tc>
          <w:tcPr>
            <w:tcW w:w="893" w:type="dxa"/>
            <w:vAlign w:val="center"/>
            <w:hideMark/>
          </w:tcPr>
          <w:p w14:paraId="041C1AD6"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Revisó:</w:t>
            </w:r>
          </w:p>
        </w:tc>
        <w:tc>
          <w:tcPr>
            <w:tcW w:w="5628" w:type="dxa"/>
            <w:tcBorders>
              <w:top w:val="dotted" w:sz="4" w:space="0" w:color="7F7F7F"/>
              <w:left w:val="nil"/>
              <w:bottom w:val="dotted" w:sz="4" w:space="0" w:color="7F7F7F"/>
              <w:right w:val="nil"/>
            </w:tcBorders>
            <w:vAlign w:val="center"/>
            <w:hideMark/>
          </w:tcPr>
          <w:p w14:paraId="453E3A37" w14:textId="0E964B16" w:rsidR="007C31D6" w:rsidRPr="00D13475" w:rsidRDefault="009D25AB"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Juan David Cárdenas Cabeza</w:t>
            </w:r>
          </w:p>
          <w:p w14:paraId="7F4C2BD7"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 </w:t>
            </w:r>
          </w:p>
        </w:tc>
      </w:tr>
      <w:tr w:rsidR="007C31D6" w:rsidRPr="00D13475" w14:paraId="0A66432D" w14:textId="77777777" w:rsidTr="000E7260">
        <w:trPr>
          <w:trHeight w:val="300"/>
        </w:trPr>
        <w:tc>
          <w:tcPr>
            <w:tcW w:w="893" w:type="dxa"/>
            <w:vAlign w:val="center"/>
            <w:hideMark/>
          </w:tcPr>
          <w:p w14:paraId="729C97E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Aprobó:</w:t>
            </w:r>
          </w:p>
        </w:tc>
        <w:tc>
          <w:tcPr>
            <w:tcW w:w="5628" w:type="dxa"/>
            <w:tcBorders>
              <w:top w:val="dotted" w:sz="4" w:space="0" w:color="7F7F7F"/>
              <w:left w:val="nil"/>
              <w:bottom w:val="dotted" w:sz="4" w:space="0" w:color="7F7F7F"/>
              <w:right w:val="nil"/>
            </w:tcBorders>
            <w:vAlign w:val="center"/>
            <w:hideMark/>
          </w:tcPr>
          <w:p w14:paraId="7C7B720B"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lang w:val="pt-BR"/>
              </w:rPr>
              <w:t xml:space="preserve">Carolina Quintero </w:t>
            </w:r>
            <w:proofErr w:type="spellStart"/>
            <w:r w:rsidRPr="00D13475">
              <w:rPr>
                <w:rFonts w:ascii="Verdana" w:hAnsi="Verdana"/>
                <w:color w:val="000000" w:themeColor="text1"/>
                <w:sz w:val="16"/>
                <w:szCs w:val="16"/>
                <w:lang w:val="pt-BR"/>
              </w:rPr>
              <w:t>Gacharná</w:t>
            </w:r>
            <w:proofErr w:type="spellEnd"/>
          </w:p>
          <w:p w14:paraId="26D31200"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rPr>
              <w:t>Subdirectora</w:t>
            </w:r>
            <w:r w:rsidRPr="00D13475">
              <w:rPr>
                <w:rFonts w:ascii="Verdana" w:hAnsi="Verdana"/>
                <w:color w:val="000000" w:themeColor="text1"/>
                <w:sz w:val="16"/>
                <w:szCs w:val="16"/>
                <w:lang w:val="pt-BR"/>
              </w:rPr>
              <w:t xml:space="preserve"> de Gestión Contratual ANCP – CCE</w:t>
            </w:r>
          </w:p>
        </w:tc>
      </w:tr>
    </w:tbl>
    <w:p w14:paraId="7C9026E2" w14:textId="77777777" w:rsidR="002A0DD0" w:rsidRPr="00D13475" w:rsidRDefault="002A0DD0" w:rsidP="30821638">
      <w:pPr>
        <w:spacing w:after="0" w:line="240" w:lineRule="auto"/>
        <w:jc w:val="both"/>
        <w:rPr>
          <w:rFonts w:ascii="Verdana" w:eastAsia="Verdana" w:hAnsi="Verdana" w:cs="Verdana"/>
          <w:b/>
          <w:bCs/>
          <w:color w:val="000000" w:themeColor="text1"/>
          <w:lang w:val="es-MX"/>
        </w:rPr>
      </w:pPr>
    </w:p>
    <w:p w14:paraId="1006A388" w14:textId="77777777" w:rsidR="00C15139" w:rsidRPr="00D13475" w:rsidRDefault="00C15139" w:rsidP="30821638">
      <w:pPr>
        <w:spacing w:after="0" w:line="240" w:lineRule="auto"/>
        <w:jc w:val="both"/>
        <w:textAlignment w:val="baseline"/>
        <w:rPr>
          <w:rFonts w:ascii="Verdana" w:eastAsia="Verdana" w:hAnsi="Verdana" w:cs="Verdana"/>
          <w:color w:val="000000" w:themeColor="text1"/>
          <w:lang w:eastAsia="es-CO"/>
        </w:rPr>
      </w:pPr>
    </w:p>
    <w:p w14:paraId="69BC4D14" w14:textId="5F436481" w:rsidR="00C15139" w:rsidRPr="00D13475" w:rsidRDefault="00C15139" w:rsidP="30821638">
      <w:pPr>
        <w:spacing w:after="0" w:line="240" w:lineRule="auto"/>
        <w:textAlignment w:val="baseline"/>
        <w:rPr>
          <w:rFonts w:ascii="Verdana" w:eastAsia="Verdana" w:hAnsi="Verdana" w:cs="Verdana"/>
          <w:color w:val="000000" w:themeColor="text1"/>
          <w:lang w:eastAsia="es-CO"/>
        </w:rPr>
      </w:pPr>
      <w:r w:rsidRPr="00D13475">
        <w:rPr>
          <w:rFonts w:ascii="Verdana" w:eastAsia="Verdana" w:hAnsi="Verdana" w:cs="Verdana"/>
          <w:color w:val="000000" w:themeColor="text1"/>
          <w:lang w:eastAsia="es-CO"/>
        </w:rPr>
        <w:t> </w:t>
      </w:r>
      <w:bookmarkEnd w:id="0"/>
    </w:p>
    <w:sectPr w:rsidR="00C15139" w:rsidRPr="00D13475"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2062A" w14:textId="77777777" w:rsidR="00F509DA" w:rsidRDefault="00F509DA" w:rsidP="004A1847">
      <w:pPr>
        <w:spacing w:after="0" w:line="240" w:lineRule="auto"/>
      </w:pPr>
      <w:r>
        <w:separator/>
      </w:r>
    </w:p>
  </w:endnote>
  <w:endnote w:type="continuationSeparator" w:id="0">
    <w:p w14:paraId="2C573FB4" w14:textId="77777777" w:rsidR="00F509DA" w:rsidRDefault="00F509D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4770" w14:textId="77777777" w:rsidR="00F509DA" w:rsidRDefault="00F509DA" w:rsidP="004A1847">
      <w:pPr>
        <w:spacing w:after="0" w:line="240" w:lineRule="auto"/>
      </w:pPr>
      <w:r>
        <w:separator/>
      </w:r>
    </w:p>
  </w:footnote>
  <w:footnote w:type="continuationSeparator" w:id="0">
    <w:p w14:paraId="11CF0504" w14:textId="77777777" w:rsidR="00F509DA" w:rsidRDefault="00F509DA" w:rsidP="004A1847">
      <w:pPr>
        <w:spacing w:after="0" w:line="240" w:lineRule="auto"/>
      </w:pPr>
      <w:r>
        <w:continuationSeparator/>
      </w:r>
    </w:p>
  </w:footnote>
  <w:footnote w:id="1">
    <w:p w14:paraId="229E35CA" w14:textId="77777777" w:rsidR="00E84A1E" w:rsidRPr="00AD6C0E" w:rsidRDefault="00E84A1E" w:rsidP="00E84A1E">
      <w:pPr>
        <w:pStyle w:val="Textonotapie"/>
        <w:ind w:firstLine="709"/>
        <w:jc w:val="both"/>
        <w:rPr>
          <w:rFonts w:ascii="Verdana" w:hAnsi="Verdana" w:cs="Arial"/>
          <w:sz w:val="14"/>
          <w:szCs w:val="14"/>
        </w:rPr>
      </w:pPr>
      <w:r w:rsidRPr="00767CA0">
        <w:rPr>
          <w:rStyle w:val="Refdenotaalpie"/>
          <w:rFonts w:cs="Arial"/>
          <w:sz w:val="14"/>
          <w:szCs w:val="14"/>
        </w:rPr>
        <w:footnoteRef/>
      </w:r>
      <w:r w:rsidRPr="00AD6C0E">
        <w:rPr>
          <w:rFonts w:ascii="Verdana" w:hAnsi="Verdana" w:cs="Arial"/>
          <w:sz w:val="14"/>
          <w:szCs w:val="14"/>
        </w:rPr>
        <w:t xml:space="preserve"> 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2A8253EF"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w:t>
      </w:r>
    </w:p>
    <w:p w14:paraId="64DAD196"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39A7588F"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63FD4375" w14:textId="77777777" w:rsidR="00E84A1E" w:rsidRPr="00AD6C0E" w:rsidRDefault="00E84A1E" w:rsidP="00E84A1E">
      <w:pPr>
        <w:pStyle w:val="Textonotapie"/>
        <w:ind w:firstLine="709"/>
        <w:jc w:val="both"/>
        <w:rPr>
          <w:rFonts w:ascii="Verdana" w:hAnsi="Verdana" w:cs="Arial"/>
          <w:sz w:val="14"/>
          <w:szCs w:val="14"/>
        </w:rPr>
      </w:pPr>
    </w:p>
  </w:footnote>
  <w:footnote w:id="2">
    <w:p w14:paraId="0611D3B9" w14:textId="77777777" w:rsidR="00E84A1E" w:rsidRPr="00AD6C0E" w:rsidRDefault="00E84A1E" w:rsidP="00E84A1E">
      <w:pPr>
        <w:pStyle w:val="Textonotapie"/>
        <w:ind w:firstLine="709"/>
        <w:jc w:val="both"/>
        <w:rPr>
          <w:rFonts w:ascii="Verdana" w:hAnsi="Verdana" w:cs="Arial"/>
          <w:sz w:val="14"/>
          <w:szCs w:val="14"/>
        </w:rPr>
      </w:pPr>
      <w:r w:rsidRPr="00AD6C0E">
        <w:rPr>
          <w:rStyle w:val="Refdenotaalpie"/>
          <w:rFonts w:cs="Arial"/>
          <w:sz w:val="14"/>
          <w:szCs w:val="14"/>
        </w:rPr>
        <w:footnoteRef/>
      </w:r>
      <w:r w:rsidRPr="00AD6C0E">
        <w:rPr>
          <w:rFonts w:ascii="Verdana" w:hAnsi="Verdana" w:cs="Arial"/>
          <w:sz w:val="14"/>
          <w:szCs w:val="14"/>
        </w:rPr>
        <w:t xml:space="preserve"> Decreto 1082 de 2015: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74F4091D"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1.    Si es una persona natural:</w:t>
      </w:r>
    </w:p>
    <w:p w14:paraId="510EA47B"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1.1. Bienes, obras y servicios que ofrecerá a las Entidades Estatales, identificados con el Clasificador de Bienes y Servicios en el tercer nivel.</w:t>
      </w:r>
    </w:p>
    <w:p w14:paraId="39C8E1C5"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w:t>
      </w:r>
    </w:p>
    <w:p w14:paraId="6A8A094C" w14:textId="77777777" w:rsidR="00E84A1E" w:rsidRPr="00AD6C0E" w:rsidRDefault="00E84A1E" w:rsidP="00E84A1E">
      <w:pPr>
        <w:pStyle w:val="Textonotapie"/>
        <w:ind w:firstLine="709"/>
        <w:jc w:val="both"/>
        <w:rPr>
          <w:rFonts w:ascii="Verdana" w:hAnsi="Verdana" w:cs="Arial"/>
          <w:sz w:val="14"/>
          <w:szCs w:val="14"/>
          <w:lang w:val="es-ES"/>
        </w:rPr>
      </w:pPr>
    </w:p>
  </w:footnote>
  <w:footnote w:id="3">
    <w:p w14:paraId="4C93946E" w14:textId="77777777" w:rsidR="00E84A1E" w:rsidRPr="00AD6C0E" w:rsidRDefault="00E84A1E" w:rsidP="00E84A1E">
      <w:pPr>
        <w:pStyle w:val="Textonotapie"/>
        <w:ind w:firstLine="709"/>
        <w:jc w:val="both"/>
        <w:rPr>
          <w:rFonts w:ascii="Verdana" w:hAnsi="Verdana" w:cs="Arial"/>
          <w:sz w:val="14"/>
          <w:szCs w:val="14"/>
          <w:lang w:val="it-IT"/>
        </w:rPr>
      </w:pPr>
      <w:r w:rsidRPr="00AD6C0E">
        <w:rPr>
          <w:rStyle w:val="Refdenotaalpie"/>
          <w:rFonts w:cs="Arial"/>
          <w:sz w:val="14"/>
          <w:szCs w:val="14"/>
        </w:rPr>
        <w:footnoteRef/>
      </w:r>
      <w:r w:rsidRPr="00AD6C0E">
        <w:rPr>
          <w:rStyle w:val="Refdenotaalpie"/>
          <w:rFonts w:cs="Arial"/>
          <w:sz w:val="14"/>
          <w:szCs w:val="14"/>
        </w:rPr>
        <w:t xml:space="preserve"> </w:t>
      </w:r>
      <w:r w:rsidRPr="00AD6C0E">
        <w:rPr>
          <w:rFonts w:ascii="Verdana" w:hAnsi="Verdana" w:cs="Arial"/>
          <w:sz w:val="14"/>
          <w:szCs w:val="14"/>
        </w:rPr>
        <w:t xml:space="preserve">Consejo de Estado. Sección Tercera. Subsección B. Sentencia del 6 de junio de 2013. </w:t>
      </w:r>
      <w:r w:rsidRPr="00AD6C0E">
        <w:rPr>
          <w:rFonts w:ascii="Verdana" w:hAnsi="Verdana" w:cs="Arial"/>
          <w:sz w:val="14"/>
          <w:szCs w:val="14"/>
          <w:lang w:val="it-IT"/>
        </w:rPr>
        <w:t>Exp. 25151. C.P. Stella Conto Díaz del Castillo.</w:t>
      </w:r>
    </w:p>
    <w:p w14:paraId="54B22869" w14:textId="77777777" w:rsidR="00E84A1E" w:rsidRPr="00AD6C0E" w:rsidRDefault="00E84A1E" w:rsidP="00E84A1E">
      <w:pPr>
        <w:pStyle w:val="Textonotapie"/>
        <w:ind w:firstLine="709"/>
        <w:jc w:val="both"/>
        <w:rPr>
          <w:rFonts w:ascii="Verdana" w:hAnsi="Verdana" w:cs="Arial"/>
          <w:sz w:val="14"/>
          <w:szCs w:val="14"/>
          <w:lang w:val="it-IT"/>
        </w:rPr>
      </w:pPr>
    </w:p>
  </w:footnote>
  <w:footnote w:id="4">
    <w:p w14:paraId="51C525ED" w14:textId="77777777" w:rsidR="00E84A1E" w:rsidRDefault="00E84A1E" w:rsidP="00E84A1E">
      <w:pPr>
        <w:pStyle w:val="Textonotapie"/>
        <w:ind w:firstLine="708"/>
        <w:rPr>
          <w:rFonts w:ascii="Verdana" w:hAnsi="Verdana"/>
          <w:sz w:val="14"/>
          <w:szCs w:val="14"/>
        </w:rPr>
      </w:pPr>
      <w:r w:rsidRPr="00AD6C0E">
        <w:rPr>
          <w:rStyle w:val="Refdenotaalpie"/>
          <w:sz w:val="14"/>
          <w:szCs w:val="14"/>
        </w:rPr>
        <w:footnoteRef/>
      </w:r>
      <w:r>
        <w:rPr>
          <w:rFonts w:ascii="Verdana" w:hAnsi="Verdana"/>
          <w:sz w:val="14"/>
          <w:szCs w:val="14"/>
          <w:lang w:val="it-IT"/>
        </w:rPr>
        <w:t xml:space="preserve"> </w:t>
      </w:r>
      <w:r>
        <w:rPr>
          <w:rFonts w:ascii="Verdana" w:hAnsi="Verdana" w:cs="Arial"/>
          <w:sz w:val="14"/>
          <w:szCs w:val="14"/>
        </w:rPr>
        <w:t xml:space="preserve">Agencia Nacional de Contratación Pública - </w:t>
      </w:r>
      <w:r w:rsidRPr="00F712A2">
        <w:rPr>
          <w:rFonts w:ascii="Verdana" w:hAnsi="Verdana" w:cs="Arial"/>
          <w:sz w:val="14"/>
          <w:szCs w:val="14"/>
        </w:rPr>
        <w:t xml:space="preserve">Colombia Compra Eficiente, </w:t>
      </w:r>
      <w:r w:rsidRPr="00AD6C0E">
        <w:rPr>
          <w:rFonts w:ascii="Verdana" w:hAnsi="Verdana" w:cs="Arial"/>
          <w:iCs/>
          <w:sz w:val="14"/>
          <w:szCs w:val="14"/>
        </w:rPr>
        <w:t>Manual para determinar y verificar requisitos habilitantes en los Procesos de Contratación</w:t>
      </w:r>
      <w:r>
        <w:rPr>
          <w:rFonts w:ascii="Verdana" w:hAnsi="Verdana"/>
          <w:sz w:val="14"/>
          <w:szCs w:val="14"/>
          <w:lang w:val="it-IT"/>
        </w:rPr>
        <w:t xml:space="preserve">. Disponible en: </w:t>
      </w:r>
      <w:hyperlink r:id="rId1" w:history="1">
        <w:r w:rsidRPr="00AD6C0E">
          <w:rPr>
            <w:rStyle w:val="Hipervnculo"/>
            <w:rFonts w:ascii="Verdana" w:hAnsi="Verdana"/>
            <w:sz w:val="14"/>
            <w:szCs w:val="14"/>
            <w:lang w:val="it-IT"/>
          </w:rPr>
          <w:t>https://www.colombiacompra.gov.co/archivos/manual/manual-para-determinar-y-verificar-los-requisitos-habilitantes-en-los-procesos-de-contratacion</w:t>
        </w:r>
      </w:hyperlink>
    </w:p>
    <w:p w14:paraId="134CD083" w14:textId="77777777" w:rsidR="00E84A1E" w:rsidRPr="00AD6C0E" w:rsidRDefault="00E84A1E" w:rsidP="00E84A1E">
      <w:pPr>
        <w:pStyle w:val="Textonotapie"/>
        <w:ind w:firstLine="708"/>
        <w:rPr>
          <w:rFonts w:ascii="Verdana" w:hAnsi="Verdana"/>
          <w:sz w:val="14"/>
          <w:szCs w:val="14"/>
          <w:lang w:val="it-IT"/>
        </w:rPr>
      </w:pPr>
    </w:p>
  </w:footnote>
  <w:footnote w:id="5">
    <w:p w14:paraId="04E7FC26" w14:textId="77777777" w:rsidR="00E84A1E" w:rsidRPr="00AD6C0E" w:rsidRDefault="00E84A1E" w:rsidP="00E84A1E">
      <w:pPr>
        <w:pStyle w:val="Textonotapie"/>
        <w:ind w:firstLine="709"/>
        <w:jc w:val="both"/>
        <w:rPr>
          <w:rFonts w:ascii="Verdana" w:hAnsi="Verdana" w:cs="Arial"/>
          <w:sz w:val="14"/>
          <w:szCs w:val="14"/>
        </w:rPr>
      </w:pPr>
      <w:r w:rsidRPr="00AD6C0E">
        <w:rPr>
          <w:rStyle w:val="Refdenotaalpie"/>
          <w:rFonts w:cs="Arial"/>
          <w:sz w:val="14"/>
          <w:szCs w:val="14"/>
        </w:rPr>
        <w:footnoteRef/>
      </w:r>
      <w:r w:rsidRPr="00AD6C0E">
        <w:rPr>
          <w:rFonts w:ascii="Verdana" w:hAnsi="Verdana" w:cs="Arial"/>
          <w:sz w:val="14"/>
          <w:szCs w:val="14"/>
        </w:rPr>
        <w:t xml:space="preserve"> </w:t>
      </w:r>
      <w:r>
        <w:rPr>
          <w:rFonts w:ascii="Verdana" w:hAnsi="Verdana" w:cs="Arial"/>
          <w:sz w:val="14"/>
          <w:szCs w:val="14"/>
        </w:rPr>
        <w:t xml:space="preserve">Agencia Nacional de Contratación Pública - </w:t>
      </w:r>
      <w:r w:rsidRPr="00AD6C0E">
        <w:rPr>
          <w:rFonts w:ascii="Verdana" w:hAnsi="Verdana" w:cs="Arial"/>
          <w:sz w:val="14"/>
          <w:szCs w:val="14"/>
        </w:rPr>
        <w:t xml:space="preserve">Colombia Compra Eficiente, </w:t>
      </w:r>
      <w:r w:rsidRPr="00AD6C0E">
        <w:rPr>
          <w:rFonts w:ascii="Verdana" w:hAnsi="Verdana" w:cs="Arial"/>
          <w:i/>
          <w:sz w:val="14"/>
          <w:szCs w:val="14"/>
        </w:rPr>
        <w:t>Manual para determinar y verificar requisitos habilitantes en los Procesos de Contratación</w:t>
      </w:r>
      <w:r w:rsidRPr="00AD6C0E">
        <w:rPr>
          <w:rFonts w:ascii="Verdana" w:hAnsi="Verdana" w:cs="Arial"/>
          <w:sz w:val="14"/>
          <w:szCs w:val="14"/>
        </w:rPr>
        <w:t>: “[…] la experiencia l</w:t>
      </w:r>
      <w:r w:rsidRPr="00AD6C0E">
        <w:rPr>
          <w:rFonts w:ascii="Verdana" w:hAnsi="Verdana" w:cs="Arial"/>
          <w:sz w:val="14"/>
          <w:szCs w:val="14"/>
          <w:lang w:val="es-CO"/>
        </w:rPr>
        <w:t xml:space="preserve">a </w:t>
      </w:r>
      <w:r w:rsidRPr="00AD6C0E">
        <w:rPr>
          <w:rFonts w:ascii="Verdana" w:hAnsi="Verdana" w:cs="Arial"/>
          <w:sz w:val="14"/>
          <w:szCs w:val="14"/>
          <w:lang w:val="es-CO"/>
        </w:rPr>
        <w:t>cual debe ser entendida como el conocimiento del proponente derivado de su participación previa en actividades iguales o similares a las previstas en el objeto del contrato con contratantes públicos, privados, nacionales o extranjeros.</w:t>
      </w:r>
    </w:p>
    <w:p w14:paraId="52C0E704"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Los proponentes deben registrar en el RUP los contratos que hayan celebrado para prestar los bienes y servicios que pretenden ofrecer a las Entidades Estatales, identificando los bienes, obras y servicios con el Clasificador de Bienes y Servicios en el tercer nivel y expresar el valor del contrato respectivo en SMMLV. El registro debe contener la experiencia adquirida de forma directa o a través de la participación en proponentes plurales. Esta experiencia se obtiene con contratantes públicos, privados, nacionales o extranjeros. No hay límite frente al número de contratos o a la fecha en la cual estos fueron celebrados.</w:t>
      </w:r>
    </w:p>
    <w:p w14:paraId="4D6B5A8C"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w:t>
      </w:r>
    </w:p>
    <w:p w14:paraId="2A7D7B63"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 xml:space="preserve">La experiencia requerida en un Proceso de Contratación debe ser adecuada y proporcional a la naturaleza del contrato y su valor. La experiencia es adecuada cuando es afín al tipo de actividades previstas en el objeto del contrato a celebrar. Por ejemplo, si el Proceso de Contratación es para un servicio de aseo general, el proponente debe tener experiencia en el servicio de aseo, sin que sea relevante el lugar en el cual ha prestado el servicio o quién ha sido el contratante. </w:t>
      </w:r>
    </w:p>
    <w:p w14:paraId="2AF3463B"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La experiencia es proporcional cuando tiene relación con el alcance, la cuantía y complejidad del contrato a celebrar. Por ejemplo, en un Proceso de Contratación de obra pública con un presupuesto oficial de 100 SMMLV, la experiencia exigida es proporcional si la Entidad Estatal exige que los proponentes hayan participado en Procesos de Contratación de 50 SMMLV del mismo tipo de obra.</w:t>
      </w:r>
    </w:p>
    <w:p w14:paraId="51DA00ED"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w:t>
      </w:r>
    </w:p>
    <w:p w14:paraId="3362667B" w14:textId="77777777" w:rsidR="00E84A1E" w:rsidRPr="00AD6C0E" w:rsidRDefault="00E84A1E" w:rsidP="00E84A1E">
      <w:pPr>
        <w:pStyle w:val="Textonotapie"/>
        <w:ind w:firstLine="709"/>
        <w:jc w:val="both"/>
        <w:rPr>
          <w:rFonts w:ascii="Verdana" w:hAnsi="Verdana" w:cs="Arial"/>
          <w:sz w:val="14"/>
          <w:szCs w:val="14"/>
        </w:rPr>
      </w:pPr>
    </w:p>
  </w:footnote>
  <w:footnote w:id="6">
    <w:p w14:paraId="6102431D" w14:textId="77777777" w:rsidR="00E84A1E" w:rsidRPr="00AD6C0E" w:rsidRDefault="00E84A1E" w:rsidP="00E84A1E">
      <w:pPr>
        <w:pStyle w:val="Textonotapie"/>
        <w:ind w:firstLine="709"/>
        <w:jc w:val="both"/>
        <w:rPr>
          <w:rFonts w:ascii="Verdana" w:hAnsi="Verdana" w:cs="Arial"/>
          <w:sz w:val="14"/>
          <w:szCs w:val="14"/>
        </w:rPr>
      </w:pPr>
      <w:r w:rsidRPr="00AD6C0E">
        <w:rPr>
          <w:rStyle w:val="Refdenotaalpie"/>
          <w:rFonts w:cs="Arial"/>
          <w:sz w:val="14"/>
          <w:szCs w:val="14"/>
        </w:rPr>
        <w:footnoteRef/>
      </w:r>
      <w:r w:rsidRPr="00AD6C0E">
        <w:rPr>
          <w:rFonts w:ascii="Verdana" w:hAnsi="Verdana" w:cs="Arial"/>
          <w:sz w:val="14"/>
          <w:szCs w:val="14"/>
        </w:rPr>
        <w:t xml:space="preserve">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2ED5A5D9" w14:textId="77777777" w:rsidR="00E84A1E" w:rsidRPr="00AD6C0E" w:rsidRDefault="00E84A1E" w:rsidP="00E84A1E">
      <w:pPr>
        <w:pStyle w:val="Textonotapie"/>
        <w:ind w:firstLine="709"/>
        <w:jc w:val="both"/>
        <w:rPr>
          <w:rFonts w:ascii="Verdana" w:hAnsi="Verdana" w:cs="Arial"/>
          <w:sz w:val="14"/>
          <w:szCs w:val="14"/>
        </w:rPr>
      </w:pPr>
      <w:r w:rsidRPr="00AD6C0E">
        <w:rPr>
          <w:rFonts w:ascii="Verdana" w:hAnsi="Verdana" w:cs="Arial"/>
          <w:sz w:val="14"/>
          <w:szCs w:val="14"/>
        </w:rPr>
        <w:t>[…]</w:t>
      </w:r>
    </w:p>
    <w:p w14:paraId="55484867" w14:textId="77777777" w:rsidR="00E84A1E" w:rsidRDefault="00E84A1E" w:rsidP="00E84A1E">
      <w:pPr>
        <w:pStyle w:val="Textonotapie"/>
        <w:ind w:firstLine="709"/>
        <w:jc w:val="both"/>
        <w:rPr>
          <w:rFonts w:ascii="Verdana" w:hAnsi="Verdana" w:cs="Arial"/>
          <w:sz w:val="14"/>
          <w:szCs w:val="14"/>
        </w:rPr>
      </w:pPr>
      <w:r w:rsidRPr="00AD6C0E">
        <w:rPr>
          <w:rFonts w:ascii="Verdana" w:hAnsi="Verdana" w:cs="Arial"/>
          <w:i/>
          <w:iCs/>
          <w:sz w:val="14"/>
          <w:szCs w:val="14"/>
          <w:shd w:val="clear" w:color="auto" w:fill="FFFFFF"/>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AD6C0E">
        <w:rPr>
          <w:rFonts w:ascii="Verdana" w:hAnsi="Verdana" w:cs="Arial"/>
          <w:i/>
          <w:iCs/>
          <w:sz w:val="14"/>
          <w:szCs w:val="14"/>
          <w:shd w:val="clear" w:color="auto" w:fill="FFFFFF"/>
        </w:rPr>
        <w:softHyphen/>
        <w:t>ficador de Bienes y Servicios en el tercer nivel. Si la constitución del interesado es menor a 3 años, puede acreditar la experiencia de sus accionistas, socios o constituyentes</w:t>
      </w:r>
      <w:r w:rsidRPr="00AD6C0E">
        <w:rPr>
          <w:rFonts w:ascii="Verdana" w:hAnsi="Verdana" w:cs="Arial"/>
          <w:sz w:val="14"/>
          <w:szCs w:val="14"/>
        </w:rPr>
        <w:t>”.</w:t>
      </w:r>
    </w:p>
    <w:p w14:paraId="510E77B3" w14:textId="77777777" w:rsidR="00E84A1E" w:rsidRPr="00767CA0" w:rsidRDefault="00E84A1E" w:rsidP="00E84A1E">
      <w:pPr>
        <w:pStyle w:val="Textonotapie"/>
        <w:ind w:firstLine="709"/>
        <w:jc w:val="both"/>
        <w:rPr>
          <w:rFonts w:ascii="Verdana" w:hAnsi="Verdana" w:cs="Arial"/>
          <w:sz w:val="14"/>
          <w:szCs w:val="14"/>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7A1800"/>
    <w:multiLevelType w:val="hybridMultilevel"/>
    <w:tmpl w:val="9C329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2090739E"/>
    <w:multiLevelType w:val="multilevel"/>
    <w:tmpl w:val="7BB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84042B"/>
    <w:multiLevelType w:val="multilevel"/>
    <w:tmpl w:val="402E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FF0212F"/>
    <w:multiLevelType w:val="hybridMultilevel"/>
    <w:tmpl w:val="949CB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371B4A"/>
    <w:multiLevelType w:val="hybridMultilevel"/>
    <w:tmpl w:val="7D8AB1EA"/>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CC6F5F"/>
    <w:multiLevelType w:val="hybridMultilevel"/>
    <w:tmpl w:val="D2B62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C3243A"/>
    <w:multiLevelType w:val="hybridMultilevel"/>
    <w:tmpl w:val="FD289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9"/>
  </w:num>
  <w:num w:numId="2" w16cid:durableId="19822139">
    <w:abstractNumId w:val="2"/>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9"/>
  </w:num>
  <w:num w:numId="7" w16cid:durableId="1946422806">
    <w:abstractNumId w:val="8"/>
  </w:num>
  <w:num w:numId="8" w16cid:durableId="152644682">
    <w:abstractNumId w:val="18"/>
  </w:num>
  <w:num w:numId="9" w16cid:durableId="1317221377">
    <w:abstractNumId w:val="10"/>
  </w:num>
  <w:num w:numId="10" w16cid:durableId="1471245386">
    <w:abstractNumId w:val="17"/>
  </w:num>
  <w:num w:numId="11" w16cid:durableId="289172385">
    <w:abstractNumId w:val="11"/>
  </w:num>
  <w:num w:numId="12" w16cid:durableId="1470781324">
    <w:abstractNumId w:val="1"/>
  </w:num>
  <w:num w:numId="13" w16cid:durableId="1512908409">
    <w:abstractNumId w:val="6"/>
  </w:num>
  <w:num w:numId="14" w16cid:durableId="895897244">
    <w:abstractNumId w:val="20"/>
  </w:num>
  <w:num w:numId="15" w16cid:durableId="390349800">
    <w:abstractNumId w:val="16"/>
  </w:num>
  <w:num w:numId="16" w16cid:durableId="341274352">
    <w:abstractNumId w:val="0"/>
  </w:num>
  <w:num w:numId="17" w16cid:durableId="679089576">
    <w:abstractNumId w:val="12"/>
  </w:num>
  <w:num w:numId="18" w16cid:durableId="1290623316">
    <w:abstractNumId w:val="3"/>
  </w:num>
  <w:num w:numId="19" w16cid:durableId="784039179">
    <w:abstractNumId w:val="21"/>
  </w:num>
  <w:num w:numId="20" w16cid:durableId="153255849">
    <w:abstractNumId w:val="14"/>
  </w:num>
  <w:num w:numId="21" w16cid:durableId="2067800759">
    <w:abstractNumId w:val="5"/>
  </w:num>
  <w:num w:numId="22" w16cid:durableId="1018896880">
    <w:abstractNumId w:val="4"/>
  </w:num>
  <w:num w:numId="23" w16cid:durableId="1897617933">
    <w:abstractNumId w:val="15"/>
  </w:num>
  <w:num w:numId="24" w16cid:durableId="457456159">
    <w:abstractNumId w:val="13"/>
  </w:num>
  <w:num w:numId="25" w16cid:durableId="1386635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1D01"/>
    <w:rsid w:val="00061B2A"/>
    <w:rsid w:val="00082362"/>
    <w:rsid w:val="00093BF9"/>
    <w:rsid w:val="000A683E"/>
    <w:rsid w:val="000B19B9"/>
    <w:rsid w:val="000C47B9"/>
    <w:rsid w:val="000C7411"/>
    <w:rsid w:val="000D0334"/>
    <w:rsid w:val="000D5DA7"/>
    <w:rsid w:val="000F6486"/>
    <w:rsid w:val="00116940"/>
    <w:rsid w:val="00125105"/>
    <w:rsid w:val="00127233"/>
    <w:rsid w:val="0015699B"/>
    <w:rsid w:val="00172DEB"/>
    <w:rsid w:val="001A33BF"/>
    <w:rsid w:val="001B7673"/>
    <w:rsid w:val="001D6B44"/>
    <w:rsid w:val="001E4177"/>
    <w:rsid w:val="001F0B24"/>
    <w:rsid w:val="001F7DC6"/>
    <w:rsid w:val="002161D5"/>
    <w:rsid w:val="0022400B"/>
    <w:rsid w:val="0023710D"/>
    <w:rsid w:val="002421BB"/>
    <w:rsid w:val="0024444B"/>
    <w:rsid w:val="00244BBA"/>
    <w:rsid w:val="0025796E"/>
    <w:rsid w:val="0027017D"/>
    <w:rsid w:val="002707A2"/>
    <w:rsid w:val="002951A0"/>
    <w:rsid w:val="002962BC"/>
    <w:rsid w:val="002A093D"/>
    <w:rsid w:val="002A0DD0"/>
    <w:rsid w:val="002A3275"/>
    <w:rsid w:val="002A49AC"/>
    <w:rsid w:val="002A64FD"/>
    <w:rsid w:val="002C39A1"/>
    <w:rsid w:val="002C7A84"/>
    <w:rsid w:val="002E2BF8"/>
    <w:rsid w:val="002E4FD9"/>
    <w:rsid w:val="002F0E98"/>
    <w:rsid w:val="0030657A"/>
    <w:rsid w:val="00322A85"/>
    <w:rsid w:val="00324168"/>
    <w:rsid w:val="00330834"/>
    <w:rsid w:val="003448F4"/>
    <w:rsid w:val="003640DC"/>
    <w:rsid w:val="00366A6E"/>
    <w:rsid w:val="00374F5E"/>
    <w:rsid w:val="0037799F"/>
    <w:rsid w:val="00377E3E"/>
    <w:rsid w:val="003A779E"/>
    <w:rsid w:val="003C049F"/>
    <w:rsid w:val="003D0F4D"/>
    <w:rsid w:val="003D5B0D"/>
    <w:rsid w:val="003E0499"/>
    <w:rsid w:val="003E4F80"/>
    <w:rsid w:val="003E6439"/>
    <w:rsid w:val="003F3941"/>
    <w:rsid w:val="00406575"/>
    <w:rsid w:val="00414C74"/>
    <w:rsid w:val="0042722E"/>
    <w:rsid w:val="0044528D"/>
    <w:rsid w:val="00466E39"/>
    <w:rsid w:val="00485824"/>
    <w:rsid w:val="004A1847"/>
    <w:rsid w:val="004A305D"/>
    <w:rsid w:val="004F21C4"/>
    <w:rsid w:val="004F685F"/>
    <w:rsid w:val="00522FFE"/>
    <w:rsid w:val="00526405"/>
    <w:rsid w:val="00530B2E"/>
    <w:rsid w:val="005566E8"/>
    <w:rsid w:val="00574867"/>
    <w:rsid w:val="00591460"/>
    <w:rsid w:val="005A65E0"/>
    <w:rsid w:val="005B79CE"/>
    <w:rsid w:val="005C3777"/>
    <w:rsid w:val="005C5CDC"/>
    <w:rsid w:val="005D01AA"/>
    <w:rsid w:val="005D476C"/>
    <w:rsid w:val="005F7BE0"/>
    <w:rsid w:val="006200BF"/>
    <w:rsid w:val="006219F8"/>
    <w:rsid w:val="006302F7"/>
    <w:rsid w:val="00641DA9"/>
    <w:rsid w:val="00645BAC"/>
    <w:rsid w:val="00646B9F"/>
    <w:rsid w:val="00665D70"/>
    <w:rsid w:val="0068231B"/>
    <w:rsid w:val="006900D9"/>
    <w:rsid w:val="006B6F25"/>
    <w:rsid w:val="006D38F4"/>
    <w:rsid w:val="006E1F4C"/>
    <w:rsid w:val="00706C16"/>
    <w:rsid w:val="007340C3"/>
    <w:rsid w:val="00740302"/>
    <w:rsid w:val="0075235A"/>
    <w:rsid w:val="00756841"/>
    <w:rsid w:val="007649AB"/>
    <w:rsid w:val="00771D0C"/>
    <w:rsid w:val="007833AC"/>
    <w:rsid w:val="007A4245"/>
    <w:rsid w:val="007B268C"/>
    <w:rsid w:val="007B7171"/>
    <w:rsid w:val="007C0C0F"/>
    <w:rsid w:val="007C31D6"/>
    <w:rsid w:val="007C3DC2"/>
    <w:rsid w:val="007D1F56"/>
    <w:rsid w:val="007E5497"/>
    <w:rsid w:val="0080265D"/>
    <w:rsid w:val="00804F48"/>
    <w:rsid w:val="00806F5F"/>
    <w:rsid w:val="0081120D"/>
    <w:rsid w:val="00820278"/>
    <w:rsid w:val="008258C9"/>
    <w:rsid w:val="00844AE9"/>
    <w:rsid w:val="00862A50"/>
    <w:rsid w:val="008675D1"/>
    <w:rsid w:val="00867F95"/>
    <w:rsid w:val="008843B6"/>
    <w:rsid w:val="00891928"/>
    <w:rsid w:val="008958F6"/>
    <w:rsid w:val="008A2CFC"/>
    <w:rsid w:val="008A446D"/>
    <w:rsid w:val="008B25F1"/>
    <w:rsid w:val="008D180B"/>
    <w:rsid w:val="008D2999"/>
    <w:rsid w:val="008F0EA7"/>
    <w:rsid w:val="00904B8A"/>
    <w:rsid w:val="00914AB2"/>
    <w:rsid w:val="00923EEF"/>
    <w:rsid w:val="009419F9"/>
    <w:rsid w:val="0095685E"/>
    <w:rsid w:val="00961B09"/>
    <w:rsid w:val="00965334"/>
    <w:rsid w:val="0097093E"/>
    <w:rsid w:val="00991C7D"/>
    <w:rsid w:val="009979E9"/>
    <w:rsid w:val="009A0DFA"/>
    <w:rsid w:val="009A1C6F"/>
    <w:rsid w:val="009B2D26"/>
    <w:rsid w:val="009B547B"/>
    <w:rsid w:val="009C377C"/>
    <w:rsid w:val="009C4CA5"/>
    <w:rsid w:val="009C71FA"/>
    <w:rsid w:val="009C72E7"/>
    <w:rsid w:val="009C7F7E"/>
    <w:rsid w:val="009D25AB"/>
    <w:rsid w:val="009D3058"/>
    <w:rsid w:val="009D78B4"/>
    <w:rsid w:val="009F3A13"/>
    <w:rsid w:val="009F569E"/>
    <w:rsid w:val="00A122D3"/>
    <w:rsid w:val="00A14468"/>
    <w:rsid w:val="00A17F13"/>
    <w:rsid w:val="00A20739"/>
    <w:rsid w:val="00A23AF9"/>
    <w:rsid w:val="00A30ED9"/>
    <w:rsid w:val="00A33C78"/>
    <w:rsid w:val="00A421A1"/>
    <w:rsid w:val="00A743CE"/>
    <w:rsid w:val="00A951C3"/>
    <w:rsid w:val="00AB0ADB"/>
    <w:rsid w:val="00AD0C24"/>
    <w:rsid w:val="00AE40CC"/>
    <w:rsid w:val="00AF1D25"/>
    <w:rsid w:val="00B00C0E"/>
    <w:rsid w:val="00B01B1A"/>
    <w:rsid w:val="00B0381D"/>
    <w:rsid w:val="00B232BB"/>
    <w:rsid w:val="00B42204"/>
    <w:rsid w:val="00B44A47"/>
    <w:rsid w:val="00B72CD3"/>
    <w:rsid w:val="00B72FFF"/>
    <w:rsid w:val="00BC3D36"/>
    <w:rsid w:val="00BD40B4"/>
    <w:rsid w:val="00BD54A6"/>
    <w:rsid w:val="00BD7F72"/>
    <w:rsid w:val="00BF7425"/>
    <w:rsid w:val="00C04FB3"/>
    <w:rsid w:val="00C11D8B"/>
    <w:rsid w:val="00C11FDA"/>
    <w:rsid w:val="00C15139"/>
    <w:rsid w:val="00C330EB"/>
    <w:rsid w:val="00C3587D"/>
    <w:rsid w:val="00C42100"/>
    <w:rsid w:val="00C455B4"/>
    <w:rsid w:val="00C50D69"/>
    <w:rsid w:val="00C5365C"/>
    <w:rsid w:val="00C752CD"/>
    <w:rsid w:val="00C754BE"/>
    <w:rsid w:val="00C76B1C"/>
    <w:rsid w:val="00C925AC"/>
    <w:rsid w:val="00CB1DED"/>
    <w:rsid w:val="00CB6357"/>
    <w:rsid w:val="00CC1B26"/>
    <w:rsid w:val="00D0616C"/>
    <w:rsid w:val="00D13475"/>
    <w:rsid w:val="00D361FD"/>
    <w:rsid w:val="00D423A2"/>
    <w:rsid w:val="00D44E26"/>
    <w:rsid w:val="00D45421"/>
    <w:rsid w:val="00D520D8"/>
    <w:rsid w:val="00D63AC2"/>
    <w:rsid w:val="00D7351E"/>
    <w:rsid w:val="00D7383B"/>
    <w:rsid w:val="00D739EA"/>
    <w:rsid w:val="00D7788A"/>
    <w:rsid w:val="00DA231B"/>
    <w:rsid w:val="00DC39FC"/>
    <w:rsid w:val="00DF1CE7"/>
    <w:rsid w:val="00DF5254"/>
    <w:rsid w:val="00E02524"/>
    <w:rsid w:val="00E16408"/>
    <w:rsid w:val="00E20894"/>
    <w:rsid w:val="00E245AB"/>
    <w:rsid w:val="00E2764C"/>
    <w:rsid w:val="00E27F2E"/>
    <w:rsid w:val="00E50AFE"/>
    <w:rsid w:val="00E75C92"/>
    <w:rsid w:val="00E771DC"/>
    <w:rsid w:val="00E84A1E"/>
    <w:rsid w:val="00E8772A"/>
    <w:rsid w:val="00E90F6B"/>
    <w:rsid w:val="00E92C27"/>
    <w:rsid w:val="00EA0E3D"/>
    <w:rsid w:val="00EC38A7"/>
    <w:rsid w:val="00EC5D98"/>
    <w:rsid w:val="00EE1AA8"/>
    <w:rsid w:val="00EE1E2C"/>
    <w:rsid w:val="00EE4D72"/>
    <w:rsid w:val="00F23FEA"/>
    <w:rsid w:val="00F31EDC"/>
    <w:rsid w:val="00F43F8D"/>
    <w:rsid w:val="00F462B3"/>
    <w:rsid w:val="00F509DA"/>
    <w:rsid w:val="00F56178"/>
    <w:rsid w:val="00F5664F"/>
    <w:rsid w:val="00F666C4"/>
    <w:rsid w:val="00F764BC"/>
    <w:rsid w:val="00F76AFC"/>
    <w:rsid w:val="00FA47C0"/>
    <w:rsid w:val="00FA59D8"/>
    <w:rsid w:val="00FA79EC"/>
    <w:rsid w:val="00FB5DD1"/>
    <w:rsid w:val="00FC2B5D"/>
    <w:rsid w:val="00FE2194"/>
    <w:rsid w:val="00FF1449"/>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C31D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C31D6"/>
    <w:rPr>
      <w:rFonts w:ascii="Geomanist Light" w:hAnsi="Geomanist Light"/>
      <w:lang w:val="es-ES"/>
    </w:rPr>
  </w:style>
  <w:style w:type="paragraph" w:styleId="Textoindependiente">
    <w:name w:val="Body Text"/>
    <w:basedOn w:val="Normal"/>
    <w:link w:val="TextoindependienteCar"/>
    <w:uiPriority w:val="99"/>
    <w:qFormat/>
    <w:rsid w:val="007C31D6"/>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99"/>
    <w:rsid w:val="007C31D6"/>
    <w:rPr>
      <w:rFonts w:ascii="Verdana" w:eastAsia="Verdana" w:hAnsi="Verdana" w:cs="Verdana"/>
      <w:lang w:val="es-ES"/>
    </w:rPr>
  </w:style>
  <w:style w:type="character" w:customStyle="1" w:styleId="s15">
    <w:name w:val="s15"/>
    <w:basedOn w:val="Fuentedeprrafopredeter"/>
    <w:rsid w:val="002A3275"/>
  </w:style>
  <w:style w:type="character" w:customStyle="1" w:styleId="apple-converted-space">
    <w:name w:val="apple-converted-space"/>
    <w:basedOn w:val="Fuentedeprrafopredeter"/>
    <w:rsid w:val="002A3275"/>
  </w:style>
  <w:style w:type="paragraph" w:styleId="Sinespaciado">
    <w:name w:val="No Spacing"/>
    <w:uiPriority w:val="1"/>
    <w:qFormat/>
    <w:rsid w:val="00093BF9"/>
    <w:pPr>
      <w:spacing w:after="0" w:line="240" w:lineRule="auto"/>
    </w:pPr>
  </w:style>
  <w:style w:type="table" w:customStyle="1" w:styleId="Tablaconcuadrcula1">
    <w:name w:val="Tabla con cuadrícula1"/>
    <w:basedOn w:val="Tablanormal"/>
    <w:next w:val="Tablaconcuadrcula"/>
    <w:uiPriority w:val="39"/>
    <w:qFormat/>
    <w:rsid w:val="00B4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910">
      <w:bodyDiv w:val="1"/>
      <w:marLeft w:val="0"/>
      <w:marRight w:val="0"/>
      <w:marTop w:val="0"/>
      <w:marBottom w:val="0"/>
      <w:divBdr>
        <w:top w:val="none" w:sz="0" w:space="0" w:color="auto"/>
        <w:left w:val="none" w:sz="0" w:space="0" w:color="auto"/>
        <w:bottom w:val="none" w:sz="0" w:space="0" w:color="auto"/>
        <w:right w:val="none" w:sz="0" w:space="0" w:color="auto"/>
      </w:divBdr>
    </w:div>
    <w:div w:id="65417150">
      <w:bodyDiv w:val="1"/>
      <w:marLeft w:val="0"/>
      <w:marRight w:val="0"/>
      <w:marTop w:val="0"/>
      <w:marBottom w:val="0"/>
      <w:divBdr>
        <w:top w:val="none" w:sz="0" w:space="0" w:color="auto"/>
        <w:left w:val="none" w:sz="0" w:space="0" w:color="auto"/>
        <w:bottom w:val="none" w:sz="0" w:space="0" w:color="auto"/>
        <w:right w:val="none" w:sz="0" w:space="0" w:color="auto"/>
      </w:divBdr>
    </w:div>
    <w:div w:id="48852308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92137267">
      <w:bodyDiv w:val="1"/>
      <w:marLeft w:val="0"/>
      <w:marRight w:val="0"/>
      <w:marTop w:val="0"/>
      <w:marBottom w:val="0"/>
      <w:divBdr>
        <w:top w:val="none" w:sz="0" w:space="0" w:color="auto"/>
        <w:left w:val="none" w:sz="0" w:space="0" w:color="auto"/>
        <w:bottom w:val="none" w:sz="0" w:space="0" w:color="auto"/>
        <w:right w:val="none" w:sz="0" w:space="0" w:color="auto"/>
      </w:divBdr>
    </w:div>
    <w:div w:id="976566751">
      <w:bodyDiv w:val="1"/>
      <w:marLeft w:val="0"/>
      <w:marRight w:val="0"/>
      <w:marTop w:val="0"/>
      <w:marBottom w:val="0"/>
      <w:divBdr>
        <w:top w:val="none" w:sz="0" w:space="0" w:color="auto"/>
        <w:left w:val="none" w:sz="0" w:space="0" w:color="auto"/>
        <w:bottom w:val="none" w:sz="0" w:space="0" w:color="auto"/>
        <w:right w:val="none" w:sz="0" w:space="0" w:color="auto"/>
      </w:divBdr>
    </w:div>
    <w:div w:id="101372316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5607299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456368013">
      <w:bodyDiv w:val="1"/>
      <w:marLeft w:val="0"/>
      <w:marRight w:val="0"/>
      <w:marTop w:val="0"/>
      <w:marBottom w:val="0"/>
      <w:divBdr>
        <w:top w:val="none" w:sz="0" w:space="0" w:color="auto"/>
        <w:left w:val="none" w:sz="0" w:space="0" w:color="auto"/>
        <w:bottom w:val="none" w:sz="0" w:space="0" w:color="auto"/>
        <w:right w:val="none" w:sz="0" w:space="0" w:color="auto"/>
      </w:divBdr>
    </w:div>
    <w:div w:id="1573588996">
      <w:bodyDiv w:val="1"/>
      <w:marLeft w:val="0"/>
      <w:marRight w:val="0"/>
      <w:marTop w:val="0"/>
      <w:marBottom w:val="0"/>
      <w:divBdr>
        <w:top w:val="none" w:sz="0" w:space="0" w:color="auto"/>
        <w:left w:val="none" w:sz="0" w:space="0" w:color="auto"/>
        <w:bottom w:val="none" w:sz="0" w:space="0" w:color="auto"/>
        <w:right w:val="none" w:sz="0" w:space="0" w:color="auto"/>
      </w:divBdr>
    </w:div>
    <w:div w:id="1618440583">
      <w:bodyDiv w:val="1"/>
      <w:marLeft w:val="0"/>
      <w:marRight w:val="0"/>
      <w:marTop w:val="0"/>
      <w:marBottom w:val="0"/>
      <w:divBdr>
        <w:top w:val="none" w:sz="0" w:space="0" w:color="auto"/>
        <w:left w:val="none" w:sz="0" w:space="0" w:color="auto"/>
        <w:bottom w:val="none" w:sz="0" w:space="0" w:color="auto"/>
        <w:right w:val="none" w:sz="0" w:space="0" w:color="auto"/>
      </w:divBdr>
    </w:div>
    <w:div w:id="1799488849">
      <w:bodyDiv w:val="1"/>
      <w:marLeft w:val="0"/>
      <w:marRight w:val="0"/>
      <w:marTop w:val="0"/>
      <w:marBottom w:val="0"/>
      <w:divBdr>
        <w:top w:val="none" w:sz="0" w:space="0" w:color="auto"/>
        <w:left w:val="none" w:sz="0" w:space="0" w:color="auto"/>
        <w:bottom w:val="none" w:sz="0" w:space="0" w:color="auto"/>
        <w:right w:val="none" w:sz="0" w:space="0" w:color="auto"/>
      </w:divBdr>
    </w:div>
    <w:div w:id="1893808724">
      <w:bodyDiv w:val="1"/>
      <w:marLeft w:val="0"/>
      <w:marRight w:val="0"/>
      <w:marTop w:val="0"/>
      <w:marBottom w:val="0"/>
      <w:divBdr>
        <w:top w:val="none" w:sz="0" w:space="0" w:color="auto"/>
        <w:left w:val="none" w:sz="0" w:space="0" w:color="auto"/>
        <w:bottom w:val="none" w:sz="0" w:space="0" w:color="auto"/>
        <w:right w:val="none" w:sz="0" w:space="0" w:color="auto"/>
      </w:divBdr>
    </w:div>
    <w:div w:id="1939555573">
      <w:bodyDiv w:val="1"/>
      <w:marLeft w:val="0"/>
      <w:marRight w:val="0"/>
      <w:marTop w:val="0"/>
      <w:marBottom w:val="0"/>
      <w:divBdr>
        <w:top w:val="none" w:sz="0" w:space="0" w:color="auto"/>
        <w:left w:val="none" w:sz="0" w:space="0" w:color="auto"/>
        <w:bottom w:val="none" w:sz="0" w:space="0" w:color="auto"/>
        <w:right w:val="none" w:sz="0" w:space="0" w:color="auto"/>
      </w:divBdr>
    </w:div>
    <w:div w:id="2131320819">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manual-para-determinar-y-verificar-los-requisitos-habilitantes-en-los-procesos-de-contratac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8DC646CC-0C25-474F-8050-E3FB53CA9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15</Pages>
  <Words>4759</Words>
  <Characters>26177</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2026-08-03T12:17:00Z</dcterms:created>
  <dcterms:modified xsi:type="dcterms:W3CDTF">2026-08-05T22:40:00Z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