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46BA" w14:textId="40BBD2B8" w:rsidR="001E2581" w:rsidRDefault="00324872" w:rsidP="007E5D95">
      <w:pPr>
        <w:spacing w:after="0" w:line="276" w:lineRule="auto"/>
        <w:jc w:val="both"/>
        <w:rPr>
          <w:rFonts w:ascii="Verdana" w:eastAsia="Calibri" w:hAnsi="Verdana" w:cs="Arial"/>
          <w:b/>
          <w:bCs/>
          <w:color w:val="00B0F0"/>
          <w:kern w:val="2"/>
          <w:lang w:eastAsia="es-MX"/>
          <w14:ligatures w14:val="standardContextual"/>
        </w:rPr>
      </w:pPr>
      <w:bookmarkStart w:id="0" w:name="_Hlk143780582"/>
      <w:r>
        <w:rPr>
          <w:rFonts w:ascii="Verdana" w:eastAsia="Calibri" w:hAnsi="Verdana" w:cs="Arial"/>
          <w:b/>
          <w:bCs/>
          <w:color w:val="00B0F0"/>
          <w:kern w:val="2"/>
          <w:lang w:eastAsia="es-MX"/>
          <w14:ligatures w14:val="standardContextual"/>
        </w:rPr>
        <w:t xml:space="preserve"> </w:t>
      </w:r>
    </w:p>
    <w:p w14:paraId="08E48040" w14:textId="4062AD92" w:rsidR="007E5D95" w:rsidRPr="00F55550" w:rsidRDefault="007E5D95" w:rsidP="007E5D95">
      <w:pPr>
        <w:spacing w:after="0" w:line="276" w:lineRule="auto"/>
        <w:jc w:val="both"/>
        <w:rPr>
          <w:rFonts w:ascii="Verdana" w:eastAsia="Calibri" w:hAnsi="Verdana" w:cs="Arial"/>
          <w:b/>
          <w:bCs/>
          <w:color w:val="000000" w:themeColor="text1"/>
          <w:kern w:val="2"/>
          <w:lang w:val="es-ES_tradnl" w:eastAsia="es-MX"/>
          <w14:ligatures w14:val="standardContextual"/>
        </w:rPr>
      </w:pPr>
      <w:r w:rsidRPr="00F55550">
        <w:rPr>
          <w:rFonts w:ascii="Verdana" w:eastAsia="Calibri" w:hAnsi="Verdana" w:cs="Arial"/>
          <w:b/>
          <w:bCs/>
          <w:color w:val="000000" w:themeColor="text1"/>
          <w:kern w:val="2"/>
          <w:lang w:val="es-ES_tradnl" w:eastAsia="es-MX"/>
          <w14:ligatures w14:val="standardContextual"/>
        </w:rPr>
        <w:t>DOCUMENTOS TIPO –</w:t>
      </w:r>
      <w:r w:rsidR="00F55550" w:rsidRPr="00F55550">
        <w:rPr>
          <w:rFonts w:ascii="Verdana" w:eastAsia="Calibri" w:hAnsi="Verdana" w:cs="Arial"/>
          <w:b/>
          <w:bCs/>
          <w:color w:val="000000" w:themeColor="text1"/>
          <w:kern w:val="2"/>
          <w:lang w:val="es-ES_tradnl" w:eastAsia="es-MX"/>
          <w14:ligatures w14:val="standardContextual"/>
        </w:rPr>
        <w:t xml:space="preserve"> Sector Social –</w:t>
      </w:r>
      <w:r w:rsidRPr="00F55550">
        <w:rPr>
          <w:rFonts w:ascii="Verdana" w:eastAsia="Calibri" w:hAnsi="Verdana" w:cs="Arial"/>
          <w:b/>
          <w:bCs/>
          <w:color w:val="000000" w:themeColor="text1"/>
          <w:kern w:val="2"/>
          <w:lang w:val="es-ES_tradnl" w:eastAsia="es-MX"/>
          <w14:ligatures w14:val="standardContextual"/>
        </w:rPr>
        <w:t xml:space="preserve"> Obligatoriedad </w:t>
      </w:r>
      <w:r w:rsidR="00F55550" w:rsidRPr="00F55550">
        <w:rPr>
          <w:rFonts w:ascii="Verdana" w:eastAsia="Calibri" w:hAnsi="Verdana" w:cs="Arial"/>
          <w:b/>
          <w:bCs/>
          <w:color w:val="000000" w:themeColor="text1"/>
          <w:kern w:val="2"/>
          <w:lang w:val="es-ES_tradnl" w:eastAsia="es-MX"/>
          <w14:ligatures w14:val="standardContextual"/>
        </w:rPr>
        <w:t xml:space="preserve">– vigencia </w:t>
      </w:r>
    </w:p>
    <w:p w14:paraId="4118CE06" w14:textId="77777777" w:rsidR="007E5D95" w:rsidRPr="00F55550" w:rsidRDefault="007E5D95" w:rsidP="007E5D95">
      <w:pPr>
        <w:spacing w:after="0" w:line="276" w:lineRule="auto"/>
        <w:jc w:val="both"/>
        <w:rPr>
          <w:rFonts w:ascii="Verdana" w:eastAsia="Calibri" w:hAnsi="Verdana" w:cs="Arial"/>
          <w:b/>
          <w:bCs/>
          <w:color w:val="000000" w:themeColor="text1"/>
          <w:kern w:val="2"/>
          <w:sz w:val="20"/>
          <w:szCs w:val="20"/>
          <w:lang w:val="es-ES_tradnl" w:eastAsia="es-MX"/>
          <w14:ligatures w14:val="standardContextual"/>
        </w:rPr>
      </w:pPr>
    </w:p>
    <w:p w14:paraId="753B85BF" w14:textId="77777777" w:rsidR="00F55550" w:rsidRPr="00F55550" w:rsidRDefault="00F55550" w:rsidP="00F55550">
      <w:pPr>
        <w:widowControl w:val="0"/>
        <w:autoSpaceDE w:val="0"/>
        <w:autoSpaceDN w:val="0"/>
        <w:spacing w:after="120" w:line="240" w:lineRule="auto"/>
        <w:jc w:val="both"/>
        <w:rPr>
          <w:rFonts w:ascii="Verdana" w:eastAsia="Calibri" w:hAnsi="Verdana" w:cs="Arial"/>
          <w:color w:val="000000" w:themeColor="text1"/>
          <w:kern w:val="2"/>
          <w:sz w:val="20"/>
          <w:szCs w:val="20"/>
          <w14:ligatures w14:val="standardContextual"/>
        </w:rPr>
      </w:pPr>
      <w:r w:rsidRPr="00F55550">
        <w:rPr>
          <w:rFonts w:ascii="Verdana" w:eastAsia="Aptos" w:hAnsi="Verdana" w:cs="Times New Roman"/>
          <w:color w:val="000000" w:themeColor="text1"/>
          <w:sz w:val="20"/>
          <w:szCs w:val="20"/>
          <w:lang w:eastAsia="es-MX"/>
        </w:rPr>
        <w:t>Las Resoluciones 539, 540 y 541 del 21 de agosto de 2025, así como las Resoluciones 952 y 953 del 15 de diciembre de 2025, mediante las cuales se adoptaron los Documentos Tipo aplicables al sector de infraestructura social, son de obligatorio cumplimiento en la actividad contractual de las Entidades Estatales sometidas al Estatuto General de Contratación de la Administración Pública. Igualmente, resultan exigibles a los patrimonios autónomos y a las personas naturales o jurídicas de derecho público que, en virtud de disposición legal, se encuentren obligadas a su aplicación.</w:t>
      </w:r>
    </w:p>
    <w:p w14:paraId="095753A6" w14:textId="4321D2A7" w:rsidR="00330A20" w:rsidRPr="006070CD" w:rsidRDefault="00F55550" w:rsidP="00F55550">
      <w:pPr>
        <w:widowControl w:val="0"/>
        <w:autoSpaceDE w:val="0"/>
        <w:autoSpaceDN w:val="0"/>
        <w:spacing w:after="120" w:line="240" w:lineRule="auto"/>
        <w:jc w:val="both"/>
        <w:rPr>
          <w:rFonts w:ascii="Verdana" w:eastAsia="Calibri" w:hAnsi="Verdana" w:cs="Arial"/>
          <w:color w:val="000000" w:themeColor="text1"/>
          <w:kern w:val="2"/>
          <w:sz w:val="20"/>
          <w:szCs w:val="20"/>
          <w14:ligatures w14:val="standardContextual"/>
        </w:rPr>
      </w:pPr>
      <w:r w:rsidRPr="00F55550">
        <w:rPr>
          <w:rFonts w:ascii="Verdana" w:eastAsia="Calibri" w:hAnsi="Verdana" w:cs="Arial"/>
          <w:color w:val="000000" w:themeColor="text1"/>
          <w:kern w:val="2"/>
          <w:sz w:val="20"/>
          <w:szCs w:val="20"/>
          <w14:ligatures w14:val="standardContextual"/>
        </w:rPr>
        <w:t>Estos Documentos Tipo tienen aplicación transversal en las modalidades de selección previstas en las respectivas resoluciones y en los proyectos de infraestructura, interventoría y consultoría relacionados con los sectores educativo, salud, cultura, recreación y deporte, institucional y vivienda. Su implementación será obligatoria en los procesos de selección cuyo aviso de convocatoria sea publique a partir del 16 de febrero de 2026.</w:t>
      </w:r>
    </w:p>
    <w:p w14:paraId="22020586" w14:textId="77777777" w:rsidR="006070CD" w:rsidRDefault="006070CD" w:rsidP="006070CD">
      <w:pPr>
        <w:widowControl w:val="0"/>
        <w:autoSpaceDE w:val="0"/>
        <w:autoSpaceDN w:val="0"/>
        <w:spacing w:after="120" w:line="240" w:lineRule="auto"/>
        <w:jc w:val="both"/>
        <w:rPr>
          <w:rFonts w:ascii="Verdana" w:eastAsia="Calibri" w:hAnsi="Verdana" w:cs="Arial"/>
          <w:b/>
          <w:bCs/>
          <w:color w:val="000000" w:themeColor="text1"/>
          <w:kern w:val="2"/>
          <w14:ligatures w14:val="standardContextual"/>
        </w:rPr>
      </w:pPr>
      <w:r w:rsidRPr="006070CD">
        <w:rPr>
          <w:rFonts w:ascii="Verdana" w:eastAsia="Calibri" w:hAnsi="Verdana" w:cs="Arial"/>
          <w:b/>
          <w:bCs/>
          <w:color w:val="000000" w:themeColor="text1"/>
          <w:kern w:val="2"/>
          <w14:ligatures w14:val="standardContextual"/>
        </w:rPr>
        <w:t xml:space="preserve">AVISO DE CONVOCATORIA – Documentos Tipo – Finalidad </w:t>
      </w:r>
    </w:p>
    <w:p w14:paraId="3FCDB207" w14:textId="3D1677E3" w:rsidR="00330A20" w:rsidRPr="006070CD" w:rsidRDefault="00330A20" w:rsidP="006070CD">
      <w:pPr>
        <w:widowControl w:val="0"/>
        <w:autoSpaceDE w:val="0"/>
        <w:autoSpaceDN w:val="0"/>
        <w:spacing w:after="120" w:line="240" w:lineRule="auto"/>
        <w:jc w:val="both"/>
        <w:rPr>
          <w:rFonts w:ascii="Verdana" w:eastAsia="Calibri" w:hAnsi="Verdana" w:cs="Arial"/>
          <w:b/>
          <w:bCs/>
          <w:color w:val="000000" w:themeColor="text1"/>
          <w:kern w:val="2"/>
          <w:sz w:val="20"/>
          <w:szCs w:val="20"/>
          <w14:ligatures w14:val="standardContextual"/>
        </w:rPr>
      </w:pPr>
      <w:r w:rsidRPr="006070CD">
        <w:rPr>
          <w:rFonts w:ascii="Verdana" w:hAnsi="Verdana" w:cs="Arial"/>
          <w:color w:val="000000" w:themeColor="text1"/>
          <w:sz w:val="20"/>
          <w:szCs w:val="20"/>
        </w:rPr>
        <w:t>El aviso de convocatoria tiene como finalidad principal invitar a los interesados a participar en el proceso de contratación y poner en su conocimiento los aspectos esenciales del mismo. Esta etapa preliminar cumple una función informativa y participativa, en la medida en que permite a los potenciales oferentes presentar observaciones, solicitudes de aclaración o comentarios respecto del proyecto de pliego de condiciones. Por ello, el aviso contiene una síntesis del contenido del proyecto de pliego, la cual no es definitiva, sino susceptible de ajustes conforme se desarrollen las interacciones entre la entidad contratante y los interesados</w:t>
      </w:r>
    </w:p>
    <w:p w14:paraId="45D96392" w14:textId="51339627" w:rsidR="00330A20" w:rsidRDefault="00330A20" w:rsidP="006070CD">
      <w:pPr>
        <w:widowControl w:val="0"/>
        <w:autoSpaceDE w:val="0"/>
        <w:autoSpaceDN w:val="0"/>
        <w:spacing w:after="120" w:line="240" w:lineRule="auto"/>
        <w:jc w:val="both"/>
        <w:rPr>
          <w:rFonts w:ascii="Verdana" w:hAnsi="Verdana" w:cs="Arial"/>
          <w:color w:val="000000" w:themeColor="text1"/>
          <w:sz w:val="20"/>
          <w:szCs w:val="20"/>
        </w:rPr>
      </w:pPr>
      <w:r w:rsidRPr="006070CD">
        <w:rPr>
          <w:rFonts w:ascii="Verdana" w:hAnsi="Verdana" w:cs="Arial"/>
          <w:color w:val="000000" w:themeColor="text1"/>
          <w:sz w:val="20"/>
          <w:szCs w:val="20"/>
        </w:rPr>
        <w:t>En los procesos adelantados conforme lo previsto en los Documentos Tipo, la fecha de publicación del aviso de convocatoria constituye un elemento relevante para determinar las disposiciones aplicables, dado que a partir de dicha actuación se exterioriza la voluntad de la entidad estatal de iniciar el procedimiento contractual y se garantiza el conocimiento de los interesados.</w:t>
      </w:r>
    </w:p>
    <w:p w14:paraId="7763FDE7" w14:textId="50CACB13" w:rsidR="004B031A" w:rsidRPr="003200FD" w:rsidRDefault="004B031A" w:rsidP="004B031A">
      <w:pPr>
        <w:widowControl w:val="0"/>
        <w:autoSpaceDE w:val="0"/>
        <w:autoSpaceDN w:val="0"/>
        <w:spacing w:after="120" w:line="240" w:lineRule="auto"/>
        <w:jc w:val="both"/>
        <w:rPr>
          <w:rFonts w:ascii="Verdana" w:eastAsia="Calibri" w:hAnsi="Verdana" w:cs="Arial"/>
          <w:color w:val="000000" w:themeColor="text1"/>
          <w:kern w:val="2"/>
          <w:lang w:val="es-ES"/>
          <w14:ligatures w14:val="standardContextual"/>
        </w:rPr>
      </w:pPr>
      <w:r w:rsidRPr="003200FD">
        <w:rPr>
          <w:rFonts w:ascii="Verdana" w:eastAsia="Calibri" w:hAnsi="Verdana" w:cs="Arial"/>
          <w:b/>
          <w:bCs/>
          <w:color w:val="000000" w:themeColor="text1"/>
          <w:kern w:val="2"/>
          <w:lang w:val="es-ES"/>
          <w14:ligatures w14:val="standardContextual"/>
        </w:rPr>
        <w:t>DÍAS HÁBILES – Concepto – Cómputo de términos</w:t>
      </w:r>
      <w:r w:rsidR="00A42BEC" w:rsidRPr="00A42BEC">
        <w:rPr>
          <w:rFonts w:ascii="Verdana" w:eastAsia="Calibri" w:hAnsi="Verdana" w:cs="Arial"/>
          <w:b/>
          <w:bCs/>
          <w:color w:val="000000" w:themeColor="text1"/>
          <w:kern w:val="2"/>
          <w:lang w:val="es-ES"/>
          <w14:ligatures w14:val="standardContextual"/>
        </w:rPr>
        <w:t xml:space="preserve"> </w:t>
      </w:r>
      <w:r w:rsidR="00A42BEC" w:rsidRPr="003200FD">
        <w:rPr>
          <w:rFonts w:ascii="Verdana" w:eastAsia="Calibri" w:hAnsi="Verdana" w:cs="Arial"/>
          <w:b/>
          <w:bCs/>
          <w:color w:val="000000" w:themeColor="text1"/>
          <w:kern w:val="2"/>
          <w:lang w:val="es-ES"/>
          <w14:ligatures w14:val="standardContextual"/>
        </w:rPr>
        <w:t>– Facultad de la Administración para definirlos – Condiciones mínimas</w:t>
      </w:r>
    </w:p>
    <w:p w14:paraId="1F294B7A" w14:textId="140C3D9F" w:rsidR="00B123DA" w:rsidRPr="004B031A" w:rsidRDefault="00B123DA" w:rsidP="004B031A">
      <w:pPr>
        <w:tabs>
          <w:tab w:val="left" w:pos="0"/>
        </w:tabs>
        <w:spacing w:after="120" w:line="240" w:lineRule="auto"/>
        <w:jc w:val="both"/>
        <w:rPr>
          <w:rFonts w:ascii="Verdana" w:eastAsia="Calibri" w:hAnsi="Verdana" w:cs="Arial"/>
          <w:bCs/>
          <w:sz w:val="20"/>
          <w:szCs w:val="20"/>
          <w:lang w:val="es-ES"/>
        </w:rPr>
      </w:pPr>
      <w:r w:rsidRPr="004B031A">
        <w:rPr>
          <w:rFonts w:ascii="Verdana" w:eastAsia="Calibri" w:hAnsi="Verdana" w:cs="Arial"/>
          <w:bCs/>
          <w:sz w:val="20"/>
          <w:szCs w:val="20"/>
          <w:lang w:val="es-ES"/>
        </w:rPr>
        <w:t xml:space="preserve">De esta manera, los días hábiles se determinan según la entidad, ya que “cada entidad pública establece la jornada laboral, a través de su reglamento interno, dando certeza sobre los días que atienden al público, e indirectamente definiendo qué día es hábil en determinada institución”, por lo que días hábiles son aquellos de la semana durante los cuales las entidades públicas ejercen sus funciones y prestan servicio al público, los cuales son, por regla general, todos los días de la semana, con excepción de los sábados, domingos y feriados previstos en la generalidad de entidades como días de descanso. Lo anterior sin perjuicio de que las entidades definan en sus reglamentos internos jornadas laborales distintas, que incluyan el sábado o el domingo, como “en los numerosos municipios del país donde la Administración labora los fines de semana </w:t>
      </w:r>
      <w:r w:rsidRPr="004B031A">
        <w:rPr>
          <w:rFonts w:ascii="Verdana" w:eastAsia="Calibri" w:hAnsi="Verdana" w:cs="Arial"/>
          <w:bCs/>
          <w:sz w:val="20"/>
          <w:szCs w:val="20"/>
          <w:lang w:val="es-ES"/>
        </w:rPr>
        <w:lastRenderedPageBreak/>
        <w:t xml:space="preserve">―sábados y domingos― normalmente para brindarle un buen servicio a la población campesina, que </w:t>
      </w:r>
      <w:proofErr w:type="gramStart"/>
      <w:r w:rsidRPr="004B031A">
        <w:rPr>
          <w:rFonts w:ascii="Verdana" w:eastAsia="Calibri" w:hAnsi="Verdana" w:cs="Arial"/>
          <w:bCs/>
          <w:sz w:val="20"/>
          <w:szCs w:val="20"/>
          <w:lang w:val="es-ES"/>
        </w:rPr>
        <w:t>acostumbra</w:t>
      </w:r>
      <w:proofErr w:type="gramEnd"/>
      <w:r w:rsidRPr="004B031A">
        <w:rPr>
          <w:rFonts w:ascii="Verdana" w:eastAsia="Calibri" w:hAnsi="Verdana" w:cs="Arial"/>
          <w:bCs/>
          <w:sz w:val="20"/>
          <w:szCs w:val="20"/>
          <w:lang w:val="es-ES"/>
        </w:rPr>
        <w:t xml:space="preserve"> ir al casco urbano en estos dos días y descansan un día de la semana ―usualmente el miércoles―</w:t>
      </w:r>
      <w:r w:rsidR="004B031A">
        <w:rPr>
          <w:rFonts w:ascii="Verdana" w:eastAsia="Calibri" w:hAnsi="Verdana" w:cs="Arial"/>
          <w:bCs/>
          <w:sz w:val="20"/>
          <w:szCs w:val="20"/>
          <w:lang w:val="es-ES"/>
        </w:rPr>
        <w:t xml:space="preserve">”, </w:t>
      </w:r>
      <w:r w:rsidRPr="004B031A">
        <w:rPr>
          <w:rFonts w:ascii="Verdana" w:eastAsia="Calibri" w:hAnsi="Verdana" w:cs="Arial"/>
          <w:bCs/>
          <w:sz w:val="20"/>
          <w:szCs w:val="20"/>
          <w:lang w:val="es-ES"/>
        </w:rPr>
        <w:t xml:space="preserve">ejemplo donde los días laborables o hábiles son todos los de la semana, con excepción del miércoles. </w:t>
      </w:r>
    </w:p>
    <w:p w14:paraId="0E4143A4" w14:textId="77777777" w:rsidR="00A42BEC" w:rsidRDefault="00B123DA" w:rsidP="00A42BEC">
      <w:pPr>
        <w:tabs>
          <w:tab w:val="left" w:pos="0"/>
        </w:tabs>
        <w:spacing w:after="120" w:line="240" w:lineRule="auto"/>
        <w:jc w:val="both"/>
        <w:rPr>
          <w:rFonts w:ascii="Verdana" w:eastAsia="Calibri" w:hAnsi="Verdana" w:cs="Arial"/>
          <w:bCs/>
          <w:sz w:val="20"/>
          <w:szCs w:val="20"/>
        </w:rPr>
      </w:pPr>
      <w:r w:rsidRPr="004B031A">
        <w:rPr>
          <w:rFonts w:ascii="Verdana" w:eastAsia="Calibri" w:hAnsi="Verdana" w:cs="Arial"/>
          <w:bCs/>
          <w:sz w:val="20"/>
          <w:szCs w:val="20"/>
        </w:rPr>
        <w:t xml:space="preserve">En ese contexto, </w:t>
      </w:r>
      <w:r w:rsidRPr="004B031A">
        <w:rPr>
          <w:rFonts w:ascii="Verdana" w:eastAsia="Calibri" w:hAnsi="Verdana" w:cs="Arial"/>
          <w:sz w:val="20"/>
          <w:szCs w:val="20"/>
        </w:rPr>
        <w:t>la habilitación de los días sábado, domingos o feriados como días hábiles para efectos administrativos y de gestión contractual resulta jurídicamente viable</w:t>
      </w:r>
      <w:r w:rsidRPr="004B031A">
        <w:rPr>
          <w:rFonts w:ascii="Verdana" w:eastAsia="Calibri" w:hAnsi="Verdana" w:cs="Arial"/>
          <w:bCs/>
          <w:sz w:val="20"/>
          <w:szCs w:val="20"/>
        </w:rPr>
        <w:t xml:space="preserve"> y recaería en el </w:t>
      </w:r>
      <w:r w:rsidRPr="004B031A">
        <w:rPr>
          <w:rFonts w:ascii="Verdana" w:eastAsia="Calibri" w:hAnsi="Verdana" w:cs="Arial"/>
          <w:sz w:val="20"/>
          <w:szCs w:val="20"/>
        </w:rPr>
        <w:t>ordenador del gasto de una entidad territorial —como ocurre en las alcaldías municipales o gobernaciones—, quien mediante acto administrativo debidamente motivado se encuentra facultado para declarar, mediante acto administrativo, el día sábado como hábil con el fin de adelantar trámites administrativos relacionados con la gestión contractual, durante el tiempo que se requiera.</w:t>
      </w:r>
    </w:p>
    <w:p w14:paraId="6D2CAB59" w14:textId="77777777" w:rsidR="003200FD" w:rsidRPr="003200FD" w:rsidRDefault="003200FD" w:rsidP="00A42BEC">
      <w:pPr>
        <w:tabs>
          <w:tab w:val="left" w:pos="0"/>
        </w:tabs>
        <w:spacing w:after="120" w:line="240" w:lineRule="auto"/>
        <w:jc w:val="both"/>
        <w:rPr>
          <w:rFonts w:ascii="Verdana" w:eastAsia="Calibri" w:hAnsi="Verdana" w:cs="Arial"/>
          <w:bCs/>
          <w:sz w:val="20"/>
          <w:szCs w:val="20"/>
          <w:lang w:val="es-ES"/>
        </w:rPr>
      </w:pPr>
      <w:r w:rsidRPr="003200FD">
        <w:rPr>
          <w:rFonts w:ascii="Verdana" w:eastAsia="Calibri" w:hAnsi="Verdana" w:cs="Arial"/>
          <w:color w:val="000000" w:themeColor="text1"/>
          <w:kern w:val="2"/>
          <w:sz w:val="20"/>
          <w:szCs w:val="20"/>
          <w:lang w:val="es-ES"/>
          <w14:ligatures w14:val="standardContextual"/>
        </w:rPr>
        <w:t>Es pertinente mencionar, que dicha facultad encuentra respaldo en el artículo 209 de la Constitución Política, que impone a las autoridades administrativas el deber de coordinar sus actuaciones para el cumplimiento adecuado de los fines del Estado.  No obstante, el ejercicio de esta facultad no es absoluto y debe cumplir condiciones mínimas de validez y eficacia, entre ellas: (i) la expedición de un acto administrativo expreso y motivado, (</w:t>
      </w:r>
      <w:proofErr w:type="spellStart"/>
      <w:r w:rsidRPr="003200FD">
        <w:rPr>
          <w:rFonts w:ascii="Verdana" w:eastAsia="Calibri" w:hAnsi="Verdana" w:cs="Arial"/>
          <w:color w:val="000000" w:themeColor="text1"/>
          <w:kern w:val="2"/>
          <w:sz w:val="20"/>
          <w:szCs w:val="20"/>
          <w:lang w:val="es-ES"/>
          <w14:ligatures w14:val="standardContextual"/>
        </w:rPr>
        <w:t>ii</w:t>
      </w:r>
      <w:proofErr w:type="spellEnd"/>
      <w:r w:rsidRPr="003200FD">
        <w:rPr>
          <w:rFonts w:ascii="Verdana" w:eastAsia="Calibri" w:hAnsi="Verdana" w:cs="Arial"/>
          <w:color w:val="000000" w:themeColor="text1"/>
          <w:kern w:val="2"/>
          <w:sz w:val="20"/>
          <w:szCs w:val="20"/>
          <w:lang w:val="es-ES"/>
          <w14:ligatures w14:val="standardContextual"/>
        </w:rPr>
        <w:t>) la adecuada publicidad de la decisión, y (</w:t>
      </w:r>
      <w:proofErr w:type="spellStart"/>
      <w:r w:rsidRPr="003200FD">
        <w:rPr>
          <w:rFonts w:ascii="Verdana" w:eastAsia="Calibri" w:hAnsi="Verdana" w:cs="Arial"/>
          <w:color w:val="000000" w:themeColor="text1"/>
          <w:kern w:val="2"/>
          <w:sz w:val="20"/>
          <w:szCs w:val="20"/>
          <w:lang w:val="es-ES"/>
          <w14:ligatures w14:val="standardContextual"/>
        </w:rPr>
        <w:t>iii</w:t>
      </w:r>
      <w:proofErr w:type="spellEnd"/>
      <w:r w:rsidRPr="003200FD">
        <w:rPr>
          <w:rFonts w:ascii="Verdana" w:eastAsia="Calibri" w:hAnsi="Verdana" w:cs="Arial"/>
          <w:color w:val="000000" w:themeColor="text1"/>
          <w:kern w:val="2"/>
          <w:sz w:val="20"/>
          <w:szCs w:val="20"/>
          <w:lang w:val="es-ES"/>
          <w14:ligatures w14:val="standardContextual"/>
        </w:rPr>
        <w:t>) su comunicación efectiva a todos los interesados actuales o potenciales del proceso de selección. Estas exigencias resultan indispensables para salvaguardar los principios de transparencia, igualdad, publicidad y selección objetiva que rigen la contratación estatal, evitando que la medida excepcional genere ventajas indebidas o afecte la libre concurrencia.</w:t>
      </w:r>
    </w:p>
    <w:p w14:paraId="71D97E96" w14:textId="77777777" w:rsidR="00B123DA" w:rsidRDefault="00B123DA"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38995E86"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231CE7F1"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00F171D5"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67B5F824"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7934EAE7"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5E56347A"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163667EF"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21D03D22"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616AF964"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5907C5C4"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6081EA55"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09577008"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72D6BCF1" w14:textId="77777777" w:rsidR="00A42BEC"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3E055F3D" w14:textId="77777777" w:rsidR="00A42BEC" w:rsidRPr="00B123DA" w:rsidRDefault="00A42BEC" w:rsidP="006070CD">
      <w:pPr>
        <w:widowControl w:val="0"/>
        <w:autoSpaceDE w:val="0"/>
        <w:autoSpaceDN w:val="0"/>
        <w:spacing w:after="120" w:line="240" w:lineRule="auto"/>
        <w:jc w:val="both"/>
        <w:rPr>
          <w:rFonts w:ascii="Verdana" w:eastAsia="Calibri" w:hAnsi="Verdana" w:cs="Arial"/>
          <w:color w:val="000000" w:themeColor="text1"/>
          <w:kern w:val="2"/>
          <w:sz w:val="20"/>
          <w:szCs w:val="20"/>
          <w:lang w:val="es-ES"/>
          <w14:ligatures w14:val="standardContextual"/>
        </w:rPr>
      </w:pPr>
    </w:p>
    <w:p w14:paraId="56E680CE" w14:textId="77777777" w:rsidR="007E5D95" w:rsidRPr="001F57FC" w:rsidRDefault="007E5D95" w:rsidP="007E5D95">
      <w:pPr>
        <w:spacing w:after="0" w:line="240" w:lineRule="auto"/>
        <w:jc w:val="both"/>
        <w:rPr>
          <w:rFonts w:ascii="Verdana" w:eastAsia="Calibri" w:hAnsi="Verdana" w:cs="Arial"/>
          <w:b/>
          <w:bCs/>
          <w:color w:val="000000"/>
          <w:sz w:val="24"/>
          <w:szCs w:val="24"/>
          <w:lang w:eastAsia="es-MX"/>
        </w:rPr>
      </w:pPr>
    </w:p>
    <w:p w14:paraId="139D789B" w14:textId="20C62238" w:rsidR="00F91C09" w:rsidRDefault="00357A59" w:rsidP="00F91C09">
      <w:pPr>
        <w:spacing w:after="0"/>
        <w:rPr>
          <w:rFonts w:ascii="Verdana" w:hAnsi="Verdana"/>
        </w:rPr>
      </w:pPr>
      <w:r w:rsidRPr="00357A59">
        <w:rPr>
          <w:rFonts w:ascii="Verdana" w:hAnsi="Verdana"/>
        </w:rPr>
        <w:lastRenderedPageBreak/>
        <w:drawing>
          <wp:anchor distT="0" distB="0" distL="114300" distR="114300" simplePos="0" relativeHeight="251659264" behindDoc="0" locked="0" layoutInCell="1" allowOverlap="1" wp14:anchorId="7C2552B7" wp14:editId="3622AE48">
            <wp:simplePos x="0" y="0"/>
            <wp:positionH relativeFrom="margin">
              <wp:posOffset>2891790</wp:posOffset>
            </wp:positionH>
            <wp:positionV relativeFrom="margin">
              <wp:posOffset>179705</wp:posOffset>
            </wp:positionV>
            <wp:extent cx="3048000" cy="908050"/>
            <wp:effectExtent l="0" t="0" r="0" b="0"/>
            <wp:wrapSquare wrapText="bothSides"/>
            <wp:docPr id="305789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89158" name=""/>
                    <pic:cNvPicPr/>
                  </pic:nvPicPr>
                  <pic:blipFill rotWithShape="1">
                    <a:blip r:embed="rId11">
                      <a:extLst>
                        <a:ext uri="{28A0092B-C50C-407E-A947-70E740481C1C}">
                          <a14:useLocalDpi xmlns:a14="http://schemas.microsoft.com/office/drawing/2010/main" val="0"/>
                        </a:ext>
                      </a:extLst>
                    </a:blip>
                    <a:srcRect l="3941" t="6612" r="-3941" b="-6612"/>
                    <a:stretch>
                      <a:fillRect/>
                    </a:stretch>
                  </pic:blipFill>
                  <pic:spPr bwMode="auto">
                    <a:xfrm>
                      <a:off x="0" y="0"/>
                      <a:ext cx="3048000" cy="90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1C09" w:rsidRPr="00596553">
        <w:rPr>
          <w:rFonts w:ascii="Verdana" w:hAnsi="Verdana"/>
        </w:rPr>
        <w:t xml:space="preserve">Bogotá D.C, </w:t>
      </w:r>
      <w:r w:rsidR="00692A59" w:rsidRPr="00692A59">
        <w:rPr>
          <w:rFonts w:ascii="Verdana" w:hAnsi="Verdana"/>
        </w:rPr>
        <w:t>30 Julio 2026</w:t>
      </w:r>
    </w:p>
    <w:p w14:paraId="1BA2C6FF" w14:textId="4E3D4D2A" w:rsidR="00692A59" w:rsidRPr="00596553" w:rsidRDefault="00692A59" w:rsidP="00F91C09">
      <w:pPr>
        <w:spacing w:after="0"/>
        <w:rPr>
          <w:rFonts w:ascii="Verdana" w:hAnsi="Verdana"/>
        </w:rPr>
      </w:pPr>
    </w:p>
    <w:p w14:paraId="5A969EF6" w14:textId="2CD16994" w:rsidR="00D753D8" w:rsidRPr="00596553" w:rsidRDefault="00F91C09" w:rsidP="00F91C09">
      <w:pPr>
        <w:spacing w:after="0" w:line="276" w:lineRule="auto"/>
        <w:rPr>
          <w:rFonts w:ascii="Verdana" w:eastAsia="Calibri" w:hAnsi="Verdana" w:cs="Arial"/>
          <w:lang w:val="es-ES" w:eastAsia="es-ES"/>
        </w:rPr>
      </w:pPr>
      <w:r w:rsidRPr="00596553">
        <w:rPr>
          <w:rFonts w:ascii="Verdana" w:eastAsia="Calibri" w:hAnsi="Verdana" w:cs="Arial"/>
          <w:lang w:val="es-ES" w:eastAsia="es-ES"/>
        </w:rPr>
        <w:t>Señor</w:t>
      </w:r>
    </w:p>
    <w:p w14:paraId="75A5344B" w14:textId="500B5894" w:rsidR="00C43870" w:rsidRPr="00596553" w:rsidRDefault="00596553" w:rsidP="00F91C09">
      <w:pPr>
        <w:spacing w:after="0" w:line="276" w:lineRule="auto"/>
        <w:rPr>
          <w:rFonts w:ascii="Verdana" w:eastAsia="Calibri" w:hAnsi="Verdana" w:cs="Arial"/>
          <w:b/>
          <w:bCs/>
          <w:lang w:eastAsia="es-ES"/>
        </w:rPr>
      </w:pPr>
      <w:r w:rsidRPr="00596553">
        <w:rPr>
          <w:rFonts w:ascii="Verdana" w:eastAsia="Calibri" w:hAnsi="Verdana" w:cs="Arial"/>
          <w:b/>
          <w:bCs/>
          <w:lang w:eastAsia="es-ES"/>
        </w:rPr>
        <w:t>Cristian Peña Cepeda</w:t>
      </w:r>
    </w:p>
    <w:p w14:paraId="4158F67C" w14:textId="5070A316" w:rsidR="00596553" w:rsidRPr="00596553" w:rsidRDefault="00596553" w:rsidP="00F91C09">
      <w:pPr>
        <w:spacing w:after="0" w:line="276" w:lineRule="auto"/>
        <w:rPr>
          <w:rFonts w:ascii="Verdana" w:hAnsi="Verdana"/>
        </w:rPr>
      </w:pPr>
      <w:hyperlink r:id="rId12" w:history="1">
        <w:r w:rsidRPr="00596553">
          <w:rPr>
            <w:rStyle w:val="Hipervnculo"/>
            <w:rFonts w:ascii="Verdana" w:hAnsi="Verdana"/>
          </w:rPr>
          <w:t>cristianpe.arq@gmail.com</w:t>
        </w:r>
      </w:hyperlink>
    </w:p>
    <w:p w14:paraId="70A3F46C" w14:textId="22E6863C" w:rsidR="002249AB" w:rsidRPr="00596553" w:rsidRDefault="00596553" w:rsidP="00F91C09">
      <w:pPr>
        <w:spacing w:after="0" w:line="276" w:lineRule="auto"/>
        <w:rPr>
          <w:rFonts w:ascii="Verdana" w:eastAsia="Calibri" w:hAnsi="Verdana" w:cs="Arial"/>
          <w:b/>
          <w:bCs/>
          <w:color w:val="66CCFF"/>
          <w:lang w:val="es-ES_tradnl" w:eastAsia="es-ES_tradnl"/>
        </w:rPr>
      </w:pPr>
      <w:r w:rsidRPr="00596553">
        <w:rPr>
          <w:rFonts w:ascii="Verdana" w:hAnsi="Verdana"/>
        </w:rPr>
        <w:t>Yopal, Casanare.</w:t>
      </w:r>
    </w:p>
    <w:tbl>
      <w:tblPr>
        <w:tblStyle w:val="Tablaconcuadrcula1"/>
        <w:tblW w:w="9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5972"/>
      </w:tblGrid>
      <w:tr w:rsidR="00F91C09" w:rsidRPr="007E53B7" w14:paraId="2C17D75A" w14:textId="77777777" w:rsidTr="001D3113">
        <w:trPr>
          <w:trHeight w:val="629"/>
        </w:trPr>
        <w:tc>
          <w:tcPr>
            <w:tcW w:w="3261" w:type="dxa"/>
          </w:tcPr>
          <w:p w14:paraId="23052AFE" w14:textId="77777777" w:rsidR="00F91C09" w:rsidRPr="007E53B7" w:rsidRDefault="00F91C09">
            <w:pPr>
              <w:spacing w:line="276" w:lineRule="auto"/>
              <w:jc w:val="both"/>
              <w:rPr>
                <w:rFonts w:ascii="Verdana" w:eastAsia="Calibri" w:hAnsi="Verdana" w:cs="Arial"/>
                <w:b/>
                <w:bCs/>
                <w:color w:val="66CCFF"/>
                <w:lang w:val="es-ES_tradnl" w:eastAsia="es-ES_tradnl"/>
              </w:rPr>
            </w:pPr>
          </w:p>
        </w:tc>
        <w:tc>
          <w:tcPr>
            <w:tcW w:w="5972" w:type="dxa"/>
            <w:hideMark/>
          </w:tcPr>
          <w:p w14:paraId="184F0FA4" w14:textId="27A773A4" w:rsidR="00F91C09" w:rsidRPr="00DF2EA7" w:rsidRDefault="00153DA6">
            <w:pPr>
              <w:spacing w:line="276" w:lineRule="auto"/>
              <w:jc w:val="both"/>
              <w:rPr>
                <w:rFonts w:ascii="Verdana" w:eastAsia="Calibri" w:hAnsi="Verdana" w:cs="Arial"/>
                <w:b/>
                <w:bCs/>
                <w:lang w:val="es-ES" w:eastAsia="es-ES"/>
              </w:rPr>
            </w:pPr>
            <w:r>
              <w:rPr>
                <w:rFonts w:ascii="Verdana" w:eastAsia="Calibri" w:hAnsi="Verdana" w:cs="Arial"/>
                <w:b/>
                <w:bCs/>
                <w:lang w:val="es-ES" w:eastAsia="es-ES"/>
              </w:rPr>
              <w:t>C</w:t>
            </w:r>
            <w:r w:rsidR="00F91C09" w:rsidRPr="00DF2EA7">
              <w:rPr>
                <w:rFonts w:ascii="Verdana" w:eastAsia="Calibri" w:hAnsi="Verdana" w:cs="Arial"/>
                <w:b/>
                <w:bCs/>
                <w:lang w:val="es-ES" w:eastAsia="es-ES"/>
              </w:rPr>
              <w:t xml:space="preserve">oncepto </w:t>
            </w:r>
            <w:r w:rsidR="00596553">
              <w:rPr>
                <w:rFonts w:ascii="Verdana" w:eastAsia="Calibri" w:hAnsi="Verdana" w:cs="Arial"/>
                <w:b/>
                <w:bCs/>
                <w:lang w:val="es-ES" w:eastAsia="es-ES"/>
              </w:rPr>
              <w:t>C</w:t>
            </w:r>
            <w:r w:rsidR="00F91C09" w:rsidRPr="00DF2EA7">
              <w:rPr>
                <w:rFonts w:ascii="Verdana" w:eastAsia="Calibri" w:hAnsi="Verdana" w:cs="Arial"/>
                <w:b/>
                <w:bCs/>
                <w:lang w:val="es-ES" w:eastAsia="es-ES"/>
              </w:rPr>
              <w:t xml:space="preserve"> – </w:t>
            </w:r>
            <w:r w:rsidR="00596553">
              <w:rPr>
                <w:rFonts w:ascii="Verdana" w:eastAsia="Calibri" w:hAnsi="Verdana" w:cs="Arial"/>
                <w:b/>
                <w:bCs/>
                <w:lang w:val="es-ES" w:eastAsia="es-ES"/>
              </w:rPr>
              <w:t>1002</w:t>
            </w:r>
            <w:r w:rsidR="00CC7242">
              <w:rPr>
                <w:rFonts w:ascii="Verdana" w:eastAsia="Calibri" w:hAnsi="Verdana" w:cs="Arial"/>
                <w:b/>
                <w:bCs/>
                <w:lang w:val="es-ES" w:eastAsia="es-ES"/>
              </w:rPr>
              <w:t xml:space="preserve"> </w:t>
            </w:r>
            <w:r w:rsidR="00F91C09" w:rsidRPr="00DF2EA7">
              <w:rPr>
                <w:rFonts w:ascii="Verdana" w:eastAsia="Calibri" w:hAnsi="Verdana" w:cs="Arial"/>
                <w:b/>
                <w:bCs/>
                <w:lang w:val="es-ES" w:eastAsia="es-ES"/>
              </w:rPr>
              <w:t>de 2026</w:t>
            </w:r>
          </w:p>
        </w:tc>
      </w:tr>
      <w:tr w:rsidR="007A01B1" w:rsidRPr="00596553" w14:paraId="63F7C77A" w14:textId="77777777" w:rsidTr="001D3113">
        <w:trPr>
          <w:trHeight w:val="1605"/>
        </w:trPr>
        <w:tc>
          <w:tcPr>
            <w:tcW w:w="3261" w:type="dxa"/>
            <w:hideMark/>
          </w:tcPr>
          <w:p w14:paraId="29AD6A31" w14:textId="6D076E0F" w:rsidR="007A01B1" w:rsidRPr="00A11AA2" w:rsidRDefault="007A01B1" w:rsidP="007A01B1">
            <w:pPr>
              <w:spacing w:line="276" w:lineRule="auto"/>
              <w:jc w:val="both"/>
              <w:rPr>
                <w:rFonts w:ascii="Verdana" w:eastAsia="Calibri" w:hAnsi="Verdana" w:cs="Arial"/>
                <w:color w:val="66CCFF"/>
                <w:lang w:val="es-ES_tradnl" w:eastAsia="es-ES_tradnl"/>
              </w:rPr>
            </w:pPr>
            <w:r w:rsidRPr="00A11AA2">
              <w:rPr>
                <w:rFonts w:ascii="Verdana" w:eastAsia="Calibri" w:hAnsi="Verdana" w:cs="Arial"/>
                <w:b/>
                <w:lang w:val="es-ES_tradnl" w:eastAsia="es-ES_tradnl"/>
              </w:rPr>
              <w:t>Temas:</w:t>
            </w:r>
            <w:r w:rsidRPr="00A11AA2">
              <w:rPr>
                <w:rFonts w:ascii="Verdana" w:eastAsia="Calibri" w:hAnsi="Verdana" w:cs="Arial"/>
                <w:lang w:val="es-ES_tradnl" w:eastAsia="es-ES_tradnl"/>
              </w:rPr>
              <w:t xml:space="preserve">                  </w:t>
            </w:r>
          </w:p>
        </w:tc>
        <w:tc>
          <w:tcPr>
            <w:tcW w:w="5972" w:type="dxa"/>
          </w:tcPr>
          <w:p w14:paraId="47174D28" w14:textId="103D547D" w:rsidR="007A01B1" w:rsidRPr="00BC648F" w:rsidRDefault="00F55550" w:rsidP="006070CD">
            <w:pPr>
              <w:widowControl w:val="0"/>
              <w:autoSpaceDE w:val="0"/>
              <w:autoSpaceDN w:val="0"/>
              <w:spacing w:after="120"/>
              <w:jc w:val="both"/>
              <w:rPr>
                <w:rFonts w:ascii="Verdana" w:eastAsia="Calibri" w:hAnsi="Verdana" w:cs="Arial"/>
                <w:color w:val="000000" w:themeColor="text1"/>
                <w:kern w:val="2"/>
                <w:lang w:val="es-ES"/>
                <w14:ligatures w14:val="standardContextual"/>
              </w:rPr>
            </w:pPr>
            <w:r w:rsidRPr="00A42BEC">
              <w:rPr>
                <w:rFonts w:ascii="Verdana" w:eastAsia="Calibri" w:hAnsi="Verdana" w:cs="Arial"/>
                <w:color w:val="000000" w:themeColor="text1"/>
                <w:kern w:val="2"/>
                <w:lang w:val="es-ES_tradnl" w:eastAsia="es-MX"/>
                <w14:ligatures w14:val="standardContextual"/>
              </w:rPr>
              <w:t xml:space="preserve">DOCUMENTOS TIPO – Sector Social – Obligatoriedad – vigencia / </w:t>
            </w:r>
            <w:r w:rsidR="006070CD" w:rsidRPr="00A42BEC">
              <w:rPr>
                <w:rFonts w:ascii="Verdana" w:eastAsia="Calibri" w:hAnsi="Verdana" w:cs="Arial"/>
                <w:color w:val="000000" w:themeColor="text1"/>
                <w:kern w:val="2"/>
                <w14:ligatures w14:val="standardContextual"/>
              </w:rPr>
              <w:t>AVISO DE CONVOCATORIA – Documentos Tipo – Finalidad /</w:t>
            </w:r>
            <w:r w:rsidR="00A42BEC" w:rsidRPr="00A42BEC">
              <w:rPr>
                <w:rFonts w:ascii="Verdana" w:eastAsia="Calibri" w:hAnsi="Verdana" w:cs="Arial"/>
                <w:color w:val="000000" w:themeColor="text1"/>
                <w:kern w:val="2"/>
                <w14:ligatures w14:val="standardContextual"/>
              </w:rPr>
              <w:t xml:space="preserve"> </w:t>
            </w:r>
            <w:r w:rsidR="00A42BEC" w:rsidRPr="003200FD">
              <w:rPr>
                <w:rFonts w:ascii="Verdana" w:eastAsia="Calibri" w:hAnsi="Verdana" w:cs="Arial"/>
                <w:color w:val="000000" w:themeColor="text1"/>
                <w:kern w:val="2"/>
                <w:lang w:val="es-ES"/>
                <w14:ligatures w14:val="standardContextual"/>
              </w:rPr>
              <w:t>DÍAS HÁBILES – Concepto – Cómputo de términos</w:t>
            </w:r>
            <w:r w:rsidR="00A42BEC" w:rsidRPr="00A42BEC">
              <w:rPr>
                <w:rFonts w:ascii="Verdana" w:eastAsia="Calibri" w:hAnsi="Verdana" w:cs="Arial"/>
                <w:color w:val="000000" w:themeColor="text1"/>
                <w:kern w:val="2"/>
                <w:lang w:val="es-ES"/>
                <w14:ligatures w14:val="standardContextual"/>
              </w:rPr>
              <w:t xml:space="preserve"> </w:t>
            </w:r>
            <w:r w:rsidR="00A42BEC" w:rsidRPr="003200FD">
              <w:rPr>
                <w:rFonts w:ascii="Verdana" w:eastAsia="Calibri" w:hAnsi="Verdana" w:cs="Arial"/>
                <w:color w:val="000000" w:themeColor="text1"/>
                <w:kern w:val="2"/>
                <w:lang w:val="es-ES"/>
                <w14:ligatures w14:val="standardContextual"/>
              </w:rPr>
              <w:t>– Facultad de la Administración para definirlos – Condiciones mínimas</w:t>
            </w:r>
          </w:p>
        </w:tc>
      </w:tr>
      <w:tr w:rsidR="007A01B1" w:rsidRPr="00724695" w14:paraId="4B54698C" w14:textId="77777777" w:rsidTr="00D36EB4">
        <w:trPr>
          <w:trHeight w:val="423"/>
        </w:trPr>
        <w:tc>
          <w:tcPr>
            <w:tcW w:w="3261" w:type="dxa"/>
            <w:hideMark/>
          </w:tcPr>
          <w:p w14:paraId="33AC8C41" w14:textId="35248CFF" w:rsidR="007A01B1" w:rsidRPr="008C5E3B" w:rsidRDefault="007A01B1" w:rsidP="007A01B1">
            <w:pPr>
              <w:spacing w:line="276" w:lineRule="auto"/>
              <w:jc w:val="both"/>
              <w:rPr>
                <w:rFonts w:ascii="Verdana" w:eastAsia="Calibri" w:hAnsi="Verdana" w:cs="Arial"/>
                <w:b/>
                <w:lang w:val="es-ES_tradnl" w:eastAsia="es-ES_tradnl"/>
              </w:rPr>
            </w:pPr>
            <w:r w:rsidRPr="008C5E3B">
              <w:rPr>
                <w:rFonts w:ascii="Verdana" w:eastAsia="Calibri" w:hAnsi="Verdana" w:cs="Arial"/>
                <w:b/>
                <w:lang w:val="es-ES_tradnl" w:eastAsia="es-ES_tradnl"/>
              </w:rPr>
              <w:t xml:space="preserve">Radicación:             </w:t>
            </w:r>
          </w:p>
        </w:tc>
        <w:tc>
          <w:tcPr>
            <w:tcW w:w="5972" w:type="dxa"/>
          </w:tcPr>
          <w:p w14:paraId="378A2FB1" w14:textId="5DD88F88" w:rsidR="007A01B1" w:rsidRPr="00724695" w:rsidRDefault="007A01B1" w:rsidP="007A01B1">
            <w:pPr>
              <w:spacing w:line="276" w:lineRule="auto"/>
              <w:jc w:val="both"/>
              <w:rPr>
                <w:rFonts w:ascii="Verdana" w:eastAsia="Calibri" w:hAnsi="Verdana" w:cs="Arial"/>
                <w:bCs/>
                <w:lang w:val="es-ES_tradnl" w:eastAsia="es-ES_tradnl"/>
              </w:rPr>
            </w:pPr>
            <w:r w:rsidRPr="00724695">
              <w:rPr>
                <w:rFonts w:ascii="Verdana" w:eastAsia="Calibri" w:hAnsi="Verdana" w:cs="Arial"/>
                <w:bCs/>
                <w:lang w:val="es-ES_tradnl" w:eastAsia="es-ES_tradnl"/>
              </w:rPr>
              <w:t xml:space="preserve">Respuesta a consulta con radicado </w:t>
            </w:r>
            <w:r w:rsidRPr="00724695">
              <w:rPr>
                <w:rFonts w:ascii="Verdana" w:eastAsia="Calibri" w:hAnsi="Verdana" w:cs="Arial"/>
                <w:bCs/>
                <w:lang w:eastAsia="es-ES_tradnl"/>
              </w:rPr>
              <w:t xml:space="preserve">No. </w:t>
            </w:r>
            <w:r w:rsidR="00CB646A" w:rsidRPr="00CB646A">
              <w:rPr>
                <w:rFonts w:ascii="Verdana" w:eastAsia="Calibri" w:hAnsi="Verdana" w:cs="Arial"/>
                <w:bCs/>
                <w:lang w:eastAsia="es-ES_tradnl"/>
              </w:rPr>
              <w:t>1_2026_06_22_008357</w:t>
            </w:r>
          </w:p>
        </w:tc>
      </w:tr>
    </w:tbl>
    <w:p w14:paraId="00620E4F" w14:textId="77777777" w:rsidR="00F91C09" w:rsidRPr="00AB5C52" w:rsidRDefault="00F91C09" w:rsidP="00F91C09">
      <w:pPr>
        <w:spacing w:after="0" w:line="276" w:lineRule="auto"/>
        <w:jc w:val="both"/>
        <w:rPr>
          <w:rFonts w:ascii="Verdana" w:eastAsia="Calibri" w:hAnsi="Verdana" w:cs="Arial"/>
          <w:bCs/>
          <w:lang w:val="es-ES_tradnl" w:eastAsia="es-ES_tradnl"/>
        </w:rPr>
      </w:pPr>
    </w:p>
    <w:p w14:paraId="4CCB9622" w14:textId="7C67D550" w:rsidR="00F91C09" w:rsidRPr="009B1BD0" w:rsidRDefault="00F91C09" w:rsidP="00F91C09">
      <w:pPr>
        <w:spacing w:after="0" w:line="276" w:lineRule="auto"/>
        <w:jc w:val="both"/>
        <w:rPr>
          <w:rFonts w:ascii="Verdana" w:eastAsia="Calibri" w:hAnsi="Verdana" w:cs="Arial"/>
          <w:bCs/>
          <w:lang w:val="es-ES" w:eastAsia="es-ES"/>
        </w:rPr>
      </w:pPr>
      <w:r w:rsidRPr="009B1BD0">
        <w:rPr>
          <w:rFonts w:ascii="Verdana" w:eastAsia="Calibri" w:hAnsi="Verdana" w:cs="Arial"/>
          <w:bCs/>
          <w:lang w:val="es-ES" w:eastAsia="es-ES"/>
        </w:rPr>
        <w:t>Estimad</w:t>
      </w:r>
      <w:r w:rsidR="00AB5C52" w:rsidRPr="009B1BD0">
        <w:rPr>
          <w:rFonts w:ascii="Verdana" w:eastAsia="Calibri" w:hAnsi="Verdana" w:cs="Arial"/>
          <w:bCs/>
          <w:lang w:val="es-ES" w:eastAsia="es-ES"/>
        </w:rPr>
        <w:t>a</w:t>
      </w:r>
      <w:r w:rsidRPr="009B1BD0">
        <w:rPr>
          <w:rFonts w:ascii="Verdana" w:eastAsia="Calibri" w:hAnsi="Verdana" w:cs="Arial"/>
          <w:bCs/>
          <w:lang w:val="es-ES" w:eastAsia="es-ES"/>
        </w:rPr>
        <w:t xml:space="preserve"> señor </w:t>
      </w:r>
      <w:r w:rsidR="00596553">
        <w:rPr>
          <w:rFonts w:ascii="Verdana" w:eastAsia="Calibri" w:hAnsi="Verdana" w:cs="Arial"/>
          <w:bCs/>
          <w:lang w:eastAsia="es-ES"/>
        </w:rPr>
        <w:t>Cristian</w:t>
      </w:r>
      <w:r w:rsidRPr="009B1BD0">
        <w:rPr>
          <w:rFonts w:ascii="Verdana" w:eastAsia="Calibri" w:hAnsi="Verdana" w:cs="Arial"/>
          <w:bCs/>
          <w:lang w:val="es-ES" w:eastAsia="es-ES"/>
        </w:rPr>
        <w:t xml:space="preserve">:  </w:t>
      </w:r>
    </w:p>
    <w:p w14:paraId="394B815A" w14:textId="77777777" w:rsidR="00F91C09" w:rsidRPr="00AB5C52" w:rsidRDefault="00F91C09" w:rsidP="00F91C09">
      <w:pPr>
        <w:tabs>
          <w:tab w:val="left" w:pos="3768"/>
        </w:tabs>
        <w:spacing w:after="0" w:line="276" w:lineRule="auto"/>
        <w:jc w:val="both"/>
        <w:rPr>
          <w:rFonts w:ascii="Verdana" w:eastAsia="Calibri" w:hAnsi="Verdana" w:cs="Arial"/>
          <w:bCs/>
          <w:lang w:val="es-ES" w:eastAsia="es-ES"/>
        </w:rPr>
      </w:pPr>
      <w:r w:rsidRPr="00AB5C52">
        <w:rPr>
          <w:rFonts w:ascii="Verdana" w:eastAsia="Calibri" w:hAnsi="Verdana" w:cs="Arial"/>
          <w:bCs/>
          <w:lang w:val="es-ES" w:eastAsia="es-ES"/>
        </w:rPr>
        <w:tab/>
      </w:r>
    </w:p>
    <w:p w14:paraId="20AE2A3F" w14:textId="0C89A624" w:rsidR="00F91C09" w:rsidRPr="003125D1" w:rsidRDefault="00F91C09" w:rsidP="00F91C09">
      <w:pPr>
        <w:spacing w:after="0" w:line="276" w:lineRule="auto"/>
        <w:jc w:val="both"/>
        <w:rPr>
          <w:rFonts w:ascii="Verdana" w:eastAsia="Calibri" w:hAnsi="Verdana" w:cs="Arial"/>
          <w:lang w:val="es-ES" w:eastAsia="es-ES"/>
        </w:rPr>
      </w:pPr>
      <w:r w:rsidRPr="003125D1">
        <w:rPr>
          <w:rFonts w:ascii="Verdana" w:eastAsia="Calibri" w:hAnsi="Verdana" w:cs="Arial"/>
          <w:lang w:val="es-ES" w:eastAsia="es-ES"/>
        </w:rPr>
        <w:t>En ejercicio de la competencia otorgada por los artículos 3, numeral 5º, y 11, numeral 8º, del Decreto Ley 4170 de 2011,</w:t>
      </w:r>
      <w:r w:rsidRPr="003125D1">
        <w:rPr>
          <w:rFonts w:ascii="Verdana" w:eastAsia="Arial MT" w:hAnsi="Verdana" w:cs="Arial MT"/>
          <w:lang w:val="es-ES" w:eastAsia="es-ES"/>
        </w:rPr>
        <w:t xml:space="preserve"> </w:t>
      </w:r>
      <w:r w:rsidRPr="003125D1">
        <w:rPr>
          <w:rFonts w:ascii="Verdana" w:eastAsia="Calibri" w:hAnsi="Verdana" w:cs="Arial"/>
        </w:rPr>
        <w:t xml:space="preserve">así como lo establecido en el artículo 4 de la Resolución 1707 de 2018 expedida por esta Entidad, </w:t>
      </w:r>
      <w:r w:rsidRPr="003125D1">
        <w:rPr>
          <w:rFonts w:ascii="Verdana" w:eastAsia="Calibri" w:hAnsi="Verdana" w:cs="Arial"/>
          <w:lang w:val="es-ES" w:eastAsia="es-ES"/>
        </w:rPr>
        <w:t xml:space="preserve">la Agencia Nacional de Contratación Pública –Colombia Compra Eficiente– responde su solicitud de consulta de fecha </w:t>
      </w:r>
      <w:r w:rsidR="00C53324">
        <w:rPr>
          <w:rFonts w:ascii="Verdana" w:eastAsia="Calibri" w:hAnsi="Verdana" w:cs="Arial"/>
          <w:lang w:val="es-ES" w:eastAsia="es-ES"/>
        </w:rPr>
        <w:t>22</w:t>
      </w:r>
      <w:r w:rsidR="008E7AA8">
        <w:rPr>
          <w:rFonts w:ascii="Verdana" w:eastAsia="Calibri" w:hAnsi="Verdana" w:cs="Arial"/>
          <w:lang w:val="es-ES" w:eastAsia="es-ES"/>
        </w:rPr>
        <w:t xml:space="preserve"> de junio</w:t>
      </w:r>
      <w:r w:rsidRPr="003125D1">
        <w:rPr>
          <w:rFonts w:ascii="Verdana" w:eastAsia="Calibri" w:hAnsi="Verdana" w:cs="Arial"/>
          <w:lang w:val="es-ES" w:eastAsia="es-ES"/>
        </w:rPr>
        <w:t xml:space="preserve"> de 2026, en la cual manifiesta lo siguiente: </w:t>
      </w:r>
      <w:bookmarkStart w:id="1" w:name="_Hlk95313578"/>
    </w:p>
    <w:p w14:paraId="5497707A" w14:textId="77777777" w:rsidR="00F91C09" w:rsidRPr="003125D1" w:rsidRDefault="00F91C09" w:rsidP="00F91C09">
      <w:pPr>
        <w:spacing w:after="0" w:line="276" w:lineRule="auto"/>
        <w:jc w:val="both"/>
        <w:rPr>
          <w:rFonts w:ascii="Verdana" w:eastAsia="Calibri" w:hAnsi="Verdana" w:cs="Arial"/>
          <w:bCs/>
          <w:lang w:val="es-ES" w:eastAsia="es-ES"/>
        </w:rPr>
      </w:pPr>
    </w:p>
    <w:bookmarkEnd w:id="1"/>
    <w:p w14:paraId="59A5A0BE" w14:textId="77777777" w:rsidR="00FC181B" w:rsidRDefault="00F91C09" w:rsidP="00FC181B">
      <w:pPr>
        <w:spacing w:after="0" w:line="240" w:lineRule="auto"/>
        <w:ind w:left="709" w:right="709"/>
        <w:jc w:val="both"/>
        <w:rPr>
          <w:rFonts w:ascii="Verdana" w:eastAsia="Calibri" w:hAnsi="Verdana" w:cs="Arial"/>
          <w:i/>
          <w:iCs/>
          <w:sz w:val="20"/>
          <w:szCs w:val="20"/>
          <w:lang w:val="es-ES" w:eastAsia="es-ES"/>
        </w:rPr>
      </w:pPr>
      <w:r w:rsidRPr="008F18F2">
        <w:rPr>
          <w:rFonts w:ascii="Verdana" w:eastAsia="Calibri" w:hAnsi="Verdana" w:cs="Arial"/>
          <w:i/>
          <w:iCs/>
          <w:sz w:val="20"/>
          <w:szCs w:val="20"/>
          <w:lang w:val="es-ES" w:eastAsia="es-ES"/>
        </w:rPr>
        <w:t>“(…)</w:t>
      </w:r>
    </w:p>
    <w:p w14:paraId="21ACC3F2" w14:textId="77777777" w:rsidR="00585335" w:rsidRDefault="00585335" w:rsidP="00FC181B">
      <w:pPr>
        <w:spacing w:after="0" w:line="240" w:lineRule="auto"/>
        <w:ind w:left="709" w:right="709"/>
        <w:jc w:val="both"/>
        <w:rPr>
          <w:rFonts w:ascii="Verdana" w:eastAsia="Calibri" w:hAnsi="Verdana" w:cs="Arial"/>
          <w:i/>
          <w:iCs/>
          <w:sz w:val="20"/>
          <w:szCs w:val="20"/>
          <w:lang w:val="es-ES" w:eastAsia="es-ES"/>
        </w:rPr>
      </w:pPr>
    </w:p>
    <w:p w14:paraId="2F122DF1" w14:textId="0949567B" w:rsidR="00304195" w:rsidRDefault="00304195" w:rsidP="00304195">
      <w:pPr>
        <w:spacing w:after="0" w:line="240" w:lineRule="auto"/>
        <w:ind w:left="709" w:right="709"/>
        <w:jc w:val="both"/>
        <w:rPr>
          <w:rFonts w:ascii="Verdana" w:eastAsia="Calibri" w:hAnsi="Verdana" w:cs="Arial"/>
          <w:i/>
          <w:iCs/>
          <w:sz w:val="20"/>
          <w:szCs w:val="20"/>
          <w:lang w:eastAsia="es-ES"/>
        </w:rPr>
      </w:pPr>
      <w:r w:rsidRPr="00304195">
        <w:rPr>
          <w:rFonts w:ascii="Verdana" w:eastAsia="Calibri" w:hAnsi="Verdana" w:cs="Arial"/>
          <w:i/>
          <w:iCs/>
          <w:sz w:val="20"/>
          <w:szCs w:val="20"/>
          <w:lang w:eastAsia="es-ES"/>
        </w:rPr>
        <w:t>¿</w:t>
      </w:r>
      <w:proofErr w:type="spellStart"/>
      <w:proofErr w:type="gramStart"/>
      <w:r w:rsidRPr="00304195">
        <w:rPr>
          <w:rFonts w:ascii="Verdana" w:eastAsia="Calibri" w:hAnsi="Verdana" w:cs="Arial"/>
          <w:i/>
          <w:iCs/>
          <w:sz w:val="20"/>
          <w:szCs w:val="20"/>
          <w:lang w:eastAsia="es-ES"/>
        </w:rPr>
        <w:t>Cuando</w:t>
      </w:r>
      <w:proofErr w:type="spellEnd"/>
      <w:proofErr w:type="gramEnd"/>
      <w:r w:rsidRPr="00304195">
        <w:rPr>
          <w:rFonts w:ascii="Verdana" w:eastAsia="Calibri" w:hAnsi="Verdana" w:cs="Arial"/>
          <w:i/>
          <w:iCs/>
          <w:sz w:val="20"/>
          <w:szCs w:val="20"/>
          <w:lang w:eastAsia="es-ES"/>
        </w:rPr>
        <w:t xml:space="preserve"> el aviso de convocatoria de un proceso de</w:t>
      </w:r>
      <w:r>
        <w:rPr>
          <w:rFonts w:ascii="Verdana" w:eastAsia="Calibri" w:hAnsi="Verdana" w:cs="Arial"/>
          <w:i/>
          <w:iCs/>
          <w:sz w:val="20"/>
          <w:szCs w:val="20"/>
          <w:lang w:eastAsia="es-ES"/>
        </w:rPr>
        <w:t xml:space="preserve"> </w:t>
      </w:r>
      <w:r w:rsidRPr="00304195">
        <w:rPr>
          <w:rFonts w:ascii="Verdana" w:eastAsia="Calibri" w:hAnsi="Verdana" w:cs="Arial"/>
          <w:i/>
          <w:iCs/>
          <w:sz w:val="20"/>
          <w:szCs w:val="20"/>
          <w:lang w:eastAsia="es-ES"/>
        </w:rPr>
        <w:t xml:space="preserve">contratación </w:t>
      </w:r>
      <w:proofErr w:type="spellStart"/>
      <w:r w:rsidRPr="00304195">
        <w:rPr>
          <w:rFonts w:ascii="Verdana" w:eastAsia="Calibri" w:hAnsi="Verdana" w:cs="Arial"/>
          <w:i/>
          <w:iCs/>
          <w:sz w:val="20"/>
          <w:szCs w:val="20"/>
          <w:lang w:eastAsia="es-ES"/>
        </w:rPr>
        <w:t>publica</w:t>
      </w:r>
      <w:proofErr w:type="spellEnd"/>
      <w:r w:rsidRPr="00304195">
        <w:rPr>
          <w:rFonts w:ascii="Verdana" w:eastAsia="Calibri" w:hAnsi="Verdana" w:cs="Arial"/>
          <w:i/>
          <w:iCs/>
          <w:sz w:val="20"/>
          <w:szCs w:val="20"/>
          <w:lang w:eastAsia="es-ES"/>
        </w:rPr>
        <w:t xml:space="preserve"> es publicado en un día inhábil (domingo,</w:t>
      </w:r>
      <w:r>
        <w:rPr>
          <w:rFonts w:ascii="Verdana" w:eastAsia="Calibri" w:hAnsi="Verdana" w:cs="Arial"/>
          <w:i/>
          <w:iCs/>
          <w:sz w:val="20"/>
          <w:szCs w:val="20"/>
          <w:lang w:eastAsia="es-ES"/>
        </w:rPr>
        <w:t xml:space="preserve"> </w:t>
      </w:r>
      <w:r w:rsidRPr="00304195">
        <w:rPr>
          <w:rFonts w:ascii="Verdana" w:eastAsia="Calibri" w:hAnsi="Verdana" w:cs="Arial"/>
          <w:i/>
          <w:iCs/>
          <w:sz w:val="20"/>
          <w:szCs w:val="20"/>
          <w:lang w:eastAsia="es-ES"/>
        </w:rPr>
        <w:t xml:space="preserve">festivo o día no hábil), </w:t>
      </w:r>
      <w:proofErr w:type="gramStart"/>
      <w:r w:rsidRPr="00304195">
        <w:rPr>
          <w:rFonts w:ascii="Verdana" w:eastAsia="Calibri" w:hAnsi="Verdana" w:cs="Arial"/>
          <w:i/>
          <w:iCs/>
          <w:sz w:val="20"/>
          <w:szCs w:val="20"/>
          <w:lang w:eastAsia="es-ES"/>
        </w:rPr>
        <w:t xml:space="preserve">la </w:t>
      </w:r>
      <w:r w:rsidR="00A50E94" w:rsidRPr="00304195">
        <w:rPr>
          <w:rFonts w:ascii="Verdana" w:eastAsia="Calibri" w:hAnsi="Verdana" w:cs="Arial"/>
          <w:i/>
          <w:iCs/>
          <w:sz w:val="20"/>
          <w:szCs w:val="20"/>
          <w:lang w:eastAsia="es-ES"/>
        </w:rPr>
        <w:t>Resolución</w:t>
      </w:r>
      <w:r w:rsidRPr="00304195">
        <w:rPr>
          <w:rFonts w:ascii="Verdana" w:eastAsia="Calibri" w:hAnsi="Verdana" w:cs="Arial"/>
          <w:i/>
          <w:iCs/>
          <w:sz w:val="20"/>
          <w:szCs w:val="20"/>
          <w:lang w:eastAsia="es-ES"/>
        </w:rPr>
        <w:t xml:space="preserve"> 539 de 2025 determina su</w:t>
      </w:r>
      <w:r>
        <w:rPr>
          <w:rFonts w:ascii="Verdana" w:eastAsia="Calibri" w:hAnsi="Verdana" w:cs="Arial"/>
          <w:i/>
          <w:iCs/>
          <w:sz w:val="20"/>
          <w:szCs w:val="20"/>
          <w:lang w:eastAsia="es-ES"/>
        </w:rPr>
        <w:t xml:space="preserve"> </w:t>
      </w:r>
      <w:r w:rsidRPr="00304195">
        <w:rPr>
          <w:rFonts w:ascii="Verdana" w:eastAsia="Calibri" w:hAnsi="Verdana" w:cs="Arial"/>
          <w:i/>
          <w:iCs/>
          <w:sz w:val="20"/>
          <w:szCs w:val="20"/>
          <w:lang w:eastAsia="es-ES"/>
        </w:rPr>
        <w:t xml:space="preserve">aplicabilidad tomando como fecha de referencia el </w:t>
      </w:r>
      <w:r>
        <w:rPr>
          <w:rFonts w:ascii="Verdana" w:eastAsia="Calibri" w:hAnsi="Verdana" w:cs="Arial"/>
          <w:i/>
          <w:iCs/>
          <w:sz w:val="20"/>
          <w:szCs w:val="20"/>
          <w:lang w:eastAsia="es-ES"/>
        </w:rPr>
        <w:t xml:space="preserve">día </w:t>
      </w:r>
      <w:r w:rsidRPr="00304195">
        <w:rPr>
          <w:rFonts w:ascii="Verdana" w:eastAsia="Calibri" w:hAnsi="Verdana" w:cs="Arial"/>
          <w:i/>
          <w:iCs/>
          <w:sz w:val="20"/>
          <w:szCs w:val="20"/>
          <w:lang w:eastAsia="es-ES"/>
        </w:rPr>
        <w:t xml:space="preserve">calendario de la publicación material, o el siguiente día </w:t>
      </w:r>
      <w:r>
        <w:rPr>
          <w:rFonts w:ascii="Verdana" w:eastAsia="Calibri" w:hAnsi="Verdana" w:cs="Arial"/>
          <w:i/>
          <w:iCs/>
          <w:sz w:val="20"/>
          <w:szCs w:val="20"/>
          <w:lang w:eastAsia="es-ES"/>
        </w:rPr>
        <w:t xml:space="preserve">hábil </w:t>
      </w:r>
      <w:r w:rsidRPr="00304195">
        <w:rPr>
          <w:rFonts w:ascii="Verdana" w:eastAsia="Calibri" w:hAnsi="Verdana" w:cs="Arial"/>
          <w:i/>
          <w:iCs/>
          <w:sz w:val="20"/>
          <w:szCs w:val="20"/>
          <w:lang w:eastAsia="es-ES"/>
        </w:rPr>
        <w:t>en que dicha publicación surte efectos jurídicos conforme al</w:t>
      </w:r>
      <w:r>
        <w:rPr>
          <w:rFonts w:ascii="Verdana" w:eastAsia="Calibri" w:hAnsi="Verdana" w:cs="Arial"/>
          <w:i/>
          <w:iCs/>
          <w:sz w:val="20"/>
          <w:szCs w:val="20"/>
          <w:lang w:eastAsia="es-ES"/>
        </w:rPr>
        <w:t xml:space="preserve"> </w:t>
      </w:r>
      <w:r w:rsidRPr="00304195">
        <w:rPr>
          <w:rFonts w:ascii="Verdana" w:eastAsia="Calibri" w:hAnsi="Verdana" w:cs="Arial"/>
          <w:i/>
          <w:iCs/>
          <w:sz w:val="20"/>
          <w:szCs w:val="20"/>
          <w:lang w:eastAsia="es-ES"/>
        </w:rPr>
        <w:t>artículo 62 de la Ley 1437 de 2011?</w:t>
      </w:r>
      <w:proofErr w:type="gramEnd"/>
    </w:p>
    <w:p w14:paraId="34C015FC" w14:textId="77777777" w:rsidR="00304195" w:rsidRDefault="00304195" w:rsidP="00667126">
      <w:pPr>
        <w:spacing w:after="0" w:line="240" w:lineRule="auto"/>
        <w:ind w:left="709" w:right="709"/>
        <w:jc w:val="both"/>
        <w:rPr>
          <w:rFonts w:ascii="Verdana" w:eastAsia="Calibri" w:hAnsi="Verdana" w:cs="Arial"/>
          <w:i/>
          <w:iCs/>
          <w:sz w:val="20"/>
          <w:szCs w:val="20"/>
          <w:lang w:eastAsia="es-ES"/>
        </w:rPr>
      </w:pPr>
    </w:p>
    <w:p w14:paraId="3AD54D79" w14:textId="67795509" w:rsidR="00F91C09" w:rsidRPr="005277C6" w:rsidRDefault="00940E79" w:rsidP="00667126">
      <w:pPr>
        <w:spacing w:after="0" w:line="240" w:lineRule="auto"/>
        <w:ind w:left="709" w:right="709"/>
        <w:jc w:val="both"/>
        <w:rPr>
          <w:rFonts w:ascii="Verdana" w:eastAsia="Calibri" w:hAnsi="Verdana" w:cs="Arial"/>
          <w:i/>
          <w:iCs/>
          <w:sz w:val="20"/>
          <w:szCs w:val="20"/>
          <w:lang w:val="es-ES" w:eastAsia="es-ES"/>
        </w:rPr>
      </w:pPr>
      <w:r w:rsidRPr="00940E79">
        <w:rPr>
          <w:rFonts w:ascii="Verdana" w:eastAsia="Calibri" w:hAnsi="Verdana" w:cs="Arial"/>
          <w:i/>
          <w:iCs/>
          <w:sz w:val="20"/>
          <w:szCs w:val="20"/>
          <w:lang w:val="es-ES" w:eastAsia="es-ES"/>
        </w:rPr>
        <w:t xml:space="preserve"> </w:t>
      </w:r>
      <w:r w:rsidR="00F91C09" w:rsidRPr="005277C6">
        <w:rPr>
          <w:rFonts w:ascii="Verdana" w:eastAsia="Calibri" w:hAnsi="Verdana" w:cs="Arial"/>
          <w:i/>
          <w:iCs/>
          <w:sz w:val="20"/>
          <w:szCs w:val="20"/>
          <w:lang w:val="es-ES" w:eastAsia="es-ES"/>
        </w:rPr>
        <w:t>(…)</w:t>
      </w:r>
      <w:r w:rsidR="00F91C09" w:rsidRPr="005277C6">
        <w:rPr>
          <w:rFonts w:ascii="Verdana" w:eastAsia="Calibri" w:hAnsi="Verdana" w:cs="Arial"/>
          <w:i/>
          <w:iCs/>
          <w:sz w:val="20"/>
          <w:szCs w:val="20"/>
          <w:lang w:eastAsia="es-ES"/>
        </w:rPr>
        <w:t>”</w:t>
      </w:r>
    </w:p>
    <w:p w14:paraId="2409EC2E" w14:textId="77777777" w:rsidR="00F91C09" w:rsidRPr="00FC181B" w:rsidRDefault="00F91C09" w:rsidP="00F91C09">
      <w:pPr>
        <w:spacing w:after="0" w:line="276" w:lineRule="auto"/>
        <w:ind w:left="709" w:right="709"/>
        <w:jc w:val="both"/>
        <w:rPr>
          <w:rFonts w:ascii="Verdana" w:eastAsia="Times New Roman" w:hAnsi="Verdana" w:cs="Times New Roman"/>
          <w:sz w:val="20"/>
          <w:szCs w:val="20"/>
          <w:lang w:eastAsia="es-CO"/>
        </w:rPr>
      </w:pPr>
    </w:p>
    <w:p w14:paraId="2BB676A8" w14:textId="77777777" w:rsidR="00F91C09" w:rsidRPr="003125D1" w:rsidRDefault="00F91C09" w:rsidP="00F91C09">
      <w:pPr>
        <w:spacing w:after="120" w:line="276" w:lineRule="auto"/>
        <w:ind w:firstLine="709"/>
        <w:jc w:val="both"/>
        <w:rPr>
          <w:rFonts w:ascii="Verdana" w:eastAsia="Calibri" w:hAnsi="Verdana" w:cs="Arial"/>
          <w:lang w:val="es-ES_tradnl" w:eastAsia="es-ES_tradnl"/>
        </w:rPr>
      </w:pPr>
      <w:r w:rsidRPr="003125D1">
        <w:rPr>
          <w:rFonts w:ascii="Verdana" w:eastAsia="Calibri" w:hAnsi="Verdana" w:cs="Arial"/>
          <w:lang w:val="es-ES" w:eastAsia="es-ES"/>
        </w:rPr>
        <w:t xml:space="preserve">De manera preliminar, resulta necesario resaltar que esta entidad solo tiene competencia para responder consultas sobre la aplicación de normas de carácter general en materia de compras y contratación pública. En ese sentido, </w:t>
      </w:r>
      <w:r w:rsidRPr="003125D1">
        <w:rPr>
          <w:rFonts w:ascii="Verdana" w:eastAsia="Calibri" w:hAnsi="Verdana" w:cs="Arial"/>
          <w:lang w:val="es-ES" w:eastAsia="es-ES"/>
        </w:rPr>
        <w:lastRenderedPageBreak/>
        <w:t xml:space="preserve">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3125D1">
        <w:rPr>
          <w:rFonts w:ascii="Verdana" w:eastAsia="Calibri" w:hAnsi="Verdana" w:cs="Arial"/>
          <w:lang w:val="es-ES_tradnl" w:eastAsia="es-ES_tradnl"/>
        </w:rPr>
        <w:tab/>
      </w:r>
    </w:p>
    <w:p w14:paraId="11F2CB9F" w14:textId="77777777" w:rsidR="00F91C09" w:rsidRPr="003125D1" w:rsidRDefault="00F91C09" w:rsidP="00F91C09">
      <w:pPr>
        <w:spacing w:after="0" w:line="276" w:lineRule="auto"/>
        <w:ind w:firstLine="708"/>
        <w:jc w:val="both"/>
        <w:rPr>
          <w:rFonts w:ascii="Verdana" w:eastAsia="Calibri" w:hAnsi="Verdana" w:cs="Arial"/>
          <w:lang w:val="es-ES" w:eastAsia="es-ES"/>
        </w:rPr>
      </w:pPr>
      <w:r w:rsidRPr="003125D1">
        <w:rPr>
          <w:rFonts w:ascii="Verdana" w:eastAsia="Calibri" w:hAnsi="Verdana" w:cs="Arial"/>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2A7A5C45" w14:textId="77777777" w:rsidR="00F91C09" w:rsidRPr="003125D1" w:rsidRDefault="00F91C09" w:rsidP="00F91C09">
      <w:pPr>
        <w:spacing w:after="0" w:line="276" w:lineRule="auto"/>
        <w:ind w:firstLine="709"/>
        <w:jc w:val="both"/>
        <w:rPr>
          <w:rFonts w:ascii="Verdana" w:eastAsia="Calibri" w:hAnsi="Verdana" w:cs="Arial"/>
          <w:lang w:val="es-ES" w:eastAsia="es-ES"/>
        </w:rPr>
      </w:pPr>
    </w:p>
    <w:p w14:paraId="33327DD0" w14:textId="77777777" w:rsidR="00F91C09" w:rsidRPr="0007700E" w:rsidRDefault="00F91C09" w:rsidP="00F91C09">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07700E">
        <w:rPr>
          <w:rFonts w:ascii="Verdana" w:eastAsia="Century Gothic" w:hAnsi="Verdana" w:cs="Century Gothic"/>
          <w:b/>
          <w:bCs/>
          <w:lang w:val="es-ES"/>
        </w:rPr>
        <w:t>Problema planteado:</w:t>
      </w:r>
    </w:p>
    <w:p w14:paraId="331157A0" w14:textId="77777777" w:rsidR="00F91C09" w:rsidRPr="0007700E" w:rsidRDefault="00F91C09" w:rsidP="00F91C09">
      <w:pPr>
        <w:tabs>
          <w:tab w:val="left" w:pos="426"/>
        </w:tabs>
        <w:spacing w:after="0" w:line="276" w:lineRule="auto"/>
        <w:jc w:val="both"/>
        <w:rPr>
          <w:rFonts w:ascii="Verdana" w:eastAsia="Century Gothic" w:hAnsi="Verdana" w:cs="Century Gothic"/>
          <w:lang w:val="es-ES"/>
        </w:rPr>
      </w:pPr>
    </w:p>
    <w:p w14:paraId="3B5B5E68" w14:textId="77777777" w:rsidR="00F91C09" w:rsidRPr="0007700E" w:rsidRDefault="00F91C09" w:rsidP="00F91C09">
      <w:pPr>
        <w:spacing w:line="276" w:lineRule="auto"/>
        <w:jc w:val="both"/>
        <w:rPr>
          <w:rFonts w:ascii="Verdana" w:eastAsia="Century Gothic" w:hAnsi="Verdana" w:cs="Century Gothic"/>
        </w:rPr>
      </w:pPr>
      <w:r w:rsidRPr="0007700E">
        <w:rPr>
          <w:rFonts w:ascii="Verdana" w:eastAsia="Century Gothic" w:hAnsi="Verdana" w:cs="Century Gothic"/>
        </w:rPr>
        <w:t>De acuerdo con el contenido de su solicitud, esta Agencia resolverá el siguiente problema jurídico:</w:t>
      </w:r>
    </w:p>
    <w:p w14:paraId="728D5BFC" w14:textId="2725495F" w:rsidR="007E7163" w:rsidRDefault="001331D5" w:rsidP="001331D5">
      <w:pPr>
        <w:pStyle w:val="Prrafodelista"/>
        <w:numPr>
          <w:ilvl w:val="0"/>
          <w:numId w:val="24"/>
        </w:numPr>
        <w:spacing w:after="0" w:line="276" w:lineRule="auto"/>
        <w:jc w:val="both"/>
        <w:rPr>
          <w:rFonts w:ascii="Verdana" w:eastAsia="Century Gothic" w:hAnsi="Verdana" w:cs="Century Gothic"/>
          <w:lang w:eastAsia="es-MX"/>
        </w:rPr>
      </w:pPr>
      <w:r w:rsidRPr="001331D5">
        <w:rPr>
          <w:rFonts w:ascii="Verdana" w:eastAsia="Century Gothic" w:hAnsi="Verdana" w:cs="Century Gothic"/>
        </w:rPr>
        <w:t xml:space="preserve">¿Cuándo el aviso de convocatoria de un proceso de contratación pública es publicado en un día inhábil anterior a la </w:t>
      </w:r>
      <w:r w:rsidR="006768CD">
        <w:rPr>
          <w:rFonts w:ascii="Verdana" w:eastAsia="Century Gothic" w:hAnsi="Verdana" w:cs="Century Gothic"/>
        </w:rPr>
        <w:t>fecha de aplicación</w:t>
      </w:r>
      <w:r w:rsidRPr="001331D5">
        <w:rPr>
          <w:rFonts w:ascii="Verdana" w:eastAsia="Century Gothic" w:hAnsi="Verdana" w:cs="Century Gothic"/>
        </w:rPr>
        <w:t xml:space="preserve"> de la Resolución 539 de 2025, cuál es la fecha que debe tenerse en cuenta para determinar la aplicabilidad de dicha resolución: la correspondiente a la publicación material o aquella en la que la publicación produce efectos jurídicos?</w:t>
      </w:r>
    </w:p>
    <w:p w14:paraId="72334FA7" w14:textId="77777777" w:rsidR="0005466F" w:rsidRPr="0005466F" w:rsidRDefault="0005466F" w:rsidP="0005466F">
      <w:pPr>
        <w:pStyle w:val="Prrafodelista"/>
        <w:spacing w:after="0" w:line="276" w:lineRule="auto"/>
        <w:jc w:val="both"/>
        <w:rPr>
          <w:rFonts w:ascii="Verdana" w:eastAsia="Century Gothic" w:hAnsi="Verdana" w:cs="Century Gothic"/>
          <w:lang w:eastAsia="es-MX"/>
        </w:rPr>
      </w:pPr>
    </w:p>
    <w:p w14:paraId="5C0A9DF8" w14:textId="77777777" w:rsidR="00F91C09" w:rsidRPr="0007700E" w:rsidRDefault="00F91C09" w:rsidP="00F91C09">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07700E">
        <w:rPr>
          <w:rFonts w:ascii="Verdana" w:eastAsia="Century Gothic" w:hAnsi="Verdana" w:cs="Century Gothic"/>
          <w:b/>
          <w:bCs/>
          <w:lang w:val="es-ES"/>
        </w:rPr>
        <w:t>Respuesta:</w:t>
      </w:r>
    </w:p>
    <w:p w14:paraId="1E5B219E" w14:textId="77777777" w:rsidR="00F91C09" w:rsidRPr="00B01738" w:rsidRDefault="00F91C09" w:rsidP="00F91C09">
      <w:pPr>
        <w:tabs>
          <w:tab w:val="left" w:pos="142"/>
          <w:tab w:val="left" w:pos="284"/>
        </w:tabs>
        <w:spacing w:line="276" w:lineRule="auto"/>
        <w:contextualSpacing/>
        <w:jc w:val="both"/>
        <w:rPr>
          <w:rFonts w:ascii="Verdana" w:eastAsia="Century Gothic" w:hAnsi="Verdana" w:cs="Century Gothic"/>
          <w:b/>
          <w:bCs/>
          <w:color w:val="0099CC"/>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B496C" w:rsidRPr="00B51B75" w14:paraId="59EF4302" w14:textId="77777777">
        <w:trPr>
          <w:trHeight w:val="1057"/>
        </w:trPr>
        <w:tc>
          <w:tcPr>
            <w:tcW w:w="8828" w:type="dxa"/>
            <w:tcBorders>
              <w:top w:val="dotted" w:sz="4" w:space="0" w:color="auto"/>
              <w:left w:val="dotted" w:sz="4" w:space="0" w:color="auto"/>
              <w:bottom w:val="dotted" w:sz="4" w:space="0" w:color="auto"/>
              <w:right w:val="dotted" w:sz="4" w:space="0" w:color="auto"/>
            </w:tcBorders>
          </w:tcPr>
          <w:p w14:paraId="102792FC" w14:textId="77777777" w:rsidR="00414E2D" w:rsidRPr="00414E2D" w:rsidRDefault="00414E2D" w:rsidP="00414E2D">
            <w:pPr>
              <w:spacing w:after="120" w:line="276" w:lineRule="auto"/>
              <w:jc w:val="both"/>
              <w:rPr>
                <w:rFonts w:ascii="Verdana" w:eastAsia="Calibri" w:hAnsi="Verdana" w:cs="Arial"/>
                <w:bCs/>
                <w:color w:val="000000"/>
                <w:lang w:eastAsia="es-MX"/>
              </w:rPr>
            </w:pPr>
            <w:r w:rsidRPr="00414E2D">
              <w:rPr>
                <w:rFonts w:ascii="Verdana" w:eastAsia="Calibri" w:hAnsi="Verdana" w:cs="Arial"/>
                <w:bCs/>
                <w:color w:val="000000"/>
                <w:lang w:eastAsia="es-MX"/>
              </w:rPr>
              <w:t>Cuando el aviso de convocatoria de un proceso de contratación pública es publicado en un día inhábil anterior a la fecha de entrada en aplicación de la Resolución 539 de 2025, la fecha que debe tenerse en cuenta para determinar el régimen jurídico aplicable no es únicamente la de la publicación material del aviso en la plataforma SECOP, sino aquella en la que dicha publicación produce efectos jurídicos, esto es, el primer día hábil en el que la actuación administrativa resulta eficaz y oponible a los interesados.</w:t>
            </w:r>
          </w:p>
          <w:p w14:paraId="593E7EA0" w14:textId="3B693063"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lastRenderedPageBreak/>
              <w:t>Esta conclusión se sustenta en que el aviso de convocatoria constituye el acto mediante el cual la Entidad Estatal exterioriza formalmente el inicio del proceso de selección e informa a los potenciales oferentes sobre las condiciones esenciales de la contratación. De conformidad con el artículo 2.2.1.1.2.1.2 del Decreto 1082 de 2015, el aviso de convocatoria tiene como finalidad garantizar la publicidad del procedimiento y permitir el ejercicio efectivo del derecho de participación de los interesados.</w:t>
            </w:r>
          </w:p>
          <w:p w14:paraId="4D8C98FD" w14:textId="77777777" w:rsidR="00414E2D" w:rsidRPr="006E4D8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 xml:space="preserve">En los procesos sometidos a Documentos Tipo, la fecha de publicación del aviso de convocatoria constituye el criterio expresamente previsto en las Resoluciones 539, 540 y 541 del 21 de agosto de 2025, así como en las Resoluciones 952 y 953 del 15 de diciembre de 2025, para determinar la obligatoriedad de su aplicación. No obstante, esta regla debe interpretarse sistemáticamente con las disposiciones contenidas en los propios Documentos Tipo. En efecto, el numeral 1.17 "Normas de interpretación del pliego de condiciones" establece que el pliego debe interpretarse de manera integral, en armonía con todos los Documentos del Proceso, y dispone la prevalencia de las reglas contenidas en los Documentos Tipo, las cuales son de carácter </w:t>
            </w:r>
            <w:r w:rsidRPr="006E4D8D">
              <w:rPr>
                <w:rFonts w:ascii="Verdana" w:eastAsia="Calibri" w:hAnsi="Verdana" w:cs="Arial"/>
                <w:bCs/>
                <w:color w:val="000000"/>
                <w:lang w:eastAsia="es-MX"/>
              </w:rPr>
              <w:t>obligatorio e inalterable, salvo en los aspectos expresamente autorizados.</w:t>
            </w:r>
          </w:p>
          <w:p w14:paraId="25D60C16" w14:textId="48E7CBD1"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6E4D8D">
              <w:rPr>
                <w:rFonts w:ascii="Verdana" w:eastAsia="Calibri" w:hAnsi="Verdana" w:cs="Arial"/>
                <w:bCs/>
                <w:color w:val="000000"/>
                <w:lang w:eastAsia="es-MX"/>
              </w:rPr>
              <w:t>En consecuencia, la expresión "aviso de convocatoria publicado" no puede entenderse desde una perspectiva exclusivamente material, sino conforme a la finalidad jurídica de dicha actuación, esto es, hacer efectivo el principio de publicidad y garantizar que los interesados conozcan oportunamente el inicio del procedimiento de selección.</w:t>
            </w:r>
          </w:p>
          <w:p w14:paraId="1F9A6A3B" w14:textId="77777777"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Ahora bien, el ordenamiento jurídico no contiene una definición expresa de día hábil para efectos de la contratación estatal. Sin embargo, los artículos 59 y 62 de la Ley 4 de 1913, la jurisprudencia reiterada del Consejo de Estado y la doctrina del Departamento Administrativo de la Función Pública permiten concluir que los días hábiles corresponden a aquellos en los cuales la administración desarrolla ordinariamente sus funciones y existe despacho público, sin perjuicio de que cada entidad pueda establecer, mediante acto administrativo general y previamente publicitado, una jornada laboral distinta que habilite los sábados u otros días para el ejercicio de la función administrativa.</w:t>
            </w:r>
          </w:p>
          <w:p w14:paraId="01EA22CB" w14:textId="77777777"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 xml:space="preserve">En ese sentido, cuando una entidad publica el aviso de convocatoria en un día que, conforme a su reglamento interno o a la normativa aplicable, es </w:t>
            </w:r>
            <w:r w:rsidRPr="00414E2D">
              <w:rPr>
                <w:rFonts w:ascii="Verdana" w:eastAsia="Calibri" w:hAnsi="Verdana" w:cs="Arial"/>
                <w:bCs/>
                <w:color w:val="000000"/>
                <w:lang w:eastAsia="es-MX"/>
              </w:rPr>
              <w:lastRenderedPageBreak/>
              <w:t>inhábil, dicha circunstancia impide considerar que la actuación haya producido plenamente los efectos jurídicos que le son propios desde ese mismo momento, pues el principio de publicidad exige que los interesados puedan conocer eficazmente la convocatoria y ejercer las actuaciones que el ordenamiento les reconoce dentro del procedimiento de selección.</w:t>
            </w:r>
          </w:p>
          <w:p w14:paraId="0E45728E" w14:textId="77777777"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Por tanto, si el día de la publicación material corresponde a un día inhábil y la entidad no ha habilitado previamente ese día mediante acto administrativo de carácter general, la fecha jurídicamente relevante para determinar la aplicación de la Resolución 539 de 2025 será el primer día hábil siguiente, momento en el cual la publicación produce efectos jurídicos y se entiende satisfecho el presupuesto previsto en el acto administrativo que adoptó los Documentos Tipo.</w:t>
            </w:r>
          </w:p>
          <w:p w14:paraId="19487CE5" w14:textId="578C71CA"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Distinta será la situación cuando la Entidad Estatal haya declarado previamente hábil el día en que se realizó la publicación, mediante acto administrativo expreso, motivado y debidamente divulgado. En este evento, el aviso de convocatoria produce efectos jurídicos desde la fecha de su publicación material, por cuanto ese día tiene la condición de hábil para el desarrollo de las actuaciones administrativas de la entidad</w:t>
            </w:r>
            <w:r w:rsidR="0089573C">
              <w:rPr>
                <w:rFonts w:ascii="Verdana" w:eastAsia="Calibri" w:hAnsi="Verdana" w:cs="Arial"/>
                <w:bCs/>
                <w:color w:val="000000"/>
                <w:lang w:eastAsia="es-MX"/>
              </w:rPr>
              <w:t>.</w:t>
            </w:r>
          </w:p>
          <w:p w14:paraId="0CEC165D" w14:textId="77777777" w:rsidR="00414E2D" w:rsidRPr="00414E2D" w:rsidRDefault="00414E2D" w:rsidP="00D87C88">
            <w:pPr>
              <w:spacing w:after="120" w:line="276" w:lineRule="auto"/>
              <w:ind w:firstLine="709"/>
              <w:jc w:val="both"/>
              <w:rPr>
                <w:rFonts w:ascii="Verdana" w:eastAsia="Calibri" w:hAnsi="Verdana" w:cs="Arial"/>
                <w:bCs/>
                <w:color w:val="000000"/>
                <w:lang w:eastAsia="es-MX"/>
              </w:rPr>
            </w:pPr>
            <w:r w:rsidRPr="00414E2D">
              <w:rPr>
                <w:rFonts w:ascii="Verdana" w:eastAsia="Calibri" w:hAnsi="Verdana" w:cs="Arial"/>
                <w:bCs/>
                <w:color w:val="000000"/>
                <w:lang w:eastAsia="es-MX"/>
              </w:rPr>
              <w:t>En consecuencia, para efectos de establecer la aplicabilidad de la Resolución 539 de 2025, la fecha determinante será aquella en la que el aviso de convocatoria produce efectos jurídicos. Esta coincidirá con la fecha de la publicación material cuando esta se efectúe en un día hábil —o en un día excepcionalmente habilitado mediante acto administrativo válido— y, en caso contrario, corresponderá al primer día hábil siguiente.</w:t>
            </w:r>
          </w:p>
          <w:p w14:paraId="493A3AD1" w14:textId="1430FCB1" w:rsidR="00756BA9" w:rsidRPr="00B708B0" w:rsidRDefault="00756BA9" w:rsidP="00414E2D">
            <w:pPr>
              <w:spacing w:after="120" w:line="276" w:lineRule="auto"/>
              <w:jc w:val="both"/>
              <w:rPr>
                <w:rFonts w:ascii="Verdana" w:eastAsia="Calibri" w:hAnsi="Verdana" w:cs="Arial"/>
                <w:bCs/>
                <w:color w:val="000000"/>
                <w:lang w:eastAsia="es-MX"/>
              </w:rPr>
            </w:pPr>
          </w:p>
        </w:tc>
      </w:tr>
    </w:tbl>
    <w:p w14:paraId="4AEA90D2" w14:textId="77777777" w:rsidR="00F91C09" w:rsidRPr="00B51B75" w:rsidRDefault="00F91C09" w:rsidP="00F91C09">
      <w:pPr>
        <w:tabs>
          <w:tab w:val="left" w:pos="142"/>
          <w:tab w:val="left" w:pos="284"/>
        </w:tabs>
        <w:spacing w:after="0" w:line="276" w:lineRule="auto"/>
        <w:ind w:left="142" w:hanging="142"/>
        <w:jc w:val="both"/>
        <w:rPr>
          <w:rFonts w:ascii="Verdana" w:eastAsia="Century Gothic" w:hAnsi="Verdana" w:cs="Century Gothic"/>
          <w:b/>
          <w:bCs/>
          <w:color w:val="000000" w:themeColor="text1"/>
          <w:lang w:val="es-ES"/>
        </w:rPr>
      </w:pPr>
    </w:p>
    <w:p w14:paraId="23C2B41D" w14:textId="77777777" w:rsidR="00F91C09" w:rsidRPr="00B51B75" w:rsidRDefault="00F91C09" w:rsidP="00F91C09">
      <w:pPr>
        <w:numPr>
          <w:ilvl w:val="0"/>
          <w:numId w:val="16"/>
        </w:num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B51B75">
        <w:rPr>
          <w:rFonts w:ascii="Verdana" w:eastAsia="Century Gothic" w:hAnsi="Verdana" w:cs="Century Gothic"/>
          <w:b/>
          <w:bCs/>
          <w:color w:val="000000" w:themeColor="text1"/>
          <w:lang w:val="es-ES"/>
        </w:rPr>
        <w:t>Razones de la respuesta:</w:t>
      </w:r>
    </w:p>
    <w:p w14:paraId="7F847E9E" w14:textId="77777777" w:rsidR="00F91C09" w:rsidRPr="00B51B75" w:rsidRDefault="00F91C09" w:rsidP="00F91C09">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p>
    <w:p w14:paraId="18FA7B8C" w14:textId="77777777" w:rsidR="00F91C09" w:rsidRPr="00B51B75" w:rsidRDefault="00F91C09" w:rsidP="00F91C09">
      <w:pPr>
        <w:tabs>
          <w:tab w:val="left" w:pos="142"/>
          <w:tab w:val="left" w:pos="284"/>
        </w:tabs>
        <w:spacing w:after="0" w:line="276" w:lineRule="auto"/>
        <w:contextualSpacing/>
        <w:jc w:val="both"/>
        <w:rPr>
          <w:rFonts w:ascii="Verdana" w:eastAsia="Calibri" w:hAnsi="Verdana" w:cs="Arial"/>
          <w:color w:val="000000" w:themeColor="text1"/>
          <w:lang w:val="es-ES" w:eastAsia="es-MX"/>
        </w:rPr>
      </w:pPr>
      <w:r w:rsidRPr="00B51B75">
        <w:rPr>
          <w:rFonts w:ascii="Verdana" w:eastAsia="Calibri" w:hAnsi="Verdana" w:cs="Arial"/>
          <w:color w:val="000000" w:themeColor="text1"/>
          <w:lang w:val="es-ES" w:eastAsia="es-MX"/>
        </w:rPr>
        <w:t xml:space="preserve">Lo anterior se sustenta en las siguientes consideraciones: </w:t>
      </w:r>
    </w:p>
    <w:p w14:paraId="1405F173" w14:textId="77777777" w:rsidR="00FD0099" w:rsidRPr="001F57FC" w:rsidRDefault="00FD0099" w:rsidP="00FD0099">
      <w:pPr>
        <w:spacing w:after="0" w:line="276" w:lineRule="auto"/>
        <w:jc w:val="both"/>
        <w:rPr>
          <w:rFonts w:ascii="Verdana" w:eastAsia="Calibri" w:hAnsi="Verdana" w:cs="Arial"/>
          <w:lang w:val="es-ES" w:eastAsia="es-MX"/>
        </w:rPr>
      </w:pPr>
    </w:p>
    <w:p w14:paraId="0090223A" w14:textId="3B6AB3E0" w:rsidR="00FD0099" w:rsidRPr="00812116" w:rsidRDefault="00F7317E" w:rsidP="00812116">
      <w:pPr>
        <w:spacing w:after="120" w:line="276" w:lineRule="auto"/>
        <w:jc w:val="both"/>
        <w:rPr>
          <w:rFonts w:ascii="Verdana" w:eastAsia="Aptos" w:hAnsi="Verdana" w:cs="Arial"/>
          <w:lang w:eastAsia="es-MX"/>
        </w:rPr>
      </w:pPr>
      <w:r w:rsidRPr="001F57FC">
        <w:rPr>
          <w:rFonts w:ascii="Verdana" w:eastAsia="Aptos" w:hAnsi="Verdana" w:cs="Arial"/>
          <w:lang w:eastAsia="es-MX"/>
        </w:rPr>
        <w:t>I</w:t>
      </w:r>
      <w:r>
        <w:rPr>
          <w:rFonts w:ascii="Verdana" w:eastAsia="Aptos" w:hAnsi="Verdana" w:cs="Arial"/>
          <w:lang w:eastAsia="es-MX"/>
        </w:rPr>
        <w:t>)</w:t>
      </w:r>
      <w:r w:rsidR="00FD0099" w:rsidRPr="001F57FC">
        <w:rPr>
          <w:rFonts w:ascii="Verdana" w:eastAsia="Aptos" w:hAnsi="Verdana" w:cs="Arial"/>
          <w:lang w:eastAsia="es-MX"/>
        </w:rPr>
        <w:t xml:space="preserve">. </w:t>
      </w:r>
      <w:r w:rsidR="008C22D6">
        <w:rPr>
          <w:rFonts w:ascii="Verdana" w:eastAsia="Aptos" w:hAnsi="Verdana" w:cs="Arial"/>
          <w:lang w:eastAsia="es-MX"/>
        </w:rPr>
        <w:t>La</w:t>
      </w:r>
      <w:r w:rsidR="00FD0099" w:rsidRPr="001F57FC">
        <w:rPr>
          <w:rFonts w:ascii="Verdana" w:eastAsia="Calibri" w:hAnsi="Verdana" w:cs="Arial"/>
          <w:lang w:val="es-MX" w:eastAsia="es-MX"/>
        </w:rPr>
        <w:t xml:space="preserve"> Agencia Nacional de Contratación Pública – Colombia Compra </w:t>
      </w:r>
      <w:r w:rsidR="00FD0099" w:rsidRPr="001F57FC">
        <w:rPr>
          <w:rFonts w:ascii="Verdana" w:eastAsia="Calibri" w:hAnsi="Verdana" w:cs="Arial"/>
          <w:lang w:eastAsia="es-MX"/>
        </w:rPr>
        <w:t xml:space="preserve">Eficiente </w:t>
      </w:r>
      <w:r w:rsidR="00FD0099" w:rsidRPr="001F57FC">
        <w:rPr>
          <w:rFonts w:ascii="Verdana" w:eastAsia="Times New Roman" w:hAnsi="Verdana" w:cs="Times New Roman"/>
          <w:color w:val="000000"/>
          <w:lang w:eastAsia="es-CO"/>
        </w:rPr>
        <w:t>en el segundo semestre del año 2025 adoptó las siguientes Resoluciones para contratar obra pública y concurso de méritos</w:t>
      </w:r>
      <w:r w:rsidR="00AC54FE">
        <w:rPr>
          <w:rFonts w:ascii="Verdana" w:eastAsia="Times New Roman" w:hAnsi="Verdana" w:cs="Times New Roman"/>
          <w:color w:val="000000"/>
          <w:lang w:eastAsia="es-CO"/>
        </w:rPr>
        <w:t xml:space="preserve"> en el sector de Infraestructura Social</w:t>
      </w:r>
      <w:r w:rsidR="00FD0099" w:rsidRPr="001F57FC">
        <w:rPr>
          <w:rFonts w:ascii="Verdana" w:eastAsia="Times New Roman" w:hAnsi="Verdana" w:cs="Times New Roman"/>
          <w:color w:val="000000"/>
          <w:lang w:eastAsia="es-CO"/>
        </w:rPr>
        <w:t>:</w:t>
      </w:r>
    </w:p>
    <w:p w14:paraId="347DAE70" w14:textId="77777777" w:rsidR="00FD0099" w:rsidRPr="001F57FC" w:rsidRDefault="00FD0099" w:rsidP="00FD009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lastRenderedPageBreak/>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499CE56" w14:textId="77777777" w:rsidR="00FD0099" w:rsidRPr="001F57FC" w:rsidRDefault="00FD0099" w:rsidP="00FD009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 xml:space="preserve"> </w:t>
      </w:r>
      <w:proofErr w:type="spellStart"/>
      <w:r w:rsidRPr="001F57FC">
        <w:rPr>
          <w:rFonts w:ascii="Verdana" w:eastAsia="Times New Roman" w:hAnsi="Verdana" w:cs="Times New Roman"/>
          <w:color w:val="000000"/>
          <w:lang w:eastAsia="es-CO"/>
        </w:rPr>
        <w:t>ii</w:t>
      </w:r>
      <w:proofErr w:type="spellEnd"/>
      <w:r w:rsidRPr="001F57FC">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2B8DA1CE" w14:textId="77777777" w:rsidR="00FD0099" w:rsidRPr="001F57FC" w:rsidRDefault="00FD0099" w:rsidP="00FD0099">
      <w:pPr>
        <w:spacing w:after="120" w:line="276" w:lineRule="auto"/>
        <w:ind w:firstLine="708"/>
        <w:jc w:val="both"/>
        <w:rPr>
          <w:rFonts w:ascii="Verdana" w:eastAsia="Times New Roman" w:hAnsi="Verdana" w:cs="Times New Roman"/>
          <w:color w:val="000000"/>
          <w:lang w:eastAsia="es-CO"/>
        </w:rPr>
      </w:pPr>
      <w:proofErr w:type="spellStart"/>
      <w:r w:rsidRPr="001F57FC">
        <w:rPr>
          <w:rFonts w:ascii="Verdana" w:eastAsia="Times New Roman" w:hAnsi="Verdana" w:cs="Times New Roman"/>
          <w:color w:val="000000"/>
          <w:lang w:eastAsia="es-CO"/>
        </w:rPr>
        <w:t>iii</w:t>
      </w:r>
      <w:proofErr w:type="spellEnd"/>
      <w:r w:rsidRPr="001F57FC">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738534D9" w14:textId="77777777" w:rsidR="00FD0099" w:rsidRPr="001F57FC" w:rsidRDefault="00FD0099" w:rsidP="00FD0099">
      <w:pPr>
        <w:spacing w:after="120" w:line="276" w:lineRule="auto"/>
        <w:ind w:firstLine="708"/>
        <w:jc w:val="both"/>
        <w:rPr>
          <w:rFonts w:ascii="Verdana" w:eastAsia="Times New Roman" w:hAnsi="Verdana" w:cs="Times New Roman"/>
          <w:color w:val="000000"/>
          <w:lang w:eastAsia="es-CO"/>
        </w:rPr>
      </w:pPr>
      <w:proofErr w:type="spellStart"/>
      <w:r w:rsidRPr="001F57FC">
        <w:rPr>
          <w:rFonts w:ascii="Verdana" w:eastAsia="Times New Roman" w:hAnsi="Verdana" w:cs="Times New Roman"/>
          <w:color w:val="000000"/>
          <w:lang w:eastAsia="es-CO"/>
        </w:rPr>
        <w:t>iv</w:t>
      </w:r>
      <w:proofErr w:type="spellEnd"/>
      <w:r w:rsidRPr="001F57FC">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584960F1" w14:textId="77777777" w:rsidR="00FD0099" w:rsidRPr="001F57FC" w:rsidRDefault="00FD0099" w:rsidP="00FD0099">
      <w:pPr>
        <w:spacing w:after="120" w:line="276" w:lineRule="auto"/>
        <w:ind w:firstLine="708"/>
        <w:jc w:val="both"/>
        <w:rPr>
          <w:rFonts w:ascii="Verdana" w:eastAsia="Times New Roman" w:hAnsi="Verdana" w:cs="Times New Roman"/>
          <w:color w:val="000000"/>
          <w:lang w:eastAsia="es-CO"/>
        </w:rPr>
      </w:pPr>
      <w:r w:rsidRPr="001F57FC">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1F57FC">
        <w:rPr>
          <w:rFonts w:ascii="Verdana" w:eastAsia="Aptos" w:hAnsi="Verdana" w:cs="Times New Roman"/>
          <w:lang w:eastAsia="es-MX"/>
        </w:rPr>
        <w:t xml:space="preserve"> </w:t>
      </w:r>
    </w:p>
    <w:p w14:paraId="5E821110" w14:textId="38E3D522" w:rsidR="00273891" w:rsidRDefault="00273891" w:rsidP="00375051">
      <w:pPr>
        <w:widowControl w:val="0"/>
        <w:autoSpaceDE w:val="0"/>
        <w:autoSpaceDN w:val="0"/>
        <w:spacing w:after="120" w:line="276" w:lineRule="auto"/>
        <w:ind w:firstLine="708"/>
        <w:jc w:val="both"/>
        <w:rPr>
          <w:rFonts w:ascii="Verdana" w:eastAsia="Calibri" w:hAnsi="Verdana" w:cs="Arial"/>
          <w:kern w:val="2"/>
          <w14:ligatures w14:val="standardContextual"/>
        </w:rPr>
      </w:pPr>
      <w:r w:rsidRPr="00273891">
        <w:rPr>
          <w:rFonts w:ascii="Verdana" w:eastAsia="Aptos" w:hAnsi="Verdana" w:cs="Times New Roman"/>
          <w:lang w:eastAsia="es-MX"/>
        </w:rPr>
        <w:lastRenderedPageBreak/>
        <w:t>Las Resoluciones 539, 540 y 541 del 21 de agosto de 2025, así como las Resoluciones 952 y 953 del 15 de diciembre de 2025, mediante las cuales se adoptaron los Documentos Tipo aplicables al sector de infraestructura social, son de obligatorio cumplimiento en la actividad contractual de las Entidades Estatales sometidas al Estatuto General de Contratación de la Administración Pública. Igualmente, resultan exigibles a los patrimonios autónomos y a las personas naturales o jurídicas de derecho público que, en virtud de disposición legal, se encuentren obligadas a su aplicación.</w:t>
      </w:r>
    </w:p>
    <w:p w14:paraId="0E4399E3" w14:textId="77777777" w:rsidR="00325837" w:rsidRDefault="002D4624" w:rsidP="00325837">
      <w:pPr>
        <w:widowControl w:val="0"/>
        <w:autoSpaceDE w:val="0"/>
        <w:autoSpaceDN w:val="0"/>
        <w:spacing w:after="120" w:line="276" w:lineRule="auto"/>
        <w:ind w:firstLine="708"/>
        <w:jc w:val="both"/>
        <w:rPr>
          <w:rFonts w:ascii="Verdana" w:eastAsia="Calibri" w:hAnsi="Verdana" w:cs="Arial"/>
          <w:kern w:val="2"/>
          <w14:ligatures w14:val="standardContextual"/>
        </w:rPr>
      </w:pPr>
      <w:r w:rsidRPr="00C57669">
        <w:rPr>
          <w:rFonts w:ascii="Verdana" w:eastAsia="Calibri" w:hAnsi="Verdana" w:cs="Arial"/>
          <w:kern w:val="2"/>
          <w14:ligatures w14:val="standardContextual"/>
        </w:rPr>
        <w:t>Estos Documentos Tipo tienen aplicación transversal en las modalidades de selección previstas en las respectivas resoluciones y en los proyectos de infraestructura, interventoría y consultoría relacionados con los sectores educativo, salud, cultura, recreación y deporte, institucional y vivienda. Su implementación será obligatoria en los procesos de selección cuyo aviso de convocatoria sea pub</w:t>
      </w:r>
      <w:r w:rsidR="00D95A5C" w:rsidRPr="00C57669">
        <w:rPr>
          <w:rFonts w:ascii="Verdana" w:eastAsia="Calibri" w:hAnsi="Verdana" w:cs="Arial"/>
          <w:kern w:val="2"/>
          <w14:ligatures w14:val="standardContextual"/>
        </w:rPr>
        <w:t xml:space="preserve">lique </w:t>
      </w:r>
      <w:r w:rsidRPr="00C57669">
        <w:rPr>
          <w:rFonts w:ascii="Verdana" w:eastAsia="Calibri" w:hAnsi="Verdana" w:cs="Arial"/>
          <w:kern w:val="2"/>
          <w14:ligatures w14:val="standardContextual"/>
        </w:rPr>
        <w:t>a partir del 16 de febrero de 2026</w:t>
      </w:r>
      <w:r w:rsidR="00325837">
        <w:rPr>
          <w:rFonts w:ascii="Verdana" w:eastAsia="Calibri" w:hAnsi="Verdana" w:cs="Arial"/>
          <w:kern w:val="2"/>
          <w14:ligatures w14:val="standardContextual"/>
        </w:rPr>
        <w:t>.</w:t>
      </w:r>
    </w:p>
    <w:p w14:paraId="61B13113" w14:textId="5D3393B8" w:rsidR="00325837" w:rsidRPr="00325837" w:rsidRDefault="00325837" w:rsidP="00325837">
      <w:pPr>
        <w:widowControl w:val="0"/>
        <w:autoSpaceDE w:val="0"/>
        <w:autoSpaceDN w:val="0"/>
        <w:spacing w:after="120" w:line="276" w:lineRule="auto"/>
        <w:jc w:val="both"/>
        <w:rPr>
          <w:rFonts w:ascii="Verdana" w:eastAsia="Calibri" w:hAnsi="Verdana" w:cs="Arial"/>
          <w:kern w:val="2"/>
          <w14:ligatures w14:val="standardContextual"/>
        </w:rPr>
      </w:pPr>
      <w:r>
        <w:rPr>
          <w:rFonts w:ascii="Verdana" w:eastAsia="Calibri" w:hAnsi="Verdana" w:cs="Arial"/>
          <w:kern w:val="2"/>
          <w14:ligatures w14:val="standardContextual"/>
        </w:rPr>
        <w:t xml:space="preserve">II). </w:t>
      </w:r>
      <w:r w:rsidRPr="00325837">
        <w:rPr>
          <w:rFonts w:ascii="Verdana" w:hAnsi="Verdana" w:cs="Arial"/>
          <w:color w:val="000000" w:themeColor="text1"/>
        </w:rPr>
        <w:t>En este contexto, resulta necesario considerar las reglas que rigen la estructuración y el desarrollo de los Procesos de Contratación, particularmente aquellas relacionadas con la etapa precontractual, en la cual las Entidades Estatales definen las condiciones bajo las cuales adelantarán la selección del contratista.</w:t>
      </w:r>
    </w:p>
    <w:p w14:paraId="5F14D010" w14:textId="77777777" w:rsidR="00325837" w:rsidRDefault="00804578" w:rsidP="00325837">
      <w:pPr>
        <w:widowControl w:val="0"/>
        <w:autoSpaceDE w:val="0"/>
        <w:autoSpaceDN w:val="0"/>
        <w:spacing w:after="120" w:line="276" w:lineRule="auto"/>
        <w:ind w:firstLine="708"/>
        <w:jc w:val="both"/>
        <w:rPr>
          <w:rFonts w:ascii="Verdana" w:hAnsi="Verdana" w:cs="Arial"/>
          <w:color w:val="000000" w:themeColor="text1"/>
        </w:rPr>
      </w:pPr>
      <w:r w:rsidRPr="00804578">
        <w:rPr>
          <w:rFonts w:ascii="Verdana" w:hAnsi="Verdana" w:cs="Arial"/>
          <w:color w:val="000000" w:themeColor="text1"/>
        </w:rPr>
        <w:t xml:space="preserve">Los Procesos de Contratación que deben adelantar las Entidades Estatales para adquirir los bienes, obras o servicios que se requieren, se rigen por procedimientos reglados establecidos por la ley y el reglamento. Si bien el artículo 2 de la Ley 1150 de 2007 prevé distintas modalidades de selección, competitivas y no competitivas, sujetas a procedimientos distintos, todas deben agotar una etapa precontractual en la que se realiza la planeación del contrato, lo cual se refleja en el análisis del sector económico y en los estudios previos. </w:t>
      </w:r>
    </w:p>
    <w:p w14:paraId="2FAC5A64" w14:textId="7CD3A95A" w:rsidR="00804578" w:rsidRPr="00804578" w:rsidRDefault="00804578" w:rsidP="00325837">
      <w:pPr>
        <w:widowControl w:val="0"/>
        <w:autoSpaceDE w:val="0"/>
        <w:autoSpaceDN w:val="0"/>
        <w:spacing w:after="120" w:line="276" w:lineRule="auto"/>
        <w:ind w:firstLine="708"/>
        <w:jc w:val="both"/>
        <w:rPr>
          <w:rFonts w:ascii="Verdana" w:hAnsi="Verdana" w:cs="Arial"/>
          <w:color w:val="000000" w:themeColor="text1"/>
        </w:rPr>
      </w:pPr>
      <w:r w:rsidRPr="00804578">
        <w:rPr>
          <w:rFonts w:ascii="Verdana" w:hAnsi="Verdana" w:cs="Arial"/>
          <w:color w:val="000000" w:themeColor="text1"/>
        </w:rPr>
        <w:t xml:space="preserve">En relación con la licitación pública, el artículo 30 de la Ley 80 de 1993 definió la estructura del proceso y estableció sus fases. Según esta normativa, se puede distinguir entre la fase de planificación o preparatoria y la licitación propiamente dicha. El inciso 1 del artículo mencionado establece dos momentos en el procedimiento de licitación: por un lado, el relacionado con la planificación, ya que la entidad, antes de iniciar el proceso de selección, debe desarrollar los estudios previos que fundamenten técnica y jurídicamente la contratación, de acuerdo con el inciso 12 del artículo 25 de esa ley y el artículo 2.2.1.1.2.1.1 del Decreto 1082 de 2015; por otro lado, se encuentra la etapa de inicio del proceso </w:t>
      </w:r>
      <w:r w:rsidRPr="00804578">
        <w:rPr>
          <w:rFonts w:ascii="Verdana" w:hAnsi="Verdana" w:cs="Arial"/>
          <w:color w:val="000000" w:themeColor="text1"/>
        </w:rPr>
        <w:lastRenderedPageBreak/>
        <w:t xml:space="preserve">de selección en sí, que se inicia con el acto administrativo de apertura del proceso. Además, el inciso 2 del artículo 30 de la Ley 80 de 1993 impone la obligación de preparar un pliego de condiciones, conforme a lo estipulado en el inciso 5 del artículo 24 de la misma ley y en el artículo 2.2.1.1.2.1.3 del Decreto 1082 de 2015. </w:t>
      </w:r>
    </w:p>
    <w:p w14:paraId="02148C84" w14:textId="77777777" w:rsidR="00804578" w:rsidRPr="00804578" w:rsidRDefault="00804578" w:rsidP="00804578">
      <w:pPr>
        <w:widowControl w:val="0"/>
        <w:autoSpaceDE w:val="0"/>
        <w:autoSpaceDN w:val="0"/>
        <w:spacing w:after="120" w:line="276" w:lineRule="auto"/>
        <w:ind w:firstLine="708"/>
        <w:jc w:val="both"/>
        <w:rPr>
          <w:rFonts w:ascii="Verdana" w:hAnsi="Verdana" w:cs="Arial"/>
          <w:color w:val="000000" w:themeColor="text1"/>
        </w:rPr>
      </w:pPr>
      <w:r w:rsidRPr="00804578">
        <w:rPr>
          <w:rFonts w:ascii="Verdana" w:hAnsi="Verdana" w:cs="Arial"/>
          <w:color w:val="000000" w:themeColor="text1"/>
        </w:rPr>
        <w:t xml:space="preserve">Por su parte, el numeral 3 señala que dentro de los 10 o 20 días calendario antes de la apertura de la licitación, la entidad debe publicar hasta 3 avisos para invitar a participar en el proceso de licitación. Los avisos deberán publicarse con intervalos de 2 a 5 días calendario entre cada uno, en la página web de la entidad y en el SECOP; en defecto de los mecanismos anteriores, en los pequeños poblados, esta publicación debe realizarse por bando o en los principales lugares públicos, por un término de 7 días calendario, uno de los cuales será en el “día de mercado” de la respectiva población. Además, se debe publicar otro aviso que contendrá la información señalada en el artículo 2.2.1.1.2.1.2. del Decreto 1082 de 2015.  </w:t>
      </w:r>
    </w:p>
    <w:p w14:paraId="084E9F3D" w14:textId="77777777" w:rsidR="008E6880" w:rsidRPr="00375E6C" w:rsidRDefault="008E6880" w:rsidP="008E6880">
      <w:pPr>
        <w:spacing w:after="120" w:line="276" w:lineRule="auto"/>
        <w:ind w:firstLine="709"/>
        <w:jc w:val="both"/>
        <w:rPr>
          <w:rFonts w:ascii="Verdana" w:hAnsi="Verdana" w:cs="Arial"/>
          <w:color w:val="000000" w:themeColor="text1"/>
        </w:rPr>
      </w:pPr>
      <w:r w:rsidRPr="00375E6C">
        <w:rPr>
          <w:rFonts w:ascii="Verdana" w:hAnsi="Verdana" w:cs="Arial"/>
          <w:color w:val="000000" w:themeColor="text1"/>
        </w:rPr>
        <w:t>Particularmente, respecto del aviso de convocatoria es preciso indicar que de conformidad con el artículo 2.2.1.1.2.1.2. del Decreto 1082 de 2015 este deberá contener la siguiente información: 1. El nombre y dirección de la Entidad Estatal</w:t>
      </w:r>
      <w:bookmarkStart w:id="2" w:name="2.2.1.1.2.1.2.2"/>
      <w:bookmarkEnd w:id="2"/>
      <w:r w:rsidRPr="00375E6C">
        <w:rPr>
          <w:rFonts w:ascii="Verdana" w:hAnsi="Verdana" w:cs="Arial"/>
          <w:color w:val="000000" w:themeColor="text1"/>
        </w:rPr>
        <w:t>, 2. La dirección, el correo electrónico y el teléfono en donde la Entidad Estatal atenderá a los interesados en el Proceso de Contratación, y la dirección y el correo electrónico en donde los proponentes deben presentar los documentos en desarrollo del Proceso de Contratación</w:t>
      </w:r>
      <w:bookmarkStart w:id="3" w:name="2.2.1.1.2.1.2.3"/>
      <w:bookmarkEnd w:id="3"/>
      <w:r w:rsidRPr="00375E6C">
        <w:rPr>
          <w:rFonts w:ascii="Verdana" w:hAnsi="Verdana" w:cs="Arial"/>
          <w:color w:val="000000" w:themeColor="text1"/>
        </w:rPr>
        <w:t>, 3. El objeto del contrato a celebrar, identificando las cantidades a adquirir</w:t>
      </w:r>
      <w:bookmarkStart w:id="4" w:name="2.2.1.1.2.1.2.4"/>
      <w:bookmarkEnd w:id="4"/>
      <w:r w:rsidRPr="00375E6C">
        <w:rPr>
          <w:rFonts w:ascii="Verdana" w:hAnsi="Verdana" w:cs="Arial"/>
          <w:color w:val="000000" w:themeColor="text1"/>
        </w:rPr>
        <w:t>, 4. La modalidad de selección del contratista</w:t>
      </w:r>
      <w:bookmarkStart w:id="5" w:name="2.2.1.1.2.1.2.5"/>
      <w:bookmarkEnd w:id="5"/>
      <w:r w:rsidRPr="00375E6C">
        <w:rPr>
          <w:rFonts w:ascii="Verdana" w:hAnsi="Verdana" w:cs="Arial"/>
          <w:color w:val="000000" w:themeColor="text1"/>
        </w:rPr>
        <w:t>, 5. El plazo estimado del contrato</w:t>
      </w:r>
      <w:bookmarkStart w:id="6" w:name="2.2.1.1.2.1.2.6"/>
      <w:bookmarkEnd w:id="6"/>
      <w:r w:rsidRPr="00375E6C">
        <w:rPr>
          <w:rFonts w:ascii="Verdana" w:hAnsi="Verdana" w:cs="Arial"/>
          <w:color w:val="000000" w:themeColor="text1"/>
        </w:rPr>
        <w:t>, 6. La fecha límite en la cual los interesados deben presentar su oferta y el lugar y forma de presentación de la misma</w:t>
      </w:r>
      <w:bookmarkStart w:id="7" w:name="2.2.1.1.2.1.2.7"/>
      <w:bookmarkEnd w:id="7"/>
      <w:r w:rsidRPr="00375E6C">
        <w:rPr>
          <w:rFonts w:ascii="Verdana" w:hAnsi="Verdana" w:cs="Arial"/>
          <w:color w:val="000000" w:themeColor="text1"/>
        </w:rPr>
        <w:t>, 7. El valor estimado del contrato y la manifestación expresa de que la Entidad Estatal cuenta con la disponibilidad presupuestal</w:t>
      </w:r>
      <w:bookmarkStart w:id="8" w:name="2.2.1.1.2.1.2.8"/>
      <w:bookmarkEnd w:id="8"/>
      <w:r w:rsidRPr="00375E6C">
        <w:rPr>
          <w:rFonts w:ascii="Verdana" w:hAnsi="Verdana" w:cs="Arial"/>
          <w:color w:val="000000" w:themeColor="text1"/>
        </w:rPr>
        <w:t xml:space="preserve">, 8. </w:t>
      </w:r>
      <w:r w:rsidRPr="00375E6C">
        <w:rPr>
          <w:rFonts w:ascii="Verdana" w:hAnsi="Verdana" w:cs="Arial"/>
          <w:i/>
          <w:iCs/>
          <w:color w:val="000000" w:themeColor="text1"/>
        </w:rPr>
        <w:t>Mención de si la contratación está cobijada por un Acuerdo Comercial</w:t>
      </w:r>
      <w:bookmarkStart w:id="9" w:name="2.2.1.1.2.1.2.9"/>
      <w:bookmarkEnd w:id="9"/>
      <w:r w:rsidRPr="00375E6C">
        <w:rPr>
          <w:rFonts w:ascii="Verdana" w:hAnsi="Verdana" w:cs="Arial"/>
          <w:color w:val="000000" w:themeColor="text1"/>
        </w:rPr>
        <w:t xml:space="preserve">, 9. Mención de si la convocatoria es susceptible de ser limitada a </w:t>
      </w:r>
      <w:proofErr w:type="spellStart"/>
      <w:r w:rsidRPr="00375E6C">
        <w:rPr>
          <w:rFonts w:ascii="Verdana" w:hAnsi="Verdana" w:cs="Arial"/>
          <w:color w:val="000000" w:themeColor="text1"/>
        </w:rPr>
        <w:t>Mipyme</w:t>
      </w:r>
      <w:bookmarkStart w:id="10" w:name="2.2.1.1.2.1.2.10"/>
      <w:bookmarkEnd w:id="10"/>
      <w:proofErr w:type="spellEnd"/>
      <w:r w:rsidRPr="00375E6C">
        <w:rPr>
          <w:rFonts w:ascii="Verdana" w:hAnsi="Verdana" w:cs="Arial"/>
          <w:color w:val="000000" w:themeColor="text1"/>
        </w:rPr>
        <w:t>, 10. Enumeración y breve descripción de las condiciones para participar en el Proceso de Contratación</w:t>
      </w:r>
      <w:bookmarkStart w:id="11" w:name="2.2.1.1.2.1.2.11"/>
      <w:bookmarkEnd w:id="11"/>
      <w:r w:rsidRPr="00375E6C">
        <w:rPr>
          <w:rFonts w:ascii="Verdana" w:hAnsi="Verdana" w:cs="Arial"/>
          <w:color w:val="000000" w:themeColor="text1"/>
        </w:rPr>
        <w:t>, 11. Indicar si en el Proceso de Contratación hay lugar a precalificación</w:t>
      </w:r>
      <w:bookmarkStart w:id="12" w:name="2.2.1.1.2.1.2.12"/>
      <w:bookmarkEnd w:id="12"/>
      <w:r w:rsidRPr="00375E6C">
        <w:rPr>
          <w:rFonts w:ascii="Verdana" w:hAnsi="Verdana" w:cs="Arial"/>
          <w:color w:val="000000" w:themeColor="text1"/>
        </w:rPr>
        <w:t>, 12. El Cronograma</w:t>
      </w:r>
      <w:bookmarkStart w:id="13" w:name="2.2.1.1.2.1.2.13"/>
      <w:bookmarkEnd w:id="13"/>
      <w:r w:rsidRPr="00375E6C">
        <w:rPr>
          <w:rFonts w:ascii="Verdana" w:hAnsi="Verdana" w:cs="Arial"/>
          <w:color w:val="000000" w:themeColor="text1"/>
        </w:rPr>
        <w:t xml:space="preserve"> y 13. La forma como los interesados pueden consultar los Documentos del Proceso.</w:t>
      </w:r>
    </w:p>
    <w:p w14:paraId="7B1105BC" w14:textId="03A8F8B5" w:rsidR="005F08A6" w:rsidRDefault="005011EE" w:rsidP="008E6880">
      <w:pPr>
        <w:widowControl w:val="0"/>
        <w:autoSpaceDE w:val="0"/>
        <w:autoSpaceDN w:val="0"/>
        <w:spacing w:after="120" w:line="276" w:lineRule="auto"/>
        <w:ind w:firstLine="708"/>
        <w:jc w:val="both"/>
        <w:rPr>
          <w:rFonts w:ascii="Verdana" w:hAnsi="Verdana" w:cs="Arial"/>
          <w:color w:val="000000" w:themeColor="text1"/>
        </w:rPr>
      </w:pPr>
      <w:r>
        <w:rPr>
          <w:rFonts w:ascii="Verdana" w:hAnsi="Verdana" w:cs="Arial"/>
          <w:color w:val="000000" w:themeColor="text1"/>
        </w:rPr>
        <w:t xml:space="preserve">El </w:t>
      </w:r>
      <w:r w:rsidR="008E6880" w:rsidRPr="00375E6C">
        <w:rPr>
          <w:rFonts w:ascii="Verdana" w:hAnsi="Verdana" w:cs="Arial"/>
          <w:color w:val="000000" w:themeColor="text1"/>
        </w:rPr>
        <w:t xml:space="preserve">aviso de convocatoria tiene como finalidad principal invitar a los interesados a participar en el proceso de contratación y poner en su </w:t>
      </w:r>
      <w:r w:rsidR="008E6880" w:rsidRPr="00375E6C">
        <w:rPr>
          <w:rFonts w:ascii="Verdana" w:hAnsi="Verdana" w:cs="Arial"/>
          <w:color w:val="000000" w:themeColor="text1"/>
        </w:rPr>
        <w:lastRenderedPageBreak/>
        <w:t>conocimiento los aspectos esenciales del mismo. Esta etapa preliminar cumple una función informativa y participativa, en la medida en que permite a los potenciales oferentes presentar observaciones, solicitudes de aclaración o comentarios respecto del proyecto de pliego de condiciones. Por ello, el aviso contiene una síntesis del contenido del proyecto de pliego, la cual no es definitiva, sino susceptible de ajustes conforme se desarrollen las interacciones entre la entidad contratante y los interesados</w:t>
      </w:r>
    </w:p>
    <w:p w14:paraId="3119F949" w14:textId="30F4B94D" w:rsidR="005118B5" w:rsidRPr="005118B5" w:rsidRDefault="005118B5" w:rsidP="005118B5">
      <w:pPr>
        <w:widowControl w:val="0"/>
        <w:autoSpaceDE w:val="0"/>
        <w:autoSpaceDN w:val="0"/>
        <w:spacing w:after="120" w:line="276" w:lineRule="auto"/>
        <w:ind w:firstLine="708"/>
        <w:jc w:val="both"/>
        <w:rPr>
          <w:rFonts w:ascii="Verdana" w:hAnsi="Verdana" w:cs="Arial"/>
          <w:color w:val="000000" w:themeColor="text1"/>
        </w:rPr>
      </w:pPr>
      <w:r w:rsidRPr="005118B5">
        <w:rPr>
          <w:rFonts w:ascii="Verdana" w:hAnsi="Verdana" w:cs="Arial"/>
          <w:color w:val="000000" w:themeColor="text1"/>
        </w:rPr>
        <w:t xml:space="preserve">En los procesos adelantados </w:t>
      </w:r>
      <w:r>
        <w:rPr>
          <w:rFonts w:ascii="Verdana" w:hAnsi="Verdana" w:cs="Arial"/>
          <w:color w:val="000000" w:themeColor="text1"/>
        </w:rPr>
        <w:t>con</w:t>
      </w:r>
      <w:r w:rsidR="00496FE7">
        <w:rPr>
          <w:rFonts w:ascii="Verdana" w:hAnsi="Verdana" w:cs="Arial"/>
          <w:color w:val="000000" w:themeColor="text1"/>
        </w:rPr>
        <w:t>forme lo previsto en los</w:t>
      </w:r>
      <w:r w:rsidRPr="005118B5">
        <w:rPr>
          <w:rFonts w:ascii="Verdana" w:hAnsi="Verdana" w:cs="Arial"/>
          <w:color w:val="000000" w:themeColor="text1"/>
        </w:rPr>
        <w:t xml:space="preserve"> Documentos Tipo, la fecha de publicación del aviso de convocatoria constituye un elemento relevante para determinar </w:t>
      </w:r>
      <w:r w:rsidR="00251AC5">
        <w:rPr>
          <w:rFonts w:ascii="Verdana" w:hAnsi="Verdana" w:cs="Arial"/>
          <w:color w:val="000000" w:themeColor="text1"/>
        </w:rPr>
        <w:t xml:space="preserve">las disposiciones </w:t>
      </w:r>
      <w:r w:rsidRPr="005118B5">
        <w:rPr>
          <w:rFonts w:ascii="Verdana" w:hAnsi="Verdana" w:cs="Arial"/>
          <w:color w:val="000000" w:themeColor="text1"/>
        </w:rPr>
        <w:t>aplicable</w:t>
      </w:r>
      <w:r w:rsidR="00251AC5">
        <w:rPr>
          <w:rFonts w:ascii="Verdana" w:hAnsi="Verdana" w:cs="Arial"/>
          <w:color w:val="000000" w:themeColor="text1"/>
        </w:rPr>
        <w:t>s</w:t>
      </w:r>
      <w:r w:rsidRPr="005118B5">
        <w:rPr>
          <w:rFonts w:ascii="Verdana" w:hAnsi="Verdana" w:cs="Arial"/>
          <w:color w:val="000000" w:themeColor="text1"/>
        </w:rPr>
        <w:t>, dado que a partir de dicha actuación se exterioriza la voluntad de la entidad estatal de iniciar el procedimiento contractual y se garantiza el conocimiento de los interesados.</w:t>
      </w:r>
    </w:p>
    <w:p w14:paraId="131BBF1D" w14:textId="1759491E" w:rsidR="00F84370" w:rsidRPr="00F84370" w:rsidRDefault="00F12547" w:rsidP="00F84370">
      <w:pPr>
        <w:widowControl w:val="0"/>
        <w:autoSpaceDE w:val="0"/>
        <w:autoSpaceDN w:val="0"/>
        <w:spacing w:after="120" w:line="276" w:lineRule="auto"/>
        <w:ind w:firstLine="708"/>
        <w:jc w:val="both"/>
        <w:rPr>
          <w:rFonts w:ascii="Verdana" w:hAnsi="Verdana" w:cs="Arial"/>
          <w:color w:val="000000" w:themeColor="text1"/>
        </w:rPr>
      </w:pPr>
      <w:r>
        <w:rPr>
          <w:rFonts w:ascii="Verdana" w:hAnsi="Verdana" w:cs="Arial"/>
          <w:color w:val="000000" w:themeColor="text1"/>
        </w:rPr>
        <w:t>Los</w:t>
      </w:r>
      <w:r w:rsidR="00A6328B" w:rsidRPr="00A6328B">
        <w:rPr>
          <w:rFonts w:ascii="Verdana" w:hAnsi="Verdana" w:cs="Arial"/>
          <w:color w:val="000000" w:themeColor="text1"/>
        </w:rPr>
        <w:t xml:space="preserve"> Documentos Tipo incorporan reglas específicas de interpretación destinadas a garantizar su aplicación uniforme por parte de las Entidades Estatales y los demás partícipes del Sistema de Compra Pública. </w:t>
      </w:r>
      <w:r w:rsidR="00F84370" w:rsidRPr="00F84370">
        <w:rPr>
          <w:rFonts w:ascii="Verdana" w:hAnsi="Verdana" w:cs="Arial"/>
          <w:color w:val="000000" w:themeColor="text1"/>
        </w:rPr>
        <w:t xml:space="preserve">En efecto, el numeral </w:t>
      </w:r>
      <w:r w:rsidR="00F84370" w:rsidRPr="00F84370">
        <w:rPr>
          <w:rFonts w:ascii="Verdana" w:hAnsi="Verdana" w:cs="Arial"/>
          <w:b/>
          <w:bCs/>
          <w:color w:val="000000" w:themeColor="text1"/>
        </w:rPr>
        <w:t>1.17. "Normas de interpretación del pliego de condiciones"</w:t>
      </w:r>
      <w:r w:rsidR="00CB1584">
        <w:rPr>
          <w:rStyle w:val="Refdenotaalpie"/>
          <w:rFonts w:ascii="Verdana" w:hAnsi="Verdana" w:cs="Arial"/>
          <w:b/>
          <w:bCs/>
          <w:color w:val="000000" w:themeColor="text1"/>
        </w:rPr>
        <w:footnoteReference w:id="2"/>
      </w:r>
      <w:r w:rsidR="00F84370" w:rsidRPr="00F84370">
        <w:rPr>
          <w:rFonts w:ascii="Verdana" w:hAnsi="Verdana" w:cs="Arial"/>
          <w:color w:val="000000" w:themeColor="text1"/>
        </w:rPr>
        <w:t xml:space="preserve"> dispone que el pliego debe interpretarse como un todo, integrando la información contenida en los Documentos del Proceso y en las adendas que se expidan durante el procedimiento de selección. Asimismo, establece que, en caso de contradicción entre el contenido de los Documentos Tipo y el incorporado por la entidad en los documentos del proceso, prevalecerá lo previsto en aquellos; que las entidades no pueden modificar las condiciones habilitantes, los factores de evaluación ni los sistemas de ponderación definidos en los Documentos Tipo; y que estos son inalterables, salvo en los aspectos expresamente autorizados.</w:t>
      </w:r>
    </w:p>
    <w:p w14:paraId="2A7F64D3" w14:textId="77777777" w:rsidR="00F84370" w:rsidRPr="00F84370" w:rsidRDefault="00F84370" w:rsidP="00F84370">
      <w:pPr>
        <w:widowControl w:val="0"/>
        <w:autoSpaceDE w:val="0"/>
        <w:autoSpaceDN w:val="0"/>
        <w:spacing w:after="120" w:line="276" w:lineRule="auto"/>
        <w:ind w:firstLine="708"/>
        <w:jc w:val="both"/>
        <w:rPr>
          <w:rFonts w:ascii="Verdana" w:hAnsi="Verdana" w:cs="Arial"/>
          <w:color w:val="000000" w:themeColor="text1"/>
        </w:rPr>
      </w:pPr>
      <w:r w:rsidRPr="00F84370">
        <w:rPr>
          <w:rFonts w:ascii="Verdana" w:hAnsi="Verdana" w:cs="Arial"/>
          <w:color w:val="000000" w:themeColor="text1"/>
        </w:rPr>
        <w:t>En ese contexto, las disposiciones incorporadas por las Entidades Estatales deben armonizarse con el contenido obligatorio de los Documentos Tipo, sin que resulte procedente alterar las reglas que estos establecen, excepto en los eventos expresamente habilitados.</w:t>
      </w:r>
    </w:p>
    <w:p w14:paraId="744BA959" w14:textId="77777777" w:rsidR="00F84370" w:rsidRPr="00F84370" w:rsidRDefault="00F84370" w:rsidP="00F84370">
      <w:pPr>
        <w:widowControl w:val="0"/>
        <w:autoSpaceDE w:val="0"/>
        <w:autoSpaceDN w:val="0"/>
        <w:spacing w:after="120" w:line="276" w:lineRule="auto"/>
        <w:ind w:firstLine="708"/>
        <w:jc w:val="both"/>
        <w:rPr>
          <w:rFonts w:ascii="Verdana" w:hAnsi="Verdana" w:cs="Arial"/>
          <w:color w:val="000000" w:themeColor="text1"/>
        </w:rPr>
      </w:pPr>
      <w:r w:rsidRPr="00F84370">
        <w:rPr>
          <w:rFonts w:ascii="Verdana" w:hAnsi="Verdana" w:cs="Arial"/>
          <w:color w:val="000000" w:themeColor="text1"/>
        </w:rPr>
        <w:t xml:space="preserve">Bajo estas reglas de interpretación, la aplicación de los Documentos Tipo debe analizarse atendiendo al supuesto previsto en el acto administrativo que los adopta, esto es, respecto de los procesos de selección cuyo aviso de </w:t>
      </w:r>
      <w:r w:rsidRPr="00F84370">
        <w:rPr>
          <w:rFonts w:ascii="Verdana" w:hAnsi="Verdana" w:cs="Arial"/>
          <w:color w:val="000000" w:themeColor="text1"/>
        </w:rPr>
        <w:lastRenderedPageBreak/>
        <w:t>convocatoria sea publicado a partir del 16 de febrero de 2026. En consecuencia, resulta necesario determinar cuál es la fecha jurídicamente relevante cuando dicha publicación se realiza en un día inhábil, a efectos de establecer el régimen normativo aplicable al respectivo procedimiento de selección.</w:t>
      </w:r>
    </w:p>
    <w:p w14:paraId="2805134A" w14:textId="307CA42C" w:rsidR="00522E18" w:rsidRDefault="008B2BCE" w:rsidP="00522E18">
      <w:pPr>
        <w:tabs>
          <w:tab w:val="left" w:pos="0"/>
        </w:tabs>
        <w:spacing w:after="120" w:line="276" w:lineRule="auto"/>
        <w:jc w:val="both"/>
        <w:rPr>
          <w:rFonts w:ascii="Verdana" w:eastAsia="Calibri" w:hAnsi="Verdana" w:cs="Arial"/>
          <w:bCs/>
        </w:rPr>
      </w:pPr>
      <w:r>
        <w:rPr>
          <w:rFonts w:ascii="Verdana" w:eastAsia="Arial" w:hAnsi="Verdana" w:cs="Arial"/>
          <w:lang w:eastAsia="es-ES" w:bidi="es-ES"/>
        </w:rPr>
        <w:t xml:space="preserve">III). </w:t>
      </w:r>
      <w:r w:rsidR="00522E18" w:rsidRPr="005E0F58">
        <w:rPr>
          <w:rFonts w:ascii="Verdana" w:eastAsia="Arial" w:hAnsi="Verdana" w:cs="Arial"/>
          <w:lang w:eastAsia="es-ES" w:bidi="es-ES"/>
        </w:rPr>
        <w:t xml:space="preserve">La postura vigente de esta Agencia en relación con la definición de </w:t>
      </w:r>
      <w:r w:rsidR="00522E18" w:rsidRPr="005E0F58">
        <w:rPr>
          <w:rFonts w:ascii="Verdana" w:eastAsia="Arial" w:hAnsi="Verdana" w:cs="Arial"/>
          <w:i/>
          <w:iCs/>
          <w:lang w:eastAsia="es-ES" w:bidi="es-ES"/>
        </w:rPr>
        <w:t>día hábil</w:t>
      </w:r>
      <w:r w:rsidR="00522E18" w:rsidRPr="005E0F58">
        <w:rPr>
          <w:rFonts w:ascii="Verdana" w:eastAsia="Arial" w:hAnsi="Verdana" w:cs="Arial"/>
          <w:lang w:eastAsia="es-ES" w:bidi="es-ES"/>
        </w:rPr>
        <w:t xml:space="preserve"> en los procesos de contratación pública, parte de la tesis según la cual </w:t>
      </w:r>
      <w:r w:rsidR="00522E18" w:rsidRPr="005E0F58">
        <w:rPr>
          <w:rFonts w:ascii="Verdana" w:eastAsia="Calibri" w:hAnsi="Verdana" w:cs="Arial"/>
          <w:bCs/>
        </w:rPr>
        <w:t>no existe una acepción unívoca de dicho concepto, pues no existe certidumbre de cuáles son los días de la semana que pueden entenderse como hábiles, y ello en principio posibilita que las entidades regulen de manera disímil los términos</w:t>
      </w:r>
      <w:r w:rsidR="00522E18">
        <w:rPr>
          <w:rFonts w:ascii="Verdana" w:eastAsia="Calibri" w:hAnsi="Verdana" w:cs="Arial"/>
          <w:bCs/>
        </w:rPr>
        <w:t>.</w:t>
      </w:r>
    </w:p>
    <w:p w14:paraId="65C1C2BD" w14:textId="77777777" w:rsidR="00522E18" w:rsidRDefault="00522E18" w:rsidP="00522E18">
      <w:pPr>
        <w:tabs>
          <w:tab w:val="left" w:pos="0"/>
        </w:tabs>
        <w:spacing w:after="120" w:line="276" w:lineRule="auto"/>
        <w:jc w:val="both"/>
        <w:rPr>
          <w:rFonts w:ascii="Verdana" w:eastAsia="Calibri" w:hAnsi="Verdana" w:cs="Arial"/>
          <w:bCs/>
          <w:lang w:val="es-ES"/>
        </w:rPr>
      </w:pPr>
      <w:r>
        <w:rPr>
          <w:rFonts w:ascii="Verdana" w:eastAsia="Calibri" w:hAnsi="Verdana" w:cs="Arial"/>
          <w:bCs/>
        </w:rPr>
        <w:tab/>
      </w:r>
      <w:r w:rsidRPr="005E0F58">
        <w:rPr>
          <w:rFonts w:ascii="Verdana" w:eastAsia="Calibri" w:hAnsi="Verdana" w:cs="Arial"/>
          <w:bCs/>
          <w:lang w:val="es-ES"/>
        </w:rPr>
        <w:t>La ausencia de definición legal de día hábil autoriza acudir al sentido natural y obvio de la palabra hábil, encontrándonos las siguientes acepciones “1. adj. Capaz de realizar con éxito una tarea manual. 2. adj. Dotado del talento para actuar adecuadamente o lograr su objetivo. 3. adj. Propio de una persona hábil. 4. adj. Apto o adecuado para algo. 5. adj. Dicho de un período de tiempo:</w:t>
      </w:r>
    </w:p>
    <w:p w14:paraId="5558CA17" w14:textId="77777777" w:rsidR="00522E18" w:rsidRPr="00C866DA" w:rsidRDefault="00522E18" w:rsidP="00522E18">
      <w:pPr>
        <w:tabs>
          <w:tab w:val="left" w:pos="0"/>
        </w:tabs>
        <w:spacing w:after="120" w:line="276" w:lineRule="auto"/>
        <w:jc w:val="both"/>
        <w:rPr>
          <w:rFonts w:ascii="Verdana" w:eastAsia="Calibri" w:hAnsi="Verdana" w:cs="Arial"/>
          <w:bCs/>
        </w:rPr>
      </w:pPr>
      <w:r w:rsidRPr="005E0F58">
        <w:rPr>
          <w:rFonts w:ascii="Verdana" w:eastAsia="Calibri" w:hAnsi="Verdana" w:cs="Arial"/>
          <w:bCs/>
          <w:lang w:val="es-ES"/>
        </w:rPr>
        <w:t>Establecido como válido o computable para realizar una actividad, especialmente administrativa o judicial”</w:t>
      </w:r>
      <w:r w:rsidRPr="005E0F58">
        <w:rPr>
          <w:rFonts w:ascii="Verdana" w:eastAsia="Calibri" w:hAnsi="Verdana" w:cs="Arial"/>
          <w:bCs/>
          <w:vertAlign w:val="superscript"/>
          <w:lang w:val="es-ES"/>
        </w:rPr>
        <w:footnoteReference w:id="3"/>
      </w:r>
      <w:r w:rsidRPr="005E0F58">
        <w:rPr>
          <w:rFonts w:ascii="Verdana" w:eastAsia="Calibri" w:hAnsi="Verdana" w:cs="Arial"/>
          <w:bCs/>
          <w:lang w:val="es-ES"/>
        </w:rPr>
        <w:t>. La última acepción se ajusta al entendimiento normativo. Sin embargo, no es suficiente para absolver lo que se indaga, en la medida en que corresponde al ordenamiento jurídico establecer cuáles son los días válidos para realizar las actuaciones.</w:t>
      </w:r>
    </w:p>
    <w:p w14:paraId="0D9AEAFF" w14:textId="77777777" w:rsidR="00E27D5C" w:rsidRPr="005E0F58" w:rsidRDefault="00E27D5C" w:rsidP="00E27D5C">
      <w:pPr>
        <w:tabs>
          <w:tab w:val="left" w:pos="0"/>
        </w:tabs>
        <w:spacing w:after="0" w:line="276" w:lineRule="auto"/>
        <w:ind w:firstLine="709"/>
        <w:jc w:val="both"/>
        <w:rPr>
          <w:rFonts w:ascii="Verdana" w:eastAsia="Calibri" w:hAnsi="Verdana" w:cs="Arial"/>
          <w:bCs/>
          <w:lang w:val="es-ES"/>
        </w:rPr>
      </w:pPr>
      <w:r w:rsidRPr="005E0F58">
        <w:rPr>
          <w:rFonts w:ascii="Verdana" w:eastAsia="Calibri" w:hAnsi="Verdana" w:cs="Arial"/>
          <w:bCs/>
          <w:lang w:val="es-ES"/>
        </w:rPr>
        <w:t>A pesar de no existir una definición legal, existen normas supletivas que tienen como función servir de pautas para el cómputo de términos previstos en la ley, cuando no ha sido regulado de forma específica por las disposiciones que consagran dichos plazos. Los artículos 59 y 62 de la Ley 4 de 1913 disponen que:</w:t>
      </w:r>
    </w:p>
    <w:p w14:paraId="0B3603CB" w14:textId="77777777" w:rsidR="00E27D5C" w:rsidRPr="005E0F58" w:rsidRDefault="00E27D5C" w:rsidP="00E27D5C">
      <w:pPr>
        <w:tabs>
          <w:tab w:val="left" w:pos="0"/>
        </w:tabs>
        <w:spacing w:after="0" w:line="240" w:lineRule="auto"/>
        <w:ind w:left="709" w:right="709"/>
        <w:jc w:val="both"/>
        <w:rPr>
          <w:rFonts w:ascii="Verdana" w:eastAsia="Calibri" w:hAnsi="Verdana" w:cs="Arial"/>
          <w:bCs/>
          <w:lang w:val="es-ES"/>
        </w:rPr>
      </w:pPr>
    </w:p>
    <w:p w14:paraId="323C3D57" w14:textId="77777777" w:rsidR="00E27D5C" w:rsidRPr="005E0F58" w:rsidRDefault="00E27D5C" w:rsidP="00E27D5C">
      <w:pPr>
        <w:tabs>
          <w:tab w:val="left" w:pos="0"/>
        </w:tabs>
        <w:spacing w:after="0" w:line="240" w:lineRule="auto"/>
        <w:ind w:left="709" w:right="709"/>
        <w:jc w:val="both"/>
        <w:rPr>
          <w:rFonts w:ascii="Verdana" w:eastAsia="Batang" w:hAnsi="Verdana" w:cs="Arial"/>
          <w:sz w:val="21"/>
          <w:szCs w:val="21"/>
        </w:rPr>
      </w:pPr>
      <w:r w:rsidRPr="005E0F58">
        <w:rPr>
          <w:rFonts w:ascii="Verdana" w:eastAsia="Batang" w:hAnsi="Verdana" w:cs="Arial"/>
          <w:sz w:val="21"/>
          <w:szCs w:val="21"/>
        </w:rPr>
        <w:t>“Artículo 59.</w:t>
      </w:r>
      <w:r w:rsidRPr="005E0F58">
        <w:rPr>
          <w:rFonts w:ascii="Verdana" w:eastAsia="Batang" w:hAnsi="Verdana" w:cs="Arial"/>
          <w:b/>
          <w:sz w:val="21"/>
          <w:szCs w:val="21"/>
        </w:rPr>
        <w:t> </w:t>
      </w:r>
      <w:r w:rsidRPr="005E0F58">
        <w:rPr>
          <w:rFonts w:ascii="Verdana" w:eastAsia="Batang" w:hAnsi="Verdana" w:cs="Arial"/>
          <w:sz w:val="21"/>
          <w:szCs w:val="21"/>
        </w:rPr>
        <w:t>Todos los plazos de días, meses o años, del que se haga mención legal, se entenderán que terminan a la medianoche del último día del plazo. Por año y por mes se entienden los del calendario común, y por día el espacio de veinticuatro horas; pero en la ejecución de las penas se estará a lo que disponga la ley penal. </w:t>
      </w:r>
    </w:p>
    <w:p w14:paraId="4C0A0E18" w14:textId="77777777" w:rsidR="00E27D5C" w:rsidRPr="005E0F58" w:rsidRDefault="00E27D5C" w:rsidP="00E27D5C">
      <w:pPr>
        <w:tabs>
          <w:tab w:val="left" w:pos="0"/>
        </w:tabs>
        <w:spacing w:after="0" w:line="240" w:lineRule="auto"/>
        <w:ind w:left="709" w:right="709"/>
        <w:jc w:val="both"/>
        <w:rPr>
          <w:rFonts w:ascii="Verdana" w:eastAsia="Batang" w:hAnsi="Verdana" w:cs="Arial"/>
          <w:sz w:val="21"/>
          <w:szCs w:val="21"/>
        </w:rPr>
      </w:pPr>
      <w:r w:rsidRPr="005E0F58">
        <w:rPr>
          <w:rFonts w:ascii="Verdana" w:eastAsia="Batang" w:hAnsi="Verdana" w:cs="Arial"/>
          <w:sz w:val="21"/>
          <w:szCs w:val="21"/>
        </w:rPr>
        <w:t>[…]</w:t>
      </w:r>
    </w:p>
    <w:p w14:paraId="38CB803E" w14:textId="77777777" w:rsidR="00E27D5C" w:rsidRDefault="00E27D5C" w:rsidP="00E27D5C">
      <w:pPr>
        <w:tabs>
          <w:tab w:val="left" w:pos="0"/>
        </w:tabs>
        <w:spacing w:after="0" w:line="240" w:lineRule="auto"/>
        <w:ind w:left="709" w:right="709"/>
        <w:jc w:val="both"/>
        <w:rPr>
          <w:rFonts w:ascii="Verdana" w:eastAsia="Batang" w:hAnsi="Verdana" w:cs="Arial"/>
          <w:sz w:val="21"/>
          <w:szCs w:val="21"/>
        </w:rPr>
      </w:pPr>
      <w:r w:rsidRPr="005E0F58">
        <w:rPr>
          <w:rFonts w:ascii="Verdana" w:eastAsia="Batang" w:hAnsi="Verdana" w:cs="Arial"/>
          <w:bCs/>
          <w:sz w:val="21"/>
          <w:szCs w:val="21"/>
        </w:rPr>
        <w:t>Artículo 62.</w:t>
      </w:r>
      <w:r w:rsidRPr="005E0F58">
        <w:rPr>
          <w:rFonts w:ascii="Verdana" w:eastAsia="Batang" w:hAnsi="Verdana" w:cs="Arial"/>
          <w:sz w:val="21"/>
          <w:szCs w:val="21"/>
        </w:rPr>
        <w:t xml:space="preserve"> En los plazos de días que se señalen en las leyes y actos oficiales, se entienden suprimidos los feriados y de vacantes, a menos </w:t>
      </w:r>
      <w:r w:rsidRPr="005E0F58">
        <w:rPr>
          <w:rFonts w:ascii="Verdana" w:eastAsia="Batang" w:hAnsi="Verdana" w:cs="Arial"/>
          <w:sz w:val="21"/>
          <w:szCs w:val="21"/>
        </w:rPr>
        <w:lastRenderedPageBreak/>
        <w:t>de expresarse lo contrario. Los de meses y años se computan según el calendario; pero si el último día fuere feriado o de vacante, se extenderá el plazo hasta el primer día hábil.” </w:t>
      </w:r>
    </w:p>
    <w:p w14:paraId="7E3E30C3" w14:textId="15ACAC1A" w:rsidR="005F08A6" w:rsidRDefault="005F08A6" w:rsidP="00F84370">
      <w:pPr>
        <w:widowControl w:val="0"/>
        <w:autoSpaceDE w:val="0"/>
        <w:autoSpaceDN w:val="0"/>
        <w:spacing w:after="120" w:line="276" w:lineRule="auto"/>
        <w:ind w:firstLine="708"/>
        <w:jc w:val="both"/>
        <w:rPr>
          <w:rFonts w:ascii="Verdana" w:hAnsi="Verdana" w:cs="Arial"/>
          <w:color w:val="000000" w:themeColor="text1"/>
        </w:rPr>
      </w:pPr>
    </w:p>
    <w:p w14:paraId="3F82D8D3" w14:textId="3DF3FEF6" w:rsidR="007D15D5" w:rsidRDefault="007D5EB8" w:rsidP="007D15D5">
      <w:pPr>
        <w:tabs>
          <w:tab w:val="left" w:pos="0"/>
        </w:tabs>
        <w:spacing w:after="0" w:line="240" w:lineRule="auto"/>
        <w:ind w:right="49"/>
        <w:jc w:val="both"/>
        <w:rPr>
          <w:rFonts w:ascii="Verdana" w:eastAsia="Calibri" w:hAnsi="Verdana" w:cs="Arial"/>
          <w:bCs/>
          <w:lang w:val="es-ES"/>
        </w:rPr>
      </w:pPr>
      <w:r>
        <w:rPr>
          <w:rFonts w:ascii="Verdana" w:eastAsia="Calibri" w:hAnsi="Verdana" w:cs="Arial"/>
          <w:bCs/>
          <w:lang w:val="es-ES"/>
        </w:rPr>
        <w:tab/>
      </w:r>
      <w:r w:rsidR="007D15D5" w:rsidRPr="005E0F58">
        <w:rPr>
          <w:rFonts w:ascii="Verdana" w:eastAsia="Calibri" w:hAnsi="Verdana" w:cs="Arial"/>
          <w:bCs/>
          <w:lang w:val="es-ES"/>
        </w:rPr>
        <w:t xml:space="preserve">El artículo 59 establece que los plazos a los que se haga mención en la ley terminan a la medianoche, y que por </w:t>
      </w:r>
      <w:r w:rsidR="007D15D5" w:rsidRPr="005E0F58">
        <w:rPr>
          <w:rFonts w:ascii="Verdana" w:eastAsia="Calibri" w:hAnsi="Verdana" w:cs="Arial"/>
          <w:bCs/>
          <w:i/>
          <w:iCs/>
          <w:lang w:val="es-ES"/>
        </w:rPr>
        <w:t xml:space="preserve">día </w:t>
      </w:r>
      <w:r w:rsidR="007D15D5" w:rsidRPr="005E0F58">
        <w:rPr>
          <w:rFonts w:ascii="Verdana" w:eastAsia="Calibri" w:hAnsi="Verdana" w:cs="Arial"/>
          <w:bCs/>
          <w:lang w:val="es-ES"/>
        </w:rPr>
        <w:t>se entiende el espacio de veinticuatro horas; mientras que el artículo 62 establece que de los plazos de días señalados en la ley se entienden suprimidos los feriados, y que cuando se aluda a meses se computarán conforme al calendario, extendiéndose hasta el día hábil siguiente si el mes termina en un día feriado o vacante. Si bien las reglas establecidas en estas normas no permiten esclarecer cómo deben computarse términos de un único día hábil, ni definen los días hábiles, sí denotan cierta antonimia con los vacantes y feriados, lo cual, en línea con la definición de uso común a la que antes se hacía referencia, indica que por hábiles se entiende los días laborables</w:t>
      </w:r>
      <w:r w:rsidR="007D15D5" w:rsidRPr="005E0F58">
        <w:rPr>
          <w:rFonts w:ascii="Verdana" w:eastAsia="Calibri" w:hAnsi="Verdana" w:cs="Arial"/>
          <w:bCs/>
          <w:vertAlign w:val="superscript"/>
          <w:lang w:val="es-ES"/>
        </w:rPr>
        <w:footnoteReference w:id="4"/>
      </w:r>
      <w:r w:rsidR="007D15D5" w:rsidRPr="005E0F58">
        <w:rPr>
          <w:rFonts w:ascii="Verdana" w:eastAsia="Calibri" w:hAnsi="Verdana" w:cs="Arial"/>
          <w:bCs/>
          <w:lang w:val="es-ES"/>
        </w:rPr>
        <w:t>.</w:t>
      </w:r>
    </w:p>
    <w:p w14:paraId="57C5A46C" w14:textId="77777777" w:rsidR="007D5EB8" w:rsidRDefault="007D5EB8" w:rsidP="007D15D5">
      <w:pPr>
        <w:tabs>
          <w:tab w:val="left" w:pos="0"/>
        </w:tabs>
        <w:spacing w:after="0" w:line="240" w:lineRule="auto"/>
        <w:ind w:right="49"/>
        <w:jc w:val="both"/>
        <w:rPr>
          <w:rFonts w:ascii="Verdana" w:eastAsia="Calibri" w:hAnsi="Verdana" w:cs="Arial"/>
          <w:bCs/>
          <w:lang w:val="es-ES"/>
        </w:rPr>
      </w:pPr>
    </w:p>
    <w:p w14:paraId="14236324" w14:textId="5488F99C" w:rsidR="007D5EB8" w:rsidRPr="005E0F58" w:rsidRDefault="007D5EB8" w:rsidP="007D5EB8">
      <w:pPr>
        <w:tabs>
          <w:tab w:val="left" w:pos="0"/>
        </w:tabs>
        <w:spacing w:after="0" w:line="276" w:lineRule="auto"/>
        <w:jc w:val="both"/>
        <w:rPr>
          <w:rFonts w:ascii="Verdana" w:eastAsia="Calibri" w:hAnsi="Verdana" w:cs="Arial"/>
          <w:bCs/>
          <w:lang w:val="es-ES"/>
        </w:rPr>
      </w:pPr>
      <w:r>
        <w:rPr>
          <w:rFonts w:ascii="Verdana" w:eastAsia="Calibri" w:hAnsi="Verdana" w:cs="Arial"/>
          <w:bCs/>
          <w:lang w:val="es-ES"/>
        </w:rPr>
        <w:tab/>
      </w:r>
      <w:r w:rsidRPr="005E0F58">
        <w:rPr>
          <w:rFonts w:ascii="Verdana" w:eastAsia="Calibri" w:hAnsi="Verdana" w:cs="Arial"/>
          <w:bCs/>
          <w:lang w:val="es-ES"/>
        </w:rPr>
        <w:t>En esto coincide la jurisprudencia de vieja data del Consejo de Estado, que al interpretar el contenido del artículo 62 de la Ley 4 de 1913 ha relacionado los días hábiles con conceptos como el de “Despacho Público” y “días laborables forzosos”, que implican que el entendimiento normativo de los días hábiles está relacionado con el espacio de tiempo durante el cual las entidades públicas desarrollan sus funciones administrativas y están abiertas para la atención al público. Así, por ejemplo, en la sentencia del 12 de abril de 1978 explicó lo siguiente:</w:t>
      </w:r>
    </w:p>
    <w:p w14:paraId="2C9F0644" w14:textId="77777777" w:rsidR="007D5EB8" w:rsidRPr="005E0F58" w:rsidRDefault="007D5EB8" w:rsidP="007D5EB8">
      <w:pPr>
        <w:tabs>
          <w:tab w:val="left" w:pos="0"/>
        </w:tabs>
        <w:spacing w:after="0" w:line="240" w:lineRule="auto"/>
        <w:ind w:left="709" w:right="709"/>
        <w:jc w:val="both"/>
        <w:rPr>
          <w:rFonts w:ascii="Verdana" w:eastAsia="Batang" w:hAnsi="Verdana" w:cs="Arial"/>
          <w:lang w:val="es-ES"/>
        </w:rPr>
      </w:pPr>
    </w:p>
    <w:p w14:paraId="6BC01C4B" w14:textId="77777777" w:rsidR="007D5EB8" w:rsidRPr="001E2DE2" w:rsidRDefault="007D5EB8" w:rsidP="007D5EB8">
      <w:pPr>
        <w:tabs>
          <w:tab w:val="left" w:pos="0"/>
        </w:tabs>
        <w:spacing w:after="0" w:line="240" w:lineRule="auto"/>
        <w:ind w:left="709" w:right="709"/>
        <w:jc w:val="both"/>
        <w:rPr>
          <w:rFonts w:ascii="Verdana" w:eastAsia="Batang" w:hAnsi="Verdana" w:cs="Arial"/>
          <w:sz w:val="21"/>
          <w:szCs w:val="21"/>
        </w:rPr>
      </w:pPr>
      <w:r w:rsidRPr="005E0F58">
        <w:rPr>
          <w:rFonts w:ascii="Verdana" w:eastAsia="Batang" w:hAnsi="Verdana" w:cs="Arial"/>
          <w:sz w:val="21"/>
          <w:szCs w:val="21"/>
        </w:rPr>
        <w:t xml:space="preserve">“Debe entenderse por otra parte, que cuando la Ley habla de la supresión en los plazos de días de los de vacancia y feriados, se está refiriendo a los actos producidos por la Administración en las dependencias en que no hay despacho público en tales días y no pueden por lo tanto expedirse actos administrativos con consecuencias legales. Es “Despacho Público” el mantenimiento de la oficina abierta al público para ejecutar los actos y despachar los asuntos que corresponden a las funciones del empleo en los términos señalados en la Ley. Por lo tanto, hay despacho cuando se tiene facultad para laborar, despachar los asuntos y ejecutar los actos propios de sus atribuciones; así no se haya empleado esa facultad. Entonces, las sesiones de la Asamblea en sábados, domingos y lunes tienen la virtud </w:t>
      </w:r>
      <w:r w:rsidRPr="005E0F58">
        <w:rPr>
          <w:rFonts w:ascii="Verdana" w:eastAsia="Batang" w:hAnsi="Verdana" w:cs="Arial"/>
          <w:sz w:val="21"/>
          <w:szCs w:val="21"/>
        </w:rPr>
        <w:lastRenderedPageBreak/>
        <w:t>y fuerza suficientes para producir o causar todos los efectos, aunque las sesiones no se hayan realizado efectivamente.”</w:t>
      </w:r>
      <w:r w:rsidRPr="005E0F58">
        <w:rPr>
          <w:rFonts w:ascii="Verdana" w:eastAsia="Batang" w:hAnsi="Verdana" w:cs="Arial"/>
          <w:sz w:val="21"/>
          <w:szCs w:val="21"/>
          <w:vertAlign w:val="superscript"/>
        </w:rPr>
        <w:footnoteReference w:id="5"/>
      </w:r>
    </w:p>
    <w:p w14:paraId="440A4EED" w14:textId="77777777" w:rsidR="007D5EB8" w:rsidRPr="005E0F58" w:rsidRDefault="007D5EB8" w:rsidP="007D5EB8">
      <w:pPr>
        <w:tabs>
          <w:tab w:val="left" w:pos="0"/>
        </w:tabs>
        <w:spacing w:after="0"/>
        <w:jc w:val="both"/>
        <w:rPr>
          <w:rFonts w:ascii="Verdana" w:eastAsia="Calibri" w:hAnsi="Verdana" w:cs="Arial"/>
          <w:bCs/>
          <w:lang w:val="es-ES"/>
        </w:rPr>
      </w:pPr>
    </w:p>
    <w:p w14:paraId="5A82A04E" w14:textId="77777777" w:rsidR="007D5EB8" w:rsidRPr="005E0F58" w:rsidRDefault="007D5EB8" w:rsidP="007D5EB8">
      <w:pPr>
        <w:tabs>
          <w:tab w:val="left" w:pos="0"/>
        </w:tabs>
        <w:spacing w:after="0" w:line="276" w:lineRule="auto"/>
        <w:jc w:val="both"/>
        <w:rPr>
          <w:rFonts w:ascii="Verdana" w:eastAsia="Calibri" w:hAnsi="Verdana" w:cs="Arial"/>
          <w:bCs/>
          <w:lang w:val="es-ES"/>
        </w:rPr>
      </w:pPr>
      <w:r w:rsidRPr="005E0F58">
        <w:rPr>
          <w:rFonts w:ascii="Verdana" w:eastAsia="Calibri" w:hAnsi="Verdana" w:cs="Arial"/>
          <w:bCs/>
          <w:lang w:val="es-ES"/>
        </w:rPr>
        <w:tab/>
        <w:t>Posteriormente, en el auto del 26 de febrero de 1983, manifestó que el cómputo de los días hábiles de los que trata la norma debe hacerse con relación a los “días laborables forzosos”, introduciendo un criterio para determinar lo que se entiende por día hábil en los siguientes términos:</w:t>
      </w:r>
    </w:p>
    <w:p w14:paraId="604CB1BE" w14:textId="77777777" w:rsidR="007D5EB8" w:rsidRPr="005E0F58" w:rsidRDefault="007D5EB8" w:rsidP="007D5EB8">
      <w:pPr>
        <w:spacing w:after="0" w:line="240" w:lineRule="auto"/>
        <w:jc w:val="both"/>
        <w:rPr>
          <w:rFonts w:ascii="Verdana" w:eastAsia="Times New Roman" w:hAnsi="Verdana" w:cs="Arial"/>
          <w:sz w:val="21"/>
          <w:szCs w:val="21"/>
          <w:lang w:val="es-ES" w:eastAsia="es-CO"/>
        </w:rPr>
      </w:pPr>
    </w:p>
    <w:p w14:paraId="794BA4F4" w14:textId="77777777" w:rsidR="007D5EB8" w:rsidRPr="005E0F58" w:rsidRDefault="007D5EB8" w:rsidP="007D5EB8">
      <w:pPr>
        <w:spacing w:after="0" w:line="240" w:lineRule="auto"/>
        <w:ind w:left="709" w:right="709"/>
        <w:jc w:val="both"/>
        <w:rPr>
          <w:rFonts w:ascii="Verdana" w:eastAsia="Times New Roman" w:hAnsi="Verdana" w:cs="Arial"/>
          <w:sz w:val="21"/>
          <w:szCs w:val="21"/>
          <w:lang w:eastAsia="es-CO"/>
        </w:rPr>
      </w:pPr>
      <w:r w:rsidRPr="005E0F58">
        <w:rPr>
          <w:rFonts w:ascii="Verdana" w:eastAsia="Times New Roman" w:hAnsi="Verdana" w:cs="Arial"/>
          <w:sz w:val="21"/>
          <w:szCs w:val="21"/>
          <w:lang w:eastAsia="es-CO"/>
        </w:rPr>
        <w:t>“[E]l cómputo de días hábiles de que trata el artículo 62 de la Ley 4.ª de 1913 debe realizarse con base en los días laborables forzosos, teniendo por tales todos los del año, excluidos los señalados por la ley como de descanso remunerado.</w:t>
      </w:r>
    </w:p>
    <w:p w14:paraId="66042A29" w14:textId="77777777" w:rsidR="007D5EB8" w:rsidRPr="005E0F58" w:rsidRDefault="007D5EB8" w:rsidP="007D5EB8">
      <w:pPr>
        <w:spacing w:after="0" w:line="240" w:lineRule="auto"/>
        <w:ind w:left="709" w:right="709"/>
        <w:jc w:val="both"/>
        <w:rPr>
          <w:rFonts w:ascii="Verdana" w:eastAsia="Times New Roman" w:hAnsi="Verdana" w:cs="Arial"/>
          <w:sz w:val="21"/>
          <w:szCs w:val="21"/>
          <w:lang w:eastAsia="es-CO"/>
        </w:rPr>
      </w:pPr>
    </w:p>
    <w:p w14:paraId="48D25B1C" w14:textId="77777777" w:rsidR="007D5EB8" w:rsidRPr="005E0F58" w:rsidRDefault="007D5EB8" w:rsidP="007D5EB8">
      <w:pPr>
        <w:spacing w:after="0" w:line="240" w:lineRule="auto"/>
        <w:ind w:left="709" w:right="709"/>
        <w:jc w:val="both"/>
        <w:rPr>
          <w:rFonts w:ascii="Verdana" w:eastAsia="Times New Roman" w:hAnsi="Verdana" w:cs="Arial"/>
          <w:sz w:val="21"/>
          <w:szCs w:val="21"/>
          <w:lang w:eastAsia="es-CO"/>
        </w:rPr>
      </w:pPr>
      <w:r w:rsidRPr="005E0F58">
        <w:rPr>
          <w:rFonts w:ascii="Verdana" w:eastAsia="Times New Roman" w:hAnsi="Verdana" w:cs="Arial"/>
          <w:sz w:val="21"/>
          <w:szCs w:val="21"/>
          <w:lang w:eastAsia="es-CO"/>
        </w:rPr>
        <w:t xml:space="preserve">Así, el criterio que determina el carácter de hábil de los días, para el cómputo de los términos legales, es el de su </w:t>
      </w:r>
      <w:proofErr w:type="spellStart"/>
      <w:r w:rsidRPr="005E0F58">
        <w:rPr>
          <w:rFonts w:ascii="Verdana" w:eastAsia="Times New Roman" w:hAnsi="Verdana" w:cs="Arial"/>
          <w:sz w:val="21"/>
          <w:szCs w:val="21"/>
          <w:lang w:eastAsia="es-CO"/>
        </w:rPr>
        <w:t>laborabilidad</w:t>
      </w:r>
      <w:proofErr w:type="spellEnd"/>
      <w:r w:rsidRPr="005E0F58">
        <w:rPr>
          <w:rFonts w:ascii="Verdana" w:eastAsia="Times New Roman" w:hAnsi="Verdana" w:cs="Arial"/>
          <w:sz w:val="21"/>
          <w:szCs w:val="21"/>
          <w:lang w:eastAsia="es-CO"/>
        </w:rPr>
        <w:t xml:space="preserve"> [sic]. Ello implica que son hábiles aquellos para los que no hay disposición legal expresa que exima del deber de trabajar, vale decir, los ordinarios, días en los que deben funcionar las oficinas públicas; y no hábiles aquellos para los cuales la ley ha previsto el derecho a descanso remunerado; tales son los domingos, los previstos por el artículo </w:t>
      </w:r>
      <w:proofErr w:type="gramStart"/>
      <w:r w:rsidRPr="005E0F58">
        <w:rPr>
          <w:rFonts w:ascii="Verdana" w:eastAsia="Times New Roman" w:hAnsi="Verdana" w:cs="Arial"/>
          <w:sz w:val="21"/>
          <w:szCs w:val="21"/>
          <w:lang w:eastAsia="es-CO"/>
        </w:rPr>
        <w:t>1.°</w:t>
      </w:r>
      <w:proofErr w:type="gramEnd"/>
      <w:r w:rsidRPr="005E0F58">
        <w:rPr>
          <w:rFonts w:ascii="Verdana" w:eastAsia="Times New Roman" w:hAnsi="Verdana" w:cs="Arial"/>
          <w:sz w:val="21"/>
          <w:szCs w:val="21"/>
          <w:lang w:eastAsia="es-CO"/>
        </w:rPr>
        <w:t xml:space="preserve"> de la Ley 51 de 1983 y los señalados como vacancia para la rama jurisdiccional, el Ministerio Público y las direcciones de instrucción criminal. Cabe anotar que para algunas oficinas no son hábiles los sábados, en cuanto no funcionan en esos días por trasladarse la respectiva jornada, en extensión de la ordinaria, a los demás de la semana.”</w:t>
      </w:r>
      <w:r w:rsidRPr="005E0F58">
        <w:rPr>
          <w:rFonts w:ascii="Verdana" w:eastAsia="Times New Roman" w:hAnsi="Verdana" w:cs="Arial"/>
          <w:sz w:val="21"/>
          <w:szCs w:val="21"/>
          <w:vertAlign w:val="superscript"/>
          <w:lang w:eastAsia="es-CO"/>
        </w:rPr>
        <w:footnoteReference w:id="6"/>
      </w:r>
    </w:p>
    <w:p w14:paraId="48FE1072" w14:textId="77777777" w:rsidR="007D5EB8" w:rsidRPr="005E0F58" w:rsidRDefault="007D5EB8" w:rsidP="007D5EB8">
      <w:pPr>
        <w:spacing w:after="0" w:line="240" w:lineRule="auto"/>
        <w:ind w:left="709" w:right="709"/>
        <w:jc w:val="both"/>
        <w:rPr>
          <w:rFonts w:ascii="Verdana" w:eastAsia="Times New Roman" w:hAnsi="Verdana" w:cs="Arial"/>
          <w:sz w:val="21"/>
          <w:szCs w:val="21"/>
          <w:lang w:eastAsia="es-CO"/>
        </w:rPr>
      </w:pPr>
    </w:p>
    <w:p w14:paraId="55C9C5FF" w14:textId="77777777" w:rsidR="007D5EB8" w:rsidRDefault="007D5EB8" w:rsidP="007D5EB8">
      <w:pPr>
        <w:tabs>
          <w:tab w:val="left" w:pos="0"/>
        </w:tabs>
        <w:spacing w:after="120" w:line="276" w:lineRule="auto"/>
        <w:ind w:firstLine="709"/>
        <w:jc w:val="both"/>
        <w:rPr>
          <w:rFonts w:ascii="Verdana" w:eastAsia="Calibri" w:hAnsi="Verdana" w:cs="Arial"/>
          <w:bCs/>
          <w:lang w:val="es-ES"/>
        </w:rPr>
      </w:pPr>
      <w:r w:rsidRPr="005E0F58">
        <w:rPr>
          <w:rFonts w:ascii="Verdana" w:eastAsia="Times New Roman" w:hAnsi="Verdana" w:cs="Arial"/>
          <w:lang w:eastAsia="es-CO"/>
        </w:rPr>
        <w:t xml:space="preserve">En la misma línea, reiterando la facultad en cabeza de la Administración para establecer como hábiles los </w:t>
      </w:r>
      <w:proofErr w:type="gramStart"/>
      <w:r w:rsidRPr="005E0F58">
        <w:rPr>
          <w:rFonts w:ascii="Verdana" w:eastAsia="Times New Roman" w:hAnsi="Verdana" w:cs="Arial"/>
          <w:lang w:eastAsia="es-CO"/>
        </w:rPr>
        <w:t>días sábados</w:t>
      </w:r>
      <w:proofErr w:type="gramEnd"/>
      <w:r w:rsidRPr="005E0F58">
        <w:rPr>
          <w:rFonts w:ascii="Verdana" w:eastAsia="Times New Roman" w:hAnsi="Verdana" w:cs="Arial"/>
          <w:lang w:eastAsia="es-CO"/>
        </w:rPr>
        <w:t xml:space="preserve">, en la Sentencia del 29 de abril de 1983 el Consejo de Estado manifestó frente al artículo 62 de la Ley 4 de 1993 que: “[…] La Sala considera ésta una buena oportunidad para precisar el alcance de las disposiciones sobre los días hábiles e inhábiles. por regla general los sábados son días hábiles, pero si la administración ha dictado alguna norma general que considera inhábiles los sábados estos no pueden contarse en los </w:t>
      </w:r>
      <w:r w:rsidRPr="005E0F58">
        <w:rPr>
          <w:rFonts w:ascii="Verdana" w:eastAsia="Times New Roman" w:hAnsi="Verdana" w:cs="Arial"/>
          <w:lang w:eastAsia="es-CO"/>
        </w:rPr>
        <w:lastRenderedPageBreak/>
        <w:t>términos de la ejecutoria</w:t>
      </w:r>
      <w:r w:rsidRPr="005E0F58">
        <w:rPr>
          <w:rFonts w:ascii="Verdana" w:eastAsia="Times New Roman" w:hAnsi="Verdana" w:cs="Arial"/>
          <w:vertAlign w:val="superscript"/>
          <w:lang w:eastAsia="es-CO"/>
        </w:rPr>
        <w:footnoteReference w:id="7"/>
      </w:r>
      <w:r w:rsidRPr="005E0F58">
        <w:rPr>
          <w:rFonts w:ascii="Verdana" w:eastAsia="Times New Roman" w:hAnsi="Verdana" w:cs="Arial"/>
          <w:lang w:eastAsia="es-CO"/>
        </w:rPr>
        <w:t>”. Postura que comparte el Departamento Administrativo de la Función Pública –DAFP– en sus conceptos, cuando señala que: “[…] Cuando el plazo se haya fijado en días, estos se entienden hábiles, para lo cual se suprimen los feriados, entre los cuales se encuentran los domingos, festivos y los sábados cuando la administración ha dictado una norma que los considere inhábiles</w:t>
      </w:r>
      <w:r w:rsidRPr="005E0F58">
        <w:rPr>
          <w:rFonts w:ascii="Verdana" w:eastAsia="Times New Roman" w:hAnsi="Verdana" w:cs="Arial"/>
          <w:vertAlign w:val="superscript"/>
          <w:lang w:eastAsia="es-CO"/>
        </w:rPr>
        <w:footnoteReference w:id="8"/>
      </w:r>
      <w:r w:rsidRPr="005E0F58">
        <w:rPr>
          <w:rFonts w:ascii="Verdana" w:eastAsia="Times New Roman" w:hAnsi="Verdana" w:cs="Arial"/>
          <w:lang w:eastAsia="es-CO"/>
        </w:rPr>
        <w:t>”.</w:t>
      </w:r>
      <w:r w:rsidRPr="005E0F58">
        <w:rPr>
          <w:rFonts w:ascii="Verdana" w:eastAsia="Calibri" w:hAnsi="Verdana" w:cs="Arial"/>
          <w:bCs/>
          <w:lang w:val="es-ES"/>
        </w:rPr>
        <w:t xml:space="preserve"> </w:t>
      </w:r>
    </w:p>
    <w:p w14:paraId="6CB49E41" w14:textId="77777777" w:rsidR="00B123DA" w:rsidRDefault="007D5EB8" w:rsidP="00B123DA">
      <w:pPr>
        <w:tabs>
          <w:tab w:val="left" w:pos="0"/>
        </w:tabs>
        <w:spacing w:after="120" w:line="276" w:lineRule="auto"/>
        <w:ind w:firstLine="709"/>
        <w:jc w:val="both"/>
        <w:rPr>
          <w:rFonts w:ascii="Verdana" w:eastAsia="Calibri" w:hAnsi="Verdana" w:cs="Arial"/>
          <w:bCs/>
          <w:lang w:val="es-ES"/>
        </w:rPr>
      </w:pPr>
      <w:r w:rsidRPr="005E0F58">
        <w:rPr>
          <w:rFonts w:ascii="Verdana" w:eastAsia="Calibri" w:hAnsi="Verdana" w:cs="Arial"/>
          <w:bCs/>
          <w:lang w:val="es-ES"/>
        </w:rPr>
        <w:t>De esta manera, los días hábiles se determinan según la entidad, ya que “cada entidad pública establece la jornada laboral, a través de su reglamento interno, dando certeza sobre los días que atienden al público, e indirectamente definiendo qué día es hábil en determinada institución”</w:t>
      </w:r>
      <w:r w:rsidRPr="005E0F58">
        <w:rPr>
          <w:rFonts w:ascii="Verdana" w:eastAsia="Calibri" w:hAnsi="Verdana" w:cs="Arial"/>
          <w:bCs/>
          <w:vertAlign w:val="superscript"/>
          <w:lang w:val="es-ES"/>
        </w:rPr>
        <w:footnoteReference w:id="9"/>
      </w:r>
      <w:r w:rsidRPr="005E0F58">
        <w:rPr>
          <w:rFonts w:ascii="Verdana" w:eastAsia="Calibri" w:hAnsi="Verdana" w:cs="Arial"/>
          <w:bCs/>
          <w:lang w:val="es-ES"/>
        </w:rPr>
        <w:t>, por lo que días hábiles son aquellos de la semana durante los cuales las entidades públicas ejercen sus funciones y prestan servicio al público, los cuales son, por regla general, todos los días de la semana, con excepción de los sábados, domingos y feriados previstos en la generalidad de entidades como días de descanso. Lo anterior sin perjuicio de que las entidades definan en sus reglamentos internos jornadas laborales distintas, que incluyan el sábado o el domingo, como “en los numerosos municipios del país donde la Administración labora los fines de semana ―sábados y domingos― normalmente para brindarle un buen servicio a la población campesina, que acostumbra ir al casco urbano en estos dos días y descansan un día de la semana ―usualmente el miércoles―”</w:t>
      </w:r>
      <w:r w:rsidRPr="005E0F58">
        <w:rPr>
          <w:rFonts w:ascii="Verdana" w:eastAsia="Calibri" w:hAnsi="Verdana" w:cs="Arial"/>
          <w:bCs/>
          <w:vertAlign w:val="superscript"/>
          <w:lang w:val="es-ES"/>
        </w:rPr>
        <w:footnoteReference w:id="10"/>
      </w:r>
      <w:r w:rsidRPr="005E0F58">
        <w:rPr>
          <w:rFonts w:ascii="Verdana" w:eastAsia="Calibri" w:hAnsi="Verdana" w:cs="Arial"/>
          <w:bCs/>
          <w:lang w:val="es-ES"/>
        </w:rPr>
        <w:t xml:space="preserve">, ejemplo donde los días laborables o hábiles son todos los de la semana, con excepción del miércoles. </w:t>
      </w:r>
      <w:bookmarkStart w:id="14" w:name="_Hlk218760731"/>
    </w:p>
    <w:p w14:paraId="5EAEEE11" w14:textId="552F21CF" w:rsidR="007D5EB8" w:rsidRPr="00B123DA" w:rsidRDefault="007D5EB8" w:rsidP="00B123DA">
      <w:pPr>
        <w:tabs>
          <w:tab w:val="left" w:pos="0"/>
        </w:tabs>
        <w:spacing w:after="120" w:line="276" w:lineRule="auto"/>
        <w:ind w:firstLine="709"/>
        <w:jc w:val="both"/>
        <w:rPr>
          <w:rFonts w:ascii="Verdana" w:eastAsia="Calibri" w:hAnsi="Verdana" w:cs="Arial"/>
          <w:bCs/>
          <w:lang w:val="es-ES"/>
        </w:rPr>
      </w:pPr>
      <w:r w:rsidRPr="000842B8">
        <w:rPr>
          <w:rFonts w:ascii="Verdana" w:eastAsia="Calibri" w:hAnsi="Verdana" w:cs="Arial"/>
          <w:bCs/>
        </w:rPr>
        <w:t xml:space="preserve">En ese contexto, </w:t>
      </w:r>
      <w:r w:rsidRPr="000842B8">
        <w:rPr>
          <w:rFonts w:ascii="Verdana" w:eastAsia="Calibri" w:hAnsi="Verdana" w:cs="Arial"/>
        </w:rPr>
        <w:t>la habilitación de los días sábado</w:t>
      </w:r>
      <w:r w:rsidR="00B123DA">
        <w:rPr>
          <w:rFonts w:ascii="Verdana" w:eastAsia="Calibri" w:hAnsi="Verdana" w:cs="Arial"/>
        </w:rPr>
        <w:t xml:space="preserve">, domingos o feriados </w:t>
      </w:r>
      <w:r w:rsidRPr="000842B8">
        <w:rPr>
          <w:rFonts w:ascii="Verdana" w:eastAsia="Calibri" w:hAnsi="Verdana" w:cs="Arial"/>
        </w:rPr>
        <w:t>como días hábiles para efectos administrativos y de gestión contractual resulta jurídicamente viable</w:t>
      </w:r>
      <w:r>
        <w:rPr>
          <w:rFonts w:ascii="Verdana" w:eastAsia="Calibri" w:hAnsi="Verdana" w:cs="Arial"/>
          <w:bCs/>
        </w:rPr>
        <w:t xml:space="preserve"> y recaería en el </w:t>
      </w:r>
      <w:r w:rsidRPr="005E0F58">
        <w:rPr>
          <w:rFonts w:ascii="Verdana" w:eastAsia="Calibri" w:hAnsi="Verdana" w:cs="Arial"/>
        </w:rPr>
        <w:t xml:space="preserve">ordenador del gasto de una entidad territorial —como ocurre en las alcaldías municipales o </w:t>
      </w:r>
      <w:r>
        <w:rPr>
          <w:rFonts w:ascii="Verdana" w:eastAsia="Calibri" w:hAnsi="Verdana" w:cs="Arial"/>
        </w:rPr>
        <w:t>gobernaciones</w:t>
      </w:r>
      <w:r w:rsidRPr="005E0F58">
        <w:rPr>
          <w:rFonts w:ascii="Verdana" w:eastAsia="Calibri" w:hAnsi="Verdana" w:cs="Arial"/>
        </w:rPr>
        <w:t>—</w:t>
      </w:r>
      <w:r>
        <w:rPr>
          <w:rFonts w:ascii="Verdana" w:eastAsia="Calibri" w:hAnsi="Verdana" w:cs="Arial"/>
        </w:rPr>
        <w:t xml:space="preserve">, quien mediante acto administrativo debidamente motivado </w:t>
      </w:r>
      <w:r w:rsidRPr="005E0F58">
        <w:rPr>
          <w:rFonts w:ascii="Verdana" w:eastAsia="Calibri" w:hAnsi="Verdana" w:cs="Arial"/>
        </w:rPr>
        <w:t xml:space="preserve">se encuentra facultado </w:t>
      </w:r>
      <w:r w:rsidRPr="005E0F58">
        <w:rPr>
          <w:rFonts w:ascii="Verdana" w:eastAsia="Calibri" w:hAnsi="Verdana" w:cs="Arial"/>
        </w:rPr>
        <w:lastRenderedPageBreak/>
        <w:t>para declarar, mediante acto administrativo, el día sábado como hábil con el fin de adelantar trámites administrativos relacionados con la gestión contractual</w:t>
      </w:r>
      <w:r>
        <w:rPr>
          <w:rFonts w:ascii="Verdana" w:eastAsia="Calibri" w:hAnsi="Verdana" w:cs="Arial"/>
        </w:rPr>
        <w:t>, durante el tiempo que se requiera.</w:t>
      </w:r>
    </w:p>
    <w:p w14:paraId="77EFF21E" w14:textId="77777777" w:rsidR="007D5EB8" w:rsidRDefault="007D5EB8" w:rsidP="007D5EB8">
      <w:pPr>
        <w:tabs>
          <w:tab w:val="left" w:pos="0"/>
        </w:tabs>
        <w:spacing w:after="120" w:line="276" w:lineRule="auto"/>
        <w:ind w:firstLine="709"/>
        <w:jc w:val="both"/>
        <w:rPr>
          <w:rFonts w:ascii="Verdana" w:eastAsia="Calibri" w:hAnsi="Verdana" w:cs="Arial"/>
        </w:rPr>
      </w:pPr>
      <w:r>
        <w:rPr>
          <w:rFonts w:ascii="Verdana" w:eastAsia="Calibri" w:hAnsi="Verdana" w:cs="Arial"/>
        </w:rPr>
        <w:t>Es pertinente mencionar, que d</w:t>
      </w:r>
      <w:r w:rsidRPr="005E0F58">
        <w:rPr>
          <w:rFonts w:ascii="Verdana" w:eastAsia="Calibri" w:hAnsi="Verdana" w:cs="Arial"/>
        </w:rPr>
        <w:t>icha facultad encuentra respaldo en el artículo 209 de la Constitución Política, que impone a las autoridades administrativas el deber de coordinar sus actuaciones para el cumplimiento adecuado de los fines del Estado</w:t>
      </w:r>
      <w:r w:rsidRPr="000A62EF">
        <w:rPr>
          <w:rFonts w:ascii="Verdana" w:eastAsia="Calibri" w:hAnsi="Verdana" w:cs="Arial"/>
        </w:rPr>
        <w:t>.  No obstante, el ejercicio de esta facultad no es absoluto y debe cumplir condiciones mínimas de validez y eficacia, entre ellas: (i) la expedición de un acto administrativo expreso y motivado, (</w:t>
      </w:r>
      <w:proofErr w:type="spellStart"/>
      <w:r w:rsidRPr="000A62EF">
        <w:rPr>
          <w:rFonts w:ascii="Verdana" w:eastAsia="Calibri" w:hAnsi="Verdana" w:cs="Arial"/>
        </w:rPr>
        <w:t>ii</w:t>
      </w:r>
      <w:proofErr w:type="spellEnd"/>
      <w:r w:rsidRPr="000A62EF">
        <w:rPr>
          <w:rFonts w:ascii="Verdana" w:eastAsia="Calibri" w:hAnsi="Verdana" w:cs="Arial"/>
        </w:rPr>
        <w:t>) la adecuada publicidad de la decisión, y (</w:t>
      </w:r>
      <w:proofErr w:type="spellStart"/>
      <w:r w:rsidRPr="000A62EF">
        <w:rPr>
          <w:rFonts w:ascii="Verdana" w:eastAsia="Calibri" w:hAnsi="Verdana" w:cs="Arial"/>
        </w:rPr>
        <w:t>iii</w:t>
      </w:r>
      <w:proofErr w:type="spellEnd"/>
      <w:r w:rsidRPr="000A62EF">
        <w:rPr>
          <w:rFonts w:ascii="Verdana" w:eastAsia="Calibri" w:hAnsi="Verdana" w:cs="Arial"/>
        </w:rPr>
        <w:t>) su comunicación efectiva a todos los interesados actuales o potenciales del proceso de selección. Estas exigencias resultan indispensables para salvaguardar los principios de transparencia, igualdad, publicidad y selección objetiva que rigen la contratación estatal, evitando que la medida excepcional genere ventajas indebidas o afecte la libre concurrencia.</w:t>
      </w:r>
    </w:p>
    <w:bookmarkEnd w:id="14"/>
    <w:p w14:paraId="7FBCAEE6" w14:textId="77777777" w:rsidR="00B72178" w:rsidRDefault="00B72178" w:rsidP="00B72178">
      <w:pPr>
        <w:tabs>
          <w:tab w:val="left" w:pos="142"/>
          <w:tab w:val="left" w:pos="284"/>
        </w:tabs>
        <w:snapToGrid w:val="0"/>
        <w:spacing w:after="0" w:line="276" w:lineRule="auto"/>
        <w:ind w:left="357"/>
        <w:jc w:val="both"/>
        <w:rPr>
          <w:rFonts w:ascii="Verdana" w:eastAsia="Century Gothic" w:hAnsi="Verdana" w:cs="Century Gothic"/>
          <w:b/>
          <w:bCs/>
          <w:lang w:val="es-ES_tradnl"/>
        </w:rPr>
      </w:pPr>
    </w:p>
    <w:p w14:paraId="30EC2E3D" w14:textId="25927C71" w:rsidR="00F91C09" w:rsidRPr="004D7523" w:rsidRDefault="00F91C09" w:rsidP="00F91C09">
      <w:pPr>
        <w:numPr>
          <w:ilvl w:val="0"/>
          <w:numId w:val="18"/>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6FB69952" w14:textId="77777777" w:rsidR="00F91C09" w:rsidRPr="004D7523" w:rsidRDefault="00F91C09" w:rsidP="00F91C09">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F91C09" w:rsidRPr="00D56B2A" w14:paraId="03AC78C9" w14:textId="77777777">
        <w:trPr>
          <w:trHeight w:val="242"/>
        </w:trPr>
        <w:tc>
          <w:tcPr>
            <w:tcW w:w="8647" w:type="dxa"/>
            <w:tcBorders>
              <w:top w:val="dotted" w:sz="4" w:space="0" w:color="auto"/>
              <w:left w:val="dotted" w:sz="4" w:space="0" w:color="auto"/>
              <w:bottom w:val="dotted" w:sz="4" w:space="0" w:color="auto"/>
              <w:right w:val="dotted" w:sz="4" w:space="0" w:color="auto"/>
            </w:tcBorders>
          </w:tcPr>
          <w:p w14:paraId="4B24E3B6" w14:textId="77777777" w:rsidR="00F91C09" w:rsidRPr="00D56B2A" w:rsidRDefault="00F91C09">
            <w:pPr>
              <w:widowControl w:val="0"/>
              <w:autoSpaceDE w:val="0"/>
              <w:autoSpaceDN w:val="0"/>
              <w:snapToGrid w:val="0"/>
              <w:spacing w:after="120" w:line="276" w:lineRule="auto"/>
              <w:ind w:left="714"/>
              <w:jc w:val="both"/>
              <w:rPr>
                <w:rFonts w:ascii="Verdana" w:eastAsia="Calibri" w:hAnsi="Verdana" w:cs="Arial"/>
                <w:color w:val="3399FF"/>
                <w:lang w:val="es-ES_tradnl"/>
              </w:rPr>
            </w:pPr>
          </w:p>
          <w:p w14:paraId="6A7673D1" w14:textId="4A97D38E" w:rsidR="008F7543" w:rsidRPr="000F126F" w:rsidRDefault="008F7543" w:rsidP="008F7543">
            <w:pPr>
              <w:numPr>
                <w:ilvl w:val="0"/>
                <w:numId w:val="17"/>
              </w:numPr>
              <w:snapToGrid w:val="0"/>
              <w:spacing w:after="160" w:line="276" w:lineRule="auto"/>
              <w:ind w:left="714" w:hanging="357"/>
              <w:jc w:val="both"/>
              <w:rPr>
                <w:rFonts w:ascii="Verdana" w:eastAsia="Aptos" w:hAnsi="Verdana" w:cs="Arial"/>
                <w:lang w:val="es-ES_tradnl"/>
              </w:rPr>
            </w:pPr>
            <w:r w:rsidRPr="000F126F">
              <w:rPr>
                <w:rFonts w:ascii="Verdana" w:eastAsia="Aptos" w:hAnsi="Verdana" w:cs="Arial"/>
                <w:lang w:val="es-ES_tradnl"/>
              </w:rPr>
              <w:t>Constitución Política de Colombia, artículos 209.</w:t>
            </w:r>
          </w:p>
          <w:p w14:paraId="35C3E43D" w14:textId="77777777" w:rsidR="00F91C09" w:rsidRPr="00DA2A79" w:rsidRDefault="00F91C09">
            <w:pPr>
              <w:widowControl w:val="0"/>
              <w:numPr>
                <w:ilvl w:val="0"/>
                <w:numId w:val="17"/>
              </w:numPr>
              <w:autoSpaceDE w:val="0"/>
              <w:autoSpaceDN w:val="0"/>
              <w:spacing w:after="160" w:line="276" w:lineRule="auto"/>
              <w:ind w:left="714" w:hanging="357"/>
              <w:jc w:val="both"/>
              <w:rPr>
                <w:rFonts w:ascii="Verdana" w:eastAsia="Calibri" w:hAnsi="Verdana" w:cs="Arial"/>
                <w:lang w:val="es-ES_tradnl" w:eastAsia="es-MX"/>
              </w:rPr>
            </w:pPr>
            <w:r w:rsidRPr="00DA2A79">
              <w:rPr>
                <w:rFonts w:ascii="Verdana" w:eastAsia="Calibri" w:hAnsi="Verdana" w:cs="Arial"/>
                <w:lang w:val="es-ES_tradnl" w:eastAsia="es-MX"/>
              </w:rPr>
              <w:t xml:space="preserve">Ley 2022 de 2020, artículo 1. </w:t>
            </w:r>
          </w:p>
          <w:p w14:paraId="3717C26A" w14:textId="77777777" w:rsidR="00A554FE" w:rsidRPr="002C0778" w:rsidRDefault="00F91C09" w:rsidP="002C0778">
            <w:pPr>
              <w:widowControl w:val="0"/>
              <w:numPr>
                <w:ilvl w:val="0"/>
                <w:numId w:val="17"/>
              </w:numPr>
              <w:autoSpaceDE w:val="0"/>
              <w:autoSpaceDN w:val="0"/>
              <w:spacing w:after="160" w:line="276" w:lineRule="auto"/>
              <w:jc w:val="both"/>
              <w:rPr>
                <w:rFonts w:ascii="Verdana" w:eastAsia="Calibri" w:hAnsi="Verdana" w:cs="Arial"/>
                <w:lang w:eastAsia="es-MX"/>
              </w:rPr>
            </w:pPr>
            <w:r w:rsidRPr="00DA2A79">
              <w:rPr>
                <w:rFonts w:ascii="Verdana" w:eastAsia="Calibri" w:hAnsi="Verdana" w:cs="Arial"/>
                <w:lang w:eastAsia="es-MX"/>
              </w:rPr>
              <w:t>Ley 1150 de 2007, artículo 2.</w:t>
            </w:r>
          </w:p>
          <w:p w14:paraId="5D45F84F" w14:textId="77777777" w:rsidR="008F7543" w:rsidRPr="000F126F" w:rsidRDefault="008F7543" w:rsidP="008F7543">
            <w:pPr>
              <w:numPr>
                <w:ilvl w:val="0"/>
                <w:numId w:val="17"/>
              </w:numPr>
              <w:snapToGrid w:val="0"/>
              <w:spacing w:after="160" w:line="276" w:lineRule="auto"/>
              <w:ind w:left="714" w:hanging="357"/>
              <w:jc w:val="both"/>
              <w:rPr>
                <w:rFonts w:ascii="Verdana" w:eastAsia="Aptos" w:hAnsi="Verdana" w:cs="Arial"/>
                <w:lang w:val="es-ES_tradnl"/>
              </w:rPr>
            </w:pPr>
            <w:r w:rsidRPr="000F126F">
              <w:rPr>
                <w:rFonts w:ascii="Verdana" w:eastAsia="Calibri" w:hAnsi="Verdana" w:cs="Arial"/>
                <w:bCs/>
                <w:lang w:val="es-ES_tradnl"/>
              </w:rPr>
              <w:t>Ley 4 de 1913, artículos 59 y 62.</w:t>
            </w:r>
          </w:p>
          <w:p w14:paraId="0A9178AD" w14:textId="77777777" w:rsidR="008F7543" w:rsidRPr="00671D1E" w:rsidRDefault="008F7543" w:rsidP="008F7543">
            <w:pPr>
              <w:numPr>
                <w:ilvl w:val="0"/>
                <w:numId w:val="17"/>
              </w:numPr>
              <w:snapToGrid w:val="0"/>
              <w:spacing w:after="160" w:line="276" w:lineRule="auto"/>
              <w:ind w:left="714" w:hanging="357"/>
              <w:jc w:val="both"/>
              <w:rPr>
                <w:rFonts w:ascii="Verdana" w:eastAsia="Aptos" w:hAnsi="Verdana" w:cs="Arial"/>
                <w:lang w:val="es-ES_tradnl"/>
              </w:rPr>
            </w:pPr>
            <w:r w:rsidRPr="000F126F">
              <w:rPr>
                <w:rFonts w:ascii="Verdana" w:eastAsia="Calibri" w:hAnsi="Verdana" w:cs="Arial"/>
                <w:bCs/>
                <w:lang w:val="es-ES_tradnl"/>
              </w:rPr>
              <w:t>Decreto 1082 de 2015, artículo 2.2.1.1.2.1.3.</w:t>
            </w:r>
          </w:p>
          <w:p w14:paraId="09CF4870" w14:textId="77777777" w:rsidR="008F7543" w:rsidRPr="000F126F" w:rsidRDefault="008F7543" w:rsidP="008F7543">
            <w:pPr>
              <w:numPr>
                <w:ilvl w:val="0"/>
                <w:numId w:val="17"/>
              </w:numPr>
              <w:snapToGrid w:val="0"/>
              <w:spacing w:after="160" w:line="276" w:lineRule="auto"/>
              <w:ind w:left="714" w:hanging="357"/>
              <w:jc w:val="both"/>
              <w:rPr>
                <w:rFonts w:ascii="Verdana" w:eastAsia="Aptos" w:hAnsi="Verdana" w:cs="Arial"/>
                <w:lang w:val="es-ES"/>
              </w:rPr>
            </w:pPr>
            <w:r w:rsidRPr="000F126F">
              <w:rPr>
                <w:rFonts w:ascii="Verdana" w:eastAsia="Aptos" w:hAnsi="Verdana" w:cs="Arial"/>
                <w:lang w:val="es-ES"/>
              </w:rPr>
              <w:t xml:space="preserve">CONSEJO DE ESTADO. Sala Plena de lo Contencioso Administrativo. Sentencia del 12 de abril de 1978. C.P. Carlos Portocarrero Mutis. </w:t>
            </w:r>
            <w:proofErr w:type="spellStart"/>
            <w:r w:rsidRPr="000F126F">
              <w:rPr>
                <w:rFonts w:ascii="Verdana" w:eastAsia="Aptos" w:hAnsi="Verdana" w:cs="Arial"/>
                <w:lang w:val="es-ES"/>
              </w:rPr>
              <w:t>Exp</w:t>
            </w:r>
            <w:proofErr w:type="spellEnd"/>
            <w:r w:rsidRPr="000F126F">
              <w:rPr>
                <w:rFonts w:ascii="Verdana" w:eastAsia="Aptos" w:hAnsi="Verdana" w:cs="Arial"/>
                <w:lang w:val="es-ES"/>
              </w:rPr>
              <w:t>. 355.</w:t>
            </w:r>
          </w:p>
          <w:p w14:paraId="701A9E04" w14:textId="5660740C" w:rsidR="008F7543" w:rsidRPr="000F126F" w:rsidRDefault="008F7543" w:rsidP="008F7543">
            <w:pPr>
              <w:numPr>
                <w:ilvl w:val="0"/>
                <w:numId w:val="17"/>
              </w:numPr>
              <w:snapToGrid w:val="0"/>
              <w:spacing w:after="160" w:line="276" w:lineRule="auto"/>
              <w:ind w:left="714" w:hanging="357"/>
              <w:jc w:val="both"/>
              <w:rPr>
                <w:rFonts w:ascii="Verdana" w:eastAsia="Aptos" w:hAnsi="Verdana" w:cs="Arial"/>
                <w:lang w:val="es-ES_tradnl"/>
              </w:rPr>
            </w:pPr>
            <w:r w:rsidRPr="000F126F">
              <w:rPr>
                <w:rFonts w:ascii="Verdana" w:eastAsia="Aptos" w:hAnsi="Verdana" w:cs="Arial"/>
                <w:lang w:val="es-ES_tradnl"/>
              </w:rPr>
              <w:t xml:space="preserve">CONSEJO DE ESTADO. Sección Cuarta. Auto del </w:t>
            </w:r>
            <w:r w:rsidR="00F2374F" w:rsidRPr="000F126F">
              <w:rPr>
                <w:rFonts w:ascii="Verdana" w:eastAsia="Aptos" w:hAnsi="Verdana" w:cs="Arial"/>
                <w:lang w:val="es-ES_tradnl"/>
              </w:rPr>
              <w:t>26 de febrero de 1983.</w:t>
            </w:r>
          </w:p>
          <w:p w14:paraId="482CFB89" w14:textId="77777777" w:rsidR="008F7543" w:rsidRPr="00805B99" w:rsidRDefault="008F7543" w:rsidP="008F7543">
            <w:pPr>
              <w:numPr>
                <w:ilvl w:val="0"/>
                <w:numId w:val="17"/>
              </w:numPr>
              <w:snapToGrid w:val="0"/>
              <w:spacing w:after="160" w:line="276" w:lineRule="auto"/>
              <w:ind w:left="714" w:hanging="357"/>
              <w:jc w:val="both"/>
              <w:rPr>
                <w:rFonts w:ascii="Verdana" w:eastAsia="Aptos" w:hAnsi="Verdana" w:cs="Arial"/>
                <w:lang w:val="es-ES_tradnl"/>
              </w:rPr>
            </w:pPr>
            <w:r w:rsidRPr="000F126F">
              <w:rPr>
                <w:rFonts w:ascii="Verdana" w:eastAsia="Aptos" w:hAnsi="Verdana" w:cs="Arial"/>
                <w:lang w:val="es-ES"/>
              </w:rPr>
              <w:t xml:space="preserve">CONSEJO DE ESTADO. Sala de lo Contencioso Administrativo. Sección Cuarta. C.P. Enrique Low Murtra. Referencia: Radicación No. 10.174. </w:t>
            </w:r>
            <w:r w:rsidRPr="000F126F">
              <w:rPr>
                <w:rFonts w:ascii="Verdana" w:eastAsia="Aptos" w:hAnsi="Verdana" w:cs="Arial"/>
                <w:lang w:val="es-ES"/>
              </w:rPr>
              <w:lastRenderedPageBreak/>
              <w:t>Apelación del auto del tribunal de Caldas sobre impuestos de renta por el año de 1978. Bogotá, 29 de abril de 1983.</w:t>
            </w:r>
          </w:p>
          <w:p w14:paraId="1F3DC356" w14:textId="77777777" w:rsidR="00F91C09" w:rsidRPr="00D56B2A" w:rsidRDefault="00F91C09">
            <w:pPr>
              <w:widowControl w:val="0"/>
              <w:numPr>
                <w:ilvl w:val="0"/>
                <w:numId w:val="17"/>
              </w:numPr>
              <w:autoSpaceDE w:val="0"/>
              <w:autoSpaceDN w:val="0"/>
              <w:spacing w:after="120" w:line="276" w:lineRule="auto"/>
              <w:jc w:val="both"/>
              <w:rPr>
                <w:rFonts w:ascii="Verdana" w:hAnsi="Verdana" w:cs="Arial"/>
                <w:color w:val="3399FF"/>
              </w:rPr>
            </w:pPr>
            <w:r w:rsidRPr="00DA2A79">
              <w:rPr>
                <w:rFonts w:ascii="Verdana" w:eastAsia="Calibri" w:hAnsi="Verdana" w:cs="Arial"/>
                <w:lang w:val="es-ES_tradnl" w:eastAsia="es-MX"/>
              </w:rPr>
              <w:t xml:space="preserve">Documentos Tipo. Disponibles en: </w:t>
            </w:r>
            <w:hyperlink r:id="rId13" w:history="1">
              <w:r w:rsidRPr="00DA2A79">
                <w:rPr>
                  <w:rFonts w:ascii="Verdana" w:eastAsia="Calibri" w:hAnsi="Verdana" w:cs="Arial"/>
                  <w:color w:val="0000FF"/>
                  <w:u w:val="single"/>
                  <w:lang w:val="es-ES_tradnl" w:eastAsia="es-MX"/>
                </w:rPr>
                <w:t>https://www.colombiacompra.gov.co/documentos-tipo/documentos-tipo</w:t>
              </w:r>
            </w:hyperlink>
            <w:r w:rsidRPr="00DA2A79">
              <w:rPr>
                <w:rFonts w:ascii="Verdana" w:eastAsia="Calibri" w:hAnsi="Verdana" w:cs="Arial"/>
                <w:lang w:val="es-ES_tradnl" w:eastAsia="es-MX"/>
              </w:rPr>
              <w:t>.</w:t>
            </w:r>
          </w:p>
          <w:p w14:paraId="620F6542" w14:textId="77777777" w:rsidR="00F91C09" w:rsidRPr="00D56B2A" w:rsidRDefault="00F91C09" w:rsidP="00123CE7">
            <w:pPr>
              <w:widowControl w:val="0"/>
              <w:autoSpaceDE w:val="0"/>
              <w:autoSpaceDN w:val="0"/>
              <w:spacing w:after="120" w:line="276" w:lineRule="auto"/>
              <w:ind w:left="720"/>
              <w:jc w:val="both"/>
              <w:rPr>
                <w:rFonts w:ascii="Verdana" w:hAnsi="Verdana" w:cs="Arial"/>
                <w:color w:val="3399FF"/>
              </w:rPr>
            </w:pPr>
          </w:p>
        </w:tc>
      </w:tr>
    </w:tbl>
    <w:p w14:paraId="0AA26867" w14:textId="77777777" w:rsidR="00F91C09" w:rsidRPr="00155CC1" w:rsidRDefault="00F91C09" w:rsidP="00F91C09">
      <w:pPr>
        <w:tabs>
          <w:tab w:val="left" w:pos="142"/>
          <w:tab w:val="left" w:pos="284"/>
        </w:tabs>
        <w:spacing w:after="0" w:line="276" w:lineRule="auto"/>
        <w:jc w:val="both"/>
        <w:rPr>
          <w:rFonts w:ascii="Verdana" w:eastAsia="Calibri" w:hAnsi="Verdana" w:cs="Arial"/>
          <w:color w:val="6699FF"/>
        </w:rPr>
      </w:pPr>
    </w:p>
    <w:p w14:paraId="138BDF6F" w14:textId="77777777" w:rsidR="00F91C09" w:rsidRPr="0026211F" w:rsidRDefault="00F91C09" w:rsidP="00F91C09">
      <w:pPr>
        <w:tabs>
          <w:tab w:val="left" w:pos="142"/>
          <w:tab w:val="left" w:pos="284"/>
        </w:tabs>
        <w:spacing w:after="0" w:line="276" w:lineRule="auto"/>
        <w:jc w:val="both"/>
        <w:rPr>
          <w:rFonts w:ascii="Verdana" w:eastAsia="Century Gothic" w:hAnsi="Verdana" w:cs="Century Gothic"/>
          <w:b/>
          <w:bCs/>
          <w:lang w:val="es-ES"/>
        </w:rPr>
      </w:pPr>
      <w:r w:rsidRPr="0026211F">
        <w:rPr>
          <w:rFonts w:ascii="Verdana" w:eastAsia="Calibri" w:hAnsi="Verdana" w:cs="Arial"/>
          <w:b/>
          <w:bCs/>
        </w:rPr>
        <w:t>5</w:t>
      </w:r>
      <w:r w:rsidRPr="0026211F">
        <w:rPr>
          <w:rFonts w:ascii="Verdana" w:eastAsia="Calibri" w:hAnsi="Verdana" w:cs="Arial"/>
        </w:rPr>
        <w:t>.</w:t>
      </w:r>
      <w:r w:rsidRPr="0026211F">
        <w:rPr>
          <w:rFonts w:ascii="Verdana" w:eastAsia="Century Gothic" w:hAnsi="Verdana" w:cs="Century Gothic"/>
          <w:b/>
          <w:bCs/>
          <w:lang w:val="es-ES"/>
        </w:rPr>
        <w:t>Doctrina de la Agencia Nacional de Contratación Pública:</w:t>
      </w:r>
    </w:p>
    <w:p w14:paraId="780758A6" w14:textId="77777777" w:rsidR="00F91C09" w:rsidRPr="001B00B1" w:rsidRDefault="00F91C09" w:rsidP="001B00B1">
      <w:pPr>
        <w:widowControl w:val="0"/>
        <w:autoSpaceDE w:val="0"/>
        <w:autoSpaceDN w:val="0"/>
        <w:spacing w:after="0" w:line="276" w:lineRule="auto"/>
        <w:jc w:val="both"/>
        <w:rPr>
          <w:rFonts w:ascii="Verdana" w:eastAsia="Calibri" w:hAnsi="Verdana" w:cs="Arial"/>
          <w:color w:val="FF0000"/>
          <w:lang w:eastAsia="es-MX"/>
        </w:rPr>
      </w:pPr>
    </w:p>
    <w:p w14:paraId="5A12A402" w14:textId="2B504DE7" w:rsidR="002D66BE" w:rsidRPr="001B00B1" w:rsidRDefault="002D66BE" w:rsidP="001B00B1">
      <w:pPr>
        <w:spacing w:after="0" w:line="276" w:lineRule="auto"/>
        <w:jc w:val="both"/>
        <w:rPr>
          <w:rFonts w:ascii="Verdana" w:eastAsia="Calibri" w:hAnsi="Verdana" w:cs="Arial"/>
          <w:shd w:val="clear" w:color="auto" w:fill="FFFFFF"/>
          <w:lang w:val="es-ES" w:eastAsia="es-MX"/>
        </w:rPr>
      </w:pPr>
      <w:r w:rsidRPr="001B00B1">
        <w:rPr>
          <w:rFonts w:ascii="Verdana" w:eastAsia="Calibri" w:hAnsi="Verdana" w:cs="Arial"/>
          <w:shd w:val="clear" w:color="auto" w:fill="FFFFFF"/>
          <w:lang w:val="es-ES" w:eastAsia="es-MX"/>
        </w:rPr>
        <w:t>La Agencia Nacional de Contratación Pública – Colombia Compra Eficiente se pronunció</w:t>
      </w:r>
      <w:r w:rsidRPr="001B00B1">
        <w:rPr>
          <w:rFonts w:ascii="Verdana" w:eastAsia="Calibri" w:hAnsi="Verdana" w:cs="Times New Roman"/>
          <w:lang w:eastAsia="es-MX"/>
        </w:rPr>
        <w:t xml:space="preserve"> </w:t>
      </w:r>
      <w:r w:rsidRPr="001B00B1">
        <w:rPr>
          <w:rFonts w:ascii="Verdana" w:eastAsia="Calibri" w:hAnsi="Verdana" w:cs="Arial"/>
          <w:shd w:val="clear" w:color="auto" w:fill="FFFFFF"/>
          <w:lang w:val="es-ES" w:eastAsia="es-MX"/>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1B00B1">
        <w:rPr>
          <w:rFonts w:ascii="Verdana" w:eastAsia="Calibri" w:hAnsi="Verdana" w:cs="Arial"/>
          <w:shd w:val="clear" w:color="auto" w:fill="FFFFFF"/>
          <w:lang w:val="es-ES" w:eastAsia="es-MX"/>
        </w:rPr>
        <w:tab/>
        <w:t xml:space="preserve">C-636 del 1 de noviembre de 2024, C-777 del 9 de diciembre de 2024, C-971 del 21 de enero de 2025 y C-1813 del 31 de diciembre de 2025, entre otros. Concretamente, sobre los documentos tipo del sector institucional, esta Agencia se pronunció en los conceptos C-258 del 19 de marzo de 2026, C-385 del 15 de abril, C-392 del 20 de abril de 2026, C-583 del 8 de mayo de 2026, </w:t>
      </w:r>
      <w:r w:rsidR="00AF6A4F" w:rsidRPr="001B00B1">
        <w:rPr>
          <w:rFonts w:ascii="Verdana" w:eastAsia="Calibri" w:hAnsi="Verdana" w:cs="Arial"/>
          <w:shd w:val="clear" w:color="auto" w:fill="FFFFFF"/>
          <w:lang w:val="es-ES" w:eastAsia="es-MX"/>
        </w:rPr>
        <w:t xml:space="preserve">C-531 del 8 de mayo de 2026, </w:t>
      </w:r>
      <w:r w:rsidRPr="001B00B1">
        <w:rPr>
          <w:rFonts w:ascii="Verdana" w:eastAsia="Calibri" w:hAnsi="Verdana" w:cs="Arial"/>
          <w:shd w:val="clear" w:color="auto" w:fill="FFFFFF"/>
          <w:lang w:val="es-ES" w:eastAsia="es-MX"/>
        </w:rPr>
        <w:t>C-682 del 22 de mayo de 2026, C-720 del 05 de junio de 2026, C-764 del 17 de junio de 2026, C-810 de</w:t>
      </w:r>
      <w:r w:rsidR="00180EC2" w:rsidRPr="001B00B1">
        <w:rPr>
          <w:rFonts w:ascii="Verdana" w:eastAsia="Calibri" w:hAnsi="Verdana" w:cs="Arial"/>
          <w:shd w:val="clear" w:color="auto" w:fill="FFFFFF"/>
          <w:lang w:val="es-ES" w:eastAsia="es-MX"/>
        </w:rPr>
        <w:t xml:space="preserve">l 24 de junio de </w:t>
      </w:r>
      <w:r w:rsidR="00137BF5" w:rsidRPr="001B00B1">
        <w:rPr>
          <w:rFonts w:ascii="Verdana" w:eastAsia="Calibri" w:hAnsi="Verdana" w:cs="Arial"/>
          <w:shd w:val="clear" w:color="auto" w:fill="FFFFFF"/>
          <w:lang w:val="es-ES" w:eastAsia="es-MX"/>
        </w:rPr>
        <w:t>2026</w:t>
      </w:r>
      <w:r w:rsidR="003A2AD5">
        <w:rPr>
          <w:rFonts w:ascii="Verdana" w:eastAsia="Calibri" w:hAnsi="Verdana" w:cs="Arial"/>
          <w:shd w:val="clear" w:color="auto" w:fill="FFFFFF"/>
          <w:lang w:val="es-ES" w:eastAsia="es-MX"/>
        </w:rPr>
        <w:t xml:space="preserve">, C-873 del </w:t>
      </w:r>
      <w:r w:rsidR="003A2AD5" w:rsidRPr="003A2AD5">
        <w:rPr>
          <w:rFonts w:ascii="Verdana" w:eastAsia="Calibri" w:hAnsi="Verdana" w:cs="Arial"/>
          <w:shd w:val="clear" w:color="auto" w:fill="FFFFFF"/>
          <w:lang w:eastAsia="es-MX"/>
        </w:rPr>
        <w:t xml:space="preserve">15 </w:t>
      </w:r>
      <w:r w:rsidR="003A2AD5">
        <w:rPr>
          <w:rFonts w:ascii="Verdana" w:eastAsia="Calibri" w:hAnsi="Verdana" w:cs="Arial"/>
          <w:shd w:val="clear" w:color="auto" w:fill="FFFFFF"/>
          <w:lang w:eastAsia="es-MX"/>
        </w:rPr>
        <w:t xml:space="preserve">de </w:t>
      </w:r>
      <w:r w:rsidR="003A2AD5" w:rsidRPr="003A2AD5">
        <w:rPr>
          <w:rFonts w:ascii="Verdana" w:eastAsia="Calibri" w:hAnsi="Verdana" w:cs="Arial"/>
          <w:shd w:val="clear" w:color="auto" w:fill="FFFFFF"/>
          <w:lang w:eastAsia="es-MX"/>
        </w:rPr>
        <w:t>Julio</w:t>
      </w:r>
      <w:r w:rsidR="003A2AD5">
        <w:rPr>
          <w:rFonts w:ascii="Verdana" w:eastAsia="Calibri" w:hAnsi="Verdana" w:cs="Arial"/>
          <w:shd w:val="clear" w:color="auto" w:fill="FFFFFF"/>
          <w:lang w:eastAsia="es-MX"/>
        </w:rPr>
        <w:t xml:space="preserve"> de</w:t>
      </w:r>
      <w:r w:rsidR="003A2AD5" w:rsidRPr="003A2AD5">
        <w:rPr>
          <w:rFonts w:ascii="Verdana" w:eastAsia="Calibri" w:hAnsi="Verdana" w:cs="Arial"/>
          <w:shd w:val="clear" w:color="auto" w:fill="FFFFFF"/>
          <w:lang w:eastAsia="es-MX"/>
        </w:rPr>
        <w:t xml:space="preserve"> 2026 </w:t>
      </w:r>
      <w:r w:rsidR="00137BF5" w:rsidRPr="001B00B1">
        <w:rPr>
          <w:rFonts w:ascii="Verdana" w:eastAsia="Calibri" w:hAnsi="Verdana" w:cs="Arial"/>
          <w:shd w:val="clear" w:color="auto" w:fill="FFFFFF"/>
          <w:lang w:val="es-ES" w:eastAsia="es-MX"/>
        </w:rPr>
        <w:t>y</w:t>
      </w:r>
      <w:r w:rsidRPr="001B00B1">
        <w:rPr>
          <w:rFonts w:ascii="Verdana" w:eastAsia="Calibri" w:hAnsi="Verdana" w:cs="Arial"/>
          <w:shd w:val="clear" w:color="auto" w:fill="FFFFFF"/>
          <w:lang w:val="es-ES" w:eastAsia="es-MX"/>
        </w:rPr>
        <w:t xml:space="preserve"> entre otros. </w:t>
      </w:r>
    </w:p>
    <w:p w14:paraId="4870E1B6" w14:textId="77777777" w:rsidR="00183BEC" w:rsidRPr="001B00B1" w:rsidRDefault="00183BEC" w:rsidP="001B00B1">
      <w:pPr>
        <w:spacing w:after="0" w:line="276" w:lineRule="auto"/>
        <w:jc w:val="both"/>
        <w:rPr>
          <w:rFonts w:ascii="Verdana" w:eastAsia="Calibri" w:hAnsi="Verdana" w:cs="Arial"/>
          <w:shd w:val="clear" w:color="auto" w:fill="FFFFFF"/>
          <w:lang w:val="es-ES" w:eastAsia="es-MX"/>
        </w:rPr>
      </w:pPr>
    </w:p>
    <w:p w14:paraId="0BDC0627" w14:textId="7467C1D6" w:rsidR="001B00B1" w:rsidRPr="001B00B1" w:rsidRDefault="00183BEC" w:rsidP="001B00B1">
      <w:pPr>
        <w:spacing w:after="0" w:line="276" w:lineRule="auto"/>
        <w:jc w:val="both"/>
        <w:rPr>
          <w:rFonts w:ascii="Verdana" w:eastAsia="Calibri" w:hAnsi="Verdana" w:cs="Arial"/>
          <w:shd w:val="clear" w:color="auto" w:fill="FFFFFF"/>
          <w:lang w:val="es-ES" w:eastAsia="es-MX"/>
        </w:rPr>
      </w:pPr>
      <w:r w:rsidRPr="001B00B1">
        <w:rPr>
          <w:rStyle w:val="normaltextrun"/>
          <w:rFonts w:ascii="Verdana" w:hAnsi="Verdana" w:cs="Arial"/>
          <w:shd w:val="clear" w:color="auto" w:fill="FFFFFF"/>
        </w:rPr>
        <w:t xml:space="preserve">Esta Subdirección se ha pronunciado sobre sobre el cómputo de días hábiles en el marco de procesos de selección, en los conceptos C-135 del 28 de marzo de 2022, C-271 del 4 de mayo de 2022, C-604 de 26 de junio de 2025, C-1179 del 01 de octubre de </w:t>
      </w:r>
      <w:proofErr w:type="gramStart"/>
      <w:r w:rsidRPr="001B00B1">
        <w:rPr>
          <w:rStyle w:val="normaltextrun"/>
          <w:rFonts w:ascii="Verdana" w:hAnsi="Verdana" w:cs="Arial"/>
          <w:shd w:val="clear" w:color="auto" w:fill="FFFFFF"/>
        </w:rPr>
        <w:t>2025,  C</w:t>
      </w:r>
      <w:proofErr w:type="gramEnd"/>
      <w:r w:rsidRPr="001B00B1">
        <w:rPr>
          <w:rStyle w:val="normaltextrun"/>
          <w:rFonts w:ascii="Verdana" w:hAnsi="Verdana" w:cs="Arial"/>
          <w:shd w:val="clear" w:color="auto" w:fill="FFFFFF"/>
        </w:rPr>
        <w:t xml:space="preserve">-1850 del 9 de enero de 2026, </w:t>
      </w:r>
      <w:r w:rsidR="001B00B1" w:rsidRPr="001B00B1">
        <w:rPr>
          <w:rStyle w:val="normaltextrun"/>
          <w:rFonts w:ascii="Verdana" w:hAnsi="Verdana" w:cs="Arial"/>
          <w:shd w:val="clear" w:color="auto" w:fill="FFFFFF"/>
        </w:rPr>
        <w:t xml:space="preserve">C-082 del </w:t>
      </w:r>
      <w:r w:rsidR="001B00B1" w:rsidRPr="001B00B1">
        <w:rPr>
          <w:rFonts w:ascii="Verdana" w:eastAsia="Geomanist Light" w:hAnsi="Verdana" w:cs="Arial"/>
          <w:color w:val="000000" w:themeColor="text1"/>
          <w:lang w:val="es-MX"/>
        </w:rPr>
        <w:t xml:space="preserve">04 de </w:t>
      </w:r>
      <w:proofErr w:type="gramStart"/>
      <w:r w:rsidR="001B00B1" w:rsidRPr="001B00B1">
        <w:rPr>
          <w:rFonts w:ascii="Verdana" w:eastAsia="Geomanist Light" w:hAnsi="Verdana" w:cs="Arial"/>
          <w:color w:val="000000" w:themeColor="text1"/>
          <w:lang w:val="es-MX"/>
        </w:rPr>
        <w:t>Febrero</w:t>
      </w:r>
      <w:proofErr w:type="gramEnd"/>
      <w:r w:rsidR="001B00B1" w:rsidRPr="001B00B1">
        <w:rPr>
          <w:rFonts w:ascii="Verdana" w:eastAsia="Geomanist Light" w:hAnsi="Verdana" w:cs="Arial"/>
          <w:color w:val="000000" w:themeColor="text1"/>
          <w:lang w:val="es-MX"/>
        </w:rPr>
        <w:t xml:space="preserve"> de 2026</w:t>
      </w:r>
      <w:r w:rsidR="001B00B1" w:rsidRPr="001B00B1">
        <w:rPr>
          <w:rFonts w:ascii="Verdana" w:eastAsia="Calibri" w:hAnsi="Verdana" w:cs="Arial"/>
          <w:shd w:val="clear" w:color="auto" w:fill="FFFFFF"/>
        </w:rPr>
        <w:t xml:space="preserve"> </w:t>
      </w:r>
      <w:r w:rsidR="001B00B1" w:rsidRPr="001B00B1">
        <w:rPr>
          <w:rFonts w:ascii="Verdana" w:eastAsia="Calibri" w:hAnsi="Verdana" w:cs="Arial"/>
          <w:shd w:val="clear" w:color="auto" w:fill="FFFFFF"/>
          <w:lang w:val="es-ES" w:eastAsia="es-MX"/>
        </w:rPr>
        <w:t>y entre otros.</w:t>
      </w:r>
    </w:p>
    <w:p w14:paraId="261B8D58" w14:textId="77777777" w:rsidR="001B00B1" w:rsidRDefault="001B00B1" w:rsidP="001B00B1">
      <w:pPr>
        <w:spacing w:after="0" w:line="240" w:lineRule="auto"/>
        <w:jc w:val="both"/>
        <w:rPr>
          <w:rFonts w:ascii="Verdana" w:eastAsia="Calibri" w:hAnsi="Verdana" w:cs="Arial"/>
          <w:shd w:val="clear" w:color="auto" w:fill="FFFFFF"/>
        </w:rPr>
      </w:pPr>
    </w:p>
    <w:p w14:paraId="46E9ECC8" w14:textId="7C816A68" w:rsidR="00183BEC" w:rsidRPr="001B00B1" w:rsidRDefault="00183BEC" w:rsidP="001B00B1">
      <w:pPr>
        <w:spacing w:after="0" w:line="240" w:lineRule="auto"/>
        <w:jc w:val="both"/>
        <w:rPr>
          <w:rStyle w:val="normaltextrun"/>
          <w:rFonts w:ascii="Verdana" w:eastAsia="Times New Roman" w:hAnsi="Verdana" w:cs="Arial"/>
          <w:color w:val="000000"/>
          <w:sz w:val="20"/>
          <w:szCs w:val="20"/>
          <w:lang w:eastAsia="es-MX"/>
        </w:rPr>
      </w:pPr>
      <w:r w:rsidRPr="00DD0AFF">
        <w:rPr>
          <w:rFonts w:ascii="Verdana" w:hAnsi="Verdana" w:cs="Arial"/>
          <w:shd w:val="clear" w:color="auto" w:fill="FFFFFF"/>
        </w:rPr>
        <w:t>Est</w:t>
      </w:r>
      <w:r>
        <w:rPr>
          <w:rFonts w:ascii="Verdana" w:hAnsi="Verdana" w:cs="Arial"/>
          <w:shd w:val="clear" w:color="auto" w:fill="FFFFFF"/>
        </w:rPr>
        <w:t>os</w:t>
      </w:r>
      <w:r w:rsidRPr="00DD0AFF">
        <w:rPr>
          <w:rFonts w:ascii="Verdana" w:hAnsi="Verdana" w:cs="Arial"/>
          <w:shd w:val="clear" w:color="auto" w:fill="FFFFFF"/>
        </w:rPr>
        <w:t xml:space="preserve"> y otros </w:t>
      </w:r>
      <w:r w:rsidRPr="008D0AB0">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4"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p>
    <w:p w14:paraId="3DEC9A53" w14:textId="77777777" w:rsidR="00F91C09" w:rsidRPr="00EF54B1" w:rsidRDefault="00F91C09" w:rsidP="00F91C09">
      <w:pPr>
        <w:spacing w:after="0" w:line="240" w:lineRule="auto"/>
        <w:jc w:val="both"/>
        <w:rPr>
          <w:rFonts w:ascii="Verdana" w:eastAsia="Calibri" w:hAnsi="Verdana" w:cs="Arial"/>
          <w:color w:val="000000" w:themeColor="text1"/>
          <w:shd w:val="clear" w:color="auto" w:fill="FFFFFF"/>
        </w:rPr>
      </w:pPr>
    </w:p>
    <w:p w14:paraId="51519284" w14:textId="77777777" w:rsid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lang w:val="es-ES_tradnl"/>
          <w14:ligatures w14:val="standardContextual"/>
        </w:rPr>
      </w:pPr>
      <w:r w:rsidRPr="008F108B">
        <w:rPr>
          <w:rFonts w:ascii="Verdana" w:eastAsia="Calibri" w:hAnsi="Verdana" w:cs="Arial"/>
          <w:color w:val="000000" w:themeColor="text1"/>
          <w:kern w:val="2"/>
          <w:shd w:val="clear" w:color="auto" w:fill="FFFFFF"/>
          <w14:ligatures w14:val="standardContextual"/>
        </w:rPr>
        <w:t xml:space="preserve">Las garantías no son un requisito formal: son el instrumento con el que </w:t>
      </w:r>
      <w:r w:rsidRPr="008F108B">
        <w:rPr>
          <w:rFonts w:ascii="Verdana" w:eastAsia="Calibri" w:hAnsi="Verdana" w:cs="Arial"/>
          <w:color w:val="000000" w:themeColor="text1"/>
          <w:kern w:val="2"/>
          <w:shd w:val="clear" w:color="auto" w:fill="FFFFFF"/>
          <w14:ligatures w14:val="standardContextual"/>
        </w:rPr>
        <w:lastRenderedPageBreak/>
        <w:t>se protege el patrimonio público frente a los riesgos del contrato. Por ello, la Agencia Nacional de Contratación Pública –Colombia Compra Eficiente– te invita a consultar la nueva versión de la </w:t>
      </w:r>
      <w:r w:rsidRPr="008F108B">
        <w:rPr>
          <w:rFonts w:ascii="Verdana" w:eastAsia="Calibri" w:hAnsi="Verdana" w:cs="Arial"/>
          <w:b/>
          <w:bCs/>
          <w:color w:val="000000" w:themeColor="text1"/>
          <w:kern w:val="2"/>
          <w:shd w:val="clear" w:color="auto" w:fill="FFFFFF"/>
          <w14:ligatures w14:val="standardContextual"/>
        </w:rPr>
        <w:t>Guía para la Exigencia y Constitución de Garantías en los Procesos de Contratación</w:t>
      </w:r>
      <w:r w:rsidRPr="008F108B">
        <w:rPr>
          <w:rFonts w:ascii="Verdana" w:eastAsia="Calibri" w:hAnsi="Verdana" w:cs="Arial"/>
          <w:color w:val="000000" w:themeColor="text1"/>
          <w:kern w:val="2"/>
          <w:shd w:val="clear" w:color="auto" w:fill="FFFFFF"/>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Dirección URL original: https://www.colombiacompra.gov.co/archivos/manual/guia-de-garantias-en-procesos-de-contratacion. Haga clic o pulse si confía en este vínculo." w:history="1">
        <w:r w:rsidRPr="008F108B">
          <w:rPr>
            <w:rStyle w:val="Hipervnculo"/>
            <w:rFonts w:ascii="Verdana" w:eastAsia="Calibri" w:hAnsi="Verdana" w:cs="Arial"/>
            <w:kern w:val="2"/>
            <w:shd w:val="clear" w:color="auto" w:fill="FFFFFF"/>
            <w14:ligatures w14:val="standardContextual"/>
          </w:rPr>
          <w:t>https://www.colombiacompra.gov.co/archivos/manual/guia-de-garantias-en-procesos-de-contratacion</w:t>
        </w:r>
      </w:hyperlink>
    </w:p>
    <w:p w14:paraId="7644D9C1" w14:textId="77777777" w:rsidR="008F108B" w:rsidRP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14:ligatures w14:val="standardContextual"/>
        </w:rPr>
      </w:pPr>
    </w:p>
    <w:p w14:paraId="416EA2CD" w14:textId="77777777" w:rsid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lang w:val="es-ES_tradnl"/>
          <w14:ligatures w14:val="standardContextual"/>
        </w:rPr>
      </w:pPr>
      <w:r w:rsidRPr="008F108B">
        <w:rPr>
          <w:rFonts w:ascii="Verdana" w:eastAsia="Calibri" w:hAnsi="Verdana" w:cs="Arial"/>
          <w:color w:val="000000" w:themeColor="text1"/>
          <w:kern w:val="2"/>
          <w:shd w:val="clear" w:color="auto" w:fill="FFFFFF"/>
          <w14:ligatures w14:val="standardContextual"/>
        </w:rPr>
        <w:t>De otro lado, te contamos que el Decreto 287 del 19 de marzo de 2026 sustituyó los artículos 2.2.1.2.4.2.6., 2.2.1.2.4.2.7. y 2.2.1.2.4.2.8. del Decreto 1082 de 2015 y estructuró el </w:t>
      </w:r>
      <w:r w:rsidRPr="008F108B">
        <w:rPr>
          <w:rFonts w:ascii="Verdana" w:eastAsia="Calibri" w:hAnsi="Verdana" w:cs="Arial"/>
          <w:b/>
          <w:bCs/>
          <w:color w:val="000000" w:themeColor="text1"/>
          <w:kern w:val="2"/>
          <w:shd w:val="clear" w:color="auto" w:fill="FFFFFF"/>
          <w14:ligatures w14:val="standardContextual"/>
        </w:rPr>
        <w:t>Sistema Integral de Preferencias en favor de las personas con discapacidad</w:t>
      </w:r>
      <w:r w:rsidRPr="008F108B">
        <w:rPr>
          <w:rFonts w:ascii="Verdana" w:eastAsia="Calibri" w:hAnsi="Verdana" w:cs="Arial"/>
          <w:color w:val="000000" w:themeColor="text1"/>
          <w:kern w:val="2"/>
          <w:shd w:val="clear" w:color="auto" w:fill="FFFFFF"/>
          <w14:ligatures w14:val="standardContextual"/>
        </w:rPr>
        <w:t>, en cumplimiento del artículo 13 de la Ley Estatutaria 1618 de 2013. Para orientar su aplicación, esta Agencia expidió la </w:t>
      </w:r>
      <w:r w:rsidRPr="008F108B">
        <w:rPr>
          <w:rFonts w:ascii="Verdana" w:eastAsia="Calibri" w:hAnsi="Verdana" w:cs="Arial"/>
          <w:b/>
          <w:bCs/>
          <w:color w:val="000000" w:themeColor="text1"/>
          <w:kern w:val="2"/>
          <w:shd w:val="clear" w:color="auto" w:fill="FFFFFF"/>
          <w14:ligatures w14:val="standardContextual"/>
        </w:rPr>
        <w:t>Circular Externa 003 del 12 de mayo de 2026, </w:t>
      </w:r>
      <w:r w:rsidRPr="008F108B">
        <w:rPr>
          <w:rFonts w:ascii="Verdana" w:eastAsia="Calibri" w:hAnsi="Verdana" w:cs="Arial"/>
          <w:color w:val="000000" w:themeColor="text1"/>
          <w:kern w:val="2"/>
          <w:shd w:val="clear" w:color="auto" w:fill="FFFFFF"/>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6" w:tgtFrame="_blank" w:tooltip="Dirección URL original: https://www.colombiacompra.gov.co/archivos/circular/circular-externa-003-de-2026. Haga clic o pulse si confía en este vínculo." w:history="1">
        <w:r w:rsidRPr="008F108B">
          <w:rPr>
            <w:rStyle w:val="Hipervnculo"/>
            <w:rFonts w:ascii="Verdana" w:eastAsia="Calibri" w:hAnsi="Verdana" w:cs="Arial"/>
            <w:kern w:val="2"/>
            <w:shd w:val="clear" w:color="auto" w:fill="FFFFFF"/>
            <w14:ligatures w14:val="standardContextual"/>
          </w:rPr>
          <w:t>https://www.colombiacompra.gov.co/archivos/circular/circular-externa-003-de-2026</w:t>
        </w:r>
      </w:hyperlink>
    </w:p>
    <w:p w14:paraId="174BB36B" w14:textId="77777777" w:rsidR="008F108B" w:rsidRP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14:ligatures w14:val="standardContextual"/>
        </w:rPr>
      </w:pPr>
    </w:p>
    <w:p w14:paraId="4C686BF0" w14:textId="77777777" w:rsid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lang w:val="es-ES_tradnl"/>
          <w14:ligatures w14:val="standardContextual"/>
        </w:rPr>
      </w:pPr>
      <w:r w:rsidRPr="008F108B">
        <w:rPr>
          <w:rFonts w:ascii="Verdana" w:eastAsia="Calibri" w:hAnsi="Verdana" w:cs="Arial"/>
          <w:color w:val="000000" w:themeColor="text1"/>
          <w:kern w:val="2"/>
          <w:shd w:val="clear" w:color="auto" w:fill="FFFFFF"/>
          <w14:ligatures w14:val="standardContextual"/>
        </w:rPr>
        <w:t>Recuerda también que la</w:t>
      </w:r>
      <w:r w:rsidRPr="008F108B">
        <w:rPr>
          <w:rFonts w:ascii="Verdana" w:eastAsia="Calibri" w:hAnsi="Verdana" w:cs="Arial"/>
          <w:b/>
          <w:bCs/>
          <w:color w:val="000000" w:themeColor="text1"/>
          <w:kern w:val="2"/>
          <w:shd w:val="clear" w:color="auto" w:fill="FFFFFF"/>
          <w14:ligatures w14:val="standardContextual"/>
        </w:rPr>
        <w:t> información sobre sanciones e inhabilidades </w:t>
      </w:r>
      <w:r w:rsidRPr="008F108B">
        <w:rPr>
          <w:rFonts w:ascii="Verdana" w:eastAsia="Calibri" w:hAnsi="Verdana" w:cs="Arial"/>
          <w:color w:val="000000" w:themeColor="text1"/>
          <w:kern w:val="2"/>
          <w:shd w:val="clear" w:color="auto" w:fill="FFFFFF"/>
          <w14:ligatures w14:val="standardContextual"/>
        </w:rPr>
        <w:t>solo cumple su función preventiva si llega oportunamente a los registros públicos. Sobre este deber, esta Agencia expidió la </w:t>
      </w:r>
      <w:r w:rsidRPr="008F108B">
        <w:rPr>
          <w:rFonts w:ascii="Verdana" w:eastAsia="Calibri" w:hAnsi="Verdana" w:cs="Arial"/>
          <w:b/>
          <w:bCs/>
          <w:color w:val="000000" w:themeColor="text1"/>
          <w:kern w:val="2"/>
          <w:shd w:val="clear" w:color="auto" w:fill="FFFFFF"/>
          <w14:ligatures w14:val="standardContextual"/>
        </w:rPr>
        <w:t>Circular Externa 002 del 5 de mayo de 2026,</w:t>
      </w:r>
      <w:r w:rsidRPr="008F108B">
        <w:rPr>
          <w:rFonts w:ascii="Verdana" w:eastAsia="Calibri" w:hAnsi="Verdana" w:cs="Arial"/>
          <w:color w:val="000000" w:themeColor="text1"/>
          <w:kern w:val="2"/>
          <w:shd w:val="clear" w:color="auto" w:fill="FFFFFF"/>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Dirección URL original: https://www.colombiacompra.gov.co/archivos/circular/circular-externa-002-de-2026. Haga clic o pulse si confía en este vínculo." w:history="1">
        <w:r w:rsidRPr="008F108B">
          <w:rPr>
            <w:rStyle w:val="Hipervnculo"/>
            <w:rFonts w:ascii="Verdana" w:eastAsia="Calibri" w:hAnsi="Verdana" w:cs="Arial"/>
            <w:kern w:val="2"/>
            <w:shd w:val="clear" w:color="auto" w:fill="FFFFFF"/>
            <w14:ligatures w14:val="standardContextual"/>
          </w:rPr>
          <w:t>https://www.colombiacompra.gov.co/archivos/circular/circular-externa-002-de-2026</w:t>
        </w:r>
      </w:hyperlink>
    </w:p>
    <w:p w14:paraId="013F21B5" w14:textId="77777777" w:rsidR="008F108B" w:rsidRP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14:ligatures w14:val="standardContextual"/>
        </w:rPr>
      </w:pPr>
    </w:p>
    <w:p w14:paraId="5D01AB61" w14:textId="77777777" w:rsidR="008F108B" w:rsidRPr="008F108B" w:rsidRDefault="008F108B" w:rsidP="008F108B">
      <w:pPr>
        <w:widowControl w:val="0"/>
        <w:autoSpaceDE w:val="0"/>
        <w:autoSpaceDN w:val="0"/>
        <w:spacing w:after="0" w:line="276" w:lineRule="auto"/>
        <w:ind w:firstLine="709"/>
        <w:jc w:val="both"/>
        <w:rPr>
          <w:rFonts w:ascii="Verdana" w:eastAsia="Calibri" w:hAnsi="Verdana" w:cs="Arial"/>
          <w:color w:val="000000" w:themeColor="text1"/>
          <w:kern w:val="2"/>
          <w:shd w:val="clear" w:color="auto" w:fill="FFFFFF"/>
          <w14:ligatures w14:val="standardContextual"/>
        </w:rPr>
      </w:pPr>
      <w:r w:rsidRPr="008F108B">
        <w:rPr>
          <w:rFonts w:ascii="Verdana" w:eastAsia="Calibri" w:hAnsi="Verdana" w:cs="Arial"/>
          <w:color w:val="000000" w:themeColor="text1"/>
          <w:kern w:val="2"/>
          <w:shd w:val="clear" w:color="auto" w:fill="FFFFFF"/>
          <w14:ligatures w14:val="standardContextual"/>
        </w:rPr>
        <w:t xml:space="preserve">Finalmente, si quieres seguir de cerca la actividad de la Agencia, la tercera </w:t>
      </w:r>
      <w:r w:rsidRPr="008F108B">
        <w:rPr>
          <w:rFonts w:ascii="Verdana" w:eastAsia="Calibri" w:hAnsi="Verdana" w:cs="Arial"/>
          <w:color w:val="000000" w:themeColor="text1"/>
          <w:kern w:val="2"/>
          <w:shd w:val="clear" w:color="auto" w:fill="FFFFFF"/>
          <w14:ligatures w14:val="standardContextual"/>
        </w:rPr>
        <w:lastRenderedPageBreak/>
        <w:t>edición de 2026 del</w:t>
      </w:r>
      <w:r w:rsidRPr="008F108B">
        <w:rPr>
          <w:rFonts w:ascii="Verdana" w:eastAsia="Calibri" w:hAnsi="Verdana" w:cs="Arial"/>
          <w:b/>
          <w:bCs/>
          <w:color w:val="000000" w:themeColor="text1"/>
          <w:kern w:val="2"/>
          <w:shd w:val="clear" w:color="auto" w:fill="FFFFFF"/>
          <w14:ligatures w14:val="standardContextual"/>
        </w:rPr>
        <w:t> Radar de la Compra Pública</w:t>
      </w:r>
      <w:r w:rsidRPr="008F108B">
        <w:rPr>
          <w:rFonts w:ascii="Verdana" w:eastAsia="Calibri" w:hAnsi="Verdana" w:cs="Arial"/>
          <w:color w:val="000000" w:themeColor="text1"/>
          <w:kern w:val="2"/>
          <w:shd w:val="clear" w:color="auto" w:fill="FFFFFF"/>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Dirección URL original: https://www.colombiacompra.gov.co/archivos/boletin/boletin-edicion-n-3-de-2026-radar-de-la-compra-publica. Haga clic o pulse si confía en este vínculo." w:history="1">
        <w:r w:rsidRPr="008F108B">
          <w:rPr>
            <w:rStyle w:val="Hipervnculo"/>
            <w:rFonts w:ascii="Verdana" w:eastAsia="Calibri" w:hAnsi="Verdana" w:cs="Arial"/>
            <w:kern w:val="2"/>
            <w:shd w:val="clear" w:color="auto" w:fill="FFFFFF"/>
            <w14:ligatures w14:val="standardContextual"/>
          </w:rPr>
          <w:t>https://www.colombiacompra.gov.co/archivos/boletin/boletin-edicion-n-3-de-2026-radar-de-la-compra-publica</w:t>
        </w:r>
      </w:hyperlink>
      <w:r w:rsidRPr="008F108B">
        <w:rPr>
          <w:rFonts w:ascii="Verdana" w:eastAsia="Calibri" w:hAnsi="Verdana" w:cs="Arial"/>
          <w:color w:val="000000" w:themeColor="text1"/>
          <w:kern w:val="2"/>
          <w:shd w:val="clear" w:color="auto" w:fill="FFFFFF"/>
          <w14:ligatures w14:val="standardContextual"/>
        </w:rPr>
        <w:t>"</w:t>
      </w:r>
    </w:p>
    <w:p w14:paraId="6508C3F4" w14:textId="77777777" w:rsidR="00F91C09" w:rsidRPr="00EF54B1" w:rsidRDefault="00F91C09" w:rsidP="00F91C09">
      <w:pPr>
        <w:widowControl w:val="0"/>
        <w:autoSpaceDE w:val="0"/>
        <w:autoSpaceDN w:val="0"/>
        <w:spacing w:after="0" w:line="276" w:lineRule="auto"/>
        <w:jc w:val="both"/>
        <w:rPr>
          <w:rFonts w:ascii="Verdana" w:eastAsia="Calibri" w:hAnsi="Verdana" w:cs="Arial"/>
          <w:color w:val="000000" w:themeColor="text1"/>
          <w:kern w:val="2"/>
          <w:shd w:val="clear" w:color="auto" w:fill="FFFFFF"/>
          <w:lang w:val="es-ES_tradnl"/>
          <w14:ligatures w14:val="standardContextual"/>
        </w:rPr>
      </w:pPr>
    </w:p>
    <w:p w14:paraId="1C525F61" w14:textId="77777777" w:rsidR="00F91C09" w:rsidRPr="009552C8" w:rsidRDefault="00F91C09" w:rsidP="00F91C09">
      <w:pPr>
        <w:spacing w:after="0" w:line="240" w:lineRule="auto"/>
        <w:jc w:val="both"/>
        <w:rPr>
          <w:rFonts w:ascii="Verdana" w:eastAsia="Calibri" w:hAnsi="Verdana" w:cs="Times New Roman"/>
          <w:kern w:val="2"/>
          <w14:ligatures w14:val="standardContextual"/>
        </w:rPr>
      </w:pPr>
      <w:r w:rsidRPr="009552C8">
        <w:rPr>
          <w:rFonts w:ascii="Verdana" w:eastAsia="Aptos" w:hAnsi="Verdana" w:cs="Times New Roman"/>
          <w:kern w:val="2"/>
          <w14:ligatures w14:val="standardContextual"/>
        </w:rPr>
        <w:t xml:space="preserve">Por último, lo invitamos a seguirnos en las redes sociales en las cuales se difunde información institucional: </w:t>
      </w:r>
    </w:p>
    <w:p w14:paraId="1F21C9C2" w14:textId="77777777" w:rsidR="00F91C09" w:rsidRPr="009552C8" w:rsidRDefault="00F91C09" w:rsidP="00F91C09">
      <w:pPr>
        <w:spacing w:after="0" w:line="240" w:lineRule="auto"/>
        <w:jc w:val="both"/>
        <w:rPr>
          <w:rFonts w:ascii="Verdana" w:eastAsia="Aptos" w:hAnsi="Verdana" w:cs="Times New Roman"/>
          <w:kern w:val="2"/>
          <w14:ligatures w14:val="standardContextual"/>
        </w:rPr>
      </w:pPr>
    </w:p>
    <w:p w14:paraId="6E45CFD2" w14:textId="77777777" w:rsidR="00F91C09" w:rsidRPr="009552C8" w:rsidRDefault="00F91C09" w:rsidP="00F91C0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Twitter: </w:t>
      </w:r>
      <w:r w:rsidRPr="007603CE">
        <w:rPr>
          <w:rFonts w:ascii="Verdana" w:eastAsia="Calibri" w:hAnsi="Verdana" w:cs="Times New Roman"/>
          <w:color w:val="0000FF"/>
          <w:kern w:val="2"/>
          <w:u w:val="single"/>
          <w14:ligatures w14:val="standardContextual"/>
        </w:rPr>
        <w:t>@colombiacompra</w:t>
      </w:r>
      <w:r w:rsidRPr="007603CE">
        <w:rPr>
          <w:rFonts w:ascii="Verdana" w:eastAsia="Calibri" w:hAnsi="Verdana" w:cs="Times New Roman"/>
          <w:color w:val="0000FF"/>
          <w:kern w:val="2"/>
          <w14:ligatures w14:val="standardContextual"/>
        </w:rPr>
        <w:t xml:space="preserve"> </w:t>
      </w:r>
    </w:p>
    <w:p w14:paraId="07429BE9" w14:textId="77777777" w:rsidR="00F91C09" w:rsidRPr="009552C8" w:rsidRDefault="00F91C09" w:rsidP="00F91C0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Facebook: </w:t>
      </w:r>
      <w:proofErr w:type="spellStart"/>
      <w:r w:rsidRPr="007603CE">
        <w:rPr>
          <w:rFonts w:ascii="Verdana" w:eastAsia="Calibri" w:hAnsi="Verdana" w:cs="Times New Roman"/>
          <w:color w:val="0000FF"/>
          <w:kern w:val="2"/>
          <w:u w:val="single"/>
          <w14:ligatures w14:val="standardContextual"/>
        </w:rPr>
        <w:t>ColombiaCompraEficiente</w:t>
      </w:r>
      <w:proofErr w:type="spellEnd"/>
    </w:p>
    <w:p w14:paraId="2163ED6C" w14:textId="77777777" w:rsidR="00F91C09" w:rsidRPr="009552C8" w:rsidRDefault="00F91C09" w:rsidP="00F91C09">
      <w:pPr>
        <w:spacing w:after="0" w:line="240" w:lineRule="auto"/>
        <w:jc w:val="both"/>
        <w:rPr>
          <w:rFonts w:ascii="Verdana" w:eastAsia="Aptos" w:hAnsi="Verdana" w:cs="Times New Roman"/>
          <w:kern w:val="2"/>
          <w14:ligatures w14:val="standardContextual"/>
        </w:rPr>
      </w:pPr>
      <w:r w:rsidRPr="009552C8">
        <w:rPr>
          <w:rFonts w:ascii="Verdana" w:eastAsia="Aptos" w:hAnsi="Verdana" w:cs="Times New Roman"/>
          <w:kern w:val="2"/>
          <w14:ligatures w14:val="standardContextual"/>
        </w:rPr>
        <w:t xml:space="preserve">LinkedIn: </w:t>
      </w:r>
      <w:r w:rsidRPr="007603CE">
        <w:rPr>
          <w:rFonts w:ascii="Verdana" w:eastAsia="Calibri" w:hAnsi="Verdana" w:cs="Times New Roman"/>
          <w:color w:val="0000FF"/>
          <w:kern w:val="2"/>
          <w:u w:val="single"/>
          <w14:ligatures w14:val="standardContextual"/>
        </w:rPr>
        <w:t>Agencia Nacional de Contratación Pública - Colombia Compra Eficiente</w:t>
      </w:r>
      <w:r w:rsidRPr="007603CE">
        <w:rPr>
          <w:rFonts w:ascii="Verdana" w:eastAsia="Calibri" w:hAnsi="Verdana" w:cs="Times New Roman"/>
          <w:color w:val="0000FF"/>
          <w:kern w:val="2"/>
          <w14:ligatures w14:val="standardContextual"/>
        </w:rPr>
        <w:t xml:space="preserve"> </w:t>
      </w:r>
      <w:r w:rsidRPr="009552C8">
        <w:rPr>
          <w:rFonts w:ascii="Verdana" w:eastAsia="Aptos" w:hAnsi="Verdana" w:cs="Times New Roman"/>
          <w:kern w:val="2"/>
          <w14:ligatures w14:val="standardContextual"/>
        </w:rPr>
        <w:t xml:space="preserve">Instagram: </w:t>
      </w:r>
      <w:r w:rsidRPr="007603CE">
        <w:rPr>
          <w:rFonts w:ascii="Verdana" w:eastAsia="Calibri" w:hAnsi="Verdana" w:cs="Times New Roman"/>
          <w:color w:val="0000FF"/>
          <w:kern w:val="2"/>
          <w:u w:val="single"/>
          <w14:ligatures w14:val="standardContextual"/>
        </w:rPr>
        <w:t>@colombiacompraeficiente_cce</w:t>
      </w:r>
    </w:p>
    <w:p w14:paraId="11980F6B" w14:textId="77777777" w:rsidR="00F91C09" w:rsidRPr="005D21BF" w:rsidRDefault="00F91C09" w:rsidP="00F91C09">
      <w:pPr>
        <w:widowControl w:val="0"/>
        <w:autoSpaceDE w:val="0"/>
        <w:autoSpaceDN w:val="0"/>
        <w:spacing w:after="0" w:line="276" w:lineRule="auto"/>
        <w:jc w:val="both"/>
        <w:rPr>
          <w:rFonts w:ascii="Verdana" w:eastAsia="Calibri" w:hAnsi="Verdana" w:cs="Arial"/>
          <w:color w:val="000000" w:themeColor="text1"/>
          <w:kern w:val="2"/>
          <w14:ligatures w14:val="standardContextual"/>
        </w:rPr>
      </w:pPr>
    </w:p>
    <w:p w14:paraId="119444C8" w14:textId="77777777" w:rsidR="00F91C09" w:rsidRDefault="00F91C09" w:rsidP="00F91C09">
      <w:pPr>
        <w:widowControl w:val="0"/>
        <w:autoSpaceDE w:val="0"/>
        <w:autoSpaceDN w:val="0"/>
        <w:spacing w:after="0" w:line="276" w:lineRule="auto"/>
        <w:jc w:val="both"/>
        <w:rPr>
          <w:rFonts w:ascii="Verdana" w:eastAsia="Calibri" w:hAnsi="Verdana" w:cs="Arial"/>
          <w:color w:val="000000" w:themeColor="text1"/>
          <w:kern w:val="2"/>
          <w:lang w:val="es-ES_tradnl"/>
          <w14:ligatures w14:val="standardContextual"/>
        </w:rPr>
      </w:pPr>
      <w:r w:rsidRPr="00EF54B1">
        <w:rPr>
          <w:rFonts w:ascii="Verdana" w:eastAsia="Calibri" w:hAnsi="Verdana" w:cs="Arial"/>
          <w:color w:val="000000" w:themeColor="text1"/>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01F5605" w14:textId="44F1703B" w:rsidR="00F91C09" w:rsidRPr="00EF54B1" w:rsidRDefault="00F91C09" w:rsidP="00F91C09">
      <w:pPr>
        <w:widowControl w:val="0"/>
        <w:autoSpaceDE w:val="0"/>
        <w:autoSpaceDN w:val="0"/>
        <w:spacing w:after="0" w:line="276" w:lineRule="auto"/>
        <w:jc w:val="both"/>
        <w:rPr>
          <w:rFonts w:ascii="Verdana" w:eastAsia="Calibri" w:hAnsi="Verdana" w:cs="Arial"/>
          <w:color w:val="000000" w:themeColor="text1"/>
        </w:rPr>
      </w:pPr>
    </w:p>
    <w:p w14:paraId="4D33BB7B" w14:textId="790A7F34" w:rsidR="00F91C09" w:rsidRPr="00EF54B1" w:rsidRDefault="00F91C09" w:rsidP="00F91C09">
      <w:pPr>
        <w:spacing w:after="0" w:line="240" w:lineRule="auto"/>
        <w:rPr>
          <w:rFonts w:ascii="Verdana" w:eastAsia="Calibri" w:hAnsi="Verdana" w:cs="Arial"/>
          <w:color w:val="000000" w:themeColor="text1"/>
          <w:lang w:eastAsia="es-CO"/>
        </w:rPr>
      </w:pPr>
      <w:r w:rsidRPr="00EF54B1">
        <w:rPr>
          <w:rFonts w:ascii="Verdana" w:eastAsia="Times New Roman" w:hAnsi="Verdana" w:cs="Arial"/>
          <w:color w:val="000000" w:themeColor="text1"/>
          <w:lang w:eastAsia="es-CO"/>
        </w:rPr>
        <w:t>Atentamente,</w:t>
      </w:r>
      <w:r w:rsidRPr="00EF54B1">
        <w:rPr>
          <w:rFonts w:ascii="Verdana" w:eastAsia="Calibri" w:hAnsi="Verdana" w:cs="Arial"/>
          <w:color w:val="000000" w:themeColor="text1"/>
          <w:lang w:eastAsia="es-CO"/>
        </w:rPr>
        <w:t xml:space="preserve"> </w:t>
      </w:r>
    </w:p>
    <w:p w14:paraId="54AC4A55" w14:textId="6AA30B10" w:rsidR="00F91C09" w:rsidRDefault="00F91C09" w:rsidP="00F91C09">
      <w:pPr>
        <w:tabs>
          <w:tab w:val="left" w:pos="1320"/>
        </w:tabs>
        <w:rPr>
          <w:noProof/>
        </w:rPr>
      </w:pPr>
    </w:p>
    <w:p w14:paraId="1BD585F2" w14:textId="786A67F7" w:rsidR="00136798" w:rsidRPr="000D5EB1" w:rsidRDefault="00357A59" w:rsidP="00357A59">
      <w:pPr>
        <w:tabs>
          <w:tab w:val="left" w:pos="1320"/>
        </w:tabs>
        <w:jc w:val="center"/>
        <w:rPr>
          <w:noProof/>
        </w:rPr>
      </w:pPr>
      <w:r>
        <w:rPr>
          <w:noProof/>
        </w:rPr>
        <w:drawing>
          <wp:inline distT="0" distB="0" distL="0" distR="0" wp14:anchorId="238A48C8" wp14:editId="59FF7468">
            <wp:extent cx="3019425" cy="1122405"/>
            <wp:effectExtent l="0" t="0" r="0" b="1905"/>
            <wp:docPr id="3624730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73041" name="Imagen 362473041"/>
                    <pic:cNvPicPr/>
                  </pic:nvPicPr>
                  <pic:blipFill>
                    <a:blip r:embed="rId19">
                      <a:extLst>
                        <a:ext uri="{28A0092B-C50C-407E-A947-70E740481C1C}">
                          <a14:useLocalDpi xmlns:a14="http://schemas.microsoft.com/office/drawing/2010/main" val="0"/>
                        </a:ext>
                      </a:extLst>
                    </a:blip>
                    <a:stretch>
                      <a:fillRect/>
                    </a:stretch>
                  </pic:blipFill>
                  <pic:spPr>
                    <a:xfrm>
                      <a:off x="0" y="0"/>
                      <a:ext cx="3029629" cy="1126198"/>
                    </a:xfrm>
                    <a:prstGeom prst="rect">
                      <a:avLst/>
                    </a:prstGeom>
                  </pic:spPr>
                </pic:pic>
              </a:graphicData>
            </a:graphic>
          </wp:inline>
        </w:drawing>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85"/>
        <w:gridCol w:w="5925"/>
      </w:tblGrid>
      <w:tr w:rsidR="00F91C09" w14:paraId="339FC044" w14:textId="77777777">
        <w:trPr>
          <w:trHeight w:val="315"/>
        </w:trPr>
        <w:tc>
          <w:tcPr>
            <w:tcW w:w="1185" w:type="dxa"/>
            <w:tcBorders>
              <w:top w:val="nil"/>
              <w:left w:val="nil"/>
              <w:bottom w:val="nil"/>
              <w:right w:val="nil"/>
            </w:tcBorders>
            <w:tcMar>
              <w:left w:w="105" w:type="dxa"/>
              <w:right w:w="105" w:type="dxa"/>
            </w:tcMar>
            <w:vAlign w:val="center"/>
          </w:tcPr>
          <w:p w14:paraId="04FF0F1F" w14:textId="61CC0FB0" w:rsidR="00F91C09" w:rsidRDefault="00F91C09">
            <w:pPr>
              <w:rPr>
                <w:rFonts w:ascii="Verdana" w:eastAsia="Verdana" w:hAnsi="Verdana" w:cs="Verdana"/>
                <w:sz w:val="16"/>
                <w:szCs w:val="16"/>
              </w:rPr>
            </w:pPr>
            <w:r w:rsidRPr="3F869DD7">
              <w:rPr>
                <w:rFonts w:ascii="Verdana" w:eastAsia="Verdana" w:hAnsi="Verdana" w:cs="Verdana"/>
                <w:sz w:val="16"/>
                <w:szCs w:val="16"/>
              </w:rPr>
              <w:t>Elabor</w:t>
            </w:r>
            <w:r w:rsidR="003E49B4">
              <w:rPr>
                <w:rFonts w:ascii="Verdana" w:eastAsia="Verdana" w:hAnsi="Verdana" w:cs="Verdana"/>
                <w:sz w:val="16"/>
                <w:szCs w:val="16"/>
              </w:rPr>
              <w:t>o</w:t>
            </w:r>
            <w:r w:rsidRPr="3F869DD7">
              <w:rPr>
                <w:rFonts w:ascii="Verdana" w:eastAsia="Verdana" w:hAnsi="Verdana" w:cs="Verdana"/>
                <w:sz w:val="16"/>
                <w:szCs w:val="16"/>
              </w:rPr>
              <w:t>:</w:t>
            </w:r>
          </w:p>
        </w:tc>
        <w:tc>
          <w:tcPr>
            <w:tcW w:w="5925" w:type="dxa"/>
            <w:tcBorders>
              <w:top w:val="nil"/>
              <w:left w:val="nil"/>
              <w:bottom w:val="dotted" w:sz="4" w:space="0" w:color="7F7F7F" w:themeColor="text1" w:themeTint="80"/>
              <w:right w:val="nil"/>
            </w:tcBorders>
            <w:tcMar>
              <w:left w:w="105" w:type="dxa"/>
              <w:right w:w="105" w:type="dxa"/>
            </w:tcMar>
            <w:vAlign w:val="center"/>
          </w:tcPr>
          <w:p w14:paraId="47F3DDA5" w14:textId="0DF8498E" w:rsidR="00F91C09" w:rsidRDefault="00F91C09">
            <w:pPr>
              <w:rPr>
                <w:rFonts w:ascii="Verdana" w:eastAsia="Times New Roman" w:hAnsi="Verdana" w:cs="Segoe UI"/>
                <w:color w:val="000000" w:themeColor="text1"/>
                <w:sz w:val="16"/>
                <w:szCs w:val="16"/>
                <w:lang w:eastAsia="es-ES"/>
              </w:rPr>
            </w:pPr>
            <w:r w:rsidRPr="3F869DD7">
              <w:rPr>
                <w:rFonts w:ascii="Verdana" w:eastAsia="Arial" w:hAnsi="Verdana" w:cs="Arial"/>
                <w:color w:val="000000" w:themeColor="text1"/>
                <w:sz w:val="16"/>
                <w:szCs w:val="16"/>
                <w:lang w:val="es-ES"/>
              </w:rPr>
              <w:t>Denis Andrea Cárdenas Hernández</w:t>
            </w:r>
          </w:p>
          <w:p w14:paraId="1221BEC1" w14:textId="2F87CABF" w:rsidR="00AE4414" w:rsidRPr="00AE4414" w:rsidRDefault="00F91C09">
            <w:pPr>
              <w:rPr>
                <w:rFonts w:ascii="Verdana" w:eastAsia="Arial" w:hAnsi="Verdana" w:cs="Arial"/>
                <w:color w:val="000000" w:themeColor="text1"/>
                <w:sz w:val="16"/>
                <w:szCs w:val="16"/>
                <w:lang w:val="es-ES"/>
              </w:rPr>
            </w:pPr>
            <w:r w:rsidRPr="3F869DD7">
              <w:rPr>
                <w:rFonts w:ascii="Verdana" w:eastAsia="Arial" w:hAnsi="Verdana" w:cs="Arial"/>
                <w:color w:val="000000" w:themeColor="text1"/>
                <w:sz w:val="16"/>
                <w:szCs w:val="16"/>
                <w:lang w:val="es-ES"/>
              </w:rPr>
              <w:t>Analista T2-01 de la Subdirección de Gestión Contractual</w:t>
            </w:r>
          </w:p>
        </w:tc>
      </w:tr>
      <w:tr w:rsidR="00F91C09" w14:paraId="5F55BF56" w14:textId="77777777">
        <w:trPr>
          <w:trHeight w:val="315"/>
        </w:trPr>
        <w:tc>
          <w:tcPr>
            <w:tcW w:w="1185" w:type="dxa"/>
            <w:tcBorders>
              <w:top w:val="nil"/>
              <w:left w:val="nil"/>
              <w:bottom w:val="nil"/>
              <w:right w:val="nil"/>
            </w:tcBorders>
            <w:tcMar>
              <w:left w:w="105" w:type="dxa"/>
              <w:right w:w="105" w:type="dxa"/>
            </w:tcMar>
            <w:vAlign w:val="center"/>
          </w:tcPr>
          <w:p w14:paraId="129FB57E" w14:textId="77777777" w:rsidR="00F91C09" w:rsidRDefault="00F91C09">
            <w:pPr>
              <w:rPr>
                <w:rFonts w:ascii="Verdana" w:eastAsia="Verdana" w:hAnsi="Verdana" w:cs="Verdana"/>
                <w:sz w:val="16"/>
                <w:szCs w:val="16"/>
              </w:rPr>
            </w:pPr>
            <w:r w:rsidRPr="3F869DD7">
              <w:rPr>
                <w:rFonts w:ascii="Verdana" w:eastAsia="Verdana" w:hAnsi="Verdana" w:cs="Verdana"/>
                <w:sz w:val="16"/>
                <w:szCs w:val="16"/>
              </w:rPr>
              <w:t>Revisó: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14024C83" w14:textId="2617841A" w:rsidR="00F91C09" w:rsidRDefault="00AD5B1D">
            <w:pPr>
              <w:rPr>
                <w:rFonts w:ascii="Verdana" w:eastAsia="Verdana" w:hAnsi="Verdana" w:cs="Verdana"/>
                <w:sz w:val="16"/>
                <w:szCs w:val="16"/>
              </w:rPr>
            </w:pPr>
            <w:r>
              <w:rPr>
                <w:rFonts w:ascii="Verdana" w:eastAsia="Verdana" w:hAnsi="Verdana" w:cs="Verdana"/>
                <w:sz w:val="16"/>
                <w:szCs w:val="16"/>
              </w:rPr>
              <w:t>Adriana Katherine López Rodríguez</w:t>
            </w:r>
          </w:p>
          <w:p w14:paraId="373DF7BC" w14:textId="77777777" w:rsidR="00F91C09" w:rsidRDefault="00F91C09">
            <w:pPr>
              <w:rPr>
                <w:rFonts w:ascii="Verdana" w:eastAsia="Verdana" w:hAnsi="Verdana" w:cs="Verdana"/>
                <w:sz w:val="16"/>
                <w:szCs w:val="16"/>
              </w:rPr>
            </w:pPr>
            <w:r w:rsidRPr="3F869DD7">
              <w:rPr>
                <w:rFonts w:ascii="Verdana" w:eastAsia="Verdana" w:hAnsi="Verdana" w:cs="Verdana"/>
                <w:sz w:val="16"/>
                <w:szCs w:val="16"/>
              </w:rPr>
              <w:t>Contratista de la Subdirección de Gestión Contractual</w:t>
            </w:r>
          </w:p>
        </w:tc>
      </w:tr>
      <w:tr w:rsidR="00F91C09" w14:paraId="54DAC05C" w14:textId="77777777">
        <w:trPr>
          <w:trHeight w:val="300"/>
        </w:trPr>
        <w:tc>
          <w:tcPr>
            <w:tcW w:w="1185" w:type="dxa"/>
            <w:tcBorders>
              <w:top w:val="nil"/>
              <w:left w:val="nil"/>
              <w:bottom w:val="nil"/>
              <w:right w:val="nil"/>
            </w:tcBorders>
            <w:tcMar>
              <w:left w:w="105" w:type="dxa"/>
              <w:right w:w="105" w:type="dxa"/>
            </w:tcMar>
            <w:vAlign w:val="center"/>
          </w:tcPr>
          <w:p w14:paraId="779A307D" w14:textId="77777777" w:rsidR="00F91C09" w:rsidRDefault="00F91C09">
            <w:pPr>
              <w:rPr>
                <w:rFonts w:ascii="Verdana" w:eastAsia="Verdana" w:hAnsi="Verdana" w:cs="Verdana"/>
                <w:sz w:val="16"/>
                <w:szCs w:val="16"/>
              </w:rPr>
            </w:pPr>
            <w:r w:rsidRPr="3F869DD7">
              <w:rPr>
                <w:rFonts w:ascii="Verdana" w:eastAsia="Verdana" w:hAnsi="Verdana" w:cs="Verdana"/>
                <w:sz w:val="16"/>
                <w:szCs w:val="16"/>
              </w:rPr>
              <w:t>Aprobó:</w:t>
            </w:r>
          </w:p>
        </w:tc>
        <w:tc>
          <w:tcPr>
            <w:tcW w:w="5925" w:type="dxa"/>
            <w:tcBorders>
              <w:top w:val="dotted" w:sz="4" w:space="0" w:color="7F7F7F" w:themeColor="text1" w:themeTint="80"/>
              <w:left w:val="nil"/>
              <w:bottom w:val="dotted" w:sz="4" w:space="0" w:color="7F7F7F" w:themeColor="text1" w:themeTint="80"/>
              <w:right w:val="nil"/>
            </w:tcBorders>
            <w:tcMar>
              <w:left w:w="105" w:type="dxa"/>
              <w:right w:w="105" w:type="dxa"/>
            </w:tcMar>
            <w:vAlign w:val="center"/>
          </w:tcPr>
          <w:p w14:paraId="71431AFA" w14:textId="77777777" w:rsidR="00F91C09" w:rsidRDefault="00F91C09">
            <w:pPr>
              <w:rPr>
                <w:rFonts w:ascii="Verdana" w:eastAsia="Verdana" w:hAnsi="Verdana" w:cs="Verdana"/>
                <w:sz w:val="16"/>
                <w:szCs w:val="16"/>
              </w:rPr>
            </w:pPr>
            <w:r w:rsidRPr="3F869DD7">
              <w:rPr>
                <w:rFonts w:ascii="Verdana" w:eastAsia="Verdana" w:hAnsi="Verdana" w:cs="Verdana"/>
                <w:sz w:val="16"/>
                <w:szCs w:val="16"/>
              </w:rPr>
              <w:t>Carolina Quintero Gacharná</w:t>
            </w:r>
          </w:p>
          <w:p w14:paraId="366ED47E" w14:textId="77777777" w:rsidR="00F91C09" w:rsidRDefault="00F91C09">
            <w:pPr>
              <w:rPr>
                <w:rFonts w:ascii="Verdana" w:eastAsia="Verdana" w:hAnsi="Verdana" w:cs="Verdana"/>
                <w:sz w:val="16"/>
                <w:szCs w:val="16"/>
              </w:rPr>
            </w:pPr>
            <w:r w:rsidRPr="3F869DD7">
              <w:rPr>
                <w:rFonts w:ascii="Verdana" w:eastAsia="Verdana" w:hAnsi="Verdana" w:cs="Verdana"/>
                <w:sz w:val="16"/>
                <w:szCs w:val="16"/>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5BFED196" w14:textId="77777777" w:rsidR="00357A59" w:rsidRDefault="00357A59" w:rsidP="00136798">
      <w:pPr>
        <w:spacing w:after="0" w:line="240" w:lineRule="auto"/>
        <w:textAlignment w:val="baseline"/>
        <w:rPr>
          <w:noProof/>
        </w:rPr>
      </w:pPr>
    </w:p>
    <w:p w14:paraId="01E5731D" w14:textId="77777777" w:rsidR="00357A59" w:rsidRDefault="00357A59" w:rsidP="00136798">
      <w:pPr>
        <w:spacing w:after="0" w:line="240" w:lineRule="auto"/>
        <w:textAlignment w:val="baseline"/>
        <w:rPr>
          <w:noProof/>
        </w:rPr>
      </w:pPr>
    </w:p>
    <w:p w14:paraId="0F293BF4" w14:textId="5A7DC6F2" w:rsidR="00127233" w:rsidRPr="0015699B" w:rsidRDefault="00C15139" w:rsidP="0013679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127233" w:rsidRPr="0015699B"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D4FA" w14:textId="77777777" w:rsidR="0097672C" w:rsidRDefault="0097672C" w:rsidP="004A1847">
      <w:pPr>
        <w:spacing w:after="0" w:line="240" w:lineRule="auto"/>
      </w:pPr>
      <w:r>
        <w:separator/>
      </w:r>
    </w:p>
  </w:endnote>
  <w:endnote w:type="continuationSeparator" w:id="0">
    <w:p w14:paraId="6978DF09" w14:textId="77777777" w:rsidR="0097672C" w:rsidRDefault="0097672C" w:rsidP="004A1847">
      <w:pPr>
        <w:spacing w:after="0" w:line="240" w:lineRule="auto"/>
      </w:pPr>
      <w:r>
        <w:continuationSeparator/>
      </w:r>
    </w:p>
  </w:endnote>
  <w:endnote w:type="continuationNotice" w:id="1">
    <w:p w14:paraId="78C5BCCC" w14:textId="77777777" w:rsidR="0097672C" w:rsidRDefault="009767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D25A" w14:textId="77777777" w:rsidR="0097672C" w:rsidRDefault="0097672C" w:rsidP="004A1847">
      <w:pPr>
        <w:spacing w:after="0" w:line="240" w:lineRule="auto"/>
      </w:pPr>
      <w:r>
        <w:separator/>
      </w:r>
    </w:p>
  </w:footnote>
  <w:footnote w:type="continuationSeparator" w:id="0">
    <w:p w14:paraId="22EC7877" w14:textId="77777777" w:rsidR="0097672C" w:rsidRDefault="0097672C" w:rsidP="004A1847">
      <w:pPr>
        <w:spacing w:after="0" w:line="240" w:lineRule="auto"/>
      </w:pPr>
      <w:r>
        <w:continuationSeparator/>
      </w:r>
    </w:p>
  </w:footnote>
  <w:footnote w:type="continuationNotice" w:id="1">
    <w:p w14:paraId="091E49FC" w14:textId="77777777" w:rsidR="0097672C" w:rsidRDefault="0097672C">
      <w:pPr>
        <w:spacing w:after="0" w:line="240" w:lineRule="auto"/>
      </w:pPr>
    </w:p>
  </w:footnote>
  <w:footnote w:id="2">
    <w:p w14:paraId="5756BDBE" w14:textId="086D5066" w:rsidR="00CB1584" w:rsidRPr="00CB1584" w:rsidRDefault="00CB1584" w:rsidP="00CB1584">
      <w:pPr>
        <w:pStyle w:val="Textonotapie"/>
        <w:jc w:val="both"/>
      </w:pPr>
      <w:r>
        <w:rPr>
          <w:rStyle w:val="Refdenotaalpie"/>
        </w:rPr>
        <w:footnoteRef/>
      </w:r>
      <w:r>
        <w:t xml:space="preserve"> </w:t>
      </w:r>
      <w:r w:rsidRPr="00CB1584">
        <w:rPr>
          <w:rFonts w:ascii="Verdana" w:hAnsi="Verdana"/>
          <w:sz w:val="18"/>
          <w:szCs w:val="18"/>
          <w:lang w:val="es-CO"/>
        </w:rPr>
        <w:t>Numeral 1.17 "Normas de interpretación del pliego de condiciones", Documentos Tipo para la contratación de infraestructura social mediante licitación pública, versión 2, adoptados mediante la Resolución 0229 de 17 de marzo de 2026.</w:t>
      </w:r>
    </w:p>
  </w:footnote>
  <w:footnote w:id="3">
    <w:p w14:paraId="4A4DB0BE" w14:textId="77777777" w:rsidR="00522E18" w:rsidRPr="00B51C5C" w:rsidRDefault="00522E18" w:rsidP="00522E18">
      <w:pPr>
        <w:pStyle w:val="Textonotapie"/>
        <w:ind w:firstLine="708"/>
        <w:jc w:val="both"/>
        <w:rPr>
          <w:rFonts w:ascii="Verdana" w:hAnsi="Verdana" w:cs="Arial"/>
          <w:color w:val="000000"/>
          <w:sz w:val="18"/>
          <w:szCs w:val="18"/>
          <w:lang w:val="es-CO"/>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rPr>
        <w:t xml:space="preserve"> </w:t>
      </w:r>
      <w:r w:rsidRPr="00B51C5C">
        <w:rPr>
          <w:rFonts w:ascii="Verdana" w:hAnsi="Verdana" w:cs="Arial"/>
          <w:color w:val="000000"/>
          <w:sz w:val="18"/>
          <w:szCs w:val="18"/>
          <w:lang w:val="es-CO"/>
        </w:rPr>
        <w:t xml:space="preserve">Real Academia Española de la Lengua. Diccionario de la Lengua Española. Edición Tricentenario. Disponible en: </w:t>
      </w:r>
      <w:hyperlink r:id="rId1" w:history="1">
        <w:r w:rsidRPr="00B51C5C">
          <w:rPr>
            <w:rStyle w:val="Hipervnculo"/>
            <w:rFonts w:ascii="Verdana" w:hAnsi="Verdana" w:cs="Arial"/>
            <w:color w:val="000000"/>
            <w:sz w:val="18"/>
            <w:szCs w:val="18"/>
          </w:rPr>
          <w:t>https://dle.rae.es/h%C3%A1bil</w:t>
        </w:r>
      </w:hyperlink>
      <w:r w:rsidRPr="00B51C5C">
        <w:rPr>
          <w:rFonts w:ascii="Verdana" w:hAnsi="Verdana" w:cs="Arial"/>
          <w:color w:val="000000"/>
          <w:sz w:val="18"/>
          <w:szCs w:val="18"/>
          <w:lang w:val="es-CO"/>
        </w:rPr>
        <w:t xml:space="preserve"> </w:t>
      </w:r>
    </w:p>
    <w:p w14:paraId="21824171" w14:textId="77777777" w:rsidR="00522E18" w:rsidRPr="00B51C5C" w:rsidRDefault="00522E18" w:rsidP="00522E18">
      <w:pPr>
        <w:pStyle w:val="Textonotapie"/>
        <w:ind w:firstLine="708"/>
        <w:jc w:val="both"/>
        <w:rPr>
          <w:rFonts w:ascii="Verdana" w:hAnsi="Verdana" w:cs="Arial"/>
          <w:color w:val="000000"/>
          <w:sz w:val="18"/>
          <w:szCs w:val="18"/>
          <w:lang w:val="es-CO"/>
        </w:rPr>
      </w:pPr>
    </w:p>
  </w:footnote>
  <w:footnote w:id="4">
    <w:p w14:paraId="19C4DB84" w14:textId="77777777" w:rsidR="007D15D5" w:rsidRPr="00B51C5C" w:rsidRDefault="007D15D5" w:rsidP="007D15D5">
      <w:pPr>
        <w:pStyle w:val="Textonotapie"/>
        <w:ind w:firstLine="708"/>
        <w:jc w:val="both"/>
        <w:rPr>
          <w:rFonts w:ascii="Verdana" w:hAnsi="Verdana" w:cs="Arial"/>
          <w:color w:val="000000"/>
          <w:sz w:val="18"/>
          <w:szCs w:val="18"/>
          <w:lang w:val="es-CO"/>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rPr>
        <w:t xml:space="preserve"> MARÍN CORTÉS, Fabián G. Derecho de petición y procedimiento administrativo. 1</w:t>
      </w:r>
      <w:r w:rsidRPr="00B51C5C">
        <w:rPr>
          <w:rFonts w:ascii="Verdana" w:hAnsi="Verdana" w:cs="Arial"/>
          <w:color w:val="000000"/>
          <w:sz w:val="18"/>
          <w:szCs w:val="18"/>
          <w:u w:val="single"/>
          <w:vertAlign w:val="superscript"/>
        </w:rPr>
        <w:t>a</w:t>
      </w:r>
      <w:r w:rsidRPr="00B51C5C">
        <w:rPr>
          <w:rFonts w:ascii="Verdana" w:hAnsi="Verdana" w:cs="Arial"/>
          <w:color w:val="000000"/>
          <w:sz w:val="18"/>
          <w:szCs w:val="18"/>
        </w:rPr>
        <w:t xml:space="preserve"> ed. Medellín: Librería Jurídica Sánchez R Ltda y Centro de Estudios de Derecho Administrativo, 2017. p. 417. </w:t>
      </w:r>
    </w:p>
  </w:footnote>
  <w:footnote w:id="5">
    <w:p w14:paraId="4B2850F9" w14:textId="77777777" w:rsidR="007D5EB8" w:rsidRPr="001E2DE2" w:rsidRDefault="007D5EB8" w:rsidP="007D5EB8">
      <w:pPr>
        <w:pStyle w:val="Textonotapie"/>
        <w:ind w:firstLine="708"/>
        <w:jc w:val="both"/>
        <w:rPr>
          <w:rFonts w:ascii="Verdana" w:hAnsi="Verdana" w:cs="Arial"/>
          <w:color w:val="000000"/>
          <w:sz w:val="18"/>
          <w:szCs w:val="18"/>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rPr>
        <w:t xml:space="preserve"> </w:t>
      </w:r>
      <w:r w:rsidRPr="00B51C5C">
        <w:rPr>
          <w:rFonts w:ascii="Verdana" w:hAnsi="Verdana" w:cs="Arial"/>
          <w:color w:val="000000"/>
          <w:sz w:val="18"/>
          <w:szCs w:val="18"/>
          <w:lang w:val="es-CO"/>
        </w:rPr>
        <w:t>C</w:t>
      </w:r>
      <w:r>
        <w:rPr>
          <w:rFonts w:ascii="Verdana" w:hAnsi="Verdana" w:cs="Arial"/>
          <w:color w:val="000000"/>
          <w:sz w:val="18"/>
          <w:szCs w:val="18"/>
          <w:lang w:val="es-CO"/>
        </w:rPr>
        <w:t>ONSEJO DE ESTADO</w:t>
      </w:r>
      <w:r w:rsidRPr="00B51C5C">
        <w:rPr>
          <w:rFonts w:ascii="Verdana" w:hAnsi="Verdana" w:cs="Arial"/>
          <w:color w:val="000000"/>
          <w:sz w:val="18"/>
          <w:szCs w:val="18"/>
          <w:lang w:val="es-CO"/>
        </w:rPr>
        <w:t xml:space="preserve">. </w:t>
      </w:r>
      <w:r w:rsidRPr="00B51C5C">
        <w:rPr>
          <w:rFonts w:ascii="Verdana" w:hAnsi="Verdana" w:cs="Arial"/>
          <w:color w:val="000000"/>
          <w:sz w:val="18"/>
          <w:szCs w:val="18"/>
        </w:rPr>
        <w:t xml:space="preserve">Sala Plena de lo Contencioso Administrativo. Sentencia del 12 de abril de 1978. C.P. Carlos Portocarrero Mutis. </w:t>
      </w:r>
      <w:proofErr w:type="spellStart"/>
      <w:r w:rsidRPr="00B51C5C">
        <w:rPr>
          <w:rFonts w:ascii="Verdana" w:hAnsi="Verdana" w:cs="Arial"/>
          <w:color w:val="000000"/>
          <w:sz w:val="18"/>
          <w:szCs w:val="18"/>
        </w:rPr>
        <w:t>Exp</w:t>
      </w:r>
      <w:proofErr w:type="spellEnd"/>
      <w:r w:rsidRPr="00B51C5C">
        <w:rPr>
          <w:rFonts w:ascii="Verdana" w:hAnsi="Verdana" w:cs="Arial"/>
          <w:color w:val="000000"/>
          <w:sz w:val="18"/>
          <w:szCs w:val="18"/>
        </w:rPr>
        <w:t>. 355.</w:t>
      </w:r>
    </w:p>
  </w:footnote>
  <w:footnote w:id="6">
    <w:p w14:paraId="64B745D5" w14:textId="77777777" w:rsidR="007D5EB8" w:rsidRPr="00B51C5C" w:rsidRDefault="007D5EB8" w:rsidP="007D5EB8">
      <w:pPr>
        <w:pStyle w:val="Textonotapie"/>
        <w:ind w:firstLine="708"/>
        <w:jc w:val="both"/>
        <w:rPr>
          <w:rFonts w:ascii="Verdana" w:hAnsi="Verdana" w:cs="Arial"/>
          <w:color w:val="000000"/>
          <w:sz w:val="18"/>
          <w:szCs w:val="18"/>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rPr>
        <w:t xml:space="preserve"> C</w:t>
      </w:r>
      <w:r>
        <w:rPr>
          <w:rFonts w:ascii="Verdana" w:hAnsi="Verdana" w:cs="Arial"/>
          <w:color w:val="000000"/>
          <w:sz w:val="18"/>
          <w:szCs w:val="18"/>
        </w:rPr>
        <w:t>ONSEJO DE ESTADO</w:t>
      </w:r>
      <w:r w:rsidRPr="00B51C5C">
        <w:rPr>
          <w:rFonts w:ascii="Verdana" w:hAnsi="Verdana" w:cs="Arial"/>
          <w:color w:val="000000"/>
          <w:sz w:val="18"/>
          <w:szCs w:val="18"/>
        </w:rPr>
        <w:t>. Sección Cuarta. Auto del 26 de febrero de 1983.</w:t>
      </w:r>
    </w:p>
    <w:p w14:paraId="65FEF35D" w14:textId="77777777" w:rsidR="007D5EB8" w:rsidRPr="00B51C5C" w:rsidRDefault="007D5EB8" w:rsidP="007D5EB8">
      <w:pPr>
        <w:pStyle w:val="Textonotapie"/>
        <w:ind w:firstLine="708"/>
        <w:jc w:val="both"/>
        <w:rPr>
          <w:rFonts w:ascii="Verdana" w:hAnsi="Verdana" w:cs="Arial"/>
          <w:color w:val="000000"/>
          <w:sz w:val="18"/>
          <w:szCs w:val="18"/>
          <w:lang w:val="es-CO"/>
        </w:rPr>
      </w:pPr>
    </w:p>
  </w:footnote>
  <w:footnote w:id="7">
    <w:p w14:paraId="00CB21B6" w14:textId="77777777" w:rsidR="007D5EB8" w:rsidRPr="00B51C5C" w:rsidRDefault="007D5EB8" w:rsidP="007D5EB8">
      <w:pPr>
        <w:pStyle w:val="Textonotapie"/>
        <w:ind w:firstLine="708"/>
        <w:jc w:val="both"/>
        <w:rPr>
          <w:rFonts w:ascii="Verdana" w:hAnsi="Verdana" w:cs="Arial"/>
          <w:color w:val="000000"/>
          <w:sz w:val="18"/>
          <w:szCs w:val="18"/>
        </w:rPr>
      </w:pPr>
      <w:r w:rsidRPr="00B51C5C">
        <w:rPr>
          <w:rStyle w:val="Refdenotaalpie"/>
          <w:rFonts w:ascii="Verdana" w:hAnsi="Verdana"/>
          <w:sz w:val="18"/>
          <w:szCs w:val="18"/>
        </w:rPr>
        <w:footnoteRef/>
      </w:r>
      <w:r w:rsidRPr="00B51C5C">
        <w:rPr>
          <w:rFonts w:ascii="Verdana" w:hAnsi="Verdana"/>
          <w:sz w:val="18"/>
          <w:szCs w:val="18"/>
        </w:rPr>
        <w:t xml:space="preserve"> </w:t>
      </w:r>
      <w:r w:rsidRPr="00B51C5C">
        <w:rPr>
          <w:rFonts w:ascii="Verdana" w:hAnsi="Verdana" w:cs="Arial"/>
          <w:color w:val="000000"/>
          <w:sz w:val="18"/>
          <w:szCs w:val="18"/>
        </w:rPr>
        <w:t>CONSEJO DE ESTADO. Sala de lo Contencioso Administrativo. Sección Cuarta. Consejero Ponente: Enrique Low Murtra. Referencia: Radicación No. 10.174. Apelación del auto del tribunal de Caldas sobre impuestos de renta por el año de 1978. Bogotá, 29 de abril de 1983.</w:t>
      </w:r>
    </w:p>
    <w:p w14:paraId="0BD8FE50" w14:textId="77777777" w:rsidR="007D5EB8" w:rsidRPr="00B51C5C" w:rsidRDefault="007D5EB8" w:rsidP="007D5EB8">
      <w:pPr>
        <w:pStyle w:val="Textonotapie"/>
        <w:ind w:firstLine="708"/>
        <w:jc w:val="both"/>
        <w:rPr>
          <w:rFonts w:ascii="Verdana" w:hAnsi="Verdana"/>
          <w:sz w:val="18"/>
          <w:szCs w:val="18"/>
          <w:lang w:val="es-ES"/>
        </w:rPr>
      </w:pPr>
    </w:p>
  </w:footnote>
  <w:footnote w:id="8">
    <w:p w14:paraId="1EA10993" w14:textId="77777777" w:rsidR="007D5EB8" w:rsidRPr="00B51C5C" w:rsidRDefault="007D5EB8" w:rsidP="007D5EB8">
      <w:pPr>
        <w:pStyle w:val="Textonotapie"/>
        <w:ind w:firstLine="708"/>
        <w:jc w:val="both"/>
        <w:rPr>
          <w:rFonts w:ascii="Verdana" w:hAnsi="Verdana"/>
          <w:sz w:val="18"/>
          <w:szCs w:val="18"/>
          <w:lang w:val="es-CO"/>
        </w:rPr>
      </w:pPr>
      <w:r w:rsidRPr="00B51C5C">
        <w:rPr>
          <w:rStyle w:val="Refdenotaalpie"/>
          <w:rFonts w:ascii="Verdana" w:hAnsi="Verdana"/>
          <w:sz w:val="18"/>
          <w:szCs w:val="18"/>
        </w:rPr>
        <w:footnoteRef/>
      </w:r>
      <w:r w:rsidRPr="00B51C5C">
        <w:rPr>
          <w:rFonts w:ascii="Verdana" w:hAnsi="Verdana"/>
          <w:sz w:val="18"/>
          <w:szCs w:val="18"/>
        </w:rPr>
        <w:t xml:space="preserve"> </w:t>
      </w:r>
      <w:r w:rsidRPr="00B51C5C">
        <w:rPr>
          <w:rFonts w:ascii="Verdana" w:hAnsi="Verdana" w:cs="Arial"/>
          <w:color w:val="000000"/>
          <w:sz w:val="18"/>
          <w:szCs w:val="18"/>
        </w:rPr>
        <w:t>DEPARTAMENTO ADMINISTRATIVO DE LA FUNCIÓN PÚBLICA. Concepto con Rad. 20196000060051 del 27 de febrero de 2019.</w:t>
      </w:r>
      <w:r w:rsidRPr="00B51C5C">
        <w:rPr>
          <w:rFonts w:ascii="Verdana" w:eastAsia="Times New Roman" w:hAnsi="Verdana" w:cs="Arial"/>
          <w:sz w:val="18"/>
          <w:szCs w:val="18"/>
          <w:lang w:eastAsia="es-CO"/>
        </w:rPr>
        <w:t xml:space="preserve"> </w:t>
      </w:r>
    </w:p>
  </w:footnote>
  <w:footnote w:id="9">
    <w:p w14:paraId="22F90876" w14:textId="77777777" w:rsidR="007D5EB8" w:rsidRPr="00B51C5C" w:rsidRDefault="007D5EB8" w:rsidP="007D5EB8">
      <w:pPr>
        <w:pStyle w:val="Textonotapie"/>
        <w:ind w:firstLine="708"/>
        <w:jc w:val="both"/>
        <w:rPr>
          <w:rFonts w:ascii="Verdana" w:hAnsi="Verdana" w:cs="Arial"/>
          <w:color w:val="000000"/>
          <w:sz w:val="18"/>
          <w:szCs w:val="18"/>
          <w:lang w:val="es-CO"/>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rPr>
        <w:t xml:space="preserve"> MARÍN CORTÉS, Fabián G. Derecho de petición y procedimiento administrativo. 1</w:t>
      </w:r>
      <w:r w:rsidRPr="00B51C5C">
        <w:rPr>
          <w:rFonts w:ascii="Verdana" w:hAnsi="Verdana" w:cs="Arial"/>
          <w:color w:val="000000"/>
          <w:sz w:val="18"/>
          <w:szCs w:val="18"/>
          <w:u w:val="single"/>
          <w:vertAlign w:val="superscript"/>
        </w:rPr>
        <w:t>a</w:t>
      </w:r>
      <w:r w:rsidRPr="00B51C5C">
        <w:rPr>
          <w:rFonts w:ascii="Verdana" w:hAnsi="Verdana" w:cs="Arial"/>
          <w:color w:val="000000"/>
          <w:sz w:val="18"/>
          <w:szCs w:val="18"/>
        </w:rPr>
        <w:t xml:space="preserve"> ed. Medellín: Librería Jurídica Sánchez R Ltda y Centro de Estudios de Derecho Administrativo, 2017. p. 417.  </w:t>
      </w:r>
    </w:p>
  </w:footnote>
  <w:footnote w:id="10">
    <w:p w14:paraId="46C64D9A" w14:textId="77777777" w:rsidR="007D5EB8" w:rsidRPr="00B51C5C" w:rsidRDefault="007D5EB8" w:rsidP="007D5EB8">
      <w:pPr>
        <w:pStyle w:val="Textonotapie"/>
        <w:ind w:firstLine="708"/>
        <w:jc w:val="both"/>
        <w:rPr>
          <w:rFonts w:ascii="Verdana" w:hAnsi="Verdana" w:cs="Arial"/>
          <w:color w:val="000000"/>
          <w:sz w:val="18"/>
          <w:szCs w:val="18"/>
        </w:rPr>
      </w:pPr>
    </w:p>
    <w:p w14:paraId="409BEE04" w14:textId="77777777" w:rsidR="007D5EB8" w:rsidRPr="00B51C5C" w:rsidRDefault="007D5EB8" w:rsidP="007D5EB8">
      <w:pPr>
        <w:pStyle w:val="Textonotapie"/>
        <w:ind w:firstLine="708"/>
        <w:jc w:val="both"/>
        <w:rPr>
          <w:rFonts w:ascii="Verdana" w:hAnsi="Verdana" w:cs="Arial"/>
          <w:color w:val="000000"/>
          <w:sz w:val="18"/>
          <w:szCs w:val="18"/>
          <w:lang w:val="es-CO"/>
        </w:rPr>
      </w:pPr>
      <w:r w:rsidRPr="00B51C5C">
        <w:rPr>
          <w:rStyle w:val="Refdenotaalpie"/>
          <w:rFonts w:ascii="Verdana" w:hAnsi="Verdana" w:cs="Arial"/>
          <w:color w:val="000000"/>
          <w:sz w:val="18"/>
          <w:szCs w:val="18"/>
        </w:rPr>
        <w:footnoteRef/>
      </w:r>
      <w:r w:rsidRPr="00B51C5C">
        <w:rPr>
          <w:rFonts w:ascii="Verdana" w:hAnsi="Verdana" w:cs="Arial"/>
          <w:color w:val="000000"/>
          <w:sz w:val="18"/>
          <w:szCs w:val="18"/>
          <w:lang w:val="es-CO"/>
        </w:rPr>
        <w:t xml:space="preserve"> </w:t>
      </w:r>
      <w:r w:rsidRPr="00B51C5C">
        <w:rPr>
          <w:rFonts w:ascii="Verdana" w:hAnsi="Verdana" w:cs="Arial"/>
          <w:i/>
          <w:iCs/>
          <w:color w:val="000000"/>
          <w:sz w:val="18"/>
          <w:szCs w:val="18"/>
          <w:lang w:val="es-CO"/>
        </w:rPr>
        <w:t>Ibidem.</w:t>
      </w:r>
      <w:r w:rsidRPr="00B51C5C">
        <w:rPr>
          <w:rFonts w:ascii="Verdana" w:hAnsi="Verdana" w:cs="Arial"/>
          <w:color w:val="000000"/>
          <w:sz w:val="18"/>
          <w:szCs w:val="18"/>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65pt" o:bullet="t">
        <v:imagedata r:id="rId1" o:title="mso1B13"/>
      </v:shape>
    </w:pict>
  </w:numPicBullet>
  <w:abstractNum w:abstractNumId="0" w15:restartNumberingAfterBreak="0">
    <w:nsid w:val="FFFFFF89"/>
    <w:multiLevelType w:val="singleLevel"/>
    <w:tmpl w:val="DEF62E6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C06310"/>
    <w:multiLevelType w:val="multilevel"/>
    <w:tmpl w:val="9B2EAF2E"/>
    <w:lvl w:ilvl="0">
      <w:start w:val="1"/>
      <w:numFmt w:val="decimal"/>
      <w:lvlText w:val="%1."/>
      <w:lvlJc w:val="left"/>
      <w:pPr>
        <w:ind w:left="360" w:hanging="360"/>
      </w:pPr>
      <w:rPr>
        <w:b/>
        <w:color w:val="auto"/>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990BE6"/>
    <w:multiLevelType w:val="hybridMultilevel"/>
    <w:tmpl w:val="3C8C3E6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CE3728"/>
    <w:multiLevelType w:val="hybridMultilevel"/>
    <w:tmpl w:val="CA3CF9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EE8E77B4"/>
    <w:lvl w:ilvl="0" w:tplc="C1D210D2">
      <w:start w:val="1"/>
      <w:numFmt w:val="bullet"/>
      <w:lvlText w:val=""/>
      <w:lvlJc w:val="left"/>
      <w:pPr>
        <w:ind w:left="720" w:hanging="360"/>
      </w:pPr>
      <w:rPr>
        <w:rFonts w:ascii="Symbol" w:hAnsi="Symbol" w:hint="default"/>
        <w:color w:val="auto"/>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3" w15:restartNumberingAfterBreak="0">
    <w:nsid w:val="3AD5452C"/>
    <w:multiLevelType w:val="hybridMultilevel"/>
    <w:tmpl w:val="08EA66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2C56E65"/>
    <w:multiLevelType w:val="hybridMultilevel"/>
    <w:tmpl w:val="DD661F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5F7799F"/>
    <w:multiLevelType w:val="hybridMultilevel"/>
    <w:tmpl w:val="1FB4ABB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9"/>
  </w:num>
  <w:num w:numId="2" w16cid:durableId="19822139">
    <w:abstractNumId w:val="4"/>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4"/>
  </w:num>
  <w:num w:numId="6" w16cid:durableId="316692925">
    <w:abstractNumId w:val="19"/>
  </w:num>
  <w:num w:numId="7" w16cid:durableId="1946422806">
    <w:abstractNumId w:val="8"/>
  </w:num>
  <w:num w:numId="8" w16cid:durableId="152644682">
    <w:abstractNumId w:val="18"/>
  </w:num>
  <w:num w:numId="9" w16cid:durableId="1317221377">
    <w:abstractNumId w:val="10"/>
  </w:num>
  <w:num w:numId="10" w16cid:durableId="1471245386">
    <w:abstractNumId w:val="17"/>
  </w:num>
  <w:num w:numId="11" w16cid:durableId="289172385">
    <w:abstractNumId w:val="11"/>
  </w:num>
  <w:num w:numId="12" w16cid:durableId="1470781324">
    <w:abstractNumId w:val="2"/>
  </w:num>
  <w:num w:numId="13" w16cid:durableId="1512908409">
    <w:abstractNumId w:val="6"/>
  </w:num>
  <w:num w:numId="14" w16cid:durableId="895897244">
    <w:abstractNumId w:val="20"/>
  </w:num>
  <w:num w:numId="15" w16cid:durableId="390349800">
    <w:abstractNumId w:val="15"/>
  </w:num>
  <w:num w:numId="16" w16cid:durableId="1699816028">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7985604">
    <w:abstractNumId w:val="12"/>
  </w:num>
  <w:num w:numId="18" w16cid:durableId="341274352">
    <w:abstractNumId w:val="1"/>
  </w:num>
  <w:num w:numId="19" w16cid:durableId="1484784106">
    <w:abstractNumId w:val="13"/>
  </w:num>
  <w:num w:numId="20" w16cid:durableId="735320529">
    <w:abstractNumId w:val="5"/>
  </w:num>
  <w:num w:numId="21" w16cid:durableId="131799784">
    <w:abstractNumId w:val="16"/>
  </w:num>
  <w:num w:numId="22" w16cid:durableId="107239892">
    <w:abstractNumId w:val="0"/>
  </w:num>
  <w:num w:numId="23" w16cid:durableId="97262429">
    <w:abstractNumId w:val="3"/>
  </w:num>
  <w:num w:numId="24" w16cid:durableId="1627405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B4B"/>
    <w:rsid w:val="00005714"/>
    <w:rsid w:val="0000758A"/>
    <w:rsid w:val="00007ABF"/>
    <w:rsid w:val="000113DB"/>
    <w:rsid w:val="00014A3C"/>
    <w:rsid w:val="00016F78"/>
    <w:rsid w:val="00017534"/>
    <w:rsid w:val="00022B18"/>
    <w:rsid w:val="000256CB"/>
    <w:rsid w:val="00025988"/>
    <w:rsid w:val="00027D66"/>
    <w:rsid w:val="00031182"/>
    <w:rsid w:val="00042D6A"/>
    <w:rsid w:val="00045FDE"/>
    <w:rsid w:val="00046945"/>
    <w:rsid w:val="0005113B"/>
    <w:rsid w:val="000514CC"/>
    <w:rsid w:val="000533D0"/>
    <w:rsid w:val="0005466F"/>
    <w:rsid w:val="000572F6"/>
    <w:rsid w:val="000574F8"/>
    <w:rsid w:val="000575FB"/>
    <w:rsid w:val="00057621"/>
    <w:rsid w:val="0006143C"/>
    <w:rsid w:val="00061B2A"/>
    <w:rsid w:val="000631AC"/>
    <w:rsid w:val="0006395C"/>
    <w:rsid w:val="00067251"/>
    <w:rsid w:val="000678B7"/>
    <w:rsid w:val="00070FDD"/>
    <w:rsid w:val="000712FA"/>
    <w:rsid w:val="00074858"/>
    <w:rsid w:val="0007700E"/>
    <w:rsid w:val="00082362"/>
    <w:rsid w:val="0008354C"/>
    <w:rsid w:val="000846F7"/>
    <w:rsid w:val="000854E9"/>
    <w:rsid w:val="00085A8B"/>
    <w:rsid w:val="00087B54"/>
    <w:rsid w:val="000910A2"/>
    <w:rsid w:val="00093DB1"/>
    <w:rsid w:val="000A0FAB"/>
    <w:rsid w:val="000A31EF"/>
    <w:rsid w:val="000A3475"/>
    <w:rsid w:val="000A683E"/>
    <w:rsid w:val="000B19B9"/>
    <w:rsid w:val="000B3493"/>
    <w:rsid w:val="000B6182"/>
    <w:rsid w:val="000B6B8F"/>
    <w:rsid w:val="000C108B"/>
    <w:rsid w:val="000C6DE8"/>
    <w:rsid w:val="000D003A"/>
    <w:rsid w:val="000D0247"/>
    <w:rsid w:val="000D0309"/>
    <w:rsid w:val="000D0334"/>
    <w:rsid w:val="000D1BA2"/>
    <w:rsid w:val="000D3E97"/>
    <w:rsid w:val="000D4E6C"/>
    <w:rsid w:val="000D5DA7"/>
    <w:rsid w:val="000D5EB1"/>
    <w:rsid w:val="000D6D10"/>
    <w:rsid w:val="000E167C"/>
    <w:rsid w:val="000E5873"/>
    <w:rsid w:val="000F223C"/>
    <w:rsid w:val="000F2CD3"/>
    <w:rsid w:val="000F6486"/>
    <w:rsid w:val="0010023F"/>
    <w:rsid w:val="0010521B"/>
    <w:rsid w:val="00116940"/>
    <w:rsid w:val="00116D0E"/>
    <w:rsid w:val="00123CE7"/>
    <w:rsid w:val="00125105"/>
    <w:rsid w:val="00127233"/>
    <w:rsid w:val="001275AA"/>
    <w:rsid w:val="00132382"/>
    <w:rsid w:val="001331D5"/>
    <w:rsid w:val="0013610C"/>
    <w:rsid w:val="00136798"/>
    <w:rsid w:val="001369BD"/>
    <w:rsid w:val="00137BF5"/>
    <w:rsid w:val="001423B1"/>
    <w:rsid w:val="00147D8D"/>
    <w:rsid w:val="00153DA6"/>
    <w:rsid w:val="00156428"/>
    <w:rsid w:val="0015699B"/>
    <w:rsid w:val="001572FA"/>
    <w:rsid w:val="00164930"/>
    <w:rsid w:val="001659D4"/>
    <w:rsid w:val="001667B3"/>
    <w:rsid w:val="0016734B"/>
    <w:rsid w:val="001730DE"/>
    <w:rsid w:val="00180A9D"/>
    <w:rsid w:val="00180EC2"/>
    <w:rsid w:val="001821A5"/>
    <w:rsid w:val="00183BEC"/>
    <w:rsid w:val="0018537B"/>
    <w:rsid w:val="00185F2F"/>
    <w:rsid w:val="001875A2"/>
    <w:rsid w:val="001904CC"/>
    <w:rsid w:val="001A12DA"/>
    <w:rsid w:val="001A1C68"/>
    <w:rsid w:val="001A33BF"/>
    <w:rsid w:val="001B00B1"/>
    <w:rsid w:val="001B04F0"/>
    <w:rsid w:val="001B7CEE"/>
    <w:rsid w:val="001B7DF9"/>
    <w:rsid w:val="001C4FB5"/>
    <w:rsid w:val="001D0923"/>
    <w:rsid w:val="001D3113"/>
    <w:rsid w:val="001D33B7"/>
    <w:rsid w:val="001D3D91"/>
    <w:rsid w:val="001E0D68"/>
    <w:rsid w:val="001E1682"/>
    <w:rsid w:val="001E20FD"/>
    <w:rsid w:val="001E2581"/>
    <w:rsid w:val="001E3145"/>
    <w:rsid w:val="001E4177"/>
    <w:rsid w:val="001E6619"/>
    <w:rsid w:val="001F0B24"/>
    <w:rsid w:val="001F1CCC"/>
    <w:rsid w:val="001F4222"/>
    <w:rsid w:val="001F7DC6"/>
    <w:rsid w:val="00201617"/>
    <w:rsid w:val="00201A0A"/>
    <w:rsid w:val="002020BF"/>
    <w:rsid w:val="00212E14"/>
    <w:rsid w:val="0022400B"/>
    <w:rsid w:val="002249AB"/>
    <w:rsid w:val="00230A86"/>
    <w:rsid w:val="00234349"/>
    <w:rsid w:val="00234739"/>
    <w:rsid w:val="00234A82"/>
    <w:rsid w:val="00241674"/>
    <w:rsid w:val="002421BB"/>
    <w:rsid w:val="002423E1"/>
    <w:rsid w:val="00247F0C"/>
    <w:rsid w:val="00251AC5"/>
    <w:rsid w:val="002540B6"/>
    <w:rsid w:val="0025545B"/>
    <w:rsid w:val="0025796E"/>
    <w:rsid w:val="00260FC9"/>
    <w:rsid w:val="00261C7D"/>
    <w:rsid w:val="002626F8"/>
    <w:rsid w:val="00262929"/>
    <w:rsid w:val="00264E35"/>
    <w:rsid w:val="002666CC"/>
    <w:rsid w:val="002707A2"/>
    <w:rsid w:val="00271125"/>
    <w:rsid w:val="00271652"/>
    <w:rsid w:val="00271675"/>
    <w:rsid w:val="00273891"/>
    <w:rsid w:val="002771DC"/>
    <w:rsid w:val="00286757"/>
    <w:rsid w:val="00287245"/>
    <w:rsid w:val="002902D7"/>
    <w:rsid w:val="002951A0"/>
    <w:rsid w:val="002952BF"/>
    <w:rsid w:val="0029573E"/>
    <w:rsid w:val="002962BC"/>
    <w:rsid w:val="002A093D"/>
    <w:rsid w:val="002A0DD0"/>
    <w:rsid w:val="002A18E6"/>
    <w:rsid w:val="002A19FB"/>
    <w:rsid w:val="002A4189"/>
    <w:rsid w:val="002A49AC"/>
    <w:rsid w:val="002A64FD"/>
    <w:rsid w:val="002B24C3"/>
    <w:rsid w:val="002B6983"/>
    <w:rsid w:val="002B7883"/>
    <w:rsid w:val="002B7F4D"/>
    <w:rsid w:val="002C0778"/>
    <w:rsid w:val="002C3AF7"/>
    <w:rsid w:val="002C7A84"/>
    <w:rsid w:val="002D2673"/>
    <w:rsid w:val="002D4624"/>
    <w:rsid w:val="002D5A09"/>
    <w:rsid w:val="002D6397"/>
    <w:rsid w:val="002D66BE"/>
    <w:rsid w:val="002E0551"/>
    <w:rsid w:val="002E2BF8"/>
    <w:rsid w:val="002E43EB"/>
    <w:rsid w:val="002E4CF6"/>
    <w:rsid w:val="002E4FD9"/>
    <w:rsid w:val="002E522F"/>
    <w:rsid w:val="002E5462"/>
    <w:rsid w:val="002E552C"/>
    <w:rsid w:val="002F29EF"/>
    <w:rsid w:val="002F5F96"/>
    <w:rsid w:val="00304195"/>
    <w:rsid w:val="003054AD"/>
    <w:rsid w:val="0030657A"/>
    <w:rsid w:val="00314CFE"/>
    <w:rsid w:val="003200FD"/>
    <w:rsid w:val="0032022F"/>
    <w:rsid w:val="00322A85"/>
    <w:rsid w:val="00324168"/>
    <w:rsid w:val="00324872"/>
    <w:rsid w:val="0032576D"/>
    <w:rsid w:val="00325837"/>
    <w:rsid w:val="003259BD"/>
    <w:rsid w:val="003307D6"/>
    <w:rsid w:val="00330834"/>
    <w:rsid w:val="00330A20"/>
    <w:rsid w:val="00332CF9"/>
    <w:rsid w:val="00333209"/>
    <w:rsid w:val="003370DE"/>
    <w:rsid w:val="0034022B"/>
    <w:rsid w:val="003448F4"/>
    <w:rsid w:val="00357A59"/>
    <w:rsid w:val="0036247C"/>
    <w:rsid w:val="0037400C"/>
    <w:rsid w:val="00374F5E"/>
    <w:rsid w:val="00375051"/>
    <w:rsid w:val="00377E3E"/>
    <w:rsid w:val="003857B2"/>
    <w:rsid w:val="003865DA"/>
    <w:rsid w:val="00395E15"/>
    <w:rsid w:val="003A200E"/>
    <w:rsid w:val="003A2AD5"/>
    <w:rsid w:val="003A5DBE"/>
    <w:rsid w:val="003A779E"/>
    <w:rsid w:val="003B3006"/>
    <w:rsid w:val="003B3BF3"/>
    <w:rsid w:val="003B77F6"/>
    <w:rsid w:val="003C0AC5"/>
    <w:rsid w:val="003D0F4D"/>
    <w:rsid w:val="003D5B0D"/>
    <w:rsid w:val="003E0021"/>
    <w:rsid w:val="003E0499"/>
    <w:rsid w:val="003E2171"/>
    <w:rsid w:val="003E49B4"/>
    <w:rsid w:val="003E4F80"/>
    <w:rsid w:val="003E5004"/>
    <w:rsid w:val="003E6439"/>
    <w:rsid w:val="003F356D"/>
    <w:rsid w:val="003F3941"/>
    <w:rsid w:val="00400F0B"/>
    <w:rsid w:val="00401260"/>
    <w:rsid w:val="00406575"/>
    <w:rsid w:val="00406BC3"/>
    <w:rsid w:val="004102A2"/>
    <w:rsid w:val="00410DA0"/>
    <w:rsid w:val="00412CF1"/>
    <w:rsid w:val="00414C74"/>
    <w:rsid w:val="00414E2D"/>
    <w:rsid w:val="00416115"/>
    <w:rsid w:val="0042408F"/>
    <w:rsid w:val="0042722E"/>
    <w:rsid w:val="004318AD"/>
    <w:rsid w:val="0044160D"/>
    <w:rsid w:val="0044528D"/>
    <w:rsid w:val="0045036A"/>
    <w:rsid w:val="00451EF0"/>
    <w:rsid w:val="0045501C"/>
    <w:rsid w:val="004566F4"/>
    <w:rsid w:val="00461933"/>
    <w:rsid w:val="00466815"/>
    <w:rsid w:val="00466E39"/>
    <w:rsid w:val="00472913"/>
    <w:rsid w:val="00476C65"/>
    <w:rsid w:val="00477161"/>
    <w:rsid w:val="00480BB5"/>
    <w:rsid w:val="0048460D"/>
    <w:rsid w:val="00492800"/>
    <w:rsid w:val="00494E9F"/>
    <w:rsid w:val="00496F35"/>
    <w:rsid w:val="00496FE7"/>
    <w:rsid w:val="0049751E"/>
    <w:rsid w:val="004A1847"/>
    <w:rsid w:val="004A305D"/>
    <w:rsid w:val="004B031A"/>
    <w:rsid w:val="004B1158"/>
    <w:rsid w:val="004B5511"/>
    <w:rsid w:val="004C7688"/>
    <w:rsid w:val="004D1267"/>
    <w:rsid w:val="004D428A"/>
    <w:rsid w:val="004E012D"/>
    <w:rsid w:val="004E49FA"/>
    <w:rsid w:val="004F21C4"/>
    <w:rsid w:val="004F3526"/>
    <w:rsid w:val="004F468F"/>
    <w:rsid w:val="004F685F"/>
    <w:rsid w:val="005011EE"/>
    <w:rsid w:val="00504F2B"/>
    <w:rsid w:val="00505574"/>
    <w:rsid w:val="005055D3"/>
    <w:rsid w:val="005058F2"/>
    <w:rsid w:val="005118B5"/>
    <w:rsid w:val="005135FB"/>
    <w:rsid w:val="00517033"/>
    <w:rsid w:val="005212C8"/>
    <w:rsid w:val="00522E18"/>
    <w:rsid w:val="005277C6"/>
    <w:rsid w:val="00543950"/>
    <w:rsid w:val="005467D9"/>
    <w:rsid w:val="00550B4C"/>
    <w:rsid w:val="00555D59"/>
    <w:rsid w:val="005566E8"/>
    <w:rsid w:val="00564F76"/>
    <w:rsid w:val="005663D4"/>
    <w:rsid w:val="00572556"/>
    <w:rsid w:val="005726AE"/>
    <w:rsid w:val="00574867"/>
    <w:rsid w:val="00574C4B"/>
    <w:rsid w:val="00585335"/>
    <w:rsid w:val="00590B07"/>
    <w:rsid w:val="00591460"/>
    <w:rsid w:val="005930D5"/>
    <w:rsid w:val="005946BC"/>
    <w:rsid w:val="00596553"/>
    <w:rsid w:val="005A2F79"/>
    <w:rsid w:val="005A6006"/>
    <w:rsid w:val="005A65E0"/>
    <w:rsid w:val="005B0C59"/>
    <w:rsid w:val="005B568F"/>
    <w:rsid w:val="005B5B12"/>
    <w:rsid w:val="005C2320"/>
    <w:rsid w:val="005C3777"/>
    <w:rsid w:val="005C5CDC"/>
    <w:rsid w:val="005D476C"/>
    <w:rsid w:val="005E4D7E"/>
    <w:rsid w:val="005E6A6D"/>
    <w:rsid w:val="005E6A8E"/>
    <w:rsid w:val="005F08A6"/>
    <w:rsid w:val="0060083B"/>
    <w:rsid w:val="00603F2E"/>
    <w:rsid w:val="00604A79"/>
    <w:rsid w:val="006070CD"/>
    <w:rsid w:val="00612121"/>
    <w:rsid w:val="006128C9"/>
    <w:rsid w:val="0061618E"/>
    <w:rsid w:val="0061731D"/>
    <w:rsid w:val="006200BF"/>
    <w:rsid w:val="006219F8"/>
    <w:rsid w:val="00627DFF"/>
    <w:rsid w:val="006302F7"/>
    <w:rsid w:val="00631355"/>
    <w:rsid w:val="00633F32"/>
    <w:rsid w:val="00640598"/>
    <w:rsid w:val="00640753"/>
    <w:rsid w:val="00641C00"/>
    <w:rsid w:val="00645583"/>
    <w:rsid w:val="006465FE"/>
    <w:rsid w:val="00646B9F"/>
    <w:rsid w:val="006504AC"/>
    <w:rsid w:val="00650BC1"/>
    <w:rsid w:val="006536F0"/>
    <w:rsid w:val="00657586"/>
    <w:rsid w:val="00665D70"/>
    <w:rsid w:val="00667126"/>
    <w:rsid w:val="006737BD"/>
    <w:rsid w:val="006764D2"/>
    <w:rsid w:val="006768CD"/>
    <w:rsid w:val="00681AAC"/>
    <w:rsid w:val="006851F9"/>
    <w:rsid w:val="006900D9"/>
    <w:rsid w:val="00690C0C"/>
    <w:rsid w:val="00692A59"/>
    <w:rsid w:val="0069332B"/>
    <w:rsid w:val="006A01FC"/>
    <w:rsid w:val="006A48C3"/>
    <w:rsid w:val="006B64FD"/>
    <w:rsid w:val="006C08C3"/>
    <w:rsid w:val="006C4025"/>
    <w:rsid w:val="006C40C7"/>
    <w:rsid w:val="006C48A9"/>
    <w:rsid w:val="006D6DBA"/>
    <w:rsid w:val="006E4D8D"/>
    <w:rsid w:val="006E58BB"/>
    <w:rsid w:val="006F0C5F"/>
    <w:rsid w:val="00700765"/>
    <w:rsid w:val="00702BD7"/>
    <w:rsid w:val="007045C4"/>
    <w:rsid w:val="00706C16"/>
    <w:rsid w:val="00706E9B"/>
    <w:rsid w:val="00714C68"/>
    <w:rsid w:val="007166D6"/>
    <w:rsid w:val="007174A0"/>
    <w:rsid w:val="00720405"/>
    <w:rsid w:val="00723D62"/>
    <w:rsid w:val="00725945"/>
    <w:rsid w:val="007260FB"/>
    <w:rsid w:val="00733659"/>
    <w:rsid w:val="00733B4B"/>
    <w:rsid w:val="007340C3"/>
    <w:rsid w:val="00737DDE"/>
    <w:rsid w:val="00741039"/>
    <w:rsid w:val="007468DC"/>
    <w:rsid w:val="007474C3"/>
    <w:rsid w:val="0075235A"/>
    <w:rsid w:val="00756841"/>
    <w:rsid w:val="00756BA9"/>
    <w:rsid w:val="00757B52"/>
    <w:rsid w:val="007649AB"/>
    <w:rsid w:val="00764E4F"/>
    <w:rsid w:val="00765BC5"/>
    <w:rsid w:val="00770023"/>
    <w:rsid w:val="007708D7"/>
    <w:rsid w:val="00771D0C"/>
    <w:rsid w:val="00774C67"/>
    <w:rsid w:val="00780A50"/>
    <w:rsid w:val="007833AC"/>
    <w:rsid w:val="00784140"/>
    <w:rsid w:val="007842A3"/>
    <w:rsid w:val="00790EF0"/>
    <w:rsid w:val="007A01B1"/>
    <w:rsid w:val="007A0260"/>
    <w:rsid w:val="007A5A6A"/>
    <w:rsid w:val="007B080E"/>
    <w:rsid w:val="007B268C"/>
    <w:rsid w:val="007B7171"/>
    <w:rsid w:val="007C0C0F"/>
    <w:rsid w:val="007C38BF"/>
    <w:rsid w:val="007C3DC2"/>
    <w:rsid w:val="007D06E2"/>
    <w:rsid w:val="007D15D5"/>
    <w:rsid w:val="007D2BA2"/>
    <w:rsid w:val="007D5EB8"/>
    <w:rsid w:val="007E2708"/>
    <w:rsid w:val="007E2F82"/>
    <w:rsid w:val="007E4CC7"/>
    <w:rsid w:val="007E5497"/>
    <w:rsid w:val="007E564B"/>
    <w:rsid w:val="007E5D95"/>
    <w:rsid w:val="007E7163"/>
    <w:rsid w:val="007F21AC"/>
    <w:rsid w:val="007F3DA4"/>
    <w:rsid w:val="007F50A4"/>
    <w:rsid w:val="00804578"/>
    <w:rsid w:val="0080503D"/>
    <w:rsid w:val="00806F5F"/>
    <w:rsid w:val="008071C7"/>
    <w:rsid w:val="00811498"/>
    <w:rsid w:val="00812116"/>
    <w:rsid w:val="00815808"/>
    <w:rsid w:val="00820278"/>
    <w:rsid w:val="008258C9"/>
    <w:rsid w:val="008307BF"/>
    <w:rsid w:val="0084019B"/>
    <w:rsid w:val="00840417"/>
    <w:rsid w:val="00843D59"/>
    <w:rsid w:val="008445AC"/>
    <w:rsid w:val="00844624"/>
    <w:rsid w:val="00844AE9"/>
    <w:rsid w:val="008512AB"/>
    <w:rsid w:val="00852890"/>
    <w:rsid w:val="0085413F"/>
    <w:rsid w:val="00862F4D"/>
    <w:rsid w:val="00864EF1"/>
    <w:rsid w:val="00867F95"/>
    <w:rsid w:val="0086CB03"/>
    <w:rsid w:val="00871DAD"/>
    <w:rsid w:val="00872AF7"/>
    <w:rsid w:val="00874E26"/>
    <w:rsid w:val="008807E8"/>
    <w:rsid w:val="008843B6"/>
    <w:rsid w:val="00887786"/>
    <w:rsid w:val="00891928"/>
    <w:rsid w:val="0089573C"/>
    <w:rsid w:val="008A1067"/>
    <w:rsid w:val="008A32EC"/>
    <w:rsid w:val="008A35F2"/>
    <w:rsid w:val="008A446D"/>
    <w:rsid w:val="008A676A"/>
    <w:rsid w:val="008B25F1"/>
    <w:rsid w:val="008B2BCE"/>
    <w:rsid w:val="008B3C20"/>
    <w:rsid w:val="008C22D6"/>
    <w:rsid w:val="008D180B"/>
    <w:rsid w:val="008D2356"/>
    <w:rsid w:val="008D503C"/>
    <w:rsid w:val="008D56CF"/>
    <w:rsid w:val="008D608B"/>
    <w:rsid w:val="008D7405"/>
    <w:rsid w:val="008E2A40"/>
    <w:rsid w:val="008E6880"/>
    <w:rsid w:val="008E7A5D"/>
    <w:rsid w:val="008E7AA8"/>
    <w:rsid w:val="008F0EA7"/>
    <w:rsid w:val="008F108B"/>
    <w:rsid w:val="008F18F2"/>
    <w:rsid w:val="008F6AE8"/>
    <w:rsid w:val="008F7543"/>
    <w:rsid w:val="00901BD0"/>
    <w:rsid w:val="00901BED"/>
    <w:rsid w:val="00907D44"/>
    <w:rsid w:val="00923EEF"/>
    <w:rsid w:val="00924E36"/>
    <w:rsid w:val="00933CF1"/>
    <w:rsid w:val="00934E49"/>
    <w:rsid w:val="00935B40"/>
    <w:rsid w:val="00937A02"/>
    <w:rsid w:val="00940E79"/>
    <w:rsid w:val="009419F9"/>
    <w:rsid w:val="009440EA"/>
    <w:rsid w:val="00945175"/>
    <w:rsid w:val="00946A30"/>
    <w:rsid w:val="00954477"/>
    <w:rsid w:val="0095685E"/>
    <w:rsid w:val="0095756C"/>
    <w:rsid w:val="00961B09"/>
    <w:rsid w:val="00965334"/>
    <w:rsid w:val="00965B31"/>
    <w:rsid w:val="0097079B"/>
    <w:rsid w:val="0097093E"/>
    <w:rsid w:val="0097672C"/>
    <w:rsid w:val="00977A79"/>
    <w:rsid w:val="00981DE9"/>
    <w:rsid w:val="00991055"/>
    <w:rsid w:val="00997268"/>
    <w:rsid w:val="009A0B15"/>
    <w:rsid w:val="009A0DFA"/>
    <w:rsid w:val="009A1524"/>
    <w:rsid w:val="009A1C6F"/>
    <w:rsid w:val="009A7380"/>
    <w:rsid w:val="009B1BD0"/>
    <w:rsid w:val="009B2D26"/>
    <w:rsid w:val="009B7205"/>
    <w:rsid w:val="009C71FA"/>
    <w:rsid w:val="009C72E7"/>
    <w:rsid w:val="009C7F7E"/>
    <w:rsid w:val="009D2B7B"/>
    <w:rsid w:val="009D3058"/>
    <w:rsid w:val="009E59F2"/>
    <w:rsid w:val="009F3A13"/>
    <w:rsid w:val="00A03D05"/>
    <w:rsid w:val="00A11AA2"/>
    <w:rsid w:val="00A122D3"/>
    <w:rsid w:val="00A14468"/>
    <w:rsid w:val="00A1479F"/>
    <w:rsid w:val="00A17545"/>
    <w:rsid w:val="00A17F13"/>
    <w:rsid w:val="00A20739"/>
    <w:rsid w:val="00A2219C"/>
    <w:rsid w:val="00A23AF9"/>
    <w:rsid w:val="00A24757"/>
    <w:rsid w:val="00A259BD"/>
    <w:rsid w:val="00A26E4D"/>
    <w:rsid w:val="00A27990"/>
    <w:rsid w:val="00A33C78"/>
    <w:rsid w:val="00A3450E"/>
    <w:rsid w:val="00A3474A"/>
    <w:rsid w:val="00A37A9C"/>
    <w:rsid w:val="00A4232D"/>
    <w:rsid w:val="00A42BEC"/>
    <w:rsid w:val="00A443A5"/>
    <w:rsid w:val="00A46618"/>
    <w:rsid w:val="00A467DD"/>
    <w:rsid w:val="00A46D2C"/>
    <w:rsid w:val="00A50E94"/>
    <w:rsid w:val="00A53526"/>
    <w:rsid w:val="00A554FE"/>
    <w:rsid w:val="00A61271"/>
    <w:rsid w:val="00A6328B"/>
    <w:rsid w:val="00A64EAD"/>
    <w:rsid w:val="00A67560"/>
    <w:rsid w:val="00A74170"/>
    <w:rsid w:val="00A777B7"/>
    <w:rsid w:val="00A80D0F"/>
    <w:rsid w:val="00A83B8B"/>
    <w:rsid w:val="00A85A52"/>
    <w:rsid w:val="00A86084"/>
    <w:rsid w:val="00A9092C"/>
    <w:rsid w:val="00A9413F"/>
    <w:rsid w:val="00A97CAA"/>
    <w:rsid w:val="00AA438F"/>
    <w:rsid w:val="00AB0ADB"/>
    <w:rsid w:val="00AB496C"/>
    <w:rsid w:val="00AB5C52"/>
    <w:rsid w:val="00AB65D4"/>
    <w:rsid w:val="00AC36E3"/>
    <w:rsid w:val="00AC54FE"/>
    <w:rsid w:val="00AD5B1D"/>
    <w:rsid w:val="00AE4245"/>
    <w:rsid w:val="00AE4414"/>
    <w:rsid w:val="00AE5229"/>
    <w:rsid w:val="00AF2F52"/>
    <w:rsid w:val="00AF40CA"/>
    <w:rsid w:val="00AF67E1"/>
    <w:rsid w:val="00AF6A4F"/>
    <w:rsid w:val="00B00C0E"/>
    <w:rsid w:val="00B00E6B"/>
    <w:rsid w:val="00B01738"/>
    <w:rsid w:val="00B01B1A"/>
    <w:rsid w:val="00B0381D"/>
    <w:rsid w:val="00B03A8D"/>
    <w:rsid w:val="00B04BFC"/>
    <w:rsid w:val="00B06825"/>
    <w:rsid w:val="00B11134"/>
    <w:rsid w:val="00B123DA"/>
    <w:rsid w:val="00B1257D"/>
    <w:rsid w:val="00B14ABC"/>
    <w:rsid w:val="00B17D8B"/>
    <w:rsid w:val="00B21509"/>
    <w:rsid w:val="00B216D0"/>
    <w:rsid w:val="00B24D89"/>
    <w:rsid w:val="00B24F29"/>
    <w:rsid w:val="00B31F0C"/>
    <w:rsid w:val="00B33D81"/>
    <w:rsid w:val="00B341C9"/>
    <w:rsid w:val="00B35CB3"/>
    <w:rsid w:val="00B3679A"/>
    <w:rsid w:val="00B376FA"/>
    <w:rsid w:val="00B37EA5"/>
    <w:rsid w:val="00B44A47"/>
    <w:rsid w:val="00B47936"/>
    <w:rsid w:val="00B51B75"/>
    <w:rsid w:val="00B54C0B"/>
    <w:rsid w:val="00B55167"/>
    <w:rsid w:val="00B56402"/>
    <w:rsid w:val="00B56AD0"/>
    <w:rsid w:val="00B665C8"/>
    <w:rsid w:val="00B66A66"/>
    <w:rsid w:val="00B708B0"/>
    <w:rsid w:val="00B72178"/>
    <w:rsid w:val="00B72CD3"/>
    <w:rsid w:val="00B72FFF"/>
    <w:rsid w:val="00B74045"/>
    <w:rsid w:val="00B774CC"/>
    <w:rsid w:val="00B817EA"/>
    <w:rsid w:val="00B9605C"/>
    <w:rsid w:val="00BA76FB"/>
    <w:rsid w:val="00BB3A2A"/>
    <w:rsid w:val="00BB4029"/>
    <w:rsid w:val="00BC3D36"/>
    <w:rsid w:val="00BC648F"/>
    <w:rsid w:val="00BD1FB8"/>
    <w:rsid w:val="00BD54A6"/>
    <w:rsid w:val="00BD7F72"/>
    <w:rsid w:val="00BE0F6B"/>
    <w:rsid w:val="00BE67C0"/>
    <w:rsid w:val="00BF152F"/>
    <w:rsid w:val="00BF7425"/>
    <w:rsid w:val="00BF790D"/>
    <w:rsid w:val="00C0067F"/>
    <w:rsid w:val="00C02E0A"/>
    <w:rsid w:val="00C03414"/>
    <w:rsid w:val="00C04FB3"/>
    <w:rsid w:val="00C101A7"/>
    <w:rsid w:val="00C11D8B"/>
    <w:rsid w:val="00C12E07"/>
    <w:rsid w:val="00C1472C"/>
    <w:rsid w:val="00C15139"/>
    <w:rsid w:val="00C15B51"/>
    <w:rsid w:val="00C16DB8"/>
    <w:rsid w:val="00C2011E"/>
    <w:rsid w:val="00C21206"/>
    <w:rsid w:val="00C23729"/>
    <w:rsid w:val="00C23FDB"/>
    <w:rsid w:val="00C26341"/>
    <w:rsid w:val="00C30097"/>
    <w:rsid w:val="00C330EB"/>
    <w:rsid w:val="00C43870"/>
    <w:rsid w:val="00C50D69"/>
    <w:rsid w:val="00C53324"/>
    <w:rsid w:val="00C5365C"/>
    <w:rsid w:val="00C548EC"/>
    <w:rsid w:val="00C57669"/>
    <w:rsid w:val="00C6147E"/>
    <w:rsid w:val="00C75248"/>
    <w:rsid w:val="00C754BE"/>
    <w:rsid w:val="00C76B1C"/>
    <w:rsid w:val="00C82A7A"/>
    <w:rsid w:val="00C9108F"/>
    <w:rsid w:val="00C925AC"/>
    <w:rsid w:val="00C93F71"/>
    <w:rsid w:val="00CA3C18"/>
    <w:rsid w:val="00CA624F"/>
    <w:rsid w:val="00CA7A36"/>
    <w:rsid w:val="00CB0247"/>
    <w:rsid w:val="00CB1584"/>
    <w:rsid w:val="00CB241F"/>
    <w:rsid w:val="00CB6357"/>
    <w:rsid w:val="00CB646A"/>
    <w:rsid w:val="00CB7ABD"/>
    <w:rsid w:val="00CC1B26"/>
    <w:rsid w:val="00CC7242"/>
    <w:rsid w:val="00CD1B0E"/>
    <w:rsid w:val="00CD2195"/>
    <w:rsid w:val="00CD336C"/>
    <w:rsid w:val="00CE0B3C"/>
    <w:rsid w:val="00CE643A"/>
    <w:rsid w:val="00CF6051"/>
    <w:rsid w:val="00D0210C"/>
    <w:rsid w:val="00D050E6"/>
    <w:rsid w:val="00D05190"/>
    <w:rsid w:val="00D10BDD"/>
    <w:rsid w:val="00D1166E"/>
    <w:rsid w:val="00D14275"/>
    <w:rsid w:val="00D157E8"/>
    <w:rsid w:val="00D20B38"/>
    <w:rsid w:val="00D20E75"/>
    <w:rsid w:val="00D2193B"/>
    <w:rsid w:val="00D32F60"/>
    <w:rsid w:val="00D361FD"/>
    <w:rsid w:val="00D36EB4"/>
    <w:rsid w:val="00D423A2"/>
    <w:rsid w:val="00D44E26"/>
    <w:rsid w:val="00D50452"/>
    <w:rsid w:val="00D50C81"/>
    <w:rsid w:val="00D51D84"/>
    <w:rsid w:val="00D520D8"/>
    <w:rsid w:val="00D6343D"/>
    <w:rsid w:val="00D63AC2"/>
    <w:rsid w:val="00D65199"/>
    <w:rsid w:val="00D7036F"/>
    <w:rsid w:val="00D70E10"/>
    <w:rsid w:val="00D7383B"/>
    <w:rsid w:val="00D753D8"/>
    <w:rsid w:val="00D7788A"/>
    <w:rsid w:val="00D85777"/>
    <w:rsid w:val="00D87C88"/>
    <w:rsid w:val="00D93077"/>
    <w:rsid w:val="00D95A5C"/>
    <w:rsid w:val="00DA231B"/>
    <w:rsid w:val="00DA444C"/>
    <w:rsid w:val="00DB7B60"/>
    <w:rsid w:val="00DC213B"/>
    <w:rsid w:val="00DC39FC"/>
    <w:rsid w:val="00DD0480"/>
    <w:rsid w:val="00DD3D7F"/>
    <w:rsid w:val="00DE76CA"/>
    <w:rsid w:val="00DE7DAB"/>
    <w:rsid w:val="00DF5254"/>
    <w:rsid w:val="00E006EE"/>
    <w:rsid w:val="00E00BA5"/>
    <w:rsid w:val="00E02524"/>
    <w:rsid w:val="00E04B83"/>
    <w:rsid w:val="00E073A0"/>
    <w:rsid w:val="00E10AD7"/>
    <w:rsid w:val="00E16408"/>
    <w:rsid w:val="00E17A6F"/>
    <w:rsid w:val="00E20894"/>
    <w:rsid w:val="00E245AB"/>
    <w:rsid w:val="00E2764C"/>
    <w:rsid w:val="00E27D5C"/>
    <w:rsid w:val="00E27F2E"/>
    <w:rsid w:val="00E31AEA"/>
    <w:rsid w:val="00E32C32"/>
    <w:rsid w:val="00E34873"/>
    <w:rsid w:val="00E44996"/>
    <w:rsid w:val="00E50AFE"/>
    <w:rsid w:val="00E5289F"/>
    <w:rsid w:val="00E57963"/>
    <w:rsid w:val="00E627AB"/>
    <w:rsid w:val="00E71583"/>
    <w:rsid w:val="00E75C92"/>
    <w:rsid w:val="00E771DC"/>
    <w:rsid w:val="00E81F71"/>
    <w:rsid w:val="00E8772A"/>
    <w:rsid w:val="00E90B22"/>
    <w:rsid w:val="00E90F6B"/>
    <w:rsid w:val="00E92042"/>
    <w:rsid w:val="00E92C27"/>
    <w:rsid w:val="00E92CEB"/>
    <w:rsid w:val="00E92FA7"/>
    <w:rsid w:val="00E95931"/>
    <w:rsid w:val="00EA0E3D"/>
    <w:rsid w:val="00EA181D"/>
    <w:rsid w:val="00EA24FA"/>
    <w:rsid w:val="00EB723F"/>
    <w:rsid w:val="00EC12DF"/>
    <w:rsid w:val="00EC38A7"/>
    <w:rsid w:val="00ED5FD3"/>
    <w:rsid w:val="00EE1AA8"/>
    <w:rsid w:val="00EF6B34"/>
    <w:rsid w:val="00F01276"/>
    <w:rsid w:val="00F01E99"/>
    <w:rsid w:val="00F04DB1"/>
    <w:rsid w:val="00F05DAD"/>
    <w:rsid w:val="00F10A8E"/>
    <w:rsid w:val="00F11A69"/>
    <w:rsid w:val="00F11E90"/>
    <w:rsid w:val="00F12547"/>
    <w:rsid w:val="00F128E6"/>
    <w:rsid w:val="00F2156E"/>
    <w:rsid w:val="00F21994"/>
    <w:rsid w:val="00F2374F"/>
    <w:rsid w:val="00F23FEA"/>
    <w:rsid w:val="00F25805"/>
    <w:rsid w:val="00F25BAC"/>
    <w:rsid w:val="00F31EDC"/>
    <w:rsid w:val="00F32E61"/>
    <w:rsid w:val="00F32F66"/>
    <w:rsid w:val="00F4561D"/>
    <w:rsid w:val="00F462B3"/>
    <w:rsid w:val="00F55550"/>
    <w:rsid w:val="00F5664F"/>
    <w:rsid w:val="00F63AD4"/>
    <w:rsid w:val="00F666C4"/>
    <w:rsid w:val="00F67029"/>
    <w:rsid w:val="00F7317E"/>
    <w:rsid w:val="00F76AFC"/>
    <w:rsid w:val="00F81AD1"/>
    <w:rsid w:val="00F84370"/>
    <w:rsid w:val="00F8669F"/>
    <w:rsid w:val="00F87B5B"/>
    <w:rsid w:val="00F91C09"/>
    <w:rsid w:val="00F957A3"/>
    <w:rsid w:val="00F97AB6"/>
    <w:rsid w:val="00FA34B3"/>
    <w:rsid w:val="00FA432F"/>
    <w:rsid w:val="00FA47C0"/>
    <w:rsid w:val="00FB3604"/>
    <w:rsid w:val="00FB5DD1"/>
    <w:rsid w:val="00FC181B"/>
    <w:rsid w:val="00FC2B5D"/>
    <w:rsid w:val="00FC3679"/>
    <w:rsid w:val="00FC7A8C"/>
    <w:rsid w:val="00FC7C9C"/>
    <w:rsid w:val="00FD0099"/>
    <w:rsid w:val="00FD4472"/>
    <w:rsid w:val="00FD6776"/>
    <w:rsid w:val="00FF1418"/>
    <w:rsid w:val="00FF1449"/>
    <w:rsid w:val="00FF1C7F"/>
    <w:rsid w:val="00FF7963"/>
    <w:rsid w:val="00FF7FB7"/>
    <w:rsid w:val="011F15C3"/>
    <w:rsid w:val="071B8F93"/>
    <w:rsid w:val="07C73DD1"/>
    <w:rsid w:val="09908A09"/>
    <w:rsid w:val="0EFE6349"/>
    <w:rsid w:val="0FF4CCA8"/>
    <w:rsid w:val="13CFC91B"/>
    <w:rsid w:val="19A2EC2C"/>
    <w:rsid w:val="1D7E2516"/>
    <w:rsid w:val="21779BE6"/>
    <w:rsid w:val="2859CA1B"/>
    <w:rsid w:val="2C4D2425"/>
    <w:rsid w:val="2EE1E026"/>
    <w:rsid w:val="2F44F38F"/>
    <w:rsid w:val="30821638"/>
    <w:rsid w:val="32A4F9CF"/>
    <w:rsid w:val="33A1FF93"/>
    <w:rsid w:val="33F81418"/>
    <w:rsid w:val="356CEDFD"/>
    <w:rsid w:val="3C591AFD"/>
    <w:rsid w:val="40F9B514"/>
    <w:rsid w:val="42183F0A"/>
    <w:rsid w:val="4DE78C91"/>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490E393E-4F90-42B8-BB1B-E9A6D72F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0F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F91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F91C09"/>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F91C09"/>
    <w:rPr>
      <w:rFonts w:ascii="Geomanist Light" w:hAnsi="Geomanist Light"/>
      <w:lang w:val="es-ES"/>
    </w:rPr>
  </w:style>
  <w:style w:type="table" w:styleId="Tablaconcuadrcula1clara">
    <w:name w:val="Grid Table 1 Light"/>
    <w:basedOn w:val="Tablanormal"/>
    <w:uiPriority w:val="46"/>
    <w:rsid w:val="00981D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uerte">
    <w:name w:val="Strong"/>
    <w:basedOn w:val="Fuentedeprrafopredeter"/>
    <w:uiPriority w:val="22"/>
    <w:qFormat/>
    <w:rsid w:val="008512AB"/>
    <w:rPr>
      <w:b/>
      <w:bCs/>
    </w:rPr>
  </w:style>
  <w:style w:type="paragraph" w:styleId="Textoindependiente">
    <w:name w:val="Body Text"/>
    <w:basedOn w:val="Normal"/>
    <w:link w:val="TextoindependienteCar"/>
    <w:uiPriority w:val="1"/>
    <w:qFormat/>
    <w:rsid w:val="004D428A"/>
    <w:pPr>
      <w:widowControl w:val="0"/>
      <w:autoSpaceDE w:val="0"/>
      <w:autoSpaceDN w:val="0"/>
      <w:spacing w:after="0" w:line="240" w:lineRule="auto"/>
      <w:ind w:firstLine="709"/>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4D428A"/>
    <w:rPr>
      <w:rFonts w:ascii="Verdana" w:eastAsia="Verdana" w:hAnsi="Verdana" w:cs="Verdana"/>
      <w:lang w:val="es-ES"/>
    </w:rPr>
  </w:style>
  <w:style w:type="character" w:customStyle="1" w:styleId="s15">
    <w:name w:val="s15"/>
    <w:basedOn w:val="Fuentedeprrafopredeter"/>
    <w:rsid w:val="00A37A9C"/>
  </w:style>
  <w:style w:type="paragraph" w:styleId="Listaconvietas">
    <w:name w:val="List Bullet"/>
    <w:basedOn w:val="Normal"/>
    <w:uiPriority w:val="99"/>
    <w:unhideWhenUsed/>
    <w:rsid w:val="008307BF"/>
    <w:pPr>
      <w:numPr>
        <w:numId w:val="2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8789">
      <w:bodyDiv w:val="1"/>
      <w:marLeft w:val="0"/>
      <w:marRight w:val="0"/>
      <w:marTop w:val="0"/>
      <w:marBottom w:val="0"/>
      <w:divBdr>
        <w:top w:val="none" w:sz="0" w:space="0" w:color="auto"/>
        <w:left w:val="none" w:sz="0" w:space="0" w:color="auto"/>
        <w:bottom w:val="none" w:sz="0" w:space="0" w:color="auto"/>
        <w:right w:val="none" w:sz="0" w:space="0" w:color="auto"/>
      </w:divBdr>
    </w:div>
    <w:div w:id="532230825">
      <w:bodyDiv w:val="1"/>
      <w:marLeft w:val="0"/>
      <w:marRight w:val="0"/>
      <w:marTop w:val="0"/>
      <w:marBottom w:val="0"/>
      <w:divBdr>
        <w:top w:val="none" w:sz="0" w:space="0" w:color="auto"/>
        <w:left w:val="none" w:sz="0" w:space="0" w:color="auto"/>
        <w:bottom w:val="none" w:sz="0" w:space="0" w:color="auto"/>
        <w:right w:val="none" w:sz="0" w:space="0" w:color="auto"/>
      </w:divBdr>
    </w:div>
    <w:div w:id="554776318">
      <w:bodyDiv w:val="1"/>
      <w:marLeft w:val="0"/>
      <w:marRight w:val="0"/>
      <w:marTop w:val="0"/>
      <w:marBottom w:val="0"/>
      <w:divBdr>
        <w:top w:val="none" w:sz="0" w:space="0" w:color="auto"/>
        <w:left w:val="none" w:sz="0" w:space="0" w:color="auto"/>
        <w:bottom w:val="none" w:sz="0" w:space="0" w:color="auto"/>
        <w:right w:val="none" w:sz="0" w:space="0" w:color="auto"/>
      </w:divBdr>
    </w:div>
    <w:div w:id="56186581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08260351">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74986033">
      <w:bodyDiv w:val="1"/>
      <w:marLeft w:val="0"/>
      <w:marRight w:val="0"/>
      <w:marTop w:val="0"/>
      <w:marBottom w:val="0"/>
      <w:divBdr>
        <w:top w:val="none" w:sz="0" w:space="0" w:color="auto"/>
        <w:left w:val="none" w:sz="0" w:space="0" w:color="auto"/>
        <w:bottom w:val="none" w:sz="0" w:space="0" w:color="auto"/>
        <w:right w:val="none" w:sz="0" w:space="0" w:color="auto"/>
      </w:divBdr>
    </w:div>
    <w:div w:id="775053018">
      <w:bodyDiv w:val="1"/>
      <w:marLeft w:val="0"/>
      <w:marRight w:val="0"/>
      <w:marTop w:val="0"/>
      <w:marBottom w:val="0"/>
      <w:divBdr>
        <w:top w:val="none" w:sz="0" w:space="0" w:color="auto"/>
        <w:left w:val="none" w:sz="0" w:space="0" w:color="auto"/>
        <w:bottom w:val="none" w:sz="0" w:space="0" w:color="auto"/>
        <w:right w:val="none" w:sz="0" w:space="0" w:color="auto"/>
      </w:divBdr>
    </w:div>
    <w:div w:id="993685110">
      <w:bodyDiv w:val="1"/>
      <w:marLeft w:val="0"/>
      <w:marRight w:val="0"/>
      <w:marTop w:val="0"/>
      <w:marBottom w:val="0"/>
      <w:divBdr>
        <w:top w:val="none" w:sz="0" w:space="0" w:color="auto"/>
        <w:left w:val="none" w:sz="0" w:space="0" w:color="auto"/>
        <w:bottom w:val="none" w:sz="0" w:space="0" w:color="auto"/>
        <w:right w:val="none" w:sz="0" w:space="0" w:color="auto"/>
      </w:divBdr>
    </w:div>
    <w:div w:id="1028026038">
      <w:bodyDiv w:val="1"/>
      <w:marLeft w:val="0"/>
      <w:marRight w:val="0"/>
      <w:marTop w:val="0"/>
      <w:marBottom w:val="0"/>
      <w:divBdr>
        <w:top w:val="none" w:sz="0" w:space="0" w:color="auto"/>
        <w:left w:val="none" w:sz="0" w:space="0" w:color="auto"/>
        <w:bottom w:val="none" w:sz="0" w:space="0" w:color="auto"/>
        <w:right w:val="none" w:sz="0" w:space="0" w:color="auto"/>
      </w:divBdr>
    </w:div>
    <w:div w:id="1087069736">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4074862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293444806">
      <w:bodyDiv w:val="1"/>
      <w:marLeft w:val="0"/>
      <w:marRight w:val="0"/>
      <w:marTop w:val="0"/>
      <w:marBottom w:val="0"/>
      <w:divBdr>
        <w:top w:val="none" w:sz="0" w:space="0" w:color="auto"/>
        <w:left w:val="none" w:sz="0" w:space="0" w:color="auto"/>
        <w:bottom w:val="none" w:sz="0" w:space="0" w:color="auto"/>
        <w:right w:val="none" w:sz="0" w:space="0" w:color="auto"/>
      </w:divBdr>
    </w:div>
    <w:div w:id="1425606925">
      <w:bodyDiv w:val="1"/>
      <w:marLeft w:val="0"/>
      <w:marRight w:val="0"/>
      <w:marTop w:val="0"/>
      <w:marBottom w:val="0"/>
      <w:divBdr>
        <w:top w:val="none" w:sz="0" w:space="0" w:color="auto"/>
        <w:left w:val="none" w:sz="0" w:space="0" w:color="auto"/>
        <w:bottom w:val="none" w:sz="0" w:space="0" w:color="auto"/>
        <w:right w:val="none" w:sz="0" w:space="0" w:color="auto"/>
      </w:divBdr>
    </w:div>
    <w:div w:id="1600719038">
      <w:bodyDiv w:val="1"/>
      <w:marLeft w:val="0"/>
      <w:marRight w:val="0"/>
      <w:marTop w:val="0"/>
      <w:marBottom w:val="0"/>
      <w:divBdr>
        <w:top w:val="none" w:sz="0" w:space="0" w:color="auto"/>
        <w:left w:val="none" w:sz="0" w:space="0" w:color="auto"/>
        <w:bottom w:val="none" w:sz="0" w:space="0" w:color="auto"/>
        <w:right w:val="none" w:sz="0" w:space="0" w:color="auto"/>
      </w:divBdr>
    </w:div>
    <w:div w:id="1640649174">
      <w:bodyDiv w:val="1"/>
      <w:marLeft w:val="0"/>
      <w:marRight w:val="0"/>
      <w:marTop w:val="0"/>
      <w:marBottom w:val="0"/>
      <w:divBdr>
        <w:top w:val="none" w:sz="0" w:space="0" w:color="auto"/>
        <w:left w:val="none" w:sz="0" w:space="0" w:color="auto"/>
        <w:bottom w:val="none" w:sz="0" w:space="0" w:color="auto"/>
        <w:right w:val="none" w:sz="0" w:space="0" w:color="auto"/>
      </w:divBdr>
    </w:div>
    <w:div w:id="1740787238">
      <w:bodyDiv w:val="1"/>
      <w:marLeft w:val="0"/>
      <w:marRight w:val="0"/>
      <w:marTop w:val="0"/>
      <w:marBottom w:val="0"/>
      <w:divBdr>
        <w:top w:val="none" w:sz="0" w:space="0" w:color="auto"/>
        <w:left w:val="none" w:sz="0" w:space="0" w:color="auto"/>
        <w:bottom w:val="none" w:sz="0" w:space="0" w:color="auto"/>
        <w:right w:val="none" w:sz="0" w:space="0" w:color="auto"/>
      </w:divBdr>
    </w:div>
    <w:div w:id="1777170443">
      <w:bodyDiv w:val="1"/>
      <w:marLeft w:val="0"/>
      <w:marRight w:val="0"/>
      <w:marTop w:val="0"/>
      <w:marBottom w:val="0"/>
      <w:divBdr>
        <w:top w:val="none" w:sz="0" w:space="0" w:color="auto"/>
        <w:left w:val="none" w:sz="0" w:space="0" w:color="auto"/>
        <w:bottom w:val="none" w:sz="0" w:space="0" w:color="auto"/>
        <w:right w:val="none" w:sz="0" w:space="0" w:color="auto"/>
      </w:divBdr>
    </w:div>
    <w:div w:id="1794253246">
      <w:bodyDiv w:val="1"/>
      <w:marLeft w:val="0"/>
      <w:marRight w:val="0"/>
      <w:marTop w:val="0"/>
      <w:marBottom w:val="0"/>
      <w:divBdr>
        <w:top w:val="none" w:sz="0" w:space="0" w:color="auto"/>
        <w:left w:val="none" w:sz="0" w:space="0" w:color="auto"/>
        <w:bottom w:val="none" w:sz="0" w:space="0" w:color="auto"/>
        <w:right w:val="none" w:sz="0" w:space="0" w:color="auto"/>
      </w:divBdr>
    </w:div>
    <w:div w:id="1938168531">
      <w:bodyDiv w:val="1"/>
      <w:marLeft w:val="0"/>
      <w:marRight w:val="0"/>
      <w:marTop w:val="0"/>
      <w:marBottom w:val="0"/>
      <w:divBdr>
        <w:top w:val="none" w:sz="0" w:space="0" w:color="auto"/>
        <w:left w:val="none" w:sz="0" w:space="0" w:color="auto"/>
        <w:bottom w:val="none" w:sz="0" w:space="0" w:color="auto"/>
        <w:right w:val="none" w:sz="0" w:space="0" w:color="auto"/>
      </w:divBdr>
    </w:div>
    <w:div w:id="2017491236">
      <w:bodyDiv w:val="1"/>
      <w:marLeft w:val="0"/>
      <w:marRight w:val="0"/>
      <w:marTop w:val="0"/>
      <w:marBottom w:val="0"/>
      <w:divBdr>
        <w:top w:val="none" w:sz="0" w:space="0" w:color="auto"/>
        <w:left w:val="none" w:sz="0" w:space="0" w:color="auto"/>
        <w:bottom w:val="none" w:sz="0" w:space="0" w:color="auto"/>
        <w:right w:val="none" w:sz="0" w:space="0" w:color="auto"/>
      </w:divBdr>
    </w:div>
    <w:div w:id="2074084034">
      <w:bodyDiv w:val="1"/>
      <w:marLeft w:val="0"/>
      <w:marRight w:val="0"/>
      <w:marTop w:val="0"/>
      <w:marBottom w:val="0"/>
      <w:divBdr>
        <w:top w:val="none" w:sz="0" w:space="0" w:color="auto"/>
        <w:left w:val="none" w:sz="0" w:space="0" w:color="auto"/>
        <w:bottom w:val="none" w:sz="0" w:space="0" w:color="auto"/>
        <w:right w:val="none" w:sz="0" w:space="0" w:color="auto"/>
      </w:divBdr>
    </w:div>
    <w:div w:id="2083672594">
      <w:bodyDiv w:val="1"/>
      <w:marLeft w:val="0"/>
      <w:marRight w:val="0"/>
      <w:marTop w:val="0"/>
      <w:marBottom w:val="0"/>
      <w:divBdr>
        <w:top w:val="none" w:sz="0" w:space="0" w:color="auto"/>
        <w:left w:val="none" w:sz="0" w:space="0" w:color="auto"/>
        <w:bottom w:val="none" w:sz="0" w:space="0" w:color="auto"/>
        <w:right w:val="none" w:sz="0" w:space="0" w:color="auto"/>
      </w:divBdr>
    </w:div>
    <w:div w:id="2084639305">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documentos-tipo/documentos-tipo" TargetMode="External"/><Relationship Id="rId18" Type="http://schemas.openxmlformats.org/officeDocument/2006/relationships/hyperlink" Target="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ristianpe.arq@gmail.com" TargetMode="External"/><Relationship Id="rId17" Type="http://schemas.openxmlformats.org/officeDocument/2006/relationships/hyperlink" Target="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le.rae.es/h%C3%A1b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875324-3BE1-42CD-BE3A-57864FFA2BF9}"/>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939B35C0-8829-4193-AEF1-2D2BD01091AE}">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109</TotalTime>
  <Pages>18</Pages>
  <Words>6427</Words>
  <Characters>35354</Characters>
  <Application>Microsoft Office Word</Application>
  <DocSecurity>0</DocSecurity>
  <Lines>294</Lines>
  <Paragraphs>83</Paragraphs>
  <ScaleCrop>false</ScaleCrop>
  <Company/>
  <LinksUpToDate>false</LinksUpToDate>
  <CharactersWithSpaces>41698</CharactersWithSpaces>
  <SharedDoc>false</SharedDoc>
  <HLinks>
    <vt:vector size="48" baseType="variant">
      <vt:variant>
        <vt:i4>6488172</vt:i4>
      </vt:variant>
      <vt:variant>
        <vt:i4>18</vt:i4>
      </vt:variant>
      <vt:variant>
        <vt:i4>0</vt:i4>
      </vt:variant>
      <vt:variant>
        <vt:i4>5</vt:i4>
      </vt:variant>
      <vt:variant>
        <vt:lpwstr>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vt:lpwstr>
      </vt:variant>
      <vt:variant>
        <vt:lpwstr/>
      </vt:variant>
      <vt:variant>
        <vt:i4>6291507</vt:i4>
      </vt:variant>
      <vt:variant>
        <vt:i4>15</vt:i4>
      </vt:variant>
      <vt:variant>
        <vt:i4>0</vt:i4>
      </vt:variant>
      <vt:variant>
        <vt:i4>5</vt:i4>
      </vt:variant>
      <vt:variant>
        <vt:lpwstr>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vt:lpwstr>
      </vt:variant>
      <vt:variant>
        <vt:lpwstr/>
      </vt:variant>
      <vt:variant>
        <vt:i4>6357043</vt:i4>
      </vt:variant>
      <vt:variant>
        <vt:i4>12</vt:i4>
      </vt:variant>
      <vt:variant>
        <vt:i4>0</vt:i4>
      </vt:variant>
      <vt:variant>
        <vt:i4>5</vt:i4>
      </vt:variant>
      <vt:variant>
        <vt:lpwstr>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vt:lpwstr>
      </vt:variant>
      <vt:variant>
        <vt:lpwstr/>
      </vt:variant>
      <vt:variant>
        <vt:i4>3997731</vt:i4>
      </vt:variant>
      <vt:variant>
        <vt:i4>9</vt:i4>
      </vt:variant>
      <vt:variant>
        <vt:i4>0</vt:i4>
      </vt:variant>
      <vt:variant>
        <vt:i4>5</vt:i4>
      </vt:variant>
      <vt:variant>
        <vt:lpwstr>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4653144</vt:i4>
      </vt:variant>
      <vt:variant>
        <vt:i4>3</vt:i4>
      </vt:variant>
      <vt:variant>
        <vt:i4>0</vt:i4>
      </vt:variant>
      <vt:variant>
        <vt:i4>5</vt:i4>
      </vt:variant>
      <vt:variant>
        <vt:lpwstr>https://www.colombiacompra.gov.co/documentos-tipo/documentos-tipo</vt:lpwstr>
      </vt:variant>
      <vt:variant>
        <vt:lpwstr/>
      </vt:variant>
      <vt:variant>
        <vt:i4>5505072</vt:i4>
      </vt:variant>
      <vt:variant>
        <vt:i4>0</vt:i4>
      </vt:variant>
      <vt:variant>
        <vt:i4>0</vt:i4>
      </vt:variant>
      <vt:variant>
        <vt:i4>5</vt:i4>
      </vt:variant>
      <vt:variant>
        <vt:lpwstr>mailto:cristianpe.arq@gmail.com</vt:lpwstr>
      </vt:variant>
      <vt:variant>
        <vt:lpwstr/>
      </vt:variant>
      <vt:variant>
        <vt:i4>1638409</vt:i4>
      </vt:variant>
      <vt:variant>
        <vt:i4>0</vt:i4>
      </vt:variant>
      <vt:variant>
        <vt:i4>0</vt:i4>
      </vt:variant>
      <vt:variant>
        <vt:i4>5</vt:i4>
      </vt:variant>
      <vt:variant>
        <vt:lpwstr>https://dle.rae.es/h%C3%A1bil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Denis Andrea Cárdenas Hernández</cp:lastModifiedBy>
  <cp:revision>35</cp:revision>
  <cp:lastPrinted>2023-01-11T03:18:00Z</cp:lastPrinted>
  <dcterms:created xsi:type="dcterms:W3CDTF">2026-07-14T17:53:00Z</dcterms:created>
  <dcterms:modified xsi:type="dcterms:W3CDTF">2026-08-04T14:27:00Z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