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10E9D" w14:textId="77777777" w:rsidR="004A0841" w:rsidRPr="004A0841" w:rsidRDefault="004A0841" w:rsidP="00751DE8">
      <w:pPr>
        <w:spacing w:after="0" w:line="240" w:lineRule="auto"/>
        <w:jc w:val="both"/>
        <w:rPr>
          <w:rFonts w:ascii="Verdana" w:hAnsi="Verdana" w:cs="Arial"/>
          <w:b/>
          <w:bCs/>
          <w:color w:val="000000"/>
          <w:lang w:val="es-ES"/>
        </w:rPr>
      </w:pPr>
      <w:bookmarkStart w:id="0" w:name="_Hlk143780582"/>
      <w:r w:rsidRPr="004A0841">
        <w:rPr>
          <w:rFonts w:ascii="Verdana" w:hAnsi="Verdana" w:cs="Arial"/>
          <w:b/>
          <w:bCs/>
          <w:color w:val="000000"/>
          <w:lang w:val="es-ES"/>
        </w:rPr>
        <w:t>PRECIOS UNITARIOS – APU – AIU</w:t>
      </w:r>
    </w:p>
    <w:p w14:paraId="6969DB0D" w14:textId="53DA3756" w:rsidR="004A0841" w:rsidRDefault="004A0841" w:rsidP="00751DE8">
      <w:pPr>
        <w:spacing w:after="0" w:line="240" w:lineRule="auto"/>
        <w:jc w:val="both"/>
        <w:rPr>
          <w:rFonts w:ascii="Verdana" w:hAnsi="Verdana" w:cs="Arial"/>
          <w:b/>
          <w:bCs/>
          <w:color w:val="000000"/>
          <w:lang w:val="es-ES"/>
        </w:rPr>
      </w:pPr>
    </w:p>
    <w:p w14:paraId="7589B1C9" w14:textId="35964FC2" w:rsidR="004A0841" w:rsidRPr="004A0841" w:rsidRDefault="004A0841" w:rsidP="00751DE8">
      <w:pPr>
        <w:spacing w:after="0" w:line="240" w:lineRule="auto"/>
        <w:jc w:val="both"/>
        <w:rPr>
          <w:rFonts w:ascii="Verdana" w:hAnsi="Verdana" w:cs="Arial"/>
          <w:bCs/>
          <w:color w:val="000000"/>
          <w:sz w:val="20"/>
          <w:lang w:val="es-ES"/>
        </w:rPr>
      </w:pPr>
      <w:r>
        <w:rPr>
          <w:rFonts w:ascii="Verdana" w:hAnsi="Verdana" w:cs="Arial"/>
          <w:bCs/>
          <w:color w:val="000000"/>
          <w:sz w:val="20"/>
          <w:lang w:val="es-ES"/>
        </w:rPr>
        <w:t xml:space="preserve">[…] </w:t>
      </w:r>
      <w:r w:rsidRPr="004A0841">
        <w:rPr>
          <w:rFonts w:ascii="Verdana" w:hAnsi="Verdana" w:cs="Arial"/>
          <w:bCs/>
          <w:color w:val="000000"/>
          <w:sz w:val="20"/>
          <w:lang w:val="es-ES"/>
        </w:rPr>
        <w:t xml:space="preserve">en los contratos cuyo precio se estructura a partir del sistema de precios unitarios, ha hecho parte de la práctica de los negocios que el contratante le solicite al potencial contratista que separe en su propuesta los </w:t>
      </w:r>
      <w:r w:rsidRPr="004A0841">
        <w:rPr>
          <w:rFonts w:ascii="Verdana" w:hAnsi="Verdana" w:cs="Arial"/>
          <w:bCs/>
          <w:i/>
          <w:iCs/>
          <w:color w:val="000000"/>
          <w:sz w:val="20"/>
          <w:lang w:val="es-ES"/>
        </w:rPr>
        <w:t>costos directos</w:t>
      </w:r>
      <w:r w:rsidRPr="004A0841">
        <w:rPr>
          <w:rFonts w:ascii="Verdana" w:hAnsi="Verdana" w:cs="Arial"/>
          <w:bCs/>
          <w:color w:val="000000"/>
          <w:sz w:val="20"/>
          <w:lang w:val="es-ES"/>
        </w:rPr>
        <w:t xml:space="preserve"> –es decir, los que están directamente implicados en la ejecución del objeto–, de los </w:t>
      </w:r>
      <w:r w:rsidRPr="004A0841">
        <w:rPr>
          <w:rFonts w:ascii="Verdana" w:hAnsi="Verdana" w:cs="Arial"/>
          <w:bCs/>
          <w:i/>
          <w:iCs/>
          <w:color w:val="000000"/>
          <w:sz w:val="20"/>
          <w:lang w:val="es-ES"/>
        </w:rPr>
        <w:t>costos indirectos</w:t>
      </w:r>
      <w:r w:rsidRPr="004A0841">
        <w:rPr>
          <w:rFonts w:ascii="Verdana" w:hAnsi="Verdana" w:cs="Arial"/>
          <w:bCs/>
          <w:color w:val="000000"/>
          <w:sz w:val="20"/>
          <w:lang w:val="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En tal sentido, mientras que los </w:t>
      </w:r>
      <w:r w:rsidRPr="004A0841">
        <w:rPr>
          <w:rFonts w:ascii="Verdana" w:hAnsi="Verdana" w:cs="Arial"/>
          <w:bCs/>
          <w:i/>
          <w:iCs/>
          <w:color w:val="000000"/>
          <w:sz w:val="20"/>
          <w:lang w:val="es-ES"/>
        </w:rPr>
        <w:t>costos directos</w:t>
      </w:r>
      <w:r w:rsidRPr="004A0841">
        <w:rPr>
          <w:rFonts w:ascii="Verdana" w:hAnsi="Verdana" w:cs="Arial"/>
          <w:bCs/>
          <w:color w:val="000000"/>
          <w:sz w:val="20"/>
          <w:lang w:val="es-ES"/>
        </w:rPr>
        <w:t xml:space="preserve"> se evidencian en el análisis de precios unitarios –APU–, como la sumatoria de los valores de los </w:t>
      </w:r>
      <w:r w:rsidRPr="004A0841">
        <w:rPr>
          <w:rFonts w:ascii="Verdana" w:hAnsi="Verdana" w:cs="Arial"/>
          <w:bCs/>
          <w:i/>
          <w:iCs/>
          <w:color w:val="000000"/>
          <w:sz w:val="20"/>
          <w:lang w:val="es-ES"/>
        </w:rPr>
        <w:t>ítems</w:t>
      </w:r>
      <w:r w:rsidRPr="004A0841">
        <w:rPr>
          <w:rFonts w:ascii="Verdana" w:hAnsi="Verdana" w:cs="Arial"/>
          <w:bCs/>
          <w:color w:val="000000"/>
          <w:sz w:val="20"/>
          <w:lang w:val="es-ES"/>
        </w:rPr>
        <w:t xml:space="preserve"> según su unidad de medida, los </w:t>
      </w:r>
      <w:r w:rsidRPr="004A0841">
        <w:rPr>
          <w:rFonts w:ascii="Verdana" w:hAnsi="Verdana" w:cs="Arial"/>
          <w:bCs/>
          <w:i/>
          <w:iCs/>
          <w:color w:val="000000"/>
          <w:sz w:val="20"/>
          <w:lang w:val="es-ES"/>
        </w:rPr>
        <w:t>costos indirectos</w:t>
      </w:r>
      <w:r w:rsidRPr="004A0841">
        <w:rPr>
          <w:rFonts w:ascii="Verdana" w:hAnsi="Verdana" w:cs="Arial"/>
          <w:bCs/>
          <w:color w:val="000000"/>
          <w:sz w:val="20"/>
          <w:lang w:val="es-ES"/>
        </w:rPr>
        <w:t xml:space="preserve"> se suelen abreviar en las variables que integran el acrónimo AIU –Administración, Imprevistos y Utilidad–.</w:t>
      </w:r>
    </w:p>
    <w:p w14:paraId="05E9FAD5" w14:textId="77777777" w:rsidR="004A0841" w:rsidRDefault="004A0841" w:rsidP="00751DE8">
      <w:pPr>
        <w:spacing w:after="0" w:line="240" w:lineRule="auto"/>
        <w:jc w:val="both"/>
        <w:rPr>
          <w:rFonts w:ascii="Verdana" w:eastAsia="Geomanist Light" w:hAnsi="Verdana" w:cs="Arial"/>
          <w:b/>
          <w:bCs/>
          <w:lang w:val="es-ES" w:eastAsia="es-MX"/>
        </w:rPr>
      </w:pPr>
    </w:p>
    <w:p w14:paraId="1391B67E" w14:textId="293C35D5" w:rsidR="004A0841" w:rsidRPr="004A0841" w:rsidRDefault="004A0841" w:rsidP="00751DE8">
      <w:pPr>
        <w:spacing w:after="0" w:line="240" w:lineRule="auto"/>
        <w:jc w:val="both"/>
        <w:rPr>
          <w:rFonts w:ascii="Verdana" w:eastAsia="Geomanist Light" w:hAnsi="Verdana" w:cs="Arial"/>
          <w:b/>
          <w:bCs/>
          <w:lang w:eastAsia="es-MX"/>
        </w:rPr>
      </w:pPr>
      <w:r w:rsidRPr="004A0841">
        <w:rPr>
          <w:rFonts w:ascii="Verdana" w:eastAsia="Geomanist Light" w:hAnsi="Verdana" w:cs="Arial"/>
          <w:b/>
          <w:bCs/>
          <w:lang w:eastAsia="es-MX"/>
        </w:rPr>
        <w:t>AIU – Costos indirectos – Discrecionalidad</w:t>
      </w:r>
    </w:p>
    <w:p w14:paraId="06923B8F" w14:textId="1408B005" w:rsidR="004A0841" w:rsidRDefault="004A0841" w:rsidP="00751DE8">
      <w:pPr>
        <w:spacing w:after="0" w:line="240" w:lineRule="auto"/>
        <w:jc w:val="both"/>
        <w:rPr>
          <w:rFonts w:ascii="Verdana" w:eastAsia="Geomanist Light" w:hAnsi="Verdana" w:cs="Arial"/>
          <w:b/>
          <w:bCs/>
          <w:lang w:eastAsia="es-MX"/>
        </w:rPr>
      </w:pPr>
    </w:p>
    <w:p w14:paraId="799732A7" w14:textId="0B55A347" w:rsidR="004A0841" w:rsidRPr="004A0841" w:rsidRDefault="004A0841" w:rsidP="00751DE8">
      <w:pPr>
        <w:spacing w:after="0" w:line="240" w:lineRule="auto"/>
        <w:jc w:val="both"/>
        <w:rPr>
          <w:rFonts w:ascii="Verdana" w:eastAsia="Geomanist Light" w:hAnsi="Verdana" w:cs="Arial"/>
          <w:bCs/>
          <w:sz w:val="20"/>
          <w:lang w:val="es-ES" w:eastAsia="es-MX"/>
        </w:rPr>
      </w:pPr>
      <w:r w:rsidRPr="004A0841">
        <w:rPr>
          <w:rFonts w:ascii="Verdana" w:eastAsia="Geomanist Light" w:hAnsi="Verdana" w:cs="Arial"/>
          <w:bCs/>
          <w:sz w:val="20"/>
          <w:lang w:val="es-ES" w:eastAsia="es-MX"/>
        </w:rPr>
        <w:t xml:space="preserve">De manera que las entidades calculan un valor estimado que, a su vez, sirve de guía para que los proponentes formulen sus ofertas, pero bajo la premisa de que pagarán un porcentaje fijo incluido por los interesados en sus propuestas, dado lo variable que resulta este valor, y lo complejo y gravoso de realizar un seguimiento minucioso a los costos en que incurren los contratistas por este componente en particular. Además, que estos podrían ser mayores a los inicialmente pactados con el contratista, de manera que la fijación de un porcentaje fijo y estable también puede resultar favorable a la entidad estatal, pues su contraparte no le podrá exigir un monto superior, bajo el argumento de que incurrió en costos o gastos adicionales asociados al componente </w:t>
      </w:r>
      <w:r w:rsidRPr="004A0841">
        <w:rPr>
          <w:rFonts w:ascii="Verdana" w:eastAsia="Geomanist Light" w:hAnsi="Verdana" w:cs="Arial"/>
          <w:bCs/>
          <w:i/>
          <w:iCs/>
          <w:sz w:val="20"/>
          <w:lang w:val="es-ES" w:eastAsia="es-MX"/>
        </w:rPr>
        <w:t>Administración</w:t>
      </w:r>
      <w:r w:rsidRPr="004A0841">
        <w:rPr>
          <w:rFonts w:ascii="Verdana" w:eastAsia="Geomanist Light" w:hAnsi="Verdana" w:cs="Arial"/>
          <w:bCs/>
          <w:sz w:val="20"/>
          <w:lang w:val="es-ES" w:eastAsia="es-MX"/>
        </w:rPr>
        <w:t xml:space="preserve"> o de </w:t>
      </w:r>
      <w:r w:rsidRPr="004A0841">
        <w:rPr>
          <w:rFonts w:ascii="Verdana" w:eastAsia="Geomanist Light" w:hAnsi="Verdana" w:cs="Arial"/>
          <w:bCs/>
          <w:i/>
          <w:iCs/>
          <w:sz w:val="20"/>
          <w:lang w:val="es-ES" w:eastAsia="es-MX"/>
        </w:rPr>
        <w:t>Imprevistos</w:t>
      </w:r>
      <w:r w:rsidRPr="004A0841">
        <w:rPr>
          <w:rFonts w:ascii="Verdana" w:eastAsia="Geomanist Light" w:hAnsi="Verdana" w:cs="Arial"/>
          <w:bCs/>
          <w:sz w:val="20"/>
          <w:lang w:val="es-ES" w:eastAsia="es-MX"/>
        </w:rPr>
        <w:t>.</w:t>
      </w:r>
    </w:p>
    <w:p w14:paraId="6F65A14C" w14:textId="77777777" w:rsidR="004A0841" w:rsidRPr="004A0841" w:rsidRDefault="004A0841" w:rsidP="00751DE8">
      <w:pPr>
        <w:spacing w:after="0" w:line="240" w:lineRule="auto"/>
        <w:jc w:val="both"/>
        <w:rPr>
          <w:rFonts w:ascii="Verdana" w:eastAsia="Geomanist Light" w:hAnsi="Verdana" w:cs="Arial"/>
          <w:bCs/>
          <w:sz w:val="20"/>
          <w:lang w:val="es-ES_tradnl" w:eastAsia="es-MX"/>
        </w:rPr>
      </w:pPr>
    </w:p>
    <w:p w14:paraId="387F2AE0" w14:textId="77777777" w:rsidR="004A0841" w:rsidRPr="004A0841" w:rsidRDefault="004A0841" w:rsidP="00751DE8">
      <w:pPr>
        <w:spacing w:after="0" w:line="240" w:lineRule="auto"/>
        <w:jc w:val="both"/>
        <w:rPr>
          <w:rFonts w:ascii="Verdana" w:eastAsia="Geomanist Light" w:hAnsi="Verdana" w:cs="Arial"/>
          <w:bCs/>
          <w:sz w:val="20"/>
          <w:lang w:val="es-ES" w:eastAsia="es-MX"/>
        </w:rPr>
      </w:pPr>
      <w:r w:rsidRPr="004A0841">
        <w:rPr>
          <w:rFonts w:ascii="Verdana" w:eastAsia="Geomanist Light" w:hAnsi="Verdana" w:cs="Arial"/>
          <w:bCs/>
          <w:sz w:val="20"/>
          <w:lang w:val="es-ES" w:eastAsia="es-MX"/>
        </w:rPr>
        <w:t xml:space="preserve">En consecuencia, tanto las entidades sometidas al Estatuto General de Contratación de la Administración Pública, como las excluidas de este –es decir, las que tienen un régimen especial– gozan de autonomía para configurar el precio y para establecer el sistema de pago más apropiado para satisfacer los fines de la contratación, respetando los límites previstos en el ordenamiento. En tal perspectiva, cuentan con discrecionalidad para establecer en el pliego de condiciones o en su documento equivalente, así como en el contrato, el sistema de precios unitarios y la figura del AIU; modelo que, como se indicó, es más pertinente para los contratos de tracto sucesivo, como el de obra. </w:t>
      </w:r>
    </w:p>
    <w:p w14:paraId="2C557820" w14:textId="77777777" w:rsidR="004A0841" w:rsidRPr="004A0841" w:rsidRDefault="004A0841" w:rsidP="00751DE8">
      <w:pPr>
        <w:spacing w:after="0" w:line="240" w:lineRule="auto"/>
        <w:jc w:val="both"/>
        <w:rPr>
          <w:rFonts w:ascii="Verdana" w:eastAsia="Geomanist Light" w:hAnsi="Verdana" w:cs="Arial"/>
          <w:b/>
          <w:bCs/>
          <w:lang w:val="es-ES" w:eastAsia="es-MX"/>
        </w:rPr>
      </w:pPr>
    </w:p>
    <w:p w14:paraId="2B3C5F3D" w14:textId="77777777" w:rsidR="004A0841" w:rsidRDefault="004A0841" w:rsidP="00751DE8">
      <w:pPr>
        <w:spacing w:after="0" w:line="240" w:lineRule="auto"/>
        <w:jc w:val="both"/>
        <w:rPr>
          <w:rFonts w:ascii="Verdana" w:eastAsia="Geomanist Light" w:hAnsi="Verdana" w:cs="Arial"/>
          <w:b/>
          <w:bCs/>
          <w:lang w:eastAsia="es-MX"/>
        </w:rPr>
      </w:pPr>
      <w:r>
        <w:rPr>
          <w:rFonts w:ascii="Verdana" w:eastAsia="Geomanist Light" w:hAnsi="Verdana" w:cs="Arial"/>
          <w:b/>
          <w:bCs/>
          <w:lang w:eastAsia="es-MX"/>
        </w:rPr>
        <w:t xml:space="preserve">AIU – APU – Determinación </w:t>
      </w:r>
    </w:p>
    <w:p w14:paraId="6B4DB54D" w14:textId="77777777" w:rsidR="004A0841" w:rsidRDefault="004A0841" w:rsidP="00751DE8">
      <w:pPr>
        <w:spacing w:after="0" w:line="240" w:lineRule="auto"/>
        <w:jc w:val="both"/>
        <w:rPr>
          <w:rFonts w:ascii="Verdana" w:eastAsia="Geomanist Light" w:hAnsi="Verdana" w:cs="Arial"/>
          <w:b/>
          <w:bCs/>
          <w:lang w:eastAsia="es-MX"/>
        </w:rPr>
      </w:pPr>
    </w:p>
    <w:p w14:paraId="2DFD7611" w14:textId="5D700D68" w:rsidR="00751DE8" w:rsidRPr="00751DE8" w:rsidRDefault="00751DE8" w:rsidP="00751DE8">
      <w:pPr>
        <w:spacing w:after="0" w:line="240" w:lineRule="auto"/>
        <w:jc w:val="both"/>
        <w:rPr>
          <w:rFonts w:ascii="Verdana" w:eastAsia="Geomanist Light" w:hAnsi="Verdana" w:cs="Arial"/>
          <w:bCs/>
          <w:sz w:val="20"/>
          <w:lang w:val="es-ES_tradnl" w:eastAsia="es-MX"/>
        </w:rPr>
      </w:pPr>
      <w:r w:rsidRPr="00751DE8">
        <w:rPr>
          <w:rFonts w:ascii="Verdana" w:eastAsia="Geomanist Light" w:hAnsi="Verdana" w:cs="Arial"/>
          <w:bCs/>
          <w:sz w:val="20"/>
          <w:lang w:val="es-ES_tradnl" w:eastAsia="es-MX"/>
        </w:rPr>
        <w:t xml:space="preserve">Así pues, ni el sistema de precios unitarios –como metodología de estipulación del valor contractual–, ni el concepto de AIU, ni mucho menos la forma de calcularlo –es decir, su porcentaje–, son aspectos regulados en el conjunto de las disposiciones legales y reglamentarias que integran la normativa contractual del Estado: “La justificación de esta manera de cotizar el precio procede, incluso, de la formación universitaria que reciben los ingenieros, a quienes les enseñan esta metodología para elaborar las ofertas. </w:t>
      </w:r>
      <w:r w:rsidRPr="00751DE8">
        <w:rPr>
          <w:rFonts w:ascii="Verdana" w:eastAsia="Geomanist Light" w:hAnsi="Verdana" w:cs="Arial"/>
          <w:bCs/>
          <w:sz w:val="20"/>
          <w:lang w:val="es-ES_tradnl" w:eastAsia="es-MX"/>
        </w:rPr>
        <w:lastRenderedPageBreak/>
        <w:t xml:space="preserve">En fin, lo que se quiere indicar con estos comentarios es que la necesidad de presentar una propuesta desglosando en forma intensa su precio no procede de la ley, ni del reglamento, sino de la costumbre, […]”. De otro lado, quien define el valor de cada </w:t>
      </w:r>
      <w:r w:rsidRPr="00751DE8">
        <w:rPr>
          <w:rFonts w:ascii="Verdana" w:eastAsia="Geomanist Light" w:hAnsi="Verdana" w:cs="Arial"/>
          <w:bCs/>
          <w:i/>
          <w:iCs/>
          <w:sz w:val="20"/>
          <w:lang w:val="es-ES_tradnl" w:eastAsia="es-MX"/>
        </w:rPr>
        <w:t>letra</w:t>
      </w:r>
      <w:r w:rsidRPr="00751DE8">
        <w:rPr>
          <w:rFonts w:ascii="Verdana" w:eastAsia="Geomanist Light" w:hAnsi="Verdana" w:cs="Arial"/>
          <w:bCs/>
          <w:sz w:val="20"/>
          <w:lang w:val="es-ES_tradnl" w:eastAsia="es-MX"/>
        </w:rPr>
        <w:t xml:space="preserve"> –AIU– es el proponente, pues goza de libertad empresarial para hacerlo en la elaboración de su oferta.</w:t>
      </w:r>
      <w:r>
        <w:rPr>
          <w:rFonts w:ascii="Verdana" w:eastAsia="Geomanist Light" w:hAnsi="Verdana" w:cs="Arial"/>
          <w:bCs/>
          <w:sz w:val="20"/>
          <w:lang w:val="es-ES_tradnl" w:eastAsia="es-MX"/>
        </w:rPr>
        <w:t xml:space="preserve"> </w:t>
      </w:r>
      <w:r w:rsidRPr="00751DE8">
        <w:rPr>
          <w:rFonts w:ascii="Verdana" w:eastAsia="Geomanist Light" w:hAnsi="Verdana" w:cs="Arial"/>
          <w:bCs/>
          <w:sz w:val="20"/>
          <w:lang w:val="es-ES_tradnl" w:eastAsia="es-MX"/>
        </w:rPr>
        <w:t xml:space="preserve">De este modo, </w:t>
      </w:r>
      <w:r w:rsidRPr="00751DE8">
        <w:rPr>
          <w:rFonts w:ascii="Verdana" w:eastAsia="Geomanist Light" w:hAnsi="Verdana" w:cs="Arial"/>
          <w:bCs/>
          <w:sz w:val="20"/>
          <w:lang w:eastAsia="es-MX"/>
        </w:rPr>
        <w:t>el AIU, como metodología de pacto del precio que proviene de la costumbre mercantil, puede utilizarse en principio en cualquier tipología contractual, aunque lo más común es que se use en los contratos de tracto sucesivo, especialmente, en los que se distinguen los precios unitarios.</w:t>
      </w:r>
      <w:r w:rsidRPr="00751DE8">
        <w:rPr>
          <w:rFonts w:ascii="Verdana" w:eastAsia="Geomanist Light" w:hAnsi="Verdana" w:cs="Arial"/>
          <w:bCs/>
          <w:sz w:val="20"/>
          <w:lang w:val="es-ES_tradnl" w:eastAsia="es-MX"/>
        </w:rPr>
        <w:t xml:space="preserve"> </w:t>
      </w:r>
      <w:r w:rsidRPr="00751DE8">
        <w:rPr>
          <w:rFonts w:ascii="Verdana" w:eastAsia="Geomanist Light" w:hAnsi="Verdana" w:cs="Arial"/>
          <w:bCs/>
          <w:sz w:val="20"/>
          <w:lang w:eastAsia="es-MX"/>
        </w:rPr>
        <w:t xml:space="preserve">La determinación de este sistema de estipulación del valor debe ser el resultado de los estudios previos, y en especial, del análisis del sector. Solo a partir de tales estudios la entidad estatal podrá concluir si es oportuno y conveniente establecer que el precio del contrato y, por tanto, la propuesta del oferente, se deberá establecer distinguiendo los costos directos respecto de los costos indirectos; estos últimos representados en el AIU. </w:t>
      </w:r>
    </w:p>
    <w:p w14:paraId="1E17D05C" w14:textId="59E50F24" w:rsidR="004A0841" w:rsidRDefault="004A0841" w:rsidP="00751DE8">
      <w:pPr>
        <w:spacing w:after="0" w:line="240" w:lineRule="auto"/>
        <w:jc w:val="both"/>
        <w:rPr>
          <w:rFonts w:ascii="Verdana" w:eastAsia="Geomanist Light" w:hAnsi="Verdana" w:cs="Arial"/>
          <w:b/>
          <w:bCs/>
          <w:lang w:eastAsia="es-MX"/>
        </w:rPr>
      </w:pPr>
    </w:p>
    <w:p w14:paraId="17C67072" w14:textId="2BD4CF0C" w:rsidR="004A0841" w:rsidRPr="004A0841" w:rsidRDefault="004A0841" w:rsidP="00751DE8">
      <w:pPr>
        <w:spacing w:after="0" w:line="240" w:lineRule="auto"/>
        <w:jc w:val="both"/>
        <w:rPr>
          <w:rFonts w:ascii="Verdana" w:eastAsia="Geomanist Light" w:hAnsi="Verdana" w:cs="Arial"/>
          <w:b/>
          <w:bCs/>
          <w:lang w:eastAsia="es-MX"/>
        </w:rPr>
      </w:pPr>
      <w:r w:rsidRPr="004A0841">
        <w:rPr>
          <w:rFonts w:ascii="Verdana" w:eastAsia="Geomanist Light" w:hAnsi="Verdana" w:cs="Arial"/>
          <w:b/>
          <w:bCs/>
          <w:lang w:eastAsia="es-MX"/>
        </w:rPr>
        <w:t xml:space="preserve">AIU – Estudios del sector – Tipología contractual – Actividades </w:t>
      </w:r>
    </w:p>
    <w:p w14:paraId="06D5783B" w14:textId="63EF5581" w:rsidR="004A0841" w:rsidRDefault="004A0841" w:rsidP="00751DE8">
      <w:pPr>
        <w:spacing w:after="0" w:line="240" w:lineRule="auto"/>
        <w:jc w:val="both"/>
        <w:rPr>
          <w:rFonts w:ascii="Verdana" w:eastAsia="Geomanist Light" w:hAnsi="Verdana" w:cs="Arial"/>
          <w:b/>
          <w:bCs/>
          <w:lang w:eastAsia="es-MX"/>
        </w:rPr>
      </w:pPr>
    </w:p>
    <w:p w14:paraId="595F29CF" w14:textId="77777777" w:rsidR="00751DE8" w:rsidRPr="00751DE8" w:rsidRDefault="004A0841" w:rsidP="00751DE8">
      <w:pPr>
        <w:spacing w:after="0" w:line="240" w:lineRule="auto"/>
        <w:jc w:val="both"/>
        <w:rPr>
          <w:rFonts w:ascii="Verdana" w:eastAsia="Geomanist Light" w:hAnsi="Verdana" w:cs="Arial"/>
          <w:bCs/>
          <w:sz w:val="20"/>
          <w:szCs w:val="20"/>
          <w:lang w:eastAsia="es-MX"/>
        </w:rPr>
      </w:pPr>
      <w:r w:rsidRPr="00751DE8">
        <w:rPr>
          <w:rFonts w:ascii="Verdana" w:eastAsia="Geomanist Light" w:hAnsi="Verdana" w:cs="Arial"/>
          <w:bCs/>
          <w:sz w:val="20"/>
          <w:szCs w:val="20"/>
          <w:lang w:val="es-ES_tradnl" w:eastAsia="es-MX"/>
        </w:rPr>
        <w:t xml:space="preserve">De este modo, </w:t>
      </w:r>
      <w:r w:rsidRPr="00751DE8">
        <w:rPr>
          <w:rFonts w:ascii="Verdana" w:eastAsia="Geomanist Light" w:hAnsi="Verdana" w:cs="Arial"/>
          <w:bCs/>
          <w:sz w:val="20"/>
          <w:szCs w:val="20"/>
          <w:lang w:eastAsia="es-MX"/>
        </w:rPr>
        <w:t>el AIU, como metodología de pacto del precio que proviene de la costumbre mercantil, puede utilizarse en principio en cualquier tipología contractual, aunque lo más común es que se use en los contratos de tracto sucesivo, especialmente, en los que se distinguen los precios unitarios.</w:t>
      </w:r>
      <w:r w:rsidRPr="00751DE8">
        <w:rPr>
          <w:rFonts w:ascii="Verdana" w:eastAsia="Geomanist Light" w:hAnsi="Verdana" w:cs="Arial"/>
          <w:bCs/>
          <w:sz w:val="20"/>
          <w:szCs w:val="20"/>
          <w:lang w:val="es-ES_tradnl" w:eastAsia="es-MX"/>
        </w:rPr>
        <w:t xml:space="preserve"> </w:t>
      </w:r>
      <w:r w:rsidRPr="00751DE8">
        <w:rPr>
          <w:rFonts w:ascii="Verdana" w:eastAsia="Geomanist Light" w:hAnsi="Verdana" w:cs="Arial"/>
          <w:bCs/>
          <w:sz w:val="20"/>
          <w:szCs w:val="20"/>
          <w:lang w:eastAsia="es-MX"/>
        </w:rPr>
        <w:t xml:space="preserve">La determinación de este sistema de estipulación del valor debe ser el resultado de los estudios previos, y en especial, del análisis del sector. Solo a partir de tales estudios la entidad estatal podrá concluir si es oportuno y conveniente establecer que el precio del contrato y, por tanto, la propuesta del oferente, se deberá establecer distinguiendo los costos directos respecto de los costos indirectos; estos últimos representados en el AIU. </w:t>
      </w:r>
    </w:p>
    <w:p w14:paraId="3174357C" w14:textId="77777777" w:rsidR="00751DE8" w:rsidRPr="00751DE8" w:rsidRDefault="00751DE8" w:rsidP="00751DE8">
      <w:pPr>
        <w:spacing w:after="0" w:line="240" w:lineRule="auto"/>
        <w:jc w:val="both"/>
        <w:rPr>
          <w:rFonts w:ascii="Verdana" w:eastAsia="Geomanist Light" w:hAnsi="Verdana" w:cs="Arial"/>
          <w:bCs/>
          <w:sz w:val="20"/>
          <w:szCs w:val="20"/>
          <w:lang w:eastAsia="es-MX"/>
        </w:rPr>
      </w:pPr>
    </w:p>
    <w:p w14:paraId="57A2468A" w14:textId="0908CB84" w:rsidR="004A0841" w:rsidRPr="00751DE8" w:rsidRDefault="004A0841" w:rsidP="00751DE8">
      <w:pPr>
        <w:spacing w:after="0" w:line="240" w:lineRule="auto"/>
        <w:jc w:val="both"/>
        <w:rPr>
          <w:rFonts w:ascii="Verdana" w:eastAsia="Geomanist Light" w:hAnsi="Verdana" w:cs="Arial"/>
          <w:bCs/>
          <w:sz w:val="20"/>
          <w:szCs w:val="20"/>
          <w:lang w:eastAsia="es-MX"/>
        </w:rPr>
      </w:pPr>
      <w:r w:rsidRPr="00751DE8">
        <w:rPr>
          <w:rFonts w:ascii="Verdana" w:eastAsia="Geomanist Light" w:hAnsi="Verdana" w:cs="Arial"/>
          <w:bCs/>
          <w:sz w:val="20"/>
          <w:szCs w:val="20"/>
          <w:lang w:eastAsia="es-MX"/>
        </w:rPr>
        <w:t xml:space="preserve">En consecuencia, no hay </w:t>
      </w:r>
      <w:r w:rsidRPr="00751DE8">
        <w:rPr>
          <w:rFonts w:ascii="Verdana" w:eastAsia="Geomanist Light" w:hAnsi="Verdana" w:cs="Arial"/>
          <w:bCs/>
          <w:i/>
          <w:iCs/>
          <w:sz w:val="20"/>
          <w:szCs w:val="20"/>
          <w:lang w:eastAsia="es-MX"/>
        </w:rPr>
        <w:t>a priori</w:t>
      </w:r>
      <w:r w:rsidRPr="00751DE8">
        <w:rPr>
          <w:rFonts w:ascii="Verdana" w:eastAsia="Geomanist Light" w:hAnsi="Verdana" w:cs="Arial"/>
          <w:bCs/>
          <w:sz w:val="20"/>
          <w:szCs w:val="20"/>
          <w:lang w:eastAsia="es-MX"/>
        </w:rPr>
        <w:t xml:space="preserve"> tipologías contractuales en las que la ley o el reglamento establezcan que se debe utilizar el AIU, así como tampoco hay una determinación única y específica de la forma en la que el AIU debe ser establecido en contratos que involucra diferentes tipos de actividades como sería la ejecución de obra y la prestación de servicios conexos, ya que tal decisión obedece a lo que resulte más conveniente a la entidad estatal, en cumplimiento del principio de planeación. </w:t>
      </w:r>
    </w:p>
    <w:p w14:paraId="37B762F9" w14:textId="57ECA321" w:rsidR="004A0841" w:rsidRPr="004A0841" w:rsidRDefault="004A0841" w:rsidP="00751DE8">
      <w:pPr>
        <w:spacing w:after="0" w:line="240" w:lineRule="auto"/>
        <w:jc w:val="both"/>
        <w:rPr>
          <w:rFonts w:ascii="Verdana" w:eastAsia="Geomanist Light" w:hAnsi="Verdana" w:cs="Arial"/>
          <w:b/>
          <w:bCs/>
          <w:lang w:val="es-ES" w:eastAsia="es-MX"/>
        </w:rPr>
      </w:pPr>
    </w:p>
    <w:p w14:paraId="13C4CEE0" w14:textId="77777777" w:rsidR="00E1449C" w:rsidRDefault="00E1449C" w:rsidP="00662087">
      <w:pPr>
        <w:spacing w:after="0" w:line="240" w:lineRule="auto"/>
        <w:rPr>
          <w:rFonts w:ascii="Verdana" w:eastAsia="Verdana" w:hAnsi="Verdana" w:cs="Verdana"/>
        </w:rPr>
      </w:pPr>
    </w:p>
    <w:p w14:paraId="5D3428EB" w14:textId="77777777" w:rsidR="00E1449C" w:rsidRDefault="00E1449C" w:rsidP="00662087">
      <w:pPr>
        <w:spacing w:after="0" w:line="240" w:lineRule="auto"/>
        <w:rPr>
          <w:rFonts w:ascii="Verdana" w:eastAsia="Verdana" w:hAnsi="Verdana" w:cs="Verdana"/>
        </w:rPr>
      </w:pPr>
    </w:p>
    <w:p w14:paraId="25D18993" w14:textId="77777777" w:rsidR="00E1449C" w:rsidRDefault="00E1449C" w:rsidP="00662087">
      <w:pPr>
        <w:spacing w:after="0" w:line="240" w:lineRule="auto"/>
        <w:rPr>
          <w:rFonts w:ascii="Verdana" w:eastAsia="Verdana" w:hAnsi="Verdana" w:cs="Verdana"/>
        </w:rPr>
      </w:pPr>
    </w:p>
    <w:p w14:paraId="3AB55987" w14:textId="77777777" w:rsidR="00E1449C" w:rsidRDefault="00E1449C" w:rsidP="00662087">
      <w:pPr>
        <w:spacing w:after="0" w:line="240" w:lineRule="auto"/>
        <w:rPr>
          <w:rFonts w:ascii="Verdana" w:eastAsia="Verdana" w:hAnsi="Verdana" w:cs="Verdana"/>
        </w:rPr>
      </w:pPr>
    </w:p>
    <w:p w14:paraId="43034099" w14:textId="77777777" w:rsidR="00E1449C" w:rsidRDefault="00E1449C" w:rsidP="00662087">
      <w:pPr>
        <w:spacing w:after="0" w:line="240" w:lineRule="auto"/>
        <w:rPr>
          <w:rFonts w:ascii="Verdana" w:eastAsia="Verdana" w:hAnsi="Verdana" w:cs="Verdana"/>
        </w:rPr>
      </w:pPr>
    </w:p>
    <w:p w14:paraId="0BC6BCA6" w14:textId="77777777" w:rsidR="00E1449C" w:rsidRDefault="00E1449C" w:rsidP="00662087">
      <w:pPr>
        <w:spacing w:after="0" w:line="240" w:lineRule="auto"/>
        <w:rPr>
          <w:rFonts w:ascii="Verdana" w:eastAsia="Verdana" w:hAnsi="Verdana" w:cs="Verdana"/>
        </w:rPr>
      </w:pPr>
    </w:p>
    <w:p w14:paraId="4944B8A3" w14:textId="77777777" w:rsidR="00E1449C" w:rsidRDefault="00E1449C" w:rsidP="00662087">
      <w:pPr>
        <w:spacing w:after="0" w:line="240" w:lineRule="auto"/>
        <w:rPr>
          <w:rFonts w:ascii="Verdana" w:eastAsia="Verdana" w:hAnsi="Verdana" w:cs="Verdana"/>
        </w:rPr>
      </w:pPr>
    </w:p>
    <w:p w14:paraId="09CAFAF4" w14:textId="77777777" w:rsidR="00E1449C" w:rsidRDefault="00E1449C" w:rsidP="00662087">
      <w:pPr>
        <w:spacing w:after="0" w:line="240" w:lineRule="auto"/>
        <w:rPr>
          <w:rFonts w:ascii="Verdana" w:eastAsia="Verdana" w:hAnsi="Verdana" w:cs="Verdana"/>
        </w:rPr>
      </w:pPr>
    </w:p>
    <w:p w14:paraId="5CAED231" w14:textId="77777777" w:rsidR="00E1449C" w:rsidRDefault="00E1449C" w:rsidP="00662087">
      <w:pPr>
        <w:spacing w:after="0" w:line="240" w:lineRule="auto"/>
        <w:rPr>
          <w:rFonts w:ascii="Verdana" w:eastAsia="Verdana" w:hAnsi="Verdana" w:cs="Verdana"/>
        </w:rPr>
      </w:pPr>
    </w:p>
    <w:p w14:paraId="75085481" w14:textId="77777777" w:rsidR="00E1449C" w:rsidRDefault="00E1449C" w:rsidP="00662087">
      <w:pPr>
        <w:spacing w:after="0" w:line="240" w:lineRule="auto"/>
        <w:rPr>
          <w:rFonts w:ascii="Verdana" w:eastAsia="Verdana" w:hAnsi="Verdana" w:cs="Verdana"/>
        </w:rPr>
      </w:pPr>
    </w:p>
    <w:p w14:paraId="6E9C3B00" w14:textId="37D04207" w:rsidR="00751DE8" w:rsidRDefault="00751DE8" w:rsidP="00662087">
      <w:pPr>
        <w:spacing w:after="0" w:line="240" w:lineRule="auto"/>
        <w:rPr>
          <w:rFonts w:ascii="Verdana" w:eastAsia="Verdana" w:hAnsi="Verdana" w:cs="Verdana"/>
        </w:rPr>
      </w:pPr>
    </w:p>
    <w:p w14:paraId="1159F47F" w14:textId="4F479FA0" w:rsidR="001F07E0" w:rsidRDefault="00997AFF" w:rsidP="00662087">
      <w:pPr>
        <w:spacing w:after="0" w:line="240" w:lineRule="auto"/>
        <w:rPr>
          <w:rFonts w:ascii="Verdana" w:eastAsia="Verdana" w:hAnsi="Verdana" w:cs="Verdana"/>
        </w:rPr>
      </w:pPr>
      <w:r w:rsidRPr="00997AFF">
        <w:rPr>
          <w:rFonts w:ascii="Verdana" w:eastAsia="Verdana" w:hAnsi="Verdana" w:cs="Verdana"/>
        </w:rPr>
        <w:lastRenderedPageBreak/>
        <w:t xml:space="preserve">Bogotá D.C., </w:t>
      </w:r>
      <w:r w:rsidR="001F07E0">
        <w:rPr>
          <w:rFonts w:ascii="Verdana" w:eastAsia="Verdana" w:hAnsi="Verdana" w:cs="Verdana"/>
        </w:rPr>
        <w:t>4 de agosto de 2026</w:t>
      </w:r>
    </w:p>
    <w:p w14:paraId="323DD3FA" w14:textId="77777777" w:rsidR="001F07E0" w:rsidRDefault="001F07E0" w:rsidP="00662087">
      <w:pPr>
        <w:spacing w:after="0" w:line="240" w:lineRule="auto"/>
        <w:rPr>
          <w:rFonts w:ascii="Verdana" w:eastAsia="Verdana" w:hAnsi="Verdana" w:cs="Verdana"/>
        </w:rPr>
      </w:pPr>
    </w:p>
    <w:p w14:paraId="77F547B2" w14:textId="31BCFA75" w:rsidR="001F07E0" w:rsidRDefault="001F07E0" w:rsidP="001F07E0">
      <w:pPr>
        <w:spacing w:after="0" w:line="240" w:lineRule="auto"/>
        <w:jc w:val="right"/>
        <w:rPr>
          <w:rFonts w:ascii="Verdana" w:eastAsia="Verdana" w:hAnsi="Verdana" w:cs="Verdana"/>
        </w:rPr>
      </w:pPr>
      <w:r w:rsidRPr="001F07E0">
        <w:rPr>
          <w:rFonts w:ascii="Verdana" w:eastAsia="Verdana" w:hAnsi="Verdana" w:cs="Verdana"/>
        </w:rPr>
        <w:drawing>
          <wp:inline distT="0" distB="0" distL="0" distR="0" wp14:anchorId="39E120A4" wp14:editId="0CADF60B">
            <wp:extent cx="3639058" cy="981212"/>
            <wp:effectExtent l="0" t="0" r="0" b="9525"/>
            <wp:docPr id="8120000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000016" name=""/>
                    <pic:cNvPicPr/>
                  </pic:nvPicPr>
                  <pic:blipFill>
                    <a:blip r:embed="rId11"/>
                    <a:stretch>
                      <a:fillRect/>
                    </a:stretch>
                  </pic:blipFill>
                  <pic:spPr>
                    <a:xfrm>
                      <a:off x="0" y="0"/>
                      <a:ext cx="3639058" cy="981212"/>
                    </a:xfrm>
                    <a:prstGeom prst="rect">
                      <a:avLst/>
                    </a:prstGeom>
                  </pic:spPr>
                </pic:pic>
              </a:graphicData>
            </a:graphic>
          </wp:inline>
        </w:drawing>
      </w:r>
    </w:p>
    <w:p w14:paraId="14518312" w14:textId="77777777" w:rsidR="00DC1EFB" w:rsidRDefault="00DC1EFB" w:rsidP="00662087">
      <w:pPr>
        <w:spacing w:after="0" w:line="240" w:lineRule="auto"/>
        <w:rPr>
          <w:rFonts w:ascii="Verdana" w:eastAsia="Verdana" w:hAnsi="Verdana" w:cs="Verdana"/>
        </w:rPr>
      </w:pPr>
    </w:p>
    <w:p w14:paraId="17D0D082" w14:textId="77777777" w:rsidR="00DC1EFB" w:rsidRDefault="00DC1EFB" w:rsidP="00662087">
      <w:pPr>
        <w:spacing w:after="0" w:line="240" w:lineRule="auto"/>
        <w:rPr>
          <w:rFonts w:ascii="Verdana" w:hAnsi="Verdana"/>
        </w:rPr>
      </w:pPr>
    </w:p>
    <w:p w14:paraId="16C81B3D" w14:textId="77777777" w:rsidR="00662087" w:rsidRPr="002B4BE9" w:rsidRDefault="00662087" w:rsidP="00662087">
      <w:pPr>
        <w:spacing w:after="0" w:line="240" w:lineRule="auto"/>
        <w:rPr>
          <w:rFonts w:ascii="Verdana" w:hAnsi="Verdana"/>
        </w:rPr>
      </w:pPr>
    </w:p>
    <w:p w14:paraId="15C9B09B" w14:textId="04ADD06A" w:rsidR="00662087" w:rsidRPr="00524422" w:rsidRDefault="00662087" w:rsidP="00662087">
      <w:pPr>
        <w:spacing w:after="0" w:line="240" w:lineRule="auto"/>
        <w:rPr>
          <w:rFonts w:ascii="Verdana" w:eastAsia="Calibri" w:hAnsi="Verdana" w:cs="Times New Roman"/>
          <w:lang w:val="es-MX"/>
        </w:rPr>
      </w:pPr>
      <w:r w:rsidRPr="00524422">
        <w:rPr>
          <w:rFonts w:ascii="Verdana" w:eastAsia="Calibri" w:hAnsi="Verdana" w:cs="Times New Roman"/>
          <w:lang w:val="es-MX"/>
        </w:rPr>
        <w:t>Señor</w:t>
      </w:r>
    </w:p>
    <w:p w14:paraId="7588DBAF" w14:textId="4C7FE305" w:rsidR="00662087" w:rsidRPr="00524422" w:rsidRDefault="003E4915" w:rsidP="00662087">
      <w:pPr>
        <w:spacing w:after="0" w:line="240" w:lineRule="auto"/>
        <w:rPr>
          <w:rFonts w:ascii="Verdana" w:eastAsia="Calibri" w:hAnsi="Verdana" w:cs="Times New Roman"/>
          <w:b/>
        </w:rPr>
      </w:pPr>
      <w:r>
        <w:rPr>
          <w:rFonts w:ascii="Verdana" w:eastAsia="Calibri" w:hAnsi="Verdana" w:cs="Times New Roman"/>
          <w:b/>
        </w:rPr>
        <w:t>Juan Carlos Salazar</w:t>
      </w:r>
    </w:p>
    <w:p w14:paraId="1E60BD51" w14:textId="2521CC5F" w:rsidR="00662087" w:rsidRPr="00524422" w:rsidRDefault="00211A12" w:rsidP="00CD7FA1">
      <w:pPr>
        <w:spacing w:after="0" w:line="240" w:lineRule="auto"/>
        <w:rPr>
          <w:rFonts w:ascii="Verdana" w:hAnsi="Verdana"/>
        </w:rPr>
      </w:pPr>
      <w:hyperlink r:id="rId12" w:history="1">
        <w:r w:rsidRPr="006467AC">
          <w:rPr>
            <w:rStyle w:val="Hipervnculo"/>
            <w:rFonts w:ascii="Verdana" w:hAnsi="Verdana"/>
          </w:rPr>
          <w:t>juancarlos.abogado.salazar@gmail.com</w:t>
        </w:r>
      </w:hyperlink>
      <w:r>
        <w:rPr>
          <w:rFonts w:ascii="Verdana" w:hAnsi="Verdana"/>
        </w:rPr>
        <w:t xml:space="preserve"> </w:t>
      </w:r>
    </w:p>
    <w:p w14:paraId="004B7FE8" w14:textId="3661EC5C" w:rsidR="00662087" w:rsidRPr="00524422" w:rsidRDefault="00211A12" w:rsidP="00662087">
      <w:pPr>
        <w:spacing w:after="0" w:line="240" w:lineRule="auto"/>
        <w:rPr>
          <w:rFonts w:ascii="Verdana" w:eastAsia="Calibri" w:hAnsi="Verdana" w:cs="Times New Roman"/>
          <w:bCs/>
        </w:rPr>
      </w:pPr>
      <w:r>
        <w:rPr>
          <w:rFonts w:ascii="Verdana" w:eastAsia="Calibri" w:hAnsi="Verdana" w:cs="Times New Roman"/>
          <w:bCs/>
        </w:rPr>
        <w:t>Manizales, Caldas</w:t>
      </w:r>
    </w:p>
    <w:p w14:paraId="6B769296" w14:textId="77777777" w:rsidR="00662087" w:rsidRPr="002B4BE9" w:rsidRDefault="00662087" w:rsidP="00662087">
      <w:pPr>
        <w:spacing w:after="0" w:line="240" w:lineRule="auto"/>
        <w:rPr>
          <w:rFonts w:ascii="Verdana" w:eastAsia="Calibri" w:hAnsi="Verdana" w:cs="Times New Roman"/>
        </w:rPr>
      </w:pPr>
    </w:p>
    <w:p w14:paraId="3EE2843F" w14:textId="77777777" w:rsidR="00662087" w:rsidRPr="002B4BE9" w:rsidRDefault="00662087" w:rsidP="00662087">
      <w:pPr>
        <w:spacing w:after="0" w:line="240" w:lineRule="auto"/>
        <w:rPr>
          <w:rFonts w:ascii="Verdana" w:eastAsia="Calibri" w:hAnsi="Verdana" w:cs="Times New Roman"/>
        </w:rPr>
      </w:pPr>
    </w:p>
    <w:p w14:paraId="12F84193" w14:textId="5AE357A6" w:rsidR="00662087" w:rsidRPr="002B4BE9" w:rsidRDefault="00662087" w:rsidP="00662087">
      <w:pPr>
        <w:spacing w:after="0" w:line="240" w:lineRule="auto"/>
        <w:rPr>
          <w:rFonts w:ascii="Verdana" w:eastAsia="Calibri" w:hAnsi="Verdana" w:cs="Times New Roman"/>
          <w:b/>
          <w:bCs/>
          <w:lang w:val="es-ES"/>
        </w:rPr>
      </w:pPr>
      <w:r w:rsidRPr="002B4BE9">
        <w:rPr>
          <w:rFonts w:ascii="Verdana" w:eastAsia="Calibri" w:hAnsi="Verdana" w:cs="Times New Roman"/>
          <w:b/>
          <w:bCs/>
          <w:lang w:val="es-ES"/>
        </w:rPr>
        <w:t xml:space="preserve">                    </w:t>
      </w:r>
      <w:r>
        <w:rPr>
          <w:rFonts w:ascii="Verdana" w:eastAsia="Calibri" w:hAnsi="Verdana" w:cs="Times New Roman"/>
          <w:b/>
          <w:bCs/>
          <w:lang w:val="es-ES"/>
        </w:rPr>
        <w:t xml:space="preserve">                Concepto C–</w:t>
      </w:r>
      <w:r w:rsidR="00C7520B">
        <w:rPr>
          <w:rFonts w:ascii="Verdana" w:eastAsia="Calibri" w:hAnsi="Verdana" w:cs="Times New Roman"/>
          <w:b/>
          <w:bCs/>
          <w:lang w:val="es-ES"/>
        </w:rPr>
        <w:t>1003</w:t>
      </w:r>
      <w:r>
        <w:rPr>
          <w:rFonts w:ascii="Verdana" w:eastAsia="Calibri" w:hAnsi="Verdana" w:cs="Times New Roman"/>
          <w:b/>
          <w:bCs/>
          <w:lang w:val="es-ES"/>
        </w:rPr>
        <w:t xml:space="preserve"> de 2026</w:t>
      </w:r>
    </w:p>
    <w:p w14:paraId="58F87254" w14:textId="77777777" w:rsidR="00662087" w:rsidRPr="002B4BE9" w:rsidRDefault="00662087" w:rsidP="00662087">
      <w:pPr>
        <w:spacing w:after="0" w:line="240" w:lineRule="auto"/>
        <w:rPr>
          <w:rFonts w:ascii="Verdana" w:eastAsia="Calibri" w:hAnsi="Verdana" w:cs="Times New Roman"/>
          <w:lang w:val="es-ES_tradnl"/>
        </w:rPr>
      </w:pPr>
    </w:p>
    <w:tbl>
      <w:tblPr>
        <w:tblStyle w:val="Tablaconcuadrcula11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662087" w:rsidRPr="002B4BE9" w14:paraId="4CBECE47" w14:textId="77777777" w:rsidTr="002A4618">
        <w:trPr>
          <w:trHeight w:val="645"/>
        </w:trPr>
        <w:tc>
          <w:tcPr>
            <w:tcW w:w="2685" w:type="dxa"/>
            <w:hideMark/>
          </w:tcPr>
          <w:p w14:paraId="4E46D6C2" w14:textId="77777777" w:rsidR="00662087" w:rsidRPr="00403388" w:rsidRDefault="00662087" w:rsidP="002A4618">
            <w:pPr>
              <w:rPr>
                <w:rFonts w:ascii="Verdana" w:hAnsi="Verdana"/>
                <w:b/>
                <w:bCs/>
                <w:lang w:val="es-ES_tradnl"/>
              </w:rPr>
            </w:pPr>
            <w:r w:rsidRPr="00403388">
              <w:rPr>
                <w:rFonts w:ascii="Verdana" w:hAnsi="Verdana"/>
                <w:b/>
                <w:bCs/>
                <w:lang w:val="es-ES_tradnl"/>
              </w:rPr>
              <w:t xml:space="preserve">Temas:                  </w:t>
            </w:r>
          </w:p>
        </w:tc>
        <w:tc>
          <w:tcPr>
            <w:tcW w:w="6241" w:type="dxa"/>
            <w:hideMark/>
          </w:tcPr>
          <w:p w14:paraId="0EA9ACF1" w14:textId="1DE58302" w:rsidR="00662087" w:rsidRPr="00403388" w:rsidRDefault="00662087" w:rsidP="002A4618">
            <w:pPr>
              <w:spacing w:line="276" w:lineRule="auto"/>
              <w:jc w:val="both"/>
              <w:rPr>
                <w:rFonts w:ascii="Verdana" w:hAnsi="Verdana" w:cs="Arial"/>
                <w:lang w:val="es-ES" w:eastAsia="es-ES"/>
              </w:rPr>
            </w:pPr>
            <w:r w:rsidRPr="001B49B3">
              <w:rPr>
                <w:rFonts w:ascii="Verdana" w:hAnsi="Verdana" w:cs="Arial"/>
                <w:bCs/>
                <w:color w:val="000000"/>
                <w:lang w:val="es-ES"/>
              </w:rPr>
              <w:t xml:space="preserve">PRECIOS UNITARIOS – APU – AIU / </w:t>
            </w:r>
            <w:r w:rsidRPr="001B49B3">
              <w:rPr>
                <w:rFonts w:ascii="Verdana" w:eastAsia="Geomanist Light" w:hAnsi="Verdana" w:cs="Arial"/>
                <w:bCs/>
                <w:lang w:eastAsia="es-MX"/>
              </w:rPr>
              <w:t>AIU – Costos indirectos – Discrecionalidad / AIU – APU – Determinación</w:t>
            </w:r>
            <w:r w:rsidR="001B49B3" w:rsidRPr="001B49B3">
              <w:rPr>
                <w:rFonts w:ascii="Verdana" w:eastAsia="Geomanist Light" w:hAnsi="Verdana" w:cs="Arial"/>
                <w:bCs/>
                <w:lang w:eastAsia="es-MX"/>
              </w:rPr>
              <w:t xml:space="preserve"> / AIU – Estudios del sector – Tipología contractual – Actividades</w:t>
            </w:r>
          </w:p>
          <w:p w14:paraId="1E5C5293" w14:textId="77777777" w:rsidR="00662087" w:rsidRPr="00403388" w:rsidRDefault="00662087" w:rsidP="002A4618">
            <w:pPr>
              <w:snapToGrid w:val="0"/>
              <w:spacing w:line="276" w:lineRule="auto"/>
              <w:jc w:val="both"/>
              <w:rPr>
                <w:rFonts w:ascii="Verdana" w:hAnsi="Verdana" w:cs="Arial"/>
                <w:bCs/>
                <w:lang w:val="es-ES" w:eastAsia="es-ES"/>
              </w:rPr>
            </w:pPr>
          </w:p>
        </w:tc>
        <w:tc>
          <w:tcPr>
            <w:tcW w:w="6237" w:type="dxa"/>
          </w:tcPr>
          <w:p w14:paraId="56D88DA5" w14:textId="77777777" w:rsidR="00662087" w:rsidRPr="002B4BE9" w:rsidRDefault="00662087" w:rsidP="002A4618">
            <w:pPr>
              <w:rPr>
                <w:rFonts w:ascii="Verdana" w:hAnsi="Verdana"/>
                <w:lang w:val="es-ES"/>
              </w:rPr>
            </w:pPr>
          </w:p>
        </w:tc>
      </w:tr>
      <w:tr w:rsidR="00662087" w:rsidRPr="002B4BE9" w14:paraId="7F9C4229" w14:textId="77777777" w:rsidTr="002A4618">
        <w:tc>
          <w:tcPr>
            <w:tcW w:w="2685" w:type="dxa"/>
          </w:tcPr>
          <w:p w14:paraId="4EFC63BE" w14:textId="77777777" w:rsidR="00662087" w:rsidRPr="002B4BE9" w:rsidRDefault="00662087" w:rsidP="002A4618">
            <w:pPr>
              <w:rPr>
                <w:rFonts w:ascii="Verdana" w:hAnsi="Verdana"/>
                <w:b/>
                <w:bCs/>
                <w:lang w:val="es-ES_tradnl"/>
              </w:rPr>
            </w:pPr>
          </w:p>
          <w:p w14:paraId="438B43B8" w14:textId="77777777" w:rsidR="00662087" w:rsidRPr="00995618" w:rsidRDefault="00662087" w:rsidP="002A4618">
            <w:pPr>
              <w:rPr>
                <w:rFonts w:ascii="Verdana" w:hAnsi="Verdana"/>
                <w:b/>
                <w:bCs/>
                <w:lang w:val="es-ES_tradnl"/>
              </w:rPr>
            </w:pPr>
            <w:r w:rsidRPr="002B4BE9">
              <w:rPr>
                <w:rFonts w:ascii="Verdana" w:hAnsi="Verdana"/>
                <w:b/>
                <w:bCs/>
                <w:lang w:val="es-ES_tradnl"/>
              </w:rPr>
              <w:t xml:space="preserve">Radicación:               </w:t>
            </w:r>
          </w:p>
        </w:tc>
        <w:tc>
          <w:tcPr>
            <w:tcW w:w="6241" w:type="dxa"/>
          </w:tcPr>
          <w:p w14:paraId="50B1BF90" w14:textId="77777777" w:rsidR="00662087" w:rsidRPr="002B4BE9" w:rsidRDefault="00662087" w:rsidP="002A4618">
            <w:pPr>
              <w:spacing w:line="276" w:lineRule="auto"/>
              <w:jc w:val="both"/>
              <w:rPr>
                <w:rFonts w:ascii="Verdana" w:hAnsi="Verdana"/>
                <w:lang w:val="es-ES_tradnl"/>
              </w:rPr>
            </w:pPr>
          </w:p>
          <w:p w14:paraId="4E0EC95C" w14:textId="58210759" w:rsidR="00662087" w:rsidRPr="002B4BE9" w:rsidRDefault="00662087" w:rsidP="002A4618">
            <w:pPr>
              <w:spacing w:line="276" w:lineRule="auto"/>
              <w:jc w:val="both"/>
              <w:rPr>
                <w:rFonts w:ascii="Verdana" w:hAnsi="Verdana"/>
                <w:lang w:val="es-ES_tradnl"/>
              </w:rPr>
            </w:pPr>
            <w:r w:rsidRPr="002B4BE9">
              <w:rPr>
                <w:rFonts w:ascii="Verdana" w:hAnsi="Verdana"/>
                <w:lang w:val="es-ES_tradnl"/>
              </w:rPr>
              <w:t>Res</w:t>
            </w:r>
            <w:r>
              <w:rPr>
                <w:rFonts w:ascii="Verdana" w:hAnsi="Verdana"/>
                <w:lang w:val="es-ES_tradnl"/>
              </w:rPr>
              <w:t>puesta a consulta</w:t>
            </w:r>
            <w:r w:rsidR="00C1215D">
              <w:rPr>
                <w:rFonts w:ascii="Verdana" w:hAnsi="Verdana"/>
                <w:lang w:val="es-ES_tradnl"/>
              </w:rPr>
              <w:t>s acumuladas</w:t>
            </w:r>
            <w:r>
              <w:rPr>
                <w:rFonts w:ascii="Verdana" w:hAnsi="Verdana"/>
                <w:lang w:val="es-ES_tradnl"/>
              </w:rPr>
              <w:t xml:space="preserve"> con radicado</w:t>
            </w:r>
            <w:r w:rsidR="00C1215D">
              <w:rPr>
                <w:rFonts w:ascii="Verdana" w:hAnsi="Verdana"/>
                <w:lang w:val="es-ES_tradnl"/>
              </w:rPr>
              <w:t>s</w:t>
            </w:r>
            <w:r>
              <w:rPr>
                <w:rFonts w:ascii="Verdana" w:hAnsi="Verdana"/>
                <w:lang w:val="es-ES_tradnl"/>
              </w:rPr>
              <w:t xml:space="preserve"> </w:t>
            </w:r>
            <w:r w:rsidR="00CD47CD" w:rsidRPr="00CD47CD">
              <w:rPr>
                <w:rFonts w:ascii="Verdana" w:hAnsi="Verdana"/>
              </w:rPr>
              <w:t>1_2026_06_22_008364</w:t>
            </w:r>
            <w:r w:rsidR="00CD47CD">
              <w:rPr>
                <w:rFonts w:ascii="Verdana" w:hAnsi="Verdana"/>
              </w:rPr>
              <w:t>,</w:t>
            </w:r>
            <w:r w:rsidR="00CD47CD">
              <w:t xml:space="preserve"> </w:t>
            </w:r>
            <w:r w:rsidR="00CD47CD" w:rsidRPr="00CD47CD">
              <w:rPr>
                <w:rFonts w:ascii="Verdana" w:hAnsi="Verdana"/>
              </w:rPr>
              <w:t>1_2026_06_23_008395</w:t>
            </w:r>
            <w:r w:rsidR="00CD47CD">
              <w:rPr>
                <w:rFonts w:ascii="Verdana" w:hAnsi="Verdana"/>
              </w:rPr>
              <w:t xml:space="preserve">, </w:t>
            </w:r>
            <w:r w:rsidR="00030B1D" w:rsidRPr="00030B1D">
              <w:rPr>
                <w:rFonts w:ascii="Verdana" w:hAnsi="Verdana"/>
              </w:rPr>
              <w:t>1_2026_06_23_008397</w:t>
            </w:r>
            <w:r w:rsidR="00030B1D">
              <w:rPr>
                <w:rFonts w:ascii="Verdana" w:hAnsi="Verdana"/>
              </w:rPr>
              <w:t xml:space="preserve"> </w:t>
            </w:r>
            <w:r w:rsidR="00C1215D">
              <w:rPr>
                <w:rFonts w:ascii="Verdana" w:hAnsi="Verdana"/>
              </w:rPr>
              <w:t xml:space="preserve">y </w:t>
            </w:r>
            <w:r w:rsidR="00030B1D" w:rsidRPr="00030B1D">
              <w:rPr>
                <w:rFonts w:ascii="Verdana" w:hAnsi="Verdana"/>
              </w:rPr>
              <w:t>1_2026_06_26_008585</w:t>
            </w:r>
          </w:p>
          <w:p w14:paraId="284FA44B" w14:textId="77777777" w:rsidR="00662087" w:rsidRPr="002B4BE9" w:rsidRDefault="00662087" w:rsidP="002A4618">
            <w:pPr>
              <w:spacing w:line="276" w:lineRule="auto"/>
              <w:jc w:val="both"/>
              <w:rPr>
                <w:rFonts w:ascii="Verdana" w:hAnsi="Verdana"/>
              </w:rPr>
            </w:pPr>
          </w:p>
          <w:p w14:paraId="125E8ADE" w14:textId="77777777" w:rsidR="00662087" w:rsidRPr="002B4BE9" w:rsidRDefault="00662087" w:rsidP="002A4618">
            <w:pPr>
              <w:spacing w:line="276" w:lineRule="auto"/>
              <w:jc w:val="both"/>
              <w:rPr>
                <w:rFonts w:ascii="Verdana" w:hAnsi="Verdana"/>
              </w:rPr>
            </w:pPr>
          </w:p>
        </w:tc>
        <w:tc>
          <w:tcPr>
            <w:tcW w:w="6237" w:type="dxa"/>
          </w:tcPr>
          <w:p w14:paraId="50023446" w14:textId="77777777" w:rsidR="00662087" w:rsidRPr="002B4BE9" w:rsidRDefault="00662087" w:rsidP="002A4618">
            <w:pPr>
              <w:rPr>
                <w:rFonts w:ascii="Verdana" w:hAnsi="Verdana"/>
              </w:rPr>
            </w:pPr>
          </w:p>
        </w:tc>
      </w:tr>
    </w:tbl>
    <w:p w14:paraId="28A30BD8" w14:textId="68AA28D8" w:rsidR="00662087" w:rsidRPr="009037F6" w:rsidRDefault="00662087" w:rsidP="00662087">
      <w:pPr>
        <w:spacing w:after="0" w:line="256" w:lineRule="auto"/>
        <w:rPr>
          <w:rFonts w:ascii="Verdana" w:eastAsia="Calibri" w:hAnsi="Verdana" w:cs="Times New Roman"/>
          <w:lang w:val="es-ES"/>
        </w:rPr>
      </w:pPr>
      <w:r>
        <w:rPr>
          <w:rFonts w:ascii="Verdana" w:eastAsia="Calibri" w:hAnsi="Verdana" w:cs="Times New Roman"/>
          <w:lang w:val="es-ES"/>
        </w:rPr>
        <w:t>Estimad</w:t>
      </w:r>
      <w:r w:rsidR="00BF112D">
        <w:rPr>
          <w:rFonts w:ascii="Verdana" w:eastAsia="Calibri" w:hAnsi="Verdana" w:cs="Times New Roman"/>
          <w:lang w:val="es-ES"/>
        </w:rPr>
        <w:t>o</w:t>
      </w:r>
      <w:r>
        <w:rPr>
          <w:rFonts w:ascii="Verdana" w:eastAsia="Calibri" w:hAnsi="Verdana" w:cs="Times New Roman"/>
          <w:lang w:val="es-ES"/>
        </w:rPr>
        <w:t xml:space="preserve"> Señor </w:t>
      </w:r>
      <w:r w:rsidR="001A35A7">
        <w:rPr>
          <w:rFonts w:ascii="Verdana" w:eastAsia="Calibri" w:hAnsi="Verdana" w:cs="Times New Roman"/>
          <w:lang w:val="es-ES"/>
        </w:rPr>
        <w:t>Salazar</w:t>
      </w:r>
      <w:r w:rsidRPr="009037F6">
        <w:rPr>
          <w:rFonts w:ascii="Verdana" w:eastAsia="Calibri" w:hAnsi="Verdana" w:cs="Times New Roman"/>
          <w:lang w:val="es-ES"/>
        </w:rPr>
        <w:t xml:space="preserve">: </w:t>
      </w:r>
    </w:p>
    <w:p w14:paraId="120A1525" w14:textId="77777777" w:rsidR="00662087" w:rsidRPr="009037F6" w:rsidRDefault="00662087" w:rsidP="00662087">
      <w:pPr>
        <w:spacing w:after="0" w:line="276" w:lineRule="auto"/>
        <w:rPr>
          <w:rFonts w:ascii="Verdana" w:eastAsia="Calibri" w:hAnsi="Verdana" w:cs="Times New Roman"/>
          <w:lang w:val="es-ES"/>
        </w:rPr>
      </w:pPr>
    </w:p>
    <w:p w14:paraId="37FDACAF" w14:textId="3219DBD9" w:rsidR="003A26B0" w:rsidRDefault="00662087" w:rsidP="003A26B0">
      <w:pPr>
        <w:spacing w:after="120" w:line="276" w:lineRule="auto"/>
        <w:jc w:val="both"/>
        <w:rPr>
          <w:rFonts w:ascii="Verdana" w:eastAsia="Calibri" w:hAnsi="Verdana" w:cs="Times New Roman"/>
          <w:bCs/>
          <w:lang w:val="es-ES" w:bidi="es-ES"/>
        </w:rPr>
      </w:pPr>
      <w:r w:rsidRPr="009037F6">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w:t>
      </w:r>
      <w:proofErr w:type="spellStart"/>
      <w:r w:rsidRPr="009037F6">
        <w:rPr>
          <w:rFonts w:ascii="Verdana" w:eastAsia="Calibri" w:hAnsi="Verdana" w:cs="Times New Roman"/>
          <w:bCs/>
          <w:lang w:bidi="es-ES"/>
        </w:rPr>
        <w:t>N°</w:t>
      </w:r>
      <w:proofErr w:type="spellEnd"/>
      <w:r w:rsidRPr="009037F6">
        <w:rPr>
          <w:rFonts w:ascii="Verdana" w:eastAsia="Calibri" w:hAnsi="Verdana" w:cs="Times New Roman"/>
          <w:bCs/>
          <w:lang w:bidi="es-ES"/>
        </w:rPr>
        <w:t xml:space="preserve"> 469 del 2025 expedida por esta Agencia, </w:t>
      </w:r>
      <w:r w:rsidRPr="009037F6">
        <w:rPr>
          <w:rFonts w:ascii="Verdana" w:eastAsia="Calibri" w:hAnsi="Verdana" w:cs="Times New Roman"/>
          <w:bCs/>
          <w:lang w:val="es-ES" w:bidi="es-ES"/>
        </w:rPr>
        <w:t>respond</w:t>
      </w:r>
      <w:r>
        <w:rPr>
          <w:rFonts w:ascii="Verdana" w:eastAsia="Calibri" w:hAnsi="Verdana" w:cs="Times New Roman"/>
          <w:bCs/>
          <w:lang w:val="es-ES" w:bidi="es-ES"/>
        </w:rPr>
        <w:t xml:space="preserve">e </w:t>
      </w:r>
      <w:r w:rsidR="00192805">
        <w:rPr>
          <w:rFonts w:ascii="Verdana" w:eastAsia="Calibri" w:hAnsi="Verdana" w:cs="Times New Roman"/>
          <w:bCs/>
          <w:lang w:val="es-ES" w:bidi="es-ES"/>
        </w:rPr>
        <w:t>sus</w:t>
      </w:r>
      <w:r>
        <w:rPr>
          <w:rFonts w:ascii="Verdana" w:eastAsia="Calibri" w:hAnsi="Verdana" w:cs="Times New Roman"/>
          <w:bCs/>
          <w:lang w:val="es-ES" w:bidi="es-ES"/>
        </w:rPr>
        <w:t xml:space="preserve"> solicitud</w:t>
      </w:r>
      <w:r w:rsidR="00192805">
        <w:rPr>
          <w:rFonts w:ascii="Verdana" w:eastAsia="Calibri" w:hAnsi="Verdana" w:cs="Times New Roman"/>
          <w:bCs/>
          <w:lang w:val="es-ES" w:bidi="es-ES"/>
        </w:rPr>
        <w:t xml:space="preserve">es </w:t>
      </w:r>
      <w:r>
        <w:rPr>
          <w:rFonts w:ascii="Verdana" w:eastAsia="Calibri" w:hAnsi="Verdana" w:cs="Times New Roman"/>
          <w:bCs/>
          <w:lang w:val="es-ES" w:bidi="es-ES"/>
        </w:rPr>
        <w:t xml:space="preserve">de consulta del </w:t>
      </w:r>
      <w:r w:rsidR="00515F6A">
        <w:rPr>
          <w:rFonts w:ascii="Verdana" w:eastAsia="Calibri" w:hAnsi="Verdana" w:cs="Times New Roman"/>
          <w:bCs/>
          <w:lang w:val="es-ES" w:bidi="es-ES"/>
        </w:rPr>
        <w:t>22, 23</w:t>
      </w:r>
      <w:r w:rsidR="00192805">
        <w:rPr>
          <w:rFonts w:ascii="Verdana" w:eastAsia="Calibri" w:hAnsi="Verdana" w:cs="Times New Roman"/>
          <w:bCs/>
          <w:lang w:val="es-ES" w:bidi="es-ES"/>
        </w:rPr>
        <w:t xml:space="preserve"> y </w:t>
      </w:r>
      <w:r w:rsidR="00ED44D6">
        <w:rPr>
          <w:rFonts w:ascii="Verdana" w:eastAsia="Calibri" w:hAnsi="Verdana" w:cs="Times New Roman"/>
          <w:bCs/>
          <w:lang w:val="es-ES" w:bidi="es-ES"/>
        </w:rPr>
        <w:t>26</w:t>
      </w:r>
      <w:r>
        <w:rPr>
          <w:rFonts w:ascii="Verdana" w:eastAsia="Calibri" w:hAnsi="Verdana" w:cs="Times New Roman"/>
          <w:bCs/>
          <w:lang w:val="es-ES" w:bidi="es-ES"/>
        </w:rPr>
        <w:t xml:space="preserve"> de </w:t>
      </w:r>
      <w:r w:rsidR="00ED44D6">
        <w:rPr>
          <w:rFonts w:ascii="Verdana" w:eastAsia="Calibri" w:hAnsi="Verdana" w:cs="Times New Roman"/>
          <w:bCs/>
          <w:lang w:val="es-ES" w:bidi="es-ES"/>
        </w:rPr>
        <w:t>junio</w:t>
      </w:r>
      <w:r>
        <w:rPr>
          <w:rFonts w:ascii="Verdana" w:eastAsia="Calibri" w:hAnsi="Verdana" w:cs="Times New Roman"/>
          <w:bCs/>
          <w:lang w:val="es-ES" w:bidi="es-ES"/>
        </w:rPr>
        <w:t xml:space="preserve"> de 2026</w:t>
      </w:r>
      <w:r w:rsidRPr="009037F6">
        <w:rPr>
          <w:rFonts w:ascii="Verdana" w:eastAsia="Calibri" w:hAnsi="Verdana" w:cs="Times New Roman"/>
          <w:bCs/>
          <w:lang w:val="es-ES" w:bidi="es-ES"/>
        </w:rPr>
        <w:t>,</w:t>
      </w:r>
      <w:r w:rsidR="00192805">
        <w:rPr>
          <w:rFonts w:ascii="Verdana" w:eastAsia="Calibri" w:hAnsi="Verdana" w:cs="Times New Roman"/>
          <w:bCs/>
          <w:lang w:val="es-ES" w:bidi="es-ES"/>
        </w:rPr>
        <w:t xml:space="preserve"> respectivamente,</w:t>
      </w:r>
      <w:r w:rsidR="00CC2F6F">
        <w:rPr>
          <w:rFonts w:ascii="Verdana" w:eastAsia="Calibri" w:hAnsi="Verdana" w:cs="Times New Roman"/>
          <w:bCs/>
          <w:lang w:val="es-ES" w:bidi="es-ES"/>
        </w:rPr>
        <w:t xml:space="preserve"> remitidas por la Auditoria </w:t>
      </w:r>
      <w:r w:rsidR="00CC2F6F">
        <w:rPr>
          <w:rFonts w:ascii="Verdana" w:eastAsia="Calibri" w:hAnsi="Verdana" w:cs="Times New Roman"/>
          <w:bCs/>
          <w:lang w:val="es-ES" w:bidi="es-ES"/>
        </w:rPr>
        <w:lastRenderedPageBreak/>
        <w:t>General de la República</w:t>
      </w:r>
      <w:r w:rsidRPr="009037F6">
        <w:rPr>
          <w:rFonts w:ascii="Verdana" w:eastAsia="Calibri" w:hAnsi="Verdana" w:cs="Times New Roman"/>
          <w:bCs/>
          <w:lang w:val="es-ES" w:bidi="es-ES"/>
        </w:rPr>
        <w:t xml:space="preserve"> </w:t>
      </w:r>
      <w:r w:rsidR="00464ACB">
        <w:rPr>
          <w:rFonts w:ascii="Verdana" w:eastAsia="Calibri" w:hAnsi="Verdana" w:cs="Times New Roman"/>
          <w:bCs/>
          <w:lang w:val="es-ES" w:bidi="es-ES"/>
        </w:rPr>
        <w:t xml:space="preserve">mediante oficio remisorio No. </w:t>
      </w:r>
      <w:r w:rsidR="00464ACB" w:rsidRPr="00464ACB">
        <w:rPr>
          <w:rFonts w:ascii="Verdana" w:eastAsia="Calibri" w:hAnsi="Verdana" w:cs="Times New Roman"/>
          <w:bCs/>
          <w:lang w:val="es-ES" w:bidi="es-ES"/>
        </w:rPr>
        <w:t>2102-202602104</w:t>
      </w:r>
      <w:r w:rsidR="00464ACB">
        <w:rPr>
          <w:rFonts w:ascii="Verdana" w:eastAsia="Calibri" w:hAnsi="Verdana" w:cs="Times New Roman"/>
          <w:bCs/>
          <w:lang w:val="es-ES" w:bidi="es-ES"/>
        </w:rPr>
        <w:t xml:space="preserve">, </w:t>
      </w:r>
      <w:r w:rsidRPr="009037F6">
        <w:rPr>
          <w:rFonts w:ascii="Verdana" w:eastAsia="Calibri" w:hAnsi="Verdana" w:cs="Times New Roman"/>
          <w:bCs/>
          <w:lang w:val="es-ES" w:bidi="es-ES"/>
        </w:rPr>
        <w:t>en la</w:t>
      </w:r>
      <w:r w:rsidR="00A61436">
        <w:rPr>
          <w:rFonts w:ascii="Verdana" w:eastAsia="Calibri" w:hAnsi="Verdana" w:cs="Times New Roman"/>
          <w:bCs/>
          <w:lang w:val="es-ES" w:bidi="es-ES"/>
        </w:rPr>
        <w:t>s</w:t>
      </w:r>
      <w:r w:rsidRPr="009037F6">
        <w:rPr>
          <w:rFonts w:ascii="Verdana" w:eastAsia="Calibri" w:hAnsi="Verdana" w:cs="Times New Roman"/>
          <w:bCs/>
          <w:lang w:val="es-ES" w:bidi="es-ES"/>
        </w:rPr>
        <w:t xml:space="preserve"> cual</w:t>
      </w:r>
      <w:r w:rsidR="00A61436">
        <w:rPr>
          <w:rFonts w:ascii="Verdana" w:eastAsia="Calibri" w:hAnsi="Verdana" w:cs="Times New Roman"/>
          <w:bCs/>
          <w:lang w:val="es-ES" w:bidi="es-ES"/>
        </w:rPr>
        <w:t>es</w:t>
      </w:r>
      <w:r w:rsidRPr="009037F6">
        <w:rPr>
          <w:rFonts w:ascii="Verdana" w:eastAsia="Calibri" w:hAnsi="Verdana" w:cs="Times New Roman"/>
          <w:bCs/>
          <w:lang w:val="es-ES" w:bidi="es-ES"/>
        </w:rPr>
        <w:t xml:space="preserve"> manifiesta: </w:t>
      </w:r>
    </w:p>
    <w:p w14:paraId="23DFA514" w14:textId="77777777" w:rsidR="005648EC" w:rsidRDefault="00662087" w:rsidP="005648EC">
      <w:pPr>
        <w:tabs>
          <w:tab w:val="left" w:pos="709"/>
        </w:tabs>
        <w:spacing w:after="120" w:line="240" w:lineRule="auto"/>
        <w:ind w:left="709" w:right="709"/>
        <w:jc w:val="both"/>
        <w:rPr>
          <w:rFonts w:ascii="Verdana" w:hAnsi="Verdana" w:cs="Arial"/>
          <w:sz w:val="21"/>
          <w:szCs w:val="21"/>
          <w:lang w:val="es-ES" w:eastAsia="es-ES"/>
        </w:rPr>
      </w:pPr>
      <w:r w:rsidRPr="00294ADE">
        <w:rPr>
          <w:rFonts w:ascii="Verdana" w:hAnsi="Verdana" w:cs="Arial"/>
          <w:sz w:val="21"/>
          <w:szCs w:val="21"/>
          <w:lang w:val="es-ES" w:eastAsia="es-ES"/>
        </w:rPr>
        <w:t>“</w:t>
      </w:r>
      <w:r w:rsidR="005648EC" w:rsidRPr="005648EC">
        <w:rPr>
          <w:rFonts w:ascii="Verdana" w:hAnsi="Verdana" w:cs="Arial"/>
          <w:sz w:val="21"/>
          <w:szCs w:val="21"/>
          <w:lang w:val="es-ES" w:eastAsia="es-ES"/>
        </w:rPr>
        <w:t>Consulta</w:t>
      </w:r>
    </w:p>
    <w:p w14:paraId="27D9DE58" w14:textId="208B87A6" w:rsidR="00662087" w:rsidRPr="00294ADE" w:rsidRDefault="005648EC" w:rsidP="005648EC">
      <w:pPr>
        <w:tabs>
          <w:tab w:val="left" w:pos="709"/>
        </w:tabs>
        <w:spacing w:after="120" w:line="240" w:lineRule="auto"/>
        <w:ind w:left="709" w:right="709"/>
        <w:jc w:val="both"/>
        <w:rPr>
          <w:rFonts w:ascii="Verdana" w:hAnsi="Verdana" w:cs="Arial"/>
          <w:sz w:val="21"/>
          <w:szCs w:val="21"/>
          <w:lang w:val="es-ES" w:eastAsia="es-ES"/>
        </w:rPr>
      </w:pPr>
      <w:r w:rsidRPr="005648EC">
        <w:rPr>
          <w:rFonts w:ascii="Verdana" w:hAnsi="Verdana" w:cs="Arial"/>
          <w:sz w:val="21"/>
          <w:szCs w:val="21"/>
          <w:lang w:val="es-ES" w:eastAsia="es-ES"/>
        </w:rPr>
        <w:t>¿Puede una entidad pública sometida al Estatuto General de la Contratación incorporar, reconocer y pagar al contratista dentro del presupuesto contractual los valores correspondientes a costos indirectos y a la retención en la fuente (</w:t>
      </w:r>
      <w:proofErr w:type="spellStart"/>
      <w:r w:rsidRPr="005648EC">
        <w:rPr>
          <w:rFonts w:ascii="Verdana" w:hAnsi="Verdana" w:cs="Arial"/>
          <w:sz w:val="21"/>
          <w:szCs w:val="21"/>
          <w:lang w:val="es-ES" w:eastAsia="es-ES"/>
        </w:rPr>
        <w:t>ReteFuente</w:t>
      </w:r>
      <w:proofErr w:type="spellEnd"/>
      <w:r w:rsidRPr="005648EC">
        <w:rPr>
          <w:rFonts w:ascii="Verdana" w:hAnsi="Verdana" w:cs="Arial"/>
          <w:sz w:val="21"/>
          <w:szCs w:val="21"/>
          <w:lang w:val="es-ES" w:eastAsia="es-ES"/>
        </w:rPr>
        <w:t>), o bien dedicar recursos presupuestales para su pago o reconocimiento al contratista?</w:t>
      </w:r>
      <w:r w:rsidR="00662087" w:rsidRPr="00294ADE">
        <w:rPr>
          <w:rFonts w:ascii="Verdana" w:hAnsi="Verdana" w:cs="Arial"/>
          <w:sz w:val="21"/>
          <w:szCs w:val="21"/>
          <w:lang w:val="es-ES" w:eastAsia="es-ES"/>
        </w:rPr>
        <w:t>”</w:t>
      </w:r>
      <w:r w:rsidR="003A26B0" w:rsidRPr="00294ADE">
        <w:rPr>
          <w:rFonts w:ascii="Verdana" w:hAnsi="Verdana" w:cs="Arial"/>
          <w:sz w:val="21"/>
          <w:szCs w:val="21"/>
          <w:lang w:val="es-ES" w:eastAsia="es-ES"/>
        </w:rPr>
        <w:t>.</w:t>
      </w:r>
    </w:p>
    <w:p w14:paraId="6C33AEC2" w14:textId="77777777" w:rsidR="00662087" w:rsidRPr="009037F6" w:rsidRDefault="00662087" w:rsidP="00662087">
      <w:pPr>
        <w:spacing w:after="120" w:line="276" w:lineRule="auto"/>
        <w:ind w:firstLine="709"/>
        <w:jc w:val="both"/>
        <w:rPr>
          <w:rFonts w:ascii="Verdana" w:eastAsia="Calibri" w:hAnsi="Verdana" w:cs="Times New Roman"/>
          <w:lang w:val="es-ES"/>
        </w:rPr>
      </w:pPr>
      <w:r w:rsidRPr="009037F6">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15C42BAF" w14:textId="1DFA62A4" w:rsidR="00662087" w:rsidRPr="009037F6" w:rsidRDefault="00662087" w:rsidP="00662087">
      <w:pPr>
        <w:spacing w:after="0" w:line="276" w:lineRule="auto"/>
        <w:ind w:firstLine="708"/>
        <w:jc w:val="both"/>
        <w:rPr>
          <w:rFonts w:ascii="Verdana" w:eastAsia="Calibri" w:hAnsi="Verdana" w:cs="Times New Roman"/>
          <w:lang w:val="es-ES"/>
        </w:rPr>
      </w:pPr>
      <w:r w:rsidRPr="009037F6">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sidR="00AE5023">
        <w:rPr>
          <w:rFonts w:ascii="Verdana" w:eastAsia="Calibri" w:hAnsi="Verdana" w:cs="Times New Roman"/>
          <w:lang w:val="es-ES"/>
        </w:rPr>
        <w:t>el</w:t>
      </w:r>
      <w:r>
        <w:rPr>
          <w:rFonts w:ascii="Verdana" w:eastAsia="Calibri" w:hAnsi="Verdana" w:cs="Times New Roman"/>
          <w:lang w:val="es-ES"/>
        </w:rPr>
        <w:t xml:space="preserve"> problema jurídico de su consulta. </w:t>
      </w:r>
    </w:p>
    <w:p w14:paraId="21CC9EEF" w14:textId="77777777" w:rsidR="00662087" w:rsidRPr="009037F6" w:rsidRDefault="00662087" w:rsidP="00662087">
      <w:pPr>
        <w:spacing w:after="0" w:line="276" w:lineRule="auto"/>
        <w:rPr>
          <w:rFonts w:ascii="Verdana" w:eastAsia="Calibri" w:hAnsi="Verdana" w:cs="Times New Roman"/>
          <w:lang w:val="es-ES"/>
        </w:rPr>
      </w:pPr>
    </w:p>
    <w:p w14:paraId="41F9FFCE" w14:textId="1ADE50EE" w:rsidR="00662087" w:rsidRPr="009037F6" w:rsidRDefault="00662087" w:rsidP="00662087">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Problema</w:t>
      </w:r>
      <w:r w:rsidR="00AE5023">
        <w:rPr>
          <w:rFonts w:ascii="Verdana" w:eastAsia="Calibri" w:hAnsi="Verdana" w:cs="Times New Roman"/>
          <w:b/>
          <w:bCs/>
          <w:lang w:val="es-ES"/>
        </w:rPr>
        <w:t xml:space="preserve"> </w:t>
      </w:r>
      <w:r w:rsidRPr="009037F6">
        <w:rPr>
          <w:rFonts w:ascii="Verdana" w:eastAsia="Calibri" w:hAnsi="Verdana" w:cs="Times New Roman"/>
          <w:b/>
          <w:bCs/>
          <w:lang w:val="es-ES"/>
        </w:rPr>
        <w:t>planteado:</w:t>
      </w:r>
    </w:p>
    <w:p w14:paraId="2ED75888" w14:textId="77777777" w:rsidR="00662087" w:rsidRPr="009037F6" w:rsidRDefault="00662087" w:rsidP="00662087">
      <w:pPr>
        <w:spacing w:after="0" w:line="276" w:lineRule="auto"/>
        <w:rPr>
          <w:rFonts w:ascii="Verdana" w:eastAsia="Calibri" w:hAnsi="Verdana" w:cs="Times New Roman"/>
        </w:rPr>
      </w:pPr>
    </w:p>
    <w:p w14:paraId="166C12F4" w14:textId="433DA2BD" w:rsidR="00662087" w:rsidRPr="00D1210B" w:rsidRDefault="00662087" w:rsidP="00662087">
      <w:pPr>
        <w:spacing w:after="0" w:line="276" w:lineRule="auto"/>
        <w:jc w:val="both"/>
        <w:rPr>
          <w:rFonts w:ascii="Verdana" w:eastAsia="Calibri" w:hAnsi="Verdana" w:cs="Times New Roman"/>
        </w:rPr>
      </w:pPr>
      <w:r w:rsidRPr="009037F6">
        <w:rPr>
          <w:rFonts w:ascii="Verdana" w:eastAsia="Calibri" w:hAnsi="Verdana" w:cs="Times New Roman"/>
        </w:rPr>
        <w:t>De acuerdo con</w:t>
      </w:r>
      <w:r>
        <w:rPr>
          <w:rFonts w:ascii="Verdana" w:eastAsia="Calibri" w:hAnsi="Verdana" w:cs="Times New Roman"/>
        </w:rPr>
        <w:t xml:space="preserve"> el contenido de su</w:t>
      </w:r>
      <w:r w:rsidR="00F3172F">
        <w:rPr>
          <w:rFonts w:ascii="Verdana" w:eastAsia="Calibri" w:hAnsi="Verdana" w:cs="Times New Roman"/>
        </w:rPr>
        <w:t xml:space="preserve"> </w:t>
      </w:r>
      <w:r>
        <w:rPr>
          <w:rFonts w:ascii="Verdana" w:eastAsia="Calibri" w:hAnsi="Verdana" w:cs="Times New Roman"/>
        </w:rPr>
        <w:t>solicitu</w:t>
      </w:r>
      <w:r w:rsidR="00F3172F">
        <w:rPr>
          <w:rFonts w:ascii="Verdana" w:eastAsia="Calibri" w:hAnsi="Verdana" w:cs="Times New Roman"/>
        </w:rPr>
        <w:t>d</w:t>
      </w:r>
      <w:r>
        <w:rPr>
          <w:rFonts w:ascii="Verdana" w:eastAsia="Calibri" w:hAnsi="Verdana" w:cs="Times New Roman"/>
        </w:rPr>
        <w:t xml:space="preserve">, la Agencia procede a resolver </w:t>
      </w:r>
      <w:r w:rsidR="006E3854">
        <w:rPr>
          <w:rFonts w:ascii="Verdana" w:eastAsia="Calibri" w:hAnsi="Verdana" w:cs="Times New Roman"/>
        </w:rPr>
        <w:t>el</w:t>
      </w:r>
      <w:r>
        <w:rPr>
          <w:rFonts w:ascii="Verdana" w:eastAsia="Calibri" w:hAnsi="Verdana" w:cs="Times New Roman"/>
        </w:rPr>
        <w:t xml:space="preserve"> siguiente</w:t>
      </w:r>
      <w:r w:rsidR="006E3854">
        <w:rPr>
          <w:rFonts w:ascii="Verdana" w:eastAsia="Calibri" w:hAnsi="Verdana" w:cs="Times New Roman"/>
        </w:rPr>
        <w:t xml:space="preserve"> </w:t>
      </w:r>
      <w:r>
        <w:rPr>
          <w:rFonts w:ascii="Verdana" w:eastAsia="Calibri" w:hAnsi="Verdana" w:cs="Times New Roman"/>
        </w:rPr>
        <w:t xml:space="preserve">problema jurídico: ¿Es procedente </w:t>
      </w:r>
      <w:r w:rsidRPr="00EF4E7D">
        <w:rPr>
          <w:rFonts w:ascii="Verdana" w:eastAsia="Calibri" w:hAnsi="Verdana" w:cs="Times New Roman"/>
        </w:rPr>
        <w:t xml:space="preserve">que el contratista traslade </w:t>
      </w:r>
      <w:r w:rsidR="006E3854">
        <w:rPr>
          <w:rFonts w:ascii="Verdana" w:eastAsia="Calibri" w:hAnsi="Verdana" w:cs="Times New Roman"/>
        </w:rPr>
        <w:t xml:space="preserve">la </w:t>
      </w:r>
      <w:proofErr w:type="spellStart"/>
      <w:r w:rsidR="006E3854">
        <w:rPr>
          <w:rFonts w:ascii="Verdana" w:eastAsia="Calibri" w:hAnsi="Verdana" w:cs="Times New Roman"/>
        </w:rPr>
        <w:t>retefuente</w:t>
      </w:r>
      <w:proofErr w:type="spellEnd"/>
      <w:r w:rsidR="00640441">
        <w:rPr>
          <w:rFonts w:ascii="Verdana" w:eastAsia="Calibri" w:hAnsi="Verdana" w:cs="Times New Roman"/>
        </w:rPr>
        <w:t xml:space="preserve"> y costos indirectos</w:t>
      </w:r>
      <w:r w:rsidRPr="00EF4E7D">
        <w:rPr>
          <w:rFonts w:ascii="Verdana" w:eastAsia="Calibri" w:hAnsi="Verdana" w:cs="Times New Roman"/>
        </w:rPr>
        <w:t xml:space="preserve"> en el </w:t>
      </w:r>
      <w:r w:rsidR="00C4112A">
        <w:rPr>
          <w:rFonts w:ascii="Verdana" w:eastAsia="Calibri" w:hAnsi="Verdana" w:cs="Times New Roman"/>
        </w:rPr>
        <w:t>presupuesto del contrato</w:t>
      </w:r>
      <w:r w:rsidR="006E3854">
        <w:rPr>
          <w:rFonts w:ascii="Verdana" w:eastAsia="Calibri" w:hAnsi="Verdana" w:cs="Times New Roman"/>
        </w:rPr>
        <w:t>?</w:t>
      </w:r>
      <w:r>
        <w:rPr>
          <w:rFonts w:ascii="Verdana" w:eastAsia="Calibri" w:hAnsi="Verdana" w:cs="Times New Roman"/>
        </w:rPr>
        <w:t xml:space="preserve"> </w:t>
      </w:r>
    </w:p>
    <w:p w14:paraId="4B1FE14C" w14:textId="77777777" w:rsidR="00662087" w:rsidRPr="00E27EDD" w:rsidRDefault="00662087" w:rsidP="00662087">
      <w:pPr>
        <w:spacing w:after="0" w:line="276" w:lineRule="auto"/>
        <w:jc w:val="both"/>
        <w:rPr>
          <w:rFonts w:ascii="Verdana" w:eastAsia="Calibri" w:hAnsi="Verdana" w:cs="Times New Roman"/>
          <w:i/>
          <w:iCs/>
        </w:rPr>
      </w:pPr>
    </w:p>
    <w:p w14:paraId="21130577" w14:textId="5DD37AE6" w:rsidR="00662087" w:rsidRPr="009037F6" w:rsidRDefault="00662087" w:rsidP="00662087">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lastRenderedPageBreak/>
        <w:t>Respuesta:</w:t>
      </w:r>
    </w:p>
    <w:p w14:paraId="71C56C70" w14:textId="77777777" w:rsidR="00662087" w:rsidRPr="009037F6" w:rsidRDefault="00662087" w:rsidP="00662087">
      <w:pPr>
        <w:spacing w:after="0" w:line="276" w:lineRule="auto"/>
        <w:rPr>
          <w:rFonts w:ascii="Verdana" w:eastAsia="Calibri" w:hAnsi="Verdana" w:cs="Times New Roman"/>
          <w:b/>
          <w:bCs/>
          <w:lang w:val="es-ES"/>
        </w:rPr>
      </w:pPr>
    </w:p>
    <w:tbl>
      <w:tblPr>
        <w:tblStyle w:val="Tablaconcuadrcula11"/>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662087" w:rsidRPr="009037F6" w14:paraId="40D4442E" w14:textId="77777777" w:rsidTr="002A4618">
        <w:trPr>
          <w:trHeight w:val="345"/>
          <w:jc w:val="center"/>
        </w:trPr>
        <w:tc>
          <w:tcPr>
            <w:tcW w:w="8784" w:type="dxa"/>
            <w:tcBorders>
              <w:bottom w:val="single" w:sz="4" w:space="0" w:color="auto"/>
            </w:tcBorders>
          </w:tcPr>
          <w:p w14:paraId="76D7E9E2" w14:textId="11209EF9" w:rsidR="008A2B6F" w:rsidRPr="004F3256" w:rsidRDefault="008A2B6F" w:rsidP="0094710A">
            <w:pPr>
              <w:spacing w:after="120" w:line="276" w:lineRule="auto"/>
              <w:jc w:val="both"/>
              <w:rPr>
                <w:rFonts w:ascii="Verdana" w:hAnsi="Verdana" w:cs="Arial"/>
                <w:lang w:val="es-ES" w:eastAsia="es-ES"/>
              </w:rPr>
            </w:pPr>
            <w:r w:rsidRPr="004F3256">
              <w:rPr>
                <w:rFonts w:ascii="Verdana" w:eastAsia="Times New Roman" w:hAnsi="Verdana" w:cs="Arial"/>
                <w:color w:val="000000" w:themeColor="text1"/>
                <w:lang w:val="es-ES" w:eastAsia="es-ES"/>
              </w:rPr>
              <w:t>E</w:t>
            </w:r>
            <w:r w:rsidRPr="004F3256">
              <w:rPr>
                <w:rFonts w:ascii="Verdana" w:hAnsi="Verdana" w:cs="Arial"/>
                <w:lang w:val="es-ES" w:eastAsia="es-ES"/>
              </w:rPr>
              <w:t xml:space="preserve">n los contratos cuyo precio se estructura a partir del sistema de precios unitarios, ha hecho parte de la práctica de los negocios que el contratante le solicite al potencial contratista que separe en su propuesta los </w:t>
            </w:r>
            <w:r w:rsidRPr="004F3256">
              <w:rPr>
                <w:rFonts w:ascii="Verdana" w:hAnsi="Verdana" w:cs="Arial"/>
                <w:i/>
                <w:iCs/>
                <w:lang w:val="es-ES" w:eastAsia="es-ES"/>
              </w:rPr>
              <w:t>costos directos</w:t>
            </w:r>
            <w:r w:rsidRPr="004F3256">
              <w:rPr>
                <w:rFonts w:ascii="Verdana" w:hAnsi="Verdana" w:cs="Arial"/>
                <w:lang w:val="es-ES" w:eastAsia="es-ES"/>
              </w:rPr>
              <w:t xml:space="preserve"> –es decir, los que están directamente implicados en la ejecución del objeto–, de los </w:t>
            </w:r>
            <w:r w:rsidRPr="004F3256">
              <w:rPr>
                <w:rFonts w:ascii="Verdana" w:hAnsi="Verdana" w:cs="Arial"/>
                <w:i/>
                <w:iCs/>
                <w:lang w:val="es-ES" w:eastAsia="es-ES"/>
              </w:rPr>
              <w:t>costos indirectos</w:t>
            </w:r>
            <w:r w:rsidRPr="004F3256">
              <w:rPr>
                <w:rFonts w:ascii="Verdana" w:hAnsi="Verdana" w:cs="Arial"/>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En tal sentido, mientras que los </w:t>
            </w:r>
            <w:r w:rsidRPr="004F3256">
              <w:rPr>
                <w:rFonts w:ascii="Verdana" w:hAnsi="Verdana" w:cs="Arial"/>
                <w:i/>
                <w:iCs/>
                <w:lang w:val="es-ES" w:eastAsia="es-ES"/>
              </w:rPr>
              <w:t>costos directos</w:t>
            </w:r>
            <w:r w:rsidRPr="004F3256">
              <w:rPr>
                <w:rFonts w:ascii="Verdana" w:hAnsi="Verdana" w:cs="Arial"/>
                <w:lang w:val="es-ES" w:eastAsia="es-ES"/>
              </w:rPr>
              <w:t xml:space="preserve"> se evidencian en el análisis de precios unitarios –APU–, como la sumatoria de los valores de los </w:t>
            </w:r>
            <w:r w:rsidRPr="004F3256">
              <w:rPr>
                <w:rFonts w:ascii="Verdana" w:hAnsi="Verdana" w:cs="Arial"/>
                <w:i/>
                <w:iCs/>
                <w:lang w:val="es-ES" w:eastAsia="es-ES"/>
              </w:rPr>
              <w:t>ítems</w:t>
            </w:r>
            <w:r w:rsidRPr="004F3256">
              <w:rPr>
                <w:rFonts w:ascii="Verdana" w:hAnsi="Verdana" w:cs="Arial"/>
                <w:lang w:val="es-ES" w:eastAsia="es-ES"/>
              </w:rPr>
              <w:t xml:space="preserve"> según su unidad de medida, los </w:t>
            </w:r>
            <w:r w:rsidRPr="004F3256">
              <w:rPr>
                <w:rFonts w:ascii="Verdana" w:hAnsi="Verdana" w:cs="Arial"/>
                <w:i/>
                <w:iCs/>
                <w:lang w:val="es-ES" w:eastAsia="es-ES"/>
              </w:rPr>
              <w:t>costos indirectos</w:t>
            </w:r>
            <w:r w:rsidRPr="004F3256">
              <w:rPr>
                <w:rFonts w:ascii="Verdana" w:hAnsi="Verdana" w:cs="Arial"/>
                <w:lang w:val="es-ES" w:eastAsia="es-ES"/>
              </w:rPr>
              <w:t xml:space="preserve"> se suelen abreviar en las variables que integran el acrónimo AIU –Administración, Imprevistos y Utilidad. </w:t>
            </w:r>
          </w:p>
          <w:p w14:paraId="54346974" w14:textId="77777777" w:rsidR="008A2B6F" w:rsidRPr="004F3256" w:rsidRDefault="008A2B6F" w:rsidP="008A2B6F">
            <w:pPr>
              <w:spacing w:after="120" w:line="276" w:lineRule="auto"/>
              <w:ind w:firstLine="743"/>
              <w:jc w:val="both"/>
              <w:rPr>
                <w:rFonts w:ascii="Verdana" w:hAnsi="Verdana" w:cs="Arial"/>
                <w:lang w:eastAsia="es-ES"/>
              </w:rPr>
            </w:pPr>
            <w:r w:rsidRPr="004F3256">
              <w:rPr>
                <w:rFonts w:ascii="Verdana" w:hAnsi="Verdana" w:cs="Arial"/>
                <w:lang w:eastAsia="es-ES"/>
              </w:rPr>
              <w:t>Así pues, ni el sistema de precios unitarios –como metodología de estipulación del valor contractual–, ni el concepto de costos directos e indirectos, ni mucho menos la forma de calcularlo –es decir, su porcentaje–, son aspectos regulados en el conjunto de las disposiciones legales y reglamentarias que integran la normativa contractual del Estado: “La justificación de esta manera de cotizar el precio procede, incluso, de la formación universitaria que reciben los ingenieros, a quienes les enseñan esta metodología para elaborar las ofertas. En fin, lo que se quiere indicar con estos comentarios es que la necesidad de presentar una propuesta desglosando en forma intensa su precio no procede de la ley, ni del reglamento, sino de la costumbre, […]”. De otro lado, quien define el valor de cada letra –AIU– es el proponente, pues goza de libertad empresarial para hacerlo en la elaboración de su oferta.</w:t>
            </w:r>
          </w:p>
          <w:p w14:paraId="79BE65C6" w14:textId="77777777" w:rsidR="008A2B6F" w:rsidRPr="004F3256" w:rsidRDefault="008A2B6F" w:rsidP="008A2B6F">
            <w:pPr>
              <w:spacing w:after="120" w:line="276" w:lineRule="auto"/>
              <w:ind w:firstLine="743"/>
              <w:jc w:val="both"/>
              <w:rPr>
                <w:rFonts w:ascii="Verdana" w:eastAsia="Calibri" w:hAnsi="Verdana" w:cs="Arial"/>
                <w:iCs/>
                <w:lang w:eastAsia="es-ES"/>
              </w:rPr>
            </w:pPr>
            <w:r w:rsidRPr="004F3256">
              <w:rPr>
                <w:rFonts w:ascii="Verdana" w:eastAsia="Calibri" w:hAnsi="Verdana" w:cs="Arial"/>
                <w:iCs/>
                <w:lang w:eastAsia="es-ES"/>
              </w:rPr>
              <w:t xml:space="preserve">En consecuencia, tanto las entidades sometidas al Estatuto General de Contratación de la Administración Pública, como las excluidas de este –es decir, las que tienen un régimen especial– gozan de autonomía para configurar el precio y para establecer el sistema de pago más apropiado para satisfacer los fines de la contratación, respetando los límites previstos en el ordenamiento. En tal perspectiva, cuentan con discrecionalidad para establecer en el pliego de condiciones o en su documento equivalente, así </w:t>
            </w:r>
            <w:r w:rsidRPr="004F3256">
              <w:rPr>
                <w:rFonts w:ascii="Verdana" w:eastAsia="Calibri" w:hAnsi="Verdana" w:cs="Arial"/>
                <w:iCs/>
                <w:lang w:eastAsia="es-ES"/>
              </w:rPr>
              <w:lastRenderedPageBreak/>
              <w:t>como en el contrato, el sistema de precios que más se ajuste el objeto a contratar.</w:t>
            </w:r>
          </w:p>
          <w:p w14:paraId="18534695" w14:textId="4C153FD1" w:rsidR="008A2B6F" w:rsidRPr="004F3256" w:rsidRDefault="008A2B6F" w:rsidP="008A2B6F">
            <w:pPr>
              <w:spacing w:after="120" w:line="276" w:lineRule="auto"/>
              <w:ind w:firstLine="743"/>
              <w:jc w:val="both"/>
              <w:rPr>
                <w:rFonts w:ascii="Verdana" w:hAnsi="Verdana" w:cs="Arial"/>
                <w:lang w:eastAsia="es-ES"/>
              </w:rPr>
            </w:pPr>
            <w:r w:rsidRPr="004F3256">
              <w:rPr>
                <w:rFonts w:ascii="Verdana" w:eastAsia="Calibri" w:hAnsi="Verdana" w:cs="Arial"/>
                <w:iCs/>
              </w:rPr>
              <w:t xml:space="preserve">Conforme a lo expuesto, las entidades estatales pueden incluir en el valor de sus contratos los costos directos e indirectos- </w:t>
            </w:r>
            <w:proofErr w:type="spellStart"/>
            <w:r w:rsidRPr="004F3256">
              <w:rPr>
                <w:rFonts w:ascii="Verdana" w:eastAsia="Calibri" w:hAnsi="Verdana" w:cs="Arial"/>
                <w:i/>
                <w:iCs/>
              </w:rPr>
              <w:t>overhead</w:t>
            </w:r>
            <w:proofErr w:type="spellEnd"/>
            <w:r w:rsidRPr="004F3256">
              <w:rPr>
                <w:rFonts w:ascii="Verdana" w:eastAsia="Calibri" w:hAnsi="Verdana" w:cs="Arial"/>
                <w:i/>
                <w:iCs/>
              </w:rPr>
              <w:t>-,</w:t>
            </w:r>
            <w:r w:rsidRPr="004F3256">
              <w:rPr>
                <w:rFonts w:ascii="Verdana" w:eastAsia="Calibri" w:hAnsi="Verdana" w:cs="Arial"/>
                <w:iCs/>
              </w:rPr>
              <w:t xml:space="preserve"> asociados al precio de la ejecución del contrato, lo que indica que se trata de un elemento vinculado al cálculo de la remuneración o pago en favor de los contratistas del estado, que se incluye, como ya se expresó, con la finalidad de generar estabilidad en dicho precio, tanto </w:t>
            </w:r>
            <w:r w:rsidR="000C013D">
              <w:rPr>
                <w:rFonts w:ascii="Verdana" w:eastAsia="Calibri" w:hAnsi="Verdana" w:cs="Arial"/>
                <w:iCs/>
              </w:rPr>
              <w:t xml:space="preserve">a </w:t>
            </w:r>
            <w:r w:rsidRPr="004F3256">
              <w:rPr>
                <w:rFonts w:ascii="Verdana" w:eastAsia="Calibri" w:hAnsi="Verdana" w:cs="Arial"/>
                <w:iCs/>
              </w:rPr>
              <w:t>favor del contratista, como de la entidad contratante. Cuando los costos indirectos -</w:t>
            </w:r>
            <w:proofErr w:type="spellStart"/>
            <w:r w:rsidRPr="004F3256">
              <w:rPr>
                <w:rFonts w:ascii="Verdana" w:eastAsia="Calibri" w:hAnsi="Verdana" w:cs="Arial"/>
                <w:i/>
              </w:rPr>
              <w:t>overhead</w:t>
            </w:r>
            <w:proofErr w:type="spellEnd"/>
            <w:r w:rsidRPr="004F3256">
              <w:rPr>
                <w:rFonts w:ascii="Verdana" w:eastAsia="Calibri" w:hAnsi="Verdana" w:cs="Arial"/>
                <w:i/>
              </w:rPr>
              <w:t xml:space="preserve">- </w:t>
            </w:r>
            <w:r w:rsidRPr="004F3256">
              <w:rPr>
                <w:rFonts w:ascii="Verdana" w:eastAsia="Calibri" w:hAnsi="Verdana" w:cs="Arial"/>
                <w:iCs/>
              </w:rPr>
              <w:t>han sido expresamente contemplados dentro de la estructura económica del contrato, ya sea en los estudios previos, en la propuesta del contratista o en las cláusulas contractuales, estos resultan obligatorios y su reconocimiento y pago debe efectuarse en los términos y condiciones pactados. En tal medida, la entidad contratante no puede desconocer o excluir unilateralmente dichos costos una vez incorporados al precio, salvo que exista una modificación válida del contrato o una causa legal que justifique su ajuste.</w:t>
            </w:r>
          </w:p>
          <w:p w14:paraId="61D2B6D3" w14:textId="5F315006" w:rsidR="00662087" w:rsidRDefault="00E57176" w:rsidP="006A6BF4">
            <w:pPr>
              <w:spacing w:after="120" w:line="276" w:lineRule="auto"/>
              <w:ind w:firstLine="743"/>
              <w:jc w:val="both"/>
              <w:rPr>
                <w:rFonts w:ascii="Verdana" w:eastAsia="Arial MT" w:hAnsi="Verdana" w:cs="Arial MT"/>
              </w:rPr>
            </w:pPr>
            <w:r>
              <w:rPr>
                <w:rFonts w:ascii="Verdana" w:eastAsia="Calibri" w:hAnsi="Verdana" w:cs="Arial"/>
                <w:iCs/>
              </w:rPr>
              <w:t>De esta manera, p</w:t>
            </w:r>
            <w:r w:rsidR="00662087" w:rsidRPr="008A2B6F">
              <w:rPr>
                <w:rFonts w:ascii="Verdana" w:eastAsia="Calibri" w:hAnsi="Verdana" w:cs="Arial"/>
                <w:iCs/>
              </w:rPr>
              <w:t>ara</w:t>
            </w:r>
            <w:r w:rsidR="00662087" w:rsidRPr="00B206B6">
              <w:rPr>
                <w:rFonts w:ascii="Verdana" w:eastAsia="Calibri" w:hAnsi="Verdana" w:cs="Arial"/>
                <w:color w:val="000000" w:themeColor="text1"/>
              </w:rPr>
              <w:t xml:space="preserve"> resolver el problema jurídico objeto de consulta, se señala que </w:t>
            </w:r>
            <w:r w:rsidR="00CB4CE6">
              <w:rPr>
                <w:rFonts w:ascii="Verdana" w:eastAsia="Arial MT" w:hAnsi="Verdana" w:cs="Arial MT"/>
              </w:rPr>
              <w:t>de acuerdo con la definición de costos directos e indirectos anteriormente establecida,</w:t>
            </w:r>
            <w:r w:rsidR="00662087" w:rsidRPr="00B206B6">
              <w:rPr>
                <w:rFonts w:ascii="Verdana" w:eastAsia="Arial MT" w:hAnsi="Verdana" w:cs="Arial MT"/>
              </w:rPr>
              <w:t xml:space="preserve"> </w:t>
            </w:r>
            <w:r w:rsidR="00FA1B40">
              <w:rPr>
                <w:rFonts w:ascii="Verdana" w:eastAsia="Arial MT" w:hAnsi="Verdana" w:cs="Arial MT"/>
              </w:rPr>
              <w:t>serán las partes del contrato quienes los definan</w:t>
            </w:r>
            <w:r w:rsidR="00DB6DDE">
              <w:rPr>
                <w:rFonts w:ascii="Verdana" w:eastAsia="Arial MT" w:hAnsi="Verdana" w:cs="Arial MT"/>
              </w:rPr>
              <w:t>, es decir, si incluyen costos indirectos o la retención en la fuente en la estructura económica del contrato</w:t>
            </w:r>
            <w:r w:rsidR="00265065">
              <w:rPr>
                <w:rFonts w:ascii="Verdana" w:eastAsia="Arial MT" w:hAnsi="Verdana" w:cs="Arial MT"/>
              </w:rPr>
              <w:t>, y una vez esto se realice las partes deben regirse por los costos incorporados al preci</w:t>
            </w:r>
            <w:r w:rsidR="005A4AF9">
              <w:rPr>
                <w:rFonts w:ascii="Verdana" w:eastAsia="Arial MT" w:hAnsi="Verdana" w:cs="Arial MT"/>
              </w:rPr>
              <w:t>o.</w:t>
            </w:r>
          </w:p>
          <w:p w14:paraId="189C591F" w14:textId="77777777" w:rsidR="00351F93" w:rsidRDefault="00662087" w:rsidP="002A4618">
            <w:pPr>
              <w:spacing w:after="120" w:line="276" w:lineRule="auto"/>
              <w:ind w:firstLine="709"/>
              <w:jc w:val="both"/>
              <w:rPr>
                <w:rFonts w:ascii="Verdana" w:hAnsi="Verdana" w:cs="Arial"/>
                <w:lang w:val="es-ES" w:eastAsia="es-ES"/>
              </w:rPr>
            </w:pPr>
            <w:r w:rsidRPr="009037F6">
              <w:rPr>
                <w:rFonts w:ascii="Verdana" w:hAnsi="Verdana" w:cs="Arial"/>
                <w:lang w:val="es-ES"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w:t>
            </w:r>
            <w:r>
              <w:rPr>
                <w:rFonts w:ascii="Verdana" w:hAnsi="Verdana" w:cs="Arial"/>
                <w:lang w:val="es-ES" w:eastAsia="es-ES"/>
              </w:rPr>
              <w:t>ciente validar sus actuaciones.</w:t>
            </w:r>
          </w:p>
          <w:p w14:paraId="6BBCB0B7" w14:textId="701EEB4E" w:rsidR="00662087" w:rsidRPr="00B206B6" w:rsidRDefault="00922205" w:rsidP="00922205">
            <w:pPr>
              <w:spacing w:after="120" w:line="276" w:lineRule="auto"/>
              <w:ind w:firstLine="709"/>
              <w:jc w:val="both"/>
              <w:rPr>
                <w:rFonts w:ascii="Verdana" w:hAnsi="Verdana" w:cs="Arial"/>
                <w:lang w:val="es-ES" w:eastAsia="es-ES"/>
              </w:rPr>
            </w:pPr>
            <w:r w:rsidRPr="00F740F0">
              <w:rPr>
                <w:rStyle w:val="s15"/>
                <w:rFonts w:ascii="Verdana" w:hAnsi="Verdana"/>
                <w:color w:val="000000"/>
              </w:rPr>
              <w:t>Al margen de la explicación precedente</w:t>
            </w:r>
            <w:r>
              <w:rPr>
                <w:rStyle w:val="s15"/>
                <w:rFonts w:ascii="Verdana" w:hAnsi="Verdana"/>
                <w:color w:val="000000"/>
              </w:rPr>
              <w:t>,</w:t>
            </w:r>
            <w:r w:rsidRPr="00F740F0">
              <w:rPr>
                <w:rStyle w:val="s15"/>
                <w:rFonts w:ascii="Verdana" w:hAnsi="Verdana"/>
                <w:color w:val="000000"/>
              </w:rPr>
              <w:t xml:space="preserve"> debe advertirse que el análisis requerido para resolver problemas específicos en torno a los reconocimientos económicos derivados del contrato debe ser realizado por quienes tengan </w:t>
            </w:r>
            <w:r w:rsidRPr="00F740F0">
              <w:rPr>
                <w:rStyle w:val="s15"/>
                <w:rFonts w:ascii="Verdana" w:hAnsi="Verdana"/>
                <w:color w:val="000000"/>
              </w:rPr>
              <w:lastRenderedPageBreak/>
              <w:t xml:space="preserve">interés en ello, de acuerdo con lo explicado </w:t>
            </w:r>
            <w:r w:rsidR="00AE0641">
              <w:rPr>
                <w:rStyle w:val="s15"/>
                <w:rFonts w:ascii="Verdana" w:hAnsi="Verdana"/>
                <w:color w:val="000000"/>
              </w:rPr>
              <w:t xml:space="preserve">en </w:t>
            </w:r>
            <w:r w:rsidRPr="00F740F0">
              <w:rPr>
                <w:rStyle w:val="s15"/>
                <w:rFonts w:ascii="Verdana" w:hAnsi="Verdana"/>
                <w:color w:val="000000"/>
              </w:rPr>
              <w:t>el presente oficio</w:t>
            </w:r>
            <w:r w:rsidRPr="00007D0A">
              <w:rPr>
                <w:rStyle w:val="s15"/>
                <w:rFonts w:ascii="Verdana" w:hAnsi="Verdana"/>
                <w:color w:val="000000"/>
              </w:rPr>
              <w:t xml:space="preserve">. </w:t>
            </w:r>
            <w:r w:rsidRPr="001A39AD">
              <w:rPr>
                <w:rFonts w:ascii="Verdana" w:hAnsi="Verdana"/>
                <w:bCs/>
                <w:color w:val="000000"/>
              </w:rPr>
              <w:t xml:space="preserve">Por lo anterior, previo concepto de sus asesores, corresponde a las partes del contrato definir la procedencia de los </w:t>
            </w:r>
            <w:r w:rsidR="00291AD4">
              <w:rPr>
                <w:rFonts w:ascii="Verdana" w:hAnsi="Verdana"/>
                <w:bCs/>
                <w:color w:val="000000"/>
              </w:rPr>
              <w:t>pagos</w:t>
            </w:r>
            <w:r w:rsidRPr="001A39AD">
              <w:rPr>
                <w:rFonts w:ascii="Verdana" w:hAnsi="Verdana"/>
                <w:bCs/>
                <w:color w:val="000000"/>
              </w:rPr>
              <w:t>; motivo por el cual, en caso de conflicto, intervendrán las autoridades judiciales, fiscales y disciplinarias</w:t>
            </w:r>
            <w:r w:rsidRPr="00007D0A">
              <w:rPr>
                <w:rStyle w:val="s15"/>
                <w:rFonts w:ascii="Verdana" w:hAnsi="Verdana"/>
                <w:color w:val="000000"/>
              </w:rPr>
              <w:t>.</w:t>
            </w:r>
          </w:p>
        </w:tc>
      </w:tr>
    </w:tbl>
    <w:p w14:paraId="2A48818A" w14:textId="77777777" w:rsidR="00662087" w:rsidRPr="00B57A1B" w:rsidRDefault="00662087" w:rsidP="00662087">
      <w:pPr>
        <w:spacing w:after="0" w:line="276" w:lineRule="auto"/>
        <w:jc w:val="both"/>
        <w:rPr>
          <w:rFonts w:ascii="Verdana" w:eastAsia="Calibri" w:hAnsi="Verdana" w:cs="Arial"/>
          <w:bCs/>
          <w:color w:val="000000" w:themeColor="text1"/>
        </w:rPr>
      </w:pPr>
      <w:bookmarkStart w:id="1" w:name="_Hlk78820161"/>
      <w:bookmarkStart w:id="2" w:name="_Hlk37703813"/>
    </w:p>
    <w:p w14:paraId="3A9E4308" w14:textId="54A59D65" w:rsidR="00662087" w:rsidRPr="00B57A1B" w:rsidRDefault="00662087" w:rsidP="00662087">
      <w:pPr>
        <w:numPr>
          <w:ilvl w:val="0"/>
          <w:numId w:val="16"/>
        </w:numPr>
        <w:tabs>
          <w:tab w:val="left" w:pos="2268"/>
        </w:tabs>
        <w:spacing w:after="0" w:line="276" w:lineRule="auto"/>
        <w:rPr>
          <w:rFonts w:ascii="Verdana" w:eastAsia="Calibri" w:hAnsi="Verdana" w:cs="Times New Roman"/>
          <w:b/>
          <w:bCs/>
          <w:lang w:val="es-ES"/>
        </w:rPr>
      </w:pPr>
      <w:r w:rsidRPr="00B57A1B">
        <w:rPr>
          <w:rFonts w:ascii="Verdana" w:eastAsia="Calibri" w:hAnsi="Verdana" w:cs="Times New Roman"/>
          <w:b/>
          <w:bCs/>
          <w:lang w:val="es-ES"/>
        </w:rPr>
        <w:t>Razones de la respuesta:</w:t>
      </w:r>
    </w:p>
    <w:p w14:paraId="647E50B6" w14:textId="77777777" w:rsidR="00662087" w:rsidRPr="003C0ED7" w:rsidRDefault="00662087" w:rsidP="00662087">
      <w:pPr>
        <w:spacing w:after="0" w:line="276" w:lineRule="auto"/>
        <w:jc w:val="both"/>
        <w:rPr>
          <w:rFonts w:ascii="Verdana" w:eastAsia="Calibri" w:hAnsi="Verdana" w:cs="Arial"/>
          <w:lang w:val="es-ES"/>
        </w:rPr>
      </w:pPr>
    </w:p>
    <w:p w14:paraId="5CEB48E8" w14:textId="77777777" w:rsidR="00662087" w:rsidRPr="00A0389A" w:rsidRDefault="00662087" w:rsidP="00662087">
      <w:pPr>
        <w:spacing w:after="0" w:line="276" w:lineRule="auto"/>
        <w:jc w:val="both"/>
        <w:rPr>
          <w:rFonts w:ascii="Verdana" w:eastAsia="Calibri" w:hAnsi="Verdana" w:cs="Arial"/>
          <w:lang w:val="es-ES"/>
        </w:rPr>
      </w:pPr>
      <w:r w:rsidRPr="00A0389A">
        <w:rPr>
          <w:rFonts w:ascii="Verdana" w:eastAsia="Calibri" w:hAnsi="Verdana" w:cs="Arial"/>
          <w:lang w:val="es-ES"/>
        </w:rPr>
        <w:t>Lo anterior se sustenta en las siguientes consideraciones:</w:t>
      </w:r>
    </w:p>
    <w:p w14:paraId="4958D09C" w14:textId="77777777" w:rsidR="00662087" w:rsidRPr="00A0389A" w:rsidRDefault="00662087" w:rsidP="00662087">
      <w:pPr>
        <w:spacing w:after="0" w:line="276" w:lineRule="auto"/>
        <w:jc w:val="both"/>
        <w:rPr>
          <w:rFonts w:ascii="Verdana" w:eastAsia="Calibri" w:hAnsi="Verdana" w:cs="Arial"/>
          <w:color w:val="000000" w:themeColor="text1"/>
        </w:rPr>
      </w:pPr>
    </w:p>
    <w:p w14:paraId="6F47D2D3" w14:textId="2E642AB5" w:rsidR="00662087" w:rsidRPr="00A0389A" w:rsidRDefault="00867E8A" w:rsidP="00662087">
      <w:pPr>
        <w:spacing w:after="0" w:line="276" w:lineRule="auto"/>
        <w:jc w:val="both"/>
        <w:rPr>
          <w:rFonts w:ascii="Verdana" w:hAnsi="Verdana" w:cs="Arial"/>
          <w:bCs/>
          <w:szCs w:val="24"/>
          <w:lang w:val="es-ES_tradnl" w:eastAsia="es-ES_tradnl"/>
        </w:rPr>
      </w:pPr>
      <w:r>
        <w:rPr>
          <w:rFonts w:ascii="Verdana" w:hAnsi="Verdana" w:cs="Arial"/>
          <w:bCs/>
          <w:szCs w:val="24"/>
          <w:lang w:val="es-ES_tradnl" w:eastAsia="es-ES_tradnl"/>
        </w:rPr>
        <w:t xml:space="preserve">i) </w:t>
      </w:r>
      <w:r w:rsidR="00662087" w:rsidRPr="00A0389A">
        <w:rPr>
          <w:rFonts w:ascii="Verdana" w:hAnsi="Verdana" w:cs="Arial"/>
          <w:bCs/>
          <w:szCs w:val="24"/>
          <w:lang w:val="es-ES_tradnl" w:eastAsia="es-ES_tradnl"/>
        </w:rPr>
        <w:t>Como es sabido, uno de los elementos más comunes en los contratos estatales es el precio, también conocido como valor. Aunque no todo contrato lo incluye –pues también existen negocios gratuitos– lo usual es que los contratos estatales se perfeccionen como onerosos y, la mayoría de las veces, como conmutativos. Adicionalmente, el precio suele ser el elemento más importante para el contratista, porque equivale a la remuneración que la entidad contratante le pagará por la ejecución del objeto contractual.</w:t>
      </w:r>
    </w:p>
    <w:p w14:paraId="316FE6E8" w14:textId="77777777" w:rsidR="00662087" w:rsidRPr="00A0389A" w:rsidRDefault="00662087" w:rsidP="00662087">
      <w:pPr>
        <w:spacing w:before="120" w:after="0" w:line="276" w:lineRule="auto"/>
        <w:ind w:firstLine="709"/>
        <w:jc w:val="both"/>
        <w:rPr>
          <w:rFonts w:ascii="Verdana" w:hAnsi="Verdana" w:cs="Arial"/>
          <w:lang w:val="es-ES" w:eastAsia="es-ES"/>
        </w:rPr>
      </w:pPr>
      <w:r w:rsidRPr="00A0389A">
        <w:rPr>
          <w:rFonts w:ascii="Verdana" w:hAnsi="Verdana" w:cs="Arial"/>
          <w:lang w:val="es-ES" w:eastAsia="es-ES"/>
        </w:rPr>
        <w:t>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Administración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A0389A">
        <w:rPr>
          <w:rFonts w:ascii="Verdana" w:hAnsi="Verdana" w:cs="Arial"/>
          <w:vertAlign w:val="superscript"/>
          <w:lang w:val="es-ES" w:eastAsia="es-ES"/>
        </w:rPr>
        <w:footnoteReference w:id="1"/>
      </w:r>
      <w:r w:rsidRPr="00A0389A">
        <w:rPr>
          <w:rFonts w:ascii="Verdana" w:hAnsi="Verdana" w:cs="Arial"/>
          <w:lang w:val="es-ES" w:eastAsia="es-ES"/>
        </w:rPr>
        <w:t xml:space="preserve">. No hay, pues, una sola </w:t>
      </w:r>
      <w:r w:rsidRPr="00A0389A">
        <w:rPr>
          <w:rFonts w:ascii="Verdana" w:hAnsi="Verdana" w:cs="Arial"/>
          <w:lang w:val="es-ES" w:eastAsia="es-ES"/>
        </w:rPr>
        <w:lastRenderedPageBreak/>
        <w:t xml:space="preserve">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los precios unitarios –calculados de acuerdo con las unidades que componen el objeto del contrato–, </w:t>
      </w:r>
      <w:proofErr w:type="spellStart"/>
      <w:r w:rsidRPr="00A0389A">
        <w:rPr>
          <w:rFonts w:ascii="Verdana" w:hAnsi="Verdana" w:cs="Arial"/>
          <w:lang w:val="es-ES" w:eastAsia="es-ES"/>
        </w:rPr>
        <w:t>ii</w:t>
      </w:r>
      <w:proofErr w:type="spellEnd"/>
      <w:r w:rsidRPr="00A0389A">
        <w:rPr>
          <w:rFonts w:ascii="Verdana" w:hAnsi="Verdana" w:cs="Arial"/>
          <w:lang w:val="es-ES" w:eastAsia="es-ES"/>
        </w:rPr>
        <w:t xml:space="preserve">) el precio global –que equivale al monto total, sin discriminar unidades–, y </w:t>
      </w:r>
      <w:proofErr w:type="spellStart"/>
      <w:r w:rsidRPr="00A0389A">
        <w:rPr>
          <w:rFonts w:ascii="Verdana" w:hAnsi="Verdana" w:cs="Arial"/>
          <w:lang w:val="es-ES" w:eastAsia="es-ES"/>
        </w:rPr>
        <w:t>iii</w:t>
      </w:r>
      <w:proofErr w:type="spellEnd"/>
      <w:r w:rsidRPr="00A0389A">
        <w:rPr>
          <w:rFonts w:ascii="Verdana" w:hAnsi="Verdana" w:cs="Arial"/>
          <w:lang w:val="es-ES" w:eastAsia="es-ES"/>
        </w:rPr>
        <w:t>) la administración delegada de recursos –en la que se distinguen los costos de inversión de los honorarios del administrador–.</w:t>
      </w:r>
    </w:p>
    <w:p w14:paraId="2CFA2EAB" w14:textId="77777777" w:rsidR="00662087" w:rsidRPr="00A0389A" w:rsidRDefault="00662087" w:rsidP="00662087">
      <w:pPr>
        <w:spacing w:before="120" w:after="0" w:line="276" w:lineRule="auto"/>
        <w:ind w:firstLine="709"/>
        <w:jc w:val="both"/>
        <w:rPr>
          <w:rFonts w:ascii="Verdana" w:hAnsi="Verdana" w:cs="Arial"/>
          <w:lang w:val="es-ES" w:eastAsia="es-ES"/>
        </w:rPr>
      </w:pPr>
      <w:r w:rsidRPr="00A0389A">
        <w:rPr>
          <w:rFonts w:ascii="Verdana" w:hAnsi="Verdana" w:cs="Arial"/>
          <w:lang w:val="es-ES" w:eastAsia="es-ES"/>
        </w:rPr>
        <w:t xml:space="preserve">Pues bien, en los contratos cuyo precio se estructura a partir del sistema de precios unitarios, ha hecho parte de la práctica de los negocios que el contratante le solicite al potencial contratista que separe en su propuesta los </w:t>
      </w:r>
      <w:r w:rsidRPr="00A0389A">
        <w:rPr>
          <w:rFonts w:ascii="Verdana" w:hAnsi="Verdana" w:cs="Arial"/>
          <w:i/>
          <w:iCs/>
          <w:lang w:val="es-ES" w:eastAsia="es-ES"/>
        </w:rPr>
        <w:t>costos directos</w:t>
      </w:r>
      <w:r w:rsidRPr="00A0389A">
        <w:rPr>
          <w:rFonts w:ascii="Verdana" w:hAnsi="Verdana" w:cs="Arial"/>
          <w:lang w:val="es-ES" w:eastAsia="es-ES"/>
        </w:rPr>
        <w:t xml:space="preserve"> –es decir, los que están directamente implicados en la ejecución del objeto–, de los </w:t>
      </w:r>
      <w:r w:rsidRPr="00A0389A">
        <w:rPr>
          <w:rFonts w:ascii="Verdana" w:hAnsi="Verdana" w:cs="Arial"/>
          <w:i/>
          <w:iCs/>
          <w:lang w:val="es-ES" w:eastAsia="es-ES"/>
        </w:rPr>
        <w:t>costos indirectos</w:t>
      </w:r>
      <w:r w:rsidRPr="00A0389A">
        <w:rPr>
          <w:rFonts w:ascii="Verdana" w:hAnsi="Verdana" w:cs="Arial"/>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En tal sentido, mientras que los </w:t>
      </w:r>
      <w:r w:rsidRPr="00A0389A">
        <w:rPr>
          <w:rFonts w:ascii="Verdana" w:hAnsi="Verdana" w:cs="Arial"/>
          <w:i/>
          <w:iCs/>
          <w:lang w:val="es-ES" w:eastAsia="es-ES"/>
        </w:rPr>
        <w:t>costos directos</w:t>
      </w:r>
      <w:r w:rsidRPr="00A0389A">
        <w:rPr>
          <w:rFonts w:ascii="Verdana" w:hAnsi="Verdana" w:cs="Arial"/>
          <w:lang w:val="es-ES" w:eastAsia="es-ES"/>
        </w:rPr>
        <w:t xml:space="preserve"> se evidencian en el análisis de precios unitarios –APU–, como la sumatoria de los valores de los </w:t>
      </w:r>
      <w:r w:rsidRPr="00A0389A">
        <w:rPr>
          <w:rFonts w:ascii="Verdana" w:hAnsi="Verdana" w:cs="Arial"/>
          <w:i/>
          <w:iCs/>
          <w:lang w:val="es-ES" w:eastAsia="es-ES"/>
        </w:rPr>
        <w:t>ítems</w:t>
      </w:r>
      <w:r w:rsidRPr="00A0389A">
        <w:rPr>
          <w:rFonts w:ascii="Verdana" w:hAnsi="Verdana" w:cs="Arial"/>
          <w:lang w:val="es-ES" w:eastAsia="es-ES"/>
        </w:rPr>
        <w:t xml:space="preserve"> según su unidad de medida, los </w:t>
      </w:r>
      <w:r w:rsidRPr="00A0389A">
        <w:rPr>
          <w:rFonts w:ascii="Verdana" w:hAnsi="Verdana" w:cs="Arial"/>
          <w:i/>
          <w:iCs/>
          <w:lang w:val="es-ES" w:eastAsia="es-ES"/>
        </w:rPr>
        <w:t>costos indirectos</w:t>
      </w:r>
      <w:r w:rsidRPr="00A0389A">
        <w:rPr>
          <w:rFonts w:ascii="Verdana" w:hAnsi="Verdana" w:cs="Arial"/>
          <w:lang w:val="es-ES" w:eastAsia="es-ES"/>
        </w:rPr>
        <w:t xml:space="preserve"> se suelen abreviar en las variables que integran el acrónimo AIU –Administración, Imprevistos y Utilidad–. </w:t>
      </w:r>
    </w:p>
    <w:p w14:paraId="14DD2E8A" w14:textId="77777777" w:rsidR="00662087" w:rsidRPr="00A0389A" w:rsidRDefault="00662087" w:rsidP="00662087">
      <w:pPr>
        <w:spacing w:before="120" w:after="0" w:line="276" w:lineRule="auto"/>
        <w:ind w:firstLine="709"/>
        <w:jc w:val="both"/>
        <w:rPr>
          <w:rFonts w:ascii="Verdana" w:hAnsi="Verdana" w:cs="Arial"/>
          <w:bCs/>
          <w:szCs w:val="24"/>
          <w:lang w:eastAsia="es-ES_tradnl"/>
        </w:rPr>
      </w:pPr>
      <w:r w:rsidRPr="00A0389A">
        <w:rPr>
          <w:rFonts w:ascii="Verdana" w:hAnsi="Verdana" w:cs="Arial"/>
          <w:bCs/>
          <w:szCs w:val="24"/>
          <w:lang w:val="es-ES" w:eastAsia="es-ES_tradnl"/>
        </w:rPr>
        <w:t>L</w:t>
      </w:r>
      <w:r w:rsidRPr="00A0389A">
        <w:rPr>
          <w:rFonts w:ascii="Verdana" w:hAnsi="Verdana" w:cs="Arial"/>
          <w:bCs/>
          <w:szCs w:val="24"/>
          <w:lang w:val="es-ES_tradnl" w:eastAsia="es-ES_tradnl"/>
        </w:rPr>
        <w:t xml:space="preserve">a jurisprudencia ha señalado que “[…] </w:t>
      </w:r>
      <w:r w:rsidRPr="00A0389A">
        <w:rPr>
          <w:rFonts w:ascii="Verdana" w:hAnsi="Verdana" w:cs="Arial"/>
          <w:bCs/>
          <w:szCs w:val="24"/>
          <w:lang w:eastAsia="es-ES_tradnl"/>
        </w:rPr>
        <w:t xml:space="preserve">en la conformación de dichos precios unitarios, se tienen en cuenta todos los gastos que se requieren para realizar la unidad de medida respectiva –el metro lineal, el metro cúbico, el metro cuadrado, etc.-. Y lo que comúnmente se denomina análisis de precios unitarios, corresponde a la descomposición de </w:t>
      </w:r>
      <w:proofErr w:type="gramStart"/>
      <w:r w:rsidRPr="00A0389A">
        <w:rPr>
          <w:rFonts w:ascii="Verdana" w:hAnsi="Verdana" w:cs="Arial"/>
          <w:bCs/>
          <w:szCs w:val="24"/>
          <w:lang w:eastAsia="es-ES_tradnl"/>
        </w:rPr>
        <w:t>los mismos</w:t>
      </w:r>
      <w:proofErr w:type="gramEnd"/>
      <w:r w:rsidRPr="00A0389A">
        <w:rPr>
          <w:rFonts w:ascii="Verdana" w:hAnsi="Verdana" w:cs="Arial"/>
          <w:bCs/>
          <w:szCs w:val="24"/>
          <w:lang w:eastAsia="es-ES_tradnl"/>
        </w:rPr>
        <w:t xml:space="preserve"> para determinar los costos que los conforman: la maquinaria que se utilizará, calculando el valor por el tiempo que se requiera; la mano de obra, teniendo en cuenta el costo hora-hombre, y cuántas personas se requieren para la ejecución de esa unidad de </w:t>
      </w:r>
      <w:r w:rsidRPr="00A0389A">
        <w:rPr>
          <w:rFonts w:ascii="Verdana" w:hAnsi="Verdana" w:cs="Arial"/>
          <w:bCs/>
          <w:szCs w:val="24"/>
          <w:lang w:eastAsia="es-ES_tradnl"/>
        </w:rPr>
        <w:lastRenderedPageBreak/>
        <w:t>medida; la cantidad de los materiales necesarios, etc.</w:t>
      </w:r>
      <w:r w:rsidRPr="00A0389A">
        <w:rPr>
          <w:rFonts w:ascii="Verdana" w:hAnsi="Verdana" w:cs="Arial"/>
          <w:bCs/>
          <w:szCs w:val="24"/>
          <w:lang w:val="es-ES_tradnl" w:eastAsia="es-ES_tradnl"/>
        </w:rPr>
        <w:t>”</w:t>
      </w:r>
      <w:r w:rsidRPr="00A0389A">
        <w:rPr>
          <w:rFonts w:ascii="Verdana" w:hAnsi="Verdana" w:cs="Arial"/>
          <w:bCs/>
          <w:szCs w:val="24"/>
          <w:vertAlign w:val="superscript"/>
          <w:lang w:val="es-ES_tradnl" w:eastAsia="es-ES_tradnl"/>
        </w:rPr>
        <w:footnoteReference w:id="2"/>
      </w:r>
      <w:r w:rsidRPr="00A0389A">
        <w:rPr>
          <w:rFonts w:ascii="Verdana" w:hAnsi="Verdana" w:cs="Arial"/>
          <w:bCs/>
          <w:szCs w:val="24"/>
          <w:lang w:eastAsia="es-ES_tradnl"/>
        </w:rPr>
        <w:t>. En concordancia, la doctrina explica que en la estructuración de los precios unitarios se tendrán en cuenta todos los costos directos necesarios para la ejecución del objeto contractual que se multiplicará por al AIU, lo que determina el valor unitario:</w:t>
      </w:r>
    </w:p>
    <w:p w14:paraId="044F2480" w14:textId="77777777" w:rsidR="00662087" w:rsidRPr="00A0389A" w:rsidRDefault="00662087" w:rsidP="00662087">
      <w:pPr>
        <w:spacing w:after="0" w:line="276" w:lineRule="auto"/>
        <w:ind w:firstLine="709"/>
        <w:jc w:val="both"/>
        <w:rPr>
          <w:rFonts w:ascii="Verdana" w:hAnsi="Verdana" w:cs="Arial"/>
          <w:bCs/>
          <w:szCs w:val="24"/>
          <w:lang w:eastAsia="es-ES_tradnl"/>
        </w:rPr>
      </w:pPr>
    </w:p>
    <w:p w14:paraId="6B37F719" w14:textId="77777777" w:rsidR="00662087" w:rsidRPr="00A0389A" w:rsidRDefault="00662087" w:rsidP="00662087">
      <w:pPr>
        <w:tabs>
          <w:tab w:val="left" w:pos="709"/>
        </w:tabs>
        <w:spacing w:after="120" w:line="240" w:lineRule="auto"/>
        <w:ind w:left="709" w:right="709"/>
        <w:jc w:val="both"/>
        <w:rPr>
          <w:rFonts w:ascii="Verdana" w:hAnsi="Verdana" w:cs="Arial"/>
          <w:sz w:val="21"/>
          <w:szCs w:val="21"/>
          <w:lang w:val="es-ES" w:eastAsia="es-ES"/>
        </w:rPr>
      </w:pPr>
      <w:r w:rsidRPr="00A0389A">
        <w:rPr>
          <w:rFonts w:ascii="Verdana" w:hAnsi="Verdana" w:cs="Arial"/>
          <w:sz w:val="21"/>
          <w:szCs w:val="21"/>
          <w:lang w:val="es-ES" w:eastAsia="es-ES"/>
        </w:rPr>
        <w:t>“Cada uno de los valores unitarios resultan de un análisis de los componentes requeridos para su elaboración, estudio que se denomina comúnmente ‘análisis de precios unitarios’. Así, se examinará, por ejemplo, que para la construcción de un metro cuadrado de muro se requieren 50 ladrillos, que tienen un valor de $50.000; 15 kilos de cemento, que tienen un valor de $5.000; 30 kilos de arena, que tienen un valor de $500; 5 litros de agua, que tienen un valor de 100, y la mano de obra que tiene un valor de $5.000. La sumatoria de cada uno de estos insumos básicos arroja el costo directo que debe cancelar el contratista para la construcción de un metro de muro.</w:t>
      </w:r>
    </w:p>
    <w:p w14:paraId="5D0F678D" w14:textId="77777777" w:rsidR="00662087" w:rsidRPr="00A0389A" w:rsidRDefault="00662087" w:rsidP="00662087">
      <w:pPr>
        <w:tabs>
          <w:tab w:val="left" w:pos="709"/>
        </w:tabs>
        <w:spacing w:after="0" w:line="240" w:lineRule="auto"/>
        <w:ind w:left="709" w:right="709"/>
        <w:jc w:val="both"/>
        <w:rPr>
          <w:rFonts w:ascii="Verdana" w:hAnsi="Verdana" w:cs="Arial"/>
          <w:sz w:val="21"/>
          <w:szCs w:val="21"/>
          <w:lang w:val="es-ES_tradnl" w:eastAsia="es-ES_tradnl"/>
        </w:rPr>
      </w:pPr>
      <w:r w:rsidRPr="00A0389A">
        <w:rPr>
          <w:rFonts w:ascii="Verdana" w:hAnsi="Verdana" w:cs="Arial"/>
          <w:sz w:val="21"/>
          <w:szCs w:val="21"/>
          <w:lang w:val="es-ES_tradnl" w:eastAsia="es-ES_tradnl"/>
        </w:rPr>
        <w:t>El costo directo se multiplica por el AIU, es decir, por los gastos de administración, que incluye los gastos de personal que dirige la obra; los gastos de imprevistos, que pretende cubrir imprevistos y la utilidad. El resultado de la multiplicación anterior determina el valor unitario que deberá cancelar la entidad estatal. Dentro del valor unitario, entonces, están incorporados la totalidad de los gastos en los que incurre el contratista y la utilidad que espera recibir”</w:t>
      </w:r>
      <w:r w:rsidRPr="00A0389A">
        <w:rPr>
          <w:rFonts w:ascii="Verdana" w:hAnsi="Verdana" w:cs="Arial"/>
          <w:sz w:val="21"/>
          <w:szCs w:val="21"/>
          <w:vertAlign w:val="superscript"/>
          <w:lang w:val="es-ES_tradnl" w:eastAsia="es-ES_tradnl"/>
        </w:rPr>
        <w:footnoteReference w:id="3"/>
      </w:r>
      <w:r w:rsidRPr="00A0389A">
        <w:rPr>
          <w:rFonts w:ascii="Verdana" w:hAnsi="Verdana" w:cs="Arial"/>
          <w:sz w:val="21"/>
          <w:szCs w:val="21"/>
          <w:lang w:val="es-ES_tradnl" w:eastAsia="es-ES_tradnl"/>
        </w:rPr>
        <w:t xml:space="preserve">. </w:t>
      </w:r>
    </w:p>
    <w:p w14:paraId="33047499" w14:textId="77777777" w:rsidR="00662087" w:rsidRPr="00A0389A" w:rsidRDefault="00662087" w:rsidP="00662087">
      <w:pPr>
        <w:tabs>
          <w:tab w:val="left" w:pos="709"/>
        </w:tabs>
        <w:spacing w:after="0" w:line="276" w:lineRule="auto"/>
        <w:ind w:left="709" w:right="760"/>
        <w:jc w:val="both"/>
        <w:rPr>
          <w:rFonts w:ascii="Verdana" w:hAnsi="Verdana" w:cs="Arial"/>
          <w:szCs w:val="24"/>
          <w:lang w:val="es-ES_tradnl" w:eastAsia="es-ES_tradnl"/>
        </w:rPr>
      </w:pPr>
    </w:p>
    <w:p w14:paraId="4CF9EC65" w14:textId="77777777" w:rsidR="00662087" w:rsidRPr="00A0389A" w:rsidRDefault="00662087" w:rsidP="00662087">
      <w:pPr>
        <w:spacing w:after="0" w:line="276" w:lineRule="auto"/>
        <w:ind w:firstLine="709"/>
        <w:jc w:val="both"/>
        <w:rPr>
          <w:rFonts w:ascii="Verdana" w:hAnsi="Verdana" w:cs="Arial"/>
          <w:szCs w:val="24"/>
          <w:lang w:val="es-ES_tradnl" w:eastAsia="es-ES_tradnl"/>
        </w:rPr>
      </w:pPr>
      <w:r w:rsidRPr="00A0389A">
        <w:rPr>
          <w:rFonts w:ascii="Verdana" w:hAnsi="Verdana" w:cs="Arial"/>
          <w:szCs w:val="24"/>
          <w:lang w:val="es-ES_tradnl" w:eastAsia="es-ES_tradnl"/>
        </w:rPr>
        <w:t xml:space="preserve">Por su parte, de acuerdo con la Sección Tercera del Consejo de Estado, el AIU, concepto de común utilización en los contratos de tracto sucesivo –entre ellos, los contratos de obra– no cuenta con una definición normativa, pero hay elementos que permiten precisar su alcance, así: </w:t>
      </w:r>
    </w:p>
    <w:p w14:paraId="2AEEBE3A" w14:textId="77777777" w:rsidR="00662087" w:rsidRPr="00A0389A" w:rsidRDefault="00662087" w:rsidP="00662087">
      <w:pPr>
        <w:spacing w:after="0" w:line="276" w:lineRule="auto"/>
        <w:ind w:firstLine="709"/>
        <w:jc w:val="both"/>
        <w:rPr>
          <w:rFonts w:ascii="Verdana" w:hAnsi="Verdana" w:cs="Arial"/>
          <w:szCs w:val="24"/>
          <w:lang w:val="es-ES_tradnl" w:eastAsia="es-ES_tradnl"/>
        </w:rPr>
      </w:pPr>
    </w:p>
    <w:p w14:paraId="24048140" w14:textId="77777777" w:rsidR="00662087" w:rsidRPr="00A0389A" w:rsidRDefault="00662087" w:rsidP="00662087">
      <w:pPr>
        <w:tabs>
          <w:tab w:val="left" w:pos="709"/>
        </w:tabs>
        <w:spacing w:after="120" w:line="240" w:lineRule="auto"/>
        <w:ind w:left="709" w:right="709"/>
        <w:jc w:val="both"/>
        <w:rPr>
          <w:rFonts w:ascii="Verdana" w:hAnsi="Verdana" w:cs="Arial"/>
          <w:sz w:val="21"/>
          <w:szCs w:val="21"/>
          <w:lang w:val="es-ES_tradnl" w:eastAsia="es-ES_tradnl"/>
        </w:rPr>
      </w:pPr>
      <w:r w:rsidRPr="00A0389A">
        <w:rPr>
          <w:rFonts w:ascii="Verdana" w:hAnsi="Verdana" w:cs="Arial"/>
          <w:sz w:val="21"/>
          <w:szCs w:val="21"/>
          <w:lang w:val="es-ES_tradnl" w:eastAsia="es-ES_tradnl"/>
        </w:rPr>
        <w:t xml:space="preserve">“[…] el AIU propuesto para el contrato, corresponde a: </w:t>
      </w:r>
    </w:p>
    <w:p w14:paraId="5BDF4758" w14:textId="77777777" w:rsidR="00662087" w:rsidRPr="00A0389A" w:rsidRDefault="00662087" w:rsidP="00662087">
      <w:pPr>
        <w:tabs>
          <w:tab w:val="left" w:pos="709"/>
        </w:tabs>
        <w:spacing w:after="120" w:line="240" w:lineRule="auto"/>
        <w:ind w:left="709" w:right="709"/>
        <w:jc w:val="both"/>
        <w:rPr>
          <w:rFonts w:ascii="Verdana" w:hAnsi="Verdana" w:cs="Arial"/>
          <w:sz w:val="21"/>
          <w:szCs w:val="21"/>
          <w:lang w:val="es-ES_tradnl" w:eastAsia="es-ES_tradnl"/>
        </w:rPr>
      </w:pPr>
      <w:r w:rsidRPr="00A0389A">
        <w:rPr>
          <w:rFonts w:ascii="Verdana" w:hAnsi="Verdana" w:cs="Arial"/>
          <w:sz w:val="21"/>
          <w:szCs w:val="21"/>
          <w:lang w:val="es-ES_tradnl" w:eastAsia="es-ES_tradnl"/>
        </w:rPr>
        <w:t xml:space="preserve">i) los costos de administración o costos indirectos para la operación del contrato, tales como los gastos de disponibilidad de la organización del contratista, esto es: A; </w:t>
      </w:r>
    </w:p>
    <w:p w14:paraId="1FC0E5AB" w14:textId="77777777" w:rsidR="00662087" w:rsidRPr="00A0389A" w:rsidRDefault="00662087" w:rsidP="00662087">
      <w:pPr>
        <w:tabs>
          <w:tab w:val="left" w:pos="709"/>
        </w:tabs>
        <w:spacing w:after="120" w:line="240" w:lineRule="auto"/>
        <w:ind w:left="709" w:right="709"/>
        <w:jc w:val="both"/>
        <w:rPr>
          <w:rFonts w:ascii="Verdana" w:hAnsi="Verdana" w:cs="Arial"/>
          <w:sz w:val="21"/>
          <w:szCs w:val="21"/>
          <w:lang w:val="es-ES" w:eastAsia="es-ES"/>
        </w:rPr>
      </w:pPr>
      <w:proofErr w:type="spellStart"/>
      <w:r w:rsidRPr="00A0389A">
        <w:rPr>
          <w:rFonts w:ascii="Verdana" w:hAnsi="Verdana" w:cs="Arial"/>
          <w:sz w:val="21"/>
          <w:szCs w:val="21"/>
          <w:lang w:val="es-ES" w:eastAsia="es-ES"/>
        </w:rPr>
        <w:lastRenderedPageBreak/>
        <w:t>ii</w:t>
      </w:r>
      <w:proofErr w:type="spellEnd"/>
      <w:r w:rsidRPr="00A0389A">
        <w:rPr>
          <w:rFonts w:ascii="Verdana" w:hAnsi="Verdana" w:cs="Arial"/>
          <w:sz w:val="21"/>
          <w:szCs w:val="21"/>
          <w:lang w:val="es-ES" w:eastAsia="es-ES"/>
        </w:rPr>
        <w:t xml:space="preserve">) los imprevistos, que es el porcentaje destinado a cubrir los gastos con los que no se contaba y que se presenten durante la ejecución del contrato, esto es, el </w:t>
      </w:r>
      <w:proofErr w:type="spellStart"/>
      <w:r w:rsidRPr="00A0389A">
        <w:rPr>
          <w:rFonts w:ascii="Verdana" w:hAnsi="Verdana" w:cs="Arial"/>
          <w:sz w:val="21"/>
          <w:szCs w:val="21"/>
          <w:lang w:val="es-ES" w:eastAsia="es-ES"/>
        </w:rPr>
        <w:t>álea</w:t>
      </w:r>
      <w:proofErr w:type="spellEnd"/>
      <w:r w:rsidRPr="00A0389A">
        <w:rPr>
          <w:rFonts w:ascii="Verdana" w:hAnsi="Verdana" w:cs="Arial"/>
          <w:sz w:val="21"/>
          <w:szCs w:val="21"/>
          <w:lang w:val="es-ES" w:eastAsia="es-ES"/>
        </w:rPr>
        <w:t xml:space="preserve"> normal del contrato: I; </w:t>
      </w:r>
    </w:p>
    <w:p w14:paraId="46379DC6" w14:textId="77777777" w:rsidR="00662087" w:rsidRPr="00A0389A" w:rsidRDefault="00662087" w:rsidP="00662087">
      <w:pPr>
        <w:tabs>
          <w:tab w:val="left" w:pos="709"/>
        </w:tabs>
        <w:spacing w:after="120" w:line="240" w:lineRule="auto"/>
        <w:ind w:left="709" w:right="709"/>
        <w:jc w:val="both"/>
        <w:rPr>
          <w:rFonts w:ascii="Verdana" w:hAnsi="Verdana" w:cs="Arial"/>
          <w:sz w:val="21"/>
          <w:szCs w:val="21"/>
          <w:lang w:val="es-ES" w:eastAsia="es-ES"/>
        </w:rPr>
      </w:pPr>
      <w:proofErr w:type="spellStart"/>
      <w:r w:rsidRPr="00A0389A">
        <w:rPr>
          <w:rFonts w:ascii="Verdana" w:hAnsi="Verdana" w:cs="Arial"/>
          <w:sz w:val="21"/>
          <w:szCs w:val="21"/>
          <w:lang w:val="es-ES" w:eastAsia="es-ES"/>
        </w:rPr>
        <w:t>iii</w:t>
      </w:r>
      <w:proofErr w:type="spellEnd"/>
      <w:r w:rsidRPr="00A0389A">
        <w:rPr>
          <w:rFonts w:ascii="Verdana" w:hAnsi="Verdana" w:cs="Arial"/>
          <w:sz w:val="21"/>
          <w:szCs w:val="21"/>
          <w:lang w:val="es-ES" w:eastAsia="es-ES"/>
        </w:rPr>
        <w:t xml:space="preserve">) la utilidad o el beneficio económico que pretende percibir el contratista por la ejecución del contrato, esto es: U. </w:t>
      </w:r>
    </w:p>
    <w:p w14:paraId="5EAC87CD" w14:textId="77777777" w:rsidR="00662087" w:rsidRPr="00A0389A" w:rsidRDefault="00662087" w:rsidP="00662087">
      <w:pPr>
        <w:tabs>
          <w:tab w:val="left" w:pos="709"/>
        </w:tabs>
        <w:spacing w:after="0" w:line="240" w:lineRule="auto"/>
        <w:ind w:left="709" w:right="709"/>
        <w:jc w:val="both"/>
        <w:rPr>
          <w:rFonts w:ascii="Verdana" w:hAnsi="Verdana" w:cs="Arial"/>
          <w:sz w:val="21"/>
          <w:szCs w:val="21"/>
          <w:lang w:val="es-ES_tradnl" w:eastAsia="es-ES_tradnl"/>
        </w:rPr>
      </w:pPr>
      <w:r w:rsidRPr="00A0389A">
        <w:rPr>
          <w:rFonts w:ascii="Verdana" w:hAnsi="Verdana" w:cs="Arial"/>
          <w:sz w:val="21"/>
          <w:szCs w:val="21"/>
          <w:lang w:val="es-ES_tradnl" w:eastAsia="es-ES_tradnl"/>
        </w:rPr>
        <w:t>Ahora, teniendo en cuenta que no existe ninguna reglamentación que establezca porcentajes mínimos o máximos para determinar el A.I.U., cada empresa o comerciante de acuerdo con su infraestructura, experiencia, las condiciones del mercado, la naturaleza del contrato a celebrar, entre otros factores, establece su estructura de costos conforme a la cual se compromete a ejecutar cabalmente un contrato en el caso de que le sea adjudicado”</w:t>
      </w:r>
      <w:r w:rsidRPr="00A0389A">
        <w:rPr>
          <w:rFonts w:ascii="Verdana" w:hAnsi="Verdana" w:cs="Arial"/>
          <w:sz w:val="21"/>
          <w:szCs w:val="21"/>
          <w:vertAlign w:val="superscript"/>
          <w:lang w:val="es-ES_tradnl" w:eastAsia="es-ES_tradnl"/>
        </w:rPr>
        <w:footnoteReference w:id="4"/>
      </w:r>
      <w:r w:rsidRPr="00A0389A">
        <w:rPr>
          <w:rFonts w:ascii="Verdana" w:hAnsi="Verdana" w:cs="Arial"/>
          <w:sz w:val="21"/>
          <w:szCs w:val="21"/>
          <w:lang w:val="es-ES_tradnl" w:eastAsia="es-ES_tradnl"/>
        </w:rPr>
        <w:t>.</w:t>
      </w:r>
    </w:p>
    <w:p w14:paraId="1BE29945" w14:textId="77777777" w:rsidR="00662087" w:rsidRPr="00A0389A" w:rsidRDefault="00662087" w:rsidP="00662087">
      <w:pPr>
        <w:tabs>
          <w:tab w:val="left" w:pos="709"/>
        </w:tabs>
        <w:spacing w:after="0" w:line="276" w:lineRule="auto"/>
        <w:ind w:left="709" w:right="760"/>
        <w:jc w:val="both"/>
        <w:rPr>
          <w:rFonts w:ascii="Verdana" w:hAnsi="Verdana" w:cs="Arial"/>
          <w:szCs w:val="24"/>
          <w:lang w:val="es-ES_tradnl" w:eastAsia="es-ES_tradnl"/>
        </w:rPr>
      </w:pPr>
    </w:p>
    <w:p w14:paraId="5F1E9EB7" w14:textId="77777777" w:rsidR="00662087" w:rsidRPr="00A0389A" w:rsidRDefault="00662087" w:rsidP="00662087">
      <w:pPr>
        <w:spacing w:after="120" w:line="276" w:lineRule="auto"/>
        <w:ind w:firstLine="709"/>
        <w:jc w:val="both"/>
        <w:rPr>
          <w:rFonts w:ascii="Verdana" w:hAnsi="Verdana" w:cs="Arial"/>
          <w:lang w:val="es-ES" w:eastAsia="es-ES"/>
        </w:rPr>
      </w:pPr>
      <w:r w:rsidRPr="00A0389A">
        <w:rPr>
          <w:rFonts w:ascii="Verdana" w:hAnsi="Verdana" w:cs="Arial"/>
          <w:lang w:val="es-ES" w:eastAsia="es-ES"/>
        </w:rPr>
        <w:t>A su turno, la Sala de Consulta y Servicio Civil del Consejo de Estado sostuvo en concepto del 5 de septiembre de 2018</w:t>
      </w:r>
      <w:r w:rsidRPr="00A0389A">
        <w:rPr>
          <w:rFonts w:ascii="Verdana" w:hAnsi="Verdana" w:cs="Arial"/>
          <w:vertAlign w:val="superscript"/>
          <w:lang w:val="es-ES" w:eastAsia="es-ES"/>
        </w:rPr>
        <w:footnoteReference w:id="5"/>
      </w:r>
      <w:r w:rsidRPr="00A0389A">
        <w:rPr>
          <w:rFonts w:ascii="Verdana" w:hAnsi="Verdana" w:cs="Arial"/>
          <w:lang w:val="es-ES" w:eastAsia="es-ES"/>
        </w:rPr>
        <w:t xml:space="preserve"> que “el concepto del A.I.U. comprende la Administración (costos indirectos) imprevistos y utilidades, y en algunos contratos este valor aparece cuantificado en forma independiente al valor de la obra y como un porcentaje de </w:t>
      </w:r>
      <w:proofErr w:type="gramStart"/>
      <w:r w:rsidRPr="00A0389A">
        <w:rPr>
          <w:rFonts w:ascii="Verdana" w:hAnsi="Verdana" w:cs="Arial"/>
          <w:lang w:val="es-ES" w:eastAsia="es-ES"/>
        </w:rPr>
        <w:t>la misma</w:t>
      </w:r>
      <w:proofErr w:type="gramEnd"/>
      <w:r w:rsidRPr="00A0389A">
        <w:rPr>
          <w:rFonts w:ascii="Verdana" w:hAnsi="Verdana" w:cs="Arial"/>
          <w:vertAlign w:val="superscript"/>
          <w:lang w:val="es-ES" w:eastAsia="es-ES"/>
        </w:rPr>
        <w:footnoteReference w:id="6"/>
      </w:r>
      <w:r w:rsidRPr="00A0389A">
        <w:rPr>
          <w:rFonts w:ascii="Verdana" w:hAnsi="Verdana" w:cs="Arial"/>
          <w:lang w:val="es-ES" w:eastAsia="es-ES"/>
        </w:rPr>
        <w:t>, sin perjuicio que en otros contratos este valor no aparezca discriminado y se incorpore en el valor de los precios unitarios”</w:t>
      </w:r>
      <w:r w:rsidRPr="00A0389A">
        <w:rPr>
          <w:rFonts w:ascii="Verdana" w:hAnsi="Verdana" w:cs="Arial"/>
          <w:vertAlign w:val="superscript"/>
          <w:lang w:val="es-ES" w:eastAsia="es-ES"/>
        </w:rPr>
        <w:footnoteReference w:id="7"/>
      </w:r>
      <w:r w:rsidRPr="00A0389A">
        <w:rPr>
          <w:rFonts w:ascii="Verdana" w:hAnsi="Verdana" w:cs="Arial"/>
          <w:lang w:val="es-ES" w:eastAsia="es-ES"/>
        </w:rPr>
        <w:t xml:space="preserve">. </w:t>
      </w:r>
    </w:p>
    <w:p w14:paraId="34BBCA97" w14:textId="77777777" w:rsidR="00662087" w:rsidRPr="00A0389A" w:rsidRDefault="00662087" w:rsidP="00662087">
      <w:pPr>
        <w:spacing w:after="120" w:line="276" w:lineRule="auto"/>
        <w:ind w:firstLine="709"/>
        <w:jc w:val="both"/>
        <w:rPr>
          <w:rFonts w:ascii="Verdana" w:hAnsi="Verdana" w:cs="Arial"/>
          <w:bCs/>
          <w:szCs w:val="24"/>
          <w:lang w:val="es-ES_tradnl" w:eastAsia="es-ES_tradnl"/>
        </w:rPr>
      </w:pPr>
      <w:r w:rsidRPr="00A0389A">
        <w:rPr>
          <w:rFonts w:ascii="Verdana" w:hAnsi="Verdana" w:cs="Arial"/>
          <w:bCs/>
          <w:szCs w:val="24"/>
          <w:lang w:val="es-ES_tradnl" w:eastAsia="es-ES_tradnl"/>
        </w:rPr>
        <w:t xml:space="preserve">Así pues, ni el sistema de precios unitarios –como metodología de estipulación del valor contractual–, ni el concepto de AIU, ni mucho menos la forma de calcularlo –es decir, su porcentaje–, son aspectos regulados en el conjunto de las disposiciones legales y reglamentarias que integran la normativa </w:t>
      </w:r>
      <w:r w:rsidRPr="00A0389A">
        <w:rPr>
          <w:rFonts w:ascii="Verdana" w:hAnsi="Verdana" w:cs="Arial"/>
          <w:bCs/>
          <w:szCs w:val="24"/>
          <w:lang w:val="es-ES_tradnl" w:eastAsia="es-ES_tradnl"/>
        </w:rPr>
        <w:lastRenderedPageBreak/>
        <w:t>contractual del Estado: “La justificación de esta manera de cotizar el precio procede, incluso, de la formación universitaria que reciben los ingenieros, a quienes les enseñan esta metodología para elaborar las ofertas. En fin, lo que se quiere indicar con estos comentarios es que la necesidad de presentar una propuesta desglosando en forma intensa su precio no procede de la ley, ni del reglamento, sino de la costumbre, […]”</w:t>
      </w:r>
      <w:r w:rsidRPr="00A0389A">
        <w:rPr>
          <w:rFonts w:ascii="Verdana" w:hAnsi="Verdana" w:cs="Arial"/>
          <w:bCs/>
          <w:szCs w:val="24"/>
          <w:vertAlign w:val="superscript"/>
          <w:lang w:val="es-ES_tradnl" w:eastAsia="es-ES_tradnl"/>
        </w:rPr>
        <w:footnoteReference w:id="8"/>
      </w:r>
      <w:r w:rsidRPr="00A0389A">
        <w:rPr>
          <w:rFonts w:ascii="Verdana" w:hAnsi="Verdana" w:cs="Arial"/>
          <w:bCs/>
          <w:szCs w:val="24"/>
          <w:lang w:val="es-ES_tradnl" w:eastAsia="es-ES_tradnl"/>
        </w:rPr>
        <w:t xml:space="preserve">. De otro lado, quien define el valor de cada </w:t>
      </w:r>
      <w:r w:rsidRPr="00A0389A">
        <w:rPr>
          <w:rFonts w:ascii="Verdana" w:hAnsi="Verdana" w:cs="Arial"/>
          <w:bCs/>
          <w:i/>
          <w:iCs/>
          <w:szCs w:val="24"/>
          <w:lang w:val="es-ES_tradnl" w:eastAsia="es-ES_tradnl"/>
        </w:rPr>
        <w:t>letra</w:t>
      </w:r>
      <w:r w:rsidRPr="00A0389A">
        <w:rPr>
          <w:rFonts w:ascii="Verdana" w:hAnsi="Verdana" w:cs="Arial"/>
          <w:bCs/>
          <w:szCs w:val="24"/>
          <w:lang w:val="es-ES_tradnl" w:eastAsia="es-ES_tradnl"/>
        </w:rPr>
        <w:t xml:space="preserve"> –AIU– es el proponente, pues goza de libertad empresarial para </w:t>
      </w:r>
      <w:r w:rsidRPr="000B0D04">
        <w:rPr>
          <w:rFonts w:ascii="Verdana" w:hAnsi="Verdana" w:cs="Arial"/>
          <w:bCs/>
          <w:szCs w:val="24"/>
          <w:lang w:val="es-ES_tradnl" w:eastAsia="es-ES_tradnl"/>
        </w:rPr>
        <w:t>hacerlo en la elaboración de su oferta</w:t>
      </w:r>
      <w:r w:rsidRPr="000B0D04">
        <w:rPr>
          <w:rFonts w:ascii="Verdana" w:hAnsi="Verdana" w:cs="Arial"/>
          <w:bCs/>
          <w:szCs w:val="24"/>
          <w:vertAlign w:val="superscript"/>
          <w:lang w:val="es-ES_tradnl" w:eastAsia="es-ES_tradnl"/>
        </w:rPr>
        <w:footnoteReference w:id="9"/>
      </w:r>
      <w:r w:rsidRPr="000B0D04">
        <w:rPr>
          <w:rFonts w:ascii="Verdana" w:hAnsi="Verdana" w:cs="Arial"/>
          <w:bCs/>
          <w:szCs w:val="24"/>
          <w:lang w:val="es-ES_tradnl" w:eastAsia="es-ES_tradnl"/>
        </w:rPr>
        <w:t>.</w:t>
      </w:r>
    </w:p>
    <w:p w14:paraId="2357E337" w14:textId="77777777" w:rsidR="00662087" w:rsidRPr="00A0389A" w:rsidRDefault="00662087" w:rsidP="00662087">
      <w:pPr>
        <w:spacing w:after="120" w:line="276" w:lineRule="auto"/>
        <w:ind w:firstLine="709"/>
        <w:jc w:val="both"/>
        <w:rPr>
          <w:rFonts w:ascii="Verdana" w:hAnsi="Verdana" w:cs="Arial"/>
          <w:bCs/>
          <w:szCs w:val="24"/>
          <w:lang w:val="es-ES_tradnl" w:eastAsia="es-ES_tradnl"/>
        </w:rPr>
      </w:pPr>
      <w:r w:rsidRPr="00A0389A">
        <w:rPr>
          <w:rFonts w:ascii="Verdana" w:hAnsi="Verdana" w:cs="Arial"/>
          <w:bCs/>
          <w:szCs w:val="24"/>
          <w:lang w:val="es-ES_tradnl" w:eastAsia="es-ES_tradnl"/>
        </w:rPr>
        <w:t xml:space="preserve">De este modo, </w:t>
      </w:r>
      <w:r w:rsidRPr="00A0389A">
        <w:rPr>
          <w:rFonts w:ascii="Verdana" w:hAnsi="Verdana" w:cs="Arial"/>
          <w:lang w:eastAsia="es-ES"/>
        </w:rPr>
        <w:t>el AIU, como metodología de pacto del precio que provien</w:t>
      </w:r>
      <w:r>
        <w:rPr>
          <w:rFonts w:ascii="Verdana" w:hAnsi="Verdana" w:cs="Arial"/>
          <w:lang w:eastAsia="es-ES"/>
        </w:rPr>
        <w:t xml:space="preserve">e de la costumbre mercantil, </w:t>
      </w:r>
      <w:r w:rsidRPr="00A0389A">
        <w:rPr>
          <w:rFonts w:ascii="Verdana" w:hAnsi="Verdana" w:cs="Arial"/>
          <w:lang w:eastAsia="es-ES"/>
        </w:rPr>
        <w:t>puede utilizar</w:t>
      </w:r>
      <w:r>
        <w:rPr>
          <w:rFonts w:ascii="Verdana" w:hAnsi="Verdana" w:cs="Arial"/>
          <w:lang w:eastAsia="es-ES"/>
        </w:rPr>
        <w:t>se</w:t>
      </w:r>
      <w:r w:rsidRPr="00A0389A">
        <w:rPr>
          <w:rFonts w:ascii="Verdana" w:hAnsi="Verdana" w:cs="Arial"/>
          <w:lang w:eastAsia="es-ES"/>
        </w:rPr>
        <w:t xml:space="preserve"> en principio en cualquier tipología contractual, aunque lo más común es que se use en los contratos de tracto sucesivo, especialmente</w:t>
      </w:r>
      <w:r>
        <w:rPr>
          <w:rFonts w:ascii="Verdana" w:hAnsi="Verdana" w:cs="Arial"/>
          <w:lang w:eastAsia="es-ES"/>
        </w:rPr>
        <w:t>,</w:t>
      </w:r>
      <w:r w:rsidRPr="00A0389A">
        <w:rPr>
          <w:rFonts w:ascii="Verdana" w:hAnsi="Verdana" w:cs="Arial"/>
          <w:lang w:eastAsia="es-ES"/>
        </w:rPr>
        <w:t xml:space="preserve"> en los que se distinguen los precios unitarios.</w:t>
      </w:r>
      <w:r w:rsidRPr="00A0389A">
        <w:rPr>
          <w:rFonts w:ascii="Verdana" w:hAnsi="Verdana" w:cs="Arial"/>
          <w:bCs/>
          <w:szCs w:val="24"/>
          <w:lang w:val="es-ES_tradnl" w:eastAsia="es-ES_tradnl"/>
        </w:rPr>
        <w:t xml:space="preserve"> </w:t>
      </w:r>
      <w:r w:rsidRPr="00A0389A">
        <w:rPr>
          <w:rFonts w:ascii="Verdana" w:hAnsi="Verdana" w:cs="Arial"/>
          <w:lang w:eastAsia="es-ES"/>
        </w:rPr>
        <w:t>La determinación de este sistema de estipulación del valor debe ser el resultad</w:t>
      </w:r>
      <w:r>
        <w:rPr>
          <w:rFonts w:ascii="Verdana" w:hAnsi="Verdana" w:cs="Arial"/>
          <w:lang w:eastAsia="es-ES"/>
        </w:rPr>
        <w:t xml:space="preserve">o de los estudios previos, y en especial, </w:t>
      </w:r>
      <w:r w:rsidRPr="00A0389A">
        <w:rPr>
          <w:rFonts w:ascii="Verdana" w:hAnsi="Verdana" w:cs="Arial"/>
          <w:lang w:eastAsia="es-ES"/>
        </w:rPr>
        <w:t xml:space="preserve">del análisis del sector. Solo a partir de tales estudios la entidad estatal podrá concluir si es oportuno y conveniente establecer que el precio del contrato y, por tanto, la propuesta del oferente, se deberá establecer distinguiendo los costos directos respecto de los costos indirectos; estos últimos representados en el AIU. </w:t>
      </w:r>
    </w:p>
    <w:p w14:paraId="7DB47F15" w14:textId="77777777" w:rsidR="00662087" w:rsidRPr="00A0389A" w:rsidRDefault="00662087" w:rsidP="00662087">
      <w:pPr>
        <w:spacing w:after="120" w:line="276" w:lineRule="auto"/>
        <w:ind w:firstLine="743"/>
        <w:jc w:val="both"/>
        <w:rPr>
          <w:rFonts w:ascii="Verdana" w:hAnsi="Verdana" w:cs="Arial"/>
          <w:lang w:eastAsia="es-ES"/>
        </w:rPr>
      </w:pPr>
      <w:r w:rsidRPr="00A0389A">
        <w:rPr>
          <w:rFonts w:ascii="Verdana" w:hAnsi="Verdana" w:cs="Arial"/>
          <w:lang w:eastAsia="es-ES"/>
        </w:rPr>
        <w:t xml:space="preserve">En consecuencia, </w:t>
      </w:r>
      <w:bookmarkStart w:id="3" w:name="_Hlk191240669"/>
      <w:r w:rsidRPr="00A0389A">
        <w:rPr>
          <w:rFonts w:ascii="Verdana" w:hAnsi="Verdana" w:cs="Arial"/>
          <w:lang w:eastAsia="es-ES"/>
        </w:rPr>
        <w:t xml:space="preserve">no hay </w:t>
      </w:r>
      <w:r w:rsidRPr="0063731E">
        <w:rPr>
          <w:rFonts w:ascii="Verdana" w:hAnsi="Verdana" w:cs="Arial"/>
          <w:i/>
          <w:iCs/>
          <w:lang w:eastAsia="es-ES"/>
        </w:rPr>
        <w:t>a priori</w:t>
      </w:r>
      <w:r w:rsidRPr="00A0389A">
        <w:rPr>
          <w:rFonts w:ascii="Verdana" w:hAnsi="Verdana" w:cs="Arial"/>
          <w:lang w:eastAsia="es-ES"/>
        </w:rPr>
        <w:t xml:space="preserve"> tipologías contractuales en las que la ley o el reglamento establezcan que se debe utilizar el AIU, así como tampoco hay una determinación única y específica de la forma en la que el AIU debe ser establecido en contratos que involucra diferentes tipos de actividades como sería la ejecución de obra y la prestación de servicios conexos, ya que tal decisión obedece a lo que resulte más conveniente a la entidad estatal, en cumplimiento del principio de planeación. </w:t>
      </w:r>
    </w:p>
    <w:p w14:paraId="107C3B1F" w14:textId="77777777" w:rsidR="00662087" w:rsidRPr="00A0389A" w:rsidRDefault="00662087" w:rsidP="00662087">
      <w:pPr>
        <w:snapToGrid w:val="0"/>
        <w:spacing w:after="120" w:line="276" w:lineRule="auto"/>
        <w:ind w:firstLine="743"/>
        <w:jc w:val="both"/>
        <w:rPr>
          <w:rFonts w:ascii="Verdana" w:hAnsi="Verdana" w:cs="Arial"/>
          <w:lang w:eastAsia="es-ES"/>
        </w:rPr>
      </w:pPr>
      <w:r w:rsidRPr="00A0389A">
        <w:rPr>
          <w:rFonts w:ascii="Verdana" w:hAnsi="Verdana" w:cs="Arial"/>
          <w:bCs/>
          <w:szCs w:val="24"/>
          <w:lang w:val="es-ES_tradnl" w:eastAsia="es-ES_tradnl"/>
        </w:rPr>
        <w:t xml:space="preserve">En este contexto, si </w:t>
      </w:r>
      <w:r w:rsidRPr="00A0389A">
        <w:rPr>
          <w:rFonts w:ascii="Verdana" w:hAnsi="Verdana" w:cs="Arial"/>
          <w:lang w:eastAsia="es-ES"/>
        </w:rPr>
        <w:t xml:space="preserve">con base en los estudios del sector la entidad estatal estableció la necesidad de estructurar el valor bajo el sistema de precios unitarios y con el desglose del AIU, independientemente que el contrato de obra involucre actividades conexas de prestación de servicios, el precio se debería pagar con base en el valor de los costos directos incrementados por el porcentaje del AIU, en relación con todas las actividades calculadas bajo este sistema. En </w:t>
      </w:r>
      <w:r w:rsidRPr="00A0389A">
        <w:rPr>
          <w:rFonts w:ascii="Verdana" w:hAnsi="Verdana" w:cs="Arial"/>
          <w:lang w:eastAsia="es-ES"/>
        </w:rPr>
        <w:lastRenderedPageBreak/>
        <w:t>otras palabras, cuando el valor en el contrato de obra se estructuró utilizando el sistema de AIU para todas las actividades incluidas, sin hacer distinción entre los diferentes tipos de actividades, el pago del AIU debe aplicarse a todas las actividades del contrato, a menos que se haya acordado lo contrario.</w:t>
      </w:r>
    </w:p>
    <w:bookmarkEnd w:id="3"/>
    <w:p w14:paraId="08F4DCB9" w14:textId="77777777" w:rsidR="00662087" w:rsidRPr="00A0389A" w:rsidRDefault="00662087" w:rsidP="00662087">
      <w:pPr>
        <w:snapToGrid w:val="0"/>
        <w:spacing w:after="120" w:line="276" w:lineRule="auto"/>
        <w:ind w:firstLine="743"/>
        <w:jc w:val="both"/>
        <w:rPr>
          <w:rFonts w:ascii="Verdana" w:hAnsi="Verdana" w:cs="Arial"/>
          <w:bCs/>
          <w:szCs w:val="24"/>
          <w:lang w:val="es-ES_tradnl" w:eastAsia="es-ES_tradnl"/>
        </w:rPr>
      </w:pPr>
      <w:r w:rsidRPr="00A0389A">
        <w:rPr>
          <w:rFonts w:ascii="Verdana" w:hAnsi="Verdana" w:cs="Arial"/>
          <w:lang w:eastAsia="es-ES"/>
        </w:rPr>
        <w:t xml:space="preserve">Ahora bien, </w:t>
      </w:r>
      <w:r w:rsidRPr="00A0389A">
        <w:rPr>
          <w:rFonts w:ascii="Verdana" w:hAnsi="Verdana" w:cs="Arial"/>
          <w:bCs/>
          <w:szCs w:val="24"/>
          <w:lang w:val="es-ES_tradnl" w:eastAsia="es-ES_tradnl"/>
        </w:rPr>
        <w:t xml:space="preserve">nada obstaría para que las partes le dieran otros efectos particulares a la forma en que pagan el precio estructurado con AIU. Por ejemplo, podrían incluir cláusulas o reglas bajo las cuales se estableciera que el valor de alguno o de todos los componentes de la </w:t>
      </w:r>
      <w:r w:rsidRPr="00A0389A">
        <w:rPr>
          <w:rFonts w:ascii="Verdana" w:hAnsi="Verdana" w:cs="Arial"/>
          <w:bCs/>
          <w:i/>
          <w:iCs/>
          <w:szCs w:val="24"/>
          <w:lang w:val="es-ES_tradnl" w:eastAsia="es-ES_tradnl"/>
        </w:rPr>
        <w:t>Administración</w:t>
      </w:r>
      <w:r w:rsidRPr="00A0389A">
        <w:rPr>
          <w:rFonts w:ascii="Verdana" w:hAnsi="Verdana" w:cs="Arial"/>
          <w:bCs/>
          <w:szCs w:val="24"/>
          <w:lang w:val="es-ES_tradnl" w:eastAsia="es-ES_tradnl"/>
        </w:rPr>
        <w:t xml:space="preserve"> o los </w:t>
      </w:r>
      <w:r w:rsidRPr="00A0389A">
        <w:rPr>
          <w:rFonts w:ascii="Verdana" w:hAnsi="Verdana" w:cs="Arial"/>
          <w:bCs/>
          <w:i/>
          <w:iCs/>
          <w:szCs w:val="24"/>
          <w:lang w:val="es-ES_tradnl" w:eastAsia="es-ES_tradnl"/>
        </w:rPr>
        <w:t>Imprevistos</w:t>
      </w:r>
      <w:r w:rsidRPr="00A0389A">
        <w:rPr>
          <w:rFonts w:ascii="Verdana" w:hAnsi="Verdana" w:cs="Arial"/>
          <w:bCs/>
          <w:szCs w:val="24"/>
          <w:lang w:val="es-ES_tradnl" w:eastAsia="es-ES_tradnl"/>
        </w:rPr>
        <w:t xml:space="preserve"> sólo se pagan si el contratista demuestra que incurrió en algunas situaciones específicas y bajo el monto que este logre demostrar.</w:t>
      </w:r>
    </w:p>
    <w:p w14:paraId="34C44B1F" w14:textId="77777777" w:rsidR="00662087" w:rsidRPr="00A0389A" w:rsidRDefault="00662087" w:rsidP="00662087">
      <w:pPr>
        <w:snapToGrid w:val="0"/>
        <w:spacing w:after="120" w:line="276" w:lineRule="auto"/>
        <w:ind w:firstLine="601"/>
        <w:jc w:val="both"/>
        <w:rPr>
          <w:rFonts w:ascii="Verdana" w:hAnsi="Verdana" w:cs="Arial"/>
          <w:lang w:val="es-ES" w:eastAsia="es-ES"/>
        </w:rPr>
      </w:pPr>
      <w:r w:rsidRPr="00A0389A">
        <w:rPr>
          <w:rFonts w:ascii="Verdana" w:hAnsi="Verdana" w:cs="Arial"/>
          <w:lang w:eastAsia="es-ES"/>
        </w:rPr>
        <w:t xml:space="preserve">Sin embargo, </w:t>
      </w:r>
      <w:r w:rsidRPr="00A0389A">
        <w:rPr>
          <w:rFonts w:ascii="Verdana" w:hAnsi="Verdana" w:cs="Arial"/>
          <w:lang w:val="es-ES" w:eastAsia="es-ES"/>
        </w:rPr>
        <w:t xml:space="preserve">una regulación como la anterior no es la que suele emplearse en los contratos estatales. Lo usual, que se advierte en la práctica de las Entidades Estatales, es que acuden al AIU con la finalidad de establecer un precio más estable, de manera que el valor del contrato consistirá en lo que resulte de afectar los costos directos por el porcentaje, en principio, invariable del AIU, de manera que al valor de los costos directos se le sume el AIU. </w:t>
      </w:r>
    </w:p>
    <w:p w14:paraId="6982BAA7" w14:textId="77777777" w:rsidR="00662087" w:rsidRPr="00A0389A" w:rsidRDefault="00662087" w:rsidP="00662087">
      <w:pPr>
        <w:snapToGrid w:val="0"/>
        <w:spacing w:after="120" w:line="276" w:lineRule="auto"/>
        <w:ind w:firstLine="601"/>
        <w:jc w:val="both"/>
        <w:rPr>
          <w:rFonts w:ascii="Verdana" w:eastAsia="Calibri" w:hAnsi="Verdana" w:cs="Arial"/>
          <w:bCs/>
          <w:szCs w:val="24"/>
          <w:lang w:val="es-ES_tradnl" w:eastAsia="es-ES_tradnl"/>
        </w:rPr>
      </w:pPr>
      <w:r w:rsidRPr="00A0389A">
        <w:rPr>
          <w:rFonts w:ascii="Verdana" w:eastAsia="Calibri" w:hAnsi="Verdana" w:cs="Arial"/>
          <w:bCs/>
          <w:szCs w:val="24"/>
          <w:lang w:val="es-ES_tradnl" w:eastAsia="es-ES_tradnl"/>
        </w:rPr>
        <w:t xml:space="preserve">En este sentido, cuando las Entidades Estatales incluyen esta forma de desglosar el precio, en los últimos términos indicados, al realizar el estudio de mercado elaboran un presupuesto estimado del valor de la ejecución del contrato. Dicho presupuesto estimado incluye los costos genéricos </w:t>
      </w:r>
      <w:r w:rsidRPr="00A0389A">
        <w:rPr>
          <w:rFonts w:ascii="Verdana" w:eastAsia="Calibri" w:hAnsi="Verdana" w:cs="Arial"/>
          <w:bCs/>
          <w:i/>
          <w:iCs/>
          <w:szCs w:val="24"/>
          <w:lang w:val="es-ES_tradnl" w:eastAsia="es-ES_tradnl"/>
        </w:rPr>
        <w:t xml:space="preserve">indirectos </w:t>
      </w:r>
      <w:r w:rsidRPr="00A0389A">
        <w:rPr>
          <w:rFonts w:ascii="Verdana" w:eastAsia="Calibri" w:hAnsi="Verdana" w:cs="Arial"/>
          <w:bCs/>
          <w:szCs w:val="24"/>
          <w:lang w:val="es-ES_tradnl" w:eastAsia="es-ES_tradnl"/>
        </w:rPr>
        <w:t xml:space="preserve">en que incurren los contratistas, entre ellos, los de la </w:t>
      </w:r>
      <w:r w:rsidRPr="00A0389A">
        <w:rPr>
          <w:rFonts w:ascii="Verdana" w:eastAsia="Calibri" w:hAnsi="Verdana" w:cs="Arial"/>
          <w:bCs/>
          <w:i/>
          <w:iCs/>
          <w:szCs w:val="24"/>
          <w:lang w:val="es-ES_tradnl" w:eastAsia="es-ES_tradnl"/>
        </w:rPr>
        <w:t xml:space="preserve">Administración </w:t>
      </w:r>
      <w:r w:rsidRPr="00A0389A">
        <w:rPr>
          <w:rFonts w:ascii="Verdana" w:eastAsia="Calibri" w:hAnsi="Verdana" w:cs="Arial"/>
          <w:lang w:val="es-ES_tradnl" w:eastAsia="es-ES"/>
        </w:rPr>
        <w:t>y</w:t>
      </w:r>
      <w:r w:rsidRPr="00A0389A">
        <w:rPr>
          <w:rFonts w:ascii="Verdana" w:eastAsia="Calibri" w:hAnsi="Verdana" w:cs="Arial"/>
          <w:lang w:val="es-ES" w:eastAsia="es-ES"/>
        </w:rPr>
        <w:t xml:space="preserve"> lo</w:t>
      </w:r>
      <w:r w:rsidRPr="00A0389A">
        <w:rPr>
          <w:rFonts w:ascii="Verdana" w:eastAsia="Calibri" w:hAnsi="Verdana" w:cs="Arial"/>
          <w:i/>
          <w:iCs/>
          <w:lang w:val="es-ES" w:eastAsia="es-ES"/>
        </w:rPr>
        <w:t>s Imprevistos</w:t>
      </w:r>
      <w:r w:rsidRPr="00A0389A">
        <w:rPr>
          <w:rFonts w:ascii="Verdana" w:eastAsia="Calibri" w:hAnsi="Verdana" w:cs="Arial"/>
          <w:bCs/>
          <w:szCs w:val="24"/>
          <w:lang w:val="es-ES_tradnl" w:eastAsia="es-ES_tradnl"/>
        </w:rPr>
        <w:t>, para efectos de definir el porcentaje con el que calculan el presupuesto, pese a que el monto de estos componentes varía ostensiblemente de un proponente a otro, pues su valor real depende de circunstancias particulares de los oferentes</w:t>
      </w:r>
      <w:r w:rsidRPr="00A0389A">
        <w:rPr>
          <w:rFonts w:ascii="Verdana" w:eastAsia="Calibri" w:hAnsi="Verdana" w:cs="Times New Roman"/>
          <w:vertAlign w:val="superscript"/>
          <w:lang w:val="es-ES" w:eastAsia="es-ES_tradnl"/>
        </w:rPr>
        <w:footnoteReference w:id="10"/>
      </w:r>
      <w:r w:rsidRPr="00A0389A">
        <w:rPr>
          <w:rFonts w:ascii="Verdana" w:eastAsia="Calibri" w:hAnsi="Verdana" w:cs="Arial"/>
          <w:bCs/>
          <w:szCs w:val="24"/>
          <w:lang w:val="es-ES_tradnl" w:eastAsia="es-ES_tradnl"/>
        </w:rPr>
        <w:t xml:space="preserve">. </w:t>
      </w:r>
    </w:p>
    <w:p w14:paraId="573F8311" w14:textId="77777777" w:rsidR="00662087" w:rsidRPr="00A0389A" w:rsidRDefault="00662087" w:rsidP="00662087">
      <w:pPr>
        <w:snapToGrid w:val="0"/>
        <w:spacing w:after="120" w:line="276" w:lineRule="auto"/>
        <w:ind w:firstLine="601"/>
        <w:jc w:val="both"/>
        <w:rPr>
          <w:rFonts w:ascii="Verdana" w:eastAsia="Calibri" w:hAnsi="Verdana" w:cs="Arial"/>
          <w:bCs/>
          <w:szCs w:val="24"/>
          <w:lang w:val="es-ES_tradnl" w:eastAsia="es-ES_tradnl"/>
        </w:rPr>
      </w:pPr>
      <w:r w:rsidRPr="00A0389A">
        <w:rPr>
          <w:rFonts w:ascii="Verdana" w:eastAsia="Calibri" w:hAnsi="Verdana" w:cs="Arial"/>
          <w:lang w:eastAsia="es-ES"/>
        </w:rPr>
        <w:t xml:space="preserve">Así las cosas, las partes asumen los riesgos inherentes a esta forma de pactar el precio, entendiendo aceptados los aleas normales que se presenten en la ejecución del contrato, de manera que, aunque el contratista incurra en </w:t>
      </w:r>
      <w:r w:rsidRPr="00A0389A">
        <w:rPr>
          <w:rFonts w:ascii="Verdana" w:eastAsia="Calibri" w:hAnsi="Verdana" w:cs="Arial"/>
          <w:lang w:eastAsia="es-ES"/>
        </w:rPr>
        <w:lastRenderedPageBreak/>
        <w:t xml:space="preserve">mayores costos de los ítems incluidos en la </w:t>
      </w:r>
      <w:r w:rsidRPr="00A0389A">
        <w:rPr>
          <w:rFonts w:ascii="Verdana" w:eastAsia="Calibri" w:hAnsi="Verdana" w:cs="Arial"/>
          <w:i/>
          <w:iCs/>
          <w:lang w:eastAsia="es-ES"/>
        </w:rPr>
        <w:t>Administración</w:t>
      </w:r>
      <w:r w:rsidRPr="00A0389A">
        <w:rPr>
          <w:rFonts w:ascii="Verdana" w:eastAsia="Calibri" w:hAnsi="Verdana" w:cs="Arial"/>
          <w:lang w:eastAsia="es-ES"/>
        </w:rPr>
        <w:t xml:space="preserve"> o en más gastos de </w:t>
      </w:r>
      <w:r w:rsidRPr="00A0389A">
        <w:rPr>
          <w:rFonts w:ascii="Verdana" w:eastAsia="Calibri" w:hAnsi="Verdana" w:cs="Arial"/>
          <w:i/>
          <w:iCs/>
          <w:lang w:eastAsia="es-ES"/>
        </w:rPr>
        <w:t>Imprevistos</w:t>
      </w:r>
      <w:r w:rsidRPr="00A0389A">
        <w:rPr>
          <w:rFonts w:ascii="Verdana" w:eastAsia="Calibri" w:hAnsi="Verdana" w:cs="Arial"/>
          <w:lang w:eastAsia="es-ES"/>
        </w:rPr>
        <w:t xml:space="preserve"> al presentar su oferta, o que estos disminuyan, aparezcan algunos nuevos o desaparezcan algunos de ellos, el valor se mantenga invariable</w:t>
      </w:r>
    </w:p>
    <w:p w14:paraId="3A93FA51" w14:textId="77777777" w:rsidR="00662087" w:rsidRDefault="00662087" w:rsidP="00662087">
      <w:pPr>
        <w:snapToGrid w:val="0"/>
        <w:spacing w:after="120" w:line="276" w:lineRule="auto"/>
        <w:ind w:firstLine="601"/>
        <w:jc w:val="both"/>
        <w:rPr>
          <w:rFonts w:ascii="Verdana" w:eastAsia="Calibri" w:hAnsi="Verdana" w:cs="Arial"/>
          <w:lang w:val="es-ES" w:eastAsia="es-ES"/>
        </w:rPr>
      </w:pPr>
      <w:r w:rsidRPr="00A0389A">
        <w:rPr>
          <w:rFonts w:ascii="Verdana" w:eastAsia="Calibri" w:hAnsi="Verdana" w:cs="Arial"/>
          <w:lang w:val="es-ES" w:eastAsia="es-ES"/>
        </w:rPr>
        <w:t xml:space="preserve">De manera que las entidades calculan un valor estimado que, a su vez, sirve de guía para que los proponentes formulen sus ofertas, pero bajo la premisa de que pagarán un porcentaje fijo incluido por los interesados en sus propuestas, dado lo variable que resulta este valor, y lo complejo y gravoso de realizar un seguimiento minucioso a los costos en que incurren los contratistas por este componente en particular. Además, que estos podrían ser mayores a los inicialmente pactados con el contratista, de manera que la fijación de un porcentaje fijo y estable también puede resultar favorable a la entidad estatal, pues su contraparte no le podrá exigir un monto superior, bajo el argumento de que incurrió en costos o gastos adicionales asociados al componente </w:t>
      </w:r>
      <w:r w:rsidRPr="00A0389A">
        <w:rPr>
          <w:rFonts w:ascii="Verdana" w:eastAsia="Calibri" w:hAnsi="Verdana" w:cs="Arial"/>
          <w:i/>
          <w:iCs/>
          <w:lang w:val="es-ES" w:eastAsia="es-ES"/>
        </w:rPr>
        <w:t>Administración</w:t>
      </w:r>
      <w:r w:rsidRPr="00A0389A">
        <w:rPr>
          <w:rFonts w:ascii="Verdana" w:eastAsia="Calibri" w:hAnsi="Verdana" w:cs="Arial"/>
          <w:lang w:val="es-ES" w:eastAsia="es-ES"/>
        </w:rPr>
        <w:t xml:space="preserve"> o de </w:t>
      </w:r>
      <w:r w:rsidRPr="00A0389A">
        <w:rPr>
          <w:rFonts w:ascii="Verdana" w:eastAsia="Calibri" w:hAnsi="Verdana" w:cs="Arial"/>
          <w:i/>
          <w:iCs/>
          <w:lang w:val="es-ES" w:eastAsia="es-ES"/>
        </w:rPr>
        <w:t>Imprevistos</w:t>
      </w:r>
      <w:r w:rsidRPr="00A0389A">
        <w:rPr>
          <w:rFonts w:ascii="Verdana" w:eastAsia="Calibri" w:hAnsi="Verdana" w:cs="Times New Roman"/>
          <w:vertAlign w:val="superscript"/>
          <w:lang w:val="es-ES" w:eastAsia="es-ES"/>
        </w:rPr>
        <w:footnoteReference w:id="11"/>
      </w:r>
      <w:r w:rsidRPr="00A0389A">
        <w:rPr>
          <w:rFonts w:ascii="Verdana" w:eastAsia="Calibri" w:hAnsi="Verdana" w:cs="Arial"/>
          <w:lang w:val="es-ES" w:eastAsia="es-ES"/>
        </w:rPr>
        <w:t>.</w:t>
      </w:r>
    </w:p>
    <w:p w14:paraId="2BE25E2D" w14:textId="77777777" w:rsidR="00E05E98" w:rsidRDefault="00E05E98" w:rsidP="00E05E98">
      <w:pPr>
        <w:spacing w:before="120" w:after="0" w:line="276" w:lineRule="auto"/>
        <w:ind w:firstLine="708"/>
        <w:jc w:val="both"/>
        <w:rPr>
          <w:rFonts w:ascii="Verdana" w:hAnsi="Verdana" w:cs="Arial"/>
          <w:lang w:val="es-ES" w:eastAsia="es-ES"/>
        </w:rPr>
      </w:pPr>
      <w:r w:rsidRPr="00371A1F">
        <w:rPr>
          <w:rFonts w:ascii="Verdana" w:hAnsi="Verdana" w:cs="Arial"/>
          <w:lang w:val="es-ES" w:eastAsia="es-ES"/>
        </w:rPr>
        <w:t xml:space="preserve">Tratándose de los </w:t>
      </w:r>
      <w:r w:rsidRPr="00371A1F">
        <w:rPr>
          <w:rFonts w:ascii="Verdana" w:hAnsi="Verdana" w:cs="Arial"/>
          <w:i/>
          <w:iCs/>
          <w:lang w:val="es-ES" w:eastAsia="es-ES"/>
        </w:rPr>
        <w:t>imprevistos</w:t>
      </w:r>
      <w:r w:rsidRPr="00371A1F">
        <w:rPr>
          <w:rFonts w:ascii="Verdana" w:hAnsi="Verdana" w:cs="Arial"/>
          <w:lang w:val="es-ES" w:eastAsia="es-ES"/>
        </w:rPr>
        <w:t xml:space="preserve">, </w:t>
      </w:r>
      <w:r>
        <w:rPr>
          <w:rFonts w:ascii="Verdana" w:hAnsi="Verdana" w:cs="Arial"/>
          <w:lang w:val="es-ES" w:eastAsia="es-ES"/>
        </w:rPr>
        <w:t>éstos constituyen</w:t>
      </w:r>
      <w:r w:rsidRPr="00494109">
        <w:rPr>
          <w:rFonts w:ascii="Verdana" w:hAnsi="Verdana" w:cs="Arial"/>
          <w:lang w:val="es-ES" w:eastAsia="es-ES"/>
        </w:rPr>
        <w:t xml:space="preserve"> una partida destinada a cubrir gastos no contemplados expresamente en la oferta, pero que suelen presentarse durante la ejecución normal del proyecto</w:t>
      </w:r>
      <w:r>
        <w:rPr>
          <w:rFonts w:ascii="Verdana" w:hAnsi="Verdana" w:cs="Arial"/>
          <w:lang w:val="es-ES" w:eastAsia="es-ES"/>
        </w:rPr>
        <w:t xml:space="preserve">. </w:t>
      </w:r>
      <w:r w:rsidRPr="00494109">
        <w:rPr>
          <w:rFonts w:ascii="Verdana" w:hAnsi="Verdana" w:cs="Arial"/>
          <w:lang w:val="es-ES" w:eastAsia="es-ES"/>
        </w:rPr>
        <w:t xml:space="preserve">Se trata de costos adicionales inherentes al desarrollo ordinario </w:t>
      </w:r>
      <w:r>
        <w:rPr>
          <w:rFonts w:ascii="Verdana" w:hAnsi="Verdana" w:cs="Arial"/>
          <w:lang w:val="es-ES" w:eastAsia="es-ES"/>
        </w:rPr>
        <w:t>de la actividad contratada,</w:t>
      </w:r>
      <w:r w:rsidRPr="00494109">
        <w:rPr>
          <w:rFonts w:ascii="Verdana" w:hAnsi="Verdana" w:cs="Arial"/>
          <w:lang w:val="es-ES" w:eastAsia="es-ES"/>
        </w:rPr>
        <w:t xml:space="preserve"> cuya ocurrencia </w:t>
      </w:r>
      <w:r>
        <w:rPr>
          <w:rFonts w:ascii="Verdana" w:hAnsi="Verdana" w:cs="Arial"/>
          <w:lang w:val="es-ES" w:eastAsia="es-ES"/>
        </w:rPr>
        <w:t xml:space="preserve">–por ser parte del alea normal del negocio– </w:t>
      </w:r>
      <w:r w:rsidRPr="00494109">
        <w:rPr>
          <w:rFonts w:ascii="Verdana" w:hAnsi="Verdana" w:cs="Arial"/>
          <w:lang w:val="es-ES" w:eastAsia="es-ES"/>
        </w:rPr>
        <w:t xml:space="preserve">es posible y esperada, aunque </w:t>
      </w:r>
      <w:r>
        <w:rPr>
          <w:rFonts w:ascii="Verdana" w:hAnsi="Verdana" w:cs="Arial"/>
          <w:lang w:val="es-ES" w:eastAsia="es-ES"/>
        </w:rPr>
        <w:t>sea incierto tanto el momento en que se causa</w:t>
      </w:r>
      <w:r w:rsidRPr="00494109">
        <w:rPr>
          <w:rFonts w:ascii="Verdana" w:hAnsi="Verdana" w:cs="Arial"/>
          <w:lang w:val="es-ES" w:eastAsia="es-ES"/>
        </w:rPr>
        <w:t xml:space="preserve"> </w:t>
      </w:r>
      <w:r>
        <w:rPr>
          <w:rFonts w:ascii="Verdana" w:hAnsi="Verdana" w:cs="Arial"/>
          <w:lang w:val="es-ES" w:eastAsia="es-ES"/>
        </w:rPr>
        <w:t>como su</w:t>
      </w:r>
      <w:r w:rsidRPr="00494109">
        <w:rPr>
          <w:rFonts w:ascii="Verdana" w:hAnsi="Verdana" w:cs="Arial"/>
          <w:lang w:val="es-ES" w:eastAsia="es-ES"/>
        </w:rPr>
        <w:t xml:space="preserve"> cuantía</w:t>
      </w:r>
      <w:r>
        <w:rPr>
          <w:rFonts w:ascii="Verdana" w:hAnsi="Verdana" w:cs="Arial"/>
          <w:lang w:val="es-ES" w:eastAsia="es-ES"/>
        </w:rPr>
        <w:t xml:space="preserve">. Para la doctrina, “[…] </w:t>
      </w:r>
      <w:r w:rsidRPr="00BB09DB">
        <w:rPr>
          <w:rFonts w:ascii="Verdana" w:hAnsi="Verdana" w:cs="Arial"/>
          <w:lang w:val="es-ES" w:eastAsia="es-ES"/>
        </w:rPr>
        <w:t xml:space="preserve">es el caso de la sobre remuneración que se paga al personal; la adquisición de materiales a un precio mayor al calculado; el pago de conceptos o </w:t>
      </w:r>
      <w:proofErr w:type="spellStart"/>
      <w:r w:rsidRPr="00BB09DB">
        <w:rPr>
          <w:rFonts w:ascii="Verdana" w:hAnsi="Verdana" w:cs="Arial"/>
          <w:lang w:val="es-ES" w:eastAsia="es-ES"/>
        </w:rPr>
        <w:t>experticios</w:t>
      </w:r>
      <w:proofErr w:type="spellEnd"/>
      <w:r w:rsidRPr="00BB09DB">
        <w:rPr>
          <w:rFonts w:ascii="Verdana" w:hAnsi="Verdana" w:cs="Arial"/>
          <w:lang w:val="es-ES" w:eastAsia="es-ES"/>
        </w:rPr>
        <w:t xml:space="preserve"> técnicos necesarios para evaluar una tarea o trabajo no previsto; la reparación de maquinaria; el alquiler de equipos que no se habían contemplado</w:t>
      </w:r>
      <w:r>
        <w:rPr>
          <w:rFonts w:ascii="Verdana" w:hAnsi="Verdana" w:cs="Arial"/>
          <w:lang w:val="es-ES" w:eastAsia="es-ES"/>
        </w:rPr>
        <w:t>, entre otros […]”</w:t>
      </w:r>
      <w:r>
        <w:rPr>
          <w:rStyle w:val="Refdenotaalpie"/>
          <w:rFonts w:ascii="Verdana" w:hAnsi="Verdana" w:cs="Arial"/>
          <w:lang w:val="es-ES" w:eastAsia="es-ES"/>
        </w:rPr>
        <w:footnoteReference w:id="12"/>
      </w:r>
      <w:r>
        <w:rPr>
          <w:rFonts w:ascii="Verdana" w:hAnsi="Verdana" w:cs="Arial"/>
          <w:lang w:val="es-ES" w:eastAsia="es-ES"/>
        </w:rPr>
        <w:t>.</w:t>
      </w:r>
    </w:p>
    <w:p w14:paraId="2643A923" w14:textId="77777777" w:rsidR="00E05E98" w:rsidRDefault="00E05E98" w:rsidP="00E05E98">
      <w:pPr>
        <w:spacing w:before="120" w:after="0" w:line="276" w:lineRule="auto"/>
        <w:ind w:firstLine="708"/>
        <w:jc w:val="both"/>
        <w:rPr>
          <w:rFonts w:ascii="Verdana" w:hAnsi="Verdana" w:cs="Arial"/>
          <w:lang w:eastAsia="es-ES"/>
        </w:rPr>
      </w:pPr>
      <w:r w:rsidRPr="1A02DAE0">
        <w:rPr>
          <w:rFonts w:ascii="Verdana" w:hAnsi="Verdana" w:cs="Arial"/>
          <w:lang w:eastAsia="es-ES"/>
        </w:rPr>
        <w:t xml:space="preserve">Estos imprevistos son diferentes a las situaciones que corresponden a contingencias extraordinarias, imprevisibles y no controlables por las partes –como los desastres naturales, por ejemplo– que generan un impacto grave y </w:t>
      </w:r>
      <w:r w:rsidRPr="1A02DAE0">
        <w:rPr>
          <w:rFonts w:ascii="Verdana" w:hAnsi="Verdana" w:cs="Arial"/>
          <w:lang w:eastAsia="es-ES"/>
        </w:rPr>
        <w:lastRenderedPageBreak/>
        <w:t>exceden la ejecución ordinaria del contrato. Es decir, “[…] la I como parte del precio no debe confundirse con los riesgos del contrato que conducen al desequilibrio financiero, porque mientras aquélla se refiere a la parte de los gastos extraordinarios que se presentan en el día a día de una obra, pero que son ‘normales’ en su desarrollo; éstos aluden a las contingencias que exceden la ejecución ordinaria del contrato y la capacidad de soportarlas […]”</w:t>
      </w:r>
      <w:r w:rsidRPr="1A02DAE0">
        <w:rPr>
          <w:rStyle w:val="Refdenotaalpie"/>
          <w:rFonts w:ascii="Verdana" w:hAnsi="Verdana" w:cs="Arial"/>
          <w:lang w:eastAsia="es-ES"/>
        </w:rPr>
        <w:footnoteReference w:id="13"/>
      </w:r>
      <w:r w:rsidRPr="1A02DAE0">
        <w:rPr>
          <w:rFonts w:ascii="Verdana" w:hAnsi="Verdana" w:cs="Arial"/>
          <w:lang w:eastAsia="es-ES"/>
        </w:rPr>
        <w:t>. Mientras los primeros integran el precio y forman parte del riesgo normal asumido por el contratista, los segundos pueden dar lugar restablecimiento de la ecuación económica, ya que su asignación no siempre es clara y puede requerir decisión judicial para determinar quién debe asumir su costo</w:t>
      </w:r>
      <w:r w:rsidRPr="1A02DAE0">
        <w:rPr>
          <w:rStyle w:val="Refdenotaalpie"/>
          <w:rFonts w:ascii="Verdana" w:hAnsi="Verdana" w:cs="Arial"/>
          <w:lang w:eastAsia="es-ES"/>
        </w:rPr>
        <w:footnoteReference w:id="14"/>
      </w:r>
      <w:r w:rsidRPr="1A02DAE0">
        <w:rPr>
          <w:rFonts w:ascii="Verdana" w:hAnsi="Verdana" w:cs="Arial"/>
          <w:lang w:eastAsia="es-ES"/>
        </w:rPr>
        <w:t xml:space="preserve">. </w:t>
      </w:r>
    </w:p>
    <w:p w14:paraId="0CBC58F4" w14:textId="77777777" w:rsidR="00E05E98" w:rsidRPr="00371A1F" w:rsidRDefault="00E05E98" w:rsidP="00E05E98">
      <w:pPr>
        <w:spacing w:before="120" w:after="0" w:line="276" w:lineRule="auto"/>
        <w:ind w:firstLine="708"/>
        <w:jc w:val="both"/>
        <w:rPr>
          <w:rFonts w:ascii="Verdana" w:hAnsi="Verdana" w:cs="Arial"/>
          <w:lang w:val="es-ES" w:eastAsia="es-ES"/>
        </w:rPr>
      </w:pPr>
      <w:r>
        <w:rPr>
          <w:rFonts w:ascii="Verdana" w:hAnsi="Verdana" w:cs="Arial"/>
          <w:lang w:val="es-ES" w:eastAsia="es-ES"/>
        </w:rPr>
        <w:t xml:space="preserve">Asimismo, </w:t>
      </w:r>
      <w:r w:rsidRPr="00371A1F">
        <w:rPr>
          <w:rFonts w:ascii="Verdana" w:hAnsi="Verdana" w:cs="Arial"/>
          <w:lang w:val="es-ES" w:eastAsia="es-ES"/>
        </w:rPr>
        <w:t>es necesario tener en cuenta que la Contraloría General de la República replanteó las conclusiones de los Conceptos OJ-0043 y 0J-0075 de 2019, así como del Concepto OJ-130 de 2020. Si bien en ellos sostenía que “[…] los imprevistos no forman parte de la utilidad del contratista, razón por la cual las entidades públicas, al momento de liquidar los contratos deberán analizar las condiciones de ejecución de los mismos y con base en éstas, determinar si se concretaron o no los riesgos imprevisibles a los que estaba destinado dicho rubro y de ser así en qué proporción fue afectado”, dicha tesis cambió a partir del Concepto OJ-083 de 2022 reiterado en el Concepto OJ 093 de la misma anualidad. Así, la Contraloría General de la República estima que:</w:t>
      </w:r>
    </w:p>
    <w:p w14:paraId="30AD516F" w14:textId="77777777" w:rsidR="00E05E98" w:rsidRPr="00371A1F" w:rsidRDefault="00E05E98" w:rsidP="00E05E98">
      <w:pPr>
        <w:spacing w:after="0" w:line="276" w:lineRule="auto"/>
        <w:ind w:firstLine="708"/>
        <w:jc w:val="both"/>
        <w:rPr>
          <w:rFonts w:ascii="Verdana" w:hAnsi="Verdana" w:cs="Arial"/>
          <w:lang w:val="es-ES" w:eastAsia="es-ES"/>
        </w:rPr>
      </w:pPr>
    </w:p>
    <w:p w14:paraId="0419E7C8" w14:textId="77777777" w:rsidR="00E05E98" w:rsidRPr="00BC4483" w:rsidRDefault="00E05E98" w:rsidP="00E05E98">
      <w:pPr>
        <w:spacing w:after="0" w:line="240" w:lineRule="auto"/>
        <w:ind w:left="709" w:right="709"/>
        <w:jc w:val="both"/>
        <w:rPr>
          <w:rFonts w:ascii="Verdana" w:hAnsi="Verdana" w:cs="Arial"/>
          <w:sz w:val="20"/>
          <w:szCs w:val="20"/>
          <w:lang w:val="es-ES" w:eastAsia="es-ES"/>
        </w:rPr>
      </w:pPr>
      <w:r w:rsidRPr="00BC4483">
        <w:rPr>
          <w:rFonts w:ascii="Verdana" w:hAnsi="Verdana" w:cs="Arial"/>
          <w:sz w:val="20"/>
          <w:szCs w:val="20"/>
          <w:lang w:val="es-ES" w:eastAsia="es-ES"/>
        </w:rPr>
        <w:t>“Cuando las entidades públicas deciden incluir en el valor de los contratos los costos de administración imprevistos y utilidad, A.I.U. tienen autonomía para pactar las condiciones para su reconocimiento y pago. En ejercicio de dicha autonomía, las entidades pueden decidir que no se exigirá al contratista que rinda cuentas sobre la partida de imprevistos o que lo haga, en determinadas condiciones.</w:t>
      </w:r>
    </w:p>
    <w:p w14:paraId="70DD9452" w14:textId="77777777" w:rsidR="00E05E98" w:rsidRPr="00BC4483" w:rsidRDefault="00E05E98" w:rsidP="00E05E98">
      <w:pPr>
        <w:spacing w:after="0" w:line="240" w:lineRule="auto"/>
        <w:ind w:left="709" w:right="709"/>
        <w:jc w:val="both"/>
        <w:rPr>
          <w:rFonts w:ascii="Verdana" w:hAnsi="Verdana" w:cs="Arial"/>
          <w:sz w:val="20"/>
          <w:szCs w:val="20"/>
          <w:lang w:val="es-ES" w:eastAsia="es-ES"/>
        </w:rPr>
      </w:pPr>
      <w:r w:rsidRPr="00BC4483">
        <w:rPr>
          <w:rFonts w:ascii="Verdana" w:hAnsi="Verdana" w:cs="Arial"/>
          <w:sz w:val="20"/>
          <w:szCs w:val="20"/>
          <w:lang w:val="es-ES" w:eastAsia="es-ES"/>
        </w:rPr>
        <w:t>[…]</w:t>
      </w:r>
    </w:p>
    <w:p w14:paraId="7F8FF9DF" w14:textId="77777777" w:rsidR="00E05E98" w:rsidRPr="00BC4483" w:rsidRDefault="00E05E98" w:rsidP="00E05E98">
      <w:pPr>
        <w:spacing w:before="120" w:after="0" w:line="240" w:lineRule="auto"/>
        <w:ind w:left="709" w:right="709"/>
        <w:jc w:val="both"/>
        <w:rPr>
          <w:rFonts w:ascii="Verdana" w:hAnsi="Verdana" w:cs="Arial"/>
          <w:sz w:val="20"/>
          <w:szCs w:val="20"/>
          <w:lang w:val="es-ES" w:eastAsia="es-ES"/>
        </w:rPr>
      </w:pPr>
      <w:r w:rsidRPr="00BC4483">
        <w:rPr>
          <w:rFonts w:ascii="Verdana" w:hAnsi="Verdana" w:cs="Arial"/>
          <w:sz w:val="20"/>
          <w:szCs w:val="20"/>
          <w:lang w:val="es-ES" w:eastAsia="es-ES"/>
        </w:rPr>
        <w:t xml:space="preserve">La obligación del contratista de demostrar si ocurrieron hechos que impacta la partida de imprevistos, dependerá de las condiciones que fueron fijadas en cada caso en el respectivo pliego de condiciones y en el contrato. </w:t>
      </w:r>
    </w:p>
    <w:p w14:paraId="5171CDC8" w14:textId="77777777" w:rsidR="00E05E98" w:rsidRPr="00315F83" w:rsidRDefault="00E05E98" w:rsidP="00E05E98">
      <w:pPr>
        <w:spacing w:before="120" w:after="0" w:line="240" w:lineRule="auto"/>
        <w:ind w:left="709" w:right="709"/>
        <w:jc w:val="both"/>
        <w:rPr>
          <w:rFonts w:ascii="Verdana" w:hAnsi="Verdana" w:cs="Arial"/>
          <w:sz w:val="21"/>
          <w:szCs w:val="21"/>
          <w:lang w:val="es-ES" w:eastAsia="es-ES"/>
        </w:rPr>
      </w:pPr>
      <w:r w:rsidRPr="00BC4483">
        <w:rPr>
          <w:rFonts w:ascii="Verdana" w:hAnsi="Verdana" w:cs="Arial"/>
          <w:sz w:val="20"/>
          <w:szCs w:val="20"/>
          <w:lang w:val="es-ES" w:eastAsia="es-ES"/>
        </w:rPr>
        <w:t xml:space="preserve">Las entidades contratantes deben determinar, en cada caso, según las condiciones que fueron definida para el reconocimiento y pago del A.I.U. </w:t>
      </w:r>
      <w:r w:rsidRPr="00BC4483">
        <w:rPr>
          <w:rFonts w:ascii="Verdana" w:hAnsi="Verdana" w:cs="Arial"/>
          <w:sz w:val="20"/>
          <w:szCs w:val="20"/>
          <w:lang w:val="es-ES" w:eastAsia="es-ES"/>
        </w:rPr>
        <w:lastRenderedPageBreak/>
        <w:t>si el pago de la partida de imprevistos debe corresponder al porcentaje fijado en la oferta económica para ello”.</w:t>
      </w:r>
    </w:p>
    <w:p w14:paraId="15F04F8B" w14:textId="77777777" w:rsidR="00E05E98" w:rsidRDefault="00E05E98" w:rsidP="00E05E98">
      <w:pPr>
        <w:spacing w:after="0" w:line="276" w:lineRule="auto"/>
        <w:jc w:val="both"/>
        <w:rPr>
          <w:rFonts w:ascii="Verdana" w:hAnsi="Verdana" w:cs="Arial"/>
          <w:lang w:val="es-ES" w:eastAsia="es-ES"/>
        </w:rPr>
      </w:pPr>
    </w:p>
    <w:p w14:paraId="3F2851D3" w14:textId="77777777" w:rsidR="00E05E98" w:rsidRDefault="00E05E98" w:rsidP="00E05E98">
      <w:pPr>
        <w:spacing w:after="120" w:line="276" w:lineRule="auto"/>
        <w:ind w:firstLine="709"/>
        <w:jc w:val="both"/>
        <w:rPr>
          <w:rFonts w:ascii="Verdana" w:hAnsi="Verdana" w:cs="Arial"/>
          <w:lang w:val="es-ES" w:eastAsia="es-ES"/>
        </w:rPr>
      </w:pPr>
      <w:r>
        <w:rPr>
          <w:rFonts w:ascii="Verdana" w:hAnsi="Verdana" w:cs="Arial"/>
          <w:lang w:val="es-ES" w:eastAsia="es-ES"/>
        </w:rPr>
        <w:t>Sin embargo, la Contraloría</w:t>
      </w:r>
      <w:r w:rsidRPr="00722538">
        <w:rPr>
          <w:rFonts w:ascii="Verdana" w:hAnsi="Verdana" w:cs="Arial"/>
          <w:lang w:val="es-ES" w:eastAsia="es-ES"/>
        </w:rPr>
        <w:t xml:space="preserve"> </w:t>
      </w:r>
      <w:r>
        <w:rPr>
          <w:rFonts w:ascii="Verdana" w:hAnsi="Verdana" w:cs="Arial"/>
          <w:lang w:val="es-ES" w:eastAsia="es-ES"/>
        </w:rPr>
        <w:t>retoma la línea inicial</w:t>
      </w:r>
      <w:r w:rsidRPr="006474CD">
        <w:rPr>
          <w:rFonts w:ascii="Verdana" w:hAnsi="Verdana" w:cs="Arial"/>
          <w:lang w:val="es-ES" w:eastAsia="es-ES"/>
        </w:rPr>
        <w:t xml:space="preserve"> </w:t>
      </w:r>
      <w:r>
        <w:rPr>
          <w:rFonts w:ascii="Verdana" w:hAnsi="Verdana" w:cs="Arial"/>
          <w:lang w:val="es-ES" w:eastAsia="es-ES"/>
        </w:rPr>
        <w:t>en e</w:t>
      </w:r>
      <w:r w:rsidRPr="00722538">
        <w:rPr>
          <w:rFonts w:ascii="Verdana" w:hAnsi="Verdana" w:cs="Arial"/>
          <w:lang w:val="es-ES" w:eastAsia="es-ES"/>
        </w:rPr>
        <w:t xml:space="preserve">l </w:t>
      </w:r>
      <w:r>
        <w:rPr>
          <w:rFonts w:ascii="Verdana" w:hAnsi="Verdana" w:cs="Arial"/>
          <w:lang w:val="es-ES" w:eastAsia="es-ES"/>
        </w:rPr>
        <w:t>C</w:t>
      </w:r>
      <w:r w:rsidRPr="00722538">
        <w:rPr>
          <w:rFonts w:ascii="Verdana" w:hAnsi="Verdana" w:cs="Arial"/>
          <w:lang w:val="es-ES" w:eastAsia="es-ES"/>
        </w:rPr>
        <w:t>oncepto CGR-OJ-139 de 2025</w:t>
      </w:r>
      <w:r>
        <w:rPr>
          <w:rFonts w:ascii="Verdana" w:hAnsi="Verdana" w:cs="Arial"/>
          <w:lang w:val="es-ES" w:eastAsia="es-ES"/>
        </w:rPr>
        <w:t xml:space="preserve">, por lo que </w:t>
      </w:r>
      <w:r w:rsidRPr="006474CD">
        <w:rPr>
          <w:rFonts w:ascii="Verdana" w:hAnsi="Verdana" w:cs="Arial"/>
          <w:lang w:val="es-ES" w:eastAsia="es-ES"/>
        </w:rPr>
        <w:t>privilegia la demostración de</w:t>
      </w:r>
      <w:r>
        <w:rPr>
          <w:rFonts w:ascii="Verdana" w:hAnsi="Verdana" w:cs="Arial"/>
          <w:lang w:val="es-ES" w:eastAsia="es-ES"/>
        </w:rPr>
        <w:t xml:space="preserve"> </w:t>
      </w:r>
      <w:r w:rsidRPr="006474CD">
        <w:rPr>
          <w:rFonts w:ascii="Verdana" w:hAnsi="Verdana" w:cs="Arial"/>
          <w:lang w:val="es-ES" w:eastAsia="es-ES"/>
        </w:rPr>
        <w:t>l</w:t>
      </w:r>
      <w:r>
        <w:rPr>
          <w:rFonts w:ascii="Verdana" w:hAnsi="Verdana" w:cs="Arial"/>
          <w:lang w:val="es-ES" w:eastAsia="es-ES"/>
        </w:rPr>
        <w:t>os</w:t>
      </w:r>
      <w:r w:rsidRPr="006474CD">
        <w:rPr>
          <w:rFonts w:ascii="Verdana" w:hAnsi="Verdana" w:cs="Arial"/>
          <w:lang w:val="es-ES" w:eastAsia="es-ES"/>
        </w:rPr>
        <w:t xml:space="preserve"> imprevisto</w:t>
      </w:r>
      <w:r>
        <w:rPr>
          <w:rFonts w:ascii="Verdana" w:hAnsi="Verdana" w:cs="Arial"/>
          <w:lang w:val="es-ES" w:eastAsia="es-ES"/>
        </w:rPr>
        <w:t>s</w:t>
      </w:r>
      <w:r w:rsidRPr="006474CD">
        <w:rPr>
          <w:rFonts w:ascii="Verdana" w:hAnsi="Verdana" w:cs="Arial"/>
          <w:lang w:val="es-ES" w:eastAsia="es-ES"/>
        </w:rPr>
        <w:t xml:space="preserve"> como condición para su pago.</w:t>
      </w:r>
      <w:r>
        <w:rPr>
          <w:rFonts w:ascii="Verdana" w:hAnsi="Verdana" w:cs="Arial"/>
          <w:lang w:val="es-ES" w:eastAsia="es-ES"/>
        </w:rPr>
        <w:t xml:space="preserve"> Para estos efectos, estima que “[…] </w:t>
      </w:r>
      <w:r w:rsidRPr="005E5163">
        <w:rPr>
          <w:rFonts w:ascii="Verdana" w:hAnsi="Verdana" w:cs="Arial"/>
          <w:lang w:val="es-ES" w:eastAsia="es-ES"/>
        </w:rPr>
        <w:t>al ser</w:t>
      </w:r>
      <w:r>
        <w:rPr>
          <w:rFonts w:ascii="Verdana" w:hAnsi="Verdana" w:cs="Arial"/>
          <w:lang w:val="es-ES" w:eastAsia="es-ES"/>
        </w:rPr>
        <w:t xml:space="preserve"> </w:t>
      </w:r>
      <w:r w:rsidRPr="005E5163">
        <w:rPr>
          <w:rFonts w:ascii="Verdana" w:hAnsi="Verdana" w:cs="Arial"/>
          <w:lang w:val="es-ES" w:eastAsia="es-ES"/>
        </w:rPr>
        <w:t>independiente y cumplir una función diferente, el componente de Imprevistos, s</w:t>
      </w:r>
      <w:r>
        <w:rPr>
          <w:rFonts w:ascii="Verdana" w:hAnsi="Verdana" w:cs="Arial"/>
          <w:lang w:val="es-ES" w:eastAsia="es-ES"/>
        </w:rPr>
        <w:t>í</w:t>
      </w:r>
      <w:r w:rsidRPr="005E5163">
        <w:rPr>
          <w:rFonts w:ascii="Verdana" w:hAnsi="Verdana" w:cs="Arial"/>
          <w:lang w:val="es-ES" w:eastAsia="es-ES"/>
        </w:rPr>
        <w:t xml:space="preserve"> debe</w:t>
      </w:r>
      <w:r>
        <w:rPr>
          <w:rFonts w:ascii="Verdana" w:hAnsi="Verdana" w:cs="Arial"/>
          <w:lang w:val="es-ES" w:eastAsia="es-ES"/>
        </w:rPr>
        <w:t xml:space="preserve"> </w:t>
      </w:r>
      <w:r w:rsidRPr="005E5163">
        <w:rPr>
          <w:rFonts w:ascii="Verdana" w:hAnsi="Verdana" w:cs="Arial"/>
          <w:lang w:val="es-ES" w:eastAsia="es-ES"/>
        </w:rPr>
        <w:t xml:space="preserve">ser demostrado, puesto que, la apropiación </w:t>
      </w:r>
      <w:proofErr w:type="gramStart"/>
      <w:r w:rsidRPr="005E5163">
        <w:rPr>
          <w:rFonts w:ascii="Verdana" w:hAnsi="Verdana" w:cs="Arial"/>
          <w:lang w:val="es-ES" w:eastAsia="es-ES"/>
        </w:rPr>
        <w:t>del mismo</w:t>
      </w:r>
      <w:proofErr w:type="gramEnd"/>
      <w:r w:rsidRPr="005E5163">
        <w:rPr>
          <w:rFonts w:ascii="Verdana" w:hAnsi="Verdana" w:cs="Arial"/>
          <w:lang w:val="es-ES" w:eastAsia="es-ES"/>
        </w:rPr>
        <w:t>, sin justificación técnica, fáctica</w:t>
      </w:r>
      <w:r>
        <w:rPr>
          <w:rFonts w:ascii="Verdana" w:hAnsi="Verdana" w:cs="Arial"/>
          <w:lang w:val="es-ES" w:eastAsia="es-ES"/>
        </w:rPr>
        <w:t xml:space="preserve"> </w:t>
      </w:r>
      <w:r w:rsidRPr="005E5163">
        <w:rPr>
          <w:rFonts w:ascii="Verdana" w:hAnsi="Verdana" w:cs="Arial"/>
          <w:lang w:val="es-ES" w:eastAsia="es-ES"/>
        </w:rPr>
        <w:t>o contractual, iría en contra de los principios de buena fe y equidad en la contratación</w:t>
      </w:r>
      <w:r>
        <w:rPr>
          <w:rFonts w:ascii="Verdana" w:hAnsi="Verdana" w:cs="Arial"/>
          <w:lang w:val="es-ES" w:eastAsia="es-ES"/>
        </w:rPr>
        <w:t xml:space="preserve"> </w:t>
      </w:r>
      <w:r w:rsidRPr="005E5163">
        <w:rPr>
          <w:rFonts w:ascii="Verdana" w:hAnsi="Verdana" w:cs="Arial"/>
          <w:lang w:val="es-ES" w:eastAsia="es-ES"/>
        </w:rPr>
        <w:t>estatal</w:t>
      </w:r>
      <w:r>
        <w:rPr>
          <w:rFonts w:ascii="Verdana" w:hAnsi="Verdana" w:cs="Arial"/>
          <w:lang w:val="es-ES" w:eastAsia="es-ES"/>
        </w:rPr>
        <w:t xml:space="preserve"> […]”</w:t>
      </w:r>
      <w:r w:rsidRPr="005E5163">
        <w:rPr>
          <w:rFonts w:ascii="Verdana" w:hAnsi="Verdana" w:cs="Arial"/>
          <w:lang w:val="es-ES" w:eastAsia="es-ES"/>
        </w:rPr>
        <w:t>.</w:t>
      </w:r>
      <w:r>
        <w:rPr>
          <w:rFonts w:ascii="Verdana" w:hAnsi="Verdana" w:cs="Arial"/>
          <w:lang w:val="es-ES" w:eastAsia="es-ES"/>
        </w:rPr>
        <w:t xml:space="preserve"> </w:t>
      </w:r>
    </w:p>
    <w:p w14:paraId="08D7ECB0" w14:textId="77777777" w:rsidR="00E05E98" w:rsidRDefault="00E05E98" w:rsidP="00E05E98">
      <w:pPr>
        <w:spacing w:after="0" w:line="276" w:lineRule="auto"/>
        <w:ind w:firstLine="709"/>
        <w:jc w:val="both"/>
        <w:rPr>
          <w:rFonts w:ascii="Verdana" w:hAnsi="Verdana" w:cs="Arial"/>
          <w:lang w:val="es-ES" w:eastAsia="es-ES"/>
        </w:rPr>
      </w:pPr>
      <w:r>
        <w:rPr>
          <w:rFonts w:ascii="Verdana" w:hAnsi="Verdana" w:cs="Arial"/>
          <w:lang w:val="es-ES" w:eastAsia="es-ES"/>
        </w:rPr>
        <w:t>Pese a que la postura del órgano de control ha sido cambiante y no se encuentra unificada</w:t>
      </w:r>
      <w:r w:rsidRPr="008335E8">
        <w:rPr>
          <w:rFonts w:ascii="Verdana" w:hAnsi="Verdana" w:cs="Arial"/>
          <w:lang w:val="es-ES" w:eastAsia="es-ES"/>
        </w:rPr>
        <w:t xml:space="preserve">, </w:t>
      </w:r>
      <w:r>
        <w:rPr>
          <w:rFonts w:ascii="Verdana" w:hAnsi="Verdana" w:cs="Arial"/>
          <w:lang w:val="es-ES" w:eastAsia="es-ES"/>
        </w:rPr>
        <w:t xml:space="preserve">Colombia Compra Eficiente considera que </w:t>
      </w:r>
      <w:r w:rsidRPr="008335E8">
        <w:rPr>
          <w:rFonts w:ascii="Verdana" w:hAnsi="Verdana" w:cs="Arial"/>
          <w:lang w:val="es-ES" w:eastAsia="es-ES"/>
        </w:rPr>
        <w:t>las entidades cuentan con discrecionalidad para establecer en el pliego de condiciones o en su documento equivalente, así como en el contrato, el sistema de precios unitarios y la figura del AIU. De este modo, teniendo en cuenta el concepto de AIU, ni la forma de calcularlo son aspectos que cuenten con una regulación normativa en materia contractual del Estado, la determinación de los componentes del AIU dependerá del análisis particular que realice la entidad en relación con el presupuesto estimado del valor de la ejecución del contrato que, a su vez, sirve de guía para que los proponentes formulen sus ofertas.</w:t>
      </w:r>
    </w:p>
    <w:p w14:paraId="59F6D8C8" w14:textId="77777777" w:rsidR="00662087" w:rsidRDefault="00662087" w:rsidP="00662087">
      <w:pPr>
        <w:spacing w:before="120" w:after="0" w:line="276" w:lineRule="auto"/>
        <w:ind w:firstLine="709"/>
        <w:jc w:val="both"/>
        <w:rPr>
          <w:rFonts w:ascii="Verdana" w:hAnsi="Verdana" w:cs="Arial"/>
          <w:lang w:val="es-ES" w:eastAsia="es-ES"/>
        </w:rPr>
      </w:pPr>
      <w:r w:rsidRPr="001F5DD0">
        <w:rPr>
          <w:rFonts w:ascii="Verdana" w:hAnsi="Verdana" w:cs="Arial"/>
          <w:lang w:val="es-ES" w:eastAsia="es-ES"/>
        </w:rPr>
        <w:t xml:space="preserve">En consecuencia, tanto las entidades sometidas al Estatuto General de Contratación de la Administración Pública, como las excluidas de este –es decir, las que tienen un régimen especial– gozan de autonomía para configurar el precio y para establecer el sistema de pago más apropiado para satisfacer los fines de la contratación, respetando los límites previstos en el ordenamiento. En tal perspectiva, cuentan con discrecionalidad para establecer en el pliego de condiciones o en su documento equivalente, así como en el contrato, el sistema de precios unitarios y la figura del AIU; modelo que, como se indicó, es más pertinente para los contratos de tracto sucesivo, como el de obra. </w:t>
      </w:r>
    </w:p>
    <w:p w14:paraId="2D0299CB" w14:textId="77777777" w:rsidR="00B107DB" w:rsidRDefault="00B107DB" w:rsidP="00B107DB">
      <w:pPr>
        <w:spacing w:before="120" w:after="0" w:line="276" w:lineRule="auto"/>
        <w:ind w:firstLine="709"/>
        <w:jc w:val="both"/>
        <w:rPr>
          <w:rFonts w:ascii="Verdana" w:hAnsi="Verdana" w:cs="Arial"/>
          <w:lang w:val="es-ES" w:eastAsia="es-ES"/>
        </w:rPr>
      </w:pPr>
      <w:r>
        <w:rPr>
          <w:rFonts w:ascii="Verdana" w:hAnsi="Verdana" w:cs="Arial"/>
          <w:lang w:val="es-ES" w:eastAsia="es-ES"/>
        </w:rPr>
        <w:t xml:space="preserve">Al no existir valores fijos de referencia regulados en la ley o el reglamento, </w:t>
      </w:r>
      <w:r w:rsidRPr="00104C20">
        <w:rPr>
          <w:rFonts w:ascii="Verdana" w:hAnsi="Verdana" w:cs="Arial"/>
          <w:lang w:val="es-ES" w:eastAsia="es-ES"/>
        </w:rPr>
        <w:t xml:space="preserve">la decisión de incluir el AIU, al igual que la metodología de delimitación de sus variables –ítems y porcentajes–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w:t>
      </w:r>
      <w:r w:rsidRPr="00104C20">
        <w:rPr>
          <w:rFonts w:ascii="Verdana" w:hAnsi="Verdana" w:cs="Arial"/>
          <w:lang w:val="es-ES" w:eastAsia="es-ES"/>
        </w:rPr>
        <w:lastRenderedPageBreak/>
        <w:t>cuales se halla el principio de economía, postulado que exige la optimización de los recursos públicos.</w:t>
      </w:r>
    </w:p>
    <w:p w14:paraId="51E5C8F8" w14:textId="77777777" w:rsidR="00B107DB" w:rsidRDefault="00B107DB" w:rsidP="00B107DB">
      <w:pPr>
        <w:spacing w:before="120" w:after="0" w:line="276" w:lineRule="auto"/>
        <w:ind w:firstLine="709"/>
        <w:jc w:val="both"/>
        <w:rPr>
          <w:rFonts w:ascii="Verdana" w:hAnsi="Verdana" w:cs="Arial"/>
          <w:lang w:val="es-ES" w:eastAsia="es-ES"/>
        </w:rPr>
      </w:pPr>
    </w:p>
    <w:bookmarkEnd w:id="1"/>
    <w:bookmarkEnd w:id="2"/>
    <w:p w14:paraId="77A49C7E" w14:textId="77777777" w:rsidR="00662087" w:rsidRPr="009037F6" w:rsidRDefault="00662087" w:rsidP="00662087">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 xml:space="preserve">Referencias normativas, jurisprudenciales y otras fuentes </w:t>
      </w:r>
    </w:p>
    <w:p w14:paraId="01149207" w14:textId="77777777" w:rsidR="00662087" w:rsidRPr="009037F6" w:rsidRDefault="00662087" w:rsidP="00662087">
      <w:pPr>
        <w:widowControl w:val="0"/>
        <w:autoSpaceDE w:val="0"/>
        <w:autoSpaceDN w:val="0"/>
        <w:spacing w:after="0" w:line="276"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62087" w:rsidRPr="009037F6" w14:paraId="0AF6BB4A" w14:textId="77777777" w:rsidTr="002A4618">
        <w:trPr>
          <w:trHeight w:val="487"/>
          <w:jc w:val="center"/>
        </w:trPr>
        <w:tc>
          <w:tcPr>
            <w:tcW w:w="8647" w:type="dxa"/>
          </w:tcPr>
          <w:p w14:paraId="0D32BA96" w14:textId="2AF8F9C8"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 xml:space="preserve">Ley 80 de 1993, artículos 13, 32 y 40. </w:t>
            </w:r>
          </w:p>
          <w:p w14:paraId="65E05592" w14:textId="77777777" w:rsidR="0018679F" w:rsidRDefault="0018679F" w:rsidP="0018679F">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 4.</w:t>
            </w:r>
          </w:p>
          <w:p w14:paraId="439FD5F8" w14:textId="08664604" w:rsidR="0018679F" w:rsidRDefault="0018679F"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 xml:space="preserve">Decreto </w:t>
            </w:r>
            <w:r w:rsidR="00EE0E1C" w:rsidRPr="00B206B6">
              <w:rPr>
                <w:rFonts w:ascii="Verdana" w:eastAsia="Arial MT" w:hAnsi="Verdana" w:cs="Arial MT"/>
              </w:rPr>
              <w:t>62</w:t>
            </w:r>
            <w:r w:rsidR="00EE0E1C">
              <w:rPr>
                <w:rFonts w:ascii="Verdana" w:eastAsia="Arial MT" w:hAnsi="Verdana" w:cs="Arial MT"/>
              </w:rPr>
              <w:t>4</w:t>
            </w:r>
            <w:r w:rsidR="00EE0E1C" w:rsidRPr="00B206B6">
              <w:rPr>
                <w:rFonts w:ascii="Verdana" w:eastAsia="Arial MT" w:hAnsi="Verdana" w:cs="Arial MT"/>
              </w:rPr>
              <w:t xml:space="preserve"> del </w:t>
            </w:r>
            <w:r w:rsidR="00EE0E1C">
              <w:rPr>
                <w:rFonts w:ascii="Verdana" w:eastAsia="Arial MT" w:hAnsi="Verdana" w:cs="Arial MT"/>
              </w:rPr>
              <w:t xml:space="preserve">1989, </w:t>
            </w:r>
            <w:r w:rsidR="00EE0E1C" w:rsidRPr="00B206B6">
              <w:rPr>
                <w:rFonts w:ascii="Verdana" w:hAnsi="Verdana" w:cs="Arial"/>
                <w:lang w:val="es-ES" w:eastAsia="es-ES"/>
              </w:rPr>
              <w:t xml:space="preserve">artículo </w:t>
            </w:r>
            <w:r w:rsidR="00EE0E1C">
              <w:rPr>
                <w:rFonts w:ascii="Verdana" w:eastAsia="Arial MT" w:hAnsi="Verdana" w:cs="Arial MT"/>
              </w:rPr>
              <w:t>871.</w:t>
            </w:r>
          </w:p>
          <w:p w14:paraId="0C4F6DA7" w14:textId="77777777" w:rsidR="0026018C" w:rsidRDefault="0026018C" w:rsidP="0026018C">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Decreto 1082 de 2015, artículos </w:t>
            </w:r>
            <w:r w:rsidRPr="00265FF6">
              <w:rPr>
                <w:rFonts w:ascii="Verdana" w:hAnsi="Verdana" w:cs="Arial"/>
              </w:rPr>
              <w:t>2.2.1.1.1.3.1</w:t>
            </w:r>
            <w:r>
              <w:rPr>
                <w:rFonts w:ascii="Verdana" w:hAnsi="Verdana" w:cs="Arial"/>
              </w:rPr>
              <w:t xml:space="preserve">, </w:t>
            </w:r>
            <w:r w:rsidRPr="00265FF6">
              <w:rPr>
                <w:rFonts w:ascii="Verdana" w:hAnsi="Verdana" w:cs="Arial"/>
              </w:rPr>
              <w:t>2.2.1.1.2.1.3</w:t>
            </w:r>
            <w:r>
              <w:rPr>
                <w:rFonts w:ascii="Verdana" w:hAnsi="Verdana" w:cs="Arial"/>
              </w:rPr>
              <w:t xml:space="preserve"> y </w:t>
            </w:r>
            <w:r w:rsidRPr="00A3218F">
              <w:rPr>
                <w:rFonts w:ascii="Verdana" w:hAnsi="Verdana" w:cs="Arial"/>
              </w:rPr>
              <w:t>2.2.1.2.1.1.2</w:t>
            </w:r>
            <w:r>
              <w:rPr>
                <w:rFonts w:ascii="Verdana" w:hAnsi="Verdana" w:cs="Arial"/>
              </w:rPr>
              <w:t xml:space="preserve">. </w:t>
            </w:r>
          </w:p>
          <w:p w14:paraId="0171F84E" w14:textId="5E2E64AD" w:rsidR="0026018C" w:rsidRPr="00B206B6" w:rsidRDefault="0026018C" w:rsidP="0026018C">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sidRPr="00754D53">
              <w:rPr>
                <w:rFonts w:ascii="Verdana" w:hAnsi="Verdana" w:cs="Arial"/>
              </w:rPr>
              <w:t>Código Civil, artículo 1602.</w:t>
            </w:r>
          </w:p>
          <w:p w14:paraId="6E2CCE21" w14:textId="77777777" w:rsidR="00662087" w:rsidRPr="00B206B6" w:rsidRDefault="00662087" w:rsidP="002A4618">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206B6">
              <w:rPr>
                <w:rFonts w:ascii="Verdana" w:eastAsia="Arial MT" w:hAnsi="Verdana" w:cs="Arial"/>
                <w:lang w:val="es-ES" w:eastAsia="es-ES" w:bidi="es-ES"/>
              </w:rPr>
              <w:t xml:space="preserve">CONSEJO DE ESTADO. Sección Tercera. Sentencia del 28 de agosto de 2003. Radicado: 17.554. C.P. Ramiro Saavedra Becerra.  </w:t>
            </w:r>
          </w:p>
          <w:p w14:paraId="47ECB1D3" w14:textId="77777777" w:rsidR="00662087" w:rsidRPr="00B206B6" w:rsidRDefault="00662087" w:rsidP="002A4618">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206B6">
              <w:rPr>
                <w:rFonts w:ascii="Verdana" w:eastAsia="Arial MT" w:hAnsi="Verdana" w:cs="Arial"/>
                <w:lang w:val="es-ES" w:eastAsia="es-ES" w:bidi="es-ES"/>
              </w:rPr>
              <w:t xml:space="preserve">CONSEJO DE ESTADO. Sección Tercera. Subsección B. Sentencia del 14 de octubre de 2011. </w:t>
            </w:r>
            <w:proofErr w:type="spellStart"/>
            <w:r w:rsidRPr="00B206B6">
              <w:rPr>
                <w:rFonts w:ascii="Verdana" w:eastAsia="Arial MT" w:hAnsi="Verdana" w:cs="Arial"/>
                <w:lang w:val="es-ES" w:eastAsia="es-ES" w:bidi="es-ES"/>
              </w:rPr>
              <w:t>Exp</w:t>
            </w:r>
            <w:proofErr w:type="spellEnd"/>
            <w:r w:rsidRPr="00B206B6">
              <w:rPr>
                <w:rFonts w:ascii="Verdana" w:eastAsia="Arial MT" w:hAnsi="Verdana" w:cs="Arial"/>
                <w:lang w:val="es-ES" w:eastAsia="es-ES" w:bidi="es-ES"/>
              </w:rPr>
              <w:t>. 20811, C.P. Ruth Stella Correa Palacio.</w:t>
            </w:r>
          </w:p>
          <w:p w14:paraId="5E6EC830" w14:textId="77777777" w:rsidR="00662087" w:rsidRPr="00B206B6" w:rsidRDefault="00662087" w:rsidP="002A4618">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206B6">
              <w:rPr>
                <w:rFonts w:ascii="Verdana" w:eastAsia="Arial MT" w:hAnsi="Verdana" w:cs="Arial"/>
                <w:lang w:val="es-ES" w:eastAsia="es-ES" w:bidi="es-ES"/>
              </w:rPr>
              <w:t xml:space="preserve">CONSEJO DE ESTADO. Sección Tercera. Subsección B. Sentencia del 29 de febrero de 2012. </w:t>
            </w:r>
            <w:proofErr w:type="spellStart"/>
            <w:r w:rsidRPr="00B206B6">
              <w:rPr>
                <w:rFonts w:ascii="Verdana" w:eastAsia="Arial MT" w:hAnsi="Verdana" w:cs="Arial"/>
                <w:lang w:val="es-ES" w:eastAsia="es-ES" w:bidi="es-ES"/>
              </w:rPr>
              <w:t>Exp</w:t>
            </w:r>
            <w:proofErr w:type="spellEnd"/>
            <w:r w:rsidRPr="00B206B6">
              <w:rPr>
                <w:rFonts w:ascii="Verdana" w:eastAsia="Arial MT" w:hAnsi="Verdana" w:cs="Arial"/>
                <w:lang w:val="es-ES" w:eastAsia="es-ES" w:bidi="es-ES"/>
              </w:rPr>
              <w:t>. 16371, C.P. Danilo Rojas Betancourth.</w:t>
            </w:r>
          </w:p>
          <w:p w14:paraId="5B02BFCA" w14:textId="77777777" w:rsidR="00662087" w:rsidRPr="00B206B6" w:rsidRDefault="00662087" w:rsidP="002A4618">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206B6">
              <w:rPr>
                <w:rFonts w:ascii="Verdana" w:eastAsia="Arial MT" w:hAnsi="Verdana" w:cs="Arial"/>
                <w:lang w:val="es-ES" w:eastAsia="es-ES" w:bidi="es-ES"/>
              </w:rPr>
              <w:t>CONSEJO DE ESTADO. Sala de Consulta y Servicio Civil. Concepto del 5 de septiembre de 2018, radicado No. 11001-03-06-000-2018-00124-00 C.P. Édgar González López.</w:t>
            </w:r>
          </w:p>
          <w:p w14:paraId="5E36CE5C" w14:textId="77777777" w:rsidR="00662087" w:rsidRPr="00B206B6" w:rsidRDefault="00662087" w:rsidP="002A4618">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206B6">
              <w:rPr>
                <w:rFonts w:ascii="Verdana" w:eastAsia="Arial MT" w:hAnsi="Verdana" w:cs="Arial"/>
                <w:lang w:val="es-ES" w:eastAsia="es-ES" w:bidi="es-ES"/>
              </w:rPr>
              <w:t xml:space="preserve">MARÍN CORTÉS, Fabián. El precio. Serie: Las cláusulas del contrato estatal. Medellín: Librería Jurídica Sánchez y Centro de Estudios de Derecho Administrativo –CEDA–, 2012. </w:t>
            </w:r>
          </w:p>
          <w:p w14:paraId="779785D9" w14:textId="77777777" w:rsidR="00662087" w:rsidRPr="00624EEC" w:rsidRDefault="00662087" w:rsidP="002A4618">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206B6">
              <w:rPr>
                <w:rFonts w:ascii="Verdana" w:eastAsia="Arial MT" w:hAnsi="Verdana" w:cs="Arial"/>
                <w:lang w:val="es-ES" w:eastAsia="es-ES" w:bidi="es-ES"/>
              </w:rPr>
              <w:t>PINO RICCI, Jorge. El régimen jurídico de los contratos estatales. Universidad Externado de Colombia. Bogotá, 2005.</w:t>
            </w:r>
          </w:p>
        </w:tc>
      </w:tr>
    </w:tbl>
    <w:p w14:paraId="367BB743" w14:textId="77777777" w:rsidR="00662087" w:rsidRPr="009037F6" w:rsidRDefault="00662087" w:rsidP="00662087">
      <w:pPr>
        <w:widowControl w:val="0"/>
        <w:autoSpaceDE w:val="0"/>
        <w:autoSpaceDN w:val="0"/>
        <w:spacing w:after="0" w:line="276" w:lineRule="auto"/>
        <w:jc w:val="both"/>
        <w:rPr>
          <w:rFonts w:ascii="Verdana" w:hAnsi="Verdana" w:cs="Arial"/>
        </w:rPr>
      </w:pPr>
    </w:p>
    <w:p w14:paraId="433253B7" w14:textId="77777777" w:rsidR="00662087" w:rsidRPr="009037F6" w:rsidRDefault="00662087" w:rsidP="00662087">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Doctrina de la Agencia Nacional de Contratación Pública:</w:t>
      </w:r>
    </w:p>
    <w:p w14:paraId="7CC26D2B" w14:textId="77777777" w:rsidR="00662087" w:rsidRPr="009037F6" w:rsidRDefault="00662087" w:rsidP="00662087">
      <w:pPr>
        <w:widowControl w:val="0"/>
        <w:autoSpaceDE w:val="0"/>
        <w:autoSpaceDN w:val="0"/>
        <w:spacing w:after="0" w:line="276" w:lineRule="auto"/>
        <w:jc w:val="both"/>
        <w:rPr>
          <w:rFonts w:ascii="Verdana" w:hAnsi="Verdana" w:cs="Arial"/>
        </w:rPr>
      </w:pPr>
    </w:p>
    <w:p w14:paraId="76A80A54" w14:textId="7646AFF0" w:rsidR="001B24C7" w:rsidRDefault="00662087" w:rsidP="00662087">
      <w:pPr>
        <w:widowControl w:val="0"/>
        <w:autoSpaceDE w:val="0"/>
        <w:autoSpaceDN w:val="0"/>
        <w:spacing w:after="0" w:line="276" w:lineRule="auto"/>
        <w:jc w:val="both"/>
        <w:rPr>
          <w:rStyle w:val="normaltextrun"/>
          <w:rFonts w:ascii="Verdana" w:hAnsi="Verdana" w:cs="Arial"/>
          <w:shd w:val="clear" w:color="auto" w:fill="FFFFFF"/>
        </w:rPr>
      </w:pPr>
      <w:r>
        <w:rPr>
          <w:rFonts w:ascii="Verdana" w:hAnsi="Verdana" w:cs="Arial"/>
          <w:shd w:val="clear" w:color="auto" w:fill="FFFFFF"/>
        </w:rPr>
        <w:t xml:space="preserve">Esta Subdirección </w:t>
      </w:r>
      <w:r w:rsidRPr="00683260">
        <w:rPr>
          <w:rStyle w:val="normaltextrun"/>
          <w:rFonts w:ascii="Verdana" w:hAnsi="Verdana" w:cs="Arial"/>
          <w:shd w:val="clear" w:color="auto" w:fill="FFFFFF"/>
        </w:rPr>
        <w:t xml:space="preserve">se ha pronunciado en varias ocasiones sobre el AIU en los </w:t>
      </w:r>
      <w:r>
        <w:rPr>
          <w:rStyle w:val="normaltextrun"/>
          <w:rFonts w:ascii="Verdana" w:hAnsi="Verdana" w:cs="Arial"/>
          <w:shd w:val="clear" w:color="auto" w:fill="FFFFFF"/>
        </w:rPr>
        <w:t xml:space="preserve">Conceptos </w:t>
      </w:r>
      <w:r w:rsidRPr="00E278D2">
        <w:rPr>
          <w:rStyle w:val="normaltextrun"/>
          <w:rFonts w:ascii="Verdana" w:hAnsi="Verdana" w:cs="Arial"/>
          <w:shd w:val="clear" w:color="auto" w:fill="FFFFFF"/>
        </w:rPr>
        <w:t xml:space="preserve">4201714000005136 del 14 de noviembre de 2017; </w:t>
      </w:r>
      <w:r w:rsidRPr="00E278D2">
        <w:rPr>
          <w:rStyle w:val="normaltextrun"/>
          <w:rFonts w:ascii="Verdana" w:hAnsi="Verdana" w:cs="Arial"/>
          <w:shd w:val="clear" w:color="auto" w:fill="FFFFFF"/>
        </w:rPr>
        <w:lastRenderedPageBreak/>
        <w:t>4201714000006401 del 23 de noviembre de 2017;</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4201813000004155 del 9 de mayo de 2018; 4201814000008069 del 27 de</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septiembre</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2018;</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4201814000007383</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del</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18</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octubre</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2018;</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4201814000008069 del 13 de noviembre de 2018; 4201912000004214 del 26</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junio de 2019; 4201912000006455 y 4201912000006463 del 19 de</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septiembre</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2019;</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4201912000007375</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del</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28</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octubre</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2019;</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4201912000007092 del 29 de noviembre de 2019; 4202012000000093, C–037</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del 28 de enero de 2020, 4202012000000664 del 30 de enero de 2020, C-191 del 16 de marzo de 2020,</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C-211 del 8 de abril de 2020, C-714 del 9 de diciembre</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de 2020, C-059 del 10 de marzo de 2021, C-613 del 6 de octubre de 2022, C-716 de 15 de noviembre de 2022, C-802 de 23 de noviembre de 2022, C-854 del 9 de diciembre de 2022, C-914 del 27 de diciembre de 2022</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C</w:t>
      </w:r>
      <w:r>
        <w:rPr>
          <w:rStyle w:val="normaltextrun"/>
          <w:rFonts w:ascii="Verdana" w:hAnsi="Verdana" w:cs="Arial"/>
          <w:shd w:val="clear" w:color="auto" w:fill="FFFFFF"/>
        </w:rPr>
        <w:t>-</w:t>
      </w:r>
      <w:r w:rsidRPr="00E278D2">
        <w:rPr>
          <w:rStyle w:val="normaltextrun"/>
          <w:rFonts w:ascii="Verdana" w:hAnsi="Verdana" w:cs="Arial"/>
          <w:shd w:val="clear" w:color="auto" w:fill="FFFFFF"/>
        </w:rPr>
        <w:t>361 de septiembre de 2023</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C-401 del 27 de septiembre de 202</w:t>
      </w:r>
      <w:r>
        <w:rPr>
          <w:rStyle w:val="normaltextrun"/>
          <w:rFonts w:ascii="Verdana" w:hAnsi="Verdana" w:cs="Arial"/>
          <w:shd w:val="clear" w:color="auto" w:fill="FFFFFF"/>
        </w:rPr>
        <w:t>3 y C-455 del 18 de septiembre de 2024, C-248 del 3 de abril de 2025</w:t>
      </w:r>
      <w:r w:rsidR="0094744A">
        <w:rPr>
          <w:rStyle w:val="normaltextrun"/>
          <w:rFonts w:ascii="Verdana" w:hAnsi="Verdana" w:cs="Arial"/>
          <w:shd w:val="clear" w:color="auto" w:fill="FFFFFF"/>
        </w:rPr>
        <w:t>,</w:t>
      </w:r>
      <w:r>
        <w:rPr>
          <w:rStyle w:val="normaltextrun"/>
          <w:rFonts w:ascii="Verdana" w:hAnsi="Verdana" w:cs="Arial"/>
          <w:shd w:val="clear" w:color="auto" w:fill="FFFFFF"/>
        </w:rPr>
        <w:t xml:space="preserve"> C-460 del 18 de junio de 2025, C-180 del 24 de febrero de 2026, </w:t>
      </w:r>
      <w:r w:rsidR="0094744A" w:rsidRPr="0094744A">
        <w:rPr>
          <w:rStyle w:val="normaltextrun"/>
          <w:rFonts w:ascii="Verdana" w:hAnsi="Verdana" w:cs="Arial"/>
          <w:shd w:val="clear" w:color="auto" w:fill="FFFFFF"/>
        </w:rPr>
        <w:t>C</w:t>
      </w:r>
      <w:r w:rsidR="00C7520B">
        <w:rPr>
          <w:rStyle w:val="normaltextrun"/>
          <w:rFonts w:ascii="Verdana" w:hAnsi="Verdana" w:cs="Arial"/>
          <w:shd w:val="clear" w:color="auto" w:fill="FFFFFF"/>
        </w:rPr>
        <w:t>-</w:t>
      </w:r>
      <w:r w:rsidR="0094744A" w:rsidRPr="0094744A">
        <w:rPr>
          <w:rStyle w:val="normaltextrun"/>
          <w:rFonts w:ascii="Verdana" w:hAnsi="Verdana" w:cs="Arial"/>
          <w:shd w:val="clear" w:color="auto" w:fill="FFFFFF"/>
        </w:rPr>
        <w:t>148 de</w:t>
      </w:r>
      <w:r w:rsidR="0094744A">
        <w:rPr>
          <w:rStyle w:val="normaltextrun"/>
          <w:rFonts w:ascii="Verdana" w:hAnsi="Verdana" w:cs="Arial"/>
          <w:shd w:val="clear" w:color="auto" w:fill="FFFFFF"/>
        </w:rPr>
        <w:t>l 10 de marzo de</w:t>
      </w:r>
      <w:r w:rsidR="0094744A" w:rsidRPr="0094744A">
        <w:rPr>
          <w:rStyle w:val="normaltextrun"/>
          <w:rFonts w:ascii="Verdana" w:hAnsi="Verdana" w:cs="Arial"/>
          <w:shd w:val="clear" w:color="auto" w:fill="FFFFFF"/>
        </w:rPr>
        <w:t xml:space="preserve"> 2026</w:t>
      </w:r>
      <w:r w:rsidR="0094744A">
        <w:rPr>
          <w:rStyle w:val="normaltextrun"/>
          <w:rFonts w:ascii="Verdana" w:hAnsi="Verdana" w:cs="Arial"/>
          <w:shd w:val="clear" w:color="auto" w:fill="FFFFFF"/>
        </w:rPr>
        <w:t>,</w:t>
      </w:r>
      <w:r w:rsidR="00C7520B" w:rsidRPr="00C7520B">
        <w:t xml:space="preserve"> </w:t>
      </w:r>
      <w:r w:rsidR="00C7520B" w:rsidRPr="00C7520B">
        <w:rPr>
          <w:rStyle w:val="normaltextrun"/>
          <w:rFonts w:ascii="Verdana" w:hAnsi="Verdana" w:cs="Arial"/>
          <w:shd w:val="clear" w:color="auto" w:fill="FFFFFF"/>
        </w:rPr>
        <w:t>C</w:t>
      </w:r>
      <w:r w:rsidR="00C7520B">
        <w:rPr>
          <w:rStyle w:val="normaltextrun"/>
          <w:rFonts w:ascii="Verdana" w:hAnsi="Verdana" w:cs="Arial"/>
          <w:shd w:val="clear" w:color="auto" w:fill="FFFFFF"/>
        </w:rPr>
        <w:t>-</w:t>
      </w:r>
      <w:r w:rsidR="00C7520B" w:rsidRPr="00C7520B">
        <w:rPr>
          <w:rStyle w:val="normaltextrun"/>
          <w:rFonts w:ascii="Verdana" w:hAnsi="Verdana" w:cs="Arial"/>
          <w:shd w:val="clear" w:color="auto" w:fill="FFFFFF"/>
        </w:rPr>
        <w:t xml:space="preserve">445 </w:t>
      </w:r>
      <w:r w:rsidR="00C7520B">
        <w:rPr>
          <w:rStyle w:val="normaltextrun"/>
          <w:rFonts w:ascii="Verdana" w:hAnsi="Verdana" w:cs="Arial"/>
          <w:shd w:val="clear" w:color="auto" w:fill="FFFFFF"/>
        </w:rPr>
        <w:t>del 9 de abril de 2026,</w:t>
      </w:r>
      <w:r w:rsidR="0094744A">
        <w:rPr>
          <w:rStyle w:val="normaltextrun"/>
          <w:rFonts w:ascii="Verdana" w:hAnsi="Verdana" w:cs="Arial"/>
          <w:shd w:val="clear" w:color="auto" w:fill="FFFFFF"/>
        </w:rPr>
        <w:t xml:space="preserve"> </w:t>
      </w:r>
      <w:r>
        <w:rPr>
          <w:rStyle w:val="normaltextrun"/>
          <w:rFonts w:ascii="Verdana" w:hAnsi="Verdana" w:cs="Arial"/>
          <w:shd w:val="clear" w:color="auto" w:fill="FFFFFF"/>
        </w:rPr>
        <w:t>entre otros.</w:t>
      </w:r>
    </w:p>
    <w:p w14:paraId="6AFEEB25" w14:textId="77777777" w:rsidR="001B24C7" w:rsidRDefault="001B24C7" w:rsidP="00662087">
      <w:pPr>
        <w:widowControl w:val="0"/>
        <w:autoSpaceDE w:val="0"/>
        <w:autoSpaceDN w:val="0"/>
        <w:spacing w:after="0" w:line="276" w:lineRule="auto"/>
        <w:jc w:val="both"/>
        <w:rPr>
          <w:rStyle w:val="normaltextrun"/>
          <w:rFonts w:ascii="Verdana" w:hAnsi="Verdana" w:cs="Arial"/>
          <w:shd w:val="clear" w:color="auto" w:fill="FFFFFF"/>
        </w:rPr>
      </w:pPr>
    </w:p>
    <w:p w14:paraId="49E2F4B8" w14:textId="46A3C892" w:rsidR="00662087" w:rsidRPr="00AD7D5F" w:rsidRDefault="001B24C7" w:rsidP="00662087">
      <w:pPr>
        <w:widowControl w:val="0"/>
        <w:autoSpaceDE w:val="0"/>
        <w:autoSpaceDN w:val="0"/>
        <w:spacing w:after="0" w:line="276" w:lineRule="auto"/>
        <w:jc w:val="both"/>
        <w:rPr>
          <w:rFonts w:ascii="Verdana" w:eastAsia="Calibri" w:hAnsi="Verdana" w:cs="Arial"/>
          <w:lang w:val="es-ES"/>
        </w:rPr>
      </w:pPr>
      <w:r>
        <w:rPr>
          <w:rStyle w:val="normaltextrun"/>
          <w:rFonts w:ascii="Verdana" w:hAnsi="Verdana" w:cs="Arial"/>
          <w:shd w:val="clear" w:color="auto" w:fill="FFFFFF"/>
        </w:rPr>
        <w:t xml:space="preserve">También </w:t>
      </w:r>
      <w:r w:rsidR="009B200B" w:rsidRPr="009B200B">
        <w:rPr>
          <w:rStyle w:val="normaltextrun"/>
          <w:rFonts w:ascii="Verdana" w:hAnsi="Verdana" w:cs="Arial"/>
          <w:shd w:val="clear" w:color="auto" w:fill="FFFFFF"/>
        </w:rPr>
        <w:t>se pronunció sobre el equilibrio económico del contrato estatal en los Conceptos C-938 del 27 de diciembre de 2022, C-774 del 20 de noviembre de 2024, C-565 del 10 de junio de 2025, C-1029 del 31 de julio de 2025, C-1035 del 8 de septiembre de 2025</w:t>
      </w:r>
      <w:r w:rsidR="009B200B">
        <w:rPr>
          <w:rStyle w:val="normaltextrun"/>
          <w:rFonts w:ascii="Verdana" w:hAnsi="Verdana" w:cs="Arial"/>
          <w:shd w:val="clear" w:color="auto" w:fill="FFFFFF"/>
        </w:rPr>
        <w:t>,</w:t>
      </w:r>
      <w:r w:rsidR="009B200B" w:rsidRPr="009B200B">
        <w:rPr>
          <w:rStyle w:val="normaltextrun"/>
          <w:rFonts w:ascii="Verdana" w:hAnsi="Verdana" w:cs="Arial"/>
          <w:shd w:val="clear" w:color="auto" w:fill="FFFFFF"/>
        </w:rPr>
        <w:t xml:space="preserve"> C-1429 del 21 de octubre de 2025</w:t>
      </w:r>
      <w:r w:rsidR="009B200B">
        <w:rPr>
          <w:rStyle w:val="normaltextrun"/>
          <w:rFonts w:ascii="Verdana" w:hAnsi="Verdana" w:cs="Arial"/>
          <w:shd w:val="clear" w:color="auto" w:fill="FFFFFF"/>
        </w:rPr>
        <w:t xml:space="preserve"> y C-352 del</w:t>
      </w:r>
      <w:r w:rsidR="009A3A4C">
        <w:rPr>
          <w:rStyle w:val="normaltextrun"/>
          <w:rFonts w:ascii="Verdana" w:hAnsi="Verdana" w:cs="Arial"/>
          <w:shd w:val="clear" w:color="auto" w:fill="FFFFFF"/>
        </w:rPr>
        <w:t xml:space="preserve"> 13 de marzo de 2026.</w:t>
      </w:r>
      <w:r w:rsidR="00662087">
        <w:rPr>
          <w:rStyle w:val="normaltextrun"/>
          <w:rFonts w:ascii="Verdana" w:hAnsi="Verdana" w:cs="Arial"/>
          <w:shd w:val="clear" w:color="auto" w:fill="FFFFFF"/>
        </w:rPr>
        <w:t xml:space="preserve"> </w:t>
      </w:r>
      <w:r w:rsidR="00662087" w:rsidRPr="009037F6">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22D3187A" w14:textId="36FDCF13" w:rsidR="00662087" w:rsidRPr="009037F6" w:rsidRDefault="00662087" w:rsidP="00662087">
      <w:pPr>
        <w:spacing w:after="0" w:line="256" w:lineRule="auto"/>
        <w:jc w:val="both"/>
        <w:rPr>
          <w:rFonts w:ascii="Verdana" w:eastAsia="Calibri" w:hAnsi="Verdana" w:cs="Times New Roman"/>
        </w:rPr>
      </w:pPr>
      <w:hyperlink r:id="rId13" w:history="1">
        <w:r w:rsidRPr="009037F6">
          <w:rPr>
            <w:rFonts w:ascii="Verdana" w:eastAsia="Calibri" w:hAnsi="Verdana" w:cs="Times New Roman"/>
            <w:color w:val="0000FF"/>
            <w:u w:val="single"/>
            <w:lang w:val="es-ES"/>
          </w:rPr>
          <w:t>https://relatoria.colombiacompra.gov.co/busqueda/conceptos</w:t>
        </w:r>
      </w:hyperlink>
    </w:p>
    <w:p w14:paraId="175ECDCD" w14:textId="77777777" w:rsidR="00662087" w:rsidRPr="009037F6" w:rsidRDefault="00662087" w:rsidP="00662087">
      <w:pPr>
        <w:spacing w:after="0"/>
        <w:jc w:val="both"/>
        <w:rPr>
          <w:rFonts w:ascii="Verdana" w:hAnsi="Verdana"/>
        </w:rPr>
      </w:pPr>
    </w:p>
    <w:p w14:paraId="2B09DDE8" w14:textId="77777777" w:rsidR="00662087" w:rsidRDefault="00662087" w:rsidP="00662087">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4" w:tgtFrame="_new" w:history="1">
        <w:r w:rsidRPr="009A385A">
          <w:rPr>
            <w:rStyle w:val="Hipervnculo"/>
            <w:rFonts w:ascii="Verdana" w:hAnsi="Verdana"/>
          </w:rPr>
          <w:t>https://formacionvirtual.colombiacompra.gov.co/mod/page/view.php?id=3718</w:t>
        </w:r>
      </w:hyperlink>
    </w:p>
    <w:p w14:paraId="3492DC1B" w14:textId="77777777" w:rsidR="00662087" w:rsidRPr="009A385A" w:rsidRDefault="00662087" w:rsidP="00662087">
      <w:pPr>
        <w:spacing w:after="0"/>
        <w:jc w:val="both"/>
        <w:rPr>
          <w:rFonts w:ascii="Verdana" w:hAnsi="Verdana"/>
        </w:rPr>
      </w:pPr>
    </w:p>
    <w:p w14:paraId="0112D4F3" w14:textId="77777777" w:rsidR="00662087" w:rsidRDefault="00662087" w:rsidP="00662087">
      <w:pPr>
        <w:spacing w:after="0"/>
        <w:jc w:val="both"/>
      </w:pPr>
      <w:r>
        <w:rPr>
          <w:rFonts w:ascii="Verdana" w:hAnsi="Verdana"/>
        </w:rPr>
        <w:lastRenderedPageBreak/>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5" w:tgtFrame="_new" w:history="1">
        <w:r w:rsidRPr="00635F16">
          <w:rPr>
            <w:rStyle w:val="Hipervnculo"/>
            <w:rFonts w:ascii="Verdana" w:hAnsi="Verdana"/>
          </w:rPr>
          <w:t>https://www.colombiacompra.gov.co/normativa-y-relatoria/documentos-tipo</w:t>
        </w:r>
      </w:hyperlink>
    </w:p>
    <w:p w14:paraId="4A801949" w14:textId="77777777" w:rsidR="00662087" w:rsidRDefault="00662087" w:rsidP="00662087">
      <w:pPr>
        <w:spacing w:after="0"/>
        <w:jc w:val="both"/>
        <w:rPr>
          <w:rFonts w:ascii="Verdana" w:hAnsi="Verdana"/>
        </w:rPr>
      </w:pPr>
    </w:p>
    <w:p w14:paraId="2F56E967" w14:textId="77777777" w:rsidR="00662087" w:rsidRPr="008E1CD7" w:rsidRDefault="00662087" w:rsidP="00662087">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6"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3444D83B" w14:textId="77777777" w:rsidR="00662087" w:rsidRDefault="00662087" w:rsidP="00662087">
      <w:pPr>
        <w:shd w:val="clear" w:color="auto" w:fill="FFFFFF"/>
        <w:spacing w:after="0" w:line="276" w:lineRule="auto"/>
        <w:jc w:val="both"/>
        <w:rPr>
          <w:rFonts w:ascii="Verdana" w:hAnsi="Verdana"/>
          <w:color w:val="000000"/>
          <w:u w:val="single"/>
        </w:rPr>
      </w:pPr>
    </w:p>
    <w:p w14:paraId="502811AB" w14:textId="77777777" w:rsidR="00662087" w:rsidRPr="0038088D" w:rsidRDefault="00662087" w:rsidP="00662087">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w:t>
      </w:r>
      <w:r w:rsidRPr="0038088D">
        <w:rPr>
          <w:rFonts w:ascii="Verdana" w:hAnsi="Verdana"/>
        </w:rPr>
        <w:t xml:space="preserve">atención: </w:t>
      </w:r>
    </w:p>
    <w:p w14:paraId="2C3ABCD7" w14:textId="77777777" w:rsidR="00662087" w:rsidRPr="0038088D" w:rsidRDefault="00662087" w:rsidP="00662087">
      <w:pPr>
        <w:spacing w:after="0"/>
        <w:jc w:val="both"/>
        <w:rPr>
          <w:rFonts w:ascii="Verdana" w:hAnsi="Verdana"/>
        </w:rPr>
      </w:pPr>
    </w:p>
    <w:p w14:paraId="646B5746" w14:textId="77777777" w:rsidR="00662087" w:rsidRPr="0038088D" w:rsidRDefault="00662087" w:rsidP="00662087">
      <w:pPr>
        <w:pStyle w:val="Prrafodelista"/>
        <w:numPr>
          <w:ilvl w:val="0"/>
          <w:numId w:val="15"/>
        </w:numPr>
        <w:spacing w:after="0" w:line="240" w:lineRule="auto"/>
        <w:jc w:val="both"/>
        <w:rPr>
          <w:rFonts w:ascii="Verdana" w:eastAsia="Verdana" w:hAnsi="Verdana" w:cs="Verdana"/>
          <w:color w:val="4472C4" w:themeColor="accent1"/>
          <w:u w:val="single"/>
        </w:rPr>
      </w:pPr>
      <w:r w:rsidRPr="0038088D">
        <w:rPr>
          <w:rFonts w:ascii="Verdana" w:eastAsia="Verdana" w:hAnsi="Verdana" w:cs="Verdana"/>
        </w:rPr>
        <w:t xml:space="preserve">Línea nacional gratuita o servicio a la ciudadanía (Mesa de servicio): </w:t>
      </w:r>
      <w:r w:rsidRPr="0038088D">
        <w:rPr>
          <w:rStyle w:val="Hipervnculo"/>
          <w:rFonts w:ascii="Verdana" w:hAnsi="Verdana"/>
        </w:rPr>
        <w:t>01800 0520808</w:t>
      </w:r>
    </w:p>
    <w:p w14:paraId="05000A1A" w14:textId="77777777" w:rsidR="00662087" w:rsidRPr="0038088D" w:rsidRDefault="00662087" w:rsidP="00662087">
      <w:pPr>
        <w:pStyle w:val="Prrafodelista"/>
        <w:numPr>
          <w:ilvl w:val="0"/>
          <w:numId w:val="15"/>
        </w:numPr>
        <w:spacing w:after="0"/>
        <w:rPr>
          <w:rFonts w:ascii="Verdana" w:eastAsia="Verdana" w:hAnsi="Verdana" w:cs="Verdana"/>
          <w:color w:val="4472C4" w:themeColor="accent1"/>
          <w:u w:val="single"/>
        </w:rPr>
      </w:pPr>
      <w:r w:rsidRPr="0038088D">
        <w:rPr>
          <w:rFonts w:ascii="Verdana" w:eastAsia="Verdana" w:hAnsi="Verdana" w:cs="Verdana"/>
        </w:rPr>
        <w:t>Línea en Bogotá (Mesa de servicio</w:t>
      </w:r>
      <w:proofErr w:type="gramStart"/>
      <w:r w:rsidRPr="0038088D">
        <w:rPr>
          <w:rFonts w:ascii="Verdana" w:eastAsia="Verdana" w:hAnsi="Verdana" w:cs="Verdana"/>
        </w:rPr>
        <w:t>):</w:t>
      </w:r>
      <w:r w:rsidRPr="0038088D">
        <w:rPr>
          <w:rStyle w:val="Hipervnculo"/>
          <w:rFonts w:ascii="Verdana" w:hAnsi="Verdana"/>
        </w:rPr>
        <w:t>+</w:t>
      </w:r>
      <w:proofErr w:type="gramEnd"/>
      <w:r w:rsidRPr="0038088D">
        <w:rPr>
          <w:rStyle w:val="Hipervnculo"/>
          <w:rFonts w:ascii="Verdana" w:hAnsi="Verdana"/>
        </w:rPr>
        <w:t>57 601 7456788</w:t>
      </w:r>
    </w:p>
    <w:p w14:paraId="6D90299C" w14:textId="77777777" w:rsidR="00662087" w:rsidRPr="0038088D" w:rsidRDefault="00662087" w:rsidP="00662087">
      <w:pPr>
        <w:pStyle w:val="Prrafodelista"/>
        <w:numPr>
          <w:ilvl w:val="0"/>
          <w:numId w:val="15"/>
        </w:numPr>
        <w:spacing w:after="0"/>
        <w:rPr>
          <w:rFonts w:ascii="Verdana" w:eastAsia="Verdana" w:hAnsi="Verdana" w:cs="Verdana"/>
          <w:color w:val="0000FF"/>
          <w:u w:val="single"/>
        </w:rPr>
      </w:pPr>
      <w:r w:rsidRPr="0038088D">
        <w:rPr>
          <w:rFonts w:ascii="Verdana" w:eastAsia="Verdana" w:hAnsi="Verdana" w:cs="Verdana"/>
        </w:rPr>
        <w:t xml:space="preserve">Correo de radicación de correspondencia: </w:t>
      </w:r>
      <w:hyperlink r:id="rId17">
        <w:r w:rsidRPr="0038088D">
          <w:rPr>
            <w:rStyle w:val="Hipervnculo"/>
            <w:rFonts w:ascii="Verdana" w:eastAsia="Verdana" w:hAnsi="Verdana" w:cs="Verdana"/>
          </w:rPr>
          <w:t>ventanilladeradicacion@colombiacompra.gov.co</w:t>
        </w:r>
      </w:hyperlink>
    </w:p>
    <w:p w14:paraId="4E993F48" w14:textId="77777777" w:rsidR="00662087" w:rsidRPr="0038088D" w:rsidRDefault="00662087" w:rsidP="00662087">
      <w:pPr>
        <w:pStyle w:val="Prrafodelista"/>
        <w:numPr>
          <w:ilvl w:val="0"/>
          <w:numId w:val="15"/>
        </w:numPr>
        <w:spacing w:after="0"/>
        <w:rPr>
          <w:rFonts w:ascii="Verdana" w:eastAsia="Verdana" w:hAnsi="Verdana" w:cs="Verdana"/>
          <w:color w:val="0000FF"/>
          <w:u w:val="single"/>
        </w:rPr>
      </w:pPr>
      <w:r w:rsidRPr="0038088D">
        <w:rPr>
          <w:rFonts w:ascii="Verdana" w:eastAsia="Verdana" w:hAnsi="Verdana" w:cs="Verdana"/>
        </w:rPr>
        <w:lastRenderedPageBreak/>
        <w:t>Formulario web para</w:t>
      </w:r>
      <w:r w:rsidRPr="0038088D">
        <w:rPr>
          <w:rFonts w:ascii="Verdana" w:eastAsia="Verdana" w:hAnsi="Verdana" w:cs="Verdana"/>
          <w:lang w:val="es"/>
        </w:rPr>
        <w:t xml:space="preserve"> PQRSD: </w:t>
      </w:r>
      <w:hyperlink r:id="rId18">
        <w:r w:rsidRPr="0038088D">
          <w:rPr>
            <w:rStyle w:val="Hipervnculo"/>
            <w:rFonts w:ascii="Verdana" w:eastAsia="Verdana" w:hAnsi="Verdana" w:cs="Verdana"/>
          </w:rPr>
          <w:t>https://www.colombiacompra.gov.co/pqrsd/informacion-importante-antes-de-formular-una-pqrsd</w:t>
        </w:r>
      </w:hyperlink>
    </w:p>
    <w:p w14:paraId="681D7F80" w14:textId="77777777" w:rsidR="00662087" w:rsidRPr="0038088D" w:rsidRDefault="00662087" w:rsidP="00662087">
      <w:pPr>
        <w:spacing w:after="0" w:line="240" w:lineRule="auto"/>
        <w:ind w:left="720"/>
        <w:jc w:val="both"/>
        <w:rPr>
          <w:rFonts w:ascii="Verdana" w:hAnsi="Verdana"/>
        </w:rPr>
      </w:pPr>
    </w:p>
    <w:p w14:paraId="4EB1433E" w14:textId="77777777" w:rsidR="00662087" w:rsidRPr="0038088D" w:rsidRDefault="00662087" w:rsidP="00662087">
      <w:pPr>
        <w:spacing w:after="0" w:line="240" w:lineRule="auto"/>
        <w:rPr>
          <w:rFonts w:ascii="Verdana" w:hAnsi="Verdana"/>
        </w:rPr>
      </w:pPr>
      <w:r w:rsidRPr="0038088D">
        <w:rPr>
          <w:rFonts w:ascii="Verdana" w:hAnsi="Verdana"/>
        </w:rPr>
        <w:t xml:space="preserve">Evalúa el servicio que ofrece la Agencia por el canal de atención de PQRSD en el siguiente </w:t>
      </w:r>
      <w:proofErr w:type="gramStart"/>
      <w:r w:rsidRPr="0038088D">
        <w:rPr>
          <w:rFonts w:ascii="Verdana" w:hAnsi="Verdana"/>
        </w:rPr>
        <w:t>enlace :</w:t>
      </w:r>
      <w:proofErr w:type="gramEnd"/>
      <w:hyperlink r:id="rId19" w:tgtFrame="_blank" w:tooltip="https://forms.office.com/r/pphywvs2sz" w:history="1">
        <w:r w:rsidRPr="0038088D">
          <w:rPr>
            <w:rStyle w:val="Hipervnculo"/>
            <w:rFonts w:ascii="Verdana" w:hAnsi="Verdana"/>
          </w:rPr>
          <w:t>https://forms.office.com/r/pPHyWVs2SZ</w:t>
        </w:r>
      </w:hyperlink>
      <w:r w:rsidRPr="0038088D">
        <w:rPr>
          <w:rFonts w:ascii="Verdana" w:hAnsi="Verdana"/>
        </w:rPr>
        <w:t xml:space="preserve"> .¡Ayúdanos a mejorar porque el compromiso es de todos!</w:t>
      </w:r>
    </w:p>
    <w:p w14:paraId="016D7107" w14:textId="77777777" w:rsidR="00662087" w:rsidRPr="0038088D" w:rsidRDefault="00662087" w:rsidP="00662087">
      <w:pPr>
        <w:spacing w:after="0" w:line="240" w:lineRule="auto"/>
        <w:rPr>
          <w:rFonts w:ascii="Verdana" w:hAnsi="Verdana"/>
        </w:rPr>
      </w:pPr>
    </w:p>
    <w:p w14:paraId="5E95C24D" w14:textId="77777777" w:rsidR="00662087" w:rsidRPr="0038088D" w:rsidRDefault="00662087" w:rsidP="00662087">
      <w:pPr>
        <w:spacing w:after="0" w:line="240" w:lineRule="auto"/>
        <w:jc w:val="both"/>
        <w:rPr>
          <w:rFonts w:ascii="Verdana" w:hAnsi="Verdana"/>
        </w:rPr>
      </w:pPr>
      <w:r w:rsidRPr="0038088D">
        <w:rPr>
          <w:rFonts w:ascii="Verdana" w:hAnsi="Verdana"/>
        </w:rPr>
        <w:t xml:space="preserve">Por último, lo invitamos a seguirnos en las redes sociales en las cuales se difunde información institucional: </w:t>
      </w:r>
    </w:p>
    <w:p w14:paraId="324BFCFC" w14:textId="77777777" w:rsidR="00662087" w:rsidRPr="00116940" w:rsidRDefault="00662087" w:rsidP="00662087">
      <w:pPr>
        <w:spacing w:after="0" w:line="240" w:lineRule="auto"/>
        <w:jc w:val="both"/>
        <w:rPr>
          <w:rFonts w:ascii="Verdana" w:hAnsi="Verdana"/>
        </w:rPr>
      </w:pPr>
    </w:p>
    <w:p w14:paraId="28351BE7" w14:textId="77777777" w:rsidR="00662087" w:rsidRPr="00116940" w:rsidRDefault="00662087" w:rsidP="00662087">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187C23EB" w14:textId="77777777" w:rsidR="00662087" w:rsidRPr="00116940" w:rsidRDefault="00662087" w:rsidP="00662087">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6D7AAE48" w14:textId="77777777" w:rsidR="00662087" w:rsidRPr="00E22E6E" w:rsidRDefault="00662087" w:rsidP="00662087">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167CFE0A" w14:textId="77777777" w:rsidR="00662087" w:rsidRPr="009C4035" w:rsidRDefault="00662087" w:rsidP="00662087">
      <w:pPr>
        <w:shd w:val="clear" w:color="auto" w:fill="FFFFFF"/>
        <w:spacing w:after="0" w:line="276" w:lineRule="auto"/>
        <w:jc w:val="both"/>
        <w:rPr>
          <w:rFonts w:ascii="Verdana" w:hAnsi="Verdana" w:cs="Arial"/>
          <w:color w:val="FF0000"/>
          <w:shd w:val="clear" w:color="auto" w:fill="FFFFFF"/>
          <w:lang w:val="es-ES_tradnl"/>
        </w:rPr>
      </w:pPr>
      <w:r w:rsidRPr="004A73EC">
        <w:rPr>
          <w:rFonts w:ascii="Verdana" w:hAnsi="Verdana" w:cs="Arial"/>
          <w:color w:val="000000" w:themeColor="text1"/>
          <w:shd w:val="clear" w:color="auto" w:fill="FFFFFF"/>
          <w:lang w:val="es-ES_tradnl"/>
        </w:rPr>
        <w:t xml:space="preserve"> </w:t>
      </w:r>
      <w:r w:rsidRPr="004A73EC">
        <w:rPr>
          <w:rStyle w:val="normaltextrun"/>
          <w:rFonts w:ascii="Verdana" w:hAnsi="Verdana" w:cs="Arial"/>
          <w:color w:val="FF0000"/>
          <w:shd w:val="clear" w:color="auto" w:fill="FFFFFF"/>
          <w:lang w:val="es-ES_tradnl"/>
        </w:rPr>
        <w:t xml:space="preserve">        </w:t>
      </w:r>
    </w:p>
    <w:p w14:paraId="542A7F1A" w14:textId="77777777" w:rsidR="00662087" w:rsidRPr="00593A5F" w:rsidRDefault="00662087" w:rsidP="00662087">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r>
        <w:rPr>
          <w:rFonts w:ascii="Verdana" w:hAnsi="Verdana" w:cs="Arial"/>
          <w:lang w:val="es-ES_tradnl"/>
        </w:rPr>
        <w:t xml:space="preserve"> </w:t>
      </w:r>
    </w:p>
    <w:p w14:paraId="7D5AEE7F" w14:textId="77777777" w:rsidR="00662087" w:rsidRDefault="00662087" w:rsidP="00662087">
      <w:pPr>
        <w:widowControl w:val="0"/>
        <w:autoSpaceDE w:val="0"/>
        <w:autoSpaceDN w:val="0"/>
        <w:spacing w:after="0" w:line="276" w:lineRule="auto"/>
        <w:jc w:val="both"/>
        <w:rPr>
          <w:rFonts w:ascii="Verdana" w:hAnsi="Verdana" w:cs="Arial"/>
        </w:rPr>
      </w:pPr>
    </w:p>
    <w:p w14:paraId="4F074BFF" w14:textId="77777777" w:rsidR="008D539F" w:rsidRPr="008D539F" w:rsidRDefault="008D539F" w:rsidP="008D539F">
      <w:pPr>
        <w:spacing w:after="0" w:line="276" w:lineRule="auto"/>
        <w:rPr>
          <w:rFonts w:ascii="Verdana" w:eastAsia="Calibri" w:hAnsi="Verdana" w:cs="Arial"/>
          <w:lang w:val="es-ES" w:eastAsia="es-CO"/>
        </w:rPr>
      </w:pPr>
      <w:r w:rsidRPr="008D539F">
        <w:rPr>
          <w:rFonts w:ascii="Verdana" w:eastAsia="Times New Roman" w:hAnsi="Verdana" w:cs="Arial"/>
          <w:lang w:val="es-ES" w:eastAsia="es-CO"/>
        </w:rPr>
        <w:t>Atentamente,</w:t>
      </w:r>
      <w:r w:rsidRPr="008D539F">
        <w:rPr>
          <w:rFonts w:ascii="Verdana" w:eastAsia="Calibri" w:hAnsi="Verdana" w:cs="Arial"/>
          <w:lang w:val="es-ES" w:eastAsia="es-CO"/>
        </w:rPr>
        <w:t xml:space="preserve"> </w:t>
      </w:r>
    </w:p>
    <w:p w14:paraId="65FB497B" w14:textId="77777777" w:rsidR="008D539F" w:rsidRPr="008D539F" w:rsidRDefault="008D539F" w:rsidP="008D539F">
      <w:pPr>
        <w:spacing w:after="0" w:line="276" w:lineRule="auto"/>
        <w:rPr>
          <w:rFonts w:ascii="Verdana" w:eastAsia="Calibri" w:hAnsi="Verdana" w:cs="Times New Roman"/>
          <w:noProof/>
          <w:color w:val="ED7D31" w:themeColor="accent2"/>
        </w:rPr>
      </w:pPr>
    </w:p>
    <w:p w14:paraId="743ED756" w14:textId="77777777" w:rsidR="008D539F" w:rsidRPr="008D539F" w:rsidRDefault="008D539F" w:rsidP="008D539F">
      <w:pPr>
        <w:spacing w:after="0" w:line="276" w:lineRule="auto"/>
        <w:jc w:val="both"/>
        <w:rPr>
          <w:rFonts w:ascii="Verdana" w:eastAsia="Times New Roman" w:hAnsi="Verdana" w:cs="Segoe UI"/>
          <w:lang w:eastAsia="es-CO"/>
        </w:rPr>
      </w:pPr>
    </w:p>
    <w:p w14:paraId="29D7EE69" w14:textId="77777777" w:rsidR="008D539F" w:rsidRPr="008D539F" w:rsidRDefault="008D539F" w:rsidP="008D539F">
      <w:pPr>
        <w:autoSpaceDE w:val="0"/>
        <w:autoSpaceDN w:val="0"/>
        <w:adjustRightInd w:val="0"/>
        <w:spacing w:after="0" w:line="276" w:lineRule="auto"/>
        <w:rPr>
          <w:rFonts w:ascii="Verdana" w:eastAsia="Calibri" w:hAnsi="Verdana" w:cs="Arial"/>
          <w:noProof/>
          <w:sz w:val="20"/>
          <w:szCs w:val="20"/>
        </w:rPr>
      </w:pPr>
    </w:p>
    <w:p w14:paraId="5BE208D6" w14:textId="77777777" w:rsidR="008D539F" w:rsidRPr="008D539F" w:rsidRDefault="008D539F" w:rsidP="008D539F">
      <w:pPr>
        <w:autoSpaceDE w:val="0"/>
        <w:autoSpaceDN w:val="0"/>
        <w:adjustRightInd w:val="0"/>
        <w:spacing w:after="0" w:line="276" w:lineRule="auto"/>
        <w:jc w:val="center"/>
        <w:rPr>
          <w:rFonts w:ascii="Verdana" w:eastAsia="Calibri" w:hAnsi="Verdana" w:cs="Arial"/>
          <w:noProof/>
          <w:sz w:val="20"/>
          <w:szCs w:val="20"/>
        </w:rPr>
      </w:pPr>
    </w:p>
    <w:p w14:paraId="0979D9A7" w14:textId="2DA8E6CB" w:rsidR="008D539F" w:rsidRPr="008D539F" w:rsidRDefault="001257BD" w:rsidP="008D539F">
      <w:pPr>
        <w:spacing w:after="0" w:line="254" w:lineRule="auto"/>
        <w:jc w:val="center"/>
        <w:rPr>
          <w:rFonts w:ascii="Verdana" w:eastAsia="Times New Roman" w:hAnsi="Verdana" w:cs="Arial"/>
          <w:lang w:eastAsia="es-ES"/>
        </w:rPr>
      </w:pPr>
      <w:r w:rsidRPr="002C3AD6">
        <w:rPr>
          <w:rFonts w:ascii="Century Gothic" w:hAnsi="Century Gothic"/>
          <w:noProof/>
        </w:rPr>
        <w:drawing>
          <wp:inline distT="0" distB="0" distL="0" distR="0" wp14:anchorId="43AAC3DA" wp14:editId="09284E53">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0"/>
                    <a:stretch>
                      <a:fillRect/>
                    </a:stretch>
                  </pic:blipFill>
                  <pic:spPr>
                    <a:xfrm>
                      <a:off x="0" y="0"/>
                      <a:ext cx="3772426" cy="1400370"/>
                    </a:xfrm>
                    <a:prstGeom prst="rect">
                      <a:avLst/>
                    </a:prstGeom>
                  </pic:spPr>
                </pic:pic>
              </a:graphicData>
            </a:graphic>
          </wp:inline>
        </w:drawing>
      </w:r>
    </w:p>
    <w:p w14:paraId="229FA254" w14:textId="77777777" w:rsidR="008D539F" w:rsidRPr="008D539F" w:rsidRDefault="008D539F" w:rsidP="008D539F">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8D539F" w:rsidRPr="008D539F" w14:paraId="27276D5F" w14:textId="77777777">
        <w:trPr>
          <w:trHeight w:val="322"/>
        </w:trPr>
        <w:tc>
          <w:tcPr>
            <w:tcW w:w="733" w:type="dxa"/>
            <w:tcBorders>
              <w:top w:val="nil"/>
              <w:left w:val="nil"/>
              <w:bottom w:val="nil"/>
              <w:right w:val="nil"/>
            </w:tcBorders>
            <w:vAlign w:val="center"/>
            <w:hideMark/>
          </w:tcPr>
          <w:p w14:paraId="61232F01" w14:textId="77777777" w:rsidR="008D539F" w:rsidRPr="008D539F" w:rsidRDefault="008D539F" w:rsidP="008D539F">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t>Elaboró:         </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1DCF25F0" w14:textId="77777777" w:rsidR="008D539F" w:rsidRPr="008D539F" w:rsidRDefault="008D539F" w:rsidP="008D539F">
            <w:pPr>
              <w:spacing w:after="0" w:line="254" w:lineRule="auto"/>
              <w:rPr>
                <w:rFonts w:ascii="Verdana" w:eastAsia="Times New Roman" w:hAnsi="Verdana" w:cs="Arial"/>
                <w:sz w:val="16"/>
                <w:szCs w:val="16"/>
                <w:lang w:val="es-ES_tradnl" w:eastAsia="es-ES"/>
              </w:rPr>
            </w:pPr>
            <w:r w:rsidRPr="008D539F">
              <w:rPr>
                <w:rFonts w:ascii="Verdana" w:eastAsia="Times New Roman" w:hAnsi="Verdana" w:cs="Arial"/>
                <w:sz w:val="16"/>
                <w:szCs w:val="16"/>
                <w:lang w:val="es-ES_tradnl" w:eastAsia="es-ES"/>
              </w:rPr>
              <w:t>Ximena Ríos López</w:t>
            </w:r>
          </w:p>
          <w:p w14:paraId="2EEF233B" w14:textId="77777777" w:rsidR="008D539F" w:rsidRPr="008D539F" w:rsidRDefault="008D539F" w:rsidP="008D539F">
            <w:pPr>
              <w:spacing w:after="0" w:line="254" w:lineRule="auto"/>
              <w:rPr>
                <w:rFonts w:ascii="Verdana" w:eastAsia="Times New Roman" w:hAnsi="Verdana" w:cs="Arial"/>
                <w:sz w:val="16"/>
                <w:szCs w:val="16"/>
                <w:lang w:val="es-ES_tradnl" w:eastAsia="es-ES"/>
              </w:rPr>
            </w:pPr>
            <w:r w:rsidRPr="008D539F">
              <w:rPr>
                <w:rFonts w:ascii="Verdana" w:eastAsia="Times New Roman" w:hAnsi="Verdana" w:cs="Arial"/>
                <w:sz w:val="16"/>
                <w:szCs w:val="16"/>
                <w:lang w:eastAsia="es-ES"/>
              </w:rPr>
              <w:t>Gestor T1-11 de la Subdirección de Gestión Contractual</w:t>
            </w:r>
          </w:p>
        </w:tc>
      </w:tr>
      <w:tr w:rsidR="008D539F" w:rsidRPr="008D539F" w14:paraId="70EDCEEF" w14:textId="77777777">
        <w:trPr>
          <w:trHeight w:val="322"/>
        </w:trPr>
        <w:tc>
          <w:tcPr>
            <w:tcW w:w="733" w:type="dxa"/>
            <w:tcBorders>
              <w:top w:val="nil"/>
              <w:left w:val="nil"/>
              <w:bottom w:val="nil"/>
              <w:right w:val="nil"/>
            </w:tcBorders>
            <w:vAlign w:val="center"/>
            <w:hideMark/>
          </w:tcPr>
          <w:p w14:paraId="2E9B8E4F" w14:textId="77777777" w:rsidR="008D539F" w:rsidRPr="008D539F" w:rsidRDefault="008D539F" w:rsidP="008D539F">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t>Revisó:</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20AF3A67" w14:textId="7AAAB1EB" w:rsidR="008D539F" w:rsidRPr="008D539F" w:rsidRDefault="005746D5" w:rsidP="008D539F">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eastAsia="es-CO"/>
              </w:rPr>
              <w:t>Diana Saavedra</w:t>
            </w:r>
          </w:p>
          <w:p w14:paraId="7D6042C1" w14:textId="77777777" w:rsidR="008D539F" w:rsidRPr="008D539F" w:rsidRDefault="008D539F" w:rsidP="008D539F">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Arial"/>
                <w:sz w:val="16"/>
                <w:szCs w:val="16"/>
                <w:lang w:eastAsia="es-ES"/>
              </w:rPr>
              <w:t xml:space="preserve">Contratista </w:t>
            </w:r>
            <w:r w:rsidRPr="008D539F">
              <w:rPr>
                <w:rFonts w:ascii="Verdana" w:eastAsia="Times New Roman" w:hAnsi="Verdana" w:cs="Times New Roman"/>
                <w:sz w:val="16"/>
                <w:szCs w:val="16"/>
                <w:lang w:eastAsia="es-CO"/>
              </w:rPr>
              <w:t>de la Subdirección de Gestión Contractual</w:t>
            </w:r>
          </w:p>
        </w:tc>
      </w:tr>
      <w:tr w:rsidR="008D539F" w:rsidRPr="008D539F" w14:paraId="72670CA9" w14:textId="77777777">
        <w:trPr>
          <w:trHeight w:val="307"/>
        </w:trPr>
        <w:tc>
          <w:tcPr>
            <w:tcW w:w="733" w:type="dxa"/>
            <w:tcBorders>
              <w:top w:val="nil"/>
              <w:left w:val="nil"/>
              <w:bottom w:val="nil"/>
              <w:right w:val="nil"/>
            </w:tcBorders>
            <w:vAlign w:val="center"/>
            <w:hideMark/>
          </w:tcPr>
          <w:p w14:paraId="6E28AB85" w14:textId="77777777" w:rsidR="008D539F" w:rsidRPr="008D539F" w:rsidRDefault="008D539F" w:rsidP="008D539F">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lastRenderedPageBreak/>
              <w:t>Aprobó:</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29490188" w14:textId="77777777" w:rsidR="008D539F" w:rsidRPr="008D539F" w:rsidRDefault="008D539F" w:rsidP="008D539F">
            <w:pPr>
              <w:spacing w:after="0" w:line="254" w:lineRule="auto"/>
              <w:rPr>
                <w:rFonts w:ascii="Verdana" w:eastAsia="Times New Roman" w:hAnsi="Verdana" w:cs="Arial"/>
                <w:sz w:val="16"/>
                <w:szCs w:val="16"/>
                <w:lang w:eastAsia="es-ES"/>
              </w:rPr>
            </w:pPr>
            <w:r w:rsidRPr="008D539F">
              <w:rPr>
                <w:rFonts w:ascii="Verdana" w:eastAsia="Times New Roman" w:hAnsi="Verdana" w:cs="Arial"/>
                <w:sz w:val="16"/>
                <w:szCs w:val="16"/>
                <w:lang w:eastAsia="es-ES"/>
              </w:rPr>
              <w:t>Carolina Quintero Gacharná</w:t>
            </w:r>
          </w:p>
          <w:p w14:paraId="70CC8DC1" w14:textId="77777777" w:rsidR="008D539F" w:rsidRPr="008D539F" w:rsidRDefault="008D539F" w:rsidP="008D539F">
            <w:pPr>
              <w:spacing w:after="0" w:line="254" w:lineRule="auto"/>
              <w:rPr>
                <w:rFonts w:ascii="Verdana" w:eastAsia="Times New Roman" w:hAnsi="Verdana" w:cs="Arial"/>
                <w:sz w:val="16"/>
                <w:szCs w:val="16"/>
                <w:lang w:eastAsia="es-ES"/>
              </w:rPr>
            </w:pPr>
            <w:r w:rsidRPr="008D539F">
              <w:rPr>
                <w:rFonts w:ascii="Verdana" w:eastAsia="Times New Roman" w:hAnsi="Verdana" w:cs="Arial"/>
                <w:sz w:val="16"/>
                <w:szCs w:val="16"/>
                <w:lang w:eastAsia="es-ES"/>
              </w:rPr>
              <w:t>Subdirectora de Gestión Contractual ANCP – CCE</w:t>
            </w:r>
          </w:p>
        </w:tc>
      </w:tr>
    </w:tbl>
    <w:p w14:paraId="765DB0CB" w14:textId="77777777" w:rsidR="008D539F" w:rsidRPr="008D539F" w:rsidRDefault="008D539F" w:rsidP="008D539F">
      <w:pPr>
        <w:autoSpaceDE w:val="0"/>
        <w:autoSpaceDN w:val="0"/>
        <w:adjustRightInd w:val="0"/>
        <w:spacing w:after="0" w:line="276" w:lineRule="auto"/>
        <w:jc w:val="center"/>
        <w:rPr>
          <w:rFonts w:ascii="Verdana" w:eastAsia="Calibri" w:hAnsi="Verdana" w:cs="Arial"/>
        </w:rPr>
      </w:pPr>
    </w:p>
    <w:bookmarkEnd w:id="0"/>
    <w:p w14:paraId="09A9C901" w14:textId="08C4BBE5" w:rsidR="008D539F" w:rsidRPr="00593A5F" w:rsidRDefault="008D539F" w:rsidP="00662087">
      <w:pPr>
        <w:widowControl w:val="0"/>
        <w:autoSpaceDE w:val="0"/>
        <w:autoSpaceDN w:val="0"/>
        <w:spacing w:after="0" w:line="276" w:lineRule="auto"/>
        <w:jc w:val="both"/>
        <w:rPr>
          <w:rFonts w:ascii="Verdana" w:hAnsi="Verdana" w:cs="Arial"/>
        </w:rPr>
      </w:pPr>
    </w:p>
    <w:sectPr w:rsidR="008D539F" w:rsidRPr="00593A5F"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21678" w14:textId="77777777" w:rsidR="005054DE" w:rsidRDefault="005054DE" w:rsidP="004A1847">
      <w:pPr>
        <w:spacing w:after="0" w:line="240" w:lineRule="auto"/>
      </w:pPr>
      <w:r>
        <w:separator/>
      </w:r>
    </w:p>
  </w:endnote>
  <w:endnote w:type="continuationSeparator" w:id="0">
    <w:p w14:paraId="36FA2B7E" w14:textId="77777777" w:rsidR="005054DE" w:rsidRDefault="005054DE"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2FA85F4B"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751DE8" w:rsidRPr="00751DE8">
      <w:rPr>
        <w:rFonts w:ascii="Verdana" w:eastAsiaTheme="minorEastAsia" w:hAnsi="Verdana"/>
        <w:b/>
        <w:bCs/>
        <w:noProof/>
        <w:sz w:val="16"/>
        <w:szCs w:val="16"/>
      </w:rPr>
      <w:t>19</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75694" w14:textId="77777777" w:rsidR="005054DE" w:rsidRDefault="005054DE" w:rsidP="004A1847">
      <w:pPr>
        <w:spacing w:after="0" w:line="240" w:lineRule="auto"/>
      </w:pPr>
      <w:r>
        <w:separator/>
      </w:r>
    </w:p>
  </w:footnote>
  <w:footnote w:type="continuationSeparator" w:id="0">
    <w:p w14:paraId="04A0973D" w14:textId="77777777" w:rsidR="005054DE" w:rsidRDefault="005054DE" w:rsidP="004A1847">
      <w:pPr>
        <w:spacing w:after="0" w:line="240" w:lineRule="auto"/>
      </w:pPr>
      <w:r>
        <w:continuationSeparator/>
      </w:r>
    </w:p>
  </w:footnote>
  <w:footnote w:id="1">
    <w:p w14:paraId="4627EE9E" w14:textId="77777777" w:rsidR="00662087" w:rsidRPr="000959A8" w:rsidRDefault="00662087" w:rsidP="00662087">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14:paraId="04F9EB5F" w14:textId="77777777" w:rsidR="00662087" w:rsidRDefault="00662087" w:rsidP="00662087">
      <w:pPr>
        <w:pStyle w:val="Textonotapie"/>
        <w:ind w:firstLine="709"/>
        <w:jc w:val="both"/>
        <w:rPr>
          <w:rFonts w:ascii="Verdana" w:eastAsia="Calibri" w:hAnsi="Verdana" w:cs="Arial"/>
          <w:sz w:val="16"/>
          <w:szCs w:val="16"/>
          <w:lang w:val="es-ES_tradnl" w:eastAsia="es-ES_tradnl"/>
        </w:rPr>
      </w:pPr>
      <w:r w:rsidRPr="000959A8">
        <w:rPr>
          <w:rFonts w:ascii="Verdana" w:eastAsia="Calibri" w:hAnsi="Verdana" w:cs="Arial"/>
          <w:sz w:val="16"/>
          <w:szCs w:val="16"/>
          <w:lang w:val="es-ES_tradnl" w:eastAsia="es-ES_tradnl"/>
        </w:rPr>
        <w:t>Sin embargo, en otros negocios, como la obra pública, la concesión y la consultoría, el Estado está acostumbrado a que se desglosen intensamente los costos, exigiendo no sólo el precio total sino una distinción entre los costos directos y los costos indirectos.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ítems que componen el contrato–. Los costos indirectos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p w14:paraId="21BC31C6" w14:textId="77777777" w:rsidR="00515A4E" w:rsidRPr="000959A8" w:rsidRDefault="00515A4E" w:rsidP="00662087">
      <w:pPr>
        <w:pStyle w:val="Textonotapie"/>
        <w:ind w:firstLine="709"/>
        <w:jc w:val="both"/>
        <w:rPr>
          <w:rFonts w:ascii="Verdana" w:hAnsi="Verdana" w:cs="Arial"/>
          <w:sz w:val="16"/>
          <w:szCs w:val="16"/>
          <w:lang w:val="es-ES"/>
        </w:rPr>
      </w:pPr>
    </w:p>
  </w:footnote>
  <w:footnote w:id="2">
    <w:p w14:paraId="02C74DB8" w14:textId="77777777" w:rsidR="00662087" w:rsidRDefault="00662087" w:rsidP="00662087">
      <w:pPr>
        <w:pStyle w:val="Textonotapie"/>
        <w:ind w:firstLine="708"/>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 xml:space="preserve">CONSEJO DE ESTADO. Sección Tercera. Subsección B. Sentencia del 29 de febrero de 2012. </w:t>
      </w:r>
      <w:r w:rsidRPr="000959A8">
        <w:rPr>
          <w:rFonts w:ascii="Verdana" w:eastAsia="Calibri" w:hAnsi="Verdana" w:cs="Arial"/>
          <w:sz w:val="16"/>
          <w:szCs w:val="16"/>
          <w:lang w:val="es-ES_tradnl" w:eastAsia="es-ES_tradnl"/>
        </w:rPr>
        <w:t>Exp. 16371, C.P. Danilo Rojas Betancourth.</w:t>
      </w:r>
    </w:p>
    <w:p w14:paraId="0CB5CF99" w14:textId="77777777" w:rsidR="00515A4E" w:rsidRPr="000959A8" w:rsidRDefault="00515A4E" w:rsidP="00662087">
      <w:pPr>
        <w:pStyle w:val="Textonotapie"/>
        <w:ind w:firstLine="708"/>
        <w:jc w:val="both"/>
        <w:rPr>
          <w:rFonts w:ascii="Verdana" w:hAnsi="Verdana" w:cs="Arial"/>
          <w:sz w:val="16"/>
          <w:szCs w:val="16"/>
        </w:rPr>
      </w:pPr>
    </w:p>
  </w:footnote>
  <w:footnote w:id="3">
    <w:p w14:paraId="32FD33C8" w14:textId="77777777" w:rsidR="00662087" w:rsidRDefault="00662087" w:rsidP="00662087">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PINO RICCI, Jorge. El régimen jurídico de los contratos estatales. Universidad Externado de Colombia. Bogotá, 2005. pp. 416.</w:t>
      </w:r>
    </w:p>
    <w:p w14:paraId="645CAD6F" w14:textId="77777777" w:rsidR="00515A4E" w:rsidRPr="000959A8" w:rsidRDefault="00515A4E" w:rsidP="00662087">
      <w:pPr>
        <w:pStyle w:val="Textonotapie"/>
        <w:ind w:firstLine="709"/>
        <w:jc w:val="both"/>
        <w:rPr>
          <w:rFonts w:ascii="Verdana" w:hAnsi="Verdana" w:cs="Arial"/>
          <w:sz w:val="16"/>
          <w:szCs w:val="16"/>
          <w:lang w:val="es-CO"/>
        </w:rPr>
      </w:pPr>
    </w:p>
  </w:footnote>
  <w:footnote w:id="4">
    <w:p w14:paraId="36B85261" w14:textId="77777777" w:rsidR="00662087" w:rsidRDefault="00662087" w:rsidP="00662087">
      <w:pPr>
        <w:pStyle w:val="Textonotapie"/>
        <w:ind w:firstLine="708"/>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 xml:space="preserve">CONSEJO DE ESTADO. Sección Tercera. Subsección B. Sentencia del 14 de octubre de 2011. </w:t>
      </w:r>
      <w:r w:rsidRPr="000959A8">
        <w:rPr>
          <w:rFonts w:ascii="Verdana" w:eastAsia="Calibri" w:hAnsi="Verdana" w:cs="Arial"/>
          <w:sz w:val="16"/>
          <w:szCs w:val="16"/>
          <w:lang w:val="es-ES_tradnl" w:eastAsia="es-ES_tradnl"/>
        </w:rPr>
        <w:t>Exp. 20811, C.P. Ruth Stella Correa Palacio.</w:t>
      </w:r>
    </w:p>
    <w:p w14:paraId="3D2EC10F" w14:textId="77777777" w:rsidR="00515A4E" w:rsidRPr="000959A8" w:rsidRDefault="00515A4E" w:rsidP="00662087">
      <w:pPr>
        <w:pStyle w:val="Textonotapie"/>
        <w:ind w:firstLine="708"/>
        <w:jc w:val="both"/>
        <w:rPr>
          <w:rFonts w:ascii="Verdana" w:hAnsi="Verdana" w:cs="Arial"/>
          <w:sz w:val="16"/>
          <w:szCs w:val="16"/>
        </w:rPr>
      </w:pPr>
    </w:p>
  </w:footnote>
  <w:footnote w:id="5">
    <w:p w14:paraId="583D3219" w14:textId="77777777" w:rsidR="00662087" w:rsidRDefault="00662087" w:rsidP="00662087">
      <w:pPr>
        <w:pStyle w:val="Textonotapie"/>
        <w:ind w:firstLine="708"/>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CONSEJO DE ESTADO. Sala de Consulta y Servicio Civil. Concepto del 5 de septiembre de 2018, radicado No. 11001-03-06-000-2018-00124-00 C.P. Édgar González López.</w:t>
      </w:r>
    </w:p>
    <w:p w14:paraId="39BBEF38" w14:textId="77777777" w:rsidR="00515A4E" w:rsidRPr="000959A8" w:rsidRDefault="00515A4E" w:rsidP="00662087">
      <w:pPr>
        <w:pStyle w:val="Textonotapie"/>
        <w:ind w:firstLine="708"/>
        <w:jc w:val="both"/>
        <w:rPr>
          <w:rFonts w:ascii="Verdana" w:hAnsi="Verdana" w:cs="Arial"/>
          <w:sz w:val="16"/>
          <w:szCs w:val="16"/>
        </w:rPr>
      </w:pPr>
    </w:p>
  </w:footnote>
  <w:footnote w:id="6">
    <w:p w14:paraId="3EB7C146" w14:textId="77777777" w:rsidR="00662087" w:rsidRDefault="00662087" w:rsidP="00662087">
      <w:pPr>
        <w:pStyle w:val="Textonotapie"/>
        <w:ind w:firstLine="708"/>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“Los costos indirectos incorporados en el A, corresponden como regla general a gastos de la oficina central, honorarios del director de obra, y de personal especializado. Generalmente estos costos pueden estar compartidos con los diversos contratos de obra que en forma simultánea esté ejecutando el contratista. Un ejemplo corresponde a los costos de la oficina central, y de los asesores de proyectos”.</w:t>
      </w:r>
    </w:p>
    <w:p w14:paraId="7F121D75" w14:textId="77777777" w:rsidR="00515A4E" w:rsidRPr="000959A8" w:rsidRDefault="00515A4E" w:rsidP="00662087">
      <w:pPr>
        <w:pStyle w:val="Textonotapie"/>
        <w:ind w:firstLine="708"/>
        <w:jc w:val="both"/>
        <w:rPr>
          <w:rFonts w:ascii="Verdana" w:hAnsi="Verdana" w:cs="Arial"/>
          <w:sz w:val="16"/>
          <w:szCs w:val="16"/>
        </w:rPr>
      </w:pPr>
    </w:p>
  </w:footnote>
  <w:footnote w:id="7">
    <w:p w14:paraId="2A7E6C41" w14:textId="77777777" w:rsidR="00662087" w:rsidRDefault="00662087" w:rsidP="00662087">
      <w:pPr>
        <w:pStyle w:val="Textonotapie"/>
        <w:ind w:firstLine="708"/>
        <w:jc w:val="both"/>
        <w:rPr>
          <w:rFonts w:ascii="Verdana" w:hAnsi="Verdana" w:cs="Arial"/>
          <w:sz w:val="16"/>
          <w:szCs w:val="16"/>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 la utilidad es el beneficio económico que pretende percibir el contratista por la ejecución del contrato y por costos de administración se han tenido como tales los que constituyen costos indirectos para la operación del contrato, tales como los gastos de disponibilidad de la organización del contratista; el porcentaje para imprevistos, como su nombre lo indica, está destinado a cubrir los gastos con los que no se contaba y que se presenten durante la ejecución del contrato” (Consejo de Estado. Sección Tercera. Consejero Ponente: Ramiro Saavedra Becerra. Sentencia del 28 de agosto de 2003. Radicado: 17.554).</w:t>
      </w:r>
      <w:r w:rsidRPr="000959A8">
        <w:rPr>
          <w:rFonts w:ascii="Verdana" w:hAnsi="Verdana" w:cs="Arial"/>
          <w:sz w:val="16"/>
          <w:szCs w:val="16"/>
        </w:rPr>
        <w:t xml:space="preserve"> </w:t>
      </w:r>
    </w:p>
    <w:p w14:paraId="43D4ECBA" w14:textId="77777777" w:rsidR="00515A4E" w:rsidRPr="000959A8" w:rsidRDefault="00515A4E" w:rsidP="00662087">
      <w:pPr>
        <w:pStyle w:val="Textonotapie"/>
        <w:ind w:firstLine="708"/>
        <w:jc w:val="both"/>
        <w:rPr>
          <w:rFonts w:ascii="Verdana" w:hAnsi="Verdana" w:cs="Arial"/>
          <w:sz w:val="16"/>
          <w:szCs w:val="16"/>
        </w:rPr>
      </w:pPr>
    </w:p>
  </w:footnote>
  <w:footnote w:id="8">
    <w:p w14:paraId="4F0BBA93" w14:textId="77777777" w:rsidR="00662087" w:rsidRDefault="00662087" w:rsidP="00662087">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 xml:space="preserve">MARÍN, </w:t>
      </w:r>
      <w:r w:rsidRPr="000959A8">
        <w:rPr>
          <w:rFonts w:ascii="Verdana" w:eastAsia="Calibri" w:hAnsi="Verdana" w:cs="Arial"/>
          <w:sz w:val="16"/>
          <w:szCs w:val="16"/>
          <w:lang w:val="es-ES_tradnl" w:eastAsia="es-ES_tradnl"/>
        </w:rPr>
        <w:t>Op. Cit., pp. 64-65.</w:t>
      </w:r>
    </w:p>
    <w:p w14:paraId="39BC9EDC" w14:textId="77777777" w:rsidR="00515A4E" w:rsidRPr="000959A8" w:rsidRDefault="00515A4E" w:rsidP="00662087">
      <w:pPr>
        <w:pStyle w:val="Textonotapie"/>
        <w:ind w:firstLine="709"/>
        <w:jc w:val="both"/>
        <w:rPr>
          <w:rFonts w:ascii="Verdana" w:eastAsia="Calibri" w:hAnsi="Verdana" w:cs="Arial"/>
          <w:sz w:val="16"/>
          <w:szCs w:val="16"/>
          <w:lang w:val="es-ES_tradnl" w:eastAsia="es-ES_tradnl"/>
        </w:rPr>
      </w:pPr>
    </w:p>
  </w:footnote>
  <w:footnote w:id="9">
    <w:p w14:paraId="100185C0" w14:textId="77777777" w:rsidR="00662087" w:rsidRDefault="00662087" w:rsidP="00662087">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Ibíd., p. 66.</w:t>
      </w:r>
    </w:p>
    <w:p w14:paraId="4C11C01A" w14:textId="77777777" w:rsidR="00452650" w:rsidRPr="000959A8" w:rsidRDefault="00452650" w:rsidP="00662087">
      <w:pPr>
        <w:pStyle w:val="Textonotapie"/>
        <w:ind w:firstLine="709"/>
        <w:jc w:val="both"/>
        <w:rPr>
          <w:rFonts w:ascii="Verdana" w:hAnsi="Verdana" w:cs="Arial"/>
          <w:sz w:val="16"/>
          <w:szCs w:val="16"/>
          <w:lang w:val="es-ES"/>
        </w:rPr>
      </w:pPr>
    </w:p>
  </w:footnote>
  <w:footnote w:id="10">
    <w:p w14:paraId="2574E341" w14:textId="77777777" w:rsidR="00662087" w:rsidRDefault="00662087" w:rsidP="00662087">
      <w:pPr>
        <w:pStyle w:val="Textonotapie"/>
        <w:ind w:firstLine="708"/>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“Que el porcentaje sea superior o inferior, o que para una empresa sea mayor o menor que para otra, depende de muchas razones, por ejemplo: del personal que se requiera en la obra –unas empresas emplean más o menos que otras–; de la magnitud del trabajo; de las cargas administrativas que cada empresa tienen –pensionados, convenciones colectivas y otros; del tamaño de la misma –mientras más grande es la A tiende a ser mayor; del costo de los campamentos; del transporte del personal; del sitio de las obras –si la empresa tiene un domicilio en el lugar del trabajo su A tiende a ser menor, y si se encuentra en otra ciudad tiende a subir, por ejemplo porque el salario de los ingenieros se incrementa por los viáticos–”. (</w:t>
      </w:r>
      <w:r w:rsidRPr="000959A8">
        <w:rPr>
          <w:rFonts w:ascii="Verdana" w:eastAsia="Calibri" w:hAnsi="Verdana" w:cs="Arial"/>
          <w:sz w:val="16"/>
          <w:szCs w:val="16"/>
          <w:lang w:val="es-ES_tradnl" w:eastAsia="es-ES_tradnl"/>
        </w:rPr>
        <w:t>Ibíd, p. 76)</w:t>
      </w:r>
    </w:p>
    <w:p w14:paraId="7A5A758B" w14:textId="77777777" w:rsidR="00134724" w:rsidRPr="000959A8" w:rsidRDefault="00134724" w:rsidP="00662087">
      <w:pPr>
        <w:pStyle w:val="Textonotapie"/>
        <w:ind w:firstLine="708"/>
        <w:jc w:val="both"/>
        <w:rPr>
          <w:rFonts w:ascii="Verdana" w:eastAsia="Calibri" w:hAnsi="Verdana" w:cs="Arial"/>
          <w:sz w:val="16"/>
          <w:szCs w:val="16"/>
          <w:lang w:val="es-ES_tradnl" w:eastAsia="es-ES_tradnl"/>
        </w:rPr>
      </w:pPr>
    </w:p>
  </w:footnote>
  <w:footnote w:id="11">
    <w:p w14:paraId="103EF98D" w14:textId="77777777" w:rsidR="00662087" w:rsidRDefault="00662087" w:rsidP="00662087">
      <w:pPr>
        <w:pStyle w:val="Textonotapie"/>
        <w:ind w:firstLine="708"/>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Lo anterior, sin perjuicio de las fórmulas de reajuste que se establezcan en el contrato y lo establecido en el artículo 27 de la Ley 80 de 1993. En tal sentido, en los casos de desequilibrio económico, porque los costos indirectos en los que incurre el contratista exceden el alea normal, es decir, le causan una afectación grave de su economía, podría exigirle a la entidad que le pague más de lo que se estipuló en la A o en la I, siendo esta una circunstancia extraordinaria.</w:t>
      </w:r>
    </w:p>
    <w:p w14:paraId="1D11CB3A" w14:textId="77777777" w:rsidR="00134724" w:rsidRPr="000959A8" w:rsidRDefault="00134724" w:rsidP="00662087">
      <w:pPr>
        <w:pStyle w:val="Textonotapie"/>
        <w:ind w:firstLine="708"/>
        <w:jc w:val="both"/>
        <w:rPr>
          <w:rFonts w:ascii="Verdana" w:hAnsi="Verdana" w:cs="Arial"/>
          <w:sz w:val="16"/>
          <w:szCs w:val="16"/>
        </w:rPr>
      </w:pPr>
    </w:p>
  </w:footnote>
  <w:footnote w:id="12">
    <w:p w14:paraId="5E9FD807" w14:textId="77777777" w:rsidR="00E05E98" w:rsidRDefault="00E05E98" w:rsidP="00E05E98">
      <w:pPr>
        <w:pStyle w:val="Textonotapie"/>
        <w:ind w:firstLine="708"/>
        <w:rPr>
          <w:rFonts w:ascii="Verdana" w:hAnsi="Verdana"/>
          <w:sz w:val="16"/>
          <w:szCs w:val="16"/>
        </w:rPr>
      </w:pPr>
      <w:r w:rsidRPr="00364005">
        <w:rPr>
          <w:rStyle w:val="Refdenotaalpie"/>
          <w:rFonts w:ascii="Verdana" w:hAnsi="Verdana"/>
          <w:sz w:val="16"/>
          <w:szCs w:val="16"/>
        </w:rPr>
        <w:footnoteRef/>
      </w:r>
      <w:r w:rsidRPr="00364005">
        <w:rPr>
          <w:rFonts w:ascii="Verdana" w:hAnsi="Verdana"/>
          <w:sz w:val="16"/>
          <w:szCs w:val="16"/>
        </w:rPr>
        <w:t xml:space="preserve"> MARÍN, </w:t>
      </w:r>
      <w:r w:rsidRPr="00364005">
        <w:rPr>
          <w:rFonts w:ascii="Verdana" w:hAnsi="Verdana"/>
          <w:sz w:val="16"/>
          <w:szCs w:val="16"/>
        </w:rPr>
        <w:t>Op. Cit., p. 70.</w:t>
      </w:r>
    </w:p>
    <w:p w14:paraId="45AFBC1B" w14:textId="77777777" w:rsidR="000B0D04" w:rsidRPr="00364005" w:rsidRDefault="000B0D04" w:rsidP="00E05E98">
      <w:pPr>
        <w:pStyle w:val="Textonotapie"/>
        <w:ind w:firstLine="708"/>
        <w:rPr>
          <w:rFonts w:ascii="Verdana" w:hAnsi="Verdana"/>
          <w:sz w:val="16"/>
          <w:szCs w:val="16"/>
          <w:lang w:val="es-CO"/>
        </w:rPr>
      </w:pPr>
    </w:p>
  </w:footnote>
  <w:footnote w:id="13">
    <w:p w14:paraId="352F784F" w14:textId="77777777" w:rsidR="00E05E98" w:rsidRDefault="00E05E98" w:rsidP="00E05E98">
      <w:pPr>
        <w:pStyle w:val="Textonotapie"/>
        <w:ind w:firstLine="708"/>
        <w:jc w:val="both"/>
        <w:rPr>
          <w:rFonts w:ascii="Verdana" w:eastAsia="Calibri" w:hAnsi="Verdana" w:cs="Arial"/>
          <w:sz w:val="16"/>
          <w:szCs w:val="16"/>
          <w:lang w:val="es-ES_tradnl" w:eastAsia="es-ES_tradnl"/>
        </w:rPr>
      </w:pPr>
      <w:r w:rsidRPr="00364005">
        <w:rPr>
          <w:rStyle w:val="Refdenotaalpie"/>
          <w:rFonts w:ascii="Verdana" w:hAnsi="Verdana"/>
          <w:sz w:val="16"/>
          <w:szCs w:val="16"/>
        </w:rPr>
        <w:footnoteRef/>
      </w:r>
      <w:r w:rsidRPr="00364005">
        <w:rPr>
          <w:rFonts w:ascii="Verdana" w:hAnsi="Verdana"/>
          <w:sz w:val="16"/>
          <w:szCs w:val="16"/>
        </w:rPr>
        <w:t xml:space="preserve"> </w:t>
      </w:r>
      <w:r w:rsidRPr="00364005">
        <w:rPr>
          <w:rFonts w:ascii="Verdana" w:eastAsia="Calibri" w:hAnsi="Verdana" w:cs="Arial"/>
          <w:sz w:val="16"/>
          <w:szCs w:val="16"/>
          <w:lang w:val="es-ES_tradnl" w:eastAsia="es-ES_tradnl"/>
        </w:rPr>
        <w:t>Ibíd., p. 68.</w:t>
      </w:r>
    </w:p>
    <w:p w14:paraId="2DC4B21F" w14:textId="77777777" w:rsidR="00BA4084" w:rsidRPr="00364005" w:rsidRDefault="00BA4084" w:rsidP="00E05E98">
      <w:pPr>
        <w:pStyle w:val="Textonotapie"/>
        <w:ind w:firstLine="708"/>
        <w:jc w:val="both"/>
        <w:rPr>
          <w:rFonts w:ascii="Verdana" w:hAnsi="Verdana"/>
          <w:sz w:val="16"/>
          <w:szCs w:val="16"/>
          <w:lang w:val="es-CO"/>
        </w:rPr>
      </w:pPr>
    </w:p>
  </w:footnote>
  <w:footnote w:id="14">
    <w:p w14:paraId="79273A86" w14:textId="77777777" w:rsidR="00E05E98" w:rsidRDefault="00E05E98" w:rsidP="00E05E98">
      <w:pPr>
        <w:pStyle w:val="Textonotapie"/>
        <w:ind w:firstLine="708"/>
        <w:jc w:val="both"/>
        <w:rPr>
          <w:rFonts w:ascii="Verdana" w:eastAsia="Calibri" w:hAnsi="Verdana" w:cs="Arial"/>
          <w:sz w:val="16"/>
          <w:szCs w:val="16"/>
          <w:lang w:val="en-US" w:eastAsia="es-ES_tradnl"/>
        </w:rPr>
      </w:pPr>
      <w:r w:rsidRPr="00364005">
        <w:rPr>
          <w:rStyle w:val="Refdenotaalpie"/>
          <w:rFonts w:ascii="Verdana" w:hAnsi="Verdana"/>
          <w:sz w:val="16"/>
          <w:szCs w:val="16"/>
        </w:rPr>
        <w:footnoteRef/>
      </w:r>
      <w:r w:rsidRPr="00E05E98">
        <w:rPr>
          <w:rFonts w:ascii="Verdana" w:hAnsi="Verdana"/>
          <w:sz w:val="16"/>
          <w:szCs w:val="16"/>
          <w:lang w:val="en-US"/>
        </w:rPr>
        <w:t xml:space="preserve"> </w:t>
      </w:r>
      <w:r w:rsidRPr="00E05E98">
        <w:rPr>
          <w:rFonts w:ascii="Verdana" w:eastAsia="Calibri" w:hAnsi="Verdana" w:cs="Arial"/>
          <w:sz w:val="16"/>
          <w:szCs w:val="16"/>
          <w:lang w:val="en-US" w:eastAsia="es-ES_tradnl"/>
        </w:rPr>
        <w:t>Ibíd., p. 71.</w:t>
      </w:r>
    </w:p>
    <w:p w14:paraId="7C81AEBD" w14:textId="77777777" w:rsidR="00BA4084" w:rsidRPr="00E05E98" w:rsidRDefault="00BA4084" w:rsidP="00E05E98">
      <w:pPr>
        <w:pStyle w:val="Textonotapie"/>
        <w:ind w:firstLine="708"/>
        <w:jc w:val="both"/>
        <w:rPr>
          <w:rFonts w:ascii="Verdana" w:hAnsi="Verdana"/>
          <w:sz w:val="16"/>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pt;height:10.4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353CA8"/>
    <w:multiLevelType w:val="hybridMultilevel"/>
    <w:tmpl w:val="8556CC82"/>
    <w:lvl w:ilvl="0" w:tplc="147AD612">
      <w:start w:val="1"/>
      <w:numFmt w:val="decimal"/>
      <w:lvlText w:val="%1."/>
      <w:lvlJc w:val="left"/>
      <w:pPr>
        <w:ind w:left="1065" w:hanging="360"/>
      </w:pPr>
      <w:rPr>
        <w:rFonts w:ascii="Arial" w:hAnsi="Arial" w:cs="Arial" w:hint="default"/>
        <w:b w:val="0"/>
        <w:bCs/>
        <w:sz w:val="22"/>
        <w:szCs w:val="22"/>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0C755D"/>
    <w:multiLevelType w:val="hybridMultilevel"/>
    <w:tmpl w:val="EEC2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42839426">
    <w:abstractNumId w:val="10"/>
  </w:num>
  <w:num w:numId="2" w16cid:durableId="575671387">
    <w:abstractNumId w:val="2"/>
  </w:num>
  <w:num w:numId="3" w16cid:durableId="478959013">
    <w:abstractNumId w:val="8"/>
  </w:num>
  <w:num w:numId="4" w16cid:durableId="1145660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4566880">
    <w:abstractNumId w:val="2"/>
  </w:num>
  <w:num w:numId="6" w16cid:durableId="699085116">
    <w:abstractNumId w:val="18"/>
  </w:num>
  <w:num w:numId="7" w16cid:durableId="1974751856">
    <w:abstractNumId w:val="9"/>
  </w:num>
  <w:num w:numId="8" w16cid:durableId="1524243295">
    <w:abstractNumId w:val="16"/>
  </w:num>
  <w:num w:numId="9" w16cid:durableId="1693993010">
    <w:abstractNumId w:val="11"/>
  </w:num>
  <w:num w:numId="10" w16cid:durableId="756638953">
    <w:abstractNumId w:val="15"/>
  </w:num>
  <w:num w:numId="11" w16cid:durableId="1511916912">
    <w:abstractNumId w:val="12"/>
  </w:num>
  <w:num w:numId="12" w16cid:durableId="1733693583">
    <w:abstractNumId w:val="0"/>
  </w:num>
  <w:num w:numId="13" w16cid:durableId="2044207265">
    <w:abstractNumId w:val="5"/>
  </w:num>
  <w:num w:numId="14" w16cid:durableId="1715882887">
    <w:abstractNumId w:val="19"/>
  </w:num>
  <w:num w:numId="15" w16cid:durableId="368184482">
    <w:abstractNumId w:val="14"/>
  </w:num>
  <w:num w:numId="16" w16cid:durableId="986013926">
    <w:abstractNumId w:val="6"/>
  </w:num>
  <w:num w:numId="17" w16cid:durableId="173233579">
    <w:abstractNumId w:val="13"/>
  </w:num>
  <w:num w:numId="18" w16cid:durableId="1762485312">
    <w:abstractNumId w:val="22"/>
  </w:num>
  <w:num w:numId="19" w16cid:durableId="390540605">
    <w:abstractNumId w:val="21"/>
  </w:num>
  <w:num w:numId="20" w16cid:durableId="1630667266">
    <w:abstractNumId w:val="1"/>
  </w:num>
  <w:num w:numId="21" w16cid:durableId="686448761">
    <w:abstractNumId w:val="4"/>
  </w:num>
  <w:num w:numId="22" w16cid:durableId="1933010044">
    <w:abstractNumId w:val="7"/>
  </w:num>
  <w:num w:numId="23" w16cid:durableId="1621455384">
    <w:abstractNumId w:val="3"/>
  </w:num>
  <w:num w:numId="24" w16cid:durableId="1864779819">
    <w:abstractNumId w:val="20"/>
  </w:num>
  <w:num w:numId="25" w16cid:durableId="11690623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5660"/>
    <w:rsid w:val="000063E0"/>
    <w:rsid w:val="0001083E"/>
    <w:rsid w:val="000134D5"/>
    <w:rsid w:val="00016F78"/>
    <w:rsid w:val="00030B1D"/>
    <w:rsid w:val="000353BD"/>
    <w:rsid w:val="000401ED"/>
    <w:rsid w:val="000468A1"/>
    <w:rsid w:val="00046945"/>
    <w:rsid w:val="00061B2A"/>
    <w:rsid w:val="000711CF"/>
    <w:rsid w:val="00076D52"/>
    <w:rsid w:val="00080B1D"/>
    <w:rsid w:val="00082362"/>
    <w:rsid w:val="00085031"/>
    <w:rsid w:val="000866ED"/>
    <w:rsid w:val="00087566"/>
    <w:rsid w:val="0009079C"/>
    <w:rsid w:val="000A1514"/>
    <w:rsid w:val="000A1642"/>
    <w:rsid w:val="000A66E5"/>
    <w:rsid w:val="000A683E"/>
    <w:rsid w:val="000B0D04"/>
    <w:rsid w:val="000B0FAA"/>
    <w:rsid w:val="000B19B9"/>
    <w:rsid w:val="000B27F0"/>
    <w:rsid w:val="000C013D"/>
    <w:rsid w:val="000C5A9E"/>
    <w:rsid w:val="000D0334"/>
    <w:rsid w:val="000D1DC8"/>
    <w:rsid w:val="000D4734"/>
    <w:rsid w:val="000D5DA7"/>
    <w:rsid w:val="000E6E2C"/>
    <w:rsid w:val="000F01E9"/>
    <w:rsid w:val="000F078F"/>
    <w:rsid w:val="000F3444"/>
    <w:rsid w:val="000F3E03"/>
    <w:rsid w:val="000F512E"/>
    <w:rsid w:val="000F6486"/>
    <w:rsid w:val="000F7FD4"/>
    <w:rsid w:val="00105C57"/>
    <w:rsid w:val="00105E1D"/>
    <w:rsid w:val="001161CA"/>
    <w:rsid w:val="001168F2"/>
    <w:rsid w:val="00116940"/>
    <w:rsid w:val="00125105"/>
    <w:rsid w:val="001257BD"/>
    <w:rsid w:val="00127233"/>
    <w:rsid w:val="001328F3"/>
    <w:rsid w:val="00134724"/>
    <w:rsid w:val="001428DC"/>
    <w:rsid w:val="00145E55"/>
    <w:rsid w:val="00151D59"/>
    <w:rsid w:val="001521B3"/>
    <w:rsid w:val="0015699B"/>
    <w:rsid w:val="00165609"/>
    <w:rsid w:val="00171640"/>
    <w:rsid w:val="00174D6E"/>
    <w:rsid w:val="00180954"/>
    <w:rsid w:val="0018679F"/>
    <w:rsid w:val="0019045D"/>
    <w:rsid w:val="00192805"/>
    <w:rsid w:val="0019787F"/>
    <w:rsid w:val="001A33BF"/>
    <w:rsid w:val="001A35A7"/>
    <w:rsid w:val="001A5968"/>
    <w:rsid w:val="001B24C7"/>
    <w:rsid w:val="001B49B3"/>
    <w:rsid w:val="001C1EB2"/>
    <w:rsid w:val="001C5AE4"/>
    <w:rsid w:val="001C61B3"/>
    <w:rsid w:val="001D02CC"/>
    <w:rsid w:val="001D16E0"/>
    <w:rsid w:val="001D64AE"/>
    <w:rsid w:val="001E2E05"/>
    <w:rsid w:val="001E4177"/>
    <w:rsid w:val="001F07E0"/>
    <w:rsid w:val="001F0B24"/>
    <w:rsid w:val="001F5903"/>
    <w:rsid w:val="001F5DD0"/>
    <w:rsid w:val="001F7DC6"/>
    <w:rsid w:val="002022E0"/>
    <w:rsid w:val="00207466"/>
    <w:rsid w:val="00211A12"/>
    <w:rsid w:val="00211E12"/>
    <w:rsid w:val="00212AD1"/>
    <w:rsid w:val="00216E4C"/>
    <w:rsid w:val="00217FCA"/>
    <w:rsid w:val="002209DE"/>
    <w:rsid w:val="0022400B"/>
    <w:rsid w:val="0023515D"/>
    <w:rsid w:val="002421BB"/>
    <w:rsid w:val="00242F3E"/>
    <w:rsid w:val="00253436"/>
    <w:rsid w:val="002543AD"/>
    <w:rsid w:val="0025796E"/>
    <w:rsid w:val="0026018C"/>
    <w:rsid w:val="00261EDF"/>
    <w:rsid w:val="0026324D"/>
    <w:rsid w:val="00265065"/>
    <w:rsid w:val="0026579C"/>
    <w:rsid w:val="002707A2"/>
    <w:rsid w:val="00275482"/>
    <w:rsid w:val="00277C07"/>
    <w:rsid w:val="0028778F"/>
    <w:rsid w:val="00291AD4"/>
    <w:rsid w:val="00294ADE"/>
    <w:rsid w:val="002951A0"/>
    <w:rsid w:val="002962BC"/>
    <w:rsid w:val="002975A4"/>
    <w:rsid w:val="002A093D"/>
    <w:rsid w:val="002A0DD0"/>
    <w:rsid w:val="002A49AC"/>
    <w:rsid w:val="002A64FD"/>
    <w:rsid w:val="002B730F"/>
    <w:rsid w:val="002C7A84"/>
    <w:rsid w:val="002E05EF"/>
    <w:rsid w:val="002E2BF8"/>
    <w:rsid w:val="002E4FD9"/>
    <w:rsid w:val="002F0847"/>
    <w:rsid w:val="002F2B42"/>
    <w:rsid w:val="0030657A"/>
    <w:rsid w:val="00311FF5"/>
    <w:rsid w:val="003136DC"/>
    <w:rsid w:val="003156BF"/>
    <w:rsid w:val="00316053"/>
    <w:rsid w:val="00322A85"/>
    <w:rsid w:val="00322C00"/>
    <w:rsid w:val="00322D77"/>
    <w:rsid w:val="00324168"/>
    <w:rsid w:val="00330834"/>
    <w:rsid w:val="003332A8"/>
    <w:rsid w:val="003448F4"/>
    <w:rsid w:val="003475FC"/>
    <w:rsid w:val="00351F93"/>
    <w:rsid w:val="0037228E"/>
    <w:rsid w:val="00374F5E"/>
    <w:rsid w:val="003769E1"/>
    <w:rsid w:val="00377E3E"/>
    <w:rsid w:val="00381BAB"/>
    <w:rsid w:val="003878B3"/>
    <w:rsid w:val="003A26B0"/>
    <w:rsid w:val="003A779E"/>
    <w:rsid w:val="003B0DFC"/>
    <w:rsid w:val="003C0ED7"/>
    <w:rsid w:val="003D0F4D"/>
    <w:rsid w:val="003D3FF4"/>
    <w:rsid w:val="003D494E"/>
    <w:rsid w:val="003D5B0D"/>
    <w:rsid w:val="003E0499"/>
    <w:rsid w:val="003E4915"/>
    <w:rsid w:val="003E4C37"/>
    <w:rsid w:val="003E4F80"/>
    <w:rsid w:val="003E6439"/>
    <w:rsid w:val="003F18C5"/>
    <w:rsid w:val="003F1FD8"/>
    <w:rsid w:val="003F3941"/>
    <w:rsid w:val="00403388"/>
    <w:rsid w:val="00403EFA"/>
    <w:rsid w:val="0040494E"/>
    <w:rsid w:val="00406575"/>
    <w:rsid w:val="004140B3"/>
    <w:rsid w:val="00414C74"/>
    <w:rsid w:val="00416706"/>
    <w:rsid w:val="0042722E"/>
    <w:rsid w:val="0044528D"/>
    <w:rsid w:val="00451137"/>
    <w:rsid w:val="00452650"/>
    <w:rsid w:val="004555EA"/>
    <w:rsid w:val="0045785F"/>
    <w:rsid w:val="00464ACB"/>
    <w:rsid w:val="00466E39"/>
    <w:rsid w:val="004768AE"/>
    <w:rsid w:val="00484E40"/>
    <w:rsid w:val="0048787A"/>
    <w:rsid w:val="00492A06"/>
    <w:rsid w:val="00492C4A"/>
    <w:rsid w:val="00494F04"/>
    <w:rsid w:val="004A0841"/>
    <w:rsid w:val="004A0A0B"/>
    <w:rsid w:val="004A0E5C"/>
    <w:rsid w:val="004A1847"/>
    <w:rsid w:val="004A305D"/>
    <w:rsid w:val="004B3DAC"/>
    <w:rsid w:val="004B5C63"/>
    <w:rsid w:val="004B73B9"/>
    <w:rsid w:val="004C0DBB"/>
    <w:rsid w:val="004D2B6F"/>
    <w:rsid w:val="004E2B92"/>
    <w:rsid w:val="004F21C4"/>
    <w:rsid w:val="004F685F"/>
    <w:rsid w:val="005000A1"/>
    <w:rsid w:val="00503361"/>
    <w:rsid w:val="005054DE"/>
    <w:rsid w:val="005062AF"/>
    <w:rsid w:val="00513BF7"/>
    <w:rsid w:val="00515A4E"/>
    <w:rsid w:val="00515F6A"/>
    <w:rsid w:val="00517955"/>
    <w:rsid w:val="005229DB"/>
    <w:rsid w:val="00524422"/>
    <w:rsid w:val="00534886"/>
    <w:rsid w:val="005365D9"/>
    <w:rsid w:val="00536A0E"/>
    <w:rsid w:val="0055262A"/>
    <w:rsid w:val="00553040"/>
    <w:rsid w:val="005566E8"/>
    <w:rsid w:val="00560892"/>
    <w:rsid w:val="005648EC"/>
    <w:rsid w:val="00570B00"/>
    <w:rsid w:val="00572622"/>
    <w:rsid w:val="00573280"/>
    <w:rsid w:val="005746D5"/>
    <w:rsid w:val="00574867"/>
    <w:rsid w:val="00591460"/>
    <w:rsid w:val="00592C94"/>
    <w:rsid w:val="005A2CAB"/>
    <w:rsid w:val="005A4AF9"/>
    <w:rsid w:val="005A5114"/>
    <w:rsid w:val="005A52A7"/>
    <w:rsid w:val="005A57A5"/>
    <w:rsid w:val="005A65E0"/>
    <w:rsid w:val="005C0881"/>
    <w:rsid w:val="005C3777"/>
    <w:rsid w:val="005C5CDC"/>
    <w:rsid w:val="005D2566"/>
    <w:rsid w:val="005D476C"/>
    <w:rsid w:val="005D7628"/>
    <w:rsid w:val="005F20A4"/>
    <w:rsid w:val="00600D92"/>
    <w:rsid w:val="00603C5B"/>
    <w:rsid w:val="00611CE6"/>
    <w:rsid w:val="006137E1"/>
    <w:rsid w:val="00615105"/>
    <w:rsid w:val="00617200"/>
    <w:rsid w:val="00617E91"/>
    <w:rsid w:val="006200BF"/>
    <w:rsid w:val="0062143E"/>
    <w:rsid w:val="006219F8"/>
    <w:rsid w:val="00624A89"/>
    <w:rsid w:val="00624EEC"/>
    <w:rsid w:val="006302F7"/>
    <w:rsid w:val="00640441"/>
    <w:rsid w:val="00646B9F"/>
    <w:rsid w:val="00646F24"/>
    <w:rsid w:val="006547C3"/>
    <w:rsid w:val="00660C46"/>
    <w:rsid w:val="00662087"/>
    <w:rsid w:val="00663A04"/>
    <w:rsid w:val="00665D70"/>
    <w:rsid w:val="00672499"/>
    <w:rsid w:val="00684F67"/>
    <w:rsid w:val="0068758B"/>
    <w:rsid w:val="006900D9"/>
    <w:rsid w:val="00696960"/>
    <w:rsid w:val="0069741A"/>
    <w:rsid w:val="006A2BE4"/>
    <w:rsid w:val="006A6BF4"/>
    <w:rsid w:val="006B4707"/>
    <w:rsid w:val="006C38A9"/>
    <w:rsid w:val="006D13BA"/>
    <w:rsid w:val="006D1D21"/>
    <w:rsid w:val="006D2B34"/>
    <w:rsid w:val="006D591D"/>
    <w:rsid w:val="006D64EE"/>
    <w:rsid w:val="006E3854"/>
    <w:rsid w:val="006F2238"/>
    <w:rsid w:val="006F4199"/>
    <w:rsid w:val="007009D7"/>
    <w:rsid w:val="007025D7"/>
    <w:rsid w:val="00706C16"/>
    <w:rsid w:val="0071557C"/>
    <w:rsid w:val="00720597"/>
    <w:rsid w:val="00722A5A"/>
    <w:rsid w:val="00723639"/>
    <w:rsid w:val="00731F30"/>
    <w:rsid w:val="00733C96"/>
    <w:rsid w:val="007340C3"/>
    <w:rsid w:val="007344B2"/>
    <w:rsid w:val="007345D5"/>
    <w:rsid w:val="0073510E"/>
    <w:rsid w:val="00741631"/>
    <w:rsid w:val="007458D3"/>
    <w:rsid w:val="00751DE8"/>
    <w:rsid w:val="0075235A"/>
    <w:rsid w:val="00752CDB"/>
    <w:rsid w:val="0075557D"/>
    <w:rsid w:val="00756841"/>
    <w:rsid w:val="007649AB"/>
    <w:rsid w:val="0076653D"/>
    <w:rsid w:val="00771AEF"/>
    <w:rsid w:val="00771D0C"/>
    <w:rsid w:val="00782ED2"/>
    <w:rsid w:val="007833AC"/>
    <w:rsid w:val="007853FB"/>
    <w:rsid w:val="00795086"/>
    <w:rsid w:val="007A037B"/>
    <w:rsid w:val="007A1830"/>
    <w:rsid w:val="007A2615"/>
    <w:rsid w:val="007B268C"/>
    <w:rsid w:val="007B7171"/>
    <w:rsid w:val="007C0C0F"/>
    <w:rsid w:val="007C3DC2"/>
    <w:rsid w:val="007C4353"/>
    <w:rsid w:val="007D3058"/>
    <w:rsid w:val="007D4B12"/>
    <w:rsid w:val="007E43AC"/>
    <w:rsid w:val="007E5497"/>
    <w:rsid w:val="00803584"/>
    <w:rsid w:val="00806F5F"/>
    <w:rsid w:val="008103F6"/>
    <w:rsid w:val="00820278"/>
    <w:rsid w:val="00820488"/>
    <w:rsid w:val="0082071A"/>
    <w:rsid w:val="008258C9"/>
    <w:rsid w:val="00830893"/>
    <w:rsid w:val="00833286"/>
    <w:rsid w:val="00836232"/>
    <w:rsid w:val="00841E29"/>
    <w:rsid w:val="008440A2"/>
    <w:rsid w:val="00844AE9"/>
    <w:rsid w:val="00845EF6"/>
    <w:rsid w:val="0085545E"/>
    <w:rsid w:val="00857CF9"/>
    <w:rsid w:val="00867E8A"/>
    <w:rsid w:val="00867F95"/>
    <w:rsid w:val="00871AAC"/>
    <w:rsid w:val="00875356"/>
    <w:rsid w:val="008753FD"/>
    <w:rsid w:val="00876B28"/>
    <w:rsid w:val="008843B6"/>
    <w:rsid w:val="00886410"/>
    <w:rsid w:val="00891928"/>
    <w:rsid w:val="00891A0E"/>
    <w:rsid w:val="008A2B6F"/>
    <w:rsid w:val="008A3BF4"/>
    <w:rsid w:val="008A446D"/>
    <w:rsid w:val="008B0D0F"/>
    <w:rsid w:val="008B25F1"/>
    <w:rsid w:val="008C11FD"/>
    <w:rsid w:val="008C4DD5"/>
    <w:rsid w:val="008C517A"/>
    <w:rsid w:val="008C6AE5"/>
    <w:rsid w:val="008C7B44"/>
    <w:rsid w:val="008D1660"/>
    <w:rsid w:val="008D180B"/>
    <w:rsid w:val="008D1C25"/>
    <w:rsid w:val="008D539F"/>
    <w:rsid w:val="008F0EA7"/>
    <w:rsid w:val="008F17DC"/>
    <w:rsid w:val="008F4334"/>
    <w:rsid w:val="008F553F"/>
    <w:rsid w:val="008F5838"/>
    <w:rsid w:val="008F6705"/>
    <w:rsid w:val="00901213"/>
    <w:rsid w:val="009026A9"/>
    <w:rsid w:val="009037F6"/>
    <w:rsid w:val="00904F32"/>
    <w:rsid w:val="0091143C"/>
    <w:rsid w:val="00917048"/>
    <w:rsid w:val="00920817"/>
    <w:rsid w:val="00922205"/>
    <w:rsid w:val="00923EEF"/>
    <w:rsid w:val="00933E3F"/>
    <w:rsid w:val="009378E3"/>
    <w:rsid w:val="009419F9"/>
    <w:rsid w:val="009450F4"/>
    <w:rsid w:val="0094710A"/>
    <w:rsid w:val="0094744A"/>
    <w:rsid w:val="009500D5"/>
    <w:rsid w:val="0095685E"/>
    <w:rsid w:val="00961B09"/>
    <w:rsid w:val="00963E12"/>
    <w:rsid w:val="00964321"/>
    <w:rsid w:val="00965334"/>
    <w:rsid w:val="0097093E"/>
    <w:rsid w:val="009722DE"/>
    <w:rsid w:val="00982C25"/>
    <w:rsid w:val="00984DB3"/>
    <w:rsid w:val="00992E19"/>
    <w:rsid w:val="00997AFF"/>
    <w:rsid w:val="009A0486"/>
    <w:rsid w:val="009A0DFA"/>
    <w:rsid w:val="009A3A4C"/>
    <w:rsid w:val="009B200B"/>
    <w:rsid w:val="009B28B9"/>
    <w:rsid w:val="009B2D26"/>
    <w:rsid w:val="009B4B7C"/>
    <w:rsid w:val="009C71FA"/>
    <w:rsid w:val="009C72E7"/>
    <w:rsid w:val="009C7F7E"/>
    <w:rsid w:val="009D10AE"/>
    <w:rsid w:val="009D23F2"/>
    <w:rsid w:val="009D3058"/>
    <w:rsid w:val="009E1F28"/>
    <w:rsid w:val="009E6924"/>
    <w:rsid w:val="009E7AED"/>
    <w:rsid w:val="009F3A13"/>
    <w:rsid w:val="009F4B67"/>
    <w:rsid w:val="009F7A6E"/>
    <w:rsid w:val="00A0334B"/>
    <w:rsid w:val="00A0526C"/>
    <w:rsid w:val="00A05BC5"/>
    <w:rsid w:val="00A06E95"/>
    <w:rsid w:val="00A076A6"/>
    <w:rsid w:val="00A122D3"/>
    <w:rsid w:val="00A14468"/>
    <w:rsid w:val="00A17F13"/>
    <w:rsid w:val="00A20739"/>
    <w:rsid w:val="00A23AF9"/>
    <w:rsid w:val="00A31A76"/>
    <w:rsid w:val="00A32D67"/>
    <w:rsid w:val="00A33C78"/>
    <w:rsid w:val="00A53338"/>
    <w:rsid w:val="00A53EB1"/>
    <w:rsid w:val="00A54DC9"/>
    <w:rsid w:val="00A61436"/>
    <w:rsid w:val="00A73F45"/>
    <w:rsid w:val="00A8776C"/>
    <w:rsid w:val="00AA1511"/>
    <w:rsid w:val="00AA1E47"/>
    <w:rsid w:val="00AB0ADB"/>
    <w:rsid w:val="00AB436E"/>
    <w:rsid w:val="00AD173A"/>
    <w:rsid w:val="00AD6FC3"/>
    <w:rsid w:val="00AD7D5F"/>
    <w:rsid w:val="00AE0641"/>
    <w:rsid w:val="00AE1F6E"/>
    <w:rsid w:val="00AE3513"/>
    <w:rsid w:val="00AE5023"/>
    <w:rsid w:val="00AE5DD2"/>
    <w:rsid w:val="00AF5A10"/>
    <w:rsid w:val="00B00C0E"/>
    <w:rsid w:val="00B01B1A"/>
    <w:rsid w:val="00B04DA1"/>
    <w:rsid w:val="00B107DB"/>
    <w:rsid w:val="00B11075"/>
    <w:rsid w:val="00B206B6"/>
    <w:rsid w:val="00B234CF"/>
    <w:rsid w:val="00B35656"/>
    <w:rsid w:val="00B35DDD"/>
    <w:rsid w:val="00B37EB5"/>
    <w:rsid w:val="00B44A47"/>
    <w:rsid w:val="00B54271"/>
    <w:rsid w:val="00B5550F"/>
    <w:rsid w:val="00B6149C"/>
    <w:rsid w:val="00B63FC5"/>
    <w:rsid w:val="00B64484"/>
    <w:rsid w:val="00B71FD5"/>
    <w:rsid w:val="00B72CD3"/>
    <w:rsid w:val="00B72FFF"/>
    <w:rsid w:val="00B74092"/>
    <w:rsid w:val="00B74CF7"/>
    <w:rsid w:val="00B759AB"/>
    <w:rsid w:val="00B95DAC"/>
    <w:rsid w:val="00BA2EB9"/>
    <w:rsid w:val="00BA4084"/>
    <w:rsid w:val="00BA703D"/>
    <w:rsid w:val="00BC330F"/>
    <w:rsid w:val="00BC3D36"/>
    <w:rsid w:val="00BC5D42"/>
    <w:rsid w:val="00BC70CB"/>
    <w:rsid w:val="00BD13AC"/>
    <w:rsid w:val="00BD54A6"/>
    <w:rsid w:val="00BD7F72"/>
    <w:rsid w:val="00BF056C"/>
    <w:rsid w:val="00BF112D"/>
    <w:rsid w:val="00BF3B66"/>
    <w:rsid w:val="00BF5C08"/>
    <w:rsid w:val="00BF7425"/>
    <w:rsid w:val="00C04FB3"/>
    <w:rsid w:val="00C11D8B"/>
    <w:rsid w:val="00C1215D"/>
    <w:rsid w:val="00C1350D"/>
    <w:rsid w:val="00C2359C"/>
    <w:rsid w:val="00C251B0"/>
    <w:rsid w:val="00C330EB"/>
    <w:rsid w:val="00C33F4F"/>
    <w:rsid w:val="00C4112A"/>
    <w:rsid w:val="00C419DF"/>
    <w:rsid w:val="00C45A56"/>
    <w:rsid w:val="00C50D69"/>
    <w:rsid w:val="00C5365C"/>
    <w:rsid w:val="00C619D4"/>
    <w:rsid w:val="00C61D93"/>
    <w:rsid w:val="00C738EE"/>
    <w:rsid w:val="00C7520B"/>
    <w:rsid w:val="00C754BE"/>
    <w:rsid w:val="00C76B1C"/>
    <w:rsid w:val="00C82667"/>
    <w:rsid w:val="00C90C96"/>
    <w:rsid w:val="00C925AC"/>
    <w:rsid w:val="00C94828"/>
    <w:rsid w:val="00C963BE"/>
    <w:rsid w:val="00C96B64"/>
    <w:rsid w:val="00CA2858"/>
    <w:rsid w:val="00CB02F1"/>
    <w:rsid w:val="00CB4CE6"/>
    <w:rsid w:val="00CB6357"/>
    <w:rsid w:val="00CB6FF3"/>
    <w:rsid w:val="00CC1B26"/>
    <w:rsid w:val="00CC2F6F"/>
    <w:rsid w:val="00CD47CD"/>
    <w:rsid w:val="00CD4C85"/>
    <w:rsid w:val="00CD4D52"/>
    <w:rsid w:val="00CD7FA1"/>
    <w:rsid w:val="00CE3C1C"/>
    <w:rsid w:val="00CE4026"/>
    <w:rsid w:val="00D05ED6"/>
    <w:rsid w:val="00D06146"/>
    <w:rsid w:val="00D0699E"/>
    <w:rsid w:val="00D1210B"/>
    <w:rsid w:val="00D222C0"/>
    <w:rsid w:val="00D22D2B"/>
    <w:rsid w:val="00D334DD"/>
    <w:rsid w:val="00D34EA3"/>
    <w:rsid w:val="00D361FD"/>
    <w:rsid w:val="00D423A2"/>
    <w:rsid w:val="00D44E26"/>
    <w:rsid w:val="00D51A5D"/>
    <w:rsid w:val="00D520D8"/>
    <w:rsid w:val="00D532D4"/>
    <w:rsid w:val="00D552A0"/>
    <w:rsid w:val="00D56F8A"/>
    <w:rsid w:val="00D62B9C"/>
    <w:rsid w:val="00D63AC2"/>
    <w:rsid w:val="00D64111"/>
    <w:rsid w:val="00D64AFC"/>
    <w:rsid w:val="00D72D0B"/>
    <w:rsid w:val="00D7383B"/>
    <w:rsid w:val="00D73DBD"/>
    <w:rsid w:val="00D7541C"/>
    <w:rsid w:val="00D76E7C"/>
    <w:rsid w:val="00D7788A"/>
    <w:rsid w:val="00D82A30"/>
    <w:rsid w:val="00D85F06"/>
    <w:rsid w:val="00D936A2"/>
    <w:rsid w:val="00DA1F04"/>
    <w:rsid w:val="00DA231B"/>
    <w:rsid w:val="00DB13F4"/>
    <w:rsid w:val="00DB55DA"/>
    <w:rsid w:val="00DB6DDE"/>
    <w:rsid w:val="00DC1EFB"/>
    <w:rsid w:val="00DC39FC"/>
    <w:rsid w:val="00DC7CCB"/>
    <w:rsid w:val="00DE0870"/>
    <w:rsid w:val="00DE18D0"/>
    <w:rsid w:val="00DE6EC3"/>
    <w:rsid w:val="00DE7692"/>
    <w:rsid w:val="00DF5254"/>
    <w:rsid w:val="00E02524"/>
    <w:rsid w:val="00E05E98"/>
    <w:rsid w:val="00E1159D"/>
    <w:rsid w:val="00E1449C"/>
    <w:rsid w:val="00E1451E"/>
    <w:rsid w:val="00E16408"/>
    <w:rsid w:val="00E20894"/>
    <w:rsid w:val="00E22DC2"/>
    <w:rsid w:val="00E23233"/>
    <w:rsid w:val="00E245AB"/>
    <w:rsid w:val="00E27341"/>
    <w:rsid w:val="00E2764C"/>
    <w:rsid w:val="00E27EDD"/>
    <w:rsid w:val="00E27F2E"/>
    <w:rsid w:val="00E306D6"/>
    <w:rsid w:val="00E31225"/>
    <w:rsid w:val="00E501E7"/>
    <w:rsid w:val="00E50AFE"/>
    <w:rsid w:val="00E523D5"/>
    <w:rsid w:val="00E57176"/>
    <w:rsid w:val="00E577E2"/>
    <w:rsid w:val="00E615C4"/>
    <w:rsid w:val="00E71E1B"/>
    <w:rsid w:val="00E75C92"/>
    <w:rsid w:val="00E771DC"/>
    <w:rsid w:val="00E8772A"/>
    <w:rsid w:val="00E90C80"/>
    <w:rsid w:val="00E90F6B"/>
    <w:rsid w:val="00E91AED"/>
    <w:rsid w:val="00E92C27"/>
    <w:rsid w:val="00E96B5C"/>
    <w:rsid w:val="00EA0E3D"/>
    <w:rsid w:val="00EA0EC9"/>
    <w:rsid w:val="00EA0FBD"/>
    <w:rsid w:val="00EA2DC0"/>
    <w:rsid w:val="00EA426C"/>
    <w:rsid w:val="00EA677F"/>
    <w:rsid w:val="00EB224C"/>
    <w:rsid w:val="00EB7BC0"/>
    <w:rsid w:val="00EC006D"/>
    <w:rsid w:val="00EC0844"/>
    <w:rsid w:val="00EC297F"/>
    <w:rsid w:val="00EC38A7"/>
    <w:rsid w:val="00ED44D6"/>
    <w:rsid w:val="00ED4980"/>
    <w:rsid w:val="00ED5120"/>
    <w:rsid w:val="00EE0E1C"/>
    <w:rsid w:val="00EE1AA8"/>
    <w:rsid w:val="00EE265D"/>
    <w:rsid w:val="00EE3D99"/>
    <w:rsid w:val="00EF1D4F"/>
    <w:rsid w:val="00EF4E4B"/>
    <w:rsid w:val="00EF4E7D"/>
    <w:rsid w:val="00EF5E13"/>
    <w:rsid w:val="00EF647F"/>
    <w:rsid w:val="00F03314"/>
    <w:rsid w:val="00F0580C"/>
    <w:rsid w:val="00F23FEA"/>
    <w:rsid w:val="00F27B7B"/>
    <w:rsid w:val="00F3172F"/>
    <w:rsid w:val="00F31EDC"/>
    <w:rsid w:val="00F34294"/>
    <w:rsid w:val="00F3642F"/>
    <w:rsid w:val="00F462B3"/>
    <w:rsid w:val="00F5664F"/>
    <w:rsid w:val="00F602E0"/>
    <w:rsid w:val="00F666C4"/>
    <w:rsid w:val="00F76AFC"/>
    <w:rsid w:val="00F81BF0"/>
    <w:rsid w:val="00F825DA"/>
    <w:rsid w:val="00F82E88"/>
    <w:rsid w:val="00F85CEC"/>
    <w:rsid w:val="00F86E11"/>
    <w:rsid w:val="00F86E3E"/>
    <w:rsid w:val="00F95C74"/>
    <w:rsid w:val="00FA1B40"/>
    <w:rsid w:val="00FA47C0"/>
    <w:rsid w:val="00FA5FFD"/>
    <w:rsid w:val="00FB33A2"/>
    <w:rsid w:val="00FB5DD1"/>
    <w:rsid w:val="00FC2B5D"/>
    <w:rsid w:val="00FD1DDC"/>
    <w:rsid w:val="00FD2D1F"/>
    <w:rsid w:val="00FD3AD2"/>
    <w:rsid w:val="00FD4AD8"/>
    <w:rsid w:val="00FD59D3"/>
    <w:rsid w:val="00FF1449"/>
    <w:rsid w:val="00FF227D"/>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8568B41-9065-4DE9-BFEA-A2F366019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08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DB13F4"/>
    <w:rPr>
      <w:color w:val="605E5C"/>
      <w:shd w:val="clear" w:color="auto" w:fill="E1DFDD"/>
    </w:rPr>
  </w:style>
  <w:style w:type="paragraph" w:styleId="Textoindependiente">
    <w:name w:val="Body Text"/>
    <w:basedOn w:val="Normal"/>
    <w:link w:val="TextoindependienteCar"/>
    <w:uiPriority w:val="1"/>
    <w:unhideWhenUsed/>
    <w:qFormat/>
    <w:rsid w:val="00B234CF"/>
    <w:pPr>
      <w:spacing w:after="120"/>
    </w:pPr>
  </w:style>
  <w:style w:type="character" w:customStyle="1" w:styleId="TextoindependienteCar">
    <w:name w:val="Texto independiente Car"/>
    <w:basedOn w:val="Fuentedeprrafopredeter"/>
    <w:link w:val="Textoindependiente"/>
    <w:uiPriority w:val="1"/>
    <w:rsid w:val="00B234CF"/>
  </w:style>
  <w:style w:type="character" w:styleId="Mencinsinresolver">
    <w:name w:val="Unresolved Mention"/>
    <w:basedOn w:val="Fuentedeprrafopredeter"/>
    <w:uiPriority w:val="99"/>
    <w:semiHidden/>
    <w:unhideWhenUsed/>
    <w:rsid w:val="00BF112D"/>
    <w:rPr>
      <w:color w:val="605E5C"/>
      <w:shd w:val="clear" w:color="auto" w:fill="E1DFDD"/>
    </w:rPr>
  </w:style>
  <w:style w:type="character" w:customStyle="1" w:styleId="s15">
    <w:name w:val="s15"/>
    <w:basedOn w:val="Fuentedeprrafopredeter"/>
    <w:rsid w:val="00922205"/>
  </w:style>
  <w:style w:type="character" w:customStyle="1" w:styleId="NormalWebCar">
    <w:name w:val="Normal (Web) Car"/>
    <w:link w:val="NormalWeb"/>
    <w:uiPriority w:val="99"/>
    <w:rsid w:val="003D3FF4"/>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40">
      <w:bodyDiv w:val="1"/>
      <w:marLeft w:val="0"/>
      <w:marRight w:val="0"/>
      <w:marTop w:val="0"/>
      <w:marBottom w:val="0"/>
      <w:divBdr>
        <w:top w:val="none" w:sz="0" w:space="0" w:color="auto"/>
        <w:left w:val="none" w:sz="0" w:space="0" w:color="auto"/>
        <w:bottom w:val="none" w:sz="0" w:space="0" w:color="auto"/>
        <w:right w:val="none" w:sz="0" w:space="0" w:color="auto"/>
      </w:divBdr>
      <w:divsChild>
        <w:div w:id="258880311">
          <w:marLeft w:val="0"/>
          <w:marRight w:val="0"/>
          <w:marTop w:val="0"/>
          <w:marBottom w:val="0"/>
          <w:divBdr>
            <w:top w:val="none" w:sz="0" w:space="0" w:color="auto"/>
            <w:left w:val="none" w:sz="0" w:space="0" w:color="auto"/>
            <w:bottom w:val="none" w:sz="0" w:space="0" w:color="auto"/>
            <w:right w:val="none" w:sz="0" w:space="0" w:color="auto"/>
          </w:divBdr>
          <w:divsChild>
            <w:div w:id="1294941058">
              <w:marLeft w:val="0"/>
              <w:marRight w:val="0"/>
              <w:marTop w:val="0"/>
              <w:marBottom w:val="0"/>
              <w:divBdr>
                <w:top w:val="none" w:sz="0" w:space="0" w:color="auto"/>
                <w:left w:val="none" w:sz="0" w:space="0" w:color="auto"/>
                <w:bottom w:val="none" w:sz="0" w:space="0" w:color="auto"/>
                <w:right w:val="none" w:sz="0" w:space="0" w:color="auto"/>
              </w:divBdr>
              <w:divsChild>
                <w:div w:id="337932334">
                  <w:marLeft w:val="0"/>
                  <w:marRight w:val="0"/>
                  <w:marTop w:val="0"/>
                  <w:marBottom w:val="0"/>
                  <w:divBdr>
                    <w:top w:val="none" w:sz="0" w:space="0" w:color="auto"/>
                    <w:left w:val="none" w:sz="0" w:space="0" w:color="auto"/>
                    <w:bottom w:val="none" w:sz="0" w:space="0" w:color="auto"/>
                    <w:right w:val="none" w:sz="0" w:space="0" w:color="auto"/>
                  </w:divBdr>
                  <w:divsChild>
                    <w:div w:id="90846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9191">
          <w:marLeft w:val="0"/>
          <w:marRight w:val="0"/>
          <w:marTop w:val="0"/>
          <w:marBottom w:val="0"/>
          <w:divBdr>
            <w:top w:val="none" w:sz="0" w:space="0" w:color="auto"/>
            <w:left w:val="none" w:sz="0" w:space="0" w:color="auto"/>
            <w:bottom w:val="none" w:sz="0" w:space="0" w:color="auto"/>
            <w:right w:val="none" w:sz="0" w:space="0" w:color="auto"/>
          </w:divBdr>
        </w:div>
      </w:divsChild>
    </w:div>
    <w:div w:id="10496905">
      <w:bodyDiv w:val="1"/>
      <w:marLeft w:val="0"/>
      <w:marRight w:val="0"/>
      <w:marTop w:val="0"/>
      <w:marBottom w:val="0"/>
      <w:divBdr>
        <w:top w:val="none" w:sz="0" w:space="0" w:color="auto"/>
        <w:left w:val="none" w:sz="0" w:space="0" w:color="auto"/>
        <w:bottom w:val="none" w:sz="0" w:space="0" w:color="auto"/>
        <w:right w:val="none" w:sz="0" w:space="0" w:color="auto"/>
      </w:divBdr>
    </w:div>
    <w:div w:id="298808619">
      <w:bodyDiv w:val="1"/>
      <w:marLeft w:val="0"/>
      <w:marRight w:val="0"/>
      <w:marTop w:val="0"/>
      <w:marBottom w:val="0"/>
      <w:divBdr>
        <w:top w:val="none" w:sz="0" w:space="0" w:color="auto"/>
        <w:left w:val="none" w:sz="0" w:space="0" w:color="auto"/>
        <w:bottom w:val="none" w:sz="0" w:space="0" w:color="auto"/>
        <w:right w:val="none" w:sz="0" w:space="0" w:color="auto"/>
      </w:divBdr>
    </w:div>
    <w:div w:id="474102498">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24190896">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842011055">
      <w:bodyDiv w:val="1"/>
      <w:marLeft w:val="0"/>
      <w:marRight w:val="0"/>
      <w:marTop w:val="0"/>
      <w:marBottom w:val="0"/>
      <w:divBdr>
        <w:top w:val="none" w:sz="0" w:space="0" w:color="auto"/>
        <w:left w:val="none" w:sz="0" w:space="0" w:color="auto"/>
        <w:bottom w:val="none" w:sz="0" w:space="0" w:color="auto"/>
        <w:right w:val="none" w:sz="0" w:space="0" w:color="auto"/>
      </w:divBdr>
    </w:div>
    <w:div w:id="91436534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1898738708">
      <w:bodyDiv w:val="1"/>
      <w:marLeft w:val="0"/>
      <w:marRight w:val="0"/>
      <w:marTop w:val="0"/>
      <w:marBottom w:val="0"/>
      <w:divBdr>
        <w:top w:val="none" w:sz="0" w:space="0" w:color="auto"/>
        <w:left w:val="none" w:sz="0" w:space="0" w:color="auto"/>
        <w:bottom w:val="none" w:sz="0" w:space="0" w:color="auto"/>
        <w:right w:val="none" w:sz="0" w:space="0" w:color="auto"/>
      </w:divBdr>
    </w:div>
    <w:div w:id="2127960310">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juancarlos.abogado.salazar@gmail.com"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orms.office.com/r/pPHyWVs2S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717AEECD-F7FA-4C5D-9002-6CF481A0E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C319D1-6F87-4601-A8E9-DF150CBA86FB}">
  <ds:schemaRefs>
    <ds:schemaRef ds:uri="http://schemas.openxmlformats.org/officeDocument/2006/bibliography"/>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20</Pages>
  <Words>6140</Words>
  <Characters>33774</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Ximena Ríos López</cp:lastModifiedBy>
  <cp:revision>53</cp:revision>
  <cp:lastPrinted>2023-01-10T21:18:00Z</cp:lastPrinted>
  <dcterms:created xsi:type="dcterms:W3CDTF">2026-07-15T18:08:00Z</dcterms:created>
  <dcterms:modified xsi:type="dcterms:W3CDTF">2026-08-05T19:32:00Z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