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808B" w14:textId="77777777" w:rsidR="00B932A5" w:rsidRDefault="00B932A5" w:rsidP="00B932A5">
      <w:pPr>
        <w:spacing w:after="0" w:line="240" w:lineRule="auto"/>
        <w:jc w:val="both"/>
        <w:rPr>
          <w:rFonts w:ascii="Verdana" w:hAnsi="Verdana"/>
          <w:b/>
          <w:bCs/>
          <w:sz w:val="20"/>
          <w:szCs w:val="20"/>
        </w:rPr>
      </w:pPr>
      <w:bookmarkStart w:id="0" w:name="_Hlk181166130"/>
      <w:bookmarkStart w:id="1" w:name="_Hlk143780582"/>
      <w:r w:rsidRPr="00F12BBC">
        <w:rPr>
          <w:rFonts w:ascii="Verdana" w:hAnsi="Verdana"/>
          <w:b/>
          <w:bCs/>
          <w:sz w:val="20"/>
          <w:szCs w:val="20"/>
        </w:rPr>
        <w:t>DONACIÓN – Concepto</w:t>
      </w:r>
    </w:p>
    <w:p w14:paraId="741701E6" w14:textId="77777777" w:rsidR="00B932A5" w:rsidRPr="007C2899" w:rsidRDefault="00B932A5" w:rsidP="00B932A5">
      <w:pPr>
        <w:spacing w:after="0" w:line="240" w:lineRule="auto"/>
        <w:jc w:val="both"/>
        <w:rPr>
          <w:rFonts w:ascii="Verdana" w:hAnsi="Verdana"/>
          <w:sz w:val="20"/>
          <w:szCs w:val="20"/>
        </w:rPr>
      </w:pPr>
    </w:p>
    <w:p w14:paraId="31B0D79B" w14:textId="77777777" w:rsidR="00B932A5" w:rsidRDefault="00B932A5" w:rsidP="00B932A5">
      <w:pPr>
        <w:autoSpaceDE w:val="0"/>
        <w:autoSpaceDN w:val="0"/>
        <w:adjustRightInd w:val="0"/>
        <w:spacing w:after="0" w:line="240" w:lineRule="auto"/>
        <w:jc w:val="both"/>
        <w:rPr>
          <w:rFonts w:ascii="Verdana" w:hAnsi="Verdana" w:cs="Arial"/>
          <w:sz w:val="20"/>
          <w:szCs w:val="20"/>
        </w:rPr>
      </w:pPr>
      <w:r w:rsidRPr="002E4877">
        <w:rPr>
          <w:rFonts w:ascii="Verdana" w:hAnsi="Verdana" w:cs="Arial"/>
          <w:sz w:val="20"/>
          <w:szCs w:val="20"/>
          <w:lang w:val="es-MX"/>
        </w:rPr>
        <w:t>De lo anterior se colige que la donación está tipificada en el Código Civil, en su artículo 1443, catalogándolo como un acto por el cual una persona transfiere, gratuita e irrevocablemente, una parte de sus bienes a otra persona que la acepta.  Sin embargo, como se observa, el Consejo de Estado critica su acepción, pues –más que un simple “acto”– la donación tiene la naturaleza contractual pues, aunque en la mayoría de los casos imponga obligaciones a una sola de las partes, surge del acuerdo de voluntades</w:t>
      </w:r>
      <w:r w:rsidRPr="007C2899">
        <w:rPr>
          <w:rFonts w:ascii="Verdana" w:hAnsi="Verdana" w:cs="Arial"/>
          <w:sz w:val="20"/>
          <w:szCs w:val="20"/>
        </w:rPr>
        <w:t xml:space="preserve">. </w:t>
      </w:r>
    </w:p>
    <w:p w14:paraId="684C234F" w14:textId="77777777" w:rsidR="00B932A5" w:rsidRDefault="00B932A5" w:rsidP="00B932A5">
      <w:pPr>
        <w:autoSpaceDE w:val="0"/>
        <w:autoSpaceDN w:val="0"/>
        <w:adjustRightInd w:val="0"/>
        <w:spacing w:after="0" w:line="240" w:lineRule="auto"/>
        <w:jc w:val="both"/>
        <w:rPr>
          <w:rFonts w:ascii="Verdana" w:hAnsi="Verdana" w:cs="Arial"/>
          <w:sz w:val="20"/>
          <w:szCs w:val="20"/>
        </w:rPr>
      </w:pPr>
    </w:p>
    <w:p w14:paraId="4BF36AE9" w14:textId="77777777" w:rsidR="00B932A5" w:rsidRPr="007C2899" w:rsidRDefault="00B932A5" w:rsidP="00B932A5">
      <w:pPr>
        <w:autoSpaceDE w:val="0"/>
        <w:autoSpaceDN w:val="0"/>
        <w:adjustRightInd w:val="0"/>
        <w:spacing w:after="0" w:line="240" w:lineRule="auto"/>
        <w:jc w:val="both"/>
        <w:rPr>
          <w:rFonts w:ascii="Verdana" w:hAnsi="Verdana" w:cs="Arial"/>
          <w:b/>
          <w:bCs/>
          <w:sz w:val="20"/>
          <w:szCs w:val="20"/>
        </w:rPr>
      </w:pPr>
      <w:r w:rsidRPr="00153952">
        <w:rPr>
          <w:rFonts w:ascii="Verdana" w:hAnsi="Verdana" w:cs="Arial"/>
          <w:b/>
          <w:bCs/>
          <w:sz w:val="20"/>
          <w:szCs w:val="20"/>
        </w:rPr>
        <w:t>FACULTAD DE CELEBRAR CONTRATO DE DONACIÓN ENTRE ENTIDADES ESTATALES - Desarrollo Jurisprudencial – No aplica prohibición del Artículo 355 Constitucional</w:t>
      </w:r>
      <w:r>
        <w:rPr>
          <w:rFonts w:ascii="Verdana" w:hAnsi="Verdana" w:cs="Arial"/>
          <w:b/>
          <w:bCs/>
          <w:sz w:val="20"/>
          <w:szCs w:val="20"/>
        </w:rPr>
        <w:t xml:space="preserve"> </w:t>
      </w:r>
    </w:p>
    <w:p w14:paraId="545944FC" w14:textId="77777777" w:rsidR="00B932A5" w:rsidRDefault="00B932A5" w:rsidP="00B932A5">
      <w:pPr>
        <w:spacing w:after="0" w:line="240" w:lineRule="auto"/>
        <w:jc w:val="both"/>
        <w:rPr>
          <w:rFonts w:ascii="Verdana" w:hAnsi="Verdana" w:cs="Arial"/>
          <w:sz w:val="20"/>
          <w:szCs w:val="20"/>
        </w:rPr>
      </w:pPr>
    </w:p>
    <w:p w14:paraId="7FB8574D" w14:textId="77777777" w:rsidR="00B932A5" w:rsidRPr="00153952" w:rsidRDefault="00B932A5" w:rsidP="00B932A5">
      <w:pPr>
        <w:jc w:val="both"/>
        <w:rPr>
          <w:rFonts w:ascii="Verdana" w:hAnsi="Verdana" w:cs="Arial"/>
          <w:sz w:val="20"/>
          <w:szCs w:val="20"/>
        </w:rPr>
      </w:pPr>
      <w:r>
        <w:rPr>
          <w:rFonts w:ascii="Verdana" w:hAnsi="Verdana" w:cs="Arial"/>
          <w:sz w:val="20"/>
          <w:szCs w:val="20"/>
        </w:rPr>
        <w:t xml:space="preserve">[…] </w:t>
      </w:r>
      <w:r w:rsidRPr="00153952">
        <w:rPr>
          <w:rFonts w:ascii="Verdana" w:hAnsi="Verdana" w:cs="Arial"/>
          <w:sz w:val="20"/>
          <w:szCs w:val="20"/>
        </w:rPr>
        <w:t>las entidades estatales se encuentran facultadas para celebrar contratos de donación a favor de entidades públicas, en virtud de la remisión que efectúa el Estatuto General de Contratación de la Administración Pública —particularmente en sus artículos 3, 13 y 32— a las disposiciones del derecho privado (civil y comercial), en aquellos aspectos en que resulten compatibles con régimen del EGCAP. Esta remisión permite acudir, cuando sea procedente, a figuras contractuales propias del derecho privado, como la donación, con fundamento en el principio de autonomía de la voluntad, siempre que se respeten los principios de la función administrativa y de la contratación estatal.</w:t>
      </w:r>
    </w:p>
    <w:p w14:paraId="5DFA2A6B" w14:textId="77777777" w:rsidR="00B932A5" w:rsidRPr="00153952" w:rsidRDefault="00B932A5" w:rsidP="00B932A5">
      <w:pPr>
        <w:jc w:val="both"/>
        <w:rPr>
          <w:rFonts w:ascii="Verdana" w:hAnsi="Verdana" w:cs="Arial"/>
          <w:sz w:val="20"/>
          <w:szCs w:val="20"/>
        </w:rPr>
      </w:pPr>
      <w:r w:rsidRPr="00153952">
        <w:rPr>
          <w:rFonts w:ascii="Verdana" w:hAnsi="Verdana" w:cs="Arial"/>
          <w:sz w:val="20"/>
          <w:szCs w:val="20"/>
        </w:rPr>
        <w:t>Lo anterior se justifica en que la proscripción de rango constitucional del artículo 355 que prohíbe expresamente las donaciones o auxilios a favor de personas de derecho privado, no extiende sus efectos cuando la calidad de la parte donataria es una entidad de derecho público. En ese sentido, como lo manifestó el Consejo de Estado en la Sentencia C-251 de 1996, “la Constitución Política no prohíbe expresamente las donaciones o auxilios a favor de entidades que integran las ramas u órganos del poder público, o por lo menos tal prohibición no puede deducirse de lo dispuesto en el artículo 355”.</w:t>
      </w:r>
    </w:p>
    <w:p w14:paraId="613A380A" w14:textId="77777777" w:rsidR="00B932A5" w:rsidRDefault="00B932A5" w:rsidP="00B932A5">
      <w:pPr>
        <w:spacing w:after="0"/>
        <w:jc w:val="both"/>
        <w:rPr>
          <w:rFonts w:ascii="Verdana" w:hAnsi="Verdana" w:cs="Arial"/>
          <w:sz w:val="20"/>
          <w:szCs w:val="20"/>
        </w:rPr>
      </w:pPr>
      <w:r w:rsidRPr="00153952">
        <w:rPr>
          <w:rFonts w:ascii="Verdana" w:hAnsi="Verdana" w:cs="Arial"/>
          <w:sz w:val="20"/>
          <w:szCs w:val="20"/>
        </w:rPr>
        <w:t>Incluso, en el Concepto 2482 del 11 de octubre de 2022, el Consejo de Estado concluyó que las donaciones efectuadas por una entidad estatal a favor de otras entidades que integran las ramas u órganos del poder público no solo son procedentes cuando se trate del cumplimiento de deberes constitucionales expresos, sino también cuando una entidad pública requiera un bien para el desarrollo de sus actividades y otra lo conserve en su patrimonio, pudiendo transferirlo a título gratuito sin afectar el ejercicio de sus funciones ni su objeto social.</w:t>
      </w:r>
      <w:r w:rsidRPr="007C2899">
        <w:rPr>
          <w:rFonts w:ascii="Verdana" w:hAnsi="Verdana" w:cs="Arial"/>
          <w:sz w:val="20"/>
          <w:szCs w:val="20"/>
        </w:rPr>
        <w:t xml:space="preserve"> </w:t>
      </w:r>
    </w:p>
    <w:p w14:paraId="1184CA6D" w14:textId="77777777" w:rsidR="00B932A5" w:rsidRDefault="00B932A5" w:rsidP="00B932A5">
      <w:pPr>
        <w:spacing w:after="0"/>
        <w:jc w:val="both"/>
        <w:rPr>
          <w:rFonts w:ascii="Verdana" w:hAnsi="Verdana" w:cs="Arial"/>
          <w:sz w:val="20"/>
          <w:szCs w:val="20"/>
        </w:rPr>
      </w:pPr>
    </w:p>
    <w:p w14:paraId="2E567591" w14:textId="77777777" w:rsidR="00B932A5" w:rsidRPr="00973F97" w:rsidRDefault="00B932A5" w:rsidP="00B932A5">
      <w:pPr>
        <w:spacing w:after="0" w:line="240" w:lineRule="auto"/>
        <w:jc w:val="both"/>
        <w:rPr>
          <w:rFonts w:ascii="Verdana" w:hAnsi="Verdana" w:cs="Arial"/>
          <w:b/>
          <w:bCs/>
          <w:sz w:val="20"/>
          <w:szCs w:val="20"/>
          <w:lang w:val="it-IT"/>
        </w:rPr>
      </w:pPr>
      <w:r w:rsidRPr="3B2C2CC7">
        <w:rPr>
          <w:rFonts w:ascii="Verdana" w:hAnsi="Verdana" w:cs="Arial"/>
          <w:b/>
          <w:bCs/>
          <w:sz w:val="20"/>
          <w:szCs w:val="20"/>
          <w:lang w:val="it-IT"/>
        </w:rPr>
        <w:t xml:space="preserve">CONTRATO ESTATAL – Criterio orgánico – Contrato Interadministrativo </w:t>
      </w:r>
    </w:p>
    <w:p w14:paraId="45E8F778" w14:textId="77777777" w:rsidR="00B932A5" w:rsidRPr="00973F97" w:rsidRDefault="00B932A5" w:rsidP="00B932A5">
      <w:pPr>
        <w:spacing w:after="0" w:line="240" w:lineRule="auto"/>
        <w:jc w:val="both"/>
        <w:rPr>
          <w:rFonts w:ascii="Verdana" w:hAnsi="Verdana" w:cs="Arial"/>
          <w:b/>
          <w:bCs/>
          <w:sz w:val="20"/>
          <w:szCs w:val="20"/>
          <w:lang w:val="it-IT"/>
        </w:rPr>
      </w:pPr>
    </w:p>
    <w:p w14:paraId="156A8E7D" w14:textId="77777777" w:rsidR="00B932A5" w:rsidRDefault="00B932A5" w:rsidP="00B932A5">
      <w:pPr>
        <w:spacing w:after="0"/>
        <w:jc w:val="both"/>
        <w:rPr>
          <w:rFonts w:ascii="Verdana" w:hAnsi="Verdana" w:cs="Arial"/>
          <w:sz w:val="20"/>
          <w:szCs w:val="20"/>
        </w:rPr>
      </w:pPr>
      <w:r w:rsidRPr="008E21E7">
        <w:rPr>
          <w:rFonts w:ascii="Verdana" w:hAnsi="Verdana" w:cs="Arial"/>
          <w:sz w:val="20"/>
          <w:szCs w:val="20"/>
        </w:rPr>
        <w:t xml:space="preserve">De acuerdo con lo expuesto, y en atención a que los sujetos intervinientes en el negocio jurídico son entidades públicas —es decir, hacen parte de la administración pública, según se señala en el texto de la consulta—, la tipología del contrato a celebrar </w:t>
      </w:r>
      <w:r w:rsidRPr="008E21E7">
        <w:rPr>
          <w:rFonts w:ascii="Verdana" w:hAnsi="Verdana" w:cs="Arial"/>
          <w:sz w:val="20"/>
          <w:szCs w:val="20"/>
        </w:rPr>
        <w:lastRenderedPageBreak/>
        <w:t>corresponde a un contrato interadministrativo de donación y el procedimiento dependerá de los resultados que arroje el análisis previo que realice la entidad estatal contratante.</w:t>
      </w:r>
    </w:p>
    <w:p w14:paraId="33E9075C" w14:textId="77777777" w:rsidR="00B932A5" w:rsidRDefault="00B932A5" w:rsidP="00B932A5">
      <w:pPr>
        <w:spacing w:after="0"/>
        <w:jc w:val="both"/>
        <w:rPr>
          <w:rFonts w:ascii="Verdana" w:hAnsi="Verdana" w:cs="Arial"/>
          <w:sz w:val="20"/>
          <w:szCs w:val="20"/>
        </w:rPr>
      </w:pPr>
    </w:p>
    <w:p w14:paraId="0DCC25DF" w14:textId="77777777" w:rsidR="00B932A5" w:rsidRDefault="00B932A5" w:rsidP="00B932A5">
      <w:pPr>
        <w:spacing w:after="0" w:line="240" w:lineRule="auto"/>
        <w:jc w:val="both"/>
        <w:rPr>
          <w:rFonts w:ascii="Verdana" w:hAnsi="Verdana" w:cs="Arial"/>
          <w:b/>
          <w:bCs/>
          <w:sz w:val="20"/>
          <w:szCs w:val="20"/>
        </w:rPr>
      </w:pPr>
      <w:r w:rsidRPr="007D39C9">
        <w:rPr>
          <w:rFonts w:ascii="Verdana" w:hAnsi="Verdana" w:cs="Arial"/>
          <w:b/>
          <w:bCs/>
          <w:sz w:val="20"/>
          <w:szCs w:val="20"/>
        </w:rPr>
        <w:t>PROCEDIMIENTOS DE SELECCIÓN – Selección Abreviada – Enajenación de Bienes a Título Gratuito Entre Entidades Estatales – Contratación Directa – Contratos Interadministrativos</w:t>
      </w:r>
    </w:p>
    <w:p w14:paraId="6BD5A07E" w14:textId="77777777" w:rsidR="00B932A5" w:rsidRDefault="00B932A5" w:rsidP="00B932A5">
      <w:pPr>
        <w:spacing w:after="0" w:line="240" w:lineRule="auto"/>
        <w:jc w:val="both"/>
        <w:rPr>
          <w:rFonts w:ascii="Verdana" w:hAnsi="Verdana" w:cs="Arial"/>
          <w:b/>
          <w:bCs/>
          <w:sz w:val="20"/>
          <w:szCs w:val="20"/>
        </w:rPr>
      </w:pPr>
    </w:p>
    <w:p w14:paraId="7D7B02B9" w14:textId="77777777" w:rsidR="00B932A5" w:rsidRDefault="00B932A5" w:rsidP="00B932A5">
      <w:pPr>
        <w:spacing w:after="0" w:line="240" w:lineRule="auto"/>
        <w:jc w:val="both"/>
        <w:rPr>
          <w:rFonts w:ascii="Verdana" w:hAnsi="Verdana" w:cs="Arial"/>
          <w:sz w:val="20"/>
          <w:szCs w:val="20"/>
        </w:rPr>
      </w:pPr>
      <w:r w:rsidRPr="00FD6508">
        <w:rPr>
          <w:rFonts w:ascii="Verdana" w:hAnsi="Verdana" w:cs="Arial"/>
          <w:sz w:val="20"/>
          <w:szCs w:val="20"/>
        </w:rPr>
        <w:t>Dicho esto, abordando el objeto de su consulta, en el marco jurídico actual, las entidades estatales tienen la facultad de efectuar donación de bienes de su propiedad mediante dos procedimientos de selección y su elección dependerá de las particularidades del negocio jurídico:</w:t>
      </w:r>
    </w:p>
    <w:p w14:paraId="73246445" w14:textId="77777777" w:rsidR="00B932A5" w:rsidRPr="00FD6508" w:rsidRDefault="00B932A5" w:rsidP="00B932A5">
      <w:pPr>
        <w:spacing w:after="0" w:line="240" w:lineRule="auto"/>
        <w:jc w:val="both"/>
        <w:rPr>
          <w:rFonts w:ascii="Verdana" w:hAnsi="Verdana" w:cs="Arial"/>
          <w:sz w:val="20"/>
          <w:szCs w:val="20"/>
        </w:rPr>
      </w:pPr>
    </w:p>
    <w:p w14:paraId="5627AF04" w14:textId="77777777" w:rsidR="00B932A5" w:rsidRDefault="00B932A5" w:rsidP="00B932A5">
      <w:pPr>
        <w:spacing w:after="0" w:line="240" w:lineRule="auto"/>
        <w:jc w:val="both"/>
        <w:rPr>
          <w:rFonts w:ascii="Verdana" w:hAnsi="Verdana" w:cs="Arial"/>
          <w:sz w:val="20"/>
          <w:szCs w:val="20"/>
        </w:rPr>
      </w:pPr>
      <w:r w:rsidRPr="00FD6508">
        <w:rPr>
          <w:rFonts w:ascii="Verdana" w:hAnsi="Verdana" w:cs="Arial"/>
          <w:sz w:val="20"/>
          <w:szCs w:val="20"/>
        </w:rPr>
        <w:t>El primero: i) mediante la modalidad de selección abreviada, por configurarse la causal contenida en el artículo 2.2 literal e) cuando se pretenda la enajenación de bienes del Estado, con excepción de aquellos a que se refiere la Ley 226 de 1995. Ahora bien, en consideración a que lo que se pretende es la celebración de un contrato entre entidades públicas, existe en el régimen general de contratación pública (EGCAP) un procedimiento especial para la enajenación a título gratuito entre entidades estatales, reglamentado por el artículo 2.2.1.2.2.4.3. del Decreto 1082 de 2015. En este procedimiento, la restricción para su uso se concreta en el tipo de bienes, por cuanto solo procede para aquellos que sean muebles. De manera que, si el bien identificado como objeto de donación tiene la característica de inmueble, no aplicaría ni la modalidad ni dicho procedimiento e, indefectiblemente, deberá adelantarse mediante otro procedimiento de selección.</w:t>
      </w:r>
    </w:p>
    <w:p w14:paraId="4B720159" w14:textId="77777777" w:rsidR="00B932A5" w:rsidRPr="00FD6508" w:rsidRDefault="00B932A5" w:rsidP="00B932A5">
      <w:pPr>
        <w:spacing w:after="0" w:line="240" w:lineRule="auto"/>
        <w:jc w:val="both"/>
        <w:rPr>
          <w:rFonts w:ascii="Verdana" w:hAnsi="Verdana" w:cs="Arial"/>
          <w:sz w:val="20"/>
          <w:szCs w:val="20"/>
        </w:rPr>
      </w:pPr>
    </w:p>
    <w:p w14:paraId="6FAA8573" w14:textId="77777777" w:rsidR="00B932A5" w:rsidRDefault="00B932A5" w:rsidP="00B932A5">
      <w:pPr>
        <w:spacing w:after="0" w:line="240" w:lineRule="auto"/>
        <w:jc w:val="both"/>
        <w:rPr>
          <w:rFonts w:ascii="Verdana" w:hAnsi="Verdana" w:cs="Arial"/>
          <w:sz w:val="20"/>
          <w:szCs w:val="20"/>
        </w:rPr>
      </w:pPr>
      <w:r w:rsidRPr="00FD6508">
        <w:rPr>
          <w:rFonts w:ascii="Verdana" w:hAnsi="Verdana" w:cs="Arial"/>
          <w:sz w:val="20"/>
          <w:szCs w:val="20"/>
        </w:rPr>
        <w:t xml:space="preserve">El segundo procedimiento es </w:t>
      </w:r>
      <w:proofErr w:type="spellStart"/>
      <w:r w:rsidRPr="00FD6508">
        <w:rPr>
          <w:rFonts w:ascii="Verdana" w:hAnsi="Verdana" w:cs="Arial"/>
          <w:sz w:val="20"/>
          <w:szCs w:val="20"/>
        </w:rPr>
        <w:t>ii</w:t>
      </w:r>
      <w:proofErr w:type="spellEnd"/>
      <w:r w:rsidRPr="00FD6508">
        <w:rPr>
          <w:rFonts w:ascii="Verdana" w:hAnsi="Verdana" w:cs="Arial"/>
          <w:sz w:val="20"/>
          <w:szCs w:val="20"/>
        </w:rPr>
        <w:t>) mediante la modalidad de contratación directa, cuando se configure la causal contenida en el artículo 2.4, literal c), de la Ley 1150 de 2007 que, en virtud de la calidad de los sujetos contratantes (entidades estatales), adquiere el carácter de contrato interadministrativo y, siempre que las obligaciones derivadas del mismo tengan relación directa con el objeto de la entidad ejecutora señalado en la ley o en sus reglamentos. Sin embargo, esto no significa que esta contratación esté exenta del cumplimiento de los principios de transparencia y selección objetiva que rigen la contratación pública. En la contratación directa la entidad también deberá realizar un análisis previo a la suscripción del contrato, en el que se verifique que el contratista cumple con lo requerido para satisfacer la necesidad contractual. En este contexto, en la causal de contratos interadministrativos es necesario que la entidad justifique las razones por las cuales se contratará directamente con la entidad estatal basada en criterios objetivos. De esta manera, la entidad estatal, además de verificar el cumplimiento de los requisitos señalados en el literal c) del numeral 4 del artículo 2 de la Ley 1150 de 2007, deberá constatar que la entidad con la cual se celebrará el contrato está en capacidad de recibir el bien donado, y demuestre la idoneidad para su uso y/o administración o buena destinación, que le permitan cumplir con los fines estatales a cargo.</w:t>
      </w:r>
    </w:p>
    <w:p w14:paraId="142F57E2" w14:textId="77777777" w:rsidR="00DC0A75" w:rsidRDefault="00DC0A75" w:rsidP="00B932A5">
      <w:pPr>
        <w:spacing w:after="0" w:line="240" w:lineRule="auto"/>
        <w:jc w:val="both"/>
        <w:rPr>
          <w:rFonts w:ascii="Verdana" w:hAnsi="Verdana" w:cs="Arial"/>
          <w:sz w:val="20"/>
          <w:szCs w:val="20"/>
        </w:rPr>
      </w:pPr>
    </w:p>
    <w:p w14:paraId="1BDCE5B7" w14:textId="77777777" w:rsidR="00DC0A75" w:rsidRPr="00FD6508" w:rsidRDefault="00DC0A75" w:rsidP="00B932A5">
      <w:pPr>
        <w:spacing w:after="0" w:line="240" w:lineRule="auto"/>
        <w:jc w:val="both"/>
        <w:rPr>
          <w:rFonts w:ascii="Verdana" w:hAnsi="Verdana" w:cs="Arial"/>
          <w:sz w:val="20"/>
          <w:szCs w:val="20"/>
        </w:rPr>
      </w:pPr>
    </w:p>
    <w:p w14:paraId="7BCE8FF9" w14:textId="77777777" w:rsidR="00B932A5" w:rsidRDefault="00B932A5" w:rsidP="00B932A5">
      <w:pPr>
        <w:spacing w:after="0" w:line="240" w:lineRule="auto"/>
        <w:jc w:val="both"/>
        <w:rPr>
          <w:rFonts w:ascii="Verdana" w:hAnsi="Verdana" w:cs="Arial"/>
          <w:b/>
          <w:bCs/>
          <w:sz w:val="20"/>
          <w:szCs w:val="20"/>
        </w:rPr>
      </w:pPr>
    </w:p>
    <w:p w14:paraId="3E7645C2" w14:textId="77777777" w:rsidR="00B932A5" w:rsidRDefault="00B932A5" w:rsidP="00B932A5">
      <w:pPr>
        <w:spacing w:after="0" w:line="240" w:lineRule="auto"/>
        <w:jc w:val="both"/>
        <w:rPr>
          <w:rFonts w:ascii="Verdana" w:hAnsi="Verdana" w:cs="Arial"/>
          <w:b/>
          <w:bCs/>
          <w:sz w:val="20"/>
          <w:szCs w:val="20"/>
        </w:rPr>
      </w:pPr>
      <w:r w:rsidRPr="00FD6508">
        <w:rPr>
          <w:rFonts w:ascii="Verdana" w:hAnsi="Verdana" w:cs="Arial"/>
          <w:b/>
          <w:bCs/>
          <w:sz w:val="20"/>
          <w:szCs w:val="20"/>
        </w:rPr>
        <w:lastRenderedPageBreak/>
        <w:t>ESTUDIOS PREVIOS – Obligatoriedad de la Entidad Estatal</w:t>
      </w:r>
    </w:p>
    <w:p w14:paraId="5A5EF885" w14:textId="77777777" w:rsidR="00B932A5" w:rsidRDefault="00B932A5" w:rsidP="00B932A5">
      <w:pPr>
        <w:spacing w:after="0" w:line="240" w:lineRule="auto"/>
        <w:jc w:val="both"/>
        <w:rPr>
          <w:rFonts w:ascii="Verdana" w:hAnsi="Verdana" w:cs="Arial"/>
          <w:b/>
          <w:bCs/>
          <w:sz w:val="20"/>
          <w:szCs w:val="20"/>
        </w:rPr>
      </w:pPr>
    </w:p>
    <w:p w14:paraId="0870E661" w14:textId="77777777" w:rsidR="00B932A5" w:rsidRPr="00D13EF3" w:rsidRDefault="00B932A5" w:rsidP="00B932A5">
      <w:pPr>
        <w:jc w:val="both"/>
        <w:rPr>
          <w:rFonts w:ascii="Verdana" w:hAnsi="Verdana" w:cs="Arial"/>
          <w:sz w:val="20"/>
          <w:szCs w:val="20"/>
        </w:rPr>
      </w:pPr>
      <w:r w:rsidRPr="00D13EF3">
        <w:rPr>
          <w:rFonts w:ascii="Verdana" w:hAnsi="Verdana" w:cs="Arial"/>
          <w:sz w:val="20"/>
          <w:szCs w:val="20"/>
        </w:rPr>
        <w:t>Con todo, para cualquiera de las dos opciones aquí planteadas, los procedimientos deben estar precedidos de estudios previos que permitan estructurar, concretar y viabilizar los aspectos esenciales del futuro contrato, dentro de los cuales se encuentran su objeto y valor estimado, la justificación de la modalidad de selección utilizada, entre otros elementos propios que enmarcan la necesidad y las particularidades del negocio jurídico.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w:t>
      </w:r>
    </w:p>
    <w:p w14:paraId="6E42C577" w14:textId="77777777" w:rsidR="00B932A5" w:rsidRPr="008E21E7" w:rsidRDefault="00B932A5" w:rsidP="00B932A5">
      <w:pPr>
        <w:jc w:val="both"/>
        <w:rPr>
          <w:rFonts w:ascii="Verdana" w:hAnsi="Verdana" w:cs="Arial"/>
          <w:sz w:val="20"/>
          <w:szCs w:val="20"/>
        </w:rPr>
      </w:pPr>
      <w:r w:rsidRPr="00D13EF3">
        <w:rPr>
          <w:rFonts w:ascii="Verdana" w:hAnsi="Verdana" w:cs="Arial"/>
          <w:sz w:val="20"/>
          <w:szCs w:val="20"/>
        </w:rPr>
        <w:t>En consecuencia, en los estudios la entidad deberá evaluar, entre otros temas, el costo de los bienes donados, los riesgos y las posibles erogaciones que deba hacer la entidad con ocasión de la donación e incluso, en el caso de bienes inmuebles, determinar las particularidades para la elaboración de la escritura pública ante notario, donde se especifique el bien inmueble objeto de la donación y las condiciones de la misma, y su inscripción en la Oficina de Registro de Instrumentos Públicos correspondiente al lugar donde se encuentra ubicado el inmueble. Finalmente, resulta vital consignar el beneficio que se obtendrá con la donación y la justificación de la elección del donatario, el beneficio para la entidad donataria con los bienes donados y su relación con los fines de la entidad, en observancia de lo previsto en el artículo 2.2.1.1.1.6.1 del Decreto 1082 de 2015.</w:t>
      </w:r>
    </w:p>
    <w:p w14:paraId="129E6935" w14:textId="77777777" w:rsidR="00B932A5" w:rsidRDefault="00B932A5" w:rsidP="00B932A5">
      <w:pPr>
        <w:spacing w:after="0" w:line="240" w:lineRule="auto"/>
        <w:rPr>
          <w:rFonts w:ascii="Verdana" w:eastAsia="Calibri" w:hAnsi="Verdana" w:cs="Arial"/>
          <w:b/>
          <w:bCs/>
          <w:color w:val="7030A0"/>
          <w:lang w:val="es-ES" w:eastAsia="es-ES"/>
        </w:rPr>
      </w:pPr>
    </w:p>
    <w:p w14:paraId="6236DD36" w14:textId="77777777" w:rsidR="00B932A5" w:rsidRDefault="00B932A5" w:rsidP="00B932A5">
      <w:pPr>
        <w:spacing w:after="0" w:line="240" w:lineRule="auto"/>
        <w:rPr>
          <w:rFonts w:ascii="Verdana" w:eastAsia="Calibri" w:hAnsi="Verdana" w:cs="Arial"/>
          <w:b/>
          <w:bCs/>
          <w:color w:val="7030A0"/>
          <w:lang w:val="es-ES" w:eastAsia="es-ES"/>
        </w:rPr>
      </w:pPr>
    </w:p>
    <w:p w14:paraId="6DD13AFA" w14:textId="77777777" w:rsidR="00B932A5" w:rsidRDefault="00B932A5" w:rsidP="00B932A5">
      <w:pPr>
        <w:spacing w:after="0" w:line="240" w:lineRule="auto"/>
        <w:rPr>
          <w:rFonts w:ascii="Verdana" w:eastAsia="Calibri" w:hAnsi="Verdana" w:cs="Arial"/>
          <w:b/>
          <w:bCs/>
          <w:color w:val="7030A0"/>
          <w:lang w:val="es-ES" w:eastAsia="es-ES"/>
        </w:rPr>
      </w:pPr>
    </w:p>
    <w:p w14:paraId="0ED08B46" w14:textId="77777777" w:rsidR="00B932A5" w:rsidRDefault="00B932A5" w:rsidP="00B932A5">
      <w:pPr>
        <w:spacing w:after="0" w:line="240" w:lineRule="auto"/>
        <w:rPr>
          <w:rFonts w:ascii="Verdana" w:eastAsia="Calibri" w:hAnsi="Verdana" w:cs="Arial"/>
          <w:b/>
          <w:bCs/>
          <w:color w:val="7030A0"/>
          <w:lang w:val="es-ES" w:eastAsia="es-ES"/>
        </w:rPr>
      </w:pPr>
    </w:p>
    <w:p w14:paraId="717BB90B" w14:textId="77777777" w:rsidR="00B932A5" w:rsidRDefault="00B932A5" w:rsidP="00B932A5">
      <w:pPr>
        <w:spacing w:after="0" w:line="240" w:lineRule="auto"/>
        <w:rPr>
          <w:rFonts w:ascii="Verdana" w:eastAsia="Calibri" w:hAnsi="Verdana" w:cs="Arial"/>
          <w:b/>
          <w:bCs/>
          <w:color w:val="7030A0"/>
          <w:lang w:val="es-ES" w:eastAsia="es-ES"/>
        </w:rPr>
      </w:pPr>
    </w:p>
    <w:p w14:paraId="3276D92D" w14:textId="77777777" w:rsidR="00B932A5" w:rsidRDefault="00B932A5" w:rsidP="00B932A5">
      <w:pPr>
        <w:spacing w:after="0" w:line="240" w:lineRule="auto"/>
        <w:rPr>
          <w:rFonts w:ascii="Verdana" w:eastAsia="Calibri" w:hAnsi="Verdana" w:cs="Arial"/>
          <w:b/>
          <w:bCs/>
          <w:color w:val="7030A0"/>
          <w:lang w:val="es-ES" w:eastAsia="es-ES"/>
        </w:rPr>
      </w:pPr>
    </w:p>
    <w:p w14:paraId="147668B2" w14:textId="77777777" w:rsidR="00B932A5" w:rsidRDefault="00B932A5" w:rsidP="00B932A5">
      <w:pPr>
        <w:spacing w:after="0" w:line="240" w:lineRule="auto"/>
        <w:rPr>
          <w:rFonts w:ascii="Verdana" w:eastAsia="Calibri" w:hAnsi="Verdana" w:cs="Arial"/>
          <w:b/>
          <w:bCs/>
          <w:color w:val="7030A0"/>
          <w:lang w:val="es-ES" w:eastAsia="es-ES"/>
        </w:rPr>
      </w:pPr>
    </w:p>
    <w:p w14:paraId="1D9B23DF" w14:textId="77777777" w:rsidR="00B932A5" w:rsidRDefault="00B932A5" w:rsidP="00B932A5">
      <w:pPr>
        <w:spacing w:after="0" w:line="240" w:lineRule="auto"/>
        <w:rPr>
          <w:rFonts w:ascii="Verdana" w:eastAsia="Calibri" w:hAnsi="Verdana" w:cs="Arial"/>
          <w:b/>
          <w:bCs/>
          <w:color w:val="7030A0"/>
          <w:lang w:val="es-ES" w:eastAsia="es-ES"/>
        </w:rPr>
      </w:pPr>
    </w:p>
    <w:p w14:paraId="63BBE61F" w14:textId="77777777" w:rsidR="00B932A5" w:rsidRDefault="00B932A5" w:rsidP="00B932A5">
      <w:pPr>
        <w:spacing w:after="0" w:line="240" w:lineRule="auto"/>
        <w:rPr>
          <w:rFonts w:ascii="Verdana" w:eastAsia="Calibri" w:hAnsi="Verdana" w:cs="Arial"/>
          <w:b/>
          <w:bCs/>
          <w:color w:val="7030A0"/>
          <w:lang w:val="es-ES" w:eastAsia="es-ES"/>
        </w:rPr>
      </w:pPr>
    </w:p>
    <w:p w14:paraId="3A78115F" w14:textId="77777777" w:rsidR="00B932A5" w:rsidRDefault="00B932A5" w:rsidP="00B932A5">
      <w:pPr>
        <w:spacing w:after="0" w:line="240" w:lineRule="auto"/>
        <w:jc w:val="both"/>
        <w:rPr>
          <w:rFonts w:ascii="Verdana" w:eastAsia="Aptos" w:hAnsi="Verdana" w:cs="Times New Roman"/>
          <w:sz w:val="20"/>
          <w:szCs w:val="20"/>
        </w:rPr>
      </w:pPr>
    </w:p>
    <w:p w14:paraId="2B3F48BF" w14:textId="77777777" w:rsidR="00B932A5" w:rsidRDefault="00B932A5" w:rsidP="00B932A5">
      <w:pPr>
        <w:spacing w:after="0" w:line="240" w:lineRule="auto"/>
        <w:jc w:val="both"/>
        <w:rPr>
          <w:rFonts w:ascii="Verdana" w:eastAsia="Aptos" w:hAnsi="Verdana" w:cs="Times New Roman"/>
          <w:sz w:val="20"/>
          <w:szCs w:val="20"/>
        </w:rPr>
      </w:pPr>
    </w:p>
    <w:p w14:paraId="35D69C0E" w14:textId="77777777" w:rsidR="00B932A5" w:rsidRDefault="00B932A5" w:rsidP="00B932A5">
      <w:pPr>
        <w:spacing w:after="0" w:line="240" w:lineRule="auto"/>
        <w:jc w:val="both"/>
        <w:rPr>
          <w:rFonts w:ascii="Verdana" w:eastAsia="Aptos" w:hAnsi="Verdana" w:cs="Times New Roman"/>
          <w:sz w:val="20"/>
          <w:szCs w:val="20"/>
        </w:rPr>
      </w:pPr>
    </w:p>
    <w:p w14:paraId="052DA8AB" w14:textId="77777777" w:rsidR="00B932A5" w:rsidRDefault="00B932A5" w:rsidP="00B932A5">
      <w:pPr>
        <w:spacing w:after="0" w:line="240" w:lineRule="auto"/>
        <w:jc w:val="both"/>
        <w:rPr>
          <w:rFonts w:ascii="Verdana" w:eastAsia="Aptos" w:hAnsi="Verdana" w:cs="Times New Roman"/>
          <w:sz w:val="20"/>
          <w:szCs w:val="20"/>
        </w:rPr>
      </w:pPr>
    </w:p>
    <w:p w14:paraId="43AC6AF5" w14:textId="77777777" w:rsidR="00B932A5" w:rsidRDefault="00B932A5" w:rsidP="00B932A5">
      <w:pPr>
        <w:spacing w:after="0" w:line="240" w:lineRule="auto"/>
        <w:jc w:val="both"/>
        <w:rPr>
          <w:rFonts w:ascii="Verdana" w:eastAsia="Aptos" w:hAnsi="Verdana" w:cs="Times New Roman"/>
          <w:sz w:val="20"/>
          <w:szCs w:val="20"/>
        </w:rPr>
      </w:pPr>
    </w:p>
    <w:p w14:paraId="489013BE" w14:textId="77777777" w:rsidR="00B932A5" w:rsidRDefault="00B932A5" w:rsidP="00B932A5">
      <w:pPr>
        <w:spacing w:after="0" w:line="240" w:lineRule="auto"/>
        <w:jc w:val="both"/>
        <w:rPr>
          <w:rFonts w:ascii="Verdana" w:eastAsia="Aptos" w:hAnsi="Verdana" w:cs="Times New Roman"/>
          <w:sz w:val="20"/>
          <w:szCs w:val="20"/>
        </w:rPr>
      </w:pPr>
    </w:p>
    <w:p w14:paraId="5A523896" w14:textId="77777777" w:rsidR="00B932A5" w:rsidRDefault="00B932A5" w:rsidP="00B932A5">
      <w:pPr>
        <w:spacing w:after="0"/>
        <w:rPr>
          <w:rFonts w:ascii="Verdana" w:hAnsi="Verdana"/>
        </w:rPr>
      </w:pPr>
      <w:bookmarkStart w:id="2" w:name="_Hlk201915455"/>
    </w:p>
    <w:p w14:paraId="1F51C728" w14:textId="77777777" w:rsidR="00B932A5" w:rsidRDefault="00B932A5" w:rsidP="00B932A5">
      <w:pPr>
        <w:spacing w:after="0"/>
        <w:rPr>
          <w:rFonts w:ascii="Verdana" w:hAnsi="Verdana"/>
        </w:rPr>
      </w:pPr>
    </w:p>
    <w:p w14:paraId="1F521C41" w14:textId="77777777" w:rsidR="00B932A5" w:rsidRDefault="00B932A5" w:rsidP="00B932A5">
      <w:pPr>
        <w:spacing w:after="0"/>
        <w:rPr>
          <w:rFonts w:ascii="Verdana" w:hAnsi="Verdana"/>
        </w:rPr>
      </w:pPr>
    </w:p>
    <w:p w14:paraId="2C12B179" w14:textId="77777777" w:rsidR="00B932A5" w:rsidRDefault="00B932A5" w:rsidP="00B932A5">
      <w:pPr>
        <w:spacing w:after="0"/>
        <w:rPr>
          <w:rFonts w:ascii="Verdana" w:hAnsi="Verdana"/>
        </w:rPr>
      </w:pPr>
    </w:p>
    <w:p w14:paraId="4C4E7C34" w14:textId="3CAF6760" w:rsidR="00B932A5" w:rsidRPr="00702A60" w:rsidRDefault="00B932A5" w:rsidP="00B932A5">
      <w:pPr>
        <w:spacing w:after="0" w:line="240" w:lineRule="auto"/>
        <w:rPr>
          <w:rFonts w:ascii="Verdana" w:eastAsia="Calibri" w:hAnsi="Verdana" w:cs="Arial"/>
          <w:lang w:val="pt-BR" w:eastAsia="es-ES"/>
        </w:rPr>
      </w:pPr>
      <w:r w:rsidRPr="00702A60">
        <w:rPr>
          <w:rFonts w:ascii="Verdana" w:hAnsi="Verdana"/>
          <w:lang w:val="pt-BR"/>
        </w:rPr>
        <w:lastRenderedPageBreak/>
        <w:t xml:space="preserve">Bogotá D.C., </w:t>
      </w:r>
      <w:bookmarkStart w:id="3" w:name="_Hlk180638295"/>
      <w:bookmarkStart w:id="4" w:name="_Hlk181166167"/>
      <w:bookmarkEnd w:id="0"/>
      <w:r w:rsidR="00DC0A75">
        <w:rPr>
          <w:rFonts w:ascii="Verdana" w:hAnsi="Verdana"/>
        </w:rPr>
        <w:t>4 agosto 2026</w:t>
      </w:r>
    </w:p>
    <w:p w14:paraId="79FFA3D7" w14:textId="77777777" w:rsidR="00B932A5" w:rsidRPr="00702A60" w:rsidRDefault="00B932A5" w:rsidP="00B932A5">
      <w:pPr>
        <w:spacing w:after="0" w:line="240" w:lineRule="auto"/>
        <w:jc w:val="both"/>
        <w:rPr>
          <w:rFonts w:ascii="Verdana" w:eastAsia="Calibri" w:hAnsi="Verdana" w:cs="Arial"/>
          <w:lang w:val="pt-BR" w:eastAsia="es-ES"/>
        </w:rPr>
      </w:pPr>
    </w:p>
    <w:p w14:paraId="5F3D6C3C" w14:textId="77777777" w:rsidR="00B932A5" w:rsidRPr="00260CC9" w:rsidRDefault="00B932A5" w:rsidP="00B932A5">
      <w:pPr>
        <w:spacing w:after="0" w:line="240" w:lineRule="auto"/>
        <w:jc w:val="right"/>
        <w:rPr>
          <w:rFonts w:ascii="Verdana" w:eastAsia="Calibri" w:hAnsi="Verdana" w:cs="Arial"/>
          <w:lang w:eastAsia="es-ES"/>
        </w:rPr>
      </w:pPr>
    </w:p>
    <w:p w14:paraId="526E20D3" w14:textId="69054771" w:rsidR="00B932A5" w:rsidRPr="00260CC9" w:rsidRDefault="00B932A5" w:rsidP="00B932A5">
      <w:pPr>
        <w:spacing w:after="0" w:line="240" w:lineRule="auto"/>
        <w:jc w:val="both"/>
        <w:rPr>
          <w:rFonts w:ascii="Verdana" w:eastAsia="Calibri" w:hAnsi="Verdana" w:cs="Arial"/>
          <w:lang w:eastAsia="es-ES"/>
        </w:rPr>
      </w:pPr>
      <w:r w:rsidRPr="00260CC9">
        <w:rPr>
          <w:rFonts w:ascii="Verdana" w:eastAsia="Calibri" w:hAnsi="Verdana" w:cs="Arial"/>
          <w:lang w:eastAsia="es-ES"/>
        </w:rPr>
        <w:t>Señor</w:t>
      </w:r>
      <w:r w:rsidRPr="00260CC9">
        <w:rPr>
          <w:rFonts w:ascii="Verdana" w:eastAsia="Calibri" w:hAnsi="Verdana" w:cs="Arial"/>
          <w:lang w:eastAsia="es-ES"/>
        </w:rPr>
        <w:tab/>
      </w:r>
    </w:p>
    <w:p w14:paraId="65EE0F20" w14:textId="33927850" w:rsidR="00B932A5" w:rsidRDefault="00AE08FD" w:rsidP="00B932A5">
      <w:pPr>
        <w:spacing w:after="0" w:line="240" w:lineRule="auto"/>
        <w:rPr>
          <w:rFonts w:ascii="Verdana" w:eastAsia="Calibri" w:hAnsi="Verdana" w:cs="Arial"/>
          <w:b/>
          <w:bCs/>
          <w:lang w:eastAsia="es-ES"/>
        </w:rPr>
      </w:pPr>
      <w:r w:rsidRPr="00AE08FD">
        <w:rPr>
          <w:noProof/>
        </w:rPr>
        <w:drawing>
          <wp:anchor distT="0" distB="0" distL="114300" distR="114300" simplePos="0" relativeHeight="251658240" behindDoc="1" locked="0" layoutInCell="1" allowOverlap="1" wp14:anchorId="2C224FAB" wp14:editId="0AE7EFAC">
            <wp:simplePos x="0" y="0"/>
            <wp:positionH relativeFrom="margin">
              <wp:posOffset>3024505</wp:posOffset>
            </wp:positionH>
            <wp:positionV relativeFrom="paragraph">
              <wp:posOffset>5715</wp:posOffset>
            </wp:positionV>
            <wp:extent cx="2735580" cy="758825"/>
            <wp:effectExtent l="0" t="0" r="7620" b="3175"/>
            <wp:wrapTight wrapText="bothSides">
              <wp:wrapPolygon edited="0">
                <wp:start x="0" y="0"/>
                <wp:lineTo x="0" y="21148"/>
                <wp:lineTo x="21510" y="21148"/>
                <wp:lineTo x="21510" y="0"/>
                <wp:lineTo x="0" y="0"/>
              </wp:wrapPolygon>
            </wp:wrapTight>
            <wp:docPr id="1501380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5580" cy="75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2A5">
        <w:rPr>
          <w:rFonts w:ascii="Verdana" w:eastAsia="Calibri" w:hAnsi="Verdana" w:cs="Arial"/>
          <w:b/>
          <w:bCs/>
          <w:lang w:eastAsia="es-ES"/>
        </w:rPr>
        <w:t>Elkin Fernando Diaz Oviedo</w:t>
      </w:r>
    </w:p>
    <w:p w14:paraId="78C71B9C" w14:textId="64194A71" w:rsidR="00B932A5" w:rsidRPr="00EB30B0" w:rsidRDefault="00B932A5" w:rsidP="00B932A5">
      <w:pPr>
        <w:spacing w:after="0" w:line="240" w:lineRule="auto"/>
        <w:rPr>
          <w:rFonts w:ascii="Verdana" w:eastAsia="Calibri" w:hAnsi="Verdana" w:cs="Arial"/>
          <w:lang w:eastAsia="es-ES"/>
        </w:rPr>
      </w:pPr>
      <w:r w:rsidRPr="00EB30B0">
        <w:rPr>
          <w:rFonts w:ascii="Verdana" w:eastAsia="Calibri" w:hAnsi="Verdana" w:cs="Arial"/>
          <w:lang w:eastAsia="es-ES"/>
        </w:rPr>
        <w:t>Secretario General</w:t>
      </w:r>
    </w:p>
    <w:p w14:paraId="097B1979" w14:textId="3600B8F1" w:rsidR="00B932A5" w:rsidRPr="00EB30B0" w:rsidRDefault="00B932A5" w:rsidP="00B932A5">
      <w:pPr>
        <w:spacing w:after="0" w:line="240" w:lineRule="auto"/>
        <w:rPr>
          <w:rFonts w:ascii="Verdana" w:eastAsia="Calibri" w:hAnsi="Verdana" w:cs="Arial"/>
          <w:lang w:eastAsia="es-ES"/>
        </w:rPr>
      </w:pPr>
      <w:r w:rsidRPr="00EB30B0">
        <w:rPr>
          <w:rFonts w:ascii="Verdana" w:eastAsia="Calibri" w:hAnsi="Verdana" w:cs="Arial"/>
          <w:lang w:eastAsia="es-ES"/>
        </w:rPr>
        <w:t>Concejo Municipal</w:t>
      </w:r>
    </w:p>
    <w:p w14:paraId="528CFCB7" w14:textId="41995D06" w:rsidR="00B932A5" w:rsidRPr="00626ACF" w:rsidRDefault="00B932A5" w:rsidP="00B932A5">
      <w:pPr>
        <w:spacing w:after="0" w:line="240" w:lineRule="auto"/>
        <w:rPr>
          <w:rFonts w:ascii="Verdana" w:hAnsi="Verdana"/>
        </w:rPr>
      </w:pPr>
      <w:hyperlink r:id="rId8" w:history="1">
        <w:r w:rsidRPr="00626ACF">
          <w:rPr>
            <w:rStyle w:val="Hipervnculo"/>
            <w:rFonts w:ascii="Verdana" w:hAnsi="Verdana"/>
          </w:rPr>
          <w:t>concejo@sancarlos-cordoba.gov.co</w:t>
        </w:r>
      </w:hyperlink>
      <w:r w:rsidR="00AE08FD" w:rsidRPr="00AE08FD">
        <w:t xml:space="preserve"> </w:t>
      </w:r>
    </w:p>
    <w:p w14:paraId="05C7D672" w14:textId="77777777" w:rsidR="00B932A5" w:rsidRPr="00260CC9" w:rsidRDefault="00B932A5" w:rsidP="00B932A5">
      <w:pPr>
        <w:spacing w:after="0" w:line="240" w:lineRule="auto"/>
        <w:rPr>
          <w:rFonts w:ascii="Verdana" w:eastAsia="Calibri" w:hAnsi="Verdana" w:cs="Arial"/>
          <w:color w:val="000000"/>
          <w:lang w:val="es-ES_tradnl" w:eastAsia="es-ES_tradnl"/>
        </w:rPr>
      </w:pPr>
      <w:r>
        <w:rPr>
          <w:rFonts w:ascii="Verdana" w:eastAsia="Calibri" w:hAnsi="Verdana" w:cs="Arial"/>
          <w:color w:val="000000"/>
          <w:lang w:val="es-ES_tradnl" w:eastAsia="es-ES_tradnl"/>
        </w:rPr>
        <w:t>San Carlos, Córdoba</w:t>
      </w:r>
    </w:p>
    <w:p w14:paraId="5E7A7E59" w14:textId="77777777" w:rsidR="00B932A5" w:rsidRPr="00260CC9" w:rsidRDefault="00B932A5" w:rsidP="00B932A5">
      <w:pPr>
        <w:spacing w:after="0" w:line="240" w:lineRule="auto"/>
        <w:rPr>
          <w:rFonts w:ascii="Verdana" w:eastAsia="Calibri" w:hAnsi="Verdana" w:cs="Arial"/>
          <w:color w:val="000000"/>
          <w:lang w:val="es-ES_tradnl" w:eastAsia="es-ES_tradnl"/>
        </w:rPr>
      </w:pPr>
    </w:p>
    <w:p w14:paraId="1C4DF93F" w14:textId="77777777" w:rsidR="00B932A5" w:rsidRPr="00260CC9" w:rsidRDefault="00B932A5" w:rsidP="00B932A5">
      <w:pPr>
        <w:spacing w:after="0" w:line="240" w:lineRule="auto"/>
        <w:rPr>
          <w:rFonts w:ascii="Verdana" w:eastAsia="Calibri" w:hAnsi="Verdana" w:cs="Arial"/>
          <w:color w:val="000000"/>
          <w:lang w:val="es-ES_tradnl" w:eastAsia="es-ES_tradnl"/>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468"/>
        <w:gridCol w:w="336"/>
      </w:tblGrid>
      <w:tr w:rsidR="00B932A5" w:rsidRPr="00260CC9" w14:paraId="254E3A7E" w14:textId="77777777" w:rsidTr="00FD0DA0">
        <w:trPr>
          <w:trHeight w:val="300"/>
        </w:trPr>
        <w:tc>
          <w:tcPr>
            <w:tcW w:w="2410" w:type="dxa"/>
          </w:tcPr>
          <w:p w14:paraId="765FA25A" w14:textId="77777777" w:rsidR="00B932A5" w:rsidRPr="00260CC9" w:rsidRDefault="00B932A5" w:rsidP="00FD0DA0">
            <w:pPr>
              <w:jc w:val="both"/>
              <w:rPr>
                <w:rFonts w:ascii="Verdana" w:eastAsia="Calibri" w:hAnsi="Verdana" w:cs="Arial"/>
                <w:b/>
                <w:bCs/>
                <w:color w:val="7030A0"/>
                <w:lang w:val="es-ES_tradnl" w:eastAsia="es-ES_tradnl"/>
              </w:rPr>
            </w:pPr>
          </w:p>
        </w:tc>
        <w:tc>
          <w:tcPr>
            <w:tcW w:w="6804" w:type="dxa"/>
            <w:gridSpan w:val="2"/>
          </w:tcPr>
          <w:p w14:paraId="4DE446F0" w14:textId="77777777" w:rsidR="00B932A5" w:rsidRPr="00260CC9" w:rsidRDefault="00B932A5" w:rsidP="00FD0DA0">
            <w:pPr>
              <w:jc w:val="both"/>
              <w:rPr>
                <w:rFonts w:ascii="Verdana" w:eastAsia="Calibri" w:hAnsi="Verdana" w:cs="Arial"/>
                <w:b/>
                <w:bCs/>
                <w:lang w:val="es-ES" w:eastAsia="es-ES"/>
              </w:rPr>
            </w:pPr>
            <w:r w:rsidRPr="3B2C2CC7">
              <w:rPr>
                <w:rFonts w:ascii="Verdana" w:eastAsia="Calibri" w:hAnsi="Verdana" w:cs="Arial"/>
                <w:b/>
                <w:bCs/>
                <w:lang w:val="es-ES" w:eastAsia="es-ES"/>
              </w:rPr>
              <w:t xml:space="preserve">Concepto C- </w:t>
            </w:r>
            <w:r>
              <w:rPr>
                <w:rFonts w:ascii="Verdana" w:eastAsia="Calibri" w:hAnsi="Verdana" w:cs="Arial"/>
                <w:b/>
                <w:bCs/>
                <w:lang w:val="es-ES" w:eastAsia="es-ES"/>
              </w:rPr>
              <w:t>1011</w:t>
            </w:r>
            <w:r w:rsidRPr="3B2C2CC7">
              <w:rPr>
                <w:rFonts w:ascii="Verdana" w:eastAsia="Calibri" w:hAnsi="Verdana" w:cs="Arial"/>
                <w:b/>
                <w:bCs/>
                <w:lang w:val="es-ES" w:eastAsia="es-ES"/>
              </w:rPr>
              <w:t xml:space="preserve"> de 202</w:t>
            </w:r>
            <w:r>
              <w:rPr>
                <w:rFonts w:ascii="Verdana" w:eastAsia="Calibri" w:hAnsi="Verdana" w:cs="Arial"/>
                <w:b/>
                <w:bCs/>
                <w:lang w:val="es-ES" w:eastAsia="es-ES"/>
              </w:rPr>
              <w:t>6</w:t>
            </w:r>
          </w:p>
          <w:p w14:paraId="498242EC" w14:textId="77777777" w:rsidR="00B932A5" w:rsidRPr="00260CC9" w:rsidRDefault="00B932A5" w:rsidP="00FD0DA0">
            <w:pPr>
              <w:jc w:val="both"/>
              <w:rPr>
                <w:rFonts w:ascii="Verdana" w:eastAsia="Calibri" w:hAnsi="Verdana" w:cs="Arial"/>
                <w:b/>
                <w:bCs/>
                <w:color w:val="7030A0"/>
                <w:lang w:val="es-ES" w:eastAsia="es-ES"/>
              </w:rPr>
            </w:pPr>
          </w:p>
        </w:tc>
      </w:tr>
      <w:tr w:rsidR="00B932A5" w:rsidRPr="00260CC9" w14:paraId="63C109B1" w14:textId="77777777" w:rsidTr="00FD0DA0">
        <w:trPr>
          <w:trHeight w:val="884"/>
        </w:trPr>
        <w:tc>
          <w:tcPr>
            <w:tcW w:w="2410" w:type="dxa"/>
          </w:tcPr>
          <w:p w14:paraId="4526B6AF" w14:textId="77777777" w:rsidR="00B932A5" w:rsidRPr="00260CC9" w:rsidRDefault="00B932A5" w:rsidP="00FD0DA0">
            <w:pPr>
              <w:jc w:val="both"/>
              <w:rPr>
                <w:rFonts w:ascii="Verdana" w:eastAsia="Calibri" w:hAnsi="Verdana" w:cs="Arial"/>
                <w:color w:val="000000"/>
                <w:lang w:val="es-ES_tradnl" w:eastAsia="es-ES_tradnl"/>
              </w:rPr>
            </w:pPr>
            <w:r w:rsidRPr="00260CC9">
              <w:rPr>
                <w:rFonts w:ascii="Verdana" w:eastAsia="Calibri" w:hAnsi="Verdana" w:cs="Arial"/>
                <w:b/>
                <w:color w:val="000000"/>
                <w:lang w:val="es-ES_tradnl" w:eastAsia="es-ES_tradnl"/>
              </w:rPr>
              <w:t>Temas:</w:t>
            </w:r>
            <w:r w:rsidRPr="00260CC9">
              <w:rPr>
                <w:rFonts w:ascii="Verdana" w:eastAsia="Calibri" w:hAnsi="Verdana" w:cs="Arial"/>
                <w:color w:val="000000"/>
                <w:lang w:val="es-ES_tradnl" w:eastAsia="es-ES_tradnl"/>
              </w:rPr>
              <w:t xml:space="preserve">                   </w:t>
            </w:r>
          </w:p>
        </w:tc>
        <w:tc>
          <w:tcPr>
            <w:tcW w:w="6804" w:type="dxa"/>
            <w:gridSpan w:val="2"/>
          </w:tcPr>
          <w:p w14:paraId="793B3947" w14:textId="77777777" w:rsidR="00B932A5" w:rsidRPr="00260CC9" w:rsidRDefault="00B932A5" w:rsidP="00FD0DA0">
            <w:pPr>
              <w:jc w:val="both"/>
              <w:rPr>
                <w:rFonts w:ascii="Verdana" w:eastAsia="Calibri" w:hAnsi="Verdana" w:cs="Arial"/>
                <w:lang w:eastAsia="es-ES"/>
              </w:rPr>
            </w:pPr>
            <w:r w:rsidRPr="3B2C2CC7">
              <w:rPr>
                <w:rFonts w:ascii="Verdana" w:eastAsia="Calibri" w:hAnsi="Verdana" w:cs="Arial"/>
                <w:lang w:eastAsia="es-ES"/>
              </w:rPr>
              <w:t>DONACIÓN – Concepto / FACULTAD DE CELEBRAR CONTRATO DE DONACIÓN ENTRE ENTIDADES ESTATALES - Desarrollo Jurisprudencial – No aplica prohibición del Artículo 355 Constitucional / CONTRATO ESTATAL – Criterio orgánico – Contrato Interadministrativo / PROCEDIMIENTOS DE SELECCIÓN – Selección Abreviada – Enajenación de Bienes a Título Gratuito Entre Entidades Estatales – Contratación Directa – Contratos Interadministrativos / ESTUDIOS PREVIOS – Obligatoriedad de la Entidad Estatal.</w:t>
            </w:r>
          </w:p>
          <w:p w14:paraId="70115399" w14:textId="77777777" w:rsidR="00B932A5" w:rsidRPr="00260CC9" w:rsidRDefault="00B932A5" w:rsidP="00FD0DA0">
            <w:pPr>
              <w:jc w:val="both"/>
              <w:rPr>
                <w:rFonts w:ascii="Verdana" w:eastAsia="Calibri" w:hAnsi="Verdana" w:cs="Arial"/>
                <w:lang w:val="es-ES" w:eastAsia="es-ES"/>
              </w:rPr>
            </w:pPr>
          </w:p>
        </w:tc>
      </w:tr>
      <w:tr w:rsidR="00B932A5" w:rsidRPr="00260CC9" w14:paraId="3502B78F" w14:textId="77777777" w:rsidTr="00FD0DA0">
        <w:tc>
          <w:tcPr>
            <w:tcW w:w="2410" w:type="dxa"/>
          </w:tcPr>
          <w:p w14:paraId="7F9DC7E7" w14:textId="77777777" w:rsidR="00B932A5" w:rsidRPr="00260CC9" w:rsidRDefault="00B932A5" w:rsidP="00FD0DA0">
            <w:pPr>
              <w:jc w:val="both"/>
              <w:rPr>
                <w:rFonts w:ascii="Verdana" w:eastAsia="Calibri" w:hAnsi="Verdana" w:cs="Arial"/>
                <w:b/>
                <w:lang w:val="es-ES_tradnl" w:eastAsia="es-ES_tradnl"/>
              </w:rPr>
            </w:pPr>
            <w:r w:rsidRPr="00260CC9">
              <w:rPr>
                <w:rFonts w:ascii="Verdana" w:eastAsia="Calibri" w:hAnsi="Verdana" w:cs="Arial"/>
                <w:b/>
                <w:lang w:val="es-ES_tradnl" w:eastAsia="es-ES_tradnl"/>
              </w:rPr>
              <w:t>Radicación:</w:t>
            </w:r>
            <w:r w:rsidRPr="00260CC9">
              <w:rPr>
                <w:rFonts w:ascii="Verdana" w:eastAsia="Calibri" w:hAnsi="Verdana" w:cs="Arial"/>
                <w:lang w:val="es-ES_tradnl" w:eastAsia="es-ES_tradnl"/>
              </w:rPr>
              <w:t xml:space="preserve">               </w:t>
            </w:r>
          </w:p>
        </w:tc>
        <w:tc>
          <w:tcPr>
            <w:tcW w:w="6804" w:type="dxa"/>
            <w:gridSpan w:val="2"/>
          </w:tcPr>
          <w:p w14:paraId="630AEBBE" w14:textId="77777777" w:rsidR="00B932A5" w:rsidRPr="00260CC9" w:rsidRDefault="00B932A5" w:rsidP="00FD0DA0">
            <w:pPr>
              <w:jc w:val="both"/>
              <w:rPr>
                <w:rFonts w:ascii="Verdana" w:eastAsia="Calibri" w:hAnsi="Verdana" w:cs="Arial"/>
                <w:lang w:val="es-ES_tradnl" w:eastAsia="es-ES_tradnl"/>
              </w:rPr>
            </w:pPr>
            <w:r w:rsidRPr="00260CC9">
              <w:rPr>
                <w:rFonts w:ascii="Verdana" w:eastAsia="Calibri" w:hAnsi="Verdana" w:cs="Arial"/>
                <w:lang w:val="es-ES_tradnl" w:eastAsia="es-ES_tradnl"/>
              </w:rPr>
              <w:t xml:space="preserve">Respuesta a consulta con radicado No. </w:t>
            </w:r>
            <w:r w:rsidRPr="00881F84">
              <w:rPr>
                <w:rFonts w:ascii="Verdana" w:eastAsia="Calibri" w:hAnsi="Verdana" w:cs="Arial"/>
                <w:lang w:val="es-ES_tradnl" w:eastAsia="es-ES_tradnl"/>
              </w:rPr>
              <w:t>1_2026_06_23_008419</w:t>
            </w:r>
            <w:r w:rsidRPr="00260CC9">
              <w:rPr>
                <w:rFonts w:ascii="Verdana" w:eastAsia="Calibri" w:hAnsi="Verdana" w:cs="Arial"/>
                <w:lang w:val="es-ES_tradnl" w:eastAsia="es-ES_tradnl"/>
              </w:rPr>
              <w:t>.</w:t>
            </w:r>
          </w:p>
        </w:tc>
      </w:tr>
      <w:tr w:rsidR="00B932A5" w:rsidRPr="00531C97" w14:paraId="340CCC16" w14:textId="77777777" w:rsidTr="00FD0DA0">
        <w:trPr>
          <w:gridAfter w:val="1"/>
          <w:wAfter w:w="336" w:type="dxa"/>
          <w:trHeight w:val="233"/>
        </w:trPr>
        <w:tc>
          <w:tcPr>
            <w:tcW w:w="8878" w:type="dxa"/>
            <w:gridSpan w:val="2"/>
          </w:tcPr>
          <w:p w14:paraId="4448B321" w14:textId="77777777" w:rsidR="00B932A5" w:rsidRPr="00531C97" w:rsidRDefault="00B932A5" w:rsidP="00FD0DA0">
            <w:pPr>
              <w:spacing w:after="120" w:line="276" w:lineRule="auto"/>
              <w:jc w:val="both"/>
              <w:rPr>
                <w:rFonts w:ascii="Verdana" w:eastAsia="Calibri" w:hAnsi="Verdana" w:cs="Arial"/>
                <w:lang w:val="es-ES_tradnl" w:eastAsia="es-ES"/>
              </w:rPr>
            </w:pPr>
          </w:p>
        </w:tc>
      </w:tr>
    </w:tbl>
    <w:p w14:paraId="69FE2C53" w14:textId="77777777" w:rsidR="00B932A5" w:rsidRPr="006730E9" w:rsidRDefault="00B932A5" w:rsidP="00B932A5">
      <w:pPr>
        <w:spacing w:after="0" w:line="276" w:lineRule="auto"/>
        <w:jc w:val="both"/>
        <w:rPr>
          <w:rFonts w:ascii="Verdana" w:eastAsia="Calibri" w:hAnsi="Verdana" w:cs="Arial"/>
          <w:lang w:val="es-ES" w:eastAsia="es-ES"/>
        </w:rPr>
      </w:pPr>
      <w:r>
        <w:rPr>
          <w:rFonts w:ascii="Verdana" w:eastAsia="Calibri" w:hAnsi="Verdana" w:cs="Arial"/>
          <w:lang w:val="es-ES" w:eastAsia="es-ES"/>
        </w:rPr>
        <w:t>Respetado</w:t>
      </w:r>
      <w:r w:rsidRPr="00531C97">
        <w:rPr>
          <w:rFonts w:ascii="Verdana" w:eastAsia="Calibri" w:hAnsi="Verdana" w:cs="Arial"/>
          <w:lang w:val="es-ES" w:eastAsia="es-ES"/>
        </w:rPr>
        <w:t xml:space="preserve"> </w:t>
      </w:r>
      <w:r>
        <w:rPr>
          <w:rFonts w:ascii="Verdana" w:eastAsia="Calibri" w:hAnsi="Verdana" w:cs="Arial"/>
          <w:lang w:val="es-ES" w:eastAsia="es-ES"/>
        </w:rPr>
        <w:t>señor Diaz:</w:t>
      </w:r>
    </w:p>
    <w:bookmarkEnd w:id="2"/>
    <w:p w14:paraId="56F75F2B" w14:textId="77777777" w:rsidR="00B932A5" w:rsidRDefault="00B932A5" w:rsidP="00B932A5">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B0AC77D" w14:textId="77777777" w:rsidR="00B932A5" w:rsidRPr="006730E9" w:rsidRDefault="00B932A5" w:rsidP="00B932A5">
      <w:pPr>
        <w:spacing w:after="0" w:line="276" w:lineRule="auto"/>
        <w:jc w:val="both"/>
        <w:rPr>
          <w:rFonts w:ascii="Verdana" w:eastAsia="Calibri" w:hAnsi="Verdana" w:cs="Arial"/>
          <w:lang w:val="es-ES" w:eastAsia="es-ES"/>
        </w:rPr>
      </w:pPr>
      <w:r w:rsidRPr="006730E9">
        <w:rPr>
          <w:rFonts w:ascii="Verdana" w:eastAsia="Calibri" w:hAnsi="Verdana" w:cs="Arial"/>
          <w:lang w:val="es-ES" w:eastAsia="es-ES"/>
        </w:rPr>
        <w:t>En ejercicio de la competencia otorgada por los artículos 3, numeral 5º, y 11, numeral 8º, del Decreto Ley 4170 de 2011,</w:t>
      </w:r>
      <w:r w:rsidRPr="006730E9">
        <w:rPr>
          <w:rFonts w:ascii="Verdana" w:eastAsia="Arial MT" w:hAnsi="Verdana" w:cs="Arial MT"/>
          <w:lang w:val="es-ES" w:eastAsia="es-ES"/>
        </w:rPr>
        <w:t xml:space="preserve"> </w:t>
      </w:r>
      <w:r w:rsidRPr="006730E9">
        <w:rPr>
          <w:rFonts w:ascii="Verdana" w:hAnsi="Verdana" w:cs="Arial"/>
        </w:rPr>
        <w:t xml:space="preserve">así como lo establecido en el artículo 4 de la Resolución 1707 de 2018 expedida por esta Entidad, </w:t>
      </w:r>
      <w:r w:rsidRPr="006730E9">
        <w:rPr>
          <w:rFonts w:ascii="Verdana" w:eastAsia="Calibri" w:hAnsi="Verdana" w:cs="Arial"/>
          <w:lang w:val="es-ES" w:eastAsia="es-ES"/>
        </w:rPr>
        <w:t xml:space="preserve">la Agencia Nacional de Contratación Pública – Colombia Compra Eficiente– responde su solicitud </w:t>
      </w:r>
      <w:r>
        <w:rPr>
          <w:rFonts w:ascii="Verdana" w:eastAsia="Calibri" w:hAnsi="Verdana" w:cs="Arial"/>
          <w:lang w:val="es-ES" w:eastAsia="es-ES"/>
        </w:rPr>
        <w:t xml:space="preserve">radicada en esta entidad el 20 </w:t>
      </w:r>
      <w:r w:rsidRPr="00E5644F">
        <w:rPr>
          <w:rFonts w:ascii="Verdana" w:eastAsia="Calibri" w:hAnsi="Verdana" w:cs="Arial"/>
          <w:lang w:val="es-ES" w:eastAsia="es-ES"/>
        </w:rPr>
        <w:t xml:space="preserve">de </w:t>
      </w:r>
      <w:r>
        <w:rPr>
          <w:rFonts w:ascii="Verdana" w:eastAsia="Calibri" w:hAnsi="Verdana" w:cs="Arial"/>
          <w:lang w:val="es-ES" w:eastAsia="es-ES"/>
        </w:rPr>
        <w:t>junio</w:t>
      </w:r>
      <w:r w:rsidRPr="00E5644F">
        <w:rPr>
          <w:rFonts w:ascii="Verdana" w:eastAsia="Calibri" w:hAnsi="Verdana" w:cs="Arial"/>
          <w:lang w:val="es-ES" w:eastAsia="es-ES"/>
        </w:rPr>
        <w:t xml:space="preserve"> de</w:t>
      </w:r>
      <w:r>
        <w:rPr>
          <w:rFonts w:ascii="Verdana" w:eastAsia="Calibri" w:hAnsi="Verdana" w:cs="Arial"/>
          <w:lang w:val="es-ES" w:eastAsia="es-ES"/>
        </w:rPr>
        <w:t xml:space="preserve"> </w:t>
      </w:r>
      <w:r w:rsidRPr="00E5644F">
        <w:rPr>
          <w:rFonts w:ascii="Verdana" w:eastAsia="Calibri" w:hAnsi="Verdana" w:cs="Arial"/>
          <w:lang w:val="es-ES" w:eastAsia="es-ES"/>
        </w:rPr>
        <w:t>202</w:t>
      </w:r>
      <w:r>
        <w:rPr>
          <w:rFonts w:ascii="Verdana" w:eastAsia="Calibri" w:hAnsi="Verdana" w:cs="Arial"/>
          <w:lang w:val="es-ES" w:eastAsia="es-ES"/>
        </w:rPr>
        <w:t>5</w:t>
      </w:r>
      <w:r w:rsidRPr="00E5644F">
        <w:rPr>
          <w:rFonts w:ascii="Verdana" w:eastAsia="Calibri" w:hAnsi="Verdana" w:cs="Arial"/>
          <w:lang w:val="es-ES" w:eastAsia="es-ES"/>
        </w:rPr>
        <w:t>, en</w:t>
      </w:r>
      <w:r w:rsidRPr="006730E9">
        <w:rPr>
          <w:rFonts w:ascii="Verdana" w:eastAsia="Calibri" w:hAnsi="Verdana" w:cs="Arial"/>
          <w:lang w:val="es-ES" w:eastAsia="es-ES"/>
        </w:rPr>
        <w:t xml:space="preserve"> la cual manifiesta lo siguiente: </w:t>
      </w:r>
    </w:p>
    <w:p w14:paraId="17940292" w14:textId="77777777" w:rsidR="00B932A5" w:rsidRPr="00326382" w:rsidRDefault="00B932A5" w:rsidP="00B932A5">
      <w:pPr>
        <w:spacing w:after="0" w:line="276" w:lineRule="auto"/>
        <w:ind w:left="709" w:right="474"/>
        <w:jc w:val="both"/>
        <w:rPr>
          <w:rFonts w:ascii="Verdana" w:hAnsi="Verdana" w:cs="Arial"/>
          <w:sz w:val="20"/>
          <w:szCs w:val="20"/>
          <w:shd w:val="clear" w:color="auto" w:fill="FFFFFF"/>
        </w:rPr>
      </w:pPr>
      <w:bookmarkStart w:id="5" w:name="_Hlk95313578"/>
    </w:p>
    <w:p w14:paraId="24334DC4" w14:textId="77777777" w:rsidR="00B932A5" w:rsidRDefault="00B932A5" w:rsidP="00B932A5">
      <w:pPr>
        <w:tabs>
          <w:tab w:val="left" w:pos="142"/>
          <w:tab w:val="left" w:pos="567"/>
        </w:tabs>
        <w:spacing w:after="0" w:line="240" w:lineRule="auto"/>
        <w:ind w:left="709" w:right="709"/>
        <w:jc w:val="both"/>
        <w:rPr>
          <w:rFonts w:ascii="Verdana" w:eastAsia="Century Gothic" w:hAnsi="Verdana" w:cs="Century Gothic"/>
          <w:sz w:val="20"/>
          <w:szCs w:val="20"/>
        </w:rPr>
      </w:pPr>
      <w:bookmarkStart w:id="6" w:name="_Hlk201915538"/>
      <w:bookmarkEnd w:id="5"/>
      <w:r w:rsidRPr="3B2C2CC7">
        <w:rPr>
          <w:rFonts w:ascii="Verdana" w:eastAsia="Century Gothic" w:hAnsi="Verdana" w:cs="Century Gothic"/>
          <w:sz w:val="20"/>
          <w:szCs w:val="20"/>
        </w:rPr>
        <w:t>“</w:t>
      </w:r>
      <w:r>
        <w:rPr>
          <w:rFonts w:ascii="Verdana" w:eastAsia="Century Gothic" w:hAnsi="Verdana" w:cs="Century Gothic"/>
          <w:sz w:val="20"/>
          <w:szCs w:val="20"/>
        </w:rPr>
        <w:t xml:space="preserve">(...) 5. ¿Puede el Honorable Concejo Municipal autorizar al </w:t>
      </w:r>
      <w:proofErr w:type="gramStart"/>
      <w:r>
        <w:rPr>
          <w:rFonts w:ascii="Verdana" w:eastAsia="Century Gothic" w:hAnsi="Verdana" w:cs="Century Gothic"/>
          <w:sz w:val="20"/>
          <w:szCs w:val="20"/>
        </w:rPr>
        <w:t>Alcalde</w:t>
      </w:r>
      <w:proofErr w:type="gramEnd"/>
      <w:r>
        <w:rPr>
          <w:rFonts w:ascii="Verdana" w:eastAsia="Century Gothic" w:hAnsi="Verdana" w:cs="Century Gothic"/>
          <w:sz w:val="20"/>
          <w:szCs w:val="20"/>
        </w:rPr>
        <w:t xml:space="preserve"> Municipal para donar un bien inmueble de propiedad del municipio a una Empresa Social del Estado encargada de prestar servicios de salud dentro de la entidad territorial?</w:t>
      </w:r>
    </w:p>
    <w:p w14:paraId="5F3B30EB" w14:textId="77777777" w:rsidR="00B932A5" w:rsidRDefault="00B932A5" w:rsidP="00B932A5">
      <w:pPr>
        <w:tabs>
          <w:tab w:val="left" w:pos="142"/>
          <w:tab w:val="left" w:pos="567"/>
        </w:tabs>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lastRenderedPageBreak/>
        <w:t>6. ¿</w:t>
      </w:r>
      <w:r w:rsidRPr="006A54C1">
        <w:rPr>
          <w:rFonts w:ascii="Verdana" w:eastAsia="Century Gothic" w:hAnsi="Verdana" w:cs="Century Gothic"/>
          <w:sz w:val="20"/>
          <w:szCs w:val="20"/>
        </w:rPr>
        <w:t>Resulta jurídicamente viable que dicha transferencia se realice a título de</w:t>
      </w:r>
      <w:r>
        <w:rPr>
          <w:rFonts w:ascii="Verdana" w:eastAsia="Century Gothic" w:hAnsi="Verdana" w:cs="Century Gothic"/>
          <w:sz w:val="20"/>
          <w:szCs w:val="20"/>
        </w:rPr>
        <w:t xml:space="preserve"> </w:t>
      </w:r>
      <w:r w:rsidRPr="006A54C1">
        <w:rPr>
          <w:rFonts w:ascii="Verdana" w:eastAsia="Century Gothic" w:hAnsi="Verdana" w:cs="Century Gothic"/>
          <w:sz w:val="20"/>
          <w:szCs w:val="20"/>
        </w:rPr>
        <w:t>dona</w:t>
      </w:r>
      <w:r>
        <w:rPr>
          <w:rFonts w:ascii="Verdana" w:eastAsia="Century Gothic" w:hAnsi="Verdana" w:cs="Century Gothic"/>
          <w:sz w:val="20"/>
          <w:szCs w:val="20"/>
        </w:rPr>
        <w:t>ció</w:t>
      </w:r>
      <w:r w:rsidRPr="006A54C1">
        <w:rPr>
          <w:rFonts w:ascii="Verdana" w:eastAsia="Century Gothic" w:hAnsi="Verdana" w:cs="Century Gothic"/>
          <w:sz w:val="20"/>
          <w:szCs w:val="20"/>
        </w:rPr>
        <w:t>n teniendo en cuenta que el inmueble continuara afectado a la prestación de un servicio público esencial?</w:t>
      </w:r>
    </w:p>
    <w:p w14:paraId="7CD0839B" w14:textId="77777777" w:rsidR="00B932A5" w:rsidRDefault="00B932A5" w:rsidP="00B932A5">
      <w:pPr>
        <w:tabs>
          <w:tab w:val="left" w:pos="142"/>
          <w:tab w:val="left" w:pos="567"/>
        </w:tabs>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7. ¿</w:t>
      </w:r>
      <w:r w:rsidRPr="006162F0">
        <w:t>La</w:t>
      </w:r>
      <w:r w:rsidRPr="006162F0">
        <w:rPr>
          <w:rFonts w:ascii="Verdana" w:eastAsia="Century Gothic" w:hAnsi="Verdana" w:cs="Century Gothic"/>
          <w:sz w:val="20"/>
          <w:szCs w:val="20"/>
        </w:rPr>
        <w:t xml:space="preserve"> inclusión de cláusulas de reversión y condición resolutoria expresa</w:t>
      </w:r>
      <w:r>
        <w:rPr>
          <w:rFonts w:ascii="Verdana" w:eastAsia="Century Gothic" w:hAnsi="Verdana" w:cs="Century Gothic"/>
          <w:sz w:val="20"/>
          <w:szCs w:val="20"/>
        </w:rPr>
        <w:t xml:space="preserve"> </w:t>
      </w:r>
      <w:r w:rsidRPr="006162F0">
        <w:rPr>
          <w:rFonts w:ascii="Verdana" w:eastAsia="Century Gothic" w:hAnsi="Verdana" w:cs="Century Gothic"/>
          <w:sz w:val="20"/>
          <w:szCs w:val="20"/>
        </w:rPr>
        <w:t>constituye un mecanismo valido de protección del</w:t>
      </w:r>
      <w:r>
        <w:rPr>
          <w:rFonts w:ascii="Verdana" w:eastAsia="Century Gothic" w:hAnsi="Verdana" w:cs="Century Gothic"/>
          <w:sz w:val="20"/>
          <w:szCs w:val="20"/>
        </w:rPr>
        <w:t xml:space="preserve"> </w:t>
      </w:r>
      <w:r w:rsidRPr="006162F0">
        <w:rPr>
          <w:rFonts w:ascii="Verdana" w:eastAsia="Century Gothic" w:hAnsi="Verdana" w:cs="Century Gothic"/>
          <w:sz w:val="20"/>
          <w:szCs w:val="20"/>
        </w:rPr>
        <w:t>patrimonio p</w:t>
      </w:r>
      <w:r>
        <w:rPr>
          <w:rFonts w:ascii="Verdana" w:eastAsia="Century Gothic" w:hAnsi="Verdana" w:cs="Century Gothic"/>
          <w:sz w:val="20"/>
          <w:szCs w:val="20"/>
        </w:rPr>
        <w:t>ú</w:t>
      </w:r>
      <w:r w:rsidRPr="006162F0">
        <w:rPr>
          <w:rFonts w:ascii="Verdana" w:eastAsia="Century Gothic" w:hAnsi="Verdana" w:cs="Century Gothic"/>
          <w:sz w:val="20"/>
          <w:szCs w:val="20"/>
        </w:rPr>
        <w:t>blico municipal?</w:t>
      </w:r>
    </w:p>
    <w:p w14:paraId="6655C226" w14:textId="77777777" w:rsidR="00B932A5" w:rsidRDefault="00B932A5" w:rsidP="00B932A5">
      <w:pPr>
        <w:tabs>
          <w:tab w:val="left" w:pos="142"/>
          <w:tab w:val="left" w:pos="567"/>
        </w:tabs>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8. ¿</w:t>
      </w:r>
      <w:r w:rsidRPr="00CE7672">
        <w:rPr>
          <w:rFonts w:ascii="Verdana" w:eastAsia="Century Gothic" w:hAnsi="Verdana" w:cs="Century Gothic"/>
          <w:sz w:val="20"/>
          <w:szCs w:val="20"/>
        </w:rPr>
        <w:t>La condición de no estar certificado el municipio pare la prestación directa de</w:t>
      </w:r>
      <w:r>
        <w:rPr>
          <w:rFonts w:ascii="Verdana" w:eastAsia="Century Gothic" w:hAnsi="Verdana" w:cs="Century Gothic"/>
          <w:sz w:val="20"/>
          <w:szCs w:val="20"/>
        </w:rPr>
        <w:t xml:space="preserve"> </w:t>
      </w:r>
      <w:r w:rsidRPr="00CE7672">
        <w:rPr>
          <w:rFonts w:ascii="Verdana" w:eastAsia="Century Gothic" w:hAnsi="Verdana" w:cs="Century Gothic"/>
          <w:sz w:val="20"/>
          <w:szCs w:val="20"/>
        </w:rPr>
        <w:t>servicios de salud constituye fundamento jurídico suficiente para justificar la</w:t>
      </w:r>
      <w:r>
        <w:rPr>
          <w:rFonts w:ascii="Verdana" w:eastAsia="Century Gothic" w:hAnsi="Verdana" w:cs="Century Gothic"/>
          <w:sz w:val="20"/>
          <w:szCs w:val="20"/>
        </w:rPr>
        <w:t xml:space="preserve"> </w:t>
      </w:r>
      <w:r w:rsidRPr="00CE7672">
        <w:rPr>
          <w:rFonts w:ascii="Verdana" w:eastAsia="Century Gothic" w:hAnsi="Verdana" w:cs="Century Gothic"/>
          <w:sz w:val="20"/>
          <w:szCs w:val="20"/>
        </w:rPr>
        <w:t>transferencia del inmueble destinado a la prestación del servicio?</w:t>
      </w:r>
    </w:p>
    <w:p w14:paraId="03061AED" w14:textId="77777777" w:rsidR="00B932A5" w:rsidRPr="00973F97" w:rsidRDefault="00B932A5" w:rsidP="00B932A5">
      <w:pPr>
        <w:tabs>
          <w:tab w:val="left" w:pos="142"/>
          <w:tab w:val="left" w:pos="567"/>
        </w:tabs>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9. ¿</w:t>
      </w:r>
      <w:r w:rsidRPr="007C542D">
        <w:rPr>
          <w:rFonts w:ascii="Verdana" w:eastAsia="Century Gothic" w:hAnsi="Verdana" w:cs="Century Gothic"/>
          <w:sz w:val="20"/>
          <w:szCs w:val="20"/>
        </w:rPr>
        <w:t>Qu</w:t>
      </w:r>
      <w:r>
        <w:rPr>
          <w:rFonts w:ascii="Verdana" w:eastAsia="Century Gothic" w:hAnsi="Verdana" w:cs="Century Gothic"/>
          <w:sz w:val="20"/>
          <w:szCs w:val="20"/>
        </w:rPr>
        <w:t>é</w:t>
      </w:r>
      <w:r w:rsidRPr="007C542D">
        <w:rPr>
          <w:rFonts w:ascii="Verdana" w:eastAsia="Century Gothic" w:hAnsi="Verdana" w:cs="Century Gothic"/>
          <w:sz w:val="20"/>
          <w:szCs w:val="20"/>
        </w:rPr>
        <w:t xml:space="preserve"> requisitos constitucionales, legales y administrativos deben observarse</w:t>
      </w:r>
      <w:r>
        <w:rPr>
          <w:rFonts w:ascii="Verdana" w:eastAsia="Century Gothic" w:hAnsi="Verdana" w:cs="Century Gothic"/>
          <w:sz w:val="20"/>
          <w:szCs w:val="20"/>
        </w:rPr>
        <w:t xml:space="preserve"> </w:t>
      </w:r>
      <w:r w:rsidRPr="007C542D">
        <w:rPr>
          <w:rFonts w:ascii="Verdana" w:eastAsia="Century Gothic" w:hAnsi="Verdana" w:cs="Century Gothic"/>
          <w:sz w:val="20"/>
          <w:szCs w:val="20"/>
        </w:rPr>
        <w:t>para adelantar válidamente el procedimiento planteado?</w:t>
      </w:r>
      <w:r>
        <w:rPr>
          <w:rFonts w:ascii="Verdana" w:eastAsia="Century Gothic" w:hAnsi="Verdana" w:cs="Century Gothic"/>
          <w:sz w:val="20"/>
          <w:szCs w:val="20"/>
        </w:rPr>
        <w:t xml:space="preserve"> (…)</w:t>
      </w:r>
      <w:r w:rsidRPr="3B2C2CC7">
        <w:rPr>
          <w:rFonts w:ascii="Verdana" w:eastAsia="Century Gothic" w:hAnsi="Verdana" w:cs="Century Gothic"/>
          <w:sz w:val="20"/>
          <w:szCs w:val="20"/>
        </w:rPr>
        <w:t xml:space="preserve">” </w:t>
      </w:r>
    </w:p>
    <w:p w14:paraId="1C43B7E3" w14:textId="77777777" w:rsidR="00B932A5" w:rsidRPr="007F1B31" w:rsidRDefault="00B932A5" w:rsidP="00B932A5">
      <w:pPr>
        <w:tabs>
          <w:tab w:val="left" w:pos="142"/>
          <w:tab w:val="left" w:pos="567"/>
        </w:tabs>
        <w:spacing w:after="0" w:line="276" w:lineRule="auto"/>
        <w:ind w:left="851" w:right="900"/>
        <w:jc w:val="both"/>
        <w:rPr>
          <w:rFonts w:ascii="Verdana" w:eastAsia="Century Gothic" w:hAnsi="Verdana" w:cs="Century Gothic"/>
          <w:i/>
          <w:iCs/>
          <w:lang w:val="es-MX"/>
        </w:rPr>
      </w:pPr>
    </w:p>
    <w:bookmarkEnd w:id="6"/>
    <w:p w14:paraId="6CF2455F" w14:textId="77777777" w:rsidR="00B932A5" w:rsidRPr="00AA3B9F" w:rsidRDefault="00B932A5" w:rsidP="00B932A5">
      <w:pPr>
        <w:spacing w:after="120" w:line="276" w:lineRule="auto"/>
        <w:ind w:firstLine="709"/>
        <w:jc w:val="both"/>
        <w:rPr>
          <w:rFonts w:ascii="Verdana" w:eastAsia="Calibri" w:hAnsi="Verdana" w:cs="Arial"/>
          <w:lang w:val="es-ES" w:eastAsia="es-ES"/>
        </w:rPr>
      </w:pPr>
      <w:r w:rsidRPr="3B2C2CC7">
        <w:rPr>
          <w:rFonts w:ascii="Verdana" w:eastAsia="Calibri" w:hAnsi="Verdana" w:cs="Arial"/>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Estatales o de los demás participantes de la contratación pública. Esta competencia de interpretación de normas generales, por definición, no puede extenderse a la resolución de controversias, ni a brindar asesorías sobre casos puntuales.</w:t>
      </w:r>
    </w:p>
    <w:p w14:paraId="255C506A" w14:textId="77777777" w:rsidR="00B932A5" w:rsidRPr="00AA3B9F" w:rsidRDefault="00B932A5" w:rsidP="00B932A5">
      <w:pPr>
        <w:spacing w:after="0" w:line="276" w:lineRule="auto"/>
        <w:ind w:firstLine="709"/>
        <w:jc w:val="both"/>
        <w:rPr>
          <w:rFonts w:ascii="Verdana" w:eastAsia="Calibri" w:hAnsi="Verdana" w:cs="Arial"/>
          <w:lang w:val="es-ES" w:eastAsia="es-ES"/>
        </w:rPr>
      </w:pPr>
      <w:r w:rsidRPr="3B2C2CC7">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los problemas jurídicos de su consulta.</w:t>
      </w:r>
      <w:r>
        <w:t xml:space="preserve"> </w:t>
      </w:r>
    </w:p>
    <w:p w14:paraId="6185B292" w14:textId="77777777" w:rsidR="00B932A5" w:rsidRDefault="00B932A5" w:rsidP="00B932A5">
      <w:pPr>
        <w:pStyle w:val="Prrafodelista"/>
        <w:tabs>
          <w:tab w:val="left" w:pos="142"/>
          <w:tab w:val="left" w:pos="284"/>
        </w:tabs>
        <w:spacing w:after="0" w:line="240" w:lineRule="auto"/>
        <w:ind w:left="425" w:right="1185"/>
        <w:jc w:val="both"/>
        <w:rPr>
          <w:rFonts w:ascii="Verdana" w:eastAsia="Century Gothic" w:hAnsi="Verdana" w:cs="Century Gothic"/>
          <w:i/>
          <w:iCs/>
        </w:rPr>
      </w:pPr>
    </w:p>
    <w:p w14:paraId="6120707E" w14:textId="77777777" w:rsidR="00B932A5" w:rsidRDefault="00B932A5" w:rsidP="00B932A5">
      <w:pPr>
        <w:pStyle w:val="Prrafodelista"/>
        <w:numPr>
          <w:ilvl w:val="0"/>
          <w:numId w:val="2"/>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 xml:space="preserve"> jurídico </w:t>
      </w:r>
      <w:r w:rsidRPr="00593A5F">
        <w:rPr>
          <w:rFonts w:ascii="Verdana" w:eastAsia="Century Gothic" w:hAnsi="Verdana" w:cs="Century Gothic"/>
          <w:b/>
          <w:bCs/>
        </w:rPr>
        <w:t>planteado:</w:t>
      </w:r>
    </w:p>
    <w:p w14:paraId="3488695E" w14:textId="77777777" w:rsidR="00B932A5" w:rsidRDefault="00B932A5" w:rsidP="00B932A5">
      <w:pPr>
        <w:pStyle w:val="Prrafodelista"/>
        <w:tabs>
          <w:tab w:val="left" w:pos="142"/>
          <w:tab w:val="left" w:pos="284"/>
        </w:tabs>
        <w:spacing w:after="0" w:line="276" w:lineRule="auto"/>
        <w:ind w:left="0"/>
        <w:jc w:val="both"/>
        <w:rPr>
          <w:rFonts w:ascii="Verdana" w:eastAsia="Century Gothic" w:hAnsi="Verdana" w:cs="Century Gothic"/>
          <w:b/>
          <w:bCs/>
        </w:rPr>
      </w:pPr>
    </w:p>
    <w:p w14:paraId="703EFB96" w14:textId="77777777" w:rsidR="00B932A5" w:rsidRDefault="00B932A5" w:rsidP="00B932A5">
      <w:pPr>
        <w:pStyle w:val="Prrafodelista"/>
        <w:tabs>
          <w:tab w:val="left" w:pos="142"/>
          <w:tab w:val="left" w:pos="284"/>
        </w:tabs>
        <w:spacing w:after="0" w:line="276" w:lineRule="auto"/>
        <w:ind w:left="0"/>
        <w:jc w:val="both"/>
        <w:rPr>
          <w:rFonts w:ascii="Verdana" w:eastAsia="Calibri" w:hAnsi="Verdana" w:cs="Arial"/>
          <w:lang w:eastAsia="es-ES"/>
        </w:rPr>
      </w:pPr>
      <w:r w:rsidRPr="3B2C2CC7">
        <w:rPr>
          <w:rFonts w:ascii="Verdana" w:eastAsia="Calibri" w:hAnsi="Verdana" w:cs="Arial"/>
          <w:lang w:eastAsia="es-ES"/>
        </w:rPr>
        <w:t xml:space="preserve">De acuerdo con el contenido de su solicitud, </w:t>
      </w:r>
      <w:bookmarkStart w:id="7" w:name="_Hlk201915624"/>
      <w:r w:rsidRPr="3B2C2CC7">
        <w:rPr>
          <w:rFonts w:ascii="Verdana" w:eastAsia="Calibri" w:hAnsi="Verdana" w:cs="Arial"/>
          <w:lang w:eastAsia="es-ES"/>
        </w:rPr>
        <w:t xml:space="preserve">esta Agencia resolverá el siguiente problema jurídico: </w:t>
      </w:r>
      <w:bookmarkEnd w:id="7"/>
      <w:r w:rsidRPr="3B2C2CC7">
        <w:rPr>
          <w:rFonts w:ascii="Verdana" w:eastAsia="Calibri" w:hAnsi="Verdana" w:cs="Arial"/>
          <w:lang w:eastAsia="es-ES"/>
        </w:rPr>
        <w:t xml:space="preserve">¿Cuál es el procedimiento contractual aplicable y qué </w:t>
      </w:r>
      <w:r w:rsidRPr="3B2C2CC7">
        <w:rPr>
          <w:rFonts w:ascii="Verdana" w:eastAsia="Calibri" w:hAnsi="Verdana" w:cs="Arial"/>
          <w:lang w:eastAsia="es-ES"/>
        </w:rPr>
        <w:lastRenderedPageBreak/>
        <w:t xml:space="preserve">requisitos sustanciales y procedimentales deberán cumplirse en la celebración de contratos de donación </w:t>
      </w:r>
      <w:r>
        <w:rPr>
          <w:rFonts w:ascii="Verdana" w:eastAsia="Calibri" w:hAnsi="Verdana" w:cs="Arial"/>
          <w:lang w:eastAsia="es-ES"/>
        </w:rPr>
        <w:t xml:space="preserve">de bienes inmuebles </w:t>
      </w:r>
      <w:r w:rsidRPr="3B2C2CC7">
        <w:rPr>
          <w:rFonts w:ascii="Verdana" w:eastAsia="Calibri" w:hAnsi="Verdana" w:cs="Arial"/>
          <w:lang w:eastAsia="es-ES"/>
        </w:rPr>
        <w:t xml:space="preserve">entre Entidades </w:t>
      </w:r>
      <w:r>
        <w:rPr>
          <w:rFonts w:ascii="Verdana" w:eastAsia="Calibri" w:hAnsi="Verdana" w:cs="Arial"/>
          <w:lang w:eastAsia="es-ES"/>
        </w:rPr>
        <w:t>Públicas</w:t>
      </w:r>
      <w:r w:rsidRPr="3B2C2CC7">
        <w:rPr>
          <w:rFonts w:ascii="Verdana" w:eastAsia="Calibri" w:hAnsi="Verdana" w:cs="Arial"/>
          <w:lang w:eastAsia="es-ES"/>
        </w:rPr>
        <w:t>?</w:t>
      </w:r>
    </w:p>
    <w:p w14:paraId="3B468B6D" w14:textId="77777777" w:rsidR="00B932A5" w:rsidRDefault="00B932A5" w:rsidP="00B932A5">
      <w:pPr>
        <w:pStyle w:val="Prrafodelista"/>
        <w:tabs>
          <w:tab w:val="left" w:pos="142"/>
          <w:tab w:val="left" w:pos="284"/>
        </w:tabs>
        <w:spacing w:after="0" w:line="276" w:lineRule="auto"/>
        <w:ind w:left="0"/>
        <w:jc w:val="both"/>
        <w:rPr>
          <w:rFonts w:ascii="Verdana" w:eastAsia="Calibri" w:hAnsi="Verdana" w:cs="Arial"/>
          <w:lang w:eastAsia="es-ES"/>
        </w:rPr>
      </w:pPr>
      <w:bookmarkStart w:id="8" w:name="_Hlk196737317"/>
      <w:bookmarkStart w:id="9" w:name="_Hlk201915671"/>
    </w:p>
    <w:bookmarkEnd w:id="8"/>
    <w:p w14:paraId="1C5F97A9" w14:textId="77777777" w:rsidR="00B932A5" w:rsidRPr="00593A5F" w:rsidRDefault="00B932A5" w:rsidP="00B932A5">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1A49F7AD" w14:textId="77777777" w:rsidR="00B932A5" w:rsidRPr="00593A5F" w:rsidRDefault="00B932A5" w:rsidP="00B932A5">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932A5" w:rsidRPr="00593A5F" w14:paraId="696F4BFD" w14:textId="77777777" w:rsidTr="00FD0DA0">
        <w:tc>
          <w:tcPr>
            <w:tcW w:w="8828" w:type="dxa"/>
          </w:tcPr>
          <w:p w14:paraId="22AF740D" w14:textId="77777777" w:rsidR="00B932A5" w:rsidRDefault="00B932A5" w:rsidP="00FD0DA0">
            <w:pPr>
              <w:pStyle w:val="NormalWeb"/>
              <w:spacing w:before="0" w:beforeAutospacing="0" w:after="12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E</w:t>
            </w:r>
            <w:r w:rsidRPr="00F32D7E">
              <w:rPr>
                <w:rFonts w:ascii="Verdana" w:eastAsia="Century Gothic" w:hAnsi="Verdana" w:cs="Century Gothic"/>
                <w:sz w:val="22"/>
                <w:szCs w:val="22"/>
              </w:rPr>
              <w:t>n concordancia con la jurisprudencia reciente del Consejo de Estado</w:t>
            </w:r>
            <w:r>
              <w:rPr>
                <w:rFonts w:ascii="Verdana" w:eastAsia="Century Gothic" w:hAnsi="Verdana" w:cs="Century Gothic"/>
                <w:sz w:val="22"/>
                <w:szCs w:val="22"/>
              </w:rPr>
              <w:t xml:space="preserve">, esta Subdirección reitera la tesis sostenida en </w:t>
            </w:r>
            <w:r w:rsidRPr="00F32D7E">
              <w:rPr>
                <w:rFonts w:ascii="Verdana" w:eastAsia="Century Gothic" w:hAnsi="Verdana" w:cs="Century Gothic"/>
                <w:sz w:val="22"/>
                <w:szCs w:val="22"/>
              </w:rPr>
              <w:t xml:space="preserve">pronunciamientos emitidos </w:t>
            </w:r>
            <w:r>
              <w:rPr>
                <w:rFonts w:ascii="Verdana" w:eastAsia="Century Gothic" w:hAnsi="Verdana" w:cs="Century Gothic"/>
                <w:sz w:val="22"/>
                <w:szCs w:val="22"/>
              </w:rPr>
              <w:t>anteriormente</w:t>
            </w:r>
            <w:r w:rsidRPr="00F32D7E">
              <w:rPr>
                <w:rFonts w:ascii="Verdana" w:eastAsia="Century Gothic" w:hAnsi="Verdana" w:cs="Century Gothic"/>
                <w:sz w:val="22"/>
                <w:szCs w:val="22"/>
              </w:rPr>
              <w:t xml:space="preserve">, </w:t>
            </w:r>
            <w:r>
              <w:rPr>
                <w:rFonts w:ascii="Verdana" w:eastAsia="Century Gothic" w:hAnsi="Verdana" w:cs="Century Gothic"/>
                <w:sz w:val="22"/>
                <w:szCs w:val="22"/>
              </w:rPr>
              <w:t>según la cual,</w:t>
            </w:r>
            <w:r w:rsidRPr="00F32D7E">
              <w:rPr>
                <w:rFonts w:ascii="Verdana" w:eastAsia="Century Gothic" w:hAnsi="Verdana" w:cs="Century Gothic"/>
                <w:sz w:val="22"/>
                <w:szCs w:val="22"/>
              </w:rPr>
              <w:t xml:space="preserve"> las entidades estatales se encuentran facultadas para celebrar </w:t>
            </w:r>
            <w:r w:rsidRPr="00C23755">
              <w:rPr>
                <w:rFonts w:ascii="Verdana" w:eastAsia="Century Gothic" w:hAnsi="Verdana" w:cs="Century Gothic"/>
                <w:i/>
                <w:iCs/>
                <w:sz w:val="22"/>
                <w:szCs w:val="22"/>
              </w:rPr>
              <w:t>contratos de donación</w:t>
            </w:r>
            <w:r>
              <w:rPr>
                <w:rFonts w:ascii="Verdana" w:eastAsia="Century Gothic" w:hAnsi="Verdana" w:cs="Century Gothic"/>
                <w:i/>
                <w:iCs/>
                <w:sz w:val="22"/>
                <w:szCs w:val="22"/>
              </w:rPr>
              <w:t xml:space="preserve"> </w:t>
            </w:r>
            <w:r w:rsidRPr="001C39AD">
              <w:rPr>
                <w:rFonts w:ascii="Verdana" w:eastAsia="Century Gothic" w:hAnsi="Verdana" w:cs="Century Gothic"/>
                <w:sz w:val="22"/>
                <w:szCs w:val="22"/>
              </w:rPr>
              <w:t>a favor de entidades públicas</w:t>
            </w:r>
            <w:r w:rsidRPr="00F32D7E">
              <w:rPr>
                <w:rFonts w:ascii="Verdana" w:eastAsia="Century Gothic" w:hAnsi="Verdana" w:cs="Century Gothic"/>
                <w:sz w:val="22"/>
                <w:szCs w:val="22"/>
              </w:rPr>
              <w:t xml:space="preserve">, en virtud de la remisión que efectúa el Estatuto General de Contratación de la Administración Pública —particularmente en sus artículos 3, 13 y 32— a las disposiciones del derecho privado (civil y comercial), en aquellos aspectos en que resulten compatibles con </w:t>
            </w:r>
            <w:r>
              <w:rPr>
                <w:rFonts w:ascii="Verdana" w:eastAsia="Century Gothic" w:hAnsi="Verdana" w:cs="Century Gothic"/>
                <w:sz w:val="22"/>
                <w:szCs w:val="22"/>
              </w:rPr>
              <w:t>régimen del EGCAP</w:t>
            </w:r>
            <w:r w:rsidRPr="00F32D7E">
              <w:rPr>
                <w:rFonts w:ascii="Verdana" w:eastAsia="Century Gothic" w:hAnsi="Verdana" w:cs="Century Gothic"/>
                <w:sz w:val="22"/>
                <w:szCs w:val="22"/>
              </w:rPr>
              <w:t xml:space="preserve">. Esta remisión permite acudir, cuando sea procedente, a figuras contractuales propias del derecho privado, como la </w:t>
            </w:r>
            <w:r w:rsidRPr="0096791B">
              <w:rPr>
                <w:rFonts w:ascii="Verdana" w:eastAsia="Century Gothic" w:hAnsi="Verdana" w:cs="Century Gothic"/>
                <w:i/>
                <w:iCs/>
                <w:sz w:val="22"/>
                <w:szCs w:val="22"/>
              </w:rPr>
              <w:t>donación</w:t>
            </w:r>
            <w:r w:rsidRPr="00F32D7E">
              <w:rPr>
                <w:rFonts w:ascii="Verdana" w:eastAsia="Century Gothic" w:hAnsi="Verdana" w:cs="Century Gothic"/>
                <w:sz w:val="22"/>
                <w:szCs w:val="22"/>
              </w:rPr>
              <w:t>, con fundamento en el principio de autonomía de la voluntad, siempre que se respeten los principios de la función administrativa y de la contratación estatal.</w:t>
            </w:r>
          </w:p>
          <w:p w14:paraId="4003E626"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86559B">
              <w:rPr>
                <w:rFonts w:ascii="Verdana" w:eastAsia="Century Gothic" w:hAnsi="Verdana" w:cs="Century Gothic"/>
                <w:sz w:val="22"/>
                <w:szCs w:val="22"/>
              </w:rPr>
              <w:t xml:space="preserve">Lo anterior se justifica </w:t>
            </w:r>
            <w:r>
              <w:rPr>
                <w:rFonts w:ascii="Verdana" w:eastAsia="Century Gothic" w:hAnsi="Verdana" w:cs="Century Gothic"/>
                <w:sz w:val="22"/>
                <w:szCs w:val="22"/>
              </w:rPr>
              <w:t xml:space="preserve">en que la proscripción de rango constitucional del artículo 355 que prohíbe expresamente </w:t>
            </w:r>
            <w:r w:rsidRPr="00DC1FEA">
              <w:rPr>
                <w:rFonts w:ascii="Verdana" w:eastAsia="Century Gothic" w:hAnsi="Verdana" w:cs="Century Gothic"/>
                <w:sz w:val="22"/>
                <w:szCs w:val="22"/>
              </w:rPr>
              <w:t xml:space="preserve">las donaciones o auxilios a favor de </w:t>
            </w:r>
            <w:r w:rsidRPr="00FD7D3C">
              <w:rPr>
                <w:rFonts w:ascii="Verdana" w:eastAsia="Century Gothic" w:hAnsi="Verdana" w:cs="Century Gothic"/>
                <w:sz w:val="22"/>
                <w:szCs w:val="22"/>
              </w:rPr>
              <w:t>personas de derecho privado,</w:t>
            </w:r>
            <w:r>
              <w:rPr>
                <w:rFonts w:ascii="Verdana" w:eastAsia="Century Gothic" w:hAnsi="Verdana" w:cs="Century Gothic"/>
                <w:sz w:val="22"/>
                <w:szCs w:val="22"/>
              </w:rPr>
              <w:t xml:space="preserve"> no extiende sus efectos cuando la calidad de la parte donataria es una entidad de derecho público. En ese sentido, como lo manifestó el Consejo de Estado en la </w:t>
            </w:r>
            <w:r w:rsidRPr="002052DA">
              <w:rPr>
                <w:rFonts w:ascii="Verdana" w:eastAsia="Century Gothic" w:hAnsi="Verdana" w:cs="Century Gothic"/>
                <w:sz w:val="22"/>
                <w:szCs w:val="22"/>
              </w:rPr>
              <w:t>Sentencia C</w:t>
            </w:r>
            <w:r>
              <w:rPr>
                <w:rFonts w:ascii="Verdana" w:eastAsia="Century Gothic" w:hAnsi="Verdana" w:cs="Century Gothic"/>
                <w:sz w:val="22"/>
                <w:szCs w:val="22"/>
              </w:rPr>
              <w:t>-</w:t>
            </w:r>
            <w:r w:rsidRPr="002052DA">
              <w:rPr>
                <w:rFonts w:ascii="Verdana" w:eastAsia="Century Gothic" w:hAnsi="Verdana" w:cs="Century Gothic"/>
                <w:sz w:val="22"/>
                <w:szCs w:val="22"/>
              </w:rPr>
              <w:t>251 de 1996,</w:t>
            </w:r>
            <w:r>
              <w:rPr>
                <w:rFonts w:ascii="Verdana" w:eastAsia="Century Gothic" w:hAnsi="Verdana" w:cs="Century Gothic"/>
                <w:sz w:val="22"/>
                <w:szCs w:val="22"/>
              </w:rPr>
              <w:t xml:space="preserve"> “</w:t>
            </w:r>
            <w:r w:rsidRPr="0086435E">
              <w:rPr>
                <w:rFonts w:ascii="Verdana" w:eastAsia="Century Gothic" w:hAnsi="Verdana" w:cs="Century Gothic"/>
                <w:i/>
                <w:iCs/>
                <w:sz w:val="22"/>
                <w:szCs w:val="22"/>
              </w:rPr>
              <w:t>la Constitución Política no prohíbe expresamente las donaciones o auxilios a favor de entidades que integran las ramas u órganos del poder público, o por lo menos tal prohibición no puede deducirse de lo dispuesto en el artículo 355</w:t>
            </w:r>
            <w:r>
              <w:rPr>
                <w:rFonts w:ascii="Verdana" w:eastAsia="Century Gothic" w:hAnsi="Verdana" w:cs="Century Gothic"/>
                <w:sz w:val="22"/>
                <w:szCs w:val="22"/>
              </w:rPr>
              <w:t>”.</w:t>
            </w:r>
          </w:p>
          <w:p w14:paraId="70A107F5"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7F0F9E">
              <w:rPr>
                <w:rFonts w:ascii="Verdana" w:eastAsia="Century Gothic" w:hAnsi="Verdana" w:cs="Century Gothic"/>
                <w:sz w:val="22"/>
                <w:szCs w:val="22"/>
              </w:rPr>
              <w:t>Incluso, en el Concepto 2482 del 11 de octubre de 2022, el Consejo de Estado concluyó que las donaciones efectuadas por una entidad estatal a favor de otras entidades que integran las ramas u órganos del poder público no solo son procedentes cuando se trate del cumplimiento de deberes constitucionales expresos, sino también cuando una entidad pública requiera un bien para el desarrollo de sus actividades y otra lo conserve en su patrimonio, pudiendo transferirlo a título gratuito sin afectar el ejercicio de sus funciones ni su objeto social.</w:t>
            </w:r>
          </w:p>
          <w:p w14:paraId="6CBB3F22"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7F0F9E">
              <w:rPr>
                <w:rFonts w:ascii="Verdana" w:eastAsia="Century Gothic" w:hAnsi="Verdana" w:cs="Century Gothic"/>
                <w:sz w:val="22"/>
                <w:szCs w:val="22"/>
              </w:rPr>
              <w:t xml:space="preserve">A esta postura se adhiere esta Subdirección, en la medida en que, conforme al artículo 3 del </w:t>
            </w:r>
            <w:r>
              <w:rPr>
                <w:rFonts w:ascii="Verdana" w:eastAsia="Century Gothic" w:hAnsi="Verdana" w:cs="Century Gothic"/>
                <w:sz w:val="22"/>
                <w:szCs w:val="22"/>
              </w:rPr>
              <w:t>EGCAP</w:t>
            </w:r>
            <w:r w:rsidRPr="007F0F9E">
              <w:rPr>
                <w:rFonts w:ascii="Verdana" w:eastAsia="Century Gothic" w:hAnsi="Verdana" w:cs="Century Gothic"/>
                <w:sz w:val="22"/>
                <w:szCs w:val="22"/>
              </w:rPr>
              <w:t xml:space="preserve">, los servidores públicos deben celebrar </w:t>
            </w:r>
            <w:r w:rsidRPr="007F0F9E">
              <w:rPr>
                <w:rFonts w:ascii="Verdana" w:eastAsia="Century Gothic" w:hAnsi="Verdana" w:cs="Century Gothic"/>
                <w:sz w:val="22"/>
                <w:szCs w:val="22"/>
              </w:rPr>
              <w:lastRenderedPageBreak/>
              <w:t>contratos orientados al cumplimiento de los fines estatales, a la continua y eficiente prestación de los servicios públicos y a la efectividad de los derechos e intereses de los administrados. Tales propósitos pueden materializarse mediante figuras como la</w:t>
            </w:r>
            <w:r>
              <w:rPr>
                <w:rFonts w:ascii="Verdana" w:eastAsia="Century Gothic" w:hAnsi="Verdana" w:cs="Century Gothic"/>
                <w:sz w:val="22"/>
                <w:szCs w:val="22"/>
              </w:rPr>
              <w:t xml:space="preserve"> </w:t>
            </w:r>
            <w:r w:rsidRPr="00A97D5C">
              <w:rPr>
                <w:rFonts w:ascii="Verdana" w:eastAsia="Century Gothic" w:hAnsi="Verdana" w:cs="Century Gothic"/>
                <w:i/>
                <w:iCs/>
                <w:sz w:val="22"/>
                <w:szCs w:val="22"/>
              </w:rPr>
              <w:t>donación</w:t>
            </w:r>
            <w:r w:rsidRPr="00B43CB6">
              <w:rPr>
                <w:rFonts w:ascii="Verdana" w:eastAsia="Century Gothic" w:hAnsi="Verdana" w:cs="Century Gothic"/>
                <w:sz w:val="22"/>
                <w:szCs w:val="22"/>
              </w:rPr>
              <w:t>, cuando ello permita que un bien fiscal sea aprovechado de manera más adecuada por otra entidad que lo requiera para el cumplimiento de sus funciones constitucionales y legales.</w:t>
            </w:r>
          </w:p>
          <w:p w14:paraId="6671E260"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Pr>
                <w:rFonts w:ascii="Verdana" w:eastAsia="Century Gothic" w:hAnsi="Verdana" w:cs="Century Gothic"/>
                <w:sz w:val="22"/>
                <w:szCs w:val="22"/>
              </w:rPr>
              <w:t xml:space="preserve">Dicho esto, abordando el objeto de su consulta, en el marco jurídico actual, las entidades estatales tienen la facultad de efectuar donación de bienes de su propiedad mediante </w:t>
            </w:r>
            <w:r w:rsidRPr="00BC0AF3">
              <w:rPr>
                <w:rFonts w:ascii="Verdana" w:eastAsia="Century Gothic" w:hAnsi="Verdana" w:cs="Century Gothic"/>
                <w:sz w:val="22"/>
                <w:szCs w:val="22"/>
              </w:rPr>
              <w:t>dos procedimientos</w:t>
            </w:r>
            <w:r>
              <w:rPr>
                <w:rFonts w:ascii="Verdana" w:eastAsia="Century Gothic" w:hAnsi="Verdana" w:cs="Century Gothic"/>
                <w:sz w:val="22"/>
                <w:szCs w:val="22"/>
              </w:rPr>
              <w:t xml:space="preserve"> de selección y su elección dependerá de las particularidades del negocio jurídico:</w:t>
            </w:r>
          </w:p>
          <w:p w14:paraId="3A0673C9"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Pr>
                <w:rFonts w:ascii="Verdana" w:eastAsia="Century Gothic" w:hAnsi="Verdana" w:cs="Century Gothic"/>
                <w:sz w:val="22"/>
                <w:szCs w:val="22"/>
              </w:rPr>
              <w:t xml:space="preserve">El primero: i) mediante la modalidad de selección abreviada, por configurarse la causal contenida en el artículo 2.2 literal e) de la Ley 1150 de 2007 cuando se pretenda la enajenación de </w:t>
            </w:r>
            <w:r w:rsidRPr="005535B1">
              <w:rPr>
                <w:rFonts w:ascii="Verdana" w:eastAsia="Century Gothic" w:hAnsi="Verdana" w:cs="Century Gothic"/>
                <w:sz w:val="22"/>
                <w:szCs w:val="22"/>
              </w:rPr>
              <w:t>bienes del Estado, con excepción de aquellos a que se refiere la Ley 226 de 1995.</w:t>
            </w:r>
            <w:r>
              <w:rPr>
                <w:rFonts w:ascii="Verdana" w:eastAsia="Century Gothic" w:hAnsi="Verdana" w:cs="Century Gothic"/>
                <w:sz w:val="22"/>
                <w:szCs w:val="22"/>
              </w:rPr>
              <w:t xml:space="preserve"> Ahora bien, en consideración a que lo que se pretende es la celebración de un contrato entre entidades públicas, existe en el régimen general de contratación pública (EGCAP) un procedimiento especial para la enajenación a título gratuito entre entidades estatales, reglamentado por el artículo </w:t>
            </w:r>
            <w:r w:rsidRPr="002E07D2">
              <w:rPr>
                <w:rFonts w:ascii="Verdana" w:eastAsia="Century Gothic" w:hAnsi="Verdana" w:cs="Century Gothic"/>
                <w:sz w:val="22"/>
                <w:szCs w:val="22"/>
              </w:rPr>
              <w:t>2.2.1.2.2.4.3.</w:t>
            </w:r>
            <w:r>
              <w:rPr>
                <w:rFonts w:ascii="Verdana" w:eastAsia="Century Gothic" w:hAnsi="Verdana" w:cs="Century Gothic"/>
                <w:sz w:val="22"/>
                <w:szCs w:val="22"/>
              </w:rPr>
              <w:t xml:space="preserve"> del Decreto 1082 de 2015. En este procedimiento, la restricción para su uso se concreta en el tipo de bienes, por cuanto solo procede para aquellos que sean muebles. De manera que, si el bien identificado como objeto de donación tiene la característica de inmueble, no aplicaría ni la modalidad ni dicho procedimiento e, indefectiblemente, deberá adelantarse mediante otro procedimiento de selección.</w:t>
            </w:r>
          </w:p>
          <w:p w14:paraId="2494C9FA" w14:textId="77777777" w:rsidR="00B932A5" w:rsidRDefault="00B932A5" w:rsidP="00FD0DA0">
            <w:pPr>
              <w:pStyle w:val="NormalWeb"/>
              <w:spacing w:before="0" w:beforeAutospacing="0" w:after="120" w:afterAutospacing="0" w:line="276" w:lineRule="auto"/>
              <w:ind w:firstLine="709"/>
              <w:jc w:val="both"/>
              <w:rPr>
                <w:rFonts w:ascii="Verdana" w:eastAsia="Calibri" w:hAnsi="Verdana" w:cs="Arial"/>
                <w:color w:val="000000"/>
                <w:sz w:val="22"/>
                <w:szCs w:val="22"/>
              </w:rPr>
            </w:pPr>
            <w:r w:rsidRPr="00777D8A">
              <w:rPr>
                <w:rFonts w:ascii="Verdana" w:eastAsia="Century Gothic" w:hAnsi="Verdana" w:cs="Century Gothic"/>
                <w:sz w:val="22"/>
                <w:szCs w:val="22"/>
              </w:rPr>
              <w:t xml:space="preserve">El segundo procedimiento es </w:t>
            </w:r>
            <w:proofErr w:type="spellStart"/>
            <w:r w:rsidRPr="00777D8A">
              <w:rPr>
                <w:rFonts w:ascii="Verdana" w:eastAsia="Century Gothic" w:hAnsi="Verdana" w:cs="Century Gothic"/>
                <w:sz w:val="22"/>
                <w:szCs w:val="22"/>
              </w:rPr>
              <w:t>ii</w:t>
            </w:r>
            <w:proofErr w:type="spellEnd"/>
            <w:r w:rsidRPr="00777D8A">
              <w:rPr>
                <w:rFonts w:ascii="Verdana" w:eastAsia="Century Gothic" w:hAnsi="Verdana" w:cs="Century Gothic"/>
                <w:sz w:val="22"/>
                <w:szCs w:val="22"/>
              </w:rPr>
              <w:t>) mediante la modalidad de contratación directa, cuando se configure la causal contenida en el</w:t>
            </w:r>
            <w:r w:rsidRPr="00A61B4E">
              <w:rPr>
                <w:rFonts w:ascii="Verdana" w:eastAsia="Century Gothic" w:hAnsi="Verdana" w:cs="Century Gothic"/>
                <w:sz w:val="22"/>
                <w:szCs w:val="22"/>
              </w:rPr>
              <w:t xml:space="preserve"> artículo 2.4, literal c), de la Ley 1150 de 2007</w:t>
            </w:r>
            <w:r w:rsidRPr="00777D8A">
              <w:rPr>
                <w:rFonts w:ascii="Verdana" w:eastAsia="Century Gothic" w:hAnsi="Verdana" w:cs="Century Gothic"/>
                <w:sz w:val="22"/>
                <w:szCs w:val="22"/>
              </w:rPr>
              <w:t xml:space="preserve"> que, en virtud de la calidad de los sujetos contratantes (entidades estatales), adquiere el carácter de </w:t>
            </w:r>
            <w:r w:rsidRPr="00777D8A">
              <w:rPr>
                <w:rFonts w:ascii="Verdana" w:eastAsia="Century Gothic" w:hAnsi="Verdana" w:cs="Century Gothic"/>
                <w:i/>
                <w:iCs/>
                <w:sz w:val="22"/>
                <w:szCs w:val="22"/>
              </w:rPr>
              <w:t>contrato interadministrativo</w:t>
            </w:r>
            <w:r>
              <w:rPr>
                <w:rFonts w:ascii="Verdana" w:eastAsia="Century Gothic" w:hAnsi="Verdana" w:cs="Century Gothic"/>
                <w:i/>
                <w:iCs/>
                <w:sz w:val="22"/>
                <w:szCs w:val="22"/>
              </w:rPr>
              <w:t xml:space="preserve"> </w:t>
            </w:r>
            <w:r w:rsidRPr="00747BDA">
              <w:rPr>
                <w:rFonts w:ascii="Verdana" w:eastAsia="Century Gothic" w:hAnsi="Verdana" w:cs="Century Gothic"/>
                <w:sz w:val="22"/>
                <w:szCs w:val="22"/>
              </w:rPr>
              <w:t>y</w:t>
            </w:r>
            <w:r>
              <w:rPr>
                <w:rFonts w:ascii="Verdana" w:eastAsia="Century Gothic" w:hAnsi="Verdana" w:cs="Century Gothic"/>
                <w:sz w:val="22"/>
                <w:szCs w:val="22"/>
              </w:rPr>
              <w:t>,</w:t>
            </w:r>
            <w:r w:rsidRPr="00747BDA">
              <w:rPr>
                <w:rFonts w:ascii="Verdana" w:eastAsia="Century Gothic" w:hAnsi="Verdana" w:cs="Century Gothic"/>
                <w:sz w:val="22"/>
                <w:szCs w:val="22"/>
              </w:rPr>
              <w:t xml:space="preserve"> siempre que</w:t>
            </w:r>
            <w:r>
              <w:rPr>
                <w:rFonts w:ascii="Verdana" w:eastAsia="Century Gothic" w:hAnsi="Verdana" w:cs="Century Gothic"/>
                <w:sz w:val="22"/>
                <w:szCs w:val="22"/>
              </w:rPr>
              <w:t xml:space="preserve"> las obligaciones derivadas del mismo tengan relación directa con el objeto de la entidad ejecutora señalado en la ley o en sus reglamentos</w:t>
            </w:r>
            <w:r w:rsidRPr="00777D8A">
              <w:rPr>
                <w:rFonts w:ascii="Verdana" w:eastAsia="Century Gothic" w:hAnsi="Verdana" w:cs="Century Gothic"/>
                <w:sz w:val="22"/>
                <w:szCs w:val="22"/>
              </w:rPr>
              <w:t xml:space="preserve">. Sin embargo, </w:t>
            </w:r>
            <w:r w:rsidRPr="00777D8A">
              <w:rPr>
                <w:rFonts w:ascii="Verdana" w:eastAsia="Arial" w:hAnsi="Verdana" w:cs="Arial"/>
                <w:color w:val="000000" w:themeColor="text1"/>
                <w:sz w:val="22"/>
                <w:szCs w:val="22"/>
                <w:lang w:val="es-ES"/>
              </w:rPr>
              <w:t>esto no significa que esta contratación esté exenta</w:t>
            </w:r>
            <w:r w:rsidRPr="00777D8A">
              <w:rPr>
                <w:rFonts w:ascii="Verdana" w:eastAsia="Calibri" w:hAnsi="Verdana" w:cs="Arial"/>
                <w:color w:val="000000"/>
                <w:sz w:val="22"/>
                <w:szCs w:val="22"/>
                <w:lang w:val="es-ES_tradnl"/>
              </w:rPr>
              <w:t xml:space="preserve"> del cumplimiento de los principios de transparencia y selección objetiva que rigen la contratación pública. En la contratación directa la entidad también deberá realizar un análisis previo a la suscripción del contrato, en el que se verifique que el contratista cumple con lo requerido para satisfacer la necesidad </w:t>
            </w:r>
            <w:r w:rsidRPr="00777D8A">
              <w:rPr>
                <w:rFonts w:ascii="Verdana" w:eastAsia="Calibri" w:hAnsi="Verdana" w:cs="Arial"/>
                <w:sz w:val="22"/>
                <w:szCs w:val="22"/>
              </w:rPr>
              <w:t>contractual</w:t>
            </w:r>
            <w:r w:rsidRPr="00777D8A">
              <w:rPr>
                <w:rFonts w:ascii="Verdana" w:eastAsia="Calibri" w:hAnsi="Verdana" w:cs="Arial"/>
                <w:color w:val="000000"/>
                <w:sz w:val="22"/>
                <w:szCs w:val="22"/>
                <w:lang w:val="es-ES_tradnl"/>
              </w:rPr>
              <w:t xml:space="preserve">. </w:t>
            </w:r>
            <w:r w:rsidRPr="00777D8A">
              <w:rPr>
                <w:rFonts w:ascii="Verdana" w:eastAsia="Calibri" w:hAnsi="Verdana" w:cs="Arial"/>
                <w:color w:val="000000"/>
                <w:sz w:val="22"/>
                <w:szCs w:val="22"/>
              </w:rPr>
              <w:lastRenderedPageBreak/>
              <w:t xml:space="preserve">En este contexto, en la causal de contratos interadministrativos es necesario que la entidad justifique las razones por las cuales se contratará directamente con la entidad estatal basada en criterios objetivos. De esta manera, la entidad estatal, además de verificar el cumplimiento de los requisitos señalados en el literal c) del numeral 4 del artículo 2 de la Ley 1150 de 2007, deberá constatar que la entidad con la cual se celebrará el contrato está en capacidad de recibir el bien donado, y demuestre la idoneidad para su uso y/o administración o buena destinación, que le permitan cumplir con los fines estatales a cargo. </w:t>
            </w:r>
          </w:p>
          <w:p w14:paraId="7B153B22"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A61B4E">
              <w:rPr>
                <w:rFonts w:ascii="Verdana" w:eastAsia="Century Gothic" w:hAnsi="Verdana" w:cs="Century Gothic"/>
                <w:sz w:val="22"/>
                <w:szCs w:val="22"/>
              </w:rPr>
              <w:t xml:space="preserve">De acuerdo con lo expuesto, y en atención a que los sujetos intervinientes en el negocio jurídico son entidades públicas —es decir, hacen parte de la administración pública, según se señala en el texto de la consulta—, la tipología del contrato a celebrar corresponde a un </w:t>
            </w:r>
            <w:r w:rsidRPr="00A61B4E">
              <w:rPr>
                <w:rFonts w:ascii="Verdana" w:eastAsia="Century Gothic" w:hAnsi="Verdana" w:cs="Century Gothic"/>
                <w:i/>
                <w:iCs/>
                <w:sz w:val="22"/>
                <w:szCs w:val="22"/>
              </w:rPr>
              <w:t xml:space="preserve">contrato interadministrativo </w:t>
            </w:r>
            <w:r w:rsidRPr="00A61B4E">
              <w:rPr>
                <w:rFonts w:ascii="Verdana" w:eastAsia="Century Gothic" w:hAnsi="Verdana" w:cs="Century Gothic"/>
                <w:sz w:val="22"/>
                <w:szCs w:val="22"/>
              </w:rPr>
              <w:t>de donación</w:t>
            </w:r>
            <w:r>
              <w:rPr>
                <w:rFonts w:ascii="Verdana" w:eastAsia="Century Gothic" w:hAnsi="Verdana" w:cs="Century Gothic"/>
                <w:sz w:val="22"/>
                <w:szCs w:val="22"/>
              </w:rPr>
              <w:t xml:space="preserve"> y el procedimiento dependerá de los resultados que arroje el análisis previo que realice la entidad estatal contratante. </w:t>
            </w:r>
          </w:p>
          <w:p w14:paraId="788A73D8"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4C6B5D">
              <w:rPr>
                <w:rFonts w:ascii="Verdana" w:eastAsia="Century Gothic" w:hAnsi="Verdana" w:cs="Century Gothic"/>
                <w:sz w:val="22"/>
                <w:szCs w:val="22"/>
              </w:rPr>
              <w:t>Con todo, para cualquiera de las dos opciones aquí planteadas, los procedimientos deben estar precedidos de estudios previos que permitan estructurar, concretar y viabilizar los aspectos esenciales del futuro contrato, dentro de los cuales se encuentran su objeto y valor estimado, la justificación de la modalidad de selección utilizada, entre otros elementos propios que enmarcan la necesidad y las particularidades del negocio jurídico.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w:t>
            </w:r>
          </w:p>
          <w:p w14:paraId="728B2645" w14:textId="77777777" w:rsidR="00B932A5" w:rsidRDefault="00B932A5" w:rsidP="00FD0DA0">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4C6B5D">
              <w:rPr>
                <w:rFonts w:ascii="Verdana" w:eastAsia="Century Gothic" w:hAnsi="Verdana" w:cs="Century Gothic"/>
                <w:sz w:val="22"/>
                <w:szCs w:val="22"/>
              </w:rPr>
              <w:t>En consecuencia, en los estudios la entidad deberá evaluar, entre otros temas, el costo de los bienes donados, los riesgos y las posibles erogaciones que deba hacer la entidad con ocasión de la donación</w:t>
            </w:r>
            <w:r>
              <w:rPr>
                <w:rFonts w:ascii="Verdana" w:eastAsia="Century Gothic" w:hAnsi="Verdana" w:cs="Century Gothic"/>
                <w:sz w:val="22"/>
                <w:szCs w:val="22"/>
              </w:rPr>
              <w:t xml:space="preserve"> e incluso, </w:t>
            </w:r>
            <w:r w:rsidRPr="0079700F">
              <w:rPr>
                <w:rFonts w:ascii="Verdana" w:eastAsia="Century Gothic" w:hAnsi="Verdana" w:cs="Century Gothic"/>
                <w:sz w:val="22"/>
                <w:szCs w:val="22"/>
              </w:rPr>
              <w:t xml:space="preserve">en el caso de bienes inmuebles, </w:t>
            </w:r>
            <w:r>
              <w:rPr>
                <w:rFonts w:ascii="Verdana" w:eastAsia="Century Gothic" w:hAnsi="Verdana" w:cs="Century Gothic"/>
                <w:sz w:val="22"/>
                <w:szCs w:val="22"/>
              </w:rPr>
              <w:t xml:space="preserve">determinar las particularidades para la elaboración de la escritura pública ante notario, donde se especifique el </w:t>
            </w:r>
            <w:r w:rsidRPr="00A0655E">
              <w:rPr>
                <w:rFonts w:ascii="Verdana" w:eastAsia="Century Gothic" w:hAnsi="Verdana" w:cs="Century Gothic"/>
                <w:sz w:val="22"/>
                <w:szCs w:val="22"/>
              </w:rPr>
              <w:t>bien inmueble objeto de la donación y las condiciones de la misma</w:t>
            </w:r>
            <w:r>
              <w:rPr>
                <w:rFonts w:ascii="Verdana" w:eastAsia="Century Gothic" w:hAnsi="Verdana" w:cs="Century Gothic"/>
                <w:sz w:val="22"/>
                <w:szCs w:val="22"/>
              </w:rPr>
              <w:t xml:space="preserve">, y su inscripción en la </w:t>
            </w:r>
            <w:r w:rsidRPr="00B10F23">
              <w:rPr>
                <w:rFonts w:ascii="Verdana" w:eastAsia="Century Gothic" w:hAnsi="Verdana" w:cs="Century Gothic"/>
                <w:sz w:val="22"/>
                <w:szCs w:val="22"/>
              </w:rPr>
              <w:t>Oficina de Registro de Instrumentos Públicos correspondiente al lugar donde se encuentra ubicado el inmueble</w:t>
            </w:r>
            <w:r>
              <w:rPr>
                <w:rFonts w:ascii="Verdana" w:eastAsia="Century Gothic" w:hAnsi="Verdana" w:cs="Century Gothic"/>
                <w:sz w:val="22"/>
                <w:szCs w:val="22"/>
              </w:rPr>
              <w:t>. F</w:t>
            </w:r>
            <w:r w:rsidRPr="004C6B5D">
              <w:rPr>
                <w:rFonts w:ascii="Verdana" w:eastAsia="Century Gothic" w:hAnsi="Verdana" w:cs="Century Gothic"/>
                <w:sz w:val="22"/>
                <w:szCs w:val="22"/>
              </w:rPr>
              <w:t xml:space="preserve">inalmente, </w:t>
            </w:r>
            <w:r>
              <w:rPr>
                <w:rFonts w:ascii="Verdana" w:eastAsia="Century Gothic" w:hAnsi="Verdana" w:cs="Century Gothic"/>
                <w:sz w:val="22"/>
                <w:szCs w:val="22"/>
              </w:rPr>
              <w:t xml:space="preserve">resulta vital consignar </w:t>
            </w:r>
            <w:r w:rsidRPr="004C6B5D">
              <w:rPr>
                <w:rFonts w:ascii="Verdana" w:eastAsia="Century Gothic" w:hAnsi="Verdana" w:cs="Century Gothic"/>
                <w:sz w:val="22"/>
                <w:szCs w:val="22"/>
              </w:rPr>
              <w:t>el beneficio que se obtendrá con la donación</w:t>
            </w:r>
            <w:r>
              <w:rPr>
                <w:rFonts w:ascii="Verdana" w:eastAsia="Century Gothic" w:hAnsi="Verdana" w:cs="Century Gothic"/>
                <w:sz w:val="22"/>
                <w:szCs w:val="22"/>
              </w:rPr>
              <w:t xml:space="preserve"> y la</w:t>
            </w:r>
            <w:r w:rsidRPr="004C6B5D">
              <w:rPr>
                <w:rFonts w:ascii="Verdana" w:eastAsia="Century Gothic" w:hAnsi="Verdana" w:cs="Century Gothic"/>
                <w:sz w:val="22"/>
                <w:szCs w:val="22"/>
              </w:rPr>
              <w:t xml:space="preserve"> justifica</w:t>
            </w:r>
            <w:r>
              <w:rPr>
                <w:rFonts w:ascii="Verdana" w:eastAsia="Century Gothic" w:hAnsi="Verdana" w:cs="Century Gothic"/>
                <w:sz w:val="22"/>
                <w:szCs w:val="22"/>
              </w:rPr>
              <w:t>ción de</w:t>
            </w:r>
            <w:r w:rsidRPr="004C6B5D">
              <w:rPr>
                <w:rFonts w:ascii="Verdana" w:eastAsia="Century Gothic" w:hAnsi="Verdana" w:cs="Century Gothic"/>
                <w:sz w:val="22"/>
                <w:szCs w:val="22"/>
              </w:rPr>
              <w:t xml:space="preserve"> la elección del donatario, </w:t>
            </w:r>
            <w:r w:rsidRPr="004C6B5D">
              <w:rPr>
                <w:rFonts w:ascii="Verdana" w:eastAsia="Century Gothic" w:hAnsi="Verdana" w:cs="Century Gothic"/>
                <w:sz w:val="22"/>
                <w:szCs w:val="22"/>
              </w:rPr>
              <w:lastRenderedPageBreak/>
              <w:t>el beneficio para la entidad donataria con los bienes donados y su relación con los fines de la entidad, en observancia de lo previsto en el artículo 2.2.1.1.1.6.1 del Decreto 1082 de 2015.</w:t>
            </w:r>
          </w:p>
          <w:p w14:paraId="5F480832" w14:textId="77777777" w:rsidR="00B932A5" w:rsidRPr="00AC2920" w:rsidRDefault="00B932A5" w:rsidP="00FD0DA0">
            <w:pPr>
              <w:spacing w:before="120" w:line="276" w:lineRule="auto"/>
              <w:ind w:firstLine="709"/>
              <w:jc w:val="both"/>
            </w:pPr>
            <w:r w:rsidRPr="00B83801">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tc>
      </w:tr>
      <w:bookmarkEnd w:id="9"/>
    </w:tbl>
    <w:p w14:paraId="6DC32357" w14:textId="77777777" w:rsidR="00B932A5" w:rsidRDefault="00B932A5" w:rsidP="00B932A5">
      <w:pPr>
        <w:tabs>
          <w:tab w:val="left" w:pos="142"/>
          <w:tab w:val="left" w:pos="284"/>
        </w:tabs>
        <w:spacing w:after="0" w:line="276" w:lineRule="auto"/>
        <w:jc w:val="both"/>
        <w:rPr>
          <w:rFonts w:ascii="Verdana" w:eastAsia="Century Gothic" w:hAnsi="Verdana" w:cs="Century Gothic"/>
          <w:b/>
          <w:bCs/>
          <w:lang w:val="es-ES"/>
        </w:rPr>
      </w:pPr>
    </w:p>
    <w:p w14:paraId="722FB92A" w14:textId="77777777" w:rsidR="00B932A5" w:rsidRDefault="00B932A5" w:rsidP="00B932A5">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2BDF6424" w14:textId="77777777" w:rsidR="00B932A5" w:rsidRPr="00593A5F" w:rsidRDefault="00B932A5" w:rsidP="00B932A5">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34117180" w14:textId="77777777" w:rsidR="00B932A5" w:rsidRDefault="00B932A5" w:rsidP="00B932A5">
      <w:pPr>
        <w:pStyle w:val="NormalWeb"/>
        <w:spacing w:before="0" w:beforeAutospacing="0" w:after="12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 xml:space="preserve">Antes de abordar el objeto de su consulta, referente a establecer cuáles son los procedimientos contractuales aplicables para llevar a cabo la </w:t>
      </w:r>
      <w:r w:rsidRPr="00C67C97">
        <w:rPr>
          <w:rFonts w:ascii="Verdana" w:eastAsia="Century Gothic" w:hAnsi="Verdana" w:cs="Century Gothic"/>
          <w:i/>
          <w:iCs/>
          <w:sz w:val="22"/>
          <w:szCs w:val="22"/>
        </w:rPr>
        <w:t>donación</w:t>
      </w:r>
      <w:r>
        <w:rPr>
          <w:rFonts w:ascii="Verdana" w:eastAsia="Century Gothic" w:hAnsi="Verdana" w:cs="Century Gothic"/>
          <w:sz w:val="22"/>
          <w:szCs w:val="22"/>
        </w:rPr>
        <w:t xml:space="preserve"> de bienes del Estado, -sin que se precise sobre si son bienes muebles o inmuebles, por lo que nos referiremos a los dos supuestos- entre entidades estatales, se expondrá el contexto sobre la facultad que estas tienen para llevar a cabo tales donaciones a favor de entidades sujetas al derecho público y su autorización en la legislación colombiana.</w:t>
      </w:r>
    </w:p>
    <w:p w14:paraId="1C3C0CBA" w14:textId="77777777" w:rsidR="00B932A5" w:rsidDel="002740DA" w:rsidRDefault="00B932A5" w:rsidP="00B932A5">
      <w:pPr>
        <w:pStyle w:val="NormalWeb"/>
        <w:spacing w:before="0" w:beforeAutospacing="0" w:after="12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ab/>
        <w:t>El EGCAP, contenido en la Ley 80 de 1993 principalmente, tiene por objeto el de disponer las reglas y principios que rigen los contratos de las entidades estatales</w:t>
      </w:r>
      <w:r>
        <w:rPr>
          <w:rStyle w:val="Refdenotaalpie"/>
          <w:rFonts w:ascii="Verdana" w:eastAsia="Century Gothic" w:hAnsi="Verdana" w:cs="Century Gothic"/>
          <w:sz w:val="22"/>
          <w:szCs w:val="22"/>
        </w:rPr>
        <w:footnoteReference w:id="1"/>
      </w:r>
      <w:r>
        <w:rPr>
          <w:rFonts w:ascii="Verdana" w:eastAsia="Century Gothic" w:hAnsi="Verdana" w:cs="Century Gothic"/>
          <w:sz w:val="22"/>
          <w:szCs w:val="22"/>
        </w:rPr>
        <w:t>. Por una parte, el artículo 2 señala el ámbito de aplicación cuando define cuáles son las entidades estatales para los solos efectos de la Ley</w:t>
      </w:r>
      <w:r>
        <w:rPr>
          <w:rStyle w:val="Refdenotaalpie"/>
          <w:rFonts w:ascii="Verdana" w:eastAsia="Century Gothic" w:hAnsi="Verdana" w:cs="Century Gothic"/>
          <w:sz w:val="22"/>
          <w:szCs w:val="22"/>
        </w:rPr>
        <w:footnoteReference w:id="2"/>
      </w:r>
      <w:r>
        <w:rPr>
          <w:rFonts w:ascii="Verdana" w:eastAsia="Century Gothic" w:hAnsi="Verdana" w:cs="Century Gothic"/>
          <w:sz w:val="22"/>
          <w:szCs w:val="22"/>
        </w:rPr>
        <w:t xml:space="preserve">. Por </w:t>
      </w:r>
      <w:r>
        <w:rPr>
          <w:rFonts w:ascii="Verdana" w:eastAsia="Century Gothic" w:hAnsi="Verdana" w:cs="Century Gothic"/>
          <w:sz w:val="22"/>
          <w:szCs w:val="22"/>
        </w:rPr>
        <w:lastRenderedPageBreak/>
        <w:t xml:space="preserve">otra </w:t>
      </w:r>
      <w:r w:rsidDel="004F3C1D">
        <w:rPr>
          <w:rFonts w:ascii="Verdana" w:eastAsia="Century Gothic" w:hAnsi="Verdana" w:cs="Century Gothic"/>
          <w:sz w:val="22"/>
          <w:szCs w:val="22"/>
        </w:rPr>
        <w:t xml:space="preserve">parte, el artículo 3 </w:t>
      </w:r>
      <w:r w:rsidRPr="00B630B9">
        <w:rPr>
          <w:rFonts w:ascii="Verdana" w:eastAsia="Century Gothic" w:hAnsi="Verdana" w:cs="Century Gothic"/>
          <w:sz w:val="22"/>
          <w:szCs w:val="22"/>
        </w:rPr>
        <w:t xml:space="preserve">fija como </w:t>
      </w:r>
      <w:r>
        <w:rPr>
          <w:rStyle w:val="Refdenotaalpie"/>
          <w:rFonts w:ascii="Verdana" w:eastAsia="Century Gothic" w:hAnsi="Verdana" w:cs="Century Gothic"/>
          <w:sz w:val="22"/>
          <w:szCs w:val="22"/>
        </w:rPr>
        <w:footnoteReference w:id="3"/>
      </w:r>
      <w:r w:rsidRPr="00B630B9">
        <w:rPr>
          <w:rFonts w:ascii="Verdana" w:eastAsia="Century Gothic" w:hAnsi="Verdana" w:cs="Century Gothic"/>
          <w:sz w:val="22"/>
          <w:szCs w:val="22"/>
        </w:rPr>
        <w:t xml:space="preserve"> de la contratación estatal</w:t>
      </w:r>
      <w:r w:rsidRPr="3B2C2CC7">
        <w:rPr>
          <w:rFonts w:ascii="Verdana" w:eastAsia="Century Gothic" w:hAnsi="Verdana" w:cs="Century Gothic"/>
          <w:sz w:val="22"/>
          <w:szCs w:val="22"/>
        </w:rPr>
        <w:t xml:space="preserve"> que las entidades estatales, mediante la correcta celebración y ejecución de los contratos, logren materializar los fines del Estado, optimicen su gestión administrativa —especialmente en lo relacionado con la prestación de los servicios públicos— y garanticen el ejercicio efectivo de los derechos de los particulares que cooperan en la realización de sus objetivos institucionales</w:t>
      </w:r>
      <w:r w:rsidRPr="3B2C2CC7">
        <w:rPr>
          <w:rStyle w:val="Refdenotaalpie"/>
          <w:rFonts w:ascii="Verdana" w:eastAsia="Century Gothic" w:hAnsi="Verdana" w:cs="Century Gothic"/>
          <w:sz w:val="22"/>
          <w:szCs w:val="22"/>
        </w:rPr>
        <w:footnoteReference w:id="4"/>
      </w:r>
      <w:r w:rsidRPr="3B2C2CC7">
        <w:rPr>
          <w:rFonts w:ascii="Verdana" w:eastAsia="Century Gothic" w:hAnsi="Verdana" w:cs="Century Gothic"/>
          <w:sz w:val="22"/>
          <w:szCs w:val="22"/>
        </w:rPr>
        <w:t>.</w:t>
      </w:r>
    </w:p>
    <w:p w14:paraId="46C0EB26"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ab/>
        <w:t>Sobre los contratos a lo que hace mención el Estatuto, deben considerarse todos aquellos que celebren las entidades estatales enlistadas en el artículo 2 que, como se sabe, muchos de ellos están regulados especialmente en las normas del derecho privado (civil y comercial). Justamente, en concordancia con lo expuesto, el artículo 13 del Estatuto establece:</w:t>
      </w:r>
    </w:p>
    <w:p w14:paraId="7209F7C1"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p>
    <w:p w14:paraId="037296FC" w14:textId="77777777" w:rsidR="00B932A5" w:rsidRPr="00D27C22"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“Artículo 13. De la normatividad aplicable a los contratos estatales. Los contratos que celebren las entidades a que se refiere el artículo 2° del presente estatuto se regirán por las disposiciones comerciales y civiles pertinentes, salvo en las materias particularmente reguladas en esta ley. [...]”</w:t>
      </w:r>
    </w:p>
    <w:p w14:paraId="5E16FC5D" w14:textId="77777777" w:rsidR="00B932A5" w:rsidRDefault="00B932A5" w:rsidP="00B932A5">
      <w:pPr>
        <w:pStyle w:val="NormalWeb"/>
        <w:spacing w:before="0" w:beforeAutospacing="0" w:after="0" w:afterAutospacing="0"/>
        <w:ind w:left="709" w:right="709"/>
        <w:jc w:val="both"/>
        <w:rPr>
          <w:rFonts w:ascii="Verdana" w:eastAsia="Century Gothic" w:hAnsi="Verdana" w:cs="Century Gothic"/>
          <w:sz w:val="21"/>
          <w:szCs w:val="21"/>
        </w:rPr>
      </w:pPr>
    </w:p>
    <w:p w14:paraId="32DC6C2E" w14:textId="77777777" w:rsidR="00B932A5" w:rsidRDefault="00B932A5" w:rsidP="00B932A5">
      <w:pPr>
        <w:spacing w:after="120" w:line="276" w:lineRule="auto"/>
        <w:ind w:firstLine="709"/>
        <w:jc w:val="both"/>
        <w:rPr>
          <w:rFonts w:ascii="Verdana" w:hAnsi="Verdana" w:cs="Arial"/>
        </w:rPr>
      </w:pPr>
      <w:r w:rsidRPr="3B2C2CC7">
        <w:rPr>
          <w:rFonts w:ascii="Verdana" w:hAnsi="Verdana" w:cs="Arial"/>
        </w:rPr>
        <w:t xml:space="preserve">Dicha idea también se reitera en el inciso primero del artículo 32 del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 Asimismo, el inciso primero del artículo 40 </w:t>
      </w:r>
      <w:r w:rsidRPr="3B2C2CC7">
        <w:rPr>
          <w:rFonts w:ascii="Verdana" w:hAnsi="Verdana" w:cs="Arial"/>
          <w:i/>
          <w:iCs/>
        </w:rPr>
        <w:t>ibidem</w:t>
      </w:r>
      <w:r w:rsidRPr="3B2C2CC7">
        <w:rPr>
          <w:rFonts w:ascii="Verdana" w:hAnsi="Verdana" w:cs="Arial"/>
        </w:rPr>
        <w:t xml:space="preserve"> dispone que “Las estipulaciones de los contratos serán las que, de acuerdo con las normas civiles, comerciales y las previstas en esta ley, correspondan a su esencia y naturaleza”.</w:t>
      </w:r>
    </w:p>
    <w:p w14:paraId="4D2EE5DF" w14:textId="77777777" w:rsidR="00B932A5" w:rsidRDefault="00B932A5" w:rsidP="00B932A5">
      <w:pPr>
        <w:spacing w:after="120" w:line="276" w:lineRule="auto"/>
        <w:ind w:firstLine="709"/>
        <w:jc w:val="both"/>
        <w:rPr>
          <w:rFonts w:ascii="Verdana" w:eastAsia="Century Gothic" w:hAnsi="Verdana" w:cs="Century Gothic"/>
        </w:rPr>
      </w:pPr>
      <w:r w:rsidRPr="3B2C2CC7">
        <w:rPr>
          <w:rFonts w:ascii="Verdana" w:hAnsi="Verdana" w:cs="Arial"/>
        </w:rPr>
        <w:t xml:space="preserve">Lo anterior permite concluir, de manera preliminar, que las entidades estatales están facultadas para celebrar contratos que se deriven del derecho privado y de disposiciones especiales por virtud de la autonomía de la voluntad, </w:t>
      </w:r>
      <w:r w:rsidRPr="3B2C2CC7">
        <w:rPr>
          <w:rFonts w:ascii="Verdana" w:hAnsi="Verdana" w:cs="Arial"/>
        </w:rPr>
        <w:lastRenderedPageBreak/>
        <w:t>así como los contratos especiales que contempla, de manera enunciativa, el propio EGCAP.</w:t>
      </w:r>
      <w:r>
        <w:tab/>
      </w:r>
    </w:p>
    <w:p w14:paraId="1B356897"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ab/>
        <w:t xml:space="preserve">Ahora bien, entrando en la materia de consulta, sobre el contrato de donación, podría decirse que aquel hace parte de los contratos nominados en el derecho privado, pero no ha sido desarrollado de manera especial, ni cuenta con una regulación amplía que abarque su concepto, alcance y contenido. Incluso, la </w:t>
      </w:r>
      <w:r w:rsidRPr="006C3C6D">
        <w:rPr>
          <w:rFonts w:ascii="Verdana" w:eastAsia="Century Gothic" w:hAnsi="Verdana" w:cs="Century Gothic"/>
          <w:sz w:val="22"/>
          <w:szCs w:val="22"/>
        </w:rPr>
        <w:t>Subsección A, de la Sección Tercera del Consejo de Estado, se pronunció sobre este tema en Sentencia del 10 de febrero de 2016, radicación núm. 15001-23-31-000-2003-00628-01 (39538),</w:t>
      </w:r>
      <w:r>
        <w:rPr>
          <w:rFonts w:ascii="Verdana" w:eastAsia="Century Gothic" w:hAnsi="Verdana" w:cs="Century Gothic"/>
          <w:sz w:val="22"/>
          <w:szCs w:val="22"/>
        </w:rPr>
        <w:t xml:space="preserve"> al señalar que:</w:t>
      </w:r>
    </w:p>
    <w:p w14:paraId="6AFA34C1"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p>
    <w:p w14:paraId="1BC6D065"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 xml:space="preserve">El contrato de donación marcado por el sino de la liberalidad y, por lo mismo, de algún recelo en cuanto a sus fines y respecto a la integridad del patrimonio del donante, no ha gozado de una regulación normativa prolija que ofrezca claridad palmaria en cuanto a su concepto, contenido y alcance. En efecto, en primer lugar, el Código Civil ubica a la figura en su (sic) del Libro III (De la sucesión por causa de muerte, y de las donaciones entre vivos) y no, como hubiese sido pertinente, dentro del Libro IV (De las obligaciones en general y de los contratos) en tanto, como se precisará, corresponde a una relación de tipo contractual. </w:t>
      </w:r>
    </w:p>
    <w:p w14:paraId="353564F8"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p>
    <w:p w14:paraId="5C6F535C"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 xml:space="preserve">Al momento de su conceptualización la donación corrió igual fortuna, pues el artículo 1443 del Código Civil la define como el acto por el cual una persona transfiere, gratuita e irrevocablemente, una parte de sus bienes a otra que la acepta, lo que resulta de suyo impreciso, en tanto se está ante un verdadero contrato y no un mero acto, pues a él no solo concurre la voluntad dispositiva de aquel que pretende desprenderse de parte de su patrimonio, sino que requiere, para su perfeccionamiento, la aceptación de quien recibirá el beneficio económico: donante y donatario han de participar en la formación del acto mediante el concurso de sus voluntades en torno de la prestación que constituye el objeto de la relación negocial. El contrato de donación, en últimas, constituirá el título traslaticio del dominio, tal como lo previene el artículo 745 del Código Civil. </w:t>
      </w:r>
    </w:p>
    <w:p w14:paraId="35DDE563"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p>
    <w:p w14:paraId="1CB5CF33"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 xml:space="preserve">En términos generales, la donación ha de entenderse, por regla general, como un contrato unilateral, gratuito, irrevocable, de naturaleza recepticia, en el que participa el donante como único obligado en la relación y quien se desprende de parte de su patrimonio, por una parte, y, por la otra, el donatario quien, por lo general, no asume ningún tipo de obligación y percibe un incremento patrimonial correspondiente a la prestación a la que el donante se ha obligado. </w:t>
      </w:r>
    </w:p>
    <w:p w14:paraId="05DA8EE7"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p>
    <w:p w14:paraId="2CA8F050"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000C5837">
        <w:rPr>
          <w:rFonts w:ascii="Verdana" w:eastAsia="Century Gothic" w:hAnsi="Verdana" w:cs="Century Gothic"/>
          <w:sz w:val="20"/>
          <w:szCs w:val="20"/>
        </w:rPr>
        <w:t xml:space="preserve">Es unilateral, por regla general, en tanto solo el donante se obliga para con el donatario, que no contrae obligación alguna; no obstante, </w:t>
      </w:r>
      <w:r w:rsidRPr="000C5837">
        <w:rPr>
          <w:rFonts w:ascii="Verdana" w:eastAsia="Century Gothic" w:hAnsi="Verdana" w:cs="Century Gothic"/>
          <w:sz w:val="20"/>
          <w:szCs w:val="20"/>
        </w:rPr>
        <w:lastRenderedPageBreak/>
        <w:t>excepcionalmente, el donatario puede quedar obligado cuandoquiera que la liberalidad va acompañada por cargas o gravámenes. Su gratuidad está determinada porque su efecto práctico se encamina a la utilidad de una de las partes, sufriendo la otra el gravamen. El contrato de donación, además, es irrevocable en tanto ello deriva de su naturaleza contractual y se opone a la revocabilidad propia de las asignaciones testamentarias. El carácter recepticio anotado deviene, también, de su naturaleza contractual, pues el perfeccionamiento del contrato surge a partir de la confluencia de la voluntad de donante y donatario</w:t>
      </w:r>
      <w:r w:rsidRPr="000C5837">
        <w:rPr>
          <w:rStyle w:val="Refdenotaalpie"/>
          <w:rFonts w:ascii="Verdana" w:eastAsia="Century Gothic" w:hAnsi="Verdana" w:cs="Century Gothic"/>
          <w:sz w:val="20"/>
          <w:szCs w:val="20"/>
        </w:rPr>
        <w:footnoteReference w:id="5"/>
      </w:r>
      <w:r w:rsidRPr="000C5837">
        <w:rPr>
          <w:rFonts w:ascii="Verdana" w:eastAsia="Century Gothic" w:hAnsi="Verdana" w:cs="Century Gothic"/>
          <w:sz w:val="20"/>
          <w:szCs w:val="20"/>
        </w:rPr>
        <w:t>.</w:t>
      </w:r>
    </w:p>
    <w:p w14:paraId="6817EFF9"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p>
    <w:p w14:paraId="795E0529" w14:textId="77777777" w:rsidR="00B932A5"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t>De lo anterior se colige que</w:t>
      </w:r>
      <w:r w:rsidRPr="007764EA">
        <w:rPr>
          <w:rFonts w:ascii="Verdana" w:eastAsia="Century Gothic" w:hAnsi="Verdana" w:cs="Century Gothic"/>
          <w:sz w:val="22"/>
          <w:szCs w:val="22"/>
        </w:rPr>
        <w:t xml:space="preserve"> la </w:t>
      </w:r>
      <w:r w:rsidRPr="00826219">
        <w:rPr>
          <w:rFonts w:ascii="Verdana" w:eastAsia="Century Gothic" w:hAnsi="Verdana" w:cs="Century Gothic"/>
          <w:i/>
          <w:iCs/>
          <w:sz w:val="22"/>
          <w:szCs w:val="22"/>
        </w:rPr>
        <w:t>donación</w:t>
      </w:r>
      <w:r w:rsidRPr="007764EA">
        <w:rPr>
          <w:rFonts w:ascii="Verdana" w:eastAsia="Century Gothic" w:hAnsi="Verdana" w:cs="Century Gothic"/>
          <w:sz w:val="22"/>
          <w:szCs w:val="22"/>
        </w:rPr>
        <w:t xml:space="preserve"> </w:t>
      </w:r>
      <w:r>
        <w:rPr>
          <w:rFonts w:ascii="Verdana" w:eastAsia="Century Gothic" w:hAnsi="Verdana" w:cs="Century Gothic"/>
          <w:sz w:val="22"/>
          <w:szCs w:val="22"/>
        </w:rPr>
        <w:t>está</w:t>
      </w:r>
      <w:r w:rsidRPr="007764EA">
        <w:rPr>
          <w:rFonts w:ascii="Verdana" w:eastAsia="Century Gothic" w:hAnsi="Verdana" w:cs="Century Gothic"/>
          <w:sz w:val="22"/>
          <w:szCs w:val="22"/>
        </w:rPr>
        <w:t xml:space="preserve"> tipificada en el Código Civil</w:t>
      </w:r>
      <w:r>
        <w:rPr>
          <w:rFonts w:ascii="Verdana" w:eastAsia="Century Gothic" w:hAnsi="Verdana" w:cs="Century Gothic"/>
          <w:sz w:val="22"/>
          <w:szCs w:val="22"/>
        </w:rPr>
        <w:t xml:space="preserve">, en su </w:t>
      </w:r>
      <w:r w:rsidRPr="007764EA">
        <w:rPr>
          <w:rFonts w:ascii="Verdana" w:eastAsia="Century Gothic" w:hAnsi="Verdana" w:cs="Century Gothic"/>
          <w:sz w:val="22"/>
          <w:szCs w:val="22"/>
        </w:rPr>
        <w:t xml:space="preserve">artículo 1443, </w:t>
      </w:r>
      <w:r>
        <w:rPr>
          <w:rFonts w:ascii="Verdana" w:eastAsia="Century Gothic" w:hAnsi="Verdana" w:cs="Century Gothic"/>
          <w:sz w:val="22"/>
          <w:szCs w:val="22"/>
        </w:rPr>
        <w:t>catalogándolo como un</w:t>
      </w:r>
      <w:r w:rsidRPr="00535C12">
        <w:rPr>
          <w:rFonts w:ascii="Verdana" w:eastAsia="Century Gothic" w:hAnsi="Verdana" w:cs="Century Gothic"/>
          <w:i/>
          <w:iCs/>
          <w:sz w:val="22"/>
          <w:szCs w:val="22"/>
        </w:rPr>
        <w:t xml:space="preserve"> </w:t>
      </w:r>
      <w:r w:rsidRPr="00C03A99">
        <w:rPr>
          <w:rFonts w:ascii="Verdana" w:eastAsia="Century Gothic" w:hAnsi="Verdana" w:cs="Century Gothic"/>
          <w:i/>
          <w:iCs/>
          <w:sz w:val="22"/>
          <w:szCs w:val="22"/>
        </w:rPr>
        <w:t>acto</w:t>
      </w:r>
      <w:r w:rsidRPr="00C03A99">
        <w:rPr>
          <w:rFonts w:ascii="Verdana" w:eastAsia="Century Gothic" w:hAnsi="Verdana" w:cs="Century Gothic"/>
          <w:sz w:val="22"/>
          <w:szCs w:val="22"/>
        </w:rPr>
        <w:t xml:space="preserve"> por el cual una persona transfiere, gratuita e irrevocablemente, una parte de sus bienes a otra persona que la acepta</w:t>
      </w:r>
      <w:r w:rsidRPr="00535C12">
        <w:rPr>
          <w:rFonts w:ascii="Verdana" w:eastAsia="Century Gothic" w:hAnsi="Verdana" w:cs="Century Gothic"/>
          <w:i/>
          <w:iCs/>
          <w:sz w:val="22"/>
          <w:szCs w:val="22"/>
        </w:rPr>
        <w:t xml:space="preserve">.  </w:t>
      </w:r>
      <w:r>
        <w:rPr>
          <w:rFonts w:ascii="Verdana" w:eastAsia="Century Gothic" w:hAnsi="Verdana" w:cs="Century Gothic"/>
          <w:sz w:val="22"/>
          <w:szCs w:val="22"/>
        </w:rPr>
        <w:t>Sin embargo, como se observa, el Consejo de Estado critica su acepción</w:t>
      </w:r>
      <w:r w:rsidRPr="0063150E">
        <w:rPr>
          <w:rFonts w:ascii="Verdana" w:eastAsia="Century Gothic" w:hAnsi="Verdana" w:cs="Century Gothic"/>
          <w:sz w:val="22"/>
          <w:szCs w:val="22"/>
        </w:rPr>
        <w:t>, pues –más que un simple “acto”– la donación tiene la naturaleza contractual</w:t>
      </w:r>
      <w:r>
        <w:rPr>
          <w:rFonts w:ascii="Verdana" w:eastAsia="Century Gothic" w:hAnsi="Verdana" w:cs="Century Gothic"/>
          <w:sz w:val="22"/>
          <w:szCs w:val="22"/>
        </w:rPr>
        <w:t xml:space="preserve"> </w:t>
      </w:r>
      <w:r w:rsidRPr="0063150E">
        <w:rPr>
          <w:rFonts w:ascii="Verdana" w:eastAsia="Century Gothic" w:hAnsi="Verdana" w:cs="Century Gothic"/>
          <w:sz w:val="22"/>
          <w:szCs w:val="22"/>
        </w:rPr>
        <w:t>pues</w:t>
      </w:r>
      <w:r>
        <w:rPr>
          <w:rFonts w:ascii="Verdana" w:eastAsia="Century Gothic" w:hAnsi="Verdana" w:cs="Century Gothic"/>
          <w:sz w:val="22"/>
          <w:szCs w:val="22"/>
        </w:rPr>
        <w:t>,</w:t>
      </w:r>
      <w:r w:rsidRPr="0063150E">
        <w:rPr>
          <w:rFonts w:ascii="Verdana" w:eastAsia="Century Gothic" w:hAnsi="Verdana" w:cs="Century Gothic"/>
          <w:sz w:val="22"/>
          <w:szCs w:val="22"/>
        </w:rPr>
        <w:t xml:space="preserve"> aunque en la mayoría de los casos imponga obligaciones a una sola de las partes, surge del acuerdo de voluntades</w:t>
      </w:r>
      <w:r w:rsidRPr="004A5762">
        <w:rPr>
          <w:rStyle w:val="Refdenotaalpie"/>
          <w:rFonts w:ascii="Verdana" w:eastAsiaTheme="majorEastAsia" w:hAnsi="Verdana" w:cs="Arial"/>
          <w:sz w:val="22"/>
          <w:szCs w:val="22"/>
        </w:rPr>
        <w:footnoteReference w:id="6"/>
      </w:r>
      <w:r>
        <w:rPr>
          <w:rFonts w:ascii="Verdana" w:eastAsia="Century Gothic" w:hAnsi="Verdana" w:cs="Century Gothic"/>
          <w:sz w:val="22"/>
          <w:szCs w:val="22"/>
        </w:rPr>
        <w:t xml:space="preserve">. </w:t>
      </w:r>
    </w:p>
    <w:p w14:paraId="26F8F0B4" w14:textId="77777777" w:rsidR="00B932A5"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sidRPr="007764EA">
        <w:rPr>
          <w:rFonts w:ascii="Verdana" w:eastAsia="Century Gothic" w:hAnsi="Verdana" w:cs="Century Gothic"/>
          <w:sz w:val="22"/>
          <w:szCs w:val="22"/>
        </w:rPr>
        <w:t xml:space="preserve">Por su parte, GUZMÁN BRITO define la </w:t>
      </w:r>
      <w:r w:rsidRPr="00092F11">
        <w:rPr>
          <w:rFonts w:ascii="Verdana" w:eastAsia="Century Gothic" w:hAnsi="Verdana" w:cs="Century Gothic"/>
          <w:i/>
          <w:iCs/>
          <w:sz w:val="22"/>
          <w:szCs w:val="22"/>
        </w:rPr>
        <w:t>donación</w:t>
      </w:r>
      <w:r w:rsidRPr="007764EA">
        <w:rPr>
          <w:rFonts w:ascii="Verdana" w:eastAsia="Century Gothic" w:hAnsi="Verdana" w:cs="Century Gothic"/>
          <w:sz w:val="22"/>
          <w:szCs w:val="22"/>
        </w:rPr>
        <w:t xml:space="preserve"> como “[…] </w:t>
      </w:r>
      <w:r w:rsidRPr="004A5762">
        <w:rPr>
          <w:rFonts w:ascii="Verdana" w:eastAsia="Century Gothic" w:hAnsi="Verdana" w:cs="Century Gothic"/>
          <w:i/>
          <w:iCs/>
          <w:sz w:val="22"/>
          <w:szCs w:val="22"/>
        </w:rPr>
        <w:t>la atribución convencional dispositiva entre vivos, no debida, gratuita y lucrativa de una cosa corporal o incorporal o de un valor, que disminuyendo el patrimonio del donante</w:t>
      </w:r>
      <w:r>
        <w:rPr>
          <w:rFonts w:ascii="Verdana" w:eastAsia="Century Gothic" w:hAnsi="Verdana" w:cs="Century Gothic"/>
          <w:i/>
          <w:iCs/>
          <w:sz w:val="22"/>
          <w:szCs w:val="22"/>
        </w:rPr>
        <w:t xml:space="preserve"> y</w:t>
      </w:r>
      <w:r w:rsidRPr="004A5762">
        <w:rPr>
          <w:rFonts w:ascii="Verdana" w:eastAsia="Century Gothic" w:hAnsi="Verdana" w:cs="Century Gothic"/>
          <w:i/>
          <w:iCs/>
          <w:sz w:val="22"/>
          <w:szCs w:val="22"/>
        </w:rPr>
        <w:t xml:space="preserve"> aumenta el del donatario</w:t>
      </w:r>
      <w:r w:rsidRPr="007764EA">
        <w:rPr>
          <w:rFonts w:ascii="Verdana" w:eastAsia="Century Gothic" w:hAnsi="Verdana" w:cs="Century Gothic"/>
          <w:sz w:val="22"/>
          <w:szCs w:val="22"/>
        </w:rPr>
        <w:t xml:space="preserve">”. Este carácter atributivo no es de naturaleza legal –como sucede en la adjudicación del tesoro encontrado en terreno ajeno conforme a las reglas del artículo 701 del Código Civil–, no tiene como propósito entregar la mera tenencia de la cosa –como sucede en los contratos de comodato o </w:t>
      </w:r>
      <w:r w:rsidRPr="007764EA">
        <w:rPr>
          <w:rFonts w:ascii="Verdana" w:eastAsia="Century Gothic" w:hAnsi="Verdana" w:cs="Century Gothic"/>
          <w:sz w:val="22"/>
          <w:szCs w:val="22"/>
        </w:rPr>
        <w:lastRenderedPageBreak/>
        <w:t>arrendamiento–, ni se origina en aplicación de las reglas de la sucesión por causa de muerte. Asimismo, la donación es una liberalidad y depende completamente de la voluntad del donante, por lo que –a diferencia de la compraventa, por ejemplo– la transferencia de la cosa no surge de un acto debido. Esta liberalidad entraña, por un lado, la falta de contraprestación –gratuidad– y, por otro, la ausencia del deber de restituir lo donado –</w:t>
      </w:r>
      <w:proofErr w:type="spellStart"/>
      <w:r w:rsidRPr="007764EA">
        <w:rPr>
          <w:rFonts w:ascii="Verdana" w:eastAsia="Century Gothic" w:hAnsi="Verdana" w:cs="Century Gothic"/>
          <w:sz w:val="22"/>
          <w:szCs w:val="22"/>
        </w:rPr>
        <w:t>lucratividad</w:t>
      </w:r>
      <w:proofErr w:type="spellEnd"/>
      <w:r w:rsidRPr="007764EA">
        <w:rPr>
          <w:rFonts w:ascii="Verdana" w:eastAsia="Century Gothic" w:hAnsi="Verdana" w:cs="Century Gothic"/>
          <w:sz w:val="22"/>
          <w:szCs w:val="22"/>
        </w:rPr>
        <w:t>–. Por tanto, es necesario una modificación en el patrimonio de las partes involucradas en el negocio jurídico</w:t>
      </w:r>
      <w:r w:rsidRPr="00FA5CE3">
        <w:rPr>
          <w:rStyle w:val="Refdenotaalpie"/>
          <w:rFonts w:ascii="Verdana" w:eastAsiaTheme="majorEastAsia" w:hAnsi="Verdana" w:cs="Arial"/>
          <w:sz w:val="22"/>
          <w:szCs w:val="22"/>
        </w:rPr>
        <w:footnoteReference w:id="7"/>
      </w:r>
      <w:r w:rsidRPr="007764EA">
        <w:rPr>
          <w:rFonts w:ascii="Verdana" w:eastAsia="Century Gothic" w:hAnsi="Verdana" w:cs="Century Gothic"/>
          <w:sz w:val="22"/>
          <w:szCs w:val="22"/>
        </w:rPr>
        <w:t xml:space="preserve">.  </w:t>
      </w:r>
    </w:p>
    <w:p w14:paraId="3736F824" w14:textId="77777777" w:rsidR="00B932A5" w:rsidRPr="007764EA"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t>Como aspectos a destacar, a</w:t>
      </w:r>
      <w:r w:rsidRPr="007764EA">
        <w:rPr>
          <w:rFonts w:ascii="Verdana" w:eastAsia="Century Gothic" w:hAnsi="Verdana" w:cs="Century Gothic"/>
          <w:sz w:val="22"/>
          <w:szCs w:val="22"/>
        </w:rPr>
        <w:t xml:space="preserve">demás de nominado, la </w:t>
      </w:r>
      <w:r w:rsidRPr="00092F11">
        <w:rPr>
          <w:rFonts w:ascii="Verdana" w:eastAsia="Century Gothic" w:hAnsi="Verdana" w:cs="Century Gothic"/>
          <w:i/>
          <w:iCs/>
          <w:sz w:val="22"/>
          <w:szCs w:val="22"/>
        </w:rPr>
        <w:t>donación</w:t>
      </w:r>
      <w:r w:rsidRPr="007764EA">
        <w:rPr>
          <w:rFonts w:ascii="Verdana" w:eastAsia="Century Gothic" w:hAnsi="Verdana" w:cs="Century Gothic"/>
          <w:sz w:val="22"/>
          <w:szCs w:val="22"/>
        </w:rPr>
        <w:t xml:space="preserve"> es un contrato principal y gratuito, pues subsiste por sí mismo sin necesidad de una convención adicional –art. 1499 del CC– y tiene por objeto la utilidad de una sola de las partes –art. 1497 del CC–. Aunque por regla general es un contrato unilateral, es decir, una las partes se obligan para con otra que no contrae obligación alguna –art. 1496 del CC–, existen ciertos tipos de donaciones –como aquellas con causa onerosa, con gravamen o sujetas a modalidades– que generan compromisos para ambas. En estos casos, la donación será un contrato bilateral pero gratuito</w:t>
      </w:r>
      <w:r w:rsidRPr="00395628">
        <w:rPr>
          <w:rStyle w:val="Refdenotaalpie"/>
          <w:rFonts w:ascii="Verdana" w:eastAsiaTheme="majorEastAsia" w:hAnsi="Verdana" w:cs="Arial"/>
          <w:sz w:val="22"/>
          <w:szCs w:val="22"/>
        </w:rPr>
        <w:footnoteReference w:id="8"/>
      </w:r>
      <w:r w:rsidRPr="007764EA">
        <w:rPr>
          <w:rFonts w:ascii="Verdana" w:eastAsia="Century Gothic" w:hAnsi="Verdana" w:cs="Century Gothic"/>
          <w:sz w:val="22"/>
          <w:szCs w:val="22"/>
        </w:rPr>
        <w:t xml:space="preserve">.    </w:t>
      </w:r>
    </w:p>
    <w:p w14:paraId="52DA533F" w14:textId="77777777" w:rsidR="00B932A5" w:rsidRPr="007764EA"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t>Sin</w:t>
      </w:r>
      <w:r w:rsidRPr="007764EA">
        <w:rPr>
          <w:rFonts w:ascii="Verdana" w:eastAsia="Century Gothic" w:hAnsi="Verdana" w:cs="Century Gothic"/>
          <w:sz w:val="22"/>
          <w:szCs w:val="22"/>
        </w:rPr>
        <w:t xml:space="preserve"> perjuicio de la formalidad escrita que exige el inciso primero del artículo 41 del EGCAP, </w:t>
      </w:r>
      <w:r>
        <w:rPr>
          <w:rFonts w:ascii="Verdana" w:eastAsia="Century Gothic" w:hAnsi="Verdana" w:cs="Century Gothic"/>
          <w:sz w:val="22"/>
          <w:szCs w:val="22"/>
        </w:rPr>
        <w:t xml:space="preserve">el contrato </w:t>
      </w:r>
      <w:r w:rsidRPr="007764EA">
        <w:rPr>
          <w:rFonts w:ascii="Verdana" w:eastAsia="Century Gothic" w:hAnsi="Verdana" w:cs="Century Gothic"/>
          <w:sz w:val="22"/>
          <w:szCs w:val="22"/>
        </w:rPr>
        <w:t>puede tener naturaleza consensual o solemne. De acuerdo con el artículo 1458 del Código Civil, “</w:t>
      </w:r>
      <w:r w:rsidRPr="00496B38">
        <w:rPr>
          <w:rFonts w:ascii="Verdana" w:eastAsia="Century Gothic" w:hAnsi="Verdana" w:cs="Century Gothic"/>
          <w:i/>
          <w:iCs/>
          <w:sz w:val="22"/>
          <w:szCs w:val="22"/>
        </w:rPr>
        <w:t>Corresponde al notario autorizar mediante escritura pública, las donaciones cuyo valor exceda la suma de cincuenta (50) salarios mínimos mensuales, siempre que donante y donatario sean plenamente capaces, lo soliciten de común acuerdo y no se contravenga ninguna disposición legal</w:t>
      </w:r>
      <w:r w:rsidRPr="007764EA">
        <w:rPr>
          <w:rFonts w:ascii="Verdana" w:eastAsia="Century Gothic" w:hAnsi="Verdana" w:cs="Century Gothic"/>
          <w:sz w:val="22"/>
          <w:szCs w:val="22"/>
        </w:rPr>
        <w:t>”; razón por la cual, “</w:t>
      </w:r>
      <w:r w:rsidRPr="00496B38">
        <w:rPr>
          <w:rFonts w:ascii="Verdana" w:eastAsia="Century Gothic" w:hAnsi="Verdana" w:cs="Century Gothic"/>
          <w:i/>
          <w:iCs/>
          <w:sz w:val="22"/>
          <w:szCs w:val="22"/>
        </w:rPr>
        <w:t>Las donaciones cuyo valor sea igual o inferior a cincuenta (50) salarios mínimos mensuales, no requieren insinuación</w:t>
      </w:r>
      <w:r>
        <w:rPr>
          <w:rFonts w:ascii="Verdana" w:eastAsia="Century Gothic" w:hAnsi="Verdana" w:cs="Century Gothic"/>
          <w:sz w:val="22"/>
          <w:szCs w:val="22"/>
        </w:rPr>
        <w:t>”</w:t>
      </w:r>
      <w:r w:rsidRPr="007764EA">
        <w:rPr>
          <w:rFonts w:ascii="Verdana" w:eastAsia="Century Gothic" w:hAnsi="Verdana" w:cs="Century Gothic"/>
          <w:sz w:val="22"/>
          <w:szCs w:val="22"/>
        </w:rPr>
        <w:t>. Por lo demás, independientemente de la cuantía, “</w:t>
      </w:r>
      <w:r w:rsidRPr="00542BF4">
        <w:rPr>
          <w:rFonts w:ascii="Verdana" w:eastAsia="Century Gothic" w:hAnsi="Verdana" w:cs="Century Gothic"/>
          <w:i/>
          <w:iCs/>
          <w:sz w:val="22"/>
          <w:szCs w:val="22"/>
        </w:rPr>
        <w:t>No valdrá la donación entre vivos, de cualquiera especie de bienes raíces, si no es otorgada por escritura pública, inscrita en el competente registro de instrumentos públicos</w:t>
      </w:r>
      <w:r w:rsidRPr="007764EA">
        <w:rPr>
          <w:rFonts w:ascii="Verdana" w:eastAsia="Century Gothic" w:hAnsi="Verdana" w:cs="Century Gothic"/>
          <w:sz w:val="22"/>
          <w:szCs w:val="22"/>
        </w:rPr>
        <w:t xml:space="preserve">” –art. 1457, inc. 1°, del CC–.  También es un contrato de ejecución instantánea, salvo las donaciones de pensiones periódicas –art. 1459 del CC–.  </w:t>
      </w:r>
    </w:p>
    <w:p w14:paraId="1CB86D62" w14:textId="77777777" w:rsidR="00B932A5" w:rsidRPr="007764EA"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lastRenderedPageBreak/>
        <w:t>Por otra parte, l</w:t>
      </w:r>
      <w:r w:rsidRPr="007764EA">
        <w:rPr>
          <w:rFonts w:ascii="Verdana" w:eastAsia="Century Gothic" w:hAnsi="Verdana" w:cs="Century Gothic"/>
          <w:sz w:val="22"/>
          <w:szCs w:val="22"/>
        </w:rPr>
        <w:t>a donación es un título traslaticio del derecho de domino en los términos del inciso primero del artículo 745 del Código Civil. Desde esta perspectiva, como señala impropiamente el precitado artículo 1443 ibidem, el contrato no “</w:t>
      </w:r>
      <w:r w:rsidRPr="00542BF4">
        <w:rPr>
          <w:rFonts w:ascii="Verdana" w:eastAsia="Century Gothic" w:hAnsi="Verdana" w:cs="Century Gothic"/>
          <w:i/>
          <w:iCs/>
          <w:sz w:val="22"/>
          <w:szCs w:val="22"/>
        </w:rPr>
        <w:t>transfiere</w:t>
      </w:r>
      <w:r w:rsidRPr="007764EA">
        <w:rPr>
          <w:rFonts w:ascii="Verdana" w:eastAsia="Century Gothic" w:hAnsi="Verdana" w:cs="Century Gothic"/>
          <w:sz w:val="22"/>
          <w:szCs w:val="22"/>
        </w:rPr>
        <w:t>” los bienes, sino que “</w:t>
      </w:r>
      <w:r w:rsidRPr="00542BF4">
        <w:rPr>
          <w:rFonts w:ascii="Verdana" w:eastAsia="Century Gothic" w:hAnsi="Verdana" w:cs="Century Gothic"/>
          <w:i/>
          <w:iCs/>
          <w:sz w:val="22"/>
          <w:szCs w:val="22"/>
        </w:rPr>
        <w:t>obliga a transferirlos</w:t>
      </w:r>
      <w:r w:rsidRPr="007764EA">
        <w:rPr>
          <w:rFonts w:ascii="Verdana" w:eastAsia="Century Gothic" w:hAnsi="Verdana" w:cs="Century Gothic"/>
          <w:sz w:val="22"/>
          <w:szCs w:val="22"/>
        </w:rPr>
        <w:t xml:space="preserve">”; por lo que es un título que posibilita la posterior tradición de las cosas donadas. Este surge de forma derivativa –no originaria–, por acto entre vivos –lo que excluye las donaciones mortis causa de los artículos 1194 y </w:t>
      </w:r>
      <w:proofErr w:type="spellStart"/>
      <w:r w:rsidRPr="007764EA">
        <w:rPr>
          <w:rFonts w:ascii="Verdana" w:eastAsia="Century Gothic" w:hAnsi="Verdana" w:cs="Century Gothic"/>
          <w:sz w:val="22"/>
          <w:szCs w:val="22"/>
        </w:rPr>
        <w:t>ss</w:t>
      </w:r>
      <w:proofErr w:type="spellEnd"/>
      <w:r w:rsidRPr="007764EA">
        <w:rPr>
          <w:rFonts w:ascii="Verdana" w:eastAsia="Century Gothic" w:hAnsi="Verdana" w:cs="Century Gothic"/>
          <w:sz w:val="22"/>
          <w:szCs w:val="22"/>
        </w:rPr>
        <w:t xml:space="preserve"> del Código Civil– y de forma singular –no universal–. </w:t>
      </w:r>
    </w:p>
    <w:p w14:paraId="6A4905BE" w14:textId="77777777" w:rsidR="00B932A5" w:rsidRDefault="00B932A5" w:rsidP="00B932A5">
      <w:pPr>
        <w:pStyle w:val="NormalWeb"/>
        <w:spacing w:before="0" w:beforeAutospacing="0" w:after="120" w:afterAutospacing="0" w:line="276" w:lineRule="auto"/>
        <w:jc w:val="both"/>
        <w:rPr>
          <w:rFonts w:ascii="Verdana" w:eastAsia="Century Gothic" w:hAnsi="Verdana" w:cs="Century Gothic"/>
          <w:sz w:val="22"/>
          <w:szCs w:val="22"/>
        </w:rPr>
      </w:pPr>
      <w:r w:rsidRPr="007764EA">
        <w:rPr>
          <w:rFonts w:ascii="Verdana" w:eastAsia="Century Gothic" w:hAnsi="Verdana" w:cs="Century Gothic"/>
          <w:sz w:val="22"/>
          <w:szCs w:val="22"/>
        </w:rPr>
        <w:tab/>
        <w:t>Finalmente, se trata de un contrato excepcional y, por regla general irrevocable. El artículo 1450 del Código Civil dispone que “</w:t>
      </w:r>
      <w:r w:rsidRPr="00342E41">
        <w:rPr>
          <w:rFonts w:ascii="Verdana" w:eastAsia="Century Gothic" w:hAnsi="Verdana" w:cs="Century Gothic"/>
          <w:i/>
          <w:iCs/>
          <w:sz w:val="22"/>
          <w:szCs w:val="22"/>
        </w:rPr>
        <w:t>La donación entre vivos no se presume sino en los casos que expresamente hayan previsto las leyes</w:t>
      </w:r>
      <w:r w:rsidRPr="007764EA">
        <w:rPr>
          <w:rFonts w:ascii="Verdana" w:eastAsia="Century Gothic" w:hAnsi="Verdana" w:cs="Century Gothic"/>
          <w:sz w:val="22"/>
          <w:szCs w:val="22"/>
        </w:rPr>
        <w:t>”, de manera que “</w:t>
      </w:r>
      <w:r w:rsidRPr="00342E41">
        <w:rPr>
          <w:rFonts w:ascii="Verdana" w:eastAsia="Century Gothic" w:hAnsi="Verdana" w:cs="Century Gothic"/>
          <w:i/>
          <w:iCs/>
          <w:sz w:val="22"/>
          <w:szCs w:val="22"/>
        </w:rPr>
        <w:t>Del que da lo que no debe no se presume que lo dona, a menos de probarse que tuvo perfecto conocimiento de lo que hacía, tanto en el hecho como en el derecho</w:t>
      </w:r>
      <w:r w:rsidRPr="007764EA">
        <w:rPr>
          <w:rFonts w:ascii="Verdana" w:eastAsia="Century Gothic" w:hAnsi="Verdana" w:cs="Century Gothic"/>
          <w:sz w:val="22"/>
          <w:szCs w:val="22"/>
        </w:rPr>
        <w:t>” –art. 1317 del CC–. Además, las obligaciones derivadas de la donación son ley para las partes y, por tanto, el contrato solo se extingue por el mutuo consentimiento o por las causas que establezca la ley –art. 1602 del CC–. Tratándose de estas últimas, la revocabilidad se limita a la ingratitud del donatario –arts. 1485 del CC–, aunque las donaciones entre cónyuges sean revocables al margen de esta circunstancia –art. 1195, inc. final, del CC–.</w:t>
      </w:r>
    </w:p>
    <w:p w14:paraId="0E6E2C42" w14:textId="77777777" w:rsidR="00B932A5"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t>Ahora bien, actualmente, el artículo 355 de la Constitución Política establece una restricción que señala: “</w:t>
      </w:r>
      <w:r w:rsidRPr="00464089">
        <w:rPr>
          <w:rFonts w:ascii="Verdana" w:eastAsia="Century Gothic" w:hAnsi="Verdana" w:cs="Century Gothic"/>
          <w:sz w:val="22"/>
          <w:szCs w:val="22"/>
        </w:rPr>
        <w:t xml:space="preserve">Ninguna de las ramas u órganos del Poder Público podrá decretar auxilios o donaciones en favor de personas naturales o jurídicas de </w:t>
      </w:r>
      <w:r w:rsidRPr="006D2700">
        <w:rPr>
          <w:rFonts w:ascii="Verdana" w:eastAsia="Century Gothic" w:hAnsi="Verdana" w:cs="Century Gothic"/>
          <w:i/>
          <w:iCs/>
          <w:sz w:val="22"/>
          <w:szCs w:val="22"/>
        </w:rPr>
        <w:t>derecho privado</w:t>
      </w:r>
      <w:r>
        <w:rPr>
          <w:rFonts w:ascii="Verdana" w:eastAsia="Century Gothic" w:hAnsi="Verdana" w:cs="Century Gothic"/>
          <w:sz w:val="22"/>
          <w:szCs w:val="22"/>
        </w:rPr>
        <w:t>”. Sin embargo, no se extendieron los efectos de esta prohibición a las donaciones en las cuales las entidades públicas actuaban en calidad de donatarias. Este aspecto fue estudiado por el Consejo de Estado recientemente, en Concepto del 11 de octubre de 2022</w:t>
      </w:r>
      <w:r>
        <w:rPr>
          <w:rStyle w:val="Refdenotaalpie"/>
          <w:rFonts w:ascii="Verdana" w:eastAsia="Century Gothic" w:hAnsi="Verdana" w:cs="Century Gothic"/>
          <w:sz w:val="22"/>
          <w:szCs w:val="22"/>
        </w:rPr>
        <w:footnoteReference w:id="9"/>
      </w:r>
      <w:r>
        <w:rPr>
          <w:rFonts w:ascii="Verdana" w:eastAsia="Century Gothic" w:hAnsi="Verdana" w:cs="Century Gothic"/>
          <w:sz w:val="22"/>
          <w:szCs w:val="22"/>
        </w:rPr>
        <w:t xml:space="preserve">, donde se resolvía la inquietud acerca de si una empresa industrial y comercial del Estado, no sometida al régimen contractual general -Ley 80-, podía dar y recibir en donación hacía y desde entidades públicas, bienes públicos -muebles e inmuebles-. </w:t>
      </w:r>
    </w:p>
    <w:p w14:paraId="33A49879"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ab/>
        <w:t>En la decisión adoptada por la Alta Corporación, se pronunció así:</w:t>
      </w:r>
    </w:p>
    <w:p w14:paraId="4C7A3226"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p>
    <w:p w14:paraId="06E2ADA1"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 la Sala ha expresado en forma clara, que el artículo 355 de la Constitución no prohíbe las donaciones a favor de entidades que integran las ramas u órganos del poder público, y que aquellas proceden para el cumplimiento de deberes constitucionales expresos, pero no señala que sea solamente para esta finalidad, de modo que podrían realizarse para otras finalidades, por ejemplo, si se trata de un bien que necesita una entidad pública para el desarrollo de sus actividades, y otra entidad pública lo posee, y se lo puede donar sin afectar el ejercicio de sus funciones u objeto social”.</w:t>
      </w:r>
    </w:p>
    <w:p w14:paraId="412BBA74" w14:textId="77777777" w:rsidR="00B932A5" w:rsidRDefault="00B932A5" w:rsidP="00B932A5">
      <w:pPr>
        <w:pStyle w:val="NormalWeb"/>
        <w:spacing w:before="0" w:beforeAutospacing="0" w:after="0" w:afterAutospacing="0"/>
        <w:ind w:left="709" w:right="709"/>
        <w:jc w:val="both"/>
        <w:rPr>
          <w:rFonts w:ascii="Verdana" w:eastAsia="Century Gothic" w:hAnsi="Verdana" w:cs="Century Gothic"/>
          <w:sz w:val="22"/>
          <w:szCs w:val="22"/>
        </w:rPr>
      </w:pPr>
    </w:p>
    <w:p w14:paraId="459CBA20" w14:textId="77777777" w:rsidR="00B932A5" w:rsidRDefault="00B932A5" w:rsidP="00B932A5">
      <w:pPr>
        <w:pStyle w:val="NormalWeb"/>
        <w:spacing w:before="0" w:beforeAutospacing="0" w:after="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t>De manera que resulta claro que las entidades estatales están facultadas para celebrar contratos de donación a favor de otra entidad estatal, y que la celebración del contrato derivado del derecho privado resulta posible por virtud de la remisión que el Estatuto General hace a dichas instituciones en sus artículos 13 y 32. Así lo expresó el Consejo de Estado en la Sentencia del 10 de febrero de 2016, antes citada:</w:t>
      </w:r>
    </w:p>
    <w:p w14:paraId="289D2A21" w14:textId="77777777" w:rsidR="00B932A5" w:rsidRDefault="00B932A5" w:rsidP="00B932A5">
      <w:pPr>
        <w:pStyle w:val="NormalWeb"/>
        <w:spacing w:before="0" w:beforeAutospacing="0" w:after="0" w:afterAutospacing="0" w:line="276" w:lineRule="auto"/>
        <w:ind w:firstLine="708"/>
        <w:jc w:val="both"/>
        <w:rPr>
          <w:rFonts w:ascii="Verdana" w:eastAsia="Century Gothic" w:hAnsi="Verdana" w:cs="Century Gothic"/>
          <w:sz w:val="22"/>
          <w:szCs w:val="22"/>
        </w:rPr>
      </w:pPr>
    </w:p>
    <w:p w14:paraId="3065F8EC"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 xml:space="preserve">En punto de la capacidad de las entidades públicas debe advertirse, preliminarmente, que por expresa disposición constitucional a propósito (artículos 4, 6 у 121 a 124, entre otros), la competencia de los servidores públicos y, por supuesto, de las entidades públicas es reglada y específica -no general- primando el principio de la especialidad. De esta manera se garantiza la previsión frente al comportamiento de los servidores y entidades públicas y el respeto por el principio de legalidad. </w:t>
      </w:r>
    </w:p>
    <w:p w14:paraId="530B53C5"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p>
    <w:p w14:paraId="749984D4"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u w:val="single"/>
        </w:rPr>
        <w:t>Lo anterior no significa, sin embargo, que en materia contractual pública cada una de las operaciones que pueden ser adelantadas por una entidad deba ser autorizada particularmente por la ley. Para el caso del contrato de donación que ocupa la atención de la Sala no podría exigirse que para su celebración debiera existir una autorización, específica y previa, para cada entidad pública. Destaca la Sala que existe, en efecto, una autorización general, contenida en el Estatuto General de Contratación de la Administración Pública Nacional (sic), de conformidad con la cual las entidades públicas, con el objeto de cumplir los altos fines estatales (artículo 3), y acudiendo a los contratos previstos en el ordenamiento civil o comercial (artículo 13), podrán adoptar las figuras contractuales que resulten pertinentes de conformidad con la autonomía de la voluntad que le es reconocida (artículo 32), garantizando que, en tales casos, se respeten los principios de transparencia, economía y responsabilidad</w:t>
      </w:r>
      <w:r w:rsidRPr="3B2C2CC7">
        <w:rPr>
          <w:rFonts w:ascii="Verdana" w:eastAsia="Century Gothic" w:hAnsi="Verdana" w:cs="Century Gothic"/>
          <w:sz w:val="20"/>
          <w:szCs w:val="20"/>
        </w:rPr>
        <w:t xml:space="preserve">. (Subrayas de la Sala). </w:t>
      </w:r>
    </w:p>
    <w:p w14:paraId="4089B82B"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p>
    <w:p w14:paraId="7E6B2CE6" w14:textId="77777777" w:rsidR="00B932A5" w:rsidRPr="00973F97" w:rsidRDefault="00B932A5" w:rsidP="00B932A5">
      <w:pPr>
        <w:pStyle w:val="NormalWeb"/>
        <w:spacing w:before="0" w:beforeAutospacing="0" w:after="0" w:afterAutospacing="0"/>
        <w:ind w:left="709" w:right="709"/>
        <w:jc w:val="both"/>
        <w:rPr>
          <w:rFonts w:ascii="Verdana" w:eastAsia="Century Gothic" w:hAnsi="Verdana" w:cs="Century Gothic"/>
          <w:sz w:val="20"/>
          <w:szCs w:val="20"/>
        </w:rPr>
      </w:pPr>
      <w:r w:rsidRPr="3B2C2CC7">
        <w:rPr>
          <w:rFonts w:ascii="Verdana" w:eastAsia="Century Gothic" w:hAnsi="Verdana" w:cs="Century Gothic"/>
          <w:sz w:val="20"/>
          <w:szCs w:val="20"/>
        </w:rPr>
        <w:t xml:space="preserve">Huelga anotar que, de manera tangencial, la Ley 80 de 1993 se refiere a los contratos de donación, al señalar que en los mismos se prescindirá de </w:t>
      </w:r>
      <w:r w:rsidRPr="3B2C2CC7">
        <w:rPr>
          <w:rFonts w:ascii="Verdana" w:eastAsia="Century Gothic" w:hAnsi="Verdana" w:cs="Century Gothic"/>
          <w:sz w:val="20"/>
          <w:szCs w:val="20"/>
        </w:rPr>
        <w:lastRenderedPageBreak/>
        <w:t>la utilización de las cláusulas o estipulaciones excepcionales (parágrafo del artículo 14).</w:t>
      </w:r>
    </w:p>
    <w:p w14:paraId="70A6673E" w14:textId="77777777" w:rsidR="00B932A5" w:rsidRDefault="00B932A5" w:rsidP="00B932A5">
      <w:pPr>
        <w:pStyle w:val="NormalWeb"/>
        <w:spacing w:before="0" w:beforeAutospacing="0" w:after="0" w:afterAutospacing="0" w:line="276" w:lineRule="auto"/>
        <w:jc w:val="both"/>
        <w:rPr>
          <w:rFonts w:ascii="Verdana" w:eastAsia="Century Gothic" w:hAnsi="Verdana" w:cs="Century Gothic"/>
          <w:sz w:val="22"/>
          <w:szCs w:val="22"/>
        </w:rPr>
      </w:pPr>
    </w:p>
    <w:p w14:paraId="3AD3A0BF" w14:textId="77777777" w:rsidR="00B932A5" w:rsidRDefault="00B932A5" w:rsidP="00B932A5">
      <w:pPr>
        <w:pStyle w:val="NormalWeb"/>
        <w:spacing w:before="0" w:beforeAutospacing="0" w:after="120" w:afterAutospacing="0" w:line="276" w:lineRule="auto"/>
        <w:jc w:val="both"/>
        <w:rPr>
          <w:rFonts w:ascii="Verdana" w:eastAsia="Century Gothic" w:hAnsi="Verdana" w:cs="Century Gothic"/>
          <w:sz w:val="22"/>
          <w:szCs w:val="22"/>
        </w:rPr>
      </w:pPr>
      <w:r>
        <w:rPr>
          <w:rFonts w:ascii="Verdana" w:eastAsia="Century Gothic" w:hAnsi="Verdana" w:cs="Century Gothic"/>
          <w:sz w:val="22"/>
          <w:szCs w:val="22"/>
        </w:rPr>
        <w:tab/>
        <w:t>En síntesis, se reitera que, l</w:t>
      </w:r>
      <w:r w:rsidRPr="00BD6519">
        <w:rPr>
          <w:rFonts w:ascii="Verdana" w:eastAsia="Century Gothic" w:hAnsi="Verdana" w:cs="Century Gothic"/>
          <w:sz w:val="22"/>
          <w:szCs w:val="22"/>
        </w:rPr>
        <w:t>as entidades estatales se encuentran limitadas para actuar como donantes en virtud de la restricción establecida en el artículo 355 de la Constitución Política, la cual prohíbe la entrega de auxilios o donaciones a personas naturales o jurídicas de derecho privado. Sin embargo, esta prohibición no se extiende a las donaciones efectuadas entre entidades públicas, por lo que tales actos resultan jurídicamente procedentes cuando se otorgan entre sujetos que hacen parte de la administración pública.</w:t>
      </w:r>
    </w:p>
    <w:p w14:paraId="63CA9687" w14:textId="77777777" w:rsidR="00B932A5" w:rsidRDefault="00B932A5" w:rsidP="00B932A5">
      <w:pPr>
        <w:pStyle w:val="NormalWeb"/>
        <w:spacing w:before="0" w:beforeAutospacing="0" w:after="120" w:afterAutospacing="0" w:line="276" w:lineRule="auto"/>
        <w:ind w:firstLine="708"/>
        <w:jc w:val="both"/>
        <w:rPr>
          <w:rFonts w:ascii="Verdana" w:eastAsia="Century Gothic" w:hAnsi="Verdana" w:cs="Century Gothic"/>
          <w:sz w:val="22"/>
          <w:szCs w:val="22"/>
        </w:rPr>
      </w:pPr>
      <w:r>
        <w:rPr>
          <w:rFonts w:ascii="Verdana" w:eastAsia="Century Gothic" w:hAnsi="Verdana" w:cs="Century Gothic"/>
          <w:sz w:val="22"/>
          <w:szCs w:val="22"/>
        </w:rPr>
        <w:t xml:space="preserve">Adicionalmente, </w:t>
      </w:r>
      <w:r w:rsidRPr="009B0EF2">
        <w:rPr>
          <w:rFonts w:ascii="Verdana" w:eastAsia="Century Gothic" w:hAnsi="Verdana" w:cs="Century Gothic"/>
          <w:sz w:val="22"/>
          <w:szCs w:val="22"/>
        </w:rPr>
        <w:t>conviene aclarar que no puede asumirse que la posibilidad de realizar donaciones entre entidades públicas se limite únicamente a aquellas sujetas al Estatuto General de Contratación de la Administración Pública. En efecto, cuando se trata de entidades públicas que, por su naturaleza jurídica, están autorizadas legalmente para actuar conforme a las normas del derecho privado,</w:t>
      </w:r>
      <w:r w:rsidRPr="009B0EF2">
        <w:rPr>
          <w:rFonts w:asciiTheme="minorHAnsi" w:eastAsiaTheme="minorHAnsi" w:hAnsiTheme="minorHAnsi" w:cstheme="minorBidi"/>
          <w:sz w:val="22"/>
          <w:szCs w:val="22"/>
          <w:lang w:eastAsia="en-US"/>
        </w:rPr>
        <w:t xml:space="preserve"> </w:t>
      </w:r>
      <w:r w:rsidRPr="009B0EF2">
        <w:rPr>
          <w:rFonts w:ascii="Verdana" w:eastAsia="Century Gothic" w:hAnsi="Verdana" w:cs="Century Gothic"/>
          <w:sz w:val="22"/>
          <w:szCs w:val="22"/>
        </w:rPr>
        <w:t>como las del Código Civil que regulan el contrato de donación, estas se encuentran facultadas para celebrar dicho negocio jurídico. En otras palabras, si la contratación de una entidad pública se rige por el derecho privado, esta podrá celebrar válidamente contratos de donación, siempre que se ajusten a su objeto y fines institucionales.</w:t>
      </w:r>
    </w:p>
    <w:p w14:paraId="6DFD9C65" w14:textId="77777777" w:rsidR="00B932A5" w:rsidRDefault="00B932A5" w:rsidP="00B932A5">
      <w:pPr>
        <w:pStyle w:val="NormalWeb"/>
        <w:spacing w:before="0" w:beforeAutospacing="0" w:after="120" w:afterAutospacing="0" w:line="276" w:lineRule="auto"/>
        <w:ind w:firstLine="709"/>
        <w:jc w:val="both"/>
        <w:rPr>
          <w:rFonts w:ascii="Verdana" w:eastAsia="Century Gothic" w:hAnsi="Verdana" w:cs="Century Gothic"/>
          <w:sz w:val="22"/>
          <w:szCs w:val="22"/>
        </w:rPr>
      </w:pPr>
      <w:r>
        <w:rPr>
          <w:rFonts w:ascii="Verdana" w:eastAsia="Century Gothic" w:hAnsi="Verdana" w:cs="Century Gothic"/>
          <w:sz w:val="22"/>
          <w:szCs w:val="22"/>
        </w:rPr>
        <w:t xml:space="preserve">Ante el panorama expuesto, se procede a revisar cuál o cuáles son los procedimientos idóneos para la celebración de contratos de donación, conforme al Estatuto General, por ser este el objeto de su consulta. En ese orden, en el marco jurídico actual, las entidades estatales tienen la facultad de efectuar donación de bienes de su propiedad mediante </w:t>
      </w:r>
      <w:r w:rsidRPr="00BC0AF3">
        <w:rPr>
          <w:rFonts w:ascii="Verdana" w:eastAsia="Century Gothic" w:hAnsi="Verdana" w:cs="Century Gothic"/>
          <w:sz w:val="22"/>
          <w:szCs w:val="22"/>
        </w:rPr>
        <w:t>dos procedimientos</w:t>
      </w:r>
      <w:r>
        <w:rPr>
          <w:rFonts w:ascii="Verdana" w:eastAsia="Century Gothic" w:hAnsi="Verdana" w:cs="Century Gothic"/>
          <w:sz w:val="22"/>
          <w:szCs w:val="22"/>
        </w:rPr>
        <w:t xml:space="preserve"> de selección y su elección dependerá de las particularidades del negocio jurídico:</w:t>
      </w:r>
    </w:p>
    <w:p w14:paraId="3565C95A" w14:textId="77777777" w:rsidR="00B932A5" w:rsidRDefault="00B932A5" w:rsidP="00B932A5">
      <w:pPr>
        <w:pStyle w:val="NormalWeb"/>
        <w:spacing w:before="0" w:beforeAutospacing="0" w:after="120" w:afterAutospacing="0" w:line="276" w:lineRule="auto"/>
        <w:ind w:firstLine="709"/>
        <w:jc w:val="both"/>
        <w:rPr>
          <w:rFonts w:ascii="Verdana" w:eastAsia="Century Gothic" w:hAnsi="Verdana" w:cs="Century Gothic"/>
          <w:sz w:val="22"/>
          <w:szCs w:val="22"/>
        </w:rPr>
      </w:pPr>
      <w:r>
        <w:rPr>
          <w:rFonts w:ascii="Verdana" w:eastAsia="Century Gothic" w:hAnsi="Verdana" w:cs="Century Gothic"/>
          <w:sz w:val="22"/>
          <w:szCs w:val="22"/>
        </w:rPr>
        <w:t xml:space="preserve">El primero: i) mediante la modalidad de selección abreviada, por configurarse la causal contenida en el artículo 2.2 literal e) de la Ley 1150 de 2007 cuando se pretenda la enajenación de </w:t>
      </w:r>
      <w:r w:rsidRPr="005535B1">
        <w:rPr>
          <w:rFonts w:ascii="Verdana" w:eastAsia="Century Gothic" w:hAnsi="Verdana" w:cs="Century Gothic"/>
          <w:sz w:val="22"/>
          <w:szCs w:val="22"/>
        </w:rPr>
        <w:t>bienes del Estado, con excepción de aquellos a que se refiere la Ley 226 de 1995.</w:t>
      </w:r>
      <w:r>
        <w:rPr>
          <w:rFonts w:ascii="Verdana" w:eastAsia="Century Gothic" w:hAnsi="Verdana" w:cs="Century Gothic"/>
          <w:sz w:val="22"/>
          <w:szCs w:val="22"/>
        </w:rPr>
        <w:t xml:space="preserve"> Ahora bien, en consideración a que lo que se pretende es la celebración de un contrato entre entidades públicas, existe en el régimen general de contratación pública (EGCAP) un procedimiento especial para la enajenación a título gratuito entre entidades estatales, reglamentado por el artículo </w:t>
      </w:r>
      <w:r w:rsidRPr="002E07D2">
        <w:rPr>
          <w:rFonts w:ascii="Verdana" w:eastAsia="Century Gothic" w:hAnsi="Verdana" w:cs="Century Gothic"/>
          <w:sz w:val="22"/>
          <w:szCs w:val="22"/>
        </w:rPr>
        <w:t>2.2.1.2.2.4.3.</w:t>
      </w:r>
      <w:r>
        <w:rPr>
          <w:rFonts w:ascii="Verdana" w:eastAsia="Century Gothic" w:hAnsi="Verdana" w:cs="Century Gothic"/>
          <w:sz w:val="22"/>
          <w:szCs w:val="22"/>
        </w:rPr>
        <w:t xml:space="preserve"> del Decreto 1082 de 2015. En este procedimiento, la restricción para su uso se concreta en el tipo de bienes, por cuanto solo procede para aquellos que sean muebles. De manera que, si el bien </w:t>
      </w:r>
      <w:r>
        <w:rPr>
          <w:rFonts w:ascii="Verdana" w:eastAsia="Century Gothic" w:hAnsi="Verdana" w:cs="Century Gothic"/>
          <w:sz w:val="22"/>
          <w:szCs w:val="22"/>
        </w:rPr>
        <w:lastRenderedPageBreak/>
        <w:t>identificado como objeto de donación tiene la característica de inmueble, no aplicaría ni la modalidad ni dicho procedimiento e, indefectiblemente, deberá adelantarse mediante otro procedimiento de selección.</w:t>
      </w:r>
    </w:p>
    <w:p w14:paraId="1CEA4283" w14:textId="77777777" w:rsidR="00B932A5" w:rsidRDefault="00B932A5" w:rsidP="00B932A5">
      <w:pPr>
        <w:pStyle w:val="NormalWeb"/>
        <w:spacing w:before="0" w:beforeAutospacing="0" w:after="120" w:afterAutospacing="0" w:line="276" w:lineRule="auto"/>
        <w:ind w:firstLine="709"/>
        <w:jc w:val="both"/>
        <w:rPr>
          <w:rFonts w:ascii="Verdana" w:eastAsia="Calibri" w:hAnsi="Verdana" w:cs="Arial"/>
          <w:color w:val="000000"/>
          <w:sz w:val="22"/>
          <w:szCs w:val="22"/>
          <w:lang w:val="es-ES"/>
        </w:rPr>
      </w:pPr>
      <w:r w:rsidRPr="3B2C2CC7">
        <w:rPr>
          <w:rFonts w:ascii="Verdana" w:eastAsia="Century Gothic" w:hAnsi="Verdana" w:cs="Century Gothic"/>
          <w:sz w:val="22"/>
          <w:szCs w:val="22"/>
        </w:rPr>
        <w:t xml:space="preserve">El segundo procedimiento es </w:t>
      </w:r>
      <w:proofErr w:type="spellStart"/>
      <w:r w:rsidRPr="3B2C2CC7">
        <w:rPr>
          <w:rFonts w:ascii="Verdana" w:eastAsia="Century Gothic" w:hAnsi="Verdana" w:cs="Century Gothic"/>
          <w:sz w:val="22"/>
          <w:szCs w:val="22"/>
        </w:rPr>
        <w:t>ii</w:t>
      </w:r>
      <w:proofErr w:type="spellEnd"/>
      <w:r w:rsidRPr="3B2C2CC7">
        <w:rPr>
          <w:rFonts w:ascii="Verdana" w:eastAsia="Century Gothic" w:hAnsi="Verdana" w:cs="Century Gothic"/>
          <w:sz w:val="22"/>
          <w:szCs w:val="22"/>
        </w:rPr>
        <w:t xml:space="preserve">) mediante la modalidad de contratación directa, cuando se configure la causal contenida en el artículo 2.4, literal c), de la Ley 1150 de 2007 que, en virtud de la calidad de los sujetos contratantes (entidades estatales), adquiere el carácter de </w:t>
      </w:r>
      <w:r w:rsidRPr="3B2C2CC7">
        <w:rPr>
          <w:rFonts w:ascii="Verdana" w:eastAsia="Century Gothic" w:hAnsi="Verdana" w:cs="Century Gothic"/>
          <w:i/>
          <w:iCs/>
          <w:sz w:val="22"/>
          <w:szCs w:val="22"/>
        </w:rPr>
        <w:t xml:space="preserve">contrato interadministrativo </w:t>
      </w:r>
      <w:r w:rsidRPr="3B2C2CC7">
        <w:rPr>
          <w:rFonts w:ascii="Verdana" w:eastAsia="Century Gothic" w:hAnsi="Verdana" w:cs="Century Gothic"/>
          <w:sz w:val="22"/>
          <w:szCs w:val="22"/>
        </w:rPr>
        <w:t xml:space="preserve">y, siempre que las obligaciones derivadas del mismo tengan relación directa con el objeto de la entidad ejecutora señalado en la ley o en sus reglamentos, cabría la posibilidad de su utilización. Sin embargo, </w:t>
      </w:r>
      <w:r w:rsidRPr="3B2C2CC7">
        <w:rPr>
          <w:rFonts w:ascii="Verdana" w:eastAsia="Arial" w:hAnsi="Verdana" w:cs="Arial"/>
          <w:color w:val="000000" w:themeColor="text1"/>
          <w:sz w:val="22"/>
          <w:szCs w:val="22"/>
          <w:lang w:val="es-ES"/>
        </w:rPr>
        <w:t>esto no significa que esta contratación esté exenta</w:t>
      </w:r>
      <w:r w:rsidRPr="3B2C2CC7">
        <w:rPr>
          <w:rFonts w:ascii="Verdana" w:eastAsia="Calibri" w:hAnsi="Verdana" w:cs="Arial"/>
          <w:color w:val="000000" w:themeColor="text1"/>
          <w:sz w:val="22"/>
          <w:szCs w:val="22"/>
          <w:lang w:val="es-ES"/>
        </w:rPr>
        <w:t xml:space="preserve"> del cumplimiento de los principios de transparencia y selección objetiva que rigen la contratación pública. En la contratación directa la entidad también deberá realizar un análisis previo a la suscripción del contrato, en el que se verifique que el contratista cumple con lo requerido para satisfacer la necesidad </w:t>
      </w:r>
      <w:r w:rsidRPr="3B2C2CC7">
        <w:rPr>
          <w:rFonts w:ascii="Verdana" w:eastAsia="Calibri" w:hAnsi="Verdana" w:cs="Arial"/>
          <w:sz w:val="22"/>
          <w:szCs w:val="22"/>
        </w:rPr>
        <w:t>contractual</w:t>
      </w:r>
      <w:r w:rsidRPr="3B2C2CC7">
        <w:rPr>
          <w:rFonts w:ascii="Verdana" w:eastAsia="Calibri" w:hAnsi="Verdana" w:cs="Arial"/>
          <w:color w:val="000000" w:themeColor="text1"/>
          <w:sz w:val="22"/>
          <w:szCs w:val="22"/>
          <w:lang w:val="es-ES"/>
        </w:rPr>
        <w:t xml:space="preserve">. </w:t>
      </w:r>
    </w:p>
    <w:p w14:paraId="620653A2" w14:textId="77777777" w:rsidR="00B932A5" w:rsidRDefault="00B932A5" w:rsidP="00B932A5">
      <w:pPr>
        <w:pStyle w:val="NormalWeb"/>
        <w:spacing w:before="0" w:beforeAutospacing="0" w:after="120" w:afterAutospacing="0" w:line="276" w:lineRule="auto"/>
        <w:ind w:firstLine="709"/>
        <w:jc w:val="both"/>
        <w:rPr>
          <w:rFonts w:ascii="Verdana" w:eastAsia="Calibri" w:hAnsi="Verdana" w:cs="Arial"/>
          <w:color w:val="000000"/>
          <w:sz w:val="22"/>
          <w:szCs w:val="22"/>
        </w:rPr>
      </w:pPr>
      <w:r w:rsidRPr="00777D8A">
        <w:rPr>
          <w:rFonts w:ascii="Verdana" w:eastAsia="Calibri" w:hAnsi="Verdana" w:cs="Arial"/>
          <w:color w:val="000000"/>
          <w:sz w:val="22"/>
          <w:szCs w:val="22"/>
        </w:rPr>
        <w:t xml:space="preserve">En este contexto, en la causal de contratos interadministrativos es necesario que la entidad justifique las razones por las cuales se contratará directamente con la entidad estatal basada en criterios objetivos. De esta manera, la entidad estatal, además de verificar el cumplimiento de los requisitos señalados en el literal c) del numeral 4 del artículo 2 de la Ley 1150 de 2007, deberá constatar que la entidad con la cual se celebrará el contrato está en capacidad de recibir el bien donado, y demuestre la idoneidad para su uso y/o administración o buena destinación, que le permitan cumplir con los fines estatales a cargo. </w:t>
      </w:r>
    </w:p>
    <w:p w14:paraId="27C368F6" w14:textId="77777777" w:rsidR="00B932A5" w:rsidRDefault="00B932A5" w:rsidP="00B932A5">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A61B4E">
        <w:rPr>
          <w:rFonts w:ascii="Verdana" w:eastAsia="Century Gothic" w:hAnsi="Verdana" w:cs="Century Gothic"/>
          <w:sz w:val="22"/>
          <w:szCs w:val="22"/>
        </w:rPr>
        <w:t xml:space="preserve">De acuerdo con lo expuesto, y en atención a que los sujetos intervinientes en el negocio jurídico son entidades públicas —es decir, hacen parte de la administración pública, según se señala en el texto de la consulta—, la tipología del contrato a celebrar corresponde a un </w:t>
      </w:r>
      <w:r w:rsidRPr="00A61B4E">
        <w:rPr>
          <w:rFonts w:ascii="Verdana" w:eastAsia="Century Gothic" w:hAnsi="Verdana" w:cs="Century Gothic"/>
          <w:i/>
          <w:iCs/>
          <w:sz w:val="22"/>
          <w:szCs w:val="22"/>
        </w:rPr>
        <w:t xml:space="preserve">contrato interadministrativo </w:t>
      </w:r>
      <w:r w:rsidRPr="00A61B4E">
        <w:rPr>
          <w:rFonts w:ascii="Verdana" w:eastAsia="Century Gothic" w:hAnsi="Verdana" w:cs="Century Gothic"/>
          <w:sz w:val="22"/>
          <w:szCs w:val="22"/>
        </w:rPr>
        <w:t>de donación</w:t>
      </w:r>
      <w:r>
        <w:rPr>
          <w:rFonts w:ascii="Verdana" w:eastAsia="Century Gothic" w:hAnsi="Verdana" w:cs="Century Gothic"/>
          <w:sz w:val="22"/>
          <w:szCs w:val="22"/>
        </w:rPr>
        <w:t xml:space="preserve"> y el procedimiento dependerá de los resultados que arroje el análisis previo que realice la entidad estatal contratante. </w:t>
      </w:r>
    </w:p>
    <w:p w14:paraId="0E9E698E" w14:textId="77777777" w:rsidR="00B932A5" w:rsidRDefault="00B932A5" w:rsidP="00B932A5">
      <w:pPr>
        <w:pStyle w:val="NormalWeb"/>
        <w:spacing w:before="0" w:beforeAutospacing="0" w:after="120" w:afterAutospacing="0" w:line="276" w:lineRule="auto"/>
        <w:ind w:firstLine="709"/>
        <w:jc w:val="both"/>
        <w:rPr>
          <w:rFonts w:ascii="Verdana" w:eastAsia="Century Gothic" w:hAnsi="Verdana" w:cs="Century Gothic"/>
          <w:sz w:val="22"/>
          <w:szCs w:val="22"/>
        </w:rPr>
      </w:pPr>
      <w:r w:rsidRPr="004C6B5D">
        <w:rPr>
          <w:rFonts w:ascii="Verdana" w:eastAsia="Century Gothic" w:hAnsi="Verdana" w:cs="Century Gothic"/>
          <w:sz w:val="22"/>
          <w:szCs w:val="22"/>
        </w:rPr>
        <w:t xml:space="preserve">Con todo, para cualquiera de las dos opciones aquí planteadas, los procedimientos deben estar precedidos de estudios previos que permitan estructurar, concretar y viabilizar los aspectos esenciales del futuro contrato, dentro de los cuales se encuentran su objeto y valor estimado, la justificación de la modalidad de selección utilizada, entre otros elementos propios que </w:t>
      </w:r>
      <w:r w:rsidRPr="004C6B5D">
        <w:rPr>
          <w:rFonts w:ascii="Verdana" w:eastAsia="Century Gothic" w:hAnsi="Verdana" w:cs="Century Gothic"/>
          <w:sz w:val="22"/>
          <w:szCs w:val="22"/>
        </w:rPr>
        <w:lastRenderedPageBreak/>
        <w:t>enmarcan la necesidad y las particularidades del negocio jurídico.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w:t>
      </w:r>
    </w:p>
    <w:p w14:paraId="6E442B4C" w14:textId="77777777" w:rsidR="00B932A5" w:rsidRDefault="00B932A5" w:rsidP="00B932A5">
      <w:pPr>
        <w:pStyle w:val="NormalWeb"/>
        <w:spacing w:before="0" w:beforeAutospacing="0" w:after="0" w:afterAutospacing="0" w:line="276" w:lineRule="auto"/>
        <w:ind w:firstLine="708"/>
        <w:jc w:val="both"/>
        <w:rPr>
          <w:rFonts w:ascii="Verdana" w:eastAsia="Century Gothic" w:hAnsi="Verdana" w:cs="Century Gothic"/>
          <w:sz w:val="22"/>
          <w:szCs w:val="22"/>
        </w:rPr>
      </w:pPr>
      <w:r w:rsidRPr="004C6B5D">
        <w:rPr>
          <w:rFonts w:ascii="Verdana" w:eastAsia="Century Gothic" w:hAnsi="Verdana" w:cs="Century Gothic"/>
          <w:sz w:val="22"/>
          <w:szCs w:val="22"/>
        </w:rPr>
        <w:t>En consecuencia, en los estudios la entidad deberá evaluar, entre otros temas, el costo de los bienes donados, los riesgos y las posibles erogaciones que deba hacer la entidad con ocasión de la donación</w:t>
      </w:r>
      <w:r>
        <w:rPr>
          <w:rFonts w:ascii="Verdana" w:eastAsia="Century Gothic" w:hAnsi="Verdana" w:cs="Century Gothic"/>
          <w:sz w:val="22"/>
          <w:szCs w:val="22"/>
        </w:rPr>
        <w:t xml:space="preserve"> e incluso, </w:t>
      </w:r>
      <w:r w:rsidRPr="0079700F">
        <w:rPr>
          <w:rFonts w:ascii="Verdana" w:eastAsia="Century Gothic" w:hAnsi="Verdana" w:cs="Century Gothic"/>
          <w:sz w:val="22"/>
          <w:szCs w:val="22"/>
        </w:rPr>
        <w:t xml:space="preserve">en el caso de bienes inmuebles, </w:t>
      </w:r>
      <w:r>
        <w:rPr>
          <w:rFonts w:ascii="Verdana" w:eastAsia="Century Gothic" w:hAnsi="Verdana" w:cs="Century Gothic"/>
          <w:sz w:val="22"/>
          <w:szCs w:val="22"/>
        </w:rPr>
        <w:t xml:space="preserve">determinar las particularidades para la elaboración de la escritura pública ante notario, donde se especifique el </w:t>
      </w:r>
      <w:r w:rsidRPr="00A0655E">
        <w:rPr>
          <w:rFonts w:ascii="Verdana" w:eastAsia="Century Gothic" w:hAnsi="Verdana" w:cs="Century Gothic"/>
          <w:sz w:val="22"/>
          <w:szCs w:val="22"/>
        </w:rPr>
        <w:t>bien inmueble objeto de la donación y las condiciones de la misma</w:t>
      </w:r>
      <w:r>
        <w:rPr>
          <w:rFonts w:ascii="Verdana" w:eastAsia="Century Gothic" w:hAnsi="Verdana" w:cs="Century Gothic"/>
          <w:sz w:val="22"/>
          <w:szCs w:val="22"/>
        </w:rPr>
        <w:t xml:space="preserve">, y su inscripción en la </w:t>
      </w:r>
      <w:r w:rsidRPr="00B10F23">
        <w:rPr>
          <w:rFonts w:ascii="Verdana" w:eastAsia="Century Gothic" w:hAnsi="Verdana" w:cs="Century Gothic"/>
          <w:sz w:val="22"/>
          <w:szCs w:val="22"/>
        </w:rPr>
        <w:t>Oficina de Registro de Instrumentos Públicos correspondiente al lugar donde se encuentra ubicado el inmueble</w:t>
      </w:r>
      <w:r>
        <w:rPr>
          <w:rFonts w:ascii="Verdana" w:eastAsia="Century Gothic" w:hAnsi="Verdana" w:cs="Century Gothic"/>
          <w:sz w:val="22"/>
          <w:szCs w:val="22"/>
        </w:rPr>
        <w:t>. F</w:t>
      </w:r>
      <w:r w:rsidRPr="004C6B5D">
        <w:rPr>
          <w:rFonts w:ascii="Verdana" w:eastAsia="Century Gothic" w:hAnsi="Verdana" w:cs="Century Gothic"/>
          <w:sz w:val="22"/>
          <w:szCs w:val="22"/>
        </w:rPr>
        <w:t xml:space="preserve">inalmente, </w:t>
      </w:r>
      <w:r>
        <w:rPr>
          <w:rFonts w:ascii="Verdana" w:eastAsia="Century Gothic" w:hAnsi="Verdana" w:cs="Century Gothic"/>
          <w:sz w:val="22"/>
          <w:szCs w:val="22"/>
        </w:rPr>
        <w:t xml:space="preserve">resulta vital consignar </w:t>
      </w:r>
      <w:r w:rsidRPr="004C6B5D">
        <w:rPr>
          <w:rFonts w:ascii="Verdana" w:eastAsia="Century Gothic" w:hAnsi="Verdana" w:cs="Century Gothic"/>
          <w:sz w:val="22"/>
          <w:szCs w:val="22"/>
        </w:rPr>
        <w:t>el beneficio que se obtendrá con la donación</w:t>
      </w:r>
      <w:r>
        <w:rPr>
          <w:rFonts w:ascii="Verdana" w:eastAsia="Century Gothic" w:hAnsi="Verdana" w:cs="Century Gothic"/>
          <w:sz w:val="22"/>
          <w:szCs w:val="22"/>
        </w:rPr>
        <w:t xml:space="preserve"> y la</w:t>
      </w:r>
      <w:r w:rsidRPr="004C6B5D">
        <w:rPr>
          <w:rFonts w:ascii="Verdana" w:eastAsia="Century Gothic" w:hAnsi="Verdana" w:cs="Century Gothic"/>
          <w:sz w:val="22"/>
          <w:szCs w:val="22"/>
        </w:rPr>
        <w:t xml:space="preserve"> justifica</w:t>
      </w:r>
      <w:r>
        <w:rPr>
          <w:rFonts w:ascii="Verdana" w:eastAsia="Century Gothic" w:hAnsi="Verdana" w:cs="Century Gothic"/>
          <w:sz w:val="22"/>
          <w:szCs w:val="22"/>
        </w:rPr>
        <w:t>ción de</w:t>
      </w:r>
      <w:r w:rsidRPr="004C6B5D">
        <w:rPr>
          <w:rFonts w:ascii="Verdana" w:eastAsia="Century Gothic" w:hAnsi="Verdana" w:cs="Century Gothic"/>
          <w:sz w:val="22"/>
          <w:szCs w:val="22"/>
        </w:rPr>
        <w:t xml:space="preserve"> la elección del donatario, el beneficio para la entidad donataria con los bienes donados y su relación con los fines de la entidad, en observancia de lo previsto en el artículo 2.2.1.1.1.6.1 del Decreto 1082 de 2015.</w:t>
      </w:r>
    </w:p>
    <w:p w14:paraId="483E0416" w14:textId="77777777" w:rsidR="00B932A5" w:rsidRPr="00301910" w:rsidRDefault="00B932A5" w:rsidP="00B932A5">
      <w:pPr>
        <w:spacing w:before="120" w:after="0" w:line="276" w:lineRule="auto"/>
        <w:ind w:firstLine="709"/>
        <w:jc w:val="both"/>
        <w:rPr>
          <w:rFonts w:ascii="Verdana" w:hAnsi="Verdana" w:cs="Arial"/>
          <w:lang w:eastAsia="es-ES"/>
        </w:rPr>
      </w:pPr>
      <w:r w:rsidRPr="00301910">
        <w:rPr>
          <w:rFonts w:ascii="Verdana" w:hAnsi="Verdana" w:cs="Arial"/>
          <w:lang w:eastAsia="es-ES"/>
        </w:rPr>
        <w:t>Al margen de la explicación precedente</w:t>
      </w:r>
      <w:r>
        <w:rPr>
          <w:rFonts w:ascii="Verdana" w:hAnsi="Verdana" w:cs="Arial"/>
          <w:lang w:eastAsia="es-ES"/>
        </w:rPr>
        <w:t xml:space="preserve"> </w:t>
      </w:r>
      <w:r w:rsidRPr="00301910">
        <w:rPr>
          <w:rFonts w:ascii="Verdana" w:hAnsi="Verdana" w:cs="Arial"/>
          <w:lang w:eastAsia="es-ES"/>
        </w:rPr>
        <w:t>debe advertirse que el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solventar inquietudes respecto de la donación entre entidades públicas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Por lo anterior, previo concepto de sus asesores, la solución de 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0E2F950A" w14:textId="77777777" w:rsidR="00B932A5" w:rsidRDefault="00B932A5" w:rsidP="00B932A5">
      <w:pPr>
        <w:spacing w:before="120" w:after="0" w:line="276" w:lineRule="auto"/>
        <w:ind w:firstLine="709"/>
        <w:jc w:val="both"/>
        <w:rPr>
          <w:rFonts w:ascii="Verdana" w:eastAsia="Century Gothic" w:hAnsi="Verdana" w:cs="Century Gothic"/>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w:t>
      </w:r>
      <w:r w:rsidRPr="00301910">
        <w:rPr>
          <w:rFonts w:ascii="Verdana" w:hAnsi="Verdana" w:cs="Arial"/>
          <w:lang w:eastAsia="es-ES"/>
        </w:rPr>
        <w:lastRenderedPageBreak/>
        <w:t>adelantar su gestión contractual, sin que sea atribución de Colombia Compra Eficiente validar sus actuaciones.</w:t>
      </w:r>
    </w:p>
    <w:p w14:paraId="52755A54" w14:textId="77777777" w:rsidR="00B932A5" w:rsidRPr="00264EBF" w:rsidRDefault="00B932A5" w:rsidP="00B932A5">
      <w:pPr>
        <w:pStyle w:val="NormalWeb"/>
        <w:spacing w:before="0" w:beforeAutospacing="0" w:after="0" w:afterAutospacing="0" w:line="276" w:lineRule="auto"/>
        <w:ind w:firstLine="708"/>
        <w:jc w:val="both"/>
        <w:rPr>
          <w:rFonts w:ascii="Verdana" w:eastAsia="Calibri" w:hAnsi="Verdana" w:cs="Arial"/>
          <w:lang w:val="es-ES"/>
        </w:rPr>
      </w:pPr>
    </w:p>
    <w:p w14:paraId="7B171D1B" w14:textId="77777777" w:rsidR="00B932A5" w:rsidRPr="00264EBF" w:rsidRDefault="00B932A5" w:rsidP="00B932A5">
      <w:pPr>
        <w:pStyle w:val="Prrafodelista"/>
        <w:numPr>
          <w:ilvl w:val="0"/>
          <w:numId w:val="2"/>
        </w:numPr>
        <w:spacing w:after="0" w:line="276" w:lineRule="auto"/>
        <w:ind w:left="284"/>
        <w:contextualSpacing w:val="0"/>
        <w:jc w:val="both"/>
        <w:rPr>
          <w:rFonts w:ascii="Verdana" w:eastAsia="Century Gothic" w:hAnsi="Verdana" w:cs="Century Gothic"/>
          <w:b/>
          <w:bCs/>
        </w:rPr>
      </w:pPr>
      <w:r w:rsidRPr="00264EBF">
        <w:rPr>
          <w:rFonts w:ascii="Verdana" w:eastAsia="Century Gothic" w:hAnsi="Verdana" w:cs="Century Gothic"/>
          <w:b/>
          <w:bCs/>
        </w:rPr>
        <w:t>Referencias normativas, jurisprudenciales y otras fuentes:</w:t>
      </w:r>
    </w:p>
    <w:p w14:paraId="40C497C9" w14:textId="77777777" w:rsidR="00B932A5" w:rsidRPr="00264EBF" w:rsidRDefault="00B932A5" w:rsidP="00B932A5">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932A5" w:rsidRPr="00264EBF" w14:paraId="4AFEDF73" w14:textId="77777777" w:rsidTr="00FD0DA0">
        <w:trPr>
          <w:trHeight w:val="870"/>
        </w:trPr>
        <w:tc>
          <w:tcPr>
            <w:tcW w:w="8647" w:type="dxa"/>
          </w:tcPr>
          <w:p w14:paraId="50FFC0FA"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Constitución Política de Colombia de 1991, artículo 355</w:t>
            </w:r>
          </w:p>
          <w:p w14:paraId="7E9B112E"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Ley 80 de 1993, artículo 1, 2, 3, 13, parágrafo del artículo 14, 31, 32, 40, 41</w:t>
            </w:r>
          </w:p>
          <w:p w14:paraId="1DEF142A"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Ley 1150 de 2007, artículo 2.2 literal e), artículo 2.4, literal c)</w:t>
            </w:r>
          </w:p>
          <w:p w14:paraId="77E54BDF"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Decreto 1082 de 2015 artículo 2.2.1.1.2.1.1, 2.2.1.1.1.6.1, 2.2.1.2.2.4.3.,</w:t>
            </w:r>
          </w:p>
          <w:p w14:paraId="329CA831"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 xml:space="preserve">Código Civil artículos 745, 1164 y </w:t>
            </w:r>
            <w:proofErr w:type="spellStart"/>
            <w:r w:rsidRPr="00264EBF">
              <w:rPr>
                <w:rFonts w:ascii="Verdana" w:hAnsi="Verdana"/>
              </w:rPr>
              <w:t>ss</w:t>
            </w:r>
            <w:proofErr w:type="spellEnd"/>
            <w:r w:rsidRPr="00264EBF">
              <w:rPr>
                <w:rFonts w:ascii="Verdana" w:hAnsi="Verdana"/>
              </w:rPr>
              <w:t>, 1195, 1317, 1443, 1450, 1457, 1458, 1459, 1485, 1496, 1497, 1499, 1602</w:t>
            </w:r>
          </w:p>
          <w:p w14:paraId="3EED3525"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CONSEJO DE ESTADO. Subsección A, de la Sección Tercera. Sentencia del 10 de febrero de 2016, radicación núm. 15001-23-31-000-2003-00628-01 (39538</w:t>
            </w:r>
          </w:p>
          <w:p w14:paraId="2D1CA203"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 xml:space="preserve">CONSEJO DE ESTADO. SALA DE CONSULTA Y SERVICIO CIVIL </w:t>
            </w:r>
            <w:proofErr w:type="gramStart"/>
            <w:r w:rsidRPr="00264EBF">
              <w:rPr>
                <w:rFonts w:ascii="Verdana" w:hAnsi="Verdana"/>
              </w:rPr>
              <w:t>Consejero</w:t>
            </w:r>
            <w:proofErr w:type="gramEnd"/>
            <w:r w:rsidRPr="00264EBF">
              <w:rPr>
                <w:rFonts w:ascii="Verdana" w:hAnsi="Verdana"/>
              </w:rPr>
              <w:t xml:space="preserve"> Ponente: Édgar González López Bogotá, D.C., once (11) de octubre de dos mil veintidós (2022) Radicación interna: 2481.</w:t>
            </w:r>
          </w:p>
          <w:p w14:paraId="3E801133" w14:textId="77777777" w:rsidR="00B932A5" w:rsidRPr="00264EBF" w:rsidRDefault="00B932A5" w:rsidP="00B932A5">
            <w:pPr>
              <w:pStyle w:val="Prrafodelista"/>
              <w:numPr>
                <w:ilvl w:val="0"/>
                <w:numId w:val="3"/>
              </w:numPr>
              <w:spacing w:line="276" w:lineRule="auto"/>
              <w:contextualSpacing w:val="0"/>
              <w:jc w:val="both"/>
              <w:rPr>
                <w:rFonts w:ascii="Verdana" w:hAnsi="Verdana"/>
              </w:rPr>
            </w:pPr>
            <w:r w:rsidRPr="00264EBF">
              <w:rPr>
                <w:rFonts w:ascii="Verdana" w:hAnsi="Verdana"/>
              </w:rPr>
              <w:t>LAURENT, François. Principios de derecho civil francés. Tomo XI. México DF: Tribunal Superior de Justicia del Distrito Federal, 2008. pp. 139-140. Corchetes fuera de texto</w:t>
            </w:r>
          </w:p>
          <w:p w14:paraId="5220AFA3" w14:textId="77777777" w:rsidR="00B932A5" w:rsidRPr="00264EBF" w:rsidRDefault="00B932A5" w:rsidP="00B932A5">
            <w:pPr>
              <w:pStyle w:val="Prrafodelista"/>
              <w:numPr>
                <w:ilvl w:val="0"/>
                <w:numId w:val="3"/>
              </w:numPr>
              <w:spacing w:line="276" w:lineRule="auto"/>
              <w:contextualSpacing w:val="0"/>
              <w:jc w:val="both"/>
              <w:rPr>
                <w:rFonts w:ascii="Verdana" w:eastAsia="Calibri" w:hAnsi="Verdana" w:cs="Arial"/>
                <w:bCs/>
                <w:lang w:eastAsia="es-ES_tradnl" w:bidi="es-ES"/>
              </w:rPr>
            </w:pPr>
            <w:r w:rsidRPr="00264EBF">
              <w:rPr>
                <w:rFonts w:ascii="Verdana" w:hAnsi="Verdana"/>
              </w:rPr>
              <w:t xml:space="preserve">GUZMÁN BRITO, Alejandro. De las Donaciones entre vivos. Conceptos y tipos, Santiago: </w:t>
            </w:r>
            <w:proofErr w:type="spellStart"/>
            <w:r w:rsidRPr="00264EBF">
              <w:rPr>
                <w:rFonts w:ascii="Verdana" w:hAnsi="Verdana"/>
              </w:rPr>
              <w:t>LexisNexis</w:t>
            </w:r>
            <w:proofErr w:type="spellEnd"/>
            <w:r w:rsidRPr="00264EBF">
              <w:rPr>
                <w:rFonts w:ascii="Verdana" w:hAnsi="Verdana"/>
              </w:rPr>
              <w:t>, 2005. pp. 35 a 52.</w:t>
            </w:r>
          </w:p>
        </w:tc>
      </w:tr>
    </w:tbl>
    <w:p w14:paraId="2ECF1373" w14:textId="77777777" w:rsidR="00B932A5" w:rsidRPr="00264EBF" w:rsidRDefault="00B932A5" w:rsidP="00B932A5">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5929DFFE" w14:textId="77777777" w:rsidR="00B932A5" w:rsidRPr="00264EBF" w:rsidRDefault="00B932A5" w:rsidP="00B932A5">
      <w:pPr>
        <w:pStyle w:val="Prrafodelista"/>
        <w:numPr>
          <w:ilvl w:val="0"/>
          <w:numId w:val="2"/>
        </w:numPr>
        <w:tabs>
          <w:tab w:val="left" w:pos="142"/>
          <w:tab w:val="left" w:pos="284"/>
        </w:tabs>
        <w:spacing w:after="0" w:line="276" w:lineRule="auto"/>
        <w:ind w:left="284"/>
        <w:contextualSpacing w:val="0"/>
        <w:jc w:val="both"/>
        <w:rPr>
          <w:rFonts w:ascii="Verdana" w:eastAsia="Century Gothic" w:hAnsi="Verdana" w:cs="Century Gothic"/>
          <w:b/>
          <w:bCs/>
        </w:rPr>
      </w:pPr>
      <w:r w:rsidRPr="00264EBF">
        <w:rPr>
          <w:rFonts w:ascii="Verdana" w:eastAsia="Century Gothic" w:hAnsi="Verdana" w:cs="Century Gothic"/>
          <w:b/>
          <w:bCs/>
        </w:rPr>
        <w:t>Doctrina de la Agencia Nacional de Contratación Pública:</w:t>
      </w:r>
    </w:p>
    <w:p w14:paraId="3682FC79" w14:textId="77777777" w:rsidR="00B932A5" w:rsidRPr="00264EBF" w:rsidRDefault="00B932A5" w:rsidP="00B932A5">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5A1C88B2" w14:textId="77777777" w:rsidR="00B932A5" w:rsidRPr="00264EBF" w:rsidRDefault="00B932A5" w:rsidP="00B932A5">
      <w:pPr>
        <w:widowControl w:val="0"/>
        <w:autoSpaceDE w:val="0"/>
        <w:autoSpaceDN w:val="0"/>
        <w:spacing w:after="0" w:line="276" w:lineRule="auto"/>
        <w:jc w:val="both"/>
        <w:rPr>
          <w:rFonts w:ascii="Verdana" w:hAnsi="Verdana"/>
        </w:rPr>
      </w:pPr>
      <w:r w:rsidRPr="00264EBF">
        <w:rPr>
          <w:rFonts w:ascii="Verdana" w:eastAsia="Calibri" w:hAnsi="Verdana" w:cs="Arial"/>
          <w:shd w:val="clear" w:color="auto" w:fill="FFFFFF"/>
        </w:rPr>
        <w:t>La Agencia Nacional de Contratación Pública – Colombia Compra Eficiente se pronunció sobre el contrato de donación en los conceptos del 17 de octubre de 2019 – radicado No. 4201913000006036, C- 661 del 17 de noviembre de 2020, C-763 del 15 de noviembre de 2022, C-921 del 26 de diciembre de 2022, C-947 del 12 de diciembre de 2022, P20221212012159 del 24 de enero de 2023, C-106 del 28 de mayo de 2024, C-513 del 05 de junio de 2025, y C-825 del 5 de agosto de 2025.</w:t>
      </w:r>
      <w:bookmarkEnd w:id="1"/>
      <w:bookmarkEnd w:id="3"/>
      <w:bookmarkEnd w:id="4"/>
      <w:r w:rsidRPr="00264EBF">
        <w:rPr>
          <w:rFonts w:ascii="Verdana" w:hAnsi="Verdana" w:cs="Arial"/>
          <w:shd w:val="clear" w:color="auto" w:fill="FFFFFF"/>
          <w:lang w:val="es-ES"/>
        </w:rPr>
        <w:t xml:space="preserve"> </w:t>
      </w:r>
      <w:r w:rsidRPr="00264EBF">
        <w:rPr>
          <w:rStyle w:val="normaltextrun"/>
          <w:rFonts w:ascii="Verdana" w:hAnsi="Verdana" w:cs="Arial"/>
          <w:shd w:val="clear" w:color="auto" w:fill="FFFFFF"/>
          <w:lang w:val="es-ES"/>
        </w:rPr>
        <w:t>Es</w:t>
      </w:r>
      <w:r w:rsidRPr="00264EBF">
        <w:rPr>
          <w:rFonts w:ascii="Verdana" w:hAnsi="Verdana"/>
        </w:rPr>
        <w:t>tos y otros se encuentran disponibles para consulta en el Sistema de relatoría de la Agencia, al cual puede accederse a través del siguiente enlace:</w:t>
      </w:r>
    </w:p>
    <w:p w14:paraId="13B4ED3B" w14:textId="77777777" w:rsidR="00B932A5" w:rsidRPr="009D4E8B" w:rsidRDefault="00B932A5" w:rsidP="00B932A5">
      <w:pPr>
        <w:widowControl w:val="0"/>
        <w:autoSpaceDE w:val="0"/>
        <w:autoSpaceDN w:val="0"/>
        <w:spacing w:after="0" w:line="276" w:lineRule="auto"/>
        <w:jc w:val="both"/>
        <w:rPr>
          <w:rFonts w:ascii="Verdana" w:hAnsi="Verdana"/>
        </w:rPr>
      </w:pPr>
    </w:p>
    <w:p w14:paraId="1EFDBEBC" w14:textId="77777777" w:rsidR="00B932A5" w:rsidRPr="00264EBF" w:rsidRDefault="00B932A5" w:rsidP="00B932A5">
      <w:pPr>
        <w:widowControl w:val="0"/>
        <w:autoSpaceDE w:val="0"/>
        <w:autoSpaceDN w:val="0"/>
        <w:spacing w:after="0" w:line="276" w:lineRule="auto"/>
        <w:jc w:val="both"/>
        <w:rPr>
          <w:rStyle w:val="normaltextrun"/>
          <w:rFonts w:ascii="Verdana" w:hAnsi="Verdana" w:cs="Arial"/>
          <w:color w:val="FF0000"/>
          <w:shd w:val="clear" w:color="auto" w:fill="FFFFFF"/>
          <w:lang w:val="es-ES"/>
        </w:rPr>
      </w:pPr>
      <w:hyperlink r:id="rId9" w:history="1">
        <w:r w:rsidRPr="00264EBF">
          <w:rPr>
            <w:rStyle w:val="Hipervnculo"/>
            <w:rFonts w:ascii="Verdana" w:hAnsi="Verdana" w:cs="Arial"/>
            <w:shd w:val="clear" w:color="auto" w:fill="FFFFFF"/>
            <w:lang w:val="es-ES"/>
          </w:rPr>
          <w:t>https://relatoria.colombiacompra.gov.co/busqueda/conceptos</w:t>
        </w:r>
      </w:hyperlink>
      <w:r w:rsidRPr="00264EBF">
        <w:rPr>
          <w:rStyle w:val="normaltextrun"/>
          <w:rFonts w:ascii="Verdana" w:hAnsi="Verdana" w:cs="Arial"/>
          <w:shd w:val="clear" w:color="auto" w:fill="FFFFFF"/>
          <w:lang w:val="es-ES"/>
        </w:rPr>
        <w:t>.</w:t>
      </w:r>
      <w:r w:rsidRPr="00264EBF">
        <w:rPr>
          <w:rStyle w:val="normaltextrun"/>
          <w:rFonts w:ascii="Verdana" w:hAnsi="Verdana" w:cs="Arial"/>
          <w:color w:val="FF0000"/>
          <w:shd w:val="clear" w:color="auto" w:fill="FFFFFF"/>
          <w:lang w:val="es-ES"/>
        </w:rPr>
        <w:t xml:space="preserve"> </w:t>
      </w:r>
    </w:p>
    <w:p w14:paraId="078B0505" w14:textId="77777777" w:rsidR="00B932A5" w:rsidRPr="00264EBF" w:rsidRDefault="00B932A5" w:rsidP="00B932A5">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B4C58AB" w14:textId="77777777" w:rsidR="00B932A5" w:rsidRDefault="00B932A5" w:rsidP="00B932A5">
      <w:pPr>
        <w:spacing w:after="0" w:line="276" w:lineRule="auto"/>
        <w:jc w:val="both"/>
        <w:rPr>
          <w:rFonts w:ascii="Verdana" w:hAnsi="Verdana"/>
        </w:rPr>
      </w:pPr>
      <w:r w:rsidRPr="00146BFB">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146BFB">
        <w:rPr>
          <w:rFonts w:ascii="Verdana" w:hAnsi="Verdana"/>
          <w:b/>
          <w:bCs/>
        </w:rPr>
        <w:t>Guía para la Exigencia y Constitución de Garantías en los Procesos de Contratación</w:t>
      </w:r>
      <w:r w:rsidRPr="00146BFB">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0" w:tooltip="Dirección URL original: https://www.colombiacompra.gov.co/archivos/manual/guia-de-garantias-en-procesos-de-contratacion. Haga clic o pulse si confía en este vínculo." w:history="1">
        <w:r w:rsidRPr="00146BFB">
          <w:rPr>
            <w:rStyle w:val="Hipervnculo"/>
            <w:rFonts w:ascii="Verdana" w:hAnsi="Verdana"/>
          </w:rPr>
          <w:t>https://www.colombiacompra.gov.co/archivos/manual/guia-de-garantias-en-procesos-de-contratacion</w:t>
        </w:r>
      </w:hyperlink>
    </w:p>
    <w:p w14:paraId="3AF29FBE" w14:textId="77777777" w:rsidR="00B932A5" w:rsidRPr="00146BFB" w:rsidRDefault="00B932A5" w:rsidP="00B932A5">
      <w:pPr>
        <w:spacing w:after="0" w:line="276" w:lineRule="auto"/>
        <w:jc w:val="both"/>
        <w:rPr>
          <w:rFonts w:ascii="Verdana" w:hAnsi="Verdana"/>
        </w:rPr>
      </w:pPr>
    </w:p>
    <w:p w14:paraId="08E70D2D" w14:textId="77777777" w:rsidR="00B932A5" w:rsidRDefault="00B932A5" w:rsidP="00B932A5">
      <w:pPr>
        <w:spacing w:after="0" w:line="276" w:lineRule="auto"/>
        <w:jc w:val="both"/>
        <w:rPr>
          <w:rFonts w:ascii="Verdana" w:hAnsi="Verdana"/>
        </w:rPr>
      </w:pPr>
      <w:r w:rsidRPr="00146BFB">
        <w:rPr>
          <w:rFonts w:ascii="Verdana" w:hAnsi="Verdana"/>
        </w:rPr>
        <w:t>De otro lado, te contamos que el Decreto 287 del 19 de marzo de 2026 sustituyó los artículos 2.2.1.2.4.2.6., 2.2.1.2.4.2.7. y 2.2.1.2.4.2.8. del Decreto 1082 de 2015 y estructuró el </w:t>
      </w:r>
      <w:r w:rsidRPr="00146BFB">
        <w:rPr>
          <w:rFonts w:ascii="Verdana" w:hAnsi="Verdana"/>
          <w:b/>
          <w:bCs/>
        </w:rPr>
        <w:t>Sistema Integral de Preferencias en favor de las personas con discapacidad</w:t>
      </w:r>
      <w:r w:rsidRPr="00146BFB">
        <w:rPr>
          <w:rFonts w:ascii="Verdana" w:hAnsi="Verdana"/>
        </w:rPr>
        <w:t>, en cumplimiento del artículo 13 de la Ley Estatutaria 1618 de 2013. Para orientar su aplicación, esta Agencia expidió la </w:t>
      </w:r>
      <w:r w:rsidRPr="00146BFB">
        <w:rPr>
          <w:rFonts w:ascii="Verdana" w:hAnsi="Verdana"/>
          <w:b/>
          <w:bCs/>
        </w:rPr>
        <w:t>Circular Externa 003 del 12 de mayo de 2026, </w:t>
      </w:r>
      <w:r w:rsidRPr="00146BFB">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1" w:tooltip="Dirección URL original: https://www.colombiacompra.gov.co/archivos/circular/circular-externa-003-de-2026. Haga clic o pulse si confía en este vínculo." w:history="1">
        <w:r w:rsidRPr="00146BFB">
          <w:rPr>
            <w:rStyle w:val="Hipervnculo"/>
            <w:rFonts w:ascii="Verdana" w:hAnsi="Verdana"/>
          </w:rPr>
          <w:t>https://www.colombiacompra.gov.co/archivos/circular/circular-externa-003-de-2026</w:t>
        </w:r>
      </w:hyperlink>
    </w:p>
    <w:p w14:paraId="22F11FF6" w14:textId="77777777" w:rsidR="00B932A5" w:rsidRPr="00146BFB" w:rsidRDefault="00B932A5" w:rsidP="00B932A5">
      <w:pPr>
        <w:spacing w:after="0" w:line="276" w:lineRule="auto"/>
        <w:jc w:val="both"/>
        <w:rPr>
          <w:rFonts w:ascii="Verdana" w:hAnsi="Verdana"/>
        </w:rPr>
      </w:pPr>
    </w:p>
    <w:p w14:paraId="1763E514" w14:textId="77777777" w:rsidR="00B932A5" w:rsidRPr="00146BFB" w:rsidRDefault="00B932A5" w:rsidP="00B932A5">
      <w:pPr>
        <w:spacing w:after="0" w:line="276" w:lineRule="auto"/>
        <w:jc w:val="both"/>
        <w:rPr>
          <w:rFonts w:ascii="Verdana" w:hAnsi="Verdana"/>
        </w:rPr>
      </w:pPr>
      <w:r w:rsidRPr="00146BFB">
        <w:rPr>
          <w:rFonts w:ascii="Verdana" w:hAnsi="Verdana"/>
        </w:rPr>
        <w:t>Recuerda también que la</w:t>
      </w:r>
      <w:r w:rsidRPr="00146BFB">
        <w:rPr>
          <w:rFonts w:ascii="Verdana" w:hAnsi="Verdana"/>
          <w:b/>
          <w:bCs/>
        </w:rPr>
        <w:t> información sobre sanciones e inhabilidades </w:t>
      </w:r>
      <w:r w:rsidRPr="00146BFB">
        <w:rPr>
          <w:rFonts w:ascii="Verdana" w:hAnsi="Verdana"/>
        </w:rPr>
        <w:t>solo cumple su función preventiva si llega oportunamente a los registros públicos. Sobre este deber, esta Agencia expidió la </w:t>
      </w:r>
      <w:r w:rsidRPr="00146BFB">
        <w:rPr>
          <w:rFonts w:ascii="Verdana" w:hAnsi="Verdana"/>
          <w:b/>
          <w:bCs/>
        </w:rPr>
        <w:t>Circular Externa 002 del 5 de mayo de 2026,</w:t>
      </w:r>
      <w:r w:rsidRPr="00146BFB">
        <w:rPr>
          <w:rFonts w:ascii="Verdana" w:hAnsi="Verdana"/>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146BFB">
        <w:rPr>
          <w:rFonts w:ascii="Verdana" w:hAnsi="Verdana"/>
        </w:rPr>
        <w:lastRenderedPageBreak/>
        <w:t>aquí: </w:t>
      </w:r>
      <w:hyperlink r:id="rId12" w:tooltip="Dirección URL original: https://www.colombiacompra.gov.co/archivos/circular/circular-externa-002-de-2026. Haga clic o pulse si confía en este vínculo." w:history="1">
        <w:r w:rsidRPr="00146BFB">
          <w:rPr>
            <w:rStyle w:val="Hipervnculo"/>
            <w:rFonts w:ascii="Verdana" w:hAnsi="Verdana"/>
          </w:rPr>
          <w:t>https://www.colombiacompra.gov.co/archivos/circular/circular-externa-002-de-2026</w:t>
        </w:r>
      </w:hyperlink>
    </w:p>
    <w:p w14:paraId="6E57F965" w14:textId="77777777" w:rsidR="00B932A5" w:rsidRPr="00146BFB" w:rsidRDefault="00B932A5" w:rsidP="00B932A5">
      <w:pPr>
        <w:spacing w:after="0" w:line="276" w:lineRule="auto"/>
        <w:jc w:val="both"/>
        <w:rPr>
          <w:rFonts w:ascii="Verdana" w:hAnsi="Verdana"/>
        </w:rPr>
      </w:pPr>
      <w:r w:rsidRPr="00146BFB">
        <w:rPr>
          <w:rFonts w:ascii="Verdana" w:hAnsi="Verdana"/>
        </w:rPr>
        <w:t>Finalmente, si quieres seguir de cerca la actividad de la Agencia, la tercera edición de 2026 del</w:t>
      </w:r>
      <w:r w:rsidRPr="00146BFB">
        <w:rPr>
          <w:rFonts w:ascii="Verdana" w:hAnsi="Verdana"/>
          <w:b/>
          <w:bCs/>
        </w:rPr>
        <w:t> Radar de la Compra Pública</w:t>
      </w:r>
      <w:r w:rsidRPr="00146BFB">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3" w:tooltip="Dirección URL original: https://www.colombiacompra.gov.co/archivos/boletin/boletin-edicion-n-3-de-2026-radar-de-la-compra-publica. Haga clic o pulse si confía en este vínculo." w:history="1">
        <w:r w:rsidRPr="00146BFB">
          <w:rPr>
            <w:rStyle w:val="Hipervnculo"/>
            <w:rFonts w:ascii="Verdana" w:hAnsi="Verdana"/>
          </w:rPr>
          <w:t>https://www.colombiacompra.gov.co/archivos/boletin/boletin-edicion-n-3-de-2026-radar-de-la-compra-publica</w:t>
        </w:r>
      </w:hyperlink>
    </w:p>
    <w:p w14:paraId="40077C52" w14:textId="77777777" w:rsidR="00B932A5" w:rsidRPr="009D4E8B" w:rsidRDefault="00B932A5" w:rsidP="00B932A5">
      <w:pPr>
        <w:spacing w:after="0" w:line="276" w:lineRule="auto"/>
        <w:jc w:val="both"/>
        <w:rPr>
          <w:rFonts w:ascii="Verdana" w:hAnsi="Verdana"/>
        </w:rPr>
      </w:pPr>
    </w:p>
    <w:p w14:paraId="7A392D87" w14:textId="77777777" w:rsidR="00B932A5" w:rsidRPr="00264EBF" w:rsidRDefault="00B932A5" w:rsidP="00B932A5">
      <w:pPr>
        <w:spacing w:after="0" w:line="276" w:lineRule="auto"/>
        <w:jc w:val="both"/>
        <w:rPr>
          <w:rFonts w:ascii="Verdana" w:eastAsia="Calibri" w:hAnsi="Verdana" w:cs="Times New Roman"/>
        </w:rPr>
      </w:pPr>
      <w:r w:rsidRPr="00264EBF">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7E9488C7" w14:textId="77777777" w:rsidR="00B932A5" w:rsidRPr="00264EBF" w:rsidRDefault="00B932A5" w:rsidP="00B932A5">
      <w:pPr>
        <w:pStyle w:val="Prrafodelista"/>
        <w:numPr>
          <w:ilvl w:val="0"/>
          <w:numId w:val="1"/>
        </w:numPr>
        <w:spacing w:after="0" w:line="276" w:lineRule="auto"/>
        <w:contextualSpacing w:val="0"/>
        <w:jc w:val="both"/>
        <w:rPr>
          <w:rFonts w:ascii="Verdana" w:hAnsi="Verdana"/>
        </w:rPr>
      </w:pPr>
      <w:r w:rsidRPr="00264EBF">
        <w:rPr>
          <w:rFonts w:ascii="Verdana" w:hAnsi="Verdana"/>
        </w:rPr>
        <w:t>Línea nacional gratuita o servicio a la ciudadanía: 01800 0520808</w:t>
      </w:r>
    </w:p>
    <w:p w14:paraId="23503A7F" w14:textId="77777777" w:rsidR="00B932A5" w:rsidRPr="00264EBF" w:rsidRDefault="00B932A5" w:rsidP="00B932A5">
      <w:pPr>
        <w:pStyle w:val="Prrafodelista"/>
        <w:numPr>
          <w:ilvl w:val="0"/>
          <w:numId w:val="1"/>
        </w:numPr>
        <w:spacing w:after="0" w:line="276" w:lineRule="auto"/>
        <w:contextualSpacing w:val="0"/>
        <w:jc w:val="both"/>
        <w:rPr>
          <w:rFonts w:ascii="Verdana" w:hAnsi="Verdana"/>
        </w:rPr>
      </w:pPr>
      <w:r w:rsidRPr="00264EBF">
        <w:rPr>
          <w:rFonts w:ascii="Verdana" w:hAnsi="Verdana"/>
        </w:rPr>
        <w:t>Línea en Bogotá (Mesa de servicio): +57 601 7456788</w:t>
      </w:r>
    </w:p>
    <w:p w14:paraId="57E0EBE2" w14:textId="77777777" w:rsidR="00B932A5" w:rsidRPr="00264EBF" w:rsidRDefault="00B932A5" w:rsidP="00B932A5">
      <w:pPr>
        <w:pStyle w:val="Prrafodelista"/>
        <w:numPr>
          <w:ilvl w:val="0"/>
          <w:numId w:val="1"/>
        </w:numPr>
        <w:spacing w:after="0" w:line="276" w:lineRule="auto"/>
        <w:contextualSpacing w:val="0"/>
        <w:jc w:val="both"/>
        <w:rPr>
          <w:rFonts w:ascii="Verdana" w:hAnsi="Verdana"/>
        </w:rPr>
      </w:pPr>
      <w:r w:rsidRPr="00264EBF">
        <w:rPr>
          <w:rFonts w:ascii="Verdana" w:hAnsi="Verdana"/>
        </w:rPr>
        <w:t>Línea de servicio y atención al ciudadano: +57 601 7956600</w:t>
      </w:r>
    </w:p>
    <w:p w14:paraId="6AC61D75" w14:textId="77777777" w:rsidR="00B932A5" w:rsidRPr="00264EBF" w:rsidRDefault="00B932A5" w:rsidP="00B932A5">
      <w:pPr>
        <w:pStyle w:val="Prrafodelista"/>
        <w:numPr>
          <w:ilvl w:val="0"/>
          <w:numId w:val="1"/>
        </w:numPr>
        <w:spacing w:after="0" w:line="276" w:lineRule="auto"/>
        <w:contextualSpacing w:val="0"/>
        <w:jc w:val="both"/>
        <w:rPr>
          <w:rFonts w:ascii="Verdana" w:hAnsi="Verdana"/>
        </w:rPr>
      </w:pPr>
      <w:r w:rsidRPr="00264EBF">
        <w:rPr>
          <w:rFonts w:ascii="Verdana" w:hAnsi="Verdana"/>
        </w:rPr>
        <w:t xml:space="preserve">Página web: </w:t>
      </w:r>
      <w:hyperlink r:id="rId14" w:history="1">
        <w:r w:rsidRPr="00264EBF">
          <w:rPr>
            <w:rStyle w:val="Hipervnculo"/>
            <w:rFonts w:ascii="Verdana" w:hAnsi="Verdana"/>
          </w:rPr>
          <w:t>www.colombiacompra.gov.co</w:t>
        </w:r>
      </w:hyperlink>
    </w:p>
    <w:p w14:paraId="4D6501F9" w14:textId="77777777" w:rsidR="00B932A5" w:rsidRPr="009D4E8B" w:rsidRDefault="00B932A5" w:rsidP="00B932A5">
      <w:pPr>
        <w:spacing w:after="0" w:line="276" w:lineRule="auto"/>
        <w:jc w:val="both"/>
        <w:rPr>
          <w:rFonts w:ascii="Verdana" w:hAnsi="Verdana"/>
        </w:rPr>
      </w:pPr>
    </w:p>
    <w:p w14:paraId="370979A9" w14:textId="77777777" w:rsidR="00B932A5" w:rsidRPr="009D4E8B" w:rsidRDefault="00B932A5" w:rsidP="00B932A5">
      <w:pPr>
        <w:spacing w:after="0" w:line="276" w:lineRule="auto"/>
        <w:jc w:val="both"/>
        <w:rPr>
          <w:rFonts w:ascii="Verdana" w:eastAsia="Calibri" w:hAnsi="Verdana" w:cs="Times New Roman"/>
        </w:rPr>
      </w:pPr>
      <w:r w:rsidRPr="00264EBF">
        <w:rPr>
          <w:rFonts w:ascii="Verdana" w:eastAsia="Calibri" w:hAnsi="Verdana" w:cs="Times New Roman"/>
        </w:rPr>
        <w:t xml:space="preserve">Por último, lo invitamos a seguirnos en las redes sociales en las cuales se difunde información institucional: </w:t>
      </w:r>
    </w:p>
    <w:p w14:paraId="018D17D3" w14:textId="77777777" w:rsidR="00B932A5" w:rsidRPr="00264EBF" w:rsidRDefault="00B932A5" w:rsidP="00B932A5">
      <w:pPr>
        <w:spacing w:after="0" w:line="276" w:lineRule="auto"/>
        <w:jc w:val="both"/>
        <w:rPr>
          <w:rFonts w:ascii="Verdana" w:eastAsia="Calibri" w:hAnsi="Verdana" w:cs="Times New Roman"/>
        </w:rPr>
      </w:pPr>
    </w:p>
    <w:p w14:paraId="1CD79B73" w14:textId="77777777" w:rsidR="00B932A5" w:rsidRPr="00264EBF" w:rsidRDefault="00B932A5" w:rsidP="00B932A5">
      <w:pPr>
        <w:spacing w:after="0" w:line="276" w:lineRule="auto"/>
        <w:jc w:val="both"/>
        <w:rPr>
          <w:rFonts w:ascii="Verdana" w:eastAsia="Calibri" w:hAnsi="Verdana" w:cs="Times New Roman"/>
        </w:rPr>
      </w:pPr>
      <w:r w:rsidRPr="00264EBF">
        <w:rPr>
          <w:rFonts w:ascii="Verdana" w:eastAsia="Calibri" w:hAnsi="Verdana" w:cs="Times New Roman"/>
        </w:rPr>
        <w:t xml:space="preserve">Twitter: </w:t>
      </w:r>
      <w:r w:rsidRPr="00264EBF">
        <w:rPr>
          <w:rFonts w:ascii="Verdana" w:eastAsia="Calibri" w:hAnsi="Verdana" w:cs="Times New Roman"/>
          <w:color w:val="156082" w:themeColor="accent1"/>
          <w:u w:val="single"/>
        </w:rPr>
        <w:t>@colombiacompra</w:t>
      </w:r>
      <w:r w:rsidRPr="00264EBF">
        <w:rPr>
          <w:rFonts w:ascii="Verdana" w:eastAsia="Calibri" w:hAnsi="Verdana" w:cs="Times New Roman"/>
          <w:color w:val="156082" w:themeColor="accent1"/>
        </w:rPr>
        <w:t xml:space="preserve"> </w:t>
      </w:r>
    </w:p>
    <w:p w14:paraId="16733B2F" w14:textId="77777777" w:rsidR="00B932A5" w:rsidRPr="00264EBF" w:rsidRDefault="00B932A5" w:rsidP="00B932A5">
      <w:pPr>
        <w:spacing w:after="0" w:line="276" w:lineRule="auto"/>
        <w:jc w:val="both"/>
        <w:rPr>
          <w:rFonts w:ascii="Verdana" w:eastAsia="Calibri" w:hAnsi="Verdana" w:cs="Times New Roman"/>
        </w:rPr>
      </w:pPr>
      <w:r w:rsidRPr="00264EBF">
        <w:rPr>
          <w:rFonts w:ascii="Verdana" w:eastAsia="Calibri" w:hAnsi="Verdana" w:cs="Times New Roman"/>
        </w:rPr>
        <w:t xml:space="preserve">Facebook: </w:t>
      </w:r>
      <w:proofErr w:type="spellStart"/>
      <w:r w:rsidRPr="00264EBF">
        <w:rPr>
          <w:rFonts w:ascii="Verdana" w:eastAsia="Calibri" w:hAnsi="Verdana" w:cs="Times New Roman"/>
          <w:color w:val="156082" w:themeColor="accent1"/>
          <w:u w:val="single"/>
        </w:rPr>
        <w:t>ColombiaCompraEficiente</w:t>
      </w:r>
      <w:proofErr w:type="spellEnd"/>
    </w:p>
    <w:p w14:paraId="5DB24616" w14:textId="77777777" w:rsidR="00B932A5" w:rsidRPr="00264EBF" w:rsidRDefault="00B932A5" w:rsidP="00B932A5">
      <w:pPr>
        <w:spacing w:after="0" w:line="276" w:lineRule="auto"/>
        <w:jc w:val="both"/>
        <w:rPr>
          <w:rFonts w:ascii="Verdana" w:eastAsia="Calibri" w:hAnsi="Verdana" w:cs="Times New Roman"/>
        </w:rPr>
      </w:pPr>
      <w:r w:rsidRPr="00264EBF">
        <w:rPr>
          <w:rFonts w:ascii="Verdana" w:eastAsia="Calibri" w:hAnsi="Verdana" w:cs="Times New Roman"/>
        </w:rPr>
        <w:t xml:space="preserve">LinkedIn: </w:t>
      </w:r>
      <w:r w:rsidRPr="00264EBF">
        <w:rPr>
          <w:rFonts w:ascii="Verdana" w:eastAsia="Calibri" w:hAnsi="Verdana" w:cs="Times New Roman"/>
          <w:color w:val="156082" w:themeColor="accent1"/>
          <w:u w:val="single"/>
        </w:rPr>
        <w:t>Agencia Nacional de Contratación Pública - Colombia Compra Eficiente</w:t>
      </w:r>
      <w:r w:rsidRPr="00264EBF">
        <w:rPr>
          <w:rFonts w:ascii="Verdana" w:eastAsia="Calibri" w:hAnsi="Verdana" w:cs="Times New Roman"/>
          <w:color w:val="156082" w:themeColor="accent1"/>
        </w:rPr>
        <w:t xml:space="preserve"> </w:t>
      </w:r>
      <w:r w:rsidRPr="00264EBF">
        <w:rPr>
          <w:rFonts w:ascii="Verdana" w:eastAsia="Calibri" w:hAnsi="Verdana" w:cs="Times New Roman"/>
        </w:rPr>
        <w:t xml:space="preserve">Instagram: </w:t>
      </w:r>
      <w:r w:rsidRPr="00264EBF">
        <w:rPr>
          <w:rFonts w:ascii="Verdana" w:eastAsia="Calibri" w:hAnsi="Verdana" w:cs="Times New Roman"/>
          <w:color w:val="156082" w:themeColor="accent1"/>
          <w:u w:val="single"/>
        </w:rPr>
        <w:t>@colombiacompraeficiente_cce</w:t>
      </w:r>
    </w:p>
    <w:p w14:paraId="1B37B18B" w14:textId="77777777" w:rsidR="00B932A5" w:rsidRPr="00264EBF" w:rsidRDefault="00B932A5" w:rsidP="00B932A5">
      <w:pPr>
        <w:widowControl w:val="0"/>
        <w:autoSpaceDE w:val="0"/>
        <w:autoSpaceDN w:val="0"/>
        <w:spacing w:after="0" w:line="276" w:lineRule="auto"/>
        <w:jc w:val="both"/>
        <w:rPr>
          <w:rFonts w:ascii="Verdana" w:eastAsia="Calibri" w:hAnsi="Verdana" w:cs="Arial"/>
        </w:rPr>
      </w:pPr>
    </w:p>
    <w:p w14:paraId="42A2E0BC" w14:textId="77777777" w:rsidR="00B932A5" w:rsidRPr="00264EBF" w:rsidRDefault="00B932A5" w:rsidP="00B932A5">
      <w:pPr>
        <w:widowControl w:val="0"/>
        <w:autoSpaceDE w:val="0"/>
        <w:autoSpaceDN w:val="0"/>
        <w:spacing w:after="0" w:line="276" w:lineRule="auto"/>
        <w:jc w:val="both"/>
        <w:rPr>
          <w:rFonts w:ascii="Verdana" w:eastAsia="Calibri" w:hAnsi="Verdana" w:cs="Arial"/>
          <w:lang w:val="es-ES_tradnl"/>
        </w:rPr>
      </w:pPr>
      <w:r w:rsidRPr="00264EBF">
        <w:rPr>
          <w:rFonts w:ascii="Verdana" w:eastAsia="Calibri" w:hAnsi="Verdana" w:cs="Arial"/>
        </w:rPr>
        <w:t xml:space="preserve">Este concepto tiene el alcance previsto en el artículo 28 del Código de Procedimiento Administrativo y de lo Contencioso Administrativo </w:t>
      </w:r>
      <w:r w:rsidRPr="00264EBF">
        <w:rPr>
          <w:rFonts w:ascii="Verdana" w:eastAsia="Calibri" w:hAnsi="Verdana" w:cs="Arial"/>
          <w:lang w:val="es-ES_tradnl"/>
        </w:rPr>
        <w:t>y las expresiones aquí utilizadas con mayúscula inicial deben ser entendidas con el significado que les otorga el artículo 2.2.1.1.1.3.1. del Decreto 1082 de 2015.</w:t>
      </w:r>
    </w:p>
    <w:p w14:paraId="7D9471D2" w14:textId="77777777" w:rsidR="00B932A5" w:rsidRPr="00264EBF" w:rsidRDefault="00B932A5" w:rsidP="00B932A5">
      <w:pPr>
        <w:widowControl w:val="0"/>
        <w:autoSpaceDE w:val="0"/>
        <w:autoSpaceDN w:val="0"/>
        <w:spacing w:after="0" w:line="276" w:lineRule="auto"/>
        <w:jc w:val="both"/>
        <w:rPr>
          <w:rFonts w:ascii="Verdana" w:hAnsi="Verdana" w:cs="Arial"/>
        </w:rPr>
      </w:pPr>
    </w:p>
    <w:p w14:paraId="42DF8A36" w14:textId="77777777" w:rsidR="00B932A5" w:rsidRPr="00264EBF" w:rsidRDefault="00B932A5" w:rsidP="00B932A5">
      <w:pPr>
        <w:spacing w:after="0" w:line="276" w:lineRule="auto"/>
        <w:rPr>
          <w:rFonts w:ascii="Verdana" w:hAnsi="Verdana" w:cs="Arial"/>
          <w:lang w:eastAsia="es-CO"/>
        </w:rPr>
      </w:pPr>
      <w:r w:rsidRPr="00264EBF">
        <w:rPr>
          <w:rFonts w:ascii="Verdana" w:eastAsia="Times New Roman" w:hAnsi="Verdana" w:cs="Arial"/>
          <w:lang w:eastAsia="es-CO"/>
        </w:rPr>
        <w:t>Atentamente,</w:t>
      </w:r>
      <w:r w:rsidRPr="00264EBF">
        <w:rPr>
          <w:rFonts w:ascii="Verdana" w:hAnsi="Verdana" w:cs="Arial"/>
          <w:lang w:eastAsia="es-CO"/>
        </w:rPr>
        <w:t xml:space="preserve"> </w:t>
      </w:r>
    </w:p>
    <w:p w14:paraId="14C61C73" w14:textId="77777777" w:rsidR="00B932A5" w:rsidRPr="00264EBF" w:rsidRDefault="00B932A5" w:rsidP="00B932A5">
      <w:pPr>
        <w:spacing w:after="0" w:line="276" w:lineRule="auto"/>
        <w:rPr>
          <w:rFonts w:ascii="Verdana" w:hAnsi="Verdana" w:cs="Arial"/>
          <w:lang w:eastAsia="es-CO"/>
        </w:rPr>
      </w:pPr>
    </w:p>
    <w:p w14:paraId="3F4A2221" w14:textId="5631DEEF" w:rsidR="00BC4F10" w:rsidRPr="00BC4F10" w:rsidRDefault="00BC4F10" w:rsidP="00BC4F10">
      <w:pPr>
        <w:spacing w:after="0" w:line="240" w:lineRule="auto"/>
        <w:jc w:val="center"/>
        <w:rPr>
          <w:rFonts w:ascii="Verdana" w:hAnsi="Verdana" w:cs="Arial"/>
          <w:lang w:eastAsia="es-CO"/>
        </w:rPr>
      </w:pPr>
      <w:r w:rsidRPr="00BC4F10">
        <w:rPr>
          <w:rFonts w:ascii="Verdana" w:hAnsi="Verdana" w:cs="Arial"/>
          <w:lang w:eastAsia="es-CO"/>
        </w:rPr>
        <w:lastRenderedPageBreak/>
        <w:drawing>
          <wp:inline distT="0" distB="0" distL="0" distR="0" wp14:anchorId="1BD46C44" wp14:editId="707867C5">
            <wp:extent cx="3771900" cy="1403350"/>
            <wp:effectExtent l="0" t="0" r="0" b="6350"/>
            <wp:docPr id="12047803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1403350"/>
                    </a:xfrm>
                    <a:prstGeom prst="rect">
                      <a:avLst/>
                    </a:prstGeom>
                    <a:noFill/>
                    <a:ln>
                      <a:noFill/>
                    </a:ln>
                  </pic:spPr>
                </pic:pic>
              </a:graphicData>
            </a:graphic>
          </wp:inline>
        </w:drawing>
      </w:r>
    </w:p>
    <w:p w14:paraId="0F3E31A9" w14:textId="476F952E" w:rsidR="00B932A5" w:rsidRDefault="00B932A5" w:rsidP="00B932A5">
      <w:pPr>
        <w:spacing w:after="0" w:line="240" w:lineRule="auto"/>
        <w:jc w:val="center"/>
        <w:rPr>
          <w:rFonts w:ascii="Verdana" w:hAnsi="Verdana" w:cs="Arial"/>
          <w:lang w:eastAsia="es-CO"/>
        </w:rPr>
      </w:pPr>
    </w:p>
    <w:p w14:paraId="6003D79D" w14:textId="77777777" w:rsidR="00B932A5" w:rsidRDefault="00B932A5" w:rsidP="00B932A5">
      <w:pPr>
        <w:spacing w:after="0" w:line="240" w:lineRule="auto"/>
        <w:jc w:val="center"/>
        <w:rPr>
          <w:rFonts w:ascii="Verdana" w:hAnsi="Verdana" w:cs="Arial"/>
          <w:lang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932A5" w:rsidRPr="002C6323" w14:paraId="2C7D1135" w14:textId="77777777" w:rsidTr="00FD0DA0">
        <w:trPr>
          <w:trHeight w:val="315"/>
        </w:trPr>
        <w:tc>
          <w:tcPr>
            <w:tcW w:w="893" w:type="dxa"/>
            <w:vAlign w:val="center"/>
            <w:hideMark/>
          </w:tcPr>
          <w:p w14:paraId="0E739D38" w14:textId="77777777" w:rsidR="00B932A5" w:rsidRPr="002C6323" w:rsidRDefault="00B932A5" w:rsidP="00FD0DA0">
            <w:pPr>
              <w:contextualSpacing/>
              <w:rPr>
                <w:rFonts w:ascii="Verdana" w:hAnsi="Verdana" w:cs="Arial"/>
                <w:sz w:val="16"/>
                <w:szCs w:val="16"/>
                <w:lang w:val="es-ES" w:eastAsia="es-ES"/>
              </w:rPr>
            </w:pPr>
            <w:r w:rsidRPr="002C6323">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4633880" w14:textId="77777777" w:rsidR="00B932A5" w:rsidRPr="00D41CA6" w:rsidRDefault="00B932A5" w:rsidP="00FD0DA0">
            <w:pPr>
              <w:contextualSpacing/>
              <w:rPr>
                <w:rFonts w:ascii="Verdana" w:hAnsi="Verdana"/>
                <w:sz w:val="16"/>
                <w:szCs w:val="16"/>
              </w:rPr>
            </w:pPr>
            <w:r>
              <w:rPr>
                <w:rFonts w:ascii="Verdana" w:hAnsi="Verdana"/>
                <w:sz w:val="16"/>
                <w:szCs w:val="16"/>
              </w:rPr>
              <w:t>Natalia Montoya Jiménez</w:t>
            </w:r>
          </w:p>
          <w:p w14:paraId="6D7B4117" w14:textId="77777777" w:rsidR="00B932A5" w:rsidRPr="002C6323" w:rsidRDefault="00B932A5" w:rsidP="00FD0DA0">
            <w:pPr>
              <w:contextualSpacing/>
              <w:rPr>
                <w:rFonts w:ascii="Verdana" w:eastAsia="Arial" w:hAnsi="Verdana" w:cs="Arial"/>
                <w:sz w:val="16"/>
                <w:szCs w:val="16"/>
              </w:rPr>
            </w:pPr>
            <w:r>
              <w:rPr>
                <w:rFonts w:ascii="Verdana" w:hAnsi="Verdana"/>
                <w:sz w:val="16"/>
                <w:szCs w:val="16"/>
              </w:rPr>
              <w:t>Gestor T1 15</w:t>
            </w:r>
            <w:r w:rsidRPr="00D41CA6">
              <w:rPr>
                <w:rFonts w:ascii="Verdana" w:hAnsi="Verdana"/>
                <w:sz w:val="16"/>
                <w:szCs w:val="16"/>
              </w:rPr>
              <w:t xml:space="preserve"> de la Subdirección de Gestión Contractual</w:t>
            </w:r>
          </w:p>
        </w:tc>
      </w:tr>
      <w:tr w:rsidR="00B932A5" w:rsidRPr="002C6323" w14:paraId="7A2F5DD6" w14:textId="77777777" w:rsidTr="00FD0DA0">
        <w:trPr>
          <w:trHeight w:val="330"/>
        </w:trPr>
        <w:tc>
          <w:tcPr>
            <w:tcW w:w="893" w:type="dxa"/>
            <w:vAlign w:val="center"/>
            <w:hideMark/>
          </w:tcPr>
          <w:p w14:paraId="5509EFDA" w14:textId="77777777" w:rsidR="00B932A5" w:rsidRPr="002C6323" w:rsidRDefault="00B932A5" w:rsidP="00FD0DA0">
            <w:pPr>
              <w:contextualSpacing/>
              <w:rPr>
                <w:rFonts w:ascii="Verdana" w:hAnsi="Verdana" w:cs="Arial"/>
                <w:sz w:val="16"/>
                <w:szCs w:val="16"/>
                <w:lang w:val="es-ES" w:eastAsia="es-ES"/>
              </w:rPr>
            </w:pPr>
            <w:r>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943509D" w14:textId="77777777" w:rsidR="00B932A5" w:rsidRPr="002C6323" w:rsidRDefault="00B932A5" w:rsidP="00FD0DA0">
            <w:pPr>
              <w:pStyle w:val="paragraph"/>
              <w:spacing w:after="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Diana Lucía Saavedra Castañeda</w:t>
            </w:r>
          </w:p>
          <w:p w14:paraId="26788FBF" w14:textId="77777777" w:rsidR="00B932A5" w:rsidRPr="002C6323" w:rsidRDefault="00B932A5" w:rsidP="00FD0DA0">
            <w:pPr>
              <w:pStyle w:val="paragraph"/>
              <w:spacing w:before="0" w:beforeAutospacing="0" w:after="0" w:afterAutospacing="0"/>
              <w:contextualSpacing/>
              <w:textAlignment w:val="baseline"/>
              <w:rPr>
                <w:rFonts w:ascii="Verdana" w:hAnsi="Verdana" w:cs="Segoe UI"/>
                <w:sz w:val="16"/>
                <w:szCs w:val="16"/>
              </w:rPr>
            </w:pPr>
            <w:r>
              <w:rPr>
                <w:rStyle w:val="normaltextrun"/>
                <w:rFonts w:ascii="Verdana" w:hAnsi="Verdana" w:cs="Arial"/>
                <w:sz w:val="16"/>
                <w:szCs w:val="16"/>
                <w:lang w:val="es-ES"/>
              </w:rPr>
              <w:t>Contratista</w:t>
            </w:r>
            <w:r w:rsidRPr="002C6323">
              <w:rPr>
                <w:rStyle w:val="normaltextrun"/>
                <w:rFonts w:ascii="Verdana" w:hAnsi="Verdana" w:cs="Arial"/>
                <w:sz w:val="16"/>
                <w:szCs w:val="16"/>
                <w:lang w:val="es-ES"/>
              </w:rPr>
              <w:t xml:space="preserve"> de la Subdirección de Gestión Contractual</w:t>
            </w:r>
            <w:r w:rsidRPr="002C6323">
              <w:rPr>
                <w:rStyle w:val="eop"/>
                <w:rFonts w:ascii="Verdana" w:hAnsi="Verdana" w:cs="Arial"/>
                <w:sz w:val="16"/>
                <w:szCs w:val="16"/>
              </w:rPr>
              <w:t> </w:t>
            </w:r>
          </w:p>
        </w:tc>
      </w:tr>
      <w:tr w:rsidR="00B932A5" w:rsidRPr="00593A5F" w14:paraId="6DC24D22" w14:textId="77777777" w:rsidTr="00FD0DA0">
        <w:trPr>
          <w:trHeight w:val="300"/>
        </w:trPr>
        <w:tc>
          <w:tcPr>
            <w:tcW w:w="893" w:type="dxa"/>
            <w:vAlign w:val="center"/>
          </w:tcPr>
          <w:p w14:paraId="062FD794" w14:textId="77777777" w:rsidR="00B932A5" w:rsidRPr="002C6323" w:rsidRDefault="00B932A5" w:rsidP="00FD0DA0">
            <w:pPr>
              <w:contextualSpacing/>
              <w:rPr>
                <w:rFonts w:ascii="Verdana" w:hAnsi="Verdana" w:cs="Arial"/>
                <w:sz w:val="16"/>
                <w:szCs w:val="16"/>
                <w:lang w:val="es-ES" w:eastAsia="es-ES"/>
              </w:rPr>
            </w:pPr>
            <w:r w:rsidRPr="002C6323">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46DED8D" w14:textId="77777777" w:rsidR="00B932A5" w:rsidRPr="00637D3D" w:rsidRDefault="00B932A5" w:rsidP="00FD0DA0">
            <w:pPr>
              <w:rPr>
                <w:rFonts w:ascii="Verdana" w:eastAsia="Calibri" w:hAnsi="Verdana" w:cs="Arial"/>
                <w:sz w:val="16"/>
                <w:szCs w:val="16"/>
                <w:lang w:eastAsia="es-ES"/>
              </w:rPr>
            </w:pPr>
            <w:r w:rsidRPr="3B2C2CC7">
              <w:rPr>
                <w:rFonts w:ascii="Verdana" w:eastAsia="Calibri" w:hAnsi="Verdana" w:cs="Arial"/>
                <w:sz w:val="16"/>
                <w:szCs w:val="16"/>
                <w:lang w:eastAsia="es-ES"/>
              </w:rPr>
              <w:t>Carolina Quintero Gacharna</w:t>
            </w:r>
          </w:p>
          <w:p w14:paraId="383F418B" w14:textId="77777777" w:rsidR="00B932A5" w:rsidRPr="00637D3D" w:rsidRDefault="00B932A5" w:rsidP="00FD0DA0">
            <w:pPr>
              <w:rPr>
                <w:rFonts w:ascii="Verdana" w:eastAsia="Calibri" w:hAnsi="Verdana" w:cs="Arial"/>
                <w:sz w:val="16"/>
                <w:szCs w:val="16"/>
                <w:lang w:eastAsia="es-ES"/>
              </w:rPr>
            </w:pPr>
            <w:r w:rsidRPr="3B2C2CC7">
              <w:rPr>
                <w:rFonts w:ascii="Verdana" w:eastAsia="Calibri" w:hAnsi="Verdana" w:cs="Arial"/>
                <w:sz w:val="16"/>
                <w:szCs w:val="16"/>
                <w:lang w:eastAsia="es-ES"/>
              </w:rPr>
              <w:t xml:space="preserve">Subdirectora de Gestión Contractual ANCP – CCE </w:t>
            </w:r>
          </w:p>
        </w:tc>
      </w:tr>
    </w:tbl>
    <w:p w14:paraId="5215F0CF" w14:textId="77777777" w:rsidR="00B932A5" w:rsidRPr="0003421F" w:rsidRDefault="00B932A5" w:rsidP="00B932A5"/>
    <w:p w14:paraId="2EC41EED" w14:textId="151E5355" w:rsidR="00B932A5" w:rsidRDefault="00B932A5" w:rsidP="00B932A5"/>
    <w:p w14:paraId="34E328E3" w14:textId="77777777" w:rsidR="00B932A5" w:rsidRPr="003E31D6" w:rsidRDefault="00B932A5" w:rsidP="00B932A5"/>
    <w:p w14:paraId="27D3888B" w14:textId="77777777" w:rsidR="002D6822" w:rsidRDefault="002D6822"/>
    <w:sectPr w:rsidR="002D6822" w:rsidSect="00B932A5">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CF12E" w14:textId="77777777" w:rsidR="0087052E" w:rsidRDefault="0087052E" w:rsidP="00B932A5">
      <w:pPr>
        <w:spacing w:after="0" w:line="240" w:lineRule="auto"/>
      </w:pPr>
      <w:r>
        <w:separator/>
      </w:r>
    </w:p>
  </w:endnote>
  <w:endnote w:type="continuationSeparator" w:id="0">
    <w:p w14:paraId="20D52AD8" w14:textId="77777777" w:rsidR="0087052E" w:rsidRDefault="0087052E" w:rsidP="00B9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C347" w14:textId="77777777" w:rsidR="00B932A5" w:rsidRDefault="00B932A5">
    <w:pPr>
      <w:pStyle w:val="Piedepgina"/>
    </w:pPr>
  </w:p>
  <w:p w14:paraId="2EE21F36" w14:textId="77777777" w:rsidR="00B932A5" w:rsidRPr="00174B77" w:rsidRDefault="00B932A5"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3D418BC" w14:textId="77777777" w:rsidR="00B932A5" w:rsidRDefault="00B932A5"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6AC5AE06" w14:textId="77777777" w:rsidR="00B932A5" w:rsidRPr="00E41027" w:rsidRDefault="00B932A5"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3CB21231" w14:textId="77777777" w:rsidR="00B932A5" w:rsidRDefault="00B932A5"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4798" w14:textId="77777777" w:rsidR="0087052E" w:rsidRDefault="0087052E" w:rsidP="00B932A5">
      <w:pPr>
        <w:spacing w:after="0" w:line="240" w:lineRule="auto"/>
      </w:pPr>
      <w:r>
        <w:separator/>
      </w:r>
    </w:p>
  </w:footnote>
  <w:footnote w:type="continuationSeparator" w:id="0">
    <w:p w14:paraId="1443E37B" w14:textId="77777777" w:rsidR="0087052E" w:rsidRDefault="0087052E" w:rsidP="00B932A5">
      <w:pPr>
        <w:spacing w:after="0" w:line="240" w:lineRule="auto"/>
      </w:pPr>
      <w:r>
        <w:continuationSeparator/>
      </w:r>
    </w:p>
  </w:footnote>
  <w:footnote w:id="1">
    <w:p w14:paraId="3E91C0F8" w14:textId="77777777" w:rsidR="00B932A5" w:rsidRDefault="00B932A5" w:rsidP="00B932A5">
      <w:pPr>
        <w:pStyle w:val="Textonotapie"/>
        <w:ind w:firstLine="708"/>
        <w:jc w:val="both"/>
        <w:rPr>
          <w:rFonts w:ascii="Verdana" w:hAnsi="Verdana"/>
          <w:sz w:val="14"/>
          <w:szCs w:val="14"/>
        </w:rPr>
      </w:pPr>
      <w:r w:rsidRPr="00913D45">
        <w:rPr>
          <w:rStyle w:val="Refdenotaalpie"/>
          <w:rFonts w:ascii="Verdana" w:hAnsi="Verdana"/>
          <w:sz w:val="14"/>
          <w:szCs w:val="14"/>
        </w:rPr>
        <w:footnoteRef/>
      </w:r>
      <w:r w:rsidRPr="00913D45">
        <w:rPr>
          <w:rFonts w:ascii="Verdana" w:hAnsi="Verdana"/>
          <w:sz w:val="14"/>
          <w:szCs w:val="14"/>
        </w:rPr>
        <w:t xml:space="preserve"> Artículo 1o. Del Objeto. La presente ley tiene por objeto disponer las reglas y principios que rigen los contratos de las entidades estatales.</w:t>
      </w:r>
    </w:p>
    <w:p w14:paraId="78A4B2EC" w14:textId="77777777" w:rsidR="00B932A5" w:rsidRPr="00913D45" w:rsidRDefault="00B932A5" w:rsidP="00B932A5">
      <w:pPr>
        <w:pStyle w:val="Textonotapie"/>
        <w:ind w:firstLine="708"/>
        <w:jc w:val="both"/>
        <w:rPr>
          <w:rFonts w:ascii="Verdana" w:hAnsi="Verdana"/>
          <w:sz w:val="14"/>
          <w:szCs w:val="14"/>
          <w:lang w:val="es-CO"/>
        </w:rPr>
      </w:pPr>
    </w:p>
  </w:footnote>
  <w:footnote w:id="2">
    <w:p w14:paraId="6170F6DA" w14:textId="77777777" w:rsidR="00B932A5" w:rsidRDefault="00B932A5" w:rsidP="00B932A5">
      <w:pPr>
        <w:pStyle w:val="Textonotapie"/>
        <w:ind w:firstLine="708"/>
        <w:jc w:val="both"/>
        <w:rPr>
          <w:rFonts w:ascii="Verdana" w:hAnsi="Verdana"/>
          <w:sz w:val="14"/>
          <w:szCs w:val="14"/>
          <w:lang w:val="es-CO"/>
        </w:rPr>
      </w:pPr>
      <w:r w:rsidRPr="006325A7">
        <w:rPr>
          <w:rStyle w:val="Refdenotaalpie"/>
          <w:rFonts w:ascii="Verdana" w:hAnsi="Verdana"/>
          <w:sz w:val="14"/>
          <w:szCs w:val="14"/>
        </w:rPr>
        <w:footnoteRef/>
      </w:r>
      <w:r w:rsidRPr="006325A7">
        <w:rPr>
          <w:rFonts w:ascii="Verdana" w:hAnsi="Verdana"/>
          <w:sz w:val="14"/>
          <w:szCs w:val="14"/>
        </w:rPr>
        <w:t xml:space="preserve"> </w:t>
      </w:r>
      <w:r w:rsidRPr="006325A7">
        <w:rPr>
          <w:rFonts w:ascii="Verdana" w:hAnsi="Verdana"/>
          <w:sz w:val="14"/>
          <w:szCs w:val="14"/>
          <w:lang w:val="es-CO"/>
        </w:rPr>
        <w:t xml:space="preserve">Artículo 2°. De la definición de entidades, servidores y servicios públicos. </w:t>
      </w:r>
    </w:p>
    <w:p w14:paraId="45BAF16C" w14:textId="77777777" w:rsidR="00B932A5" w:rsidRDefault="00B932A5" w:rsidP="00B932A5">
      <w:pPr>
        <w:pStyle w:val="Textonotapie"/>
        <w:ind w:firstLine="708"/>
        <w:jc w:val="both"/>
        <w:rPr>
          <w:rFonts w:ascii="Verdana" w:hAnsi="Verdana"/>
          <w:sz w:val="14"/>
          <w:szCs w:val="14"/>
          <w:lang w:val="es-CO"/>
        </w:rPr>
      </w:pPr>
      <w:r w:rsidRPr="006325A7">
        <w:rPr>
          <w:rFonts w:ascii="Verdana" w:hAnsi="Verdana"/>
          <w:sz w:val="14"/>
          <w:szCs w:val="14"/>
          <w:lang w:val="es-CO"/>
        </w:rPr>
        <w:t xml:space="preserve">Para los solos efectos de esta ley: 1°) Se denominan entidades estatales: </w:t>
      </w:r>
    </w:p>
    <w:p w14:paraId="2FCC891D" w14:textId="77777777" w:rsidR="00B932A5" w:rsidRDefault="00B932A5" w:rsidP="00B932A5">
      <w:pPr>
        <w:pStyle w:val="Textonotapie"/>
        <w:ind w:firstLine="708"/>
        <w:jc w:val="both"/>
        <w:rPr>
          <w:rFonts w:ascii="Verdana" w:hAnsi="Verdana"/>
          <w:sz w:val="14"/>
          <w:szCs w:val="14"/>
          <w:lang w:val="es-CO"/>
        </w:rPr>
      </w:pPr>
      <w:r w:rsidRPr="006325A7">
        <w:rPr>
          <w:rFonts w:ascii="Verdana" w:hAnsi="Verdana"/>
          <w:sz w:val="14"/>
          <w:szCs w:val="14"/>
          <w:lang w:val="es-CO"/>
        </w:rPr>
        <w:t xml:space="preserve">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(50%)6, así como las entidades descentralizadas indirectas y las demás personas jurídicas en las que exista dicha participación pública mayoritaria, cualquiera sea la denominación que ellas adopten, en todos los órdenes y niveles. y </w:t>
      </w:r>
    </w:p>
    <w:p w14:paraId="54B4DEF2" w14:textId="77777777" w:rsidR="00B932A5" w:rsidRDefault="00B932A5" w:rsidP="00B932A5">
      <w:pPr>
        <w:pStyle w:val="Textonotapie"/>
        <w:ind w:firstLine="708"/>
        <w:jc w:val="both"/>
        <w:rPr>
          <w:rFonts w:ascii="Verdana" w:hAnsi="Verdana"/>
          <w:sz w:val="14"/>
          <w:szCs w:val="14"/>
          <w:lang w:val="es-CO"/>
        </w:rPr>
      </w:pPr>
      <w:r w:rsidRPr="006325A7">
        <w:rPr>
          <w:rFonts w:ascii="Verdana" w:hAnsi="Verdana"/>
          <w:sz w:val="14"/>
          <w:szCs w:val="14"/>
          <w:lang w:val="es-CO"/>
        </w:rPr>
        <w:t>b) El Senado de la República, la Cámara de Representantes, el Consejo Superior de la Judicatura, la Fiscalía General de la Nación, la Contraloría General de la República, las contralorías departamentales, distritales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w:t>
      </w:r>
    </w:p>
    <w:p w14:paraId="39D9D9B5" w14:textId="77777777" w:rsidR="00B932A5" w:rsidRPr="006325A7" w:rsidRDefault="00B932A5" w:rsidP="00B932A5">
      <w:pPr>
        <w:pStyle w:val="Textonotapie"/>
        <w:ind w:firstLine="708"/>
        <w:jc w:val="both"/>
        <w:rPr>
          <w:rFonts w:ascii="Verdana" w:hAnsi="Verdana"/>
          <w:sz w:val="14"/>
          <w:szCs w:val="14"/>
          <w:lang w:val="es-CO"/>
        </w:rPr>
      </w:pPr>
    </w:p>
  </w:footnote>
  <w:footnote w:id="3">
    <w:p w14:paraId="7581CEE4" w14:textId="77777777" w:rsidR="00B932A5" w:rsidRDefault="00B932A5" w:rsidP="00B932A5"/>
  </w:footnote>
  <w:footnote w:id="4">
    <w:p w14:paraId="0FEAEE60" w14:textId="77777777" w:rsidR="00B932A5" w:rsidRDefault="00B932A5" w:rsidP="00B932A5">
      <w:pPr>
        <w:pStyle w:val="Textonotapie"/>
        <w:ind w:firstLine="708"/>
        <w:jc w:val="both"/>
        <w:rPr>
          <w:rFonts w:ascii="Verdana" w:hAnsi="Verdana"/>
          <w:sz w:val="14"/>
          <w:szCs w:val="14"/>
          <w:lang w:val="es-CO"/>
        </w:rPr>
      </w:pPr>
      <w:r w:rsidRPr="002D47B0">
        <w:rPr>
          <w:rStyle w:val="Refdenotaalpie"/>
          <w:rFonts w:ascii="Verdana" w:hAnsi="Verdana"/>
          <w:sz w:val="14"/>
          <w:szCs w:val="14"/>
        </w:rPr>
        <w:footnoteRef/>
      </w:r>
      <w:r w:rsidRPr="002D47B0">
        <w:rPr>
          <w:rFonts w:ascii="Verdana" w:hAnsi="Verdana"/>
          <w:sz w:val="14"/>
          <w:szCs w:val="14"/>
        </w:rPr>
        <w:t xml:space="preserve"> </w:t>
      </w:r>
      <w:r w:rsidRPr="002D47B0">
        <w:rPr>
          <w:rFonts w:ascii="Verdana" w:hAnsi="Verdana"/>
          <w:sz w:val="14"/>
          <w:szCs w:val="14"/>
          <w:lang w:val="es-CO"/>
        </w:rPr>
        <w:t xml:space="preserve">Artículo 3°. De los fines de la contratación estatal. </w:t>
      </w:r>
    </w:p>
    <w:p w14:paraId="42C7A1EE" w14:textId="77777777" w:rsidR="00B932A5" w:rsidRDefault="00B932A5" w:rsidP="00B932A5">
      <w:pPr>
        <w:pStyle w:val="Textonotapie"/>
        <w:ind w:firstLine="708"/>
        <w:jc w:val="both"/>
        <w:rPr>
          <w:rFonts w:ascii="Verdana" w:hAnsi="Verdana"/>
          <w:sz w:val="14"/>
          <w:szCs w:val="14"/>
          <w:lang w:val="es-CO"/>
        </w:rPr>
      </w:pPr>
      <w:r w:rsidRPr="002D47B0">
        <w:rPr>
          <w:rFonts w:ascii="Verdana" w:hAnsi="Verdana"/>
          <w:sz w:val="14"/>
          <w:szCs w:val="14"/>
          <w:lang w:val="es-CO"/>
        </w:rPr>
        <w:t xml:space="preserve">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 </w:t>
      </w:r>
    </w:p>
    <w:p w14:paraId="7F9C051E" w14:textId="77777777" w:rsidR="00B932A5" w:rsidRPr="002D47B0" w:rsidRDefault="00B932A5" w:rsidP="00B932A5">
      <w:pPr>
        <w:pStyle w:val="Textonotapie"/>
        <w:ind w:firstLine="708"/>
        <w:jc w:val="both"/>
        <w:rPr>
          <w:rFonts w:ascii="Verdana" w:hAnsi="Verdana"/>
          <w:sz w:val="14"/>
          <w:szCs w:val="14"/>
          <w:lang w:val="es-CO"/>
        </w:rPr>
      </w:pPr>
      <w:r w:rsidRPr="002D47B0">
        <w:rPr>
          <w:rFonts w:ascii="Verdana" w:hAnsi="Verdana"/>
          <w:sz w:val="14"/>
          <w:szCs w:val="14"/>
          <w:lang w:val="es-CO"/>
        </w:rPr>
        <w:t>Los particulares, por su parte, tendrán en cuenta al celebrar y ejecutar contratos con las entidades estatales que, (además de la obtención de utilidades cuya protección garantiza el Estado), colaboran con ellas en el logro de sus fines y cumplen una función social que, como tal, implica obligaciones.</w:t>
      </w:r>
    </w:p>
  </w:footnote>
  <w:footnote w:id="5">
    <w:p w14:paraId="1F7D520D" w14:textId="77777777" w:rsidR="00B932A5" w:rsidRPr="00E733DF" w:rsidRDefault="00B932A5" w:rsidP="00B932A5">
      <w:pPr>
        <w:pStyle w:val="Textonotapie"/>
        <w:ind w:firstLine="708"/>
        <w:jc w:val="both"/>
        <w:rPr>
          <w:rFonts w:ascii="Verdana" w:hAnsi="Verdana"/>
          <w:sz w:val="14"/>
          <w:szCs w:val="14"/>
          <w:lang w:val="es-CO"/>
        </w:rPr>
      </w:pPr>
      <w:r w:rsidRPr="00E733DF">
        <w:rPr>
          <w:rStyle w:val="Refdenotaalpie"/>
          <w:rFonts w:ascii="Verdana" w:hAnsi="Verdana"/>
          <w:sz w:val="14"/>
          <w:szCs w:val="14"/>
        </w:rPr>
        <w:footnoteRef/>
      </w:r>
      <w:r w:rsidRPr="00E733DF">
        <w:rPr>
          <w:rFonts w:ascii="Verdana" w:hAnsi="Verdana"/>
          <w:sz w:val="14"/>
          <w:szCs w:val="14"/>
        </w:rPr>
        <w:t xml:space="preserve"> </w:t>
      </w:r>
      <w:r w:rsidRPr="00E733DF">
        <w:rPr>
          <w:rFonts w:ascii="Verdana" w:hAnsi="Verdana"/>
          <w:sz w:val="14"/>
          <w:szCs w:val="14"/>
          <w:lang w:val="es-CO"/>
        </w:rPr>
        <w:t>CONSEJO DE ESTADO. Subsección A, de la Sección Tercera</w:t>
      </w:r>
      <w:r>
        <w:rPr>
          <w:rFonts w:ascii="Verdana" w:hAnsi="Verdana"/>
          <w:sz w:val="14"/>
          <w:szCs w:val="14"/>
          <w:lang w:val="es-CO"/>
        </w:rPr>
        <w:t>.</w:t>
      </w:r>
      <w:r w:rsidRPr="00E733DF">
        <w:rPr>
          <w:rFonts w:ascii="Verdana" w:hAnsi="Verdana"/>
          <w:sz w:val="14"/>
          <w:szCs w:val="14"/>
          <w:lang w:val="es-CO"/>
        </w:rPr>
        <w:t xml:space="preserve"> Sentencia del 10 de febrero de 2016, radicación núm. 15001-23-31-000-2003-00628-01 (39538).</w:t>
      </w:r>
    </w:p>
  </w:footnote>
  <w:footnote w:id="6">
    <w:p w14:paraId="25C183D5" w14:textId="77777777" w:rsidR="00B932A5" w:rsidRDefault="00B932A5" w:rsidP="00B932A5">
      <w:pPr>
        <w:pStyle w:val="Textonotapie"/>
        <w:ind w:firstLine="708"/>
        <w:jc w:val="both"/>
        <w:rPr>
          <w:rFonts w:ascii="Verdana" w:hAnsi="Verdana"/>
          <w:sz w:val="14"/>
          <w:szCs w:val="14"/>
        </w:rPr>
      </w:pPr>
      <w:r w:rsidRPr="00496B38">
        <w:rPr>
          <w:rStyle w:val="Refdenotaalpie"/>
          <w:rFonts w:ascii="Verdana" w:hAnsi="Verdana"/>
          <w:sz w:val="14"/>
          <w:szCs w:val="14"/>
        </w:rPr>
        <w:footnoteRef/>
      </w:r>
      <w:r w:rsidRPr="00496B38">
        <w:rPr>
          <w:rFonts w:ascii="Verdana" w:hAnsi="Verdana"/>
          <w:sz w:val="14"/>
          <w:szCs w:val="14"/>
        </w:rPr>
        <w:t xml:space="preserve"> Sobre la misma expresión, la cual fue utilizada también en el artículo 894 del Código Civil Francés, LAURENT comenta que “[…] En el proyecto del código civil sometido al Consejo de Estado, la donación se califica de contrato. El primer cónsul criticó esta definición. ‘El contrato, dijo, impone mutuas obligaciones a los dos contingentes; por lo que esta definición no puede convenir a la donación’. Esta crítica no fue objeto de ninguna discusión; se habló sobre la cuestión de saber si convenia admitir definiciones en el código; en el curso de la conversación, Malevilla presentó una definición que reemplazaba la palabra contrato, con la de acto; lo que el Consejo aceptó. Se ha querido ver en la observación del primer cónsul uno de esos rasgos de luz por los cuales un hombre de genio adivina las dificultades que en realidad ignora. Esto no es más que una adulación. Verdad es que en el antiguo derecho los mejores jurisconsultos estaban divididos en la cuestión: Furgole sostiene que la donación no es un contrato, porque su objeto esencial es gratificar al donatario, y que sería desnaturalizarlo si se quiere encadenarlo con un vínculo de derecho. Esta sutileza no está en el espíritu del derecho francés. Ricard, Pothier, Domat se atrevieron a la realidad de las cosas. ¿Por qué se exige la aceptación del donatario si no es un contrato la donación? ¿por qué se exige que el donatario y el donador sean capaces en el momento en que se verifica el concurso de consentimiento? En verdad que el primer cónsul no se percataba de esta sutileza cuando criticaba la disposición del proyecto; lo que dice es simplemente un error; porque supone que no hay contrato sino cuando las dos partes contraen obligaciones reciprocas, lo que conducirla a la consecuencia de que un contrato unilateral no es un contrato; y ¿es necesario añadir que lo contrario se halla escrito en el artículo 1103? ‘El contrato es unilateral cuando una persona se obliga en provecho de otra, sin que por parte de ésta haya ningún compromiso’ [norma equivalente al artículo 1496 del Código Civil Colombiano]. Esta definición se aplica literalmente a la donación. Luego es cierto que la donación es un contrato. Esta no es una cuestión de palabras. Siendo la donación un contrato, resulta de esto que las reglas generales establecidas ero el título ‘De las Obligaciones Convencionales’ tienen su aplicación a las donaciones, a menos que el código las derogue […]” (LAURENT, François. Principios de derecho civil francés. Tomo XI. México DF: Tribunal Superior de Justicia del Distrito Federal, 2008. pp. 139-140. Corchetes fuera de texto).</w:t>
      </w:r>
    </w:p>
    <w:p w14:paraId="0BEB4452" w14:textId="77777777" w:rsidR="00B932A5" w:rsidRPr="00496B38" w:rsidRDefault="00B932A5" w:rsidP="00B932A5">
      <w:pPr>
        <w:pStyle w:val="Textonotapie"/>
        <w:ind w:firstLine="708"/>
        <w:jc w:val="both"/>
        <w:rPr>
          <w:rFonts w:ascii="Verdana" w:hAnsi="Verdana"/>
          <w:sz w:val="14"/>
          <w:szCs w:val="14"/>
        </w:rPr>
      </w:pPr>
    </w:p>
  </w:footnote>
  <w:footnote w:id="7">
    <w:p w14:paraId="5BA8AB45" w14:textId="77777777" w:rsidR="00B932A5" w:rsidRPr="00496B38" w:rsidRDefault="00B932A5" w:rsidP="00B932A5">
      <w:pPr>
        <w:pStyle w:val="Textonotapie"/>
        <w:ind w:firstLine="708"/>
        <w:jc w:val="both"/>
        <w:rPr>
          <w:rFonts w:ascii="Verdana" w:hAnsi="Verdana"/>
          <w:sz w:val="14"/>
          <w:szCs w:val="14"/>
        </w:rPr>
      </w:pPr>
      <w:r w:rsidRPr="00496B38">
        <w:rPr>
          <w:rStyle w:val="Refdenotaalpie"/>
          <w:rFonts w:ascii="Verdana" w:hAnsi="Verdana"/>
          <w:sz w:val="14"/>
          <w:szCs w:val="14"/>
        </w:rPr>
        <w:footnoteRef/>
      </w:r>
      <w:r w:rsidRPr="00496B38">
        <w:rPr>
          <w:rFonts w:ascii="Verdana" w:hAnsi="Verdana"/>
          <w:sz w:val="14"/>
          <w:szCs w:val="14"/>
        </w:rPr>
        <w:t xml:space="preserve"> GUZMÁN BRITO, Alejandro. De las Donaciones entre vivos. Conceptos y tipos, Santiago: LexisNexis, 2005. pp. 35 a 52.</w:t>
      </w:r>
    </w:p>
  </w:footnote>
  <w:footnote w:id="8">
    <w:p w14:paraId="70BF59B8" w14:textId="77777777" w:rsidR="00B932A5" w:rsidRPr="00496B38" w:rsidRDefault="00B932A5" w:rsidP="00B932A5">
      <w:pPr>
        <w:pStyle w:val="Textonotapie"/>
        <w:ind w:firstLine="708"/>
        <w:jc w:val="both"/>
        <w:rPr>
          <w:rFonts w:ascii="Verdana" w:hAnsi="Verdana"/>
          <w:sz w:val="14"/>
          <w:szCs w:val="14"/>
        </w:rPr>
      </w:pPr>
      <w:r w:rsidRPr="00496B38">
        <w:rPr>
          <w:rStyle w:val="Refdenotaalpie"/>
          <w:rFonts w:ascii="Verdana" w:hAnsi="Verdana"/>
          <w:sz w:val="14"/>
          <w:szCs w:val="14"/>
        </w:rPr>
        <w:footnoteRef/>
      </w:r>
      <w:r w:rsidRPr="00496B38">
        <w:rPr>
          <w:rFonts w:ascii="Verdana" w:hAnsi="Verdana"/>
          <w:sz w:val="14"/>
          <w:szCs w:val="14"/>
        </w:rPr>
        <w:t xml:space="preserve"> “La donación irrevocable o entre vivos, en la que se impone al donatario una carga o modo en beneficio de un tercero, es un contrato bilateral, pues genera obligaciones para el donante y para el donatario, y al mismo tiempo es un contrato gratuito, ya que no engendra utilidad económica al donante sino que exclusivamente a la parte donataria y al tercero beneficiario del modo” (Cfr. LÓPEZ SANTA MARÍA, Jorge. Los contratos: parte general. Tomo I. Tercera Edición. Santiago: Editorial Jurídica de Chile. 2001. p. 109).</w:t>
      </w:r>
    </w:p>
  </w:footnote>
  <w:footnote w:id="9">
    <w:p w14:paraId="77E1D802" w14:textId="77777777" w:rsidR="00B932A5" w:rsidRDefault="00B932A5" w:rsidP="00B932A5">
      <w:pPr>
        <w:pStyle w:val="Textonotapie"/>
        <w:ind w:firstLine="708"/>
        <w:jc w:val="both"/>
        <w:rPr>
          <w:rFonts w:ascii="Verdana" w:hAnsi="Verdana"/>
          <w:sz w:val="14"/>
          <w:szCs w:val="14"/>
          <w:lang w:val="es-CO"/>
        </w:rPr>
      </w:pPr>
      <w:r w:rsidRPr="004F2F60">
        <w:rPr>
          <w:rStyle w:val="Refdenotaalpie"/>
          <w:rFonts w:ascii="Verdana" w:hAnsi="Verdana"/>
          <w:sz w:val="14"/>
          <w:szCs w:val="14"/>
        </w:rPr>
        <w:footnoteRef/>
      </w:r>
      <w:r w:rsidRPr="004F2F60">
        <w:rPr>
          <w:rFonts w:ascii="Verdana" w:hAnsi="Verdana"/>
          <w:sz w:val="14"/>
          <w:szCs w:val="14"/>
        </w:rPr>
        <w:t xml:space="preserve"> </w:t>
      </w:r>
      <w:r w:rsidRPr="004F2F60">
        <w:rPr>
          <w:rFonts w:ascii="Verdana" w:hAnsi="Verdana"/>
          <w:sz w:val="14"/>
          <w:szCs w:val="14"/>
          <w:lang w:val="es-CO"/>
        </w:rPr>
        <w:t>CONSEJO DE ESTADO</w:t>
      </w:r>
      <w:r>
        <w:rPr>
          <w:rFonts w:ascii="Verdana" w:hAnsi="Verdana"/>
          <w:sz w:val="14"/>
          <w:szCs w:val="14"/>
          <w:lang w:val="es-CO"/>
        </w:rPr>
        <w:t>.</w:t>
      </w:r>
      <w:r w:rsidRPr="004F2F60">
        <w:rPr>
          <w:rFonts w:ascii="Verdana" w:hAnsi="Verdana"/>
          <w:sz w:val="14"/>
          <w:szCs w:val="14"/>
          <w:lang w:val="es-CO"/>
        </w:rPr>
        <w:t xml:space="preserve"> SALA DE CONSULTA Y SERVICIO CIVIL Consejero Ponente: Édgar González López Bogotá, D.C., once (11) de octubre de dos mil veintidós (2022) Radicación interna: 2481</w:t>
      </w:r>
      <w:r>
        <w:rPr>
          <w:rFonts w:ascii="Verdana" w:hAnsi="Verdana"/>
          <w:sz w:val="14"/>
          <w:szCs w:val="14"/>
          <w:lang w:val="es-CO"/>
        </w:rPr>
        <w:t>.</w:t>
      </w:r>
    </w:p>
    <w:p w14:paraId="2E28C1C9" w14:textId="77777777" w:rsidR="00B932A5" w:rsidRPr="004F2F60" w:rsidRDefault="00B932A5" w:rsidP="00B932A5">
      <w:pPr>
        <w:pStyle w:val="Textonotapie"/>
        <w:ind w:firstLine="708"/>
        <w:jc w:val="both"/>
        <w:rPr>
          <w:rFonts w:ascii="Verdana" w:hAnsi="Verdana"/>
          <w:sz w:val="14"/>
          <w:szCs w:val="14"/>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F5A3" w14:textId="77777777" w:rsidR="00B932A5" w:rsidRDefault="00B932A5"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7705C7AA" wp14:editId="33C9A93D">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5A6E52F7" wp14:editId="5571A459">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9426235" w14:textId="77777777" w:rsidR="00B932A5" w:rsidRDefault="00B932A5">
    <w:pPr>
      <w:pStyle w:val="Encabezado"/>
    </w:pPr>
  </w:p>
  <w:p w14:paraId="72BE459F" w14:textId="77777777" w:rsidR="00B932A5" w:rsidRPr="004A305D" w:rsidRDefault="00B932A5" w:rsidP="00B01B1A">
    <w:pPr>
      <w:spacing w:after="0" w:line="120" w:lineRule="auto"/>
      <w:rPr>
        <w:rFonts w:ascii="Century Gothic" w:eastAsia="Geo" w:hAnsi="Century Gothic" w:cs="Geo"/>
        <w:sz w:val="16"/>
        <w:szCs w:val="16"/>
        <w:lang w:eastAsia="es-CO"/>
      </w:rPr>
    </w:pPr>
  </w:p>
  <w:p w14:paraId="0881D1B6" w14:textId="77777777" w:rsidR="00B932A5" w:rsidRDefault="00B932A5" w:rsidP="00844AE9">
    <w:pPr>
      <w:spacing w:after="0" w:line="240" w:lineRule="auto"/>
      <w:rPr>
        <w:rFonts w:ascii="Verdana" w:hAnsi="Verdana"/>
        <w:sz w:val="24"/>
        <w:szCs w:val="24"/>
      </w:rPr>
    </w:pPr>
  </w:p>
  <w:p w14:paraId="7756EAC9" w14:textId="77777777" w:rsidR="00B932A5" w:rsidRPr="00C925AC" w:rsidRDefault="00B932A5" w:rsidP="00844AE9">
    <w:pPr>
      <w:spacing w:after="0" w:line="240" w:lineRule="auto"/>
      <w:rPr>
        <w:rFonts w:ascii="Verdana" w:hAnsi="Verdana"/>
        <w:sz w:val="24"/>
        <w:szCs w:val="24"/>
      </w:rPr>
    </w:pPr>
  </w:p>
  <w:p w14:paraId="5C7A1FA6" w14:textId="77777777" w:rsidR="00B932A5" w:rsidRPr="00C925AC" w:rsidRDefault="00B932A5"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90349800">
    <w:abstractNumId w:val="2"/>
  </w:num>
  <w:num w:numId="2" w16cid:durableId="1380713882">
    <w:abstractNumId w:val="0"/>
  </w:num>
  <w:num w:numId="3" w16cid:durableId="691802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2A5"/>
    <w:rsid w:val="002D6822"/>
    <w:rsid w:val="004F425A"/>
    <w:rsid w:val="007A436C"/>
    <w:rsid w:val="0087052E"/>
    <w:rsid w:val="008D0AD2"/>
    <w:rsid w:val="009B4EF6"/>
    <w:rsid w:val="00AE08FD"/>
    <w:rsid w:val="00B932A5"/>
    <w:rsid w:val="00BC4F10"/>
    <w:rsid w:val="00DC0A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F6BF"/>
  <w15:chartTrackingRefBased/>
  <w15:docId w15:val="{610F944C-BF5A-4A8E-9A81-452BFBAF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2A5"/>
    <w:pPr>
      <w:spacing w:line="259" w:lineRule="auto"/>
    </w:pPr>
    <w:rPr>
      <w:kern w:val="0"/>
      <w:sz w:val="22"/>
      <w:szCs w:val="22"/>
      <w14:ligatures w14:val="none"/>
    </w:rPr>
  </w:style>
  <w:style w:type="paragraph" w:styleId="Ttulo1">
    <w:name w:val="heading 1"/>
    <w:basedOn w:val="Normal"/>
    <w:next w:val="Normal"/>
    <w:link w:val="Ttulo1Car"/>
    <w:uiPriority w:val="9"/>
    <w:qFormat/>
    <w:rsid w:val="00B93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3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32A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32A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32A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32A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32A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32A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32A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32A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32A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32A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32A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32A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32A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32A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32A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32A5"/>
    <w:rPr>
      <w:rFonts w:eastAsiaTheme="majorEastAsia" w:cstheme="majorBidi"/>
      <w:color w:val="272727" w:themeColor="text1" w:themeTint="D8"/>
    </w:rPr>
  </w:style>
  <w:style w:type="paragraph" w:styleId="Ttulo">
    <w:name w:val="Title"/>
    <w:basedOn w:val="Normal"/>
    <w:next w:val="Normal"/>
    <w:link w:val="TtuloCar"/>
    <w:uiPriority w:val="10"/>
    <w:qFormat/>
    <w:rsid w:val="00B93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32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32A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32A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32A5"/>
    <w:pPr>
      <w:spacing w:before="160"/>
      <w:jc w:val="center"/>
    </w:pPr>
    <w:rPr>
      <w:i/>
      <w:iCs/>
      <w:color w:val="404040" w:themeColor="text1" w:themeTint="BF"/>
    </w:rPr>
  </w:style>
  <w:style w:type="character" w:customStyle="1" w:styleId="CitaCar">
    <w:name w:val="Cita Car"/>
    <w:basedOn w:val="Fuentedeprrafopredeter"/>
    <w:link w:val="Cita"/>
    <w:uiPriority w:val="29"/>
    <w:rsid w:val="00B932A5"/>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B932A5"/>
    <w:pPr>
      <w:ind w:left="720"/>
      <w:contextualSpacing/>
    </w:pPr>
  </w:style>
  <w:style w:type="character" w:styleId="nfasisintenso">
    <w:name w:val="Intense Emphasis"/>
    <w:basedOn w:val="Fuentedeprrafopredeter"/>
    <w:uiPriority w:val="21"/>
    <w:qFormat/>
    <w:rsid w:val="00B932A5"/>
    <w:rPr>
      <w:i/>
      <w:iCs/>
      <w:color w:val="0F4761" w:themeColor="accent1" w:themeShade="BF"/>
    </w:rPr>
  </w:style>
  <w:style w:type="paragraph" w:styleId="Citadestacada">
    <w:name w:val="Intense Quote"/>
    <w:basedOn w:val="Normal"/>
    <w:next w:val="Normal"/>
    <w:link w:val="CitadestacadaCar"/>
    <w:uiPriority w:val="30"/>
    <w:qFormat/>
    <w:rsid w:val="00B93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32A5"/>
    <w:rPr>
      <w:i/>
      <w:iCs/>
      <w:color w:val="0F4761" w:themeColor="accent1" w:themeShade="BF"/>
    </w:rPr>
  </w:style>
  <w:style w:type="character" w:styleId="Referenciaintensa">
    <w:name w:val="Intense Reference"/>
    <w:basedOn w:val="Fuentedeprrafopredeter"/>
    <w:uiPriority w:val="32"/>
    <w:qFormat/>
    <w:rsid w:val="00B932A5"/>
    <w:rPr>
      <w:b/>
      <w:bCs/>
      <w:smallCaps/>
      <w:color w:val="0F4761" w:themeColor="accent1" w:themeShade="BF"/>
      <w:spacing w:val="5"/>
    </w:rPr>
  </w:style>
  <w:style w:type="paragraph" w:styleId="Encabezado">
    <w:name w:val="header"/>
    <w:basedOn w:val="Normal"/>
    <w:link w:val="EncabezadoCar"/>
    <w:uiPriority w:val="99"/>
    <w:unhideWhenUsed/>
    <w:rsid w:val="00B932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32A5"/>
    <w:rPr>
      <w:kern w:val="0"/>
      <w:sz w:val="22"/>
      <w:szCs w:val="22"/>
      <w14:ligatures w14:val="none"/>
    </w:rPr>
  </w:style>
  <w:style w:type="paragraph" w:styleId="Piedepgina">
    <w:name w:val="footer"/>
    <w:basedOn w:val="Normal"/>
    <w:link w:val="PiedepginaCar"/>
    <w:uiPriority w:val="99"/>
    <w:unhideWhenUsed/>
    <w:rsid w:val="00B932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32A5"/>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932A5"/>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B932A5"/>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B932A5"/>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B932A5"/>
    <w:rPr>
      <w:vertAlign w:val="superscript"/>
    </w:rPr>
  </w:style>
  <w:style w:type="character" w:customStyle="1" w:styleId="normaltextrun">
    <w:name w:val="normaltextrun"/>
    <w:basedOn w:val="Fuentedeprrafopredeter"/>
    <w:rsid w:val="00B932A5"/>
  </w:style>
  <w:style w:type="table" w:styleId="Tablaconcuadrcula">
    <w:name w:val="Table Grid"/>
    <w:basedOn w:val="Tablanormal"/>
    <w:uiPriority w:val="39"/>
    <w:qFormat/>
    <w:rsid w:val="00B932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32A5"/>
    <w:rPr>
      <w:color w:val="0000FF"/>
      <w:u w:val="single"/>
    </w:rPr>
  </w:style>
  <w:style w:type="paragraph" w:customStyle="1" w:styleId="paragraph">
    <w:name w:val="paragraph"/>
    <w:basedOn w:val="Normal"/>
    <w:rsid w:val="00B932A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eop">
    <w:name w:val="eop"/>
    <w:basedOn w:val="Fuentedeprrafopredeter"/>
    <w:rsid w:val="00B932A5"/>
  </w:style>
  <w:style w:type="paragraph" w:styleId="NormalWeb">
    <w:name w:val="Normal (Web)"/>
    <w:basedOn w:val="Normal"/>
    <w:uiPriority w:val="99"/>
    <w:unhideWhenUsed/>
    <w:rsid w:val="00B932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B932A5"/>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9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ejo@sancarlos-cordoba.gov.co" TargetMode="External"/><Relationship Id="rId13" Type="http://schemas.openxmlformats.org/officeDocument/2006/relationships/hyperlink" Target="https://nam02.safelinks.protection.outlook.com/?url=https%3A%2F%2Fwww.colombiacompra.gov.co%2Farchivos%2Fboletin%2Fboletin-edicion-n-3-de-2026-radar-de-la-compra-publica&amp;data=05%7C02%7Cnatalia.montoya%40colombiacompra.gov.co%7C7128555136e04fa6887d08dee99e1b50%7C7b09041e245149d08cb179d5e3d8c1be%7C0%7C0%7C639205062450108660%7CUnknown%7CTWFpbGZsb3d8eyJFbXB0eU1hcGkiOnRydWUsIlYiOiIwLjAuMDAwMCIsIlAiOiJXaW4zMiIsIkFOIjoiTWFpbCIsIldUIjoyfQ%3D%3D%7C0%7C%7C%7C&amp;sdata=JBPtG%2Bonp%2BY8lDrsLvADikytZuNpMBUEkglaHvtgJUQ%3D&amp;reserved=0"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hyperlink" Target="https://nam02.safelinks.protection.outlook.com/?url=https%3A%2F%2Fwww.colombiacompra.gov.co%2Farchivos%2Fcircular%2Fcircular-externa-002-de-2026&amp;data=05%7C02%7Cnatalia.montoya%40colombiacompra.gov.co%7C7128555136e04fa6887d08dee99e1b50%7C7b09041e245149d08cb179d5e3d8c1be%7C0%7C0%7C639205062450088410%7CUnknown%7CTWFpbGZsb3d8eyJFbXB0eU1hcGkiOnRydWUsIlYiOiIwLjAuMDAwMCIsIlAiOiJXaW4zMiIsIkFOIjoiTWFpbCIsIldUIjoyfQ%3D%3D%7C0%7C%7C%7C&amp;sdata=t17%2FyzBHZ1WQJYV5XXw0A6fP6%2Fg5R%2FUHx2U6ykKcctg%3D&amp;reserved=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2.safelinks.protection.outlook.com/?url=https%3A%2F%2Fwww.colombiacompra.gov.co%2Farchivos%2Fcircular%2Fcircular-externa-003-de-2026&amp;data=05%7C02%7Cnatalia.montoya%40colombiacompra.gov.co%7C7128555136e04fa6887d08dee99e1b50%7C7b09041e245149d08cb179d5e3d8c1be%7C0%7C0%7C639205062450067561%7CUnknown%7CTWFpbGZsb3d8eyJFbXB0eU1hcGkiOnRydWUsIlYiOiIwLjAuMDAwMCIsIlAiOiJXaW4zMiIsIkFOIjoiTWFpbCIsIldUIjoyfQ%3D%3D%7C0%7C%7C%7C&amp;sdata=1KwAou0EiQlV8YOL9Bhd0Pc%2Fq1j%2FK5U%2FZlwtuu9D2pA%3D&amp;reserved=0"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nam02.safelinks.protection.outlook.com/?url=https%3A%2F%2Fwww.colombiacompra.gov.co%2Farchivos%2Fmanual%2Fguia-de-garantias-en-procesos-de-contratacion&amp;data=05%7C02%7Cnatalia.montoya%40colombiacompra.gov.co%7C7128555136e04fa6887d08dee99e1b50%7C7b09041e245149d08cb179d5e3d8c1be%7C0%7C0%7C639205062450037018%7CUnknown%7CTWFpbGZsb3d8eyJFbXB0eU1hcGkiOnRydWUsIlYiOiIwLjAuMDAwMCIsIlAiOiJXaW4zMiIsIkFOIjoiTWFpbCIsIldUIjoyfQ%3D%3D%7C0%7C%7C%7C&amp;sdata=EAy8r5R98IFHp6RcTtQi8sFe%2BELt0mtEmpdWnOPnlKM%3D&amp;reserved=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latoria.colombiacompra.gov.co/busqueda/conceptos" TargetMode="External"/><Relationship Id="rId14" Type="http://schemas.openxmlformats.org/officeDocument/2006/relationships/hyperlink" Target="http://www.colombiacompra.gov.co"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C3DD50-E0D6-4CA0-8B0E-CEAFE5D8A247}"/>
</file>

<file path=customXml/itemProps2.xml><?xml version="1.0" encoding="utf-8"?>
<ds:datastoreItem xmlns:ds="http://schemas.openxmlformats.org/officeDocument/2006/customXml" ds:itemID="{D5111F91-0D79-416A-9226-A7AEBFD04B6F}"/>
</file>

<file path=customXml/itemProps3.xml><?xml version="1.0" encoding="utf-8"?>
<ds:datastoreItem xmlns:ds="http://schemas.openxmlformats.org/officeDocument/2006/customXml" ds:itemID="{DC89621C-96E0-4604-8B0E-51DD82A54270}"/>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22</Pages>
  <Words>7816</Words>
  <Characters>42988</Characters>
  <Application>Microsoft Office Word</Application>
  <DocSecurity>0</DocSecurity>
  <Lines>358</Lines>
  <Paragraphs>101</Paragraphs>
  <ScaleCrop>false</ScaleCrop>
  <Company/>
  <LinksUpToDate>false</LinksUpToDate>
  <CharactersWithSpaces>50703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Natalia Montoya Jiménez</cp:lastModifiedBy>
  <cp:revision>4</cp:revision>
  <dcterms:created xsi:type="dcterms:W3CDTF">2026-08-04T20:55:00Z</dcterms:created>
  <dcterms:modified xsi:type="dcterms:W3CDTF">2026-08-05T19:07:00Z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