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47476" w14:textId="77777777" w:rsidR="00E41CB5" w:rsidRPr="002D45D7" w:rsidRDefault="00E41CB5" w:rsidP="00E41CB5">
      <w:pPr>
        <w:spacing w:after="0" w:line="240" w:lineRule="auto"/>
        <w:jc w:val="both"/>
        <w:rPr>
          <w:rFonts w:ascii="Verdana" w:eastAsia="Calibri" w:hAnsi="Verdana" w:cs="Arial"/>
          <w:b/>
          <w:bCs/>
          <w:lang w:val="pt-BR" w:eastAsia="es-ES"/>
        </w:rPr>
      </w:pPr>
      <w:bookmarkStart w:id="0" w:name="_Hlk143780582"/>
      <w:r w:rsidRPr="002D45D7">
        <w:rPr>
          <w:rFonts w:ascii="Verdana" w:eastAsia="Calibri" w:hAnsi="Verdana" w:cs="Arial"/>
          <w:b/>
          <w:bCs/>
          <w:lang w:val="pt-BR" w:eastAsia="es-ES"/>
        </w:rPr>
        <w:t xml:space="preserve">DECRETO 287 DE 2026 ‒ Antecedentes normativos ‒ Decreto 392 de 2018 </w:t>
      </w:r>
    </w:p>
    <w:p w14:paraId="5CA48824" w14:textId="77777777" w:rsidR="00E41CB5" w:rsidRPr="002D45D7" w:rsidRDefault="00E41CB5" w:rsidP="00E41CB5">
      <w:pPr>
        <w:spacing w:after="0" w:line="240" w:lineRule="auto"/>
        <w:jc w:val="both"/>
        <w:rPr>
          <w:rFonts w:ascii="Verdana" w:eastAsia="Calibri" w:hAnsi="Verdana" w:cs="Arial"/>
          <w:b/>
          <w:bCs/>
          <w:lang w:val="pt-BR" w:eastAsia="es-ES"/>
        </w:rPr>
      </w:pPr>
    </w:p>
    <w:p w14:paraId="2F07AC8A" w14:textId="77777777" w:rsidR="00E41CB5" w:rsidRPr="002D45D7" w:rsidRDefault="00E41CB5" w:rsidP="00E41CB5">
      <w:pPr>
        <w:spacing w:after="0" w:line="240" w:lineRule="auto"/>
        <w:jc w:val="both"/>
        <w:rPr>
          <w:rFonts w:ascii="Verdana" w:eastAsia="Calibri" w:hAnsi="Verdana" w:cs="Arial"/>
          <w:sz w:val="20"/>
          <w:szCs w:val="20"/>
          <w:lang w:eastAsia="es-ES"/>
        </w:rPr>
      </w:pPr>
      <w:r w:rsidRPr="002D45D7">
        <w:rPr>
          <w:rFonts w:ascii="Verdana" w:eastAsia="Calibri" w:hAnsi="Verdana" w:cs="Arial"/>
          <w:sz w:val="20"/>
          <w:szCs w:val="20"/>
          <w:lang w:eastAsia="es-ES"/>
        </w:rPr>
        <w:t xml:space="preserve">En cumplimiento parcial de los numerales 1 y 8 del artículo 13 de la Ley 1618 de 2013, se expidió el Decreto 392 de 2018. Sin embargo, como se reconoce en los considerandos del Decreto 0287 de 2026, dicha regulación presentó omisiones estructurales que frustraron la finalidad de la ley estatutaria, pues solo contempló el 1% de puntaje para empleadores de </w:t>
      </w:r>
      <w:proofErr w:type="spellStart"/>
      <w:r w:rsidRPr="002D45D7">
        <w:rPr>
          <w:rFonts w:ascii="Verdana" w:eastAsia="Calibri" w:hAnsi="Verdana" w:cs="Arial"/>
          <w:sz w:val="20"/>
          <w:szCs w:val="20"/>
          <w:lang w:eastAsia="es-ES"/>
        </w:rPr>
        <w:t>PcD</w:t>
      </w:r>
      <w:proofErr w:type="spellEnd"/>
      <w:r w:rsidRPr="002D45D7">
        <w:rPr>
          <w:rFonts w:ascii="Verdana" w:eastAsia="Calibri" w:hAnsi="Verdana" w:cs="Arial"/>
          <w:sz w:val="20"/>
          <w:szCs w:val="20"/>
          <w:lang w:eastAsia="es-ES"/>
        </w:rPr>
        <w:t xml:space="preserve">, sin incluir a las empresas de </w:t>
      </w:r>
      <w:proofErr w:type="spellStart"/>
      <w:r w:rsidRPr="002D45D7">
        <w:rPr>
          <w:rFonts w:ascii="Verdana" w:eastAsia="Calibri" w:hAnsi="Verdana" w:cs="Arial"/>
          <w:sz w:val="20"/>
          <w:szCs w:val="20"/>
          <w:lang w:eastAsia="es-ES"/>
        </w:rPr>
        <w:t>PcD</w:t>
      </w:r>
      <w:proofErr w:type="spellEnd"/>
      <w:r w:rsidRPr="002D45D7">
        <w:rPr>
          <w:rFonts w:ascii="Verdana" w:eastAsia="Calibri" w:hAnsi="Verdana" w:cs="Arial"/>
          <w:sz w:val="20"/>
          <w:szCs w:val="20"/>
          <w:lang w:eastAsia="es-ES"/>
        </w:rPr>
        <w:t xml:space="preserve">, redujo el "sistema de preferencias" a un único criterio de desempate y no previó medidas en planeación, criterios habilitantes diferenciales, condiciones especiales de ejecución ni abordó la contratación directa como escenario de inclusión. En consecuencia, desde el punto de vista sustantivo, el Decreto 392 de 2018 reglamentó el numeral 1 de manera parcial y el numeral 7, dejando sin reglamentación material el numeral 8, que era precisamente el que ordenaba el sistema de preferencias en favor de las propias </w:t>
      </w:r>
      <w:proofErr w:type="spellStart"/>
      <w:r w:rsidRPr="002D45D7">
        <w:rPr>
          <w:rFonts w:ascii="Verdana" w:eastAsia="Calibri" w:hAnsi="Verdana" w:cs="Arial"/>
          <w:sz w:val="20"/>
          <w:szCs w:val="20"/>
          <w:lang w:eastAsia="es-ES"/>
        </w:rPr>
        <w:t>PcD</w:t>
      </w:r>
      <w:proofErr w:type="spellEnd"/>
      <w:r w:rsidRPr="002D45D7">
        <w:rPr>
          <w:rFonts w:ascii="Verdana" w:eastAsia="Calibri" w:hAnsi="Verdana" w:cs="Arial"/>
          <w:sz w:val="20"/>
          <w:szCs w:val="20"/>
          <w:lang w:eastAsia="es-ES"/>
        </w:rPr>
        <w:t xml:space="preserve"> como contratistas.</w:t>
      </w:r>
    </w:p>
    <w:p w14:paraId="5472ED58" w14:textId="77777777" w:rsidR="00E41CB5" w:rsidRPr="002D45D7" w:rsidRDefault="00E41CB5" w:rsidP="00E41CB5">
      <w:pPr>
        <w:spacing w:after="0" w:line="240" w:lineRule="auto"/>
        <w:jc w:val="both"/>
        <w:rPr>
          <w:rFonts w:ascii="Verdana" w:eastAsia="Calibri" w:hAnsi="Verdana" w:cs="Arial"/>
          <w:sz w:val="20"/>
          <w:szCs w:val="20"/>
          <w:lang w:eastAsia="es-ES"/>
        </w:rPr>
      </w:pPr>
    </w:p>
    <w:p w14:paraId="5808202F" w14:textId="77777777" w:rsidR="00E41CB5" w:rsidRPr="002D45D7" w:rsidRDefault="00E41CB5" w:rsidP="00E41CB5">
      <w:pPr>
        <w:spacing w:after="0" w:line="240" w:lineRule="auto"/>
        <w:jc w:val="both"/>
        <w:rPr>
          <w:rFonts w:ascii="Verdana" w:eastAsia="Calibri" w:hAnsi="Verdana" w:cs="Arial"/>
          <w:sz w:val="20"/>
          <w:szCs w:val="20"/>
          <w:lang w:eastAsia="es-ES"/>
        </w:rPr>
      </w:pPr>
      <w:r w:rsidRPr="002D45D7">
        <w:rPr>
          <w:rFonts w:ascii="Verdana" w:eastAsia="Calibri" w:hAnsi="Verdana" w:cs="Arial"/>
          <w:sz w:val="20"/>
          <w:szCs w:val="20"/>
          <w:lang w:eastAsia="es-ES"/>
        </w:rPr>
        <w:t>Lo anterior fue ratificado por el Consejo de Estado que mediante una acción de cumplimiento, declaró el incumplimiento del deber de reglamentar integralmente el artículo 13 de la Ley 1618 de 2013 y ordenó al Gobierno Nacional expedir la regulación necesaria para hacer efectivo el sistema de preferencias en favor de las personas con discapacidad, sus emprendimientos y empresas que las contratan. La Sala calificó la obligación como imperativa, expresa e inobjetable, señalando que el Gobierno Nacional no contaba con margen de discrecionalidad para decidir si reglamentaba o no el sistema de preferencias.</w:t>
      </w:r>
    </w:p>
    <w:p w14:paraId="4AC79566" w14:textId="77777777" w:rsidR="00E41CB5" w:rsidRPr="002D45D7" w:rsidRDefault="00E41CB5" w:rsidP="00E41CB5">
      <w:pPr>
        <w:spacing w:after="0" w:line="240" w:lineRule="auto"/>
        <w:jc w:val="both"/>
        <w:rPr>
          <w:rFonts w:ascii="Verdana" w:eastAsia="Calibri" w:hAnsi="Verdana" w:cs="Arial"/>
          <w:lang w:eastAsia="es-ES"/>
        </w:rPr>
      </w:pPr>
    </w:p>
    <w:p w14:paraId="65BB3A3A" w14:textId="77777777" w:rsidR="00E41CB5" w:rsidRPr="002D45D7" w:rsidRDefault="00E41CB5" w:rsidP="00E41CB5">
      <w:pPr>
        <w:spacing w:after="0" w:line="240" w:lineRule="auto"/>
        <w:jc w:val="both"/>
        <w:rPr>
          <w:rFonts w:ascii="Verdana" w:eastAsia="Calibri" w:hAnsi="Verdana" w:cs="Arial"/>
          <w:b/>
          <w:bCs/>
          <w:lang w:val="es-ES_tradnl"/>
        </w:rPr>
      </w:pPr>
      <w:r w:rsidRPr="002D45D7">
        <w:rPr>
          <w:rFonts w:ascii="Verdana" w:eastAsia="Calibri" w:hAnsi="Verdana" w:cs="Arial"/>
          <w:b/>
          <w:bCs/>
          <w:lang w:val="es-ES_tradnl"/>
        </w:rPr>
        <w:t xml:space="preserve">DECRETO 0287 DE 2026 ‒ Sistema Integral de Preferencias ‒ Contratación pública inclusiva ‒ Personas con discapacidad </w:t>
      </w:r>
    </w:p>
    <w:p w14:paraId="5AB5AA8C" w14:textId="77777777" w:rsidR="00E41CB5" w:rsidRPr="002D45D7" w:rsidRDefault="00E41CB5" w:rsidP="00E41CB5">
      <w:pPr>
        <w:spacing w:after="0" w:line="240" w:lineRule="auto"/>
        <w:jc w:val="both"/>
        <w:rPr>
          <w:rFonts w:ascii="Verdana" w:eastAsia="Calibri" w:hAnsi="Verdana" w:cs="Arial"/>
          <w:color w:val="000000"/>
          <w:kern w:val="2"/>
          <w:sz w:val="20"/>
          <w:szCs w:val="20"/>
          <w:lang w:val="es-MX"/>
          <w14:ligatures w14:val="standardContextual"/>
        </w:rPr>
      </w:pPr>
    </w:p>
    <w:p w14:paraId="065C90C8" w14:textId="77777777" w:rsidR="00E41CB5" w:rsidRPr="002D45D7" w:rsidRDefault="00E41CB5" w:rsidP="00E41CB5">
      <w:pPr>
        <w:spacing w:after="0" w:line="240" w:lineRule="auto"/>
        <w:jc w:val="both"/>
        <w:rPr>
          <w:rFonts w:ascii="Verdana" w:eastAsia="Calibri" w:hAnsi="Verdana" w:cs="Arial"/>
          <w:color w:val="000000"/>
          <w:kern w:val="2"/>
          <w:sz w:val="20"/>
          <w:szCs w:val="20"/>
          <w:lang w:val="es-MX"/>
          <w14:ligatures w14:val="standardContextual"/>
        </w:rPr>
      </w:pPr>
      <w:r w:rsidRPr="002D45D7">
        <w:rPr>
          <w:rFonts w:ascii="Verdana" w:eastAsia="Calibri" w:hAnsi="Verdana" w:cs="Arial"/>
          <w:color w:val="000000"/>
          <w:kern w:val="2"/>
          <w:sz w:val="20"/>
          <w:szCs w:val="20"/>
          <w14:ligatures w14:val="standardContextual"/>
        </w:rPr>
        <w:t xml:space="preserve">En cumplimiento de esa decisión fue expedido el Decreto 0287 de 2026, el cual establece un Sistema Integral de Preferencias compuesto por cinco medidas afirmativas que actúan en todas las fases del proceso contractual, planeación, selección, adjudicación y ejecución, y que benefician a dos sujetos diferenciados: los emprendimientos y empresas de </w:t>
      </w:r>
      <w:proofErr w:type="spellStart"/>
      <w:r w:rsidRPr="002D45D7">
        <w:rPr>
          <w:rFonts w:ascii="Verdana" w:eastAsia="Calibri" w:hAnsi="Verdana" w:cs="Arial"/>
          <w:color w:val="000000"/>
          <w:kern w:val="2"/>
          <w:sz w:val="20"/>
          <w:szCs w:val="20"/>
          <w14:ligatures w14:val="standardContextual"/>
        </w:rPr>
        <w:t>PcD</w:t>
      </w:r>
      <w:proofErr w:type="spellEnd"/>
      <w:r w:rsidRPr="002D45D7">
        <w:rPr>
          <w:rFonts w:ascii="Verdana" w:eastAsia="Calibri" w:hAnsi="Verdana" w:cs="Arial"/>
          <w:color w:val="000000"/>
          <w:kern w:val="2"/>
          <w:sz w:val="20"/>
          <w:szCs w:val="20"/>
          <w14:ligatures w14:val="standardContextual"/>
        </w:rPr>
        <w:t xml:space="preserve"> y los empleadores de </w:t>
      </w:r>
      <w:proofErr w:type="spellStart"/>
      <w:r w:rsidRPr="002D45D7">
        <w:rPr>
          <w:rFonts w:ascii="Verdana" w:eastAsia="Calibri" w:hAnsi="Verdana" w:cs="Arial"/>
          <w:color w:val="000000"/>
          <w:kern w:val="2"/>
          <w:sz w:val="20"/>
          <w:szCs w:val="20"/>
          <w14:ligatures w14:val="standardContextual"/>
        </w:rPr>
        <w:t>PcD</w:t>
      </w:r>
      <w:proofErr w:type="spellEnd"/>
      <w:r w:rsidRPr="002D45D7">
        <w:rPr>
          <w:rFonts w:ascii="Verdana" w:eastAsia="Calibri" w:hAnsi="Verdana" w:cs="Arial"/>
          <w:color w:val="000000"/>
          <w:kern w:val="2"/>
          <w:sz w:val="20"/>
          <w:szCs w:val="20"/>
          <w14:ligatures w14:val="standardContextual"/>
        </w:rPr>
        <w:t>. Mediante la expedición del mencionado decreto, en aplicación directa de la Constitución Política y para que exista una igualdad material para las personas con discapacidad, se pretende subsanar la falta de acciones afirmativas del Decreto 392 de 2018, modificando los artículos 2.2.1.2.4.2.6, 2.2.1.2.4.2.7. y 2.2.1.2.4.2.8. del Decreto 1082 de 2015.</w:t>
      </w:r>
    </w:p>
    <w:p w14:paraId="282B0CEB" w14:textId="77777777" w:rsidR="00E41CB5" w:rsidRPr="002D45D7" w:rsidRDefault="00E41CB5" w:rsidP="00E41CB5">
      <w:pPr>
        <w:spacing w:after="0" w:line="240" w:lineRule="auto"/>
        <w:jc w:val="both"/>
        <w:rPr>
          <w:rFonts w:ascii="Verdana" w:eastAsia="Calibri" w:hAnsi="Verdana" w:cs="Arial"/>
          <w:b/>
          <w:bCs/>
        </w:rPr>
      </w:pPr>
    </w:p>
    <w:p w14:paraId="169B590F" w14:textId="77777777" w:rsidR="00E41CB5" w:rsidRPr="002D45D7" w:rsidRDefault="00E41CB5" w:rsidP="00E41CB5">
      <w:pPr>
        <w:widowControl w:val="0"/>
        <w:autoSpaceDE w:val="0"/>
        <w:autoSpaceDN w:val="0"/>
        <w:spacing w:line="276" w:lineRule="auto"/>
        <w:jc w:val="both"/>
        <w:rPr>
          <w:rFonts w:ascii="Verdana" w:eastAsia="Calibri" w:hAnsi="Verdana" w:cs="Arial"/>
          <w:b/>
          <w:bCs/>
          <w:lang w:eastAsia="es-ES"/>
        </w:rPr>
      </w:pPr>
      <w:r w:rsidRPr="002D45D7">
        <w:rPr>
          <w:rFonts w:ascii="Verdana" w:eastAsia="Calibri" w:hAnsi="Verdana" w:cs="Arial"/>
          <w:b/>
          <w:bCs/>
          <w:lang w:eastAsia="es-ES"/>
        </w:rPr>
        <w:t xml:space="preserve">DECRETO 0287 DE 2026 ‒ Puntaje adicional del 2% ‒ Dedicación Exclusiva </w:t>
      </w:r>
    </w:p>
    <w:p w14:paraId="60B44513" w14:textId="77777777" w:rsidR="00E41CB5" w:rsidRPr="002D45D7" w:rsidRDefault="00E41CB5" w:rsidP="00E41CB5">
      <w:pPr>
        <w:widowControl w:val="0"/>
        <w:autoSpaceDE w:val="0"/>
        <w:autoSpaceDN w:val="0"/>
        <w:spacing w:after="0" w:line="240" w:lineRule="auto"/>
        <w:jc w:val="both"/>
        <w:rPr>
          <w:rFonts w:ascii="Verdana" w:eastAsia="Calibri" w:hAnsi="Verdana" w:cs="Arial"/>
          <w:color w:val="000000"/>
          <w:kern w:val="2"/>
          <w:sz w:val="20"/>
          <w:szCs w:val="20"/>
          <w14:ligatures w14:val="standardContextual"/>
        </w:rPr>
      </w:pPr>
      <w:r w:rsidRPr="002D45D7">
        <w:rPr>
          <w:rFonts w:ascii="Verdana" w:eastAsia="Calibri" w:hAnsi="Verdana" w:cs="Arial"/>
          <w:color w:val="000000"/>
          <w:kern w:val="2"/>
          <w:sz w:val="20"/>
          <w:szCs w:val="20"/>
          <w14:ligatures w14:val="standardContextual"/>
        </w:rPr>
        <w:t xml:space="preserve">Según la Real Academia de la Lengua Española “dedicación exclusiva” se entiende como la “dedicación que por compromiso o contrato ocupa todo el tiempo disponible, con exclusión de cualquier otro trabajo”. De esta manera, de acuerdo con su sentido natural y obvio debe interpretarse que la locución “dedicación exclusiva” en el marco del numeral </w:t>
      </w:r>
      <w:r w:rsidRPr="002D45D7">
        <w:rPr>
          <w:rFonts w:ascii="Verdana" w:eastAsia="Calibri" w:hAnsi="Verdana" w:cs="Arial"/>
          <w:color w:val="000000"/>
          <w:kern w:val="2"/>
          <w:sz w:val="20"/>
          <w:szCs w:val="20"/>
          <w14:ligatures w14:val="standardContextual"/>
        </w:rPr>
        <w:lastRenderedPageBreak/>
        <w:t>2 del artículo 2.1.2.4.2.7.4 del Decreto 287 de 2026, hace referencia a una relación laboral en la cual el trabajador presta sus servicios únicamente para un determinado empleador, es decir, existe exclusividad en el vínculo laboral. Así, la exclusividad no se encuentra asociada necesariamente a la duración de la jornada de trabajo, que puede ser completa o parcial, sino a la imposibilidad de que el trabajador mantenga simultáneamente otro vínculo laboral con un empleador distinto respecto de las actividades objeto de dicha contratación.</w:t>
      </w:r>
    </w:p>
    <w:p w14:paraId="7ECAE5AE" w14:textId="77777777" w:rsidR="00E41CB5" w:rsidRPr="002D45D7" w:rsidRDefault="00E41CB5" w:rsidP="00E41CB5">
      <w:pPr>
        <w:widowControl w:val="0"/>
        <w:autoSpaceDE w:val="0"/>
        <w:autoSpaceDN w:val="0"/>
        <w:spacing w:after="0" w:line="240" w:lineRule="auto"/>
        <w:jc w:val="both"/>
        <w:rPr>
          <w:rFonts w:ascii="Verdana" w:eastAsia="Calibri" w:hAnsi="Verdana" w:cs="Arial"/>
          <w:color w:val="000000"/>
          <w:kern w:val="2"/>
          <w:sz w:val="20"/>
          <w:szCs w:val="20"/>
          <w14:ligatures w14:val="standardContextual"/>
        </w:rPr>
      </w:pPr>
    </w:p>
    <w:p w14:paraId="48DA471C" w14:textId="77777777" w:rsidR="00E41CB5" w:rsidRPr="002D45D7" w:rsidRDefault="00E41CB5" w:rsidP="00E41CB5">
      <w:pPr>
        <w:widowControl w:val="0"/>
        <w:autoSpaceDE w:val="0"/>
        <w:autoSpaceDN w:val="0"/>
        <w:spacing w:line="276" w:lineRule="auto"/>
        <w:jc w:val="both"/>
        <w:rPr>
          <w:rFonts w:ascii="Verdana" w:eastAsia="Calibri" w:hAnsi="Verdana" w:cs="Arial"/>
          <w:b/>
          <w:bCs/>
          <w:lang w:eastAsia="es-ES"/>
        </w:rPr>
      </w:pPr>
      <w:r w:rsidRPr="002D45D7">
        <w:rPr>
          <w:rFonts w:ascii="Verdana" w:eastAsia="Calibri" w:hAnsi="Verdana" w:cs="Arial"/>
          <w:b/>
          <w:bCs/>
          <w:lang w:eastAsia="es-ES"/>
        </w:rPr>
        <w:t>DECRETO 0287 DE 2026 ‒ Puntaje adicional del 2% ‒ Documentos ‒ Acreditación</w:t>
      </w:r>
    </w:p>
    <w:p w14:paraId="78E6E398" w14:textId="77777777" w:rsidR="00E41CB5" w:rsidRPr="002D45D7" w:rsidRDefault="00E41CB5" w:rsidP="00E41CB5">
      <w:pPr>
        <w:spacing w:after="0" w:line="240" w:lineRule="auto"/>
        <w:jc w:val="both"/>
        <w:rPr>
          <w:rFonts w:ascii="Verdana" w:eastAsia="Calibri" w:hAnsi="Verdana" w:cs="Arial"/>
          <w:color w:val="000000"/>
          <w:kern w:val="2"/>
          <w:sz w:val="20"/>
          <w:szCs w:val="20"/>
          <w14:ligatures w14:val="standardContextual"/>
        </w:rPr>
      </w:pPr>
      <w:r w:rsidRPr="002D45D7">
        <w:rPr>
          <w:rFonts w:ascii="Verdana" w:eastAsia="Calibri" w:hAnsi="Verdana" w:cs="Arial"/>
          <w:color w:val="000000"/>
          <w:kern w:val="2"/>
          <w:sz w:val="20"/>
          <w:szCs w:val="20"/>
          <w14:ligatures w14:val="standardContextual"/>
        </w:rPr>
        <w:t xml:space="preserve">Para efectos de la acreditación de la situación señalada en el numeral 2 del artículo 2.1.2.4.2.7.4 del Decreto 287 de 2026 referente al empleador de </w:t>
      </w:r>
      <w:proofErr w:type="spellStart"/>
      <w:r w:rsidRPr="002D45D7">
        <w:rPr>
          <w:rFonts w:ascii="Verdana" w:eastAsia="Calibri" w:hAnsi="Verdana" w:cs="Arial"/>
          <w:color w:val="000000"/>
          <w:kern w:val="2"/>
          <w:sz w:val="20"/>
          <w:szCs w:val="20"/>
          <w14:ligatures w14:val="standardContextual"/>
        </w:rPr>
        <w:t>PcD</w:t>
      </w:r>
      <w:proofErr w:type="spellEnd"/>
      <w:r w:rsidRPr="002D45D7">
        <w:rPr>
          <w:rFonts w:ascii="Verdana" w:eastAsia="Calibri" w:hAnsi="Verdana" w:cs="Arial"/>
          <w:color w:val="000000"/>
          <w:kern w:val="2"/>
          <w:sz w:val="20"/>
          <w:szCs w:val="20"/>
          <w14:ligatures w14:val="standardContextual"/>
        </w:rPr>
        <w:t xml:space="preserve">, el proponente deberá presentar: i) la certificación suscrita por el representante legal del proponente y el revisor fiscal, cuando exista, o el contador, en la que conste el número de personas con discapacidad que conforman su planta de personal que deberá relacionar el nombre completo y el número de documento de identidad de cada una de las personas con discapacidad. Dicho documento además debe relacionar los respectivos documentos de identidad, copia de los contratos de trabajo o certificación laboral con las funciones, sin que se puedan relacionar contratos de prestación de servicios, así como el certificado de aportes a seguridad social de los últimas tres (3) meses en el que se demuestren los pagos realizados por el empleador, y el certificado de discapacidad expedido conforme a la normativa vigente del Ministerio de Salud y Protección Social. Y </w:t>
      </w:r>
      <w:proofErr w:type="spellStart"/>
      <w:r w:rsidRPr="002D45D7">
        <w:rPr>
          <w:rFonts w:ascii="Verdana" w:eastAsia="Calibri" w:hAnsi="Verdana" w:cs="Arial"/>
          <w:color w:val="000000"/>
          <w:kern w:val="2"/>
          <w:sz w:val="20"/>
          <w:szCs w:val="20"/>
          <w14:ligatures w14:val="standardContextual"/>
        </w:rPr>
        <w:t>ii</w:t>
      </w:r>
      <w:proofErr w:type="spellEnd"/>
      <w:r w:rsidRPr="002D45D7">
        <w:rPr>
          <w:rFonts w:ascii="Verdana" w:eastAsia="Calibri" w:hAnsi="Verdana" w:cs="Arial"/>
          <w:color w:val="000000"/>
          <w:kern w:val="2"/>
          <w:sz w:val="20"/>
          <w:szCs w:val="20"/>
          <w14:ligatures w14:val="standardContextual"/>
        </w:rPr>
        <w:t>) el certificado que para el efecto expide el Ministerio del Trabajo, cuya vigencia deberá ser verificada por la entidad estatal, conforme a la normativa aplicable</w:t>
      </w:r>
    </w:p>
    <w:p w14:paraId="4CB64A09" w14:textId="77777777" w:rsidR="00E41CB5" w:rsidRPr="002D45D7" w:rsidRDefault="00E41CB5" w:rsidP="00E41CB5">
      <w:pPr>
        <w:spacing w:after="0" w:line="240" w:lineRule="auto"/>
        <w:rPr>
          <w:rFonts w:ascii="Verdana" w:eastAsia="Calibri" w:hAnsi="Verdana" w:cs="Arial"/>
          <w:b/>
          <w:bCs/>
          <w:lang w:eastAsia="es-ES"/>
        </w:rPr>
      </w:pPr>
    </w:p>
    <w:p w14:paraId="08431304" w14:textId="77777777" w:rsidR="00E41CB5" w:rsidRPr="002D45D7" w:rsidRDefault="00E41CB5" w:rsidP="00E41CB5">
      <w:pPr>
        <w:spacing w:after="0" w:line="240" w:lineRule="auto"/>
        <w:jc w:val="both"/>
        <w:rPr>
          <w:rFonts w:ascii="Verdana" w:eastAsia="Geomanist Light" w:hAnsi="Verdana" w:cs="Arial"/>
          <w:color w:val="000000" w:themeColor="text1"/>
          <w:lang w:val="es-MX"/>
        </w:rPr>
      </w:pPr>
    </w:p>
    <w:p w14:paraId="103D2878" w14:textId="77777777" w:rsidR="00E41CB5" w:rsidRPr="002D45D7" w:rsidRDefault="00E41CB5" w:rsidP="00E41CB5">
      <w:pPr>
        <w:spacing w:after="0" w:line="240" w:lineRule="auto"/>
        <w:rPr>
          <w:rFonts w:ascii="Verdana" w:eastAsia="Geomanist Light" w:hAnsi="Verdana" w:cs="Arial"/>
          <w:sz w:val="20"/>
          <w:szCs w:val="20"/>
          <w:lang w:val="es-MX"/>
        </w:rPr>
      </w:pPr>
    </w:p>
    <w:p w14:paraId="154636EC" w14:textId="77777777" w:rsidR="00E41CB5" w:rsidRPr="002D45D7" w:rsidRDefault="00E41CB5" w:rsidP="00E41CB5">
      <w:pPr>
        <w:spacing w:after="0" w:line="240" w:lineRule="auto"/>
        <w:rPr>
          <w:rFonts w:ascii="Verdana" w:eastAsia="Geomanist Light" w:hAnsi="Verdana" w:cs="Arial"/>
          <w:sz w:val="20"/>
          <w:szCs w:val="20"/>
          <w:lang w:val="es-MX"/>
        </w:rPr>
      </w:pPr>
    </w:p>
    <w:p w14:paraId="41B5BF78" w14:textId="77777777" w:rsidR="00E41CB5" w:rsidRPr="002D45D7" w:rsidRDefault="00E41CB5" w:rsidP="00E41CB5">
      <w:pPr>
        <w:spacing w:after="0" w:line="240" w:lineRule="auto"/>
        <w:rPr>
          <w:rFonts w:ascii="Verdana" w:eastAsia="Geomanist Light" w:hAnsi="Verdana" w:cs="Arial"/>
          <w:sz w:val="20"/>
          <w:szCs w:val="20"/>
          <w:lang w:val="es-MX"/>
        </w:rPr>
      </w:pPr>
    </w:p>
    <w:p w14:paraId="747F4039" w14:textId="77777777" w:rsidR="00E41CB5" w:rsidRPr="002D45D7" w:rsidRDefault="00E41CB5" w:rsidP="00E41CB5">
      <w:pPr>
        <w:spacing w:after="0" w:line="240" w:lineRule="auto"/>
        <w:rPr>
          <w:rFonts w:ascii="Verdana" w:eastAsia="Geomanist Light" w:hAnsi="Verdana" w:cs="Arial"/>
          <w:sz w:val="20"/>
          <w:szCs w:val="20"/>
          <w:lang w:val="es-MX"/>
        </w:rPr>
      </w:pPr>
    </w:p>
    <w:p w14:paraId="50CFBE8C" w14:textId="77777777" w:rsidR="00E41CB5" w:rsidRPr="002D45D7" w:rsidRDefault="00E41CB5" w:rsidP="00E41CB5">
      <w:pPr>
        <w:spacing w:after="0" w:line="240" w:lineRule="auto"/>
        <w:rPr>
          <w:rFonts w:ascii="Verdana" w:eastAsia="Geomanist Light" w:hAnsi="Verdana" w:cs="Arial"/>
          <w:sz w:val="20"/>
          <w:szCs w:val="20"/>
          <w:lang w:val="es-MX"/>
        </w:rPr>
      </w:pPr>
    </w:p>
    <w:p w14:paraId="4CCDD3CE" w14:textId="77777777" w:rsidR="00E41CB5" w:rsidRPr="002D45D7" w:rsidRDefault="00E41CB5" w:rsidP="00E41CB5">
      <w:pPr>
        <w:spacing w:after="0" w:line="240" w:lineRule="auto"/>
        <w:rPr>
          <w:rFonts w:ascii="Verdana" w:eastAsia="Geomanist Light" w:hAnsi="Verdana" w:cs="Arial"/>
          <w:sz w:val="20"/>
          <w:szCs w:val="20"/>
          <w:lang w:val="es-MX"/>
        </w:rPr>
      </w:pPr>
    </w:p>
    <w:p w14:paraId="0F43629A" w14:textId="77777777" w:rsidR="00E41CB5" w:rsidRPr="002D45D7" w:rsidRDefault="00E41CB5" w:rsidP="00E41CB5">
      <w:pPr>
        <w:spacing w:after="0" w:line="240" w:lineRule="auto"/>
        <w:rPr>
          <w:rFonts w:ascii="Verdana" w:eastAsia="Geomanist Light" w:hAnsi="Verdana" w:cs="Arial"/>
          <w:sz w:val="20"/>
          <w:szCs w:val="20"/>
          <w:lang w:val="es-MX"/>
        </w:rPr>
      </w:pPr>
    </w:p>
    <w:p w14:paraId="272A5C7A" w14:textId="77777777" w:rsidR="00E41CB5" w:rsidRPr="002D45D7" w:rsidRDefault="00E41CB5" w:rsidP="00E41CB5">
      <w:pPr>
        <w:spacing w:after="0" w:line="240" w:lineRule="auto"/>
        <w:rPr>
          <w:rFonts w:ascii="Verdana" w:eastAsia="Geomanist Light" w:hAnsi="Verdana" w:cs="Arial"/>
          <w:sz w:val="20"/>
          <w:szCs w:val="20"/>
          <w:lang w:val="es-MX"/>
        </w:rPr>
      </w:pPr>
    </w:p>
    <w:p w14:paraId="1F2A8672" w14:textId="77777777" w:rsidR="00E41CB5" w:rsidRPr="002D45D7" w:rsidRDefault="00E41CB5" w:rsidP="00E41CB5">
      <w:pPr>
        <w:spacing w:after="0" w:line="240" w:lineRule="auto"/>
        <w:rPr>
          <w:rFonts w:ascii="Verdana" w:eastAsia="Geomanist Light" w:hAnsi="Verdana" w:cs="Arial"/>
          <w:sz w:val="20"/>
          <w:szCs w:val="20"/>
          <w:lang w:val="es-MX"/>
        </w:rPr>
      </w:pPr>
    </w:p>
    <w:p w14:paraId="3D7479E3" w14:textId="77777777" w:rsidR="00E41CB5" w:rsidRPr="002D45D7" w:rsidRDefault="00E41CB5" w:rsidP="00E41CB5">
      <w:pPr>
        <w:spacing w:after="0" w:line="240" w:lineRule="auto"/>
        <w:rPr>
          <w:rFonts w:ascii="Verdana" w:eastAsia="Geomanist Light" w:hAnsi="Verdana" w:cs="Arial"/>
          <w:sz w:val="20"/>
          <w:szCs w:val="20"/>
          <w:lang w:val="es-MX"/>
        </w:rPr>
      </w:pPr>
    </w:p>
    <w:p w14:paraId="3874D554" w14:textId="77777777" w:rsidR="00E41CB5" w:rsidRPr="002D45D7" w:rsidRDefault="00E41CB5" w:rsidP="00E41CB5">
      <w:pPr>
        <w:spacing w:after="0" w:line="240" w:lineRule="auto"/>
        <w:rPr>
          <w:rFonts w:ascii="Verdana" w:eastAsia="Geomanist Light" w:hAnsi="Verdana" w:cs="Arial"/>
          <w:sz w:val="20"/>
          <w:szCs w:val="20"/>
          <w:lang w:val="es-MX"/>
        </w:rPr>
      </w:pPr>
    </w:p>
    <w:p w14:paraId="7528C583" w14:textId="77777777" w:rsidR="00E41CB5" w:rsidRPr="002D45D7" w:rsidRDefault="00E41CB5" w:rsidP="00E41CB5">
      <w:pPr>
        <w:spacing w:after="0" w:line="240" w:lineRule="auto"/>
        <w:rPr>
          <w:rFonts w:ascii="Verdana" w:eastAsia="Geomanist Light" w:hAnsi="Verdana" w:cs="Arial"/>
          <w:sz w:val="20"/>
          <w:szCs w:val="20"/>
          <w:lang w:val="es-MX"/>
        </w:rPr>
      </w:pPr>
    </w:p>
    <w:p w14:paraId="382E362A" w14:textId="77777777" w:rsidR="00E41CB5" w:rsidRPr="002D45D7" w:rsidRDefault="00E41CB5" w:rsidP="00E41CB5">
      <w:pPr>
        <w:spacing w:after="0" w:line="240" w:lineRule="auto"/>
        <w:rPr>
          <w:rFonts w:ascii="Verdana" w:eastAsia="Geomanist Light" w:hAnsi="Verdana" w:cs="Arial"/>
          <w:sz w:val="20"/>
          <w:szCs w:val="20"/>
          <w:lang w:val="es-MX"/>
        </w:rPr>
      </w:pPr>
    </w:p>
    <w:p w14:paraId="5FE0C199" w14:textId="77777777" w:rsidR="00E41CB5" w:rsidRPr="002D45D7" w:rsidRDefault="00E41CB5" w:rsidP="00E41CB5">
      <w:pPr>
        <w:spacing w:after="0" w:line="240" w:lineRule="auto"/>
        <w:rPr>
          <w:rFonts w:ascii="Verdana" w:eastAsia="Geomanist Light" w:hAnsi="Verdana" w:cs="Arial"/>
          <w:sz w:val="20"/>
          <w:szCs w:val="20"/>
          <w:lang w:val="es-MX"/>
        </w:rPr>
      </w:pPr>
    </w:p>
    <w:p w14:paraId="4C6FEA57" w14:textId="77777777" w:rsidR="00E41CB5" w:rsidRPr="002D45D7" w:rsidRDefault="00E41CB5" w:rsidP="00E41CB5">
      <w:pPr>
        <w:spacing w:after="0" w:line="240" w:lineRule="auto"/>
        <w:rPr>
          <w:rFonts w:ascii="Verdana" w:eastAsia="Geomanist Light" w:hAnsi="Verdana" w:cs="Arial"/>
          <w:sz w:val="20"/>
          <w:szCs w:val="20"/>
          <w:lang w:val="es-MX"/>
        </w:rPr>
      </w:pPr>
    </w:p>
    <w:p w14:paraId="7C7DEAB0" w14:textId="77777777" w:rsidR="00E41CB5" w:rsidRPr="002D45D7" w:rsidRDefault="00E41CB5" w:rsidP="00E41CB5">
      <w:pPr>
        <w:spacing w:after="0" w:line="240" w:lineRule="auto"/>
        <w:rPr>
          <w:rFonts w:ascii="Verdana" w:eastAsia="Geomanist Light" w:hAnsi="Verdana" w:cs="Arial"/>
          <w:sz w:val="20"/>
          <w:szCs w:val="20"/>
          <w:lang w:val="es-MX"/>
        </w:rPr>
      </w:pPr>
    </w:p>
    <w:p w14:paraId="05A14F09" w14:textId="77777777" w:rsidR="00E41CB5" w:rsidRPr="002D45D7" w:rsidRDefault="00E41CB5" w:rsidP="00E41CB5">
      <w:pPr>
        <w:spacing w:after="0" w:line="240" w:lineRule="auto"/>
        <w:rPr>
          <w:rFonts w:ascii="Verdana" w:eastAsia="Geomanist Light" w:hAnsi="Verdana" w:cs="Arial"/>
          <w:sz w:val="20"/>
          <w:szCs w:val="20"/>
          <w:lang w:val="es-MX"/>
        </w:rPr>
      </w:pPr>
    </w:p>
    <w:p w14:paraId="1861D1BB" w14:textId="77777777" w:rsidR="00E41CB5" w:rsidRPr="002D45D7" w:rsidRDefault="00E41CB5" w:rsidP="00E41CB5">
      <w:pPr>
        <w:spacing w:after="0" w:line="240" w:lineRule="auto"/>
        <w:rPr>
          <w:rFonts w:ascii="Verdana" w:eastAsia="Geomanist Light" w:hAnsi="Verdana" w:cs="Arial"/>
          <w:sz w:val="20"/>
          <w:szCs w:val="20"/>
          <w:lang w:val="es-MX"/>
        </w:rPr>
      </w:pPr>
    </w:p>
    <w:p w14:paraId="52747B0F" w14:textId="737B5182" w:rsidR="00E41CB5" w:rsidRPr="002D45D7" w:rsidRDefault="00E41CB5" w:rsidP="00E41CB5">
      <w:pPr>
        <w:spacing w:after="0" w:line="240" w:lineRule="auto"/>
        <w:rPr>
          <w:rFonts w:ascii="Verdana" w:eastAsia="Geomanist Light" w:hAnsi="Verdana" w:cs="Arial"/>
          <w:lang w:val="es-MX"/>
        </w:rPr>
      </w:pPr>
      <w:r w:rsidRPr="002D45D7">
        <w:rPr>
          <w:rFonts w:ascii="Verdana" w:eastAsia="Geomanist Light" w:hAnsi="Verdana" w:cs="Arial"/>
          <w:lang w:val="es-MX"/>
        </w:rPr>
        <w:lastRenderedPageBreak/>
        <w:t>Bogotá D.C., </w:t>
      </w:r>
      <w:r w:rsidR="00163B52">
        <w:rPr>
          <w:rFonts w:ascii="Verdana" w:eastAsia="Geomanist Light" w:hAnsi="Verdana" w:cs="Arial"/>
          <w:lang w:val="es-MX"/>
        </w:rPr>
        <w:t>04 de agosto de 2026</w:t>
      </w:r>
    </w:p>
    <w:p w14:paraId="59A1E044" w14:textId="77777777" w:rsidR="00E41CB5" w:rsidRPr="002D45D7" w:rsidRDefault="00E41CB5" w:rsidP="00E41CB5">
      <w:pPr>
        <w:spacing w:after="0" w:line="240" w:lineRule="auto"/>
        <w:jc w:val="both"/>
        <w:rPr>
          <w:rFonts w:ascii="Verdana" w:eastAsia="Calibri" w:hAnsi="Verdana" w:cs="Arial"/>
          <w:lang w:val="es-ES"/>
        </w:rPr>
      </w:pPr>
    </w:p>
    <w:p w14:paraId="3225672C" w14:textId="0C333518" w:rsidR="00E41CB5" w:rsidRPr="002D45D7" w:rsidRDefault="00485442" w:rsidP="00E41CB5">
      <w:pPr>
        <w:spacing w:after="0" w:line="240" w:lineRule="auto"/>
        <w:jc w:val="right"/>
        <w:rPr>
          <w:rFonts w:ascii="Verdana" w:eastAsia="Calibri" w:hAnsi="Verdana" w:cs="Arial"/>
          <w:lang w:val="es-ES"/>
        </w:rPr>
      </w:pPr>
      <w:r w:rsidRPr="00485442">
        <w:rPr>
          <w:rFonts w:ascii="Verdana" w:eastAsia="Calibri" w:hAnsi="Verdana" w:cs="Arial"/>
          <w:lang w:val="es-ES"/>
        </w:rPr>
        <w:drawing>
          <wp:inline distT="0" distB="0" distL="0" distR="0" wp14:anchorId="23887EEC" wp14:editId="4679F179">
            <wp:extent cx="3019846" cy="905001"/>
            <wp:effectExtent l="0" t="0" r="9525" b="9525"/>
            <wp:docPr id="1623644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64452" name=""/>
                    <pic:cNvPicPr/>
                  </pic:nvPicPr>
                  <pic:blipFill>
                    <a:blip r:embed="rId10"/>
                    <a:stretch>
                      <a:fillRect/>
                    </a:stretch>
                  </pic:blipFill>
                  <pic:spPr>
                    <a:xfrm>
                      <a:off x="0" y="0"/>
                      <a:ext cx="3019846" cy="905001"/>
                    </a:xfrm>
                    <a:prstGeom prst="rect">
                      <a:avLst/>
                    </a:prstGeom>
                  </pic:spPr>
                </pic:pic>
              </a:graphicData>
            </a:graphic>
          </wp:inline>
        </w:drawing>
      </w:r>
    </w:p>
    <w:p w14:paraId="5FF3CDFC" w14:textId="77777777" w:rsidR="00E41CB5" w:rsidRPr="002D45D7" w:rsidRDefault="00E41CB5" w:rsidP="00E41CB5">
      <w:pPr>
        <w:spacing w:after="0" w:line="240" w:lineRule="auto"/>
        <w:jc w:val="both"/>
        <w:rPr>
          <w:rFonts w:ascii="Verdana" w:eastAsia="Calibri" w:hAnsi="Verdana" w:cs="Arial"/>
          <w:lang w:val="es-ES"/>
        </w:rPr>
      </w:pPr>
    </w:p>
    <w:p w14:paraId="273235EF" w14:textId="77777777" w:rsidR="00E41CB5" w:rsidRPr="002D45D7" w:rsidRDefault="00E41CB5" w:rsidP="00E41CB5">
      <w:pPr>
        <w:spacing w:after="0" w:line="240" w:lineRule="auto"/>
        <w:jc w:val="both"/>
        <w:rPr>
          <w:rFonts w:ascii="Verdana" w:eastAsia="Calibri" w:hAnsi="Verdana" w:cs="Arial"/>
          <w:lang w:val="es-ES" w:eastAsia="es-ES"/>
        </w:rPr>
      </w:pPr>
      <w:r w:rsidRPr="002D45D7">
        <w:rPr>
          <w:rFonts w:ascii="Verdana" w:eastAsia="Calibri" w:hAnsi="Verdana" w:cs="Arial"/>
          <w:lang w:val="es-ES" w:eastAsia="es-ES"/>
        </w:rPr>
        <w:t>Señor(a)</w:t>
      </w:r>
    </w:p>
    <w:p w14:paraId="4C4BCF31" w14:textId="77777777" w:rsidR="00E41CB5" w:rsidRPr="002D45D7" w:rsidRDefault="00E41CB5" w:rsidP="00E41CB5">
      <w:pPr>
        <w:spacing w:after="0" w:line="240" w:lineRule="auto"/>
        <w:rPr>
          <w:rFonts w:ascii="Verdana" w:eastAsia="Calibri" w:hAnsi="Verdana" w:cs="Arial"/>
          <w:b/>
          <w:lang w:val="es-ES" w:eastAsia="es-ES"/>
        </w:rPr>
      </w:pPr>
      <w:r w:rsidRPr="002D45D7">
        <w:rPr>
          <w:rFonts w:ascii="Verdana" w:eastAsia="Calibri" w:hAnsi="Verdana" w:cs="Arial"/>
          <w:b/>
          <w:lang w:val="es-ES" w:eastAsia="es-ES"/>
        </w:rPr>
        <w:t>Ciudadano(a) Anónimo(a)</w:t>
      </w:r>
    </w:p>
    <w:p w14:paraId="13585B94" w14:textId="77777777" w:rsidR="00E41CB5" w:rsidRPr="002D45D7" w:rsidRDefault="00E41CB5" w:rsidP="00E41CB5">
      <w:pPr>
        <w:spacing w:after="0" w:line="240" w:lineRule="auto"/>
        <w:rPr>
          <w:rFonts w:ascii="Verdana" w:hAnsi="Verdana"/>
        </w:rPr>
      </w:pPr>
      <w:hyperlink r:id="rId11" w:history="1">
        <w:r w:rsidRPr="002D45D7">
          <w:rPr>
            <w:rStyle w:val="Hipervnculo"/>
            <w:rFonts w:ascii="Verdana" w:hAnsi="Verdana"/>
          </w:rPr>
          <w:t>karinaroldan.abog@gmail.com</w:t>
        </w:r>
      </w:hyperlink>
    </w:p>
    <w:p w14:paraId="3FBDE8E6" w14:textId="77777777" w:rsidR="00E41CB5" w:rsidRPr="002D45D7" w:rsidRDefault="00E41CB5" w:rsidP="00E41CB5">
      <w:pPr>
        <w:spacing w:after="0" w:line="240" w:lineRule="auto"/>
        <w:rPr>
          <w:rFonts w:ascii="Verdana" w:eastAsia="Calibri" w:hAnsi="Verdana" w:cs="Arial"/>
          <w:b/>
          <w:bCs/>
          <w:lang w:val="es-ES" w:eastAsia="es-ES"/>
        </w:rPr>
      </w:pPr>
      <w:r w:rsidRPr="002D45D7">
        <w:rPr>
          <w:rFonts w:ascii="Verdana" w:eastAsia="Calibri" w:hAnsi="Verdana" w:cs="Arial"/>
          <w:lang w:val="es-ES" w:eastAsia="es-ES"/>
        </w:rPr>
        <w:t>Ciudad</w:t>
      </w:r>
    </w:p>
    <w:p w14:paraId="739C98DE" w14:textId="77777777" w:rsidR="00E41CB5" w:rsidRPr="002D45D7" w:rsidRDefault="00E41CB5" w:rsidP="00E41CB5">
      <w:pPr>
        <w:spacing w:after="0" w:line="240" w:lineRule="auto"/>
        <w:rPr>
          <w:rFonts w:ascii="Verdana" w:eastAsia="Calibri" w:hAnsi="Verdana" w:cs="Arial"/>
          <w:b/>
          <w:bCs/>
          <w:lang w:val="es-ES_tradnl" w:eastAsia="es-ES_tradnl"/>
        </w:rPr>
      </w:pPr>
    </w:p>
    <w:p w14:paraId="59A16A44" w14:textId="77777777" w:rsidR="00E41CB5" w:rsidRPr="002D45D7" w:rsidRDefault="00E41CB5" w:rsidP="00E41CB5">
      <w:pPr>
        <w:spacing w:after="0" w:line="240" w:lineRule="auto"/>
        <w:rPr>
          <w:rFonts w:ascii="Verdana" w:eastAsia="Calibri" w:hAnsi="Verdana" w:cs="Arial"/>
          <w:b/>
          <w:bCs/>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E41CB5" w:rsidRPr="002D45D7" w14:paraId="1BE5B377" w14:textId="77777777" w:rsidTr="007D74F3">
        <w:trPr>
          <w:trHeight w:val="884"/>
        </w:trPr>
        <w:tc>
          <w:tcPr>
            <w:tcW w:w="2689" w:type="dxa"/>
          </w:tcPr>
          <w:p w14:paraId="2076A904" w14:textId="77777777" w:rsidR="00E41CB5" w:rsidRPr="002D45D7" w:rsidRDefault="00E41CB5" w:rsidP="007D74F3">
            <w:pPr>
              <w:jc w:val="both"/>
              <w:rPr>
                <w:rFonts w:ascii="Verdana" w:eastAsia="Calibri" w:hAnsi="Verdana" w:cs="Arial"/>
                <w:b/>
                <w:bCs/>
                <w:lang w:val="es-ES_tradnl" w:eastAsia="es-ES_tradnl"/>
              </w:rPr>
            </w:pPr>
          </w:p>
        </w:tc>
        <w:tc>
          <w:tcPr>
            <w:tcW w:w="6100" w:type="dxa"/>
          </w:tcPr>
          <w:p w14:paraId="033ED107" w14:textId="77777777" w:rsidR="00E41CB5" w:rsidRPr="002D45D7" w:rsidRDefault="00E41CB5" w:rsidP="007D74F3">
            <w:pPr>
              <w:jc w:val="both"/>
              <w:rPr>
                <w:rFonts w:ascii="Verdana" w:eastAsia="Calibri" w:hAnsi="Verdana" w:cs="Arial"/>
                <w:b/>
                <w:bCs/>
                <w:lang w:val="es-ES" w:eastAsia="es-ES"/>
              </w:rPr>
            </w:pPr>
            <w:r w:rsidRPr="002D45D7">
              <w:rPr>
                <w:rFonts w:ascii="Verdana" w:eastAsia="Calibri" w:hAnsi="Verdana" w:cs="Arial"/>
                <w:b/>
                <w:bCs/>
                <w:lang w:val="es-ES" w:eastAsia="es-ES"/>
              </w:rPr>
              <w:t>Concepto C-1012 de 2025</w:t>
            </w:r>
          </w:p>
        </w:tc>
      </w:tr>
      <w:tr w:rsidR="00E41CB5" w:rsidRPr="002D45D7" w14:paraId="630CE8F2" w14:textId="77777777" w:rsidTr="007D74F3">
        <w:trPr>
          <w:trHeight w:val="884"/>
        </w:trPr>
        <w:tc>
          <w:tcPr>
            <w:tcW w:w="2689" w:type="dxa"/>
          </w:tcPr>
          <w:p w14:paraId="56229F5E" w14:textId="77777777" w:rsidR="00E41CB5" w:rsidRPr="002D45D7" w:rsidRDefault="00E41CB5" w:rsidP="007D74F3">
            <w:pPr>
              <w:jc w:val="both"/>
              <w:rPr>
                <w:rFonts w:ascii="Verdana" w:eastAsia="Calibri" w:hAnsi="Verdana" w:cs="Arial"/>
                <w:lang w:val="es-ES_tradnl" w:eastAsia="es-ES_tradnl"/>
              </w:rPr>
            </w:pPr>
            <w:r w:rsidRPr="002D45D7">
              <w:rPr>
                <w:rFonts w:ascii="Verdana" w:eastAsia="Calibri" w:hAnsi="Verdana" w:cs="Arial"/>
                <w:b/>
                <w:lang w:val="es-ES_tradnl" w:eastAsia="es-ES_tradnl"/>
              </w:rPr>
              <w:t>Temas:</w:t>
            </w:r>
            <w:r w:rsidRPr="002D45D7">
              <w:rPr>
                <w:rFonts w:ascii="Verdana" w:eastAsia="Calibri" w:hAnsi="Verdana" w:cs="Arial"/>
                <w:lang w:val="es-ES_tradnl" w:eastAsia="es-ES_tradnl"/>
              </w:rPr>
              <w:t xml:space="preserve">                   </w:t>
            </w:r>
          </w:p>
        </w:tc>
        <w:tc>
          <w:tcPr>
            <w:tcW w:w="6100" w:type="dxa"/>
          </w:tcPr>
          <w:p w14:paraId="0948C067" w14:textId="77777777" w:rsidR="00E41CB5" w:rsidRPr="002D45D7" w:rsidRDefault="00E41CB5" w:rsidP="007D74F3">
            <w:pPr>
              <w:spacing w:line="276" w:lineRule="auto"/>
              <w:jc w:val="both"/>
              <w:rPr>
                <w:rFonts w:ascii="Verdana" w:eastAsia="Calibri" w:hAnsi="Verdana" w:cs="Arial"/>
                <w:lang w:val="es-ES" w:eastAsia="es-ES"/>
              </w:rPr>
            </w:pPr>
            <w:r w:rsidRPr="002D45D7">
              <w:rPr>
                <w:rFonts w:ascii="Verdana" w:eastAsia="Calibri" w:hAnsi="Verdana" w:cs="Arial"/>
                <w:lang w:val="es-ES" w:eastAsia="es-ES"/>
              </w:rPr>
              <w:t>DECRETO 287 DE 2026 ‒ Antecedentes normativos ‒ Decreto 392 de 2018 / DECRETO 0287 DE 2026 ‒ Sistema Integral de Preferencias ‒ Contratación pública inclusiva ‒ Personas con discapacidad / DECRETO 0287 DE 2026 ‒ Puntaje adicional del 2% ‒ Dedicación Exclusiva /</w:t>
            </w:r>
            <w:r w:rsidRPr="002D45D7">
              <w:rPr>
                <w:rFonts w:ascii="Verdana" w:hAnsi="Verdana"/>
              </w:rPr>
              <w:t xml:space="preserve"> </w:t>
            </w:r>
            <w:r w:rsidRPr="002D45D7">
              <w:rPr>
                <w:rFonts w:ascii="Verdana" w:eastAsia="Calibri" w:hAnsi="Verdana" w:cs="Arial"/>
                <w:lang w:val="es-ES" w:eastAsia="es-ES"/>
              </w:rPr>
              <w:t>DECRETO 0287 DE 2026 ‒ Puntaje adicional del 2% ‒ Documentos ‒ Acreditación</w:t>
            </w:r>
          </w:p>
          <w:p w14:paraId="4709EE6F" w14:textId="77777777" w:rsidR="00E41CB5" w:rsidRPr="002D45D7" w:rsidRDefault="00E41CB5" w:rsidP="007D74F3">
            <w:pPr>
              <w:spacing w:line="276" w:lineRule="auto"/>
              <w:jc w:val="both"/>
              <w:rPr>
                <w:rFonts w:ascii="Verdana" w:eastAsia="Calibri" w:hAnsi="Verdana" w:cs="Arial"/>
                <w:lang w:val="es-ES" w:eastAsia="es-ES"/>
              </w:rPr>
            </w:pPr>
          </w:p>
        </w:tc>
      </w:tr>
      <w:tr w:rsidR="00E41CB5" w:rsidRPr="002D45D7" w14:paraId="5D923D7B" w14:textId="77777777" w:rsidTr="007D74F3">
        <w:tc>
          <w:tcPr>
            <w:tcW w:w="2689" w:type="dxa"/>
          </w:tcPr>
          <w:p w14:paraId="015176D7" w14:textId="77777777" w:rsidR="00E41CB5" w:rsidRPr="002D45D7" w:rsidRDefault="00E41CB5" w:rsidP="007D74F3">
            <w:pPr>
              <w:jc w:val="both"/>
              <w:rPr>
                <w:rFonts w:ascii="Verdana" w:eastAsia="Calibri" w:hAnsi="Verdana" w:cs="Arial"/>
                <w:b/>
                <w:lang w:val="es-ES_tradnl" w:eastAsia="es-ES_tradnl"/>
              </w:rPr>
            </w:pPr>
            <w:r w:rsidRPr="002D45D7">
              <w:rPr>
                <w:rFonts w:ascii="Verdana" w:eastAsia="Calibri" w:hAnsi="Verdana" w:cs="Arial"/>
                <w:b/>
                <w:lang w:val="es-ES_tradnl" w:eastAsia="es-ES_tradnl"/>
              </w:rPr>
              <w:t>Radicación:</w:t>
            </w:r>
            <w:r w:rsidRPr="002D45D7">
              <w:rPr>
                <w:rFonts w:ascii="Verdana" w:eastAsia="Calibri" w:hAnsi="Verdana" w:cs="Arial"/>
                <w:lang w:val="es-ES_tradnl" w:eastAsia="es-ES_tradnl"/>
              </w:rPr>
              <w:t xml:space="preserve">               </w:t>
            </w:r>
          </w:p>
        </w:tc>
        <w:tc>
          <w:tcPr>
            <w:tcW w:w="6100" w:type="dxa"/>
          </w:tcPr>
          <w:p w14:paraId="2D48D14D" w14:textId="77777777" w:rsidR="00E41CB5" w:rsidRPr="002D45D7" w:rsidRDefault="00E41CB5" w:rsidP="007D74F3">
            <w:pPr>
              <w:jc w:val="both"/>
              <w:rPr>
                <w:rFonts w:ascii="Verdana" w:eastAsia="Calibri" w:hAnsi="Verdana" w:cs="Arial"/>
                <w:lang w:val="es-ES_tradnl" w:eastAsia="es-ES_tradnl"/>
              </w:rPr>
            </w:pPr>
            <w:r w:rsidRPr="002D45D7">
              <w:rPr>
                <w:rFonts w:ascii="Verdana" w:eastAsia="Calibri" w:hAnsi="Verdana" w:cs="Arial"/>
                <w:lang w:val="es-ES_tradnl" w:eastAsia="es-ES_tradnl"/>
              </w:rPr>
              <w:t>Respuesta a consulta con radicado No. 1_2026_06_23_008442</w:t>
            </w:r>
          </w:p>
        </w:tc>
      </w:tr>
    </w:tbl>
    <w:p w14:paraId="4E4D7A1A" w14:textId="77777777" w:rsidR="00E41CB5" w:rsidRPr="002D45D7" w:rsidRDefault="00E41CB5" w:rsidP="00E41CB5">
      <w:pPr>
        <w:spacing w:after="0" w:line="240" w:lineRule="auto"/>
        <w:jc w:val="both"/>
        <w:rPr>
          <w:rFonts w:ascii="Verdana" w:eastAsia="Calibri" w:hAnsi="Verdana" w:cs="Arial"/>
          <w:lang w:val="es-ES_tradnl" w:eastAsia="es-ES_tradnl"/>
        </w:rPr>
      </w:pPr>
    </w:p>
    <w:p w14:paraId="0D521482" w14:textId="77777777" w:rsidR="00E41CB5" w:rsidRPr="002D45D7" w:rsidRDefault="00E41CB5" w:rsidP="00E41CB5">
      <w:pPr>
        <w:spacing w:after="0" w:line="240" w:lineRule="auto"/>
        <w:jc w:val="both"/>
        <w:rPr>
          <w:rFonts w:ascii="Verdana" w:eastAsia="Calibri" w:hAnsi="Verdana" w:cs="Arial"/>
          <w:lang w:val="es-ES_tradnl" w:eastAsia="es-ES_tradnl"/>
        </w:rPr>
      </w:pPr>
    </w:p>
    <w:p w14:paraId="20E989A2" w14:textId="77777777" w:rsidR="00E41CB5" w:rsidRPr="002D45D7" w:rsidRDefault="00E41CB5" w:rsidP="00E41CB5">
      <w:pPr>
        <w:spacing w:after="0" w:line="276" w:lineRule="auto"/>
        <w:jc w:val="both"/>
        <w:rPr>
          <w:rFonts w:ascii="Verdana" w:eastAsia="Calibri" w:hAnsi="Verdana" w:cs="Arial"/>
          <w:lang w:val="es-ES" w:eastAsia="es-ES"/>
        </w:rPr>
      </w:pPr>
      <w:r w:rsidRPr="002D45D7">
        <w:rPr>
          <w:rFonts w:ascii="Verdana" w:eastAsia="Calibri" w:hAnsi="Verdana" w:cs="Arial"/>
          <w:lang w:val="es-ES" w:eastAsia="es-ES"/>
        </w:rPr>
        <w:t xml:space="preserve">Estimado(a) ciudadano(a) Anónimo(a): </w:t>
      </w:r>
    </w:p>
    <w:p w14:paraId="3A51CD7D" w14:textId="77777777" w:rsidR="00E41CB5" w:rsidRPr="002D45D7" w:rsidRDefault="00E41CB5" w:rsidP="00E41CB5">
      <w:pPr>
        <w:tabs>
          <w:tab w:val="left" w:pos="3768"/>
        </w:tabs>
        <w:spacing w:after="0" w:line="276" w:lineRule="auto"/>
        <w:jc w:val="both"/>
        <w:rPr>
          <w:rFonts w:ascii="Verdana" w:eastAsia="Calibri" w:hAnsi="Verdana" w:cs="Arial"/>
          <w:lang w:val="es-ES" w:eastAsia="es-ES"/>
        </w:rPr>
      </w:pPr>
      <w:r w:rsidRPr="002D45D7">
        <w:rPr>
          <w:rFonts w:ascii="Verdana" w:eastAsia="Calibri" w:hAnsi="Verdana" w:cs="Arial"/>
          <w:lang w:val="es-ES" w:eastAsia="es-ES"/>
        </w:rPr>
        <w:tab/>
      </w:r>
    </w:p>
    <w:p w14:paraId="6F4512BE" w14:textId="77777777" w:rsidR="00E41CB5" w:rsidRPr="002D45D7" w:rsidRDefault="00E41CB5" w:rsidP="00E41CB5">
      <w:pPr>
        <w:spacing w:after="0" w:line="276" w:lineRule="auto"/>
        <w:jc w:val="both"/>
        <w:rPr>
          <w:rFonts w:ascii="Verdana" w:eastAsia="Calibri" w:hAnsi="Verdana" w:cs="Arial"/>
          <w:lang w:val="es-ES" w:eastAsia="es-ES"/>
        </w:rPr>
      </w:pPr>
      <w:r w:rsidRPr="002D45D7">
        <w:rPr>
          <w:rFonts w:ascii="Verdana" w:eastAsia="Calibri" w:hAnsi="Verdana" w:cs="Arial"/>
          <w:lang w:val="es-ES" w:eastAsia="es-ES"/>
        </w:rPr>
        <w:t>En ejercicio de la competencia otorgada por los artículos 3, numeral 5º, y 11, numeral 8º, del Decreto Ley 4170 de 2011,</w:t>
      </w:r>
      <w:r w:rsidRPr="002D45D7">
        <w:rPr>
          <w:rFonts w:ascii="Verdana" w:eastAsia="Arial MT" w:hAnsi="Verdana" w:cs="Arial MT"/>
          <w:lang w:val="es-ES" w:eastAsia="es-ES"/>
        </w:rPr>
        <w:t xml:space="preserve"> </w:t>
      </w:r>
      <w:r w:rsidRPr="002D45D7">
        <w:rPr>
          <w:rFonts w:ascii="Verdana" w:eastAsia="Aptos" w:hAnsi="Verdana" w:cs="Arial"/>
        </w:rPr>
        <w:t xml:space="preserve">así como lo establecido en el artículo 4 de la Resolución 1707 de 2018 expedida por esta Entidad, </w:t>
      </w:r>
      <w:r w:rsidRPr="002D45D7">
        <w:rPr>
          <w:rFonts w:ascii="Verdana" w:eastAsia="Calibri" w:hAnsi="Verdana" w:cs="Arial"/>
          <w:lang w:val="es-ES" w:eastAsia="es-ES"/>
        </w:rPr>
        <w:t xml:space="preserve">la Agencia Nacional de Contratación Pública – Colombia Compra Eficiente– responde su solicitud de consulta de fecha del 23 de junio de 2025, en la que realiza la siguiente consulta: </w:t>
      </w:r>
    </w:p>
    <w:p w14:paraId="47ECF72A" w14:textId="77777777" w:rsidR="00E41CB5" w:rsidRPr="002D45D7" w:rsidRDefault="00E41CB5" w:rsidP="00E41CB5">
      <w:pPr>
        <w:tabs>
          <w:tab w:val="left" w:pos="142"/>
          <w:tab w:val="left" w:pos="284"/>
        </w:tabs>
        <w:spacing w:after="0" w:line="240" w:lineRule="auto"/>
        <w:contextualSpacing/>
        <w:jc w:val="both"/>
        <w:rPr>
          <w:rFonts w:ascii="Verdana" w:eastAsia="Century Gothic" w:hAnsi="Verdana" w:cs="Century Gothic"/>
          <w:b/>
          <w:bCs/>
          <w:sz w:val="20"/>
          <w:szCs w:val="20"/>
          <w:lang w:val="es-ES"/>
        </w:rPr>
      </w:pPr>
    </w:p>
    <w:p w14:paraId="68D2CEB6" w14:textId="77777777" w:rsidR="00E41CB5" w:rsidRPr="002D45D7" w:rsidRDefault="00E41CB5" w:rsidP="00E41CB5">
      <w:pPr>
        <w:tabs>
          <w:tab w:val="left" w:pos="709"/>
        </w:tabs>
        <w:spacing w:after="0" w:line="240" w:lineRule="auto"/>
        <w:ind w:left="709" w:right="709"/>
        <w:jc w:val="both"/>
        <w:rPr>
          <w:rFonts w:ascii="Verdana" w:eastAsia="Calibri" w:hAnsi="Verdana" w:cs="Arial"/>
          <w:sz w:val="20"/>
          <w:szCs w:val="20"/>
          <w:lang w:val="es-MX"/>
        </w:rPr>
      </w:pPr>
      <w:r w:rsidRPr="002D45D7">
        <w:rPr>
          <w:rFonts w:ascii="Verdana" w:eastAsia="Calibri" w:hAnsi="Verdana" w:cs="Arial"/>
          <w:sz w:val="20"/>
          <w:szCs w:val="20"/>
          <w:lang w:val="es-MX"/>
        </w:rPr>
        <w:t xml:space="preserve">“Solicitamos orientación sobre la interpretación del artículo 2.2.1.2.4.2.7.4 del Decreto 1082 de 2015, modificado por el Decreto 287 </w:t>
      </w:r>
      <w:r w:rsidRPr="002D45D7">
        <w:rPr>
          <w:rFonts w:ascii="Verdana" w:eastAsia="Calibri" w:hAnsi="Verdana" w:cs="Arial"/>
          <w:sz w:val="20"/>
          <w:szCs w:val="20"/>
          <w:lang w:val="es-MX"/>
        </w:rPr>
        <w:lastRenderedPageBreak/>
        <w:t>de 2026. La norma exige para la verificación de la vinculación de personas con discapacidad: (i) certificación del representante legal y revisor fiscal o contador con sus respectivos soportes, y (</w:t>
      </w:r>
      <w:proofErr w:type="spellStart"/>
      <w:r w:rsidRPr="002D45D7">
        <w:rPr>
          <w:rFonts w:ascii="Verdana" w:eastAsia="Calibri" w:hAnsi="Verdana" w:cs="Arial"/>
          <w:sz w:val="20"/>
          <w:szCs w:val="20"/>
          <w:lang w:val="es-MX"/>
        </w:rPr>
        <w:t>ii</w:t>
      </w:r>
      <w:proofErr w:type="spellEnd"/>
      <w:r w:rsidRPr="002D45D7">
        <w:rPr>
          <w:rFonts w:ascii="Verdana" w:eastAsia="Calibri" w:hAnsi="Verdana" w:cs="Arial"/>
          <w:sz w:val="20"/>
          <w:szCs w:val="20"/>
          <w:lang w:val="es-MX"/>
        </w:rPr>
        <w:t xml:space="preserve">) certificado expedido por el Ministerio del Trabajo. </w:t>
      </w:r>
    </w:p>
    <w:p w14:paraId="7A510EC1" w14:textId="77777777" w:rsidR="00E41CB5" w:rsidRPr="002D45D7" w:rsidRDefault="00E41CB5" w:rsidP="00E41CB5">
      <w:pPr>
        <w:tabs>
          <w:tab w:val="left" w:pos="709"/>
        </w:tabs>
        <w:spacing w:after="0" w:line="240" w:lineRule="auto"/>
        <w:ind w:left="709" w:right="709"/>
        <w:jc w:val="both"/>
        <w:rPr>
          <w:rFonts w:ascii="Verdana" w:eastAsia="Calibri" w:hAnsi="Verdana" w:cs="Arial"/>
          <w:sz w:val="20"/>
          <w:szCs w:val="20"/>
          <w:lang w:val="es-MX"/>
        </w:rPr>
      </w:pPr>
      <w:r w:rsidRPr="002D45D7">
        <w:rPr>
          <w:rFonts w:ascii="Verdana" w:eastAsia="Calibri" w:hAnsi="Verdana" w:cs="Arial"/>
          <w:sz w:val="20"/>
          <w:szCs w:val="20"/>
          <w:lang w:val="es-MX"/>
        </w:rPr>
        <w:t>¿Estos documentos constituyen requisitos concurrentes que deben aportarse conjuntamente para acceder al puntaje adicional, o corresponden a mecanismos alternativos de acreditación?</w:t>
      </w:r>
    </w:p>
    <w:p w14:paraId="12AFFEDF" w14:textId="77777777" w:rsidR="00E41CB5" w:rsidRPr="002D45D7" w:rsidRDefault="00E41CB5" w:rsidP="00E41CB5">
      <w:pPr>
        <w:tabs>
          <w:tab w:val="left" w:pos="709"/>
        </w:tabs>
        <w:spacing w:after="0" w:line="240" w:lineRule="auto"/>
        <w:ind w:left="709" w:right="709"/>
        <w:jc w:val="both"/>
        <w:rPr>
          <w:rFonts w:ascii="Verdana" w:eastAsia="Calibri" w:hAnsi="Verdana" w:cs="Arial"/>
          <w:sz w:val="20"/>
          <w:szCs w:val="20"/>
          <w:lang w:val="es-MX"/>
        </w:rPr>
      </w:pPr>
      <w:r w:rsidRPr="002D45D7">
        <w:rPr>
          <w:rFonts w:ascii="Verdana" w:eastAsia="Calibri" w:hAnsi="Verdana" w:cs="Arial"/>
          <w:sz w:val="20"/>
          <w:szCs w:val="20"/>
          <w:lang w:val="es-MX"/>
        </w:rPr>
        <w:t>Adicionalmente, si el certificado vigente del Ministerio del Trabajo registra una planta de 102 trabajadores con 3 personas con discapacidad, pero la realidad actual de la empresa es de 92 trabajadores con las mismas 3 personas con discapacidad, y desde marzo de 2026 se solicitó la actualización sin obtener respuesta, ¿puede el proponente acreditar la situación real mediante certificación y soportes exigidos?” [sic]</w:t>
      </w:r>
    </w:p>
    <w:p w14:paraId="04D17520" w14:textId="77777777" w:rsidR="00E41CB5" w:rsidRPr="002D45D7" w:rsidRDefault="00E41CB5" w:rsidP="00E41CB5">
      <w:pPr>
        <w:tabs>
          <w:tab w:val="left" w:pos="142"/>
          <w:tab w:val="left" w:pos="284"/>
        </w:tabs>
        <w:spacing w:line="276" w:lineRule="auto"/>
        <w:contextualSpacing/>
        <w:jc w:val="both"/>
        <w:rPr>
          <w:rFonts w:ascii="Verdana" w:eastAsia="Century Gothic" w:hAnsi="Verdana" w:cs="Century Gothic"/>
          <w:b/>
          <w:bCs/>
          <w:lang w:val="es-ES"/>
        </w:rPr>
      </w:pPr>
    </w:p>
    <w:p w14:paraId="7287045E" w14:textId="77777777" w:rsidR="00E41CB5" w:rsidRPr="002D45D7" w:rsidRDefault="00E41CB5" w:rsidP="00E41CB5">
      <w:pPr>
        <w:spacing w:after="120" w:line="276" w:lineRule="auto"/>
        <w:ind w:firstLine="709"/>
        <w:jc w:val="both"/>
        <w:rPr>
          <w:rFonts w:ascii="Verdana" w:eastAsia="Calibri" w:hAnsi="Verdana" w:cs="Arial"/>
          <w:szCs w:val="24"/>
          <w:lang w:val="es-ES_tradnl" w:eastAsia="es-ES_tradnl"/>
        </w:rPr>
      </w:pPr>
      <w:r w:rsidRPr="002D45D7">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2D45D7">
        <w:rPr>
          <w:rFonts w:ascii="Verdana" w:eastAsia="Calibri" w:hAnsi="Verdana" w:cs="Arial"/>
          <w:szCs w:val="24"/>
          <w:lang w:val="es-ES_tradnl" w:eastAsia="es-ES_tradnl"/>
        </w:rPr>
        <w:tab/>
      </w:r>
    </w:p>
    <w:p w14:paraId="40BF8FBF" w14:textId="77777777" w:rsidR="00E41CB5" w:rsidRPr="002D45D7" w:rsidRDefault="00E41CB5" w:rsidP="00E41CB5">
      <w:pPr>
        <w:spacing w:after="0" w:line="276" w:lineRule="auto"/>
        <w:ind w:firstLine="709"/>
        <w:jc w:val="both"/>
        <w:rPr>
          <w:rFonts w:ascii="Verdana" w:eastAsia="Calibri" w:hAnsi="Verdana" w:cs="Arial"/>
          <w:lang w:val="es-ES" w:eastAsia="es-ES"/>
        </w:rPr>
      </w:pPr>
      <w:r w:rsidRPr="002D45D7">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0FFA6722" w14:textId="77777777" w:rsidR="00E41CB5" w:rsidRPr="002D45D7" w:rsidRDefault="00E41CB5" w:rsidP="00E41CB5">
      <w:pPr>
        <w:spacing w:after="0" w:line="276" w:lineRule="auto"/>
        <w:ind w:firstLine="709"/>
        <w:jc w:val="both"/>
        <w:rPr>
          <w:rFonts w:ascii="Verdana" w:eastAsia="Calibri" w:hAnsi="Verdana" w:cs="Arial"/>
          <w:lang w:val="es-ES" w:eastAsia="es-ES"/>
        </w:rPr>
      </w:pPr>
    </w:p>
    <w:p w14:paraId="1453478A" w14:textId="77777777" w:rsidR="00E41CB5" w:rsidRPr="002D45D7" w:rsidRDefault="00E41CB5" w:rsidP="00E41CB5">
      <w:pPr>
        <w:widowControl w:val="0"/>
        <w:autoSpaceDE w:val="0"/>
        <w:autoSpaceDN w:val="0"/>
        <w:spacing w:before="1" w:after="0" w:line="240" w:lineRule="auto"/>
        <w:ind w:left="360" w:hanging="360"/>
        <w:jc w:val="both"/>
        <w:outlineLvl w:val="0"/>
        <w:rPr>
          <w:rFonts w:ascii="Verdana" w:eastAsia="Arial" w:hAnsi="Verdana" w:cs="Arial"/>
          <w:b/>
          <w:bCs/>
          <w:lang w:val="es-ES"/>
        </w:rPr>
      </w:pPr>
      <w:r w:rsidRPr="002D45D7">
        <w:rPr>
          <w:rFonts w:ascii="Verdana" w:eastAsia="Arial" w:hAnsi="Verdana" w:cs="Arial"/>
          <w:b/>
          <w:bCs/>
          <w:lang w:val="es-ES"/>
        </w:rPr>
        <w:t>1. Problema planteado:</w:t>
      </w:r>
    </w:p>
    <w:p w14:paraId="59EC37D9" w14:textId="77777777" w:rsidR="00E41CB5" w:rsidRPr="002D45D7" w:rsidRDefault="00E41CB5" w:rsidP="00E41CB5">
      <w:pPr>
        <w:tabs>
          <w:tab w:val="left" w:pos="426"/>
        </w:tabs>
        <w:spacing w:after="0" w:line="276" w:lineRule="auto"/>
        <w:jc w:val="both"/>
        <w:rPr>
          <w:rFonts w:ascii="Verdana" w:eastAsia="Century Gothic" w:hAnsi="Verdana" w:cs="Century Gothic"/>
          <w:lang w:val="es-ES"/>
        </w:rPr>
      </w:pPr>
    </w:p>
    <w:p w14:paraId="56275AF2" w14:textId="77777777" w:rsidR="00E41CB5" w:rsidRPr="002D45D7" w:rsidRDefault="00E41CB5" w:rsidP="00E41CB5">
      <w:pPr>
        <w:spacing w:after="0" w:line="276" w:lineRule="auto"/>
        <w:jc w:val="both"/>
        <w:rPr>
          <w:rFonts w:ascii="Verdana" w:eastAsia="Century Gothic" w:hAnsi="Verdana" w:cs="Century Gothic"/>
        </w:rPr>
      </w:pPr>
      <w:r w:rsidRPr="002D45D7">
        <w:rPr>
          <w:rFonts w:ascii="Verdana" w:eastAsia="Century Gothic" w:hAnsi="Verdana" w:cs="Century Gothic"/>
        </w:rPr>
        <w:t xml:space="preserve">De acuerdo con el contenido de su solicitud, le informamos que la misma será atendida desde el siguiente interrogante: </w:t>
      </w:r>
      <w:r w:rsidRPr="002D45D7">
        <w:rPr>
          <w:rFonts w:ascii="Verdana" w:eastAsia="Calibri" w:hAnsi="Verdana" w:cs="Arial"/>
          <w:bCs/>
          <w:lang w:val="es-ES_tradnl" w:eastAsia="es-ES_tradnl"/>
        </w:rPr>
        <w:t xml:space="preserve">¿Qué documentos debe presentar el proponente empleador de personas con discapacidad para acceder al puntaje </w:t>
      </w:r>
      <w:r w:rsidRPr="002D45D7">
        <w:rPr>
          <w:rFonts w:ascii="Verdana" w:eastAsia="Calibri" w:hAnsi="Verdana" w:cs="Arial"/>
          <w:bCs/>
          <w:lang w:val="es-ES_tradnl" w:eastAsia="es-ES_tradnl"/>
        </w:rPr>
        <w:lastRenderedPageBreak/>
        <w:t>adicional de 2% al que se refiere el artículo</w:t>
      </w:r>
      <w:r w:rsidRPr="002D45D7">
        <w:rPr>
          <w:rFonts w:ascii="Verdana" w:eastAsia="Calibri" w:hAnsi="Verdana" w:cs="Arial"/>
          <w:bCs/>
          <w:lang w:eastAsia="es-ES_tradnl"/>
        </w:rPr>
        <w:t xml:space="preserve"> </w:t>
      </w:r>
      <w:r w:rsidRPr="002D45D7">
        <w:rPr>
          <w:rFonts w:ascii="Verdana" w:eastAsia="Calibri" w:hAnsi="Verdana" w:cs="Arial"/>
          <w:lang w:eastAsia="es-ES_tradnl"/>
        </w:rPr>
        <w:t>2.2.1.2.4.2.7.4</w:t>
      </w:r>
      <w:r w:rsidRPr="002D45D7">
        <w:rPr>
          <w:rFonts w:ascii="Verdana" w:eastAsia="Calibri" w:hAnsi="Verdana" w:cs="Arial"/>
          <w:b/>
          <w:bCs/>
          <w:lang w:eastAsia="es-ES_tradnl"/>
        </w:rPr>
        <w:t xml:space="preserve"> </w:t>
      </w:r>
      <w:r w:rsidRPr="002D45D7">
        <w:rPr>
          <w:rFonts w:ascii="Verdana" w:eastAsia="Calibri" w:hAnsi="Verdana" w:cs="Arial"/>
          <w:bCs/>
          <w:lang w:eastAsia="es-ES_tradnl"/>
        </w:rPr>
        <w:t>del Decreto 1082 de 2015</w:t>
      </w:r>
      <w:r w:rsidRPr="002D45D7">
        <w:rPr>
          <w:rFonts w:ascii="Verdana" w:eastAsia="Calibri" w:hAnsi="Verdana" w:cs="Arial"/>
          <w:bCs/>
          <w:lang w:val="es-ES_tradnl" w:eastAsia="es-ES_tradnl"/>
        </w:rPr>
        <w:t>?</w:t>
      </w:r>
    </w:p>
    <w:p w14:paraId="3ED8CAF5" w14:textId="77777777" w:rsidR="00E41CB5" w:rsidRPr="002D45D7" w:rsidRDefault="00E41CB5" w:rsidP="00E41CB5">
      <w:pPr>
        <w:spacing w:after="0" w:line="276" w:lineRule="auto"/>
        <w:jc w:val="both"/>
        <w:rPr>
          <w:rFonts w:ascii="Verdana" w:eastAsia="Calibri" w:hAnsi="Verdana" w:cs="Arial"/>
          <w:lang w:val="es-ES"/>
        </w:rPr>
      </w:pPr>
      <w:bookmarkStart w:id="1" w:name="_Hlk171070029"/>
    </w:p>
    <w:bookmarkEnd w:id="1"/>
    <w:p w14:paraId="1DEEF910" w14:textId="77777777" w:rsidR="00E41CB5" w:rsidRPr="002D45D7" w:rsidRDefault="00E41CB5" w:rsidP="00E41CB5">
      <w:pPr>
        <w:widowControl w:val="0"/>
        <w:autoSpaceDE w:val="0"/>
        <w:autoSpaceDN w:val="0"/>
        <w:spacing w:before="1" w:after="0" w:line="240" w:lineRule="auto"/>
        <w:jc w:val="both"/>
        <w:outlineLvl w:val="0"/>
        <w:rPr>
          <w:rFonts w:ascii="Verdana" w:eastAsia="Arial" w:hAnsi="Verdana" w:cs="Arial"/>
          <w:b/>
          <w:bCs/>
          <w:lang w:val="es-ES"/>
        </w:rPr>
      </w:pPr>
      <w:r w:rsidRPr="002D45D7">
        <w:rPr>
          <w:rFonts w:ascii="Verdana" w:eastAsia="Arial" w:hAnsi="Verdana" w:cs="Arial"/>
          <w:b/>
          <w:bCs/>
          <w:lang w:val="es-ES"/>
        </w:rPr>
        <w:t>2. Respuesta:</w:t>
      </w:r>
    </w:p>
    <w:p w14:paraId="73D5AF67" w14:textId="77777777" w:rsidR="00E41CB5" w:rsidRPr="002D45D7" w:rsidRDefault="00E41CB5" w:rsidP="00E41CB5">
      <w:pPr>
        <w:spacing w:after="0"/>
        <w:rPr>
          <w:rFonts w:ascii="Verdana" w:eastAsia="Aptos" w:hAnsi="Verdana" w:cs="Times New Roman"/>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E41CB5" w:rsidRPr="002D45D7" w14:paraId="6F704BE6" w14:textId="77777777" w:rsidTr="007D74F3">
        <w:tc>
          <w:tcPr>
            <w:tcW w:w="8828" w:type="dxa"/>
          </w:tcPr>
          <w:p w14:paraId="67B70564" w14:textId="77777777" w:rsidR="00E41CB5" w:rsidRPr="002D45D7" w:rsidRDefault="00E41CB5" w:rsidP="007D74F3">
            <w:pPr>
              <w:spacing w:after="120" w:line="276" w:lineRule="auto"/>
              <w:jc w:val="both"/>
              <w:rPr>
                <w:rFonts w:ascii="Verdana" w:eastAsia="Times New Roman" w:hAnsi="Verdana" w:cs="Times New Roman"/>
              </w:rPr>
            </w:pPr>
            <w:bookmarkStart w:id="2" w:name="_Hlk171067516"/>
            <w:r w:rsidRPr="002D45D7">
              <w:rPr>
                <w:rFonts w:ascii="Verdana" w:eastAsia="Times New Roman" w:hAnsi="Verdana" w:cs="Times New Roman"/>
              </w:rPr>
              <w:t xml:space="preserve">Para efectos de la acreditación de la situación señalada en el numeral 2 del </w:t>
            </w:r>
            <w:r w:rsidRPr="002D45D7">
              <w:rPr>
                <w:rFonts w:ascii="Verdana" w:eastAsia="Aptos" w:hAnsi="Verdana" w:cs="Times New Roman"/>
                <w:kern w:val="2"/>
                <w14:ligatures w14:val="standardContextual"/>
              </w:rPr>
              <w:t xml:space="preserve">artículo 2.1.2.4.2.7.4 del Decreto 287 de 2026 referente al </w:t>
            </w:r>
            <w:r w:rsidRPr="002D45D7">
              <w:rPr>
                <w:rFonts w:ascii="Verdana" w:eastAsia="Times New Roman" w:hAnsi="Verdana" w:cs="Times New Roman"/>
              </w:rPr>
              <w:t xml:space="preserve">empleador de </w:t>
            </w:r>
            <w:proofErr w:type="spellStart"/>
            <w:r w:rsidRPr="002D45D7">
              <w:rPr>
                <w:rFonts w:ascii="Verdana" w:eastAsia="Times New Roman" w:hAnsi="Verdana" w:cs="Times New Roman"/>
              </w:rPr>
              <w:t>PcD</w:t>
            </w:r>
            <w:proofErr w:type="spellEnd"/>
            <w:r w:rsidRPr="002D45D7">
              <w:rPr>
                <w:rFonts w:ascii="Verdana" w:eastAsia="Times New Roman" w:hAnsi="Verdana" w:cs="Times New Roman"/>
              </w:rPr>
              <w:t>, el proponente deberá presentar: i) la certificación suscrita por el representante legal del proponente y el revisor fiscal, cuando exista, o el contador, en la que conste el número de personas con discapacidad que conforman su planta de personal que deberá relacionar el nombre completo y el número de documento de identidad de cada una de las personas con discapacidad.</w:t>
            </w:r>
            <w:r w:rsidRPr="002D45D7">
              <w:rPr>
                <w:rFonts w:ascii="Verdana" w:eastAsia="Aptos" w:hAnsi="Verdana" w:cs="Times New Roman"/>
                <w:kern w:val="2"/>
                <w14:ligatures w14:val="standardContextual"/>
              </w:rPr>
              <w:t xml:space="preserve"> Dicho documento además debe relacionar los respectivos documentos de identidad, copia de los contratos de trabajo o certificación laboral con las funciones, sin que se puedan relacionar contratos de prestación de servicios, así como el certificado de aportes a seguridad social de los últimos tres (3) meses en el que se demuestren los pagos realizados por el empleador, y el certificado de discapacidad expedido conforme a la normativa vigente del Ministerio de Salud y Protección Social. </w:t>
            </w:r>
            <w:r w:rsidRPr="002D45D7">
              <w:rPr>
                <w:rFonts w:ascii="Verdana" w:eastAsia="Times New Roman" w:hAnsi="Verdana" w:cs="Times New Roman"/>
              </w:rPr>
              <w:t xml:space="preserve">Y </w:t>
            </w:r>
            <w:proofErr w:type="spellStart"/>
            <w:r w:rsidRPr="002D45D7">
              <w:rPr>
                <w:rFonts w:ascii="Verdana" w:eastAsia="Times New Roman" w:hAnsi="Verdana" w:cs="Times New Roman"/>
              </w:rPr>
              <w:t>ii</w:t>
            </w:r>
            <w:proofErr w:type="spellEnd"/>
            <w:r w:rsidRPr="002D45D7">
              <w:rPr>
                <w:rFonts w:ascii="Verdana" w:eastAsia="Times New Roman" w:hAnsi="Verdana" w:cs="Times New Roman"/>
              </w:rPr>
              <w:t xml:space="preserve">) el certificado que para el efecto expide el Ministerio del Trabajo, cuya vigencia deberá ser verificada por la entidad estatal, conforme a la normativa aplicable. </w:t>
            </w:r>
          </w:p>
          <w:p w14:paraId="7356BAA5" w14:textId="77777777" w:rsidR="00E41CB5" w:rsidRPr="002D45D7" w:rsidRDefault="00E41CB5" w:rsidP="007D74F3">
            <w:pPr>
              <w:widowControl w:val="0"/>
              <w:autoSpaceDE w:val="0"/>
              <w:autoSpaceDN w:val="0"/>
              <w:spacing w:after="120" w:line="276" w:lineRule="auto"/>
              <w:ind w:firstLine="708"/>
              <w:jc w:val="both"/>
              <w:rPr>
                <w:rFonts w:ascii="Verdana" w:eastAsia="Times New Roman" w:hAnsi="Verdana" w:cs="Times New Roman"/>
              </w:rPr>
            </w:pPr>
            <w:r w:rsidRPr="002D45D7">
              <w:rPr>
                <w:rFonts w:ascii="Verdana" w:eastAsia="Times New Roman" w:hAnsi="Verdana" w:cs="Times New Roman"/>
              </w:rPr>
              <w:t xml:space="preserve">Respecto de este último documento debe precisarse que la norma no determina su presentación como facultativa o alternativa de los demás soportes exigidos, sino como un requisito adicional y obligatorio para acceder al puntaje referido. En efecto, el numeral 2 señala expresamente que la verificación de estas condiciones se realizará por parte de las Entidades Estatales con base en </w:t>
            </w:r>
            <w:r w:rsidRPr="002D45D7">
              <w:rPr>
                <w:rFonts w:ascii="Verdana" w:eastAsia="Times New Roman" w:hAnsi="Verdana" w:cs="Times New Roman"/>
                <w:i/>
                <w:iCs/>
              </w:rPr>
              <w:t xml:space="preserve">“los siguientes documentos” </w:t>
            </w:r>
            <w:r w:rsidRPr="002D45D7">
              <w:rPr>
                <w:rFonts w:ascii="Verdana" w:eastAsia="Times New Roman" w:hAnsi="Verdana" w:cs="Times New Roman"/>
              </w:rPr>
              <w:t>incluyendo dentro de esta enunciación al certificado expedido por el Ministerio de Trabajo.</w:t>
            </w:r>
            <w:r w:rsidRPr="002D45D7">
              <w:rPr>
                <w:rFonts w:ascii="Verdana" w:hAnsi="Verdana"/>
              </w:rPr>
              <w:t xml:space="preserve"> </w:t>
            </w:r>
            <w:r w:rsidRPr="002D45D7">
              <w:rPr>
                <w:rFonts w:ascii="Verdana" w:eastAsia="Times New Roman" w:hAnsi="Verdana" w:cs="Times New Roman"/>
              </w:rPr>
              <w:t>Esta expresión evidencia que el reglamento no concibió los documentos como opciones excluyentes entre sí, de manera que el proponente pudiera acreditar la condición con uno u otro soporte indistintamente. Por el contrario, de la redacción de la norma se entiende que estos documentos deben acreditarse en conjunto, en tanto constituyen los medios de acreditación definidos por la disposición para verificar el cumplimiento de las condiciones requeridas.</w:t>
            </w:r>
          </w:p>
          <w:p w14:paraId="61434CAB" w14:textId="77777777" w:rsidR="00E41CB5" w:rsidRPr="002D45D7" w:rsidRDefault="00E41CB5" w:rsidP="007D74F3">
            <w:pPr>
              <w:widowControl w:val="0"/>
              <w:autoSpaceDE w:val="0"/>
              <w:autoSpaceDN w:val="0"/>
              <w:spacing w:after="120" w:line="276" w:lineRule="auto"/>
              <w:ind w:firstLine="708"/>
              <w:jc w:val="both"/>
              <w:rPr>
                <w:rFonts w:ascii="Verdana" w:eastAsia="Times New Roman" w:hAnsi="Verdana" w:cs="Times New Roman"/>
                <w:i/>
                <w:iCs/>
              </w:rPr>
            </w:pPr>
            <w:r w:rsidRPr="002D45D7">
              <w:rPr>
                <w:rFonts w:ascii="Verdana" w:eastAsia="Times New Roman" w:hAnsi="Verdana" w:cs="Times New Roman"/>
              </w:rPr>
              <w:t xml:space="preserve">Lo anterior es congruente con lo dispuesto en la parte considerativa del Decreto 287 de 2026, que señala que “en aras de garantizar los derechos y </w:t>
            </w:r>
            <w:r w:rsidRPr="002D45D7">
              <w:rPr>
                <w:rFonts w:ascii="Verdana" w:eastAsia="Times New Roman" w:hAnsi="Verdana" w:cs="Times New Roman"/>
              </w:rPr>
              <w:lastRenderedPageBreak/>
              <w:t xml:space="preserve">garantías laborales de las personas con discapacidad, para acceder a los incentivos establecidos en el presente proyecto de decreto se </w:t>
            </w:r>
            <w:r w:rsidRPr="002D45D7">
              <w:rPr>
                <w:rFonts w:ascii="Verdana" w:eastAsia="Times New Roman" w:hAnsi="Verdana" w:cs="Times New Roman"/>
                <w:i/>
                <w:iCs/>
              </w:rPr>
              <w:t xml:space="preserve">mantendrá el Certificado a los Empleadores que contraten personas con discapacidad que expide el Ministerio del Trabajo”. </w:t>
            </w:r>
          </w:p>
          <w:p w14:paraId="6DE1185B" w14:textId="77777777" w:rsidR="00E41CB5" w:rsidRPr="002D45D7" w:rsidRDefault="00E41CB5" w:rsidP="007D74F3">
            <w:pPr>
              <w:widowControl w:val="0"/>
              <w:autoSpaceDE w:val="0"/>
              <w:autoSpaceDN w:val="0"/>
              <w:spacing w:after="120" w:line="276" w:lineRule="auto"/>
              <w:ind w:firstLine="743"/>
              <w:jc w:val="both"/>
              <w:rPr>
                <w:rFonts w:ascii="Verdana" w:eastAsia="Times New Roman" w:hAnsi="Verdana" w:cs="Times New Roman"/>
              </w:rPr>
            </w:pPr>
            <w:r w:rsidRPr="002D45D7">
              <w:rPr>
                <w:rFonts w:ascii="Verdana" w:eastAsia="Times New Roman" w:hAnsi="Verdana" w:cs="Times New Roman"/>
              </w:rPr>
              <w:t xml:space="preserve">En consecuencia, para acceder al puntaje adicional del 2% el proponente deberá aportar de manera conjunta, el certificado </w:t>
            </w:r>
            <w:r w:rsidRPr="002D45D7">
              <w:rPr>
                <w:rFonts w:ascii="Verdana" w:eastAsia="Aptos" w:hAnsi="Verdana" w:cs="Times New Roman"/>
                <w:kern w:val="2"/>
                <w14:ligatures w14:val="standardContextual"/>
              </w:rPr>
              <w:t xml:space="preserve">de discapacidad expedido conforme a la normativa vigente del Ministerio de Salud y Protección Social, el certificado expedido por el Ministerio de Trabajo y los demás documentos previstos en el </w:t>
            </w:r>
            <w:r w:rsidRPr="002D45D7">
              <w:rPr>
                <w:rFonts w:ascii="Verdana" w:eastAsia="Times New Roman" w:hAnsi="Verdana" w:cs="Times New Roman"/>
              </w:rPr>
              <w:t xml:space="preserve">artículo 2.2.1.2.4.2.7.4 del Decreto 287 de 2026. De esta manera, la omisión en la presentación de cualquiera de dichos documentos para el cierre del proceso da lugar a que el proponente no sea acreedor del puntaje adicional previsto en la norma, por tratarse de documentos que otorgan puntaje. </w:t>
            </w:r>
          </w:p>
        </w:tc>
      </w:tr>
      <w:bookmarkEnd w:id="2"/>
    </w:tbl>
    <w:p w14:paraId="421CA5AC" w14:textId="77777777" w:rsidR="00E41CB5" w:rsidRPr="002D45D7" w:rsidRDefault="00E41CB5" w:rsidP="00E41CB5">
      <w:pPr>
        <w:tabs>
          <w:tab w:val="left" w:pos="142"/>
          <w:tab w:val="left" w:pos="967"/>
        </w:tabs>
        <w:spacing w:after="0" w:line="276" w:lineRule="auto"/>
        <w:jc w:val="both"/>
        <w:rPr>
          <w:rFonts w:ascii="Verdana" w:eastAsia="Century Gothic" w:hAnsi="Verdana" w:cs="Century Gothic"/>
          <w:b/>
          <w:bCs/>
          <w:lang w:val="es-ES"/>
        </w:rPr>
      </w:pPr>
    </w:p>
    <w:p w14:paraId="600C9FB5" w14:textId="77777777" w:rsidR="00E41CB5" w:rsidRPr="002D45D7" w:rsidRDefault="00E41CB5" w:rsidP="00E41CB5">
      <w:pPr>
        <w:widowControl w:val="0"/>
        <w:autoSpaceDE w:val="0"/>
        <w:autoSpaceDN w:val="0"/>
        <w:spacing w:before="1" w:after="0" w:line="240" w:lineRule="auto"/>
        <w:ind w:left="360" w:hanging="360"/>
        <w:outlineLvl w:val="0"/>
        <w:rPr>
          <w:rFonts w:ascii="Verdana" w:eastAsia="Arial" w:hAnsi="Verdana" w:cs="Arial"/>
          <w:b/>
          <w:bCs/>
          <w:lang w:val="es-ES"/>
        </w:rPr>
      </w:pPr>
      <w:r w:rsidRPr="002D45D7">
        <w:rPr>
          <w:rFonts w:ascii="Verdana" w:eastAsia="Arial" w:hAnsi="Verdana" w:cs="Arial"/>
          <w:b/>
          <w:bCs/>
          <w:lang w:val="es-ES"/>
        </w:rPr>
        <w:t>3. Razones de la respuesta</w:t>
      </w:r>
    </w:p>
    <w:p w14:paraId="5F57D5FE" w14:textId="77777777" w:rsidR="00E41CB5" w:rsidRPr="002D45D7" w:rsidRDefault="00E41CB5" w:rsidP="00E41CB5">
      <w:pPr>
        <w:spacing w:after="0" w:line="276" w:lineRule="auto"/>
        <w:jc w:val="both"/>
        <w:rPr>
          <w:rFonts w:ascii="Verdana" w:eastAsia="Calibri" w:hAnsi="Verdana" w:cs="Arial"/>
          <w:lang w:val="es-ES"/>
        </w:rPr>
      </w:pPr>
    </w:p>
    <w:p w14:paraId="47B9590D" w14:textId="77777777" w:rsidR="00E41CB5" w:rsidRPr="002D45D7" w:rsidRDefault="00E41CB5" w:rsidP="00E41CB5">
      <w:pPr>
        <w:spacing w:after="0" w:line="276" w:lineRule="auto"/>
        <w:jc w:val="both"/>
        <w:rPr>
          <w:rFonts w:ascii="Verdana" w:eastAsia="Calibri" w:hAnsi="Verdana" w:cs="Arial"/>
          <w:lang w:val="es-ES"/>
        </w:rPr>
      </w:pPr>
      <w:r w:rsidRPr="002D45D7">
        <w:rPr>
          <w:rFonts w:ascii="Verdana" w:eastAsia="Calibri" w:hAnsi="Verdana" w:cs="Arial"/>
          <w:lang w:val="es-ES"/>
        </w:rPr>
        <w:t xml:space="preserve">Lo anterior se sustenta en las siguientes consideraciones: </w:t>
      </w:r>
    </w:p>
    <w:p w14:paraId="2C9A1127" w14:textId="77777777" w:rsidR="00E41CB5" w:rsidRPr="002D45D7" w:rsidRDefault="00E41CB5" w:rsidP="00E41CB5">
      <w:pPr>
        <w:widowControl w:val="0"/>
        <w:autoSpaceDE w:val="0"/>
        <w:autoSpaceDN w:val="0"/>
        <w:spacing w:after="0" w:line="276" w:lineRule="auto"/>
        <w:jc w:val="both"/>
        <w:rPr>
          <w:rFonts w:ascii="Verdana" w:eastAsia="Aptos" w:hAnsi="Verdana" w:cs="Times New Roman"/>
          <w:kern w:val="2"/>
          <w:sz w:val="24"/>
          <w:szCs w:val="24"/>
          <w14:ligatures w14:val="standardContextual"/>
        </w:rPr>
      </w:pPr>
      <w:bookmarkStart w:id="3" w:name="_Hlk113022941"/>
    </w:p>
    <w:p w14:paraId="2D90DF4F" w14:textId="77777777" w:rsidR="00E41CB5" w:rsidRPr="002D45D7" w:rsidRDefault="00E41CB5" w:rsidP="00E41CB5">
      <w:pPr>
        <w:spacing w:after="120" w:line="276" w:lineRule="auto"/>
        <w:jc w:val="both"/>
        <w:rPr>
          <w:rFonts w:ascii="Verdana" w:hAnsi="Verdana"/>
        </w:rPr>
      </w:pPr>
      <w:r w:rsidRPr="002D45D7">
        <w:rPr>
          <w:rFonts w:ascii="Verdana" w:eastAsia="Aptos" w:hAnsi="Verdana" w:cs="Times New Roman"/>
          <w:kern w:val="2"/>
          <w14:ligatures w14:val="standardContextual"/>
        </w:rPr>
        <w:t xml:space="preserve">i. </w:t>
      </w:r>
      <w:r w:rsidRPr="002D45D7">
        <w:rPr>
          <w:rFonts w:ascii="Verdana" w:eastAsia="Times New Roman" w:hAnsi="Verdana" w:cs="Times New Roman"/>
        </w:rPr>
        <w:t>El fundamento del Sistema de Preferencias para Personas con Discapacidad (</w:t>
      </w:r>
      <w:proofErr w:type="spellStart"/>
      <w:r w:rsidRPr="002D45D7">
        <w:rPr>
          <w:rFonts w:ascii="Verdana" w:eastAsia="Times New Roman" w:hAnsi="Verdana" w:cs="Times New Roman"/>
        </w:rPr>
        <w:t>PcD</w:t>
      </w:r>
      <w:proofErr w:type="spellEnd"/>
      <w:r w:rsidRPr="002D45D7">
        <w:rPr>
          <w:rFonts w:ascii="Verdana" w:eastAsia="Times New Roman" w:hAnsi="Verdana" w:cs="Times New Roman"/>
        </w:rPr>
        <w:t>) en la contratación pública es el principio de igualdad real y efectiva consagrado en el artículo 13 de la Constitución Política de 1991</w:t>
      </w:r>
      <w:r w:rsidRPr="002D45D7">
        <w:rPr>
          <w:rStyle w:val="Refdenotaalpie"/>
          <w:rFonts w:ascii="Verdana" w:eastAsia="Times New Roman" w:hAnsi="Verdana" w:cs="Times New Roman"/>
        </w:rPr>
        <w:footnoteReference w:id="1"/>
      </w:r>
      <w:r w:rsidRPr="002D45D7">
        <w:rPr>
          <w:rFonts w:ascii="Verdana" w:eastAsia="Times New Roman" w:hAnsi="Verdana" w:cs="Times New Roman"/>
        </w:rPr>
        <w:t xml:space="preserve">, que impone al Estado el deber positivo de adoptar </w:t>
      </w:r>
      <w:r w:rsidRPr="002D45D7">
        <w:rPr>
          <w:rFonts w:ascii="Verdana" w:eastAsia="Times New Roman" w:hAnsi="Verdana" w:cs="Times New Roman"/>
          <w:i/>
          <w:iCs/>
        </w:rPr>
        <w:t>acciones afirmativas</w:t>
      </w:r>
      <w:r w:rsidRPr="002D45D7">
        <w:rPr>
          <w:rFonts w:ascii="Verdana" w:eastAsia="Times New Roman" w:hAnsi="Verdana" w:cs="Times New Roman"/>
        </w:rPr>
        <w:t xml:space="preserve"> en favor de grupos históricamente excluidos. La Corte Constitucional ha sostenido que tales medidas buscan contrarrestar los efectos de la discriminación y que el Estado puede establecer tratamientos diferenciales a favor de estos grupos en aras de lograr una igualdad real y efectiva. Los artículos 47 y 54 de la Carta Política refuerzan este mandato al ordenar políticas de integración social y ubicación laboral para las </w:t>
      </w:r>
      <w:proofErr w:type="spellStart"/>
      <w:r w:rsidRPr="002D45D7">
        <w:rPr>
          <w:rFonts w:ascii="Verdana" w:eastAsia="Times New Roman" w:hAnsi="Verdana" w:cs="Times New Roman"/>
        </w:rPr>
        <w:t>PcD</w:t>
      </w:r>
      <w:proofErr w:type="spellEnd"/>
      <w:r w:rsidRPr="002D45D7">
        <w:rPr>
          <w:rStyle w:val="Refdenotaalpie"/>
          <w:rFonts w:ascii="Verdana" w:eastAsia="Times New Roman" w:hAnsi="Verdana" w:cs="Times New Roman"/>
        </w:rPr>
        <w:footnoteReference w:id="2"/>
      </w:r>
      <w:r w:rsidRPr="002D45D7">
        <w:rPr>
          <w:rFonts w:ascii="Verdana" w:eastAsia="Times New Roman" w:hAnsi="Verdana" w:cs="Times New Roman"/>
        </w:rPr>
        <w:t>.</w:t>
      </w:r>
    </w:p>
    <w:p w14:paraId="29D3A0E2" w14:textId="77777777" w:rsidR="00E41CB5" w:rsidRPr="002D45D7" w:rsidRDefault="00E41CB5" w:rsidP="00E41CB5">
      <w:pPr>
        <w:spacing w:after="120" w:line="276" w:lineRule="auto"/>
        <w:ind w:firstLine="708"/>
        <w:jc w:val="both"/>
        <w:rPr>
          <w:rFonts w:ascii="Verdana" w:hAnsi="Verdana"/>
        </w:rPr>
      </w:pPr>
      <w:r w:rsidRPr="002D45D7">
        <w:rPr>
          <w:rFonts w:ascii="Verdana" w:eastAsia="Times New Roman" w:hAnsi="Verdana" w:cs="Times New Roman"/>
        </w:rPr>
        <w:lastRenderedPageBreak/>
        <w:t>En el plano internacional, Colombia es Estado Parte de instrumentos que conforman el Bloque de Constitucionalidad en virtud del artículo 93 superior. La Convención sobre los Derechos de las Personas con Discapacidad de la ONU</w:t>
      </w:r>
      <w:r w:rsidRPr="002D45D7">
        <w:rPr>
          <w:rStyle w:val="Refdenotaalpie"/>
          <w:rFonts w:ascii="Verdana" w:eastAsia="Times New Roman" w:hAnsi="Verdana" w:cs="Times New Roman"/>
        </w:rPr>
        <w:footnoteReference w:id="3"/>
      </w:r>
      <w:r w:rsidRPr="002D45D7">
        <w:rPr>
          <w:rFonts w:ascii="Verdana" w:eastAsia="Times New Roman" w:hAnsi="Verdana" w:cs="Times New Roman"/>
        </w:rPr>
        <w:t xml:space="preserve"> reconoce el derecho de las </w:t>
      </w:r>
      <w:proofErr w:type="spellStart"/>
      <w:r w:rsidRPr="002D45D7">
        <w:rPr>
          <w:rFonts w:ascii="Verdana" w:eastAsia="Times New Roman" w:hAnsi="Verdana" w:cs="Times New Roman"/>
        </w:rPr>
        <w:t>PcD</w:t>
      </w:r>
      <w:proofErr w:type="spellEnd"/>
      <w:r w:rsidRPr="002D45D7">
        <w:rPr>
          <w:rFonts w:ascii="Verdana" w:eastAsia="Times New Roman" w:hAnsi="Verdana" w:cs="Times New Roman"/>
        </w:rPr>
        <w:t xml:space="preserve"> a trabajar en igualdad de condiciones y exige programas de acción afirmativa. La Convención Interamericana para la Eliminación de todas las Formas de Discriminación</w:t>
      </w:r>
      <w:r w:rsidRPr="002D45D7">
        <w:rPr>
          <w:rStyle w:val="Refdenotaalpie"/>
          <w:rFonts w:ascii="Verdana" w:eastAsia="Times New Roman" w:hAnsi="Verdana" w:cs="Times New Roman"/>
        </w:rPr>
        <w:footnoteReference w:id="4"/>
      </w:r>
      <w:r w:rsidRPr="002D45D7">
        <w:rPr>
          <w:rFonts w:ascii="Verdana" w:eastAsia="Times New Roman" w:hAnsi="Verdana" w:cs="Times New Roman"/>
        </w:rPr>
        <w:t xml:space="preserve"> ordena eliminar progresivamente la discriminación en la prestación de servicios, incluido el empleo. El Convenio 159 de la OIT</w:t>
      </w:r>
      <w:r w:rsidRPr="002D45D7">
        <w:rPr>
          <w:rStyle w:val="Refdenotaalpie"/>
          <w:rFonts w:ascii="Verdana" w:eastAsia="Times New Roman" w:hAnsi="Verdana" w:cs="Times New Roman"/>
        </w:rPr>
        <w:footnoteReference w:id="5"/>
      </w:r>
      <w:r w:rsidRPr="002D45D7">
        <w:rPr>
          <w:rFonts w:ascii="Verdana" w:eastAsia="Times New Roman" w:hAnsi="Verdana" w:cs="Times New Roman"/>
        </w:rPr>
        <w:t xml:space="preserve"> exige medidas orientadas a garantizar la igualdad de oportunidades de todas las categorías de </w:t>
      </w:r>
      <w:proofErr w:type="spellStart"/>
      <w:r w:rsidRPr="002D45D7">
        <w:rPr>
          <w:rFonts w:ascii="Verdana" w:eastAsia="Times New Roman" w:hAnsi="Verdana" w:cs="Times New Roman"/>
        </w:rPr>
        <w:t>PcD</w:t>
      </w:r>
      <w:proofErr w:type="spellEnd"/>
      <w:r w:rsidRPr="002D45D7">
        <w:rPr>
          <w:rFonts w:ascii="Verdana" w:eastAsia="Times New Roman" w:hAnsi="Verdana" w:cs="Times New Roman"/>
        </w:rPr>
        <w:t xml:space="preserve"> en materia de empleo.</w:t>
      </w:r>
    </w:p>
    <w:p w14:paraId="36CFC702" w14:textId="77777777" w:rsidR="00E41CB5" w:rsidRPr="002D45D7" w:rsidRDefault="00E41CB5" w:rsidP="00E41CB5">
      <w:pPr>
        <w:spacing w:after="120" w:line="276" w:lineRule="auto"/>
        <w:jc w:val="both"/>
        <w:rPr>
          <w:rFonts w:ascii="Verdana" w:hAnsi="Verdana"/>
        </w:rPr>
      </w:pPr>
      <w:r w:rsidRPr="002D45D7">
        <w:rPr>
          <w:rFonts w:ascii="Verdana" w:eastAsia="Times New Roman" w:hAnsi="Verdana" w:cs="Times New Roman"/>
          <w:b/>
          <w:bCs/>
        </w:rPr>
        <w:t xml:space="preserve">        </w:t>
      </w:r>
      <w:r w:rsidRPr="002D45D7">
        <w:rPr>
          <w:rFonts w:ascii="Verdana" w:eastAsia="Times New Roman" w:hAnsi="Verdana" w:cs="Times New Roman"/>
        </w:rPr>
        <w:t xml:space="preserve">La Ley 361 de 1997 estableció los primeros mecanismos de integración social de las </w:t>
      </w:r>
      <w:proofErr w:type="spellStart"/>
      <w:r w:rsidRPr="002D45D7">
        <w:rPr>
          <w:rFonts w:ascii="Verdana" w:eastAsia="Times New Roman" w:hAnsi="Verdana" w:cs="Times New Roman"/>
        </w:rPr>
        <w:t>PcD</w:t>
      </w:r>
      <w:proofErr w:type="spellEnd"/>
      <w:r w:rsidRPr="002D45D7">
        <w:rPr>
          <w:rFonts w:ascii="Verdana" w:eastAsia="Times New Roman" w:hAnsi="Verdana" w:cs="Times New Roman"/>
        </w:rPr>
        <w:t xml:space="preserve">. Su artículo 24 introdujo una preferencia en igualdad de condiciones en licitaciones y adjudicaciones de contratos para los empleadores que tuvieran al menos el 10% de su nómina compuesta por </w:t>
      </w:r>
      <w:proofErr w:type="spellStart"/>
      <w:r w:rsidRPr="002D45D7">
        <w:rPr>
          <w:rFonts w:ascii="Verdana" w:eastAsia="Times New Roman" w:hAnsi="Verdana" w:cs="Times New Roman"/>
        </w:rPr>
        <w:t>PcD</w:t>
      </w:r>
      <w:proofErr w:type="spellEnd"/>
      <w:r w:rsidRPr="002D45D7">
        <w:rPr>
          <w:rStyle w:val="Refdenotaalpie"/>
          <w:rFonts w:ascii="Verdana" w:eastAsia="Times New Roman" w:hAnsi="Verdana" w:cs="Times New Roman"/>
        </w:rPr>
        <w:footnoteReference w:id="6"/>
      </w:r>
      <w:r w:rsidRPr="002D45D7">
        <w:rPr>
          <w:rFonts w:ascii="Verdana" w:eastAsia="Times New Roman" w:hAnsi="Verdana" w:cs="Times New Roman"/>
        </w:rPr>
        <w:t xml:space="preserve">. Esta norma vinculó por primera vez la contratación pública con la inclusión laboral de las </w:t>
      </w:r>
      <w:proofErr w:type="spellStart"/>
      <w:r w:rsidRPr="002D45D7">
        <w:rPr>
          <w:rFonts w:ascii="Verdana" w:eastAsia="Times New Roman" w:hAnsi="Verdana" w:cs="Times New Roman"/>
        </w:rPr>
        <w:t>PcD</w:t>
      </w:r>
      <w:proofErr w:type="spellEnd"/>
      <w:r w:rsidRPr="002D45D7">
        <w:rPr>
          <w:rFonts w:ascii="Verdana" w:eastAsia="Times New Roman" w:hAnsi="Verdana" w:cs="Times New Roman"/>
        </w:rPr>
        <w:t xml:space="preserve">, pero su alcance era limitado: una preferencia residual aplicable solo en caso de empate, que beneficiaba únicamente a los empleadores de </w:t>
      </w:r>
      <w:proofErr w:type="spellStart"/>
      <w:r w:rsidRPr="002D45D7">
        <w:rPr>
          <w:rFonts w:ascii="Verdana" w:eastAsia="Times New Roman" w:hAnsi="Verdana" w:cs="Times New Roman"/>
        </w:rPr>
        <w:t>PcD</w:t>
      </w:r>
      <w:proofErr w:type="spellEnd"/>
      <w:r w:rsidRPr="002D45D7">
        <w:rPr>
          <w:rFonts w:ascii="Verdana" w:eastAsia="Times New Roman" w:hAnsi="Verdana" w:cs="Times New Roman"/>
        </w:rPr>
        <w:t xml:space="preserve"> sin considerar a las propias </w:t>
      </w:r>
      <w:proofErr w:type="spellStart"/>
      <w:r w:rsidRPr="002D45D7">
        <w:rPr>
          <w:rFonts w:ascii="Verdana" w:eastAsia="Times New Roman" w:hAnsi="Verdana" w:cs="Times New Roman"/>
        </w:rPr>
        <w:t>PcD</w:t>
      </w:r>
      <w:proofErr w:type="spellEnd"/>
      <w:r w:rsidRPr="002D45D7">
        <w:rPr>
          <w:rFonts w:ascii="Verdana" w:eastAsia="Times New Roman" w:hAnsi="Verdana" w:cs="Times New Roman"/>
        </w:rPr>
        <w:t xml:space="preserve"> como proponentes directos.</w:t>
      </w:r>
    </w:p>
    <w:p w14:paraId="5C126773" w14:textId="77777777" w:rsidR="00E41CB5" w:rsidRPr="002D45D7" w:rsidRDefault="00E41CB5" w:rsidP="00E41CB5">
      <w:pPr>
        <w:spacing w:after="120" w:line="276" w:lineRule="auto"/>
        <w:ind w:firstLine="709"/>
        <w:jc w:val="both"/>
        <w:rPr>
          <w:rFonts w:ascii="Verdana" w:hAnsi="Verdana"/>
        </w:rPr>
      </w:pPr>
      <w:r w:rsidRPr="002D45D7">
        <w:rPr>
          <w:rFonts w:ascii="Verdana" w:eastAsia="Times New Roman" w:hAnsi="Verdana" w:cs="Times New Roman"/>
        </w:rPr>
        <w:t xml:space="preserve">La Ley Estatutaria 1618 de 2013 representó un salto cualitativo en el marco jurídico de protección de las </w:t>
      </w:r>
      <w:proofErr w:type="spellStart"/>
      <w:r w:rsidRPr="002D45D7">
        <w:rPr>
          <w:rFonts w:ascii="Verdana" w:eastAsia="Times New Roman" w:hAnsi="Verdana" w:cs="Times New Roman"/>
        </w:rPr>
        <w:t>PcD</w:t>
      </w:r>
      <w:proofErr w:type="spellEnd"/>
      <w:r w:rsidRPr="002D45D7">
        <w:rPr>
          <w:rFonts w:ascii="Verdana" w:eastAsia="Times New Roman" w:hAnsi="Verdana" w:cs="Times New Roman"/>
        </w:rPr>
        <w:t xml:space="preserve">, al definir a estas como "aquellas personas que tengan deficiencias físicas, mentales, intelectuales o sensoriales a mediano y largo plazo que, al interactuar con diversas barreras incluyendo las </w:t>
      </w:r>
      <w:r w:rsidRPr="002D45D7">
        <w:rPr>
          <w:rFonts w:ascii="Verdana" w:eastAsia="Times New Roman" w:hAnsi="Verdana" w:cs="Times New Roman"/>
        </w:rPr>
        <w:lastRenderedPageBreak/>
        <w:t>actitudinales, puedan impedir su participación plena y efectiva en la sociedad, en igualdad de condiciones con las demás"</w:t>
      </w:r>
      <w:r w:rsidRPr="002D45D7">
        <w:rPr>
          <w:rStyle w:val="Refdenotaalpie"/>
          <w:rFonts w:ascii="Verdana" w:eastAsia="Times New Roman" w:hAnsi="Verdana" w:cs="Times New Roman"/>
          <w:i/>
          <w:iCs/>
        </w:rPr>
        <w:footnoteReference w:id="7"/>
      </w:r>
      <w:r w:rsidRPr="002D45D7">
        <w:rPr>
          <w:rFonts w:ascii="Verdana" w:eastAsia="Times New Roman" w:hAnsi="Verdana" w:cs="Times New Roman"/>
          <w:i/>
          <w:iCs/>
        </w:rPr>
        <w:t>.</w:t>
      </w:r>
      <w:r w:rsidRPr="002D45D7">
        <w:rPr>
          <w:rFonts w:ascii="Verdana" w:eastAsia="Times New Roman" w:hAnsi="Verdana" w:cs="Times New Roman"/>
        </w:rPr>
        <w:t xml:space="preserve"> Su artículo 13, en los numerales 1, 7 y 8, ordenó al Gobierno Nacional reglamentar: una puntuación adicional en licitación pública, concurso de méritos y contratación directa para empresas que vinculen </w:t>
      </w:r>
      <w:proofErr w:type="spellStart"/>
      <w:r w:rsidRPr="002D45D7">
        <w:rPr>
          <w:rFonts w:ascii="Verdana" w:eastAsia="Times New Roman" w:hAnsi="Verdana" w:cs="Times New Roman"/>
        </w:rPr>
        <w:t>PcD</w:t>
      </w:r>
      <w:proofErr w:type="spellEnd"/>
      <w:r w:rsidRPr="002D45D7">
        <w:rPr>
          <w:rFonts w:ascii="Verdana" w:eastAsia="Times New Roman" w:hAnsi="Verdana" w:cs="Times New Roman"/>
        </w:rPr>
        <w:t xml:space="preserve"> y para empresas de </w:t>
      </w:r>
      <w:proofErr w:type="spellStart"/>
      <w:r w:rsidRPr="002D45D7">
        <w:rPr>
          <w:rFonts w:ascii="Verdana" w:eastAsia="Times New Roman" w:hAnsi="Verdana" w:cs="Times New Roman"/>
        </w:rPr>
        <w:t>PcD</w:t>
      </w:r>
      <w:proofErr w:type="spellEnd"/>
      <w:r w:rsidRPr="002D45D7">
        <w:rPr>
          <w:rFonts w:ascii="Verdana" w:eastAsia="Times New Roman" w:hAnsi="Verdana" w:cs="Times New Roman"/>
        </w:rPr>
        <w:t xml:space="preserve">; un sistema de preferencias para empleadores de </w:t>
      </w:r>
      <w:proofErr w:type="spellStart"/>
      <w:r w:rsidRPr="002D45D7">
        <w:rPr>
          <w:rFonts w:ascii="Verdana" w:eastAsia="Times New Roman" w:hAnsi="Verdana" w:cs="Times New Roman"/>
        </w:rPr>
        <w:t>PcD</w:t>
      </w:r>
      <w:proofErr w:type="spellEnd"/>
      <w:r w:rsidRPr="002D45D7">
        <w:rPr>
          <w:rFonts w:ascii="Verdana" w:eastAsia="Times New Roman" w:hAnsi="Verdana" w:cs="Times New Roman"/>
        </w:rPr>
        <w:t xml:space="preserve"> en la adjudicación; y un sistema de preferencias en favor de las propias </w:t>
      </w:r>
      <w:proofErr w:type="spellStart"/>
      <w:r w:rsidRPr="002D45D7">
        <w:rPr>
          <w:rFonts w:ascii="Verdana" w:eastAsia="Times New Roman" w:hAnsi="Verdana" w:cs="Times New Roman"/>
        </w:rPr>
        <w:t>PcD</w:t>
      </w:r>
      <w:proofErr w:type="spellEnd"/>
      <w:r w:rsidRPr="002D45D7">
        <w:rPr>
          <w:rFonts w:ascii="Verdana" w:eastAsia="Times New Roman" w:hAnsi="Verdana" w:cs="Times New Roman"/>
        </w:rPr>
        <w:t xml:space="preserve"> como contratistas</w:t>
      </w:r>
      <w:r w:rsidRPr="002D45D7">
        <w:rPr>
          <w:rStyle w:val="Refdenotaalpie"/>
          <w:rFonts w:ascii="Verdana" w:eastAsia="Times New Roman" w:hAnsi="Verdana" w:cs="Times New Roman"/>
        </w:rPr>
        <w:footnoteReference w:id="8"/>
      </w:r>
      <w:r w:rsidRPr="002D45D7">
        <w:rPr>
          <w:rFonts w:ascii="Verdana" w:eastAsia="Times New Roman" w:hAnsi="Verdana" w:cs="Times New Roman"/>
        </w:rPr>
        <w:t xml:space="preserve">. Este último mandato fue especialmente significativo porque introdujo el concepto de </w:t>
      </w:r>
      <w:r w:rsidRPr="002D45D7">
        <w:rPr>
          <w:rFonts w:ascii="Verdana" w:eastAsia="Times New Roman" w:hAnsi="Verdana" w:cs="Times New Roman"/>
          <w:i/>
          <w:iCs/>
        </w:rPr>
        <w:t>"sistema de preferencias"</w:t>
      </w:r>
      <w:r w:rsidRPr="002D45D7">
        <w:rPr>
          <w:rFonts w:ascii="Verdana" w:eastAsia="Times New Roman" w:hAnsi="Verdana" w:cs="Times New Roman"/>
        </w:rPr>
        <w:t>, que por definición no puede reducirse a una sola medida sino que implica un conjunto estructurado de instrumentos que actúen en las distintas fases del proceso contractual.</w:t>
      </w:r>
    </w:p>
    <w:p w14:paraId="49178ACE" w14:textId="77777777" w:rsidR="00E41CB5" w:rsidRPr="002D45D7" w:rsidRDefault="00E41CB5" w:rsidP="00E41CB5">
      <w:pPr>
        <w:spacing w:after="120" w:line="276" w:lineRule="auto"/>
        <w:ind w:firstLine="709"/>
        <w:jc w:val="both"/>
        <w:rPr>
          <w:rFonts w:ascii="Verdana" w:hAnsi="Verdana"/>
        </w:rPr>
      </w:pPr>
      <w:r w:rsidRPr="002D45D7">
        <w:rPr>
          <w:rFonts w:ascii="Verdana" w:hAnsi="Verdana"/>
        </w:rPr>
        <w:t xml:space="preserve">En cumplimiento parcial de los numerales 1 y 8 del artículo 13 de la Ley 1618 de 2013, se expidió el Decreto 392 de 2018. Sin embargo, como se reconoce en los considerandos del Decreto 0287 de 2026, dicha regulación presentó omisiones estructurales que frustraron la finalidad de la ley estatutaria, pues solo contempló el 1% de puntaje para empleadores de </w:t>
      </w:r>
      <w:proofErr w:type="spellStart"/>
      <w:r w:rsidRPr="002D45D7">
        <w:rPr>
          <w:rFonts w:ascii="Verdana" w:hAnsi="Verdana"/>
        </w:rPr>
        <w:t>PcD</w:t>
      </w:r>
      <w:proofErr w:type="spellEnd"/>
      <w:r w:rsidRPr="002D45D7">
        <w:rPr>
          <w:rFonts w:ascii="Verdana" w:hAnsi="Verdana"/>
        </w:rPr>
        <w:t xml:space="preserve">, sin incluir a las empresas de </w:t>
      </w:r>
      <w:proofErr w:type="spellStart"/>
      <w:r w:rsidRPr="002D45D7">
        <w:rPr>
          <w:rFonts w:ascii="Verdana" w:hAnsi="Verdana"/>
        </w:rPr>
        <w:t>PcD</w:t>
      </w:r>
      <w:proofErr w:type="spellEnd"/>
      <w:r w:rsidRPr="002D45D7">
        <w:rPr>
          <w:rFonts w:ascii="Verdana" w:hAnsi="Verdana"/>
        </w:rPr>
        <w:t xml:space="preserve">, redujo el "sistema de preferencias" a un único criterio de desempate y no previó medidas en planeación, criterios habilitantes diferenciales, condiciones especiales de ejecución ni abordó la contratación directa como escenario de inclusión. En consecuencia, desde el punto de vista sustantivo, el Decreto 392 de 2018 reglamentó el numeral 1 de manera parcial y el numeral 7, dejando sin reglamentación material el numeral 8, que era precisamente el que ordenaba el sistema de preferencias en favor de las propias </w:t>
      </w:r>
      <w:proofErr w:type="spellStart"/>
      <w:r w:rsidRPr="002D45D7">
        <w:rPr>
          <w:rFonts w:ascii="Verdana" w:hAnsi="Verdana"/>
        </w:rPr>
        <w:t>PcD</w:t>
      </w:r>
      <w:proofErr w:type="spellEnd"/>
      <w:r w:rsidRPr="002D45D7">
        <w:rPr>
          <w:rFonts w:ascii="Verdana" w:hAnsi="Verdana"/>
        </w:rPr>
        <w:t xml:space="preserve"> como contratistas.</w:t>
      </w:r>
    </w:p>
    <w:p w14:paraId="2734ED7C" w14:textId="77777777" w:rsidR="00E41CB5" w:rsidRPr="002D45D7" w:rsidRDefault="00E41CB5" w:rsidP="00E41CB5">
      <w:pPr>
        <w:spacing w:after="120" w:line="276" w:lineRule="auto"/>
        <w:ind w:firstLine="709"/>
        <w:jc w:val="both"/>
        <w:rPr>
          <w:rFonts w:ascii="Verdana" w:eastAsia="Aptos" w:hAnsi="Verdana" w:cs="Times New Roman"/>
          <w:kern w:val="2"/>
          <w14:ligatures w14:val="standardContextual"/>
        </w:rPr>
      </w:pPr>
      <w:r w:rsidRPr="002D45D7">
        <w:rPr>
          <w:rFonts w:ascii="Verdana" w:hAnsi="Verdana"/>
        </w:rPr>
        <w:t>Lo anterior fue ratificado por el Consejo de Estado</w:t>
      </w:r>
      <w:r w:rsidRPr="002D45D7">
        <w:rPr>
          <w:rStyle w:val="Refdenotaalpie"/>
          <w:rFonts w:ascii="Verdana" w:hAnsi="Verdana"/>
        </w:rPr>
        <w:footnoteReference w:id="9"/>
      </w:r>
      <w:r w:rsidRPr="002D45D7">
        <w:rPr>
          <w:rFonts w:ascii="Verdana" w:hAnsi="Verdana"/>
        </w:rPr>
        <w:t>,</w:t>
      </w:r>
      <w:r w:rsidRPr="002D45D7">
        <w:rPr>
          <w:rFonts w:ascii="Verdana" w:eastAsia="Aptos" w:hAnsi="Verdana" w:cs="Times New Roman"/>
          <w:kern w:val="2"/>
          <w14:ligatures w14:val="standardContextual"/>
        </w:rPr>
        <w:t xml:space="preserve"> que mediante una acción de cumplimiento, </w:t>
      </w:r>
      <w:r w:rsidRPr="002D45D7">
        <w:rPr>
          <w:rFonts w:ascii="Verdana" w:hAnsi="Verdana"/>
        </w:rPr>
        <w:t xml:space="preserve">declaró el incumplimiento </w:t>
      </w:r>
      <w:r w:rsidRPr="002D45D7">
        <w:rPr>
          <w:rFonts w:ascii="Verdana" w:eastAsia="Aptos" w:hAnsi="Verdana" w:cs="Times New Roman"/>
          <w:kern w:val="2"/>
          <w14:ligatures w14:val="standardContextual"/>
        </w:rPr>
        <w:t xml:space="preserve">del deber de reglamentar integralmente el artículo 13 de la Ley 1618 de 2013 y ordenó al Gobierno Nacional expedir la regulación necesaria para hacer efectivo el sistema de </w:t>
      </w:r>
      <w:r w:rsidRPr="002D45D7">
        <w:rPr>
          <w:rFonts w:ascii="Verdana" w:eastAsia="Aptos" w:hAnsi="Verdana" w:cs="Times New Roman"/>
          <w:kern w:val="2"/>
          <w14:ligatures w14:val="standardContextual"/>
        </w:rPr>
        <w:lastRenderedPageBreak/>
        <w:t xml:space="preserve">preferencias en favor de las personas con discapacidad, sus emprendimientos y empresas que las contratan. </w:t>
      </w:r>
      <w:r w:rsidRPr="002D45D7">
        <w:rPr>
          <w:rFonts w:ascii="Verdana" w:hAnsi="Verdana"/>
        </w:rPr>
        <w:t>La Sala calificó la obligación como imperativa, expresa e inobjetable, señalando que el Gobierno Nacional no contaba con margen de discrecionalidad para decidir si reglamentaba o no el sistema de preferencias.</w:t>
      </w:r>
    </w:p>
    <w:p w14:paraId="3487700F" w14:textId="77777777" w:rsidR="00E41CB5" w:rsidRPr="002D45D7" w:rsidRDefault="00E41CB5" w:rsidP="00E41CB5">
      <w:pPr>
        <w:spacing w:after="120" w:line="276" w:lineRule="auto"/>
        <w:ind w:firstLine="709"/>
        <w:jc w:val="both"/>
        <w:rPr>
          <w:rFonts w:ascii="Verdana" w:hAnsi="Verdana"/>
        </w:rPr>
      </w:pPr>
      <w:r w:rsidRPr="002D45D7">
        <w:rPr>
          <w:rFonts w:ascii="Verdana" w:hAnsi="Verdana"/>
        </w:rPr>
        <w:t xml:space="preserve">En cumplimiento de esa decisión fue expedido el Decreto 0287 de 2026, el cual establece un Sistema Integral de Preferencias compuesto por cinco medidas afirmativas que actúan en todas las fases del proceso contractual, planeación, selección, adjudicación y ejecución, y que benefician a dos sujetos diferenciados: los emprendimientos y empresas de </w:t>
      </w:r>
      <w:proofErr w:type="spellStart"/>
      <w:r w:rsidRPr="002D45D7">
        <w:rPr>
          <w:rFonts w:ascii="Verdana" w:hAnsi="Verdana"/>
        </w:rPr>
        <w:t>PcD</w:t>
      </w:r>
      <w:proofErr w:type="spellEnd"/>
      <w:r w:rsidRPr="002D45D7">
        <w:rPr>
          <w:rFonts w:ascii="Verdana" w:hAnsi="Verdana"/>
        </w:rPr>
        <w:t xml:space="preserve"> y los empleadores de </w:t>
      </w:r>
      <w:proofErr w:type="spellStart"/>
      <w:r w:rsidRPr="002D45D7">
        <w:rPr>
          <w:rFonts w:ascii="Verdana" w:hAnsi="Verdana"/>
        </w:rPr>
        <w:t>PcD</w:t>
      </w:r>
      <w:proofErr w:type="spellEnd"/>
      <w:r w:rsidRPr="002D45D7">
        <w:rPr>
          <w:rFonts w:ascii="Verdana" w:eastAsia="Aptos" w:hAnsi="Verdana" w:cs="Times New Roman"/>
          <w:kern w:val="2"/>
          <w14:ligatures w14:val="standardContextual"/>
        </w:rPr>
        <w:t xml:space="preserve">. Mediante la expedición del mencionado decreto, en aplicación directa de la Constitución Política y para que exista una igualdad material para las personas con discapacidad, se pretende subsanar la falta de acciones afirmativas del Decreto 392 de 2018, en el que se modificaron los artículos 2.2.1.2.4.2.6, 2.2.1.2.4.2.7. y 2.2.1.2.4.2.8. del Decreto 1082 de 2015 de la siguiente manera: </w:t>
      </w:r>
    </w:p>
    <w:p w14:paraId="4AE2CA43" w14:textId="77777777" w:rsidR="00E41CB5" w:rsidRPr="002D45D7" w:rsidRDefault="00E41CB5" w:rsidP="00E41CB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2D45D7">
        <w:rPr>
          <w:rFonts w:ascii="Verdana" w:eastAsia="Aptos" w:hAnsi="Verdana" w:cs="Times New Roman"/>
          <w:kern w:val="2"/>
          <w14:ligatures w14:val="standardContextual"/>
        </w:rPr>
        <w:t xml:space="preserve"> i) El artículo 1, modifica el artículo 2.2.1.2.4.2.6. del Decreto 1082 de 2015, incorporando la definición de emprendimientos y empresas de personas con discapacidad, con el propósito de adoptar medidas afirmativas que incentiven las personas en condición de discapacidad en el sistema de compras y contratación pública.</w:t>
      </w:r>
    </w:p>
    <w:p w14:paraId="79764BDF" w14:textId="77777777" w:rsidR="00E41CB5" w:rsidRPr="002D45D7" w:rsidRDefault="00E41CB5" w:rsidP="00E41CB5">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2D45D7">
        <w:rPr>
          <w:rFonts w:ascii="Verdana" w:eastAsia="Aptos" w:hAnsi="Verdana" w:cs="Times New Roman"/>
          <w:kern w:val="2"/>
          <w14:ligatures w14:val="standardContextual"/>
        </w:rPr>
        <w:t>ii</w:t>
      </w:r>
      <w:proofErr w:type="spellEnd"/>
      <w:r w:rsidRPr="002D45D7">
        <w:rPr>
          <w:rFonts w:ascii="Verdana" w:eastAsia="Aptos" w:hAnsi="Verdana" w:cs="Times New Roman"/>
          <w:kern w:val="2"/>
          <w14:ligatures w14:val="standardContextual"/>
        </w:rPr>
        <w:t xml:space="preserve">) El artículo 1, modifica el artículo 2.2.1.2.4.2.7. del Decreto 1082 de 2015, estableciendo un Sistema de Preferencias en Favor de las Personas con Discapacidad en el Sistema de Compras y Contratación Pública, mediante medidas afirmativas, que deben adoptar las Entidades Estatales en sus Procesos de Contratación, para promover condiciones efectivas de igualdad para estas personas, corregir barreras estructurales de acceso y fomentar su participación como proponentes, contratistas o integrantes de la cadena de valor. </w:t>
      </w:r>
    </w:p>
    <w:p w14:paraId="4A499A8E" w14:textId="77777777" w:rsidR="00E41CB5" w:rsidRPr="002D45D7" w:rsidRDefault="00E41CB5" w:rsidP="00E41CB5">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2D45D7">
        <w:rPr>
          <w:rFonts w:ascii="Verdana" w:eastAsia="Aptos" w:hAnsi="Verdana" w:cs="Times New Roman"/>
          <w:kern w:val="2"/>
          <w14:ligatures w14:val="standardContextual"/>
        </w:rPr>
        <w:t>iii</w:t>
      </w:r>
      <w:proofErr w:type="spellEnd"/>
      <w:r w:rsidRPr="002D45D7">
        <w:rPr>
          <w:rFonts w:ascii="Verdana" w:eastAsia="Aptos" w:hAnsi="Verdana" w:cs="Times New Roman"/>
          <w:kern w:val="2"/>
          <w14:ligatures w14:val="standardContextual"/>
        </w:rPr>
        <w:t xml:space="preserve">). El artículo 1, incluye el artículo 2.2.1.2.4.2.7.1. del Decreto 1082 de 2015, disponiendo que todas las entidades que manejen recursos públicos están obligadas a garantizar la accesibilidad para personas con discapacidad en sus procesos de contratación. </w:t>
      </w:r>
    </w:p>
    <w:p w14:paraId="04BB0CD6" w14:textId="77777777" w:rsidR="00E41CB5" w:rsidRPr="002D45D7" w:rsidRDefault="00E41CB5" w:rsidP="00E41CB5">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2D45D7">
        <w:rPr>
          <w:rFonts w:ascii="Verdana" w:eastAsia="Aptos" w:hAnsi="Verdana" w:cs="Times New Roman"/>
          <w:kern w:val="2"/>
          <w:sz w:val="24"/>
          <w:szCs w:val="24"/>
          <w14:ligatures w14:val="standardContextual"/>
        </w:rPr>
        <w:t>iv</w:t>
      </w:r>
      <w:proofErr w:type="spellEnd"/>
      <w:r w:rsidRPr="002D45D7">
        <w:rPr>
          <w:rFonts w:ascii="Verdana" w:eastAsia="Aptos" w:hAnsi="Verdana" w:cs="Times New Roman"/>
          <w:kern w:val="2"/>
          <w:sz w:val="24"/>
          <w:szCs w:val="24"/>
          <w14:ligatures w14:val="standardContextual"/>
        </w:rPr>
        <w:t xml:space="preserve">) </w:t>
      </w:r>
      <w:r w:rsidRPr="002D45D7">
        <w:rPr>
          <w:rFonts w:ascii="Verdana" w:eastAsia="Aptos" w:hAnsi="Verdana" w:cs="Times New Roman"/>
          <w:kern w:val="2"/>
          <w14:ligatures w14:val="standardContextual"/>
        </w:rPr>
        <w:t xml:space="preserve">El artículo 1, incluye el 2.2.1.2.4.2.7.2. del Decreto 1082 de 2015. De esta forma, se consagra que, en la planeación contractual, las Entidades Estatales deben implementar acciones concretas para promover la participación </w:t>
      </w:r>
      <w:r w:rsidRPr="002D45D7">
        <w:rPr>
          <w:rFonts w:ascii="Verdana" w:eastAsia="Aptos" w:hAnsi="Verdana" w:cs="Times New Roman"/>
          <w:kern w:val="2"/>
          <w14:ligatures w14:val="standardContextual"/>
        </w:rPr>
        <w:lastRenderedPageBreak/>
        <w:t>de emprendimientos y empresas de personas con discapacidad, asegurando igualdad de oportunidades en los procesos de contratación pública. Esto implica diseñar mecanismos que eliminen barreras de acceso y fomenten una participación más inclusiva desde las etapas iniciales del proceso.</w:t>
      </w:r>
    </w:p>
    <w:p w14:paraId="16E819A7" w14:textId="77777777" w:rsidR="00E41CB5" w:rsidRPr="002D45D7" w:rsidRDefault="00E41CB5" w:rsidP="00E41CB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2D45D7">
        <w:rPr>
          <w:rFonts w:ascii="Verdana" w:eastAsia="Aptos" w:hAnsi="Verdana" w:cs="Times New Roman"/>
          <w:kern w:val="2"/>
          <w14:ligatures w14:val="standardContextual"/>
        </w:rPr>
        <w:t>v) El artículo 1, incluye el artículo 2.2.1.2.4.2.7.3. del Decreto 1082 de 2015, incorporando criterios diferenciales en favor de los emprendimientos y empresas de personas con discapacidad en la habilitación, como parte del sistema de preferencias para esta población en la contratación pública que impone reglamentar la Ley 1618 de 2013. Este aspecto considerando que “(…) es necesario flexibilizar los requisitos habilitantes de los procesos de contratación para facilitar la participación de las personas con discapacidad, debido a que sin esto el puntaje que también regula el presente Decreto (287 de 2026) se vuelve inocuo porque no se podría aplicar si las personas con discapacidad no superan el primer filtro, que resulta de la aplicación de los requisitos habilitantes que pueden resultar un impedimento para la posterior evaluación de su oferta y que pueda tener efectividad el puntaje”</w:t>
      </w:r>
      <w:r w:rsidRPr="002D45D7">
        <w:rPr>
          <w:rFonts w:ascii="Verdana" w:eastAsia="Aptos" w:hAnsi="Verdana" w:cs="Times New Roman"/>
          <w:kern w:val="2"/>
          <w:vertAlign w:val="superscript"/>
          <w14:ligatures w14:val="standardContextual"/>
        </w:rPr>
        <w:footnoteReference w:id="10"/>
      </w:r>
      <w:r w:rsidRPr="002D45D7">
        <w:rPr>
          <w:rFonts w:ascii="Verdana" w:eastAsia="Aptos" w:hAnsi="Verdana" w:cs="Times New Roman"/>
          <w:kern w:val="2"/>
          <w14:ligatures w14:val="standardContextual"/>
        </w:rPr>
        <w:t xml:space="preserve">. </w:t>
      </w:r>
    </w:p>
    <w:p w14:paraId="612CE013" w14:textId="77777777" w:rsidR="00E41CB5" w:rsidRPr="002D45D7" w:rsidRDefault="00E41CB5" w:rsidP="00E41CB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2D45D7">
        <w:rPr>
          <w:rFonts w:ascii="Verdana" w:eastAsia="Aptos" w:hAnsi="Verdana" w:cs="Times New Roman"/>
          <w:kern w:val="2"/>
          <w14:ligatures w14:val="standardContextual"/>
        </w:rPr>
        <w:t xml:space="preserve">vi) El artículo 1, incluye el artículo 2.1.2.4.2.7.4 del Decreto 1082 de 2015. Así, se establece un puntaje adicional en favor de los empleadores de personas con discapacidad y de los emprendimientos y empresas de personas con discapacidad del dos por ciento (2%) del valor total de los puntos establecidos en el pliego de condiciones o documentos equivalentes, para promover la inclusión laboral de personas con discapacidad en los procedimientos de licitación pública y concurso de méritos que adelanten las entidades estatales, cuando se configuren las situaciones previstas en ese artículo. </w:t>
      </w:r>
    </w:p>
    <w:p w14:paraId="119D32E4" w14:textId="77777777" w:rsidR="00E41CB5" w:rsidRPr="002D45D7" w:rsidRDefault="00E41CB5" w:rsidP="00E41CB5">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2D45D7">
        <w:rPr>
          <w:rFonts w:ascii="Verdana" w:eastAsia="Aptos" w:hAnsi="Verdana" w:cs="Times New Roman"/>
          <w:kern w:val="2"/>
          <w14:ligatures w14:val="standardContextual"/>
        </w:rPr>
        <w:t>vii</w:t>
      </w:r>
      <w:proofErr w:type="spellEnd"/>
      <w:r w:rsidRPr="002D45D7">
        <w:rPr>
          <w:rFonts w:ascii="Verdana" w:eastAsia="Aptos" w:hAnsi="Verdana" w:cs="Times New Roman"/>
          <w:kern w:val="2"/>
          <w14:ligatures w14:val="standardContextual"/>
        </w:rPr>
        <w:t xml:space="preserve">) El artículo 1, incluye el artículo 2.2.1.2.4.2.7.5. del Decreto 1082 de 2015, indicando condiciones especiales de sujeción en favor de personas con discapacidad, que deberán incluir las entidades estatales como obligación contractual en los documentos del proceso, previo análisis de oportunidad y conveniencia. </w:t>
      </w:r>
    </w:p>
    <w:p w14:paraId="56B5FD37" w14:textId="77777777" w:rsidR="00E41CB5" w:rsidRPr="002D45D7" w:rsidRDefault="00E41CB5" w:rsidP="00E41CB5">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2D45D7">
        <w:rPr>
          <w:rFonts w:ascii="Verdana" w:eastAsia="Aptos" w:hAnsi="Verdana" w:cs="Times New Roman"/>
          <w:kern w:val="2"/>
          <w14:ligatures w14:val="standardContextual"/>
        </w:rPr>
        <w:t>viii</w:t>
      </w:r>
      <w:proofErr w:type="spellEnd"/>
      <w:r w:rsidRPr="002D45D7">
        <w:rPr>
          <w:rFonts w:ascii="Verdana" w:eastAsia="Aptos" w:hAnsi="Verdana" w:cs="Times New Roman"/>
          <w:kern w:val="2"/>
          <w14:ligatures w14:val="standardContextual"/>
        </w:rPr>
        <w:t xml:space="preserve">) El artículo 1, incluye el artículo 2.2.1.2.4.2.7.6. del Decreto 1082 de 2015, contemplando que, las Entidades Estatales propenderán por la contratación de personas con discapacidad mediante la celebración de contratos de prestación de servicios profesionales y/o de apoyo a la gestión, de acuerdo </w:t>
      </w:r>
      <w:r w:rsidRPr="002D45D7">
        <w:rPr>
          <w:rFonts w:ascii="Verdana" w:eastAsia="Aptos" w:hAnsi="Verdana" w:cs="Times New Roman"/>
          <w:kern w:val="2"/>
          <w14:ligatures w14:val="standardContextual"/>
        </w:rPr>
        <w:lastRenderedPageBreak/>
        <w:t>con su planeación contractual, disponibilidad presupuestal y las necesidades del servicio.</w:t>
      </w:r>
    </w:p>
    <w:p w14:paraId="1EBFFD26" w14:textId="77777777" w:rsidR="00E41CB5" w:rsidRPr="002D45D7" w:rsidRDefault="00E41CB5" w:rsidP="00E41CB5">
      <w:pPr>
        <w:widowControl w:val="0"/>
        <w:autoSpaceDE w:val="0"/>
        <w:autoSpaceDN w:val="0"/>
        <w:spacing w:after="120" w:line="276" w:lineRule="auto"/>
        <w:ind w:firstLine="708"/>
        <w:jc w:val="both"/>
        <w:rPr>
          <w:rFonts w:ascii="Verdana" w:eastAsia="Aptos" w:hAnsi="Verdana" w:cs="Times New Roman"/>
          <w:kern w:val="2"/>
          <w14:ligatures w14:val="standardContextual"/>
        </w:rPr>
      </w:pPr>
      <w:proofErr w:type="spellStart"/>
      <w:r w:rsidRPr="002D45D7">
        <w:rPr>
          <w:rFonts w:ascii="Verdana" w:eastAsia="Aptos" w:hAnsi="Verdana" w:cs="Times New Roman"/>
          <w:kern w:val="2"/>
          <w14:ligatures w14:val="standardContextual"/>
        </w:rPr>
        <w:t>ix</w:t>
      </w:r>
      <w:proofErr w:type="spellEnd"/>
      <w:r w:rsidRPr="002D45D7">
        <w:rPr>
          <w:rFonts w:ascii="Verdana" w:eastAsia="Aptos" w:hAnsi="Verdana" w:cs="Times New Roman"/>
          <w:kern w:val="2"/>
          <w14:ligatures w14:val="standardContextual"/>
        </w:rPr>
        <w:t>) El artículo 1, incluye el artículo 2.2.1.2.4.2.7.7. del Decreto 1082 de 2015, que incorpora el</w:t>
      </w:r>
      <w:r w:rsidRPr="002D45D7">
        <w:rPr>
          <w:rFonts w:ascii="Verdana" w:hAnsi="Verdana"/>
        </w:rPr>
        <w:t xml:space="preserve"> </w:t>
      </w:r>
      <w:r w:rsidRPr="002D45D7">
        <w:rPr>
          <w:rFonts w:ascii="Verdana" w:eastAsia="Aptos" w:hAnsi="Verdana" w:cs="Times New Roman"/>
          <w:kern w:val="2"/>
          <w14:ligatures w14:val="standardContextual"/>
        </w:rPr>
        <w:t>seguimiento a la inclusión de personas con discapacidad a través de contratos de prestación de servicios profesionales y lo de apoyo a la gestión.</w:t>
      </w:r>
    </w:p>
    <w:p w14:paraId="465F704C" w14:textId="77777777" w:rsidR="00E41CB5" w:rsidRPr="002D45D7" w:rsidRDefault="00E41CB5" w:rsidP="00E41CB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2D45D7">
        <w:rPr>
          <w:rFonts w:ascii="Verdana" w:eastAsia="Aptos" w:hAnsi="Verdana" w:cs="Times New Roman"/>
          <w:kern w:val="2"/>
          <w14:ligatures w14:val="standardContextual"/>
        </w:rPr>
        <w:t xml:space="preserve">x) El artículo 1, modifica el artículo 2.2.1.2.4.2.7.8 del Decreto 1082 de 2015 y dispone que, la Agencia Nacional de Contratación Pública –Colombia Compra Eficiente garantizará la adopción permanente de las acciones necesarias para que las medidas señaladas en favor de las Personas con Discapacidad se incorporen a los documentos e instrumentos que genera. </w:t>
      </w:r>
    </w:p>
    <w:p w14:paraId="5663F71D" w14:textId="77777777" w:rsidR="00E41CB5" w:rsidRPr="002D45D7" w:rsidRDefault="00E41CB5" w:rsidP="00E41CB5">
      <w:pPr>
        <w:widowControl w:val="0"/>
        <w:autoSpaceDE w:val="0"/>
        <w:autoSpaceDN w:val="0"/>
        <w:spacing w:after="120" w:line="276" w:lineRule="auto"/>
        <w:ind w:firstLine="708"/>
        <w:jc w:val="both"/>
        <w:rPr>
          <w:rFonts w:ascii="Verdana" w:eastAsia="Aptos" w:hAnsi="Verdana" w:cs="Times New Roman"/>
          <w:kern w:val="2"/>
          <w14:ligatures w14:val="standardContextual"/>
        </w:rPr>
      </w:pPr>
      <w:r w:rsidRPr="002D45D7">
        <w:rPr>
          <w:rFonts w:ascii="Verdana" w:eastAsia="Aptos" w:hAnsi="Verdana" w:cs="Times New Roman"/>
          <w:kern w:val="2"/>
          <w14:ligatures w14:val="standardContextual"/>
        </w:rPr>
        <w:t xml:space="preserve">xi) </w:t>
      </w:r>
      <w:r w:rsidRPr="002D45D7">
        <w:rPr>
          <w:rFonts w:ascii="Verdana" w:eastAsia="Aptos" w:hAnsi="Verdana" w:cs="Times New Roman"/>
          <w:color w:val="000000" w:themeColor="text1"/>
          <w:kern w:val="2"/>
          <w14:ligatures w14:val="standardContextual"/>
        </w:rPr>
        <w:t>El artículo 1, incluye el artículo 2.2.1.2.4.2.7.9 del Decreto 1082 de 2015</w:t>
      </w:r>
      <w:r w:rsidRPr="002D45D7">
        <w:rPr>
          <w:rFonts w:ascii="Verdana" w:hAnsi="Verdana"/>
          <w:b/>
          <w:bCs/>
          <w:color w:val="000000" w:themeColor="text1"/>
          <w:sz w:val="25"/>
          <w:szCs w:val="25"/>
          <w:shd w:val="clear" w:color="auto" w:fill="FFFFFF"/>
        </w:rPr>
        <w:t xml:space="preserve"> </w:t>
      </w:r>
      <w:r w:rsidRPr="002D45D7">
        <w:rPr>
          <w:rFonts w:ascii="Verdana" w:hAnsi="Verdana"/>
          <w:color w:val="000000" w:themeColor="text1"/>
          <w:shd w:val="clear" w:color="auto" w:fill="FFFFFF"/>
        </w:rPr>
        <w:t>que establece lo referente al</w:t>
      </w:r>
      <w:r w:rsidRPr="002D45D7">
        <w:rPr>
          <w:rFonts w:ascii="Verdana" w:hAnsi="Verdana"/>
          <w:b/>
          <w:bCs/>
          <w:color w:val="000000" w:themeColor="text1"/>
          <w:sz w:val="25"/>
          <w:szCs w:val="25"/>
          <w:shd w:val="clear" w:color="auto" w:fill="FFFFFF"/>
        </w:rPr>
        <w:t xml:space="preserve"> </w:t>
      </w:r>
      <w:r w:rsidRPr="002D45D7">
        <w:rPr>
          <w:rFonts w:ascii="Verdana" w:eastAsia="Aptos" w:hAnsi="Verdana" w:cs="Times New Roman"/>
          <w:color w:val="000000" w:themeColor="text1"/>
          <w:kern w:val="2"/>
          <w14:ligatures w14:val="standardContextual"/>
        </w:rPr>
        <w:t>acceso y accesibilidad del sistema electrónico de contratación pública - SECOP. </w:t>
      </w:r>
    </w:p>
    <w:p w14:paraId="540BF5C4" w14:textId="77777777" w:rsidR="00E41CB5" w:rsidRPr="002D45D7" w:rsidRDefault="00E41CB5" w:rsidP="00E41CB5">
      <w:pPr>
        <w:widowControl w:val="0"/>
        <w:autoSpaceDE w:val="0"/>
        <w:autoSpaceDN w:val="0"/>
        <w:spacing w:after="120" w:line="276" w:lineRule="auto"/>
        <w:jc w:val="both"/>
        <w:rPr>
          <w:rFonts w:ascii="Verdana" w:eastAsia="Times New Roman" w:hAnsi="Verdana" w:cs="Times New Roman"/>
        </w:rPr>
      </w:pPr>
      <w:proofErr w:type="spellStart"/>
      <w:r w:rsidRPr="002D45D7">
        <w:rPr>
          <w:rFonts w:ascii="Verdana" w:eastAsia="Aptos" w:hAnsi="Verdana" w:cs="Times New Roman"/>
          <w:kern w:val="2"/>
          <w14:ligatures w14:val="standardContextual"/>
        </w:rPr>
        <w:t>ii</w:t>
      </w:r>
      <w:proofErr w:type="spellEnd"/>
      <w:r w:rsidRPr="002D45D7">
        <w:rPr>
          <w:rFonts w:ascii="Verdana" w:eastAsia="Aptos" w:hAnsi="Verdana" w:cs="Times New Roman"/>
          <w:kern w:val="2"/>
          <w14:ligatures w14:val="standardContextual"/>
        </w:rPr>
        <w:t xml:space="preserve">. Ahora bien, de acuerdo con las inquietudes planteadas, resulta necesario realizar algunas precisiones en relación con el artículo 2.1.2.4.2.7.4 del Decreto 287 de 2026, el cual contempla </w:t>
      </w:r>
      <w:r w:rsidRPr="002D45D7">
        <w:rPr>
          <w:rFonts w:ascii="Verdana" w:eastAsia="Times New Roman" w:hAnsi="Verdana" w:cs="Times New Roman"/>
        </w:rPr>
        <w:t xml:space="preserve">uno de los incentivos centrales en favor </w:t>
      </w:r>
      <w:r w:rsidRPr="002D45D7">
        <w:rPr>
          <w:rFonts w:ascii="Verdana" w:eastAsia="Aptos" w:hAnsi="Verdana" w:cs="Times New Roman"/>
          <w:kern w:val="2"/>
          <w14:ligatures w14:val="standardContextual"/>
        </w:rPr>
        <w:t>de los empleadores de personas con discapacidad y de los emprendimientos y empresas de personas con discapacidad</w:t>
      </w:r>
      <w:r w:rsidRPr="002D45D7">
        <w:rPr>
          <w:rFonts w:ascii="Verdana" w:eastAsia="Times New Roman" w:hAnsi="Verdana" w:cs="Times New Roman"/>
        </w:rPr>
        <w:t>, referente al puntaje adicional del 2% del valor total de los puntos establecidos en los pliegos de condiciones o documento equivalente.</w:t>
      </w:r>
    </w:p>
    <w:p w14:paraId="69E03F0F" w14:textId="77777777" w:rsidR="00E41CB5" w:rsidRPr="002D45D7" w:rsidRDefault="00E41CB5" w:rsidP="00E41CB5">
      <w:pPr>
        <w:widowControl w:val="0"/>
        <w:autoSpaceDE w:val="0"/>
        <w:autoSpaceDN w:val="0"/>
        <w:spacing w:after="120" w:line="276" w:lineRule="auto"/>
        <w:ind w:firstLine="709"/>
        <w:jc w:val="both"/>
        <w:rPr>
          <w:rFonts w:ascii="Verdana" w:eastAsia="Aptos" w:hAnsi="Verdana" w:cs="Times New Roman"/>
          <w:kern w:val="2"/>
          <w14:ligatures w14:val="standardContextual"/>
        </w:rPr>
      </w:pPr>
      <w:r w:rsidRPr="002D45D7">
        <w:rPr>
          <w:rFonts w:ascii="Verdana" w:eastAsia="Times New Roman" w:hAnsi="Verdana" w:cs="Times New Roman"/>
        </w:rPr>
        <w:t xml:space="preserve">De conformidad con la norma en mención, este puntaje puede obtenerse en los procesos de licitación pública y de concurso de méritos, acreditando cualquiera de las siguientes situaciones: i) ser emprendimiento o empresa de </w:t>
      </w:r>
      <w:proofErr w:type="spellStart"/>
      <w:r w:rsidRPr="002D45D7">
        <w:rPr>
          <w:rFonts w:ascii="Verdana" w:eastAsia="Times New Roman" w:hAnsi="Verdana" w:cs="Times New Roman"/>
        </w:rPr>
        <w:t>PcD</w:t>
      </w:r>
      <w:proofErr w:type="spellEnd"/>
      <w:r w:rsidRPr="002D45D7">
        <w:rPr>
          <w:rFonts w:ascii="Verdana" w:eastAsia="Times New Roman" w:hAnsi="Verdana" w:cs="Times New Roman"/>
        </w:rPr>
        <w:t xml:space="preserve">, conforme a las categorías del artículo 2.2.1.2.4.2.6., o ser </w:t>
      </w:r>
      <w:proofErr w:type="spellStart"/>
      <w:r w:rsidRPr="002D45D7">
        <w:rPr>
          <w:rFonts w:ascii="Verdana" w:eastAsia="Times New Roman" w:hAnsi="Verdana" w:cs="Times New Roman"/>
        </w:rPr>
        <w:t>ii</w:t>
      </w:r>
      <w:proofErr w:type="spellEnd"/>
      <w:r w:rsidRPr="002D45D7">
        <w:rPr>
          <w:rFonts w:ascii="Verdana" w:eastAsia="Times New Roman" w:hAnsi="Verdana" w:cs="Times New Roman"/>
        </w:rPr>
        <w:t xml:space="preserve">) empleador de </w:t>
      </w:r>
      <w:proofErr w:type="spellStart"/>
      <w:r w:rsidRPr="002D45D7">
        <w:rPr>
          <w:rFonts w:ascii="Verdana" w:eastAsia="Times New Roman" w:hAnsi="Verdana" w:cs="Times New Roman"/>
        </w:rPr>
        <w:t>PcD</w:t>
      </w:r>
      <w:proofErr w:type="spellEnd"/>
      <w:r w:rsidRPr="002D45D7">
        <w:rPr>
          <w:rFonts w:ascii="Verdana" w:eastAsia="Times New Roman" w:hAnsi="Verdana" w:cs="Times New Roman"/>
        </w:rPr>
        <w:t xml:space="preserve"> que supere los mínimos de vinculación exigidos por la Ley 2466 de 2025 (Reforma Laboral) conforme a la tabla establecida. Sin embargo, el hecho de que ambas condiciones puedan acreditarse simultáneamente no significa que el puntaje sea acumulable. El mismo artículo es explícito al disponer que:</w:t>
      </w:r>
    </w:p>
    <w:p w14:paraId="5AE02100" w14:textId="77777777" w:rsidR="00E41CB5" w:rsidRPr="002D45D7" w:rsidRDefault="00E41CB5" w:rsidP="00E41CB5">
      <w:pPr>
        <w:spacing w:after="0" w:line="240" w:lineRule="auto"/>
        <w:jc w:val="both"/>
        <w:rPr>
          <w:rFonts w:ascii="Verdana" w:eastAsia="Times New Roman" w:hAnsi="Verdana" w:cs="Times New Roman"/>
        </w:rPr>
      </w:pPr>
    </w:p>
    <w:p w14:paraId="635EF52F" w14:textId="77777777" w:rsidR="00E41CB5" w:rsidRPr="002D45D7" w:rsidRDefault="00E41CB5" w:rsidP="00E41CB5">
      <w:pPr>
        <w:spacing w:after="0" w:line="240" w:lineRule="auto"/>
        <w:ind w:left="720" w:right="720"/>
        <w:jc w:val="both"/>
        <w:rPr>
          <w:rFonts w:ascii="Verdana" w:eastAsia="Times New Roman" w:hAnsi="Verdana" w:cs="Times New Roman"/>
          <w:sz w:val="20"/>
          <w:szCs w:val="20"/>
        </w:rPr>
      </w:pPr>
      <w:r w:rsidRPr="002D45D7">
        <w:rPr>
          <w:rFonts w:ascii="Verdana" w:eastAsia="Times New Roman" w:hAnsi="Verdana" w:cs="Times New Roman"/>
          <w:sz w:val="20"/>
          <w:szCs w:val="20"/>
        </w:rPr>
        <w:t>"El proponente podrá acreditar alguna de las situaciones mencionadas, y en todo caso el puntaje adicional total y único a otorgar por este criterio será del dos por ciento (2%), sin que sean acumulables a efecto de la evaluación de la oferta."</w:t>
      </w:r>
    </w:p>
    <w:p w14:paraId="4CF0F366" w14:textId="77777777" w:rsidR="00E41CB5" w:rsidRPr="002D45D7" w:rsidRDefault="00E41CB5" w:rsidP="00E41CB5">
      <w:pPr>
        <w:spacing w:after="0" w:line="240" w:lineRule="auto"/>
        <w:ind w:left="720" w:right="720"/>
        <w:jc w:val="both"/>
        <w:rPr>
          <w:rFonts w:ascii="Verdana" w:hAnsi="Verdana"/>
          <w:sz w:val="20"/>
          <w:szCs w:val="20"/>
        </w:rPr>
      </w:pPr>
    </w:p>
    <w:p w14:paraId="52B67C66" w14:textId="77777777" w:rsidR="00E41CB5" w:rsidRPr="002D45D7" w:rsidRDefault="00E41CB5" w:rsidP="00E41CB5">
      <w:pPr>
        <w:spacing w:after="120" w:line="276" w:lineRule="auto"/>
        <w:ind w:firstLine="709"/>
        <w:jc w:val="both"/>
        <w:rPr>
          <w:rFonts w:ascii="Verdana" w:eastAsia="Times New Roman" w:hAnsi="Verdana" w:cs="Times New Roman"/>
        </w:rPr>
      </w:pPr>
      <w:r w:rsidRPr="002D45D7">
        <w:rPr>
          <w:rFonts w:ascii="Verdana" w:eastAsia="Times New Roman" w:hAnsi="Verdana" w:cs="Times New Roman"/>
        </w:rPr>
        <w:lastRenderedPageBreak/>
        <w:t xml:space="preserve">Esta decisión normativa responde a que el 2% incorpora el estímulo suficiente para promover la inclusión de </w:t>
      </w:r>
      <w:proofErr w:type="spellStart"/>
      <w:r w:rsidRPr="002D45D7">
        <w:rPr>
          <w:rFonts w:ascii="Verdana" w:eastAsia="Times New Roman" w:hAnsi="Verdana" w:cs="Times New Roman"/>
        </w:rPr>
        <w:t>PcD</w:t>
      </w:r>
      <w:proofErr w:type="spellEnd"/>
      <w:r w:rsidRPr="002D45D7">
        <w:rPr>
          <w:rFonts w:ascii="Verdana" w:eastAsia="Times New Roman" w:hAnsi="Verdana" w:cs="Times New Roman"/>
        </w:rPr>
        <w:t xml:space="preserve"> y permitir su acumulación distorsionaría la evaluación de las ofertas en perjuicio de la pluralidad de oferentes y de la selección objetiva, que son principios rectores de la contratación estatal. Es importante distinguir entre la acreditación de condiciones y el puntaje resultante, ya que el proponente puede acreditar varias condiciones al mismo tiempo, pero el puntaje que recibe siempre será el 2%, sin variación. En términos prácticos, en una licitación de 1.000 puntos el 2% equivale a 20 puntos adicionales, ventaja que puede ser determinante en escenarios de puntuaciones cercanas.</w:t>
      </w:r>
    </w:p>
    <w:p w14:paraId="3DCF47EC" w14:textId="77777777" w:rsidR="00E41CB5" w:rsidRPr="002D45D7" w:rsidRDefault="00E41CB5" w:rsidP="00E41CB5">
      <w:pPr>
        <w:spacing w:after="120" w:line="276" w:lineRule="auto"/>
        <w:ind w:firstLine="709"/>
        <w:jc w:val="both"/>
        <w:rPr>
          <w:rFonts w:ascii="Verdana" w:eastAsia="Times New Roman" w:hAnsi="Verdana" w:cs="Times New Roman"/>
        </w:rPr>
      </w:pPr>
      <w:r w:rsidRPr="002D45D7">
        <w:rPr>
          <w:rFonts w:ascii="Verdana" w:eastAsia="Times New Roman" w:hAnsi="Verdana" w:cs="Times New Roman"/>
        </w:rPr>
        <w:t xml:space="preserve">Bajo este contexto, debe señalarse que los requisitos exigidos para acceder a este puntaje varían según el sujeto que deba acreditarlos. Por un lado, cuando se trata de un emprendimiento o empresa de </w:t>
      </w:r>
      <w:proofErr w:type="spellStart"/>
      <w:r w:rsidRPr="002D45D7">
        <w:rPr>
          <w:rFonts w:ascii="Verdana" w:eastAsia="Times New Roman" w:hAnsi="Verdana" w:cs="Times New Roman"/>
        </w:rPr>
        <w:t>PcD</w:t>
      </w:r>
      <w:proofErr w:type="spellEnd"/>
      <w:r w:rsidRPr="002D45D7">
        <w:rPr>
          <w:rFonts w:ascii="Verdana" w:eastAsia="Times New Roman" w:hAnsi="Verdana" w:cs="Times New Roman"/>
        </w:rPr>
        <w:t>, los documentos requeridos son los establecidos en el artículo 2.2.1.2.4.2.6., que varían según la categoría que se acredite. En efecto, el numeral 1 de la disposición en comento remite expresamente al artículo 2.2.1.2.4.2.6 del Decreto 287 de 2026, que establece la definición de emprendimientos y empresas de personas con discapacidad, por lo que para acceder al puntaje adicional, el proponente deberá acreditar el cumplimiento de las condiciones allí previstas, de conformidad con la tarifa legal contemplada en cada uno de los numerales de dicha disposición.</w:t>
      </w:r>
    </w:p>
    <w:p w14:paraId="5406EDAB" w14:textId="77777777" w:rsidR="00E41CB5" w:rsidRPr="002D45D7" w:rsidRDefault="00E41CB5" w:rsidP="00E41CB5">
      <w:pPr>
        <w:spacing w:after="120" w:line="276" w:lineRule="auto"/>
        <w:ind w:firstLine="709"/>
        <w:jc w:val="both"/>
        <w:rPr>
          <w:rFonts w:ascii="Verdana" w:eastAsia="Times New Roman" w:hAnsi="Verdana" w:cs="Times New Roman"/>
        </w:rPr>
      </w:pPr>
      <w:r w:rsidRPr="002D45D7">
        <w:rPr>
          <w:rFonts w:ascii="Verdana" w:eastAsia="Times New Roman" w:hAnsi="Verdana" w:cs="Times New Roman"/>
        </w:rPr>
        <w:t xml:space="preserve">Por otro lado, conforme lo señala el numeral 2 </w:t>
      </w:r>
      <w:r w:rsidRPr="002D45D7">
        <w:rPr>
          <w:rFonts w:ascii="Verdana" w:eastAsia="Times New Roman" w:hAnsi="Verdana" w:cs="Times New Roman"/>
          <w:i/>
          <w:iCs/>
        </w:rPr>
        <w:t>ibidem</w:t>
      </w:r>
      <w:r w:rsidRPr="002D45D7">
        <w:rPr>
          <w:rFonts w:ascii="Verdana" w:eastAsia="Times New Roman" w:hAnsi="Verdana" w:cs="Times New Roman"/>
        </w:rPr>
        <w:t xml:space="preserve">, cuando se trata de un empleador de </w:t>
      </w:r>
      <w:proofErr w:type="spellStart"/>
      <w:r w:rsidRPr="002D45D7">
        <w:rPr>
          <w:rFonts w:ascii="Verdana" w:eastAsia="Times New Roman" w:hAnsi="Verdana" w:cs="Times New Roman"/>
        </w:rPr>
        <w:t>PcD</w:t>
      </w:r>
      <w:proofErr w:type="spellEnd"/>
      <w:r w:rsidRPr="002D45D7">
        <w:rPr>
          <w:rFonts w:ascii="Verdana" w:eastAsia="Times New Roman" w:hAnsi="Verdana" w:cs="Times New Roman"/>
        </w:rPr>
        <w:t xml:space="preserve">, el proponente debe acreditar dentro de su planta de personal la vinculación de personas con discapacidad mediante contrato laboral con dedicación exclusiva, superando los mínimos que exige la Ley 2466 de 2025 (Reforma Laboral). El número mínimo de </w:t>
      </w:r>
      <w:proofErr w:type="spellStart"/>
      <w:r w:rsidRPr="002D45D7">
        <w:rPr>
          <w:rFonts w:ascii="Verdana" w:eastAsia="Times New Roman" w:hAnsi="Verdana" w:cs="Times New Roman"/>
        </w:rPr>
        <w:t>PcD</w:t>
      </w:r>
      <w:proofErr w:type="spellEnd"/>
      <w:r w:rsidRPr="002D45D7">
        <w:rPr>
          <w:rFonts w:ascii="Verdana" w:eastAsia="Times New Roman" w:hAnsi="Verdana" w:cs="Times New Roman"/>
        </w:rPr>
        <w:t xml:space="preserve"> requerido varía según el tamaño de la planta de personal del proponente, conforme a la siguiente tabla:</w:t>
      </w:r>
    </w:p>
    <w:p w14:paraId="28D89728" w14:textId="77777777" w:rsidR="00E41CB5" w:rsidRPr="002D45D7" w:rsidRDefault="00E41CB5" w:rsidP="00E41CB5">
      <w:pPr>
        <w:spacing w:after="120" w:line="276" w:lineRule="auto"/>
        <w:ind w:firstLine="709"/>
        <w:jc w:val="both"/>
        <w:rPr>
          <w:rFonts w:ascii="Verdana" w:hAnsi="Verdana"/>
        </w:rPr>
      </w:pPr>
    </w:p>
    <w:tbl>
      <w:tblPr>
        <w:tblW w:w="6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56"/>
        <w:gridCol w:w="3107"/>
      </w:tblGrid>
      <w:tr w:rsidR="00E41CB5" w:rsidRPr="002D45D7" w14:paraId="36ABD5C3" w14:textId="77777777" w:rsidTr="007D74F3">
        <w:trPr>
          <w:jc w:val="center"/>
        </w:trPr>
        <w:tc>
          <w:tcPr>
            <w:tcW w:w="355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82BB1CD" w14:textId="77777777" w:rsidR="00E41CB5" w:rsidRPr="002D45D7" w:rsidRDefault="00E41CB5" w:rsidP="007D74F3">
            <w:pPr>
              <w:jc w:val="center"/>
              <w:rPr>
                <w:rFonts w:ascii="Verdana" w:hAnsi="Verdana"/>
                <w:sz w:val="20"/>
                <w:szCs w:val="20"/>
              </w:rPr>
            </w:pPr>
            <w:r w:rsidRPr="002D45D7">
              <w:rPr>
                <w:rFonts w:ascii="Verdana" w:eastAsia="Times New Roman" w:hAnsi="Verdana" w:cs="Times New Roman"/>
                <w:b/>
                <w:bCs/>
                <w:sz w:val="20"/>
                <w:szCs w:val="20"/>
              </w:rPr>
              <w:t>Número total de trabajadores de la planta de personal del proponente</w:t>
            </w:r>
          </w:p>
        </w:tc>
        <w:tc>
          <w:tcPr>
            <w:tcW w:w="310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F50B7E6" w14:textId="77777777" w:rsidR="00E41CB5" w:rsidRPr="002D45D7" w:rsidRDefault="00E41CB5" w:rsidP="007D74F3">
            <w:pPr>
              <w:jc w:val="center"/>
              <w:rPr>
                <w:rFonts w:ascii="Verdana" w:hAnsi="Verdana"/>
                <w:sz w:val="20"/>
                <w:szCs w:val="20"/>
              </w:rPr>
            </w:pPr>
            <w:r w:rsidRPr="002D45D7">
              <w:rPr>
                <w:rFonts w:ascii="Verdana" w:eastAsia="Times New Roman" w:hAnsi="Verdana" w:cs="Times New Roman"/>
                <w:b/>
                <w:bCs/>
                <w:sz w:val="20"/>
                <w:szCs w:val="20"/>
              </w:rPr>
              <w:t>Número mínimo de trabajadores con discapacidad requerido</w:t>
            </w:r>
          </w:p>
        </w:tc>
      </w:tr>
      <w:tr w:rsidR="00E41CB5" w:rsidRPr="002D45D7" w14:paraId="6EB94B11" w14:textId="77777777" w:rsidTr="007D74F3">
        <w:trPr>
          <w:jc w:val="center"/>
        </w:trPr>
        <w:tc>
          <w:tcPr>
            <w:tcW w:w="355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79346032" w14:textId="77777777" w:rsidR="00E41CB5" w:rsidRPr="002D45D7" w:rsidRDefault="00E41CB5" w:rsidP="007D74F3">
            <w:pPr>
              <w:jc w:val="center"/>
              <w:rPr>
                <w:rFonts w:ascii="Verdana" w:hAnsi="Verdana"/>
                <w:sz w:val="20"/>
                <w:szCs w:val="20"/>
              </w:rPr>
            </w:pPr>
            <w:r w:rsidRPr="002D45D7">
              <w:rPr>
                <w:rFonts w:ascii="Verdana" w:eastAsia="Times New Roman" w:hAnsi="Verdana" w:cs="Times New Roman"/>
                <w:sz w:val="20"/>
                <w:szCs w:val="20"/>
              </w:rPr>
              <w:t>Entre 1 y 30</w:t>
            </w:r>
          </w:p>
        </w:tc>
        <w:tc>
          <w:tcPr>
            <w:tcW w:w="310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695B4D81" w14:textId="77777777" w:rsidR="00E41CB5" w:rsidRPr="002D45D7" w:rsidRDefault="00E41CB5" w:rsidP="007D74F3">
            <w:pPr>
              <w:jc w:val="center"/>
              <w:rPr>
                <w:rFonts w:ascii="Verdana" w:hAnsi="Verdana"/>
                <w:sz w:val="20"/>
                <w:szCs w:val="20"/>
              </w:rPr>
            </w:pPr>
            <w:r w:rsidRPr="002D45D7">
              <w:rPr>
                <w:rFonts w:ascii="Verdana" w:eastAsia="Times New Roman" w:hAnsi="Verdana" w:cs="Times New Roman"/>
                <w:sz w:val="20"/>
                <w:szCs w:val="20"/>
              </w:rPr>
              <w:t>2</w:t>
            </w:r>
          </w:p>
        </w:tc>
      </w:tr>
      <w:tr w:rsidR="00E41CB5" w:rsidRPr="002D45D7" w14:paraId="64E54190" w14:textId="77777777" w:rsidTr="007D74F3">
        <w:trPr>
          <w:jc w:val="center"/>
        </w:trPr>
        <w:tc>
          <w:tcPr>
            <w:tcW w:w="355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5581B905" w14:textId="77777777" w:rsidR="00E41CB5" w:rsidRPr="002D45D7" w:rsidRDefault="00E41CB5" w:rsidP="007D74F3">
            <w:pPr>
              <w:jc w:val="center"/>
              <w:rPr>
                <w:rFonts w:ascii="Verdana" w:hAnsi="Verdana"/>
                <w:sz w:val="20"/>
                <w:szCs w:val="20"/>
              </w:rPr>
            </w:pPr>
            <w:r w:rsidRPr="002D45D7">
              <w:rPr>
                <w:rFonts w:ascii="Verdana" w:eastAsia="Times New Roman" w:hAnsi="Verdana" w:cs="Times New Roman"/>
                <w:sz w:val="20"/>
                <w:szCs w:val="20"/>
              </w:rPr>
              <w:t>Entre 31 y 100</w:t>
            </w:r>
          </w:p>
        </w:tc>
        <w:tc>
          <w:tcPr>
            <w:tcW w:w="310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6CA3D9BE" w14:textId="77777777" w:rsidR="00E41CB5" w:rsidRPr="002D45D7" w:rsidRDefault="00E41CB5" w:rsidP="007D74F3">
            <w:pPr>
              <w:jc w:val="center"/>
              <w:rPr>
                <w:rFonts w:ascii="Verdana" w:hAnsi="Verdana"/>
                <w:sz w:val="20"/>
                <w:szCs w:val="20"/>
              </w:rPr>
            </w:pPr>
            <w:r w:rsidRPr="002D45D7">
              <w:rPr>
                <w:rFonts w:ascii="Verdana" w:eastAsia="Times New Roman" w:hAnsi="Verdana" w:cs="Times New Roman"/>
                <w:sz w:val="20"/>
                <w:szCs w:val="20"/>
              </w:rPr>
              <w:t>3</w:t>
            </w:r>
          </w:p>
        </w:tc>
      </w:tr>
      <w:tr w:rsidR="00E41CB5" w:rsidRPr="002D45D7" w14:paraId="54BEF43F" w14:textId="77777777" w:rsidTr="007D74F3">
        <w:trPr>
          <w:jc w:val="center"/>
        </w:trPr>
        <w:tc>
          <w:tcPr>
            <w:tcW w:w="355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4A110EBF" w14:textId="77777777" w:rsidR="00E41CB5" w:rsidRPr="002D45D7" w:rsidRDefault="00E41CB5" w:rsidP="007D74F3">
            <w:pPr>
              <w:jc w:val="center"/>
              <w:rPr>
                <w:rFonts w:ascii="Verdana" w:hAnsi="Verdana"/>
                <w:sz w:val="20"/>
                <w:szCs w:val="20"/>
              </w:rPr>
            </w:pPr>
            <w:r w:rsidRPr="002D45D7">
              <w:rPr>
                <w:rFonts w:ascii="Verdana" w:eastAsia="Times New Roman" w:hAnsi="Verdana" w:cs="Times New Roman"/>
                <w:sz w:val="20"/>
                <w:szCs w:val="20"/>
              </w:rPr>
              <w:lastRenderedPageBreak/>
              <w:t>Entre 101 y 150</w:t>
            </w:r>
          </w:p>
        </w:tc>
        <w:tc>
          <w:tcPr>
            <w:tcW w:w="310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0B6FA2A3" w14:textId="77777777" w:rsidR="00E41CB5" w:rsidRPr="002D45D7" w:rsidRDefault="00E41CB5" w:rsidP="007D74F3">
            <w:pPr>
              <w:jc w:val="center"/>
              <w:rPr>
                <w:rFonts w:ascii="Verdana" w:hAnsi="Verdana"/>
                <w:sz w:val="20"/>
                <w:szCs w:val="20"/>
              </w:rPr>
            </w:pPr>
            <w:r w:rsidRPr="002D45D7">
              <w:rPr>
                <w:rFonts w:ascii="Verdana" w:eastAsia="Times New Roman" w:hAnsi="Verdana" w:cs="Times New Roman"/>
                <w:sz w:val="20"/>
                <w:szCs w:val="20"/>
              </w:rPr>
              <w:t>4</w:t>
            </w:r>
          </w:p>
        </w:tc>
      </w:tr>
      <w:tr w:rsidR="00E41CB5" w:rsidRPr="002D45D7" w14:paraId="020277A0" w14:textId="77777777" w:rsidTr="007D74F3">
        <w:trPr>
          <w:jc w:val="center"/>
        </w:trPr>
        <w:tc>
          <w:tcPr>
            <w:tcW w:w="355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3CACF518" w14:textId="77777777" w:rsidR="00E41CB5" w:rsidRPr="002D45D7" w:rsidRDefault="00E41CB5" w:rsidP="007D74F3">
            <w:pPr>
              <w:jc w:val="center"/>
              <w:rPr>
                <w:rFonts w:ascii="Verdana" w:hAnsi="Verdana"/>
                <w:sz w:val="20"/>
                <w:szCs w:val="20"/>
              </w:rPr>
            </w:pPr>
            <w:r w:rsidRPr="002D45D7">
              <w:rPr>
                <w:rFonts w:ascii="Verdana" w:eastAsia="Times New Roman" w:hAnsi="Verdana" w:cs="Times New Roman"/>
                <w:sz w:val="20"/>
                <w:szCs w:val="20"/>
              </w:rPr>
              <w:t>Entre 151 y 200</w:t>
            </w:r>
          </w:p>
        </w:tc>
        <w:tc>
          <w:tcPr>
            <w:tcW w:w="310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52437C40" w14:textId="77777777" w:rsidR="00E41CB5" w:rsidRPr="002D45D7" w:rsidRDefault="00E41CB5" w:rsidP="007D74F3">
            <w:pPr>
              <w:jc w:val="center"/>
              <w:rPr>
                <w:rFonts w:ascii="Verdana" w:hAnsi="Verdana"/>
                <w:sz w:val="20"/>
                <w:szCs w:val="20"/>
              </w:rPr>
            </w:pPr>
            <w:r w:rsidRPr="002D45D7">
              <w:rPr>
                <w:rFonts w:ascii="Verdana" w:eastAsia="Times New Roman" w:hAnsi="Verdana" w:cs="Times New Roman"/>
                <w:sz w:val="20"/>
                <w:szCs w:val="20"/>
              </w:rPr>
              <w:t>5</w:t>
            </w:r>
          </w:p>
        </w:tc>
      </w:tr>
      <w:tr w:rsidR="00E41CB5" w:rsidRPr="002D45D7" w14:paraId="0F25DD41" w14:textId="77777777" w:rsidTr="007D74F3">
        <w:trPr>
          <w:jc w:val="center"/>
        </w:trPr>
        <w:tc>
          <w:tcPr>
            <w:tcW w:w="355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33B3D678" w14:textId="77777777" w:rsidR="00E41CB5" w:rsidRPr="002D45D7" w:rsidRDefault="00E41CB5" w:rsidP="007D74F3">
            <w:pPr>
              <w:jc w:val="center"/>
              <w:rPr>
                <w:rFonts w:ascii="Verdana" w:hAnsi="Verdana"/>
                <w:sz w:val="20"/>
                <w:szCs w:val="20"/>
              </w:rPr>
            </w:pPr>
            <w:r w:rsidRPr="002D45D7">
              <w:rPr>
                <w:rFonts w:ascii="Verdana" w:eastAsia="Times New Roman" w:hAnsi="Verdana" w:cs="Times New Roman"/>
                <w:sz w:val="20"/>
                <w:szCs w:val="20"/>
              </w:rPr>
              <w:t>Entre 201 y 300</w:t>
            </w:r>
          </w:p>
        </w:tc>
        <w:tc>
          <w:tcPr>
            <w:tcW w:w="310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15378CEB" w14:textId="77777777" w:rsidR="00E41CB5" w:rsidRPr="002D45D7" w:rsidRDefault="00E41CB5" w:rsidP="007D74F3">
            <w:pPr>
              <w:jc w:val="center"/>
              <w:rPr>
                <w:rFonts w:ascii="Verdana" w:hAnsi="Verdana"/>
                <w:sz w:val="20"/>
                <w:szCs w:val="20"/>
              </w:rPr>
            </w:pPr>
            <w:r w:rsidRPr="002D45D7">
              <w:rPr>
                <w:rFonts w:ascii="Verdana" w:eastAsia="Times New Roman" w:hAnsi="Verdana" w:cs="Times New Roman"/>
                <w:sz w:val="20"/>
                <w:szCs w:val="20"/>
              </w:rPr>
              <w:t>7</w:t>
            </w:r>
          </w:p>
        </w:tc>
      </w:tr>
      <w:tr w:rsidR="00E41CB5" w:rsidRPr="002D45D7" w14:paraId="10405278" w14:textId="77777777" w:rsidTr="007D74F3">
        <w:trPr>
          <w:jc w:val="center"/>
        </w:trPr>
        <w:tc>
          <w:tcPr>
            <w:tcW w:w="355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3AA5BDD6" w14:textId="77777777" w:rsidR="00E41CB5" w:rsidRPr="002D45D7" w:rsidRDefault="00E41CB5" w:rsidP="007D74F3">
            <w:pPr>
              <w:jc w:val="center"/>
              <w:rPr>
                <w:rFonts w:ascii="Verdana" w:hAnsi="Verdana"/>
                <w:sz w:val="20"/>
                <w:szCs w:val="20"/>
              </w:rPr>
            </w:pPr>
            <w:r w:rsidRPr="002D45D7">
              <w:rPr>
                <w:rFonts w:ascii="Verdana" w:eastAsia="Times New Roman" w:hAnsi="Verdana" w:cs="Times New Roman"/>
                <w:sz w:val="20"/>
                <w:szCs w:val="20"/>
              </w:rPr>
              <w:t>Entre 301 y 400</w:t>
            </w:r>
          </w:p>
        </w:tc>
        <w:tc>
          <w:tcPr>
            <w:tcW w:w="310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03708F91" w14:textId="77777777" w:rsidR="00E41CB5" w:rsidRPr="002D45D7" w:rsidRDefault="00E41CB5" w:rsidP="007D74F3">
            <w:pPr>
              <w:jc w:val="center"/>
              <w:rPr>
                <w:rFonts w:ascii="Verdana" w:hAnsi="Verdana"/>
                <w:sz w:val="20"/>
                <w:szCs w:val="20"/>
              </w:rPr>
            </w:pPr>
            <w:r w:rsidRPr="002D45D7">
              <w:rPr>
                <w:rFonts w:ascii="Verdana" w:eastAsia="Times New Roman" w:hAnsi="Verdana" w:cs="Times New Roman"/>
                <w:sz w:val="20"/>
                <w:szCs w:val="20"/>
              </w:rPr>
              <w:t>10</w:t>
            </w:r>
          </w:p>
        </w:tc>
      </w:tr>
      <w:tr w:rsidR="00E41CB5" w:rsidRPr="002D45D7" w14:paraId="540D319E" w14:textId="77777777" w:rsidTr="007D74F3">
        <w:trPr>
          <w:jc w:val="center"/>
        </w:trPr>
        <w:tc>
          <w:tcPr>
            <w:tcW w:w="355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0EA88031" w14:textId="77777777" w:rsidR="00E41CB5" w:rsidRPr="002D45D7" w:rsidRDefault="00E41CB5" w:rsidP="007D74F3">
            <w:pPr>
              <w:jc w:val="center"/>
              <w:rPr>
                <w:rFonts w:ascii="Verdana" w:hAnsi="Verdana"/>
                <w:sz w:val="20"/>
                <w:szCs w:val="20"/>
              </w:rPr>
            </w:pPr>
            <w:r w:rsidRPr="002D45D7">
              <w:rPr>
                <w:rFonts w:ascii="Verdana" w:eastAsia="Times New Roman" w:hAnsi="Verdana" w:cs="Times New Roman"/>
                <w:sz w:val="20"/>
                <w:szCs w:val="20"/>
              </w:rPr>
              <w:t>Entre 401 y 500</w:t>
            </w:r>
          </w:p>
        </w:tc>
        <w:tc>
          <w:tcPr>
            <w:tcW w:w="310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714A8CEC" w14:textId="77777777" w:rsidR="00E41CB5" w:rsidRPr="002D45D7" w:rsidRDefault="00E41CB5" w:rsidP="007D74F3">
            <w:pPr>
              <w:jc w:val="center"/>
              <w:rPr>
                <w:rFonts w:ascii="Verdana" w:hAnsi="Verdana"/>
                <w:sz w:val="20"/>
                <w:szCs w:val="20"/>
              </w:rPr>
            </w:pPr>
            <w:r w:rsidRPr="002D45D7">
              <w:rPr>
                <w:rFonts w:ascii="Verdana" w:eastAsia="Times New Roman" w:hAnsi="Verdana" w:cs="Times New Roman"/>
                <w:sz w:val="20"/>
                <w:szCs w:val="20"/>
              </w:rPr>
              <w:t>12</w:t>
            </w:r>
          </w:p>
        </w:tc>
      </w:tr>
      <w:tr w:rsidR="00E41CB5" w:rsidRPr="002D45D7" w14:paraId="626C16C7" w14:textId="77777777" w:rsidTr="007D74F3">
        <w:trPr>
          <w:jc w:val="center"/>
        </w:trPr>
        <w:tc>
          <w:tcPr>
            <w:tcW w:w="355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19356C38" w14:textId="77777777" w:rsidR="00E41CB5" w:rsidRPr="002D45D7" w:rsidRDefault="00E41CB5" w:rsidP="007D74F3">
            <w:pPr>
              <w:jc w:val="center"/>
              <w:rPr>
                <w:rFonts w:ascii="Verdana" w:hAnsi="Verdana"/>
                <w:sz w:val="20"/>
                <w:szCs w:val="20"/>
              </w:rPr>
            </w:pPr>
            <w:r w:rsidRPr="002D45D7">
              <w:rPr>
                <w:rFonts w:ascii="Verdana" w:eastAsia="Times New Roman" w:hAnsi="Verdana" w:cs="Times New Roman"/>
                <w:sz w:val="20"/>
                <w:szCs w:val="20"/>
              </w:rPr>
              <w:t>Entre 501 y 600</w:t>
            </w:r>
          </w:p>
        </w:tc>
        <w:tc>
          <w:tcPr>
            <w:tcW w:w="310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31855073" w14:textId="77777777" w:rsidR="00E41CB5" w:rsidRPr="002D45D7" w:rsidRDefault="00E41CB5" w:rsidP="007D74F3">
            <w:pPr>
              <w:jc w:val="center"/>
              <w:rPr>
                <w:rFonts w:ascii="Verdana" w:hAnsi="Verdana"/>
                <w:sz w:val="20"/>
                <w:szCs w:val="20"/>
              </w:rPr>
            </w:pPr>
            <w:r w:rsidRPr="002D45D7">
              <w:rPr>
                <w:rFonts w:ascii="Verdana" w:eastAsia="Times New Roman" w:hAnsi="Verdana" w:cs="Times New Roman"/>
                <w:sz w:val="20"/>
                <w:szCs w:val="20"/>
              </w:rPr>
              <w:t>14</w:t>
            </w:r>
          </w:p>
        </w:tc>
      </w:tr>
      <w:tr w:rsidR="00E41CB5" w:rsidRPr="002D45D7" w14:paraId="1BE15F8A" w14:textId="77777777" w:rsidTr="007D74F3">
        <w:trPr>
          <w:jc w:val="center"/>
        </w:trPr>
        <w:tc>
          <w:tcPr>
            <w:tcW w:w="355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67B2C9AD" w14:textId="77777777" w:rsidR="00E41CB5" w:rsidRPr="002D45D7" w:rsidRDefault="00E41CB5" w:rsidP="007D74F3">
            <w:pPr>
              <w:jc w:val="center"/>
              <w:rPr>
                <w:rFonts w:ascii="Verdana" w:hAnsi="Verdana"/>
                <w:sz w:val="20"/>
                <w:szCs w:val="20"/>
              </w:rPr>
            </w:pPr>
            <w:r w:rsidRPr="002D45D7">
              <w:rPr>
                <w:rFonts w:ascii="Verdana" w:eastAsia="Times New Roman" w:hAnsi="Verdana" w:cs="Times New Roman"/>
                <w:sz w:val="20"/>
                <w:szCs w:val="20"/>
              </w:rPr>
              <w:t>Entre 601 y 700</w:t>
            </w:r>
          </w:p>
        </w:tc>
        <w:tc>
          <w:tcPr>
            <w:tcW w:w="310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50EFD594" w14:textId="77777777" w:rsidR="00E41CB5" w:rsidRPr="002D45D7" w:rsidRDefault="00E41CB5" w:rsidP="007D74F3">
            <w:pPr>
              <w:jc w:val="center"/>
              <w:rPr>
                <w:rFonts w:ascii="Verdana" w:hAnsi="Verdana"/>
                <w:sz w:val="20"/>
                <w:szCs w:val="20"/>
              </w:rPr>
            </w:pPr>
            <w:r w:rsidRPr="002D45D7">
              <w:rPr>
                <w:rFonts w:ascii="Verdana" w:eastAsia="Times New Roman" w:hAnsi="Verdana" w:cs="Times New Roman"/>
                <w:sz w:val="20"/>
                <w:szCs w:val="20"/>
              </w:rPr>
              <w:t>16</w:t>
            </w:r>
          </w:p>
        </w:tc>
      </w:tr>
      <w:tr w:rsidR="00E41CB5" w:rsidRPr="002D45D7" w14:paraId="67FC7617" w14:textId="77777777" w:rsidTr="007D74F3">
        <w:trPr>
          <w:jc w:val="center"/>
        </w:trPr>
        <w:tc>
          <w:tcPr>
            <w:tcW w:w="3556"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301B03A1" w14:textId="77777777" w:rsidR="00E41CB5" w:rsidRPr="002D45D7" w:rsidRDefault="00E41CB5" w:rsidP="007D74F3">
            <w:pPr>
              <w:jc w:val="center"/>
              <w:rPr>
                <w:rFonts w:ascii="Verdana" w:hAnsi="Verdana"/>
                <w:sz w:val="20"/>
                <w:szCs w:val="20"/>
              </w:rPr>
            </w:pPr>
            <w:r w:rsidRPr="002D45D7">
              <w:rPr>
                <w:rFonts w:ascii="Verdana" w:eastAsia="Times New Roman" w:hAnsi="Verdana" w:cs="Times New Roman"/>
                <w:sz w:val="20"/>
                <w:szCs w:val="20"/>
              </w:rPr>
              <w:t>Más de 700</w:t>
            </w:r>
          </w:p>
        </w:tc>
        <w:tc>
          <w:tcPr>
            <w:tcW w:w="3107" w:type="dxa"/>
            <w:tcBorders>
              <w:top w:val="single" w:sz="4" w:space="0" w:color="000000"/>
              <w:left w:val="single" w:sz="4" w:space="0" w:color="000000"/>
              <w:bottom w:val="single" w:sz="4" w:space="0" w:color="000000"/>
              <w:right w:val="single" w:sz="4" w:space="0" w:color="000000"/>
            </w:tcBorders>
            <w:tcMar>
              <w:top w:w="60" w:type="dxa"/>
              <w:left w:w="120" w:type="dxa"/>
              <w:bottom w:w="60" w:type="dxa"/>
              <w:right w:w="120" w:type="dxa"/>
            </w:tcMar>
          </w:tcPr>
          <w:p w14:paraId="176710CE" w14:textId="77777777" w:rsidR="00E41CB5" w:rsidRPr="002D45D7" w:rsidRDefault="00E41CB5" w:rsidP="007D74F3">
            <w:pPr>
              <w:jc w:val="center"/>
              <w:rPr>
                <w:rFonts w:ascii="Verdana" w:hAnsi="Verdana"/>
                <w:sz w:val="20"/>
                <w:szCs w:val="20"/>
              </w:rPr>
            </w:pPr>
            <w:r w:rsidRPr="002D45D7">
              <w:rPr>
                <w:rFonts w:ascii="Verdana" w:eastAsia="Times New Roman" w:hAnsi="Verdana" w:cs="Times New Roman"/>
                <w:sz w:val="20"/>
                <w:szCs w:val="20"/>
              </w:rPr>
              <w:t>Por cada 100 trabajadores adicionales, se suman 2 trabajadores con discapacidad</w:t>
            </w:r>
          </w:p>
        </w:tc>
      </w:tr>
    </w:tbl>
    <w:p w14:paraId="5B4B4697" w14:textId="77777777" w:rsidR="00E41CB5" w:rsidRPr="002D45D7" w:rsidRDefault="00E41CB5" w:rsidP="00E41CB5">
      <w:pPr>
        <w:spacing w:after="120" w:line="276" w:lineRule="auto"/>
        <w:rPr>
          <w:rFonts w:ascii="Verdana" w:hAnsi="Verdana"/>
        </w:rPr>
      </w:pPr>
    </w:p>
    <w:p w14:paraId="71E000D2" w14:textId="77777777" w:rsidR="00E41CB5" w:rsidRPr="002D45D7" w:rsidRDefault="00E41CB5" w:rsidP="00E41CB5">
      <w:pPr>
        <w:spacing w:after="120" w:line="276" w:lineRule="auto"/>
        <w:ind w:firstLine="709"/>
        <w:jc w:val="both"/>
        <w:rPr>
          <w:rFonts w:ascii="Verdana" w:eastAsia="Calibri" w:hAnsi="Verdana" w:cs="Arial"/>
          <w:bCs/>
          <w:color w:val="000000" w:themeColor="text1"/>
        </w:rPr>
      </w:pPr>
      <w:r w:rsidRPr="002D45D7">
        <w:rPr>
          <w:rFonts w:ascii="Verdana" w:eastAsia="Times New Roman" w:hAnsi="Verdana" w:cs="Times New Roman"/>
        </w:rPr>
        <w:t>Frente a la expresión “dedicación exclusiva” a la que se refiere el numeral 2 de la norma en mención, resulta pertinente precisar que la norma no consagra una definición expresa de dicho concepto, por lo que, para determinar su alcance y contenido, es necesario acudir a las reglas generales de interpretación</w:t>
      </w:r>
      <w:r w:rsidRPr="002D45D7">
        <w:rPr>
          <w:rFonts w:ascii="Verdana" w:eastAsia="Calibri" w:hAnsi="Verdana" w:cs="Arial"/>
          <w:bCs/>
          <w:color w:val="000000" w:themeColor="text1"/>
        </w:rPr>
        <w:t xml:space="preserve">. Al respecto, el artículo 28 del Código Civil dispone que: “Las palabras de la ley se entenderán en su sentido natural y obvio, según el uso general de las mismas palabras; pero cuando el legislador las haya definido expresamente para ciertas materias, se les dará en éstas su significado legal”. Igualmente, el artículo 29 </w:t>
      </w:r>
      <w:r w:rsidRPr="002D45D7">
        <w:rPr>
          <w:rFonts w:ascii="Verdana" w:eastAsia="Calibri" w:hAnsi="Verdana" w:cs="Arial"/>
          <w:bCs/>
          <w:i/>
          <w:iCs/>
          <w:color w:val="000000" w:themeColor="text1"/>
        </w:rPr>
        <w:t>ibidem</w:t>
      </w:r>
      <w:r w:rsidRPr="002D45D7">
        <w:rPr>
          <w:rFonts w:ascii="Verdana" w:eastAsia="Calibri" w:hAnsi="Verdana" w:cs="Arial"/>
          <w:bCs/>
          <w:color w:val="000000" w:themeColor="text1"/>
        </w:rPr>
        <w:t xml:space="preserve"> prescribe lo siguiente: “Las palabras técnicas de toda ciencia o arte se tomarán en el sentido que les den los que profesan la misma ciencia o arte; a menos que aparezca claramente que se han formado en sentido diverso”</w:t>
      </w:r>
      <w:r w:rsidRPr="002D45D7">
        <w:rPr>
          <w:rStyle w:val="Refdenotaalpie"/>
          <w:rFonts w:ascii="Verdana" w:eastAsia="Calibri" w:hAnsi="Verdana" w:cs="Arial"/>
          <w:bCs/>
          <w:color w:val="000000" w:themeColor="text1"/>
        </w:rPr>
        <w:footnoteReference w:id="11"/>
      </w:r>
      <w:r w:rsidRPr="002D45D7">
        <w:rPr>
          <w:rFonts w:ascii="Verdana" w:eastAsia="Calibri" w:hAnsi="Verdana" w:cs="Arial"/>
          <w:bCs/>
          <w:color w:val="000000" w:themeColor="text1"/>
        </w:rPr>
        <w:t xml:space="preserve">. </w:t>
      </w:r>
    </w:p>
    <w:p w14:paraId="398C5CB2" w14:textId="77777777" w:rsidR="00E41CB5" w:rsidRPr="002D45D7" w:rsidRDefault="00E41CB5" w:rsidP="00E41CB5">
      <w:pPr>
        <w:spacing w:after="120" w:line="276" w:lineRule="auto"/>
        <w:ind w:firstLine="709"/>
        <w:jc w:val="both"/>
        <w:rPr>
          <w:rFonts w:ascii="Verdana" w:eastAsia="Times New Roman" w:hAnsi="Verdana" w:cs="Times New Roman"/>
        </w:rPr>
      </w:pPr>
      <w:r w:rsidRPr="002D45D7">
        <w:rPr>
          <w:rFonts w:ascii="Verdana" w:eastAsia="Times New Roman" w:hAnsi="Verdana" w:cs="Times New Roman"/>
        </w:rPr>
        <w:lastRenderedPageBreak/>
        <w:t>Bajo este criterio interpretativo, según la Real Academia de la Lengua Española “dedicación exclusiva” se entiende como la “dedicación que por compromiso o contrato ocupa todo el tiempo disponible, con exclusión de cualquier otro trabajo</w:t>
      </w:r>
      <w:r w:rsidRPr="002D45D7">
        <w:rPr>
          <w:rStyle w:val="Refdenotaalpie"/>
          <w:rFonts w:ascii="Verdana" w:eastAsia="Times New Roman" w:hAnsi="Verdana" w:cs="Times New Roman"/>
        </w:rPr>
        <w:footnoteReference w:id="12"/>
      </w:r>
      <w:r w:rsidRPr="002D45D7">
        <w:rPr>
          <w:rFonts w:ascii="Verdana" w:eastAsia="Times New Roman" w:hAnsi="Verdana" w:cs="Times New Roman"/>
        </w:rPr>
        <w:t xml:space="preserve">”. De esta manera, de acuerdo con su sentido natural y obvio debe interpretarse que la locución “dedicación exclusiva” en el marco del numeral 2 del artículo </w:t>
      </w:r>
      <w:r w:rsidRPr="002D45D7">
        <w:rPr>
          <w:rFonts w:ascii="Verdana" w:eastAsia="Aptos" w:hAnsi="Verdana" w:cs="Times New Roman"/>
          <w:kern w:val="2"/>
          <w14:ligatures w14:val="standardContextual"/>
        </w:rPr>
        <w:t xml:space="preserve">2.1.2.4.2.7.4 </w:t>
      </w:r>
      <w:r w:rsidRPr="002D45D7">
        <w:rPr>
          <w:rFonts w:ascii="Verdana" w:eastAsia="Times New Roman" w:hAnsi="Verdana" w:cs="Times New Roman"/>
        </w:rPr>
        <w:t>del Decreto 287 de 2026, hace referencia a una relación laboral en la cual el trabajador presta sus servicios únicamente para un determinado empleador, es decir, existe exclusividad en el vínculo laboral. Así, la exclusividad no se encuentra asociada necesariamente a la duración de la jornada de trabajo, que puede ser completa o parcial, sino a la imposibilidad de que el trabajador mantenga simultáneamente otro vínculo laboral con un empleador distinto respecto de las actividades objeto de dicha contratación.</w:t>
      </w:r>
    </w:p>
    <w:p w14:paraId="58CCDB6D" w14:textId="77777777" w:rsidR="00E41CB5" w:rsidRPr="002D45D7" w:rsidRDefault="00E41CB5" w:rsidP="00E41CB5">
      <w:pPr>
        <w:spacing w:after="120" w:line="276" w:lineRule="auto"/>
        <w:ind w:firstLine="709"/>
        <w:jc w:val="both"/>
        <w:rPr>
          <w:rFonts w:ascii="Verdana" w:eastAsia="Times New Roman" w:hAnsi="Verdana" w:cs="Times New Roman"/>
        </w:rPr>
      </w:pPr>
      <w:r w:rsidRPr="002D45D7">
        <w:rPr>
          <w:rFonts w:ascii="Verdana" w:eastAsia="Times New Roman" w:hAnsi="Verdana" w:cs="Times New Roman"/>
        </w:rPr>
        <w:t>Esta interpretación resulta consistente con el significado común de la expresión “exclusivo”, la cual alude a “único, solo, excluyendo a cualquier otro</w:t>
      </w:r>
      <w:r w:rsidRPr="002D45D7">
        <w:rPr>
          <w:rStyle w:val="Refdenotaalpie"/>
          <w:rFonts w:ascii="Verdana" w:eastAsia="Times New Roman" w:hAnsi="Verdana" w:cs="Times New Roman"/>
        </w:rPr>
        <w:footnoteReference w:id="13"/>
      </w:r>
      <w:r w:rsidRPr="002D45D7">
        <w:rPr>
          <w:rFonts w:ascii="Verdana" w:eastAsia="Times New Roman" w:hAnsi="Verdana" w:cs="Times New Roman"/>
        </w:rPr>
        <w:t xml:space="preserve">”. De esta forma, cuando la disposición exige un “contrato laboral con dedicación exclusiva”, el alcance razonable de la exigencia es que la persona con discapacidad se encuentre vinculada exclusivamente al proponente, independientemente del tiempo establecido para la jornada laboral. </w:t>
      </w:r>
    </w:p>
    <w:p w14:paraId="460AB85E" w14:textId="77777777" w:rsidR="00E41CB5" w:rsidRPr="002D45D7" w:rsidRDefault="00E41CB5" w:rsidP="00E41CB5">
      <w:pPr>
        <w:spacing w:after="120" w:line="276" w:lineRule="auto"/>
        <w:ind w:firstLine="709"/>
        <w:jc w:val="both"/>
        <w:rPr>
          <w:rFonts w:ascii="Verdana" w:eastAsia="Times New Roman" w:hAnsi="Verdana" w:cs="Times New Roman"/>
        </w:rPr>
      </w:pPr>
      <w:r w:rsidRPr="002D45D7">
        <w:rPr>
          <w:rFonts w:ascii="Verdana" w:eastAsia="Times New Roman" w:hAnsi="Verdana" w:cs="Times New Roman"/>
        </w:rPr>
        <w:t xml:space="preserve">Adicionalmente, aunque el ordenamiento jurídico no contempla una definición general y única de “dedicación exclusiva”, hay desarrollos jurisprudenciales que han empleado dicha expresión para referirse precisamente a la obligación de prestar servicios únicamente para un empleador o entidad. Así, por ejemplo, en la Sentencia C-819 de 2010, la Corte Constitucional de Colombia analizó la constitucionalidad de la Ley 1123 del 2007 “por la cual se establece el Código Disciplinario del Abogado”, destacando que “el propósito del numeral 1º del artículo 29 de la Ley 1123 de 2007 fue asegurar la </w:t>
      </w:r>
      <w:r w:rsidRPr="002D45D7">
        <w:rPr>
          <w:rFonts w:ascii="Verdana" w:eastAsia="Times New Roman" w:hAnsi="Verdana" w:cs="Times New Roman"/>
          <w:i/>
          <w:iCs/>
        </w:rPr>
        <w:t>dedicación exclusiva</w:t>
      </w:r>
      <w:r w:rsidRPr="002D45D7">
        <w:rPr>
          <w:rFonts w:ascii="Verdana" w:eastAsia="Times New Roman" w:hAnsi="Verdana" w:cs="Times New Roman"/>
        </w:rPr>
        <w:t xml:space="preserve"> de los (las) servidores (as) públicos (as) al ejercicio de sus funciones </w:t>
      </w:r>
      <w:r w:rsidRPr="002D45D7">
        <w:rPr>
          <w:rFonts w:ascii="Verdana" w:eastAsia="Times New Roman" w:hAnsi="Verdana" w:cs="Times New Roman"/>
        </w:rPr>
        <w:lastRenderedPageBreak/>
        <w:t>y, en tal sentido, obtener una actuación eficaz y eficiente encaminada a garantizar la protección del interés general</w:t>
      </w:r>
      <w:r w:rsidRPr="002D45D7">
        <w:rPr>
          <w:rStyle w:val="Refdenotaalpie"/>
          <w:rFonts w:ascii="Verdana" w:eastAsia="Times New Roman" w:hAnsi="Verdana" w:cs="Times New Roman"/>
        </w:rPr>
        <w:footnoteReference w:id="14"/>
      </w:r>
      <w:r w:rsidRPr="002D45D7">
        <w:rPr>
          <w:rFonts w:ascii="Verdana" w:eastAsia="Times New Roman" w:hAnsi="Verdana" w:cs="Times New Roman"/>
        </w:rPr>
        <w:t>”. Si bien el contexto analizado por la Corte corresponde al empleo público, lo relevante para efectos interpretativos es que el concepto de “dedicación exclusiva” fue entendido como sinónimo de exclusividad en la prestación del servicio de la función pública frente a un solo empleador.</w:t>
      </w:r>
    </w:p>
    <w:p w14:paraId="244FCAD6" w14:textId="77777777" w:rsidR="00E41CB5" w:rsidRPr="002D45D7" w:rsidRDefault="00E41CB5" w:rsidP="00E41CB5">
      <w:pPr>
        <w:spacing w:after="120" w:line="276" w:lineRule="auto"/>
        <w:ind w:firstLine="709"/>
        <w:jc w:val="both"/>
        <w:rPr>
          <w:rFonts w:ascii="Verdana" w:eastAsia="Times New Roman" w:hAnsi="Verdana" w:cs="Times New Roman"/>
        </w:rPr>
      </w:pPr>
      <w:r w:rsidRPr="002D45D7">
        <w:rPr>
          <w:rFonts w:ascii="Verdana" w:eastAsia="Times New Roman" w:hAnsi="Verdana" w:cs="Times New Roman"/>
        </w:rPr>
        <w:t xml:space="preserve">En consecuencia, una interpretación sistemática y literal de la disposición permite concluir que el requisito de “dedicación exclusiva” se cumple cuando la persona con discapacidad mantiene un vínculo laboral exclusivo con el proponente, independientemente de que la jornada pactada sea de tiempo completo o parcial, pues la norma no condicionó dicha exigencia a una intensidad horaria determinada sino a la naturaleza a la dedicación exclusiva del vínculo laboral, que se verificará  con el </w:t>
      </w:r>
      <w:r w:rsidRPr="002D45D7">
        <w:rPr>
          <w:rFonts w:ascii="Verdana" w:eastAsia="Aptos" w:hAnsi="Verdana" w:cs="Times New Roman"/>
          <w:kern w:val="2"/>
          <w14:ligatures w14:val="standardContextual"/>
        </w:rPr>
        <w:t xml:space="preserve">contrato de trabajo o la certificación laboral con las funciones. </w:t>
      </w:r>
    </w:p>
    <w:p w14:paraId="242541AB" w14:textId="77777777" w:rsidR="00E41CB5" w:rsidRPr="002D45D7" w:rsidRDefault="00E41CB5" w:rsidP="00E41CB5">
      <w:pPr>
        <w:spacing w:after="120" w:line="276" w:lineRule="auto"/>
        <w:ind w:firstLine="708"/>
        <w:jc w:val="both"/>
        <w:rPr>
          <w:rFonts w:ascii="Verdana" w:eastAsia="Times New Roman" w:hAnsi="Verdana" w:cs="Times New Roman"/>
        </w:rPr>
      </w:pPr>
      <w:r w:rsidRPr="002D45D7">
        <w:rPr>
          <w:rFonts w:ascii="Verdana" w:eastAsia="Times New Roman" w:hAnsi="Verdana" w:cs="Times New Roman"/>
        </w:rPr>
        <w:t>Para efectos de la acreditación de la condición establecida en el numeral 2 del artículo 2.2.1.2.4.2.7.4, se establece que la verificación de estas condiciones se realizará por parte de las Entidades Estatales con base en los siguientes documentos</w:t>
      </w:r>
      <w:r w:rsidRPr="002D45D7">
        <w:rPr>
          <w:rFonts w:ascii="Verdana" w:eastAsia="Times New Roman" w:hAnsi="Verdana" w:cs="Times New Roman"/>
          <w:i/>
          <w:iCs/>
        </w:rPr>
        <w:t xml:space="preserve"> </w:t>
      </w:r>
      <w:r w:rsidRPr="002D45D7">
        <w:rPr>
          <w:rFonts w:ascii="Verdana" w:eastAsia="Times New Roman" w:hAnsi="Verdana" w:cs="Times New Roman"/>
        </w:rPr>
        <w:t>que el proponente deberá aportar junta con su oferta, de manera física o digital:</w:t>
      </w:r>
    </w:p>
    <w:p w14:paraId="4455135D" w14:textId="77777777" w:rsidR="00E41CB5" w:rsidRPr="002D45D7" w:rsidRDefault="00E41CB5" w:rsidP="00E41CB5">
      <w:pPr>
        <w:spacing w:after="0" w:line="276" w:lineRule="auto"/>
        <w:ind w:firstLine="709"/>
        <w:jc w:val="both"/>
        <w:rPr>
          <w:rFonts w:ascii="Verdana" w:eastAsia="Times New Roman" w:hAnsi="Verdana" w:cs="Times New Roman"/>
        </w:rPr>
      </w:pPr>
    </w:p>
    <w:p w14:paraId="0ED4B340" w14:textId="77777777" w:rsidR="00E41CB5" w:rsidRPr="002D45D7" w:rsidRDefault="00E41CB5" w:rsidP="00E41CB5">
      <w:pPr>
        <w:spacing w:after="0" w:line="240" w:lineRule="auto"/>
        <w:ind w:left="720" w:right="720"/>
        <w:jc w:val="both"/>
        <w:rPr>
          <w:rFonts w:ascii="Verdana" w:eastAsia="Times New Roman" w:hAnsi="Verdana" w:cs="Times New Roman"/>
          <w:sz w:val="20"/>
          <w:szCs w:val="20"/>
        </w:rPr>
      </w:pPr>
      <w:r w:rsidRPr="002D45D7">
        <w:rPr>
          <w:rFonts w:ascii="Verdana" w:eastAsia="Times New Roman" w:hAnsi="Verdana" w:cs="Times New Roman"/>
          <w:sz w:val="20"/>
          <w:szCs w:val="20"/>
        </w:rPr>
        <w:t xml:space="preserve">- Certificación expedida con una antelación no mayor a treinta (30) días calendario respecto a la fecha de presentación de la oferta, suscrita por el representante legal del proponente y el revisor fiscal, cuando exista de acuerdo con los requerimientos de ley, o el contador, en la que conste el número de personas con discapacidad que conforman su planta de personal. La certificación deberá relacionar el nombre completo y el número de documento de identidad de cada una de las personas con discapacidad. </w:t>
      </w:r>
    </w:p>
    <w:p w14:paraId="10ED5746" w14:textId="77777777" w:rsidR="00E41CB5" w:rsidRPr="002D45D7" w:rsidRDefault="00E41CB5" w:rsidP="00E41CB5">
      <w:pPr>
        <w:spacing w:after="0" w:line="240" w:lineRule="auto"/>
        <w:ind w:left="720" w:right="720"/>
        <w:jc w:val="both"/>
        <w:rPr>
          <w:rFonts w:ascii="Verdana" w:eastAsia="Times New Roman" w:hAnsi="Verdana" w:cs="Times New Roman"/>
          <w:sz w:val="20"/>
          <w:szCs w:val="20"/>
        </w:rPr>
      </w:pPr>
    </w:p>
    <w:p w14:paraId="7C39D4AB" w14:textId="77777777" w:rsidR="00E41CB5" w:rsidRPr="002D45D7" w:rsidRDefault="00E41CB5" w:rsidP="00E41CB5">
      <w:pPr>
        <w:spacing w:after="0" w:line="240" w:lineRule="auto"/>
        <w:ind w:left="720" w:right="720"/>
        <w:jc w:val="both"/>
        <w:rPr>
          <w:rFonts w:ascii="Verdana" w:eastAsia="Times New Roman" w:hAnsi="Verdana" w:cs="Times New Roman"/>
          <w:sz w:val="20"/>
          <w:szCs w:val="20"/>
        </w:rPr>
      </w:pPr>
      <w:r w:rsidRPr="002D45D7">
        <w:rPr>
          <w:rFonts w:ascii="Verdana" w:eastAsia="Times New Roman" w:hAnsi="Verdana" w:cs="Times New Roman"/>
          <w:sz w:val="20"/>
          <w:szCs w:val="20"/>
        </w:rPr>
        <w:t>-Como soporte, se anexará copia de los respectivos documentos de identidad, copia de los contratos de trabajo o certificación laboral con las funciones, sin que se puedan relacionar contratos de prestación de servicios, así como el certificado de aportes a seguridad social de los últimas tres (3) meses en el que se demuestren los pagos realizados por el empleador, y el certificado de discapacidad expedido conforme a la normativa vigente del Ministerio de Salud y Protección Social.</w:t>
      </w:r>
    </w:p>
    <w:p w14:paraId="51A0A5D2" w14:textId="77777777" w:rsidR="00E41CB5" w:rsidRPr="002D45D7" w:rsidRDefault="00E41CB5" w:rsidP="00E41CB5">
      <w:pPr>
        <w:spacing w:after="0" w:line="240" w:lineRule="auto"/>
        <w:ind w:left="720" w:right="720"/>
        <w:jc w:val="both"/>
        <w:rPr>
          <w:rFonts w:ascii="Verdana" w:eastAsia="Times New Roman" w:hAnsi="Verdana" w:cs="Times New Roman"/>
          <w:sz w:val="20"/>
          <w:szCs w:val="20"/>
        </w:rPr>
      </w:pPr>
    </w:p>
    <w:p w14:paraId="1B065351" w14:textId="77777777" w:rsidR="00E41CB5" w:rsidRPr="002D45D7" w:rsidRDefault="00E41CB5" w:rsidP="00E41CB5">
      <w:pPr>
        <w:spacing w:after="0" w:line="240" w:lineRule="auto"/>
        <w:ind w:left="720" w:right="720"/>
        <w:jc w:val="both"/>
        <w:rPr>
          <w:rFonts w:ascii="Verdana" w:eastAsia="Times New Roman" w:hAnsi="Verdana" w:cs="Times New Roman"/>
          <w:sz w:val="20"/>
          <w:szCs w:val="20"/>
        </w:rPr>
      </w:pPr>
      <w:r w:rsidRPr="002D45D7">
        <w:rPr>
          <w:rFonts w:ascii="Verdana" w:eastAsia="Times New Roman" w:hAnsi="Verdana" w:cs="Times New Roman"/>
          <w:sz w:val="20"/>
          <w:szCs w:val="20"/>
        </w:rPr>
        <w:t>- También, esta verificación se hará con el certificado que para el efecto expide el Ministerio de Trabajo y la entidad estatal contratante verificará la vigencia de dicha certificación, de conformidad con la normativa aplicable.</w:t>
      </w:r>
    </w:p>
    <w:p w14:paraId="5CB6FEB9" w14:textId="77777777" w:rsidR="00E41CB5" w:rsidRPr="002D45D7" w:rsidRDefault="00E41CB5" w:rsidP="00E41CB5">
      <w:pPr>
        <w:spacing w:after="0" w:line="240" w:lineRule="auto"/>
        <w:ind w:left="720" w:right="720"/>
        <w:jc w:val="both"/>
        <w:rPr>
          <w:rFonts w:ascii="Verdana" w:eastAsia="Times New Roman" w:hAnsi="Verdana" w:cs="Times New Roman"/>
          <w:sz w:val="20"/>
          <w:szCs w:val="20"/>
        </w:rPr>
      </w:pPr>
    </w:p>
    <w:p w14:paraId="7356F72A" w14:textId="77777777" w:rsidR="00E41CB5" w:rsidRPr="002D45D7" w:rsidRDefault="00E41CB5" w:rsidP="00E41CB5">
      <w:pPr>
        <w:widowControl w:val="0"/>
        <w:autoSpaceDE w:val="0"/>
        <w:autoSpaceDN w:val="0"/>
        <w:spacing w:after="120" w:line="276" w:lineRule="auto"/>
        <w:ind w:firstLine="708"/>
        <w:jc w:val="both"/>
        <w:rPr>
          <w:rFonts w:ascii="Verdana" w:eastAsia="Times New Roman" w:hAnsi="Verdana" w:cs="Times New Roman"/>
        </w:rPr>
      </w:pPr>
      <w:r w:rsidRPr="002D45D7">
        <w:rPr>
          <w:rFonts w:ascii="Verdana" w:eastAsia="Times New Roman" w:hAnsi="Verdana" w:cs="Times New Roman"/>
        </w:rPr>
        <w:t>Como se evidencia, el proponente deberá presentar: i) la certificación suscrita por el representante legal del proponente y el revisor fiscal, cuando exista, o el contador, en la que conste el número de personas con discapacidad que conforman su planta de personal que deberá relacionar el nombre completo y el número de documento de identidad de cada una de las personas con discapacidad.</w:t>
      </w:r>
      <w:r w:rsidRPr="002D45D7">
        <w:rPr>
          <w:rFonts w:ascii="Verdana" w:eastAsia="Aptos" w:hAnsi="Verdana" w:cs="Times New Roman"/>
          <w:kern w:val="2"/>
          <w14:ligatures w14:val="standardContextual"/>
        </w:rPr>
        <w:t xml:space="preserve"> Dicho documento además debe relacionar los respectivos documentos de identidad, copia de los contratos de trabajo o certificación laboral con las funciones, sin que se puedan relacionar contratos de prestación de servicios, así como el certificado de aportes a seguridad social de los últimas tres (3) meses en el que se demuestren los pagos realizados por el empleador, y el certificado de discapacidad expedido conforme a la normativa vigente del Ministerio de Salud y Protección Social. </w:t>
      </w:r>
      <w:r w:rsidRPr="002D45D7">
        <w:rPr>
          <w:rFonts w:ascii="Verdana" w:eastAsia="Times New Roman" w:hAnsi="Verdana" w:cs="Times New Roman"/>
        </w:rPr>
        <w:t xml:space="preserve">Y </w:t>
      </w:r>
      <w:proofErr w:type="spellStart"/>
      <w:r w:rsidRPr="002D45D7">
        <w:rPr>
          <w:rFonts w:ascii="Verdana" w:eastAsia="Times New Roman" w:hAnsi="Verdana" w:cs="Times New Roman"/>
        </w:rPr>
        <w:t>ii</w:t>
      </w:r>
      <w:proofErr w:type="spellEnd"/>
      <w:r w:rsidRPr="002D45D7">
        <w:rPr>
          <w:rFonts w:ascii="Verdana" w:eastAsia="Times New Roman" w:hAnsi="Verdana" w:cs="Times New Roman"/>
        </w:rPr>
        <w:t xml:space="preserve">) el certificado que para el efecto expide el Ministerio del Trabajo, cuya vigencia deberá ser verificada por la entidad estatal, conforme a la normativa aplicable. </w:t>
      </w:r>
    </w:p>
    <w:p w14:paraId="6A54FF0A" w14:textId="77777777" w:rsidR="00E41CB5" w:rsidRPr="002D45D7" w:rsidRDefault="00E41CB5" w:rsidP="00E41CB5">
      <w:pPr>
        <w:widowControl w:val="0"/>
        <w:autoSpaceDE w:val="0"/>
        <w:autoSpaceDN w:val="0"/>
        <w:spacing w:after="120" w:line="276" w:lineRule="auto"/>
        <w:ind w:firstLine="708"/>
        <w:jc w:val="both"/>
        <w:rPr>
          <w:rFonts w:ascii="Verdana" w:eastAsia="Times New Roman" w:hAnsi="Verdana" w:cs="Times New Roman"/>
        </w:rPr>
      </w:pPr>
      <w:r w:rsidRPr="002D45D7">
        <w:rPr>
          <w:rFonts w:ascii="Verdana" w:eastAsia="Times New Roman" w:hAnsi="Verdana" w:cs="Times New Roman"/>
        </w:rPr>
        <w:t xml:space="preserve">Respecto de este último documento debe precisarse que la norma no determina su presentación como facultativa o alternativa de los demás soportes exigidos, sino como un requisito adicional y obligatorio para acceder al puntaje referido. En efecto, el numeral 2 señala expresamente que la verificación de estas condiciones se realizará por parte de las Entidades Estatales con base en </w:t>
      </w:r>
      <w:r w:rsidRPr="002D45D7">
        <w:rPr>
          <w:rFonts w:ascii="Verdana" w:eastAsia="Times New Roman" w:hAnsi="Verdana" w:cs="Times New Roman"/>
          <w:i/>
          <w:iCs/>
        </w:rPr>
        <w:t xml:space="preserve">“los siguientes documentos” </w:t>
      </w:r>
      <w:r w:rsidRPr="002D45D7">
        <w:rPr>
          <w:rFonts w:ascii="Verdana" w:eastAsia="Times New Roman" w:hAnsi="Verdana" w:cs="Times New Roman"/>
        </w:rPr>
        <w:t>incluyendo dentro de esta enunciación al certificado expedido por el Ministerio de Trabajo.</w:t>
      </w:r>
      <w:r w:rsidRPr="002D45D7">
        <w:rPr>
          <w:rFonts w:ascii="Verdana" w:hAnsi="Verdana"/>
        </w:rPr>
        <w:t xml:space="preserve"> </w:t>
      </w:r>
      <w:r w:rsidRPr="002D45D7">
        <w:rPr>
          <w:rFonts w:ascii="Verdana" w:eastAsia="Times New Roman" w:hAnsi="Verdana" w:cs="Times New Roman"/>
        </w:rPr>
        <w:t>Esta expresión evidencia que el reglamento no concibió los documentos como opciones excluyentes entre sí, de manera que el proponente pudiera acreditar la condición con uno u otro soporte indistintamente. Por el contrario, de la redacción de la norma se entiende que estos documentos deben acreditarse en conjunto, en tanto constituyen los medios de acreditación definidos por la disposición para verificar el cumplimiento de las condiciones requeridas.</w:t>
      </w:r>
    </w:p>
    <w:p w14:paraId="59C91B57" w14:textId="77777777" w:rsidR="00E41CB5" w:rsidRPr="002D45D7" w:rsidRDefault="00E41CB5" w:rsidP="00E41CB5">
      <w:pPr>
        <w:widowControl w:val="0"/>
        <w:autoSpaceDE w:val="0"/>
        <w:autoSpaceDN w:val="0"/>
        <w:spacing w:after="120" w:line="276" w:lineRule="auto"/>
        <w:ind w:firstLine="708"/>
        <w:jc w:val="both"/>
        <w:rPr>
          <w:rFonts w:ascii="Verdana" w:eastAsia="Times New Roman" w:hAnsi="Verdana" w:cs="Times New Roman"/>
          <w:i/>
          <w:iCs/>
        </w:rPr>
      </w:pPr>
      <w:r w:rsidRPr="002D45D7">
        <w:rPr>
          <w:rFonts w:ascii="Verdana" w:eastAsia="Times New Roman" w:hAnsi="Verdana" w:cs="Times New Roman"/>
        </w:rPr>
        <w:t xml:space="preserve">Lo anterior es congruente con lo dispuesto en la parte considerativa del Decreto 287 de 2026, que señala que “en aras de garantizar los derechos y garantías laborales de las personas con discapacidad, para acceder a los incentivos establecidos en el presente proyecto de decreto se </w:t>
      </w:r>
      <w:r w:rsidRPr="002D45D7">
        <w:rPr>
          <w:rFonts w:ascii="Verdana" w:eastAsia="Times New Roman" w:hAnsi="Verdana" w:cs="Times New Roman"/>
          <w:i/>
          <w:iCs/>
        </w:rPr>
        <w:t xml:space="preserve">mantendrá el </w:t>
      </w:r>
      <w:r w:rsidRPr="002D45D7">
        <w:rPr>
          <w:rFonts w:ascii="Verdana" w:eastAsia="Times New Roman" w:hAnsi="Verdana" w:cs="Times New Roman"/>
          <w:i/>
          <w:iCs/>
        </w:rPr>
        <w:lastRenderedPageBreak/>
        <w:t xml:space="preserve">Certificado a los Empleadores que contraten personas con discapacidad que expide el Ministerio del Trabajo”. </w:t>
      </w:r>
    </w:p>
    <w:p w14:paraId="132ACA5A" w14:textId="77777777" w:rsidR="00E41CB5" w:rsidRPr="002D45D7" w:rsidRDefault="00E41CB5" w:rsidP="00E41CB5">
      <w:pPr>
        <w:widowControl w:val="0"/>
        <w:autoSpaceDE w:val="0"/>
        <w:autoSpaceDN w:val="0"/>
        <w:spacing w:after="120" w:line="276" w:lineRule="auto"/>
        <w:ind w:firstLine="708"/>
        <w:jc w:val="both"/>
        <w:rPr>
          <w:rFonts w:ascii="Verdana" w:eastAsia="Times New Roman" w:hAnsi="Verdana" w:cs="Times New Roman"/>
        </w:rPr>
      </w:pPr>
      <w:r w:rsidRPr="002D45D7">
        <w:rPr>
          <w:rFonts w:ascii="Verdana" w:eastAsia="Times New Roman" w:hAnsi="Verdana" w:cs="Times New Roman"/>
        </w:rPr>
        <w:t xml:space="preserve">En consecuencia, para acceder al puntaje adicional del 2% el proponente deberá aportar de manera conjunta, el certificado </w:t>
      </w:r>
      <w:r w:rsidRPr="002D45D7">
        <w:rPr>
          <w:rFonts w:ascii="Verdana" w:eastAsia="Aptos" w:hAnsi="Verdana" w:cs="Times New Roman"/>
          <w:kern w:val="2"/>
          <w14:ligatures w14:val="standardContextual"/>
        </w:rPr>
        <w:t xml:space="preserve">de discapacidad expedido conforme a la normativa vigente del Ministerio de Salud y Protección Social, el certificado expedido por el Ministerio de Trabajo y los demás documentos previstos en el </w:t>
      </w:r>
      <w:r w:rsidRPr="002D45D7">
        <w:rPr>
          <w:rFonts w:ascii="Verdana" w:eastAsia="Times New Roman" w:hAnsi="Verdana" w:cs="Times New Roman"/>
        </w:rPr>
        <w:t xml:space="preserve">artículo 2.2.1.2.4.2.7.4 del Decreto 287 de 2026. De esta manera, la omisión en la presentación de cualquiera de dichos documentos para el cierre del proceso da lugar a que el proponente no sea acreedor del puntaje adicional previsto en la norma. </w:t>
      </w:r>
    </w:p>
    <w:p w14:paraId="6BA187D4" w14:textId="77777777" w:rsidR="00E41CB5" w:rsidRPr="002D45D7" w:rsidRDefault="00E41CB5" w:rsidP="00E41CB5">
      <w:pPr>
        <w:spacing w:after="120" w:line="276" w:lineRule="auto"/>
        <w:ind w:firstLine="709"/>
        <w:jc w:val="both"/>
        <w:rPr>
          <w:rFonts w:ascii="Verdana" w:hAnsi="Verdana"/>
          <w:sz w:val="20"/>
          <w:szCs w:val="20"/>
        </w:rPr>
      </w:pPr>
      <w:r w:rsidRPr="002D45D7">
        <w:rPr>
          <w:rFonts w:ascii="Verdana" w:eastAsia="Times New Roman" w:hAnsi="Verdana" w:cs="Times New Roman"/>
        </w:rPr>
        <w:t xml:space="preserve">Ahora bien, de acuerdo con la consulta planteada, es pertinente resaltar que el artículo </w:t>
      </w:r>
      <w:r w:rsidRPr="002D45D7">
        <w:rPr>
          <w:rFonts w:ascii="Verdana" w:eastAsia="Aptos" w:hAnsi="Verdana" w:cs="Times New Roman"/>
          <w:kern w:val="2"/>
          <w14:ligatures w14:val="standardContextual"/>
        </w:rPr>
        <w:t xml:space="preserve">2.1.2.4.2.7.4 </w:t>
      </w:r>
      <w:r w:rsidRPr="002D45D7">
        <w:rPr>
          <w:rFonts w:ascii="Verdana" w:eastAsia="Times New Roman" w:hAnsi="Verdana" w:cs="Times New Roman"/>
        </w:rPr>
        <w:t xml:space="preserve">del Decreto 287 de 2026, exige dentro de la documentación para verificar la condición de empleador de personas con discapacidad, los certificados de aportes a seguridad social de los tres (3) meses anteriores a la presentación de la oferta respecto de cada </w:t>
      </w:r>
      <w:proofErr w:type="spellStart"/>
      <w:r w:rsidRPr="002D45D7">
        <w:rPr>
          <w:rFonts w:ascii="Verdana" w:eastAsia="Times New Roman" w:hAnsi="Verdana" w:cs="Times New Roman"/>
        </w:rPr>
        <w:t>PcD</w:t>
      </w:r>
      <w:proofErr w:type="spellEnd"/>
      <w:r w:rsidRPr="002D45D7">
        <w:rPr>
          <w:rFonts w:ascii="Verdana" w:eastAsia="Times New Roman" w:hAnsi="Verdana" w:cs="Times New Roman"/>
        </w:rPr>
        <w:t xml:space="preserve">, en el que se demuestren los pagos realizados por el empleador. La razón de este requisito es garantizar que la vinculación sea real, estable y verificable, y no meramente instrumental para un proceso contractual específico. </w:t>
      </w:r>
    </w:p>
    <w:p w14:paraId="2EE4C581" w14:textId="77777777" w:rsidR="00E41CB5" w:rsidRPr="002D45D7" w:rsidRDefault="00E41CB5" w:rsidP="00E41CB5">
      <w:pPr>
        <w:spacing w:after="120" w:line="276" w:lineRule="auto"/>
        <w:ind w:firstLine="708"/>
        <w:jc w:val="both"/>
        <w:rPr>
          <w:rFonts w:ascii="Verdana" w:eastAsia="Times New Roman" w:hAnsi="Verdana" w:cs="Times New Roman"/>
        </w:rPr>
      </w:pPr>
      <w:r w:rsidRPr="002D45D7">
        <w:rPr>
          <w:rFonts w:ascii="Verdana" w:eastAsia="Times New Roman" w:hAnsi="Verdana" w:cs="Times New Roman"/>
        </w:rPr>
        <w:t xml:space="preserve">El período de tres meses es el umbral mínimo de estabilidad laboral que diferencia un compromiso genuino con la inclusión de una vinculación oportunista. La norma aplica este requisito para cada </w:t>
      </w:r>
      <w:proofErr w:type="spellStart"/>
      <w:r w:rsidRPr="002D45D7">
        <w:rPr>
          <w:rFonts w:ascii="Verdana" w:eastAsia="Times New Roman" w:hAnsi="Verdana" w:cs="Times New Roman"/>
        </w:rPr>
        <w:t>PcD</w:t>
      </w:r>
      <w:proofErr w:type="spellEnd"/>
      <w:r w:rsidRPr="002D45D7">
        <w:rPr>
          <w:rFonts w:ascii="Verdana" w:eastAsia="Times New Roman" w:hAnsi="Verdana" w:cs="Times New Roman"/>
        </w:rPr>
        <w:t xml:space="preserve"> incluida en la acreditación, independientemente de si es una vinculación original o una nueva incorporación. Si una empresa ha incrementado recientemente su planta de </w:t>
      </w:r>
      <w:proofErr w:type="spellStart"/>
      <w:r w:rsidRPr="002D45D7">
        <w:rPr>
          <w:rFonts w:ascii="Verdana" w:eastAsia="Times New Roman" w:hAnsi="Verdana" w:cs="Times New Roman"/>
        </w:rPr>
        <w:t>PcD</w:t>
      </w:r>
      <w:proofErr w:type="spellEnd"/>
      <w:r w:rsidRPr="002D45D7">
        <w:rPr>
          <w:rFonts w:ascii="Verdana" w:eastAsia="Times New Roman" w:hAnsi="Verdana" w:cs="Times New Roman"/>
        </w:rPr>
        <w:t xml:space="preserve"> y alguna de estas vinculaciones no alcanza el período requerido, el proponente puede participar en el proceso utilizando únicamente las </w:t>
      </w:r>
      <w:proofErr w:type="spellStart"/>
      <w:r w:rsidRPr="002D45D7">
        <w:rPr>
          <w:rFonts w:ascii="Verdana" w:eastAsia="Times New Roman" w:hAnsi="Verdana" w:cs="Times New Roman"/>
        </w:rPr>
        <w:t>PcD</w:t>
      </w:r>
      <w:proofErr w:type="spellEnd"/>
      <w:r w:rsidRPr="002D45D7">
        <w:rPr>
          <w:rFonts w:ascii="Verdana" w:eastAsia="Times New Roman" w:hAnsi="Verdana" w:cs="Times New Roman"/>
        </w:rPr>
        <w:t xml:space="preserve"> que sí cumplan el requisito temporal. La consecuencia de no alcanzar el período no es la exclusión del proceso sino la imposibilidad de obtener el puntaje adicional respecto de esas </w:t>
      </w:r>
      <w:proofErr w:type="spellStart"/>
      <w:r w:rsidRPr="002D45D7">
        <w:rPr>
          <w:rFonts w:ascii="Verdana" w:eastAsia="Times New Roman" w:hAnsi="Verdana" w:cs="Times New Roman"/>
        </w:rPr>
        <w:t>PcD</w:t>
      </w:r>
      <w:proofErr w:type="spellEnd"/>
      <w:r w:rsidRPr="002D45D7">
        <w:rPr>
          <w:rFonts w:ascii="Verdana" w:eastAsia="Times New Roman" w:hAnsi="Verdana" w:cs="Times New Roman"/>
        </w:rPr>
        <w:t xml:space="preserve"> específicas, lo que es coherente con los principios de participación y pluralidad de oferentes.</w:t>
      </w:r>
    </w:p>
    <w:p w14:paraId="1979B883" w14:textId="77777777" w:rsidR="00E41CB5" w:rsidRPr="002D45D7" w:rsidRDefault="00E41CB5" w:rsidP="00E41CB5">
      <w:pPr>
        <w:spacing w:after="120" w:line="276" w:lineRule="auto"/>
        <w:ind w:firstLine="708"/>
        <w:jc w:val="both"/>
        <w:rPr>
          <w:rFonts w:ascii="Verdana" w:eastAsia="Times New Roman" w:hAnsi="Verdana" w:cs="Times New Roman"/>
          <w:lang w:val="es-ES"/>
        </w:rPr>
      </w:pPr>
      <w:r w:rsidRPr="002D45D7">
        <w:rPr>
          <w:rFonts w:ascii="Verdana" w:eastAsia="Times New Roman" w:hAnsi="Verdana" w:cs="Times New Roman"/>
        </w:rPr>
        <w:t xml:space="preserve">Por consiguiente, no se está generando una barrera de entrada que pueda reducir la competencia en los procesos que apliquen el puntaje, ya que al tratarse de un requisito que otorga puntaje no determina la participación de los proponentes al proceso de contratación. Como se explicó en la memoria justificativa </w:t>
      </w:r>
      <w:r w:rsidRPr="002D45D7">
        <w:rPr>
          <w:rFonts w:ascii="Verdana" w:eastAsia="Times New Roman" w:hAnsi="Verdana" w:cs="Times New Roman"/>
          <w:lang w:val="es-ES"/>
        </w:rPr>
        <w:t xml:space="preserve">“la vinculación de Personas con Discapacidad constituye un criterio estrictamente opcional dentro del esquema de evaluación, al igual que otros </w:t>
      </w:r>
      <w:r w:rsidRPr="002D45D7">
        <w:rPr>
          <w:rFonts w:ascii="Verdana" w:eastAsia="Times New Roman" w:hAnsi="Verdana" w:cs="Times New Roman"/>
          <w:lang w:val="es-ES"/>
        </w:rPr>
        <w:lastRenderedPageBreak/>
        <w:t>factores de puntaje diferencial, como el enfoque MIPYME o el de empresas lideradas por mujeres, cuya aplicación depende de la decisión estratégica del proponente frente a su capacidad de generar valor agregado en la oferta. En tal sentido, este criterio no configura una obligación general para todos los participantes del mercado, sino un incentivo voluntario que amplía alternativas competitivas sin imponer cargas desproporcionadas ni afectar la libre concurrencia y competencia</w:t>
      </w:r>
      <w:r w:rsidRPr="002D45D7">
        <w:rPr>
          <w:rStyle w:val="Refdenotaalpie"/>
          <w:rFonts w:ascii="Verdana" w:eastAsia="Times New Roman" w:hAnsi="Verdana" w:cs="Times New Roman"/>
          <w:lang w:val="es-ES"/>
        </w:rPr>
        <w:footnoteReference w:id="15"/>
      </w:r>
      <w:r w:rsidRPr="002D45D7">
        <w:rPr>
          <w:rFonts w:ascii="Verdana" w:eastAsia="Times New Roman" w:hAnsi="Verdana" w:cs="Times New Roman"/>
          <w:lang w:val="es-ES"/>
        </w:rPr>
        <w:t>”.</w:t>
      </w:r>
    </w:p>
    <w:p w14:paraId="6DA83A7A" w14:textId="77777777" w:rsidR="00E41CB5" w:rsidRPr="002D45D7" w:rsidRDefault="00E41CB5" w:rsidP="00E41CB5">
      <w:pPr>
        <w:spacing w:after="120" w:line="276" w:lineRule="auto"/>
        <w:ind w:firstLine="708"/>
        <w:jc w:val="both"/>
        <w:rPr>
          <w:rFonts w:ascii="Verdana" w:eastAsia="Times New Roman" w:hAnsi="Verdana" w:cs="Times New Roman"/>
        </w:rPr>
      </w:pPr>
      <w:r w:rsidRPr="002D45D7">
        <w:rPr>
          <w:rFonts w:ascii="Verdana" w:eastAsia="Times New Roman" w:hAnsi="Verdana" w:cs="Times New Roman"/>
          <w:lang w:val="es-ES"/>
        </w:rPr>
        <w:t xml:space="preserve">Vale aclarar que </w:t>
      </w:r>
      <w:r w:rsidRPr="002D45D7">
        <w:rPr>
          <w:rFonts w:ascii="Verdana" w:hAnsi="Verdana"/>
        </w:rPr>
        <w:t>el Decreto 0287 de 2026 no establece periodos de transición o mecanismo equivalente de vinculación gradual, por lo que para acceder al puntaje adicional del 2% la entidad deberá acreditar los documentos descritos, incluyendo</w:t>
      </w:r>
      <w:r w:rsidRPr="002D45D7">
        <w:rPr>
          <w:rFonts w:ascii="Verdana" w:eastAsia="Times New Roman" w:hAnsi="Verdana" w:cs="Times New Roman"/>
        </w:rPr>
        <w:t xml:space="preserve"> los certificados de aportes a seguridad social de los tres (3) meses anteriores a la presentación de la oferta. </w:t>
      </w:r>
    </w:p>
    <w:p w14:paraId="69D83FB2" w14:textId="77777777" w:rsidR="00E41CB5" w:rsidRPr="002D45D7" w:rsidRDefault="00E41CB5" w:rsidP="00E41CB5">
      <w:pPr>
        <w:spacing w:after="120" w:line="276" w:lineRule="auto"/>
        <w:ind w:left="119" w:right="79" w:firstLine="590"/>
        <w:jc w:val="both"/>
        <w:rPr>
          <w:rFonts w:ascii="Verdana" w:eastAsia="Arial" w:hAnsi="Verdana" w:cs="Arial"/>
        </w:rPr>
      </w:pPr>
      <w:r w:rsidRPr="002D45D7">
        <w:rPr>
          <w:rFonts w:ascii="Verdana" w:eastAsia="Arial" w:hAnsi="Verdana" w:cs="Arial"/>
        </w:rPr>
        <w:t>De otra parte, en relación con el inicio de vigencia del Decreto 287 de 2026</w:t>
      </w:r>
      <w:r w:rsidRPr="002D45D7">
        <w:rPr>
          <w:rFonts w:ascii="Verdana" w:eastAsia="Aptos" w:hAnsi="Verdana" w:cs="Times New Roman"/>
          <w:kern w:val="2"/>
          <w14:ligatures w14:val="standardContextual"/>
        </w:rPr>
        <w:t>, el artículo 2 establece las vigencias y derogatorias, en los siguientes términos: “El presente Decreto rige a partir del día siguiente a su publicación, modifica los artículos 2.2.1.2.4.2.6., 2.2.1 .2.4.2.7. y 2.2.1.2.4.2.8. de la Subsección 2 de la Sección 4 del Capítulo 2 del Título 1 de la Parte 2 del Libro 2 del Decreto 1082 de 2015, Único Reglamentario del Sector Administrativo de Planeación, y deroga todas las disposiciones que le sean contrarias”. Este decreto fue publicado el 19 de marzo de 2026, por lo que empezó a regir a partir del 20 de marzo.</w:t>
      </w:r>
    </w:p>
    <w:p w14:paraId="281086BA" w14:textId="77777777" w:rsidR="00E41CB5" w:rsidRPr="002D45D7" w:rsidRDefault="00E41CB5" w:rsidP="00E41CB5">
      <w:pPr>
        <w:widowControl w:val="0"/>
        <w:autoSpaceDE w:val="0"/>
        <w:autoSpaceDN w:val="0"/>
        <w:spacing w:after="120" w:line="276" w:lineRule="auto"/>
        <w:ind w:firstLine="743"/>
        <w:jc w:val="both"/>
        <w:rPr>
          <w:rFonts w:ascii="Verdana" w:eastAsia="Aptos" w:hAnsi="Verdana" w:cs="Times New Roman"/>
          <w:kern w:val="2"/>
          <w14:ligatures w14:val="standardContextual"/>
        </w:rPr>
      </w:pPr>
      <w:r w:rsidRPr="002D45D7">
        <w:rPr>
          <w:rFonts w:ascii="Verdana" w:eastAsia="Aptos" w:hAnsi="Verdana" w:cs="Times New Roman"/>
          <w:kern w:val="2"/>
          <w14:ligatures w14:val="standardContextual"/>
        </w:rPr>
        <w:t xml:space="preserve">Así, la aplicación del Decreto 287 de 2026 en los procesos de contratación que estén en curso depende de si estos contaban o no con resolución de apertura antes del 20 de marzo de 2026: i) La resolución de apertura fue expedida el 19 de marzo de 2026 o antes de esta fecha, en este caso el proceso continúa con las reglas originales sin aplicar el Decreto 287 de 2026; y </w:t>
      </w:r>
      <w:proofErr w:type="spellStart"/>
      <w:r w:rsidRPr="002D45D7">
        <w:rPr>
          <w:rFonts w:ascii="Verdana" w:eastAsia="Aptos" w:hAnsi="Verdana" w:cs="Times New Roman"/>
          <w:kern w:val="2"/>
          <w14:ligatures w14:val="standardContextual"/>
        </w:rPr>
        <w:t>ii</w:t>
      </w:r>
      <w:proofErr w:type="spellEnd"/>
      <w:r w:rsidRPr="002D45D7">
        <w:rPr>
          <w:rFonts w:ascii="Verdana" w:eastAsia="Aptos" w:hAnsi="Verdana" w:cs="Times New Roman"/>
          <w:kern w:val="2"/>
          <w14:ligatures w14:val="standardContextual"/>
        </w:rPr>
        <w:t>) La resolución de apertura no existe, o fue expedida el 20 de marzo de 2026 o en fecha posterior, por lo que se debe incorporar el Decreto 287 de 2026 al proceso contractual y la entidad debe ajustar sus estudios previos y pliegos de condiciones, incluido el proyecto de pliego, para dar pleno cumplimiento al decreto antes de expedir el acto administrativo de apertura.</w:t>
      </w:r>
    </w:p>
    <w:p w14:paraId="1D0D591A" w14:textId="77777777" w:rsidR="00E41CB5" w:rsidRPr="002D45D7" w:rsidRDefault="00E41CB5" w:rsidP="00E41CB5">
      <w:pPr>
        <w:widowControl w:val="0"/>
        <w:autoSpaceDE w:val="0"/>
        <w:autoSpaceDN w:val="0"/>
        <w:spacing w:after="120" w:line="276" w:lineRule="auto"/>
        <w:ind w:firstLine="709"/>
        <w:jc w:val="both"/>
        <w:rPr>
          <w:rFonts w:ascii="Verdana" w:eastAsia="Aptos" w:hAnsi="Verdana" w:cs="Times New Roman"/>
          <w:kern w:val="2"/>
          <w14:ligatures w14:val="standardContextual"/>
        </w:rPr>
      </w:pPr>
      <w:r w:rsidRPr="002D45D7">
        <w:rPr>
          <w:rFonts w:ascii="Verdana" w:eastAsia="Aptos" w:hAnsi="Verdana" w:cs="Times New Roman"/>
          <w:kern w:val="2"/>
          <w14:ligatures w14:val="standardContextual"/>
        </w:rPr>
        <w:t xml:space="preserve">Para los procesos de contratación con proyecto de pliego publicado pero </w:t>
      </w:r>
      <w:r w:rsidRPr="002D45D7">
        <w:rPr>
          <w:rFonts w:ascii="Verdana" w:eastAsia="Aptos" w:hAnsi="Verdana" w:cs="Times New Roman"/>
          <w:kern w:val="2"/>
          <w14:ligatures w14:val="standardContextual"/>
        </w:rPr>
        <w:lastRenderedPageBreak/>
        <w:t>sin apertura al 19 de marzo de 2026, se recomienda que se incorporen las medidas del Decreto 287 de 2026 antes de publicar los pliegos definitivos. En esa etapa aún es posible realizar ajustes sin afectar derechos adquiridos de los proponentes.</w:t>
      </w:r>
    </w:p>
    <w:bookmarkEnd w:id="3"/>
    <w:p w14:paraId="241FF185" w14:textId="77777777" w:rsidR="00E41CB5" w:rsidRPr="002D45D7" w:rsidRDefault="00E41CB5" w:rsidP="00E41CB5">
      <w:pPr>
        <w:spacing w:after="120" w:line="276" w:lineRule="auto"/>
        <w:ind w:firstLine="708"/>
        <w:jc w:val="both"/>
        <w:rPr>
          <w:rFonts w:ascii="Verdana" w:eastAsia="Calibri" w:hAnsi="Verdana" w:cs="Arial"/>
        </w:rPr>
      </w:pPr>
      <w:r w:rsidRPr="002D45D7">
        <w:rPr>
          <w:rFonts w:ascii="Verdana" w:eastAsia="Calibri" w:hAnsi="Verdana" w:cs="Arial"/>
        </w:rPr>
        <w:t xml:space="preserve">Finalmente, debe advertirse que el análisis requerido para resolver problemas específicos en torno a la gestión contractual de las Entidades Estatales,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de adoptar la decisión y, en caso de conflicto, a las autoridades judiciales, fiscales y disciplinarias.  </w:t>
      </w:r>
    </w:p>
    <w:p w14:paraId="78814232" w14:textId="77777777" w:rsidR="00E41CB5" w:rsidRPr="002D45D7" w:rsidRDefault="00E41CB5" w:rsidP="00E41CB5">
      <w:pPr>
        <w:spacing w:after="120" w:line="276" w:lineRule="auto"/>
        <w:ind w:firstLine="708"/>
        <w:jc w:val="both"/>
        <w:rPr>
          <w:rFonts w:ascii="Verdana" w:eastAsia="Calibri" w:hAnsi="Verdana" w:cs="Arial"/>
        </w:rPr>
      </w:pPr>
      <w:r w:rsidRPr="002D45D7">
        <w:rPr>
          <w:rFonts w:ascii="Verdana" w:eastAsia="Calibri" w:hAnsi="Verdana" w:cs="Arial"/>
        </w:rPr>
        <w:t xml:space="preserve">Dentro de este marco, la entidad contratante definirá en cada caso concreto lo relacionado con el tema objeto de consulta. Al tratarse de un análisis que debe realizarse a un asunto particular y concreto,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  </w:t>
      </w:r>
    </w:p>
    <w:p w14:paraId="11D571ED" w14:textId="77777777" w:rsidR="00E41CB5" w:rsidRPr="002D45D7" w:rsidRDefault="00E41CB5" w:rsidP="00E41CB5">
      <w:pPr>
        <w:widowControl w:val="0"/>
        <w:autoSpaceDE w:val="0"/>
        <w:autoSpaceDN w:val="0"/>
        <w:spacing w:after="0" w:line="276" w:lineRule="auto"/>
        <w:contextualSpacing/>
        <w:jc w:val="both"/>
        <w:rPr>
          <w:rFonts w:ascii="Verdana" w:eastAsia="Aptos" w:hAnsi="Verdana" w:cs="Arial"/>
        </w:rPr>
      </w:pPr>
    </w:p>
    <w:p w14:paraId="44804B04" w14:textId="77777777" w:rsidR="00E41CB5" w:rsidRPr="002D45D7" w:rsidRDefault="00E41CB5" w:rsidP="00E41CB5">
      <w:pPr>
        <w:widowControl w:val="0"/>
        <w:autoSpaceDE w:val="0"/>
        <w:autoSpaceDN w:val="0"/>
        <w:spacing w:before="1" w:after="0" w:line="240" w:lineRule="auto"/>
        <w:outlineLvl w:val="0"/>
        <w:rPr>
          <w:rFonts w:ascii="Verdana" w:eastAsia="Arial" w:hAnsi="Verdana" w:cs="Arial"/>
          <w:b/>
          <w:bCs/>
          <w:lang w:val="es-ES"/>
        </w:rPr>
      </w:pPr>
      <w:r w:rsidRPr="002D45D7">
        <w:rPr>
          <w:rFonts w:ascii="Verdana" w:eastAsia="Arial" w:hAnsi="Verdana" w:cs="Arial"/>
          <w:b/>
          <w:bCs/>
          <w:lang w:val="es-ES"/>
        </w:rPr>
        <w:t>4. Referencias normativas, jurisprudenciales y otras fuentes:</w:t>
      </w:r>
    </w:p>
    <w:p w14:paraId="08CAC1F5" w14:textId="77777777" w:rsidR="00E41CB5" w:rsidRPr="002D45D7" w:rsidRDefault="00E41CB5" w:rsidP="00E41CB5">
      <w:pPr>
        <w:widowControl w:val="0"/>
        <w:autoSpaceDE w:val="0"/>
        <w:autoSpaceDN w:val="0"/>
        <w:spacing w:after="0" w:line="276" w:lineRule="auto"/>
        <w:jc w:val="both"/>
        <w:rPr>
          <w:rFonts w:ascii="Verdana" w:eastAsia="Aptos"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E41CB5" w:rsidRPr="002D45D7" w14:paraId="3168B7E3" w14:textId="77777777" w:rsidTr="007D74F3">
        <w:trPr>
          <w:trHeight w:val="870"/>
        </w:trPr>
        <w:tc>
          <w:tcPr>
            <w:tcW w:w="8647" w:type="dxa"/>
          </w:tcPr>
          <w:p w14:paraId="657F7DE3" w14:textId="77777777" w:rsidR="00E41CB5" w:rsidRPr="002D45D7" w:rsidRDefault="00E41CB5" w:rsidP="00E41CB5">
            <w:pPr>
              <w:widowControl w:val="0"/>
              <w:numPr>
                <w:ilvl w:val="0"/>
                <w:numId w:val="2"/>
              </w:numPr>
              <w:autoSpaceDE w:val="0"/>
              <w:autoSpaceDN w:val="0"/>
              <w:spacing w:line="276" w:lineRule="auto"/>
              <w:contextualSpacing/>
              <w:jc w:val="both"/>
              <w:rPr>
                <w:rFonts w:ascii="Verdana" w:eastAsia="Calibri" w:hAnsi="Verdana" w:cs="Arial"/>
              </w:rPr>
            </w:pPr>
            <w:r w:rsidRPr="002D45D7">
              <w:rPr>
                <w:rFonts w:ascii="Verdana" w:eastAsia="Calibri" w:hAnsi="Verdana" w:cs="Arial"/>
              </w:rPr>
              <w:t>Ley 1618 de 2013</w:t>
            </w:r>
          </w:p>
          <w:p w14:paraId="670D5BE8" w14:textId="77777777" w:rsidR="00E41CB5" w:rsidRPr="002D45D7" w:rsidRDefault="00E41CB5" w:rsidP="00E41CB5">
            <w:pPr>
              <w:widowControl w:val="0"/>
              <w:numPr>
                <w:ilvl w:val="0"/>
                <w:numId w:val="1"/>
              </w:numPr>
              <w:autoSpaceDE w:val="0"/>
              <w:autoSpaceDN w:val="0"/>
              <w:spacing w:line="276" w:lineRule="auto"/>
              <w:contextualSpacing/>
              <w:jc w:val="both"/>
              <w:rPr>
                <w:rFonts w:ascii="Verdana" w:eastAsia="Calibri" w:hAnsi="Verdana" w:cs="Arial"/>
              </w:rPr>
            </w:pPr>
            <w:r w:rsidRPr="002D45D7">
              <w:rPr>
                <w:rFonts w:ascii="Verdana" w:eastAsia="Calibri" w:hAnsi="Verdana" w:cs="Arial"/>
                <w:lang w:val="es-ES_tradnl"/>
              </w:rPr>
              <w:t>Decreto 287 de 2026: Artículo 1 y artículo 2.</w:t>
            </w:r>
          </w:p>
          <w:p w14:paraId="068BC972" w14:textId="77777777" w:rsidR="00E41CB5" w:rsidRPr="002D45D7" w:rsidRDefault="00E41CB5" w:rsidP="00E41CB5">
            <w:pPr>
              <w:pStyle w:val="Prrafodelista"/>
              <w:numPr>
                <w:ilvl w:val="0"/>
                <w:numId w:val="1"/>
              </w:numPr>
              <w:spacing w:line="240" w:lineRule="auto"/>
              <w:jc w:val="both"/>
              <w:rPr>
                <w:rFonts w:ascii="Verdana" w:eastAsia="Calibri" w:hAnsi="Verdana" w:cs="Arial"/>
              </w:rPr>
            </w:pPr>
            <w:r w:rsidRPr="002D45D7">
              <w:rPr>
                <w:rFonts w:ascii="Verdana" w:eastAsia="Calibri" w:hAnsi="Verdana" w:cs="Arial"/>
              </w:rPr>
              <w:t>Consejo de Estado, Sección Quinta, del 12 de diciembre de 2024 (Rad. 05001-23-33-000-2024-00847-01, M.P. Omar Joaquín Barreto Suárez)</w:t>
            </w:r>
          </w:p>
          <w:p w14:paraId="3BBBDF0D" w14:textId="77777777" w:rsidR="00E41CB5" w:rsidRPr="002D45D7" w:rsidRDefault="00E41CB5" w:rsidP="00E41CB5">
            <w:pPr>
              <w:widowControl w:val="0"/>
              <w:numPr>
                <w:ilvl w:val="0"/>
                <w:numId w:val="1"/>
              </w:numPr>
              <w:autoSpaceDE w:val="0"/>
              <w:autoSpaceDN w:val="0"/>
              <w:spacing w:line="276" w:lineRule="auto"/>
              <w:contextualSpacing/>
              <w:jc w:val="both"/>
              <w:rPr>
                <w:rFonts w:ascii="Verdana" w:eastAsia="Aptos" w:hAnsi="Verdana" w:cs="Arial"/>
              </w:rPr>
            </w:pPr>
            <w:r w:rsidRPr="002D45D7">
              <w:rPr>
                <w:rFonts w:ascii="Verdana" w:eastAsia="Aptos" w:hAnsi="Verdana" w:cs="Times New Roman"/>
                <w:kern w:val="2"/>
                <w14:ligatures w14:val="standardContextual"/>
              </w:rPr>
              <w:t xml:space="preserve">ABC del Decreto 0287 de 2026 “Contratación pública inclusiva para personas con discapacidad” disponible en: </w:t>
            </w:r>
            <w:hyperlink r:id="rId12" w:history="1">
              <w:r w:rsidRPr="002D45D7">
                <w:rPr>
                  <w:rStyle w:val="Hipervnculo"/>
                  <w:rFonts w:ascii="Verdana" w:hAnsi="Verdana"/>
                  <w:sz w:val="16"/>
                  <w:szCs w:val="16"/>
                </w:rPr>
                <w:t>https://www.colombiacompra.gov.co/wp-content/uploads/2026/04/ABC-Decreto-0287-de-2026-1.pdf</w:t>
              </w:r>
            </w:hyperlink>
          </w:p>
        </w:tc>
      </w:tr>
    </w:tbl>
    <w:p w14:paraId="196341DB" w14:textId="77777777" w:rsidR="00E41CB5" w:rsidRPr="002D45D7" w:rsidRDefault="00E41CB5" w:rsidP="00E41CB5">
      <w:pPr>
        <w:widowControl w:val="0"/>
        <w:autoSpaceDE w:val="0"/>
        <w:autoSpaceDN w:val="0"/>
        <w:spacing w:after="0" w:line="276" w:lineRule="auto"/>
        <w:jc w:val="both"/>
        <w:rPr>
          <w:rFonts w:ascii="Verdana" w:eastAsia="Aptos" w:hAnsi="Verdana" w:cs="Arial"/>
        </w:rPr>
      </w:pPr>
    </w:p>
    <w:p w14:paraId="0FE21F7D" w14:textId="77777777" w:rsidR="00E41CB5" w:rsidRPr="002D45D7" w:rsidRDefault="00E41CB5" w:rsidP="00E41CB5">
      <w:pPr>
        <w:widowControl w:val="0"/>
        <w:autoSpaceDE w:val="0"/>
        <w:autoSpaceDN w:val="0"/>
        <w:spacing w:before="1" w:after="0" w:line="240" w:lineRule="auto"/>
        <w:outlineLvl w:val="0"/>
        <w:rPr>
          <w:rFonts w:ascii="Verdana" w:eastAsia="Arial" w:hAnsi="Verdana" w:cs="Arial"/>
          <w:b/>
          <w:bCs/>
          <w:lang w:val="es-ES"/>
        </w:rPr>
      </w:pPr>
      <w:r w:rsidRPr="002D45D7">
        <w:rPr>
          <w:rFonts w:ascii="Verdana" w:eastAsia="Arial" w:hAnsi="Verdana" w:cs="Arial"/>
          <w:b/>
          <w:bCs/>
          <w:lang w:val="es-ES"/>
        </w:rPr>
        <w:t>5. Doctrina de la Agencia Nacional de Contratación Pública:</w:t>
      </w:r>
    </w:p>
    <w:p w14:paraId="70DEC956" w14:textId="77777777" w:rsidR="00E41CB5" w:rsidRPr="002D45D7" w:rsidRDefault="00E41CB5" w:rsidP="00E41CB5">
      <w:pPr>
        <w:widowControl w:val="0"/>
        <w:autoSpaceDE w:val="0"/>
        <w:autoSpaceDN w:val="0"/>
        <w:spacing w:after="0" w:line="276" w:lineRule="auto"/>
        <w:jc w:val="both"/>
        <w:rPr>
          <w:rFonts w:ascii="Verdana" w:eastAsia="Aptos" w:hAnsi="Verdana" w:cs="Arial"/>
        </w:rPr>
      </w:pPr>
    </w:p>
    <w:p w14:paraId="2DDEDAA9" w14:textId="77777777" w:rsidR="00E41CB5" w:rsidRPr="002D45D7" w:rsidRDefault="00E41CB5" w:rsidP="00E41CB5">
      <w:pPr>
        <w:widowControl w:val="0"/>
        <w:autoSpaceDE w:val="0"/>
        <w:autoSpaceDN w:val="0"/>
        <w:spacing w:after="0" w:line="276" w:lineRule="auto"/>
        <w:jc w:val="both"/>
        <w:rPr>
          <w:rFonts w:ascii="Verdana" w:eastAsia="Times New Roman" w:hAnsi="Verdana" w:cs="Arial"/>
          <w:shd w:val="clear" w:color="auto" w:fill="FFFFFF"/>
          <w:lang w:val="es-ES"/>
        </w:rPr>
      </w:pPr>
      <w:r w:rsidRPr="002D45D7">
        <w:rPr>
          <w:rFonts w:ascii="Verdana" w:eastAsia="Calibri" w:hAnsi="Verdana" w:cs="Arial"/>
          <w:lang w:val="es-ES"/>
        </w:rPr>
        <w:lastRenderedPageBreak/>
        <w:t xml:space="preserve">La Agencia Nacional de Contratación Pública – Colombia Compra Eficiente se ha referido </w:t>
      </w:r>
      <w:r w:rsidRPr="002D45D7">
        <w:rPr>
          <w:rFonts w:ascii="Verdana" w:hAnsi="Verdana" w:cs="Arial"/>
          <w:shd w:val="clear" w:color="auto" w:fill="FFFFFF"/>
          <w:lang w:val="es-ES"/>
        </w:rPr>
        <w:t xml:space="preserve">sobre el alcance del Decreto 0287 de 2026 en el concepto C-015 del 30 de enero de 2026, C-629 del 11 de mayo de 2026, C-648 del 15 de mayo de 2026, C-654 del 01 de junio de 2026, C-971 del 06 de julio de 2026. </w:t>
      </w:r>
      <w:r w:rsidRPr="002D45D7">
        <w:rPr>
          <w:rFonts w:ascii="Verdana" w:eastAsia="Calibri" w:hAnsi="Verdana" w:cs="Arial"/>
          <w:color w:val="000000"/>
          <w:shd w:val="clear" w:color="auto" w:fill="FFFFFF"/>
        </w:rPr>
        <w:t xml:space="preserve">Los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3" w:history="1">
        <w:r w:rsidRPr="002D45D7">
          <w:rPr>
            <w:rFonts w:ascii="Verdana" w:eastAsia="Aptos" w:hAnsi="Verdana" w:cs="Arial"/>
            <w:color w:val="0000FF"/>
            <w:kern w:val="2"/>
            <w:u w:val="single"/>
            <w:shd w:val="clear" w:color="auto" w:fill="FFFFFF"/>
            <w14:ligatures w14:val="standardContextual"/>
          </w:rPr>
          <w:t>https://relatoria.colombiacompra.gov.co/busqueda/conceptos</w:t>
        </w:r>
      </w:hyperlink>
      <w:r w:rsidRPr="002D45D7">
        <w:rPr>
          <w:rFonts w:ascii="Verdana" w:eastAsia="Aptos" w:hAnsi="Verdana" w:cs="Arial"/>
          <w:kern w:val="2"/>
          <w:shd w:val="clear" w:color="auto" w:fill="FFFFFF"/>
          <w14:ligatures w14:val="standardContextual"/>
        </w:rPr>
        <w:t xml:space="preserve">. </w:t>
      </w:r>
      <w:r w:rsidRPr="002D45D7">
        <w:rPr>
          <w:rFonts w:ascii="Verdana" w:eastAsia="Aptos" w:hAnsi="Verdana" w:cs="Arial"/>
          <w:color w:val="FF0000"/>
          <w:kern w:val="2"/>
          <w:shd w:val="clear" w:color="auto" w:fill="FFFFFF"/>
          <w:lang w:val="es-ES"/>
          <w14:ligatures w14:val="standardContextual"/>
        </w:rPr>
        <w:t xml:space="preserve">  </w:t>
      </w:r>
    </w:p>
    <w:p w14:paraId="597746F5" w14:textId="77777777" w:rsidR="00E41CB5" w:rsidRPr="002D45D7" w:rsidRDefault="00E41CB5" w:rsidP="00E41CB5">
      <w:pPr>
        <w:spacing w:after="0" w:line="240" w:lineRule="auto"/>
        <w:jc w:val="both"/>
        <w:rPr>
          <w:rFonts w:ascii="Verdana" w:eastAsia="Aptos" w:hAnsi="Verdana" w:cs="Times New Roman"/>
        </w:rPr>
      </w:pPr>
    </w:p>
    <w:p w14:paraId="4FE9FC5F" w14:textId="77777777" w:rsidR="00E41CB5" w:rsidRPr="002D45D7" w:rsidRDefault="00E41CB5" w:rsidP="00E41CB5">
      <w:pPr>
        <w:spacing w:after="0" w:line="240" w:lineRule="auto"/>
        <w:jc w:val="both"/>
        <w:rPr>
          <w:rFonts w:ascii="Verdana" w:eastAsia="Aptos" w:hAnsi="Verdana" w:cs="Times New Roman"/>
        </w:rPr>
      </w:pPr>
      <w:r w:rsidRPr="002D45D7">
        <w:rPr>
          <w:rFonts w:ascii="Verdana" w:eastAsia="Aptos" w:hAnsi="Verdana" w:cs="Times New Roman"/>
        </w:rPr>
        <w:t xml:space="preserve">Por último, lo invitamos a seguirnos en las redes sociales en las cuales se difunde información institucional: </w:t>
      </w:r>
    </w:p>
    <w:p w14:paraId="5E839A68" w14:textId="77777777" w:rsidR="00E41CB5" w:rsidRPr="002D45D7" w:rsidRDefault="00E41CB5" w:rsidP="00E41CB5">
      <w:pPr>
        <w:spacing w:after="0" w:line="240" w:lineRule="auto"/>
        <w:jc w:val="both"/>
        <w:rPr>
          <w:rFonts w:ascii="Verdana" w:eastAsia="Aptos" w:hAnsi="Verdana" w:cs="Times New Roman"/>
        </w:rPr>
      </w:pPr>
    </w:p>
    <w:p w14:paraId="79C77613" w14:textId="77777777" w:rsidR="00E41CB5" w:rsidRPr="002D45D7" w:rsidRDefault="00E41CB5" w:rsidP="00E41CB5">
      <w:pPr>
        <w:spacing w:after="0" w:line="240" w:lineRule="auto"/>
        <w:jc w:val="both"/>
        <w:rPr>
          <w:rFonts w:ascii="Verdana" w:eastAsia="Aptos" w:hAnsi="Verdana" w:cs="Times New Roman"/>
        </w:rPr>
      </w:pPr>
      <w:r w:rsidRPr="002D45D7">
        <w:rPr>
          <w:rFonts w:ascii="Verdana" w:eastAsia="Aptos" w:hAnsi="Verdana" w:cs="Times New Roman"/>
        </w:rPr>
        <w:t xml:space="preserve">Twitter: </w:t>
      </w:r>
      <w:r w:rsidRPr="002D45D7">
        <w:rPr>
          <w:rFonts w:ascii="Verdana" w:eastAsia="Aptos" w:hAnsi="Verdana" w:cs="Times New Roman"/>
          <w:color w:val="156082"/>
          <w:u w:val="single"/>
        </w:rPr>
        <w:t>@colombiacompra</w:t>
      </w:r>
      <w:r w:rsidRPr="002D45D7">
        <w:rPr>
          <w:rFonts w:ascii="Verdana" w:eastAsia="Aptos" w:hAnsi="Verdana" w:cs="Times New Roman"/>
          <w:color w:val="156082"/>
        </w:rPr>
        <w:t xml:space="preserve"> </w:t>
      </w:r>
    </w:p>
    <w:p w14:paraId="74099F20" w14:textId="77777777" w:rsidR="00E41CB5" w:rsidRPr="002D45D7" w:rsidRDefault="00E41CB5" w:rsidP="00E41CB5">
      <w:pPr>
        <w:spacing w:after="0" w:line="240" w:lineRule="auto"/>
        <w:jc w:val="both"/>
        <w:rPr>
          <w:rFonts w:ascii="Verdana" w:eastAsia="Aptos" w:hAnsi="Verdana" w:cs="Times New Roman"/>
        </w:rPr>
      </w:pPr>
      <w:r w:rsidRPr="002D45D7">
        <w:rPr>
          <w:rFonts w:ascii="Verdana" w:eastAsia="Aptos" w:hAnsi="Verdana" w:cs="Times New Roman"/>
        </w:rPr>
        <w:t xml:space="preserve">Facebook: </w:t>
      </w:r>
      <w:proofErr w:type="spellStart"/>
      <w:r w:rsidRPr="002D45D7">
        <w:rPr>
          <w:rFonts w:ascii="Verdana" w:eastAsia="Aptos" w:hAnsi="Verdana" w:cs="Times New Roman"/>
          <w:color w:val="156082"/>
          <w:u w:val="single"/>
        </w:rPr>
        <w:t>ColombiaCompraEficiente</w:t>
      </w:r>
      <w:proofErr w:type="spellEnd"/>
    </w:p>
    <w:p w14:paraId="302A81F1" w14:textId="77777777" w:rsidR="00E41CB5" w:rsidRPr="002D45D7" w:rsidRDefault="00E41CB5" w:rsidP="00E41CB5">
      <w:pPr>
        <w:spacing w:after="0" w:line="240" w:lineRule="auto"/>
        <w:jc w:val="both"/>
        <w:rPr>
          <w:rFonts w:ascii="Verdana" w:eastAsia="Aptos" w:hAnsi="Verdana" w:cs="Times New Roman"/>
        </w:rPr>
      </w:pPr>
      <w:r w:rsidRPr="002D45D7">
        <w:rPr>
          <w:rFonts w:ascii="Verdana" w:eastAsia="Aptos" w:hAnsi="Verdana" w:cs="Times New Roman"/>
        </w:rPr>
        <w:t xml:space="preserve">LinkedIn: </w:t>
      </w:r>
      <w:r w:rsidRPr="002D45D7">
        <w:rPr>
          <w:rFonts w:ascii="Verdana" w:eastAsia="Aptos" w:hAnsi="Verdana" w:cs="Times New Roman"/>
          <w:color w:val="156082"/>
          <w:u w:val="single"/>
        </w:rPr>
        <w:t>Agencia Nacional de Contratación Pública - Colombia Compra Eficiente</w:t>
      </w:r>
      <w:r w:rsidRPr="002D45D7">
        <w:rPr>
          <w:rFonts w:ascii="Verdana" w:eastAsia="Aptos" w:hAnsi="Verdana" w:cs="Times New Roman"/>
          <w:color w:val="156082"/>
        </w:rPr>
        <w:t xml:space="preserve"> </w:t>
      </w:r>
      <w:r w:rsidRPr="002D45D7">
        <w:rPr>
          <w:rFonts w:ascii="Verdana" w:eastAsia="Aptos" w:hAnsi="Verdana" w:cs="Times New Roman"/>
        </w:rPr>
        <w:t xml:space="preserve">Instagram: </w:t>
      </w:r>
      <w:r w:rsidRPr="002D45D7">
        <w:rPr>
          <w:rFonts w:ascii="Verdana" w:eastAsia="Aptos" w:hAnsi="Verdana" w:cs="Times New Roman"/>
          <w:color w:val="156082"/>
          <w:u w:val="single"/>
        </w:rPr>
        <w:t>@colombiacompraeficiente_cce</w:t>
      </w:r>
    </w:p>
    <w:p w14:paraId="69C7C301" w14:textId="77777777" w:rsidR="00E41CB5" w:rsidRPr="002D45D7" w:rsidRDefault="00E41CB5" w:rsidP="00E41CB5">
      <w:pPr>
        <w:widowControl w:val="0"/>
        <w:autoSpaceDE w:val="0"/>
        <w:autoSpaceDN w:val="0"/>
        <w:spacing w:after="0" w:line="276" w:lineRule="auto"/>
        <w:jc w:val="both"/>
        <w:rPr>
          <w:rFonts w:ascii="Verdana" w:eastAsia="Aptos" w:hAnsi="Verdana" w:cs="Arial"/>
        </w:rPr>
      </w:pPr>
    </w:p>
    <w:p w14:paraId="2F90F001" w14:textId="77777777" w:rsidR="00E41CB5" w:rsidRPr="002D45D7" w:rsidRDefault="00E41CB5" w:rsidP="00E41CB5">
      <w:pPr>
        <w:widowControl w:val="0"/>
        <w:autoSpaceDE w:val="0"/>
        <w:autoSpaceDN w:val="0"/>
        <w:spacing w:after="0" w:line="276" w:lineRule="auto"/>
        <w:jc w:val="both"/>
        <w:rPr>
          <w:rFonts w:ascii="Verdana" w:eastAsia="Aptos" w:hAnsi="Verdana" w:cs="Arial"/>
          <w:lang w:val="es-ES_tradnl"/>
        </w:rPr>
      </w:pPr>
      <w:r w:rsidRPr="002D45D7">
        <w:rPr>
          <w:rFonts w:ascii="Verdana" w:eastAsia="Aptos" w:hAnsi="Verdana" w:cs="Arial"/>
        </w:rPr>
        <w:t xml:space="preserve">Este concepto tiene el alcance previsto en el artículo 28 del Código de Procedimiento Administrativo y de lo Contencioso Administrativo </w:t>
      </w:r>
      <w:r w:rsidRPr="002D45D7">
        <w:rPr>
          <w:rFonts w:ascii="Verdana" w:eastAsia="Aptos" w:hAnsi="Verdana" w:cs="Arial"/>
          <w:lang w:val="es-ES_tradnl"/>
        </w:rPr>
        <w:t>y las expresiones aquí utilizadas con mayúscula inicial deben ser entendidas con el significado que les otorga el artículo 2.2.1.1.1.3.1. del Decreto 1082 de 2015.</w:t>
      </w:r>
    </w:p>
    <w:p w14:paraId="66542CC1" w14:textId="77777777" w:rsidR="00E41CB5" w:rsidRPr="002D45D7" w:rsidRDefault="00E41CB5" w:rsidP="00E41CB5">
      <w:pPr>
        <w:widowControl w:val="0"/>
        <w:autoSpaceDE w:val="0"/>
        <w:autoSpaceDN w:val="0"/>
        <w:spacing w:after="0" w:line="276" w:lineRule="auto"/>
        <w:jc w:val="both"/>
        <w:rPr>
          <w:rFonts w:ascii="Verdana" w:eastAsia="Aptos" w:hAnsi="Verdana" w:cs="Arial"/>
        </w:rPr>
      </w:pPr>
    </w:p>
    <w:p w14:paraId="4645D283" w14:textId="77777777" w:rsidR="00E41CB5" w:rsidRPr="002D45D7" w:rsidRDefault="00E41CB5" w:rsidP="00E41CB5">
      <w:pPr>
        <w:spacing w:after="0" w:line="240" w:lineRule="auto"/>
        <w:rPr>
          <w:rFonts w:ascii="Verdana" w:eastAsia="Aptos" w:hAnsi="Verdana" w:cs="Arial"/>
          <w:lang w:eastAsia="es-CO"/>
        </w:rPr>
      </w:pPr>
      <w:r w:rsidRPr="002D45D7">
        <w:rPr>
          <w:rFonts w:ascii="Verdana" w:eastAsia="Times New Roman" w:hAnsi="Verdana" w:cs="Arial"/>
          <w:lang w:eastAsia="es-CO"/>
        </w:rPr>
        <w:t>Atentamente,</w:t>
      </w:r>
      <w:r w:rsidRPr="002D45D7">
        <w:rPr>
          <w:rFonts w:ascii="Verdana" w:eastAsia="Aptos" w:hAnsi="Verdana" w:cs="Arial"/>
          <w:lang w:eastAsia="es-CO"/>
        </w:rPr>
        <w:t xml:space="preserve"> </w:t>
      </w:r>
    </w:p>
    <w:p w14:paraId="2EA0634A" w14:textId="746AE256" w:rsidR="00E41CB5" w:rsidRPr="002D45D7" w:rsidRDefault="00541BEC" w:rsidP="00E41CB5">
      <w:pPr>
        <w:spacing w:line="276" w:lineRule="auto"/>
        <w:jc w:val="center"/>
        <w:rPr>
          <w:rFonts w:ascii="Verdana" w:eastAsia="Aptos" w:hAnsi="Verdana" w:cs="Times New Roman"/>
          <w:noProof/>
          <w:lang w:eastAsia="es-CO"/>
        </w:rPr>
      </w:pPr>
      <w:r>
        <w:rPr>
          <w:noProof/>
        </w:rPr>
        <w:drawing>
          <wp:inline distT="0" distB="0" distL="0" distR="0" wp14:anchorId="4379EBB0" wp14:editId="37538EE3">
            <wp:extent cx="3261995" cy="1391920"/>
            <wp:effectExtent l="0" t="0" r="0" b="0"/>
            <wp:docPr id="32965855"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61995" cy="1391920"/>
                    </a:xfrm>
                    <a:prstGeom prst="rect">
                      <a:avLst/>
                    </a:prstGeom>
                    <a:noFill/>
                    <a:ln>
                      <a:noFill/>
                    </a:ln>
                  </pic:spPr>
                </pic:pic>
              </a:graphicData>
            </a:graphic>
          </wp:inline>
        </w:drawing>
      </w:r>
    </w:p>
    <w:p w14:paraId="5A0DE253" w14:textId="77777777" w:rsidR="00E41CB5" w:rsidRPr="002D45D7" w:rsidRDefault="00E41CB5" w:rsidP="00E41CB5">
      <w:pPr>
        <w:spacing w:line="276" w:lineRule="auto"/>
        <w:jc w:val="center"/>
        <w:rPr>
          <w:rFonts w:ascii="Verdana" w:eastAsia="Aptos" w:hAnsi="Verdana" w:cs="Arial"/>
          <w:lang w:val="es-ES_tradnl" w:eastAsia="es-CO"/>
        </w:rPr>
      </w:pPr>
    </w:p>
    <w:tbl>
      <w:tblPr>
        <w:tblStyle w:val="Tablaconcuadrcula11"/>
        <w:tblpPr w:leftFromText="141" w:rightFromText="141" w:vertAnchor="text" w:horzAnchor="margin"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4344"/>
      </w:tblGrid>
      <w:tr w:rsidR="00E41CB5" w:rsidRPr="002D45D7" w14:paraId="0C4D592B" w14:textId="77777777" w:rsidTr="007D74F3">
        <w:trPr>
          <w:trHeight w:val="286"/>
        </w:trPr>
        <w:tc>
          <w:tcPr>
            <w:tcW w:w="901" w:type="dxa"/>
            <w:vAlign w:val="center"/>
            <w:hideMark/>
          </w:tcPr>
          <w:p w14:paraId="61B07F30" w14:textId="77777777" w:rsidR="00E41CB5" w:rsidRPr="002D45D7" w:rsidRDefault="00E41CB5" w:rsidP="007D74F3">
            <w:pPr>
              <w:rPr>
                <w:rFonts w:ascii="Verdana" w:eastAsia="Aptos" w:hAnsi="Verdana" w:cs="Arial"/>
                <w:sz w:val="14"/>
                <w:szCs w:val="14"/>
                <w:lang w:eastAsia="es-ES"/>
              </w:rPr>
            </w:pPr>
            <w:r w:rsidRPr="002D45D7">
              <w:rPr>
                <w:rFonts w:ascii="Verdana" w:eastAsia="Aptos" w:hAnsi="Verdana" w:cs="Arial"/>
                <w:sz w:val="14"/>
                <w:szCs w:val="14"/>
                <w:lang w:eastAsia="es-ES"/>
              </w:rPr>
              <w:t>Elaboró:</w:t>
            </w:r>
          </w:p>
        </w:tc>
        <w:tc>
          <w:tcPr>
            <w:tcW w:w="4344" w:type="dxa"/>
            <w:tcBorders>
              <w:top w:val="nil"/>
              <w:left w:val="nil"/>
              <w:bottom w:val="dotted" w:sz="4" w:space="0" w:color="7F7F7F"/>
              <w:right w:val="nil"/>
            </w:tcBorders>
            <w:vAlign w:val="center"/>
            <w:hideMark/>
          </w:tcPr>
          <w:p w14:paraId="4B0C4A00" w14:textId="77777777" w:rsidR="00E41CB5" w:rsidRPr="002D45D7" w:rsidRDefault="00E41CB5" w:rsidP="007D74F3">
            <w:pPr>
              <w:rPr>
                <w:rFonts w:ascii="Verdana" w:eastAsia="Aptos" w:hAnsi="Verdana" w:cs="Arial"/>
                <w:sz w:val="14"/>
                <w:szCs w:val="14"/>
                <w:lang w:eastAsia="es-ES"/>
              </w:rPr>
            </w:pPr>
            <w:r w:rsidRPr="002D45D7">
              <w:rPr>
                <w:rFonts w:ascii="Verdana" w:eastAsia="Aptos" w:hAnsi="Verdana" w:cs="Arial"/>
                <w:sz w:val="14"/>
                <w:szCs w:val="14"/>
                <w:lang w:eastAsia="es-ES"/>
              </w:rPr>
              <w:t>Nasly Yeana Mosquera Rivas</w:t>
            </w:r>
          </w:p>
          <w:p w14:paraId="317FBB9E" w14:textId="77777777" w:rsidR="00E41CB5" w:rsidRPr="002D45D7" w:rsidRDefault="00E41CB5" w:rsidP="007D74F3">
            <w:pPr>
              <w:rPr>
                <w:rFonts w:ascii="Verdana" w:eastAsia="Aptos" w:hAnsi="Verdana" w:cs="Arial"/>
                <w:sz w:val="14"/>
                <w:szCs w:val="14"/>
                <w:lang w:eastAsia="es-ES"/>
              </w:rPr>
            </w:pPr>
            <w:r w:rsidRPr="002D45D7">
              <w:rPr>
                <w:rFonts w:ascii="Verdana" w:eastAsia="Aptos" w:hAnsi="Verdana" w:cs="Arial"/>
                <w:sz w:val="14"/>
                <w:szCs w:val="14"/>
                <w:lang w:eastAsia="es-ES"/>
              </w:rPr>
              <w:t>Analista T2–06 de la Subdirección de Gestión Contractual</w:t>
            </w:r>
          </w:p>
        </w:tc>
      </w:tr>
      <w:tr w:rsidR="00E41CB5" w:rsidRPr="002D45D7" w14:paraId="687DF653" w14:textId="77777777" w:rsidTr="007D74F3">
        <w:trPr>
          <w:trHeight w:val="299"/>
        </w:trPr>
        <w:tc>
          <w:tcPr>
            <w:tcW w:w="901" w:type="dxa"/>
            <w:vAlign w:val="center"/>
          </w:tcPr>
          <w:p w14:paraId="0E628604" w14:textId="77777777" w:rsidR="00E41CB5" w:rsidRPr="002D45D7" w:rsidRDefault="00E41CB5" w:rsidP="007D74F3">
            <w:pPr>
              <w:rPr>
                <w:rFonts w:ascii="Verdana" w:eastAsia="Aptos" w:hAnsi="Verdana" w:cs="Arial"/>
                <w:sz w:val="14"/>
                <w:szCs w:val="14"/>
                <w:lang w:eastAsia="es-ES"/>
              </w:rPr>
            </w:pPr>
            <w:r w:rsidRPr="002D45D7">
              <w:rPr>
                <w:rFonts w:ascii="Verdana" w:eastAsia="Aptos" w:hAnsi="Verdana" w:cs="Arial"/>
                <w:sz w:val="14"/>
                <w:szCs w:val="14"/>
                <w:lang w:eastAsia="es-ES"/>
              </w:rPr>
              <w:t>Revisó:</w:t>
            </w:r>
          </w:p>
        </w:tc>
        <w:tc>
          <w:tcPr>
            <w:tcW w:w="4344" w:type="dxa"/>
            <w:tcBorders>
              <w:top w:val="dotted" w:sz="4" w:space="0" w:color="7F7F7F"/>
              <w:left w:val="nil"/>
              <w:bottom w:val="dotted" w:sz="4" w:space="0" w:color="7F7F7F"/>
              <w:right w:val="nil"/>
            </w:tcBorders>
            <w:vAlign w:val="center"/>
          </w:tcPr>
          <w:p w14:paraId="74BBEE30" w14:textId="77777777" w:rsidR="00E41CB5" w:rsidRPr="002D45D7" w:rsidRDefault="00E41CB5" w:rsidP="007D74F3">
            <w:pPr>
              <w:rPr>
                <w:rFonts w:ascii="Verdana" w:eastAsia="Aptos" w:hAnsi="Verdana" w:cs="Arial"/>
                <w:sz w:val="14"/>
                <w:szCs w:val="14"/>
                <w:lang w:eastAsia="es-ES"/>
              </w:rPr>
            </w:pPr>
            <w:r w:rsidRPr="002D45D7">
              <w:rPr>
                <w:rFonts w:ascii="Verdana" w:eastAsia="Aptos" w:hAnsi="Verdana" w:cs="Arial"/>
                <w:sz w:val="14"/>
                <w:szCs w:val="14"/>
                <w:lang w:eastAsia="es-ES"/>
              </w:rPr>
              <w:t>Adriana Katerine López Rodríguez</w:t>
            </w:r>
          </w:p>
          <w:p w14:paraId="68ADA41E" w14:textId="77777777" w:rsidR="00E41CB5" w:rsidRPr="002D45D7" w:rsidRDefault="00E41CB5" w:rsidP="007D74F3">
            <w:pPr>
              <w:rPr>
                <w:rFonts w:ascii="Verdana" w:eastAsia="Aptos" w:hAnsi="Verdana" w:cs="Arial"/>
                <w:sz w:val="14"/>
                <w:szCs w:val="14"/>
                <w:lang w:eastAsia="es-ES"/>
              </w:rPr>
            </w:pPr>
            <w:r w:rsidRPr="002D45D7">
              <w:rPr>
                <w:rFonts w:ascii="Verdana" w:eastAsia="Aptos" w:hAnsi="Verdana" w:cs="Arial"/>
                <w:sz w:val="14"/>
                <w:szCs w:val="14"/>
                <w:lang w:eastAsia="es-ES"/>
              </w:rPr>
              <w:t>Contratista de la Subdirección de Gestión Contractual</w:t>
            </w:r>
          </w:p>
        </w:tc>
      </w:tr>
      <w:tr w:rsidR="00E41CB5" w:rsidRPr="002D45D7" w14:paraId="17EE4F3C" w14:textId="77777777" w:rsidTr="007D74F3">
        <w:trPr>
          <w:trHeight w:val="272"/>
        </w:trPr>
        <w:tc>
          <w:tcPr>
            <w:tcW w:w="901" w:type="dxa"/>
            <w:vAlign w:val="center"/>
            <w:hideMark/>
          </w:tcPr>
          <w:p w14:paraId="435FCFC7" w14:textId="77777777" w:rsidR="00E41CB5" w:rsidRPr="002D45D7" w:rsidRDefault="00E41CB5" w:rsidP="007D74F3">
            <w:pPr>
              <w:rPr>
                <w:rFonts w:ascii="Verdana" w:eastAsia="Aptos" w:hAnsi="Verdana" w:cs="Arial"/>
                <w:sz w:val="14"/>
                <w:szCs w:val="14"/>
                <w:lang w:eastAsia="es-ES"/>
              </w:rPr>
            </w:pPr>
            <w:r w:rsidRPr="002D45D7">
              <w:rPr>
                <w:rFonts w:ascii="Verdana" w:eastAsia="Aptos" w:hAnsi="Verdana" w:cs="Arial"/>
                <w:sz w:val="14"/>
                <w:szCs w:val="14"/>
                <w:lang w:eastAsia="es-ES"/>
              </w:rPr>
              <w:t>Aprobó:</w:t>
            </w:r>
          </w:p>
        </w:tc>
        <w:tc>
          <w:tcPr>
            <w:tcW w:w="4344" w:type="dxa"/>
            <w:tcBorders>
              <w:top w:val="dotted" w:sz="4" w:space="0" w:color="7F7F7F"/>
              <w:left w:val="nil"/>
              <w:bottom w:val="dotted" w:sz="4" w:space="0" w:color="7F7F7F"/>
              <w:right w:val="nil"/>
            </w:tcBorders>
            <w:vAlign w:val="center"/>
            <w:hideMark/>
          </w:tcPr>
          <w:p w14:paraId="4DB2E846" w14:textId="77777777" w:rsidR="00E41CB5" w:rsidRPr="002D45D7" w:rsidRDefault="00E41CB5" w:rsidP="007D74F3">
            <w:pPr>
              <w:rPr>
                <w:rFonts w:ascii="Verdana" w:eastAsia="Aptos" w:hAnsi="Verdana" w:cs="Arial"/>
                <w:sz w:val="14"/>
                <w:szCs w:val="14"/>
                <w:lang w:eastAsia="es-ES"/>
              </w:rPr>
            </w:pPr>
            <w:r>
              <w:rPr>
                <w:rFonts w:ascii="Verdana" w:eastAsia="Aptos" w:hAnsi="Verdana" w:cs="Arial"/>
                <w:sz w:val="14"/>
                <w:szCs w:val="14"/>
                <w:lang w:eastAsia="es-ES"/>
              </w:rPr>
              <w:t>Carolina Quintero Gacharná</w:t>
            </w:r>
          </w:p>
          <w:p w14:paraId="63859D3E" w14:textId="77777777" w:rsidR="00E41CB5" w:rsidRPr="002D45D7" w:rsidRDefault="00E41CB5" w:rsidP="007D74F3">
            <w:pPr>
              <w:rPr>
                <w:rFonts w:ascii="Verdana" w:eastAsia="Aptos" w:hAnsi="Verdana" w:cs="Arial"/>
                <w:sz w:val="14"/>
                <w:szCs w:val="14"/>
                <w:lang w:eastAsia="es-ES"/>
              </w:rPr>
            </w:pPr>
            <w:r w:rsidRPr="002D45D7">
              <w:rPr>
                <w:rFonts w:ascii="Verdana" w:eastAsia="Aptos" w:hAnsi="Verdana" w:cs="Arial"/>
                <w:sz w:val="14"/>
                <w:szCs w:val="14"/>
                <w:lang w:eastAsia="es-ES"/>
              </w:rPr>
              <w:t>Subdirectora de Gestión Contractual (E) ANCP – CCE</w:t>
            </w:r>
          </w:p>
        </w:tc>
      </w:tr>
    </w:tbl>
    <w:p w14:paraId="2C626001" w14:textId="77777777" w:rsidR="00E41CB5" w:rsidRPr="002D45D7" w:rsidRDefault="00E41CB5" w:rsidP="00E41CB5">
      <w:pPr>
        <w:spacing w:after="0" w:line="240" w:lineRule="auto"/>
        <w:rPr>
          <w:rFonts w:ascii="Verdana" w:eastAsia="Times New Roman" w:hAnsi="Verdana" w:cs="Arial"/>
          <w:sz w:val="24"/>
          <w:szCs w:val="24"/>
          <w:lang w:eastAsia="es-ES"/>
        </w:rPr>
      </w:pPr>
    </w:p>
    <w:p w14:paraId="5509CA79" w14:textId="77777777" w:rsidR="00E41CB5" w:rsidRPr="002D45D7" w:rsidRDefault="00E41CB5" w:rsidP="00E41CB5">
      <w:pPr>
        <w:rPr>
          <w:rFonts w:ascii="Verdana" w:eastAsia="Aptos" w:hAnsi="Verdana" w:cs="Times New Roman"/>
        </w:rPr>
      </w:pPr>
    </w:p>
    <w:p w14:paraId="73A96210" w14:textId="77777777" w:rsidR="00E41CB5" w:rsidRPr="002D45D7" w:rsidRDefault="00E41CB5" w:rsidP="00E41CB5">
      <w:pPr>
        <w:spacing w:after="0"/>
        <w:jc w:val="both"/>
        <w:rPr>
          <w:rFonts w:ascii="Verdana" w:eastAsia="Aptos" w:hAnsi="Verdana" w:cs="Times New Roman"/>
        </w:rPr>
      </w:pPr>
    </w:p>
    <w:bookmarkEnd w:id="0"/>
    <w:p w14:paraId="7622B18D" w14:textId="77777777" w:rsidR="00E41CB5" w:rsidRDefault="00E41CB5"/>
    <w:sectPr w:rsidR="00E41CB5" w:rsidSect="00E41CB5">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4F5AB" w14:textId="77777777" w:rsidR="00594BDE" w:rsidRDefault="00594BDE" w:rsidP="00E41CB5">
      <w:pPr>
        <w:spacing w:after="0" w:line="240" w:lineRule="auto"/>
      </w:pPr>
      <w:r>
        <w:separator/>
      </w:r>
    </w:p>
  </w:endnote>
  <w:endnote w:type="continuationSeparator" w:id="0">
    <w:p w14:paraId="270037FD" w14:textId="77777777" w:rsidR="00594BDE" w:rsidRDefault="00594BDE" w:rsidP="00E41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manist Light">
    <w:altName w:val="Calibri"/>
    <w:panose1 w:val="02000503000000020004"/>
    <w:charset w:val="00"/>
    <w:family w:val="modern"/>
    <w:notTrueType/>
    <w:pitch w:val="variable"/>
    <w:sig w:usb0="A000002F" w:usb1="1000004A" w:usb2="00000000" w:usb3="00000000" w:csb0="00000193"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2000503000000020004"/>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BC1B4" w14:textId="77777777" w:rsidR="00E41CB5" w:rsidRDefault="00E41CB5">
    <w:pPr>
      <w:pStyle w:val="Piedepgina"/>
    </w:pPr>
  </w:p>
  <w:p w14:paraId="5E23085B" w14:textId="77777777" w:rsidR="00E41CB5" w:rsidRPr="00174B77" w:rsidRDefault="00E41CB5"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Pr="07C73DD1">
      <w:rPr>
        <w:rFonts w:ascii="Verdana" w:eastAsia="Verdana" w:hAnsi="Verdana" w:cs="Verdana"/>
        <w:b/>
        <w:bCs/>
        <w:sz w:val="18"/>
        <w:szCs w:val="18"/>
      </w:rPr>
      <w:fldChar w:fldCharType="begin"/>
    </w:r>
    <w:r w:rsidRPr="07C73DD1">
      <w:rPr>
        <w:rFonts w:ascii="Verdana" w:hAnsi="Verdana"/>
        <w:b/>
        <w:bCs/>
        <w:sz w:val="16"/>
        <w:szCs w:val="16"/>
      </w:rPr>
      <w:instrText>PAGE    \* MERGEFORMAT</w:instrText>
    </w:r>
    <w:r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1046F77" w14:textId="77777777" w:rsidR="00E41CB5" w:rsidRDefault="00E41CB5"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2234EAFE" w14:textId="77777777" w:rsidR="00E41CB5" w:rsidRPr="00E41027" w:rsidRDefault="00E41CB5"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6327E60B" w14:textId="77777777" w:rsidR="00E41CB5" w:rsidRDefault="00E41CB5"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6797B" w14:textId="77777777" w:rsidR="00594BDE" w:rsidRDefault="00594BDE" w:rsidP="00E41CB5">
      <w:pPr>
        <w:spacing w:after="0" w:line="240" w:lineRule="auto"/>
      </w:pPr>
      <w:r>
        <w:separator/>
      </w:r>
    </w:p>
  </w:footnote>
  <w:footnote w:type="continuationSeparator" w:id="0">
    <w:p w14:paraId="51EA00DE" w14:textId="77777777" w:rsidR="00594BDE" w:rsidRDefault="00594BDE" w:rsidP="00E41CB5">
      <w:pPr>
        <w:spacing w:after="0" w:line="240" w:lineRule="auto"/>
      </w:pPr>
      <w:r>
        <w:continuationSeparator/>
      </w:r>
    </w:p>
  </w:footnote>
  <w:footnote w:id="1">
    <w:p w14:paraId="4A62D7D1" w14:textId="77777777" w:rsidR="00E41CB5" w:rsidRPr="00DD4FEE" w:rsidRDefault="00E41CB5" w:rsidP="00E41CB5">
      <w:pPr>
        <w:spacing w:after="80" w:line="240" w:lineRule="auto"/>
        <w:ind w:firstLine="708"/>
        <w:jc w:val="both"/>
        <w:rPr>
          <w:rFonts w:ascii="Verdana" w:eastAsia="Times New Roman" w:hAnsi="Verdana" w:cs="Times New Roman"/>
          <w:sz w:val="18"/>
          <w:szCs w:val="18"/>
        </w:rPr>
      </w:pPr>
      <w:r w:rsidRPr="00DD4FEE">
        <w:rPr>
          <w:rStyle w:val="Refdenotaalpie"/>
          <w:rFonts w:ascii="Verdana" w:hAnsi="Verdana"/>
          <w:sz w:val="18"/>
          <w:szCs w:val="18"/>
        </w:rPr>
        <w:footnoteRef/>
      </w:r>
      <w:r w:rsidRPr="00DD4FEE">
        <w:rPr>
          <w:rFonts w:ascii="Verdana" w:hAnsi="Verdana"/>
          <w:sz w:val="18"/>
          <w:szCs w:val="18"/>
        </w:rPr>
        <w:t xml:space="preserve"> </w:t>
      </w:r>
      <w:r w:rsidRPr="00DD4FEE">
        <w:rPr>
          <w:rFonts w:ascii="Verdana" w:eastAsia="Times New Roman" w:hAnsi="Verdana" w:cs="Times New Roman"/>
          <w:sz w:val="18"/>
          <w:szCs w:val="18"/>
        </w:rPr>
        <w:t xml:space="preserve">Colombia. Asamblea Nacional Constituyente. (1991). Constitución Política de Colombia. Artículo 13. </w:t>
      </w:r>
    </w:p>
    <w:p w14:paraId="4CFE4185" w14:textId="77777777" w:rsidR="00E41CB5" w:rsidRPr="00DD4FEE" w:rsidRDefault="00E41CB5" w:rsidP="00E41CB5">
      <w:pPr>
        <w:spacing w:after="80" w:line="240" w:lineRule="auto"/>
        <w:ind w:firstLine="708"/>
        <w:jc w:val="both"/>
        <w:rPr>
          <w:rFonts w:ascii="Verdana" w:hAnsi="Verdana"/>
          <w:sz w:val="18"/>
          <w:szCs w:val="18"/>
        </w:rPr>
      </w:pPr>
    </w:p>
  </w:footnote>
  <w:footnote w:id="2">
    <w:p w14:paraId="512467ED" w14:textId="77777777" w:rsidR="00E41CB5" w:rsidRPr="00DD4FEE" w:rsidRDefault="00E41CB5" w:rsidP="00E41CB5">
      <w:pPr>
        <w:pStyle w:val="Textonotapie"/>
        <w:ind w:firstLine="708"/>
        <w:jc w:val="both"/>
        <w:rPr>
          <w:rFonts w:ascii="Verdana" w:eastAsia="Times New Roman" w:hAnsi="Verdana" w:cs="Times New Roman"/>
          <w:sz w:val="18"/>
          <w:szCs w:val="18"/>
        </w:rPr>
      </w:pPr>
      <w:r w:rsidRPr="00DD4FEE">
        <w:rPr>
          <w:rStyle w:val="Refdenotaalpie"/>
          <w:rFonts w:ascii="Verdana" w:hAnsi="Verdana"/>
          <w:sz w:val="18"/>
          <w:szCs w:val="18"/>
        </w:rPr>
        <w:footnoteRef/>
      </w:r>
      <w:r w:rsidRPr="00DD4FEE">
        <w:rPr>
          <w:rFonts w:ascii="Verdana" w:hAnsi="Verdana"/>
          <w:sz w:val="18"/>
          <w:szCs w:val="18"/>
        </w:rPr>
        <w:t xml:space="preserve"> </w:t>
      </w:r>
      <w:r w:rsidRPr="00DD4FEE">
        <w:rPr>
          <w:rFonts w:ascii="Verdana" w:eastAsia="Times New Roman" w:hAnsi="Verdana" w:cs="Times New Roman"/>
          <w:sz w:val="18"/>
          <w:szCs w:val="18"/>
        </w:rPr>
        <w:t xml:space="preserve">Colombia. Asamblea Nacional Constituyente. (1991). Constitución Política de Colombia. Artículos 47 y 54. </w:t>
      </w:r>
    </w:p>
    <w:p w14:paraId="7CB3DC6A" w14:textId="77777777" w:rsidR="00E41CB5" w:rsidRPr="00DD4FEE" w:rsidRDefault="00E41CB5" w:rsidP="00E41CB5">
      <w:pPr>
        <w:pStyle w:val="Textonotapie"/>
        <w:ind w:firstLine="708"/>
        <w:jc w:val="both"/>
        <w:rPr>
          <w:rFonts w:ascii="Verdana" w:hAnsi="Verdana"/>
          <w:sz w:val="18"/>
          <w:szCs w:val="18"/>
          <w:lang w:val="es-ES"/>
        </w:rPr>
      </w:pPr>
    </w:p>
  </w:footnote>
  <w:footnote w:id="3">
    <w:p w14:paraId="1B1BCF3D" w14:textId="77777777" w:rsidR="00E41CB5" w:rsidRPr="00DD4FEE" w:rsidRDefault="00E41CB5" w:rsidP="00E41CB5">
      <w:pPr>
        <w:spacing w:after="80" w:line="240" w:lineRule="auto"/>
        <w:ind w:firstLine="708"/>
        <w:jc w:val="both"/>
        <w:rPr>
          <w:rFonts w:ascii="Verdana" w:eastAsia="Times New Roman" w:hAnsi="Verdana" w:cs="Times New Roman"/>
          <w:sz w:val="18"/>
          <w:szCs w:val="18"/>
        </w:rPr>
      </w:pPr>
      <w:r w:rsidRPr="00DD4FEE">
        <w:rPr>
          <w:rStyle w:val="Refdenotaalpie"/>
          <w:rFonts w:ascii="Verdana" w:hAnsi="Verdana"/>
          <w:sz w:val="18"/>
          <w:szCs w:val="18"/>
        </w:rPr>
        <w:footnoteRef/>
      </w:r>
      <w:r w:rsidRPr="00DD4FEE">
        <w:rPr>
          <w:rFonts w:ascii="Verdana" w:hAnsi="Verdana"/>
          <w:sz w:val="18"/>
          <w:szCs w:val="18"/>
        </w:rPr>
        <w:t xml:space="preserve"> </w:t>
      </w:r>
      <w:r w:rsidRPr="00DD4FEE">
        <w:rPr>
          <w:rFonts w:ascii="Verdana" w:eastAsia="Times New Roman" w:hAnsi="Verdana" w:cs="Times New Roman"/>
          <w:sz w:val="18"/>
          <w:szCs w:val="18"/>
        </w:rPr>
        <w:t>Organización de las Naciones Unidas. (2006). Convención sobre los Derechos de las Personas con Discapacidad. Nueva York: ONU. Aprobada en Colombia mediante: Colombia. Congreso de la República. (31 de julio de 2009). Ley 1346 de 2009. Diario Oficial 47427.</w:t>
      </w:r>
    </w:p>
    <w:p w14:paraId="14EA0D09" w14:textId="77777777" w:rsidR="00E41CB5" w:rsidRPr="00DD4FEE" w:rsidRDefault="00E41CB5" w:rsidP="00E41CB5">
      <w:pPr>
        <w:spacing w:after="80" w:line="240" w:lineRule="auto"/>
        <w:ind w:firstLine="708"/>
        <w:jc w:val="both"/>
        <w:rPr>
          <w:rFonts w:ascii="Verdana" w:hAnsi="Verdana"/>
          <w:sz w:val="18"/>
          <w:szCs w:val="18"/>
        </w:rPr>
      </w:pPr>
    </w:p>
  </w:footnote>
  <w:footnote w:id="4">
    <w:p w14:paraId="7202DCBF" w14:textId="77777777" w:rsidR="00E41CB5" w:rsidRPr="00DD4FEE" w:rsidRDefault="00E41CB5" w:rsidP="00E41CB5">
      <w:pPr>
        <w:pStyle w:val="Textonotapie"/>
        <w:ind w:firstLine="708"/>
        <w:jc w:val="both"/>
        <w:rPr>
          <w:rFonts w:ascii="Verdana" w:eastAsia="Times New Roman" w:hAnsi="Verdana" w:cs="Times New Roman"/>
          <w:sz w:val="18"/>
          <w:szCs w:val="18"/>
        </w:rPr>
      </w:pPr>
      <w:r w:rsidRPr="00DD4FEE">
        <w:rPr>
          <w:rStyle w:val="Refdenotaalpie"/>
          <w:rFonts w:ascii="Verdana" w:hAnsi="Verdana"/>
          <w:sz w:val="18"/>
          <w:szCs w:val="18"/>
        </w:rPr>
        <w:footnoteRef/>
      </w:r>
      <w:r w:rsidRPr="00DD4FEE">
        <w:rPr>
          <w:rFonts w:ascii="Verdana" w:hAnsi="Verdana"/>
          <w:sz w:val="18"/>
          <w:szCs w:val="18"/>
        </w:rPr>
        <w:t xml:space="preserve"> </w:t>
      </w:r>
      <w:r w:rsidRPr="00DD4FEE">
        <w:rPr>
          <w:rFonts w:ascii="Verdana" w:eastAsia="Times New Roman" w:hAnsi="Verdana" w:cs="Times New Roman"/>
          <w:sz w:val="18"/>
          <w:szCs w:val="18"/>
        </w:rPr>
        <w:t>Organización de los Estados Americanos. (1999). Convención Interamericana para la Eliminación de todas las Formas de Discriminación contra las Personas con Discapacidad. Ciudad de Guatemala. Aprobada en Colombia mediante: Colombia. Congreso de la República. (31 de julio de 2002). Ley 762 de 2002. Diario Oficial 44889.</w:t>
      </w:r>
    </w:p>
    <w:p w14:paraId="72DB7A5A" w14:textId="77777777" w:rsidR="00E41CB5" w:rsidRPr="00DD4FEE" w:rsidRDefault="00E41CB5" w:rsidP="00E41CB5">
      <w:pPr>
        <w:pStyle w:val="Textonotapie"/>
        <w:ind w:firstLine="708"/>
        <w:jc w:val="both"/>
        <w:rPr>
          <w:rFonts w:ascii="Verdana" w:hAnsi="Verdana"/>
          <w:sz w:val="18"/>
          <w:szCs w:val="18"/>
          <w:lang w:val="es-ES"/>
        </w:rPr>
      </w:pPr>
    </w:p>
  </w:footnote>
  <w:footnote w:id="5">
    <w:p w14:paraId="68F1CF58" w14:textId="77777777" w:rsidR="00E41CB5" w:rsidRPr="00DD4FEE" w:rsidRDefault="00E41CB5" w:rsidP="00E41CB5">
      <w:pPr>
        <w:pStyle w:val="Textonotapie"/>
        <w:ind w:firstLine="708"/>
        <w:jc w:val="both"/>
        <w:rPr>
          <w:rFonts w:ascii="Verdana" w:hAnsi="Verdana"/>
          <w:sz w:val="18"/>
          <w:szCs w:val="18"/>
        </w:rPr>
      </w:pPr>
      <w:r w:rsidRPr="00DD4FEE">
        <w:rPr>
          <w:rStyle w:val="Refdenotaalpie"/>
          <w:rFonts w:ascii="Verdana" w:hAnsi="Verdana"/>
          <w:sz w:val="18"/>
          <w:szCs w:val="18"/>
        </w:rPr>
        <w:footnoteRef/>
      </w:r>
      <w:r w:rsidRPr="00DD4FEE">
        <w:rPr>
          <w:rFonts w:ascii="Verdana" w:hAnsi="Verdana"/>
          <w:sz w:val="18"/>
          <w:szCs w:val="18"/>
        </w:rPr>
        <w:t xml:space="preserve"> Organización Internacional del Trabajo. (1983). Convenio sobre la readaptación profesional y el empleo (personas inválidas), núm. 159. Ginebra: OIT. Aprobado en Colombia mediante: Colombia. Congreso de la República. (23 de diciembre de 1988). Ley 82 de 1988. Diario Oficial 38608.</w:t>
      </w:r>
    </w:p>
    <w:p w14:paraId="1FAC5E87" w14:textId="77777777" w:rsidR="00E41CB5" w:rsidRPr="00DD4FEE" w:rsidRDefault="00E41CB5" w:rsidP="00E41CB5">
      <w:pPr>
        <w:pStyle w:val="Textonotapie"/>
        <w:ind w:firstLine="708"/>
        <w:jc w:val="both"/>
        <w:rPr>
          <w:rFonts w:ascii="Verdana" w:hAnsi="Verdana"/>
          <w:sz w:val="18"/>
          <w:szCs w:val="18"/>
          <w:lang w:val="es-ES"/>
        </w:rPr>
      </w:pPr>
    </w:p>
  </w:footnote>
  <w:footnote w:id="6">
    <w:p w14:paraId="32B328AD" w14:textId="77777777" w:rsidR="00E41CB5" w:rsidRPr="00DD4FEE" w:rsidRDefault="00E41CB5" w:rsidP="00E41CB5">
      <w:pPr>
        <w:pStyle w:val="Textonotapie"/>
        <w:ind w:firstLine="708"/>
        <w:jc w:val="both"/>
        <w:rPr>
          <w:rFonts w:ascii="Verdana" w:hAnsi="Verdana"/>
          <w:sz w:val="18"/>
          <w:szCs w:val="18"/>
        </w:rPr>
      </w:pPr>
      <w:r w:rsidRPr="00DD4FEE">
        <w:rPr>
          <w:rStyle w:val="Refdenotaalpie"/>
          <w:rFonts w:ascii="Verdana" w:hAnsi="Verdana"/>
          <w:sz w:val="18"/>
          <w:szCs w:val="18"/>
        </w:rPr>
        <w:footnoteRef/>
      </w:r>
      <w:r w:rsidRPr="00DD4FEE">
        <w:rPr>
          <w:rFonts w:ascii="Verdana" w:hAnsi="Verdana"/>
          <w:sz w:val="18"/>
          <w:szCs w:val="18"/>
        </w:rPr>
        <w:t xml:space="preserve"> Colombia. Congreso de la República. (7 de febrero de 1997). Ley 361 de 1997, por la cual se establecen mecanismos de integración social de las personas con limitación y se dictan otras disposiciones. Artículo 24. Diario Oficial 42978.</w:t>
      </w:r>
    </w:p>
    <w:p w14:paraId="1E2C4134" w14:textId="77777777" w:rsidR="00E41CB5" w:rsidRPr="00DD4FEE" w:rsidRDefault="00E41CB5" w:rsidP="00E41CB5">
      <w:pPr>
        <w:pStyle w:val="Textonotapie"/>
        <w:ind w:firstLine="708"/>
        <w:jc w:val="both"/>
        <w:rPr>
          <w:rFonts w:ascii="Verdana" w:hAnsi="Verdana"/>
          <w:sz w:val="18"/>
          <w:szCs w:val="18"/>
          <w:lang w:val="es-ES"/>
        </w:rPr>
      </w:pPr>
    </w:p>
  </w:footnote>
  <w:footnote w:id="7">
    <w:p w14:paraId="22CE1EE4" w14:textId="77777777" w:rsidR="00E41CB5" w:rsidRPr="00DD4FEE" w:rsidRDefault="00E41CB5" w:rsidP="00E41CB5">
      <w:pPr>
        <w:pStyle w:val="Textonotapie"/>
        <w:ind w:firstLine="708"/>
        <w:jc w:val="both"/>
        <w:rPr>
          <w:rFonts w:ascii="Verdana" w:hAnsi="Verdana"/>
          <w:sz w:val="18"/>
          <w:szCs w:val="18"/>
        </w:rPr>
      </w:pPr>
      <w:r w:rsidRPr="00DD4FEE">
        <w:rPr>
          <w:rStyle w:val="Refdenotaalpie"/>
          <w:rFonts w:ascii="Verdana" w:hAnsi="Verdana"/>
          <w:sz w:val="18"/>
          <w:szCs w:val="18"/>
        </w:rPr>
        <w:footnoteRef/>
      </w:r>
      <w:r w:rsidRPr="00DD4FEE">
        <w:rPr>
          <w:rFonts w:ascii="Verdana" w:hAnsi="Verdana"/>
          <w:sz w:val="18"/>
          <w:szCs w:val="18"/>
        </w:rPr>
        <w:t xml:space="preserve"> Colombia. Congreso de la República. (27 de febrero de 2013). Ley Estatutaria 1618 de 2013. Artículo 2, numeral 1. Diario Oficial 48717.</w:t>
      </w:r>
    </w:p>
    <w:p w14:paraId="5883D0BE" w14:textId="77777777" w:rsidR="00E41CB5" w:rsidRPr="00DD4FEE" w:rsidRDefault="00E41CB5" w:rsidP="00E41CB5">
      <w:pPr>
        <w:pStyle w:val="Textonotapie"/>
        <w:ind w:firstLine="708"/>
        <w:jc w:val="both"/>
        <w:rPr>
          <w:rFonts w:ascii="Verdana" w:hAnsi="Verdana"/>
          <w:sz w:val="18"/>
          <w:szCs w:val="18"/>
          <w:lang w:val="es-ES"/>
        </w:rPr>
      </w:pPr>
    </w:p>
  </w:footnote>
  <w:footnote w:id="8">
    <w:p w14:paraId="53EBE08A" w14:textId="77777777" w:rsidR="00E41CB5" w:rsidRPr="00DD4FEE" w:rsidRDefault="00E41CB5" w:rsidP="00E41CB5">
      <w:pPr>
        <w:pStyle w:val="Textonotapie"/>
        <w:ind w:firstLine="708"/>
        <w:jc w:val="both"/>
        <w:rPr>
          <w:rFonts w:ascii="Verdana" w:hAnsi="Verdana"/>
          <w:sz w:val="18"/>
          <w:szCs w:val="18"/>
          <w:lang w:val="es-ES"/>
        </w:rPr>
      </w:pPr>
      <w:r w:rsidRPr="00DD4FEE">
        <w:rPr>
          <w:rStyle w:val="Refdenotaalpie"/>
          <w:rFonts w:ascii="Verdana" w:hAnsi="Verdana"/>
          <w:sz w:val="18"/>
          <w:szCs w:val="18"/>
        </w:rPr>
        <w:footnoteRef/>
      </w:r>
      <w:r w:rsidRPr="00DD4FEE">
        <w:rPr>
          <w:rFonts w:ascii="Verdana" w:hAnsi="Verdana"/>
          <w:sz w:val="18"/>
          <w:szCs w:val="18"/>
        </w:rPr>
        <w:t xml:space="preserve"> Colombia. Congreso de la República. (27 de febrero de 2013). Ley Estatutaria 1618 de 2013, por medio de la cual se establecen las disposiciones para garantizar el pleno ejercicio de los derechos de las personas con discapacidad. Artículo 13, numerales 1, 7 y 8. Diario Oficial 48717.</w:t>
      </w:r>
    </w:p>
  </w:footnote>
  <w:footnote w:id="9">
    <w:p w14:paraId="1B11EDF8" w14:textId="77777777" w:rsidR="00E41CB5" w:rsidRPr="00DD4FEE" w:rsidRDefault="00E41CB5" w:rsidP="00E41CB5">
      <w:pPr>
        <w:pStyle w:val="Textonotapie"/>
        <w:ind w:firstLine="708"/>
        <w:jc w:val="both"/>
        <w:rPr>
          <w:rFonts w:ascii="Verdana" w:hAnsi="Verdana"/>
          <w:sz w:val="18"/>
          <w:szCs w:val="18"/>
        </w:rPr>
      </w:pPr>
      <w:r w:rsidRPr="00DD4FEE">
        <w:rPr>
          <w:rStyle w:val="Refdenotaalpie"/>
          <w:rFonts w:ascii="Verdana" w:hAnsi="Verdana"/>
          <w:sz w:val="18"/>
          <w:szCs w:val="18"/>
        </w:rPr>
        <w:footnoteRef/>
      </w:r>
      <w:r w:rsidRPr="00DD4FEE">
        <w:rPr>
          <w:rFonts w:ascii="Verdana" w:hAnsi="Verdana"/>
          <w:sz w:val="18"/>
          <w:szCs w:val="18"/>
        </w:rPr>
        <w:t xml:space="preserve"> Consejo de Estado, Sección Quinta, del 12 de diciembre de 2024 (Rad. 05001-23-33-000-2024-00847-01, M.P. Omar Joaquín Barreto Suárez)</w:t>
      </w:r>
    </w:p>
    <w:p w14:paraId="19E302C9" w14:textId="77777777" w:rsidR="00E41CB5" w:rsidRPr="00DD4FEE" w:rsidRDefault="00E41CB5" w:rsidP="00E41CB5">
      <w:pPr>
        <w:pStyle w:val="Textonotapie"/>
        <w:jc w:val="both"/>
        <w:rPr>
          <w:rFonts w:ascii="Verdana" w:hAnsi="Verdana"/>
          <w:sz w:val="18"/>
          <w:szCs w:val="18"/>
          <w:lang w:val="es-CO"/>
        </w:rPr>
      </w:pPr>
    </w:p>
  </w:footnote>
  <w:footnote w:id="10">
    <w:p w14:paraId="34EE9BA2" w14:textId="77777777" w:rsidR="00E41CB5" w:rsidRPr="00DD4FEE" w:rsidRDefault="00E41CB5" w:rsidP="00E41CB5">
      <w:pPr>
        <w:pStyle w:val="Textonotapie"/>
        <w:ind w:firstLine="708"/>
        <w:jc w:val="both"/>
        <w:rPr>
          <w:rFonts w:ascii="Verdana" w:hAnsi="Verdana"/>
          <w:sz w:val="18"/>
          <w:szCs w:val="18"/>
          <w:lang w:val="es-ES_tradnl"/>
        </w:rPr>
      </w:pPr>
      <w:r w:rsidRPr="00DD4FEE">
        <w:rPr>
          <w:rStyle w:val="Refdenotaalpie"/>
          <w:rFonts w:ascii="Verdana" w:hAnsi="Verdana"/>
          <w:sz w:val="18"/>
          <w:szCs w:val="18"/>
        </w:rPr>
        <w:footnoteRef/>
      </w:r>
      <w:r w:rsidRPr="00DD4FEE">
        <w:rPr>
          <w:rFonts w:ascii="Verdana" w:hAnsi="Verdana"/>
          <w:sz w:val="18"/>
          <w:szCs w:val="18"/>
        </w:rPr>
        <w:t xml:space="preserve"> Parte considerativa del Decreto 287 de 2026.</w:t>
      </w:r>
    </w:p>
  </w:footnote>
  <w:footnote w:id="11">
    <w:p w14:paraId="40D55BAF" w14:textId="77777777" w:rsidR="00E41CB5" w:rsidRPr="00DD4FEE" w:rsidRDefault="00E41CB5" w:rsidP="00E41CB5">
      <w:pPr>
        <w:pStyle w:val="Textonotapie"/>
        <w:ind w:firstLine="708"/>
        <w:jc w:val="both"/>
        <w:rPr>
          <w:rFonts w:ascii="Verdana" w:hAnsi="Verdana"/>
          <w:sz w:val="18"/>
          <w:szCs w:val="18"/>
        </w:rPr>
      </w:pPr>
      <w:r w:rsidRPr="00DD4FEE">
        <w:rPr>
          <w:rStyle w:val="Refdenotaalpie"/>
          <w:rFonts w:ascii="Verdana" w:hAnsi="Verdana"/>
          <w:sz w:val="18"/>
          <w:szCs w:val="18"/>
        </w:rPr>
        <w:footnoteRef/>
      </w:r>
      <w:r w:rsidRPr="00DD4FEE">
        <w:rPr>
          <w:rFonts w:ascii="Verdana" w:hAnsi="Verdana"/>
          <w:sz w:val="18"/>
          <w:szCs w:val="18"/>
        </w:rPr>
        <w:t xml:space="preserve"> Sobre el alcance de las normas equivalentes en el Código Civil chileno, CLARO SOLAR explica lo siguiente: “Las palabras de que el legislador se sirve pueden tener dos significaciones: el sentido vulgar y el sentido técnico. Según el artículo 20, ‘</w:t>
      </w:r>
      <w:r w:rsidRPr="00DD4FEE">
        <w:rPr>
          <w:rFonts w:ascii="Verdana" w:hAnsi="Verdana"/>
          <w:i/>
          <w:iCs/>
          <w:sz w:val="18"/>
          <w:szCs w:val="18"/>
        </w:rPr>
        <w:t>las palabras de la ley se entenderán en su sentido natural y obvio, según el uso general de las mismas palabras</w:t>
      </w:r>
      <w:r w:rsidRPr="00DD4FEE">
        <w:rPr>
          <w:rFonts w:ascii="Verdana" w:hAnsi="Verdana"/>
          <w:sz w:val="18"/>
          <w:szCs w:val="18"/>
        </w:rPr>
        <w:t>’, es decir, el uso de la gente educada. El Diccionario de la Lengua publicado por la Real Academia Española goza a este respecto de gran autoridad. ‘</w:t>
      </w:r>
      <w:r w:rsidRPr="00DD4FEE">
        <w:rPr>
          <w:rFonts w:ascii="Verdana" w:hAnsi="Verdana"/>
          <w:i/>
          <w:iCs/>
          <w:sz w:val="18"/>
          <w:szCs w:val="18"/>
        </w:rPr>
        <w:t>Pero cuando el legislador</w:t>
      </w:r>
      <w:r w:rsidRPr="00DD4FEE">
        <w:rPr>
          <w:rFonts w:ascii="Verdana" w:hAnsi="Verdana"/>
          <w:sz w:val="18"/>
          <w:szCs w:val="18"/>
        </w:rPr>
        <w:t xml:space="preserve">, agrega el artículo 20, </w:t>
      </w:r>
      <w:r w:rsidRPr="00DD4FEE">
        <w:rPr>
          <w:rFonts w:ascii="Verdana" w:hAnsi="Verdana"/>
          <w:i/>
          <w:iCs/>
          <w:sz w:val="18"/>
          <w:szCs w:val="18"/>
        </w:rPr>
        <w:t>las haya definido expresamente para ciertas materias se les dará en éstas su significado legal</w:t>
      </w:r>
      <w:r w:rsidRPr="00DD4FEE">
        <w:rPr>
          <w:rFonts w:ascii="Verdana" w:hAnsi="Verdana"/>
          <w:sz w:val="18"/>
          <w:szCs w:val="18"/>
        </w:rPr>
        <w:t>’. Por la inversa, según el artículo 21, ‘las palabras técnicas de toda ciencia o arte se tomarán en el sentido que les den los que profesan la misma ciencia o arte; a menos que aparezca claramente que se han tomado en sentido diverso’. Es de suponer que el legislador conozca bastante el idioma en que legisla y sea suficientemente instruido en la ciencia o arte para dar a las palabras de la lengua y a las palabras especiales de la ciencia o arte a que se refiere, el significado que les es propio; en el caso contrario, es necesario que ello aparezca de manifiesto y con toda claridad” (CLARO SOLAR, Luis. Explicaciones de derecho civil chileno y comparado. Volumen I. Tomo I. Santiago: Editorial Jurídica de Chile, 2013. p. 117. Énfasis dentro del texto).</w:t>
      </w:r>
    </w:p>
    <w:p w14:paraId="542B2D80" w14:textId="77777777" w:rsidR="00E41CB5" w:rsidRPr="00DD4FEE" w:rsidRDefault="00E41CB5" w:rsidP="00E41CB5">
      <w:pPr>
        <w:pStyle w:val="Textonotapie"/>
        <w:ind w:firstLine="708"/>
        <w:jc w:val="both"/>
        <w:rPr>
          <w:rFonts w:ascii="Verdana" w:hAnsi="Verdana"/>
          <w:sz w:val="18"/>
          <w:szCs w:val="18"/>
        </w:rPr>
      </w:pPr>
    </w:p>
  </w:footnote>
  <w:footnote w:id="12">
    <w:p w14:paraId="177D7B0B" w14:textId="77777777" w:rsidR="00E41CB5" w:rsidRPr="00DD4FEE" w:rsidRDefault="00E41CB5" w:rsidP="00E41CB5">
      <w:pPr>
        <w:pStyle w:val="Textonotapie"/>
        <w:ind w:firstLine="709"/>
        <w:jc w:val="both"/>
        <w:rPr>
          <w:rFonts w:ascii="Verdana" w:hAnsi="Verdana"/>
          <w:sz w:val="18"/>
          <w:szCs w:val="18"/>
          <w:lang w:val="es-CO"/>
        </w:rPr>
      </w:pPr>
      <w:r w:rsidRPr="00DD4FEE">
        <w:rPr>
          <w:rStyle w:val="Refdenotaalpie"/>
          <w:rFonts w:ascii="Verdana" w:hAnsi="Verdana"/>
          <w:sz w:val="18"/>
          <w:szCs w:val="18"/>
        </w:rPr>
        <w:footnoteRef/>
      </w:r>
      <w:r w:rsidRPr="00DD4FEE">
        <w:rPr>
          <w:rFonts w:ascii="Verdana" w:hAnsi="Verdana"/>
          <w:sz w:val="18"/>
          <w:szCs w:val="18"/>
        </w:rPr>
        <w:t xml:space="preserve"> RAE.Disponible en: </w:t>
      </w:r>
      <w:hyperlink r:id="rId1" w:history="1">
        <w:r w:rsidRPr="00DD4FEE">
          <w:rPr>
            <w:rStyle w:val="Hipervnculo"/>
            <w:rFonts w:ascii="Verdana" w:hAnsi="Verdana"/>
            <w:sz w:val="18"/>
            <w:szCs w:val="18"/>
          </w:rPr>
          <w:t>https://dle.rae.es/dedicaci%C3%B3n</w:t>
        </w:r>
      </w:hyperlink>
      <w:r w:rsidRPr="00DD4FEE">
        <w:rPr>
          <w:rFonts w:ascii="Verdana" w:hAnsi="Verdana"/>
          <w:sz w:val="18"/>
          <w:szCs w:val="18"/>
        </w:rPr>
        <w:t xml:space="preserve"> </w:t>
      </w:r>
    </w:p>
  </w:footnote>
  <w:footnote w:id="13">
    <w:p w14:paraId="43E60BEB" w14:textId="77777777" w:rsidR="00E41CB5" w:rsidRPr="00DD4FEE" w:rsidRDefault="00E41CB5" w:rsidP="00E41CB5">
      <w:pPr>
        <w:pStyle w:val="Textonotapie"/>
        <w:ind w:firstLine="709"/>
        <w:jc w:val="both"/>
        <w:rPr>
          <w:rFonts w:ascii="Verdana" w:hAnsi="Verdana"/>
          <w:sz w:val="18"/>
          <w:szCs w:val="18"/>
          <w:lang w:val="es-CO"/>
        </w:rPr>
      </w:pPr>
      <w:r w:rsidRPr="00DD4FEE">
        <w:rPr>
          <w:rStyle w:val="Refdenotaalpie"/>
          <w:rFonts w:ascii="Verdana" w:hAnsi="Verdana"/>
          <w:sz w:val="18"/>
          <w:szCs w:val="18"/>
        </w:rPr>
        <w:footnoteRef/>
      </w:r>
      <w:r w:rsidRPr="00DD4FEE">
        <w:rPr>
          <w:rFonts w:ascii="Verdana" w:hAnsi="Verdana"/>
          <w:sz w:val="18"/>
          <w:szCs w:val="18"/>
        </w:rPr>
        <w:t xml:space="preserve"> RAE. Disponible en: </w:t>
      </w:r>
      <w:hyperlink r:id="rId2" w:history="1">
        <w:r w:rsidRPr="00DD4FEE">
          <w:rPr>
            <w:rStyle w:val="Hipervnculo"/>
            <w:rFonts w:ascii="Verdana" w:hAnsi="Verdana"/>
            <w:sz w:val="18"/>
            <w:szCs w:val="18"/>
          </w:rPr>
          <w:t>https://dle.rae.es/exclusivo</w:t>
        </w:r>
      </w:hyperlink>
      <w:r w:rsidRPr="00DD4FEE">
        <w:rPr>
          <w:rFonts w:ascii="Verdana" w:hAnsi="Verdana"/>
          <w:sz w:val="18"/>
          <w:szCs w:val="18"/>
        </w:rPr>
        <w:t xml:space="preserve"> </w:t>
      </w:r>
    </w:p>
  </w:footnote>
  <w:footnote w:id="14">
    <w:p w14:paraId="6B6415AD" w14:textId="77777777" w:rsidR="00E41CB5" w:rsidRPr="00DD4FEE" w:rsidRDefault="00E41CB5" w:rsidP="00E41CB5">
      <w:pPr>
        <w:pStyle w:val="Textonotapie"/>
        <w:ind w:firstLine="709"/>
        <w:jc w:val="both"/>
        <w:rPr>
          <w:rFonts w:ascii="Verdana" w:hAnsi="Verdana"/>
          <w:sz w:val="18"/>
          <w:szCs w:val="18"/>
          <w:lang w:val="es-CO"/>
        </w:rPr>
      </w:pPr>
      <w:r w:rsidRPr="00DD4FEE">
        <w:rPr>
          <w:rStyle w:val="Refdenotaalpie"/>
          <w:rFonts w:ascii="Verdana" w:hAnsi="Verdana"/>
          <w:sz w:val="18"/>
          <w:szCs w:val="18"/>
        </w:rPr>
        <w:footnoteRef/>
      </w:r>
      <w:r w:rsidRPr="00DD4FEE">
        <w:rPr>
          <w:rFonts w:ascii="Verdana" w:hAnsi="Verdana"/>
          <w:sz w:val="18"/>
          <w:szCs w:val="18"/>
        </w:rPr>
        <w:t xml:space="preserve"> Corte Constitucional. Sentencia C-819 del 2010. M.P: Dr. Jorge Iván Palacio Palacio. Disponible en: </w:t>
      </w:r>
      <w:hyperlink r:id="rId3" w:history="1">
        <w:r w:rsidRPr="00DD4FEE">
          <w:rPr>
            <w:rStyle w:val="Hipervnculo"/>
            <w:rFonts w:ascii="Verdana" w:hAnsi="Verdana"/>
            <w:sz w:val="18"/>
            <w:szCs w:val="18"/>
          </w:rPr>
          <w:t>https://www.corteconstitucional.gov.co/relatoria/2010/c-819-10.htm</w:t>
        </w:r>
      </w:hyperlink>
      <w:r w:rsidRPr="00DD4FEE">
        <w:rPr>
          <w:rFonts w:ascii="Verdana" w:hAnsi="Verdana"/>
          <w:sz w:val="18"/>
          <w:szCs w:val="18"/>
        </w:rPr>
        <w:t xml:space="preserve"> </w:t>
      </w:r>
    </w:p>
  </w:footnote>
  <w:footnote w:id="15">
    <w:p w14:paraId="79A08FD8" w14:textId="77777777" w:rsidR="00E41CB5" w:rsidRPr="00DD4FEE" w:rsidRDefault="00E41CB5" w:rsidP="00E41CB5">
      <w:pPr>
        <w:pStyle w:val="Textonotapie"/>
        <w:ind w:firstLine="709"/>
        <w:jc w:val="both"/>
        <w:rPr>
          <w:rFonts w:ascii="Verdana" w:hAnsi="Verdana"/>
          <w:sz w:val="18"/>
          <w:szCs w:val="18"/>
          <w:lang w:val="es-CO"/>
        </w:rPr>
      </w:pPr>
      <w:r w:rsidRPr="00DD4FEE">
        <w:rPr>
          <w:rStyle w:val="Refdenotaalpie"/>
          <w:rFonts w:ascii="Verdana" w:hAnsi="Verdana"/>
          <w:sz w:val="18"/>
          <w:szCs w:val="18"/>
        </w:rPr>
        <w:footnoteRef/>
      </w:r>
      <w:r w:rsidRPr="00DD4FEE">
        <w:rPr>
          <w:rFonts w:ascii="Verdana" w:hAnsi="Verdana"/>
          <w:sz w:val="18"/>
          <w:szCs w:val="18"/>
        </w:rPr>
        <w:t xml:space="preserve"> </w:t>
      </w:r>
      <w:r w:rsidRPr="00DD4FEE">
        <w:rPr>
          <w:rFonts w:ascii="Verdana" w:hAnsi="Verdana"/>
          <w:sz w:val="18"/>
          <w:szCs w:val="18"/>
          <w:lang w:val="es-CO"/>
        </w:rPr>
        <w:t xml:space="preserve">Disponible en: </w:t>
      </w:r>
      <w:hyperlink r:id="rId4" w:history="1">
        <w:r w:rsidRPr="00DD4FEE">
          <w:rPr>
            <w:rStyle w:val="Hipervnculo"/>
            <w:rFonts w:ascii="Verdana" w:hAnsi="Verdana"/>
            <w:sz w:val="18"/>
            <w:szCs w:val="18"/>
            <w:lang w:val="es-CO"/>
          </w:rPr>
          <w:t>https://www.colombiacompra.gov.co/archivos/transparencia/decreto-0287-de-2026-por-el-cual-se-modifican-los-articulos-2-2-1-2-4-2-6-2-2-1-2-4-2-7-y-2-2-1-2-4-2-8-del-decreto-1082-de-2015-unico-reglamentario-del-sector-administrativo-de-planeacion-en</w:t>
        </w:r>
      </w:hyperlink>
      <w:r w:rsidRPr="00DD4FEE">
        <w:rPr>
          <w:rFonts w:ascii="Verdana" w:hAnsi="Verdana"/>
          <w:sz w:val="18"/>
          <w:szCs w:val="18"/>
          <w:lang w:val="es-C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B575E" w14:textId="77777777" w:rsidR="00E41CB5" w:rsidRDefault="00E41CB5"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0288" behindDoc="1" locked="0" layoutInCell="1" allowOverlap="1" wp14:anchorId="757FB990" wp14:editId="3FFEACF8">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9264" behindDoc="0" locked="0" layoutInCell="1" allowOverlap="1" wp14:anchorId="283E700D" wp14:editId="7E5D60E9">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71137B66" w14:textId="77777777" w:rsidR="00E41CB5" w:rsidRDefault="00E41CB5">
    <w:pPr>
      <w:pStyle w:val="Encabezado"/>
    </w:pPr>
  </w:p>
  <w:p w14:paraId="1371F87C" w14:textId="77777777" w:rsidR="00E41CB5" w:rsidRPr="004A305D" w:rsidRDefault="00E41CB5" w:rsidP="00B01B1A">
    <w:pPr>
      <w:spacing w:after="0" w:line="120" w:lineRule="auto"/>
      <w:rPr>
        <w:rFonts w:ascii="Century Gothic" w:eastAsia="Geo" w:hAnsi="Century Gothic" w:cs="Geo"/>
        <w:sz w:val="16"/>
        <w:szCs w:val="16"/>
        <w:lang w:eastAsia="es-CO"/>
      </w:rPr>
    </w:pPr>
  </w:p>
  <w:p w14:paraId="16566D6A" w14:textId="77777777" w:rsidR="00E41CB5" w:rsidRDefault="00E41CB5" w:rsidP="00844AE9">
    <w:pPr>
      <w:spacing w:after="0" w:line="240" w:lineRule="auto"/>
      <w:rPr>
        <w:rFonts w:ascii="Verdana" w:hAnsi="Verdana"/>
        <w:sz w:val="24"/>
        <w:szCs w:val="24"/>
      </w:rPr>
    </w:pPr>
  </w:p>
  <w:p w14:paraId="0CB0301C" w14:textId="77777777" w:rsidR="00E41CB5" w:rsidRPr="00C925AC" w:rsidRDefault="00E41CB5" w:rsidP="00844AE9">
    <w:pPr>
      <w:spacing w:after="0" w:line="240" w:lineRule="auto"/>
      <w:rPr>
        <w:rFonts w:ascii="Verdana" w:hAnsi="Verdana"/>
        <w:sz w:val="24"/>
        <w:szCs w:val="24"/>
      </w:rPr>
    </w:pPr>
  </w:p>
  <w:p w14:paraId="5E326947" w14:textId="77777777" w:rsidR="00E41CB5" w:rsidRPr="00C925AC" w:rsidRDefault="00E41CB5"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4AE7336F"/>
    <w:multiLevelType w:val="hybridMultilevel"/>
    <w:tmpl w:val="0C4E6BFA"/>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79089576">
    <w:abstractNumId w:val="0"/>
  </w:num>
  <w:num w:numId="2" w16cid:durableId="1300108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CB5"/>
    <w:rsid w:val="00163B52"/>
    <w:rsid w:val="003E73A2"/>
    <w:rsid w:val="00485442"/>
    <w:rsid w:val="00541BEC"/>
    <w:rsid w:val="00594BDE"/>
    <w:rsid w:val="00C44F6F"/>
    <w:rsid w:val="00E41CB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DE5BD"/>
  <w15:chartTrackingRefBased/>
  <w15:docId w15:val="{59747546-2F88-4478-B6F8-0BB3FCE33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CB5"/>
    <w:pPr>
      <w:spacing w:line="259" w:lineRule="auto"/>
    </w:pPr>
    <w:rPr>
      <w:kern w:val="0"/>
      <w:sz w:val="22"/>
      <w:szCs w:val="22"/>
      <w14:ligatures w14:val="none"/>
    </w:rPr>
  </w:style>
  <w:style w:type="paragraph" w:styleId="Ttulo1">
    <w:name w:val="heading 1"/>
    <w:basedOn w:val="Normal"/>
    <w:next w:val="Normal"/>
    <w:link w:val="Ttulo1Car"/>
    <w:uiPriority w:val="9"/>
    <w:qFormat/>
    <w:rsid w:val="00E41C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41C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1CB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1CB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1CB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1CB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1CB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1CB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1CB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1CB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41CB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1CB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1CB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1CB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1CB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1CB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1CB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1CB5"/>
    <w:rPr>
      <w:rFonts w:eastAsiaTheme="majorEastAsia" w:cstheme="majorBidi"/>
      <w:color w:val="272727" w:themeColor="text1" w:themeTint="D8"/>
    </w:rPr>
  </w:style>
  <w:style w:type="paragraph" w:styleId="Ttulo">
    <w:name w:val="Title"/>
    <w:basedOn w:val="Normal"/>
    <w:next w:val="Normal"/>
    <w:link w:val="TtuloCar"/>
    <w:uiPriority w:val="10"/>
    <w:qFormat/>
    <w:rsid w:val="00E41C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1CB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1CB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1CB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1CB5"/>
    <w:pPr>
      <w:spacing w:before="160"/>
      <w:jc w:val="center"/>
    </w:pPr>
    <w:rPr>
      <w:i/>
      <w:iCs/>
      <w:color w:val="404040" w:themeColor="text1" w:themeTint="BF"/>
    </w:rPr>
  </w:style>
  <w:style w:type="character" w:customStyle="1" w:styleId="CitaCar">
    <w:name w:val="Cita Car"/>
    <w:basedOn w:val="Fuentedeprrafopredeter"/>
    <w:link w:val="Cita"/>
    <w:uiPriority w:val="29"/>
    <w:rsid w:val="00E41CB5"/>
    <w:rPr>
      <w:i/>
      <w:iCs/>
      <w:color w:val="404040" w:themeColor="text1" w:themeTint="BF"/>
    </w:r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E41CB5"/>
    <w:pPr>
      <w:ind w:left="720"/>
      <w:contextualSpacing/>
    </w:pPr>
  </w:style>
  <w:style w:type="character" w:styleId="nfasisintenso">
    <w:name w:val="Intense Emphasis"/>
    <w:basedOn w:val="Fuentedeprrafopredeter"/>
    <w:uiPriority w:val="21"/>
    <w:qFormat/>
    <w:rsid w:val="00E41CB5"/>
    <w:rPr>
      <w:i/>
      <w:iCs/>
      <w:color w:val="0F4761" w:themeColor="accent1" w:themeShade="BF"/>
    </w:rPr>
  </w:style>
  <w:style w:type="paragraph" w:styleId="Citadestacada">
    <w:name w:val="Intense Quote"/>
    <w:basedOn w:val="Normal"/>
    <w:next w:val="Normal"/>
    <w:link w:val="CitadestacadaCar"/>
    <w:uiPriority w:val="30"/>
    <w:qFormat/>
    <w:rsid w:val="00E41C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1CB5"/>
    <w:rPr>
      <w:i/>
      <w:iCs/>
      <w:color w:val="0F4761" w:themeColor="accent1" w:themeShade="BF"/>
    </w:rPr>
  </w:style>
  <w:style w:type="character" w:styleId="Referenciaintensa">
    <w:name w:val="Intense Reference"/>
    <w:basedOn w:val="Fuentedeprrafopredeter"/>
    <w:uiPriority w:val="32"/>
    <w:qFormat/>
    <w:rsid w:val="00E41CB5"/>
    <w:rPr>
      <w:b/>
      <w:bCs/>
      <w:smallCaps/>
      <w:color w:val="0F4761" w:themeColor="accent1" w:themeShade="BF"/>
      <w:spacing w:val="5"/>
    </w:rPr>
  </w:style>
  <w:style w:type="paragraph" w:styleId="Encabezado">
    <w:name w:val="header"/>
    <w:basedOn w:val="Normal"/>
    <w:link w:val="EncabezadoCar"/>
    <w:uiPriority w:val="99"/>
    <w:unhideWhenUsed/>
    <w:rsid w:val="00E41CB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1CB5"/>
    <w:rPr>
      <w:kern w:val="0"/>
      <w:sz w:val="22"/>
      <w:szCs w:val="22"/>
      <w14:ligatures w14:val="none"/>
    </w:rPr>
  </w:style>
  <w:style w:type="paragraph" w:styleId="Piedepgina">
    <w:name w:val="footer"/>
    <w:basedOn w:val="Normal"/>
    <w:link w:val="PiedepginaCar"/>
    <w:uiPriority w:val="99"/>
    <w:unhideWhenUsed/>
    <w:rsid w:val="00E41CB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1CB5"/>
    <w:rPr>
      <w:kern w:val="0"/>
      <w:sz w:val="22"/>
      <w:szCs w:val="22"/>
      <w14:ligatures w14:val="none"/>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E41CB5"/>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E41CB5"/>
    <w:pPr>
      <w:spacing w:after="0" w:line="240" w:lineRule="auto"/>
    </w:pPr>
    <w:rPr>
      <w:kern w:val="2"/>
      <w:sz w:val="20"/>
      <w:szCs w:val="20"/>
      <w:lang w:val="es-MX"/>
      <w14:ligatures w14:val="standardContextual"/>
    </w:rPr>
  </w:style>
  <w:style w:type="character" w:customStyle="1" w:styleId="TextonotapieCar1">
    <w:name w:val="Texto nota pie Car1"/>
    <w:basedOn w:val="Fuentedeprrafopredeter"/>
    <w:uiPriority w:val="99"/>
    <w:semiHidden/>
    <w:rsid w:val="00E41CB5"/>
    <w:rPr>
      <w:kern w:val="0"/>
      <w:sz w:val="20"/>
      <w:szCs w:val="20"/>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E41CB5"/>
    <w:rPr>
      <w:vertAlign w:val="superscript"/>
    </w:rPr>
  </w:style>
  <w:style w:type="table" w:styleId="Tablaconcuadrcula">
    <w:name w:val="Table Grid"/>
    <w:basedOn w:val="Tablanormal"/>
    <w:uiPriority w:val="39"/>
    <w:qFormat/>
    <w:rsid w:val="00E41CB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41CB5"/>
    <w:rPr>
      <w:color w:val="0000FF"/>
      <w:u w:val="single"/>
    </w:rPr>
  </w:style>
  <w:style w:type="paragraph" w:customStyle="1" w:styleId="Appelnotedebasde">
    <w:name w:val="Appel note de bas de..."/>
    <w:basedOn w:val="Normal"/>
    <w:link w:val="Refdenotaalpie"/>
    <w:uiPriority w:val="99"/>
    <w:rsid w:val="00E41CB5"/>
    <w:pPr>
      <w:spacing w:line="240" w:lineRule="exact"/>
    </w:pPr>
    <w:rPr>
      <w:kern w:val="2"/>
      <w:sz w:val="24"/>
      <w:szCs w:val="24"/>
      <w:vertAlign w:val="superscript"/>
      <w14:ligatures w14:val="standardContextual"/>
    </w:rPr>
  </w:style>
  <w:style w:type="table" w:customStyle="1" w:styleId="Tablaconcuadrcula11">
    <w:name w:val="Tabla con cuadrícula11"/>
    <w:basedOn w:val="Tablanormal"/>
    <w:next w:val="Tablaconcuadrcula"/>
    <w:uiPriority w:val="59"/>
    <w:qFormat/>
    <w:rsid w:val="00E41CB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E41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olombiacompra.gov.co/wp-content/uploads/2026/04/ABC-Decreto-0287-de-2026-1.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rinaroldan.abog@gmail.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corteconstitucional.gov.co/relatoria/2010/c-819-10.htm" TargetMode="External"/><Relationship Id="rId2" Type="http://schemas.openxmlformats.org/officeDocument/2006/relationships/hyperlink" Target="https://dle.rae.es/exclusivo" TargetMode="External"/><Relationship Id="rId1" Type="http://schemas.openxmlformats.org/officeDocument/2006/relationships/hyperlink" Target="https://dle.rae.es/dedicaci%C3%B3n" TargetMode="External"/><Relationship Id="rId4" Type="http://schemas.openxmlformats.org/officeDocument/2006/relationships/hyperlink" Target="https://www.colombiacompra.gov.co/archivos/transparencia/decreto-0287-de-2026-por-el-cual-se-modifican-los-articulos-2-2-1-2-4-2-6-2-2-1-2-4-2-7-y-2-2-1-2-4-2-8-del-decreto-1082-de-2015-unico-reglamentario-del-sector-administrativo-de-planeacion-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41539D-312F-4D84-AC1E-D546AC2594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C10A3C-A7FD-4968-B3DB-C8F5E08D82B1}">
  <ds:schemaRefs>
    <ds:schemaRef ds:uri="http://schemas.microsoft.com/sharepoint/v3/contenttype/forms"/>
  </ds:schemaRefs>
</ds:datastoreItem>
</file>

<file path=customXml/itemProps3.xml><?xml version="1.0" encoding="utf-8"?>
<ds:datastoreItem xmlns:ds="http://schemas.openxmlformats.org/officeDocument/2006/customXml" ds:itemID="{A21C84DE-5CB9-4F01-85A6-9A87C09C6F33}">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6421</Words>
  <Characters>35319</Characters>
  <Application>Microsoft Office Word</Application>
  <DocSecurity>0</DocSecurity>
  <Lines>294</Lines>
  <Paragraphs>83</Paragraphs>
  <ScaleCrop>false</ScaleCrop>
  <Company/>
  <LinksUpToDate>false</LinksUpToDate>
  <CharactersWithSpaces>41657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Nasly Yeana Mosquera Rivas</dc:creator>
  <cp:keywords/>
  <dc:description/>
  <cp:lastModifiedBy>Nasly Yeana Mosquera Rivas</cp:lastModifiedBy>
  <cp:revision>2</cp:revision>
  <dcterms:created xsi:type="dcterms:W3CDTF">2026-08-04T15:23:00Z</dcterms:created>
  <dcterms:modified xsi:type="dcterms:W3CDTF">2026-08-04T15:23:00Z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