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61CAC" w14:textId="77777777" w:rsidR="007871E6" w:rsidRPr="004C046B" w:rsidRDefault="007871E6" w:rsidP="007871E6">
      <w:pPr>
        <w:spacing w:after="0" w:line="240" w:lineRule="auto"/>
        <w:contextualSpacing/>
        <w:jc w:val="both"/>
        <w:rPr>
          <w:rFonts w:ascii="Verdana" w:eastAsia="Calibri" w:hAnsi="Verdana" w:cs="Arial"/>
          <w:b/>
          <w:bCs/>
          <w:lang w:eastAsia="es-ES"/>
        </w:rPr>
      </w:pPr>
      <w:bookmarkStart w:id="0" w:name="_Hlk235206952"/>
      <w:bookmarkStart w:id="1" w:name="_Hlk143780582"/>
      <w:r w:rsidRPr="004C046B">
        <w:rPr>
          <w:rFonts w:ascii="Verdana" w:eastAsia="Calibri" w:hAnsi="Verdana" w:cs="Arial"/>
          <w:b/>
          <w:bCs/>
          <w:lang w:eastAsia="es-ES"/>
        </w:rPr>
        <w:t>DECRETO 0287 DE 2026 ‒ Sistema Integral de Preferencias ‒ Contratación pública inclusiva ‒ Personas con discapacidad</w:t>
      </w:r>
    </w:p>
    <w:bookmarkEnd w:id="0"/>
    <w:p w14:paraId="4B96E247"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767397EE" w14:textId="77777777" w:rsidR="007871E6" w:rsidRDefault="007871E6" w:rsidP="007871E6">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 R</w:t>
      </w:r>
      <w:r w:rsidRPr="000A5E13">
        <w:rPr>
          <w:rFonts w:ascii="Verdana" w:eastAsia="Calibri" w:hAnsi="Verdana" w:cs="Arial"/>
          <w:sz w:val="20"/>
          <w:szCs w:val="20"/>
          <w:lang w:eastAsia="es-ES"/>
        </w:rPr>
        <w:t xml:space="preserve">especto al alcance del Decreto 0287 de 2026, es necesario indicar que este reglamenta los numerales 1, 7 y 8 del artículo 13 de la Ley 1618 de 2013, acción que fue ordenada por el Consejo de Estado, Sección Quinta de la Sala de lo Contencioso Administrativo, mediante sentencia de acción de cumplimiento del 12 de diciembre de 2024, radicación </w:t>
      </w:r>
      <w:proofErr w:type="spellStart"/>
      <w:r w:rsidRPr="000A5E13">
        <w:rPr>
          <w:rFonts w:ascii="Verdana" w:eastAsia="Calibri" w:hAnsi="Verdana" w:cs="Arial"/>
          <w:sz w:val="20"/>
          <w:szCs w:val="20"/>
          <w:lang w:eastAsia="es-ES"/>
        </w:rPr>
        <w:t>N.°</w:t>
      </w:r>
      <w:proofErr w:type="spellEnd"/>
      <w:r w:rsidRPr="000A5E13">
        <w:rPr>
          <w:rFonts w:ascii="Verdana" w:eastAsia="Calibri" w:hAnsi="Verdana" w:cs="Arial"/>
          <w:sz w:val="20"/>
          <w:szCs w:val="20"/>
          <w:lang w:eastAsia="es-ES"/>
        </w:rPr>
        <w:t xml:space="preserve"> 05001-23-33-000-2024-00847-01, con ponencia del magistrado Omar Joaquín Barreto Suárez, y establece un Sistema Integral de Preferencias en favor de las personas con discapacidad en la contratación pública, entendido como el conjunto estructurado de medidas afirmativas, de naturaleza jurídica, técnica y procedimental, que las entidades estatales deben adoptar en todas las fases del proceso contractual: planeación, selección, adjudicación y ejecución. Este sistema está compuesto por cinco medidas: herramientas de planeación para procesos inclusivos, criterios habilitantes diferenciales, puntaje adicional del 2%, condiciones especiales de ejecución e inclusión de personas con discapacidad (en adelante, </w:t>
      </w:r>
      <w:proofErr w:type="spellStart"/>
      <w:r w:rsidRPr="000A5E13">
        <w:rPr>
          <w:rFonts w:ascii="Verdana" w:eastAsia="Calibri" w:hAnsi="Verdana" w:cs="Arial"/>
          <w:sz w:val="20"/>
          <w:szCs w:val="20"/>
          <w:lang w:eastAsia="es-ES"/>
        </w:rPr>
        <w:t>PcD</w:t>
      </w:r>
      <w:proofErr w:type="spellEnd"/>
      <w:r w:rsidRPr="000A5E13">
        <w:rPr>
          <w:rFonts w:ascii="Verdana" w:eastAsia="Calibri" w:hAnsi="Verdana" w:cs="Arial"/>
          <w:sz w:val="20"/>
          <w:szCs w:val="20"/>
          <w:lang w:eastAsia="es-ES"/>
        </w:rPr>
        <w:t>) en contratos de prestación de servicios. A estas medidas se suma, de manera transversal e independiente de las anteriores, la obligación de compras públicas accesibles, cuya aplicación recae sobre todos los entes del Estado con independencia de su régimen de contratación y en todas las modalidades de selección, incluida la contratación directa, irradiando la fase de planeación ya que es allí donde la compra debe plantearse con criterios de accesibilidad.</w:t>
      </w:r>
    </w:p>
    <w:p w14:paraId="4B987301" w14:textId="77777777" w:rsidR="007871E6" w:rsidRPr="007B5AD4" w:rsidRDefault="007871E6" w:rsidP="007871E6">
      <w:pPr>
        <w:spacing w:after="0" w:line="240" w:lineRule="auto"/>
        <w:contextualSpacing/>
        <w:jc w:val="both"/>
        <w:rPr>
          <w:rFonts w:ascii="Verdana" w:eastAsia="Calibri" w:hAnsi="Verdana" w:cs="Arial"/>
          <w:sz w:val="20"/>
          <w:szCs w:val="20"/>
          <w:lang w:eastAsia="es-ES"/>
        </w:rPr>
      </w:pPr>
    </w:p>
    <w:p w14:paraId="3280DCC8" w14:textId="77777777" w:rsidR="007871E6" w:rsidRPr="004C046B" w:rsidRDefault="007871E6" w:rsidP="007871E6">
      <w:pPr>
        <w:spacing w:after="0" w:line="240" w:lineRule="auto"/>
        <w:contextualSpacing/>
        <w:jc w:val="both"/>
        <w:rPr>
          <w:rFonts w:ascii="Verdana" w:eastAsia="Calibri" w:hAnsi="Verdana" w:cs="Arial"/>
          <w:b/>
          <w:bCs/>
          <w:lang w:eastAsia="es-ES"/>
        </w:rPr>
      </w:pPr>
      <w:bookmarkStart w:id="2" w:name="_Hlk235206960"/>
      <w:r w:rsidRPr="004C046B">
        <w:rPr>
          <w:rFonts w:ascii="Verdana" w:eastAsia="Calibri" w:hAnsi="Verdana" w:cs="Arial"/>
          <w:b/>
          <w:bCs/>
          <w:lang w:eastAsia="es-ES"/>
        </w:rPr>
        <w:t>DECRETO 0287 DE 2026 ‒ Antecedentes normativos ‒ Decreto 392 de 2018 ‒ Omisiones reglamentarias ‒ Sentencia de acción de cumplimiento</w:t>
      </w:r>
    </w:p>
    <w:bookmarkEnd w:id="2"/>
    <w:p w14:paraId="14A2C252" w14:textId="77777777" w:rsidR="007871E6" w:rsidRPr="007B5AD4" w:rsidRDefault="007871E6" w:rsidP="007871E6">
      <w:pPr>
        <w:spacing w:after="0" w:line="240" w:lineRule="auto"/>
        <w:contextualSpacing/>
        <w:jc w:val="both"/>
        <w:rPr>
          <w:rFonts w:ascii="Verdana" w:eastAsia="Calibri" w:hAnsi="Verdana" w:cs="Arial"/>
          <w:b/>
          <w:bCs/>
          <w:sz w:val="20"/>
          <w:szCs w:val="20"/>
          <w:lang w:eastAsia="es-ES"/>
        </w:rPr>
      </w:pPr>
    </w:p>
    <w:p w14:paraId="43057937" w14:textId="77777777" w:rsidR="007871E6" w:rsidRDefault="007871E6" w:rsidP="007871E6">
      <w:pPr>
        <w:spacing w:after="0" w:line="240" w:lineRule="auto"/>
        <w:contextualSpacing/>
        <w:jc w:val="both"/>
        <w:rPr>
          <w:rFonts w:ascii="Verdana" w:eastAsia="Calibri" w:hAnsi="Verdana" w:cs="Arial"/>
          <w:sz w:val="20"/>
          <w:szCs w:val="20"/>
          <w:lang w:eastAsia="es-ES"/>
        </w:rPr>
      </w:pPr>
      <w:r w:rsidRPr="007C6F9B">
        <w:rPr>
          <w:rFonts w:ascii="Verdana" w:eastAsia="Calibri" w:hAnsi="Verdana" w:cs="Arial"/>
          <w:sz w:val="20"/>
          <w:szCs w:val="20"/>
          <w:lang w:eastAsia="es-ES"/>
        </w:rPr>
        <w:t xml:space="preserve">La insuficiencia del Decreto 392 de 2018 fue constatada judicialmente. La Sección Quinta del Consejo de Estado, mediante sentencia de acción de cumplimiento del 12 de diciembre de 2024, radicación </w:t>
      </w:r>
      <w:proofErr w:type="spellStart"/>
      <w:r w:rsidRPr="007C6F9B">
        <w:rPr>
          <w:rFonts w:ascii="Verdana" w:eastAsia="Calibri" w:hAnsi="Verdana" w:cs="Arial"/>
          <w:sz w:val="20"/>
          <w:szCs w:val="20"/>
          <w:lang w:eastAsia="es-ES"/>
        </w:rPr>
        <w:t>n.°</w:t>
      </w:r>
      <w:proofErr w:type="spellEnd"/>
      <w:r w:rsidRPr="007C6F9B">
        <w:rPr>
          <w:rFonts w:ascii="Verdana" w:eastAsia="Calibri" w:hAnsi="Verdana" w:cs="Arial"/>
          <w:sz w:val="20"/>
          <w:szCs w:val="20"/>
          <w:lang w:eastAsia="es-ES"/>
        </w:rPr>
        <w:t xml:space="preserve">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4407FA03"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010F266D" w14:textId="77777777" w:rsidR="007871E6" w:rsidRPr="004C046B" w:rsidRDefault="007871E6" w:rsidP="007871E6">
      <w:pPr>
        <w:spacing w:after="0" w:line="240" w:lineRule="auto"/>
        <w:contextualSpacing/>
        <w:jc w:val="both"/>
        <w:rPr>
          <w:rFonts w:ascii="Verdana" w:eastAsia="Calibri" w:hAnsi="Verdana" w:cs="Arial"/>
          <w:b/>
          <w:bCs/>
          <w:lang w:eastAsia="es-ES"/>
        </w:rPr>
      </w:pPr>
      <w:bookmarkStart w:id="3" w:name="_Hlk235206976"/>
      <w:r w:rsidRPr="004C046B">
        <w:rPr>
          <w:rFonts w:ascii="Verdana" w:eastAsia="Calibri" w:hAnsi="Verdana" w:cs="Arial"/>
          <w:b/>
          <w:bCs/>
          <w:lang w:eastAsia="es-ES"/>
        </w:rPr>
        <w:t>DECRETO 0287 DE 2026 ‒ Sujetos del sistema ‒ Emprendimientos y empresas de personas con discapacidad ‒ Empleadores de personas con discapacidad ‒ Definición y diferenciación</w:t>
      </w:r>
    </w:p>
    <w:bookmarkEnd w:id="3"/>
    <w:p w14:paraId="3D41D533" w14:textId="77777777" w:rsidR="007871E6" w:rsidRPr="007B5AD4" w:rsidRDefault="007871E6" w:rsidP="007871E6">
      <w:pPr>
        <w:spacing w:after="0" w:line="240" w:lineRule="auto"/>
        <w:contextualSpacing/>
        <w:jc w:val="both"/>
        <w:rPr>
          <w:rFonts w:ascii="Verdana" w:eastAsia="Calibri" w:hAnsi="Verdana" w:cs="Arial"/>
          <w:b/>
          <w:bCs/>
          <w:sz w:val="20"/>
          <w:szCs w:val="20"/>
          <w:lang w:eastAsia="es-ES"/>
        </w:rPr>
      </w:pPr>
    </w:p>
    <w:p w14:paraId="219CE8D0" w14:textId="77777777" w:rsidR="007871E6" w:rsidRPr="00206556" w:rsidRDefault="007871E6" w:rsidP="007871E6">
      <w:pPr>
        <w:spacing w:after="0" w:line="240" w:lineRule="auto"/>
        <w:contextualSpacing/>
        <w:jc w:val="both"/>
        <w:rPr>
          <w:rFonts w:ascii="Verdana" w:eastAsia="Calibri" w:hAnsi="Verdana" w:cs="Arial"/>
          <w:sz w:val="20"/>
          <w:szCs w:val="20"/>
          <w:lang w:eastAsia="es-ES"/>
        </w:rPr>
      </w:pPr>
      <w:r w:rsidRPr="007C6F9B">
        <w:rPr>
          <w:rFonts w:ascii="Verdana" w:eastAsia="Calibri" w:hAnsi="Verdana" w:cs="Arial"/>
          <w:sz w:val="20"/>
          <w:szCs w:val="20"/>
          <w:lang w:eastAsia="es-ES"/>
        </w:rPr>
        <w:t xml:space="preserve">El sistema beneficia a dos sujetos diferenciados cuyas medidas no son idénticas ni intercambiables. El primer sujeto son los emprendimientos y empresas de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xml:space="preserve">, definidos en el artículo 2.2.1.2.4.2.6. del Decreto 1082 de 2015 (modificado) según cuatro categorías: personas naturales con discapacidad que ejerzan una profesión liberal; </w:t>
      </w:r>
      <w:r w:rsidRPr="007C6F9B">
        <w:rPr>
          <w:rFonts w:ascii="Verdana" w:eastAsia="Calibri" w:hAnsi="Verdana" w:cs="Arial"/>
          <w:sz w:val="20"/>
          <w:szCs w:val="20"/>
          <w:lang w:eastAsia="es-ES"/>
        </w:rPr>
        <w:lastRenderedPageBreak/>
        <w:t xml:space="preserve">personas naturales con discapacidad que realicen actividades comerciales a través de establecimiento de comercio con al menos un año de antigüedad; personas jurídicas en las que más del 50% de las acciones o cuotas pertenezcan a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xml:space="preserve"> por al menos un año; y personas jurídicas con al menos una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xml:space="preserve"> vinculada laboralmente en un cargo de nivel directivo por al menos un año. El segundo sujeto son los empleadores de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esto es, cualquier empresa que tenga en su planta de personal trabajadores con discapacidad contratados laboralmente con dedicación exclusiva, superando los mínimos que exige la Ley 2466 de 2025 (Reforma Laboral). Confundir los dos sujetos genera aplicaciones incorrectas del sistema, razón por la cual resulta esencial que las entidades contratantes identifiquen en cada caso qué sujeto está acreditando el proponente y qué documentación y medidas corresponden a ese sujeto específico</w:t>
      </w:r>
      <w:r w:rsidRPr="007B5AD4">
        <w:rPr>
          <w:rFonts w:ascii="Verdana" w:eastAsia="Calibri" w:hAnsi="Verdana" w:cs="Arial"/>
          <w:sz w:val="20"/>
          <w:szCs w:val="20"/>
          <w:lang w:eastAsia="es-ES"/>
        </w:rPr>
        <w:t>.</w:t>
      </w:r>
    </w:p>
    <w:p w14:paraId="1B9C25FE" w14:textId="77777777" w:rsidR="007871E6" w:rsidRPr="007B5AD4" w:rsidRDefault="007871E6" w:rsidP="007871E6">
      <w:pPr>
        <w:spacing w:after="0" w:line="240" w:lineRule="auto"/>
        <w:contextualSpacing/>
        <w:jc w:val="both"/>
        <w:rPr>
          <w:rFonts w:ascii="Verdana" w:eastAsia="Calibri" w:hAnsi="Verdana" w:cs="Arial"/>
          <w:sz w:val="20"/>
          <w:szCs w:val="20"/>
          <w:lang w:eastAsia="es-ES"/>
        </w:rPr>
      </w:pPr>
    </w:p>
    <w:p w14:paraId="506A3E1D" w14:textId="77777777" w:rsidR="007871E6" w:rsidRPr="004C046B" w:rsidRDefault="007871E6" w:rsidP="007871E6">
      <w:pPr>
        <w:spacing w:after="0" w:line="240" w:lineRule="auto"/>
        <w:contextualSpacing/>
        <w:jc w:val="both"/>
        <w:rPr>
          <w:rFonts w:ascii="Verdana" w:eastAsia="Calibri" w:hAnsi="Verdana" w:cs="Arial"/>
          <w:b/>
          <w:bCs/>
          <w:lang w:eastAsia="es-ES"/>
        </w:rPr>
      </w:pPr>
      <w:bookmarkStart w:id="4" w:name="_Hlk235206988"/>
      <w:r w:rsidRPr="004C046B">
        <w:rPr>
          <w:rFonts w:ascii="Verdana" w:eastAsia="Calibri" w:hAnsi="Verdana" w:cs="Arial"/>
          <w:b/>
          <w:bCs/>
          <w:lang w:eastAsia="es-ES"/>
        </w:rPr>
        <w:t>DECRETO 0287 DE 2026 ‒ Puntaje adicional del 2% ‒ No acumulabilidad ‒ Acreditación simultánea de condiciones ‒ Modalidades de selección aplicables</w:t>
      </w:r>
    </w:p>
    <w:bookmarkEnd w:id="4"/>
    <w:p w14:paraId="16DDCB42" w14:textId="77777777" w:rsidR="007871E6" w:rsidRPr="00206556" w:rsidRDefault="007871E6" w:rsidP="007871E6">
      <w:pPr>
        <w:spacing w:after="0" w:line="240" w:lineRule="auto"/>
        <w:contextualSpacing/>
        <w:jc w:val="both"/>
        <w:rPr>
          <w:rFonts w:ascii="Verdana" w:eastAsia="Calibri" w:hAnsi="Verdana" w:cs="Arial"/>
          <w:sz w:val="20"/>
          <w:szCs w:val="20"/>
          <w:lang w:eastAsia="es-ES"/>
        </w:rPr>
      </w:pPr>
    </w:p>
    <w:p w14:paraId="55CB6BF5" w14:textId="77777777" w:rsidR="007871E6" w:rsidRDefault="007871E6" w:rsidP="007871E6">
      <w:pPr>
        <w:spacing w:after="0" w:line="240" w:lineRule="auto"/>
        <w:contextualSpacing/>
        <w:jc w:val="both"/>
        <w:rPr>
          <w:rFonts w:ascii="Verdana" w:eastAsia="Calibri" w:hAnsi="Verdana" w:cs="Arial"/>
          <w:sz w:val="20"/>
          <w:szCs w:val="20"/>
          <w:lang w:eastAsia="es-ES"/>
        </w:rPr>
      </w:pPr>
      <w:r w:rsidRPr="007C6F9B">
        <w:rPr>
          <w:rFonts w:ascii="Verdana" w:eastAsia="Calibri" w:hAnsi="Verdana" w:cs="Arial"/>
          <w:sz w:val="20"/>
          <w:szCs w:val="20"/>
          <w:lang w:eastAsia="es-ES"/>
        </w:rPr>
        <w:t xml:space="preserve">El artículo 2.2.1.2.4.2.7.4. del Decreto 0287 de 2026 es explícito al disponer que, aunque el proponente acredite simultáneamente ser emprendimiento o empresa de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xml:space="preserve"> y ser empleador de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el puntaje máximo a otorgar por este criterio es siempre el 2% del total de los puntos del pliego, sin que las condiciones acreditadas sean sumables para efectos de la evaluación de la oferta, y tampoco es posible disminuir ese porcentaje de puntos ya que siempre será el 2% como lo establece el decreto. Este puntaje aplica únicamente en entidades regidas por el Estatuto General de Contratación Pública, en las modalidades de licitación pública y concurso de méritos; no aplica en régimen especial, ni en selección abreviada, mínima cuantía ni contratación directa</w:t>
      </w:r>
      <w:r w:rsidRPr="007B5AD4">
        <w:rPr>
          <w:rFonts w:ascii="Verdana" w:eastAsia="Calibri" w:hAnsi="Verdana" w:cs="Arial"/>
          <w:sz w:val="20"/>
          <w:szCs w:val="20"/>
          <w:lang w:eastAsia="es-ES"/>
        </w:rPr>
        <w:t>.</w:t>
      </w:r>
    </w:p>
    <w:p w14:paraId="77F96CB1" w14:textId="77777777" w:rsidR="007871E6" w:rsidRDefault="007871E6" w:rsidP="007871E6">
      <w:pPr>
        <w:spacing w:after="0" w:line="240" w:lineRule="auto"/>
        <w:contextualSpacing/>
        <w:jc w:val="both"/>
        <w:rPr>
          <w:rFonts w:ascii="Verdana" w:eastAsia="Calibri" w:hAnsi="Verdana" w:cs="Arial"/>
          <w:b/>
          <w:bCs/>
          <w:sz w:val="20"/>
          <w:szCs w:val="20"/>
          <w:lang w:eastAsia="es-ES"/>
        </w:rPr>
      </w:pPr>
    </w:p>
    <w:p w14:paraId="36CBC893" w14:textId="77777777" w:rsidR="007871E6" w:rsidRPr="004C046B" w:rsidRDefault="007871E6" w:rsidP="007871E6">
      <w:pPr>
        <w:spacing w:after="0" w:line="240" w:lineRule="auto"/>
        <w:contextualSpacing/>
        <w:jc w:val="both"/>
        <w:rPr>
          <w:rFonts w:ascii="Verdana" w:eastAsia="Calibri" w:hAnsi="Verdana" w:cs="Arial"/>
          <w:b/>
          <w:bCs/>
          <w:lang w:eastAsia="es-ES"/>
        </w:rPr>
      </w:pPr>
      <w:bookmarkStart w:id="5" w:name="_Hlk235206997"/>
      <w:r w:rsidRPr="004C046B">
        <w:rPr>
          <w:rFonts w:ascii="Verdana" w:eastAsia="Calibri" w:hAnsi="Verdana" w:cs="Arial"/>
          <w:b/>
          <w:bCs/>
          <w:lang w:eastAsia="es-ES"/>
        </w:rPr>
        <w:t>DECRETO 0287 DE 2026 ‒ Puntaje adicional del 2% ‒ Vinculación de personas con discapacidad ‒ Planillas de seguridad social ‒ Período de tres meses ‒ Vinculaciones recientes</w:t>
      </w:r>
    </w:p>
    <w:bookmarkEnd w:id="5"/>
    <w:p w14:paraId="42DA760F" w14:textId="77777777" w:rsidR="007871E6" w:rsidRPr="00206556" w:rsidRDefault="007871E6" w:rsidP="007871E6">
      <w:pPr>
        <w:spacing w:after="0" w:line="240" w:lineRule="auto"/>
        <w:contextualSpacing/>
        <w:jc w:val="both"/>
        <w:rPr>
          <w:rFonts w:ascii="Verdana" w:eastAsia="Calibri" w:hAnsi="Verdana" w:cs="Arial"/>
          <w:sz w:val="20"/>
          <w:szCs w:val="20"/>
          <w:lang w:eastAsia="es-ES"/>
        </w:rPr>
      </w:pPr>
    </w:p>
    <w:p w14:paraId="51F0024D" w14:textId="77777777" w:rsidR="007871E6" w:rsidRDefault="007871E6" w:rsidP="007871E6">
      <w:pPr>
        <w:spacing w:after="0" w:line="240" w:lineRule="auto"/>
        <w:contextualSpacing/>
        <w:jc w:val="both"/>
        <w:rPr>
          <w:rFonts w:ascii="Verdana" w:eastAsia="Calibri" w:hAnsi="Verdana" w:cs="Arial"/>
          <w:sz w:val="20"/>
          <w:szCs w:val="20"/>
          <w:lang w:eastAsia="es-ES"/>
        </w:rPr>
      </w:pPr>
      <w:r w:rsidRPr="00C820EF">
        <w:rPr>
          <w:rFonts w:ascii="Verdana" w:eastAsia="Calibri" w:hAnsi="Verdana" w:cs="Arial"/>
          <w:sz w:val="20"/>
          <w:szCs w:val="20"/>
          <w:lang w:eastAsia="es-ES"/>
        </w:rPr>
        <w:t xml:space="preserve">Ahora bien, la documentación para la acreditación de las condiciones bajo las cuales se otorga el puntaje depende del sujeto de que se trate, en la condición de empleador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los documentos están dispuestos en el artículo 2.2.1.2.4.2.7.4, el cual exige, entre otros documentos, los certificados de aportes a seguridad social de los tres (3) meses anteriores a la presentación de la oferta respecto de cada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incluida en el cómputo, sin distinción entre vinculaciones iniciales e incrementos posteriores. No existe mecanismo alternativo que permita suplir este requisito. No obstante, su incumplimiento parcial no impide la participación del proponente en el proceso de contratación; simplemente limita el acceso al puntaje adicional respecto de las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cuyas planillas no alcancen ese período, pudiendo el proponente acreditar el puntaje con base en las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que sí cumplen el requisito temporal y participar en el proceso sin el puntaje en caso de no alcanzar ninguna. El término de tres (3) </w:t>
      </w:r>
      <w:proofErr w:type="gramStart"/>
      <w:r w:rsidRPr="00C820EF">
        <w:rPr>
          <w:rFonts w:ascii="Verdana" w:eastAsia="Calibri" w:hAnsi="Verdana" w:cs="Arial"/>
          <w:sz w:val="20"/>
          <w:szCs w:val="20"/>
          <w:lang w:eastAsia="es-ES"/>
        </w:rPr>
        <w:t>meses aquí mencionado</w:t>
      </w:r>
      <w:proofErr w:type="gramEnd"/>
      <w:r w:rsidRPr="00C820EF">
        <w:rPr>
          <w:rFonts w:ascii="Verdana" w:eastAsia="Calibri" w:hAnsi="Verdana" w:cs="Arial"/>
          <w:sz w:val="20"/>
          <w:szCs w:val="20"/>
          <w:lang w:eastAsia="es-ES"/>
        </w:rPr>
        <w:t xml:space="preserve"> es diferente al término de un (1) año mencionado en el artículo 2.2.1.2.4.2.6 respecto de los emprendimientos y empresas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w:t>
      </w:r>
    </w:p>
    <w:p w14:paraId="7F95308A" w14:textId="77777777" w:rsidR="007871E6" w:rsidRPr="00C820EF" w:rsidRDefault="007871E6" w:rsidP="007871E6">
      <w:pPr>
        <w:spacing w:after="0" w:line="240" w:lineRule="auto"/>
        <w:contextualSpacing/>
        <w:jc w:val="both"/>
        <w:rPr>
          <w:rFonts w:ascii="Verdana" w:eastAsia="Calibri" w:hAnsi="Verdana" w:cs="Arial"/>
          <w:sz w:val="20"/>
          <w:szCs w:val="20"/>
          <w:lang w:eastAsia="es-ES"/>
        </w:rPr>
      </w:pPr>
    </w:p>
    <w:p w14:paraId="197425E8" w14:textId="77777777" w:rsidR="007871E6" w:rsidRPr="003C64A5" w:rsidRDefault="007871E6" w:rsidP="007871E6">
      <w:pPr>
        <w:spacing w:after="0" w:line="240" w:lineRule="auto"/>
        <w:contextualSpacing/>
        <w:jc w:val="both"/>
        <w:rPr>
          <w:rFonts w:ascii="Verdana" w:eastAsia="Calibri" w:hAnsi="Verdana" w:cs="Arial"/>
          <w:sz w:val="20"/>
          <w:szCs w:val="20"/>
          <w:lang w:eastAsia="es-ES"/>
        </w:rPr>
      </w:pPr>
      <w:r w:rsidRPr="00C820EF">
        <w:rPr>
          <w:rFonts w:ascii="Verdana" w:eastAsia="Calibri" w:hAnsi="Verdana" w:cs="Arial"/>
          <w:sz w:val="20"/>
          <w:szCs w:val="20"/>
          <w:lang w:eastAsia="es-ES"/>
        </w:rPr>
        <w:lastRenderedPageBreak/>
        <w:t xml:space="preserve">Para efectos de determinar el número mínimo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que el proponente debe tener vinculadas en su planta de personal para acceder al puntaje, el artículo 2.2.1.2.4.2.7.4. del Decreto 0287 de 2026 establece una tabla, que ya incorpora los mínimos exigidos por la Ley 2466 de 2025 (Reforma Laboral), de modo que el puntaje solo se otorga a quien cumpla lo indicado en la tabla. La vinculación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a las plantas de personal de posibles proveedores, debe ser a través de contrato laboral con dedicación exclusiva, cuya definición le corresponde al Ministerio del Trabajo. Por otra parte, los documentos para acreditar la otra condición que es ser emprendimiento o empresa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son los indicados en el artículo 2.2.1.2.4.2.6 y no los del artículo 2.2.1.2.4.2.7.4</w:t>
      </w:r>
      <w:r w:rsidRPr="003C64A5">
        <w:rPr>
          <w:rFonts w:ascii="Verdana" w:eastAsia="Calibri" w:hAnsi="Verdana" w:cs="Arial"/>
          <w:sz w:val="20"/>
          <w:szCs w:val="20"/>
          <w:lang w:eastAsia="es-ES"/>
        </w:rPr>
        <w:t>.</w:t>
      </w:r>
    </w:p>
    <w:p w14:paraId="17DEEDDB" w14:textId="77777777" w:rsidR="007871E6" w:rsidRPr="007B5AD4" w:rsidRDefault="007871E6" w:rsidP="007871E6">
      <w:pPr>
        <w:spacing w:after="0" w:line="240" w:lineRule="auto"/>
        <w:contextualSpacing/>
        <w:jc w:val="both"/>
        <w:rPr>
          <w:rFonts w:ascii="Verdana" w:eastAsia="Calibri" w:hAnsi="Verdana" w:cs="Arial"/>
          <w:sz w:val="20"/>
          <w:szCs w:val="20"/>
          <w:lang w:eastAsia="es-ES"/>
        </w:rPr>
      </w:pPr>
    </w:p>
    <w:p w14:paraId="5E57A35A"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6322A7C2"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438AA52D"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38EF982C"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5AADAE3E"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54026DB1"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7C371216"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67BDE0AF"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7A617BCD"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08D76CB3"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4B71C101"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6606231F"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147E3B59"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49B78C10"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21852DA3"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0D34884E"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335DD3C1"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31916E87"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3349FB99"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3845EC28"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6D81909F"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1E9618A7"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7F3C7FED"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4F04AF51"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01C698F6" w14:textId="77777777" w:rsidR="007871E6" w:rsidRPr="00206556" w:rsidRDefault="007871E6" w:rsidP="007871E6">
      <w:pPr>
        <w:spacing w:after="0" w:line="240" w:lineRule="auto"/>
        <w:contextualSpacing/>
        <w:jc w:val="both"/>
        <w:rPr>
          <w:rFonts w:ascii="Verdana" w:eastAsia="Calibri" w:hAnsi="Verdana" w:cs="Arial"/>
          <w:sz w:val="20"/>
          <w:szCs w:val="20"/>
          <w:lang w:val="es-ES" w:eastAsia="es-ES"/>
        </w:rPr>
      </w:pPr>
    </w:p>
    <w:p w14:paraId="3AE6C360" w14:textId="77777777" w:rsidR="007871E6" w:rsidRPr="00206556" w:rsidRDefault="007871E6" w:rsidP="007871E6">
      <w:pPr>
        <w:spacing w:after="0" w:line="240" w:lineRule="auto"/>
        <w:contextualSpacing/>
        <w:jc w:val="both"/>
        <w:rPr>
          <w:rFonts w:ascii="Verdana" w:eastAsia="Calibri" w:hAnsi="Verdana" w:cs="Arial"/>
          <w:sz w:val="20"/>
          <w:szCs w:val="20"/>
          <w:lang w:val="es-ES" w:eastAsia="es-ES"/>
        </w:rPr>
      </w:pPr>
    </w:p>
    <w:p w14:paraId="41E20195" w14:textId="77777777" w:rsidR="007871E6" w:rsidRPr="00206556" w:rsidRDefault="007871E6" w:rsidP="007871E6">
      <w:pPr>
        <w:spacing w:after="0" w:line="240" w:lineRule="auto"/>
        <w:contextualSpacing/>
        <w:jc w:val="both"/>
        <w:rPr>
          <w:rFonts w:ascii="Verdana" w:eastAsia="Calibri" w:hAnsi="Verdana" w:cs="Arial"/>
          <w:b/>
          <w:bCs/>
          <w:color w:val="ED7D31" w:themeColor="accent2"/>
          <w:sz w:val="20"/>
          <w:szCs w:val="20"/>
          <w:lang w:val="es-ES" w:eastAsia="es-ES"/>
        </w:rPr>
      </w:pPr>
    </w:p>
    <w:p w14:paraId="16639B74" w14:textId="77777777" w:rsidR="007871E6" w:rsidRDefault="007871E6" w:rsidP="007871E6">
      <w:pPr>
        <w:spacing w:after="0"/>
        <w:rPr>
          <w:rFonts w:ascii="Verdana" w:hAnsi="Verdana"/>
          <w:lang w:val="es-ES_tradnl"/>
        </w:rPr>
      </w:pPr>
    </w:p>
    <w:p w14:paraId="064F8151" w14:textId="77777777" w:rsidR="007871E6" w:rsidRDefault="007871E6" w:rsidP="007871E6">
      <w:pPr>
        <w:spacing w:after="0"/>
        <w:rPr>
          <w:rFonts w:ascii="Verdana" w:hAnsi="Verdana"/>
          <w:lang w:val="es-ES_tradnl"/>
        </w:rPr>
      </w:pPr>
    </w:p>
    <w:p w14:paraId="3320C18A" w14:textId="77777777" w:rsidR="007871E6" w:rsidRDefault="007871E6" w:rsidP="007871E6">
      <w:pPr>
        <w:spacing w:after="0"/>
        <w:rPr>
          <w:rFonts w:ascii="Verdana" w:hAnsi="Verdana"/>
          <w:lang w:val="es-ES_tradnl"/>
        </w:rPr>
      </w:pPr>
    </w:p>
    <w:p w14:paraId="0AAD9F0E" w14:textId="77777777" w:rsidR="007871E6" w:rsidRDefault="007871E6" w:rsidP="007871E6">
      <w:pPr>
        <w:spacing w:after="0"/>
        <w:rPr>
          <w:rFonts w:ascii="Verdana" w:hAnsi="Verdana"/>
          <w:lang w:val="es-ES_tradnl"/>
        </w:rPr>
      </w:pPr>
    </w:p>
    <w:p w14:paraId="41BBA059" w14:textId="77777777" w:rsidR="007871E6" w:rsidRDefault="007871E6" w:rsidP="007871E6">
      <w:pPr>
        <w:spacing w:after="0"/>
        <w:rPr>
          <w:rFonts w:ascii="Verdana" w:hAnsi="Verdana"/>
          <w:lang w:val="es-ES_tradnl"/>
        </w:rPr>
      </w:pPr>
    </w:p>
    <w:p w14:paraId="56033C04" w14:textId="77777777" w:rsidR="007871E6" w:rsidRDefault="007871E6" w:rsidP="007871E6">
      <w:pPr>
        <w:spacing w:after="0"/>
        <w:rPr>
          <w:rFonts w:ascii="Verdana" w:hAnsi="Verdana"/>
          <w:lang w:val="es-ES_tradnl"/>
        </w:rPr>
      </w:pPr>
    </w:p>
    <w:p w14:paraId="55223C72" w14:textId="77777777" w:rsidR="007871E6" w:rsidRDefault="007871E6" w:rsidP="007871E6">
      <w:pPr>
        <w:spacing w:after="0"/>
        <w:rPr>
          <w:rFonts w:ascii="Verdana" w:hAnsi="Verdana"/>
          <w:lang w:val="es-ES_tradnl"/>
        </w:rPr>
      </w:pPr>
    </w:p>
    <w:p w14:paraId="47F3E5EA" w14:textId="7746F63C" w:rsidR="007871E6" w:rsidRDefault="00DD71D8" w:rsidP="003248CC">
      <w:pPr>
        <w:spacing w:after="0" w:line="240" w:lineRule="auto"/>
        <w:rPr>
          <w:rFonts w:ascii="Verdana" w:hAnsi="Verdana"/>
        </w:rPr>
      </w:pPr>
      <w:r w:rsidRPr="00DD71D8">
        <w:rPr>
          <w:rFonts w:ascii="Verdana" w:hAnsi="Verdana"/>
        </w:rPr>
        <w:lastRenderedPageBreak/>
        <w:t xml:space="preserve">Bogotá D.C., 04 de </w:t>
      </w:r>
      <w:r w:rsidR="00CD0C35" w:rsidRPr="00DD71D8">
        <w:rPr>
          <w:rFonts w:ascii="Verdana" w:hAnsi="Verdana"/>
        </w:rPr>
        <w:t>agosto</w:t>
      </w:r>
      <w:r w:rsidRPr="00DD71D8">
        <w:rPr>
          <w:rFonts w:ascii="Verdana" w:hAnsi="Verdana"/>
        </w:rPr>
        <w:t xml:space="preserve"> de 2026</w:t>
      </w:r>
    </w:p>
    <w:p w14:paraId="69382CCC" w14:textId="78614ECF" w:rsidR="00DD71D8" w:rsidRPr="00777292" w:rsidRDefault="00CD0C35" w:rsidP="003248CC">
      <w:pPr>
        <w:spacing w:after="0" w:line="240" w:lineRule="auto"/>
        <w:rPr>
          <w:rFonts w:ascii="Verdana" w:hAnsi="Verdana"/>
          <w:lang w:val="es-ES_tradnl"/>
        </w:rPr>
      </w:pPr>
      <w:r w:rsidRPr="00DD71D8">
        <w:rPr>
          <w:rFonts w:ascii="Verdana" w:hAnsi="Verdana"/>
          <w:noProof/>
          <w:lang w:val="es-ES_tradnl"/>
        </w:rPr>
        <w:drawing>
          <wp:anchor distT="0" distB="0" distL="114300" distR="114300" simplePos="0" relativeHeight="251658240" behindDoc="1" locked="0" layoutInCell="1" allowOverlap="1" wp14:anchorId="5EDF15CA" wp14:editId="538A62A4">
            <wp:simplePos x="0" y="0"/>
            <wp:positionH relativeFrom="margin">
              <wp:posOffset>2959100</wp:posOffset>
            </wp:positionH>
            <wp:positionV relativeFrom="paragraph">
              <wp:posOffset>6350</wp:posOffset>
            </wp:positionV>
            <wp:extent cx="2651760" cy="786765"/>
            <wp:effectExtent l="0" t="0" r="0" b="0"/>
            <wp:wrapSquare wrapText="bothSides"/>
            <wp:docPr id="71012928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29285" name="Imagen 1" descr="Texto&#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2651760" cy="786765"/>
                    </a:xfrm>
                    <a:prstGeom prst="rect">
                      <a:avLst/>
                    </a:prstGeom>
                  </pic:spPr>
                </pic:pic>
              </a:graphicData>
            </a:graphic>
            <wp14:sizeRelH relativeFrom="page">
              <wp14:pctWidth>0</wp14:pctWidth>
            </wp14:sizeRelH>
            <wp14:sizeRelV relativeFrom="page">
              <wp14:pctHeight>0</wp14:pctHeight>
            </wp14:sizeRelV>
          </wp:anchor>
        </w:drawing>
      </w:r>
    </w:p>
    <w:p w14:paraId="72C8285B" w14:textId="77777777" w:rsidR="007871E6" w:rsidRDefault="007871E6" w:rsidP="005B1993">
      <w:pPr>
        <w:spacing w:after="0" w:line="240" w:lineRule="auto"/>
        <w:rPr>
          <w:rFonts w:ascii="Verdana" w:hAnsi="Verdana"/>
          <w:lang w:val="es-ES"/>
        </w:rPr>
      </w:pPr>
      <w:r w:rsidRPr="00777292">
        <w:rPr>
          <w:rFonts w:ascii="Verdana" w:eastAsia="Calibri" w:hAnsi="Verdana" w:cs="Arial"/>
          <w:lang w:val="es-ES" w:eastAsia="es-ES"/>
        </w:rPr>
        <w:t>Señor</w:t>
      </w:r>
    </w:p>
    <w:p w14:paraId="03C12FE9" w14:textId="77777777" w:rsidR="007871E6" w:rsidRDefault="007871E6" w:rsidP="005B1993">
      <w:pPr>
        <w:spacing w:after="0" w:line="240" w:lineRule="auto"/>
        <w:rPr>
          <w:rFonts w:ascii="Verdana" w:hAnsi="Verdana"/>
          <w:b/>
          <w:bCs/>
          <w:lang w:val="es-ES"/>
        </w:rPr>
      </w:pPr>
      <w:r>
        <w:rPr>
          <w:rFonts w:ascii="Verdana" w:hAnsi="Verdana"/>
          <w:b/>
          <w:bCs/>
          <w:lang w:val="es-ES"/>
        </w:rPr>
        <w:t>Ana Carolina Meneses Benavides</w:t>
      </w:r>
    </w:p>
    <w:p w14:paraId="2557B312" w14:textId="6317EE4D" w:rsidR="007871E6" w:rsidRPr="006A0794" w:rsidRDefault="005B1993">
      <w:pPr>
        <w:spacing w:after="0" w:line="240" w:lineRule="auto"/>
        <w:rPr>
          <w:rStyle w:val="Hipervnculo"/>
          <w:rFonts w:ascii="Verdana" w:hAnsi="Verdana"/>
          <w:b/>
          <w:bCs/>
          <w:color w:val="auto"/>
          <w:u w:val="none"/>
          <w:lang w:val="es-ES"/>
        </w:rPr>
      </w:pPr>
      <w:hyperlink r:id="rId11" w:history="1">
        <w:r w:rsidRPr="005E35DD">
          <w:rPr>
            <w:rStyle w:val="Hipervnculo"/>
            <w:rFonts w:ascii="Verdana" w:hAnsi="Verdana"/>
            <w:lang w:val="es-ES"/>
          </w:rPr>
          <w:t>Ana.menesesb@fiscalia.gov.co</w:t>
        </w:r>
      </w:hyperlink>
      <w:r>
        <w:rPr>
          <w:rFonts w:ascii="Verdana" w:hAnsi="Verdana"/>
          <w:lang w:val="es-ES"/>
        </w:rPr>
        <w:t xml:space="preserve"> </w:t>
      </w:r>
    </w:p>
    <w:p w14:paraId="307D8093" w14:textId="5B5E6BA1" w:rsidR="007871E6" w:rsidRDefault="007871E6" w:rsidP="003248CC">
      <w:pPr>
        <w:spacing w:after="0" w:line="240" w:lineRule="auto"/>
        <w:rPr>
          <w:rFonts w:ascii="Verdana" w:eastAsia="Calibri" w:hAnsi="Verdana" w:cs="Arial"/>
          <w:lang w:eastAsia="es-ES"/>
        </w:rPr>
      </w:pPr>
      <w:r>
        <w:rPr>
          <w:rFonts w:ascii="Verdana" w:eastAsia="Calibri" w:hAnsi="Verdana" w:cs="Arial"/>
          <w:lang w:eastAsia="es-ES"/>
        </w:rPr>
        <w:t>Bogotá, Cundinamarca</w:t>
      </w:r>
    </w:p>
    <w:p w14:paraId="5053D5CE" w14:textId="77777777" w:rsidR="005B1993" w:rsidRPr="00777292" w:rsidRDefault="005B1993" w:rsidP="003248CC">
      <w:pPr>
        <w:spacing w:after="0" w:line="240" w:lineRule="auto"/>
        <w:rPr>
          <w:rFonts w:ascii="Verdana" w:eastAsia="Calibri" w:hAnsi="Verdana" w:cs="Arial"/>
          <w:lang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7871E6" w:rsidRPr="00777292" w14:paraId="72127E45" w14:textId="77777777" w:rsidTr="000A1473">
        <w:trPr>
          <w:trHeight w:val="190"/>
        </w:trPr>
        <w:tc>
          <w:tcPr>
            <w:tcW w:w="2689" w:type="dxa"/>
          </w:tcPr>
          <w:p w14:paraId="1D9E4233" w14:textId="77777777" w:rsidR="007871E6" w:rsidRDefault="007871E6" w:rsidP="005B1993">
            <w:pPr>
              <w:jc w:val="both"/>
              <w:rPr>
                <w:rFonts w:ascii="Verdana" w:eastAsia="Calibri" w:hAnsi="Verdana" w:cs="Arial"/>
                <w:b/>
                <w:bCs/>
                <w:lang w:eastAsia="es-ES_tradnl"/>
              </w:rPr>
            </w:pPr>
          </w:p>
          <w:p w14:paraId="59BA425F" w14:textId="281DE31B" w:rsidR="005B1993" w:rsidRPr="00777292" w:rsidRDefault="005B1993" w:rsidP="005B1993">
            <w:pPr>
              <w:jc w:val="both"/>
              <w:rPr>
                <w:rFonts w:ascii="Verdana" w:eastAsia="Calibri" w:hAnsi="Verdana" w:cs="Arial"/>
                <w:b/>
                <w:bCs/>
                <w:lang w:eastAsia="es-ES_tradnl"/>
              </w:rPr>
            </w:pPr>
          </w:p>
        </w:tc>
        <w:tc>
          <w:tcPr>
            <w:tcW w:w="6100" w:type="dxa"/>
          </w:tcPr>
          <w:p w14:paraId="59910E7A" w14:textId="7EF6FD00" w:rsidR="007871E6" w:rsidRPr="00777292" w:rsidRDefault="007871E6">
            <w:pPr>
              <w:jc w:val="both"/>
              <w:rPr>
                <w:rFonts w:ascii="Verdana" w:eastAsia="Calibri" w:hAnsi="Verdana" w:cs="Arial"/>
                <w:b/>
                <w:bCs/>
                <w:lang w:eastAsia="es-ES"/>
              </w:rPr>
            </w:pPr>
            <w:r w:rsidRPr="00CC0335">
              <w:rPr>
                <w:rFonts w:ascii="Verdana" w:eastAsia="Calibri" w:hAnsi="Verdana" w:cs="Arial"/>
                <w:b/>
                <w:bCs/>
                <w:lang w:eastAsia="es-ES"/>
              </w:rPr>
              <w:t>Concepto C-1013 de 2026</w:t>
            </w:r>
          </w:p>
          <w:p w14:paraId="2CE5419A" w14:textId="77777777" w:rsidR="007871E6" w:rsidRPr="00777292" w:rsidRDefault="007871E6">
            <w:pPr>
              <w:jc w:val="both"/>
              <w:rPr>
                <w:rFonts w:ascii="Verdana" w:eastAsia="Calibri" w:hAnsi="Verdana" w:cs="Arial"/>
                <w:b/>
                <w:bCs/>
                <w:lang w:eastAsia="es-ES"/>
              </w:rPr>
            </w:pPr>
          </w:p>
        </w:tc>
      </w:tr>
      <w:tr w:rsidR="007871E6" w:rsidRPr="00777292" w14:paraId="68486710" w14:textId="77777777" w:rsidTr="000A1473">
        <w:trPr>
          <w:trHeight w:val="884"/>
        </w:trPr>
        <w:tc>
          <w:tcPr>
            <w:tcW w:w="2689" w:type="dxa"/>
          </w:tcPr>
          <w:p w14:paraId="4A83084A" w14:textId="77777777" w:rsidR="007871E6" w:rsidRPr="00777292" w:rsidRDefault="007871E6" w:rsidP="005B1993">
            <w:pPr>
              <w:jc w:val="both"/>
              <w:rPr>
                <w:rFonts w:ascii="Verdana" w:eastAsia="Calibri" w:hAnsi="Verdana" w:cs="Arial"/>
                <w:lang w:eastAsia="es-ES_tradnl"/>
              </w:rPr>
            </w:pPr>
            <w:r w:rsidRPr="00777292">
              <w:rPr>
                <w:rFonts w:ascii="Verdana" w:eastAsia="Calibri" w:hAnsi="Verdana" w:cs="Arial"/>
                <w:b/>
                <w:lang w:eastAsia="es-ES_tradnl"/>
              </w:rPr>
              <w:t>Tema:</w:t>
            </w:r>
            <w:r w:rsidRPr="00777292">
              <w:rPr>
                <w:rFonts w:ascii="Verdana" w:eastAsia="Calibri" w:hAnsi="Verdana" w:cs="Arial"/>
                <w:lang w:eastAsia="es-ES_tradnl"/>
              </w:rPr>
              <w:t xml:space="preserve">                   </w:t>
            </w:r>
          </w:p>
        </w:tc>
        <w:tc>
          <w:tcPr>
            <w:tcW w:w="6100" w:type="dxa"/>
          </w:tcPr>
          <w:p w14:paraId="1FE1D607" w14:textId="77777777" w:rsidR="007871E6" w:rsidRDefault="007871E6" w:rsidP="003248CC">
            <w:pPr>
              <w:jc w:val="both"/>
              <w:rPr>
                <w:rFonts w:ascii="Verdana" w:eastAsia="Calibri" w:hAnsi="Verdana" w:cs="Arial"/>
                <w:lang w:eastAsia="es-ES"/>
              </w:rPr>
            </w:pPr>
            <w:r w:rsidRPr="00777292">
              <w:rPr>
                <w:rFonts w:ascii="Verdana" w:eastAsia="Calibri" w:hAnsi="Verdana" w:cs="Arial"/>
                <w:lang w:eastAsia="es-ES"/>
              </w:rPr>
              <w:t>DECRETO 0287 DE 2026 ‒ Sistema Integral de Preferencias ‒ Contratación pública inclusiva ‒ Personas con discapacidad</w:t>
            </w:r>
            <w:r>
              <w:rPr>
                <w:rFonts w:ascii="Verdana" w:eastAsia="Calibri" w:hAnsi="Verdana" w:cs="Arial"/>
                <w:lang w:eastAsia="es-ES"/>
              </w:rPr>
              <w:t xml:space="preserve"> / </w:t>
            </w:r>
            <w:r w:rsidRPr="00777292">
              <w:rPr>
                <w:rFonts w:ascii="Verdana" w:eastAsia="Calibri" w:hAnsi="Verdana" w:cs="Arial"/>
                <w:lang w:eastAsia="es-ES"/>
              </w:rPr>
              <w:t>DECRETO 0287 DE 2026 ‒ Antecedentes normativos ‒ Decreto 392 de 2018 ‒ Omisiones reglamentarias ‒ Sentencia de acción de cumplimiento</w:t>
            </w:r>
            <w:r>
              <w:rPr>
                <w:rFonts w:ascii="Verdana" w:eastAsia="Calibri" w:hAnsi="Verdana" w:cs="Arial"/>
                <w:lang w:eastAsia="es-ES"/>
              </w:rPr>
              <w:t xml:space="preserve"> / </w:t>
            </w:r>
            <w:r w:rsidRPr="00777292">
              <w:rPr>
                <w:rFonts w:ascii="Verdana" w:eastAsia="Calibri" w:hAnsi="Verdana" w:cs="Arial"/>
                <w:lang w:eastAsia="es-ES"/>
              </w:rPr>
              <w:t>DECRETO 0287 DE 2026 ‒ Sujetos del sistema ‒ Emprendimientos y empresas de personas con discapacidad ‒ Empleadores de personas con discapacidad ‒ Definición y diferenciación</w:t>
            </w:r>
            <w:r>
              <w:rPr>
                <w:rFonts w:ascii="Verdana" w:eastAsia="Calibri" w:hAnsi="Verdana" w:cs="Arial"/>
                <w:lang w:eastAsia="es-ES"/>
              </w:rPr>
              <w:t xml:space="preserve"> / </w:t>
            </w:r>
            <w:r w:rsidRPr="00777292">
              <w:rPr>
                <w:rFonts w:ascii="Verdana" w:eastAsia="Calibri" w:hAnsi="Verdana" w:cs="Arial"/>
                <w:lang w:eastAsia="es-ES"/>
              </w:rPr>
              <w:t>DECRETO 0287 DE 2026 ‒ Puntaje adicional del 2% ‒ No acumulabilidad ‒ Acreditación simultánea de condiciones ‒ Modalidades de selección aplicables</w:t>
            </w:r>
            <w:r>
              <w:rPr>
                <w:rFonts w:ascii="Verdana" w:eastAsia="Calibri" w:hAnsi="Verdana" w:cs="Arial"/>
                <w:lang w:eastAsia="es-ES"/>
              </w:rPr>
              <w:t xml:space="preserve"> / </w:t>
            </w:r>
            <w:r w:rsidRPr="00777292">
              <w:rPr>
                <w:rFonts w:ascii="Verdana" w:eastAsia="Calibri" w:hAnsi="Verdana" w:cs="Arial"/>
                <w:lang w:eastAsia="es-ES"/>
              </w:rPr>
              <w:t>DECRETO 0287 DE 2026 ‒ Puntaje adicional del 2% ‒ Vinculación de personas con discapacidad ‒ Planillas de seguridad social ‒ Período de tres meses ‒ Vinculaciones recientes</w:t>
            </w:r>
            <w:r>
              <w:rPr>
                <w:rFonts w:ascii="Verdana" w:eastAsia="Calibri" w:hAnsi="Verdana" w:cs="Arial"/>
                <w:lang w:eastAsia="es-ES"/>
              </w:rPr>
              <w:t xml:space="preserve"> </w:t>
            </w:r>
          </w:p>
          <w:p w14:paraId="35DC8789" w14:textId="77777777" w:rsidR="007871E6" w:rsidRPr="00777292" w:rsidRDefault="007871E6" w:rsidP="003248CC">
            <w:pPr>
              <w:jc w:val="both"/>
              <w:rPr>
                <w:rFonts w:ascii="Verdana" w:eastAsia="Calibri" w:hAnsi="Verdana" w:cs="Arial"/>
                <w:lang w:eastAsia="es-ES"/>
              </w:rPr>
            </w:pPr>
          </w:p>
        </w:tc>
      </w:tr>
      <w:tr w:rsidR="007871E6" w:rsidRPr="00777292" w14:paraId="54F60BA4" w14:textId="77777777" w:rsidTr="000A1473">
        <w:tc>
          <w:tcPr>
            <w:tcW w:w="2689" w:type="dxa"/>
          </w:tcPr>
          <w:p w14:paraId="3CA6B7EA" w14:textId="77777777" w:rsidR="007871E6" w:rsidRPr="00777292" w:rsidRDefault="007871E6" w:rsidP="005B1993">
            <w:pPr>
              <w:jc w:val="both"/>
              <w:rPr>
                <w:rFonts w:ascii="Verdana" w:eastAsia="Calibri" w:hAnsi="Verdana" w:cs="Arial"/>
                <w:b/>
                <w:lang w:eastAsia="es-ES_tradnl"/>
              </w:rPr>
            </w:pPr>
            <w:r w:rsidRPr="00777292">
              <w:rPr>
                <w:rFonts w:ascii="Verdana" w:eastAsia="Calibri" w:hAnsi="Verdana" w:cs="Arial"/>
                <w:b/>
                <w:lang w:eastAsia="es-ES_tradnl"/>
              </w:rPr>
              <w:t>Radicación:</w:t>
            </w:r>
            <w:r w:rsidRPr="00777292">
              <w:rPr>
                <w:rFonts w:ascii="Verdana" w:eastAsia="Calibri" w:hAnsi="Verdana" w:cs="Arial"/>
                <w:lang w:eastAsia="es-ES_tradnl"/>
              </w:rPr>
              <w:t xml:space="preserve">               </w:t>
            </w:r>
          </w:p>
        </w:tc>
        <w:tc>
          <w:tcPr>
            <w:tcW w:w="6100" w:type="dxa"/>
          </w:tcPr>
          <w:p w14:paraId="62EA6373" w14:textId="77777777" w:rsidR="007871E6" w:rsidRPr="00777292" w:rsidRDefault="007871E6" w:rsidP="005B1993">
            <w:pPr>
              <w:jc w:val="both"/>
              <w:rPr>
                <w:rFonts w:ascii="Verdana" w:eastAsia="Calibri" w:hAnsi="Verdana" w:cs="Arial"/>
                <w:lang w:eastAsia="es-ES_tradnl"/>
              </w:rPr>
            </w:pPr>
            <w:r w:rsidRPr="00777292">
              <w:rPr>
                <w:rFonts w:ascii="Verdana" w:eastAsia="Calibri" w:hAnsi="Verdana" w:cs="Arial"/>
                <w:lang w:eastAsia="es-ES_tradnl"/>
              </w:rPr>
              <w:t>Respuesta a consulta con radicado No.</w:t>
            </w:r>
            <w:r w:rsidRPr="00777292">
              <w:rPr>
                <w:rFonts w:ascii="Verdana" w:hAnsi="Verdana" w:cs="Segoe UI"/>
                <w:color w:val="2B2B2B"/>
                <w:shd w:val="clear" w:color="auto" w:fill="FFFFFF"/>
              </w:rPr>
              <w:t xml:space="preserve"> </w:t>
            </w:r>
            <w:r w:rsidRPr="00EE1D37">
              <w:rPr>
                <w:rFonts w:ascii="Verdana" w:hAnsi="Verdana" w:cs="Segoe UI"/>
                <w:color w:val="2B2B2B"/>
                <w:shd w:val="clear" w:color="auto" w:fill="FFFFFF"/>
              </w:rPr>
              <w:t>1_2026_06_23_008441</w:t>
            </w:r>
          </w:p>
        </w:tc>
      </w:tr>
    </w:tbl>
    <w:p w14:paraId="7E297CBF" w14:textId="77777777" w:rsidR="007871E6" w:rsidRPr="00206556" w:rsidRDefault="007871E6" w:rsidP="005B1993">
      <w:pPr>
        <w:tabs>
          <w:tab w:val="left" w:pos="1520"/>
        </w:tabs>
        <w:spacing w:after="0" w:line="276" w:lineRule="auto"/>
        <w:jc w:val="both"/>
        <w:rPr>
          <w:rFonts w:ascii="Verdana" w:eastAsia="Calibri" w:hAnsi="Verdana" w:cs="Arial"/>
          <w:color w:val="ED7D31" w:themeColor="accent2"/>
          <w:sz w:val="20"/>
          <w:szCs w:val="20"/>
          <w:lang w:val="es-ES" w:eastAsia="es-ES"/>
        </w:rPr>
      </w:pPr>
    </w:p>
    <w:p w14:paraId="18A3BA5A" w14:textId="77777777" w:rsidR="007871E6" w:rsidRPr="00206556" w:rsidRDefault="007871E6" w:rsidP="005B1993">
      <w:pPr>
        <w:spacing w:after="0" w:line="276" w:lineRule="auto"/>
        <w:jc w:val="both"/>
        <w:rPr>
          <w:rFonts w:ascii="Verdana" w:eastAsia="Calibri" w:hAnsi="Verdana" w:cs="Arial"/>
          <w:color w:val="ED7D31" w:themeColor="accent2"/>
          <w:lang w:val="es-ES" w:eastAsia="es-ES"/>
        </w:rPr>
      </w:pPr>
    </w:p>
    <w:p w14:paraId="5C30D80C" w14:textId="77777777" w:rsidR="007871E6" w:rsidRPr="00206556" w:rsidRDefault="007871E6">
      <w:pPr>
        <w:spacing w:after="0" w:line="276" w:lineRule="auto"/>
        <w:jc w:val="both"/>
        <w:rPr>
          <w:rFonts w:ascii="Verdana" w:eastAsia="Calibri" w:hAnsi="Verdana" w:cs="Arial"/>
          <w:lang w:val="es-ES" w:eastAsia="es-ES"/>
        </w:rPr>
      </w:pPr>
      <w:r w:rsidRPr="00D878A4">
        <w:rPr>
          <w:rFonts w:ascii="Verdana" w:eastAsia="Calibri" w:hAnsi="Verdana" w:cs="Arial"/>
          <w:lang w:val="es-ES" w:eastAsia="es-ES"/>
        </w:rPr>
        <w:t>Estimad</w:t>
      </w:r>
      <w:r>
        <w:rPr>
          <w:rFonts w:ascii="Verdana" w:eastAsia="Calibri" w:hAnsi="Verdana" w:cs="Arial"/>
          <w:lang w:val="es-ES" w:eastAsia="es-ES"/>
        </w:rPr>
        <w:t>a</w:t>
      </w:r>
      <w:r w:rsidRPr="00D878A4">
        <w:rPr>
          <w:rFonts w:ascii="Verdana" w:eastAsia="Calibri" w:hAnsi="Verdana" w:cs="Arial"/>
          <w:lang w:val="es-ES" w:eastAsia="es-ES"/>
        </w:rPr>
        <w:t xml:space="preserve"> señor</w:t>
      </w:r>
      <w:r>
        <w:rPr>
          <w:rFonts w:ascii="Verdana" w:eastAsia="Calibri" w:hAnsi="Verdana" w:cs="Arial"/>
          <w:lang w:val="es-ES" w:eastAsia="es-ES"/>
        </w:rPr>
        <w:t>a</w:t>
      </w:r>
      <w:r w:rsidRPr="00D878A4">
        <w:rPr>
          <w:rFonts w:ascii="Verdana" w:eastAsia="Calibri" w:hAnsi="Verdana" w:cs="Arial"/>
          <w:lang w:val="es-ES" w:eastAsia="es-ES"/>
        </w:rPr>
        <w:t xml:space="preserve"> </w:t>
      </w:r>
      <w:r>
        <w:rPr>
          <w:rFonts w:ascii="Verdana" w:eastAsia="Calibri" w:hAnsi="Verdana" w:cs="Arial"/>
          <w:lang w:val="es-ES" w:eastAsia="es-ES"/>
        </w:rPr>
        <w:t>Meneses</w:t>
      </w:r>
      <w:r w:rsidRPr="00D878A4">
        <w:rPr>
          <w:rFonts w:ascii="Verdana" w:eastAsia="Calibri" w:hAnsi="Verdana" w:cs="Arial"/>
          <w:lang w:val="es-ES" w:eastAsia="es-ES"/>
        </w:rPr>
        <w:t>,</w:t>
      </w:r>
    </w:p>
    <w:p w14:paraId="58DD3DE4" w14:textId="77777777" w:rsidR="007871E6" w:rsidRPr="00206556" w:rsidRDefault="007871E6">
      <w:pPr>
        <w:tabs>
          <w:tab w:val="left" w:pos="3768"/>
        </w:tabs>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ab/>
      </w:r>
    </w:p>
    <w:p w14:paraId="3A9C457F" w14:textId="77777777" w:rsidR="007871E6" w:rsidRPr="00206556" w:rsidRDefault="007871E6">
      <w:pPr>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En ejercicio de la competencia otorgada por los artículos 3, numeral 5º, y 11, numeral 8º, del Decreto Ley 4170 de 2011,</w:t>
      </w:r>
      <w:r w:rsidRPr="00206556">
        <w:rPr>
          <w:rFonts w:ascii="Verdana" w:eastAsia="Arial MT" w:hAnsi="Verdana" w:cs="Arial MT"/>
          <w:lang w:val="es-ES" w:eastAsia="es-ES"/>
        </w:rPr>
        <w:t xml:space="preserve"> </w:t>
      </w:r>
      <w:r w:rsidRPr="00206556">
        <w:rPr>
          <w:rFonts w:ascii="Verdana" w:hAnsi="Verdana" w:cs="Arial"/>
          <w:lang w:val="es-ES"/>
        </w:rPr>
        <w:t xml:space="preserve">así como lo establecido en la Resolución 469 de 2025 expedida por esta Entidad, </w:t>
      </w:r>
      <w:r w:rsidRPr="00206556">
        <w:rPr>
          <w:rFonts w:ascii="Verdana" w:eastAsia="Calibri" w:hAnsi="Verdana" w:cs="Arial"/>
          <w:lang w:val="es-ES" w:eastAsia="es-ES"/>
        </w:rPr>
        <w:t xml:space="preserve">la Agencia Nacional de Contratación Pública – Colombia Compra Eficiente– responde su solicitud de consulta de </w:t>
      </w:r>
      <w:r w:rsidRPr="00D878A4">
        <w:rPr>
          <w:rFonts w:ascii="Verdana" w:eastAsia="Calibri" w:hAnsi="Verdana" w:cs="Arial"/>
          <w:lang w:val="es-ES" w:eastAsia="es-ES"/>
        </w:rPr>
        <w:t>fecha 2</w:t>
      </w:r>
      <w:r>
        <w:rPr>
          <w:rFonts w:ascii="Verdana" w:eastAsia="Calibri" w:hAnsi="Verdana" w:cs="Arial"/>
          <w:lang w:val="es-ES" w:eastAsia="es-ES"/>
        </w:rPr>
        <w:t>3</w:t>
      </w:r>
      <w:r w:rsidRPr="00D878A4">
        <w:rPr>
          <w:rFonts w:ascii="Verdana" w:eastAsia="Calibri" w:hAnsi="Verdana" w:cs="Arial"/>
          <w:lang w:val="es-ES" w:eastAsia="es-ES"/>
        </w:rPr>
        <w:t xml:space="preserve"> de </w:t>
      </w:r>
      <w:r>
        <w:rPr>
          <w:rFonts w:ascii="Verdana" w:eastAsia="Calibri" w:hAnsi="Verdana" w:cs="Arial"/>
          <w:lang w:val="es-ES" w:eastAsia="es-ES"/>
        </w:rPr>
        <w:t>junio</w:t>
      </w:r>
      <w:r w:rsidRPr="00D878A4">
        <w:rPr>
          <w:rFonts w:ascii="Verdana" w:eastAsia="Calibri" w:hAnsi="Verdana" w:cs="Arial"/>
          <w:lang w:val="es-ES" w:eastAsia="es-ES"/>
        </w:rPr>
        <w:t xml:space="preserve"> de 2026</w:t>
      </w:r>
      <w:r>
        <w:rPr>
          <w:rFonts w:ascii="Verdana" w:eastAsia="Calibri" w:hAnsi="Verdana" w:cs="Arial"/>
          <w:lang w:val="es-ES" w:eastAsia="es-ES"/>
        </w:rPr>
        <w:t xml:space="preserve"> reiterada el 12 de julio</w:t>
      </w:r>
      <w:r w:rsidRPr="00D878A4">
        <w:rPr>
          <w:rFonts w:ascii="Verdana" w:eastAsia="Calibri" w:hAnsi="Verdana" w:cs="Arial"/>
          <w:lang w:val="es-ES" w:eastAsia="es-ES"/>
        </w:rPr>
        <w:t>,</w:t>
      </w:r>
      <w:r w:rsidRPr="00206556">
        <w:rPr>
          <w:rFonts w:ascii="Verdana" w:eastAsia="Calibri" w:hAnsi="Verdana" w:cs="Arial"/>
          <w:lang w:val="es-ES" w:eastAsia="es-ES"/>
        </w:rPr>
        <w:t xml:space="preserve"> en la cual manifiesta lo siguiente: </w:t>
      </w:r>
    </w:p>
    <w:p w14:paraId="1822E1AC" w14:textId="77777777" w:rsidR="007871E6" w:rsidRPr="006A0794" w:rsidRDefault="007871E6" w:rsidP="003248CC">
      <w:pPr>
        <w:spacing w:after="0" w:line="276" w:lineRule="auto"/>
        <w:ind w:right="709"/>
        <w:jc w:val="both"/>
        <w:rPr>
          <w:rFonts w:ascii="Verdana" w:eastAsia="Century Gothic" w:hAnsi="Verdana" w:cs="Century Gothic"/>
          <w:i/>
          <w:iCs/>
          <w:sz w:val="20"/>
          <w:szCs w:val="20"/>
          <w:lang w:val="es-ES"/>
        </w:rPr>
      </w:pPr>
    </w:p>
    <w:p w14:paraId="0D38305F" w14:textId="77777777" w:rsidR="007871E6" w:rsidRDefault="007871E6" w:rsidP="003248CC">
      <w:pPr>
        <w:spacing w:after="0" w:line="240" w:lineRule="auto"/>
        <w:ind w:left="709" w:right="709"/>
        <w:jc w:val="both"/>
        <w:rPr>
          <w:rFonts w:ascii="Verdana" w:eastAsia="Century Gothic" w:hAnsi="Verdana" w:cs="Century Gothic"/>
          <w:sz w:val="20"/>
          <w:szCs w:val="20"/>
          <w:lang w:val="es-ES"/>
        </w:rPr>
      </w:pPr>
      <w:proofErr w:type="gramStart"/>
      <w:r w:rsidRPr="00EE1D37">
        <w:rPr>
          <w:rFonts w:ascii="Verdana" w:eastAsia="Century Gothic" w:hAnsi="Verdana" w:cs="Century Gothic"/>
          <w:sz w:val="20"/>
          <w:szCs w:val="20"/>
          <w:lang w:val="es-ES"/>
        </w:rPr>
        <w:lastRenderedPageBreak/>
        <w:t>¿</w:t>
      </w:r>
      <w:r w:rsidRPr="00CC0335">
        <w:rPr>
          <w:rFonts w:ascii="Verdana" w:eastAsia="Century Gothic" w:hAnsi="Verdana" w:cs="Century Gothic"/>
          <w:sz w:val="20"/>
          <w:szCs w:val="20"/>
          <w:lang w:val="es-ES"/>
        </w:rPr>
        <w:t>Es correcto interpretar que existe una diferencia en el requisito formal de las</w:t>
      </w:r>
      <w:r>
        <w:rPr>
          <w:rFonts w:ascii="Verdana" w:eastAsia="Century Gothic" w:hAnsi="Verdana" w:cs="Century Gothic"/>
          <w:sz w:val="20"/>
          <w:szCs w:val="20"/>
          <w:lang w:val="es-ES"/>
        </w:rPr>
        <w:t xml:space="preserve"> </w:t>
      </w:r>
      <w:r w:rsidRPr="00CC0335">
        <w:rPr>
          <w:rFonts w:ascii="Verdana" w:eastAsia="Century Gothic" w:hAnsi="Verdana" w:cs="Century Gothic"/>
          <w:sz w:val="20"/>
          <w:szCs w:val="20"/>
          <w:lang w:val="es-ES"/>
        </w:rPr>
        <w:t>certificaciones exigidas en las situaciones previstas en el artículo</w:t>
      </w:r>
      <w:r>
        <w:rPr>
          <w:rFonts w:ascii="Verdana" w:eastAsia="Century Gothic" w:hAnsi="Verdana" w:cs="Century Gothic"/>
          <w:sz w:val="20"/>
          <w:szCs w:val="20"/>
          <w:lang w:val="es-ES"/>
        </w:rPr>
        <w:t xml:space="preserve"> </w:t>
      </w:r>
      <w:r w:rsidRPr="00CC0335">
        <w:rPr>
          <w:rFonts w:ascii="Verdana" w:eastAsia="Century Gothic" w:hAnsi="Verdana" w:cs="Century Gothic"/>
          <w:sz w:val="20"/>
          <w:szCs w:val="20"/>
          <w:lang w:val="es-ES"/>
        </w:rPr>
        <w:t>2.</w:t>
      </w:r>
      <w:proofErr w:type="gramEnd"/>
      <w:r w:rsidRPr="00CC0335">
        <w:rPr>
          <w:rFonts w:ascii="Verdana" w:eastAsia="Century Gothic" w:hAnsi="Verdana" w:cs="Century Gothic"/>
          <w:sz w:val="20"/>
          <w:szCs w:val="20"/>
          <w:lang w:val="es-ES"/>
        </w:rPr>
        <w:t>2.1.2.4.2.7.4, en el entendido de que únicamente en el caso del numeral 1</w:t>
      </w:r>
      <w:r>
        <w:rPr>
          <w:rFonts w:ascii="Verdana" w:eastAsia="Century Gothic" w:hAnsi="Verdana" w:cs="Century Gothic"/>
          <w:sz w:val="20"/>
          <w:szCs w:val="20"/>
          <w:lang w:val="es-ES"/>
        </w:rPr>
        <w:t xml:space="preserve"> </w:t>
      </w:r>
      <w:r w:rsidRPr="00CC0335">
        <w:rPr>
          <w:rFonts w:ascii="Verdana" w:eastAsia="Century Gothic" w:hAnsi="Verdana" w:cs="Century Gothic"/>
          <w:sz w:val="20"/>
          <w:szCs w:val="20"/>
          <w:lang w:val="es-ES"/>
        </w:rPr>
        <w:t>se exige la manifestación bajo la gravedad de juramento</w:t>
      </w:r>
    </w:p>
    <w:p w14:paraId="3FA4586C" w14:textId="77777777" w:rsidR="007871E6" w:rsidRPr="00CC0335" w:rsidRDefault="007871E6" w:rsidP="003248CC">
      <w:pPr>
        <w:spacing w:after="0" w:line="240" w:lineRule="auto"/>
        <w:ind w:left="709" w:right="709"/>
        <w:jc w:val="both"/>
        <w:rPr>
          <w:rFonts w:ascii="Verdana" w:eastAsia="Century Gothic" w:hAnsi="Verdana" w:cs="Century Gothic"/>
          <w:sz w:val="20"/>
          <w:szCs w:val="20"/>
          <w:lang w:val="es-ES"/>
        </w:rPr>
      </w:pPr>
      <w:r w:rsidRPr="00CC0335">
        <w:rPr>
          <w:rFonts w:ascii="Verdana" w:eastAsia="Century Gothic" w:hAnsi="Verdana" w:cs="Century Gothic"/>
          <w:sz w:val="20"/>
          <w:szCs w:val="20"/>
          <w:lang w:val="es-ES"/>
        </w:rPr>
        <w:t>2. En caso de existir diferencia entre ambos supuestos, ¿qué lineamientos</w:t>
      </w:r>
      <w:r>
        <w:rPr>
          <w:rFonts w:ascii="Verdana" w:eastAsia="Century Gothic" w:hAnsi="Verdana" w:cs="Century Gothic"/>
          <w:sz w:val="20"/>
          <w:szCs w:val="20"/>
          <w:lang w:val="es-ES"/>
        </w:rPr>
        <w:t xml:space="preserve"> </w:t>
      </w:r>
      <w:r w:rsidRPr="00CC0335">
        <w:rPr>
          <w:rFonts w:ascii="Verdana" w:eastAsia="Century Gothic" w:hAnsi="Verdana" w:cs="Century Gothic"/>
          <w:sz w:val="20"/>
          <w:szCs w:val="20"/>
          <w:lang w:val="es-ES"/>
        </w:rPr>
        <w:t>recomienda Colombia Compra Eficiente para que las entidades estatales</w:t>
      </w:r>
    </w:p>
    <w:p w14:paraId="1EE0EBA5" w14:textId="77777777" w:rsidR="007871E6" w:rsidRPr="00CC0335" w:rsidRDefault="007871E6" w:rsidP="003248CC">
      <w:pPr>
        <w:spacing w:after="0" w:line="240" w:lineRule="auto"/>
        <w:ind w:left="709" w:right="709"/>
        <w:jc w:val="both"/>
        <w:rPr>
          <w:rFonts w:ascii="Verdana" w:eastAsia="Century Gothic" w:hAnsi="Verdana" w:cs="Century Gothic"/>
          <w:sz w:val="20"/>
          <w:szCs w:val="20"/>
          <w:lang w:val="es-ES"/>
        </w:rPr>
      </w:pPr>
      <w:r w:rsidRPr="00CC0335">
        <w:rPr>
          <w:rFonts w:ascii="Verdana" w:eastAsia="Century Gothic" w:hAnsi="Verdana" w:cs="Century Gothic"/>
          <w:sz w:val="20"/>
          <w:szCs w:val="20"/>
          <w:lang w:val="es-ES"/>
        </w:rPr>
        <w:t>estructuren adecuadamente esta exigencia en los pliegos de condiciones,</w:t>
      </w:r>
    </w:p>
    <w:p w14:paraId="35BCEC90" w14:textId="77777777" w:rsidR="007871E6" w:rsidRPr="00CC0335" w:rsidRDefault="007871E6" w:rsidP="003248CC">
      <w:pPr>
        <w:spacing w:after="0" w:line="240" w:lineRule="auto"/>
        <w:ind w:left="709" w:right="709"/>
        <w:jc w:val="both"/>
        <w:rPr>
          <w:rFonts w:ascii="Verdana" w:eastAsia="Century Gothic" w:hAnsi="Verdana" w:cs="Century Gothic"/>
          <w:sz w:val="20"/>
          <w:szCs w:val="20"/>
          <w:lang w:val="es-ES"/>
        </w:rPr>
      </w:pPr>
      <w:r w:rsidRPr="00CC0335">
        <w:rPr>
          <w:rFonts w:ascii="Verdana" w:eastAsia="Century Gothic" w:hAnsi="Verdana" w:cs="Century Gothic"/>
          <w:sz w:val="20"/>
          <w:szCs w:val="20"/>
          <w:lang w:val="es-ES"/>
        </w:rPr>
        <w:t>garantizando uniformidad en la evaluación y evitando interpretaciones</w:t>
      </w:r>
    </w:p>
    <w:p w14:paraId="2BCC1F10" w14:textId="77777777" w:rsidR="007871E6" w:rsidRPr="00EE1D37" w:rsidRDefault="007871E6" w:rsidP="003248CC">
      <w:pPr>
        <w:spacing w:after="0" w:line="240" w:lineRule="auto"/>
        <w:ind w:left="709" w:right="709"/>
        <w:jc w:val="both"/>
        <w:rPr>
          <w:rFonts w:ascii="Verdana" w:eastAsia="Century Gothic" w:hAnsi="Verdana" w:cs="Century Gothic"/>
          <w:sz w:val="20"/>
          <w:szCs w:val="20"/>
          <w:lang w:val="es-ES"/>
        </w:rPr>
      </w:pPr>
      <w:r w:rsidRPr="00CC0335">
        <w:rPr>
          <w:rFonts w:ascii="Verdana" w:eastAsia="Century Gothic" w:hAnsi="Verdana" w:cs="Century Gothic"/>
          <w:sz w:val="20"/>
          <w:szCs w:val="20"/>
          <w:lang w:val="es-ES"/>
        </w:rPr>
        <w:t>disímiles?</w:t>
      </w:r>
    </w:p>
    <w:p w14:paraId="50D07EFB" w14:textId="77777777" w:rsidR="007871E6" w:rsidRPr="00EE1D37" w:rsidRDefault="007871E6" w:rsidP="003248CC">
      <w:pPr>
        <w:spacing w:after="0" w:line="240" w:lineRule="auto"/>
        <w:ind w:left="709" w:right="709"/>
        <w:jc w:val="both"/>
        <w:rPr>
          <w:rFonts w:ascii="Verdana" w:eastAsia="Century Gothic" w:hAnsi="Verdana" w:cs="Century Gothic"/>
          <w:sz w:val="20"/>
          <w:szCs w:val="20"/>
          <w:lang w:val="es-ES"/>
        </w:rPr>
      </w:pPr>
      <w:r w:rsidRPr="00EE1D37">
        <w:rPr>
          <w:rFonts w:ascii="Verdana" w:eastAsia="Century Gothic" w:hAnsi="Verdana" w:cs="Century Gothic"/>
          <w:sz w:val="20"/>
          <w:szCs w:val="20"/>
          <w:lang w:val="es-ES"/>
        </w:rPr>
        <w:t>2.2 ¿Es procedente que la entidad establezca reglas en los pliegos de</w:t>
      </w:r>
    </w:p>
    <w:p w14:paraId="69A438AD" w14:textId="77777777" w:rsidR="007871E6" w:rsidRPr="00EE1D37" w:rsidRDefault="007871E6" w:rsidP="003248CC">
      <w:pPr>
        <w:spacing w:after="0" w:line="240" w:lineRule="auto"/>
        <w:ind w:left="709" w:right="709"/>
        <w:jc w:val="both"/>
        <w:rPr>
          <w:rFonts w:ascii="Verdana" w:eastAsia="Century Gothic" w:hAnsi="Verdana" w:cs="Century Gothic"/>
          <w:sz w:val="20"/>
          <w:szCs w:val="20"/>
          <w:lang w:val="es-ES"/>
        </w:rPr>
      </w:pPr>
      <w:r w:rsidRPr="00EE1D37">
        <w:rPr>
          <w:rFonts w:ascii="Verdana" w:eastAsia="Century Gothic" w:hAnsi="Verdana" w:cs="Century Gothic"/>
          <w:sz w:val="20"/>
          <w:szCs w:val="20"/>
          <w:lang w:val="es-ES"/>
        </w:rPr>
        <w:t>condiciones para dirimir este escenario? En caso afirmativo, ¿qué</w:t>
      </w:r>
      <w:r>
        <w:rPr>
          <w:rFonts w:ascii="Verdana" w:eastAsia="Century Gothic" w:hAnsi="Verdana" w:cs="Century Gothic"/>
          <w:sz w:val="20"/>
          <w:szCs w:val="20"/>
          <w:lang w:val="es-ES"/>
        </w:rPr>
        <w:t xml:space="preserve"> </w:t>
      </w:r>
      <w:r w:rsidRPr="00EE1D37">
        <w:rPr>
          <w:rFonts w:ascii="Verdana" w:eastAsia="Century Gothic" w:hAnsi="Verdana" w:cs="Century Gothic"/>
          <w:sz w:val="20"/>
          <w:szCs w:val="20"/>
          <w:lang w:val="es-ES"/>
        </w:rPr>
        <w:t>lineamientos recomienda Colombia Compra Eficiente?</w:t>
      </w:r>
    </w:p>
    <w:p w14:paraId="5C1F285A" w14:textId="77777777" w:rsidR="007871E6" w:rsidRPr="00EE1D37" w:rsidRDefault="007871E6" w:rsidP="003248CC">
      <w:pPr>
        <w:spacing w:after="0" w:line="240" w:lineRule="auto"/>
        <w:ind w:left="709" w:right="709"/>
        <w:jc w:val="both"/>
        <w:rPr>
          <w:rFonts w:ascii="Verdana" w:eastAsia="Century Gothic" w:hAnsi="Verdana" w:cs="Century Gothic"/>
          <w:sz w:val="20"/>
          <w:szCs w:val="20"/>
          <w:lang w:val="es-ES"/>
        </w:rPr>
      </w:pPr>
      <w:r w:rsidRPr="00EE1D37">
        <w:rPr>
          <w:rFonts w:ascii="Verdana" w:eastAsia="Century Gothic" w:hAnsi="Verdana" w:cs="Century Gothic"/>
          <w:sz w:val="20"/>
          <w:szCs w:val="20"/>
          <w:lang w:val="es-ES"/>
        </w:rPr>
        <w:t>2.3 ¿Sería viable considerar la planta de personal de alguno de los</w:t>
      </w:r>
    </w:p>
    <w:p w14:paraId="325BE6ED" w14:textId="77777777" w:rsidR="007871E6" w:rsidRPr="00EE1D37" w:rsidRDefault="007871E6" w:rsidP="003248CC">
      <w:pPr>
        <w:spacing w:after="0" w:line="240" w:lineRule="auto"/>
        <w:ind w:left="709" w:right="709"/>
        <w:jc w:val="both"/>
        <w:rPr>
          <w:rFonts w:ascii="Verdana" w:eastAsia="Century Gothic" w:hAnsi="Verdana" w:cs="Century Gothic"/>
          <w:sz w:val="20"/>
          <w:szCs w:val="20"/>
          <w:lang w:val="es-ES"/>
        </w:rPr>
      </w:pPr>
      <w:r w:rsidRPr="00EE1D37">
        <w:rPr>
          <w:rFonts w:ascii="Verdana" w:eastAsia="Century Gothic" w:hAnsi="Verdana" w:cs="Century Gothic"/>
          <w:sz w:val="20"/>
          <w:szCs w:val="20"/>
          <w:lang w:val="es-ES"/>
        </w:rPr>
        <w:t>integrantes bajo criterios objetivos previamente definidos (por ejemplo,</w:t>
      </w:r>
      <w:r>
        <w:rPr>
          <w:rFonts w:ascii="Verdana" w:eastAsia="Century Gothic" w:hAnsi="Verdana" w:cs="Century Gothic"/>
          <w:sz w:val="20"/>
          <w:szCs w:val="20"/>
          <w:lang w:val="es-ES"/>
        </w:rPr>
        <w:t xml:space="preserve"> </w:t>
      </w:r>
      <w:r w:rsidRPr="00EE1D37">
        <w:rPr>
          <w:rFonts w:ascii="Verdana" w:eastAsia="Century Gothic" w:hAnsi="Verdana" w:cs="Century Gothic"/>
          <w:sz w:val="20"/>
          <w:szCs w:val="20"/>
          <w:lang w:val="es-ES"/>
        </w:rPr>
        <w:t>el que acredite mejores condiciones), o debería adoptarse una regla</w:t>
      </w:r>
    </w:p>
    <w:p w14:paraId="0AB6F0F6" w14:textId="77777777" w:rsidR="007871E6" w:rsidRPr="00EE1D37" w:rsidRDefault="007871E6" w:rsidP="003248CC">
      <w:pPr>
        <w:spacing w:after="0" w:line="240" w:lineRule="auto"/>
        <w:ind w:left="709" w:right="709"/>
        <w:jc w:val="both"/>
        <w:rPr>
          <w:rFonts w:ascii="Verdana" w:eastAsia="Century Gothic" w:hAnsi="Verdana" w:cs="Century Gothic"/>
          <w:sz w:val="20"/>
          <w:szCs w:val="20"/>
          <w:lang w:val="es-ES"/>
        </w:rPr>
      </w:pPr>
      <w:r w:rsidRPr="00EE1D37">
        <w:rPr>
          <w:rFonts w:ascii="Verdana" w:eastAsia="Century Gothic" w:hAnsi="Verdana" w:cs="Century Gothic"/>
          <w:sz w:val="20"/>
          <w:szCs w:val="20"/>
          <w:lang w:val="es-ES"/>
        </w:rPr>
        <w:t>distinta para garantizar el principio de selección objetiva?</w:t>
      </w:r>
    </w:p>
    <w:p w14:paraId="2746BF32" w14:textId="77777777" w:rsidR="007871E6" w:rsidRPr="00EE1D37" w:rsidRDefault="007871E6" w:rsidP="003248CC">
      <w:pPr>
        <w:spacing w:after="0" w:line="240" w:lineRule="auto"/>
        <w:ind w:left="709" w:right="709"/>
        <w:jc w:val="both"/>
        <w:rPr>
          <w:rFonts w:ascii="Verdana" w:eastAsia="Century Gothic" w:hAnsi="Verdana" w:cs="Century Gothic"/>
          <w:sz w:val="20"/>
          <w:szCs w:val="20"/>
          <w:lang w:val="es-ES"/>
        </w:rPr>
      </w:pPr>
      <w:r w:rsidRPr="00EE1D37">
        <w:rPr>
          <w:rFonts w:ascii="Verdana" w:eastAsia="Century Gothic" w:hAnsi="Verdana" w:cs="Century Gothic"/>
          <w:sz w:val="20"/>
          <w:szCs w:val="20"/>
          <w:lang w:val="es-ES"/>
        </w:rPr>
        <w:t>2.4 ¿Queda a potestad del proponente plural indicar cual integrante con</w:t>
      </w:r>
      <w:r>
        <w:rPr>
          <w:rFonts w:ascii="Verdana" w:eastAsia="Century Gothic" w:hAnsi="Verdana" w:cs="Century Gothic"/>
          <w:sz w:val="20"/>
          <w:szCs w:val="20"/>
          <w:lang w:val="es-ES"/>
        </w:rPr>
        <w:t xml:space="preserve"> </w:t>
      </w:r>
      <w:r w:rsidRPr="00EE1D37">
        <w:rPr>
          <w:rFonts w:ascii="Verdana" w:eastAsia="Century Gothic" w:hAnsi="Verdana" w:cs="Century Gothic"/>
          <w:sz w:val="20"/>
          <w:szCs w:val="20"/>
          <w:lang w:val="es-ES"/>
        </w:rPr>
        <w:t>participación igualitaria acreditará el requisito??</w:t>
      </w:r>
    </w:p>
    <w:p w14:paraId="6021B2FC" w14:textId="77777777" w:rsidR="007871E6" w:rsidRPr="003248CC" w:rsidRDefault="007871E6" w:rsidP="003248CC">
      <w:pPr>
        <w:spacing w:before="120" w:after="120" w:line="276" w:lineRule="auto"/>
        <w:ind w:left="709" w:right="709"/>
        <w:contextualSpacing/>
        <w:rPr>
          <w:rFonts w:ascii="Verdana" w:eastAsia="Century Gothic" w:hAnsi="Verdana" w:cs="Century Gothic"/>
          <w:lang w:val="es-ES"/>
        </w:rPr>
      </w:pPr>
    </w:p>
    <w:p w14:paraId="07DC54E0" w14:textId="2EB0E48D" w:rsidR="007871E6" w:rsidRPr="00206556" w:rsidRDefault="007871E6" w:rsidP="005B1993">
      <w:pPr>
        <w:spacing w:after="120" w:line="276" w:lineRule="auto"/>
        <w:ind w:firstLine="708"/>
        <w:jc w:val="both"/>
        <w:rPr>
          <w:rFonts w:ascii="Verdana" w:eastAsia="Calibri" w:hAnsi="Verdana" w:cs="Arial"/>
          <w:lang w:val="es-ES" w:eastAsia="es-ES"/>
        </w:rPr>
      </w:pPr>
      <w:r w:rsidRPr="00206556">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sidR="005B1993">
        <w:rPr>
          <w:rFonts w:ascii="Verdana" w:eastAsia="Calibri" w:hAnsi="Verdana" w:cs="Arial"/>
          <w:lang w:val="es-ES" w:eastAsia="es-ES"/>
        </w:rPr>
        <w:t xml:space="preserve">la Agencia Nacional de Contratación Pública - </w:t>
      </w:r>
      <w:r w:rsidRPr="00206556">
        <w:rPr>
          <w:rFonts w:ascii="Verdana" w:eastAsia="Calibri" w:hAnsi="Verdana" w:cs="Arial"/>
          <w:lang w:val="es-ES" w:eastAsia="es-ES"/>
        </w:rPr>
        <w:t>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w:t>
      </w:r>
      <w:r>
        <w:rPr>
          <w:rFonts w:ascii="Verdana" w:eastAsia="Calibri" w:hAnsi="Verdana" w:cs="Arial"/>
          <w:lang w:val="es-ES" w:eastAsia="es-ES"/>
        </w:rPr>
        <w:t xml:space="preserve"> al</w:t>
      </w:r>
      <w:r w:rsidRPr="00206556">
        <w:rPr>
          <w:rFonts w:ascii="Verdana" w:eastAsia="Calibri" w:hAnsi="Verdana" w:cs="Arial"/>
          <w:lang w:val="es-ES" w:eastAsia="es-ES"/>
        </w:rPr>
        <w:t xml:space="preserve"> </w:t>
      </w:r>
      <w:r>
        <w:rPr>
          <w:rFonts w:ascii="Verdana" w:hAnsi="Verdana"/>
        </w:rPr>
        <w:t>Estatuto General de Contratación Pública</w:t>
      </w:r>
      <w:r w:rsidRPr="00206556">
        <w:rPr>
          <w:rFonts w:ascii="Verdana" w:eastAsia="Calibri" w:hAnsi="Verdana" w:cs="Arial"/>
          <w:lang w:val="es-ES" w:eastAsia="es-ES"/>
        </w:rPr>
        <w:t xml:space="preserve"> o de los demás participantes de la contratación pública. Esta competencia de interpretación de normas generales, por definición, no puede extenderse a la resolución de controversias, ni a brindar asesorías sobre casos puntuales.  </w:t>
      </w:r>
      <w:r w:rsidRPr="00206556">
        <w:rPr>
          <w:rFonts w:ascii="Verdana" w:hAnsi="Verdana"/>
          <w:lang w:val="es-ES"/>
        </w:rPr>
        <w:tab/>
      </w:r>
    </w:p>
    <w:p w14:paraId="3ADAD9F1" w14:textId="36CE6B70" w:rsidR="007871E6" w:rsidRPr="00206556" w:rsidRDefault="007871E6" w:rsidP="005B1993">
      <w:pPr>
        <w:spacing w:after="0" w:line="276" w:lineRule="auto"/>
        <w:ind w:firstLine="709"/>
        <w:jc w:val="both"/>
        <w:rPr>
          <w:rFonts w:ascii="Verdana" w:eastAsia="Calibri" w:hAnsi="Verdana" w:cs="Arial"/>
          <w:lang w:val="es-ES" w:eastAsia="es-ES"/>
        </w:rPr>
      </w:pPr>
      <w:r w:rsidRPr="00206556">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78E7CAD0" w14:textId="77777777" w:rsidR="007871E6" w:rsidRPr="00206556" w:rsidRDefault="007871E6" w:rsidP="005B1993">
      <w:pPr>
        <w:spacing w:after="0" w:line="276" w:lineRule="auto"/>
        <w:ind w:firstLine="709"/>
        <w:jc w:val="both"/>
        <w:rPr>
          <w:rFonts w:ascii="Verdana" w:eastAsia="Calibri" w:hAnsi="Verdana" w:cs="Arial"/>
          <w:lang w:val="es-ES" w:eastAsia="es-ES"/>
        </w:rPr>
      </w:pPr>
    </w:p>
    <w:p w14:paraId="6F5C8CB7" w14:textId="77777777" w:rsidR="007871E6" w:rsidRPr="00206556" w:rsidRDefault="007871E6" w:rsidP="003248CC">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1. Problema planteado:</w:t>
      </w:r>
    </w:p>
    <w:p w14:paraId="4C8F2BC3" w14:textId="77777777" w:rsidR="007871E6" w:rsidRPr="00206556" w:rsidRDefault="007871E6" w:rsidP="005B1993">
      <w:pPr>
        <w:tabs>
          <w:tab w:val="left" w:pos="426"/>
        </w:tabs>
        <w:spacing w:after="0" w:line="276" w:lineRule="auto"/>
        <w:jc w:val="both"/>
        <w:rPr>
          <w:rFonts w:ascii="Verdana" w:eastAsia="Century Gothic" w:hAnsi="Verdana" w:cs="Century Gothic"/>
          <w:color w:val="ED7D31" w:themeColor="accent2"/>
          <w:lang w:val="es-ES"/>
        </w:rPr>
      </w:pPr>
    </w:p>
    <w:p w14:paraId="5734DAA4" w14:textId="7413BA9D" w:rsidR="007871E6" w:rsidRDefault="007871E6" w:rsidP="005B1993">
      <w:pPr>
        <w:spacing w:after="0" w:line="276" w:lineRule="auto"/>
        <w:jc w:val="both"/>
        <w:rPr>
          <w:rFonts w:ascii="Verdana" w:eastAsia="Century Gothic" w:hAnsi="Verdana" w:cs="Century Gothic"/>
        </w:rPr>
      </w:pPr>
      <w:r w:rsidRPr="00206556">
        <w:rPr>
          <w:rFonts w:ascii="Verdana" w:eastAsia="Century Gothic" w:hAnsi="Verdana" w:cs="Century Gothic"/>
          <w:lang w:val="es-ES"/>
        </w:rPr>
        <w:lastRenderedPageBreak/>
        <w:t xml:space="preserve">De acuerdo con el contenido de su solicitud, esta Agencia resolverá </w:t>
      </w:r>
      <w:r>
        <w:rPr>
          <w:rFonts w:ascii="Verdana" w:eastAsia="Century Gothic" w:hAnsi="Verdana" w:cs="Century Gothic"/>
          <w:lang w:val="es-ES"/>
        </w:rPr>
        <w:t>los</w:t>
      </w:r>
      <w:r w:rsidRPr="00206556">
        <w:rPr>
          <w:rFonts w:ascii="Verdana" w:eastAsia="Century Gothic" w:hAnsi="Verdana" w:cs="Century Gothic"/>
          <w:lang w:val="es-ES"/>
        </w:rPr>
        <w:t xml:space="preserve"> siguiente</w:t>
      </w:r>
      <w:r>
        <w:rPr>
          <w:rFonts w:ascii="Verdana" w:eastAsia="Century Gothic" w:hAnsi="Verdana" w:cs="Century Gothic"/>
          <w:lang w:val="es-ES"/>
        </w:rPr>
        <w:t xml:space="preserve">s </w:t>
      </w:r>
      <w:r w:rsidRPr="00206556">
        <w:rPr>
          <w:rFonts w:ascii="Verdana" w:eastAsia="Century Gothic" w:hAnsi="Verdana" w:cs="Century Gothic"/>
          <w:lang w:val="es-ES"/>
        </w:rPr>
        <w:t>problema</w:t>
      </w:r>
      <w:r>
        <w:rPr>
          <w:rFonts w:ascii="Verdana" w:eastAsia="Century Gothic" w:hAnsi="Verdana" w:cs="Century Gothic"/>
          <w:lang w:val="es-ES"/>
        </w:rPr>
        <w:t>s</w:t>
      </w:r>
      <w:r w:rsidRPr="00206556">
        <w:rPr>
          <w:rFonts w:ascii="Verdana" w:eastAsia="Century Gothic" w:hAnsi="Verdana" w:cs="Century Gothic"/>
          <w:lang w:val="es-ES"/>
        </w:rPr>
        <w:t xml:space="preserve"> jurídico</w:t>
      </w:r>
      <w:r>
        <w:rPr>
          <w:rFonts w:ascii="Verdana" w:eastAsia="Century Gothic" w:hAnsi="Verdana" w:cs="Century Gothic"/>
          <w:lang w:val="es-ES"/>
        </w:rPr>
        <w:t>s</w:t>
      </w:r>
      <w:r w:rsidRPr="00206556">
        <w:rPr>
          <w:rFonts w:ascii="Verdana" w:eastAsia="Century Gothic" w:hAnsi="Verdana" w:cs="Century Gothic"/>
          <w:lang w:val="es-ES"/>
        </w:rPr>
        <w:t xml:space="preserve">: </w:t>
      </w:r>
      <w:r>
        <w:rPr>
          <w:rFonts w:ascii="Verdana" w:eastAsia="Century Gothic" w:hAnsi="Verdana" w:cs="Century Gothic"/>
          <w:lang w:val="es-ES"/>
        </w:rPr>
        <w:t>(i</w:t>
      </w:r>
      <w:proofErr w:type="gramStart"/>
      <w:r>
        <w:rPr>
          <w:rFonts w:ascii="Verdana" w:eastAsia="Century Gothic" w:hAnsi="Verdana" w:cs="Century Gothic"/>
          <w:lang w:val="es-ES"/>
        </w:rPr>
        <w:t>)</w:t>
      </w:r>
      <w:r w:rsidRPr="00CC0335">
        <w:rPr>
          <w:rFonts w:ascii="Verdana" w:eastAsia="Century Gothic" w:hAnsi="Verdana" w:cs="Century Gothic"/>
          <w:lang w:val="es-ES"/>
        </w:rPr>
        <w:t>¿</w:t>
      </w:r>
      <w:proofErr w:type="gramEnd"/>
      <w:r w:rsidRPr="00CC0335">
        <w:rPr>
          <w:rFonts w:ascii="Verdana" w:eastAsia="Century Gothic" w:hAnsi="Verdana" w:cs="Century Gothic"/>
          <w:lang w:val="es-ES"/>
        </w:rPr>
        <w:t>Las certificaciones previstas en los numerales 1 y 2 del artículo 2.2.1.2.4.2.7.4 del Decreto 1082 de 2015 están sujetas a formalidades diferentes, de manera que la manifestación bajo la gravedad de juramento solo es exigible en el supuesto del numeral 1? En tal caso, ¿puede la entidad exigir dicha formalidad para el numeral 2?</w:t>
      </w:r>
      <w:r w:rsidR="005B1993">
        <w:rPr>
          <w:rFonts w:ascii="Verdana" w:eastAsia="Century Gothic" w:hAnsi="Verdana" w:cs="Century Gothic"/>
          <w:lang w:val="es-ES"/>
        </w:rPr>
        <w:t xml:space="preserve">; </w:t>
      </w:r>
      <w:r>
        <w:rPr>
          <w:rFonts w:ascii="Verdana" w:eastAsia="Century Gothic" w:hAnsi="Verdana" w:cs="Century Gothic"/>
          <w:lang w:val="es-ES"/>
        </w:rPr>
        <w:t>(</w:t>
      </w:r>
      <w:proofErr w:type="spellStart"/>
      <w:r>
        <w:rPr>
          <w:rFonts w:ascii="Verdana" w:eastAsia="Century Gothic" w:hAnsi="Verdana" w:cs="Century Gothic"/>
          <w:lang w:val="es-ES"/>
        </w:rPr>
        <w:t>ii</w:t>
      </w:r>
      <w:proofErr w:type="spellEnd"/>
      <w:r>
        <w:rPr>
          <w:rFonts w:ascii="Verdana" w:eastAsia="Century Gothic" w:hAnsi="Verdana" w:cs="Century Gothic"/>
          <w:lang w:val="es-ES"/>
        </w:rPr>
        <w:t>)</w:t>
      </w:r>
      <w:r w:rsidRPr="00CC0335">
        <w:rPr>
          <w:rFonts w:ascii="Verdana" w:eastAsia="Century Gothic" w:hAnsi="Verdana" w:cs="Century Gothic"/>
          <w:lang w:val="es-ES"/>
        </w:rPr>
        <w:t>Cuando dos o más integrantes de un proponente plural tienen el mismo porcentaje máximo de participación, ¿cuál de ellos debe tenerse en cuenta para acreditar el requisito relacionado con la planta de personal?</w:t>
      </w:r>
      <w:r w:rsidR="005B1993">
        <w:rPr>
          <w:rFonts w:ascii="Verdana" w:eastAsia="Century Gothic" w:hAnsi="Verdana" w:cs="Century Gothic"/>
          <w:lang w:val="es-ES"/>
        </w:rPr>
        <w:t xml:space="preserve">; </w:t>
      </w:r>
      <w:r>
        <w:rPr>
          <w:rFonts w:ascii="Verdana" w:eastAsia="Century Gothic" w:hAnsi="Verdana" w:cs="Century Gothic"/>
          <w:lang w:val="es-ES"/>
        </w:rPr>
        <w:t>(</w:t>
      </w:r>
      <w:proofErr w:type="spellStart"/>
      <w:r>
        <w:rPr>
          <w:rFonts w:ascii="Verdana" w:eastAsia="Century Gothic" w:hAnsi="Verdana" w:cs="Century Gothic"/>
          <w:lang w:val="es-ES"/>
        </w:rPr>
        <w:t>iii</w:t>
      </w:r>
      <w:proofErr w:type="spellEnd"/>
      <w:r>
        <w:rPr>
          <w:rFonts w:ascii="Verdana" w:eastAsia="Century Gothic" w:hAnsi="Verdana" w:cs="Century Gothic"/>
          <w:lang w:val="es-ES"/>
        </w:rPr>
        <w:t>)</w:t>
      </w:r>
      <w:r w:rsidR="00EE1130">
        <w:rPr>
          <w:rFonts w:ascii="Verdana" w:eastAsia="Century Gothic" w:hAnsi="Verdana" w:cs="Century Gothic"/>
          <w:lang w:val="es-ES"/>
        </w:rPr>
        <w:t xml:space="preserve"> </w:t>
      </w:r>
      <w:r w:rsidRPr="00CC0335">
        <w:rPr>
          <w:rFonts w:ascii="Verdana" w:eastAsia="Century Gothic" w:hAnsi="Verdana" w:cs="Century Gothic"/>
          <w:lang w:val="es-ES"/>
        </w:rPr>
        <w:t>¿Puede la entidad establecer en los pliegos una regla objetiva para resolver esa igualdad, como considerar al integrante que acredite mejores condiciones, o permitir que el proponente plural indique desde la presentación de la oferta cuál integrante acreditará el requisito? ¿Qué lineamientos deben observarse para garantizar la selección objetiva y una evaluación uniforme?</w:t>
      </w:r>
    </w:p>
    <w:p w14:paraId="21B4A257" w14:textId="77777777" w:rsidR="007871E6" w:rsidRPr="00206556" w:rsidRDefault="007871E6" w:rsidP="005B1993">
      <w:pPr>
        <w:spacing w:after="0" w:line="276" w:lineRule="auto"/>
        <w:jc w:val="both"/>
        <w:rPr>
          <w:rFonts w:ascii="Verdana" w:eastAsia="Century Gothic" w:hAnsi="Verdana" w:cs="Century Gothic"/>
          <w:color w:val="ED7D31" w:themeColor="accent2"/>
        </w:rPr>
      </w:pPr>
    </w:p>
    <w:p w14:paraId="29C4B880" w14:textId="4911545D" w:rsidR="007871E6" w:rsidRDefault="007871E6">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2. Respuesta:</w:t>
      </w:r>
    </w:p>
    <w:p w14:paraId="38DE4A1A" w14:textId="77777777" w:rsidR="005B1993" w:rsidRPr="00A4789E" w:rsidRDefault="005B1993">
      <w:pPr>
        <w:tabs>
          <w:tab w:val="left" w:pos="142"/>
          <w:tab w:val="left" w:pos="284"/>
        </w:tabs>
        <w:spacing w:after="0" w:line="276" w:lineRule="auto"/>
        <w:jc w:val="both"/>
        <w:rPr>
          <w:rFonts w:ascii="Verdana" w:eastAsia="Century Gothic" w:hAnsi="Verdana" w:cs="Century Gothic"/>
          <w:b/>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7871E6" w:rsidRPr="00206556" w14:paraId="7D0439C1" w14:textId="77777777" w:rsidTr="000A1473">
        <w:tc>
          <w:tcPr>
            <w:tcW w:w="8828" w:type="dxa"/>
          </w:tcPr>
          <w:p w14:paraId="7AE6D89E" w14:textId="27F2147E" w:rsidR="007871E6" w:rsidRDefault="007871E6" w:rsidP="001B3CBA">
            <w:pPr>
              <w:spacing w:line="276" w:lineRule="auto"/>
              <w:ind w:firstLine="709"/>
              <w:jc w:val="both"/>
              <w:rPr>
                <w:rFonts w:ascii="Verdana" w:eastAsia="Calibri" w:hAnsi="Verdana" w:cs="Arial"/>
              </w:rPr>
            </w:pPr>
            <w:r>
              <w:rPr>
                <w:rFonts w:ascii="Verdana" w:eastAsia="Calibri" w:hAnsi="Verdana" w:cs="Arial"/>
              </w:rPr>
              <w:t xml:space="preserve">En atención a los problemas jurídicos planteados, es necesario precisar que el Decreto 0287 de 2026 reglamentó los numerales 1, 7 y 8 del artículo 13 de la Ley Estatutaria 1618 de 2013 y estableció un Sistema Integral de Preferencias en favor de las personas con discapacidad, integrado por medidas afirmativas dirigidas a dos sujetos diferenciados: los emprendimientos y empresas de personas con discapacidad (en adelante, </w:t>
            </w:r>
            <w:proofErr w:type="spellStart"/>
            <w:r>
              <w:rPr>
                <w:rFonts w:ascii="Verdana" w:eastAsia="Calibri" w:hAnsi="Verdana" w:cs="Arial"/>
              </w:rPr>
              <w:t>PcD</w:t>
            </w:r>
            <w:proofErr w:type="spellEnd"/>
            <w:r>
              <w:rPr>
                <w:rFonts w:ascii="Verdana" w:eastAsia="Calibri" w:hAnsi="Verdana" w:cs="Arial"/>
              </w:rPr>
              <w:t xml:space="preserve">) y los empleadores de </w:t>
            </w:r>
            <w:proofErr w:type="spellStart"/>
            <w:r>
              <w:rPr>
                <w:rFonts w:ascii="Verdana" w:eastAsia="Calibri" w:hAnsi="Verdana" w:cs="Arial"/>
              </w:rPr>
              <w:t>PcD</w:t>
            </w:r>
            <w:proofErr w:type="spellEnd"/>
            <w:r>
              <w:rPr>
                <w:rFonts w:ascii="Verdana" w:eastAsia="Calibri" w:hAnsi="Verdana" w:cs="Arial"/>
              </w:rPr>
              <w:t>. Una de esas medidas es el puntaje adicional del dos por ciento (2%) previsto en el artículo 2.2.1.2.4.2.7.4 del Decreto 1082 de 2015 (modificado), sobre cuyas formalidades de acreditación y aplicación a los proponentes plurales versan las inquietudes. Sobre el particular se precisa:</w:t>
            </w:r>
          </w:p>
          <w:p w14:paraId="0D08FC78" w14:textId="77777777" w:rsidR="001B3CBA" w:rsidRDefault="001B3CBA" w:rsidP="003248CC">
            <w:pPr>
              <w:spacing w:line="276" w:lineRule="auto"/>
              <w:ind w:firstLine="709"/>
              <w:jc w:val="both"/>
              <w:rPr>
                <w:rFonts w:ascii="Verdana" w:eastAsia="Calibri" w:hAnsi="Verdana" w:cs="Arial"/>
              </w:rPr>
            </w:pPr>
          </w:p>
          <w:p w14:paraId="5FEFF251" w14:textId="33EB09A7" w:rsidR="001B3CBA" w:rsidRDefault="007871E6" w:rsidP="001B3CBA">
            <w:pPr>
              <w:spacing w:after="120" w:line="276" w:lineRule="auto"/>
              <w:jc w:val="both"/>
              <w:rPr>
                <w:rFonts w:ascii="Verdana" w:eastAsia="Calibri" w:hAnsi="Verdana" w:cs="Arial"/>
                <w:color w:val="000000"/>
                <w:lang w:val="es-ES" w:eastAsia="es-ES_tradnl"/>
              </w:rPr>
            </w:pPr>
            <w:r>
              <w:rPr>
                <w:rFonts w:ascii="Verdana" w:eastAsia="Calibri" w:hAnsi="Verdana" w:cs="Arial"/>
              </w:rPr>
              <w:t xml:space="preserve">(i) </w:t>
            </w:r>
            <w:r w:rsidR="001B3CBA">
              <w:rPr>
                <w:rFonts w:ascii="Verdana" w:eastAsia="Aptos" w:hAnsi="Verdana" w:cs="Times New Roman"/>
                <w:kern w:val="2"/>
                <w14:ligatures w14:val="standardContextual"/>
              </w:rPr>
              <w:t xml:space="preserve">El artículo </w:t>
            </w:r>
            <w:r w:rsidR="001B3CBA" w:rsidRPr="001B3C5D">
              <w:rPr>
                <w:rFonts w:ascii="Verdana" w:eastAsia="Aptos" w:hAnsi="Verdana" w:cs="Times New Roman"/>
                <w:kern w:val="2"/>
                <w14:ligatures w14:val="standardContextual"/>
              </w:rPr>
              <w:t>2.2.1.2.4.2.6</w:t>
            </w:r>
            <w:r w:rsidR="001B3CBA">
              <w:rPr>
                <w:rFonts w:ascii="Verdana" w:eastAsia="Aptos" w:hAnsi="Verdana" w:cs="Times New Roman"/>
                <w:kern w:val="2"/>
                <w14:ligatures w14:val="standardContextual"/>
              </w:rPr>
              <w:t xml:space="preserve"> del Decreto 287 de 2026, </w:t>
            </w:r>
            <w:r w:rsidR="001B3CBA" w:rsidRPr="001B3C5D">
              <w:rPr>
                <w:rFonts w:ascii="Verdana" w:eastAsia="Aptos" w:hAnsi="Verdana" w:cs="Times New Roman"/>
                <w:kern w:val="2"/>
                <w14:ligatures w14:val="standardContextual"/>
              </w:rPr>
              <w:t>incorpora la definición de emprendimientos y empresas de personas con discapacidad</w:t>
            </w:r>
            <w:r w:rsidR="001B3CBA">
              <w:rPr>
                <w:rFonts w:ascii="Verdana" w:eastAsia="Calibri" w:hAnsi="Verdana" w:cs="Arial"/>
                <w:lang w:val="es-ES_tradnl"/>
              </w:rPr>
              <w:t xml:space="preserve"> y </w:t>
            </w:r>
            <w:r w:rsidR="001B3CBA">
              <w:rPr>
                <w:rFonts w:ascii="Verdana" w:hAnsi="Verdana"/>
              </w:rPr>
              <w:t>consagra cuatro criterios alternativos en atención a los cuales una persona natural o jurídica puede acceder a los incentivos contractuales en favor de ellos</w:t>
            </w:r>
            <w:r w:rsidR="001B3CBA">
              <w:rPr>
                <w:rFonts w:ascii="Verdana" w:eastAsia="Calibri" w:hAnsi="Verdana" w:cs="Arial"/>
                <w:lang w:val="es-ES_tradnl"/>
              </w:rPr>
              <w:t>, siendo suficiente la configuración de uno de estos criterios para que se materialice la respectiva definición respecto del sujeto en particular.</w:t>
            </w:r>
            <w:r w:rsidR="001B3CBA" w:rsidRPr="00FE639F">
              <w:rPr>
                <w:rFonts w:ascii="Verdana" w:eastAsia="Calibri" w:hAnsi="Verdana" w:cs="Arial"/>
                <w:color w:val="000000"/>
                <w:lang w:val="es-ES" w:eastAsia="es-ES_tradnl"/>
              </w:rPr>
              <w:t xml:space="preserve"> </w:t>
            </w:r>
          </w:p>
          <w:p w14:paraId="132FEAF0" w14:textId="77777777" w:rsidR="001B3CBA" w:rsidRDefault="001B3CBA" w:rsidP="001B3CBA">
            <w:pPr>
              <w:spacing w:after="120" w:line="276" w:lineRule="auto"/>
              <w:ind w:firstLine="709"/>
              <w:jc w:val="both"/>
              <w:rPr>
                <w:rFonts w:ascii="Verdana" w:eastAsia="Calibri" w:hAnsi="Verdana" w:cs="Arial"/>
                <w:lang w:val="es-ES" w:eastAsia="es-ES"/>
              </w:rPr>
            </w:pPr>
            <w:r w:rsidRPr="007149A1">
              <w:rPr>
                <w:rFonts w:ascii="Verdana" w:eastAsia="Calibri" w:hAnsi="Verdana" w:cs="Arial"/>
                <w:color w:val="000000"/>
                <w:lang w:val="es-ES" w:eastAsia="es-ES"/>
              </w:rPr>
              <w:t xml:space="preserve">De la revisión de todos los numerales </w:t>
            </w:r>
            <w:r w:rsidRPr="009C5FE6">
              <w:rPr>
                <w:rFonts w:ascii="Verdana" w:eastAsia="Calibri" w:hAnsi="Verdana" w:cs="Arial"/>
                <w:color w:val="000000"/>
                <w:lang w:val="es-ES" w:eastAsia="es-ES"/>
              </w:rPr>
              <w:t xml:space="preserve">del artículo </w:t>
            </w:r>
            <w:r w:rsidRPr="001B3C5D">
              <w:rPr>
                <w:rFonts w:ascii="Verdana" w:eastAsia="Aptos" w:hAnsi="Verdana" w:cs="Times New Roman"/>
                <w:kern w:val="2"/>
                <w14:ligatures w14:val="standardContextual"/>
              </w:rPr>
              <w:t>2.2.1.2.4.2.6</w:t>
            </w:r>
            <w:r>
              <w:rPr>
                <w:rFonts w:ascii="Verdana" w:eastAsia="Aptos" w:hAnsi="Verdana" w:cs="Times New Roman"/>
                <w:kern w:val="2"/>
                <w14:ligatures w14:val="standardContextual"/>
              </w:rPr>
              <w:t xml:space="preserve"> </w:t>
            </w:r>
            <w:r w:rsidRPr="009C5FE6">
              <w:rPr>
                <w:rFonts w:ascii="Verdana" w:eastAsia="Calibri" w:hAnsi="Verdana" w:cs="Arial"/>
                <w:color w:val="000000"/>
                <w:lang w:val="es-ES" w:eastAsia="es-ES"/>
              </w:rPr>
              <w:t>es posible advertir que para cada uno de estos fueron expresamente establecidos los documentos que sirven como medio para su acreditación. De este modo</w:t>
            </w:r>
            <w:r>
              <w:rPr>
                <w:rFonts w:ascii="Verdana" w:eastAsia="Calibri" w:hAnsi="Verdana" w:cs="Arial"/>
                <w:color w:val="000000"/>
                <w:lang w:val="es-ES" w:eastAsia="es-ES"/>
              </w:rPr>
              <w:t>,</w:t>
            </w:r>
            <w:r w:rsidRPr="009C5FE6">
              <w:rPr>
                <w:rFonts w:ascii="Verdana" w:eastAsia="Calibri" w:hAnsi="Verdana" w:cs="Arial"/>
                <w:color w:val="000000"/>
                <w:lang w:val="es-ES" w:eastAsia="es-ES"/>
              </w:rPr>
              <w:t xml:space="preserve"> </w:t>
            </w:r>
            <w:r w:rsidRPr="009C5FE6">
              <w:rPr>
                <w:rFonts w:ascii="Verdana" w:eastAsia="Calibri" w:hAnsi="Verdana" w:cs="Arial"/>
                <w:color w:val="000000"/>
                <w:lang w:val="es-ES" w:eastAsia="es-ES"/>
              </w:rPr>
              <w:lastRenderedPageBreak/>
              <w:t xml:space="preserve">dichos </w:t>
            </w:r>
            <w:r w:rsidRPr="009C5FE6">
              <w:rPr>
                <w:rFonts w:ascii="Verdana" w:eastAsia="Calibri" w:hAnsi="Verdana" w:cs="Arial"/>
                <w:lang w:val="es-ES" w:eastAsia="es-ES"/>
              </w:rPr>
              <w:t xml:space="preserve">documentos constituyen una tarifa legal probatoria para demostrar que los proponentes son emprendimientos o empresas de </w:t>
            </w:r>
            <w:r>
              <w:rPr>
                <w:rFonts w:ascii="Verdana" w:eastAsia="Calibri" w:hAnsi="Verdana" w:cs="Arial"/>
                <w:lang w:val="es-ES" w:eastAsia="es-ES"/>
              </w:rPr>
              <w:t>personas con discapacidad</w:t>
            </w:r>
            <w:r w:rsidRPr="009C5FE6">
              <w:rPr>
                <w:rFonts w:ascii="Verdana" w:eastAsia="Calibri" w:hAnsi="Verdana" w:cs="Arial"/>
                <w:lang w:val="es-ES" w:eastAsia="es-ES"/>
              </w:rPr>
              <w:t xml:space="preserve"> que, por lo tanto, tienen derecho a la aplicación de l</w:t>
            </w:r>
            <w:r>
              <w:rPr>
                <w:rFonts w:ascii="Verdana" w:eastAsia="Calibri" w:hAnsi="Verdana" w:cs="Arial"/>
                <w:lang w:val="es-ES" w:eastAsia="es-ES"/>
              </w:rPr>
              <w:t>as medidas afirmativas</w:t>
            </w:r>
            <w:r w:rsidRPr="009C5FE6">
              <w:rPr>
                <w:rFonts w:ascii="Verdana" w:eastAsia="Calibri" w:hAnsi="Verdana" w:cs="Arial"/>
                <w:lang w:val="es-ES" w:eastAsia="es-ES"/>
              </w:rPr>
              <w:t xml:space="preserve"> reglamentados </w:t>
            </w:r>
            <w:r>
              <w:rPr>
                <w:rFonts w:ascii="Verdana" w:eastAsia="Calibri" w:hAnsi="Verdana" w:cs="Arial"/>
                <w:lang w:val="es-ES" w:eastAsia="es-ES"/>
              </w:rPr>
              <w:t xml:space="preserve">en el Decreto 287 de 2026. </w:t>
            </w:r>
          </w:p>
          <w:p w14:paraId="3054C70A" w14:textId="77777777" w:rsidR="001B3CBA" w:rsidRDefault="001B3CBA" w:rsidP="003248CC">
            <w:pPr>
              <w:spacing w:after="120" w:line="276" w:lineRule="auto"/>
              <w:ind w:firstLine="709"/>
              <w:jc w:val="both"/>
              <w:rPr>
                <w:rFonts w:ascii="Verdana" w:eastAsia="Batang" w:hAnsi="Verdana" w:cs="Arial"/>
              </w:rPr>
            </w:pPr>
            <w:r w:rsidRPr="007149A1">
              <w:rPr>
                <w:rFonts w:ascii="Verdana" w:eastAsia="Arial" w:hAnsi="Verdana" w:cs="Arial"/>
              </w:rPr>
              <w:t xml:space="preserve">Concretamente, </w:t>
            </w:r>
            <w:r>
              <w:rPr>
                <w:rFonts w:ascii="Verdana" w:eastAsia="Arial" w:hAnsi="Verdana" w:cs="Arial"/>
              </w:rPr>
              <w:t xml:space="preserve">el parágrafo </w:t>
            </w:r>
            <w:r w:rsidRPr="007149A1">
              <w:rPr>
                <w:rFonts w:ascii="Verdana" w:eastAsia="Arial" w:hAnsi="Verdana" w:cs="Arial"/>
              </w:rPr>
              <w:t>del</w:t>
            </w:r>
            <w:r w:rsidRPr="007149A1">
              <w:rPr>
                <w:rFonts w:ascii="Verdana" w:eastAsia="Arial" w:hAnsi="Verdana" w:cs="Arial"/>
                <w:spacing w:val="-3"/>
              </w:rPr>
              <w:t xml:space="preserve"> </w:t>
            </w:r>
            <w:r w:rsidRPr="007149A1">
              <w:rPr>
                <w:rFonts w:ascii="Verdana" w:eastAsia="Arial" w:hAnsi="Verdana" w:cs="Arial"/>
              </w:rPr>
              <w:t>artículo</w:t>
            </w:r>
            <w:r w:rsidRPr="007149A1">
              <w:rPr>
                <w:rFonts w:ascii="Verdana" w:eastAsia="Arial" w:hAnsi="Verdana" w:cs="Arial"/>
                <w:spacing w:val="-2"/>
              </w:rPr>
              <w:t xml:space="preserve"> </w:t>
            </w:r>
            <w:r w:rsidRPr="001B3C5D">
              <w:rPr>
                <w:rFonts w:ascii="Verdana" w:eastAsia="Aptos" w:hAnsi="Verdana" w:cs="Times New Roman"/>
                <w:kern w:val="2"/>
                <w14:ligatures w14:val="standardContextual"/>
              </w:rPr>
              <w:t>2.2.1.2.4.2.6</w:t>
            </w:r>
            <w:r>
              <w:rPr>
                <w:rFonts w:ascii="Verdana" w:eastAsia="Aptos" w:hAnsi="Verdana" w:cs="Times New Roman"/>
                <w:kern w:val="2"/>
                <w14:ligatures w14:val="standardContextual"/>
              </w:rPr>
              <w:t xml:space="preserve"> </w:t>
            </w:r>
            <w:r w:rsidRPr="007149A1">
              <w:rPr>
                <w:rFonts w:ascii="Verdana" w:eastAsia="Arial" w:hAnsi="Verdana" w:cs="Arial"/>
              </w:rPr>
              <w:t>del</w:t>
            </w:r>
            <w:r w:rsidRPr="007149A1">
              <w:rPr>
                <w:rFonts w:ascii="Verdana" w:eastAsia="Arial" w:hAnsi="Verdana" w:cs="Arial"/>
                <w:spacing w:val="-3"/>
              </w:rPr>
              <w:t xml:space="preserve"> </w:t>
            </w:r>
            <w:r w:rsidRPr="007149A1">
              <w:rPr>
                <w:rFonts w:ascii="Verdana" w:eastAsia="Arial" w:hAnsi="Verdana" w:cs="Arial"/>
              </w:rPr>
              <w:t>Decreto</w:t>
            </w:r>
            <w:r w:rsidRPr="007149A1">
              <w:rPr>
                <w:rFonts w:ascii="Verdana" w:eastAsia="Arial" w:hAnsi="Verdana" w:cs="Arial"/>
                <w:spacing w:val="-3"/>
              </w:rPr>
              <w:t xml:space="preserve"> </w:t>
            </w:r>
            <w:r w:rsidRPr="007149A1">
              <w:rPr>
                <w:rFonts w:ascii="Verdana" w:eastAsia="Arial" w:hAnsi="Verdana" w:cs="Arial"/>
              </w:rPr>
              <w:t>1082</w:t>
            </w:r>
            <w:r w:rsidRPr="007149A1">
              <w:rPr>
                <w:rFonts w:ascii="Verdana" w:eastAsia="Arial" w:hAnsi="Verdana" w:cs="Arial"/>
                <w:spacing w:val="-3"/>
              </w:rPr>
              <w:t xml:space="preserve"> </w:t>
            </w:r>
            <w:r w:rsidRPr="007149A1">
              <w:rPr>
                <w:rFonts w:ascii="Verdana" w:eastAsia="Arial" w:hAnsi="Verdana" w:cs="Arial"/>
              </w:rPr>
              <w:t>de</w:t>
            </w:r>
            <w:r w:rsidRPr="007149A1">
              <w:rPr>
                <w:rFonts w:ascii="Verdana" w:eastAsia="Arial" w:hAnsi="Verdana" w:cs="Arial"/>
                <w:spacing w:val="-3"/>
              </w:rPr>
              <w:t xml:space="preserve"> </w:t>
            </w:r>
            <w:r w:rsidRPr="007149A1">
              <w:rPr>
                <w:rFonts w:ascii="Verdana" w:eastAsia="Arial" w:hAnsi="Verdana" w:cs="Arial"/>
              </w:rPr>
              <w:t>2015</w:t>
            </w:r>
            <w:r>
              <w:rPr>
                <w:rFonts w:ascii="Verdana" w:eastAsia="Arial" w:hAnsi="Verdana" w:cs="Arial"/>
              </w:rPr>
              <w:t xml:space="preserve"> señala que,</w:t>
            </w:r>
            <w:r w:rsidRPr="00A21BBF">
              <w:t xml:space="preserve"> </w:t>
            </w:r>
            <w:r>
              <w:rPr>
                <w:rFonts w:ascii="Verdana" w:eastAsia="Arial" w:hAnsi="Verdana" w:cs="Arial"/>
              </w:rPr>
              <w:t>r</w:t>
            </w:r>
            <w:r w:rsidRPr="00A21BBF">
              <w:rPr>
                <w:rFonts w:ascii="Verdana" w:eastAsia="Arial" w:hAnsi="Verdana" w:cs="Arial"/>
              </w:rPr>
              <w:t>especto de los incentivos contractuales para los emprendimientos y empresas de personas con discapacidad</w:t>
            </w:r>
            <w:r>
              <w:rPr>
                <w:rFonts w:ascii="Verdana" w:eastAsia="Arial" w:hAnsi="Verdana" w:cs="Arial"/>
              </w:rPr>
              <w:t>,</w:t>
            </w:r>
            <w:r w:rsidRPr="0037573F">
              <w:rPr>
                <w:rFonts w:ascii="Verdana" w:eastAsia="Arial" w:hAnsi="Verdana" w:cs="Arial"/>
              </w:rPr>
              <w:t xml:space="preserve"> las certificaciones de que trata el presente artículo deben expedirse </w:t>
            </w:r>
            <w:r>
              <w:rPr>
                <w:rFonts w:ascii="Verdana" w:eastAsia="Arial" w:hAnsi="Verdana" w:cs="Arial"/>
              </w:rPr>
              <w:t>“</w:t>
            </w:r>
            <w:r w:rsidRPr="0037573F">
              <w:rPr>
                <w:rFonts w:ascii="Verdana" w:eastAsia="Arial" w:hAnsi="Verdana" w:cs="Arial"/>
              </w:rPr>
              <w:t>bajo la gravedad de juramento</w:t>
            </w:r>
            <w:r>
              <w:rPr>
                <w:rFonts w:ascii="Verdana" w:eastAsia="Arial" w:hAnsi="Verdana" w:cs="Arial"/>
              </w:rPr>
              <w:t>”</w:t>
            </w:r>
            <w:r w:rsidRPr="0037573F">
              <w:rPr>
                <w:rFonts w:ascii="Verdana" w:eastAsia="Arial" w:hAnsi="Verdana" w:cs="Arial"/>
              </w:rPr>
              <w:t>.</w:t>
            </w:r>
            <w:r>
              <w:rPr>
                <w:rFonts w:ascii="Verdana" w:eastAsia="Arial" w:hAnsi="Verdana" w:cs="Arial"/>
              </w:rPr>
              <w:t xml:space="preserve"> El alcance de esta expresión </w:t>
            </w:r>
            <w:r w:rsidRPr="00A31A19">
              <w:rPr>
                <w:rFonts w:ascii="Verdana" w:eastAsia="Arial" w:hAnsi="Verdana" w:cs="Arial"/>
              </w:rPr>
              <w:t xml:space="preserve">consiste en atribuir a </w:t>
            </w:r>
            <w:r>
              <w:rPr>
                <w:rFonts w:ascii="Verdana" w:eastAsia="Arial" w:hAnsi="Verdana" w:cs="Arial"/>
              </w:rPr>
              <w:t>las m</w:t>
            </w:r>
            <w:r w:rsidRPr="00A31A19">
              <w:rPr>
                <w:rFonts w:ascii="Verdana" w:eastAsia="Arial" w:hAnsi="Verdana" w:cs="Arial"/>
              </w:rPr>
              <w:t>anifestaciones contenidas en las certificaciones los efectos jurídicos propios del juramento, esto es, comprometer la responsabilidad de quien las suscribe respecto de la veracidad de la información suministrada</w:t>
            </w:r>
            <w:r w:rsidRPr="004B1F39">
              <w:rPr>
                <w:rFonts w:ascii="Verdana" w:eastAsia="Batang" w:hAnsi="Verdana" w:cs="Arial"/>
              </w:rPr>
              <w:t xml:space="preserve"> </w:t>
            </w:r>
            <w:r w:rsidRPr="00C24CA8">
              <w:rPr>
                <w:rFonts w:ascii="Verdana" w:eastAsia="Batang" w:hAnsi="Verdana" w:cs="Arial"/>
              </w:rPr>
              <w:t>sin necesidad de trámites adicionales</w:t>
            </w:r>
            <w:r>
              <w:rPr>
                <w:rFonts w:ascii="Verdana" w:eastAsia="Batang" w:hAnsi="Verdana" w:cs="Arial"/>
              </w:rPr>
              <w:t>.</w:t>
            </w:r>
          </w:p>
          <w:p w14:paraId="3F6499E8" w14:textId="77777777" w:rsidR="001B3CBA" w:rsidRDefault="001B3CBA" w:rsidP="003248CC">
            <w:pPr>
              <w:spacing w:after="120" w:line="276" w:lineRule="auto"/>
              <w:ind w:firstLine="709"/>
              <w:jc w:val="both"/>
              <w:rPr>
                <w:rFonts w:ascii="Verdana" w:eastAsia="Arial" w:hAnsi="Verdana" w:cs="Arial"/>
              </w:rPr>
            </w:pPr>
            <w:r w:rsidRPr="00A31A19">
              <w:rPr>
                <w:rFonts w:ascii="Verdana" w:eastAsia="Arial" w:hAnsi="Verdana" w:cs="Arial"/>
              </w:rPr>
              <w:t>En consecuencia, cuando el parágrafo dispone que las certificaciones deben expedirse bajo la gravedad de juramento, lo que exige es que las manifestaciones contenidas en ellas produzcan dicho efecto jurídico, sin que de ello se derive la necesidad de incorporar literalmente esa expresión en cada uno de los documentos</w:t>
            </w:r>
            <w:r>
              <w:rPr>
                <w:rFonts w:ascii="Verdana" w:eastAsia="Arial" w:hAnsi="Verdana" w:cs="Arial"/>
              </w:rPr>
              <w:t xml:space="preserve"> </w:t>
            </w:r>
            <w:r w:rsidRPr="00A31A19">
              <w:rPr>
                <w:rFonts w:ascii="Verdana" w:eastAsia="Arial" w:hAnsi="Verdana" w:cs="Arial"/>
              </w:rPr>
              <w:t>que soportan la acreditación</w:t>
            </w:r>
            <w:r>
              <w:rPr>
                <w:rFonts w:ascii="Verdana" w:eastAsia="Arial" w:hAnsi="Verdana" w:cs="Arial"/>
              </w:rPr>
              <w:t xml:space="preserve"> de dicha condición</w:t>
            </w:r>
            <w:r w:rsidRPr="00A31A19">
              <w:rPr>
                <w:rFonts w:ascii="Verdana" w:eastAsia="Arial" w:hAnsi="Verdana" w:cs="Arial"/>
              </w:rPr>
              <w:t>.</w:t>
            </w:r>
            <w:r>
              <w:rPr>
                <w:rFonts w:ascii="Verdana" w:eastAsia="Arial" w:hAnsi="Verdana" w:cs="Arial"/>
              </w:rPr>
              <w:t xml:space="preserve"> </w:t>
            </w:r>
          </w:p>
          <w:p w14:paraId="117139DE" w14:textId="77777777" w:rsidR="001B3CBA" w:rsidRDefault="001B3CBA" w:rsidP="003248CC">
            <w:pPr>
              <w:spacing w:after="120" w:line="276" w:lineRule="auto"/>
              <w:ind w:firstLine="709"/>
              <w:jc w:val="both"/>
              <w:rPr>
                <w:rFonts w:ascii="Verdana" w:eastAsia="Arial" w:hAnsi="Verdana" w:cs="Arial"/>
              </w:rPr>
            </w:pPr>
            <w:r>
              <w:rPr>
                <w:rFonts w:ascii="Verdana" w:eastAsia="Arial" w:hAnsi="Verdana" w:cs="Arial"/>
              </w:rPr>
              <w:t>Así, c</w:t>
            </w:r>
            <w:r w:rsidRPr="001F74B0">
              <w:rPr>
                <w:rFonts w:ascii="Verdana" w:eastAsia="Arial" w:hAnsi="Verdana" w:cs="Arial"/>
              </w:rPr>
              <w:t>uando la acreditación de</w:t>
            </w:r>
            <w:r>
              <w:rPr>
                <w:rFonts w:ascii="Verdana" w:eastAsia="Arial" w:hAnsi="Verdana" w:cs="Arial"/>
              </w:rPr>
              <w:t xml:space="preserve"> la condición de emprendimientos y empresas de personas con discapacidad</w:t>
            </w:r>
            <w:r w:rsidRPr="001F74B0">
              <w:rPr>
                <w:rFonts w:ascii="Verdana" w:eastAsia="Arial" w:hAnsi="Verdana" w:cs="Arial"/>
              </w:rPr>
              <w:t xml:space="preserve"> se presenta mediante un conjunto de documentos que integran una misma oferta y la manifestación principal </w:t>
            </w:r>
            <w:r>
              <w:rPr>
                <w:rFonts w:ascii="Verdana" w:eastAsia="Arial" w:hAnsi="Verdana" w:cs="Arial"/>
              </w:rPr>
              <w:t xml:space="preserve">realizada en un determinado formato </w:t>
            </w:r>
            <w:r w:rsidRPr="001F74B0">
              <w:rPr>
                <w:rFonts w:ascii="Verdana" w:eastAsia="Arial" w:hAnsi="Verdana" w:cs="Arial"/>
              </w:rPr>
              <w:t>cobija los soportes aportados para acreditar los supuestos previstos en los numerales 1, 2, 3 y 4 del artículo 2.2.1.2.4.2.6</w:t>
            </w:r>
            <w:r>
              <w:rPr>
                <w:rFonts w:ascii="Verdana" w:eastAsia="Arial" w:hAnsi="Verdana" w:cs="Arial"/>
              </w:rPr>
              <w:t xml:space="preserve">. del Decreto </w:t>
            </w:r>
            <w:r w:rsidRPr="007149A1">
              <w:rPr>
                <w:rFonts w:ascii="Verdana" w:eastAsia="Arial" w:hAnsi="Verdana" w:cs="Arial"/>
              </w:rPr>
              <w:t>1082</w:t>
            </w:r>
            <w:r w:rsidRPr="007149A1">
              <w:rPr>
                <w:rFonts w:ascii="Verdana" w:eastAsia="Arial" w:hAnsi="Verdana" w:cs="Arial"/>
                <w:spacing w:val="-3"/>
              </w:rPr>
              <w:t xml:space="preserve"> </w:t>
            </w:r>
            <w:r w:rsidRPr="007149A1">
              <w:rPr>
                <w:rFonts w:ascii="Verdana" w:eastAsia="Arial" w:hAnsi="Verdana" w:cs="Arial"/>
              </w:rPr>
              <w:t>de</w:t>
            </w:r>
            <w:r w:rsidRPr="007149A1">
              <w:rPr>
                <w:rFonts w:ascii="Verdana" w:eastAsia="Arial" w:hAnsi="Verdana" w:cs="Arial"/>
                <w:spacing w:val="-3"/>
              </w:rPr>
              <w:t xml:space="preserve"> </w:t>
            </w:r>
            <w:r w:rsidRPr="007149A1">
              <w:rPr>
                <w:rFonts w:ascii="Verdana" w:eastAsia="Arial" w:hAnsi="Verdana" w:cs="Arial"/>
              </w:rPr>
              <w:t>2015</w:t>
            </w:r>
            <w:r>
              <w:rPr>
                <w:rFonts w:ascii="Verdana" w:eastAsia="Arial" w:hAnsi="Verdana" w:cs="Arial"/>
              </w:rPr>
              <w:t xml:space="preserve">, se entiende que cumple con lo dispuesto en tal parágrafo. Debe destacarse que dicha disposición </w:t>
            </w:r>
            <w:r w:rsidRPr="001F74B0">
              <w:rPr>
                <w:rFonts w:ascii="Verdana" w:eastAsia="Arial" w:hAnsi="Verdana" w:cs="Arial"/>
              </w:rPr>
              <w:t xml:space="preserve">no impone que cada </w:t>
            </w:r>
            <w:r>
              <w:rPr>
                <w:rFonts w:ascii="Verdana" w:eastAsia="Arial" w:hAnsi="Verdana" w:cs="Arial"/>
              </w:rPr>
              <w:t xml:space="preserve">documento soporte </w:t>
            </w:r>
            <w:r w:rsidRPr="001F74B0">
              <w:rPr>
                <w:rFonts w:ascii="Verdana" w:eastAsia="Arial" w:hAnsi="Verdana" w:cs="Arial"/>
              </w:rPr>
              <w:t>reproduzca de forma autónoma la expresión "bajo la gravedad de juramento", pues el requisito se satisface en la medida en que las manifestaciones efectuadas para acreditar el incentivo se entiendan realizadas con ese alcance jurídico.</w:t>
            </w:r>
          </w:p>
          <w:p w14:paraId="2B02329E" w14:textId="3D82AB1B" w:rsidR="001B3CBA" w:rsidRDefault="001B3CBA" w:rsidP="003248CC">
            <w:pPr>
              <w:spacing w:line="276" w:lineRule="auto"/>
              <w:ind w:firstLine="709"/>
              <w:jc w:val="both"/>
              <w:rPr>
                <w:rFonts w:ascii="Verdana" w:eastAsia="Calibri" w:hAnsi="Verdana" w:cs="Arial"/>
              </w:rPr>
            </w:pPr>
            <w:r w:rsidRPr="00A31A19">
              <w:rPr>
                <w:rFonts w:ascii="Verdana" w:eastAsia="Arial" w:hAnsi="Verdana" w:cs="Arial"/>
              </w:rPr>
              <w:t xml:space="preserve">Esta interpretación resulta consistente con el artículo 7 del Decreto Ley 019 de 2012, conforme al </w:t>
            </w:r>
            <w:proofErr w:type="gramStart"/>
            <w:r w:rsidRPr="00A31A19">
              <w:rPr>
                <w:rFonts w:ascii="Verdana" w:eastAsia="Arial" w:hAnsi="Verdana" w:cs="Arial"/>
              </w:rPr>
              <w:t>cual</w:t>
            </w:r>
            <w:proofErr w:type="gramEnd"/>
            <w:r w:rsidRPr="00A31A19">
              <w:rPr>
                <w:rFonts w:ascii="Verdana" w:eastAsia="Arial" w:hAnsi="Verdana" w:cs="Arial"/>
              </w:rPr>
              <w:t xml:space="preserve"> en las actuaciones administrativas, no pueden exigirse declaraciones </w:t>
            </w:r>
            <w:proofErr w:type="gramStart"/>
            <w:r w:rsidRPr="0037068F">
              <w:rPr>
                <w:rFonts w:ascii="Verdana" w:eastAsia="Arial" w:hAnsi="Verdana" w:cs="Arial"/>
                <w:i/>
                <w:iCs/>
              </w:rPr>
              <w:t>extra juicio</w:t>
            </w:r>
            <w:proofErr w:type="gramEnd"/>
            <w:r w:rsidRPr="00A31A19">
              <w:rPr>
                <w:rFonts w:ascii="Verdana" w:eastAsia="Arial" w:hAnsi="Verdana" w:cs="Arial"/>
              </w:rPr>
              <w:t xml:space="preserve"> y basta la afirmación realizada por el particular ante la autoridad para que esta se entienda efectuada bajo la gravedad de juramento.</w:t>
            </w:r>
            <w:r>
              <w:rPr>
                <w:rFonts w:ascii="Verdana" w:eastAsia="Arial" w:hAnsi="Verdana" w:cs="Arial"/>
              </w:rPr>
              <w:t xml:space="preserve"> Adicionalmente, es la que</w:t>
            </w:r>
            <w:r w:rsidRPr="00A31A19">
              <w:rPr>
                <w:rFonts w:ascii="Verdana" w:eastAsia="Arial" w:hAnsi="Verdana" w:cs="Arial"/>
              </w:rPr>
              <w:t xml:space="preserve"> </w:t>
            </w:r>
            <w:r w:rsidRPr="007149A1">
              <w:rPr>
                <w:rFonts w:ascii="Verdana" w:eastAsia="Times New Roman" w:hAnsi="Verdana" w:cs="Arial"/>
                <w:kern w:val="2"/>
                <w:lang w:eastAsia="es-CO"/>
                <w14:ligatures w14:val="standardContextual"/>
              </w:rPr>
              <w:t xml:space="preserve">más se ajusta al principio del efecto útil de la norma, lo cual no riñe con lo dispuesto en el parágrafo del </w:t>
            </w:r>
            <w:r w:rsidRPr="007149A1">
              <w:rPr>
                <w:rFonts w:ascii="Verdana" w:eastAsia="Times New Roman" w:hAnsi="Verdana" w:cs="Arial"/>
                <w:kern w:val="2"/>
                <w:lang w:eastAsia="es-CO"/>
                <w14:ligatures w14:val="standardContextual"/>
              </w:rPr>
              <w:lastRenderedPageBreak/>
              <w:t xml:space="preserve">artículo </w:t>
            </w:r>
            <w:r w:rsidRPr="001F74B0">
              <w:rPr>
                <w:rFonts w:ascii="Verdana" w:eastAsia="Arial" w:hAnsi="Verdana" w:cs="Arial"/>
              </w:rPr>
              <w:t>2.2.1.2.4.2.6</w:t>
            </w:r>
            <w:r>
              <w:rPr>
                <w:rFonts w:ascii="Verdana" w:eastAsia="Arial" w:hAnsi="Verdana" w:cs="Arial"/>
              </w:rPr>
              <w:t xml:space="preserve"> ibidem</w:t>
            </w:r>
            <w:r w:rsidRPr="007149A1">
              <w:rPr>
                <w:rFonts w:ascii="Verdana" w:eastAsia="Times New Roman" w:hAnsi="Verdana" w:cs="Arial"/>
                <w:kern w:val="2"/>
                <w:lang w:eastAsia="es-CO"/>
                <w14:ligatures w14:val="standardContextual"/>
              </w:rPr>
              <w:t>. No en vano, la Corte Constitucional ha señalado, al explicar el principio del efecto útil, que “debe considerarse, de entre varias interpretaciones de una disposición normativa, aquella que permita consecuencias jurídicas, sobre aquella que no las prevea o que contemple consecuencias superfluas o innecesarias”.</w:t>
            </w:r>
          </w:p>
          <w:p w14:paraId="120E851B" w14:textId="77777777" w:rsidR="001B3CBA" w:rsidRDefault="001B3CBA" w:rsidP="003248CC">
            <w:pPr>
              <w:spacing w:line="276" w:lineRule="auto"/>
              <w:ind w:firstLine="709"/>
              <w:jc w:val="both"/>
              <w:rPr>
                <w:rFonts w:ascii="Verdana" w:eastAsia="Calibri" w:hAnsi="Verdana" w:cs="Arial"/>
              </w:rPr>
            </w:pPr>
          </w:p>
          <w:p w14:paraId="7E4F5184" w14:textId="58EB00D3" w:rsidR="007871E6" w:rsidRDefault="007871E6" w:rsidP="003248CC">
            <w:pPr>
              <w:spacing w:line="276" w:lineRule="auto"/>
              <w:jc w:val="both"/>
              <w:rPr>
                <w:rFonts w:ascii="Verdana" w:eastAsia="Calibri" w:hAnsi="Verdana" w:cs="Arial"/>
              </w:rPr>
            </w:pPr>
            <w:r>
              <w:rPr>
                <w:rFonts w:ascii="Verdana" w:eastAsia="Calibri" w:hAnsi="Verdana" w:cs="Arial"/>
              </w:rPr>
              <w:t>(</w:t>
            </w:r>
            <w:proofErr w:type="spellStart"/>
            <w:r>
              <w:rPr>
                <w:rFonts w:ascii="Verdana" w:eastAsia="Calibri" w:hAnsi="Verdana" w:cs="Arial"/>
              </w:rPr>
              <w:t>ii</w:t>
            </w:r>
            <w:proofErr w:type="spellEnd"/>
            <w:r>
              <w:rPr>
                <w:rFonts w:ascii="Verdana" w:eastAsia="Calibri" w:hAnsi="Verdana" w:cs="Arial"/>
              </w:rPr>
              <w:t xml:space="preserve">) Para el otorgamiento del puntaje adicional en la condición de empleador de </w:t>
            </w:r>
            <w:proofErr w:type="spellStart"/>
            <w:r>
              <w:rPr>
                <w:rFonts w:ascii="Verdana" w:eastAsia="Calibri" w:hAnsi="Verdana" w:cs="Arial"/>
              </w:rPr>
              <w:t>PcD</w:t>
            </w:r>
            <w:proofErr w:type="spellEnd"/>
            <w:r>
              <w:rPr>
                <w:rFonts w:ascii="Verdana" w:eastAsia="Calibri" w:hAnsi="Verdana" w:cs="Arial"/>
              </w:rPr>
              <w:t xml:space="preserve"> (numeral 2) cuando el proponente es plural, la Circular Externa No. 003 de 2026 precisó que la norma no exige un mínimo de experiencia, sino que se revisa la planta de personal del integrante con participación mayoritaria en el consorcio o unión temporal, para determinar si cumple el número mínimo de trabajadores con discapacidad de la tabla del artículo 2.2.1.2.4.2.7.4. El Decreto 0287 de 2026 no reguló de manera expresa el evento en que dos o más integrantes ostentan el mismo porcentaje máximo de participación; en ese supuesto, la regla aplicable es que el puntaje solo procede si la planta de personal del integrante que finalmente se tenga en cuenta cumple, por sí sola, el número mínimo de </w:t>
            </w:r>
            <w:proofErr w:type="spellStart"/>
            <w:r>
              <w:rPr>
                <w:rFonts w:ascii="Verdana" w:eastAsia="Calibri" w:hAnsi="Verdana" w:cs="Arial"/>
              </w:rPr>
              <w:t>PcD</w:t>
            </w:r>
            <w:proofErr w:type="spellEnd"/>
            <w:r>
              <w:rPr>
                <w:rFonts w:ascii="Verdana" w:eastAsia="Calibri" w:hAnsi="Verdana" w:cs="Arial"/>
              </w:rPr>
              <w:t xml:space="preserve"> de la tabla, sin que puedan sumarse las plantas de personal de los distintos integrantes del proponente plural.</w:t>
            </w:r>
          </w:p>
          <w:p w14:paraId="6631C8BC" w14:textId="77777777" w:rsidR="001B3CBA" w:rsidRDefault="001B3CBA" w:rsidP="003248CC">
            <w:pPr>
              <w:spacing w:line="276" w:lineRule="auto"/>
              <w:jc w:val="both"/>
              <w:rPr>
                <w:rFonts w:ascii="Verdana" w:eastAsia="Calibri" w:hAnsi="Verdana" w:cs="Arial"/>
              </w:rPr>
            </w:pPr>
          </w:p>
          <w:p w14:paraId="43F73049" w14:textId="2CCA4124" w:rsidR="007871E6" w:rsidRPr="00670CFB" w:rsidRDefault="007871E6" w:rsidP="003248CC">
            <w:pPr>
              <w:spacing w:after="120" w:line="276" w:lineRule="auto"/>
              <w:jc w:val="both"/>
              <w:rPr>
                <w:rFonts w:ascii="Verdana" w:eastAsia="Calibri" w:hAnsi="Verdana" w:cs="Arial"/>
              </w:rPr>
            </w:pPr>
            <w:r>
              <w:rPr>
                <w:rFonts w:ascii="Verdana" w:eastAsia="Calibri" w:hAnsi="Verdana" w:cs="Arial"/>
              </w:rPr>
              <w:t>(</w:t>
            </w:r>
            <w:proofErr w:type="spellStart"/>
            <w:r>
              <w:rPr>
                <w:rFonts w:ascii="Verdana" w:eastAsia="Calibri" w:hAnsi="Verdana" w:cs="Arial"/>
              </w:rPr>
              <w:t>iii</w:t>
            </w:r>
            <w:proofErr w:type="spellEnd"/>
            <w:r>
              <w:rPr>
                <w:rFonts w:ascii="Verdana" w:eastAsia="Calibri" w:hAnsi="Verdana" w:cs="Arial"/>
              </w:rPr>
              <w:t xml:space="preserve">) Es procedente que la entidad establezca en los pliegos de condiciones una regla previa y objetiva para dirimir ese escenario de igualdad de participación, en ejercicio de su facultad de estructuración del proceso y en tanto los pliegos constituyen las reglas del proceso de selección. No obstante, dicha regla debe ser previa, clara, objetiva, proporcional, uniforme para todos los proponentes, verificable y conocida desde la apertura del proceso, y no puede modificar el requisito previsto en la norma ni incorporar criterios ajenos a ella. Por ello, no resulta admisible acudir a criterios como “el integrante que acredite mejores condiciones” o “el que vincule un mayor número de trabajadores o de personas con discapacidad”, pues el puntaje es un beneficio de carácter binario que se otorga en su totalidad (2%) a quien supere el umbral fijado en la tabla, sin gradación por una mayor cantidad; emplear tales criterios introduciría una ponderación comparativa no autorizada por el reglamento y comprometería la selección objetiva y la igualdad. En cambio, sí resulta compatible con esos principios permitir que el proponente plural indique, desde la presentación de la oferta, cuál de sus integrantes con participación igualitaria acreditará el requisito, siempre que ese integrante cumpla por sí solo el número mínimo de </w:t>
            </w:r>
            <w:proofErr w:type="spellStart"/>
            <w:r>
              <w:rPr>
                <w:rFonts w:ascii="Verdana" w:eastAsia="Calibri" w:hAnsi="Verdana" w:cs="Arial"/>
              </w:rPr>
              <w:lastRenderedPageBreak/>
              <w:t>PcD</w:t>
            </w:r>
            <w:proofErr w:type="spellEnd"/>
            <w:r>
              <w:rPr>
                <w:rFonts w:ascii="Verdana" w:eastAsia="Calibri" w:hAnsi="Verdana" w:cs="Arial"/>
              </w:rPr>
              <w:t xml:space="preserve"> de la tabla y que la designación sea expresa e invariable, de manera que la evaluación resulte uniforme y verificable. En todo caso, la definición de la regla concreta corresponde a la entidad en ejercicio de su competencia y previa valoración de los elementos de su proceso, sin que sea atribución de esta Agencia validar sus actuaciones</w:t>
            </w:r>
          </w:p>
        </w:tc>
      </w:tr>
    </w:tbl>
    <w:p w14:paraId="2628AE21" w14:textId="77777777" w:rsidR="007871E6" w:rsidRPr="00206556" w:rsidRDefault="007871E6" w:rsidP="007871E6">
      <w:pPr>
        <w:tabs>
          <w:tab w:val="left" w:pos="142"/>
          <w:tab w:val="left" w:pos="284"/>
        </w:tabs>
        <w:spacing w:after="0" w:line="276" w:lineRule="auto"/>
        <w:jc w:val="both"/>
        <w:rPr>
          <w:rFonts w:ascii="Verdana" w:eastAsia="Century Gothic" w:hAnsi="Verdana" w:cs="Century Gothic"/>
          <w:b/>
          <w:bCs/>
          <w:color w:val="ED7D31" w:themeColor="accent2"/>
          <w:lang w:val="es-ES"/>
        </w:rPr>
      </w:pPr>
    </w:p>
    <w:p w14:paraId="01ACFC23" w14:textId="77777777" w:rsidR="007871E6" w:rsidRPr="00206556" w:rsidRDefault="007871E6" w:rsidP="007871E6">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3. Razones de la respuesta:</w:t>
      </w:r>
    </w:p>
    <w:p w14:paraId="64517D84" w14:textId="77777777" w:rsidR="007871E6" w:rsidRPr="00206556" w:rsidRDefault="007871E6" w:rsidP="007871E6">
      <w:pPr>
        <w:tabs>
          <w:tab w:val="left" w:pos="142"/>
          <w:tab w:val="left" w:pos="284"/>
        </w:tabs>
        <w:spacing w:after="0" w:line="276" w:lineRule="auto"/>
        <w:jc w:val="both"/>
        <w:rPr>
          <w:rFonts w:ascii="Verdana" w:eastAsia="Century Gothic" w:hAnsi="Verdana" w:cs="Century Gothic"/>
          <w:b/>
          <w:color w:val="ED7D31" w:themeColor="accent2"/>
          <w:lang w:val="es-ES"/>
        </w:rPr>
      </w:pPr>
    </w:p>
    <w:p w14:paraId="254910A4" w14:textId="77777777" w:rsidR="007871E6" w:rsidRPr="00206556" w:rsidRDefault="007871E6" w:rsidP="007871E6">
      <w:pPr>
        <w:spacing w:after="0" w:line="276" w:lineRule="auto"/>
        <w:jc w:val="both"/>
        <w:rPr>
          <w:rFonts w:ascii="Verdana" w:eastAsia="Calibri" w:hAnsi="Verdana" w:cs="Arial"/>
          <w:lang w:val="es-ES"/>
        </w:rPr>
      </w:pPr>
      <w:r w:rsidRPr="00206556">
        <w:rPr>
          <w:rFonts w:ascii="Verdana" w:eastAsia="Calibri" w:hAnsi="Verdana" w:cs="Arial"/>
          <w:lang w:val="es-ES"/>
        </w:rPr>
        <w:t>Lo anterior se sustenta en las siguientes consideraciones:</w:t>
      </w:r>
    </w:p>
    <w:p w14:paraId="7F102C54" w14:textId="77777777" w:rsidR="007871E6" w:rsidRPr="00206556" w:rsidRDefault="007871E6" w:rsidP="007871E6">
      <w:pPr>
        <w:spacing w:after="0" w:line="276" w:lineRule="auto"/>
        <w:jc w:val="both"/>
        <w:rPr>
          <w:rFonts w:ascii="Verdana" w:eastAsia="Calibri" w:hAnsi="Verdana" w:cs="Arial"/>
          <w:lang w:val="es-ES"/>
        </w:rPr>
      </w:pPr>
    </w:p>
    <w:p w14:paraId="7812AA2B" w14:textId="4A8B8C92" w:rsidR="005B1993" w:rsidRDefault="007871E6" w:rsidP="007871E6">
      <w:pPr>
        <w:spacing w:after="120" w:line="276" w:lineRule="auto"/>
        <w:jc w:val="both"/>
        <w:rPr>
          <w:rFonts w:ascii="Verdana" w:eastAsia="Calibri" w:hAnsi="Verdana" w:cs="Arial"/>
        </w:rPr>
      </w:pPr>
      <w:r>
        <w:rPr>
          <w:rFonts w:ascii="Verdana" w:eastAsia="Calibri" w:hAnsi="Verdana" w:cs="Arial"/>
          <w:lang w:val="es-ES"/>
        </w:rPr>
        <w:t xml:space="preserve">(i) </w:t>
      </w:r>
      <w:r>
        <w:rPr>
          <w:rFonts w:ascii="Verdana" w:eastAsia="Calibri" w:hAnsi="Verdana" w:cs="Arial"/>
        </w:rPr>
        <w:t xml:space="preserve">Para resolver el problema jurídico planteado, esta Agencia considera necesario partir de los antecedentes normativos que explican el origen, la finalidad y el alcance del Sistema Integral de Preferencias establecido por el Decreto 0287 de 2026, pues solo a partir de ese contexto es posible comprender las obligaciones concretas que dicho </w:t>
      </w:r>
      <w:r w:rsidR="005B1993">
        <w:rPr>
          <w:rFonts w:ascii="Verdana" w:eastAsia="Calibri" w:hAnsi="Verdana" w:cs="Arial"/>
        </w:rPr>
        <w:t>D</w:t>
      </w:r>
      <w:r>
        <w:rPr>
          <w:rFonts w:ascii="Verdana" w:eastAsia="Calibri" w:hAnsi="Verdana" w:cs="Arial"/>
        </w:rPr>
        <w:t xml:space="preserve">ecreto impone a las entidades estatales y a los demás partícipes de la contratación pública. </w:t>
      </w:r>
    </w:p>
    <w:p w14:paraId="2A81A108" w14:textId="4DFF71F1" w:rsidR="007871E6" w:rsidRPr="00206556" w:rsidRDefault="007871E6" w:rsidP="003248CC">
      <w:pPr>
        <w:spacing w:after="120" w:line="276" w:lineRule="auto"/>
        <w:ind w:firstLine="708"/>
        <w:jc w:val="both"/>
        <w:rPr>
          <w:rFonts w:ascii="Verdana" w:hAnsi="Verdana"/>
        </w:rPr>
      </w:pPr>
      <w:r>
        <w:rPr>
          <w:rFonts w:ascii="Verdana" w:eastAsia="Times New Roman" w:hAnsi="Verdana" w:cs="Times New Roman"/>
        </w:rPr>
        <w:t xml:space="preserve">El fundamento del Sistema de Preferencias para </w:t>
      </w:r>
      <w:r w:rsidR="005B1993">
        <w:rPr>
          <w:rFonts w:ascii="Verdana" w:eastAsia="Times New Roman" w:hAnsi="Verdana" w:cs="Times New Roman"/>
        </w:rPr>
        <w:t>Personas con Discapacidad (</w:t>
      </w:r>
      <w:proofErr w:type="spellStart"/>
      <w:r>
        <w:rPr>
          <w:rFonts w:ascii="Verdana" w:eastAsia="Times New Roman" w:hAnsi="Verdana" w:cs="Times New Roman"/>
        </w:rPr>
        <w:t>PcD</w:t>
      </w:r>
      <w:proofErr w:type="spellEnd"/>
      <w:r w:rsidR="005B1993">
        <w:rPr>
          <w:rFonts w:ascii="Verdana" w:eastAsia="Times New Roman" w:hAnsi="Verdana" w:cs="Times New Roman"/>
        </w:rPr>
        <w:t>)</w:t>
      </w:r>
      <w:r>
        <w:rPr>
          <w:rFonts w:ascii="Verdana" w:eastAsia="Times New Roman" w:hAnsi="Verdana" w:cs="Times New Roman"/>
        </w:rPr>
        <w:t xml:space="preserve"> en la contratación pública es el principio de igualdad real y efectiva consagrado en el artículo 13 de la Constitución Política de 1991</w:t>
      </w:r>
      <w:r>
        <w:rPr>
          <w:rStyle w:val="Refdenotaalpie"/>
          <w:rFonts w:ascii="Verdana" w:eastAsia="Times New Roman" w:hAnsi="Verdana" w:cs="Times New Roman"/>
        </w:rPr>
        <w:footnoteReference w:id="2"/>
      </w:r>
      <w:r>
        <w:rPr>
          <w:rFonts w:ascii="Verdana" w:eastAsia="Times New Roman" w:hAnsi="Verdana" w:cs="Times New Roman"/>
        </w:rPr>
        <w:t xml:space="preserve">, que impone al Estado el deber positivo de adoptar </w:t>
      </w:r>
      <w:r>
        <w:rPr>
          <w:rFonts w:ascii="Verdana" w:eastAsia="Times New Roman" w:hAnsi="Verdana" w:cs="Times New Roman"/>
          <w:i/>
          <w:iCs/>
        </w:rPr>
        <w:t>acciones afirmativas</w:t>
      </w:r>
      <w:r>
        <w:rPr>
          <w:rFonts w:ascii="Verdana" w:eastAsia="Times New Roman" w:hAnsi="Verdana" w:cs="Times New Roman"/>
        </w:rPr>
        <w:t xml:space="preserve"> en favor de grupos históricamente excluidos. La Corte Constitucional ha sostenido que tales medidas buscan contrarrestar los efectos de la discriminación y que el Estado puede establecer tratamientos diferenciales a favor de estos grupos en aras de lograr una igualdad real y efectiva. Los artículos 47 y 54 de la Carta Política refuerzan este mandato al ordenar políticas de integración social y ubicación laboral para las </w:t>
      </w:r>
      <w:proofErr w:type="spellStart"/>
      <w:r>
        <w:rPr>
          <w:rFonts w:ascii="Verdana" w:eastAsia="Times New Roman" w:hAnsi="Verdana" w:cs="Times New Roman"/>
        </w:rPr>
        <w:t>PcD</w:t>
      </w:r>
      <w:proofErr w:type="spellEnd"/>
      <w:r>
        <w:rPr>
          <w:rStyle w:val="Refdenotaalpie"/>
          <w:rFonts w:ascii="Verdana" w:eastAsia="Times New Roman" w:hAnsi="Verdana" w:cs="Times New Roman"/>
        </w:rPr>
        <w:footnoteReference w:id="3"/>
      </w:r>
      <w:r>
        <w:rPr>
          <w:rFonts w:ascii="Verdana" w:eastAsia="Times New Roman" w:hAnsi="Verdana" w:cs="Times New Roman"/>
        </w:rPr>
        <w:t>.</w:t>
      </w:r>
    </w:p>
    <w:p w14:paraId="4A0B75F7" w14:textId="77777777" w:rsidR="007871E6" w:rsidRPr="00206556" w:rsidRDefault="007871E6" w:rsidP="007871E6">
      <w:pPr>
        <w:spacing w:after="120" w:line="276" w:lineRule="auto"/>
        <w:ind w:firstLine="708"/>
        <w:jc w:val="both"/>
        <w:rPr>
          <w:rFonts w:ascii="Verdana" w:hAnsi="Verdana"/>
        </w:rPr>
      </w:pPr>
      <w:r>
        <w:rPr>
          <w:rFonts w:ascii="Verdana" w:eastAsia="Times New Roman" w:hAnsi="Verdana" w:cs="Times New Roman"/>
        </w:rPr>
        <w:t xml:space="preserve">En el plano internacional, Colombia es Estado Parte de instrumentos que conforman el Bloque de Constitucionalidad en virtud del artículo 93 superior. La </w:t>
      </w:r>
      <w:r>
        <w:rPr>
          <w:rFonts w:ascii="Verdana" w:eastAsia="Times New Roman" w:hAnsi="Verdana" w:cs="Times New Roman"/>
        </w:rPr>
        <w:lastRenderedPageBreak/>
        <w:t>Convención sobre los Derechos de las Personas con Discapacidad de la ONU</w:t>
      </w:r>
      <w:r>
        <w:rPr>
          <w:rStyle w:val="Refdenotaalpie"/>
          <w:rFonts w:ascii="Verdana" w:eastAsia="Times New Roman" w:hAnsi="Verdana" w:cs="Times New Roman"/>
        </w:rPr>
        <w:footnoteReference w:id="4"/>
      </w:r>
      <w:r>
        <w:rPr>
          <w:rFonts w:ascii="Verdana" w:eastAsia="Times New Roman" w:hAnsi="Verdana" w:cs="Times New Roman"/>
        </w:rPr>
        <w:t xml:space="preserve"> reconoce el derecho de las </w:t>
      </w:r>
      <w:proofErr w:type="spellStart"/>
      <w:r>
        <w:rPr>
          <w:rFonts w:ascii="Verdana" w:eastAsia="Times New Roman" w:hAnsi="Verdana" w:cs="Times New Roman"/>
        </w:rPr>
        <w:t>PcD</w:t>
      </w:r>
      <w:proofErr w:type="spellEnd"/>
      <w:r>
        <w:rPr>
          <w:rFonts w:ascii="Verdana" w:eastAsia="Times New Roman" w:hAnsi="Verdana" w:cs="Times New Roman"/>
        </w:rPr>
        <w:t xml:space="preserve"> a trabajar en igualdad de condiciones y exige programas de acción afirmativa. La Convención Interamericana para la Eliminación de todas las Formas de Discriminación</w:t>
      </w:r>
      <w:r>
        <w:rPr>
          <w:rStyle w:val="Refdenotaalpie"/>
          <w:rFonts w:ascii="Verdana" w:eastAsia="Times New Roman" w:hAnsi="Verdana" w:cs="Times New Roman"/>
        </w:rPr>
        <w:footnoteReference w:id="5"/>
      </w:r>
      <w:r>
        <w:rPr>
          <w:rFonts w:ascii="Verdana" w:eastAsia="Times New Roman" w:hAnsi="Verdana" w:cs="Times New Roman"/>
        </w:rPr>
        <w:t xml:space="preserve"> ordena eliminar progresivamente la discriminación en la prestación de servicios, incluido el empleo. El Convenio 159 de la OIT</w:t>
      </w:r>
      <w:r>
        <w:rPr>
          <w:rStyle w:val="Refdenotaalpie"/>
          <w:rFonts w:ascii="Verdana" w:eastAsia="Times New Roman" w:hAnsi="Verdana" w:cs="Times New Roman"/>
        </w:rPr>
        <w:footnoteReference w:id="6"/>
      </w:r>
      <w:r>
        <w:rPr>
          <w:rFonts w:ascii="Verdana" w:eastAsia="Times New Roman" w:hAnsi="Verdana" w:cs="Times New Roman"/>
        </w:rPr>
        <w:t xml:space="preserve"> exige medidas orientadas a garantizar la igualdad de oportunidades de todas las categorías de </w:t>
      </w:r>
      <w:proofErr w:type="spellStart"/>
      <w:r>
        <w:rPr>
          <w:rFonts w:ascii="Verdana" w:eastAsia="Times New Roman" w:hAnsi="Verdana" w:cs="Times New Roman"/>
        </w:rPr>
        <w:t>PcD</w:t>
      </w:r>
      <w:proofErr w:type="spellEnd"/>
      <w:r>
        <w:rPr>
          <w:rFonts w:ascii="Verdana" w:eastAsia="Times New Roman" w:hAnsi="Verdana" w:cs="Times New Roman"/>
        </w:rPr>
        <w:t xml:space="preserve"> en materia de empleo.</w:t>
      </w:r>
    </w:p>
    <w:p w14:paraId="34B95834" w14:textId="75A41CBE" w:rsidR="007871E6" w:rsidRPr="00206556" w:rsidRDefault="007871E6" w:rsidP="007871E6">
      <w:pPr>
        <w:spacing w:after="120" w:line="276" w:lineRule="auto"/>
        <w:jc w:val="both"/>
        <w:rPr>
          <w:rFonts w:ascii="Verdana" w:hAnsi="Verdana"/>
        </w:rPr>
      </w:pPr>
      <w:r w:rsidRPr="003248CC">
        <w:rPr>
          <w:rFonts w:ascii="Verdana" w:eastAsia="Times New Roman" w:hAnsi="Verdana" w:cs="Times New Roman"/>
        </w:rPr>
        <w:t xml:space="preserve">        </w:t>
      </w:r>
      <w:r w:rsidR="005B1993" w:rsidRPr="003248CC">
        <w:rPr>
          <w:rFonts w:ascii="Verdana" w:eastAsia="Times New Roman" w:hAnsi="Verdana" w:cs="Times New Roman"/>
        </w:rPr>
        <w:t>En el ámbito nacional, l</w:t>
      </w:r>
      <w:r>
        <w:rPr>
          <w:rFonts w:ascii="Verdana" w:eastAsia="Times New Roman" w:hAnsi="Verdana" w:cs="Times New Roman"/>
        </w:rPr>
        <w:t xml:space="preserve">a Ley 361 de 1997 estableció los primeros mecanismos de integración social de las </w:t>
      </w:r>
      <w:proofErr w:type="spellStart"/>
      <w:r>
        <w:rPr>
          <w:rFonts w:ascii="Verdana" w:eastAsia="Times New Roman" w:hAnsi="Verdana" w:cs="Times New Roman"/>
        </w:rPr>
        <w:t>PcD</w:t>
      </w:r>
      <w:proofErr w:type="spellEnd"/>
      <w:r>
        <w:rPr>
          <w:rFonts w:ascii="Verdana" w:eastAsia="Times New Roman" w:hAnsi="Verdana" w:cs="Times New Roman"/>
        </w:rPr>
        <w:t xml:space="preserve">. Su artículo 24 introdujo una preferencia en igualdad de condiciones en licitaciones y adjudicaciones de contratos para los empleadores que tuvieran al menos el </w:t>
      </w:r>
      <w:r w:rsidR="00430FA2">
        <w:rPr>
          <w:rFonts w:ascii="Verdana" w:eastAsia="Times New Roman" w:hAnsi="Verdana" w:cs="Times New Roman"/>
        </w:rPr>
        <w:t>diez por ciento (</w:t>
      </w:r>
      <w:r>
        <w:rPr>
          <w:rFonts w:ascii="Verdana" w:eastAsia="Times New Roman" w:hAnsi="Verdana" w:cs="Times New Roman"/>
        </w:rPr>
        <w:t>10%</w:t>
      </w:r>
      <w:r w:rsidR="00430FA2">
        <w:rPr>
          <w:rFonts w:ascii="Verdana" w:eastAsia="Times New Roman" w:hAnsi="Verdana" w:cs="Times New Roman"/>
        </w:rPr>
        <w:t>)</w:t>
      </w:r>
      <w:r>
        <w:rPr>
          <w:rFonts w:ascii="Verdana" w:eastAsia="Times New Roman" w:hAnsi="Verdana" w:cs="Times New Roman"/>
        </w:rPr>
        <w:t xml:space="preserve"> de su nómina compuesta por </w:t>
      </w:r>
      <w:proofErr w:type="spellStart"/>
      <w:r>
        <w:rPr>
          <w:rFonts w:ascii="Verdana" w:eastAsia="Times New Roman" w:hAnsi="Verdana" w:cs="Times New Roman"/>
        </w:rPr>
        <w:t>PcD</w:t>
      </w:r>
      <w:proofErr w:type="spellEnd"/>
      <w:r>
        <w:rPr>
          <w:rStyle w:val="Refdenotaalpie"/>
          <w:rFonts w:ascii="Verdana" w:eastAsia="Times New Roman" w:hAnsi="Verdana" w:cs="Times New Roman"/>
        </w:rPr>
        <w:footnoteReference w:id="7"/>
      </w:r>
      <w:r>
        <w:rPr>
          <w:rFonts w:ascii="Verdana" w:eastAsia="Times New Roman" w:hAnsi="Verdana" w:cs="Times New Roman"/>
        </w:rPr>
        <w:t xml:space="preserve">. Esta norma vinculó por primera vez la contratación pública con la inclusión laboral de las </w:t>
      </w:r>
      <w:proofErr w:type="spellStart"/>
      <w:r>
        <w:rPr>
          <w:rFonts w:ascii="Verdana" w:eastAsia="Times New Roman" w:hAnsi="Verdana" w:cs="Times New Roman"/>
        </w:rPr>
        <w:t>PcD</w:t>
      </w:r>
      <w:proofErr w:type="spellEnd"/>
      <w:r>
        <w:rPr>
          <w:rFonts w:ascii="Verdana" w:eastAsia="Times New Roman" w:hAnsi="Verdana" w:cs="Times New Roman"/>
        </w:rPr>
        <w:t xml:space="preserve">, pero su alcance era limitado: una preferencia residual aplicable solo en caso de empate, que beneficiaba únicamente a los empleadores de </w:t>
      </w:r>
      <w:proofErr w:type="spellStart"/>
      <w:r>
        <w:rPr>
          <w:rFonts w:ascii="Verdana" w:eastAsia="Times New Roman" w:hAnsi="Verdana" w:cs="Times New Roman"/>
        </w:rPr>
        <w:t>PcD</w:t>
      </w:r>
      <w:proofErr w:type="spellEnd"/>
      <w:r>
        <w:rPr>
          <w:rFonts w:ascii="Verdana" w:eastAsia="Times New Roman" w:hAnsi="Verdana" w:cs="Times New Roman"/>
        </w:rPr>
        <w:t xml:space="preserve"> sin considerar a las propias </w:t>
      </w:r>
      <w:proofErr w:type="spellStart"/>
      <w:r>
        <w:rPr>
          <w:rFonts w:ascii="Verdana" w:eastAsia="Times New Roman" w:hAnsi="Verdana" w:cs="Times New Roman"/>
        </w:rPr>
        <w:t>PcD</w:t>
      </w:r>
      <w:proofErr w:type="spellEnd"/>
      <w:r>
        <w:rPr>
          <w:rFonts w:ascii="Verdana" w:eastAsia="Times New Roman" w:hAnsi="Verdana" w:cs="Times New Roman"/>
        </w:rPr>
        <w:t xml:space="preserve"> como proponentes directos.</w:t>
      </w:r>
    </w:p>
    <w:p w14:paraId="457983B4" w14:textId="77777777" w:rsidR="007871E6" w:rsidRPr="00206556" w:rsidRDefault="007871E6" w:rsidP="007871E6">
      <w:pPr>
        <w:spacing w:after="120" w:line="276" w:lineRule="auto"/>
        <w:jc w:val="both"/>
        <w:rPr>
          <w:rFonts w:ascii="Verdana" w:hAnsi="Verdana"/>
        </w:rPr>
      </w:pPr>
      <w:r>
        <w:rPr>
          <w:rFonts w:ascii="Verdana" w:eastAsia="Times New Roman" w:hAnsi="Verdana" w:cs="Times New Roman"/>
          <w:b/>
          <w:bCs/>
        </w:rPr>
        <w:t xml:space="preserve">       </w:t>
      </w:r>
      <w:r>
        <w:rPr>
          <w:rFonts w:ascii="Verdana" w:eastAsia="Times New Roman" w:hAnsi="Verdana" w:cs="Times New Roman"/>
        </w:rPr>
        <w:t xml:space="preserve">La Ley Estatutaria 1618 de 2013 representó un salto cualitativo en el marco jurídico de protección de las </w:t>
      </w:r>
      <w:proofErr w:type="spellStart"/>
      <w:r>
        <w:rPr>
          <w:rFonts w:ascii="Verdana" w:eastAsia="Times New Roman" w:hAnsi="Verdana" w:cs="Times New Roman"/>
        </w:rPr>
        <w:t>PcD</w:t>
      </w:r>
      <w:proofErr w:type="spellEnd"/>
      <w:r>
        <w:rPr>
          <w:rFonts w:ascii="Verdana" w:eastAsia="Times New Roman" w:hAnsi="Verdana" w:cs="Times New Roman"/>
        </w:rPr>
        <w:t xml:space="preserve">, al definir a estas como </w:t>
      </w:r>
      <w:r>
        <w:rPr>
          <w:rFonts w:ascii="Verdana" w:eastAsia="Times New Roman" w:hAnsi="Verdana" w:cs="Times New Roman"/>
          <w:i/>
          <w:iCs/>
        </w:rPr>
        <w:t>"aquellas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r>
        <w:rPr>
          <w:rStyle w:val="Refdenotaalpie"/>
          <w:rFonts w:ascii="Verdana" w:eastAsia="Times New Roman" w:hAnsi="Verdana" w:cs="Times New Roman"/>
          <w:i/>
          <w:iCs/>
        </w:rPr>
        <w:footnoteReference w:id="8"/>
      </w:r>
      <w:r>
        <w:rPr>
          <w:rFonts w:ascii="Verdana" w:eastAsia="Times New Roman" w:hAnsi="Verdana" w:cs="Times New Roman"/>
          <w:i/>
          <w:iCs/>
        </w:rPr>
        <w:t>.</w:t>
      </w:r>
      <w:r>
        <w:rPr>
          <w:rFonts w:ascii="Verdana" w:eastAsia="Times New Roman" w:hAnsi="Verdana" w:cs="Times New Roman"/>
        </w:rPr>
        <w:t xml:space="preserve"> Su artículo 13, en los numerales 1, 7 y 8, ordenó </w:t>
      </w:r>
      <w:r>
        <w:rPr>
          <w:rFonts w:ascii="Verdana" w:eastAsia="Times New Roman" w:hAnsi="Verdana" w:cs="Times New Roman"/>
        </w:rPr>
        <w:lastRenderedPageBreak/>
        <w:t xml:space="preserve">al Gobierno Nacional reglamentar: una puntuación adicional en licitación pública, concurso de méritos y contratación directa para empresas que vinculen </w:t>
      </w:r>
      <w:proofErr w:type="spellStart"/>
      <w:r>
        <w:rPr>
          <w:rFonts w:ascii="Verdana" w:eastAsia="Times New Roman" w:hAnsi="Verdana" w:cs="Times New Roman"/>
        </w:rPr>
        <w:t>PcD</w:t>
      </w:r>
      <w:proofErr w:type="spellEnd"/>
      <w:r>
        <w:rPr>
          <w:rFonts w:ascii="Verdana" w:eastAsia="Times New Roman" w:hAnsi="Verdana" w:cs="Times New Roman"/>
        </w:rPr>
        <w:t xml:space="preserve"> y para empresas de </w:t>
      </w:r>
      <w:proofErr w:type="spellStart"/>
      <w:r>
        <w:rPr>
          <w:rFonts w:ascii="Verdana" w:eastAsia="Times New Roman" w:hAnsi="Verdana" w:cs="Times New Roman"/>
        </w:rPr>
        <w:t>PcD</w:t>
      </w:r>
      <w:proofErr w:type="spellEnd"/>
      <w:r>
        <w:rPr>
          <w:rFonts w:ascii="Verdana" w:eastAsia="Times New Roman" w:hAnsi="Verdana" w:cs="Times New Roman"/>
        </w:rPr>
        <w:t xml:space="preserve">; un sistema de preferencias para empleadores de </w:t>
      </w:r>
      <w:proofErr w:type="spellStart"/>
      <w:r>
        <w:rPr>
          <w:rFonts w:ascii="Verdana" w:eastAsia="Times New Roman" w:hAnsi="Verdana" w:cs="Times New Roman"/>
        </w:rPr>
        <w:t>PcD</w:t>
      </w:r>
      <w:proofErr w:type="spellEnd"/>
      <w:r>
        <w:rPr>
          <w:rFonts w:ascii="Verdana" w:eastAsia="Times New Roman" w:hAnsi="Verdana" w:cs="Times New Roman"/>
        </w:rPr>
        <w:t xml:space="preserve"> en la adjudicación; y un sistema de preferencias en favor de las propias </w:t>
      </w:r>
      <w:proofErr w:type="spellStart"/>
      <w:r>
        <w:rPr>
          <w:rFonts w:ascii="Verdana" w:eastAsia="Times New Roman" w:hAnsi="Verdana" w:cs="Times New Roman"/>
        </w:rPr>
        <w:t>PcD</w:t>
      </w:r>
      <w:proofErr w:type="spellEnd"/>
      <w:r>
        <w:rPr>
          <w:rFonts w:ascii="Verdana" w:eastAsia="Times New Roman" w:hAnsi="Verdana" w:cs="Times New Roman"/>
        </w:rPr>
        <w:t xml:space="preserve"> como contratistas</w:t>
      </w:r>
      <w:r>
        <w:rPr>
          <w:rStyle w:val="Refdenotaalpie"/>
          <w:rFonts w:ascii="Verdana" w:eastAsia="Times New Roman" w:hAnsi="Verdana" w:cs="Times New Roman"/>
        </w:rPr>
        <w:footnoteReference w:id="9"/>
      </w:r>
      <w:r>
        <w:rPr>
          <w:rFonts w:ascii="Verdana" w:eastAsia="Times New Roman" w:hAnsi="Verdana" w:cs="Times New Roman"/>
        </w:rPr>
        <w:t xml:space="preserve">. Este último mandato fue especialmente significativo porque introdujo el concepto de </w:t>
      </w:r>
      <w:r>
        <w:rPr>
          <w:rFonts w:ascii="Verdana" w:eastAsia="Times New Roman" w:hAnsi="Verdana" w:cs="Times New Roman"/>
          <w:i/>
          <w:iCs/>
        </w:rPr>
        <w:t>"sistema de preferencias"</w:t>
      </w:r>
      <w:r>
        <w:rPr>
          <w:rFonts w:ascii="Verdana" w:eastAsia="Times New Roman" w:hAnsi="Verdana" w:cs="Times New Roman"/>
        </w:rPr>
        <w:t xml:space="preserve">, que por definición no puede reducirse a una sola </w:t>
      </w:r>
      <w:proofErr w:type="gramStart"/>
      <w:r>
        <w:rPr>
          <w:rFonts w:ascii="Verdana" w:eastAsia="Times New Roman" w:hAnsi="Verdana" w:cs="Times New Roman"/>
        </w:rPr>
        <w:t>medida</w:t>
      </w:r>
      <w:proofErr w:type="gramEnd"/>
      <w:r>
        <w:rPr>
          <w:rFonts w:ascii="Verdana" w:eastAsia="Times New Roman" w:hAnsi="Verdana" w:cs="Times New Roman"/>
        </w:rPr>
        <w:t xml:space="preserve"> sino que implica un conjunto estructurado de instrumentos que actúen en las distintas fases del proceso contractual.</w:t>
      </w:r>
    </w:p>
    <w:p w14:paraId="61BE6ECC" w14:textId="0974CCE9" w:rsidR="007871E6" w:rsidRPr="00A420A9" w:rsidRDefault="007871E6" w:rsidP="007871E6">
      <w:pPr>
        <w:spacing w:after="120" w:line="276" w:lineRule="auto"/>
        <w:ind w:firstLine="709"/>
        <w:jc w:val="both"/>
        <w:rPr>
          <w:rFonts w:ascii="Verdana" w:hAnsi="Verdana"/>
        </w:rPr>
      </w:pPr>
      <w:r>
        <w:rPr>
          <w:rFonts w:ascii="Verdana" w:hAnsi="Verdana"/>
        </w:rPr>
        <w:t xml:space="preserve">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w:t>
      </w:r>
      <w:r w:rsidR="00430FA2">
        <w:rPr>
          <w:rFonts w:ascii="Verdana" w:hAnsi="Verdana"/>
        </w:rPr>
        <w:t>L</w:t>
      </w:r>
      <w:r>
        <w:rPr>
          <w:rFonts w:ascii="Verdana" w:hAnsi="Verdana"/>
        </w:rPr>
        <w:t xml:space="preserve">ey </w:t>
      </w:r>
      <w:r w:rsidR="00430FA2">
        <w:rPr>
          <w:rFonts w:ascii="Verdana" w:hAnsi="Verdana"/>
        </w:rPr>
        <w:t>E</w:t>
      </w:r>
      <w:r>
        <w:rPr>
          <w:rFonts w:ascii="Verdana" w:hAnsi="Verdana"/>
        </w:rPr>
        <w:t xml:space="preserve">statutaria: solo contempló el </w:t>
      </w:r>
      <w:r w:rsidR="00AB15F5">
        <w:rPr>
          <w:rFonts w:ascii="Verdana" w:hAnsi="Verdana"/>
        </w:rPr>
        <w:t>uno por ciento (</w:t>
      </w:r>
      <w:r>
        <w:rPr>
          <w:rFonts w:ascii="Verdana" w:hAnsi="Verdana"/>
        </w:rPr>
        <w:t>1%</w:t>
      </w:r>
      <w:r w:rsidR="00AB15F5">
        <w:rPr>
          <w:rFonts w:ascii="Verdana" w:hAnsi="Verdana"/>
        </w:rPr>
        <w:t>)</w:t>
      </w:r>
      <w:r>
        <w:rPr>
          <w:rFonts w:ascii="Verdana" w:hAnsi="Verdana"/>
        </w:rPr>
        <w:t xml:space="preserve"> de puntaje para empleadores de </w:t>
      </w:r>
      <w:proofErr w:type="spellStart"/>
      <w:r>
        <w:rPr>
          <w:rFonts w:ascii="Verdana" w:hAnsi="Verdana"/>
        </w:rPr>
        <w:t>PcD</w:t>
      </w:r>
      <w:proofErr w:type="spellEnd"/>
      <w:r>
        <w:rPr>
          <w:rFonts w:ascii="Verdana" w:hAnsi="Verdana"/>
        </w:rPr>
        <w:t xml:space="preserve">, sin incluir a las empresas de </w:t>
      </w:r>
      <w:proofErr w:type="spellStart"/>
      <w:r>
        <w:rPr>
          <w:rFonts w:ascii="Verdana" w:hAnsi="Verdana"/>
        </w:rPr>
        <w:t>PcD</w:t>
      </w:r>
      <w:proofErr w:type="spellEnd"/>
      <w:r>
        <w:rPr>
          <w:rFonts w:ascii="Verdana" w:hAnsi="Verdana"/>
        </w:rPr>
        <w:t xml:space="preserve">; redujo el "sistema de preferencias" a un único criterio de desempate; y no previó medidas en planeación, criterios habilitantes diferenciales, condiciones especiales de ejecución ni abordó la contratación directa como escenario de inclusión. En consecuencia, desde el punto de vista sustantivo, el Decreto 392 de 2018 reglamentó el numeral 1 de manera parcial y el numeral 7, dejando sin reglamentación material el numeral 8, que era precisamente el que ordenaba el sistema de preferencias en favor de las propias </w:t>
      </w:r>
      <w:proofErr w:type="spellStart"/>
      <w:r>
        <w:rPr>
          <w:rFonts w:ascii="Verdana" w:hAnsi="Verdana"/>
        </w:rPr>
        <w:t>PcD</w:t>
      </w:r>
      <w:proofErr w:type="spellEnd"/>
      <w:r>
        <w:rPr>
          <w:rFonts w:ascii="Verdana" w:hAnsi="Verdana"/>
        </w:rPr>
        <w:t xml:space="preserve"> como contratistas.</w:t>
      </w:r>
    </w:p>
    <w:p w14:paraId="61AD8337" w14:textId="77777777" w:rsidR="007871E6" w:rsidRDefault="007871E6" w:rsidP="007871E6">
      <w:pPr>
        <w:spacing w:after="120" w:line="276" w:lineRule="auto"/>
        <w:ind w:firstLine="709"/>
        <w:jc w:val="both"/>
        <w:rPr>
          <w:rFonts w:ascii="Verdana" w:hAnsi="Verdana"/>
        </w:rPr>
      </w:pPr>
      <w:r>
        <w:rPr>
          <w:rFonts w:ascii="Verdana" w:hAnsi="Verdana"/>
        </w:rPr>
        <w:t xml:space="preserve">La insuficiencia del Decreto 392 de 2018 fue constatada judicialmente. La Sección Quinta del Consejo de Estado, mediante sentencia de acción de cumplimiento del 12 de diciembre de 2024, radicación </w:t>
      </w:r>
      <w:proofErr w:type="spellStart"/>
      <w:r>
        <w:rPr>
          <w:rFonts w:ascii="Verdana" w:hAnsi="Verdana"/>
        </w:rPr>
        <w:t>n.°</w:t>
      </w:r>
      <w:proofErr w:type="spellEnd"/>
      <w:r>
        <w:rPr>
          <w:rFonts w:ascii="Verdana" w:hAnsi="Verdana"/>
        </w:rPr>
        <w:t xml:space="preserve">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6C2E33F2" w14:textId="22E3CFF0" w:rsidR="00AB15F5" w:rsidRDefault="007871E6" w:rsidP="00430FE2">
      <w:pPr>
        <w:spacing w:after="120" w:line="276" w:lineRule="auto"/>
        <w:ind w:firstLine="709"/>
        <w:jc w:val="both"/>
        <w:rPr>
          <w:rFonts w:ascii="Verdana" w:hAnsi="Verdana"/>
        </w:rPr>
      </w:pPr>
      <w:r>
        <w:rPr>
          <w:rFonts w:ascii="Verdana" w:hAnsi="Verdana"/>
        </w:rPr>
        <w:lastRenderedPageBreak/>
        <w:t xml:space="preserve">En cumplimiento de esa decisión fue expedido el Decreto 0287 de 2026, el cual, como se indicó en la respuesta, establece un Sistema Integral de Preferencias compuesto por cinco medidas afirmativas que actúan en todas las fases del proceso contractual, planeación, selección, adjudicación y ejecución, y que benefician a dos sujetos diferenciados: los emprendimientos y empresas de </w:t>
      </w:r>
      <w:proofErr w:type="spellStart"/>
      <w:r>
        <w:rPr>
          <w:rFonts w:ascii="Verdana" w:hAnsi="Verdana"/>
        </w:rPr>
        <w:t>PcD</w:t>
      </w:r>
      <w:proofErr w:type="spellEnd"/>
      <w:r>
        <w:rPr>
          <w:rFonts w:ascii="Verdana" w:hAnsi="Verdana"/>
        </w:rPr>
        <w:t xml:space="preserve"> y los empleadores de </w:t>
      </w:r>
      <w:proofErr w:type="spellStart"/>
      <w:r>
        <w:rPr>
          <w:rFonts w:ascii="Verdana" w:hAnsi="Verdana"/>
        </w:rPr>
        <w:t>PcD</w:t>
      </w:r>
      <w:proofErr w:type="spellEnd"/>
      <w:r>
        <w:rPr>
          <w:rFonts w:ascii="Verdana" w:hAnsi="Verdana"/>
        </w:rPr>
        <w:t xml:space="preserve">. </w:t>
      </w:r>
      <w:r w:rsidR="00AB15F5">
        <w:rPr>
          <w:rFonts w:ascii="Verdana" w:eastAsia="Aptos" w:hAnsi="Verdana" w:cs="Times New Roman"/>
          <w:kern w:val="2"/>
          <w14:ligatures w14:val="standardContextual"/>
        </w:rPr>
        <w:t>M</w:t>
      </w:r>
      <w:r w:rsidR="00AB15F5" w:rsidRPr="001B3C5D">
        <w:rPr>
          <w:rFonts w:ascii="Verdana" w:eastAsia="Aptos" w:hAnsi="Verdana" w:cs="Times New Roman"/>
          <w:kern w:val="2"/>
          <w14:ligatures w14:val="standardContextual"/>
        </w:rPr>
        <w:t xml:space="preserve">ediante la expedición del mencionado decreto, </w:t>
      </w:r>
      <w:r w:rsidR="00AB15F5">
        <w:rPr>
          <w:rFonts w:ascii="Verdana" w:eastAsia="Aptos" w:hAnsi="Verdana" w:cs="Times New Roman"/>
          <w:kern w:val="2"/>
          <w14:ligatures w14:val="standardContextual"/>
        </w:rPr>
        <w:t>se m</w:t>
      </w:r>
      <w:r w:rsidR="00AB15F5" w:rsidRPr="001B3C5D">
        <w:rPr>
          <w:rFonts w:ascii="Verdana" w:eastAsia="Aptos" w:hAnsi="Verdana" w:cs="Times New Roman"/>
          <w:kern w:val="2"/>
          <w14:ligatures w14:val="standardContextual"/>
        </w:rPr>
        <w:t>odific</w:t>
      </w:r>
      <w:r w:rsidR="00AB15F5">
        <w:rPr>
          <w:rFonts w:ascii="Verdana" w:eastAsia="Aptos" w:hAnsi="Verdana" w:cs="Times New Roman"/>
          <w:kern w:val="2"/>
          <w14:ligatures w14:val="standardContextual"/>
        </w:rPr>
        <w:t>aron</w:t>
      </w:r>
      <w:r w:rsidR="00AB15F5" w:rsidRPr="001B3C5D">
        <w:rPr>
          <w:rFonts w:ascii="Verdana" w:eastAsia="Aptos" w:hAnsi="Verdana" w:cs="Times New Roman"/>
          <w:kern w:val="2"/>
          <w14:ligatures w14:val="standardContextual"/>
        </w:rPr>
        <w:t xml:space="preserve"> los artículos 2.2.1.2.4.2.6, 2.2.1.2.4.2.7. y 2.2.1.2.4.2.8. del Decreto 1082 de 2015</w:t>
      </w:r>
      <w:r w:rsidR="00AB15F5">
        <w:rPr>
          <w:rFonts w:ascii="Verdana" w:eastAsia="Aptos" w:hAnsi="Verdana" w:cs="Times New Roman"/>
          <w:kern w:val="2"/>
          <w14:ligatures w14:val="standardContextual"/>
        </w:rPr>
        <w:t xml:space="preserve"> y se adicionan otras normas, cuyos aspectos más relevantes se resaltan a continuación</w:t>
      </w:r>
      <w:r w:rsidR="00AB15F5" w:rsidRPr="001B3C5D">
        <w:rPr>
          <w:rFonts w:ascii="Verdana" w:eastAsia="Aptos" w:hAnsi="Verdana" w:cs="Times New Roman"/>
          <w:kern w:val="2"/>
          <w14:ligatures w14:val="standardContextual"/>
        </w:rPr>
        <w:t xml:space="preserve">: </w:t>
      </w:r>
    </w:p>
    <w:p w14:paraId="0912A8DD" w14:textId="77777777" w:rsidR="00AB15F5" w:rsidRPr="001B3C5D" w:rsidRDefault="00AB15F5" w:rsidP="00AB15F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1B3C5D">
        <w:rPr>
          <w:rFonts w:ascii="Verdana" w:eastAsia="Aptos" w:hAnsi="Verdana" w:cs="Times New Roman"/>
          <w:kern w:val="2"/>
          <w14:ligatures w14:val="standardContextual"/>
        </w:rPr>
        <w:t xml:space="preserve">i) </w:t>
      </w:r>
      <w:r>
        <w:rPr>
          <w:rFonts w:ascii="Verdana" w:eastAsia="Aptos" w:hAnsi="Verdana" w:cs="Times New Roman"/>
          <w:kern w:val="2"/>
          <w14:ligatures w14:val="standardContextual"/>
        </w:rPr>
        <w:t xml:space="preserve">Se </w:t>
      </w:r>
      <w:r w:rsidRPr="001B3C5D">
        <w:rPr>
          <w:rFonts w:ascii="Verdana" w:eastAsia="Aptos" w:hAnsi="Verdana" w:cs="Times New Roman"/>
          <w:kern w:val="2"/>
          <w14:ligatures w14:val="standardContextual"/>
        </w:rPr>
        <w:t xml:space="preserve">modifica el artículo 2.2.1.2.4.2.6. </w:t>
      </w:r>
      <w:r>
        <w:rPr>
          <w:rFonts w:ascii="Verdana" w:eastAsia="Aptos" w:hAnsi="Verdana" w:cs="Times New Roman"/>
          <w:kern w:val="2"/>
          <w14:ligatures w14:val="standardContextual"/>
        </w:rPr>
        <w:t>d</w:t>
      </w:r>
      <w:r w:rsidRPr="001B3C5D">
        <w:rPr>
          <w:rFonts w:ascii="Verdana" w:eastAsia="Aptos" w:hAnsi="Verdana" w:cs="Times New Roman"/>
          <w:kern w:val="2"/>
          <w14:ligatures w14:val="standardContextual"/>
        </w:rPr>
        <w:t>el Decreto 1082 de 2015, incorporando la definición de emprendimientos y empresas de personas con discapacidad, con el propósito de adoptar medidas afirmativas que incentiven las personas en condición de discapacidad en el sistema de compras y contratación pública.</w:t>
      </w:r>
    </w:p>
    <w:p w14:paraId="2BE4E2C1" w14:textId="77777777" w:rsidR="00AB15F5" w:rsidRPr="001B3C5D" w:rsidRDefault="00AB15F5" w:rsidP="00AB15F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ii</w:t>
      </w:r>
      <w:proofErr w:type="spellEnd"/>
      <w:r w:rsidRPr="001B3C5D">
        <w:rPr>
          <w:rFonts w:ascii="Verdana" w:eastAsia="Aptos" w:hAnsi="Verdana" w:cs="Times New Roman"/>
          <w:kern w:val="2"/>
          <w14:ligatures w14:val="standardContextual"/>
        </w:rPr>
        <w:t xml:space="preserve">) </w:t>
      </w:r>
      <w:r>
        <w:rPr>
          <w:rFonts w:ascii="Verdana" w:eastAsia="Aptos" w:hAnsi="Verdana" w:cs="Times New Roman"/>
          <w:kern w:val="2"/>
          <w14:ligatures w14:val="standardContextual"/>
        </w:rPr>
        <w:t xml:space="preserve">Se </w:t>
      </w:r>
      <w:r w:rsidRPr="001B3C5D">
        <w:rPr>
          <w:rFonts w:ascii="Verdana" w:eastAsia="Aptos" w:hAnsi="Verdana" w:cs="Times New Roman"/>
          <w:kern w:val="2"/>
          <w14:ligatures w14:val="standardContextual"/>
        </w:rPr>
        <w:t xml:space="preserve">modifica el artículo 2.2.1.2.4.2.7. del Decreto 1082 de 2015, estableciendo un Sistema de Preferencias en Favor de las Personas con Discapacidad en el Sistema de Compras y Contratación Pública, mediante medidas afirmativas, que deben adoptar las Entidades Estatales en sus Procesos de Contratación, para promover condiciones efectivas de igualdad para estas personas, corregir barreras estructurales de acceso y fomentar su participación como proponentes, contratistas o integrantes de la cadena de valor. </w:t>
      </w:r>
    </w:p>
    <w:p w14:paraId="06DBCFFF" w14:textId="77777777" w:rsidR="00AB15F5" w:rsidRPr="001B3C5D" w:rsidRDefault="00AB15F5" w:rsidP="00AB15F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iii</w:t>
      </w:r>
      <w:proofErr w:type="spellEnd"/>
      <w:r w:rsidRPr="001B3C5D">
        <w:rPr>
          <w:rFonts w:ascii="Verdana" w:eastAsia="Aptos" w:hAnsi="Verdana" w:cs="Times New Roman"/>
          <w:kern w:val="2"/>
          <w14:ligatures w14:val="standardContextual"/>
        </w:rPr>
        <w:t>)</w:t>
      </w:r>
      <w:r>
        <w:rPr>
          <w:rFonts w:ascii="Verdana" w:eastAsia="Aptos" w:hAnsi="Verdana" w:cs="Times New Roman"/>
          <w:kern w:val="2"/>
          <w14:ligatures w14:val="standardContextual"/>
        </w:rPr>
        <w:t xml:space="preserve"> Se incluye</w:t>
      </w:r>
      <w:r w:rsidRPr="001B3C5D">
        <w:rPr>
          <w:rFonts w:ascii="Verdana" w:eastAsia="Aptos" w:hAnsi="Verdana" w:cs="Times New Roman"/>
          <w:kern w:val="2"/>
          <w14:ligatures w14:val="standardContextual"/>
        </w:rPr>
        <w:t xml:space="preserve"> el artículo 2.2.1.2.4.2.7.1. del Decreto 1082 de 2015, disponiendo que todas las entidades que manejen recursos públicos están obligadas a garantizar la accesibilidad para personas con discapacidad en sus procesos de contratación. </w:t>
      </w:r>
    </w:p>
    <w:p w14:paraId="39C720DC" w14:textId="77777777" w:rsidR="00AB15F5" w:rsidRPr="001B3C5D" w:rsidRDefault="00AB15F5" w:rsidP="00AB15F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Aptos" w:eastAsia="Aptos" w:hAnsi="Aptos" w:cs="Times New Roman"/>
          <w:kern w:val="2"/>
          <w:sz w:val="24"/>
          <w:szCs w:val="24"/>
          <w14:ligatures w14:val="standardContextual"/>
        </w:rPr>
        <w:t>iv</w:t>
      </w:r>
      <w:proofErr w:type="spellEnd"/>
      <w:r w:rsidRPr="001B3C5D">
        <w:rPr>
          <w:rFonts w:ascii="Aptos" w:eastAsia="Aptos" w:hAnsi="Aptos" w:cs="Times New Roman"/>
          <w:kern w:val="2"/>
          <w:sz w:val="24"/>
          <w:szCs w:val="24"/>
          <w14:ligatures w14:val="standardContextual"/>
        </w:rPr>
        <w:t xml:space="preserve">)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w:t>
      </w:r>
      <w:r>
        <w:rPr>
          <w:rFonts w:ascii="Verdana" w:eastAsia="Aptos" w:hAnsi="Verdana" w:cs="Times New Roman"/>
          <w:kern w:val="2"/>
          <w14:ligatures w14:val="standardContextual"/>
        </w:rPr>
        <w:t xml:space="preserve">artículo </w:t>
      </w:r>
      <w:r w:rsidRPr="001B3C5D">
        <w:rPr>
          <w:rFonts w:ascii="Verdana" w:eastAsia="Aptos" w:hAnsi="Verdana" w:cs="Times New Roman"/>
          <w:kern w:val="2"/>
          <w14:ligatures w14:val="standardContextual"/>
        </w:rPr>
        <w:t>2.2.1.2.4.2.7.2. del Decreto 1082 de 2015</w:t>
      </w:r>
      <w:r>
        <w:rPr>
          <w:rFonts w:ascii="Verdana" w:eastAsia="Aptos" w:hAnsi="Verdana" w:cs="Times New Roman"/>
          <w:kern w:val="2"/>
          <w14:ligatures w14:val="standardContextual"/>
        </w:rPr>
        <w:t xml:space="preserve">, en el cual </w:t>
      </w:r>
      <w:r w:rsidRPr="001B3C5D">
        <w:rPr>
          <w:rFonts w:ascii="Verdana" w:eastAsia="Aptos" w:hAnsi="Verdana" w:cs="Times New Roman"/>
          <w:kern w:val="2"/>
          <w14:ligatures w14:val="standardContextual"/>
        </w:rPr>
        <w:t>se consagra que, en la planeación contractual, las Entidades Estatales deben implementar acciones concretas para promover la participación de emprendimientos y empresas de personas con discapacidad, asegurando igualdad de oportunidades en los procesos de contratación pública. Esto implica diseñar mecanismos que eliminen barreras de acceso y fomenten una participación más inclusiva desde las etapas iniciales del proceso.</w:t>
      </w:r>
    </w:p>
    <w:p w14:paraId="27446CBE" w14:textId="77777777" w:rsidR="00AB15F5" w:rsidRPr="001B3C5D" w:rsidRDefault="00AB15F5" w:rsidP="00AB15F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1B3C5D">
        <w:rPr>
          <w:rFonts w:ascii="Verdana" w:eastAsia="Aptos" w:hAnsi="Verdana" w:cs="Times New Roman"/>
          <w:kern w:val="2"/>
          <w14:ligatures w14:val="standardContextual"/>
        </w:rPr>
        <w:t xml:space="preserve">v)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artículo 2.2.1.2.4.2.7.3. del Decreto 1082 de 2015, incorporando criterios diferenciales en favor de los emprendimientos y empresas </w:t>
      </w:r>
      <w:r w:rsidRPr="001B3C5D">
        <w:rPr>
          <w:rFonts w:ascii="Verdana" w:eastAsia="Aptos" w:hAnsi="Verdana" w:cs="Times New Roman"/>
          <w:kern w:val="2"/>
          <w14:ligatures w14:val="standardContextual"/>
        </w:rPr>
        <w:lastRenderedPageBreak/>
        <w:t>de personas con discapacidad en la habilitación, como parte del sistema de preferencias para esta población en la contratación pública que impone reglamentar la Ley 1618 de 2013. Este aspecto considerando que “(…) es necesario flexibilizar los requisitos habilitantes de los procesos de contratación para facilitar la participación de las personas con discapacidad, debido a que sin esto el puntaje que también regula el presente Decreto (287 de 2026) se vuelve inocuo porque no se podría aplicar si las personas con discapacidad no superan el primer filtro, que resulta de la aplicación de los requisitos habilitantes que pueden resultar un impedimento para la posterior evaluación de su oferta y que pueda tener efectividad el puntaje”</w:t>
      </w:r>
      <w:r w:rsidRPr="001B3C5D">
        <w:rPr>
          <w:rFonts w:ascii="Verdana" w:eastAsia="Aptos" w:hAnsi="Verdana" w:cs="Times New Roman"/>
          <w:kern w:val="2"/>
          <w:vertAlign w:val="superscript"/>
          <w14:ligatures w14:val="standardContextual"/>
        </w:rPr>
        <w:footnoteReference w:id="10"/>
      </w:r>
      <w:r w:rsidRPr="001B3C5D">
        <w:rPr>
          <w:rFonts w:ascii="Verdana" w:eastAsia="Aptos" w:hAnsi="Verdana" w:cs="Times New Roman"/>
          <w:kern w:val="2"/>
          <w14:ligatures w14:val="standardContextual"/>
        </w:rPr>
        <w:t xml:space="preserve">. </w:t>
      </w:r>
    </w:p>
    <w:p w14:paraId="070C802E" w14:textId="77777777" w:rsidR="00AB15F5" w:rsidRPr="001B3C5D" w:rsidRDefault="00AB15F5" w:rsidP="00AB15F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1B3C5D">
        <w:rPr>
          <w:rFonts w:ascii="Verdana" w:eastAsia="Aptos" w:hAnsi="Verdana" w:cs="Times New Roman"/>
          <w:kern w:val="2"/>
          <w14:ligatures w14:val="standardContextual"/>
        </w:rPr>
        <w:t xml:space="preserve">vi)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artículo 2.1.2.4.2.7.4 </w:t>
      </w:r>
      <w:r>
        <w:rPr>
          <w:rFonts w:ascii="Verdana" w:eastAsia="Aptos" w:hAnsi="Verdana" w:cs="Times New Roman"/>
          <w:kern w:val="2"/>
          <w14:ligatures w14:val="standardContextual"/>
        </w:rPr>
        <w:t xml:space="preserve">que </w:t>
      </w:r>
      <w:r w:rsidRPr="001B3C5D">
        <w:rPr>
          <w:rFonts w:ascii="Verdana" w:eastAsia="Aptos" w:hAnsi="Verdana" w:cs="Times New Roman"/>
          <w:kern w:val="2"/>
          <w14:ligatures w14:val="standardContextual"/>
        </w:rPr>
        <w:t xml:space="preserve">establece un puntaje adicional en favor de los empleadores de personas con discapacidad y de los emprendimientos y empresas de personas con discapacidad del dos por ciento (2%) del valor total de los puntos establecidos en el pliego de condiciones o documentos equivalentes, para promover la inclusión laboral de personas con discapacidad en los procedimientos de licitación pública y concurso de méritos que adelanten las entidades estatales, cuando se configuren las situaciones previstas en ese artículo. </w:t>
      </w:r>
    </w:p>
    <w:p w14:paraId="059E1F4F" w14:textId="77777777" w:rsidR="00AB15F5" w:rsidRPr="001B3C5D" w:rsidRDefault="00AB15F5" w:rsidP="00AB15F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vii</w:t>
      </w:r>
      <w:proofErr w:type="spellEnd"/>
      <w:r w:rsidRPr="001B3C5D">
        <w:rPr>
          <w:rFonts w:ascii="Verdana" w:eastAsia="Aptos" w:hAnsi="Verdana" w:cs="Times New Roman"/>
          <w:kern w:val="2"/>
          <w14:ligatures w14:val="standardContextual"/>
        </w:rPr>
        <w:t>)</w:t>
      </w:r>
      <w:r>
        <w:rPr>
          <w:rFonts w:ascii="Verdana" w:eastAsia="Aptos" w:hAnsi="Verdana" w:cs="Times New Roman"/>
          <w:kern w:val="2"/>
          <w14:ligatures w14:val="standardContextual"/>
        </w:rPr>
        <w:t xml:space="preserve"> Se incluye</w:t>
      </w:r>
      <w:r w:rsidRPr="001B3C5D">
        <w:rPr>
          <w:rFonts w:ascii="Verdana" w:eastAsia="Aptos" w:hAnsi="Verdana" w:cs="Times New Roman"/>
          <w:kern w:val="2"/>
          <w14:ligatures w14:val="standardContextual"/>
        </w:rPr>
        <w:t xml:space="preserve"> el artículo 2.2.1.2.4.2.7.5. del Decreto 1082 de 2015, indicando condiciones especiales de sujeción en favor de personas con discapacidad, que deberán incluir las entidades estatales como obligación contractual en los documentos del proceso, previo análisis de oportunidad y conveniencia. </w:t>
      </w:r>
    </w:p>
    <w:p w14:paraId="1E23CED3" w14:textId="77777777" w:rsidR="00AB15F5" w:rsidRPr="001B3C5D" w:rsidRDefault="00AB15F5" w:rsidP="00AB15F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viii</w:t>
      </w:r>
      <w:proofErr w:type="spellEnd"/>
      <w:r w:rsidRPr="001B3C5D">
        <w:rPr>
          <w:rFonts w:ascii="Verdana" w:eastAsia="Aptos" w:hAnsi="Verdana" w:cs="Times New Roman"/>
          <w:kern w:val="2"/>
          <w14:ligatures w14:val="standardContextual"/>
        </w:rPr>
        <w:t xml:space="preserve">)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artículo 2.2.1.2.4.2.7.6. del Decreto 1082 de 2015, </w:t>
      </w:r>
      <w:r>
        <w:rPr>
          <w:rFonts w:ascii="Verdana" w:eastAsia="Aptos" w:hAnsi="Verdana" w:cs="Times New Roman"/>
          <w:kern w:val="2"/>
          <w14:ligatures w14:val="standardContextual"/>
        </w:rPr>
        <w:t>contemplando</w:t>
      </w:r>
      <w:r w:rsidRPr="001B3C5D">
        <w:rPr>
          <w:rFonts w:ascii="Verdana" w:eastAsia="Aptos" w:hAnsi="Verdana" w:cs="Times New Roman"/>
          <w:kern w:val="2"/>
          <w14:ligatures w14:val="standardContextual"/>
        </w:rPr>
        <w:t xml:space="preserve"> que, las Entidades Estatales propenderán por la contratación de personas con discapacidad mediante la celebración de contratos de prestación de servicios profesionales y/o de apoyo a la gestión, de acuerdo con su planeación contractual, disponibilidad presupuestal y las necesidades del servicio.</w:t>
      </w:r>
    </w:p>
    <w:p w14:paraId="5EC2462C" w14:textId="77777777" w:rsidR="00AB15F5" w:rsidRDefault="00AB15F5" w:rsidP="00AB15F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ix</w:t>
      </w:r>
      <w:proofErr w:type="spellEnd"/>
      <w:r w:rsidRPr="001B3C5D">
        <w:rPr>
          <w:rFonts w:ascii="Verdana" w:eastAsia="Aptos" w:hAnsi="Verdana" w:cs="Times New Roman"/>
          <w:kern w:val="2"/>
          <w14:ligatures w14:val="standardContextual"/>
        </w:rPr>
        <w:t xml:space="preserve">)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artículo 2.2.1.2.4.2.7.</w:t>
      </w:r>
      <w:r>
        <w:rPr>
          <w:rFonts w:ascii="Verdana" w:eastAsia="Aptos" w:hAnsi="Verdana" w:cs="Times New Roman"/>
          <w:kern w:val="2"/>
          <w14:ligatures w14:val="standardContextual"/>
        </w:rPr>
        <w:t>7</w:t>
      </w:r>
      <w:r w:rsidRPr="001B3C5D">
        <w:rPr>
          <w:rFonts w:ascii="Verdana" w:eastAsia="Aptos" w:hAnsi="Verdana" w:cs="Times New Roman"/>
          <w:kern w:val="2"/>
          <w14:ligatures w14:val="standardContextual"/>
        </w:rPr>
        <w:t>. del Decreto 1082 de 2015, que</w:t>
      </w:r>
      <w:r>
        <w:rPr>
          <w:rFonts w:ascii="Verdana" w:eastAsia="Aptos" w:hAnsi="Verdana" w:cs="Times New Roman"/>
          <w:kern w:val="2"/>
          <w14:ligatures w14:val="standardContextual"/>
        </w:rPr>
        <w:t xml:space="preserve"> incorpora el</w:t>
      </w:r>
      <w:r w:rsidRPr="004B7044">
        <w:t xml:space="preserve"> </w:t>
      </w:r>
      <w:r w:rsidRPr="004B7044">
        <w:rPr>
          <w:rFonts w:ascii="Verdana" w:eastAsia="Aptos" w:hAnsi="Verdana" w:cs="Times New Roman"/>
          <w:kern w:val="2"/>
          <w14:ligatures w14:val="standardContextual"/>
        </w:rPr>
        <w:t>seguimiento a la inclusión de personas con discapacidad a través de contratos de prestación de servicios profesionales y lo de apoyo a la gestión.</w:t>
      </w:r>
    </w:p>
    <w:p w14:paraId="5E0AF7CD" w14:textId="77777777" w:rsidR="00AB15F5" w:rsidRDefault="00AB15F5" w:rsidP="00AB15F5">
      <w:pPr>
        <w:widowControl w:val="0"/>
        <w:autoSpaceDE w:val="0"/>
        <w:autoSpaceDN w:val="0"/>
        <w:spacing w:after="120" w:line="276" w:lineRule="auto"/>
        <w:ind w:firstLine="708"/>
        <w:jc w:val="both"/>
        <w:rPr>
          <w:rFonts w:ascii="Verdana" w:eastAsia="Aptos" w:hAnsi="Verdana" w:cs="Times New Roman"/>
          <w:kern w:val="2"/>
          <w14:ligatures w14:val="standardContextual"/>
        </w:rPr>
      </w:pPr>
      <w:r>
        <w:rPr>
          <w:rFonts w:ascii="Verdana" w:eastAsia="Aptos" w:hAnsi="Verdana" w:cs="Times New Roman"/>
          <w:kern w:val="2"/>
          <w14:ligatures w14:val="standardContextual"/>
        </w:rPr>
        <w:t xml:space="preserve">x) Se </w:t>
      </w:r>
      <w:r w:rsidRPr="001B3C5D">
        <w:rPr>
          <w:rFonts w:ascii="Verdana" w:eastAsia="Aptos" w:hAnsi="Verdana" w:cs="Times New Roman"/>
          <w:kern w:val="2"/>
          <w14:ligatures w14:val="standardContextual"/>
        </w:rPr>
        <w:t>modifica el artículo 2.2.1.2.4.2.7.8 del Decreto 1082 de 2015</w:t>
      </w:r>
      <w:r>
        <w:rPr>
          <w:rFonts w:ascii="Verdana" w:eastAsia="Aptos" w:hAnsi="Verdana" w:cs="Times New Roman"/>
          <w:kern w:val="2"/>
          <w14:ligatures w14:val="standardContextual"/>
        </w:rPr>
        <w:t xml:space="preserve"> y</w:t>
      </w:r>
      <w:r w:rsidRPr="001B3C5D">
        <w:rPr>
          <w:rFonts w:ascii="Verdana" w:eastAsia="Aptos" w:hAnsi="Verdana" w:cs="Times New Roman"/>
          <w:kern w:val="2"/>
          <w14:ligatures w14:val="standardContextual"/>
        </w:rPr>
        <w:t xml:space="preserve"> </w:t>
      </w:r>
      <w:r w:rsidRPr="001B3C5D">
        <w:rPr>
          <w:rFonts w:ascii="Verdana" w:eastAsia="Aptos" w:hAnsi="Verdana" w:cs="Times New Roman"/>
          <w:kern w:val="2"/>
          <w14:ligatures w14:val="standardContextual"/>
        </w:rPr>
        <w:lastRenderedPageBreak/>
        <w:t xml:space="preserve">dispone que, la Agencia Nacional de Contratación Pública –Colombia Compra Eficiente garantizará la adopción permanente de las acciones necesarias para que las medidas señaladas en favor de las Personas con Discapacidad se incorporen a los documentos e instrumentos que genera. </w:t>
      </w:r>
    </w:p>
    <w:p w14:paraId="65D149F0" w14:textId="77777777" w:rsidR="00AB15F5" w:rsidRDefault="00AB15F5" w:rsidP="003248CC">
      <w:pPr>
        <w:widowControl w:val="0"/>
        <w:autoSpaceDE w:val="0"/>
        <w:autoSpaceDN w:val="0"/>
        <w:spacing w:after="0" w:line="276" w:lineRule="auto"/>
        <w:ind w:firstLine="708"/>
        <w:jc w:val="both"/>
        <w:rPr>
          <w:rFonts w:ascii="Verdana" w:eastAsia="Aptos" w:hAnsi="Verdana" w:cs="Times New Roman"/>
          <w:kern w:val="2"/>
          <w14:ligatures w14:val="standardContextual"/>
        </w:rPr>
      </w:pPr>
      <w:r>
        <w:rPr>
          <w:rFonts w:ascii="Verdana" w:eastAsia="Aptos" w:hAnsi="Verdana" w:cs="Times New Roman"/>
          <w:kern w:val="2"/>
          <w14:ligatures w14:val="standardContextual"/>
        </w:rPr>
        <w:t>xi)</w:t>
      </w:r>
      <w:r w:rsidRPr="007C6E53">
        <w:rPr>
          <w:rFonts w:ascii="Verdana" w:eastAsia="Aptos" w:hAnsi="Verdana" w:cs="Times New Roman"/>
          <w:kern w:val="2"/>
          <w14:ligatures w14:val="standardContextual"/>
        </w:rPr>
        <w:t xml:space="preserve"> </w:t>
      </w:r>
      <w:r>
        <w:rPr>
          <w:rFonts w:ascii="Verdana" w:eastAsia="Aptos" w:hAnsi="Verdana" w:cs="Times New Roman"/>
          <w:color w:val="000000" w:themeColor="text1"/>
          <w:kern w:val="2"/>
          <w14:ligatures w14:val="standardContextual"/>
        </w:rPr>
        <w:t xml:space="preserve">Se </w:t>
      </w:r>
      <w:r w:rsidRPr="0046297E">
        <w:rPr>
          <w:rFonts w:ascii="Verdana" w:eastAsia="Aptos" w:hAnsi="Verdana" w:cs="Times New Roman"/>
          <w:color w:val="000000" w:themeColor="text1"/>
          <w:kern w:val="2"/>
          <w14:ligatures w14:val="standardContextual"/>
        </w:rPr>
        <w:t>incluye el artículo 2.2.1.2.4.2.7.9 del Decreto 1082 de 2015</w:t>
      </w:r>
      <w:r w:rsidRPr="0046297E">
        <w:rPr>
          <w:rFonts w:ascii="Work Sans" w:hAnsi="Work Sans"/>
          <w:b/>
          <w:bCs/>
          <w:color w:val="000000" w:themeColor="text1"/>
          <w:sz w:val="25"/>
          <w:szCs w:val="25"/>
          <w:shd w:val="clear" w:color="auto" w:fill="FFFFFF"/>
        </w:rPr>
        <w:t xml:space="preserve"> </w:t>
      </w:r>
      <w:r w:rsidRPr="0046297E">
        <w:rPr>
          <w:rFonts w:ascii="Verdana" w:hAnsi="Verdana"/>
          <w:color w:val="000000" w:themeColor="text1"/>
          <w:shd w:val="clear" w:color="auto" w:fill="FFFFFF"/>
        </w:rPr>
        <w:t>que establece lo referente al</w:t>
      </w:r>
      <w:r w:rsidRPr="0046297E">
        <w:rPr>
          <w:rFonts w:ascii="Work Sans" w:hAnsi="Work Sans"/>
          <w:b/>
          <w:bCs/>
          <w:color w:val="000000" w:themeColor="text1"/>
          <w:sz w:val="25"/>
          <w:szCs w:val="25"/>
          <w:shd w:val="clear" w:color="auto" w:fill="FFFFFF"/>
        </w:rPr>
        <w:t xml:space="preserve"> </w:t>
      </w:r>
      <w:r w:rsidRPr="0046297E">
        <w:rPr>
          <w:rFonts w:ascii="Verdana" w:eastAsia="Aptos" w:hAnsi="Verdana" w:cs="Times New Roman"/>
          <w:color w:val="000000" w:themeColor="text1"/>
          <w:kern w:val="2"/>
          <w14:ligatures w14:val="standardContextual"/>
        </w:rPr>
        <w:t>acceso y accesibilidad del sistema electrónico de contratación pública - SECOP. </w:t>
      </w:r>
    </w:p>
    <w:p w14:paraId="562FF68F" w14:textId="77777777" w:rsidR="00AB15F5" w:rsidRDefault="00AB15F5" w:rsidP="003248CC">
      <w:pPr>
        <w:spacing w:after="0" w:line="276" w:lineRule="auto"/>
        <w:jc w:val="both"/>
        <w:rPr>
          <w:rFonts w:ascii="Verdana" w:hAnsi="Verdana"/>
        </w:rPr>
      </w:pPr>
    </w:p>
    <w:p w14:paraId="588FBF87" w14:textId="60E5BA7E" w:rsidR="007871E6" w:rsidRDefault="00430FE2" w:rsidP="00430FE2">
      <w:pPr>
        <w:spacing w:after="0" w:line="276" w:lineRule="auto"/>
        <w:ind w:firstLine="708"/>
        <w:jc w:val="both"/>
        <w:rPr>
          <w:rFonts w:ascii="Verdana" w:hAnsi="Verdana"/>
        </w:rPr>
      </w:pPr>
      <w:r>
        <w:rPr>
          <w:rFonts w:ascii="Verdana" w:hAnsi="Verdana"/>
        </w:rPr>
        <w:t>Vista a grandes rasgos cada una de las medidas, a</w:t>
      </w:r>
      <w:r w:rsidR="007871E6">
        <w:rPr>
          <w:rFonts w:ascii="Verdana" w:hAnsi="Verdana"/>
        </w:rPr>
        <w:t xml:space="preserve"> continuación, se desarrolla el alcance de cada aspecto del sistema planteado en los problemas jurídicos. </w:t>
      </w:r>
    </w:p>
    <w:p w14:paraId="5B313DF7" w14:textId="77777777" w:rsidR="00430FE2" w:rsidRDefault="00430FE2" w:rsidP="003248CC">
      <w:pPr>
        <w:spacing w:after="0" w:line="276" w:lineRule="auto"/>
        <w:ind w:firstLine="708"/>
        <w:jc w:val="both"/>
        <w:rPr>
          <w:rFonts w:ascii="Verdana" w:hAnsi="Verdana"/>
        </w:rPr>
      </w:pPr>
    </w:p>
    <w:p w14:paraId="46DBD20E" w14:textId="77777777" w:rsidR="001B3CBA" w:rsidRDefault="007871E6" w:rsidP="001B3CBA">
      <w:pPr>
        <w:widowControl w:val="0"/>
        <w:autoSpaceDE w:val="0"/>
        <w:autoSpaceDN w:val="0"/>
        <w:spacing w:after="120" w:line="276" w:lineRule="auto"/>
        <w:jc w:val="both"/>
        <w:rPr>
          <w:rFonts w:ascii="Verdana" w:eastAsia="Aptos" w:hAnsi="Verdana" w:cs="Times New Roman"/>
          <w:kern w:val="2"/>
          <w14:ligatures w14:val="standardContextual"/>
        </w:rPr>
      </w:pPr>
      <w:r>
        <w:rPr>
          <w:rFonts w:ascii="Verdana" w:eastAsia="Times New Roman" w:hAnsi="Verdana" w:cs="Times New Roman"/>
        </w:rPr>
        <w:t>(</w:t>
      </w:r>
      <w:proofErr w:type="spellStart"/>
      <w:r>
        <w:rPr>
          <w:rFonts w:ascii="Verdana" w:eastAsia="Times New Roman" w:hAnsi="Verdana" w:cs="Times New Roman"/>
        </w:rPr>
        <w:t>ii</w:t>
      </w:r>
      <w:proofErr w:type="spellEnd"/>
      <w:r>
        <w:rPr>
          <w:rFonts w:ascii="Verdana" w:eastAsia="Times New Roman" w:hAnsi="Verdana" w:cs="Times New Roman"/>
        </w:rPr>
        <w:t xml:space="preserve">) El primer problema jurídico consulta si las certificaciones previstas en los numerales 1 y 2 del artículo 2.2.1.2.4.2.7.4 del Decreto 1082 de 2015 (modificado por el Decreto 0287 de 2026) están sujetas a formalidades diferentes, de modo que la manifestación bajo la gravedad de juramento se exija únicamente respecto del numeral 1, y si la entidad puede exigir dicha formalidad para el numeral 2. Para resolverlo </w:t>
      </w:r>
    </w:p>
    <w:p w14:paraId="6D6751C5" w14:textId="77777777" w:rsidR="001B3CBA" w:rsidRDefault="001B3CBA" w:rsidP="001B3CBA">
      <w:pPr>
        <w:widowControl w:val="0"/>
        <w:autoSpaceDE w:val="0"/>
        <w:autoSpaceDN w:val="0"/>
        <w:spacing w:after="120" w:line="276" w:lineRule="auto"/>
        <w:jc w:val="both"/>
        <w:rPr>
          <w:rFonts w:ascii="Verdana" w:eastAsia="Calibri" w:hAnsi="Verdana" w:cs="Arial"/>
          <w:color w:val="000000"/>
          <w:lang w:val="es-ES" w:eastAsia="es-ES_tradnl"/>
        </w:rPr>
      </w:pPr>
      <w:r>
        <w:rPr>
          <w:rFonts w:ascii="Verdana" w:eastAsia="Aptos" w:hAnsi="Verdana" w:cs="Times New Roman"/>
          <w:kern w:val="2"/>
          <w14:ligatures w14:val="standardContextual"/>
        </w:rPr>
        <w:t xml:space="preserve">resulta necesario realizar algunas precisiones en relación con el artículo </w:t>
      </w:r>
      <w:r w:rsidRPr="001B3C5D">
        <w:rPr>
          <w:rFonts w:ascii="Verdana" w:eastAsia="Aptos" w:hAnsi="Verdana" w:cs="Times New Roman"/>
          <w:kern w:val="2"/>
          <w14:ligatures w14:val="standardContextual"/>
        </w:rPr>
        <w:t>2.2.1.2.4.2.6</w:t>
      </w:r>
      <w:r>
        <w:rPr>
          <w:rFonts w:ascii="Verdana" w:eastAsia="Aptos" w:hAnsi="Verdana" w:cs="Times New Roman"/>
          <w:kern w:val="2"/>
          <w14:ligatures w14:val="standardContextual"/>
        </w:rPr>
        <w:t xml:space="preserve"> del Decreto 287 de 2026, el cual </w:t>
      </w:r>
      <w:r w:rsidRPr="001B3C5D">
        <w:rPr>
          <w:rFonts w:ascii="Verdana" w:eastAsia="Aptos" w:hAnsi="Verdana" w:cs="Times New Roman"/>
          <w:kern w:val="2"/>
          <w14:ligatures w14:val="standardContextual"/>
        </w:rPr>
        <w:t>incorpora la definición de emprendimientos y empresas de personas con discapacidad</w:t>
      </w:r>
      <w:r>
        <w:rPr>
          <w:rFonts w:ascii="Verdana" w:eastAsia="Calibri" w:hAnsi="Verdana" w:cs="Arial"/>
          <w:lang w:val="es-ES_tradnl"/>
        </w:rPr>
        <w:t xml:space="preserve"> y </w:t>
      </w:r>
      <w:r>
        <w:rPr>
          <w:rFonts w:ascii="Verdana" w:hAnsi="Verdana"/>
        </w:rPr>
        <w:t>consagra cuatro criterios alternativos en atención a los cuales una persona natural o jurídica puede acceder a los incentivos contractuales en favor de ellos</w:t>
      </w:r>
      <w:r>
        <w:rPr>
          <w:rFonts w:ascii="Verdana" w:eastAsia="Calibri" w:hAnsi="Verdana" w:cs="Arial"/>
          <w:lang w:val="es-ES_tradnl"/>
        </w:rPr>
        <w:t>, siendo suficiente la configuración de uno de estos criterios para que se materialice la respectiva definición respecto del sujeto en particular.</w:t>
      </w:r>
      <w:r w:rsidRPr="00FE639F">
        <w:rPr>
          <w:rFonts w:ascii="Verdana" w:eastAsia="Calibri" w:hAnsi="Verdana" w:cs="Arial"/>
          <w:color w:val="000000"/>
          <w:lang w:val="es-ES" w:eastAsia="es-ES_tradnl"/>
        </w:rPr>
        <w:t xml:space="preserve"> </w:t>
      </w:r>
      <w:r w:rsidRPr="00E269F2">
        <w:rPr>
          <w:rFonts w:ascii="Verdana" w:eastAsia="Calibri" w:hAnsi="Verdana" w:cs="Arial"/>
          <w:color w:val="000000"/>
          <w:lang w:val="es-ES" w:eastAsia="es-ES_tradnl"/>
        </w:rPr>
        <w:t>Para estos efectos, cada uno de los numerales de la norma establecen unos requisitos que deben acreditarse a efectos de aplicar las medidas afirmativas</w:t>
      </w:r>
      <w:r>
        <w:rPr>
          <w:rFonts w:ascii="Verdana" w:eastAsia="Calibri" w:hAnsi="Verdana" w:cs="Arial"/>
          <w:color w:val="000000"/>
          <w:lang w:val="es-ES" w:eastAsia="es-ES_tradnl"/>
        </w:rPr>
        <w:t>. E</w:t>
      </w:r>
      <w:r w:rsidRPr="007149A1">
        <w:rPr>
          <w:rFonts w:ascii="Verdana" w:eastAsia="Calibri" w:hAnsi="Verdana" w:cs="Arial"/>
          <w:color w:val="000000"/>
          <w:lang w:val="es-ES" w:eastAsia="es-ES_tradnl"/>
        </w:rPr>
        <w:t xml:space="preserve">l citado artículo indica:  </w:t>
      </w:r>
    </w:p>
    <w:p w14:paraId="2FB8D5C6" w14:textId="77777777" w:rsidR="001B3CBA" w:rsidRDefault="001B3CBA" w:rsidP="001B3CBA">
      <w:pPr>
        <w:widowControl w:val="0"/>
        <w:autoSpaceDE w:val="0"/>
        <w:autoSpaceDN w:val="0"/>
        <w:spacing w:after="0" w:line="276" w:lineRule="auto"/>
        <w:jc w:val="both"/>
        <w:rPr>
          <w:rFonts w:ascii="Verdana" w:eastAsia="Calibri" w:hAnsi="Verdana" w:cs="Arial"/>
          <w:color w:val="000000"/>
          <w:lang w:val="es-ES" w:eastAsia="es-ES_tradnl"/>
        </w:rPr>
      </w:pPr>
    </w:p>
    <w:p w14:paraId="60EDD349" w14:textId="77777777" w:rsidR="001B3CBA" w:rsidRPr="00B93888" w:rsidRDefault="001B3CBA" w:rsidP="001B3CBA">
      <w:pPr>
        <w:spacing w:after="0" w:line="240" w:lineRule="auto"/>
        <w:ind w:left="709" w:right="709"/>
        <w:jc w:val="both"/>
        <w:rPr>
          <w:rFonts w:ascii="Verdana" w:hAnsi="Verdana"/>
          <w:iCs/>
          <w:sz w:val="20"/>
          <w:szCs w:val="20"/>
        </w:rPr>
      </w:pPr>
      <w:r w:rsidRPr="008F5EB5">
        <w:rPr>
          <w:rFonts w:ascii="Verdana" w:hAnsi="Verdana"/>
          <w:iCs/>
          <w:sz w:val="20"/>
          <w:szCs w:val="20"/>
        </w:rPr>
        <w:t>“</w:t>
      </w:r>
      <w:r w:rsidRPr="00B93888">
        <w:rPr>
          <w:rFonts w:ascii="Verdana" w:hAnsi="Verdana"/>
          <w:iCs/>
          <w:sz w:val="20"/>
          <w:szCs w:val="20"/>
        </w:rPr>
        <w:t>ARTÍCULO 2.2.1.2.4.2.6. DEFINICIÓN DE EMPRENDIMIENTOS Y EMPRESAS DE PERSONAS CON DISCAPACIDAD. Con el propósito de adoptar medidas afirmativas que incentiven la participación de las personas con discapacidad en el sistema de compras y contratación Pública, mediante la reglamentación del puntaje al que se refiere el numeral 1 del artículo 13 de la Ley 1618 de 2013 y el desarrollo del sistema de preferencias del numeral 8 del mismo artículo, se entenderán com</w:t>
      </w:r>
      <w:r>
        <w:rPr>
          <w:rFonts w:ascii="Verdana" w:hAnsi="Verdana"/>
          <w:iCs/>
          <w:sz w:val="20"/>
          <w:szCs w:val="20"/>
        </w:rPr>
        <w:t>o</w:t>
      </w:r>
      <w:r w:rsidRPr="00B93888">
        <w:rPr>
          <w:rFonts w:ascii="Verdana" w:hAnsi="Verdana"/>
          <w:iCs/>
          <w:sz w:val="20"/>
          <w:szCs w:val="20"/>
        </w:rPr>
        <w:t xml:space="preserve"> emprendimientos y empresas de personas con discapacidad aquellos que cumplan con alguna de las siguientes condiciones:</w:t>
      </w:r>
    </w:p>
    <w:p w14:paraId="1ECF86DE" w14:textId="77777777" w:rsidR="001B3CBA" w:rsidRPr="00B93888" w:rsidRDefault="001B3CBA" w:rsidP="001B3CBA">
      <w:pPr>
        <w:spacing w:after="0" w:line="240" w:lineRule="auto"/>
        <w:ind w:left="709" w:right="709"/>
        <w:jc w:val="both"/>
        <w:rPr>
          <w:rFonts w:ascii="Verdana" w:hAnsi="Verdana"/>
          <w:iCs/>
          <w:sz w:val="20"/>
          <w:szCs w:val="20"/>
        </w:rPr>
      </w:pPr>
    </w:p>
    <w:p w14:paraId="1A75A2FB" w14:textId="77777777" w:rsidR="001B3CBA" w:rsidRPr="00B93888" w:rsidRDefault="001B3CBA" w:rsidP="001B3CBA">
      <w:pPr>
        <w:spacing w:after="0" w:line="240" w:lineRule="auto"/>
        <w:ind w:left="709" w:right="709"/>
        <w:jc w:val="both"/>
        <w:rPr>
          <w:rFonts w:ascii="Verdana" w:hAnsi="Verdana"/>
          <w:iCs/>
          <w:sz w:val="20"/>
          <w:szCs w:val="20"/>
        </w:rPr>
      </w:pPr>
      <w:r w:rsidRPr="00B93888">
        <w:rPr>
          <w:rFonts w:ascii="Verdana" w:hAnsi="Verdana"/>
          <w:iCs/>
          <w:sz w:val="20"/>
          <w:szCs w:val="20"/>
        </w:rPr>
        <w:t>1) Personas naturales con discapacidad que ejerzan una profesión liberal. Esta circunstancia se acreditará mediante la copia de cedula de ciudadanía, la cedula de extranjería o el pasaporte, el certificado de discapacidad expedido de acuerdo con la normativa del Ministerio de Salud y Protección Social, así coma el título profesional correspondiente.</w:t>
      </w:r>
    </w:p>
    <w:p w14:paraId="2DFA30BB" w14:textId="77777777" w:rsidR="001B3CBA" w:rsidRPr="00B93888" w:rsidRDefault="001B3CBA" w:rsidP="001B3CBA">
      <w:pPr>
        <w:spacing w:after="0" w:line="240" w:lineRule="auto"/>
        <w:ind w:left="709" w:right="709"/>
        <w:jc w:val="both"/>
        <w:rPr>
          <w:rFonts w:ascii="Verdana" w:hAnsi="Verdana"/>
          <w:iCs/>
          <w:sz w:val="20"/>
          <w:szCs w:val="20"/>
        </w:rPr>
      </w:pPr>
    </w:p>
    <w:p w14:paraId="722C3C97" w14:textId="77777777" w:rsidR="001B3CBA" w:rsidRPr="00B93888" w:rsidRDefault="001B3CBA" w:rsidP="001B3CBA">
      <w:pPr>
        <w:spacing w:after="0" w:line="240" w:lineRule="auto"/>
        <w:ind w:left="709" w:right="709"/>
        <w:jc w:val="both"/>
        <w:rPr>
          <w:rFonts w:ascii="Verdana" w:hAnsi="Verdana"/>
          <w:iCs/>
          <w:sz w:val="20"/>
          <w:szCs w:val="20"/>
        </w:rPr>
      </w:pPr>
      <w:r w:rsidRPr="00B93888">
        <w:rPr>
          <w:rFonts w:ascii="Verdana" w:hAnsi="Verdana"/>
          <w:iCs/>
          <w:sz w:val="20"/>
          <w:szCs w:val="20"/>
        </w:rPr>
        <w:t xml:space="preserve">2) Personas naturales con discapacidad que hayan realizado actividades comerciales a través de un establecimiento de comercio, durante al menos el </w:t>
      </w:r>
      <w:proofErr w:type="spellStart"/>
      <w:r w:rsidRPr="00B93888">
        <w:rPr>
          <w:rFonts w:ascii="Verdana" w:hAnsi="Verdana"/>
          <w:iCs/>
          <w:sz w:val="20"/>
          <w:szCs w:val="20"/>
        </w:rPr>
        <w:t>ultimo</w:t>
      </w:r>
      <w:proofErr w:type="spellEnd"/>
      <w:r w:rsidRPr="00B93888">
        <w:rPr>
          <w:rFonts w:ascii="Verdana" w:hAnsi="Verdana"/>
          <w:iCs/>
          <w:sz w:val="20"/>
          <w:szCs w:val="20"/>
        </w:rPr>
        <w:t xml:space="preserve"> año anterior a la fecha de cierre del proceso de selección. Esta circunstancia se acreditará mediante la copia de cedula de ciudadanía, la cedula de extranjera o el pasaporte, el certificado de discapacidad expedido de acuerdo con la normativa del Ministerio de Salud y Protección Social, así coma la copia del registro mercantil.</w:t>
      </w:r>
    </w:p>
    <w:p w14:paraId="261D51B6" w14:textId="77777777" w:rsidR="001B3CBA" w:rsidRPr="00B93888" w:rsidRDefault="001B3CBA" w:rsidP="001B3CBA">
      <w:pPr>
        <w:spacing w:after="0" w:line="240" w:lineRule="auto"/>
        <w:ind w:right="709"/>
        <w:jc w:val="both"/>
        <w:rPr>
          <w:rFonts w:ascii="Verdana" w:hAnsi="Verdana"/>
          <w:iCs/>
          <w:sz w:val="20"/>
          <w:szCs w:val="20"/>
        </w:rPr>
      </w:pPr>
    </w:p>
    <w:p w14:paraId="4DD47979" w14:textId="77777777" w:rsidR="001B3CBA" w:rsidRDefault="001B3CBA" w:rsidP="001B3CBA">
      <w:pPr>
        <w:spacing w:after="0" w:line="240" w:lineRule="auto"/>
        <w:ind w:left="709" w:right="709"/>
        <w:jc w:val="both"/>
        <w:rPr>
          <w:rFonts w:ascii="Verdana" w:hAnsi="Verdana"/>
          <w:iCs/>
          <w:sz w:val="20"/>
          <w:szCs w:val="20"/>
        </w:rPr>
      </w:pPr>
      <w:r w:rsidRPr="00B93888">
        <w:rPr>
          <w:rFonts w:ascii="Verdana" w:hAnsi="Verdana"/>
          <w:iCs/>
          <w:sz w:val="20"/>
          <w:szCs w:val="20"/>
        </w:rPr>
        <w:t xml:space="preserve">3) Personas jurídicas donde más del cincuenta por ciento (50%) de sus acciones, partes de interés o cuotas de participación pertenezcan a personas con discapacidad y </w:t>
      </w:r>
      <w:proofErr w:type="gramStart"/>
      <w:r w:rsidRPr="00B93888">
        <w:rPr>
          <w:rFonts w:ascii="Verdana" w:hAnsi="Verdana"/>
          <w:iCs/>
          <w:sz w:val="20"/>
          <w:szCs w:val="20"/>
        </w:rPr>
        <w:t>las derechos</w:t>
      </w:r>
      <w:proofErr w:type="gramEnd"/>
      <w:r w:rsidRPr="00B93888">
        <w:rPr>
          <w:rFonts w:ascii="Verdana" w:hAnsi="Verdana"/>
          <w:iCs/>
          <w:sz w:val="20"/>
          <w:szCs w:val="20"/>
        </w:rPr>
        <w:t xml:space="preserve"> de propiedad hayan pertenecido a estas durante al menos el </w:t>
      </w:r>
      <w:proofErr w:type="spellStart"/>
      <w:r w:rsidRPr="00B93888">
        <w:rPr>
          <w:rFonts w:ascii="Verdana" w:hAnsi="Verdana"/>
          <w:iCs/>
          <w:sz w:val="20"/>
          <w:szCs w:val="20"/>
        </w:rPr>
        <w:t>ultimo</w:t>
      </w:r>
      <w:proofErr w:type="spellEnd"/>
      <w:r w:rsidRPr="00B93888">
        <w:rPr>
          <w:rFonts w:ascii="Verdana" w:hAnsi="Verdana"/>
          <w:iCs/>
          <w:sz w:val="20"/>
          <w:szCs w:val="20"/>
        </w:rPr>
        <w:t xml:space="preserve"> año anterior a la fecha de cierre del Proceso de Selección.</w:t>
      </w:r>
    </w:p>
    <w:p w14:paraId="6B45064C" w14:textId="77777777" w:rsidR="001B3CBA" w:rsidRPr="00B93888" w:rsidRDefault="001B3CBA" w:rsidP="001B3CBA">
      <w:pPr>
        <w:spacing w:after="0" w:line="240" w:lineRule="auto"/>
        <w:ind w:left="709" w:right="709"/>
        <w:jc w:val="both"/>
        <w:rPr>
          <w:rFonts w:ascii="Verdana" w:hAnsi="Verdana"/>
          <w:iCs/>
          <w:sz w:val="20"/>
          <w:szCs w:val="20"/>
        </w:rPr>
      </w:pPr>
    </w:p>
    <w:p w14:paraId="520F8EAA" w14:textId="77777777" w:rsidR="001B3CBA" w:rsidRPr="00B93888" w:rsidRDefault="001B3CBA" w:rsidP="001B3CBA">
      <w:pPr>
        <w:spacing w:after="0" w:line="240" w:lineRule="auto"/>
        <w:ind w:left="709" w:right="709"/>
        <w:jc w:val="both"/>
        <w:rPr>
          <w:rFonts w:ascii="Verdana" w:hAnsi="Verdana"/>
          <w:iCs/>
          <w:sz w:val="20"/>
          <w:szCs w:val="20"/>
        </w:rPr>
      </w:pPr>
      <w:r w:rsidRPr="00B93888">
        <w:rPr>
          <w:rFonts w:ascii="Verdana" w:hAnsi="Verdana"/>
          <w:iCs/>
          <w:sz w:val="20"/>
          <w:szCs w:val="20"/>
        </w:rPr>
        <w:t xml:space="preserve">La circunstancia de la propiedad de la persona jurídica se acreditará mediante certificación expedida por el representante legal y el revisor fiscal, cuando exista, de acuerdo con </w:t>
      </w:r>
      <w:proofErr w:type="gramStart"/>
      <w:r w:rsidRPr="00B93888">
        <w:rPr>
          <w:rFonts w:ascii="Verdana" w:hAnsi="Verdana"/>
          <w:iCs/>
          <w:sz w:val="20"/>
          <w:szCs w:val="20"/>
        </w:rPr>
        <w:t>las requerimientos</w:t>
      </w:r>
      <w:proofErr w:type="gramEnd"/>
      <w:r w:rsidRPr="00B93888">
        <w:rPr>
          <w:rFonts w:ascii="Verdana" w:hAnsi="Verdana"/>
          <w:iCs/>
          <w:sz w:val="20"/>
          <w:szCs w:val="20"/>
        </w:rPr>
        <w:t xml:space="preserve"> de ley o, el contador, donde conste la distribución de </w:t>
      </w:r>
      <w:proofErr w:type="gramStart"/>
      <w:r w:rsidRPr="00B93888">
        <w:rPr>
          <w:rFonts w:ascii="Verdana" w:hAnsi="Verdana"/>
          <w:iCs/>
          <w:sz w:val="20"/>
          <w:szCs w:val="20"/>
        </w:rPr>
        <w:t>las derechos</w:t>
      </w:r>
      <w:proofErr w:type="gramEnd"/>
      <w:r w:rsidRPr="00B93888">
        <w:rPr>
          <w:rFonts w:ascii="Verdana" w:hAnsi="Verdana"/>
          <w:iCs/>
          <w:sz w:val="20"/>
          <w:szCs w:val="20"/>
        </w:rPr>
        <w:t xml:space="preserve"> en la sociedad y el tiempo en el que las personas con discapacidad han mantenido su participación. Adicionalmente se debe adjuntar la copia de cedula de ciudadanía, la cedula de extranjera o el pasaporte, el certificado de discapacidad expedido de acuerdo con la normativa del Ministerio de Salud y Protección Social, así como la copia del certificado de existencia y representación legal</w:t>
      </w:r>
      <w:r>
        <w:rPr>
          <w:rFonts w:ascii="Verdana" w:hAnsi="Verdana"/>
          <w:iCs/>
          <w:sz w:val="20"/>
          <w:szCs w:val="20"/>
        </w:rPr>
        <w:t>.</w:t>
      </w:r>
    </w:p>
    <w:p w14:paraId="39E0EFBE" w14:textId="77777777" w:rsidR="001B3CBA" w:rsidRPr="00B93888" w:rsidRDefault="001B3CBA" w:rsidP="001B3CBA">
      <w:pPr>
        <w:spacing w:after="0" w:line="240" w:lineRule="auto"/>
        <w:ind w:left="709" w:right="709"/>
        <w:jc w:val="both"/>
        <w:rPr>
          <w:rFonts w:ascii="Verdana" w:hAnsi="Verdana"/>
          <w:iCs/>
          <w:sz w:val="20"/>
          <w:szCs w:val="20"/>
        </w:rPr>
      </w:pPr>
    </w:p>
    <w:p w14:paraId="055A19A7" w14:textId="77777777" w:rsidR="001B3CBA" w:rsidRPr="00B93888" w:rsidRDefault="001B3CBA" w:rsidP="001B3CBA">
      <w:pPr>
        <w:spacing w:after="0" w:line="240" w:lineRule="auto"/>
        <w:ind w:left="709" w:right="709"/>
        <w:jc w:val="both"/>
        <w:rPr>
          <w:rFonts w:ascii="Verdana" w:hAnsi="Verdana"/>
          <w:iCs/>
          <w:sz w:val="20"/>
          <w:szCs w:val="20"/>
        </w:rPr>
      </w:pPr>
      <w:r w:rsidRPr="00B93888">
        <w:rPr>
          <w:rFonts w:ascii="Verdana" w:hAnsi="Verdana"/>
          <w:iCs/>
          <w:sz w:val="20"/>
          <w:szCs w:val="20"/>
        </w:rPr>
        <w:t xml:space="preserve">4) Personas jurídicas que tengan vinculadas laboralmente al menos una persona con discapacidad en empleos del nivel directivo de la empresa durante al menos el </w:t>
      </w:r>
      <w:proofErr w:type="spellStart"/>
      <w:r w:rsidRPr="00B93888">
        <w:rPr>
          <w:rFonts w:ascii="Verdana" w:hAnsi="Verdana"/>
          <w:iCs/>
          <w:sz w:val="20"/>
          <w:szCs w:val="20"/>
        </w:rPr>
        <w:t>ultimo</w:t>
      </w:r>
      <w:proofErr w:type="spellEnd"/>
      <w:r w:rsidRPr="00B93888">
        <w:rPr>
          <w:rFonts w:ascii="Verdana" w:hAnsi="Verdana"/>
          <w:iCs/>
          <w:sz w:val="20"/>
          <w:szCs w:val="20"/>
        </w:rPr>
        <w:t xml:space="preserve"> año anterior a la fecha de cierre del Proceso de Selección en el mismo cargo u otro del mismo nivel.</w:t>
      </w:r>
    </w:p>
    <w:p w14:paraId="6C96D609" w14:textId="77777777" w:rsidR="001B3CBA" w:rsidRPr="00B93888" w:rsidRDefault="001B3CBA" w:rsidP="001B3CBA">
      <w:pPr>
        <w:spacing w:after="0" w:line="240" w:lineRule="auto"/>
        <w:ind w:right="709"/>
        <w:jc w:val="both"/>
        <w:rPr>
          <w:rFonts w:ascii="Verdana" w:hAnsi="Verdana"/>
          <w:iCs/>
          <w:sz w:val="20"/>
          <w:szCs w:val="20"/>
        </w:rPr>
      </w:pPr>
    </w:p>
    <w:p w14:paraId="719E0436" w14:textId="77777777" w:rsidR="001B3CBA" w:rsidRPr="00B93888" w:rsidRDefault="001B3CBA" w:rsidP="001B3CBA">
      <w:pPr>
        <w:spacing w:after="0" w:line="240" w:lineRule="auto"/>
        <w:ind w:left="709" w:right="709"/>
        <w:jc w:val="both"/>
        <w:rPr>
          <w:rFonts w:ascii="Verdana" w:hAnsi="Verdana"/>
          <w:iCs/>
          <w:sz w:val="20"/>
          <w:szCs w:val="20"/>
        </w:rPr>
      </w:pPr>
      <w:r w:rsidRPr="00B93888">
        <w:rPr>
          <w:rFonts w:ascii="Verdana" w:hAnsi="Verdana"/>
          <w:iCs/>
          <w:sz w:val="20"/>
          <w:szCs w:val="20"/>
        </w:rPr>
        <w:t>Por otra parte, 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14:paraId="56149004" w14:textId="77777777" w:rsidR="001B3CBA" w:rsidRPr="00B93888" w:rsidRDefault="001B3CBA" w:rsidP="001B3CBA">
      <w:pPr>
        <w:spacing w:after="0" w:line="240" w:lineRule="auto"/>
        <w:ind w:left="709" w:right="709"/>
        <w:jc w:val="both"/>
        <w:rPr>
          <w:rFonts w:ascii="Verdana" w:hAnsi="Verdana"/>
          <w:iCs/>
          <w:sz w:val="20"/>
          <w:szCs w:val="20"/>
        </w:rPr>
      </w:pPr>
    </w:p>
    <w:p w14:paraId="6DE5C1CB" w14:textId="77777777" w:rsidR="001B3CBA" w:rsidRPr="00B93888" w:rsidRDefault="001B3CBA" w:rsidP="001B3CBA">
      <w:pPr>
        <w:spacing w:after="0" w:line="240" w:lineRule="auto"/>
        <w:ind w:left="709" w:right="709"/>
        <w:jc w:val="both"/>
        <w:rPr>
          <w:rFonts w:ascii="Verdana" w:hAnsi="Verdana"/>
          <w:iCs/>
          <w:sz w:val="20"/>
          <w:szCs w:val="20"/>
        </w:rPr>
      </w:pPr>
      <w:r w:rsidRPr="00B93888">
        <w:rPr>
          <w:rFonts w:ascii="Verdana" w:hAnsi="Verdana"/>
          <w:iCs/>
          <w:sz w:val="20"/>
          <w:szCs w:val="20"/>
        </w:rPr>
        <w:lastRenderedPageBreak/>
        <w:t>Esta circunstancia se acreditará mediante certificación expedida por el representante legal y el revisor fiscal, cuando exista de acuerdo con los requerimientos de ley, o el contador, donde se señale de manera detallada las personas con discapacidad que ocupan cargos de nivel directivo del proponente y el tiempo de vinculación.</w:t>
      </w:r>
    </w:p>
    <w:p w14:paraId="22486882" w14:textId="77777777" w:rsidR="001B3CBA" w:rsidRPr="00B93888" w:rsidRDefault="001B3CBA" w:rsidP="001B3CBA">
      <w:pPr>
        <w:spacing w:after="0" w:line="240" w:lineRule="auto"/>
        <w:ind w:right="709"/>
        <w:jc w:val="both"/>
        <w:rPr>
          <w:rFonts w:ascii="Verdana" w:hAnsi="Verdana"/>
          <w:iCs/>
          <w:sz w:val="20"/>
          <w:szCs w:val="20"/>
        </w:rPr>
      </w:pPr>
    </w:p>
    <w:p w14:paraId="4EDDFC19" w14:textId="77777777" w:rsidR="001B3CBA" w:rsidRPr="00B93888" w:rsidRDefault="001B3CBA" w:rsidP="001B3CBA">
      <w:pPr>
        <w:spacing w:after="0" w:line="240" w:lineRule="auto"/>
        <w:ind w:left="709" w:right="709"/>
        <w:jc w:val="both"/>
        <w:rPr>
          <w:rFonts w:ascii="Verdana" w:hAnsi="Verdana"/>
          <w:iCs/>
          <w:sz w:val="20"/>
          <w:szCs w:val="20"/>
        </w:rPr>
      </w:pPr>
      <w:r w:rsidRPr="00B93888">
        <w:rPr>
          <w:rFonts w:ascii="Verdana" w:hAnsi="Verdana"/>
          <w:iCs/>
          <w:sz w:val="20"/>
          <w:szCs w:val="20"/>
        </w:rPr>
        <w:t>La certificación deberá relacionar el nombre completo y el número de documento de identidad de las personas con discapacidad que ocupan cargos de nivel directivo del proponente.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 y el certificado de discapacidad expedido de acuerdo con la normativa del Ministerio de Salud y Protección Social</w:t>
      </w:r>
      <w:r>
        <w:rPr>
          <w:rFonts w:ascii="Verdana" w:hAnsi="Verdana"/>
          <w:iCs/>
          <w:sz w:val="20"/>
          <w:szCs w:val="20"/>
        </w:rPr>
        <w:t>.</w:t>
      </w:r>
    </w:p>
    <w:p w14:paraId="351D1FC1" w14:textId="77777777" w:rsidR="001B3CBA" w:rsidRPr="00B93888" w:rsidRDefault="001B3CBA" w:rsidP="001B3CBA">
      <w:pPr>
        <w:spacing w:after="0" w:line="240" w:lineRule="auto"/>
        <w:ind w:left="709" w:right="709"/>
        <w:jc w:val="both"/>
        <w:rPr>
          <w:rFonts w:ascii="Verdana" w:hAnsi="Verdana"/>
          <w:iCs/>
          <w:sz w:val="20"/>
          <w:szCs w:val="20"/>
        </w:rPr>
      </w:pPr>
    </w:p>
    <w:p w14:paraId="3957EC55" w14:textId="77777777" w:rsidR="001B3CBA" w:rsidRDefault="001B3CBA" w:rsidP="001B3CBA">
      <w:pPr>
        <w:spacing w:after="0" w:line="240" w:lineRule="auto"/>
        <w:ind w:left="709" w:right="709"/>
        <w:jc w:val="both"/>
        <w:rPr>
          <w:rFonts w:ascii="Verdana" w:eastAsia="Calibri" w:hAnsi="Verdana" w:cs="Arial"/>
          <w:color w:val="000000"/>
          <w:lang w:val="es-ES" w:eastAsia="es-ES_tradnl"/>
        </w:rPr>
      </w:pPr>
      <w:r w:rsidRPr="00B93888">
        <w:rPr>
          <w:rFonts w:ascii="Verdana" w:hAnsi="Verdana"/>
          <w:iCs/>
          <w:sz w:val="20"/>
          <w:szCs w:val="20"/>
        </w:rPr>
        <w:t>PARÁGRAFO. Respecto de los incentivos contractuales para los emprendimientos y empresas de personas con discapacidad, las certificaciones de que trata el presente artículo deben expedirse bajo la gravedad de juramento con una fecha de máxima treinta (30) días calendario anteriores a la prevista para el cierre del procedimiento de selección.</w:t>
      </w:r>
    </w:p>
    <w:p w14:paraId="7D123BB6" w14:textId="77777777" w:rsidR="001B3CBA" w:rsidRDefault="001B3CBA" w:rsidP="001B3CBA">
      <w:pPr>
        <w:spacing w:after="120" w:line="276" w:lineRule="auto"/>
        <w:ind w:firstLine="709"/>
        <w:jc w:val="both"/>
        <w:rPr>
          <w:rFonts w:ascii="Verdana" w:eastAsia="Calibri" w:hAnsi="Verdana" w:cs="Arial"/>
          <w:color w:val="000000"/>
          <w:lang w:val="es-ES" w:eastAsia="es-ES_tradnl"/>
        </w:rPr>
      </w:pPr>
    </w:p>
    <w:p w14:paraId="3F89B638" w14:textId="77777777" w:rsidR="001B3CBA" w:rsidRPr="007149A1" w:rsidRDefault="001B3CBA" w:rsidP="001B3CBA">
      <w:pPr>
        <w:spacing w:after="120" w:line="276" w:lineRule="auto"/>
        <w:ind w:firstLine="709"/>
        <w:jc w:val="both"/>
        <w:rPr>
          <w:rFonts w:ascii="Verdana" w:eastAsia="Calibri" w:hAnsi="Verdana" w:cs="Arial"/>
          <w:color w:val="000000"/>
          <w:lang w:val="es-ES" w:eastAsia="es-ES_tradnl"/>
        </w:rPr>
      </w:pPr>
      <w:r w:rsidRPr="007149A1">
        <w:rPr>
          <w:rFonts w:ascii="Verdana" w:eastAsia="Calibri" w:hAnsi="Verdana" w:cs="Arial"/>
          <w:color w:val="000000"/>
          <w:lang w:val="es-ES" w:eastAsia="es-ES_tradnl"/>
        </w:rPr>
        <w:t xml:space="preserve">De acuerdo con lo establecido en este artículo, para efectos de la aplicación de </w:t>
      </w:r>
      <w:r>
        <w:rPr>
          <w:rFonts w:ascii="Verdana" w:eastAsia="Calibri" w:hAnsi="Verdana" w:cs="Arial"/>
          <w:color w:val="000000"/>
          <w:lang w:val="es-ES" w:eastAsia="es-ES_tradnl"/>
        </w:rPr>
        <w:t>estas medidas afirmativas</w:t>
      </w:r>
      <w:r w:rsidRPr="007149A1">
        <w:rPr>
          <w:rFonts w:ascii="Verdana" w:eastAsia="Calibri" w:hAnsi="Verdana" w:cs="Arial"/>
          <w:color w:val="000000"/>
          <w:lang w:val="es-ES" w:eastAsia="es-ES_tradnl"/>
        </w:rPr>
        <w:t xml:space="preserve">, son considerados emprendimientos y empresas de </w:t>
      </w:r>
      <w:r>
        <w:rPr>
          <w:rFonts w:ascii="Verdana" w:eastAsia="Calibri" w:hAnsi="Verdana" w:cs="Arial"/>
          <w:color w:val="000000"/>
          <w:lang w:val="es-ES" w:eastAsia="es-ES_tradnl"/>
        </w:rPr>
        <w:t>personas con discapacidad</w:t>
      </w:r>
      <w:r w:rsidRPr="007149A1">
        <w:rPr>
          <w:rFonts w:ascii="Verdana" w:eastAsia="Calibri" w:hAnsi="Verdana" w:cs="Arial"/>
          <w:color w:val="000000"/>
          <w:lang w:val="es-ES" w:eastAsia="es-ES_tradnl"/>
        </w:rPr>
        <w:t xml:space="preserve"> aquellas personas jurídicas o naturales que cumplan con alguno de los cuatro supuestos de hecho previstos en la norma citada y acrediten estos supuestos con los documentos previstos para ello. </w:t>
      </w:r>
    </w:p>
    <w:p w14:paraId="21205AFC" w14:textId="77777777" w:rsidR="001B3CBA" w:rsidRDefault="001B3CBA" w:rsidP="001B3CBA">
      <w:pPr>
        <w:spacing w:after="120" w:line="276" w:lineRule="auto"/>
        <w:ind w:firstLine="709"/>
        <w:jc w:val="both"/>
        <w:rPr>
          <w:rFonts w:ascii="Verdana" w:eastAsia="Calibri" w:hAnsi="Verdana" w:cs="Arial"/>
          <w:color w:val="000000"/>
          <w:lang w:val="es-ES" w:eastAsia="es-ES"/>
        </w:rPr>
      </w:pPr>
      <w:r w:rsidRPr="007149A1">
        <w:rPr>
          <w:rFonts w:ascii="Verdana" w:eastAsia="Calibri" w:hAnsi="Verdana" w:cs="Arial"/>
          <w:color w:val="000000"/>
          <w:lang w:val="es-ES" w:eastAsia="es-ES"/>
        </w:rPr>
        <w:t xml:space="preserve">De la revisión de todos los numerales </w:t>
      </w:r>
      <w:r w:rsidRPr="009C5FE6">
        <w:rPr>
          <w:rFonts w:ascii="Verdana" w:eastAsia="Calibri" w:hAnsi="Verdana" w:cs="Arial"/>
          <w:color w:val="000000"/>
          <w:lang w:val="es-ES" w:eastAsia="es-ES"/>
        </w:rPr>
        <w:t xml:space="preserve">del artículo </w:t>
      </w:r>
      <w:r w:rsidRPr="001B3C5D">
        <w:rPr>
          <w:rFonts w:ascii="Verdana" w:eastAsia="Aptos" w:hAnsi="Verdana" w:cs="Times New Roman"/>
          <w:kern w:val="2"/>
          <w14:ligatures w14:val="standardContextual"/>
        </w:rPr>
        <w:t>2.2.1.2.4.2.6</w:t>
      </w:r>
      <w:r>
        <w:rPr>
          <w:rFonts w:ascii="Verdana" w:eastAsia="Aptos" w:hAnsi="Verdana" w:cs="Times New Roman"/>
          <w:kern w:val="2"/>
          <w14:ligatures w14:val="standardContextual"/>
        </w:rPr>
        <w:t xml:space="preserve"> </w:t>
      </w:r>
      <w:r w:rsidRPr="009C5FE6">
        <w:rPr>
          <w:rFonts w:ascii="Verdana" w:eastAsia="Calibri" w:hAnsi="Verdana" w:cs="Arial"/>
          <w:color w:val="000000"/>
          <w:lang w:val="es-ES" w:eastAsia="es-ES"/>
        </w:rPr>
        <w:t>es posible advertir que para cada uno de estos fueron expresamente establecidos los documentos que sirven como medio para su acreditación. De este modo</w:t>
      </w:r>
      <w:r>
        <w:rPr>
          <w:rFonts w:ascii="Verdana" w:eastAsia="Calibri" w:hAnsi="Verdana" w:cs="Arial"/>
          <w:color w:val="000000"/>
          <w:lang w:val="es-ES" w:eastAsia="es-ES"/>
        </w:rPr>
        <w:t>,</w:t>
      </w:r>
      <w:r w:rsidRPr="009C5FE6">
        <w:rPr>
          <w:rFonts w:ascii="Verdana" w:eastAsia="Calibri" w:hAnsi="Verdana" w:cs="Arial"/>
          <w:color w:val="000000"/>
          <w:lang w:val="es-ES" w:eastAsia="es-ES"/>
        </w:rPr>
        <w:t xml:space="preserve"> dichos </w:t>
      </w:r>
      <w:r w:rsidRPr="009C5FE6">
        <w:rPr>
          <w:rFonts w:ascii="Verdana" w:eastAsia="Calibri" w:hAnsi="Verdana" w:cs="Arial"/>
          <w:lang w:val="es-ES" w:eastAsia="es-ES"/>
        </w:rPr>
        <w:t xml:space="preserve">documentos constituyen una tarifa legal probatoria para demostrar que los proponentes son emprendimientos o empresas de </w:t>
      </w:r>
      <w:r>
        <w:rPr>
          <w:rFonts w:ascii="Verdana" w:eastAsia="Calibri" w:hAnsi="Verdana" w:cs="Arial"/>
          <w:lang w:val="es-ES" w:eastAsia="es-ES"/>
        </w:rPr>
        <w:t>personas con discapacidad</w:t>
      </w:r>
      <w:r w:rsidRPr="009C5FE6">
        <w:rPr>
          <w:rFonts w:ascii="Verdana" w:eastAsia="Calibri" w:hAnsi="Verdana" w:cs="Arial"/>
          <w:lang w:val="es-ES" w:eastAsia="es-ES"/>
        </w:rPr>
        <w:t xml:space="preserve"> que, por lo tanto, tienen derecho a la aplicación de l</w:t>
      </w:r>
      <w:r>
        <w:rPr>
          <w:rFonts w:ascii="Verdana" w:eastAsia="Calibri" w:hAnsi="Verdana" w:cs="Arial"/>
          <w:lang w:val="es-ES" w:eastAsia="es-ES"/>
        </w:rPr>
        <w:t>as medidas afirmativas</w:t>
      </w:r>
      <w:r w:rsidRPr="009C5FE6">
        <w:rPr>
          <w:rFonts w:ascii="Verdana" w:eastAsia="Calibri" w:hAnsi="Verdana" w:cs="Arial"/>
          <w:lang w:val="es-ES" w:eastAsia="es-ES"/>
        </w:rPr>
        <w:t xml:space="preserve"> reglamentados </w:t>
      </w:r>
      <w:r>
        <w:rPr>
          <w:rFonts w:ascii="Verdana" w:eastAsia="Calibri" w:hAnsi="Verdana" w:cs="Arial"/>
          <w:lang w:val="es-ES" w:eastAsia="es-ES"/>
        </w:rPr>
        <w:t xml:space="preserve">en el decreto 287 de 2026. </w:t>
      </w:r>
    </w:p>
    <w:p w14:paraId="714F4AD0" w14:textId="77777777" w:rsidR="001B3CBA" w:rsidRPr="002C0A41" w:rsidRDefault="001B3CBA" w:rsidP="19C2847C">
      <w:pPr>
        <w:spacing w:after="120" w:line="276" w:lineRule="auto"/>
        <w:ind w:firstLine="709"/>
        <w:jc w:val="both"/>
        <w:rPr>
          <w:rFonts w:ascii="Verdana" w:eastAsia="Calibri" w:hAnsi="Verdana" w:cs="Arial"/>
          <w:lang w:val="es-ES" w:eastAsia="es-ES"/>
        </w:rPr>
      </w:pPr>
      <w:r w:rsidRPr="19C2847C">
        <w:rPr>
          <w:rFonts w:ascii="Verdana" w:eastAsia="Calibri" w:hAnsi="Verdana" w:cs="Arial"/>
          <w:lang w:val="es-ES" w:eastAsia="es-ES"/>
        </w:rPr>
        <w:t xml:space="preserve">Conforme con lo anterior, se puede concluir que, el artículo en comento reglamentó </w:t>
      </w:r>
      <w:proofErr w:type="gramStart"/>
      <w:r w:rsidRPr="19C2847C">
        <w:rPr>
          <w:rFonts w:ascii="Verdana" w:eastAsia="Calibri" w:hAnsi="Verdana" w:cs="Arial"/>
          <w:i/>
          <w:iCs/>
          <w:lang w:val="es-ES" w:eastAsia="es-ES"/>
        </w:rPr>
        <w:t>in extenso</w:t>
      </w:r>
      <w:proofErr w:type="gramEnd"/>
      <w:r w:rsidRPr="19C2847C">
        <w:rPr>
          <w:rFonts w:ascii="Verdana" w:eastAsia="Calibri" w:hAnsi="Verdana" w:cs="Arial"/>
          <w:i/>
          <w:iCs/>
          <w:lang w:val="es-ES" w:eastAsia="es-ES"/>
        </w:rPr>
        <w:t xml:space="preserve"> </w:t>
      </w:r>
      <w:r w:rsidRPr="19C2847C">
        <w:rPr>
          <w:rFonts w:ascii="Verdana" w:eastAsia="Calibri" w:hAnsi="Verdana" w:cs="Arial"/>
          <w:lang w:val="es-ES" w:eastAsia="es-ES"/>
        </w:rPr>
        <w:t xml:space="preserve">la forma de acreditar las circunstancias, los medios de prueba requeridos en cada evento y las autoridades que pueden emitir estos documentos, por lo que las entidades contratantes deberán acudir a su contenido detallado para la aplicación de cada medida afirmativa. En efecto, los numerales </w:t>
      </w:r>
      <w:r w:rsidRPr="19C2847C">
        <w:rPr>
          <w:rFonts w:ascii="Verdana" w:eastAsia="Calibri" w:hAnsi="Verdana" w:cs="Arial"/>
          <w:lang w:val="es-ES" w:eastAsia="es-ES"/>
        </w:rPr>
        <w:lastRenderedPageBreak/>
        <w:t>1 y 2 regulan los supuestos aplicables a las personas naturales con discapacidad. El numeral 1 se refiere a aquellas que ejerzan una profesión liberal, condición que se acredita mediante copia del documento de identidad (cédula de ciudadanía, cédula de extranjería o pasaporte), el certificado de discapacidad expedido conforme a la normativa del Ministerio de Salud y Protección Social y el correspondiente título profesional. Por su parte, el numeral 2 contempla a las personas naturales con discapacidad que hayan desarrollado actividades comerciales a través de un establecimiento de comercio durante, por lo menos, un (1) año anterior a la fecha de cierre del proceso de selección. Para acreditar esta condición se exige copia del documento de identidad, el certificado de discapacidad expedido conforme a la normativa del Ministerio de Salud y Protección Social y copia del registro mercantil.</w:t>
      </w:r>
    </w:p>
    <w:p w14:paraId="09F60287" w14:textId="77777777" w:rsidR="001B3CBA" w:rsidRPr="002C0A41" w:rsidRDefault="001B3CBA" w:rsidP="001B3CBA">
      <w:pPr>
        <w:spacing w:after="120" w:line="276" w:lineRule="auto"/>
        <w:ind w:firstLine="709"/>
        <w:jc w:val="both"/>
        <w:rPr>
          <w:rFonts w:ascii="Verdana" w:eastAsia="Calibri" w:hAnsi="Verdana" w:cs="Arial"/>
          <w:szCs w:val="24"/>
          <w:lang w:val="es-ES_tradnl" w:eastAsia="es-ES_tradnl"/>
        </w:rPr>
      </w:pPr>
      <w:r w:rsidRPr="002C0A41">
        <w:rPr>
          <w:rFonts w:ascii="Verdana" w:eastAsia="Calibri" w:hAnsi="Verdana" w:cs="Arial"/>
          <w:szCs w:val="24"/>
          <w:lang w:val="es-ES_tradnl" w:eastAsia="es-ES_tradnl"/>
        </w:rPr>
        <w:t xml:space="preserve">En segundo lugar, los numerales 3 y 4 regulan los supuestos aplicables a las personas jurídicas. El numeral 3 comprende aquellas en las cuales más del cincuenta por ciento (50 %) de las acciones, partes de interés o cuotas de participación pertenezcan a personas con discapacidad y cuyos derechos de propiedad hayan </w:t>
      </w:r>
      <w:r>
        <w:rPr>
          <w:rFonts w:ascii="Verdana" w:eastAsia="Calibri" w:hAnsi="Verdana" w:cs="Arial"/>
          <w:szCs w:val="24"/>
          <w:lang w:val="es-ES_tradnl" w:eastAsia="es-ES_tradnl"/>
        </w:rPr>
        <w:t>pertenecido a estas</w:t>
      </w:r>
      <w:r w:rsidRPr="002C0A41">
        <w:rPr>
          <w:rFonts w:ascii="Verdana" w:eastAsia="Calibri" w:hAnsi="Verdana" w:cs="Arial"/>
          <w:szCs w:val="24"/>
          <w:lang w:val="es-ES_tradnl" w:eastAsia="es-ES_tradnl"/>
        </w:rPr>
        <w:t xml:space="preserve"> durante, al menos, el último año anterior a la fecha de cierre del proceso de selección. Esta circunstancia debe acreditarse mediante certificación expedida por el representante legal y el revisor fiscal, cuando exista, copia de los documentos de identidad de las personas con discapacidad, el correspondiente certificado de discapacidad expedido conforme a la normativa del Ministerio de Salud y Protección Social y copia del certificado de existencia y representación legal.</w:t>
      </w:r>
    </w:p>
    <w:p w14:paraId="3DCBBD59" w14:textId="77777777" w:rsidR="001B3CBA" w:rsidRPr="00EB0A54" w:rsidRDefault="001B3CBA" w:rsidP="001B3CBA">
      <w:pPr>
        <w:spacing w:after="120" w:line="276" w:lineRule="auto"/>
        <w:ind w:firstLine="709"/>
        <w:jc w:val="both"/>
        <w:rPr>
          <w:rFonts w:ascii="Verdana" w:eastAsia="Calibri" w:hAnsi="Verdana" w:cs="Arial"/>
          <w:color w:val="000000"/>
          <w:lang w:val="es-ES" w:eastAsia="es-ES"/>
        </w:rPr>
      </w:pPr>
      <w:r w:rsidRPr="002C0A41">
        <w:rPr>
          <w:rFonts w:ascii="Verdana" w:eastAsia="Calibri" w:hAnsi="Verdana" w:cs="Arial"/>
          <w:szCs w:val="24"/>
          <w:lang w:val="es-ES_tradnl" w:eastAsia="es-ES_tradnl"/>
        </w:rPr>
        <w:t>Por su parte, el numeral 4 comprende a las personas jurídicas que tengan vinculada laboralmente, por lo menos, una persona con discapacidad en un cargo del nivel directivo durante el último año anterior a la fecha de cierre del proceso de selección. Para acreditar esta condición deberán aportar certificación expedida por el representante legal y el revisor fiscal, cuando exista, copia de los documentos de identidad correspondientes, copia de los contratos de trabajo o certificación laboral en la que consten las funciones desempeñadas, el certificado de aportes al sistema de seguridad social y el correspondiente certificado de discapacidad expedido conforme a la normativa del Ministerio de Salud y Protección Social.</w:t>
      </w:r>
    </w:p>
    <w:p w14:paraId="4C2BE409" w14:textId="77777777" w:rsidR="001B3CBA" w:rsidRPr="007149A1" w:rsidRDefault="001B3CBA" w:rsidP="001B3CBA">
      <w:pPr>
        <w:spacing w:after="120" w:line="276" w:lineRule="auto"/>
        <w:ind w:firstLine="708"/>
        <w:jc w:val="both"/>
        <w:rPr>
          <w:rFonts w:ascii="Verdana" w:eastAsia="Arial" w:hAnsi="Verdana" w:cs="Arial"/>
        </w:rPr>
      </w:pPr>
      <w:r w:rsidRPr="007149A1">
        <w:rPr>
          <w:rFonts w:ascii="Verdana" w:eastAsia="Arial" w:hAnsi="Verdana" w:cs="Arial"/>
        </w:rPr>
        <w:t>Sin perjuicio de lo anterior,</w:t>
      </w:r>
      <w:r w:rsidRPr="007149A1">
        <w:rPr>
          <w:rFonts w:ascii="Verdana" w:eastAsia="Arial" w:hAnsi="Verdana" w:cs="Arial"/>
          <w:spacing w:val="1"/>
        </w:rPr>
        <w:t xml:space="preserve"> </w:t>
      </w:r>
      <w:r w:rsidRPr="007149A1">
        <w:rPr>
          <w:rFonts w:ascii="Verdana" w:eastAsia="Arial" w:hAnsi="Verdana" w:cs="Arial"/>
        </w:rPr>
        <w:t>la sola presentación</w:t>
      </w:r>
      <w:r w:rsidRPr="007149A1">
        <w:rPr>
          <w:rFonts w:ascii="Verdana" w:eastAsia="Arial" w:hAnsi="Verdana" w:cs="Arial"/>
          <w:spacing w:val="1"/>
        </w:rPr>
        <w:t xml:space="preserve"> </w:t>
      </w:r>
      <w:r w:rsidRPr="007149A1">
        <w:rPr>
          <w:rFonts w:ascii="Verdana" w:eastAsia="Arial" w:hAnsi="Verdana" w:cs="Arial"/>
        </w:rPr>
        <w:t>de l</w:t>
      </w:r>
      <w:r>
        <w:rPr>
          <w:rFonts w:ascii="Verdana" w:eastAsia="Arial" w:hAnsi="Verdana" w:cs="Arial"/>
        </w:rPr>
        <w:t xml:space="preserve">as certificaciones y documentos señalados </w:t>
      </w:r>
      <w:r w:rsidRPr="007149A1">
        <w:rPr>
          <w:rFonts w:ascii="Verdana" w:eastAsia="Arial" w:hAnsi="Verdana" w:cs="Arial"/>
        </w:rPr>
        <w:t>no confiere automáticamente el acceso a l</w:t>
      </w:r>
      <w:r>
        <w:rPr>
          <w:rFonts w:ascii="Verdana" w:eastAsia="Arial" w:hAnsi="Verdana" w:cs="Arial"/>
        </w:rPr>
        <w:t xml:space="preserve">as medidas </w:t>
      </w:r>
      <w:r>
        <w:rPr>
          <w:rFonts w:ascii="Verdana" w:eastAsia="Arial" w:hAnsi="Verdana" w:cs="Arial"/>
        </w:rPr>
        <w:lastRenderedPageBreak/>
        <w:t>afirmativas</w:t>
      </w:r>
      <w:r w:rsidRPr="007149A1">
        <w:rPr>
          <w:rFonts w:ascii="Verdana" w:eastAsia="Arial" w:hAnsi="Verdana" w:cs="Arial"/>
        </w:rPr>
        <w:t>. Esto por cuanto es deber</w:t>
      </w:r>
      <w:r w:rsidRPr="007149A1">
        <w:rPr>
          <w:rFonts w:ascii="Verdana" w:eastAsia="Arial" w:hAnsi="Verdana" w:cs="Arial"/>
          <w:spacing w:val="-7"/>
        </w:rPr>
        <w:t xml:space="preserve"> </w:t>
      </w:r>
      <w:r w:rsidRPr="007149A1">
        <w:rPr>
          <w:rFonts w:ascii="Verdana" w:eastAsia="Arial" w:hAnsi="Verdana" w:cs="Arial"/>
        </w:rPr>
        <w:t>de</w:t>
      </w:r>
      <w:r w:rsidRPr="007149A1">
        <w:rPr>
          <w:rFonts w:ascii="Verdana" w:eastAsia="Arial" w:hAnsi="Verdana" w:cs="Arial"/>
          <w:spacing w:val="-7"/>
        </w:rPr>
        <w:t xml:space="preserve"> </w:t>
      </w:r>
      <w:r w:rsidRPr="007149A1">
        <w:rPr>
          <w:rFonts w:ascii="Verdana" w:eastAsia="Arial" w:hAnsi="Verdana" w:cs="Arial"/>
        </w:rPr>
        <w:t>la</w:t>
      </w:r>
      <w:r w:rsidRPr="007149A1">
        <w:rPr>
          <w:rFonts w:ascii="Verdana" w:eastAsia="Arial" w:hAnsi="Verdana" w:cs="Arial"/>
          <w:spacing w:val="-7"/>
        </w:rPr>
        <w:t xml:space="preserve"> </w:t>
      </w:r>
      <w:r w:rsidRPr="007149A1">
        <w:rPr>
          <w:rFonts w:ascii="Verdana" w:eastAsia="Arial" w:hAnsi="Verdana" w:cs="Arial"/>
        </w:rPr>
        <w:t>entidad</w:t>
      </w:r>
      <w:r w:rsidRPr="007149A1">
        <w:rPr>
          <w:rFonts w:ascii="Verdana" w:eastAsia="Arial" w:hAnsi="Verdana" w:cs="Arial"/>
          <w:spacing w:val="-7"/>
        </w:rPr>
        <w:t xml:space="preserve"> </w:t>
      </w:r>
      <w:r w:rsidRPr="007149A1">
        <w:rPr>
          <w:rFonts w:ascii="Verdana" w:eastAsia="Arial" w:hAnsi="Verdana" w:cs="Arial"/>
        </w:rPr>
        <w:t>verificar</w:t>
      </w:r>
      <w:r w:rsidRPr="007149A1">
        <w:rPr>
          <w:rFonts w:ascii="Verdana" w:eastAsia="Arial" w:hAnsi="Verdana" w:cs="Arial"/>
          <w:spacing w:val="-7"/>
        </w:rPr>
        <w:t xml:space="preserve"> </w:t>
      </w:r>
      <w:r w:rsidRPr="007149A1">
        <w:rPr>
          <w:rFonts w:ascii="Verdana" w:eastAsia="Arial" w:hAnsi="Verdana" w:cs="Arial"/>
        </w:rPr>
        <w:t>que</w:t>
      </w:r>
      <w:r w:rsidRPr="007149A1">
        <w:rPr>
          <w:rFonts w:ascii="Verdana" w:eastAsia="Arial" w:hAnsi="Verdana" w:cs="Arial"/>
          <w:spacing w:val="-7"/>
        </w:rPr>
        <w:t xml:space="preserve"> </w:t>
      </w:r>
      <w:r w:rsidRPr="007149A1">
        <w:rPr>
          <w:rFonts w:ascii="Verdana" w:eastAsia="Arial" w:hAnsi="Verdana" w:cs="Arial"/>
        </w:rPr>
        <w:t>los</w:t>
      </w:r>
      <w:r w:rsidRPr="007149A1">
        <w:rPr>
          <w:rFonts w:ascii="Verdana" w:eastAsia="Arial" w:hAnsi="Verdana" w:cs="Arial"/>
          <w:spacing w:val="-7"/>
        </w:rPr>
        <w:t xml:space="preserve"> </w:t>
      </w:r>
      <w:r w:rsidRPr="007149A1">
        <w:rPr>
          <w:rFonts w:ascii="Verdana" w:eastAsia="Arial" w:hAnsi="Verdana" w:cs="Arial"/>
        </w:rPr>
        <w:t>documentos</w:t>
      </w:r>
      <w:r w:rsidRPr="007149A1">
        <w:rPr>
          <w:rFonts w:ascii="Verdana" w:eastAsia="Arial" w:hAnsi="Verdana" w:cs="Arial"/>
          <w:spacing w:val="-7"/>
        </w:rPr>
        <w:t xml:space="preserve"> </w:t>
      </w:r>
      <w:r w:rsidRPr="007149A1">
        <w:rPr>
          <w:rFonts w:ascii="Verdana" w:eastAsia="Arial" w:hAnsi="Verdana" w:cs="Arial"/>
        </w:rPr>
        <w:t>presentados</w:t>
      </w:r>
      <w:r w:rsidRPr="007149A1">
        <w:rPr>
          <w:rFonts w:ascii="Verdana" w:eastAsia="Arial" w:hAnsi="Verdana" w:cs="Arial"/>
          <w:spacing w:val="-7"/>
        </w:rPr>
        <w:t xml:space="preserve"> </w:t>
      </w:r>
      <w:r w:rsidRPr="007149A1">
        <w:rPr>
          <w:rFonts w:ascii="Verdana" w:eastAsia="Arial" w:hAnsi="Verdana" w:cs="Arial"/>
        </w:rPr>
        <w:t>acrediten</w:t>
      </w:r>
      <w:r w:rsidRPr="007149A1">
        <w:rPr>
          <w:rFonts w:ascii="Verdana" w:eastAsia="Arial" w:hAnsi="Verdana" w:cs="Arial"/>
          <w:spacing w:val="-7"/>
        </w:rPr>
        <w:t xml:space="preserve"> </w:t>
      </w:r>
      <w:r w:rsidRPr="007149A1">
        <w:rPr>
          <w:rFonts w:ascii="Verdana" w:eastAsia="Arial" w:hAnsi="Verdana" w:cs="Arial"/>
        </w:rPr>
        <w:t>las</w:t>
      </w:r>
      <w:r w:rsidRPr="007149A1">
        <w:rPr>
          <w:rFonts w:ascii="Verdana" w:eastAsia="Arial" w:hAnsi="Verdana" w:cs="Arial"/>
          <w:spacing w:val="-7"/>
        </w:rPr>
        <w:t xml:space="preserve"> </w:t>
      </w:r>
      <w:r w:rsidRPr="007149A1">
        <w:rPr>
          <w:rFonts w:ascii="Verdana" w:eastAsia="Arial" w:hAnsi="Verdana" w:cs="Arial"/>
        </w:rPr>
        <w:t>condiciones</w:t>
      </w:r>
      <w:r w:rsidRPr="007149A1">
        <w:rPr>
          <w:rFonts w:ascii="Verdana" w:eastAsia="Arial" w:hAnsi="Verdana" w:cs="Arial"/>
          <w:spacing w:val="-7"/>
        </w:rPr>
        <w:t xml:space="preserve"> </w:t>
      </w:r>
      <w:r w:rsidRPr="007149A1">
        <w:rPr>
          <w:rFonts w:ascii="Verdana" w:eastAsia="Arial" w:hAnsi="Verdana" w:cs="Arial"/>
        </w:rPr>
        <w:t>descritas en</w:t>
      </w:r>
      <w:r>
        <w:rPr>
          <w:rFonts w:ascii="Verdana" w:eastAsia="Arial" w:hAnsi="Verdana" w:cs="Arial"/>
        </w:rPr>
        <w:t xml:space="preserve"> cada uno de los numerales </w:t>
      </w:r>
      <w:r w:rsidRPr="007149A1">
        <w:rPr>
          <w:rFonts w:ascii="Verdana" w:eastAsia="Arial" w:hAnsi="Verdana" w:cs="Arial"/>
        </w:rPr>
        <w:t>del</w:t>
      </w:r>
      <w:r w:rsidRPr="007149A1">
        <w:rPr>
          <w:rFonts w:ascii="Verdana" w:eastAsia="Arial" w:hAnsi="Verdana" w:cs="Arial"/>
          <w:spacing w:val="-3"/>
        </w:rPr>
        <w:t xml:space="preserve"> </w:t>
      </w:r>
      <w:r w:rsidRPr="007149A1">
        <w:rPr>
          <w:rFonts w:ascii="Verdana" w:eastAsia="Arial" w:hAnsi="Verdana" w:cs="Arial"/>
        </w:rPr>
        <w:t>artículo</w:t>
      </w:r>
      <w:r w:rsidRPr="007149A1">
        <w:rPr>
          <w:rFonts w:ascii="Verdana" w:eastAsia="Arial" w:hAnsi="Verdana" w:cs="Arial"/>
          <w:spacing w:val="-2"/>
        </w:rPr>
        <w:t xml:space="preserve"> </w:t>
      </w:r>
      <w:r w:rsidRPr="001B3C5D">
        <w:rPr>
          <w:rFonts w:ascii="Verdana" w:eastAsia="Aptos" w:hAnsi="Verdana" w:cs="Times New Roman"/>
          <w:kern w:val="2"/>
          <w14:ligatures w14:val="standardContextual"/>
        </w:rPr>
        <w:t>2.2.1.2.4.2.6</w:t>
      </w:r>
      <w:r>
        <w:rPr>
          <w:rFonts w:ascii="Verdana" w:eastAsia="Aptos" w:hAnsi="Verdana" w:cs="Times New Roman"/>
          <w:kern w:val="2"/>
          <w14:ligatures w14:val="standardContextual"/>
        </w:rPr>
        <w:t xml:space="preserve"> </w:t>
      </w:r>
      <w:r w:rsidRPr="007149A1">
        <w:rPr>
          <w:rFonts w:ascii="Verdana" w:eastAsia="Arial" w:hAnsi="Verdana" w:cs="Arial"/>
        </w:rPr>
        <w:t>del</w:t>
      </w:r>
      <w:r w:rsidRPr="007149A1">
        <w:rPr>
          <w:rFonts w:ascii="Verdana" w:eastAsia="Arial" w:hAnsi="Verdana" w:cs="Arial"/>
          <w:spacing w:val="-3"/>
        </w:rPr>
        <w:t xml:space="preserve"> </w:t>
      </w:r>
      <w:r w:rsidRPr="007149A1">
        <w:rPr>
          <w:rFonts w:ascii="Verdana" w:eastAsia="Arial" w:hAnsi="Verdana" w:cs="Arial"/>
        </w:rPr>
        <w:t>Decreto</w:t>
      </w:r>
      <w:r w:rsidRPr="007149A1">
        <w:rPr>
          <w:rFonts w:ascii="Verdana" w:eastAsia="Arial" w:hAnsi="Verdana" w:cs="Arial"/>
          <w:spacing w:val="-3"/>
        </w:rPr>
        <w:t xml:space="preserve"> </w:t>
      </w:r>
      <w:r w:rsidRPr="007149A1">
        <w:rPr>
          <w:rFonts w:ascii="Verdana" w:eastAsia="Arial" w:hAnsi="Verdana" w:cs="Arial"/>
        </w:rPr>
        <w:t>1082</w:t>
      </w:r>
      <w:r w:rsidRPr="007149A1">
        <w:rPr>
          <w:rFonts w:ascii="Verdana" w:eastAsia="Arial" w:hAnsi="Verdana" w:cs="Arial"/>
          <w:spacing w:val="-3"/>
        </w:rPr>
        <w:t xml:space="preserve"> </w:t>
      </w:r>
      <w:r w:rsidRPr="007149A1">
        <w:rPr>
          <w:rFonts w:ascii="Verdana" w:eastAsia="Arial" w:hAnsi="Verdana" w:cs="Arial"/>
        </w:rPr>
        <w:t>de</w:t>
      </w:r>
      <w:r w:rsidRPr="007149A1">
        <w:rPr>
          <w:rFonts w:ascii="Verdana" w:eastAsia="Arial" w:hAnsi="Verdana" w:cs="Arial"/>
          <w:spacing w:val="-3"/>
        </w:rPr>
        <w:t xml:space="preserve"> </w:t>
      </w:r>
      <w:r w:rsidRPr="007149A1">
        <w:rPr>
          <w:rFonts w:ascii="Verdana" w:eastAsia="Arial" w:hAnsi="Verdana" w:cs="Arial"/>
        </w:rPr>
        <w:t>2015.</w:t>
      </w:r>
    </w:p>
    <w:p w14:paraId="4AD80BE7" w14:textId="77777777" w:rsidR="001B3CBA" w:rsidRDefault="001B3CBA" w:rsidP="001B3CBA">
      <w:pPr>
        <w:spacing w:after="120" w:line="276" w:lineRule="auto"/>
        <w:ind w:firstLine="708"/>
        <w:jc w:val="both"/>
        <w:rPr>
          <w:rFonts w:ascii="Verdana" w:eastAsia="Batang" w:hAnsi="Verdana" w:cs="Arial"/>
        </w:rPr>
      </w:pPr>
      <w:r w:rsidRPr="007149A1">
        <w:rPr>
          <w:rFonts w:ascii="Verdana" w:eastAsia="Arial" w:hAnsi="Verdana" w:cs="Arial"/>
        </w:rPr>
        <w:t>Concretamente, para responder el problema jurídico planteado, debe indicarse que</w:t>
      </w:r>
      <w:r>
        <w:rPr>
          <w:rFonts w:ascii="Verdana" w:eastAsia="Arial" w:hAnsi="Verdana" w:cs="Arial"/>
        </w:rPr>
        <w:t xml:space="preserve"> el parágrafo </w:t>
      </w:r>
      <w:r w:rsidRPr="007149A1">
        <w:rPr>
          <w:rFonts w:ascii="Verdana" w:eastAsia="Arial" w:hAnsi="Verdana" w:cs="Arial"/>
        </w:rPr>
        <w:t>del</w:t>
      </w:r>
      <w:r w:rsidRPr="007149A1">
        <w:rPr>
          <w:rFonts w:ascii="Verdana" w:eastAsia="Arial" w:hAnsi="Verdana" w:cs="Arial"/>
          <w:spacing w:val="-3"/>
        </w:rPr>
        <w:t xml:space="preserve"> </w:t>
      </w:r>
      <w:r w:rsidRPr="007149A1">
        <w:rPr>
          <w:rFonts w:ascii="Verdana" w:eastAsia="Arial" w:hAnsi="Verdana" w:cs="Arial"/>
        </w:rPr>
        <w:t>artículo</w:t>
      </w:r>
      <w:r w:rsidRPr="007149A1">
        <w:rPr>
          <w:rFonts w:ascii="Verdana" w:eastAsia="Arial" w:hAnsi="Verdana" w:cs="Arial"/>
          <w:spacing w:val="-2"/>
        </w:rPr>
        <w:t xml:space="preserve"> </w:t>
      </w:r>
      <w:r w:rsidRPr="001B3C5D">
        <w:rPr>
          <w:rFonts w:ascii="Verdana" w:eastAsia="Aptos" w:hAnsi="Verdana" w:cs="Times New Roman"/>
          <w:kern w:val="2"/>
          <w14:ligatures w14:val="standardContextual"/>
        </w:rPr>
        <w:t>2.2.1.2.4.2.6</w:t>
      </w:r>
      <w:r>
        <w:rPr>
          <w:rFonts w:ascii="Verdana" w:eastAsia="Aptos" w:hAnsi="Verdana" w:cs="Times New Roman"/>
          <w:kern w:val="2"/>
          <w14:ligatures w14:val="standardContextual"/>
        </w:rPr>
        <w:t xml:space="preserve"> </w:t>
      </w:r>
      <w:r w:rsidRPr="007149A1">
        <w:rPr>
          <w:rFonts w:ascii="Verdana" w:eastAsia="Arial" w:hAnsi="Verdana" w:cs="Arial"/>
        </w:rPr>
        <w:t>del</w:t>
      </w:r>
      <w:r w:rsidRPr="007149A1">
        <w:rPr>
          <w:rFonts w:ascii="Verdana" w:eastAsia="Arial" w:hAnsi="Verdana" w:cs="Arial"/>
          <w:spacing w:val="-3"/>
        </w:rPr>
        <w:t xml:space="preserve"> </w:t>
      </w:r>
      <w:r w:rsidRPr="007149A1">
        <w:rPr>
          <w:rFonts w:ascii="Verdana" w:eastAsia="Arial" w:hAnsi="Verdana" w:cs="Arial"/>
        </w:rPr>
        <w:t>Decreto</w:t>
      </w:r>
      <w:r w:rsidRPr="007149A1">
        <w:rPr>
          <w:rFonts w:ascii="Verdana" w:eastAsia="Arial" w:hAnsi="Verdana" w:cs="Arial"/>
          <w:spacing w:val="-3"/>
        </w:rPr>
        <w:t xml:space="preserve"> </w:t>
      </w:r>
      <w:r w:rsidRPr="007149A1">
        <w:rPr>
          <w:rFonts w:ascii="Verdana" w:eastAsia="Arial" w:hAnsi="Verdana" w:cs="Arial"/>
        </w:rPr>
        <w:t>1082</w:t>
      </w:r>
      <w:r w:rsidRPr="007149A1">
        <w:rPr>
          <w:rFonts w:ascii="Verdana" w:eastAsia="Arial" w:hAnsi="Verdana" w:cs="Arial"/>
          <w:spacing w:val="-3"/>
        </w:rPr>
        <w:t xml:space="preserve"> </w:t>
      </w:r>
      <w:r w:rsidRPr="007149A1">
        <w:rPr>
          <w:rFonts w:ascii="Verdana" w:eastAsia="Arial" w:hAnsi="Verdana" w:cs="Arial"/>
        </w:rPr>
        <w:t>de</w:t>
      </w:r>
      <w:r w:rsidRPr="007149A1">
        <w:rPr>
          <w:rFonts w:ascii="Verdana" w:eastAsia="Arial" w:hAnsi="Verdana" w:cs="Arial"/>
          <w:spacing w:val="-3"/>
        </w:rPr>
        <w:t xml:space="preserve"> </w:t>
      </w:r>
      <w:r w:rsidRPr="007149A1">
        <w:rPr>
          <w:rFonts w:ascii="Verdana" w:eastAsia="Arial" w:hAnsi="Verdana" w:cs="Arial"/>
        </w:rPr>
        <w:t>2015</w:t>
      </w:r>
      <w:r>
        <w:rPr>
          <w:rFonts w:ascii="Verdana" w:eastAsia="Arial" w:hAnsi="Verdana" w:cs="Arial"/>
        </w:rPr>
        <w:t xml:space="preserve"> señala que,</w:t>
      </w:r>
      <w:r w:rsidRPr="00A21BBF">
        <w:t xml:space="preserve"> </w:t>
      </w:r>
      <w:r>
        <w:rPr>
          <w:rFonts w:ascii="Verdana" w:eastAsia="Arial" w:hAnsi="Verdana" w:cs="Arial"/>
        </w:rPr>
        <w:t>r</w:t>
      </w:r>
      <w:r w:rsidRPr="00A21BBF">
        <w:rPr>
          <w:rFonts w:ascii="Verdana" w:eastAsia="Arial" w:hAnsi="Verdana" w:cs="Arial"/>
        </w:rPr>
        <w:t>especto de los incentivos contractuales para los emprendimientos y empresas de personas con discapacidad</w:t>
      </w:r>
      <w:r>
        <w:rPr>
          <w:rFonts w:ascii="Verdana" w:eastAsia="Arial" w:hAnsi="Verdana" w:cs="Arial"/>
        </w:rPr>
        <w:t>,</w:t>
      </w:r>
      <w:r w:rsidRPr="0037573F">
        <w:rPr>
          <w:rFonts w:ascii="Verdana" w:eastAsia="Arial" w:hAnsi="Verdana" w:cs="Arial"/>
        </w:rPr>
        <w:t xml:space="preserve"> las certificaciones de que trata el presente artículo deben expedirse </w:t>
      </w:r>
      <w:r>
        <w:rPr>
          <w:rFonts w:ascii="Verdana" w:eastAsia="Arial" w:hAnsi="Verdana" w:cs="Arial"/>
        </w:rPr>
        <w:t>“</w:t>
      </w:r>
      <w:r w:rsidRPr="0037573F">
        <w:rPr>
          <w:rFonts w:ascii="Verdana" w:eastAsia="Arial" w:hAnsi="Verdana" w:cs="Arial"/>
        </w:rPr>
        <w:t>bajo la gravedad de juramento</w:t>
      </w:r>
      <w:r>
        <w:rPr>
          <w:rFonts w:ascii="Verdana" w:eastAsia="Arial" w:hAnsi="Verdana" w:cs="Arial"/>
        </w:rPr>
        <w:t>”</w:t>
      </w:r>
      <w:r w:rsidRPr="0037573F">
        <w:rPr>
          <w:rFonts w:ascii="Verdana" w:eastAsia="Arial" w:hAnsi="Verdana" w:cs="Arial"/>
        </w:rPr>
        <w:t>.</w:t>
      </w:r>
      <w:r>
        <w:rPr>
          <w:rFonts w:ascii="Verdana" w:eastAsia="Arial" w:hAnsi="Verdana" w:cs="Arial"/>
        </w:rPr>
        <w:t xml:space="preserve"> El alcance de esta expresión </w:t>
      </w:r>
      <w:r w:rsidRPr="00A31A19">
        <w:rPr>
          <w:rFonts w:ascii="Verdana" w:eastAsia="Arial" w:hAnsi="Verdana" w:cs="Arial"/>
        </w:rPr>
        <w:t xml:space="preserve">consiste en atribuir a </w:t>
      </w:r>
      <w:r>
        <w:rPr>
          <w:rFonts w:ascii="Verdana" w:eastAsia="Arial" w:hAnsi="Verdana" w:cs="Arial"/>
        </w:rPr>
        <w:t>las m</w:t>
      </w:r>
      <w:r w:rsidRPr="00A31A19">
        <w:rPr>
          <w:rFonts w:ascii="Verdana" w:eastAsia="Arial" w:hAnsi="Verdana" w:cs="Arial"/>
        </w:rPr>
        <w:t>anifestaciones contenidas en las certificaciones los efectos jurídicos propios del juramento, esto es, comprometer la responsabilidad de quien las suscribe respecto de la veracidad de la información suministrada</w:t>
      </w:r>
      <w:r w:rsidRPr="004B1F39">
        <w:rPr>
          <w:rFonts w:ascii="Verdana" w:eastAsia="Batang" w:hAnsi="Verdana" w:cs="Arial"/>
        </w:rPr>
        <w:t xml:space="preserve"> </w:t>
      </w:r>
      <w:r w:rsidRPr="00C24CA8">
        <w:rPr>
          <w:rFonts w:ascii="Verdana" w:eastAsia="Batang" w:hAnsi="Verdana" w:cs="Arial"/>
        </w:rPr>
        <w:t>sin necesidad de trámites adicionales</w:t>
      </w:r>
      <w:r>
        <w:rPr>
          <w:rFonts w:ascii="Verdana" w:eastAsia="Batang" w:hAnsi="Verdana" w:cs="Arial"/>
        </w:rPr>
        <w:t>.</w:t>
      </w:r>
    </w:p>
    <w:p w14:paraId="5D4D8691" w14:textId="77777777" w:rsidR="001B3CBA" w:rsidRDefault="001B3CBA" w:rsidP="001B3CBA">
      <w:pPr>
        <w:spacing w:after="120" w:line="276" w:lineRule="auto"/>
        <w:ind w:firstLine="708"/>
        <w:jc w:val="both"/>
        <w:rPr>
          <w:rFonts w:ascii="Verdana" w:eastAsia="Arial" w:hAnsi="Verdana" w:cs="Arial"/>
        </w:rPr>
      </w:pPr>
      <w:r w:rsidRPr="00A31A19">
        <w:rPr>
          <w:rFonts w:ascii="Verdana" w:eastAsia="Arial" w:hAnsi="Verdana" w:cs="Arial"/>
        </w:rPr>
        <w:t>En consecuencia, cuando el parágrafo dispone que las certificaciones deben expedirse bajo la gravedad de juramento, lo que exige es que las manifestaciones contenidas en ellas produzcan dicho efecto jurídico, sin que de ello se derive la necesidad de incorporar literalmente esa expresión en cada uno de los documentos</w:t>
      </w:r>
      <w:r>
        <w:rPr>
          <w:rFonts w:ascii="Verdana" w:eastAsia="Arial" w:hAnsi="Verdana" w:cs="Arial"/>
        </w:rPr>
        <w:t xml:space="preserve"> </w:t>
      </w:r>
      <w:r w:rsidRPr="00A31A19">
        <w:rPr>
          <w:rFonts w:ascii="Verdana" w:eastAsia="Arial" w:hAnsi="Verdana" w:cs="Arial"/>
        </w:rPr>
        <w:t>que soportan la acreditación</w:t>
      </w:r>
      <w:r>
        <w:rPr>
          <w:rFonts w:ascii="Verdana" w:eastAsia="Arial" w:hAnsi="Verdana" w:cs="Arial"/>
        </w:rPr>
        <w:t xml:space="preserve"> de dicha condición</w:t>
      </w:r>
      <w:r w:rsidRPr="00A31A19">
        <w:rPr>
          <w:rFonts w:ascii="Verdana" w:eastAsia="Arial" w:hAnsi="Verdana" w:cs="Arial"/>
        </w:rPr>
        <w:t>.</w:t>
      </w:r>
      <w:r>
        <w:rPr>
          <w:rFonts w:ascii="Verdana" w:eastAsia="Arial" w:hAnsi="Verdana" w:cs="Arial"/>
        </w:rPr>
        <w:t xml:space="preserve"> </w:t>
      </w:r>
    </w:p>
    <w:p w14:paraId="023046DD" w14:textId="77777777" w:rsidR="001B3CBA" w:rsidRDefault="001B3CBA" w:rsidP="001B3CBA">
      <w:pPr>
        <w:spacing w:after="120" w:line="276" w:lineRule="auto"/>
        <w:ind w:firstLine="709"/>
        <w:jc w:val="both"/>
        <w:rPr>
          <w:rFonts w:ascii="Verdana" w:eastAsia="Arial" w:hAnsi="Verdana" w:cs="Arial"/>
        </w:rPr>
      </w:pPr>
      <w:r>
        <w:rPr>
          <w:rFonts w:ascii="Verdana" w:eastAsia="Arial" w:hAnsi="Verdana" w:cs="Arial"/>
        </w:rPr>
        <w:t>Así, c</w:t>
      </w:r>
      <w:r w:rsidRPr="001F74B0">
        <w:rPr>
          <w:rFonts w:ascii="Verdana" w:eastAsia="Arial" w:hAnsi="Verdana" w:cs="Arial"/>
        </w:rPr>
        <w:t>uando la acreditación de</w:t>
      </w:r>
      <w:r>
        <w:rPr>
          <w:rFonts w:ascii="Verdana" w:eastAsia="Arial" w:hAnsi="Verdana" w:cs="Arial"/>
        </w:rPr>
        <w:t xml:space="preserve"> la condición de emprendimientos y empresas de personas con discapacidad</w:t>
      </w:r>
      <w:r w:rsidRPr="001F74B0">
        <w:rPr>
          <w:rFonts w:ascii="Verdana" w:eastAsia="Arial" w:hAnsi="Verdana" w:cs="Arial"/>
        </w:rPr>
        <w:t xml:space="preserve"> se presenta mediante un conjunto de documentos que integran una misma oferta y la manifestación principal </w:t>
      </w:r>
      <w:r>
        <w:rPr>
          <w:rFonts w:ascii="Verdana" w:eastAsia="Arial" w:hAnsi="Verdana" w:cs="Arial"/>
        </w:rPr>
        <w:t xml:space="preserve">realizada en un determinado formato </w:t>
      </w:r>
      <w:r w:rsidRPr="001F74B0">
        <w:rPr>
          <w:rFonts w:ascii="Verdana" w:eastAsia="Arial" w:hAnsi="Verdana" w:cs="Arial"/>
        </w:rPr>
        <w:t>cobija los soportes aportados para acreditar los supuestos previstos en los numerales 1, 2, 3 y 4 del artículo 2.2.1.2.4.2.6</w:t>
      </w:r>
      <w:r>
        <w:rPr>
          <w:rFonts w:ascii="Verdana" w:eastAsia="Arial" w:hAnsi="Verdana" w:cs="Arial"/>
        </w:rPr>
        <w:t xml:space="preserve">. del Decreto </w:t>
      </w:r>
      <w:r w:rsidRPr="007149A1">
        <w:rPr>
          <w:rFonts w:ascii="Verdana" w:eastAsia="Arial" w:hAnsi="Verdana" w:cs="Arial"/>
        </w:rPr>
        <w:t>1082</w:t>
      </w:r>
      <w:r w:rsidRPr="007149A1">
        <w:rPr>
          <w:rFonts w:ascii="Verdana" w:eastAsia="Arial" w:hAnsi="Verdana" w:cs="Arial"/>
          <w:spacing w:val="-3"/>
        </w:rPr>
        <w:t xml:space="preserve"> </w:t>
      </w:r>
      <w:r w:rsidRPr="007149A1">
        <w:rPr>
          <w:rFonts w:ascii="Verdana" w:eastAsia="Arial" w:hAnsi="Verdana" w:cs="Arial"/>
        </w:rPr>
        <w:t>de</w:t>
      </w:r>
      <w:r w:rsidRPr="007149A1">
        <w:rPr>
          <w:rFonts w:ascii="Verdana" w:eastAsia="Arial" w:hAnsi="Verdana" w:cs="Arial"/>
          <w:spacing w:val="-3"/>
        </w:rPr>
        <w:t xml:space="preserve"> </w:t>
      </w:r>
      <w:r w:rsidRPr="007149A1">
        <w:rPr>
          <w:rFonts w:ascii="Verdana" w:eastAsia="Arial" w:hAnsi="Verdana" w:cs="Arial"/>
        </w:rPr>
        <w:t>2015</w:t>
      </w:r>
      <w:r>
        <w:rPr>
          <w:rFonts w:ascii="Verdana" w:eastAsia="Arial" w:hAnsi="Verdana" w:cs="Arial"/>
        </w:rPr>
        <w:t xml:space="preserve">, se entiende que cumple con lo dispuesto en tal parágrafo. Debe destacarse que dicha disposición </w:t>
      </w:r>
      <w:r w:rsidRPr="001F74B0">
        <w:rPr>
          <w:rFonts w:ascii="Verdana" w:eastAsia="Arial" w:hAnsi="Verdana" w:cs="Arial"/>
        </w:rPr>
        <w:t xml:space="preserve">no impone que cada </w:t>
      </w:r>
      <w:r>
        <w:rPr>
          <w:rFonts w:ascii="Verdana" w:eastAsia="Arial" w:hAnsi="Verdana" w:cs="Arial"/>
        </w:rPr>
        <w:t xml:space="preserve">documento soporte </w:t>
      </w:r>
      <w:r w:rsidRPr="001F74B0">
        <w:rPr>
          <w:rFonts w:ascii="Verdana" w:eastAsia="Arial" w:hAnsi="Verdana" w:cs="Arial"/>
        </w:rPr>
        <w:t>reproduzca de forma autónoma la expresión "bajo la gravedad de juramento", pues el requisito se satisface en la medida en que las manifestaciones efectuadas para acreditar el incentivo se entiendan realizadas con ese alcance jurídico.</w:t>
      </w:r>
    </w:p>
    <w:p w14:paraId="111B4C21" w14:textId="77777777" w:rsidR="001B3CBA" w:rsidRPr="007149A1" w:rsidRDefault="001B3CBA" w:rsidP="001B3CBA">
      <w:pPr>
        <w:spacing w:after="120" w:line="276" w:lineRule="auto"/>
        <w:ind w:firstLine="708"/>
        <w:jc w:val="both"/>
        <w:rPr>
          <w:rFonts w:ascii="Verdana" w:eastAsia="Times New Roman" w:hAnsi="Verdana" w:cs="Arial"/>
          <w:kern w:val="2"/>
          <w:lang w:eastAsia="es-CO"/>
          <w14:ligatures w14:val="standardContextual"/>
        </w:rPr>
      </w:pPr>
      <w:r w:rsidRPr="00A31A19">
        <w:rPr>
          <w:rFonts w:ascii="Verdana" w:eastAsia="Arial" w:hAnsi="Verdana" w:cs="Arial"/>
        </w:rPr>
        <w:t>Esta interpretación resulta consistente con el artículo 7 del Decreto Ley 019 de 2012</w:t>
      </w:r>
      <w:r>
        <w:rPr>
          <w:rFonts w:ascii="Verdana" w:eastAsia="Arial" w:hAnsi="Verdana" w:cs="Arial"/>
        </w:rPr>
        <w:t xml:space="preserve"> </w:t>
      </w:r>
      <w:r w:rsidRPr="00A31A19">
        <w:rPr>
          <w:rFonts w:ascii="Verdana" w:eastAsia="Arial" w:hAnsi="Verdana" w:cs="Arial"/>
        </w:rPr>
        <w:t xml:space="preserve">conforme al </w:t>
      </w:r>
      <w:proofErr w:type="gramStart"/>
      <w:r w:rsidRPr="00A31A19">
        <w:rPr>
          <w:rFonts w:ascii="Verdana" w:eastAsia="Arial" w:hAnsi="Verdana" w:cs="Arial"/>
        </w:rPr>
        <w:t>cual</w:t>
      </w:r>
      <w:proofErr w:type="gramEnd"/>
      <w:r w:rsidRPr="00A31A19">
        <w:rPr>
          <w:rFonts w:ascii="Verdana" w:eastAsia="Arial" w:hAnsi="Verdana" w:cs="Arial"/>
        </w:rPr>
        <w:t xml:space="preserve"> en las actuaciones administrativas, no pueden exigirse declaraciones </w:t>
      </w:r>
      <w:proofErr w:type="gramStart"/>
      <w:r w:rsidRPr="00B228D3">
        <w:rPr>
          <w:rFonts w:ascii="Verdana" w:eastAsia="Arial" w:hAnsi="Verdana" w:cs="Arial"/>
          <w:i/>
          <w:iCs/>
        </w:rPr>
        <w:t>extra juicio</w:t>
      </w:r>
      <w:proofErr w:type="gramEnd"/>
      <w:r w:rsidRPr="00A31A19">
        <w:rPr>
          <w:rFonts w:ascii="Verdana" w:eastAsia="Arial" w:hAnsi="Verdana" w:cs="Arial"/>
        </w:rPr>
        <w:t xml:space="preserve"> y basta la afirmación realizada por el particular ante la autoridad para que esta se entienda efectuada bajo la gravedad de juramento.</w:t>
      </w:r>
      <w:r>
        <w:rPr>
          <w:rFonts w:ascii="Verdana" w:eastAsia="Arial" w:hAnsi="Verdana" w:cs="Arial"/>
        </w:rPr>
        <w:t xml:space="preserve"> Adicionalmente, es la que</w:t>
      </w:r>
      <w:r w:rsidRPr="00A31A19">
        <w:rPr>
          <w:rFonts w:ascii="Verdana" w:eastAsia="Arial" w:hAnsi="Verdana" w:cs="Arial"/>
        </w:rPr>
        <w:t xml:space="preserve"> </w:t>
      </w:r>
      <w:r w:rsidRPr="007149A1">
        <w:rPr>
          <w:rFonts w:ascii="Verdana" w:eastAsia="Times New Roman" w:hAnsi="Verdana" w:cs="Arial"/>
          <w:kern w:val="2"/>
          <w:lang w:eastAsia="es-CO"/>
          <w14:ligatures w14:val="standardContextual"/>
        </w:rPr>
        <w:t xml:space="preserve">más se ajusta al principio del efecto útil de la norma, lo cual no riñe con lo dispuesto en el parágrafo del artículo </w:t>
      </w:r>
      <w:r w:rsidRPr="001F74B0">
        <w:rPr>
          <w:rFonts w:ascii="Verdana" w:eastAsia="Arial" w:hAnsi="Verdana" w:cs="Arial"/>
        </w:rPr>
        <w:t>2.2.1.2.4.2.6</w:t>
      </w:r>
      <w:r>
        <w:rPr>
          <w:rFonts w:ascii="Verdana" w:eastAsia="Arial" w:hAnsi="Verdana" w:cs="Arial"/>
        </w:rPr>
        <w:t xml:space="preserve"> </w:t>
      </w:r>
      <w:r w:rsidRPr="00960FC0">
        <w:rPr>
          <w:rFonts w:ascii="Verdana" w:eastAsia="Arial" w:hAnsi="Verdana" w:cs="Arial"/>
          <w:i/>
          <w:iCs/>
        </w:rPr>
        <w:t>ibidem</w:t>
      </w:r>
      <w:r w:rsidRPr="007149A1">
        <w:rPr>
          <w:rFonts w:ascii="Verdana" w:eastAsia="Times New Roman" w:hAnsi="Verdana" w:cs="Arial"/>
          <w:kern w:val="2"/>
          <w:lang w:eastAsia="es-CO"/>
          <w14:ligatures w14:val="standardContextual"/>
        </w:rPr>
        <w:t xml:space="preserve">. No en vano, la Corte Constitucional ha señalado, al explicar </w:t>
      </w:r>
      <w:r w:rsidRPr="007149A1">
        <w:rPr>
          <w:rFonts w:ascii="Verdana" w:eastAsia="Times New Roman" w:hAnsi="Verdana" w:cs="Arial"/>
          <w:kern w:val="2"/>
          <w:lang w:eastAsia="es-CO"/>
          <w14:ligatures w14:val="standardContextual"/>
        </w:rPr>
        <w:lastRenderedPageBreak/>
        <w:t>el principio del efecto útil, que “debe considerarse, de entre varias interpretaciones de una disposición normativa, aquella que permita consecuencias jurídicas, sobre aquella que no las prevea o que contemple consecuencias superfluas o innecesarias</w:t>
      </w:r>
      <w:r>
        <w:rPr>
          <w:rStyle w:val="Refdenotaalpie"/>
          <w:rFonts w:ascii="Verdana" w:eastAsia="Times New Roman" w:hAnsi="Verdana" w:cs="Arial"/>
          <w:kern w:val="2"/>
          <w:lang w:eastAsia="es-CO"/>
          <w14:ligatures w14:val="standardContextual"/>
        </w:rPr>
        <w:footnoteReference w:id="11"/>
      </w:r>
      <w:r w:rsidRPr="007149A1">
        <w:rPr>
          <w:rFonts w:ascii="Verdana" w:eastAsia="Times New Roman" w:hAnsi="Verdana" w:cs="Arial"/>
          <w:kern w:val="2"/>
          <w:lang w:eastAsia="es-CO"/>
          <w14:ligatures w14:val="standardContextual"/>
        </w:rPr>
        <w:t>”.</w:t>
      </w:r>
    </w:p>
    <w:p w14:paraId="5F44382C" w14:textId="77777777" w:rsidR="001B3CBA" w:rsidRDefault="001B3CBA" w:rsidP="001B3CBA">
      <w:pPr>
        <w:spacing w:after="120" w:line="276" w:lineRule="auto"/>
        <w:ind w:firstLine="708"/>
        <w:jc w:val="both"/>
        <w:rPr>
          <w:rFonts w:ascii="Verdana" w:eastAsia="Calibri" w:hAnsi="Verdana" w:cs="Arial"/>
          <w:bCs/>
          <w:color w:val="000000"/>
        </w:rPr>
      </w:pPr>
      <w:r w:rsidRPr="007149A1">
        <w:rPr>
          <w:rFonts w:ascii="Verdana" w:eastAsia="Times New Roman" w:hAnsi="Verdana" w:cs="Arial"/>
          <w:kern w:val="2"/>
          <w:lang w:eastAsia="es-CO"/>
          <w14:ligatures w14:val="standardContextual"/>
        </w:rPr>
        <w:t xml:space="preserve">Adicionalmente, </w:t>
      </w:r>
      <w:r>
        <w:rPr>
          <w:rFonts w:ascii="Verdana" w:eastAsia="Times New Roman" w:hAnsi="Verdana" w:cs="Arial"/>
          <w:kern w:val="2"/>
          <w:lang w:eastAsia="es-CO"/>
          <w14:ligatures w14:val="standardContextual"/>
        </w:rPr>
        <w:t>esta</w:t>
      </w:r>
      <w:r w:rsidRPr="007149A1">
        <w:rPr>
          <w:rFonts w:ascii="Verdana" w:eastAsia="Times New Roman" w:hAnsi="Verdana" w:cs="Arial"/>
          <w:kern w:val="2"/>
          <w:lang w:eastAsia="es-CO"/>
          <w14:ligatures w14:val="standardContextual"/>
        </w:rPr>
        <w:t xml:space="preserve"> postura </w:t>
      </w:r>
      <w:r>
        <w:rPr>
          <w:rFonts w:ascii="Verdana" w:eastAsia="Times New Roman" w:hAnsi="Verdana" w:cs="Arial"/>
          <w:kern w:val="2"/>
          <w:lang w:eastAsia="es-CO"/>
          <w14:ligatures w14:val="standardContextual"/>
        </w:rPr>
        <w:t>es coherente con</w:t>
      </w:r>
      <w:r w:rsidRPr="007149A1">
        <w:rPr>
          <w:rFonts w:ascii="Verdana" w:eastAsia="Times New Roman" w:hAnsi="Verdana" w:cs="Arial"/>
          <w:kern w:val="2"/>
          <w:lang w:eastAsia="es-CO"/>
          <w14:ligatures w14:val="standardContextual"/>
        </w:rPr>
        <w:t xml:space="preserve"> el principio de economía contenido </w:t>
      </w:r>
      <w:r w:rsidRPr="007149A1">
        <w:rPr>
          <w:rFonts w:ascii="Verdana" w:eastAsia="Calibri" w:hAnsi="Verdana" w:cs="Arial"/>
          <w:bCs/>
          <w:color w:val="000000"/>
          <w:lang w:val="es-ES_tradnl"/>
        </w:rPr>
        <w:t xml:space="preserve">numeral 2 del artículo 25 de la Ley 80 de 1993 que “(…) </w:t>
      </w:r>
      <w:r w:rsidRPr="007149A1">
        <w:rPr>
          <w:rFonts w:ascii="Verdana" w:eastAsia="Calibri" w:hAnsi="Verdana" w:cs="Arial"/>
          <w:bCs/>
          <w:color w:val="000000"/>
        </w:rPr>
        <w:t>persigue eliminar trámites, requisitos y en general procedimientos innecesarios que entraben o dilaten injustificadamente el proceso de contratación”</w:t>
      </w:r>
      <w:r w:rsidRPr="007149A1">
        <w:rPr>
          <w:rFonts w:ascii="Verdana" w:eastAsia="Calibri" w:hAnsi="Verdana" w:cs="Arial"/>
          <w:bCs/>
          <w:color w:val="000000"/>
          <w:vertAlign w:val="superscript"/>
        </w:rPr>
        <w:footnoteReference w:id="12"/>
      </w:r>
      <w:r w:rsidRPr="007149A1">
        <w:rPr>
          <w:rFonts w:ascii="Verdana" w:eastAsia="Calibri" w:hAnsi="Verdana" w:cs="Arial"/>
          <w:bCs/>
          <w:color w:val="000000"/>
        </w:rPr>
        <w:t xml:space="preserve">. </w:t>
      </w:r>
    </w:p>
    <w:p w14:paraId="572BEAF1" w14:textId="77777777" w:rsidR="001B3CBA" w:rsidRPr="00AB414F" w:rsidRDefault="001B3CBA" w:rsidP="003248CC">
      <w:pPr>
        <w:spacing w:after="0" w:line="276" w:lineRule="auto"/>
        <w:ind w:firstLine="708"/>
        <w:jc w:val="both"/>
        <w:rPr>
          <w:rFonts w:ascii="Verdana" w:eastAsia="Calibri" w:hAnsi="Verdana" w:cs="Arial"/>
          <w:bCs/>
          <w:color w:val="000000"/>
        </w:rPr>
      </w:pPr>
      <w:r>
        <w:rPr>
          <w:rFonts w:ascii="Verdana" w:eastAsia="Calibri" w:hAnsi="Verdana" w:cs="Arial"/>
          <w:bCs/>
          <w:color w:val="000000"/>
        </w:rPr>
        <w:t xml:space="preserve">Por consiguiente, </w:t>
      </w:r>
      <w:r w:rsidRPr="008B2B7D">
        <w:rPr>
          <w:rFonts w:ascii="Verdana" w:eastAsia="Calibri" w:hAnsi="Verdana" w:cs="Arial"/>
          <w:bCs/>
          <w:color w:val="000000"/>
        </w:rPr>
        <w:t xml:space="preserve">la ausencia de la expresión "bajo la gravedad de juramento" en los documentos soporte </w:t>
      </w:r>
      <w:r>
        <w:rPr>
          <w:rFonts w:ascii="Verdana" w:eastAsia="Calibri" w:hAnsi="Verdana" w:cs="Arial"/>
          <w:bCs/>
          <w:color w:val="000000"/>
        </w:rPr>
        <w:t xml:space="preserve">para acreditar la condición de </w:t>
      </w:r>
      <w:r w:rsidRPr="00A21BBF">
        <w:rPr>
          <w:rFonts w:ascii="Verdana" w:eastAsia="Arial" w:hAnsi="Verdana" w:cs="Arial"/>
        </w:rPr>
        <w:t>emprendimientos y empresas de personas con discapacidad</w:t>
      </w:r>
      <w:r w:rsidRPr="008B2B7D">
        <w:rPr>
          <w:rFonts w:ascii="Verdana" w:eastAsia="Calibri" w:hAnsi="Verdana" w:cs="Arial"/>
          <w:bCs/>
          <w:color w:val="000000"/>
        </w:rPr>
        <w:t xml:space="preserve"> no conduce, por sí sola, a concluir que el requisito </w:t>
      </w:r>
      <w:r>
        <w:rPr>
          <w:rFonts w:ascii="Verdana" w:eastAsia="Calibri" w:hAnsi="Verdana" w:cs="Arial"/>
          <w:bCs/>
          <w:color w:val="000000"/>
        </w:rPr>
        <w:t xml:space="preserve">establecido en dicho parágrafo </w:t>
      </w:r>
      <w:r w:rsidRPr="008B2B7D">
        <w:rPr>
          <w:rFonts w:ascii="Verdana" w:eastAsia="Calibri" w:hAnsi="Verdana" w:cs="Arial"/>
          <w:bCs/>
          <w:color w:val="000000"/>
        </w:rPr>
        <w:t>fue incumplido.</w:t>
      </w:r>
      <w:r>
        <w:rPr>
          <w:rFonts w:ascii="Verdana" w:eastAsia="Calibri" w:hAnsi="Verdana" w:cs="Arial"/>
          <w:bCs/>
          <w:color w:val="000000"/>
        </w:rPr>
        <w:t xml:space="preserve"> </w:t>
      </w:r>
      <w:r w:rsidRPr="007149A1">
        <w:rPr>
          <w:rFonts w:ascii="Verdana" w:eastAsia="Calibri" w:hAnsi="Verdana" w:cs="Arial"/>
          <w:bCs/>
          <w:color w:val="000000"/>
          <w:lang w:val="es-ES_tradnl"/>
        </w:rPr>
        <w:t>Lo anterior, sin perjuicio del deber de verificación, ante las inconsistencias evidenciadas, o de denuncia de la posible falsedad de los documentos advertida durante el procedimiento contractual</w:t>
      </w:r>
      <w:r>
        <w:rPr>
          <w:rFonts w:ascii="Verdana" w:eastAsia="Calibri" w:hAnsi="Verdana" w:cs="Arial"/>
          <w:bCs/>
          <w:color w:val="000000"/>
          <w:lang w:val="es-ES_tradnl"/>
        </w:rPr>
        <w:t xml:space="preserve">. </w:t>
      </w:r>
    </w:p>
    <w:p w14:paraId="2CB325D9" w14:textId="5899C9E5" w:rsidR="00430FE2" w:rsidRDefault="00430FE2" w:rsidP="003248CC">
      <w:pPr>
        <w:spacing w:after="0" w:line="276" w:lineRule="auto"/>
        <w:jc w:val="both"/>
        <w:rPr>
          <w:rFonts w:ascii="Verdana" w:hAnsi="Verdana"/>
        </w:rPr>
      </w:pPr>
    </w:p>
    <w:p w14:paraId="72131D45" w14:textId="1D57E788" w:rsidR="007871E6" w:rsidRDefault="007871E6" w:rsidP="003248CC">
      <w:pPr>
        <w:spacing w:after="120" w:line="276" w:lineRule="auto"/>
        <w:jc w:val="both"/>
        <w:rPr>
          <w:rFonts w:ascii="Verdana" w:hAnsi="Verdana"/>
        </w:rPr>
      </w:pPr>
      <w:r>
        <w:rPr>
          <w:rFonts w:ascii="Verdana" w:eastAsia="Times New Roman" w:hAnsi="Verdana" w:cs="Times New Roman"/>
        </w:rPr>
        <w:t>(</w:t>
      </w:r>
      <w:proofErr w:type="spellStart"/>
      <w:r>
        <w:rPr>
          <w:rFonts w:ascii="Verdana" w:eastAsia="Times New Roman" w:hAnsi="Verdana" w:cs="Times New Roman"/>
        </w:rPr>
        <w:t>iii</w:t>
      </w:r>
      <w:proofErr w:type="spellEnd"/>
      <w:r>
        <w:rPr>
          <w:rFonts w:ascii="Verdana" w:eastAsia="Times New Roman" w:hAnsi="Verdana" w:cs="Times New Roman"/>
        </w:rPr>
        <w:t xml:space="preserve">) El segundo problema jurídico consiste en determinar, cuando el proponente es plural y dos o más de sus integrantes ostentan el mismo porcentaje máximo de participación, cuál de ellos debe tenerse en cuenta para acreditar el requisito relacionado con la planta de personal en la condición de empleador de </w:t>
      </w:r>
      <w:proofErr w:type="spellStart"/>
      <w:r>
        <w:rPr>
          <w:rFonts w:ascii="Verdana" w:eastAsia="Times New Roman" w:hAnsi="Verdana" w:cs="Times New Roman"/>
        </w:rPr>
        <w:t>PcD</w:t>
      </w:r>
      <w:proofErr w:type="spellEnd"/>
      <w:r>
        <w:rPr>
          <w:rFonts w:ascii="Verdana" w:eastAsia="Times New Roman" w:hAnsi="Verdana" w:cs="Times New Roman"/>
        </w:rPr>
        <w:t xml:space="preserve"> del numeral 2. Sobre este punto, la Circular Externa No. 003 de 2026 precisó que, tratándose del puntaje adicional en favor de los empleadores de </w:t>
      </w:r>
      <w:proofErr w:type="spellStart"/>
      <w:r>
        <w:rPr>
          <w:rFonts w:ascii="Verdana" w:eastAsia="Times New Roman" w:hAnsi="Verdana" w:cs="Times New Roman"/>
        </w:rPr>
        <w:t>PcD</w:t>
      </w:r>
      <w:proofErr w:type="spellEnd"/>
      <w:r>
        <w:rPr>
          <w:rFonts w:ascii="Verdana" w:eastAsia="Times New Roman" w:hAnsi="Verdana" w:cs="Times New Roman"/>
        </w:rPr>
        <w:t>, el Decreto 0287 de 2026 no exige un mínimo de experiencia, sino una participación mayoritaria en el proponente plural, y que a ese integrante será al que se le revise su planta de personal</w:t>
      </w:r>
      <w:r w:rsidR="00212B15">
        <w:rPr>
          <w:rFonts w:ascii="Verdana" w:eastAsia="Times New Roman" w:hAnsi="Verdana" w:cs="Times New Roman"/>
        </w:rPr>
        <w:t>,</w:t>
      </w:r>
      <w:r>
        <w:rPr>
          <w:rFonts w:ascii="Verdana" w:eastAsia="Times New Roman" w:hAnsi="Verdana" w:cs="Times New Roman"/>
        </w:rPr>
        <w:t xml:space="preserve"> con el fin de determinar si cumple el número mínimo de trabajadores con discapacidad exigido para acceder al puntaje. Ese número mínimo lo fija la tabla contenida en el artículo 2.2.1.2.4.2.7.4, la cual —según la misma Circular— ya incorpora los mínimos de la Ley 2466 de 2025, de modo que el puntaje no se otorga por cumplir la ley sino por superarla.</w:t>
      </w:r>
    </w:p>
    <w:p w14:paraId="48EF4551" w14:textId="77777777" w:rsidR="007B1106" w:rsidRDefault="007871E6" w:rsidP="007871E6">
      <w:pPr>
        <w:spacing w:after="120" w:line="276" w:lineRule="auto"/>
        <w:ind w:firstLine="708"/>
        <w:jc w:val="both"/>
        <w:rPr>
          <w:rFonts w:ascii="Verdana" w:eastAsia="Times New Roman" w:hAnsi="Verdana" w:cs="Times New Roman"/>
        </w:rPr>
      </w:pPr>
      <w:r>
        <w:rPr>
          <w:rFonts w:ascii="Verdana" w:eastAsia="Times New Roman" w:hAnsi="Verdana" w:cs="Times New Roman"/>
        </w:rPr>
        <w:t xml:space="preserve">El reglamento no reguló de manera expresa el evento en que dos o más integrantes tienen el mismo porcentaje máximo de participación, supuesto en el cual no es posible individualizar mecánicamente al integrante mayoritario a </w:t>
      </w:r>
      <w:r>
        <w:rPr>
          <w:rFonts w:ascii="Verdana" w:eastAsia="Times New Roman" w:hAnsi="Verdana" w:cs="Times New Roman"/>
        </w:rPr>
        <w:lastRenderedPageBreak/>
        <w:t xml:space="preserve">partir del solo criterio de la participación. Ante ese vacío, y dado que la finalidad de la regla es identificar la planta de personal de un integrante que, por sí misma, refleje de manera real y verificable la condición de empleador de </w:t>
      </w:r>
      <w:proofErr w:type="spellStart"/>
      <w:r>
        <w:rPr>
          <w:rFonts w:ascii="Verdana" w:eastAsia="Times New Roman" w:hAnsi="Verdana" w:cs="Times New Roman"/>
        </w:rPr>
        <w:t>PcD</w:t>
      </w:r>
      <w:proofErr w:type="spellEnd"/>
      <w:r>
        <w:rPr>
          <w:rFonts w:ascii="Verdana" w:eastAsia="Times New Roman" w:hAnsi="Verdana" w:cs="Times New Roman"/>
        </w:rPr>
        <w:t xml:space="preserve">, la regla jurídica aplicable es que el puntaje únicamente procede si la planta de personal del integrante que finalmente se tenga en cuenta cumple, por sí sola, el número mínimo de </w:t>
      </w:r>
      <w:proofErr w:type="spellStart"/>
      <w:r>
        <w:rPr>
          <w:rFonts w:ascii="Verdana" w:eastAsia="Times New Roman" w:hAnsi="Verdana" w:cs="Times New Roman"/>
        </w:rPr>
        <w:t>PcD</w:t>
      </w:r>
      <w:proofErr w:type="spellEnd"/>
      <w:r>
        <w:rPr>
          <w:rFonts w:ascii="Verdana" w:eastAsia="Times New Roman" w:hAnsi="Verdana" w:cs="Times New Roman"/>
        </w:rPr>
        <w:t xml:space="preserve"> de la tabla. En ningún caso pueden sumarse las plantas de personal de los distintos integrantes del proponente plural para completar ese mínimo, pues ello desnaturalizaría el requisito, que está referido a la planta de personal de un integrante determinado y no a la del proponente plural considerado en conjunto. </w:t>
      </w:r>
    </w:p>
    <w:p w14:paraId="6256D45A" w14:textId="4171E1C6" w:rsidR="007871E6" w:rsidRDefault="007871E6" w:rsidP="003248CC">
      <w:pPr>
        <w:spacing w:after="0" w:line="276" w:lineRule="auto"/>
        <w:ind w:firstLine="709"/>
        <w:jc w:val="both"/>
        <w:rPr>
          <w:rFonts w:ascii="Verdana" w:hAnsi="Verdana"/>
        </w:rPr>
      </w:pPr>
      <w:r>
        <w:rPr>
          <w:rFonts w:ascii="Verdana" w:eastAsia="Times New Roman" w:hAnsi="Verdana" w:cs="Times New Roman"/>
        </w:rPr>
        <w:t xml:space="preserve">Debe precisarse, además, que esta regla es distinta de la prevista para los emprendimientos y empresas de </w:t>
      </w:r>
      <w:proofErr w:type="spellStart"/>
      <w:r>
        <w:rPr>
          <w:rFonts w:ascii="Verdana" w:eastAsia="Times New Roman" w:hAnsi="Verdana" w:cs="Times New Roman"/>
        </w:rPr>
        <w:t>PcD</w:t>
      </w:r>
      <w:proofErr w:type="spellEnd"/>
      <w:r>
        <w:rPr>
          <w:rFonts w:ascii="Verdana" w:eastAsia="Times New Roman" w:hAnsi="Verdana" w:cs="Times New Roman"/>
        </w:rPr>
        <w:t>, respecto de los cuales el artículo 2.2.1.2.4.2.7.3 no exige participación mayoritaria sino una participación no inferior al diez por ciento (10%) con aporte de experiencia en la misma proporción, y de la regla del criterio de desempate del numeral 3 del artículo 35 de la Ley 2069 de 2020, que opera con parámetros propios de participación mínima e igual aporte de experiencia.</w:t>
      </w:r>
    </w:p>
    <w:p w14:paraId="5A34AA68" w14:textId="77777777" w:rsidR="00840403" w:rsidRDefault="00840403" w:rsidP="003248CC">
      <w:pPr>
        <w:spacing w:after="0" w:line="276" w:lineRule="auto"/>
        <w:jc w:val="both"/>
        <w:rPr>
          <w:rFonts w:ascii="Verdana" w:eastAsia="Times New Roman" w:hAnsi="Verdana" w:cs="Times New Roman"/>
        </w:rPr>
      </w:pPr>
    </w:p>
    <w:p w14:paraId="381D7D4D" w14:textId="0ECC99CB" w:rsidR="007871E6" w:rsidRDefault="007871E6" w:rsidP="003248CC">
      <w:pPr>
        <w:spacing w:after="120" w:line="276" w:lineRule="auto"/>
        <w:jc w:val="both"/>
        <w:rPr>
          <w:rFonts w:ascii="Verdana" w:hAnsi="Verdana"/>
        </w:rPr>
      </w:pPr>
      <w:r>
        <w:rPr>
          <w:rFonts w:ascii="Verdana" w:eastAsia="Times New Roman" w:hAnsi="Verdana" w:cs="Times New Roman"/>
        </w:rPr>
        <w:t>(</w:t>
      </w:r>
      <w:proofErr w:type="spellStart"/>
      <w:r>
        <w:rPr>
          <w:rFonts w:ascii="Verdana" w:eastAsia="Times New Roman" w:hAnsi="Verdana" w:cs="Times New Roman"/>
        </w:rPr>
        <w:t>iv</w:t>
      </w:r>
      <w:proofErr w:type="spellEnd"/>
      <w:r>
        <w:rPr>
          <w:rFonts w:ascii="Verdana" w:eastAsia="Times New Roman" w:hAnsi="Verdana" w:cs="Times New Roman"/>
        </w:rPr>
        <w:t>) El tercer problema jurídico indaga si la entidad puede establecer en los pliegos de condiciones una regla objetiva para resolver la referida igualdad de participación —por ejemplo, considerar al integrante que acredite mejores condiciones o permitir que el proponente plural indique cuál integrante acreditará el requisito— y qué lineamientos deben observarse para garantizar la selección objetiva y una evaluación uniforme. Los pliegos de condiciones constituyen las reglas del proceso de selección y, en desarrollo del principio de planeación, la entidad está facultada para estructurar el proceso y precisar la forma de acreditar los requisitos, siempre que sus reglas consulten los principios de la contratación estatal, en especial el deber de selección objetiva previsto en el artículo 5 de la Ley 1150 de 2007, así como la igualdad, la transparencia y la proporcionalidad. La propia Circular Externa No. 003 de 2026 remite de manera reiterada al artículo 5 de la Ley 1150 de 2007 y al principio de proporcionalidad como límites del ejercicio de estructuración a cargo de la entidad.</w:t>
      </w:r>
    </w:p>
    <w:p w14:paraId="5E5CCF6F" w14:textId="77777777" w:rsidR="007871E6" w:rsidRDefault="007871E6" w:rsidP="007871E6">
      <w:pPr>
        <w:spacing w:after="120" w:line="276" w:lineRule="auto"/>
        <w:ind w:firstLine="708"/>
        <w:jc w:val="both"/>
        <w:rPr>
          <w:rFonts w:ascii="Verdana" w:hAnsi="Verdana"/>
        </w:rPr>
      </w:pPr>
      <w:r>
        <w:rPr>
          <w:rFonts w:ascii="Verdana" w:eastAsia="Times New Roman" w:hAnsi="Verdana" w:cs="Times New Roman"/>
        </w:rPr>
        <w:t xml:space="preserve">En cuanto a la proporcionalidad, esta Agencia ha precisado que debe estar orientada a garantizar la idoneidad de las propuestas y la correcta ejecución contractual, sin que tenga efectos excluyentes ni discriminatorios que limiten el acceso de oferentes idóneos, en garantía de los principios de igualdad y </w:t>
      </w:r>
      <w:r>
        <w:rPr>
          <w:rFonts w:ascii="Verdana" w:eastAsia="Times New Roman" w:hAnsi="Verdana" w:cs="Times New Roman"/>
        </w:rPr>
        <w:lastRenderedPageBreak/>
        <w:t>transparencia</w:t>
      </w:r>
      <w:r>
        <w:rPr>
          <w:rStyle w:val="Refdenotaalpie"/>
          <w:rFonts w:ascii="Verdana" w:eastAsia="Times New Roman" w:hAnsi="Verdana" w:cs="Times New Roman"/>
        </w:rPr>
        <w:footnoteReference w:id="13"/>
      </w:r>
      <w:r>
        <w:rPr>
          <w:rFonts w:ascii="Verdana" w:eastAsia="Times New Roman" w:hAnsi="Verdana" w:cs="Times New Roman"/>
        </w:rPr>
        <w:t>. En consecuencia, sí es procedente que la entidad prevea en los pliegos una regla para dirimir el escenario de igualdad de participación, con la condición de que sea previa, clara, objetiva, proporcional, uniforme para todos los proponentes, verificable y conocida desde la apertura del proceso, y que en ningún caso modifique el requisito previsto en la norma ni incorpore criterios carentes de fundamento normativo.</w:t>
      </w:r>
    </w:p>
    <w:p w14:paraId="298EB4B6" w14:textId="77777777" w:rsidR="007871E6" w:rsidRDefault="007871E6" w:rsidP="007871E6">
      <w:pPr>
        <w:spacing w:after="120" w:line="276" w:lineRule="auto"/>
        <w:ind w:firstLine="708"/>
        <w:jc w:val="both"/>
        <w:rPr>
          <w:rFonts w:ascii="Verdana" w:hAnsi="Verdana"/>
        </w:rPr>
      </w:pPr>
      <w:r>
        <w:rPr>
          <w:rFonts w:ascii="Verdana" w:eastAsia="Times New Roman" w:hAnsi="Verdana" w:cs="Times New Roman"/>
        </w:rPr>
        <w:t xml:space="preserve">Bajo esos parámetros, no resulta admisible acudir a criterios como “el integrante que acredite mejores condiciones” o “el que vincule un mayor número de trabajadores o de personas con discapacidad”. De una parte, la expresión “mejores condiciones” es ambigua y no ofrece un parámetro objetivo y verificable de comparación. De otra, el puntaje adicional es un beneficio de carácter binario: conforme al artículo 2.2.1.2.4.2.7.4 y a la Circular Externa No. 003 de 2026, se otorga en su </w:t>
      </w:r>
      <w:proofErr w:type="gramStart"/>
      <w:r>
        <w:rPr>
          <w:rFonts w:ascii="Verdana" w:eastAsia="Times New Roman" w:hAnsi="Verdana" w:cs="Times New Roman"/>
        </w:rPr>
        <w:t>totalidad ,</w:t>
      </w:r>
      <w:proofErr w:type="gramEnd"/>
      <w:r>
        <w:rPr>
          <w:rFonts w:ascii="Verdana" w:eastAsia="Times New Roman" w:hAnsi="Verdana" w:cs="Times New Roman"/>
        </w:rPr>
        <w:t xml:space="preserve"> el dos por ciento (2%), a quien supere el número mínimo fijado en la tabla, sin que la norma prevea gradación alguna en función de un mayor número de trabajadores o de </w:t>
      </w:r>
      <w:proofErr w:type="spellStart"/>
      <w:r>
        <w:rPr>
          <w:rFonts w:ascii="Verdana" w:eastAsia="Times New Roman" w:hAnsi="Verdana" w:cs="Times New Roman"/>
        </w:rPr>
        <w:t>PcD</w:t>
      </w:r>
      <w:proofErr w:type="spellEnd"/>
      <w:r>
        <w:rPr>
          <w:rFonts w:ascii="Verdana" w:eastAsia="Times New Roman" w:hAnsi="Verdana" w:cs="Times New Roman"/>
        </w:rPr>
        <w:t xml:space="preserve">; de hecho, el puntaje nunca puede ser inferior ni superior a ese dos por ciento (2%). Emplear como criterio de desempate el mayor número de </w:t>
      </w:r>
      <w:proofErr w:type="spellStart"/>
      <w:r>
        <w:rPr>
          <w:rFonts w:ascii="Verdana" w:eastAsia="Times New Roman" w:hAnsi="Verdana" w:cs="Times New Roman"/>
        </w:rPr>
        <w:t>PcD</w:t>
      </w:r>
      <w:proofErr w:type="spellEnd"/>
      <w:r>
        <w:rPr>
          <w:rFonts w:ascii="Verdana" w:eastAsia="Times New Roman" w:hAnsi="Verdana" w:cs="Times New Roman"/>
        </w:rPr>
        <w:t xml:space="preserve"> o de trabajadores introduciría una ponderación comparativa no autorizada por el reglamento y transformaría el requisito, con desmedro de la selección objetiva y de la igualdad entre proponentes.</w:t>
      </w:r>
    </w:p>
    <w:p w14:paraId="62B7665C" w14:textId="77777777" w:rsidR="007871E6" w:rsidRDefault="007871E6" w:rsidP="007871E6">
      <w:pPr>
        <w:spacing w:after="120" w:line="276" w:lineRule="auto"/>
        <w:ind w:firstLine="708"/>
        <w:jc w:val="both"/>
        <w:rPr>
          <w:rFonts w:ascii="Verdana" w:hAnsi="Verdana"/>
        </w:rPr>
      </w:pPr>
      <w:r>
        <w:rPr>
          <w:rFonts w:ascii="Verdana" w:eastAsia="Times New Roman" w:hAnsi="Verdana" w:cs="Times New Roman"/>
        </w:rPr>
        <w:t xml:space="preserve">En cambio, resulta compatible con los referidos principios permitir que el proponente plural indique, desde la presentación de la oferta, cuál de sus integrantes con participación igualitaria acreditará el requisito relativo a la planta de personal. Esta regla no introduce criterios comparativos ajenos a la norma, respeta la exigencia de que la planta de personal verificada sea la de un integrante determinado y resulta objetiva y verificable, siempre que: (i) el integrante designado cumpla, por sí solo, el número mínimo de </w:t>
      </w:r>
      <w:proofErr w:type="spellStart"/>
      <w:r>
        <w:rPr>
          <w:rFonts w:ascii="Verdana" w:eastAsia="Times New Roman" w:hAnsi="Verdana" w:cs="Times New Roman"/>
        </w:rPr>
        <w:t>PcD</w:t>
      </w:r>
      <w:proofErr w:type="spellEnd"/>
      <w:r>
        <w:rPr>
          <w:rFonts w:ascii="Verdana" w:eastAsia="Times New Roman" w:hAnsi="Verdana" w:cs="Times New Roman"/>
        </w:rPr>
        <w:t xml:space="preserve"> de la tabla del artículo 2.2.1.2.4.2.7.4; (</w:t>
      </w:r>
      <w:proofErr w:type="spellStart"/>
      <w:r>
        <w:rPr>
          <w:rFonts w:ascii="Verdana" w:eastAsia="Times New Roman" w:hAnsi="Verdana" w:cs="Times New Roman"/>
        </w:rPr>
        <w:t>ii</w:t>
      </w:r>
      <w:proofErr w:type="spellEnd"/>
      <w:r>
        <w:rPr>
          <w:rFonts w:ascii="Verdana" w:eastAsia="Times New Roman" w:hAnsi="Verdana" w:cs="Times New Roman"/>
        </w:rPr>
        <w:t>) la designación se realice de manera expresa en la oferta y sea invariable, de modo que no quede sujeta a modificación una vez conocido el resultado de la evaluación; y (</w:t>
      </w:r>
      <w:proofErr w:type="spellStart"/>
      <w:r>
        <w:rPr>
          <w:rFonts w:ascii="Verdana" w:eastAsia="Times New Roman" w:hAnsi="Verdana" w:cs="Times New Roman"/>
        </w:rPr>
        <w:t>iii</w:t>
      </w:r>
      <w:proofErr w:type="spellEnd"/>
      <w:r>
        <w:rPr>
          <w:rFonts w:ascii="Verdana" w:eastAsia="Times New Roman" w:hAnsi="Verdana" w:cs="Times New Roman"/>
        </w:rPr>
        <w:t>) la regla se establezca de manera previa y uniforme en los pliegos, garantizando su aplicación en igualdad de condiciones a todos los proponentes.</w:t>
      </w:r>
    </w:p>
    <w:p w14:paraId="30DEB2C3" w14:textId="7FEA6D07" w:rsidR="007871E6" w:rsidRDefault="007871E6" w:rsidP="00EE1130">
      <w:pPr>
        <w:spacing w:after="0" w:line="276" w:lineRule="auto"/>
        <w:ind w:firstLine="708"/>
        <w:jc w:val="both"/>
        <w:rPr>
          <w:rFonts w:ascii="Verdana" w:eastAsia="Times New Roman" w:hAnsi="Verdana" w:cs="Times New Roman"/>
        </w:rPr>
      </w:pPr>
      <w:r>
        <w:rPr>
          <w:rFonts w:ascii="Verdana" w:eastAsia="Times New Roman" w:hAnsi="Verdana" w:cs="Times New Roman"/>
        </w:rPr>
        <w:lastRenderedPageBreak/>
        <w:t>Finalmente, debe advertirse que el análisis requerido para resolver situaciones concretas relacionadas con la contratación de las entidades estatales corresponde a quienes tengan interés en ello, de modo que las afirmaciones aquí realizadas no pueden interpretarse como juicios de valor sobre circunstancias particulares. Al tratarse de reglas que deben definirse en el marco de un procedimiento contractual específico, esta Agencia no puede fijar un criterio universal y absoluto por vía consultiva, sino brindar elementos de carácter general para que los partícipes del sistema de compras y contratación pública adopten la decisión que corresponda, conforme al principio de juridicidad. Así, cada entidad definirá, en ejercicio de su competencia y previa valoración de los elementos fácticos y jurídicos de su proceso, la forma de adelantar su gestión contractual, sin que sea atribución de Colombia Compra Eficiente validar sus actuaciones.</w:t>
      </w:r>
    </w:p>
    <w:p w14:paraId="6A7CA66C" w14:textId="77777777" w:rsidR="007871E6" w:rsidRPr="00EE1130" w:rsidRDefault="007871E6" w:rsidP="00EE1130">
      <w:pPr>
        <w:spacing w:after="0" w:line="276" w:lineRule="auto"/>
        <w:jc w:val="both"/>
        <w:rPr>
          <w:rFonts w:ascii="Verdana" w:eastAsia="Calibri" w:hAnsi="Verdana" w:cs="Arial"/>
        </w:rPr>
      </w:pPr>
    </w:p>
    <w:p w14:paraId="4B09774B" w14:textId="585B104E" w:rsidR="007871E6" w:rsidRDefault="007871E6" w:rsidP="00EE1130">
      <w:pPr>
        <w:spacing w:after="0" w:line="276" w:lineRule="auto"/>
        <w:jc w:val="both"/>
        <w:rPr>
          <w:rFonts w:ascii="Verdana" w:eastAsia="Century Gothic" w:hAnsi="Verdana" w:cs="Century Gothic"/>
          <w:b/>
          <w:lang w:val="es-ES"/>
        </w:rPr>
      </w:pPr>
      <w:r w:rsidRPr="00EE1130">
        <w:rPr>
          <w:rFonts w:ascii="Verdana" w:eastAsia="Century Gothic" w:hAnsi="Verdana" w:cs="Century Gothic"/>
          <w:b/>
          <w:lang w:val="es-ES"/>
        </w:rPr>
        <w:t>4. Referencias normativas, jurisprudenciales y otras fuentes:</w:t>
      </w:r>
    </w:p>
    <w:p w14:paraId="388D5C80" w14:textId="77777777" w:rsidR="00EE1130" w:rsidRPr="00EE1130" w:rsidRDefault="00EE1130" w:rsidP="003248CC">
      <w:pPr>
        <w:spacing w:after="0" w:line="276" w:lineRule="auto"/>
        <w:jc w:val="both"/>
        <w:rPr>
          <w:rFonts w:ascii="Verdana" w:eastAsia="Century Gothic" w:hAnsi="Verdana" w:cs="Century Gothic"/>
          <w:b/>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7871E6" w:rsidRPr="00EE1130" w14:paraId="5878136C" w14:textId="77777777" w:rsidTr="000A1473">
        <w:trPr>
          <w:trHeight w:val="297"/>
        </w:trPr>
        <w:tc>
          <w:tcPr>
            <w:tcW w:w="8647" w:type="dxa"/>
          </w:tcPr>
          <w:p w14:paraId="45324DF7" w14:textId="77777777" w:rsidR="007871E6" w:rsidRPr="00EE1130" w:rsidRDefault="007871E6" w:rsidP="00EE1130">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1B3CBA">
              <w:rPr>
                <w:rFonts w:ascii="Verdana" w:eastAsia="Arial MT" w:hAnsi="Verdana" w:cs="Arial"/>
                <w:lang w:eastAsia="es-ES" w:bidi="es-ES"/>
              </w:rPr>
              <w:t>Constitución Política de Colombia. Artículos 13, 47, 54 y 93.</w:t>
            </w:r>
          </w:p>
          <w:p w14:paraId="35E5CEC7" w14:textId="77777777" w:rsidR="007871E6" w:rsidRPr="00EE1130" w:rsidRDefault="007871E6" w:rsidP="001B3CBA">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Ley 22 de 1967. Por la cual se aprueba el Convenio número 111 de la Organización Internacional del Trabajo, relativo a la discriminación en materia de empleo y ocupación.</w:t>
            </w:r>
          </w:p>
          <w:p w14:paraId="4C3A7E29"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Ley 80 de 1993. Artículo 25, numeral 2.</w:t>
            </w:r>
          </w:p>
          <w:p w14:paraId="7B06CAE0"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Ley 82 de 1988. Por la cual se aprueba el Convenio 159 de la OIT sobre la readaptación profesional y el empleo de personas inválidas.</w:t>
            </w:r>
          </w:p>
          <w:p w14:paraId="4EA1E75D"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Ley 361 de 1997. Artículo 24.</w:t>
            </w:r>
          </w:p>
          <w:p w14:paraId="3435BB85"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Ley 762 de 2002. Por medio de la cual se aprueba la Convención Interamericana para la Eliminación de todas las Formas de Discriminación contra las Personas con Discapacidad.</w:t>
            </w:r>
          </w:p>
          <w:p w14:paraId="0C67A3E7"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Ley 1150 de 2007. Artículo 5.</w:t>
            </w:r>
          </w:p>
          <w:p w14:paraId="7F078C70"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Ley 1346 de 2009. Por medio de la cual se aprueba la Convención sobre los Derechos de las Personas con Discapacidad de la ONU.</w:t>
            </w:r>
          </w:p>
          <w:p w14:paraId="5FA39561"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Ley Estatutaria 1618 de 2013. Artículo 2, numeral 1, y artículo 13, numerales 1, 7 y 8.</w:t>
            </w:r>
          </w:p>
          <w:p w14:paraId="21A68B46"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Ley 1996 de 2019. Artículo 62.</w:t>
            </w:r>
          </w:p>
          <w:p w14:paraId="0D39B887"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Ley 2466 de 2025. Por medio de la cual se modifica parcialmente normas laborales y se adopta una Reforma Laboral para el trabajo decente y digno en Colombia.</w:t>
            </w:r>
          </w:p>
          <w:p w14:paraId="7A68BA14"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lastRenderedPageBreak/>
              <w:t>Decreto Ley 4170 de 2011. Artículo 3, numeral 5, y artículo 11, numeral 8.</w:t>
            </w:r>
          </w:p>
          <w:p w14:paraId="1EB78375"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Decreto Ley 019 de 2012. Artículo 7.</w:t>
            </w:r>
          </w:p>
          <w:p w14:paraId="013AF274"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Decreto 1082 de 2015. Artículos 2.2.1.2.4.2.6, 2.2.1.2.4.2.7 y siguientes, y 2.2.1.2.4.2.8, modificados por el Decreto 0287 de 2026.</w:t>
            </w:r>
          </w:p>
          <w:p w14:paraId="4D74028A"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Decreto 392 de 2018.</w:t>
            </w:r>
          </w:p>
          <w:p w14:paraId="76923D06"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Decreto 0287 de 2026. Por el cual se modifican los artículos 2.2.1.2.4.2.6, 2.2.1.2.4.2.7 y 2.2.1.2.4.2.8 del Decreto 1082 de 2015.</w:t>
            </w:r>
          </w:p>
          <w:p w14:paraId="633C1320"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Agencia Nacional de Contratación Pública – Colombia Compra Eficiente. Resolución 469 de 2025.</w:t>
            </w:r>
          </w:p>
          <w:p w14:paraId="12B6ADE3"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Corte Constitucional. Sentencia C-569 de 2004. M.P. Rodrigo Uprimny Yepes.</w:t>
            </w:r>
          </w:p>
          <w:p w14:paraId="0539893A"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 xml:space="preserve">Consejo de Estado. Sala de lo Contencioso Administrativo, Sección Quinta. Sentencia de acción de cumplimiento del 12 de diciembre de 2024. Rad. </w:t>
            </w:r>
            <w:proofErr w:type="spellStart"/>
            <w:r w:rsidRPr="00EE1130">
              <w:rPr>
                <w:rFonts w:ascii="Verdana" w:eastAsia="Arial MT" w:hAnsi="Verdana" w:cs="Arial"/>
                <w:lang w:eastAsia="es-ES" w:bidi="es-ES"/>
              </w:rPr>
              <w:t>n.°</w:t>
            </w:r>
            <w:proofErr w:type="spellEnd"/>
            <w:r w:rsidRPr="00EE1130">
              <w:rPr>
                <w:rFonts w:ascii="Verdana" w:eastAsia="Arial MT" w:hAnsi="Verdana" w:cs="Arial"/>
                <w:lang w:eastAsia="es-ES" w:bidi="es-ES"/>
              </w:rPr>
              <w:t xml:space="preserve"> 05001-23-33-000-2024-00847-01. M.P. Omar Joaquín Barreto Suárez.</w:t>
            </w:r>
          </w:p>
          <w:p w14:paraId="0B522C8C"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 xml:space="preserve">Consejo de Estado. Sala de Consulta y Servicio Civil. Concepto del 17 de abril de 1996. Rad. </w:t>
            </w:r>
            <w:proofErr w:type="spellStart"/>
            <w:r w:rsidRPr="00EE1130">
              <w:rPr>
                <w:rFonts w:ascii="Verdana" w:eastAsia="Arial MT" w:hAnsi="Verdana" w:cs="Arial"/>
                <w:lang w:eastAsia="es-ES" w:bidi="es-ES"/>
              </w:rPr>
              <w:t>n.°</w:t>
            </w:r>
            <w:proofErr w:type="spellEnd"/>
            <w:r w:rsidRPr="00EE1130">
              <w:rPr>
                <w:rFonts w:ascii="Verdana" w:eastAsia="Arial MT" w:hAnsi="Verdana" w:cs="Arial"/>
                <w:lang w:eastAsia="es-ES" w:bidi="es-ES"/>
              </w:rPr>
              <w:t xml:space="preserve"> 811 de 1996. C.P. Roberto Suárez Franco.</w:t>
            </w:r>
          </w:p>
          <w:p w14:paraId="6A83AC5B" w14:textId="77777777" w:rsidR="007871E6" w:rsidRPr="00EE1130" w:rsidRDefault="007871E6">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EE1130">
              <w:rPr>
                <w:rFonts w:ascii="Verdana" w:eastAsia="Arial MT" w:hAnsi="Verdana" w:cs="Arial"/>
                <w:lang w:eastAsia="es-ES" w:bidi="es-ES"/>
              </w:rPr>
              <w:t xml:space="preserve">Agencia Nacional de Contratación Pública – Colombia Compra </w:t>
            </w:r>
          </w:p>
        </w:tc>
      </w:tr>
    </w:tbl>
    <w:p w14:paraId="118DF373" w14:textId="77777777" w:rsidR="007871E6" w:rsidRPr="00EE1130" w:rsidRDefault="007871E6" w:rsidP="00EE1130">
      <w:pPr>
        <w:widowControl w:val="0"/>
        <w:autoSpaceDE w:val="0"/>
        <w:autoSpaceDN w:val="0"/>
        <w:spacing w:after="0" w:line="276" w:lineRule="auto"/>
        <w:jc w:val="both"/>
        <w:rPr>
          <w:rFonts w:ascii="Verdana" w:hAnsi="Verdana" w:cs="Arial"/>
          <w:color w:val="ED7D31" w:themeColor="accent2"/>
          <w:lang w:val="es-ES"/>
        </w:rPr>
      </w:pPr>
    </w:p>
    <w:p w14:paraId="0DC134C2" w14:textId="77777777" w:rsidR="007871E6" w:rsidRPr="00EE1130" w:rsidRDefault="007871E6" w:rsidP="00EE1130">
      <w:pPr>
        <w:tabs>
          <w:tab w:val="left" w:pos="142"/>
          <w:tab w:val="left" w:pos="284"/>
        </w:tabs>
        <w:spacing w:after="0" w:line="276" w:lineRule="auto"/>
        <w:jc w:val="both"/>
        <w:rPr>
          <w:rFonts w:ascii="Verdana" w:eastAsia="Century Gothic" w:hAnsi="Verdana" w:cs="Century Gothic"/>
          <w:b/>
          <w:lang w:val="es-ES"/>
        </w:rPr>
      </w:pPr>
      <w:r w:rsidRPr="00EE1130">
        <w:rPr>
          <w:rFonts w:ascii="Verdana" w:eastAsia="Century Gothic" w:hAnsi="Verdana" w:cs="Century Gothic"/>
          <w:b/>
          <w:lang w:val="es-ES"/>
        </w:rPr>
        <w:t>5. Doctrina de la Agencia Nacional de Contratación Pública:</w:t>
      </w:r>
    </w:p>
    <w:p w14:paraId="4811AFDF" w14:textId="77777777" w:rsidR="007871E6" w:rsidRPr="001B3CBA" w:rsidRDefault="007871E6" w:rsidP="001B3CBA">
      <w:pPr>
        <w:tabs>
          <w:tab w:val="left" w:pos="142"/>
          <w:tab w:val="left" w:pos="284"/>
        </w:tabs>
        <w:spacing w:after="0" w:line="276" w:lineRule="auto"/>
        <w:jc w:val="both"/>
        <w:rPr>
          <w:rFonts w:ascii="Verdana" w:eastAsia="Century Gothic" w:hAnsi="Verdana" w:cs="Century Gothic"/>
          <w:b/>
          <w:lang w:val="es-ES"/>
        </w:rPr>
      </w:pPr>
    </w:p>
    <w:p w14:paraId="6994DD18" w14:textId="77777777" w:rsidR="007871E6" w:rsidRPr="00EE1130" w:rsidRDefault="007871E6" w:rsidP="001B3CBA">
      <w:pPr>
        <w:spacing w:after="0" w:line="276" w:lineRule="auto"/>
        <w:jc w:val="both"/>
        <w:rPr>
          <w:rFonts w:ascii="Verdana" w:hAnsi="Verdana"/>
          <w:color w:val="ED7D31" w:themeColor="accent2"/>
          <w:lang w:val="es-ES"/>
        </w:rPr>
      </w:pPr>
      <w:r w:rsidRPr="001B3CBA">
        <w:rPr>
          <w:rFonts w:ascii="Verdana" w:eastAsia="Calibri" w:hAnsi="Verdana" w:cs="Arial"/>
          <w:lang w:val="es-ES"/>
        </w:rPr>
        <w:t xml:space="preserve">La Agencia Nacional de Contratación Pública – Colombia Compra Eficiente se ha referido </w:t>
      </w:r>
      <w:r w:rsidRPr="00EE1130">
        <w:rPr>
          <w:rFonts w:ascii="Verdana" w:hAnsi="Verdana" w:cs="Arial"/>
          <w:shd w:val="clear" w:color="auto" w:fill="FFFFFF"/>
          <w:lang w:val="es-ES"/>
        </w:rPr>
        <w:t>sobre el alcance del Decreto 0287 de 2026 en este concepto</w:t>
      </w:r>
      <w:r w:rsidRPr="00EE1130">
        <w:rPr>
          <w:rFonts w:ascii="Verdana" w:eastAsia="Calibri" w:hAnsi="Verdana" w:cs="Arial"/>
          <w:lang w:val="es-ES_tradnl" w:eastAsia="es-ES"/>
        </w:rPr>
        <w:t>.</w:t>
      </w:r>
      <w:r w:rsidRPr="00EE1130">
        <w:rPr>
          <w:rFonts w:ascii="Verdana" w:hAnsi="Verdana" w:cs="Arial"/>
          <w:shd w:val="clear" w:color="auto" w:fill="FFFFFF"/>
          <w:lang w:val="es-ES"/>
        </w:rPr>
        <w:t xml:space="preserve"> Este</w:t>
      </w:r>
      <w:r w:rsidRPr="00EE1130">
        <w:rPr>
          <w:rFonts w:ascii="Verdana" w:hAnsi="Verdana"/>
          <w:lang w:val="es-ES"/>
        </w:rPr>
        <w:t xml:space="preserve"> y otros se encuentran disponibles para consulta en el Sistema de relatoría de la Agencia, al cual se puede acceder a través del siguiente enlace:</w:t>
      </w:r>
      <w:r w:rsidRPr="00EE1130">
        <w:rPr>
          <w:rFonts w:ascii="Verdana" w:hAnsi="Verdana" w:cs="Arial"/>
          <w:shd w:val="clear" w:color="auto" w:fill="FFFFFF"/>
          <w:lang w:val="es-ES"/>
        </w:rPr>
        <w:t xml:space="preserve"> </w:t>
      </w:r>
      <w:hyperlink r:id="rId12" w:history="1">
        <w:r w:rsidRPr="00EE1130">
          <w:rPr>
            <w:rStyle w:val="Hipervnculo"/>
            <w:rFonts w:ascii="Verdana" w:hAnsi="Verdana" w:cs="Arial"/>
            <w:shd w:val="clear" w:color="auto" w:fill="FFFFFF"/>
            <w:lang w:val="es-ES"/>
          </w:rPr>
          <w:t>https://relatoria.colombiacompra.gov.co/busqueda/conceptos</w:t>
        </w:r>
      </w:hyperlink>
    </w:p>
    <w:p w14:paraId="0EF2CED1" w14:textId="77777777" w:rsidR="007871E6" w:rsidRPr="00EE1130" w:rsidRDefault="007871E6">
      <w:pPr>
        <w:spacing w:after="0" w:line="276" w:lineRule="auto"/>
        <w:jc w:val="both"/>
        <w:rPr>
          <w:rFonts w:ascii="Verdana" w:hAnsi="Verdana" w:cs="Arial"/>
          <w:color w:val="ED7D31" w:themeColor="accent2"/>
          <w:shd w:val="clear" w:color="auto" w:fill="FFFFFF"/>
          <w:lang w:val="es-ES"/>
        </w:rPr>
      </w:pPr>
    </w:p>
    <w:p w14:paraId="13F4ED63" w14:textId="77777777" w:rsidR="007871E6" w:rsidRPr="00EE1130" w:rsidRDefault="007871E6">
      <w:pPr>
        <w:spacing w:after="0" w:line="276" w:lineRule="auto"/>
        <w:jc w:val="both"/>
        <w:rPr>
          <w:rFonts w:ascii="Verdana" w:hAnsi="Verdana" w:cs="Arial"/>
          <w:shd w:val="clear" w:color="auto" w:fill="FFFFFF"/>
        </w:rPr>
      </w:pPr>
      <w:r w:rsidRPr="001B3CBA">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w:t>
      </w:r>
      <w:r w:rsidRPr="00EE1130">
        <w:rPr>
          <w:rFonts w:ascii="Verdana" w:hAnsi="Verdana" w:cs="Arial"/>
          <w:shd w:val="clear" w:color="auto" w:fill="FFFFFF"/>
        </w:rPr>
        <w:t xml:space="preserve">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3" w:history="1">
        <w:r w:rsidRPr="00EE1130">
          <w:rPr>
            <w:rStyle w:val="Hipervnculo"/>
            <w:rFonts w:ascii="Verdana" w:hAnsi="Verdana" w:cs="Arial"/>
            <w:shd w:val="clear" w:color="auto" w:fill="FFFFFF"/>
          </w:rPr>
          <w:t>https://formacionvirtual.colombiacompra.gov.co/mod/page/view.php?id=3718</w:t>
        </w:r>
      </w:hyperlink>
      <w:r w:rsidRPr="00EE1130">
        <w:rPr>
          <w:rFonts w:ascii="Verdana" w:hAnsi="Verdana" w:cs="Arial"/>
          <w:shd w:val="clear" w:color="auto" w:fill="FFFFFF"/>
        </w:rPr>
        <w:t xml:space="preserve"> </w:t>
      </w:r>
    </w:p>
    <w:p w14:paraId="3643B10D" w14:textId="77777777" w:rsidR="007871E6" w:rsidRPr="001B3CBA" w:rsidRDefault="007871E6">
      <w:pPr>
        <w:spacing w:after="0" w:line="276" w:lineRule="auto"/>
        <w:jc w:val="both"/>
        <w:rPr>
          <w:rFonts w:ascii="Verdana" w:hAnsi="Verdana" w:cs="Arial"/>
          <w:shd w:val="clear" w:color="auto" w:fill="FFFFFF"/>
        </w:rPr>
      </w:pPr>
    </w:p>
    <w:p w14:paraId="5DEC2181" w14:textId="77777777" w:rsidR="007871E6" w:rsidRPr="00EE1130" w:rsidRDefault="007871E6">
      <w:pPr>
        <w:spacing w:after="0" w:line="276" w:lineRule="auto"/>
        <w:jc w:val="both"/>
        <w:rPr>
          <w:rFonts w:ascii="Verdana" w:hAnsi="Verdana" w:cs="Arial"/>
          <w:shd w:val="clear" w:color="auto" w:fill="FFFFFF"/>
        </w:rPr>
      </w:pPr>
      <w:r w:rsidRPr="00EE1130">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4" w:history="1">
        <w:r w:rsidRPr="00EE1130">
          <w:rPr>
            <w:rStyle w:val="Hipervnculo"/>
            <w:rFonts w:ascii="Verdana" w:hAnsi="Verdana" w:cs="Arial"/>
            <w:shd w:val="clear" w:color="auto" w:fill="FFFFFF"/>
          </w:rPr>
          <w:t>https://www.colombiacompra.gov.co/normativa-y-relatoria/documentos-tipo</w:t>
        </w:r>
      </w:hyperlink>
    </w:p>
    <w:p w14:paraId="46CE2D47" w14:textId="77777777" w:rsidR="007871E6" w:rsidRPr="00EE1130" w:rsidRDefault="007871E6">
      <w:pPr>
        <w:spacing w:after="0" w:line="276" w:lineRule="auto"/>
        <w:jc w:val="both"/>
        <w:rPr>
          <w:rFonts w:ascii="Verdana" w:hAnsi="Verdana" w:cs="Arial"/>
          <w:shd w:val="clear" w:color="auto" w:fill="FFFFFF"/>
        </w:rPr>
      </w:pPr>
    </w:p>
    <w:p w14:paraId="6EABC758" w14:textId="77777777" w:rsidR="007871E6" w:rsidRPr="00EE1130" w:rsidRDefault="007871E6">
      <w:pPr>
        <w:spacing w:after="0" w:line="276" w:lineRule="auto"/>
        <w:jc w:val="both"/>
        <w:rPr>
          <w:rFonts w:ascii="Verdana" w:hAnsi="Verdana" w:cs="Arial"/>
          <w:shd w:val="clear" w:color="auto" w:fill="FFFFFF"/>
        </w:rPr>
      </w:pPr>
      <w:r w:rsidRPr="00EE1130">
        <w:rPr>
          <w:rFonts w:ascii="Verdana" w:hAnsi="Verdana" w:cs="Arial"/>
          <w:shd w:val="clear" w:color="auto" w:fill="FFFFFF"/>
        </w:rPr>
        <w:t xml:space="preserve">Si quieres conocer más sobre la aplicación de Documentos Tipo puedes consultar la </w:t>
      </w:r>
      <w:r w:rsidRPr="001B3CBA">
        <w:rPr>
          <w:rFonts w:ascii="Verdana" w:hAnsi="Verdana" w:cs="Arial"/>
          <w:shd w:val="clear" w:color="auto" w:fill="FFFFFF"/>
        </w:rPr>
        <w:t>última versión de la Guía para la comprensión e implementación de los Documentos Tipo de obra pública de infraestructura de transporte. En esta actualización se incorporaron orientaciones prácticas dirigidas a entidades públicas, proveedores, organismos de</w:t>
      </w:r>
      <w:r w:rsidRPr="00EE1130">
        <w:rPr>
          <w:rFonts w:ascii="Verdana" w:hAnsi="Verdana" w:cs="Arial"/>
          <w:shd w:val="clear" w:color="auto" w:fill="FFFFFF"/>
        </w:rPr>
        <w:t xml:space="preserve"> control y demás interesados, con el propósito de facilitar la adecuada implementación de estos instrumentos en los procesos contractuales. </w:t>
      </w:r>
      <w:proofErr w:type="gramStart"/>
      <w:r w:rsidRPr="00EE1130">
        <w:rPr>
          <w:rFonts w:ascii="Verdana" w:hAnsi="Verdana" w:cs="Arial"/>
          <w:shd w:val="clear" w:color="auto" w:fill="FFFFFF"/>
        </w:rPr>
        <w:t>Además</w:t>
      </w:r>
      <w:proofErr w:type="gramEnd"/>
      <w:r w:rsidRPr="00EE1130">
        <w:rPr>
          <w:rFonts w:ascii="Verdana" w:hAnsi="Verdana" w:cs="Arial"/>
          <w:shd w:val="clear" w:color="auto" w:fill="FFFFFF"/>
        </w:rPr>
        <w:t xml:space="preserve">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4F0B70E8" w14:textId="77777777" w:rsidR="007871E6" w:rsidRPr="00EE1130" w:rsidRDefault="007871E6">
      <w:pPr>
        <w:spacing w:after="0" w:line="276" w:lineRule="auto"/>
        <w:jc w:val="both"/>
        <w:rPr>
          <w:rFonts w:ascii="Verdana" w:hAnsi="Verdana" w:cs="Arial"/>
          <w:color w:val="ED7D31" w:themeColor="accent2"/>
          <w:shd w:val="clear" w:color="auto" w:fill="FFFFFF"/>
        </w:rPr>
      </w:pPr>
    </w:p>
    <w:p w14:paraId="04F74A87" w14:textId="77777777" w:rsidR="007871E6" w:rsidRPr="00EE1130" w:rsidRDefault="007871E6" w:rsidP="003248CC">
      <w:pPr>
        <w:spacing w:after="0" w:line="276" w:lineRule="auto"/>
        <w:jc w:val="both"/>
        <w:rPr>
          <w:rFonts w:ascii="Verdana" w:hAnsi="Verdana" w:cs="Arial"/>
          <w:shd w:val="clear" w:color="auto" w:fill="FFFFFF"/>
        </w:rPr>
      </w:pPr>
      <w:r w:rsidRPr="00EE1130">
        <w:rPr>
          <w:rFonts w:ascii="Verdana" w:hAnsi="Verdana" w:cs="Arial"/>
          <w:shd w:val="clear" w:color="auto" w:fill="FFFFFF"/>
        </w:rPr>
        <w:t xml:space="preserve">Por último, lo invitamos a seguirnos en las redes sociales en las cuales se difunde información institucional: </w:t>
      </w:r>
    </w:p>
    <w:p w14:paraId="1DF2D325" w14:textId="77777777" w:rsidR="007871E6" w:rsidRPr="00EE1130" w:rsidRDefault="007871E6" w:rsidP="003248CC">
      <w:pPr>
        <w:spacing w:after="0" w:line="276" w:lineRule="auto"/>
        <w:jc w:val="both"/>
        <w:rPr>
          <w:rFonts w:ascii="Verdana" w:hAnsi="Verdana" w:cs="Arial"/>
          <w:shd w:val="clear" w:color="auto" w:fill="FFFFFF"/>
        </w:rPr>
      </w:pPr>
    </w:p>
    <w:p w14:paraId="079AEB77" w14:textId="77777777" w:rsidR="007871E6" w:rsidRPr="00EE1130" w:rsidRDefault="007871E6" w:rsidP="003248CC">
      <w:pPr>
        <w:spacing w:after="0" w:line="276" w:lineRule="auto"/>
        <w:jc w:val="both"/>
        <w:rPr>
          <w:rFonts w:ascii="Verdana" w:hAnsi="Verdana" w:cs="Arial"/>
          <w:shd w:val="clear" w:color="auto" w:fill="FFFFFF"/>
        </w:rPr>
      </w:pPr>
      <w:r w:rsidRPr="00EE1130">
        <w:rPr>
          <w:rFonts w:ascii="Verdana" w:hAnsi="Verdana" w:cs="Arial"/>
          <w:shd w:val="clear" w:color="auto" w:fill="FFFFFF"/>
        </w:rPr>
        <w:t xml:space="preserve">Twitter: </w:t>
      </w:r>
      <w:r w:rsidRPr="00EE1130">
        <w:rPr>
          <w:rStyle w:val="Hipervnculo"/>
          <w:rFonts w:ascii="Verdana" w:hAnsi="Verdana"/>
          <w:lang w:val="es-ES"/>
        </w:rPr>
        <w:t>@colombiacompra</w:t>
      </w:r>
      <w:r w:rsidRPr="00EE1130">
        <w:rPr>
          <w:rStyle w:val="Hipervnculo"/>
          <w:rFonts w:ascii="Verdana" w:hAnsi="Verdana"/>
          <w:color w:val="auto"/>
          <w:lang w:val="es-ES"/>
        </w:rPr>
        <w:t xml:space="preserve"> </w:t>
      </w:r>
    </w:p>
    <w:p w14:paraId="5D47F079" w14:textId="77777777" w:rsidR="007871E6" w:rsidRPr="00EE1130" w:rsidRDefault="007871E6" w:rsidP="003248CC">
      <w:pPr>
        <w:spacing w:after="0" w:line="276" w:lineRule="auto"/>
        <w:jc w:val="both"/>
        <w:rPr>
          <w:rFonts w:ascii="Verdana" w:hAnsi="Verdana" w:cs="Arial"/>
          <w:shd w:val="clear" w:color="auto" w:fill="FFFFFF"/>
        </w:rPr>
      </w:pPr>
      <w:r w:rsidRPr="00EE1130">
        <w:rPr>
          <w:rFonts w:ascii="Verdana" w:hAnsi="Verdana" w:cs="Arial"/>
          <w:shd w:val="clear" w:color="auto" w:fill="FFFFFF"/>
        </w:rPr>
        <w:t>Facebook:</w:t>
      </w:r>
      <w:r w:rsidRPr="00EE1130">
        <w:rPr>
          <w:rStyle w:val="Hipervnculo"/>
          <w:rFonts w:ascii="Verdana" w:hAnsi="Verdana"/>
          <w:lang w:val="es-ES"/>
        </w:rPr>
        <w:t xml:space="preserve"> </w:t>
      </w:r>
      <w:proofErr w:type="spellStart"/>
      <w:r w:rsidRPr="00EE1130">
        <w:rPr>
          <w:rStyle w:val="Hipervnculo"/>
          <w:rFonts w:ascii="Verdana" w:hAnsi="Verdana"/>
          <w:lang w:val="es-ES"/>
        </w:rPr>
        <w:t>ColombiaCompraEficiente</w:t>
      </w:r>
      <w:proofErr w:type="spellEnd"/>
    </w:p>
    <w:p w14:paraId="2BE12D4C" w14:textId="77777777" w:rsidR="007871E6" w:rsidRPr="00EE1130" w:rsidRDefault="007871E6" w:rsidP="003248CC">
      <w:pPr>
        <w:spacing w:after="0" w:line="276" w:lineRule="auto"/>
        <w:jc w:val="both"/>
        <w:rPr>
          <w:rFonts w:ascii="Verdana" w:hAnsi="Verdana" w:cs="Arial"/>
          <w:shd w:val="clear" w:color="auto" w:fill="FFFFFF"/>
        </w:rPr>
      </w:pPr>
      <w:r w:rsidRPr="00EE1130">
        <w:rPr>
          <w:rFonts w:ascii="Verdana" w:hAnsi="Verdana" w:cs="Arial"/>
          <w:shd w:val="clear" w:color="auto" w:fill="FFFFFF"/>
        </w:rPr>
        <w:t xml:space="preserve">LinkedIn: </w:t>
      </w:r>
      <w:r w:rsidRPr="00EE1130">
        <w:rPr>
          <w:rStyle w:val="Hipervnculo"/>
          <w:rFonts w:ascii="Verdana" w:hAnsi="Verdana"/>
          <w:lang w:val="es-ES"/>
        </w:rPr>
        <w:t>Agencia Nacional de Contratación Pública - Colombia Compra Eficiente</w:t>
      </w:r>
      <w:r w:rsidRPr="00EE1130">
        <w:rPr>
          <w:rFonts w:ascii="Verdana" w:hAnsi="Verdana" w:cs="Arial"/>
          <w:color w:val="0000FF"/>
          <w:shd w:val="clear" w:color="auto" w:fill="FFFFFF"/>
        </w:rPr>
        <w:t xml:space="preserve"> </w:t>
      </w:r>
    </w:p>
    <w:p w14:paraId="78938031" w14:textId="77777777" w:rsidR="007871E6" w:rsidRPr="00EE1130" w:rsidRDefault="007871E6" w:rsidP="003248CC">
      <w:pPr>
        <w:spacing w:after="0" w:line="276" w:lineRule="auto"/>
        <w:jc w:val="both"/>
        <w:rPr>
          <w:rFonts w:ascii="Verdana" w:hAnsi="Verdana" w:cs="Arial"/>
          <w:shd w:val="clear" w:color="auto" w:fill="FFFFFF"/>
        </w:rPr>
      </w:pPr>
      <w:r w:rsidRPr="00EE1130">
        <w:rPr>
          <w:rFonts w:ascii="Verdana" w:hAnsi="Verdana" w:cs="Arial"/>
          <w:shd w:val="clear" w:color="auto" w:fill="FFFFFF"/>
        </w:rPr>
        <w:t xml:space="preserve">Instagram: </w:t>
      </w:r>
      <w:r w:rsidRPr="00EE1130">
        <w:rPr>
          <w:rStyle w:val="Hipervnculo"/>
          <w:rFonts w:ascii="Verdana" w:hAnsi="Verdana"/>
          <w:lang w:val="es-ES"/>
        </w:rPr>
        <w:t>@colombiacompraeficiente_cce</w:t>
      </w:r>
    </w:p>
    <w:p w14:paraId="4DA9D1DC" w14:textId="77777777" w:rsidR="007871E6" w:rsidRPr="00EE1130" w:rsidRDefault="007871E6" w:rsidP="00EE1130">
      <w:pPr>
        <w:widowControl w:val="0"/>
        <w:autoSpaceDE w:val="0"/>
        <w:autoSpaceDN w:val="0"/>
        <w:spacing w:after="0" w:line="276" w:lineRule="auto"/>
        <w:jc w:val="both"/>
        <w:rPr>
          <w:rFonts w:ascii="Verdana" w:hAnsi="Verdana" w:cs="Arial"/>
          <w:color w:val="ED7D31" w:themeColor="accent2"/>
          <w:lang w:val="es-ES"/>
        </w:rPr>
      </w:pPr>
    </w:p>
    <w:p w14:paraId="06E4BAB8" w14:textId="77777777" w:rsidR="007871E6" w:rsidRPr="00EE1130" w:rsidRDefault="007871E6" w:rsidP="001B3CBA">
      <w:pPr>
        <w:widowControl w:val="0"/>
        <w:autoSpaceDE w:val="0"/>
        <w:autoSpaceDN w:val="0"/>
        <w:spacing w:after="0" w:line="276" w:lineRule="auto"/>
        <w:jc w:val="both"/>
        <w:rPr>
          <w:rFonts w:ascii="Verdana" w:hAnsi="Verdana" w:cs="Arial"/>
          <w:lang w:val="es-ES"/>
        </w:rPr>
      </w:pPr>
      <w:r w:rsidRPr="00EE1130">
        <w:rPr>
          <w:rFonts w:ascii="Verdana" w:hAnsi="Verdana" w:cs="Arial"/>
          <w:lang w:val="es-ES"/>
        </w:rPr>
        <w:t xml:space="preserve">Este concepto tiene el alcance previsto en el artículo 28 del Código de Procedimiento Administrativo y de lo Contencioso Administrativo y las </w:t>
      </w:r>
      <w:r w:rsidRPr="00EE1130">
        <w:rPr>
          <w:rFonts w:ascii="Verdana" w:hAnsi="Verdana" w:cs="Arial"/>
          <w:lang w:val="es-ES"/>
        </w:rPr>
        <w:lastRenderedPageBreak/>
        <w:t>expresiones aquí utilizadas con mayúscula inicial deben ser entendidas con el significado que les otorga el artículo 2.2.1.1.1.3.1. del Decreto 1082 de 2015.</w:t>
      </w:r>
    </w:p>
    <w:p w14:paraId="0FDBD780" w14:textId="77777777" w:rsidR="007871E6" w:rsidRPr="00EE1130" w:rsidRDefault="007871E6">
      <w:pPr>
        <w:widowControl w:val="0"/>
        <w:autoSpaceDE w:val="0"/>
        <w:autoSpaceDN w:val="0"/>
        <w:spacing w:after="0" w:line="276" w:lineRule="auto"/>
        <w:jc w:val="both"/>
        <w:rPr>
          <w:rFonts w:ascii="Verdana" w:hAnsi="Verdana" w:cs="Arial"/>
          <w:lang w:val="es-ES"/>
        </w:rPr>
      </w:pPr>
    </w:p>
    <w:p w14:paraId="7FE6F4E1" w14:textId="77777777" w:rsidR="007871E6" w:rsidRPr="00EE1130" w:rsidRDefault="007871E6">
      <w:pPr>
        <w:spacing w:after="0" w:line="276" w:lineRule="auto"/>
        <w:rPr>
          <w:rFonts w:ascii="Verdana" w:hAnsi="Verdana" w:cs="Arial"/>
          <w:lang w:val="es-ES" w:eastAsia="es-CO"/>
        </w:rPr>
      </w:pPr>
      <w:r w:rsidRPr="00EE1130">
        <w:rPr>
          <w:rFonts w:ascii="Verdana" w:eastAsia="Times New Roman" w:hAnsi="Verdana" w:cs="Arial"/>
          <w:lang w:val="es-ES" w:eastAsia="es-CO"/>
        </w:rPr>
        <w:t>Atentamente,</w:t>
      </w:r>
      <w:r w:rsidRPr="00EE1130">
        <w:rPr>
          <w:rFonts w:ascii="Verdana" w:hAnsi="Verdana" w:cs="Arial"/>
          <w:lang w:val="es-ES" w:eastAsia="es-CO"/>
        </w:rPr>
        <w:t xml:space="preserve"> </w:t>
      </w:r>
    </w:p>
    <w:p w14:paraId="65C7131F" w14:textId="7AAC4356" w:rsidR="007871E6" w:rsidRPr="00206556" w:rsidRDefault="00DD71D8" w:rsidP="007871E6">
      <w:pPr>
        <w:spacing w:after="0" w:line="256" w:lineRule="auto"/>
        <w:jc w:val="center"/>
        <w:rPr>
          <w:rFonts w:ascii="Verdana" w:eastAsia="Times New Roman" w:hAnsi="Verdana" w:cs="Arial"/>
          <w:lang w:eastAsia="es-ES"/>
        </w:rPr>
      </w:pPr>
      <w:r>
        <w:rPr>
          <w:rFonts w:ascii="Verdana" w:eastAsia="Times New Roman" w:hAnsi="Verdana" w:cs="Arial"/>
          <w:noProof/>
          <w:lang w:eastAsia="es-ES"/>
        </w:rPr>
        <w:drawing>
          <wp:inline distT="0" distB="0" distL="0" distR="0" wp14:anchorId="3DA04409" wp14:editId="7ADEF3CE">
            <wp:extent cx="3639058" cy="1343212"/>
            <wp:effectExtent l="0" t="0" r="0" b="0"/>
            <wp:docPr id="18957072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70729" name="Imagen 1" descr="Texto&#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3639058" cy="1343212"/>
                    </a:xfrm>
                    <a:prstGeom prst="rect">
                      <a:avLst/>
                    </a:prstGeom>
                  </pic:spPr>
                </pic:pic>
              </a:graphicData>
            </a:graphic>
          </wp:inline>
        </w:drawing>
      </w:r>
    </w:p>
    <w:p w14:paraId="21356654" w14:textId="77777777" w:rsidR="007871E6" w:rsidRPr="00206556" w:rsidRDefault="007871E6" w:rsidP="003248CC">
      <w:pPr>
        <w:spacing w:after="0" w:line="240" w:lineRule="auto"/>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7871E6" w:rsidRPr="00206556" w14:paraId="0D23A609" w14:textId="77777777" w:rsidTr="000A1473">
        <w:trPr>
          <w:trHeight w:val="322"/>
        </w:trPr>
        <w:tc>
          <w:tcPr>
            <w:tcW w:w="733" w:type="dxa"/>
            <w:tcBorders>
              <w:top w:val="nil"/>
              <w:left w:val="nil"/>
              <w:bottom w:val="nil"/>
              <w:right w:val="nil"/>
            </w:tcBorders>
            <w:vAlign w:val="center"/>
            <w:hideMark/>
          </w:tcPr>
          <w:p w14:paraId="18A364BB"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Elaboró:         </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4F5C26F6"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eastAsia="es-CO"/>
              </w:rPr>
              <w:t>Gloria Elizabeth Arango Builes</w:t>
            </w:r>
          </w:p>
          <w:p w14:paraId="1D4F7AB8" w14:textId="77777777" w:rsidR="007871E6" w:rsidRPr="00206556" w:rsidRDefault="007871E6" w:rsidP="000A1473">
            <w:pPr>
              <w:spacing w:after="0" w:line="256" w:lineRule="auto"/>
              <w:rPr>
                <w:rFonts w:ascii="Verdana" w:eastAsia="Times New Roman" w:hAnsi="Verdana" w:cs="Arial"/>
                <w:sz w:val="16"/>
                <w:szCs w:val="16"/>
                <w:lang w:val="es-ES_tradnl" w:eastAsia="es-ES"/>
              </w:rPr>
            </w:pPr>
            <w:r w:rsidRPr="00206556">
              <w:rPr>
                <w:rFonts w:ascii="Verdana" w:eastAsia="Times New Roman" w:hAnsi="Verdana" w:cs="Arial"/>
                <w:sz w:val="16"/>
                <w:szCs w:val="16"/>
                <w:lang w:eastAsia="es-ES"/>
              </w:rPr>
              <w:t xml:space="preserve">Contratista </w:t>
            </w:r>
            <w:r w:rsidRPr="00206556">
              <w:rPr>
                <w:rFonts w:ascii="Verdana" w:eastAsia="Times New Roman" w:hAnsi="Verdana" w:cs="Times New Roman"/>
                <w:sz w:val="16"/>
                <w:szCs w:val="16"/>
                <w:lang w:eastAsia="es-CO"/>
              </w:rPr>
              <w:t>de la Subdirección de Gestión Contractual</w:t>
            </w:r>
          </w:p>
        </w:tc>
      </w:tr>
      <w:tr w:rsidR="007871E6" w:rsidRPr="00206556" w14:paraId="46021BCD" w14:textId="77777777" w:rsidTr="000A1473">
        <w:trPr>
          <w:trHeight w:val="322"/>
        </w:trPr>
        <w:tc>
          <w:tcPr>
            <w:tcW w:w="733" w:type="dxa"/>
            <w:tcBorders>
              <w:top w:val="nil"/>
              <w:left w:val="nil"/>
              <w:bottom w:val="nil"/>
              <w:right w:val="nil"/>
            </w:tcBorders>
            <w:vAlign w:val="center"/>
            <w:hideMark/>
          </w:tcPr>
          <w:p w14:paraId="2BA55BCC"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Revisó: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1BF6141" w14:textId="77777777" w:rsidR="007871E6" w:rsidRPr="00206556" w:rsidRDefault="007871E6" w:rsidP="000A1473">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Diana Lucía Saavedra Castañeda</w:t>
            </w:r>
          </w:p>
          <w:p w14:paraId="4CE69C2C" w14:textId="167D0137" w:rsidR="007871E6" w:rsidRPr="00206556" w:rsidRDefault="007871E6" w:rsidP="003248CC">
            <w:pPr>
              <w:autoSpaceDE w:val="0"/>
              <w:autoSpaceDN w:val="0"/>
              <w:adjustRightInd w:val="0"/>
              <w:spacing w:after="0" w:line="276" w:lineRule="auto"/>
              <w:rPr>
                <w:rFonts w:ascii="Verdana" w:eastAsia="Times New Roman" w:hAnsi="Verdana" w:cs="Times New Roman"/>
                <w:sz w:val="16"/>
                <w:szCs w:val="16"/>
                <w:lang w:eastAsia="es-CO"/>
              </w:rPr>
            </w:pPr>
            <w:r>
              <w:rPr>
                <w:rFonts w:ascii="Verdana" w:eastAsia="Times New Roman" w:hAnsi="Verdana" w:cs="Arial"/>
                <w:sz w:val="16"/>
                <w:szCs w:val="16"/>
                <w:lang w:eastAsia="es-ES"/>
              </w:rPr>
              <w:t>Contratista</w:t>
            </w:r>
            <w:r w:rsidRPr="00206556">
              <w:rPr>
                <w:rFonts w:ascii="Verdana" w:eastAsia="Times New Roman" w:hAnsi="Verdana" w:cs="Arial"/>
                <w:sz w:val="16"/>
                <w:szCs w:val="16"/>
                <w:lang w:eastAsia="es-ES"/>
              </w:rPr>
              <w:t xml:space="preserve"> de la Subdirección de Gestión Contractual</w:t>
            </w:r>
          </w:p>
        </w:tc>
      </w:tr>
      <w:tr w:rsidR="007871E6" w:rsidRPr="00206556" w14:paraId="5AF7D5FF" w14:textId="77777777" w:rsidTr="000A1473">
        <w:trPr>
          <w:trHeight w:val="307"/>
        </w:trPr>
        <w:tc>
          <w:tcPr>
            <w:tcW w:w="733" w:type="dxa"/>
            <w:tcBorders>
              <w:top w:val="nil"/>
              <w:left w:val="nil"/>
              <w:bottom w:val="nil"/>
              <w:right w:val="nil"/>
            </w:tcBorders>
            <w:vAlign w:val="center"/>
            <w:hideMark/>
          </w:tcPr>
          <w:p w14:paraId="59F15CD1"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Aprobó: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1B82937F" w14:textId="77777777" w:rsidR="007871E6" w:rsidRPr="00206556" w:rsidRDefault="007871E6" w:rsidP="000A1473">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Carolina Quintero Gacharná</w:t>
            </w:r>
          </w:p>
          <w:p w14:paraId="7B61333E" w14:textId="77777777" w:rsidR="007871E6" w:rsidRPr="00206556" w:rsidRDefault="007871E6" w:rsidP="000A1473">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Subdirectora de Gestión Contractual ANCP – CCE</w:t>
            </w:r>
          </w:p>
        </w:tc>
      </w:tr>
    </w:tbl>
    <w:p w14:paraId="70D976DE" w14:textId="77777777" w:rsidR="007871E6" w:rsidRDefault="007871E6" w:rsidP="007871E6">
      <w:pPr>
        <w:autoSpaceDE w:val="0"/>
        <w:autoSpaceDN w:val="0"/>
        <w:adjustRightInd w:val="0"/>
        <w:spacing w:after="0" w:line="276" w:lineRule="auto"/>
        <w:jc w:val="center"/>
        <w:rPr>
          <w:rFonts w:ascii="Verdana" w:eastAsia="Calibri" w:hAnsi="Verdana" w:cs="Arial"/>
        </w:rPr>
      </w:pPr>
    </w:p>
    <w:p w14:paraId="61B21DAE" w14:textId="77777777" w:rsidR="007871E6" w:rsidRDefault="007871E6" w:rsidP="007871E6">
      <w:pPr>
        <w:autoSpaceDE w:val="0"/>
        <w:autoSpaceDN w:val="0"/>
        <w:adjustRightInd w:val="0"/>
        <w:spacing w:after="0" w:line="276" w:lineRule="auto"/>
        <w:jc w:val="center"/>
        <w:rPr>
          <w:rFonts w:ascii="Verdana" w:eastAsia="Calibri" w:hAnsi="Verdana" w:cs="Arial"/>
        </w:rPr>
      </w:pPr>
    </w:p>
    <w:p w14:paraId="09297FF2" w14:textId="77777777" w:rsidR="007871E6" w:rsidRPr="00206556" w:rsidRDefault="007871E6" w:rsidP="007871E6">
      <w:pPr>
        <w:autoSpaceDE w:val="0"/>
        <w:autoSpaceDN w:val="0"/>
        <w:adjustRightInd w:val="0"/>
        <w:spacing w:after="0" w:line="276" w:lineRule="auto"/>
        <w:jc w:val="center"/>
        <w:rPr>
          <w:rFonts w:ascii="Verdana" w:eastAsia="Calibri" w:hAnsi="Verdana" w:cs="Arial"/>
        </w:rPr>
      </w:pPr>
    </w:p>
    <w:p w14:paraId="7C9026E2" w14:textId="77777777" w:rsidR="002A0DD0" w:rsidRPr="007871E6" w:rsidRDefault="002A0DD0" w:rsidP="30821638">
      <w:pPr>
        <w:spacing w:after="0" w:line="240" w:lineRule="auto"/>
        <w:jc w:val="both"/>
        <w:rPr>
          <w:rFonts w:ascii="Verdana" w:eastAsia="Verdana" w:hAnsi="Verdana" w:cs="Verdana"/>
          <w:b/>
          <w:bCs/>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4B260748"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1"/>
    </w:p>
    <w:sectPr w:rsidR="00C15139" w:rsidRPr="000E2B93" w:rsidSect="007C0C0F">
      <w:headerReference w:type="default" r:id="rId16"/>
      <w:footerReference w:type="default" r:id="rId1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70D85" w14:textId="77777777" w:rsidR="00EF5631" w:rsidRDefault="00EF5631" w:rsidP="004A1847">
      <w:pPr>
        <w:spacing w:after="0" w:line="240" w:lineRule="auto"/>
      </w:pPr>
      <w:r>
        <w:separator/>
      </w:r>
    </w:p>
  </w:endnote>
  <w:endnote w:type="continuationSeparator" w:id="0">
    <w:p w14:paraId="6AF05729" w14:textId="77777777" w:rsidR="00EF5631" w:rsidRDefault="00EF5631" w:rsidP="004A1847">
      <w:pPr>
        <w:spacing w:after="0" w:line="240" w:lineRule="auto"/>
      </w:pPr>
      <w:r>
        <w:continuationSeparator/>
      </w:r>
    </w:p>
  </w:endnote>
  <w:endnote w:type="continuationNotice" w:id="1">
    <w:p w14:paraId="1430E1C5" w14:textId="77777777" w:rsidR="00EF5631" w:rsidRDefault="00EF56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Work Sans">
    <w:charset w:val="00"/>
    <w:family w:val="auto"/>
    <w:pitch w:val="variable"/>
    <w:sig w:usb0="A00000FF" w:usb1="5000E07B" w:usb2="00000000" w:usb3="00000000" w:csb0="00000193"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2D1AF" w14:textId="77777777" w:rsidR="00EF5631" w:rsidRDefault="00EF5631" w:rsidP="004A1847">
      <w:pPr>
        <w:spacing w:after="0" w:line="240" w:lineRule="auto"/>
      </w:pPr>
      <w:r>
        <w:separator/>
      </w:r>
    </w:p>
  </w:footnote>
  <w:footnote w:type="continuationSeparator" w:id="0">
    <w:p w14:paraId="7419BA62" w14:textId="77777777" w:rsidR="00EF5631" w:rsidRDefault="00EF5631" w:rsidP="004A1847">
      <w:pPr>
        <w:spacing w:after="0" w:line="240" w:lineRule="auto"/>
      </w:pPr>
      <w:r>
        <w:continuationSeparator/>
      </w:r>
    </w:p>
  </w:footnote>
  <w:footnote w:type="continuationNotice" w:id="1">
    <w:p w14:paraId="7D8E0402" w14:textId="77777777" w:rsidR="00EF5631" w:rsidRDefault="00EF5631">
      <w:pPr>
        <w:spacing w:after="0" w:line="240" w:lineRule="auto"/>
      </w:pPr>
    </w:p>
  </w:footnote>
  <w:footnote w:id="2">
    <w:p w14:paraId="04470CA0" w14:textId="77777777" w:rsidR="007871E6" w:rsidRDefault="007871E6" w:rsidP="003248CC">
      <w:pPr>
        <w:spacing w:after="0" w:line="240" w:lineRule="auto"/>
        <w:ind w:firstLine="709"/>
        <w:jc w:val="both"/>
        <w:rPr>
          <w:rFonts w:ascii="Verdana" w:eastAsia="Times New Roman" w:hAnsi="Verdana" w:cs="Times New Roman"/>
          <w:sz w:val="16"/>
          <w:szCs w:val="16"/>
        </w:rPr>
      </w:pPr>
      <w:r w:rsidRPr="001C2502">
        <w:rPr>
          <w:rStyle w:val="Refdenotaalpie"/>
          <w:rFonts w:ascii="Verdana" w:hAnsi="Verdana"/>
          <w:sz w:val="16"/>
          <w:szCs w:val="16"/>
        </w:rPr>
        <w:footnoteRef/>
      </w:r>
      <w:r w:rsidRPr="001C2502">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 13. </w:t>
      </w:r>
    </w:p>
    <w:p w14:paraId="34BBF705" w14:textId="77777777" w:rsidR="007871E6" w:rsidRPr="00FD2507" w:rsidRDefault="007871E6" w:rsidP="003248CC">
      <w:pPr>
        <w:spacing w:after="0" w:line="240" w:lineRule="auto"/>
        <w:ind w:firstLine="709"/>
        <w:jc w:val="both"/>
        <w:rPr>
          <w:rFonts w:ascii="Verdana" w:eastAsia="Times New Roman" w:hAnsi="Verdana" w:cs="Times New Roman"/>
          <w:sz w:val="16"/>
          <w:szCs w:val="16"/>
        </w:rPr>
      </w:pPr>
    </w:p>
  </w:footnote>
  <w:footnote w:id="3">
    <w:p w14:paraId="2A004AB1" w14:textId="77777777" w:rsidR="007871E6" w:rsidRPr="00206556" w:rsidRDefault="007871E6" w:rsidP="003248CC">
      <w:pPr>
        <w:pStyle w:val="Textonotapie"/>
        <w:ind w:firstLine="709"/>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Artículos 47 y 54. </w:t>
      </w:r>
    </w:p>
    <w:p w14:paraId="683E33E7" w14:textId="77777777" w:rsidR="007871E6" w:rsidRPr="00206556" w:rsidRDefault="007871E6" w:rsidP="003248CC">
      <w:pPr>
        <w:pStyle w:val="Textonotapie"/>
        <w:ind w:firstLine="709"/>
        <w:jc w:val="both"/>
        <w:rPr>
          <w:rFonts w:ascii="Verdana" w:hAnsi="Verdana"/>
          <w:sz w:val="16"/>
          <w:szCs w:val="16"/>
          <w:lang w:val="es-ES"/>
        </w:rPr>
      </w:pPr>
    </w:p>
  </w:footnote>
  <w:footnote w:id="4">
    <w:p w14:paraId="355A0953" w14:textId="77777777" w:rsidR="007871E6" w:rsidRPr="00206556" w:rsidRDefault="007871E6" w:rsidP="003248CC">
      <w:pPr>
        <w:spacing w:after="0" w:line="240" w:lineRule="auto"/>
        <w:ind w:firstLine="709"/>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las Naciones Unidas. (2006). Convención sobre los Derechos de las Personas con Discapacidad. Nueva York: ONU. Aprobada en Colombia mediante: Colombia. Congreso de la República. (31 de julio de 2009). Ley 1346 de 2009. Diario Oficial 47427.</w:t>
      </w:r>
    </w:p>
    <w:p w14:paraId="5A2477EA" w14:textId="77777777" w:rsidR="007871E6" w:rsidRPr="00206556" w:rsidRDefault="007871E6" w:rsidP="003248CC">
      <w:pPr>
        <w:spacing w:after="0" w:line="240" w:lineRule="auto"/>
        <w:ind w:firstLine="709"/>
        <w:jc w:val="both"/>
        <w:rPr>
          <w:rFonts w:ascii="Verdana" w:hAnsi="Verdana"/>
          <w:sz w:val="16"/>
          <w:szCs w:val="16"/>
        </w:rPr>
      </w:pPr>
    </w:p>
  </w:footnote>
  <w:footnote w:id="5">
    <w:p w14:paraId="44191FC7" w14:textId="77777777" w:rsidR="007871E6" w:rsidRPr="00206556" w:rsidRDefault="007871E6" w:rsidP="003248CC">
      <w:pPr>
        <w:pStyle w:val="Textonotapie"/>
        <w:ind w:firstLine="709"/>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los Estados Americanos. (1999). Convención Interamericana para la Eliminación de todas las Formas de Discriminación contra las Personas con Discapacidad. Ciudad de Guatemala. Aprobada en Colombia mediante: Colombia. Congreso de la República. (31 de julio de 2002). Ley 762 de 2002. Diario Oficial 44889.</w:t>
      </w:r>
    </w:p>
    <w:p w14:paraId="12E4F1FB" w14:textId="77777777" w:rsidR="007871E6" w:rsidRPr="00206556" w:rsidRDefault="007871E6" w:rsidP="003248CC">
      <w:pPr>
        <w:pStyle w:val="Textonotapie"/>
        <w:ind w:firstLine="709"/>
        <w:jc w:val="both"/>
        <w:rPr>
          <w:rFonts w:ascii="Verdana" w:hAnsi="Verdana"/>
          <w:sz w:val="16"/>
          <w:szCs w:val="16"/>
          <w:lang w:val="es-ES"/>
        </w:rPr>
      </w:pPr>
    </w:p>
  </w:footnote>
  <w:footnote w:id="6">
    <w:p w14:paraId="7423F81B" w14:textId="77777777" w:rsidR="007871E6" w:rsidRPr="00206556" w:rsidRDefault="007871E6" w:rsidP="003248CC">
      <w:pPr>
        <w:pStyle w:val="Textonotapie"/>
        <w:ind w:firstLine="709"/>
        <w:jc w:val="both"/>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Organización Internacional del Trabajo. (1983). Convenio sobre la readaptación profesional y el empleo (personas inválidas), núm. 159. Ginebra: OIT. Aprobado en Colombia mediante: Colombia. Congreso de la República. (23 de diciembre de 1988). Ley 82 de 1988. Diario Oficial 38608.</w:t>
      </w:r>
    </w:p>
    <w:p w14:paraId="22F2206B" w14:textId="77777777" w:rsidR="007871E6" w:rsidRPr="00206556" w:rsidRDefault="007871E6" w:rsidP="003248CC">
      <w:pPr>
        <w:pStyle w:val="Textonotapie"/>
        <w:ind w:firstLine="709"/>
        <w:jc w:val="both"/>
        <w:rPr>
          <w:rFonts w:ascii="Verdana" w:hAnsi="Verdana"/>
          <w:sz w:val="16"/>
          <w:szCs w:val="16"/>
          <w:lang w:val="es-ES"/>
        </w:rPr>
      </w:pPr>
    </w:p>
  </w:footnote>
  <w:footnote w:id="7">
    <w:p w14:paraId="3DD25F0B" w14:textId="77777777" w:rsidR="007871E6" w:rsidRPr="00206556" w:rsidRDefault="007871E6" w:rsidP="003248CC">
      <w:pPr>
        <w:pStyle w:val="Textonotapie"/>
        <w:ind w:firstLine="709"/>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(7 de febrero de 1997). Ley 361 de 1997, por la cual se establecen mecanismos de integración social de las personas con limitación y se dictan otras disposiciones. Artículo 24. Diario Oficial 42978.</w:t>
      </w:r>
    </w:p>
    <w:p w14:paraId="4A950F59" w14:textId="77777777" w:rsidR="007871E6" w:rsidRPr="00206556" w:rsidRDefault="007871E6" w:rsidP="003248CC">
      <w:pPr>
        <w:pStyle w:val="Textonotapie"/>
        <w:ind w:firstLine="709"/>
        <w:rPr>
          <w:rFonts w:ascii="Verdana" w:hAnsi="Verdana"/>
          <w:sz w:val="16"/>
          <w:szCs w:val="16"/>
          <w:lang w:val="es-ES"/>
        </w:rPr>
      </w:pPr>
    </w:p>
  </w:footnote>
  <w:footnote w:id="8">
    <w:p w14:paraId="537AA7D1" w14:textId="77777777" w:rsidR="007871E6" w:rsidRPr="00206556" w:rsidRDefault="007871E6" w:rsidP="003248CC">
      <w:pPr>
        <w:pStyle w:val="Textonotapie"/>
        <w:ind w:firstLine="709"/>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Artículo 2, numeral 1. Diario Oficial 48717.</w:t>
      </w:r>
    </w:p>
    <w:p w14:paraId="2384D8A4" w14:textId="77777777" w:rsidR="007871E6" w:rsidRPr="00206556" w:rsidRDefault="007871E6" w:rsidP="003248CC">
      <w:pPr>
        <w:pStyle w:val="Textonotapie"/>
        <w:ind w:firstLine="709"/>
        <w:rPr>
          <w:rFonts w:ascii="Verdana" w:hAnsi="Verdana"/>
          <w:sz w:val="16"/>
          <w:szCs w:val="16"/>
          <w:lang w:val="es-ES"/>
        </w:rPr>
      </w:pPr>
    </w:p>
  </w:footnote>
  <w:footnote w:id="9">
    <w:p w14:paraId="3A77CBA4" w14:textId="77777777" w:rsidR="007871E6" w:rsidRPr="00206556" w:rsidRDefault="007871E6" w:rsidP="003248CC">
      <w:pPr>
        <w:pStyle w:val="Textonotapie"/>
        <w:ind w:firstLine="709"/>
        <w:rPr>
          <w:rFonts w:ascii="Verdana" w:hAnsi="Verdana"/>
          <w:sz w:val="16"/>
          <w:szCs w:val="16"/>
          <w:lang w:val="es-ES"/>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por medio de la cual se establecen las disposiciones para garantizar el pleno ejercicio de los derechos de las personas con discapacidad. Artículo 13, numerales 1, 7 y 8. Diario Oficial 48717.</w:t>
      </w:r>
    </w:p>
  </w:footnote>
  <w:footnote w:id="10">
    <w:p w14:paraId="290E6D8E" w14:textId="77777777" w:rsidR="00AB15F5" w:rsidRPr="00662625" w:rsidRDefault="00AB15F5" w:rsidP="003248CC">
      <w:pPr>
        <w:pStyle w:val="Textonotapie"/>
        <w:ind w:firstLine="709"/>
        <w:jc w:val="both"/>
        <w:rPr>
          <w:rFonts w:ascii="Verdana" w:hAnsi="Verdana"/>
          <w:sz w:val="16"/>
          <w:szCs w:val="16"/>
          <w:lang w:val="es-ES_tradnl"/>
        </w:rPr>
      </w:pPr>
      <w:r w:rsidRPr="00662625">
        <w:rPr>
          <w:rStyle w:val="Refdenotaalpie"/>
          <w:rFonts w:ascii="Verdana" w:hAnsi="Verdana"/>
          <w:sz w:val="16"/>
          <w:szCs w:val="16"/>
        </w:rPr>
        <w:footnoteRef/>
      </w:r>
      <w:r w:rsidRPr="00662625">
        <w:rPr>
          <w:rFonts w:ascii="Verdana" w:hAnsi="Verdana"/>
          <w:sz w:val="16"/>
          <w:szCs w:val="16"/>
        </w:rPr>
        <w:t xml:space="preserve"> Parte considerativa del Decreto 287 de 2026.</w:t>
      </w:r>
    </w:p>
  </w:footnote>
  <w:footnote w:id="11">
    <w:p w14:paraId="34369E37" w14:textId="77777777" w:rsidR="001B3CBA" w:rsidRPr="00662625" w:rsidRDefault="001B3CBA" w:rsidP="001B3CBA">
      <w:pPr>
        <w:pStyle w:val="Textonotapie"/>
        <w:ind w:firstLine="709"/>
        <w:rPr>
          <w:rFonts w:ascii="Verdana" w:hAnsi="Verdana"/>
          <w:sz w:val="16"/>
          <w:szCs w:val="16"/>
          <w:lang w:val="es-CO"/>
        </w:rPr>
      </w:pPr>
      <w:r w:rsidRPr="00662625">
        <w:rPr>
          <w:rStyle w:val="Refdenotaalpie"/>
          <w:rFonts w:ascii="Verdana" w:hAnsi="Verdana"/>
          <w:sz w:val="16"/>
          <w:szCs w:val="16"/>
        </w:rPr>
        <w:footnoteRef/>
      </w:r>
      <w:r w:rsidRPr="00662625">
        <w:rPr>
          <w:rFonts w:ascii="Verdana" w:hAnsi="Verdana"/>
          <w:sz w:val="16"/>
          <w:szCs w:val="16"/>
        </w:rPr>
        <w:t xml:space="preserve">  Corte Constitucional. Sentencia C-569 de 2004. M.P. Rodrigo Uprimny Yepes.</w:t>
      </w:r>
    </w:p>
  </w:footnote>
  <w:footnote w:id="12">
    <w:p w14:paraId="2E607E58" w14:textId="77777777" w:rsidR="001B3CBA" w:rsidRPr="00662625" w:rsidRDefault="001B3CBA" w:rsidP="001B3CBA">
      <w:pPr>
        <w:pStyle w:val="Textonotapie"/>
        <w:ind w:firstLine="708"/>
        <w:rPr>
          <w:rFonts w:ascii="Verdana" w:hAnsi="Verdana"/>
          <w:sz w:val="16"/>
          <w:szCs w:val="16"/>
        </w:rPr>
      </w:pPr>
      <w:r w:rsidRPr="00662625">
        <w:rPr>
          <w:rStyle w:val="Refdenotaalpie"/>
          <w:rFonts w:ascii="Verdana" w:hAnsi="Verdana"/>
          <w:sz w:val="16"/>
          <w:szCs w:val="16"/>
        </w:rPr>
        <w:footnoteRef/>
      </w:r>
      <w:r w:rsidRPr="00662625">
        <w:rPr>
          <w:rFonts w:ascii="Verdana" w:hAnsi="Verdana"/>
          <w:sz w:val="16"/>
          <w:szCs w:val="16"/>
        </w:rPr>
        <w:t xml:space="preserve"> </w:t>
      </w:r>
      <w:r w:rsidRPr="00662625">
        <w:rPr>
          <w:rFonts w:ascii="Verdana" w:hAnsi="Verdana" w:cs="Arial"/>
          <w:color w:val="000000"/>
          <w:sz w:val="16"/>
          <w:szCs w:val="16"/>
        </w:rPr>
        <w:t>Consejo de Estado. Sala de Consulta y Servicio Civil. Concepto del 17 de abril de 1996. Rad. No. 811-1996. C.P. Roberto Suárez Franco.</w:t>
      </w:r>
    </w:p>
  </w:footnote>
  <w:footnote w:id="13">
    <w:p w14:paraId="1C43411F" w14:textId="77777777" w:rsidR="007871E6" w:rsidRDefault="007871E6" w:rsidP="003248CC">
      <w:pPr>
        <w:pStyle w:val="Textonotapie"/>
        <w:ind w:firstLine="709"/>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Agencia Nacional de Contratación Pública – Colombia Compra Eficiente. (19 de noviembre de 2025). Concepto C-1519 de 2025. Bogotá: ANCP-CCE. Disponible en: https://relatoria.colombiacompra.gov.co/conceptos/c-1519-de-2025/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733F7"/>
    <w:multiLevelType w:val="hybridMultilevel"/>
    <w:tmpl w:val="AF12C2B6"/>
    <w:lvl w:ilvl="0" w:tplc="672EB6E4">
      <w:start w:val="4"/>
      <w:numFmt w:val="bullet"/>
      <w:lvlText w:val=""/>
      <w:lvlJc w:val="left"/>
      <w:pPr>
        <w:ind w:left="720" w:hanging="360"/>
      </w:pPr>
      <w:rPr>
        <w:rFonts w:ascii="Symbol" w:eastAsia="Arial MT"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4860404">
    <w:abstractNumId w:val="6"/>
  </w:num>
  <w:num w:numId="2" w16cid:durableId="990980600">
    <w:abstractNumId w:val="2"/>
  </w:num>
  <w:num w:numId="3" w16cid:durableId="607928268">
    <w:abstractNumId w:val="4"/>
  </w:num>
  <w:num w:numId="4" w16cid:durableId="10560072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4858552">
    <w:abstractNumId w:val="2"/>
  </w:num>
  <w:num w:numId="6" w16cid:durableId="1752386460">
    <w:abstractNumId w:val="12"/>
  </w:num>
  <w:num w:numId="7" w16cid:durableId="1572693359">
    <w:abstractNumId w:val="5"/>
  </w:num>
  <w:num w:numId="8" w16cid:durableId="800264154">
    <w:abstractNumId w:val="11"/>
  </w:num>
  <w:num w:numId="9" w16cid:durableId="1590503547">
    <w:abstractNumId w:val="7"/>
  </w:num>
  <w:num w:numId="10" w16cid:durableId="1754164154">
    <w:abstractNumId w:val="10"/>
  </w:num>
  <w:num w:numId="11" w16cid:durableId="77290861">
    <w:abstractNumId w:val="8"/>
  </w:num>
  <w:num w:numId="12" w16cid:durableId="1324502715">
    <w:abstractNumId w:val="0"/>
  </w:num>
  <w:num w:numId="13" w16cid:durableId="1640918912">
    <w:abstractNumId w:val="3"/>
  </w:num>
  <w:num w:numId="14" w16cid:durableId="1936480602">
    <w:abstractNumId w:val="13"/>
  </w:num>
  <w:num w:numId="15" w16cid:durableId="1823277618">
    <w:abstractNumId w:val="9"/>
  </w:num>
  <w:num w:numId="16" w16cid:durableId="195001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06F1"/>
    <w:rsid w:val="00082362"/>
    <w:rsid w:val="000A683E"/>
    <w:rsid w:val="000B19B9"/>
    <w:rsid w:val="000D0334"/>
    <w:rsid w:val="000D5DA7"/>
    <w:rsid w:val="000F4313"/>
    <w:rsid w:val="000F6486"/>
    <w:rsid w:val="00116940"/>
    <w:rsid w:val="00125105"/>
    <w:rsid w:val="00127233"/>
    <w:rsid w:val="0015699B"/>
    <w:rsid w:val="001A33BF"/>
    <w:rsid w:val="001B3CBA"/>
    <w:rsid w:val="001E4177"/>
    <w:rsid w:val="001F0B24"/>
    <w:rsid w:val="001F7DC6"/>
    <w:rsid w:val="00212B15"/>
    <w:rsid w:val="0022400B"/>
    <w:rsid w:val="002421BB"/>
    <w:rsid w:val="0025796E"/>
    <w:rsid w:val="002707A2"/>
    <w:rsid w:val="00287F6B"/>
    <w:rsid w:val="002951A0"/>
    <w:rsid w:val="002962BC"/>
    <w:rsid w:val="002A093D"/>
    <w:rsid w:val="002A0DD0"/>
    <w:rsid w:val="002A49AC"/>
    <w:rsid w:val="002A64FD"/>
    <w:rsid w:val="002A7EB4"/>
    <w:rsid w:val="002C7A84"/>
    <w:rsid w:val="002E2BF8"/>
    <w:rsid w:val="002E4FD9"/>
    <w:rsid w:val="0030657A"/>
    <w:rsid w:val="00322A85"/>
    <w:rsid w:val="00324168"/>
    <w:rsid w:val="003248CC"/>
    <w:rsid w:val="00330834"/>
    <w:rsid w:val="003448F4"/>
    <w:rsid w:val="00374F5E"/>
    <w:rsid w:val="00377E3E"/>
    <w:rsid w:val="003A779E"/>
    <w:rsid w:val="003D0F4D"/>
    <w:rsid w:val="003D5B0D"/>
    <w:rsid w:val="003E0499"/>
    <w:rsid w:val="003E281C"/>
    <w:rsid w:val="003E4F80"/>
    <w:rsid w:val="003E6439"/>
    <w:rsid w:val="003F3941"/>
    <w:rsid w:val="00406575"/>
    <w:rsid w:val="00414C74"/>
    <w:rsid w:val="0042722E"/>
    <w:rsid w:val="00430FA2"/>
    <w:rsid w:val="00430FE2"/>
    <w:rsid w:val="0044528D"/>
    <w:rsid w:val="00466E39"/>
    <w:rsid w:val="00485BA6"/>
    <w:rsid w:val="004A1847"/>
    <w:rsid w:val="004A305D"/>
    <w:rsid w:val="004F21C4"/>
    <w:rsid w:val="004F685F"/>
    <w:rsid w:val="00540C3A"/>
    <w:rsid w:val="005566E8"/>
    <w:rsid w:val="00567481"/>
    <w:rsid w:val="00574867"/>
    <w:rsid w:val="00591460"/>
    <w:rsid w:val="005A65E0"/>
    <w:rsid w:val="005B1993"/>
    <w:rsid w:val="005C3777"/>
    <w:rsid w:val="005C5CDC"/>
    <w:rsid w:val="005D476C"/>
    <w:rsid w:val="00607073"/>
    <w:rsid w:val="006200BF"/>
    <w:rsid w:val="006219F8"/>
    <w:rsid w:val="006302F7"/>
    <w:rsid w:val="00646B9F"/>
    <w:rsid w:val="00665D70"/>
    <w:rsid w:val="0067287B"/>
    <w:rsid w:val="00673581"/>
    <w:rsid w:val="006900D9"/>
    <w:rsid w:val="006B13E0"/>
    <w:rsid w:val="00706C16"/>
    <w:rsid w:val="007340C3"/>
    <w:rsid w:val="0075235A"/>
    <w:rsid w:val="00756841"/>
    <w:rsid w:val="007649AB"/>
    <w:rsid w:val="00771D0C"/>
    <w:rsid w:val="007833AC"/>
    <w:rsid w:val="007871E6"/>
    <w:rsid w:val="0078766B"/>
    <w:rsid w:val="007B1106"/>
    <w:rsid w:val="007B268C"/>
    <w:rsid w:val="007B7171"/>
    <w:rsid w:val="007C0C0F"/>
    <w:rsid w:val="007C3DC2"/>
    <w:rsid w:val="007E5497"/>
    <w:rsid w:val="00806F5F"/>
    <w:rsid w:val="00820278"/>
    <w:rsid w:val="008258C9"/>
    <w:rsid w:val="00840403"/>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507C4"/>
    <w:rsid w:val="00AA3569"/>
    <w:rsid w:val="00AB0ADB"/>
    <w:rsid w:val="00AB15F5"/>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CD0C35"/>
    <w:rsid w:val="00D361FD"/>
    <w:rsid w:val="00D423A2"/>
    <w:rsid w:val="00D44E26"/>
    <w:rsid w:val="00D520D8"/>
    <w:rsid w:val="00D63AC2"/>
    <w:rsid w:val="00D7383B"/>
    <w:rsid w:val="00D7788A"/>
    <w:rsid w:val="00DA231B"/>
    <w:rsid w:val="00DC39FC"/>
    <w:rsid w:val="00DD71D8"/>
    <w:rsid w:val="00DF5254"/>
    <w:rsid w:val="00E02524"/>
    <w:rsid w:val="00E16408"/>
    <w:rsid w:val="00E20894"/>
    <w:rsid w:val="00E245AB"/>
    <w:rsid w:val="00E2764C"/>
    <w:rsid w:val="00E27F2E"/>
    <w:rsid w:val="00E36DFE"/>
    <w:rsid w:val="00E43DCE"/>
    <w:rsid w:val="00E50AFE"/>
    <w:rsid w:val="00E75C92"/>
    <w:rsid w:val="00E771DC"/>
    <w:rsid w:val="00E80081"/>
    <w:rsid w:val="00E8772A"/>
    <w:rsid w:val="00E90F6B"/>
    <w:rsid w:val="00E92C27"/>
    <w:rsid w:val="00EA0E3D"/>
    <w:rsid w:val="00EC38A7"/>
    <w:rsid w:val="00EE02E2"/>
    <w:rsid w:val="00EE1130"/>
    <w:rsid w:val="00EE1AA8"/>
    <w:rsid w:val="00EF5631"/>
    <w:rsid w:val="00F158E3"/>
    <w:rsid w:val="00F23FEA"/>
    <w:rsid w:val="00F31EDC"/>
    <w:rsid w:val="00F462B3"/>
    <w:rsid w:val="00F5664F"/>
    <w:rsid w:val="00F61940"/>
    <w:rsid w:val="00F666C4"/>
    <w:rsid w:val="00F76AFC"/>
    <w:rsid w:val="00FA47C0"/>
    <w:rsid w:val="00FB45D3"/>
    <w:rsid w:val="00FB5DD1"/>
    <w:rsid w:val="00FC2B5D"/>
    <w:rsid w:val="00FF1449"/>
    <w:rsid w:val="00FF7963"/>
    <w:rsid w:val="071B8F93"/>
    <w:rsid w:val="07C73DD1"/>
    <w:rsid w:val="09908A09"/>
    <w:rsid w:val="0E0AF0F4"/>
    <w:rsid w:val="0EFE6349"/>
    <w:rsid w:val="0FF4CCA8"/>
    <w:rsid w:val="13CFC91B"/>
    <w:rsid w:val="19A2EC2C"/>
    <w:rsid w:val="19C2847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871E6"/>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a.menesesb@fiscalia.gov.co"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90B81F-4ADB-413E-B915-062708253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15</TotalTime>
  <Pages>25</Pages>
  <Words>8531</Words>
  <Characters>46922</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55343</CharactersWithSpaces>
  <SharedDoc>false</SharedDoc>
  <HLinks>
    <vt:vector size="24" baseType="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5505151</vt:i4>
      </vt:variant>
      <vt:variant>
        <vt:i4>0</vt:i4>
      </vt:variant>
      <vt:variant>
        <vt:i4>0</vt:i4>
      </vt:variant>
      <vt:variant>
        <vt:i4>5</vt:i4>
      </vt:variant>
      <vt:variant>
        <vt:lpwstr>mailto:Ana.menesesb@fiscalia.gov.co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5</cp:revision>
  <cp:lastPrinted>2023-01-10T21:18:00Z</cp:lastPrinted>
  <dcterms:created xsi:type="dcterms:W3CDTF">2026-08-04T11:16:00Z</dcterms:created>
  <dcterms:modified xsi:type="dcterms:W3CDTF">2026-08-05T13:55:00Z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