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21456C" w14:textId="77777777" w:rsidR="00272BC1" w:rsidRDefault="007069FC" w:rsidP="004859BC">
      <w:pPr>
        <w:pStyle w:val="NormalWeb"/>
        <w:spacing w:before="0" w:beforeAutospacing="0" w:after="340" w:afterAutospacing="0"/>
        <w:jc w:val="both"/>
        <w:rPr>
          <w:rFonts w:ascii="Verdana" w:hAnsi="Verdana" w:cs="Segoe UI"/>
          <w:b/>
          <w:bCs/>
          <w:color w:val="2B2B2B"/>
          <w:sz w:val="20"/>
          <w:szCs w:val="20"/>
        </w:rPr>
      </w:pPr>
      <w:r w:rsidRPr="007069FC">
        <w:rPr>
          <w:rFonts w:ascii="Verdana" w:eastAsia="Calibri" w:hAnsi="Verdana" w:cs="Arial"/>
          <w:b/>
          <w:bCs/>
          <w:lang w:val="es-ES" w:eastAsia="es-ES"/>
        </w:rPr>
        <w:t>EGCAP – Ámbito de aplicación – Entidades estatales</w:t>
      </w:r>
    </w:p>
    <w:p w14:paraId="62564E50" w14:textId="2E793634" w:rsidR="004859BC" w:rsidRPr="00272BC1" w:rsidRDefault="004859BC" w:rsidP="004859BC">
      <w:pPr>
        <w:pStyle w:val="NormalWeb"/>
        <w:spacing w:before="0" w:beforeAutospacing="0" w:after="340" w:afterAutospacing="0"/>
        <w:jc w:val="both"/>
        <w:rPr>
          <w:rFonts w:ascii="Verdana" w:hAnsi="Verdana" w:cs="Segoe UI"/>
          <w:b/>
          <w:bCs/>
          <w:color w:val="2B2B2B"/>
          <w:sz w:val="20"/>
          <w:szCs w:val="20"/>
        </w:rPr>
      </w:pPr>
      <w:r w:rsidRPr="004859BC">
        <w:rPr>
          <w:rFonts w:ascii="Verdana" w:hAnsi="Verdana" w:cs="Segoe UI"/>
          <w:color w:val="2B2B2B"/>
          <w:sz w:val="20"/>
          <w:szCs w:val="20"/>
        </w:rPr>
        <w:t>De acuerdo con el inciso final del artículo 150 superior, corresponde al Congreso de la República expedir el Estatuto General de Contratación de la Administración Pública y, en especial, de la Administración Nacional. Esta competencia fue ejercida con la expedición de la Ley 80 de 1993, la cual rige para las</w:t>
      </w:r>
      <w:r w:rsidRPr="004859BC">
        <w:rPr>
          <w:rStyle w:val="apple-converted-space"/>
          <w:rFonts w:ascii="Verdana" w:hAnsi="Verdana" w:cs="Segoe UI"/>
          <w:color w:val="2B2B2B"/>
          <w:sz w:val="20"/>
          <w:szCs w:val="20"/>
        </w:rPr>
        <w:t> </w:t>
      </w:r>
      <w:r w:rsidRPr="004859BC">
        <w:rPr>
          <w:rStyle w:val="nfasis"/>
          <w:rFonts w:ascii="Verdana" w:hAnsi="Verdana" w:cs="Segoe UI"/>
          <w:color w:val="2B2B2B"/>
          <w:sz w:val="20"/>
          <w:szCs w:val="20"/>
        </w:rPr>
        <w:t>entidades estatales</w:t>
      </w:r>
      <w:r w:rsidRPr="004859BC">
        <w:rPr>
          <w:rFonts w:ascii="Verdana" w:hAnsi="Verdana" w:cs="Segoe UI"/>
          <w:color w:val="2B2B2B"/>
          <w:sz w:val="20"/>
          <w:szCs w:val="20"/>
        </w:rPr>
        <w:t>, esto es, aquellas previstas en los literales a) y b) del numeral 1 del artículo 2</w:t>
      </w:r>
      <w:r w:rsidRPr="004859BC">
        <w:rPr>
          <w:rStyle w:val="apple-converted-space"/>
          <w:rFonts w:ascii="Verdana" w:hAnsi="Verdana" w:cs="Segoe UI"/>
          <w:color w:val="2B2B2B"/>
          <w:sz w:val="20"/>
          <w:szCs w:val="20"/>
        </w:rPr>
        <w:t> </w:t>
      </w:r>
      <w:r w:rsidRPr="004859BC">
        <w:rPr>
          <w:rStyle w:val="nfasis"/>
          <w:rFonts w:ascii="Verdana" w:hAnsi="Verdana" w:cs="Segoe UI"/>
          <w:color w:val="2B2B2B"/>
          <w:sz w:val="20"/>
          <w:szCs w:val="20"/>
        </w:rPr>
        <w:t>ibidem</w:t>
      </w:r>
      <w:r w:rsidRPr="004859BC">
        <w:rPr>
          <w:rFonts w:ascii="Verdana" w:hAnsi="Verdana" w:cs="Segoe UI"/>
          <w:color w:val="2B2B2B"/>
          <w:sz w:val="20"/>
          <w:szCs w:val="20"/>
        </w:rPr>
        <w:t>. La norma citada define la competencia contractual en los siguientes términos:</w:t>
      </w:r>
    </w:p>
    <w:p w14:paraId="24073FEF" w14:textId="77777777" w:rsidR="004859BC" w:rsidRPr="004859BC" w:rsidRDefault="004859BC" w:rsidP="004859BC">
      <w:pPr>
        <w:pStyle w:val="NormalWeb"/>
        <w:spacing w:before="0" w:beforeAutospacing="0" w:after="340" w:afterAutospacing="0"/>
        <w:jc w:val="both"/>
        <w:rPr>
          <w:rFonts w:ascii="Verdana" w:hAnsi="Verdana" w:cs="Segoe UI"/>
          <w:color w:val="2B2B2B"/>
          <w:sz w:val="20"/>
          <w:szCs w:val="20"/>
        </w:rPr>
      </w:pPr>
      <w:r w:rsidRPr="004859BC">
        <w:rPr>
          <w:rFonts w:ascii="Verdana" w:hAnsi="Verdana" w:cs="Segoe UI"/>
          <w:color w:val="2B2B2B"/>
          <w:sz w:val="20"/>
          <w:szCs w:val="20"/>
        </w:rPr>
        <w:t>El literal a) aplica a las entidades con personería jurídica. Alude a la Nación, las regiones, los departamentos, las provincias, el distrito capital y los distritos especiales, las áreas metropolitanas, las asociaciones de municipios, los territorios indígenas y los municipios; los establecimientos públicos, las empresas industriales y comerciales del Estado, las sociedades de economía mixta en las que el Estado tenga participación superior al cincuenta por ciento (50%), así como las entidades descentralizadas indirectas y las demás personas jurídicas en las que exista dicha participación pública mayoritaria, cualquiera sea la denominación que ellas adopten, en todos los órdenes y niveles.</w:t>
      </w:r>
    </w:p>
    <w:p w14:paraId="452C8ABE" w14:textId="77777777" w:rsidR="004859BC" w:rsidRDefault="004859BC" w:rsidP="004859BC">
      <w:pPr>
        <w:pStyle w:val="NormalWeb"/>
        <w:spacing w:before="0" w:beforeAutospacing="0" w:after="340" w:afterAutospacing="0"/>
        <w:jc w:val="both"/>
        <w:rPr>
          <w:rFonts w:ascii="Verdana" w:hAnsi="Verdana" w:cs="Segoe UI"/>
          <w:color w:val="2B2B2B"/>
          <w:sz w:val="20"/>
          <w:szCs w:val="20"/>
        </w:rPr>
      </w:pPr>
      <w:r w:rsidRPr="004859BC">
        <w:rPr>
          <w:rFonts w:ascii="Verdana" w:hAnsi="Verdana" w:cs="Segoe UI"/>
          <w:color w:val="2B2B2B"/>
          <w:sz w:val="20"/>
          <w:szCs w:val="20"/>
        </w:rPr>
        <w:t>En contraste, el literal b) rige para las autoridades que carecen de personería, pero a las que el ordenamiento les otorga “capacidad” para celebrar contratos. Estas entidades son el Senado de la República, la Cámara de Representantes, el Consejo Superior de la Judicatura, la Fiscalía General de la Nación, la Contraloría General de la República, las contralorías departamentales, distritales y municipales, la Procuraduría General de la Nación, la Registraduría Nacional del Estado Civil, los ministerios, los departamentos administrativos, las superintendencias, las unidades administrativas especiales y, en general, los organismos o dependencias del Estado a los que la ley otorgue capacidad para celebrar contratos. De acuerdo con el artículo 352 superior, este último apartado debe armonizarse con el artículo 110 del Decreto Ley 111 de 1996, modificado por el artículo 124 de la Ley 1957 de 2019.</w:t>
      </w:r>
    </w:p>
    <w:p w14:paraId="6DD7618B" w14:textId="517CE4ED" w:rsidR="001D1240" w:rsidRPr="00B37281" w:rsidRDefault="001D1240" w:rsidP="004859BC">
      <w:pPr>
        <w:pStyle w:val="NormalWeb"/>
        <w:spacing w:before="0" w:beforeAutospacing="0" w:after="340" w:afterAutospacing="0"/>
        <w:jc w:val="both"/>
        <w:rPr>
          <w:rFonts w:ascii="Verdana" w:hAnsi="Verdana" w:cs="Segoe UI"/>
          <w:b/>
          <w:bCs/>
          <w:color w:val="2B2B2B"/>
          <w:sz w:val="22"/>
          <w:szCs w:val="22"/>
        </w:rPr>
      </w:pPr>
      <w:r w:rsidRPr="00B37281">
        <w:rPr>
          <w:rFonts w:ascii="Verdana" w:eastAsia="Calibri" w:hAnsi="Verdana" w:cs="Arial"/>
          <w:b/>
          <w:bCs/>
          <w:sz w:val="22"/>
          <w:szCs w:val="22"/>
          <w:lang w:val="es-ES" w:eastAsia="es-ES"/>
        </w:rPr>
        <w:t>CONTRATO ESTATAL – Criterio orgánico</w:t>
      </w:r>
    </w:p>
    <w:p w14:paraId="1469B765" w14:textId="77777777" w:rsidR="001D1240" w:rsidRPr="00283B71" w:rsidRDefault="001D1240" w:rsidP="001D1240">
      <w:pPr>
        <w:pStyle w:val="NormalWeb"/>
        <w:spacing w:before="0" w:beforeAutospacing="0" w:after="340" w:afterAutospacing="0"/>
        <w:jc w:val="both"/>
        <w:rPr>
          <w:rFonts w:ascii="Verdana" w:hAnsi="Verdana" w:cs="Segoe UI"/>
          <w:color w:val="2B2B2B"/>
          <w:sz w:val="20"/>
          <w:szCs w:val="20"/>
        </w:rPr>
      </w:pPr>
      <w:r w:rsidRPr="00283B71">
        <w:rPr>
          <w:rFonts w:ascii="Verdana" w:hAnsi="Verdana" w:cs="Segoe UI"/>
          <w:color w:val="2B2B2B"/>
          <w:sz w:val="20"/>
          <w:szCs w:val="20"/>
        </w:rPr>
        <w:t>Tratándose de las entidades sometidas a la Ley 80 de 1993, el Estatuto General de Contratación de la Administración Pública define los contratos de obra, consultoría, prestación de servicios, concesión, encargos fiduciarios y fiducia pública. Sin embargo, se trata de un listado enunciativo, pues la Ley 80 de 1993 se integra con las tipologías contractuales previstas en el derecho privado. Por ello, el inciso primero del artículo 13 dispone que “Los contratos que celebren las entidades a que se refiere el artículo 2o. del presente estatuto se regirán por las disposiciones comerciales y civiles pertinentes, salvo en las materias particularmente reguladas en esta ley”.</w:t>
      </w:r>
    </w:p>
    <w:p w14:paraId="1A1AE35D" w14:textId="009BF36C" w:rsidR="001D1240" w:rsidRPr="00283B71" w:rsidRDefault="001D1240" w:rsidP="004859BC">
      <w:pPr>
        <w:pStyle w:val="NormalWeb"/>
        <w:spacing w:before="0" w:beforeAutospacing="0" w:after="340" w:afterAutospacing="0"/>
        <w:jc w:val="both"/>
        <w:rPr>
          <w:rFonts w:ascii="Verdana" w:hAnsi="Verdana" w:cs="Segoe UI"/>
          <w:color w:val="2B2B2B"/>
          <w:sz w:val="20"/>
          <w:szCs w:val="20"/>
        </w:rPr>
      </w:pPr>
      <w:r w:rsidRPr="00283B71">
        <w:rPr>
          <w:rFonts w:ascii="Verdana" w:hAnsi="Verdana" w:cs="Segoe UI"/>
          <w:color w:val="2B2B2B"/>
          <w:sz w:val="20"/>
          <w:szCs w:val="20"/>
        </w:rPr>
        <w:t xml:space="preserve">Dicha idea también se reitera en el EGCAP considerando que “Son contratos estatales todos los actos jurídicos generadores de obligaciones que celebren las entidades a que </w:t>
      </w:r>
      <w:r w:rsidRPr="00283B71">
        <w:rPr>
          <w:rFonts w:ascii="Verdana" w:hAnsi="Verdana" w:cs="Segoe UI"/>
          <w:color w:val="2B2B2B"/>
          <w:sz w:val="20"/>
          <w:szCs w:val="20"/>
        </w:rPr>
        <w:lastRenderedPageBreak/>
        <w:t>se refiere el presente estatuto, previstos en el derecho privado o en disposiciones especiales, o derivados del ejercicio de la autonomía de la voluntad” –art. 32, inciso primero–. Asimismo, dispone que “Las estipulaciones de los contratos serán las que de acuerdo con las normas civiles, comerciales y las previstas en esta ley, correspondan a su esencia y naturaleza” –art. 40, inciso primero–. De esta manera, los contratos de las entidades sometidas al Estatuto General de Contratación se rigen generalmente por el derecho privado y excepcionalmente por el derecho público, pues las normas civiles y comerciales son el derecho común de los contratos estatales.</w:t>
      </w:r>
    </w:p>
    <w:p w14:paraId="1D8B0BDE" w14:textId="12526204" w:rsidR="004859BC" w:rsidRPr="00C63CA5" w:rsidRDefault="00C63CA5" w:rsidP="00571AE4">
      <w:pPr>
        <w:spacing w:after="0" w:line="240" w:lineRule="auto"/>
        <w:jc w:val="both"/>
        <w:rPr>
          <w:rFonts w:ascii="Verdana" w:hAnsi="Verdana"/>
          <w:b/>
          <w:bCs/>
        </w:rPr>
      </w:pPr>
      <w:r w:rsidRPr="00C63CA5">
        <w:rPr>
          <w:rFonts w:ascii="Verdana" w:eastAsia="Calibri" w:hAnsi="Verdana" w:cs="Arial"/>
          <w:b/>
          <w:bCs/>
          <w:lang w:val="es-ES_tradnl" w:eastAsia="es-ES"/>
        </w:rPr>
        <w:t>CONTRATO DE ARRENDAMIENTO – Definición – Características – Decreto 1082 de 2015 – Artículo 2.2.1.2.1.4.11</w:t>
      </w:r>
    </w:p>
    <w:p w14:paraId="5FAAEC95" w14:textId="77777777" w:rsidR="004859BC" w:rsidRDefault="004859BC" w:rsidP="00571AE4">
      <w:pPr>
        <w:spacing w:after="0" w:line="240" w:lineRule="auto"/>
        <w:jc w:val="both"/>
        <w:rPr>
          <w:rFonts w:ascii="Verdana" w:hAnsi="Verdana"/>
        </w:rPr>
      </w:pPr>
    </w:p>
    <w:p w14:paraId="621DAEF5" w14:textId="7B40DEC0" w:rsidR="00751D9E" w:rsidRPr="00751D9E" w:rsidRDefault="00751D9E" w:rsidP="00751D9E">
      <w:pPr>
        <w:jc w:val="both"/>
        <w:rPr>
          <w:rFonts w:ascii="Verdana" w:hAnsi="Verdana"/>
          <w:color w:val="000000" w:themeColor="text1"/>
          <w:sz w:val="20"/>
          <w:szCs w:val="20"/>
          <w:lang w:eastAsia="es-ES_tradnl"/>
        </w:rPr>
      </w:pPr>
      <w:r w:rsidRPr="00751D9E">
        <w:rPr>
          <w:rFonts w:ascii="Verdana" w:hAnsi="Verdana"/>
          <w:color w:val="000000" w:themeColor="text1"/>
          <w:sz w:val="20"/>
          <w:szCs w:val="20"/>
          <w:lang w:eastAsia="es-ES_tradnl"/>
        </w:rPr>
        <w:t>T</w:t>
      </w:r>
      <w:r w:rsidRPr="00751D9E">
        <w:rPr>
          <w:rFonts w:ascii="Verdana" w:hAnsi="Verdana"/>
          <w:color w:val="000000" w:themeColor="text1"/>
          <w:sz w:val="20"/>
          <w:szCs w:val="20"/>
          <w:lang w:eastAsia="es-ES_tradnl"/>
        </w:rPr>
        <w:t xml:space="preserve">ratándose del arrendamiento de bienes </w:t>
      </w:r>
      <w:r w:rsidRPr="00751D9E">
        <w:rPr>
          <w:rFonts w:ascii="Verdana" w:hAnsi="Verdana"/>
          <w:i/>
          <w:color w:val="000000" w:themeColor="text1"/>
          <w:sz w:val="20"/>
          <w:szCs w:val="20"/>
          <w:lang w:eastAsia="es-ES_tradnl"/>
        </w:rPr>
        <w:t>inmuebles</w:t>
      </w:r>
      <w:r w:rsidRPr="00751D9E">
        <w:rPr>
          <w:rFonts w:ascii="Verdana" w:hAnsi="Verdana"/>
          <w:color w:val="000000" w:themeColor="text1"/>
          <w:sz w:val="20"/>
          <w:szCs w:val="20"/>
          <w:lang w:eastAsia="es-ES_tradnl"/>
        </w:rPr>
        <w:t xml:space="preserve"> el artículo 2º, numeral 4° literal i), de la Ley 1150 de 2007 dispone la modalidad de selección de contratación directa, pues, establece que una de las causales de este procedimiento es “i) El arrendamiento o adquisición de inmuebles”. Adicionalmente, el artículo 2.2.1.2.1.4.11 del Decreto 1082 de 2015 dispone que las entidades estatales pueden alquilar o arrendar inmuebles mediante contratación directa para lo cual deben seguir las siguientes reglas: </w:t>
      </w:r>
    </w:p>
    <w:p w14:paraId="27CDCC51" w14:textId="77777777" w:rsidR="00751D9E" w:rsidRPr="00751D9E" w:rsidRDefault="00751D9E" w:rsidP="00751D9E">
      <w:pPr>
        <w:spacing w:before="120" w:after="120" w:line="240" w:lineRule="auto"/>
        <w:ind w:left="709" w:right="709"/>
        <w:jc w:val="both"/>
        <w:rPr>
          <w:rFonts w:ascii="Verdana" w:eastAsia="Calibri" w:hAnsi="Verdana" w:cs="Arial"/>
          <w:sz w:val="18"/>
          <w:szCs w:val="18"/>
          <w:lang w:val="es-MX"/>
        </w:rPr>
      </w:pPr>
      <w:r w:rsidRPr="00751D9E">
        <w:rPr>
          <w:rFonts w:ascii="Verdana" w:hAnsi="Verdana"/>
          <w:bCs/>
          <w:color w:val="000000" w:themeColor="text1"/>
          <w:sz w:val="18"/>
          <w:szCs w:val="18"/>
          <w:lang w:val="es-ES_tradnl" w:eastAsia="es-ES_tradnl"/>
        </w:rPr>
        <w:t>“</w:t>
      </w:r>
      <w:r w:rsidRPr="00751D9E">
        <w:rPr>
          <w:rFonts w:ascii="Verdana" w:eastAsia="Calibri" w:hAnsi="Verdana" w:cs="Arial"/>
          <w:sz w:val="18"/>
          <w:szCs w:val="18"/>
          <w:lang w:val="es-MX"/>
        </w:rPr>
        <w:t>Verificar las condiciones del mercado inmobiliario en la ciudad en la que la Entidad Estatal requiere el inmueble.</w:t>
      </w:r>
    </w:p>
    <w:p w14:paraId="1D23F4B4" w14:textId="77777777" w:rsidR="00751D9E" w:rsidRPr="00751D9E" w:rsidRDefault="00751D9E" w:rsidP="00751D9E">
      <w:pPr>
        <w:spacing w:before="120" w:after="120" w:line="240" w:lineRule="auto"/>
        <w:ind w:left="709" w:right="709"/>
        <w:jc w:val="both"/>
        <w:rPr>
          <w:rFonts w:ascii="Verdana" w:eastAsia="Calibri" w:hAnsi="Verdana" w:cs="Arial"/>
          <w:sz w:val="18"/>
          <w:szCs w:val="18"/>
          <w:lang w:val="es-MX"/>
        </w:rPr>
      </w:pPr>
      <w:r w:rsidRPr="00751D9E">
        <w:rPr>
          <w:rFonts w:ascii="Verdana" w:eastAsia="Calibri" w:hAnsi="Verdana" w:cs="Arial"/>
          <w:sz w:val="18"/>
          <w:szCs w:val="18"/>
          <w:lang w:val="es-MX"/>
        </w:rPr>
        <w:t>Analizar y comparar las condiciones de los bienes inmuebles que satisfacen las necesidades identificadas y las opciones de arrendamiento, análisis que deberá tener en cuenta los principios y objetivos del sistema de compra y contratación pública”.</w:t>
      </w:r>
    </w:p>
    <w:p w14:paraId="47B3A30A" w14:textId="1AC741B0" w:rsidR="004859BC" w:rsidRPr="00B62695" w:rsidRDefault="00751D9E" w:rsidP="00B62695">
      <w:pPr>
        <w:spacing w:line="276" w:lineRule="auto"/>
        <w:jc w:val="both"/>
        <w:rPr>
          <w:rFonts w:ascii="Verdana" w:hAnsi="Verdana"/>
          <w:color w:val="000000" w:themeColor="text1"/>
          <w:sz w:val="20"/>
          <w:szCs w:val="20"/>
          <w:lang w:eastAsia="es-ES"/>
        </w:rPr>
      </w:pPr>
      <w:r w:rsidRPr="00751D9E">
        <w:rPr>
          <w:rFonts w:ascii="Verdana" w:hAnsi="Verdana"/>
          <w:color w:val="000000" w:themeColor="text1"/>
          <w:sz w:val="20"/>
          <w:szCs w:val="20"/>
          <w:lang w:eastAsia="es-ES"/>
        </w:rPr>
        <w:t>En contraste, si se trata de arrendamiento de bienes muebles, la modalidad aplicable será la licitación pública, la selección abreviada o la mínima cuantía, según corresponda dependiendo del valor de la contratación. Lo anterior en la medida que no se encuentran dentro de las causales de contratación directa que expresamente señala el numeral 4 del artículo 2 de la Ley 1150 de 2007. Por otra parte, si el arrendamiento recae sobre bienes públicos debe tenerse en cuenta que la Sección Tercera del Consejo de Estado señaló que los bienes que pueden ser susceptibles de arrendamiento son únicamente los bienes fiscales, no los bienes de uso público.</w:t>
      </w:r>
    </w:p>
    <w:p w14:paraId="6124C412" w14:textId="77777777" w:rsidR="00B62695" w:rsidRPr="00B62695" w:rsidRDefault="00B62695" w:rsidP="00B62695">
      <w:pPr>
        <w:jc w:val="both"/>
        <w:rPr>
          <w:rFonts w:ascii="Verdana" w:eastAsia="Calibri" w:hAnsi="Verdana" w:cs="Arial"/>
          <w:b/>
          <w:bCs/>
          <w:lang w:val="es-ES_tradnl" w:eastAsia="es-ES"/>
        </w:rPr>
      </w:pPr>
      <w:r w:rsidRPr="00B62695">
        <w:rPr>
          <w:rFonts w:ascii="Verdana" w:eastAsia="Calibri" w:hAnsi="Verdana" w:cs="Arial"/>
          <w:b/>
          <w:bCs/>
          <w:lang w:val="es-ES_tradnl" w:eastAsia="es-ES"/>
        </w:rPr>
        <w:t>PUBLICIDAD EN SECOP II – Obligatoriedad</w:t>
      </w:r>
    </w:p>
    <w:p w14:paraId="33151ED2" w14:textId="5F42FC7B" w:rsidR="00B62695" w:rsidRPr="00B62695" w:rsidRDefault="00B62695" w:rsidP="00B62695">
      <w:pPr>
        <w:spacing w:after="120" w:line="276" w:lineRule="auto"/>
        <w:jc w:val="both"/>
        <w:rPr>
          <w:rFonts w:ascii="Verdana" w:eastAsia="Calibri" w:hAnsi="Verdana" w:cs="Arial"/>
          <w:color w:val="000000" w:themeColor="text1"/>
          <w:sz w:val="20"/>
          <w:szCs w:val="20"/>
        </w:rPr>
      </w:pPr>
      <w:r w:rsidRPr="00B62695">
        <w:rPr>
          <w:rFonts w:ascii="Verdana" w:eastAsia="Calibri" w:hAnsi="Verdana" w:cs="Arial"/>
          <w:color w:val="000000" w:themeColor="text1"/>
          <w:sz w:val="20"/>
          <w:szCs w:val="20"/>
        </w:rPr>
        <w:t>T</w:t>
      </w:r>
      <w:r w:rsidRPr="00B62695">
        <w:rPr>
          <w:rFonts w:ascii="Verdana" w:eastAsia="Calibri" w:hAnsi="Verdana" w:cs="Arial"/>
          <w:color w:val="000000" w:themeColor="text1"/>
          <w:sz w:val="20"/>
          <w:szCs w:val="20"/>
        </w:rPr>
        <w:t xml:space="preserve">ratándose de entidades estatales que cuentan con un régimen contractual exceptuado, la obligación de publicidad se encuentra actualmente prevista en el artículo 53 de la Ley 2195 de 2022, que modificó el artículo 13 de la Ley 1150 de 2007. Esta disposición exige que dichas entidades publiquen en el SECOP II la información y los documentos relacionados con su actividad contractual, tanto en las etapas previas a la celebración del contrato como durante su ejecución y con posterioridad a esta, sin establecer una excepción por razón de la naturaleza u objeto del contrato. La Agencia Nacional de </w:t>
      </w:r>
      <w:r w:rsidRPr="00B62695">
        <w:rPr>
          <w:rFonts w:ascii="Verdana" w:eastAsia="Calibri" w:hAnsi="Verdana" w:cs="Arial"/>
          <w:color w:val="000000" w:themeColor="text1"/>
          <w:sz w:val="20"/>
          <w:szCs w:val="20"/>
        </w:rPr>
        <w:lastRenderedPageBreak/>
        <w:t>Contratación Pública – Colombia Compra Eficiente ha precisado que esta obligación comprende los documentos expedidos durante las diferentes etapas del proceso contractual y que las entidades sometidas a régimen especial deben utilizar los módulos dispuestos para tal efecto en SECOP II.</w:t>
      </w:r>
    </w:p>
    <w:p w14:paraId="4C4C22EC" w14:textId="77777777" w:rsidR="00B62695" w:rsidRPr="00B62695" w:rsidRDefault="00B62695" w:rsidP="00B62695">
      <w:pPr>
        <w:spacing w:line="276" w:lineRule="auto"/>
        <w:jc w:val="both"/>
        <w:rPr>
          <w:rFonts w:ascii="Verdana" w:eastAsia="Calibri" w:hAnsi="Verdana" w:cs="Arial"/>
          <w:color w:val="000000" w:themeColor="text1"/>
          <w:sz w:val="20"/>
          <w:szCs w:val="20"/>
        </w:rPr>
      </w:pPr>
      <w:r w:rsidRPr="00B62695">
        <w:rPr>
          <w:rFonts w:ascii="Verdana" w:eastAsia="Calibri" w:hAnsi="Verdana" w:cs="Arial"/>
          <w:color w:val="000000" w:themeColor="text1"/>
          <w:sz w:val="20"/>
          <w:szCs w:val="20"/>
        </w:rPr>
        <w:t>En consecuencia, independientemente del régimen aplicable, el contrato de arrendamiento debe publicarse en el SECOP como los demás contratos estatales, en virtud del principio de publicidad de la función administrativa consagrado en el artículo 209 de la Constitución Política. Dicho principio fue desarrollado por el legislador en el ámbito de la contratación estatal mediante el artículo 3 de la Ley 1150 de 2007, el artículo 11, literal g de la Ley 1712 de 2014 y su reglamentación, normas que obligan a que la publicidad de los contratos celebrados por las entidades estatales se realice a través del SECOP.  Esto debido a que los contratos estatales involucran un interés público, por lo que deben publicarse en el mecanismo establecido para garantizar que se cumplan los principios de publicidad y transparencia en la gestión contractual.</w:t>
      </w:r>
    </w:p>
    <w:p w14:paraId="1486169B" w14:textId="77777777" w:rsidR="004859BC" w:rsidRDefault="004859BC" w:rsidP="00571AE4">
      <w:pPr>
        <w:spacing w:after="0" w:line="240" w:lineRule="auto"/>
        <w:jc w:val="both"/>
        <w:rPr>
          <w:rFonts w:ascii="Verdana" w:hAnsi="Verdana"/>
        </w:rPr>
      </w:pPr>
    </w:p>
    <w:p w14:paraId="553E2969" w14:textId="77777777" w:rsidR="004859BC" w:rsidRDefault="004859BC" w:rsidP="00571AE4">
      <w:pPr>
        <w:spacing w:after="0" w:line="240" w:lineRule="auto"/>
        <w:jc w:val="both"/>
        <w:rPr>
          <w:rFonts w:ascii="Verdana" w:hAnsi="Verdana"/>
        </w:rPr>
      </w:pPr>
    </w:p>
    <w:p w14:paraId="1CDF9A8C" w14:textId="77777777" w:rsidR="004859BC" w:rsidRDefault="004859BC" w:rsidP="00571AE4">
      <w:pPr>
        <w:spacing w:after="0" w:line="240" w:lineRule="auto"/>
        <w:jc w:val="both"/>
        <w:rPr>
          <w:rFonts w:ascii="Verdana" w:hAnsi="Verdana"/>
        </w:rPr>
      </w:pPr>
    </w:p>
    <w:p w14:paraId="1F123665" w14:textId="77777777" w:rsidR="004859BC" w:rsidRDefault="004859BC" w:rsidP="00571AE4">
      <w:pPr>
        <w:spacing w:after="0" w:line="240" w:lineRule="auto"/>
        <w:jc w:val="both"/>
        <w:rPr>
          <w:rFonts w:ascii="Verdana" w:hAnsi="Verdana"/>
        </w:rPr>
      </w:pPr>
    </w:p>
    <w:p w14:paraId="3AC77D22" w14:textId="77777777" w:rsidR="004859BC" w:rsidRDefault="004859BC" w:rsidP="00571AE4">
      <w:pPr>
        <w:spacing w:after="0" w:line="240" w:lineRule="auto"/>
        <w:jc w:val="both"/>
        <w:rPr>
          <w:rFonts w:ascii="Verdana" w:hAnsi="Verdana"/>
        </w:rPr>
      </w:pPr>
    </w:p>
    <w:p w14:paraId="4B413A8B" w14:textId="77777777" w:rsidR="004859BC" w:rsidRDefault="004859BC" w:rsidP="00571AE4">
      <w:pPr>
        <w:spacing w:after="0" w:line="240" w:lineRule="auto"/>
        <w:jc w:val="both"/>
        <w:rPr>
          <w:rFonts w:ascii="Verdana" w:hAnsi="Verdana"/>
        </w:rPr>
      </w:pPr>
    </w:p>
    <w:p w14:paraId="7883484F" w14:textId="77777777" w:rsidR="004859BC" w:rsidRDefault="004859BC" w:rsidP="00571AE4">
      <w:pPr>
        <w:spacing w:after="0" w:line="240" w:lineRule="auto"/>
        <w:jc w:val="both"/>
        <w:rPr>
          <w:rFonts w:ascii="Verdana" w:hAnsi="Verdana"/>
        </w:rPr>
      </w:pPr>
    </w:p>
    <w:p w14:paraId="66CA2EF0" w14:textId="77777777" w:rsidR="004859BC" w:rsidRDefault="004859BC" w:rsidP="00571AE4">
      <w:pPr>
        <w:spacing w:after="0" w:line="240" w:lineRule="auto"/>
        <w:jc w:val="both"/>
        <w:rPr>
          <w:rFonts w:ascii="Verdana" w:hAnsi="Verdana"/>
        </w:rPr>
      </w:pPr>
    </w:p>
    <w:p w14:paraId="08DF628D" w14:textId="77777777" w:rsidR="004859BC" w:rsidRDefault="004859BC" w:rsidP="00571AE4">
      <w:pPr>
        <w:spacing w:after="0" w:line="240" w:lineRule="auto"/>
        <w:jc w:val="both"/>
        <w:rPr>
          <w:rFonts w:ascii="Verdana" w:hAnsi="Verdana"/>
        </w:rPr>
      </w:pPr>
    </w:p>
    <w:p w14:paraId="7BE9E33B" w14:textId="77777777" w:rsidR="004859BC" w:rsidRDefault="004859BC" w:rsidP="00571AE4">
      <w:pPr>
        <w:spacing w:after="0" w:line="240" w:lineRule="auto"/>
        <w:jc w:val="both"/>
        <w:rPr>
          <w:rFonts w:ascii="Verdana" w:hAnsi="Verdana"/>
        </w:rPr>
      </w:pPr>
    </w:p>
    <w:p w14:paraId="04AB8FCB" w14:textId="77777777" w:rsidR="004859BC" w:rsidRDefault="004859BC" w:rsidP="00571AE4">
      <w:pPr>
        <w:spacing w:after="0" w:line="240" w:lineRule="auto"/>
        <w:jc w:val="both"/>
        <w:rPr>
          <w:rFonts w:ascii="Verdana" w:hAnsi="Verdana"/>
        </w:rPr>
      </w:pPr>
    </w:p>
    <w:p w14:paraId="63E50EC8" w14:textId="77777777" w:rsidR="004859BC" w:rsidRDefault="004859BC" w:rsidP="00571AE4">
      <w:pPr>
        <w:spacing w:after="0" w:line="240" w:lineRule="auto"/>
        <w:jc w:val="both"/>
        <w:rPr>
          <w:rFonts w:ascii="Verdana" w:hAnsi="Verdana"/>
        </w:rPr>
      </w:pPr>
    </w:p>
    <w:p w14:paraId="569CC188" w14:textId="77777777" w:rsidR="004859BC" w:rsidRDefault="004859BC" w:rsidP="00571AE4">
      <w:pPr>
        <w:spacing w:after="0" w:line="240" w:lineRule="auto"/>
        <w:jc w:val="both"/>
        <w:rPr>
          <w:rFonts w:ascii="Verdana" w:hAnsi="Verdana"/>
        </w:rPr>
      </w:pPr>
    </w:p>
    <w:p w14:paraId="22EDB2DC" w14:textId="77777777" w:rsidR="004859BC" w:rsidRDefault="004859BC" w:rsidP="00571AE4">
      <w:pPr>
        <w:spacing w:after="0" w:line="240" w:lineRule="auto"/>
        <w:jc w:val="both"/>
        <w:rPr>
          <w:rFonts w:ascii="Verdana" w:hAnsi="Verdana"/>
        </w:rPr>
      </w:pPr>
    </w:p>
    <w:p w14:paraId="792E5B14" w14:textId="77777777" w:rsidR="004859BC" w:rsidRDefault="004859BC" w:rsidP="00571AE4">
      <w:pPr>
        <w:spacing w:after="0" w:line="240" w:lineRule="auto"/>
        <w:jc w:val="both"/>
        <w:rPr>
          <w:rFonts w:ascii="Verdana" w:hAnsi="Verdana"/>
        </w:rPr>
      </w:pPr>
    </w:p>
    <w:p w14:paraId="1035279C" w14:textId="77777777" w:rsidR="004859BC" w:rsidRDefault="004859BC" w:rsidP="00571AE4">
      <w:pPr>
        <w:spacing w:after="0" w:line="240" w:lineRule="auto"/>
        <w:jc w:val="both"/>
        <w:rPr>
          <w:rFonts w:ascii="Verdana" w:hAnsi="Verdana"/>
        </w:rPr>
      </w:pPr>
    </w:p>
    <w:p w14:paraId="63AC51F8" w14:textId="77777777" w:rsidR="004859BC" w:rsidRDefault="004859BC" w:rsidP="00571AE4">
      <w:pPr>
        <w:spacing w:after="0" w:line="240" w:lineRule="auto"/>
        <w:jc w:val="both"/>
        <w:rPr>
          <w:rFonts w:ascii="Verdana" w:hAnsi="Verdana"/>
        </w:rPr>
      </w:pPr>
    </w:p>
    <w:p w14:paraId="530005D2" w14:textId="77777777" w:rsidR="004859BC" w:rsidRDefault="004859BC" w:rsidP="00571AE4">
      <w:pPr>
        <w:spacing w:after="0" w:line="240" w:lineRule="auto"/>
        <w:jc w:val="both"/>
        <w:rPr>
          <w:rFonts w:ascii="Verdana" w:hAnsi="Verdana"/>
        </w:rPr>
      </w:pPr>
    </w:p>
    <w:p w14:paraId="7AB2DC23" w14:textId="77777777" w:rsidR="004859BC" w:rsidRDefault="004859BC" w:rsidP="00571AE4">
      <w:pPr>
        <w:spacing w:after="0" w:line="240" w:lineRule="auto"/>
        <w:jc w:val="both"/>
        <w:rPr>
          <w:rFonts w:ascii="Verdana" w:hAnsi="Verdana"/>
        </w:rPr>
      </w:pPr>
    </w:p>
    <w:p w14:paraId="2AC8A32D" w14:textId="77777777" w:rsidR="004859BC" w:rsidRDefault="004859BC" w:rsidP="00571AE4">
      <w:pPr>
        <w:spacing w:after="0" w:line="240" w:lineRule="auto"/>
        <w:jc w:val="both"/>
        <w:rPr>
          <w:rFonts w:ascii="Verdana" w:hAnsi="Verdana"/>
        </w:rPr>
      </w:pPr>
    </w:p>
    <w:p w14:paraId="29BECE5E" w14:textId="77777777" w:rsidR="004859BC" w:rsidRDefault="004859BC" w:rsidP="00571AE4">
      <w:pPr>
        <w:spacing w:after="0" w:line="240" w:lineRule="auto"/>
        <w:jc w:val="both"/>
        <w:rPr>
          <w:rFonts w:ascii="Verdana" w:hAnsi="Verdana"/>
        </w:rPr>
      </w:pPr>
    </w:p>
    <w:p w14:paraId="48BD5F34" w14:textId="77777777" w:rsidR="004859BC" w:rsidRDefault="004859BC" w:rsidP="00571AE4">
      <w:pPr>
        <w:spacing w:after="0" w:line="240" w:lineRule="auto"/>
        <w:jc w:val="both"/>
        <w:rPr>
          <w:rFonts w:ascii="Verdana" w:hAnsi="Verdana"/>
        </w:rPr>
      </w:pPr>
    </w:p>
    <w:p w14:paraId="5173A458" w14:textId="77777777" w:rsidR="004859BC" w:rsidRDefault="004859BC" w:rsidP="00571AE4">
      <w:pPr>
        <w:spacing w:after="0" w:line="240" w:lineRule="auto"/>
        <w:jc w:val="both"/>
        <w:rPr>
          <w:rFonts w:ascii="Verdana" w:hAnsi="Verdana"/>
        </w:rPr>
      </w:pPr>
    </w:p>
    <w:p w14:paraId="7FFC69B2" w14:textId="77777777" w:rsidR="004859BC" w:rsidRDefault="004859BC" w:rsidP="00571AE4">
      <w:pPr>
        <w:spacing w:after="0" w:line="240" w:lineRule="auto"/>
        <w:jc w:val="both"/>
        <w:rPr>
          <w:rFonts w:ascii="Verdana" w:hAnsi="Verdana"/>
        </w:rPr>
      </w:pPr>
    </w:p>
    <w:p w14:paraId="0AB33950" w14:textId="77777777" w:rsidR="004859BC" w:rsidRDefault="004859BC" w:rsidP="00571AE4">
      <w:pPr>
        <w:spacing w:after="0" w:line="240" w:lineRule="auto"/>
        <w:jc w:val="both"/>
        <w:rPr>
          <w:rFonts w:ascii="Verdana" w:hAnsi="Verdana"/>
        </w:rPr>
      </w:pPr>
    </w:p>
    <w:p w14:paraId="4E203815" w14:textId="77777777" w:rsidR="00B62695" w:rsidRDefault="00B62695" w:rsidP="00571AE4">
      <w:pPr>
        <w:spacing w:after="0" w:line="240" w:lineRule="auto"/>
        <w:jc w:val="both"/>
        <w:rPr>
          <w:rFonts w:ascii="Verdana" w:hAnsi="Verdana"/>
        </w:rPr>
      </w:pPr>
    </w:p>
    <w:p w14:paraId="440A8616" w14:textId="77777777" w:rsidR="00B370F3" w:rsidRPr="00B370F3" w:rsidRDefault="00B370F3" w:rsidP="00B370F3">
      <w:pPr>
        <w:pStyle w:val="p1"/>
        <w:rPr>
          <w:sz w:val="22"/>
          <w:szCs w:val="22"/>
        </w:rPr>
      </w:pPr>
      <w:bookmarkStart w:id="0" w:name="_Hlk197462763"/>
      <w:bookmarkStart w:id="1" w:name="_Hlk197529996"/>
      <w:r w:rsidRPr="00B370F3">
        <w:rPr>
          <w:sz w:val="22"/>
          <w:szCs w:val="22"/>
        </w:rPr>
        <w:lastRenderedPageBreak/>
        <w:t>Bogotá D.C., 05 Agosto 2026</w:t>
      </w:r>
    </w:p>
    <w:p w14:paraId="32C7475C" w14:textId="77777777" w:rsidR="008D2015" w:rsidRDefault="008D2015" w:rsidP="00571AE4">
      <w:pPr>
        <w:spacing w:after="0" w:line="240" w:lineRule="auto"/>
        <w:jc w:val="both"/>
        <w:rPr>
          <w:rFonts w:ascii="Verdana" w:eastAsia="Calibri" w:hAnsi="Verdana" w:cs="Arial"/>
          <w:lang w:eastAsia="es-ES"/>
        </w:rPr>
      </w:pPr>
    </w:p>
    <w:p w14:paraId="64A4B7C0" w14:textId="66CA9811" w:rsidR="008D2015" w:rsidRDefault="00CD5D63" w:rsidP="00571AE4">
      <w:pPr>
        <w:spacing w:after="0" w:line="240" w:lineRule="auto"/>
        <w:jc w:val="both"/>
        <w:rPr>
          <w:rFonts w:ascii="Verdana" w:eastAsia="Calibri" w:hAnsi="Verdana" w:cs="Arial"/>
          <w:lang w:eastAsia="es-ES"/>
        </w:rPr>
      </w:pPr>
      <w:r>
        <w:rPr>
          <w:rFonts w:ascii="Verdana" w:eastAsia="Calibri" w:hAnsi="Verdana" w:cs="Arial"/>
          <w:noProof/>
          <w:lang w:eastAsia="es-ES"/>
        </w:rPr>
        <w:drawing>
          <wp:anchor distT="0" distB="0" distL="114300" distR="114300" simplePos="0" relativeHeight="251660288" behindDoc="0" locked="0" layoutInCell="1" allowOverlap="1" wp14:anchorId="0538BAB7" wp14:editId="04A3A8AC">
            <wp:simplePos x="0" y="0"/>
            <wp:positionH relativeFrom="margin">
              <wp:align>right</wp:align>
            </wp:positionH>
            <wp:positionV relativeFrom="margin">
              <wp:align>top</wp:align>
            </wp:positionV>
            <wp:extent cx="2489200" cy="812800"/>
            <wp:effectExtent l="0" t="0" r="0" b="0"/>
            <wp:wrapSquare wrapText="bothSides"/>
            <wp:docPr id="8548149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814983" name="Imagen 854814983"/>
                    <pic:cNvPicPr/>
                  </pic:nvPicPr>
                  <pic:blipFill>
                    <a:blip r:embed="rId11"/>
                    <a:stretch>
                      <a:fillRect/>
                    </a:stretch>
                  </pic:blipFill>
                  <pic:spPr>
                    <a:xfrm>
                      <a:off x="0" y="0"/>
                      <a:ext cx="2489200" cy="812800"/>
                    </a:xfrm>
                    <a:prstGeom prst="rect">
                      <a:avLst/>
                    </a:prstGeom>
                  </pic:spPr>
                </pic:pic>
              </a:graphicData>
            </a:graphic>
          </wp:anchor>
        </w:drawing>
      </w:r>
    </w:p>
    <w:p w14:paraId="2601D88B" w14:textId="77777777" w:rsidR="00571AE4" w:rsidRDefault="00571AE4" w:rsidP="00571AE4">
      <w:pPr>
        <w:spacing w:after="0" w:line="240" w:lineRule="auto"/>
        <w:jc w:val="both"/>
        <w:rPr>
          <w:rFonts w:ascii="Verdana" w:eastAsia="Calibri" w:hAnsi="Verdana" w:cs="Arial"/>
          <w:lang w:eastAsia="es-ES"/>
        </w:rPr>
      </w:pPr>
    </w:p>
    <w:p w14:paraId="2FDD1002" w14:textId="77777777" w:rsidR="00571AE4" w:rsidRDefault="00571AE4" w:rsidP="00571AE4">
      <w:pPr>
        <w:spacing w:after="0" w:line="240" w:lineRule="auto"/>
        <w:jc w:val="both"/>
        <w:rPr>
          <w:rFonts w:ascii="Verdana" w:eastAsia="Calibri" w:hAnsi="Verdana" w:cs="Arial"/>
          <w:lang w:eastAsia="es-ES"/>
        </w:rPr>
      </w:pPr>
      <w:r w:rsidRPr="008E4F36">
        <w:rPr>
          <w:rFonts w:ascii="Verdana" w:eastAsia="Calibri" w:hAnsi="Verdana" w:cs="Arial"/>
          <w:lang w:eastAsia="es-ES"/>
        </w:rPr>
        <w:t>Señor</w:t>
      </w:r>
      <w:r>
        <w:rPr>
          <w:rFonts w:ascii="Verdana" w:eastAsia="Calibri" w:hAnsi="Verdana" w:cs="Arial"/>
          <w:lang w:eastAsia="es-ES"/>
        </w:rPr>
        <w:t>a</w:t>
      </w:r>
    </w:p>
    <w:p w14:paraId="4EBBE974" w14:textId="77777777" w:rsidR="00571AE4" w:rsidRPr="00A0246F" w:rsidRDefault="00571AE4" w:rsidP="00571AE4">
      <w:pPr>
        <w:spacing w:after="0" w:line="240" w:lineRule="auto"/>
        <w:jc w:val="both"/>
        <w:rPr>
          <w:rFonts w:ascii="Verdana" w:eastAsia="Calibri" w:hAnsi="Verdana" w:cs="Arial"/>
          <w:b/>
          <w:bCs/>
          <w:lang w:eastAsia="es-ES"/>
        </w:rPr>
      </w:pPr>
      <w:r w:rsidRPr="00A0246F">
        <w:rPr>
          <w:rFonts w:ascii="Verdana" w:eastAsia="Calibri" w:hAnsi="Verdana" w:cs="Arial"/>
          <w:b/>
          <w:bCs/>
          <w:lang w:eastAsia="es-ES"/>
        </w:rPr>
        <w:t>María Alejandra Acero Parra</w:t>
      </w:r>
    </w:p>
    <w:p w14:paraId="19F7E0FB" w14:textId="77777777" w:rsidR="00571AE4" w:rsidRPr="00941A3D" w:rsidRDefault="00571AE4" w:rsidP="00571AE4">
      <w:pPr>
        <w:spacing w:after="0" w:line="240" w:lineRule="auto"/>
        <w:jc w:val="both"/>
        <w:rPr>
          <w:rFonts w:ascii="Verdana" w:eastAsia="Calibri" w:hAnsi="Verdana" w:cs="Arial"/>
          <w:bCs/>
          <w:color w:val="000099"/>
          <w:lang w:eastAsia="es-ES_tradnl"/>
        </w:rPr>
      </w:pPr>
      <w:hyperlink r:id="rId12" w:history="1">
        <w:r w:rsidRPr="0040324B">
          <w:rPr>
            <w:rStyle w:val="Hipervnculo"/>
            <w:rFonts w:ascii="Verdana" w:eastAsia="Calibri" w:hAnsi="Verdana" w:cs="Arial"/>
            <w:bCs/>
            <w:lang w:eastAsia="es-ES_tradnl"/>
          </w:rPr>
          <w:t>macero@cremil.gov.co</w:t>
        </w:r>
      </w:hyperlink>
      <w:r>
        <w:rPr>
          <w:rFonts w:ascii="Verdana" w:eastAsia="Calibri" w:hAnsi="Verdana" w:cs="Arial"/>
          <w:bCs/>
          <w:color w:val="000099"/>
          <w:lang w:eastAsia="es-ES_tradnl"/>
        </w:rPr>
        <w:t xml:space="preserve"> </w:t>
      </w:r>
    </w:p>
    <w:p w14:paraId="557ECEDB" w14:textId="77777777" w:rsidR="00571AE4" w:rsidRDefault="00571AE4" w:rsidP="00571AE4">
      <w:pPr>
        <w:spacing w:after="0" w:line="240" w:lineRule="auto"/>
        <w:jc w:val="both"/>
        <w:rPr>
          <w:rFonts w:ascii="Verdana" w:eastAsia="Calibri" w:hAnsi="Verdana" w:cs="Arial"/>
          <w:bCs/>
          <w:lang w:eastAsia="es-ES_tradnl"/>
        </w:rPr>
      </w:pPr>
      <w:r>
        <w:rPr>
          <w:rFonts w:ascii="Verdana" w:eastAsia="Calibri" w:hAnsi="Verdana" w:cs="Arial"/>
          <w:bCs/>
          <w:lang w:eastAsia="es-ES_tradnl"/>
        </w:rPr>
        <w:t>Ciudad</w:t>
      </w:r>
    </w:p>
    <w:p w14:paraId="7CD280F2" w14:textId="77777777" w:rsidR="00571AE4" w:rsidRPr="005B4C57" w:rsidRDefault="00571AE4" w:rsidP="00571AE4">
      <w:pPr>
        <w:spacing w:after="0" w:line="240" w:lineRule="auto"/>
        <w:jc w:val="both"/>
        <w:rPr>
          <w:rFonts w:ascii="Verdana" w:eastAsia="Calibri" w:hAnsi="Verdana" w:cs="Arial"/>
          <w:b/>
          <w:bCs/>
          <w:color w:val="000000"/>
          <w:lang w:val="it-CH"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5670"/>
      </w:tblGrid>
      <w:tr w:rsidR="00571AE4" w:rsidRPr="002842E0" w14:paraId="023AF0C3" w14:textId="77777777" w:rsidTr="007279FC">
        <w:trPr>
          <w:trHeight w:val="162"/>
        </w:trPr>
        <w:tc>
          <w:tcPr>
            <w:tcW w:w="3119" w:type="dxa"/>
          </w:tcPr>
          <w:p w14:paraId="32A9B881" w14:textId="77777777" w:rsidR="00571AE4" w:rsidRPr="005B4C57" w:rsidRDefault="00571AE4" w:rsidP="007279FC">
            <w:pPr>
              <w:jc w:val="both"/>
              <w:rPr>
                <w:rFonts w:ascii="Verdana" w:eastAsia="Calibri" w:hAnsi="Verdana" w:cs="Arial"/>
                <w:b/>
                <w:bCs/>
                <w:color w:val="7030A0"/>
                <w:lang w:val="it-CH" w:eastAsia="es-ES_tradnl"/>
              </w:rPr>
            </w:pPr>
          </w:p>
        </w:tc>
        <w:tc>
          <w:tcPr>
            <w:tcW w:w="5670" w:type="dxa"/>
          </w:tcPr>
          <w:p w14:paraId="3417F89E" w14:textId="77777777" w:rsidR="00571AE4" w:rsidRPr="00801462" w:rsidRDefault="00571AE4" w:rsidP="007279FC">
            <w:pPr>
              <w:jc w:val="both"/>
              <w:rPr>
                <w:rFonts w:ascii="Verdana" w:eastAsia="Calibri" w:hAnsi="Verdana" w:cs="Arial"/>
                <w:b/>
                <w:bCs/>
                <w:lang w:eastAsia="es-ES"/>
              </w:rPr>
            </w:pPr>
            <w:r w:rsidRPr="00083AB6">
              <w:rPr>
                <w:rFonts w:ascii="Verdana" w:eastAsia="Calibri" w:hAnsi="Verdana" w:cs="Arial"/>
                <w:b/>
                <w:bCs/>
                <w:lang w:eastAsia="es-ES"/>
              </w:rPr>
              <w:t xml:space="preserve">Concepto C- </w:t>
            </w:r>
            <w:r>
              <w:rPr>
                <w:rFonts w:ascii="Verdana" w:eastAsia="Calibri" w:hAnsi="Verdana" w:cs="Arial"/>
                <w:b/>
                <w:bCs/>
                <w:lang w:eastAsia="es-ES"/>
              </w:rPr>
              <w:t>1017 de 2026</w:t>
            </w:r>
          </w:p>
          <w:p w14:paraId="16A99161" w14:textId="77777777" w:rsidR="00571AE4" w:rsidRPr="00801462" w:rsidRDefault="00571AE4" w:rsidP="007279FC">
            <w:pPr>
              <w:jc w:val="both"/>
              <w:rPr>
                <w:rFonts w:ascii="Verdana" w:eastAsia="Calibri" w:hAnsi="Verdana" w:cs="Arial"/>
                <w:b/>
                <w:bCs/>
                <w:color w:val="7030A0"/>
                <w:lang w:eastAsia="es-ES"/>
              </w:rPr>
            </w:pPr>
          </w:p>
        </w:tc>
      </w:tr>
      <w:tr w:rsidR="00571AE4" w:rsidRPr="002842E0" w14:paraId="53574B15" w14:textId="77777777" w:rsidTr="007279FC">
        <w:trPr>
          <w:trHeight w:val="884"/>
        </w:trPr>
        <w:tc>
          <w:tcPr>
            <w:tcW w:w="3119" w:type="dxa"/>
          </w:tcPr>
          <w:p w14:paraId="2A3316FF" w14:textId="77777777" w:rsidR="00571AE4" w:rsidRPr="00801462" w:rsidRDefault="00571AE4" w:rsidP="007279FC">
            <w:pPr>
              <w:jc w:val="both"/>
              <w:rPr>
                <w:rFonts w:ascii="Verdana" w:eastAsia="Calibri" w:hAnsi="Verdana" w:cs="Arial"/>
                <w:color w:val="000000"/>
                <w:lang w:eastAsia="es-ES_tradnl"/>
              </w:rPr>
            </w:pPr>
            <w:r w:rsidRPr="00801462">
              <w:rPr>
                <w:rFonts w:ascii="Verdana" w:eastAsia="Calibri" w:hAnsi="Verdana" w:cs="Arial"/>
                <w:b/>
                <w:color w:val="000000"/>
                <w:lang w:eastAsia="es-ES_tradnl"/>
              </w:rPr>
              <w:t>Temas:</w:t>
            </w:r>
            <w:r w:rsidRPr="00801462">
              <w:rPr>
                <w:rFonts w:ascii="Verdana" w:eastAsia="Calibri" w:hAnsi="Verdana" w:cs="Arial"/>
                <w:color w:val="000000"/>
                <w:lang w:eastAsia="es-ES_tradnl"/>
              </w:rPr>
              <w:t xml:space="preserve">                   </w:t>
            </w:r>
          </w:p>
        </w:tc>
        <w:tc>
          <w:tcPr>
            <w:tcW w:w="5670" w:type="dxa"/>
          </w:tcPr>
          <w:p w14:paraId="05060A49" w14:textId="77777777" w:rsidR="00571AE4" w:rsidRPr="00AC522B" w:rsidRDefault="00571AE4" w:rsidP="007279FC">
            <w:pPr>
              <w:jc w:val="both"/>
              <w:rPr>
                <w:rFonts w:ascii="Verdana" w:eastAsia="Calibri" w:hAnsi="Verdana" w:cs="Arial"/>
                <w:lang w:val="es-ES_tradnl" w:eastAsia="es-ES"/>
              </w:rPr>
            </w:pPr>
            <w:r w:rsidRPr="004D43FE">
              <w:rPr>
                <w:rFonts w:ascii="Verdana" w:eastAsia="Calibri" w:hAnsi="Verdana" w:cs="Arial"/>
                <w:lang w:val="es-ES" w:eastAsia="es-ES"/>
              </w:rPr>
              <w:t xml:space="preserve">EGCAP – Ámbito de aplicación – Entidades estatales / CONTRATO ESTATAL – Criterio orgánico / </w:t>
            </w:r>
            <w:r w:rsidRPr="00AC522B">
              <w:rPr>
                <w:rFonts w:ascii="Verdana" w:eastAsia="Calibri" w:hAnsi="Verdana" w:cs="Arial"/>
                <w:lang w:val="es-ES_tradnl" w:eastAsia="es-ES"/>
              </w:rPr>
              <w:t xml:space="preserve">CONTRATO DE ARRENDAMIENTO – Definición – Características – Decreto 1082 </w:t>
            </w:r>
            <w:r>
              <w:rPr>
                <w:rFonts w:ascii="Verdana" w:eastAsia="Calibri" w:hAnsi="Verdana" w:cs="Arial"/>
                <w:lang w:val="es-ES_tradnl" w:eastAsia="es-ES"/>
              </w:rPr>
              <w:t>de</w:t>
            </w:r>
            <w:r w:rsidRPr="00AC522B">
              <w:rPr>
                <w:rFonts w:ascii="Verdana" w:eastAsia="Calibri" w:hAnsi="Verdana" w:cs="Arial"/>
                <w:lang w:val="es-ES_tradnl" w:eastAsia="es-ES"/>
              </w:rPr>
              <w:t xml:space="preserve"> 2015 – Artículo 2.2.1.2.1.4.11 / </w:t>
            </w:r>
            <w:r>
              <w:rPr>
                <w:rFonts w:ascii="Verdana" w:eastAsia="Calibri" w:hAnsi="Verdana" w:cs="Arial"/>
                <w:lang w:val="es-ES_tradnl" w:eastAsia="es-ES"/>
              </w:rPr>
              <w:t>PUBLICIDAD EN SECOP II – Obligatoriedad</w:t>
            </w:r>
          </w:p>
          <w:p w14:paraId="53C54E3D" w14:textId="77777777" w:rsidR="00571AE4" w:rsidRPr="004E7836" w:rsidRDefault="00571AE4" w:rsidP="007279FC">
            <w:pPr>
              <w:jc w:val="both"/>
              <w:rPr>
                <w:rFonts w:ascii="Verdana" w:eastAsia="Calibri" w:hAnsi="Verdana" w:cs="Arial"/>
                <w:lang w:val="es-ES" w:eastAsia="es-ES"/>
              </w:rPr>
            </w:pPr>
          </w:p>
        </w:tc>
      </w:tr>
      <w:tr w:rsidR="00571AE4" w:rsidRPr="002842E0" w14:paraId="64089778" w14:textId="77777777" w:rsidTr="007279FC">
        <w:tc>
          <w:tcPr>
            <w:tcW w:w="3119" w:type="dxa"/>
          </w:tcPr>
          <w:p w14:paraId="56E8450F" w14:textId="77777777" w:rsidR="00571AE4" w:rsidRPr="00801462" w:rsidRDefault="00571AE4" w:rsidP="007279FC">
            <w:pPr>
              <w:jc w:val="both"/>
              <w:rPr>
                <w:rFonts w:ascii="Verdana" w:eastAsia="Calibri" w:hAnsi="Verdana" w:cs="Arial"/>
                <w:b/>
                <w:lang w:eastAsia="es-ES_tradnl"/>
              </w:rPr>
            </w:pPr>
            <w:r w:rsidRPr="00801462">
              <w:rPr>
                <w:rFonts w:ascii="Verdana" w:eastAsia="Calibri" w:hAnsi="Verdana" w:cs="Arial"/>
                <w:b/>
                <w:lang w:eastAsia="es-ES_tradnl"/>
              </w:rPr>
              <w:t>Radicación:</w:t>
            </w:r>
            <w:r w:rsidRPr="00801462">
              <w:rPr>
                <w:rFonts w:ascii="Verdana" w:eastAsia="Calibri" w:hAnsi="Verdana" w:cs="Arial"/>
                <w:lang w:eastAsia="es-ES_tradnl"/>
              </w:rPr>
              <w:t xml:space="preserve">               </w:t>
            </w:r>
          </w:p>
        </w:tc>
        <w:tc>
          <w:tcPr>
            <w:tcW w:w="5670" w:type="dxa"/>
          </w:tcPr>
          <w:p w14:paraId="27AE47E3" w14:textId="77777777" w:rsidR="00571AE4" w:rsidRPr="002C6D5B" w:rsidRDefault="00571AE4" w:rsidP="007279FC">
            <w:pPr>
              <w:jc w:val="both"/>
              <w:rPr>
                <w:rFonts w:ascii="Verdana" w:eastAsia="Calibri" w:hAnsi="Verdana" w:cs="Arial"/>
                <w:lang w:eastAsia="es-ES_tradnl"/>
              </w:rPr>
            </w:pPr>
            <w:r w:rsidRPr="002C6D5B">
              <w:rPr>
                <w:rFonts w:ascii="Verdana" w:eastAsia="Calibri" w:hAnsi="Verdana" w:cs="Arial"/>
                <w:lang w:eastAsia="es-ES_tradnl"/>
              </w:rPr>
              <w:t xml:space="preserve">Respuesta a consulta con radicado </w:t>
            </w:r>
            <w:r w:rsidRPr="00A0246F">
              <w:rPr>
                <w:rFonts w:ascii="Verdana" w:eastAsia="Calibri" w:hAnsi="Verdana" w:cs="Arial"/>
                <w:lang w:eastAsia="es-ES_tradnl"/>
              </w:rPr>
              <w:t>No. 1_2026_06_24_008481</w:t>
            </w:r>
            <w:r>
              <w:rPr>
                <w:rFonts w:ascii="Verdana" w:eastAsia="Calibri" w:hAnsi="Verdana" w:cs="Arial"/>
                <w:lang w:eastAsia="es-ES_tradnl"/>
              </w:rPr>
              <w:t xml:space="preserve"> </w:t>
            </w:r>
          </w:p>
        </w:tc>
      </w:tr>
    </w:tbl>
    <w:p w14:paraId="38A7C5CA" w14:textId="77777777" w:rsidR="00571AE4" w:rsidRDefault="00571AE4" w:rsidP="00571AE4">
      <w:pPr>
        <w:spacing w:after="0" w:line="276" w:lineRule="auto"/>
        <w:jc w:val="both"/>
        <w:rPr>
          <w:rFonts w:ascii="Verdana" w:eastAsia="Calibri" w:hAnsi="Verdana" w:cs="Arial"/>
          <w:lang w:eastAsia="es-ES_tradnl"/>
        </w:rPr>
      </w:pPr>
    </w:p>
    <w:p w14:paraId="175B9F24" w14:textId="77777777" w:rsidR="00571AE4" w:rsidRPr="008E4F36" w:rsidRDefault="00571AE4" w:rsidP="00571AE4">
      <w:pPr>
        <w:spacing w:after="0" w:line="276" w:lineRule="auto"/>
        <w:jc w:val="both"/>
        <w:rPr>
          <w:rFonts w:ascii="Verdana" w:eastAsia="Calibri" w:hAnsi="Verdana" w:cs="Arial"/>
          <w:lang w:eastAsia="es-ES"/>
        </w:rPr>
      </w:pPr>
      <w:r w:rsidRPr="00083AB6">
        <w:rPr>
          <w:rFonts w:ascii="Verdana" w:eastAsia="Calibri" w:hAnsi="Verdana" w:cs="Arial"/>
          <w:lang w:eastAsia="es-ES"/>
        </w:rPr>
        <w:t>Estimad</w:t>
      </w:r>
      <w:r>
        <w:rPr>
          <w:rFonts w:ascii="Verdana" w:eastAsia="Calibri" w:hAnsi="Verdana" w:cs="Arial"/>
          <w:lang w:eastAsia="es-ES"/>
        </w:rPr>
        <w:t>a</w:t>
      </w:r>
      <w:r w:rsidRPr="00083AB6">
        <w:rPr>
          <w:rFonts w:ascii="Verdana" w:eastAsia="Calibri" w:hAnsi="Verdana" w:cs="Arial"/>
          <w:lang w:eastAsia="es-ES"/>
        </w:rPr>
        <w:t xml:space="preserve"> señor</w:t>
      </w:r>
      <w:r>
        <w:rPr>
          <w:rFonts w:ascii="Verdana" w:eastAsia="Calibri" w:hAnsi="Verdana" w:cs="Arial"/>
          <w:lang w:eastAsia="es-ES"/>
        </w:rPr>
        <w:t xml:space="preserve">a </w:t>
      </w:r>
      <w:r>
        <w:rPr>
          <w:rFonts w:ascii="Verdana" w:eastAsia="Calibri" w:hAnsi="Verdana" w:cs="Arial"/>
          <w:bCs/>
          <w:lang w:eastAsia="es-ES_tradnl"/>
        </w:rPr>
        <w:t>Acero</w:t>
      </w:r>
      <w:r w:rsidRPr="00083AB6">
        <w:rPr>
          <w:rFonts w:ascii="Verdana" w:eastAsia="Calibri" w:hAnsi="Verdana" w:cs="Arial"/>
          <w:lang w:eastAsia="es-ES"/>
        </w:rPr>
        <w:t>:</w:t>
      </w:r>
      <w:r w:rsidRPr="008E4F36">
        <w:rPr>
          <w:rFonts w:ascii="Verdana" w:eastAsia="Calibri" w:hAnsi="Verdana" w:cs="Arial"/>
          <w:lang w:eastAsia="es-ES"/>
        </w:rPr>
        <w:t xml:space="preserve"> </w:t>
      </w:r>
    </w:p>
    <w:p w14:paraId="30F4E9DE" w14:textId="77777777" w:rsidR="00571AE4" w:rsidRDefault="00571AE4" w:rsidP="00571AE4">
      <w:pPr>
        <w:tabs>
          <w:tab w:val="left" w:pos="3768"/>
        </w:tabs>
        <w:spacing w:after="0" w:line="240" w:lineRule="auto"/>
        <w:jc w:val="both"/>
        <w:rPr>
          <w:rFonts w:ascii="Verdana" w:eastAsia="Calibri" w:hAnsi="Verdana" w:cs="Arial"/>
          <w:lang w:eastAsia="es-ES"/>
        </w:rPr>
      </w:pPr>
    </w:p>
    <w:p w14:paraId="3EBCAF8F" w14:textId="77777777" w:rsidR="00571AE4" w:rsidRPr="008E4F36" w:rsidRDefault="00571AE4" w:rsidP="00571AE4">
      <w:pPr>
        <w:tabs>
          <w:tab w:val="left" w:pos="3768"/>
        </w:tabs>
        <w:spacing w:after="0" w:line="276" w:lineRule="auto"/>
        <w:jc w:val="both"/>
        <w:rPr>
          <w:rFonts w:ascii="Verdana" w:eastAsia="Calibri" w:hAnsi="Verdana" w:cs="Arial"/>
          <w:lang w:eastAsia="es-ES"/>
        </w:rPr>
      </w:pPr>
      <w:r w:rsidRPr="000F2158">
        <w:rPr>
          <w:rFonts w:ascii="Verdana" w:eastAsia="Calibri" w:hAnsi="Verdana" w:cs="Arial"/>
          <w:lang w:eastAsia="es-ES"/>
        </w:rPr>
        <w:t xml:space="preserve">En ejercicio de la competencia otorgada por los artículos 3, numeral 5º, y 11, numeral 8º, del Decreto Ley 4170 de 2011, así como lo establecido en la Resolución </w:t>
      </w:r>
      <w:r>
        <w:rPr>
          <w:rFonts w:ascii="Verdana" w:eastAsia="Calibri" w:hAnsi="Verdana" w:cs="Arial"/>
          <w:lang w:eastAsia="es-ES"/>
        </w:rPr>
        <w:t>469 de 2025</w:t>
      </w:r>
      <w:r w:rsidRPr="000F2158">
        <w:rPr>
          <w:rFonts w:ascii="Verdana" w:eastAsia="Calibri" w:hAnsi="Verdana" w:cs="Arial"/>
          <w:lang w:eastAsia="es-ES"/>
        </w:rPr>
        <w:t xml:space="preserve"> expedida por esta Entidad, la Agencia Nacional de Contratación Pública – Colombia Compra Eficiente– responde su solicitud de consulta de fecha </w:t>
      </w:r>
      <w:r>
        <w:rPr>
          <w:rFonts w:ascii="Verdana" w:eastAsia="Calibri" w:hAnsi="Verdana" w:cs="Arial"/>
          <w:lang w:eastAsia="es-ES"/>
        </w:rPr>
        <w:t>24</w:t>
      </w:r>
      <w:r w:rsidRPr="00AF6D58">
        <w:rPr>
          <w:rFonts w:ascii="Verdana" w:eastAsia="Calibri" w:hAnsi="Verdana" w:cs="Arial"/>
          <w:lang w:eastAsia="es-ES"/>
        </w:rPr>
        <w:t xml:space="preserve"> de </w:t>
      </w:r>
      <w:r>
        <w:rPr>
          <w:rFonts w:ascii="Verdana" w:eastAsia="Calibri" w:hAnsi="Verdana" w:cs="Arial"/>
          <w:lang w:eastAsia="es-ES"/>
        </w:rPr>
        <w:t>junio</w:t>
      </w:r>
      <w:r w:rsidRPr="00AF6D58">
        <w:rPr>
          <w:rFonts w:ascii="Verdana" w:eastAsia="Calibri" w:hAnsi="Verdana" w:cs="Arial"/>
          <w:lang w:eastAsia="es-ES"/>
        </w:rPr>
        <w:t xml:space="preserve"> de 202</w:t>
      </w:r>
      <w:r>
        <w:rPr>
          <w:rFonts w:ascii="Verdana" w:eastAsia="Calibri" w:hAnsi="Verdana" w:cs="Arial"/>
          <w:lang w:eastAsia="es-ES"/>
        </w:rPr>
        <w:t>6</w:t>
      </w:r>
      <w:r w:rsidRPr="00AF6D58">
        <w:rPr>
          <w:rFonts w:ascii="Verdana" w:eastAsia="Calibri" w:hAnsi="Verdana" w:cs="Arial"/>
          <w:lang w:eastAsia="es-ES"/>
        </w:rPr>
        <w:t>,</w:t>
      </w:r>
      <w:r w:rsidRPr="000F2158">
        <w:rPr>
          <w:rFonts w:ascii="Verdana" w:eastAsia="Calibri" w:hAnsi="Verdana" w:cs="Arial"/>
          <w:lang w:eastAsia="es-ES"/>
        </w:rPr>
        <w:t xml:space="preserve"> en la cual manifiesta lo siguiente:</w:t>
      </w:r>
    </w:p>
    <w:p w14:paraId="67A7C67B" w14:textId="77777777" w:rsidR="00571AE4" w:rsidRPr="008C54F3" w:rsidRDefault="00571AE4" w:rsidP="00571AE4">
      <w:pPr>
        <w:spacing w:line="240" w:lineRule="auto"/>
        <w:ind w:left="709" w:right="709"/>
        <w:jc w:val="both"/>
        <w:rPr>
          <w:rFonts w:ascii="Verdana" w:eastAsia="Calibri" w:hAnsi="Verdana" w:cs="Arial"/>
          <w:color w:val="000000" w:themeColor="text1"/>
          <w:sz w:val="20"/>
          <w:szCs w:val="20"/>
        </w:rPr>
      </w:pPr>
    </w:p>
    <w:p w14:paraId="2A764C1B" w14:textId="77777777" w:rsidR="00571AE4" w:rsidRPr="004F74E3" w:rsidRDefault="00571AE4" w:rsidP="00571AE4">
      <w:pPr>
        <w:spacing w:line="240" w:lineRule="auto"/>
        <w:ind w:left="709" w:right="709"/>
        <w:jc w:val="both"/>
        <w:rPr>
          <w:rFonts w:ascii="Verdana" w:eastAsia="Calibri" w:hAnsi="Verdana" w:cs="Arial"/>
          <w:i/>
          <w:iCs/>
          <w:color w:val="000000" w:themeColor="text1"/>
          <w:sz w:val="20"/>
          <w:szCs w:val="20"/>
        </w:rPr>
      </w:pPr>
      <w:bookmarkStart w:id="2" w:name="_Hlk192699624"/>
      <w:bookmarkStart w:id="3" w:name="_Hlk199394899"/>
      <w:r w:rsidRPr="004F74E3">
        <w:rPr>
          <w:rFonts w:ascii="Verdana" w:eastAsia="Calibri" w:hAnsi="Verdana" w:cs="Arial"/>
          <w:i/>
          <w:iCs/>
          <w:color w:val="000000" w:themeColor="text1"/>
          <w:sz w:val="20"/>
          <w:szCs w:val="20"/>
        </w:rPr>
        <w:t>“</w:t>
      </w:r>
      <w:bookmarkEnd w:id="2"/>
      <w:bookmarkEnd w:id="3"/>
      <w:r w:rsidRPr="004F74E3">
        <w:rPr>
          <w:rFonts w:ascii="Verdana" w:eastAsia="Calibri" w:hAnsi="Verdana" w:cs="Arial"/>
          <w:i/>
          <w:iCs/>
          <w:color w:val="000000" w:themeColor="text1"/>
          <w:sz w:val="20"/>
          <w:szCs w:val="20"/>
        </w:rPr>
        <w:t xml:space="preserve">1. ¿Los contratos de arrendamiento celebrados por una entidad estatal en calidad de arrendadora, respecto de bienes inmuebles de su propiedad destinados a actividades comerciales, oficinas, bodegas u otros usos permitidos, deben ser publicados en el Sistema Electrónico para la Contratación Pública – SECOP? En caso afirmativo, se solicita indicar el fundamento normativo aplicable, el alcance de dicha obligación y la plataforma correspondiente para su publicación. </w:t>
      </w:r>
    </w:p>
    <w:p w14:paraId="17525F1C" w14:textId="77777777" w:rsidR="00571AE4" w:rsidRPr="004F74E3" w:rsidRDefault="00571AE4" w:rsidP="00571AE4">
      <w:pPr>
        <w:spacing w:line="240" w:lineRule="auto"/>
        <w:ind w:left="709" w:right="709"/>
        <w:jc w:val="both"/>
        <w:rPr>
          <w:rFonts w:ascii="Verdana" w:eastAsia="Calibri" w:hAnsi="Verdana" w:cs="Arial"/>
          <w:i/>
          <w:iCs/>
          <w:color w:val="000000" w:themeColor="text1"/>
          <w:sz w:val="20"/>
          <w:szCs w:val="20"/>
        </w:rPr>
      </w:pPr>
      <w:r w:rsidRPr="004F74E3">
        <w:rPr>
          <w:rFonts w:ascii="Verdana" w:eastAsia="Calibri" w:hAnsi="Verdana" w:cs="Arial"/>
          <w:i/>
          <w:iCs/>
          <w:color w:val="000000" w:themeColor="text1"/>
          <w:sz w:val="20"/>
          <w:szCs w:val="20"/>
        </w:rPr>
        <w:t xml:space="preserve">2. ¿Los contratos de arrendamiento de bienes inmuebles celebrados por una entidad estatal en calidad de arrendadora se encuentran sujetos a liquidación? En caso afirmativo, se solicita indicar el fundamento normativo correspondiente, los eventos en los cuales procede y el alcance de dicha actuación administrativa o contractual. </w:t>
      </w:r>
    </w:p>
    <w:p w14:paraId="4E176A98" w14:textId="77777777" w:rsidR="00571AE4" w:rsidRPr="004F74E3" w:rsidRDefault="00571AE4" w:rsidP="00571AE4">
      <w:pPr>
        <w:spacing w:line="240" w:lineRule="auto"/>
        <w:ind w:left="709" w:right="709"/>
        <w:jc w:val="both"/>
        <w:rPr>
          <w:rFonts w:ascii="Verdana" w:eastAsia="Calibri" w:hAnsi="Verdana" w:cs="Arial"/>
          <w:i/>
          <w:iCs/>
          <w:color w:val="000000" w:themeColor="text1"/>
          <w:sz w:val="20"/>
          <w:szCs w:val="20"/>
        </w:rPr>
      </w:pPr>
      <w:r w:rsidRPr="004F74E3">
        <w:rPr>
          <w:rFonts w:ascii="Verdana" w:eastAsia="Calibri" w:hAnsi="Verdana" w:cs="Arial"/>
          <w:i/>
          <w:iCs/>
          <w:color w:val="000000" w:themeColor="text1"/>
          <w:sz w:val="20"/>
          <w:szCs w:val="20"/>
        </w:rPr>
        <w:lastRenderedPageBreak/>
        <w:t>3. ¿Existe doctrina, concepto, guía, lineamiento o instrumento expedido por Colombia Compra Eficiente que regule o desarrolle aspectos relacionados con los contratos de arrendamiento de bienes inmuebles celebrados por entidades estatales en calidad de arrendadoras, con particulares que su objeto social y su actividad económica es ser comerciantes, en materia de publicidad, ejecución, terminación y liquidación contractual?.”</w:t>
      </w:r>
    </w:p>
    <w:p w14:paraId="7361369C" w14:textId="77777777" w:rsidR="00571AE4" w:rsidRDefault="00571AE4" w:rsidP="00571AE4">
      <w:pPr>
        <w:spacing w:before="120" w:after="0" w:line="276" w:lineRule="auto"/>
        <w:ind w:firstLine="709"/>
        <w:jc w:val="both"/>
        <w:rPr>
          <w:rFonts w:ascii="Verdana" w:eastAsia="Calibri" w:hAnsi="Verdana" w:cs="Arial"/>
          <w:color w:val="000000"/>
          <w:szCs w:val="24"/>
          <w:lang w:eastAsia="es-ES_tradnl"/>
        </w:rPr>
      </w:pPr>
      <w:r w:rsidRPr="008E4F36">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7379065D" w14:textId="77777777" w:rsidR="00571AE4" w:rsidRPr="00054383" w:rsidRDefault="00571AE4" w:rsidP="00571AE4">
      <w:pPr>
        <w:spacing w:before="120" w:after="0" w:line="276" w:lineRule="auto"/>
        <w:ind w:firstLine="709"/>
        <w:jc w:val="both"/>
        <w:rPr>
          <w:rFonts w:ascii="Verdana" w:eastAsia="Calibri" w:hAnsi="Verdana" w:cs="Arial"/>
          <w:color w:val="000000"/>
          <w:szCs w:val="24"/>
          <w:lang w:eastAsia="es-ES_tradnl"/>
        </w:rPr>
      </w:pPr>
      <w:r w:rsidRPr="008E4F36">
        <w:rPr>
          <w:rFonts w:ascii="Verdana" w:eastAsia="Calibri" w:hAnsi="Verdana" w:cs="Arial"/>
          <w:color w:val="000000"/>
          <w:lang w:eastAsia="es-ES"/>
        </w:rPr>
        <w:t xml:space="preserve">Conforme lo expuesto, en aras de garantizar el derecho fundamental de petición, se resolverá su petición dentro de los límites de la referida competencia consultiva, esto es, haciendo abstracción del caso particular y concreto señalado en su petición, pero señalando algunas consideraciones sobre las normas generales relacionadas </w:t>
      </w:r>
      <w:r w:rsidRPr="002975A0">
        <w:rPr>
          <w:rFonts w:ascii="Verdana" w:eastAsia="Calibri" w:hAnsi="Verdana" w:cs="Arial"/>
          <w:color w:val="000000"/>
          <w:lang w:eastAsia="es-ES"/>
        </w:rPr>
        <w:t xml:space="preserve">con </w:t>
      </w:r>
      <w:r>
        <w:rPr>
          <w:rFonts w:ascii="Verdana" w:eastAsia="Calibri" w:hAnsi="Verdana" w:cs="Arial"/>
          <w:color w:val="000000"/>
          <w:lang w:eastAsia="es-ES"/>
        </w:rPr>
        <w:t xml:space="preserve">el </w:t>
      </w:r>
      <w:r w:rsidRPr="002975A0">
        <w:rPr>
          <w:rFonts w:ascii="Verdana" w:eastAsia="Calibri" w:hAnsi="Verdana" w:cs="Arial"/>
          <w:color w:val="000000"/>
          <w:lang w:eastAsia="es-ES"/>
        </w:rPr>
        <w:t>problema jurídico de su consulta.</w:t>
      </w:r>
      <w:r w:rsidRPr="008E4F36">
        <w:rPr>
          <w:rFonts w:ascii="Verdana" w:eastAsia="Calibri" w:hAnsi="Verdana" w:cs="Arial"/>
          <w:color w:val="000000"/>
          <w:lang w:eastAsia="es-ES"/>
        </w:rPr>
        <w:t xml:space="preserve">  </w:t>
      </w:r>
    </w:p>
    <w:p w14:paraId="04F61C31" w14:textId="77777777" w:rsidR="00571AE4" w:rsidRPr="008E4F36" w:rsidRDefault="00571AE4" w:rsidP="00571AE4">
      <w:pPr>
        <w:spacing w:after="0"/>
        <w:ind w:firstLine="709"/>
        <w:jc w:val="both"/>
        <w:rPr>
          <w:rFonts w:ascii="Verdana" w:eastAsia="Calibri" w:hAnsi="Verdana" w:cs="Arial"/>
          <w:color w:val="000000"/>
          <w:lang w:eastAsia="es-ES"/>
        </w:rPr>
      </w:pPr>
    </w:p>
    <w:p w14:paraId="70A447C2" w14:textId="77777777" w:rsidR="00571AE4" w:rsidRDefault="00571AE4" w:rsidP="00571AE4">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8E4F36">
        <w:rPr>
          <w:rFonts w:ascii="Verdana" w:eastAsia="Century Gothic" w:hAnsi="Verdana" w:cs="Century Gothic"/>
          <w:b/>
          <w:bCs/>
        </w:rPr>
        <w:t>Problema planteado:</w:t>
      </w:r>
    </w:p>
    <w:p w14:paraId="6961D403" w14:textId="77777777" w:rsidR="00571AE4" w:rsidRDefault="00571AE4" w:rsidP="00571AE4">
      <w:pPr>
        <w:spacing w:after="0" w:line="276" w:lineRule="auto"/>
        <w:jc w:val="both"/>
        <w:rPr>
          <w:rFonts w:ascii="Verdana" w:eastAsia="Calibri" w:hAnsi="Verdana" w:cs="Arial"/>
          <w:color w:val="000000"/>
          <w:highlight w:val="yellow"/>
          <w:lang w:eastAsia="es-ES"/>
        </w:rPr>
      </w:pPr>
    </w:p>
    <w:p w14:paraId="690F5EB7" w14:textId="77777777" w:rsidR="00571AE4" w:rsidRPr="00463641" w:rsidRDefault="00571AE4" w:rsidP="00571AE4">
      <w:pPr>
        <w:spacing w:after="0" w:line="276" w:lineRule="auto"/>
        <w:jc w:val="both"/>
        <w:rPr>
          <w:rFonts w:ascii="Verdana" w:eastAsia="Calibri" w:hAnsi="Verdana" w:cs="Arial"/>
          <w:color w:val="000000"/>
          <w:lang w:eastAsia="es-ES"/>
        </w:rPr>
      </w:pPr>
      <w:r w:rsidRPr="00005FE3">
        <w:rPr>
          <w:rFonts w:ascii="Verdana" w:eastAsia="Calibri" w:hAnsi="Verdana" w:cs="Arial"/>
          <w:color w:val="000000"/>
          <w:lang w:eastAsia="es-ES"/>
        </w:rPr>
        <w:t xml:space="preserve">De acuerdo con el contenido de su solicitud, esta Agencia resolverá </w:t>
      </w:r>
      <w:r>
        <w:rPr>
          <w:rFonts w:ascii="Verdana" w:eastAsia="Calibri" w:hAnsi="Verdana" w:cs="Arial"/>
          <w:color w:val="000000"/>
          <w:lang w:eastAsia="es-ES"/>
        </w:rPr>
        <w:t>el siguiente</w:t>
      </w:r>
      <w:r w:rsidRPr="00005FE3">
        <w:rPr>
          <w:rFonts w:ascii="Verdana" w:eastAsia="Calibri" w:hAnsi="Verdana" w:cs="Arial"/>
          <w:color w:val="000000"/>
          <w:lang w:eastAsia="es-ES"/>
        </w:rPr>
        <w:t xml:space="preserve"> problema jurídico</w:t>
      </w:r>
      <w:r w:rsidRPr="00E3481C">
        <w:rPr>
          <w:rFonts w:ascii="Verdana" w:eastAsia="Calibri" w:hAnsi="Verdana" w:cs="Arial"/>
          <w:color w:val="000000"/>
          <w:lang w:eastAsia="es-ES"/>
        </w:rPr>
        <w:t xml:space="preserve">: </w:t>
      </w:r>
      <w:r w:rsidRPr="00463641">
        <w:rPr>
          <w:rFonts w:ascii="Verdana" w:eastAsia="Calibri" w:hAnsi="Verdana" w:cs="Arial"/>
          <w:color w:val="000000"/>
          <w:lang w:eastAsia="es-ES"/>
        </w:rPr>
        <w:t>i) ¿Cuál es el régimen jurídico aplicable a los contratos de arrendamiento de bienes inmuebles celebrados por entidades estatales como arrendadoras, en materia de publicidad en SECOP y liquidación contractual? En caso de existir obligación, indicar su fundamento, alcance, plataforma y eventos en que procede la liquidación</w:t>
      </w:r>
      <w:r>
        <w:rPr>
          <w:rFonts w:ascii="Verdana" w:eastAsia="Calibri" w:hAnsi="Verdana" w:cs="Arial"/>
          <w:color w:val="000000"/>
          <w:lang w:eastAsia="es-ES"/>
        </w:rPr>
        <w:t xml:space="preserve"> </w:t>
      </w:r>
      <w:proofErr w:type="spellStart"/>
      <w:r w:rsidRPr="00463641">
        <w:rPr>
          <w:rFonts w:ascii="Verdana" w:eastAsia="Calibri" w:hAnsi="Verdana" w:cs="Arial"/>
          <w:color w:val="000000"/>
          <w:lang w:eastAsia="es-ES"/>
        </w:rPr>
        <w:t>ii</w:t>
      </w:r>
      <w:proofErr w:type="spellEnd"/>
      <w:r w:rsidRPr="00463641">
        <w:rPr>
          <w:rFonts w:ascii="Verdana" w:eastAsia="Calibri" w:hAnsi="Verdana" w:cs="Arial"/>
          <w:color w:val="000000"/>
          <w:lang w:eastAsia="es-ES"/>
        </w:rPr>
        <w:t>) ¿Colombia Compra Eficiente ha expedido conceptos, guías o lineamientos sobre la publicidad, ejecución, terminación y liquidación de estos contratos?</w:t>
      </w:r>
    </w:p>
    <w:p w14:paraId="0DB17457" w14:textId="77777777" w:rsidR="00571AE4" w:rsidRPr="00BF422F" w:rsidRDefault="00571AE4" w:rsidP="00571AE4">
      <w:pPr>
        <w:spacing w:after="0" w:line="276" w:lineRule="auto"/>
        <w:jc w:val="both"/>
        <w:rPr>
          <w:rFonts w:ascii="Verdana" w:eastAsia="Calibri" w:hAnsi="Verdana" w:cs="Times New Roman"/>
          <w:i/>
          <w:iCs/>
          <w:lang w:val="es-ES"/>
        </w:rPr>
      </w:pPr>
    </w:p>
    <w:p w14:paraId="6BC8E99F" w14:textId="77777777" w:rsidR="00571AE4" w:rsidRPr="008E4F36" w:rsidRDefault="00571AE4" w:rsidP="00571AE4">
      <w:pPr>
        <w:spacing w:after="0" w:line="276" w:lineRule="auto"/>
        <w:jc w:val="both"/>
        <w:rPr>
          <w:rFonts w:ascii="Verdana" w:eastAsia="Century Gothic" w:hAnsi="Verdana" w:cs="Century Gothic"/>
          <w:b/>
          <w:bCs/>
        </w:rPr>
      </w:pPr>
      <w:r w:rsidRPr="008E4F36">
        <w:rPr>
          <w:rFonts w:ascii="Verdana" w:eastAsia="Century Gothic" w:hAnsi="Verdana" w:cs="Century Gothic"/>
          <w:b/>
          <w:bCs/>
        </w:rPr>
        <w:t>2. Respuesta:</w:t>
      </w:r>
    </w:p>
    <w:p w14:paraId="15B7658F" w14:textId="77777777" w:rsidR="00571AE4" w:rsidRPr="008E4F36" w:rsidRDefault="00571AE4" w:rsidP="00571AE4">
      <w:pPr>
        <w:tabs>
          <w:tab w:val="left" w:pos="142"/>
          <w:tab w:val="left" w:pos="284"/>
        </w:tabs>
        <w:spacing w:after="0" w:line="276" w:lineRule="auto"/>
        <w:jc w:val="both"/>
        <w:rPr>
          <w:rFonts w:ascii="Verdana" w:eastAsia="Century Gothic" w:hAnsi="Verdana" w:cs="Century Gothic"/>
          <w:b/>
          <w:bCs/>
        </w:rPr>
      </w:pPr>
    </w:p>
    <w:tbl>
      <w:tblPr>
        <w:tblStyle w:val="Tablaconcuadrcula"/>
        <w:tblW w:w="0" w:type="auto"/>
        <w:tblLook w:val="04A0" w:firstRow="1" w:lastRow="0" w:firstColumn="1" w:lastColumn="0" w:noHBand="0" w:noVBand="1"/>
      </w:tblPr>
      <w:tblGrid>
        <w:gridCol w:w="8828"/>
      </w:tblGrid>
      <w:tr w:rsidR="00571AE4" w:rsidRPr="008E4F36" w14:paraId="5C042E26" w14:textId="77777777" w:rsidTr="007279FC">
        <w:tc>
          <w:tcPr>
            <w:tcW w:w="8828" w:type="dxa"/>
          </w:tcPr>
          <w:p w14:paraId="37BFEEE6" w14:textId="77777777" w:rsidR="00571AE4" w:rsidRPr="00C63436" w:rsidRDefault="00571AE4" w:rsidP="007279FC">
            <w:pPr>
              <w:tabs>
                <w:tab w:val="left" w:pos="426"/>
              </w:tabs>
              <w:spacing w:before="120" w:line="276" w:lineRule="auto"/>
              <w:jc w:val="both"/>
              <w:rPr>
                <w:rFonts w:ascii="Verdana" w:eastAsia="Times New Roman" w:hAnsi="Verdana" w:cs="Times New Roman"/>
                <w:lang w:eastAsia="es-CO"/>
              </w:rPr>
            </w:pPr>
            <w:r w:rsidRPr="00C63436">
              <w:rPr>
                <w:rFonts w:ascii="Verdana" w:hAnsi="Verdana"/>
              </w:rPr>
              <w:t>i.</w:t>
            </w:r>
            <w:r w:rsidRPr="00C63436">
              <w:rPr>
                <w:rFonts w:ascii="Verdana" w:eastAsia="Times New Roman" w:hAnsi="Verdana" w:cs="Times New Roman"/>
                <w:lang w:eastAsia="es-CO"/>
              </w:rPr>
              <w:t xml:space="preserve"> Para resolver el interrogante planteado, es necesario precisar, en primer lugar, el régimen jurídico aplicable al contrato de arrendamiento celebrado por una entidad estatal. Cuando una de las partes del contrato de arrendamiento es una entidad pública, el negocio jurídico adquiere el carácter de contrato estatal, aun cuando su regulación sustancial se encuentre principalmente en las normas civiles y comerciales que regulan esta figura, además de las disposiciones del Estatuto General de Contratación de la Administración Pública –EGCAP– que resulten aplicables. En particular, el contrato se encuentra regulado principalmente por los artículos 1973 y siguientes del Código Civil y, según el objeto del arrendamiento, por las disposiciones especiales del Código de Comercio y de la Ley 820 de 2003. Asimismo, tratándose de bienes de propiedad estatal, únicamente pueden ser objeto de arrendamiento los bienes fiscales, en tanto los bienes de uso público se encuentran fuera del comercio. Tampoco resultan procedentes las cláusulas de prórroga automática en los contratos de arrendamiento estatal.</w:t>
            </w:r>
          </w:p>
          <w:p w14:paraId="593CC020" w14:textId="77777777" w:rsidR="00571AE4" w:rsidRPr="00C63436" w:rsidRDefault="00571AE4" w:rsidP="007279FC">
            <w:pPr>
              <w:tabs>
                <w:tab w:val="left" w:pos="426"/>
              </w:tabs>
              <w:spacing w:before="120" w:line="276" w:lineRule="auto"/>
              <w:ind w:firstLine="425"/>
              <w:jc w:val="both"/>
              <w:rPr>
                <w:rFonts w:ascii="Verdana" w:eastAsia="Times New Roman" w:hAnsi="Verdana" w:cs="Times New Roman"/>
                <w:lang w:eastAsia="es-CO"/>
              </w:rPr>
            </w:pPr>
            <w:r w:rsidRPr="00C63436">
              <w:rPr>
                <w:rFonts w:ascii="Verdana" w:eastAsia="Times New Roman" w:hAnsi="Verdana" w:cs="Times New Roman"/>
                <w:lang w:eastAsia="es-CO"/>
              </w:rPr>
              <w:t>En segundo lugar, respecto de la publicidad, los contratos de arrendamiento celebrados por una entidad estatal, independientemente de que esta actúe como arrendadora o arrendataria, deben publicarse en el SECOP. Colombia Compra Eficiente ha precisado expresamente que los contratos de arrendamiento que tengan como parte a una entidad estatal deben publicarse en el SECOP, independientemente del régimen contractual aplicable y de que impliquen o no erogación de recursos públicos. Esta obligación se fundamenta en el principio de publicidad de la función administrativa del artículo 209 de la Constitución Política y en su desarrollo legal, entre otras disposiciones, mediante el artículo 3 de la Ley 1150 de 2007 y el artículo 11, literal g), de la Ley 1712 de 2014.</w:t>
            </w:r>
          </w:p>
          <w:p w14:paraId="0AA36BE9" w14:textId="77777777" w:rsidR="00571AE4" w:rsidRPr="00C63436" w:rsidRDefault="00571AE4" w:rsidP="007279FC">
            <w:pPr>
              <w:tabs>
                <w:tab w:val="left" w:pos="426"/>
              </w:tabs>
              <w:spacing w:before="120" w:line="276" w:lineRule="auto"/>
              <w:ind w:firstLine="425"/>
              <w:jc w:val="both"/>
              <w:rPr>
                <w:rFonts w:ascii="Verdana" w:eastAsia="Times New Roman" w:hAnsi="Verdana" w:cs="Times New Roman"/>
                <w:lang w:eastAsia="es-CO"/>
              </w:rPr>
            </w:pPr>
            <w:r w:rsidRPr="00C63436">
              <w:rPr>
                <w:rFonts w:ascii="Verdana" w:eastAsia="Times New Roman" w:hAnsi="Verdana" w:cs="Times New Roman"/>
                <w:lang w:eastAsia="es-CO"/>
              </w:rPr>
              <w:t>Para las entidades sometidas al EGCAP, el artículo 2.2.1.1.1.7.1 del Decreto 1082 de 2015 establece el deber de publicar en el SECOP</w:t>
            </w:r>
            <w:r>
              <w:rPr>
                <w:rFonts w:ascii="Verdana" w:eastAsia="Times New Roman" w:hAnsi="Verdana" w:cs="Times New Roman"/>
                <w:lang w:eastAsia="es-CO"/>
              </w:rPr>
              <w:t xml:space="preserve"> II</w:t>
            </w:r>
            <w:r w:rsidRPr="00C63436">
              <w:rPr>
                <w:rFonts w:ascii="Verdana" w:eastAsia="Times New Roman" w:hAnsi="Verdana" w:cs="Times New Roman"/>
                <w:lang w:eastAsia="es-CO"/>
              </w:rPr>
              <w:t xml:space="preserve"> los documentos y actuaciones del proceso de contratación y los demás documentos contractuales en los términos previstos en la reglamentación. En el caso de las entidades que cuentan con un régimen contractual exceptuado, el artículo 13 de la Ley 1150 de 2007, modificado por el artículo 53 de la Ley 2195 de 2022, establece el deber de publicar su actividad contractual en SECOP II o en la plataforma transaccional que haga sus veces. Este deber </w:t>
            </w:r>
            <w:r w:rsidRPr="00C63436">
              <w:rPr>
                <w:rFonts w:ascii="Verdana" w:eastAsia="Times New Roman" w:hAnsi="Verdana" w:cs="Times New Roman"/>
                <w:lang w:eastAsia="es-CO"/>
              </w:rPr>
              <w:lastRenderedPageBreak/>
              <w:t>comprende los documentos generados en las diferentes etapas de la actividad contractual.</w:t>
            </w:r>
          </w:p>
          <w:p w14:paraId="3A6F8CC8" w14:textId="77777777" w:rsidR="00571AE4" w:rsidRPr="00C63436" w:rsidRDefault="00571AE4" w:rsidP="007279FC">
            <w:pPr>
              <w:tabs>
                <w:tab w:val="left" w:pos="426"/>
              </w:tabs>
              <w:spacing w:before="120" w:line="276" w:lineRule="auto"/>
              <w:ind w:firstLine="425"/>
              <w:jc w:val="both"/>
              <w:rPr>
                <w:rFonts w:ascii="Verdana" w:eastAsia="Times New Roman" w:hAnsi="Verdana" w:cs="Times New Roman"/>
                <w:lang w:eastAsia="es-CO"/>
              </w:rPr>
            </w:pPr>
            <w:r w:rsidRPr="00C63436">
              <w:rPr>
                <w:rFonts w:ascii="Verdana" w:eastAsia="Times New Roman" w:hAnsi="Verdana" w:cs="Times New Roman"/>
                <w:lang w:eastAsia="es-CO"/>
              </w:rPr>
              <w:t>En consecuencia, la calidad de arrendadora de la entidad pública no la excluye del deber de publicidad: el contrato de arrendamiento debe publicarse en el SECOP como los demás contratos estatales. La plataforma y las reglas específicas de publicación dependerán del régimen contractual aplicable a la entidad.</w:t>
            </w:r>
          </w:p>
          <w:p w14:paraId="6478A4E7" w14:textId="77777777" w:rsidR="00571AE4" w:rsidRPr="00C63436" w:rsidRDefault="00571AE4" w:rsidP="007279FC">
            <w:pPr>
              <w:tabs>
                <w:tab w:val="left" w:pos="426"/>
              </w:tabs>
              <w:spacing w:before="120" w:line="276" w:lineRule="auto"/>
              <w:ind w:firstLine="425"/>
              <w:jc w:val="both"/>
              <w:rPr>
                <w:rFonts w:ascii="Verdana" w:eastAsia="Times New Roman" w:hAnsi="Verdana" w:cs="Times New Roman"/>
                <w:lang w:eastAsia="es-CO"/>
              </w:rPr>
            </w:pPr>
            <w:r w:rsidRPr="00C63436">
              <w:rPr>
                <w:rFonts w:ascii="Verdana" w:eastAsia="Times New Roman" w:hAnsi="Verdana" w:cs="Times New Roman"/>
                <w:lang w:eastAsia="es-CO"/>
              </w:rPr>
              <w:t>Finalmente, en relación con la liquidación, el artículo 60 de la Ley 80 de 1993, modificado por el artículo 217 del Decreto Ley 019 de 2012, dispone que los contratos de tracto sucesivo, aquellos cuya ejecución o cumplimiento se prolongue en el tiempo y los demás que lo requieran serán objeto de liquidación. A su vez, el artículo 11 de la Ley 1150 de 2007 regula las modalidades de liquidación bilateral, unilateral y judicial. Como el arrendamiento es, por regla general, un contrato de ejecución sucesiva, su procedencia de liquidación debe analizarse una vez terminada su ejecución, atendiendo a su naturaleza, las estipulaciones contractuales y las circunstancias concretas de su terminación. La liquidación tiene por finalidad realizar el balance final de las obligaciones, determinar saldos o prestaciones pendientes y, cuando corresponda, declarar a las partes a paz y salvo.</w:t>
            </w:r>
          </w:p>
          <w:p w14:paraId="035B205E" w14:textId="77777777" w:rsidR="00571AE4" w:rsidRDefault="00571AE4" w:rsidP="007279FC">
            <w:pPr>
              <w:tabs>
                <w:tab w:val="left" w:pos="426"/>
              </w:tabs>
              <w:spacing w:before="120" w:line="276" w:lineRule="auto"/>
              <w:jc w:val="both"/>
              <w:rPr>
                <w:rFonts w:ascii="Verdana" w:hAnsi="Verdana" w:cs="Arial"/>
                <w:color w:val="000000" w:themeColor="text1"/>
              </w:rPr>
            </w:pPr>
            <w:proofErr w:type="spellStart"/>
            <w:r w:rsidRPr="00E27579">
              <w:rPr>
                <w:rFonts w:ascii="Verdana" w:hAnsi="Verdana" w:cs="Arial"/>
                <w:color w:val="000000" w:themeColor="text1"/>
              </w:rPr>
              <w:t>ii</w:t>
            </w:r>
            <w:proofErr w:type="spellEnd"/>
            <w:r w:rsidRPr="00E27579">
              <w:rPr>
                <w:rFonts w:ascii="Verdana" w:hAnsi="Verdana" w:cs="Arial"/>
                <w:color w:val="000000" w:themeColor="text1"/>
              </w:rPr>
              <w:t>. Colombia Compra Eficiente ha expedido diversos conceptos e instrumentos</w:t>
            </w:r>
            <w:r w:rsidRPr="00C248A6">
              <w:rPr>
                <w:rFonts w:ascii="Verdana" w:hAnsi="Verdana" w:cs="Arial"/>
                <w:color w:val="000000" w:themeColor="text1"/>
              </w:rPr>
              <w:t xml:space="preserve"> relacionados con los contratos de arrendamiento celebrados por entidades estatales, tanto en calidad de arrendadoras como de arrendatarias. Entre los pronunciamientos directamente relacionados se encuentra el Concepto C-723 de 2024, que aborda el contrato de arrendamiento y, específicamente, su publicidad en SECOP II; asimismo, el Concepto C-826 de 2024 desarrolla aspectos relativos al régimen jurídico del contrato de arrendamiento y su liquidación contractual. </w:t>
            </w:r>
          </w:p>
          <w:p w14:paraId="59F55F95" w14:textId="77777777" w:rsidR="00571AE4" w:rsidRDefault="00571AE4" w:rsidP="007279FC">
            <w:pPr>
              <w:tabs>
                <w:tab w:val="left" w:pos="426"/>
              </w:tabs>
              <w:spacing w:before="120" w:line="276" w:lineRule="auto"/>
              <w:ind w:firstLine="425"/>
              <w:jc w:val="both"/>
              <w:rPr>
                <w:rFonts w:ascii="Verdana" w:hAnsi="Verdana" w:cs="Arial"/>
                <w:color w:val="000000" w:themeColor="text1"/>
              </w:rPr>
            </w:pPr>
            <w:r w:rsidRPr="00C248A6">
              <w:rPr>
                <w:rFonts w:ascii="Verdana" w:hAnsi="Verdana" w:cs="Arial"/>
                <w:color w:val="000000" w:themeColor="text1"/>
              </w:rPr>
              <w:t xml:space="preserve">También existen pronunciamientos posteriores, como los Conceptos C-1243 de 2025 y C-1258 de 2025, que desarrollan aspectos generales sobre la liquidación y el régimen jurídico del contrato de arrendamiento, y el Concepto C-010 de 2026, que aborda nuevamente aspectos relacionados con el contrato de arrendamiento y reconoce que las entidades públicas pueden intervenir en estos negocios tanto en calidad de arrendadoras como de arrendatarias. Adicionalmente, Colombia Compra Eficiente cuenta con la “Guía para la liquidación de los Procesos de Contratación” – G-LPC-01; sin embargo, debe </w:t>
            </w:r>
            <w:r w:rsidRPr="00C248A6">
              <w:rPr>
                <w:rFonts w:ascii="Verdana" w:hAnsi="Verdana" w:cs="Arial"/>
                <w:color w:val="000000" w:themeColor="text1"/>
              </w:rPr>
              <w:lastRenderedPageBreak/>
              <w:t xml:space="preserve">precisarse que esta guía no está dirigida específicamente a la liquidación de los contratos de arrendamiento, sino que contiene orientaciones generales aplicables a la liquidación de los contratos estatales, particularmente en cuanto a su procedencia, oportunidad, modalidades —bilateral, unilateral y judicial, procedimiento y efectos. </w:t>
            </w:r>
          </w:p>
          <w:p w14:paraId="3560C221" w14:textId="77777777" w:rsidR="00571AE4" w:rsidRPr="00AF0622" w:rsidRDefault="00571AE4" w:rsidP="007279FC">
            <w:pPr>
              <w:tabs>
                <w:tab w:val="left" w:pos="426"/>
              </w:tabs>
              <w:spacing w:before="120" w:line="276" w:lineRule="auto"/>
              <w:ind w:firstLine="425"/>
              <w:jc w:val="both"/>
              <w:rPr>
                <w:rFonts w:ascii="Verdana" w:hAnsi="Verdana" w:cs="Arial"/>
                <w:b/>
                <w:bCs/>
                <w:color w:val="000000" w:themeColor="text1"/>
              </w:rPr>
            </w:pPr>
            <w:r w:rsidRPr="00C248A6">
              <w:rPr>
                <w:rFonts w:ascii="Verdana" w:hAnsi="Verdana" w:cs="Arial"/>
                <w:color w:val="000000" w:themeColor="text1"/>
              </w:rPr>
              <w:t xml:space="preserve">Por tanto, sus lineamientos pueden servir como referente para analizar la liquidación de un contrato estatal de arrendamiento cuando esta resulte procedente, complementándose con las normas especiales aplicables al arrendamiento y con los conceptos específicos emitidos por Colombia Compra Eficiente sobre esta tipología contractual. En consecuencia, los principales referentes identificados sobre la materia son los conceptos antes señalados y la siguiente guía: Guía para la liquidación de los Procesos de Contratación – G-LPC-01: </w:t>
            </w:r>
            <w:hyperlink r:id="rId13" w:history="1">
              <w:r w:rsidRPr="00C248A6">
                <w:rPr>
                  <w:rStyle w:val="Hipervnculo"/>
                  <w:rFonts w:ascii="Verdana" w:hAnsi="Verdana" w:cs="Arial"/>
                </w:rPr>
                <w:t>2016-Guia-para-la-liquidacion-contratos-estatales-G-LPC-01.pdf</w:t>
              </w:r>
            </w:hyperlink>
            <w:r>
              <w:rPr>
                <w:rFonts w:ascii="Verdana" w:hAnsi="Verdana" w:cs="Arial"/>
                <w:b/>
                <w:bCs/>
                <w:color w:val="000000" w:themeColor="text1"/>
              </w:rPr>
              <w:t xml:space="preserve"> </w:t>
            </w:r>
          </w:p>
        </w:tc>
      </w:tr>
    </w:tbl>
    <w:p w14:paraId="276B508E" w14:textId="77777777" w:rsidR="00571AE4" w:rsidRDefault="00571AE4" w:rsidP="00571AE4">
      <w:pPr>
        <w:tabs>
          <w:tab w:val="left" w:pos="142"/>
          <w:tab w:val="left" w:pos="284"/>
        </w:tabs>
        <w:spacing w:after="0" w:line="276" w:lineRule="auto"/>
        <w:jc w:val="both"/>
        <w:rPr>
          <w:rFonts w:ascii="Verdana" w:eastAsia="Century Gothic" w:hAnsi="Verdana" w:cs="Century Gothic"/>
          <w:b/>
          <w:bCs/>
        </w:rPr>
      </w:pPr>
    </w:p>
    <w:p w14:paraId="5AFE2EE0" w14:textId="77777777" w:rsidR="00571AE4" w:rsidRPr="008E4F36" w:rsidRDefault="00571AE4" w:rsidP="00571AE4">
      <w:pPr>
        <w:tabs>
          <w:tab w:val="left" w:pos="142"/>
          <w:tab w:val="left" w:pos="284"/>
        </w:tabs>
        <w:spacing w:after="0" w:line="276" w:lineRule="auto"/>
        <w:jc w:val="both"/>
        <w:rPr>
          <w:rFonts w:ascii="Verdana" w:eastAsia="Century Gothic" w:hAnsi="Verdana" w:cs="Century Gothic"/>
          <w:b/>
          <w:bCs/>
        </w:rPr>
      </w:pPr>
      <w:r w:rsidRPr="008E4F36">
        <w:rPr>
          <w:rFonts w:ascii="Verdana" w:eastAsia="Century Gothic" w:hAnsi="Verdana" w:cs="Century Gothic"/>
          <w:b/>
          <w:bCs/>
        </w:rPr>
        <w:t>3. Razones de la respuesta:</w:t>
      </w:r>
    </w:p>
    <w:p w14:paraId="645938AA" w14:textId="77777777" w:rsidR="00571AE4" w:rsidRDefault="00571AE4" w:rsidP="00571AE4">
      <w:pPr>
        <w:pStyle w:val="Prrafodelista"/>
        <w:tabs>
          <w:tab w:val="left" w:pos="142"/>
          <w:tab w:val="left" w:pos="284"/>
        </w:tabs>
        <w:spacing w:after="0" w:line="276" w:lineRule="auto"/>
        <w:ind w:left="0"/>
        <w:contextualSpacing w:val="0"/>
        <w:jc w:val="both"/>
        <w:rPr>
          <w:rFonts w:ascii="Verdana" w:eastAsia="Calibri" w:hAnsi="Verdana" w:cs="Arial"/>
        </w:rPr>
      </w:pPr>
    </w:p>
    <w:p w14:paraId="4DDFC42C" w14:textId="77777777" w:rsidR="00571AE4" w:rsidRDefault="00571AE4" w:rsidP="00571AE4">
      <w:pPr>
        <w:pStyle w:val="Prrafodelista"/>
        <w:tabs>
          <w:tab w:val="left" w:pos="142"/>
          <w:tab w:val="left" w:pos="284"/>
        </w:tabs>
        <w:spacing w:after="0" w:line="276" w:lineRule="auto"/>
        <w:ind w:left="0"/>
        <w:contextualSpacing w:val="0"/>
        <w:jc w:val="both"/>
        <w:rPr>
          <w:rFonts w:ascii="Verdana" w:eastAsia="Calibri" w:hAnsi="Verdana" w:cs="Arial"/>
        </w:rPr>
      </w:pPr>
      <w:r w:rsidRPr="008E4F36">
        <w:rPr>
          <w:rFonts w:ascii="Verdana" w:eastAsia="Calibri" w:hAnsi="Verdana" w:cs="Arial"/>
        </w:rPr>
        <w:t xml:space="preserve">Lo anterior se sustenta en las siguientes consideraciones: </w:t>
      </w:r>
    </w:p>
    <w:p w14:paraId="1C75B3D6" w14:textId="77777777" w:rsidR="00571AE4" w:rsidRDefault="00571AE4" w:rsidP="00571AE4">
      <w:pPr>
        <w:pStyle w:val="Prrafodelista"/>
        <w:tabs>
          <w:tab w:val="left" w:pos="142"/>
          <w:tab w:val="left" w:pos="284"/>
        </w:tabs>
        <w:spacing w:after="0" w:line="276" w:lineRule="auto"/>
        <w:ind w:left="0"/>
        <w:contextualSpacing w:val="0"/>
        <w:jc w:val="both"/>
        <w:rPr>
          <w:rFonts w:ascii="Verdana" w:eastAsia="Calibri" w:hAnsi="Verdana" w:cs="Arial"/>
        </w:rPr>
      </w:pPr>
    </w:p>
    <w:p w14:paraId="6A80E923" w14:textId="77777777" w:rsidR="00571AE4" w:rsidRPr="00C955E8" w:rsidRDefault="00571AE4" w:rsidP="00571AE4">
      <w:pPr>
        <w:spacing w:after="120" w:line="276" w:lineRule="auto"/>
        <w:jc w:val="both"/>
        <w:rPr>
          <w:rFonts w:ascii="Verdana" w:hAnsi="Verdana" w:cs="Arial"/>
        </w:rPr>
      </w:pPr>
      <w:r>
        <w:rPr>
          <w:rFonts w:ascii="Verdana" w:hAnsi="Verdana" w:cs="Arial"/>
          <w:bCs/>
          <w:lang w:val="es-MX"/>
        </w:rPr>
        <w:t xml:space="preserve">i. </w:t>
      </w:r>
      <w:r w:rsidRPr="004D43FE">
        <w:rPr>
          <w:rFonts w:ascii="Verdana" w:hAnsi="Verdana" w:cs="Arial"/>
          <w:bCs/>
          <w:lang w:val="es-MX"/>
        </w:rPr>
        <w:t>E</w:t>
      </w:r>
      <w:r w:rsidRPr="004D43FE">
        <w:rPr>
          <w:rFonts w:ascii="Verdana" w:hAnsi="Verdana" w:cs="Arial"/>
          <w:bCs/>
        </w:rPr>
        <w:t xml:space="preserve">l contrato estatal se identifica por el criterio orgánico o subjetivo, de manera que –como explica el Consejo de Estado– el “[…] </w:t>
      </w:r>
      <w:r w:rsidRPr="004D43FE">
        <w:rPr>
          <w:rFonts w:ascii="Verdana" w:eastAsia="Arial" w:hAnsi="Verdana" w:cs="Arial"/>
          <w:color w:val="000000"/>
          <w:lang w:val="es-ES"/>
        </w:rPr>
        <w:t>elemento esencial para calificar de estatal un contrato, es que haya sido celebrado por una entidad estatal, es decir, una entidad pública con capacidad legal para celebrarlo […]”</w:t>
      </w:r>
      <w:r w:rsidRPr="004D43FE">
        <w:rPr>
          <w:rFonts w:ascii="Verdana" w:eastAsia="Arial" w:hAnsi="Verdana" w:cs="Arial"/>
          <w:color w:val="000000"/>
          <w:vertAlign w:val="superscript"/>
          <w:lang w:val="es-ES"/>
        </w:rPr>
        <w:footnoteReference w:id="1"/>
      </w:r>
      <w:r w:rsidRPr="004D43FE">
        <w:rPr>
          <w:rFonts w:ascii="Verdana" w:eastAsia="Arial" w:hAnsi="Verdana" w:cs="Arial"/>
          <w:color w:val="000000"/>
          <w:lang w:val="es-ES"/>
        </w:rPr>
        <w:t>.</w:t>
      </w:r>
      <w:r w:rsidRPr="004D43FE">
        <w:rPr>
          <w:rFonts w:ascii="Verdana" w:hAnsi="Verdana" w:cs="Arial"/>
          <w:bCs/>
          <w:lang w:val="es-ES"/>
        </w:rPr>
        <w:t xml:space="preserve"> </w:t>
      </w:r>
      <w:r w:rsidRPr="004D43FE">
        <w:rPr>
          <w:rFonts w:ascii="Verdana" w:eastAsia="Arial" w:hAnsi="Verdana" w:cs="Arial"/>
          <w:color w:val="000000"/>
          <w:lang w:val="es-ES"/>
        </w:rPr>
        <w:t>Por tanto, es el acto jurídico creador de obligaciones a cuya celebración concurra una de entidades estatal, independientemente de que se trate de contratos previstos o tipificados en el derecho privado, en disposiciones especiales o que resulten del ejercicio de la autonomía de la voluntad, como sucede con los que se clasifican como atípicos e innominados</w:t>
      </w:r>
      <w:r w:rsidRPr="004D43FE">
        <w:rPr>
          <w:rFonts w:ascii="Verdana" w:eastAsia="Arial" w:hAnsi="Verdana" w:cs="Arial"/>
          <w:color w:val="000000"/>
          <w:vertAlign w:val="superscript"/>
          <w:lang w:val="es-ES"/>
        </w:rPr>
        <w:footnoteReference w:id="2"/>
      </w:r>
      <w:r w:rsidRPr="004D43FE">
        <w:rPr>
          <w:rFonts w:ascii="Verdana" w:eastAsia="Arial" w:hAnsi="Verdana" w:cs="Arial"/>
          <w:color w:val="000000"/>
          <w:lang w:val="es-ES"/>
        </w:rPr>
        <w:t xml:space="preserve">. Conforme con lo anterior, el contrato estatal es un acuerdo de voluntades efectuado por las entidades públicas que genera, </w:t>
      </w:r>
      <w:r w:rsidRPr="004D43FE">
        <w:rPr>
          <w:rFonts w:ascii="Verdana" w:eastAsia="Arial" w:hAnsi="Verdana" w:cs="Arial"/>
          <w:color w:val="000000"/>
          <w:lang w:val="es-ES"/>
        </w:rPr>
        <w:lastRenderedPageBreak/>
        <w:t xml:space="preserve">extingue o modifica obligaciones para quienes lo suscriben, cuya celebración no se encuentra limitada, de forma exclusiva, a las entidades referidas en la Ley 80 de 1993, sino que, puede ser suscrito por entidades públicas con regímenes especiales de contratación, caso en el cual se tratará de un contrato estatal de </w:t>
      </w:r>
      <w:r w:rsidRPr="00C955E8">
        <w:rPr>
          <w:rFonts w:ascii="Verdana" w:hAnsi="Verdana" w:cs="Arial"/>
        </w:rPr>
        <w:t>régimen exceptuado</w:t>
      </w:r>
      <w:r w:rsidRPr="00C955E8">
        <w:rPr>
          <w:rFonts w:ascii="Verdana" w:hAnsi="Verdana" w:cs="Arial"/>
          <w:vertAlign w:val="superscript"/>
        </w:rPr>
        <w:footnoteReference w:id="3"/>
      </w:r>
      <w:r w:rsidRPr="00C955E8">
        <w:rPr>
          <w:rFonts w:ascii="Verdana" w:hAnsi="Verdana" w:cs="Arial"/>
        </w:rPr>
        <w:t xml:space="preserve">. </w:t>
      </w:r>
    </w:p>
    <w:p w14:paraId="6E7CE018" w14:textId="77777777" w:rsidR="00571AE4" w:rsidRPr="004D43FE" w:rsidRDefault="00571AE4" w:rsidP="00571AE4">
      <w:pPr>
        <w:spacing w:after="120" w:line="276" w:lineRule="auto"/>
        <w:jc w:val="both"/>
        <w:rPr>
          <w:rFonts w:ascii="Verdana" w:hAnsi="Verdana" w:cs="Arial"/>
        </w:rPr>
      </w:pPr>
      <w:proofErr w:type="spellStart"/>
      <w:r w:rsidRPr="00C955E8">
        <w:rPr>
          <w:rFonts w:ascii="Verdana" w:hAnsi="Verdana" w:cs="Arial"/>
        </w:rPr>
        <w:t>ii</w:t>
      </w:r>
      <w:proofErr w:type="spellEnd"/>
      <w:r w:rsidRPr="00C955E8">
        <w:rPr>
          <w:rFonts w:ascii="Verdana" w:hAnsi="Verdana" w:cs="Arial"/>
        </w:rPr>
        <w:t>. Tratándose de las entidades</w:t>
      </w:r>
      <w:r w:rsidRPr="004D43FE">
        <w:rPr>
          <w:rFonts w:ascii="Verdana" w:eastAsia="Calibri" w:hAnsi="Verdana" w:cs="Arial"/>
          <w:lang w:val="es-ES"/>
        </w:rPr>
        <w:t xml:space="preserve"> sometidas a la Ley 80 de 1993, el Estatuto General de Contratación de la Administración Pública define los contratos de obra, consultoría, prestación de servicios, concesión, encargos fiduciarios y fiducia pública. Sin embargo, se trata de un listado enunciativo, pues la Ley 80 de 1993 se integra con las tipologías contractuales previstas en el derecho privado. Por ello, </w:t>
      </w:r>
      <w:r w:rsidRPr="004D43FE">
        <w:rPr>
          <w:rFonts w:ascii="Verdana" w:hAnsi="Verdana" w:cs="Arial"/>
        </w:rPr>
        <w:t xml:space="preserve">el inciso primero del artículo 13 dispone que “Los contratos que celebren las entidades a que se refiere el artículo 2o. del presente estatuto se regirán por las disposiciones comerciales y civiles pertinentes, salvo en las materias particularmente reguladas en esta ley”. </w:t>
      </w:r>
    </w:p>
    <w:p w14:paraId="47ADE6A3" w14:textId="77777777" w:rsidR="00571AE4" w:rsidRPr="004D43FE" w:rsidRDefault="00571AE4" w:rsidP="00571AE4">
      <w:pPr>
        <w:spacing w:after="0" w:line="276" w:lineRule="auto"/>
        <w:ind w:firstLine="709"/>
        <w:jc w:val="both"/>
        <w:rPr>
          <w:rFonts w:ascii="Verdana" w:hAnsi="Verdana" w:cs="Arial"/>
        </w:rPr>
      </w:pPr>
      <w:r w:rsidRPr="004D43FE">
        <w:rPr>
          <w:rFonts w:ascii="Verdana" w:hAnsi="Verdana" w:cs="Arial"/>
        </w:rPr>
        <w:t>Dicha idea también se reitera en el EGCAP considerando que “Son contratos estatales todos los actos jurídicos generadores de obligaciones que celebren las entidades a que se refiere el presente estatuto, previstos en el derecho privado o en disposiciones especiales, o derivados del ejercicio de la autonomía de la voluntad” –art. 32, inciso primero–. Asimismo, dispone que “Las estipulaciones de los contratos serán las que de acuerdo con las normas civiles, comerciales y las previstas en esta ley, correspondan a su esencia y naturaleza” –art. 40, inciso primero–.</w:t>
      </w:r>
    </w:p>
    <w:p w14:paraId="7575E709" w14:textId="77777777" w:rsidR="00571AE4" w:rsidRPr="004D43FE" w:rsidRDefault="00571AE4" w:rsidP="00571AE4">
      <w:pPr>
        <w:spacing w:after="0" w:line="276" w:lineRule="auto"/>
        <w:ind w:firstLine="709"/>
        <w:jc w:val="both"/>
        <w:rPr>
          <w:rFonts w:ascii="Verdana" w:hAnsi="Verdana" w:cs="Arial"/>
        </w:rPr>
      </w:pPr>
    </w:p>
    <w:p w14:paraId="472D2CB8" w14:textId="77777777" w:rsidR="00571AE4" w:rsidRPr="004D43FE" w:rsidRDefault="00571AE4" w:rsidP="00571AE4">
      <w:pPr>
        <w:spacing w:after="0" w:line="276" w:lineRule="auto"/>
        <w:jc w:val="both"/>
        <w:rPr>
          <w:rFonts w:ascii="Verdana" w:hAnsi="Verdana" w:cs="Arial"/>
        </w:rPr>
      </w:pPr>
      <w:proofErr w:type="spellStart"/>
      <w:r w:rsidRPr="00202DC1">
        <w:rPr>
          <w:rFonts w:ascii="Verdana" w:hAnsi="Verdana" w:cs="Arial"/>
        </w:rPr>
        <w:t>iii</w:t>
      </w:r>
      <w:proofErr w:type="spellEnd"/>
      <w:r w:rsidRPr="00202DC1">
        <w:rPr>
          <w:rFonts w:ascii="Verdana" w:hAnsi="Verdana" w:cs="Arial"/>
        </w:rPr>
        <w:t>.</w:t>
      </w:r>
      <w:r w:rsidRPr="004D43FE">
        <w:rPr>
          <w:rFonts w:ascii="Verdana" w:hAnsi="Verdana" w:cs="Arial"/>
        </w:rPr>
        <w:t xml:space="preserve"> De esta manera, los contratos de las entidades sometidas al Estatuto General de Contratación se rigen generalmente por el derecho privado y excepcionalmente por el derecho público, pues las normas civiles y comerciales son el derecho común de los contratos estatales</w:t>
      </w:r>
      <w:r w:rsidRPr="004D43FE">
        <w:rPr>
          <w:rFonts w:ascii="Verdana" w:hAnsi="Verdana" w:cs="Arial"/>
          <w:vertAlign w:val="superscript"/>
        </w:rPr>
        <w:footnoteReference w:id="4"/>
      </w:r>
      <w:r w:rsidRPr="004D43FE">
        <w:rPr>
          <w:rFonts w:ascii="Verdana" w:hAnsi="Verdana" w:cs="Arial"/>
        </w:rPr>
        <w:t>. Para la doctrina, la mixtura del régimen contractual:</w:t>
      </w:r>
    </w:p>
    <w:p w14:paraId="2B1970C7" w14:textId="77777777" w:rsidR="00571AE4" w:rsidRPr="004D43FE" w:rsidRDefault="00571AE4" w:rsidP="00571AE4">
      <w:pPr>
        <w:spacing w:after="0" w:line="276" w:lineRule="auto"/>
        <w:ind w:firstLine="709"/>
        <w:jc w:val="both"/>
        <w:rPr>
          <w:rFonts w:ascii="Verdana" w:hAnsi="Verdana" w:cs="Arial"/>
        </w:rPr>
      </w:pPr>
    </w:p>
    <w:p w14:paraId="0A084548" w14:textId="77777777" w:rsidR="00571AE4" w:rsidRPr="004D43FE" w:rsidRDefault="00571AE4" w:rsidP="00571AE4">
      <w:pPr>
        <w:spacing w:after="0" w:line="240" w:lineRule="auto"/>
        <w:ind w:left="709" w:right="709"/>
        <w:jc w:val="both"/>
        <w:rPr>
          <w:rFonts w:ascii="Verdana" w:hAnsi="Verdana" w:cs="Arial"/>
          <w:sz w:val="20"/>
          <w:szCs w:val="20"/>
        </w:rPr>
      </w:pPr>
      <w:r w:rsidRPr="004D43FE">
        <w:rPr>
          <w:rFonts w:ascii="Verdana" w:hAnsi="Verdana" w:cs="Arial"/>
          <w:sz w:val="20"/>
          <w:szCs w:val="20"/>
        </w:rPr>
        <w:t xml:space="preserve">“[…] no hace otra cosa que aprovechar ciertos principios rectores de la contratación general que aunque tengan su consagración en códigos de </w:t>
      </w:r>
      <w:r w:rsidRPr="004D43FE">
        <w:rPr>
          <w:rFonts w:ascii="Verdana" w:hAnsi="Verdana" w:cs="Arial"/>
          <w:sz w:val="20"/>
          <w:szCs w:val="20"/>
        </w:rPr>
        <w:lastRenderedPageBreak/>
        <w:t>derecho privado como el civil o el comercial, no son propios y exclusivos de este derecho. Baste pensar en los requisitos de consentimiento válido, objeto y causa lícitos, capacidad, elementos esenciales según la naturaleza de cada contrato, responsabilidad, naturaleza de las obligaciones emanadas de los mismos, etc. etc. Extremos éstos que de derecho privado no tienen sino su presentación formal o el nombre y que la tradición, desde su origen romano, se acostumbró a calificarlos así y a no preocuparse por su cuestionamiento o definición.</w:t>
      </w:r>
    </w:p>
    <w:p w14:paraId="7A569D77" w14:textId="77777777" w:rsidR="00571AE4" w:rsidRPr="004D43FE" w:rsidRDefault="00571AE4" w:rsidP="00571AE4">
      <w:pPr>
        <w:spacing w:after="0" w:line="240" w:lineRule="auto"/>
        <w:ind w:right="709"/>
        <w:jc w:val="both"/>
        <w:rPr>
          <w:rFonts w:ascii="Verdana" w:hAnsi="Verdana" w:cs="Arial"/>
          <w:sz w:val="12"/>
          <w:szCs w:val="12"/>
        </w:rPr>
      </w:pPr>
      <w:r w:rsidRPr="004D43FE">
        <w:rPr>
          <w:rFonts w:ascii="Verdana" w:hAnsi="Verdana" w:cs="Arial"/>
          <w:sz w:val="21"/>
          <w:szCs w:val="21"/>
        </w:rPr>
        <w:tab/>
      </w:r>
    </w:p>
    <w:p w14:paraId="67E3D4EA" w14:textId="77777777" w:rsidR="00571AE4" w:rsidRPr="004D43FE" w:rsidRDefault="00571AE4" w:rsidP="00571AE4">
      <w:pPr>
        <w:spacing w:after="0" w:line="240" w:lineRule="auto"/>
        <w:ind w:left="709" w:right="709"/>
        <w:jc w:val="both"/>
        <w:rPr>
          <w:rFonts w:ascii="Verdana" w:hAnsi="Verdana" w:cs="Arial"/>
          <w:sz w:val="20"/>
          <w:szCs w:val="20"/>
        </w:rPr>
      </w:pPr>
      <w:r w:rsidRPr="004D43FE">
        <w:rPr>
          <w:rFonts w:ascii="Verdana" w:hAnsi="Verdana" w:cs="Arial"/>
          <w:sz w:val="20"/>
          <w:szCs w:val="20"/>
        </w:rPr>
        <w:t>En otras palabras, extremos como los indicados no son ni de derecho público ni de derecho privado, sino, simplemente, de derecho propio, aplicables a toda relación contractual, con prescindencia de la naturaleza de los sujetos involucrados en la misma”</w:t>
      </w:r>
      <w:r w:rsidRPr="004D43FE">
        <w:rPr>
          <w:rFonts w:ascii="Verdana" w:hAnsi="Verdana" w:cs="Arial"/>
          <w:sz w:val="20"/>
          <w:szCs w:val="20"/>
          <w:vertAlign w:val="superscript"/>
        </w:rPr>
        <w:footnoteReference w:id="5"/>
      </w:r>
      <w:r w:rsidRPr="004D43FE">
        <w:rPr>
          <w:rFonts w:ascii="Verdana" w:hAnsi="Verdana" w:cs="Arial"/>
          <w:sz w:val="20"/>
          <w:szCs w:val="20"/>
        </w:rPr>
        <w:t xml:space="preserve">. </w:t>
      </w:r>
    </w:p>
    <w:p w14:paraId="2A6C0A6C" w14:textId="77777777" w:rsidR="00571AE4" w:rsidRPr="004D43FE" w:rsidRDefault="00571AE4" w:rsidP="00571AE4">
      <w:pPr>
        <w:spacing w:after="0" w:line="276" w:lineRule="auto"/>
        <w:ind w:left="709" w:right="709"/>
        <w:jc w:val="both"/>
        <w:rPr>
          <w:rFonts w:ascii="Verdana" w:hAnsi="Verdana" w:cs="Arial"/>
        </w:rPr>
      </w:pPr>
    </w:p>
    <w:p w14:paraId="0DD89CEA" w14:textId="77777777" w:rsidR="00571AE4" w:rsidRPr="00202DC1" w:rsidRDefault="00571AE4" w:rsidP="00571AE4">
      <w:pPr>
        <w:spacing w:after="0" w:line="276" w:lineRule="auto"/>
        <w:jc w:val="both"/>
        <w:rPr>
          <w:rFonts w:ascii="Verdana" w:hAnsi="Verdana" w:cs="Arial"/>
        </w:rPr>
      </w:pPr>
      <w:r w:rsidRPr="004D43FE">
        <w:rPr>
          <w:rFonts w:ascii="Verdana" w:hAnsi="Verdana" w:cs="Arial"/>
        </w:rPr>
        <w:tab/>
        <w:t>Ello no implica una privatización absoluta del régimen contractual de las entidades públicas, pues la Ley 80 de 1993 –entre otros aspectos– regula especialmente la capacidad jurídica –inhabilidades, incompatibilidades, consorcios y uniones temporales y registro único de proponentes–, las reglas de selección objetiva –procedimientos de selección–, así como algunos aspectos de ejecución contractual –manejo del riesgo, cláusulas exorbitantes y tipologías contractuales–. Por ello, con excepción de las materias expresamente reguladas en el Estatuto de Contratación, es posible la aplicación de las normas de derecho privado. Esta precisión es importante, porque el arrendamiento se encuentra tipificado en el Código Civil y allí se encuentra gran parte de su régimen jurídico, sin perjuicio de normas especiales sobre la materia.</w:t>
      </w:r>
    </w:p>
    <w:p w14:paraId="4A088204" w14:textId="77777777" w:rsidR="00571AE4" w:rsidRDefault="00571AE4" w:rsidP="00571AE4">
      <w:pPr>
        <w:spacing w:after="0" w:line="276" w:lineRule="auto"/>
        <w:jc w:val="both"/>
        <w:rPr>
          <w:rFonts w:ascii="Verdana" w:eastAsia="Calibri" w:hAnsi="Verdana" w:cs="Arial"/>
          <w:color w:val="000000"/>
          <w:shd w:val="clear" w:color="auto" w:fill="FFFFFF"/>
          <w:lang w:val="es-ES"/>
        </w:rPr>
      </w:pPr>
      <w:bookmarkStart w:id="4" w:name="_Hlk204856061"/>
      <w:bookmarkStart w:id="5" w:name="_Hlk78820161"/>
      <w:bookmarkStart w:id="6" w:name="_Hlk204854194"/>
    </w:p>
    <w:p w14:paraId="4370B875" w14:textId="77777777" w:rsidR="00571AE4" w:rsidRPr="008F1472" w:rsidRDefault="00571AE4" w:rsidP="00571AE4">
      <w:pPr>
        <w:spacing w:after="120" w:line="276" w:lineRule="auto"/>
        <w:jc w:val="both"/>
        <w:rPr>
          <w:rFonts w:ascii="Verdana" w:eastAsia="Calibri" w:hAnsi="Verdana" w:cs="Arial"/>
          <w:color w:val="000000" w:themeColor="text1"/>
        </w:rPr>
      </w:pPr>
      <w:proofErr w:type="spellStart"/>
      <w:r w:rsidRPr="004E7836">
        <w:rPr>
          <w:rFonts w:ascii="Verdana" w:eastAsia="Calibri" w:hAnsi="Verdana" w:cs="Arial"/>
          <w:color w:val="000000" w:themeColor="text1"/>
        </w:rPr>
        <w:t>iV</w:t>
      </w:r>
      <w:proofErr w:type="spellEnd"/>
      <w:r w:rsidRPr="004E7836">
        <w:rPr>
          <w:rFonts w:ascii="Verdana" w:eastAsia="Calibri" w:hAnsi="Verdana" w:cs="Arial"/>
          <w:color w:val="000000" w:themeColor="text1"/>
        </w:rPr>
        <w:t xml:space="preserve">. </w:t>
      </w:r>
      <w:r w:rsidRPr="008F1472">
        <w:rPr>
          <w:rFonts w:ascii="Verdana" w:eastAsia="Calibri" w:hAnsi="Verdana" w:cs="Arial"/>
          <w:color w:val="000000" w:themeColor="text1"/>
        </w:rPr>
        <w:t>El artículo 1973 del Código Civil define el contrato de arrendamiento como “[…] un contrato en que las dos partes se obligan recíprocamente, la una a conceder el goce de una cosa, o a ejecutar una obra o prestar un servicio, y la otra a pagar por este goce, obra o servicio un precio determinado”. Se trata pues del acuerdo de voluntades en virtud del cual una de las partes –llamada arrendador o arrendadora– se obliga a concederle a otra –llamada arrendatario o arrendataria– el uso y goce de un bien, a cambio de una renta o canon, diferenciándose del contrato de compraventa en que no opera una transferencia del dominio del bien cuyo uso y goce se entrega.</w:t>
      </w:r>
    </w:p>
    <w:p w14:paraId="566134A6" w14:textId="77777777" w:rsidR="00571AE4" w:rsidRPr="008F1472" w:rsidRDefault="00571AE4" w:rsidP="00571AE4">
      <w:pPr>
        <w:spacing w:after="120" w:line="276" w:lineRule="auto"/>
        <w:ind w:firstLine="708"/>
        <w:jc w:val="both"/>
        <w:rPr>
          <w:rFonts w:ascii="Verdana" w:eastAsia="Calibri" w:hAnsi="Verdana" w:cs="Arial"/>
          <w:color w:val="000000" w:themeColor="text1"/>
        </w:rPr>
      </w:pPr>
      <w:r w:rsidRPr="008F1472">
        <w:rPr>
          <w:rFonts w:ascii="Verdana" w:eastAsia="Calibri" w:hAnsi="Verdana" w:cs="Arial"/>
          <w:color w:val="000000" w:themeColor="text1"/>
        </w:rPr>
        <w:t xml:space="preserve">En cuanto a sus características, la doctrina ha indicado que el arrendamiento es un contrato: i) bilateral, pues ambas partes se obligan </w:t>
      </w:r>
      <w:r w:rsidRPr="008F1472">
        <w:rPr>
          <w:rFonts w:ascii="Verdana" w:eastAsia="Calibri" w:hAnsi="Verdana" w:cs="Arial"/>
          <w:color w:val="000000" w:themeColor="text1"/>
        </w:rPr>
        <w:lastRenderedPageBreak/>
        <w:t xml:space="preserve">recíprocamente; </w:t>
      </w:r>
      <w:proofErr w:type="spellStart"/>
      <w:r w:rsidRPr="008F1472">
        <w:rPr>
          <w:rFonts w:ascii="Verdana" w:eastAsia="Calibri" w:hAnsi="Verdana" w:cs="Arial"/>
          <w:color w:val="000000" w:themeColor="text1"/>
        </w:rPr>
        <w:t>ii</w:t>
      </w:r>
      <w:proofErr w:type="spellEnd"/>
      <w:r w:rsidRPr="008F1472">
        <w:rPr>
          <w:rFonts w:ascii="Verdana" w:eastAsia="Calibri" w:hAnsi="Verdana" w:cs="Arial"/>
          <w:color w:val="000000" w:themeColor="text1"/>
        </w:rPr>
        <w:t xml:space="preserve">) consensual, dado que se perfecciona con el consentimiento ; </w:t>
      </w:r>
      <w:proofErr w:type="spellStart"/>
      <w:r w:rsidRPr="008F1472">
        <w:rPr>
          <w:rFonts w:ascii="Verdana" w:eastAsia="Calibri" w:hAnsi="Verdana" w:cs="Arial"/>
          <w:color w:val="000000" w:themeColor="text1"/>
        </w:rPr>
        <w:t>iii</w:t>
      </w:r>
      <w:proofErr w:type="spellEnd"/>
      <w:r w:rsidRPr="008F1472">
        <w:rPr>
          <w:rFonts w:ascii="Verdana" w:eastAsia="Calibri" w:hAnsi="Verdana" w:cs="Arial"/>
          <w:color w:val="000000" w:themeColor="text1"/>
        </w:rPr>
        <w:t xml:space="preserve">) oneroso, ya que ambas partes obtienen utilidades –el arrendatario, el uso y goce del bien, y el arrendador la renta o canon–; </w:t>
      </w:r>
      <w:proofErr w:type="spellStart"/>
      <w:r w:rsidRPr="008F1472">
        <w:rPr>
          <w:rFonts w:ascii="Verdana" w:eastAsia="Calibri" w:hAnsi="Verdana" w:cs="Arial"/>
          <w:color w:val="000000" w:themeColor="text1"/>
        </w:rPr>
        <w:t>iv</w:t>
      </w:r>
      <w:proofErr w:type="spellEnd"/>
      <w:r w:rsidRPr="008F1472">
        <w:rPr>
          <w:rFonts w:ascii="Verdana" w:eastAsia="Calibri" w:hAnsi="Verdana" w:cs="Arial"/>
          <w:color w:val="000000" w:themeColor="text1"/>
        </w:rPr>
        <w:t>) de ejecución sucesiva, en la medida en que se ejecuta en forma periódica; v) principal, porque existe en forma autónoma; y v) nominado, porque está tipificado y desarrollado en la ley.</w:t>
      </w:r>
    </w:p>
    <w:p w14:paraId="6A2D9D78" w14:textId="77777777" w:rsidR="00571AE4" w:rsidRPr="008F1472" w:rsidRDefault="00571AE4" w:rsidP="00571AE4">
      <w:pPr>
        <w:spacing w:after="120"/>
        <w:ind w:firstLine="360"/>
        <w:jc w:val="both"/>
        <w:rPr>
          <w:rFonts w:ascii="Verdana" w:eastAsia="Calibri" w:hAnsi="Verdana" w:cs="Arial"/>
          <w:color w:val="000000" w:themeColor="text1"/>
        </w:rPr>
      </w:pPr>
      <w:r>
        <w:rPr>
          <w:rFonts w:ascii="Verdana" w:eastAsia="Calibri" w:hAnsi="Verdana" w:cs="Arial"/>
          <w:color w:val="000000" w:themeColor="text1"/>
        </w:rPr>
        <w:tab/>
      </w:r>
      <w:r>
        <w:rPr>
          <w:rFonts w:ascii="Verdana" w:eastAsia="Calibri" w:hAnsi="Verdana" w:cs="Arial"/>
          <w:bCs/>
          <w:color w:val="000000" w:themeColor="text1"/>
        </w:rPr>
        <w:t>S</w:t>
      </w:r>
      <w:r w:rsidRPr="008F1472">
        <w:rPr>
          <w:rFonts w:ascii="Verdana" w:eastAsia="Calibri" w:hAnsi="Verdana" w:cs="Arial"/>
          <w:color w:val="000000" w:themeColor="text1"/>
        </w:rPr>
        <w:t xml:space="preserve">u regulación </w:t>
      </w:r>
      <w:r>
        <w:rPr>
          <w:rFonts w:ascii="Verdana" w:eastAsia="Calibri" w:hAnsi="Verdana" w:cs="Arial"/>
          <w:bCs/>
          <w:color w:val="000000" w:themeColor="text1"/>
        </w:rPr>
        <w:t xml:space="preserve">está desarrollada, </w:t>
      </w:r>
      <w:r w:rsidRPr="008F1472">
        <w:rPr>
          <w:rFonts w:ascii="Verdana" w:eastAsia="Calibri" w:hAnsi="Verdana" w:cs="Arial"/>
          <w:color w:val="000000" w:themeColor="text1"/>
        </w:rPr>
        <w:t>principalmente,</w:t>
      </w:r>
      <w:r w:rsidRPr="00B72346">
        <w:rPr>
          <w:rFonts w:ascii="Verdana" w:eastAsia="Calibri" w:hAnsi="Verdana" w:cs="Arial"/>
          <w:bCs/>
          <w:color w:val="000000" w:themeColor="text1"/>
        </w:rPr>
        <w:t xml:space="preserve"> </w:t>
      </w:r>
      <w:r>
        <w:rPr>
          <w:rFonts w:ascii="Verdana" w:eastAsia="Calibri" w:hAnsi="Verdana" w:cs="Arial"/>
          <w:bCs/>
          <w:color w:val="000000" w:themeColor="text1"/>
        </w:rPr>
        <w:t>en</w:t>
      </w:r>
      <w:r w:rsidRPr="005F01A2">
        <w:rPr>
          <w:rFonts w:ascii="Verdana" w:eastAsia="Calibri" w:hAnsi="Verdana" w:cs="Arial"/>
          <w:bCs/>
          <w:color w:val="000000" w:themeColor="text1"/>
        </w:rPr>
        <w:t xml:space="preserve"> </w:t>
      </w:r>
      <w:r w:rsidRPr="008F1472">
        <w:rPr>
          <w:rFonts w:ascii="Verdana" w:eastAsia="Calibri" w:hAnsi="Verdana" w:cs="Arial"/>
          <w:color w:val="000000" w:themeColor="text1"/>
        </w:rPr>
        <w:t>los artículos 1973 al 2078 del Código Civil. Pero también existen normas especiales sobre el contrato de arrendamiento en los artículos 518 al 523 del Código de Comercio –sobre arrendamiento de inmuebles para los establecimientos de comercio–, 1678 al 1687 y 1890 al 1899 de la misma codificación –sobre arrendamiento de naves–; y en la Ley 820 de 2003, por la cual se expide el régimen de arrendamiento de vivienda urbana.</w:t>
      </w:r>
    </w:p>
    <w:p w14:paraId="72FEE446" w14:textId="77777777" w:rsidR="00571AE4" w:rsidRPr="008F1472" w:rsidRDefault="00571AE4" w:rsidP="00571AE4">
      <w:pPr>
        <w:spacing w:after="120" w:line="276" w:lineRule="auto"/>
        <w:ind w:firstLine="709"/>
        <w:jc w:val="both"/>
        <w:rPr>
          <w:rFonts w:ascii="Verdana" w:eastAsia="Calibri" w:hAnsi="Verdana" w:cs="Arial"/>
          <w:color w:val="000000" w:themeColor="text1"/>
        </w:rPr>
      </w:pPr>
      <w:r w:rsidRPr="008F1472">
        <w:rPr>
          <w:rFonts w:ascii="Verdana" w:eastAsia="Calibri" w:hAnsi="Verdana" w:cs="Arial"/>
          <w:color w:val="000000" w:themeColor="text1"/>
        </w:rPr>
        <w:t>En igual sentido, por su importancia en la contratación estatal, debe precisarse que la modalidad de selección aplicable a la celebración de los contratos de arrendamiento depende del régimen aplicable a la entidad estatal. Si se rige por el derecho privado, es decir, si está exceptuada del Estatuto General de Contratación de la Administración Pública, debe aplicar en principio las normas civiles y comerciales mencionadas, en las cuales se permite la celebración directa del contrato de arrendamiento, pero si el reglamento o manual interno de contratación de la entidad dispone que debe efectuar algún procedimiento especial, este prevalece. En contraste, si la entidad estatal se rige por el Estatuto General de Contratación de la Administración Pública, bien sea que obre en calidad de arrendadora o arrendataria, debe acudir a la modalidad de selección de contratación directa si arrendara un inmueble, pues el artículo 2º, numeral 4° literal i) de la Ley 1150 de 2007 establece que una de las causales de este procedimiento es “i) El arrendamiento o adquisición de inmuebles”. Si lo que arrendará es un bien mueble, lo deberá hacer por licitación pública, selección abreviada o mínima cuantía, dependiendo del valor de la contratación. En ambos supuestos la entidad estatal también debe aplicar las normas civiles y comerciales que regulan la sustantividad del contrato de arrendamiento, porque a estas se remiten los artículos 13, 32 y 40 de la Ley 80 de 1993.</w:t>
      </w:r>
    </w:p>
    <w:p w14:paraId="37884FE9" w14:textId="77777777" w:rsidR="00571AE4" w:rsidRPr="008F1472" w:rsidRDefault="00571AE4" w:rsidP="00571AE4">
      <w:pPr>
        <w:ind w:firstLine="708"/>
        <w:jc w:val="both"/>
        <w:rPr>
          <w:rFonts w:ascii="Verdana" w:eastAsia="Calibri" w:hAnsi="Verdana"/>
          <w:color w:val="000000" w:themeColor="text1"/>
        </w:rPr>
      </w:pPr>
      <w:r w:rsidRPr="008F1472">
        <w:rPr>
          <w:rFonts w:ascii="Verdana" w:eastAsia="Calibri" w:hAnsi="Verdana"/>
          <w:color w:val="000000" w:themeColor="text1"/>
        </w:rPr>
        <w:t xml:space="preserve">No cabe duda, pues, de que el contrato de arrendamiento, al ser un contrato oneroso, genera para el arrendador una renta periódica y, en tal sentido, como se explicará más adelante, hace que se encuentre obligado a cotizar al Sistema de Seguridad Social Integral, si el canon es superior a un salario mínimo mensual legal vigente. En efecto, el artículo 2000 del Código Civil </w:t>
      </w:r>
      <w:r w:rsidRPr="008F1472">
        <w:rPr>
          <w:rFonts w:ascii="Verdana" w:eastAsia="Calibri" w:hAnsi="Verdana"/>
          <w:color w:val="000000" w:themeColor="text1"/>
        </w:rPr>
        <w:lastRenderedPageBreak/>
        <w:t>establece que “El arrendatario es obligado al pago del precio o renta”. Es decir que la renta es un elemento de la esencia del contrato de arrendamiento. Si el “arrendador” no la percibiera no sería un arrendamiento, sino un comodato.</w:t>
      </w:r>
    </w:p>
    <w:p w14:paraId="036E6880" w14:textId="77777777" w:rsidR="00571AE4" w:rsidRPr="008F1472" w:rsidRDefault="00571AE4" w:rsidP="00571AE4">
      <w:pPr>
        <w:ind w:firstLine="708"/>
        <w:jc w:val="both"/>
        <w:rPr>
          <w:rFonts w:ascii="Verdana" w:eastAsia="Calibri" w:hAnsi="Verdana"/>
          <w:color w:val="000000" w:themeColor="text1"/>
        </w:rPr>
      </w:pPr>
      <w:r w:rsidRPr="008F1472">
        <w:rPr>
          <w:rFonts w:ascii="Verdana" w:eastAsia="Calibri" w:hAnsi="Verdana"/>
          <w:color w:val="000000" w:themeColor="text1"/>
        </w:rPr>
        <w:t xml:space="preserve">Por otro lado, La Ley 80 de 1993, en el texto original del artículo 41, estableció que los requisitos para perfeccionar el contrato eran: i) llegar a un acuerdo sobre el objeto y la contraprestación y </w:t>
      </w:r>
      <w:proofErr w:type="spellStart"/>
      <w:r w:rsidRPr="008F1472">
        <w:rPr>
          <w:rFonts w:ascii="Verdana" w:eastAsia="Calibri" w:hAnsi="Verdana"/>
          <w:color w:val="000000" w:themeColor="text1"/>
        </w:rPr>
        <w:t>ii</w:t>
      </w:r>
      <w:proofErr w:type="spellEnd"/>
      <w:r w:rsidRPr="008F1472">
        <w:rPr>
          <w:rFonts w:ascii="Verdana" w:eastAsia="Calibri" w:hAnsi="Verdana"/>
          <w:color w:val="000000" w:themeColor="text1"/>
        </w:rPr>
        <w:t xml:space="preserve">) que conste por escrito. Por su parte, para iniciar la ejecución se requería: i) la constitución y aprobación de la garantía y </w:t>
      </w:r>
      <w:proofErr w:type="spellStart"/>
      <w:r w:rsidRPr="008F1472">
        <w:rPr>
          <w:rFonts w:ascii="Verdana" w:eastAsia="Calibri" w:hAnsi="Verdana"/>
          <w:color w:val="000000" w:themeColor="text1"/>
        </w:rPr>
        <w:t>ii</w:t>
      </w:r>
      <w:proofErr w:type="spellEnd"/>
      <w:r w:rsidRPr="008F1472">
        <w:rPr>
          <w:rFonts w:ascii="Verdana" w:eastAsia="Calibri" w:hAnsi="Verdana"/>
          <w:color w:val="000000" w:themeColor="text1"/>
        </w:rPr>
        <w:t>) la existencia del registro presupuestal.</w:t>
      </w:r>
    </w:p>
    <w:p w14:paraId="3DABBB96" w14:textId="77777777" w:rsidR="00571AE4" w:rsidRPr="008F1472" w:rsidRDefault="00571AE4" w:rsidP="00571AE4">
      <w:pPr>
        <w:ind w:firstLine="708"/>
        <w:jc w:val="both"/>
        <w:rPr>
          <w:rFonts w:ascii="Verdana" w:hAnsi="Verdana"/>
          <w:color w:val="000000" w:themeColor="text1"/>
          <w:lang w:eastAsia="es-ES_tradnl"/>
        </w:rPr>
      </w:pPr>
      <w:r w:rsidRPr="008F1472">
        <w:rPr>
          <w:rFonts w:ascii="Verdana" w:hAnsi="Verdana"/>
          <w:color w:val="000000" w:themeColor="text1"/>
          <w:lang w:eastAsia="es-ES_tradnl"/>
        </w:rPr>
        <w:t xml:space="preserve">Ahora bien, tratándose del arrendamiento de bienes </w:t>
      </w:r>
      <w:r w:rsidRPr="008F1472">
        <w:rPr>
          <w:rFonts w:ascii="Verdana" w:hAnsi="Verdana"/>
          <w:i/>
          <w:color w:val="000000" w:themeColor="text1"/>
          <w:lang w:eastAsia="es-ES_tradnl"/>
        </w:rPr>
        <w:t>inmuebles</w:t>
      </w:r>
      <w:r w:rsidRPr="008F1472">
        <w:rPr>
          <w:rFonts w:ascii="Verdana" w:hAnsi="Verdana"/>
          <w:color w:val="000000" w:themeColor="text1"/>
          <w:lang w:eastAsia="es-ES_tradnl"/>
        </w:rPr>
        <w:t xml:space="preserve"> el artículo 2º, numeral 4° literal i), de la Ley 1150 de 2007 dispone la modalidad de selección de contratación directa, pues, establece que una de las causales de este procedimiento es “i) El arrendamiento o adquisición de inmuebles”. Adicionalmente, el artículo 2.2.1.2.1.4.11 del Decreto 1082 de 2015 dispone que las entidades estatales pueden alquilar o arrendar inmuebles mediante contratación directa para lo cual deben seguir las siguientes reglas: </w:t>
      </w:r>
    </w:p>
    <w:p w14:paraId="00482F1B" w14:textId="77777777" w:rsidR="00571AE4" w:rsidRPr="008F1472" w:rsidRDefault="00571AE4" w:rsidP="00571AE4">
      <w:pPr>
        <w:spacing w:before="120" w:after="120" w:line="240" w:lineRule="auto"/>
        <w:ind w:left="709" w:right="709"/>
        <w:jc w:val="both"/>
        <w:rPr>
          <w:rFonts w:ascii="Verdana" w:eastAsia="Calibri" w:hAnsi="Verdana" w:cs="Arial"/>
          <w:sz w:val="20"/>
          <w:szCs w:val="20"/>
          <w:lang w:val="es-MX"/>
        </w:rPr>
      </w:pPr>
      <w:r w:rsidRPr="005F01A2">
        <w:rPr>
          <w:rFonts w:ascii="Verdana" w:hAnsi="Verdana"/>
          <w:bCs/>
          <w:color w:val="000000" w:themeColor="text1"/>
          <w:sz w:val="20"/>
          <w:szCs w:val="20"/>
          <w:lang w:val="es-ES_tradnl" w:eastAsia="es-ES_tradnl"/>
        </w:rPr>
        <w:t>“</w:t>
      </w:r>
      <w:r w:rsidRPr="008F1472">
        <w:rPr>
          <w:rFonts w:ascii="Verdana" w:eastAsia="Calibri" w:hAnsi="Verdana" w:cs="Arial"/>
          <w:sz w:val="20"/>
          <w:szCs w:val="20"/>
          <w:lang w:val="es-MX"/>
        </w:rPr>
        <w:t>Verificar las condiciones del mercado inmobiliario en la ciudad en la que la Entidad Estatal requiere el inmueble.</w:t>
      </w:r>
    </w:p>
    <w:p w14:paraId="6C43C877" w14:textId="77777777" w:rsidR="00571AE4" w:rsidRPr="008F1472" w:rsidRDefault="00571AE4" w:rsidP="00571AE4">
      <w:pPr>
        <w:spacing w:before="120" w:after="120" w:line="240" w:lineRule="auto"/>
        <w:ind w:left="709" w:right="709"/>
        <w:jc w:val="both"/>
        <w:rPr>
          <w:rFonts w:ascii="Verdana" w:eastAsia="Calibri" w:hAnsi="Verdana" w:cs="Arial"/>
          <w:sz w:val="20"/>
          <w:szCs w:val="20"/>
          <w:lang w:val="es-MX"/>
        </w:rPr>
      </w:pPr>
      <w:r w:rsidRPr="008F1472">
        <w:rPr>
          <w:rFonts w:ascii="Verdana" w:eastAsia="Calibri" w:hAnsi="Verdana" w:cs="Arial"/>
          <w:sz w:val="20"/>
          <w:szCs w:val="20"/>
          <w:lang w:val="es-MX"/>
        </w:rPr>
        <w:t>Analizar y comparar las condiciones de los bienes inmuebles que satisfacen las necesidades identificadas y las opciones de arrendamiento, análisis que deberá tener en cuenta los principios y objetivos del sistema de compra y contratación pública</w:t>
      </w:r>
      <w:r w:rsidRPr="00A82E3D">
        <w:rPr>
          <w:rFonts w:ascii="Verdana" w:eastAsia="Calibri" w:hAnsi="Verdana" w:cs="Arial"/>
          <w:sz w:val="20"/>
          <w:szCs w:val="20"/>
          <w:lang w:val="es-MX"/>
        </w:rPr>
        <w:t>”</w:t>
      </w:r>
      <w:r w:rsidRPr="005F01A2">
        <w:rPr>
          <w:rFonts w:ascii="Verdana" w:eastAsia="Calibri" w:hAnsi="Verdana" w:cs="Arial"/>
          <w:sz w:val="20"/>
          <w:szCs w:val="20"/>
          <w:lang w:val="es-MX"/>
        </w:rPr>
        <w:t>.</w:t>
      </w:r>
    </w:p>
    <w:p w14:paraId="7F6E7D22" w14:textId="77777777" w:rsidR="00571AE4" w:rsidRPr="008F1472" w:rsidRDefault="00571AE4" w:rsidP="00571AE4">
      <w:pPr>
        <w:spacing w:line="276" w:lineRule="auto"/>
        <w:ind w:firstLine="708"/>
        <w:jc w:val="both"/>
        <w:rPr>
          <w:rFonts w:ascii="Verdana" w:hAnsi="Verdana"/>
          <w:color w:val="000000" w:themeColor="text1"/>
          <w:lang w:eastAsia="es-ES"/>
        </w:rPr>
      </w:pPr>
      <w:r w:rsidRPr="008F1472">
        <w:rPr>
          <w:rFonts w:ascii="Verdana" w:hAnsi="Verdana"/>
          <w:color w:val="000000" w:themeColor="text1"/>
          <w:lang w:eastAsia="es-ES"/>
        </w:rPr>
        <w:t>En contraste, si se trata de arrendamiento de bienes muebles, la modalidad aplicable será la licitación pública, la selección abreviada o la mínima cuantía, según corresponda dependiendo del valor de la contratación. Lo anterior en la medida que no se encuentran dentro de las causales de contratación directa que expresamente señala el numeral 4 del artículo 2 de la Ley 1150 de 2007. Por otra parte, si el arrendamiento recae sobre bienes públicos debe tenerse en cuenta que la Sección Tercera del Consejo de Estado señaló que los bienes que pueden ser susceptibles de arrendamiento son únicamente los bienes fiscales, no los bienes de uso público.</w:t>
      </w:r>
    </w:p>
    <w:p w14:paraId="4CC36BF9" w14:textId="77777777" w:rsidR="00571AE4" w:rsidRPr="008F1472" w:rsidRDefault="00571AE4" w:rsidP="00571AE4">
      <w:pPr>
        <w:spacing w:line="276" w:lineRule="auto"/>
        <w:ind w:firstLine="708"/>
        <w:jc w:val="both"/>
        <w:rPr>
          <w:rFonts w:ascii="Verdana" w:hAnsi="Verdana"/>
          <w:color w:val="000000" w:themeColor="text1"/>
          <w:lang w:eastAsia="es-ES"/>
        </w:rPr>
      </w:pPr>
      <w:r w:rsidRPr="008F1472">
        <w:rPr>
          <w:rFonts w:ascii="Verdana" w:hAnsi="Verdana"/>
          <w:color w:val="000000" w:themeColor="text1"/>
          <w:lang w:eastAsia="es-ES"/>
        </w:rPr>
        <w:t xml:space="preserve">En virtud de este contrato, las partes se obligan, una a conceder el goce del inmueble, y otra a pagar un precio por el mismo. Estos contratos tienen como elementos característicos, conforme a la ley y a la jurisprudencia del Consejo de Estado, los siguientes: i) entrega de un bien que efectúa el arrendador al arrendatario para el goce o uso exclusivo de este y </w:t>
      </w:r>
      <w:proofErr w:type="spellStart"/>
      <w:r w:rsidRPr="008F1472">
        <w:rPr>
          <w:rFonts w:ascii="Verdana" w:hAnsi="Verdana"/>
          <w:color w:val="000000" w:themeColor="text1"/>
          <w:lang w:eastAsia="es-ES"/>
        </w:rPr>
        <w:t>ii</w:t>
      </w:r>
      <w:proofErr w:type="spellEnd"/>
      <w:r w:rsidRPr="008F1472">
        <w:rPr>
          <w:rFonts w:ascii="Verdana" w:hAnsi="Verdana"/>
          <w:color w:val="000000" w:themeColor="text1"/>
          <w:lang w:eastAsia="es-ES"/>
        </w:rPr>
        <w:t xml:space="preserve">) el pago de un precio por el uso o goce del bien arrendado. </w:t>
      </w:r>
    </w:p>
    <w:p w14:paraId="00121B95" w14:textId="77777777" w:rsidR="00571AE4" w:rsidRPr="005F01A2" w:rsidRDefault="00571AE4" w:rsidP="00571AE4">
      <w:pPr>
        <w:spacing w:line="276" w:lineRule="auto"/>
        <w:ind w:firstLine="360"/>
        <w:jc w:val="both"/>
        <w:rPr>
          <w:rFonts w:ascii="Verdana" w:hAnsi="Verdana"/>
          <w:color w:val="000000" w:themeColor="text1"/>
          <w:lang w:eastAsia="es-ES"/>
        </w:rPr>
      </w:pPr>
      <w:r w:rsidRPr="005F01A2">
        <w:rPr>
          <w:rFonts w:ascii="Verdana" w:hAnsi="Verdana"/>
          <w:color w:val="000000" w:themeColor="text1"/>
          <w:lang w:eastAsia="es-ES"/>
        </w:rPr>
        <w:lastRenderedPageBreak/>
        <w:t>En estos eventos, la entidad debe elaborar los estudios previos y documentos previos y, además, el artículo 2.2.1.2.1.4.11. del Decreto 1082 de 2015 les impone el deber de verificar las condiciones del mercado inmobiliario en la ciudad donde la entidad estatal requiere el documento, y además analizar y comparar las condiciones de los bienes inmuebles que satisfacen sus necesidades; y señala que deberá tener en cuenta los principios y objetivos del sistema de compra y contratación pública.</w:t>
      </w:r>
    </w:p>
    <w:p w14:paraId="51B8DABA" w14:textId="77777777" w:rsidR="00571AE4" w:rsidRPr="008F1472" w:rsidRDefault="00571AE4" w:rsidP="00571AE4">
      <w:pPr>
        <w:spacing w:line="276" w:lineRule="auto"/>
        <w:ind w:firstLine="708"/>
        <w:jc w:val="both"/>
        <w:rPr>
          <w:rFonts w:ascii="Verdana" w:eastAsia="Calibri" w:hAnsi="Verdana" w:cs="Arial"/>
          <w:color w:val="000000" w:themeColor="text1"/>
        </w:rPr>
      </w:pPr>
      <w:r w:rsidRPr="008F1472">
        <w:rPr>
          <w:rFonts w:ascii="Verdana" w:eastAsia="Calibri" w:hAnsi="Verdana" w:cs="Arial"/>
          <w:color w:val="000000" w:themeColor="text1"/>
        </w:rPr>
        <w:t>Además, otro aspecto importante del contrato de arrendamiento consiste en la imposibilidad de pactar cláusulas de prórroga automática, puesto que el Consejo de Estado explica que  en el Estatuto General de la Contratación de la Administración Pública no existe norma alguna que autorice pactar prórrogas automáticas que favorezcan a un determinado contratista, resulta violatorio de los principios generales de libre concurrencia, de igualdad, de imparcialidad, de prevalencia del interés general y de transparencia que rigen todas las actuaciones contractuales de las entidades estatales”.</w:t>
      </w:r>
    </w:p>
    <w:p w14:paraId="3BABE2DF" w14:textId="77777777" w:rsidR="00571AE4" w:rsidRPr="00643BC4" w:rsidRDefault="00571AE4" w:rsidP="00571AE4">
      <w:pPr>
        <w:spacing w:line="276" w:lineRule="auto"/>
        <w:ind w:firstLine="708"/>
        <w:jc w:val="both"/>
        <w:rPr>
          <w:rFonts w:ascii="Verdana" w:eastAsia="Calibri" w:hAnsi="Verdana" w:cs="Arial"/>
          <w:color w:val="000000" w:themeColor="text1"/>
        </w:rPr>
      </w:pPr>
      <w:r w:rsidRPr="008F1472">
        <w:rPr>
          <w:rFonts w:ascii="Verdana" w:eastAsia="Calibri" w:hAnsi="Verdana" w:cs="Arial"/>
          <w:color w:val="000000" w:themeColor="text1"/>
        </w:rPr>
        <w:t>En síntesis, en los casos en donde una de las partes del contrato de arrendamiento sea una entidad pública, este contrato adquiere el carácter de estatal y su contenido se enmarcará en las normas civiles y comerciales que lo regulan, además de las establecidas en el Estatuto General de Contratación de la Administración Pública.  En este tipo de contratos no podrán pactarse cláusulas de prórroga automática y únicamente serán susceptibles de darse en arrendamiento los bienes fiscales, puesto que las entidades pueden disponer de ellos, lo que no ocurre con los bienes de uso público, pues se encuentran fuera del comercio.</w:t>
      </w:r>
    </w:p>
    <w:p w14:paraId="4C2B4932" w14:textId="77777777" w:rsidR="00571AE4" w:rsidRPr="007746EC" w:rsidRDefault="00571AE4" w:rsidP="00571AE4">
      <w:pPr>
        <w:spacing w:after="120" w:line="276" w:lineRule="auto"/>
        <w:ind w:firstLine="709"/>
        <w:jc w:val="both"/>
        <w:rPr>
          <w:rFonts w:ascii="Verdana" w:eastAsia="Times New Roman" w:hAnsi="Verdana" w:cs="Arial"/>
          <w:color w:val="000000" w:themeColor="text1"/>
          <w:lang w:eastAsia="es-ES"/>
        </w:rPr>
      </w:pPr>
      <w:r w:rsidRPr="007746EC">
        <w:rPr>
          <w:rFonts w:ascii="Verdana" w:eastAsia="Times New Roman" w:hAnsi="Verdana" w:cs="Arial"/>
          <w:color w:val="000000" w:themeColor="text1"/>
          <w:lang w:eastAsia="es-ES"/>
        </w:rPr>
        <w:t xml:space="preserve">V. Ahora bien, con el fin de resolver su interrogante al deber de liquidar el contrato de arrendamiento suscrito con una entidad pública es menester explicar que la liquidación es el momento en el cual, una vez concluido el contrato estatal, las partes cruzan cuentas respecto de sus obligaciones. El objetivo de la liquidación es determinar si las partes pueden declararse a paz y salvo o si existen obligaciones por cumplir, y con ocasión de aquella se puede acordar la forma en que deben ser cumplidas. Por esta razón, la liquidación solo procede con posterioridad a la terminación de la ejecución del contrato. </w:t>
      </w:r>
    </w:p>
    <w:p w14:paraId="33A3E83E" w14:textId="77777777" w:rsidR="00571AE4" w:rsidRPr="007746EC" w:rsidRDefault="00571AE4" w:rsidP="00571AE4">
      <w:pPr>
        <w:spacing w:after="120" w:line="276" w:lineRule="auto"/>
        <w:ind w:firstLine="709"/>
        <w:jc w:val="both"/>
        <w:rPr>
          <w:rFonts w:ascii="Verdana" w:eastAsia="Times New Roman" w:hAnsi="Verdana" w:cs="Arial"/>
          <w:color w:val="000000" w:themeColor="text1"/>
          <w:lang w:eastAsia="es-ES"/>
        </w:rPr>
      </w:pPr>
      <w:r w:rsidRPr="007746EC">
        <w:rPr>
          <w:rFonts w:ascii="Verdana" w:eastAsia="Times New Roman" w:hAnsi="Verdana" w:cs="Arial"/>
          <w:color w:val="000000" w:themeColor="text1"/>
          <w:lang w:eastAsia="es-ES"/>
        </w:rPr>
        <w:t xml:space="preserve">Las disposiciones legales que norman la etapa de liquidación de los contratos estatales son el artículo 60 de la Ley 80 de 1993, modificado por el </w:t>
      </w:r>
      <w:r w:rsidRPr="007746EC">
        <w:rPr>
          <w:rFonts w:ascii="Verdana" w:eastAsia="Times New Roman" w:hAnsi="Verdana" w:cs="Arial"/>
          <w:color w:val="000000" w:themeColor="text1"/>
          <w:lang w:eastAsia="es-ES"/>
        </w:rPr>
        <w:lastRenderedPageBreak/>
        <w:t xml:space="preserve">artículo 217 del Decreto 019 de 2012, y el artículo 11 de la Ley 1150 de 2007. El primero de estos artículos se refiere al alcance sustantivo de la liquidación, mientras que el segundo contiene reglas procedimentales para su manejo. </w:t>
      </w:r>
    </w:p>
    <w:p w14:paraId="32116DA3" w14:textId="77777777" w:rsidR="00571AE4" w:rsidRPr="007746EC" w:rsidRDefault="00571AE4" w:rsidP="00571AE4">
      <w:pPr>
        <w:spacing w:after="120" w:line="276" w:lineRule="auto"/>
        <w:ind w:firstLine="709"/>
        <w:jc w:val="both"/>
        <w:rPr>
          <w:rFonts w:ascii="Verdana" w:eastAsia="Times New Roman" w:hAnsi="Verdana" w:cs="Arial"/>
          <w:color w:val="000000" w:themeColor="text1"/>
          <w:lang w:eastAsia="es-ES"/>
        </w:rPr>
      </w:pPr>
      <w:r w:rsidRPr="007746EC">
        <w:rPr>
          <w:rFonts w:ascii="Verdana" w:eastAsia="Times New Roman" w:hAnsi="Verdana" w:cs="Arial"/>
          <w:color w:val="000000" w:themeColor="text1"/>
          <w:lang w:eastAsia="es-ES"/>
        </w:rPr>
        <w:t xml:space="preserve">De acuerdo con el artículo 60 de la Ley 80 de 1993, los contratos de tracto sucesivo, aquellos cuyo cumplimiento o ejecución se prolongue en el tiempo y los demás que lo requieran “serán objeto de liquidación”. El mismo artículo prescribe que no será obligatoria la liquidación en los contratos de prestación de servicios profesionales y de apoyo a la gestión. Esta norma al referirse a la liquidación del contrato establece que esta es la etapa del Proceso de Contratación, en la que las partes pueden acordar los ajustes, revisiones y reconocimientos a que haya lugar. A estos efectos, dicha norma establece que en el acta de liquidación debe dejarse constancia de todos los acuerdos, conciliaciones y transacciones a que llegaren las partes para poner fin a las divergencias presentadas y poder declararse a paz y salvo.   </w:t>
      </w:r>
    </w:p>
    <w:p w14:paraId="61A7DB42" w14:textId="77777777" w:rsidR="00571AE4" w:rsidRPr="007746EC" w:rsidRDefault="00571AE4" w:rsidP="00571AE4">
      <w:pPr>
        <w:spacing w:after="120" w:line="276" w:lineRule="auto"/>
        <w:ind w:firstLine="709"/>
        <w:jc w:val="both"/>
        <w:rPr>
          <w:rFonts w:ascii="Verdana" w:eastAsia="Times New Roman" w:hAnsi="Verdana" w:cs="Arial"/>
          <w:color w:val="000000" w:themeColor="text1"/>
          <w:lang w:eastAsia="es-ES"/>
        </w:rPr>
      </w:pPr>
      <w:r w:rsidRPr="007746EC">
        <w:rPr>
          <w:rFonts w:ascii="Verdana" w:eastAsia="Times New Roman" w:hAnsi="Verdana" w:cs="Arial"/>
          <w:color w:val="000000" w:themeColor="text1"/>
          <w:lang w:eastAsia="es-ES"/>
        </w:rPr>
        <w:t>Adicionalmente, el artículo 60 de la Ley 80 de 1993 establece que la liquidación no resulta obligatoria en los contratos de prestación de servicios profesionales y de apoyo a la gestión. En ese orden, frente a este tipo de contratos las Entidades Estatales deben definir la oportunidad y forma de recibir el objeto contratado y, en cada caso, si un contrato requiere o no de liquidación, con arreglo a criterios tales como la naturaleza, objeto y plazo del contrato</w:t>
      </w:r>
      <w:r w:rsidRPr="007746EC">
        <w:rPr>
          <w:rFonts w:ascii="Verdana" w:eastAsia="Times New Roman" w:hAnsi="Verdana" w:cs="Arial"/>
          <w:color w:val="000000" w:themeColor="text1"/>
          <w:lang w:eastAsia="es-ES"/>
        </w:rPr>
        <w:footnoteReference w:id="6"/>
      </w:r>
      <w:r w:rsidRPr="007746EC">
        <w:rPr>
          <w:rFonts w:ascii="Verdana" w:eastAsia="Times New Roman" w:hAnsi="Verdana" w:cs="Arial"/>
          <w:color w:val="000000" w:themeColor="text1"/>
          <w:lang w:eastAsia="es-ES"/>
        </w:rPr>
        <w:t xml:space="preserve">, así como la probabilidad de que puedan surgir diferencias durante la ejecución del contrato.  </w:t>
      </w:r>
    </w:p>
    <w:p w14:paraId="7F935308" w14:textId="77777777" w:rsidR="00571AE4" w:rsidRPr="007746EC" w:rsidRDefault="00571AE4" w:rsidP="00571AE4">
      <w:pPr>
        <w:spacing w:after="120" w:line="276" w:lineRule="auto"/>
        <w:ind w:firstLine="709"/>
        <w:jc w:val="both"/>
        <w:rPr>
          <w:rFonts w:ascii="Verdana" w:eastAsia="Times New Roman" w:hAnsi="Verdana" w:cs="Arial"/>
          <w:color w:val="000000" w:themeColor="text1"/>
          <w:lang w:eastAsia="es-ES"/>
        </w:rPr>
      </w:pPr>
      <w:r w:rsidRPr="007746EC">
        <w:rPr>
          <w:rFonts w:ascii="Verdana" w:eastAsia="Times New Roman" w:hAnsi="Verdana" w:cs="Arial"/>
          <w:color w:val="000000" w:themeColor="text1"/>
          <w:lang w:eastAsia="es-ES"/>
        </w:rPr>
        <w:t xml:space="preserve">De acuerdo con el artículo 11 de la Ley 1150 de 2007, existen tres tipos de liquidación: i) bilateral, </w:t>
      </w:r>
      <w:proofErr w:type="spellStart"/>
      <w:r w:rsidRPr="007746EC">
        <w:rPr>
          <w:rFonts w:ascii="Verdana" w:eastAsia="Times New Roman" w:hAnsi="Verdana" w:cs="Arial"/>
          <w:color w:val="000000" w:themeColor="text1"/>
          <w:lang w:eastAsia="es-ES"/>
        </w:rPr>
        <w:t>ii</w:t>
      </w:r>
      <w:proofErr w:type="spellEnd"/>
      <w:r w:rsidRPr="007746EC">
        <w:rPr>
          <w:rFonts w:ascii="Verdana" w:eastAsia="Times New Roman" w:hAnsi="Verdana" w:cs="Arial"/>
          <w:color w:val="000000" w:themeColor="text1"/>
          <w:lang w:eastAsia="es-ES"/>
        </w:rPr>
        <w:t xml:space="preserve">) unilateral y </w:t>
      </w:r>
      <w:proofErr w:type="spellStart"/>
      <w:r w:rsidRPr="007746EC">
        <w:rPr>
          <w:rFonts w:ascii="Verdana" w:eastAsia="Times New Roman" w:hAnsi="Verdana" w:cs="Arial"/>
          <w:color w:val="000000" w:themeColor="text1"/>
          <w:lang w:eastAsia="es-ES"/>
        </w:rPr>
        <w:t>iii</w:t>
      </w:r>
      <w:proofErr w:type="spellEnd"/>
      <w:r w:rsidRPr="007746EC">
        <w:rPr>
          <w:rFonts w:ascii="Verdana" w:eastAsia="Times New Roman" w:hAnsi="Verdana" w:cs="Arial"/>
          <w:color w:val="000000" w:themeColor="text1"/>
          <w:lang w:eastAsia="es-ES"/>
        </w:rPr>
        <w:t xml:space="preserve">) judicial. En términos generales, la primera, que puede ser total o parcial, debe hacerse en el término que estipulen las partes o, en su defecto, dentro del término supletivo de cuatro meses. La segunda se debe practicar dentro de los dos meses siguientes al vencimiento del término que acuerden las partes, o ante el silencio de estas, luego de los cuatro meses para realizar la liquidación bilateral, sin que esta se efectúe. Finalmente, la tercera la realiza el juez contencioso administrativo o un tribunal arbitral dentro de un proceso judicial de controversias contractuales y puede darse con ocasión de una demanda del interesado solicitando dicha liquidación y para ello existe un plazo máximo de 2 años contados a partir de los dos meses </w:t>
      </w:r>
      <w:r w:rsidRPr="007746EC">
        <w:rPr>
          <w:rFonts w:ascii="Verdana" w:eastAsia="Times New Roman" w:hAnsi="Verdana" w:cs="Arial"/>
          <w:color w:val="000000" w:themeColor="text1"/>
          <w:lang w:eastAsia="es-ES"/>
        </w:rPr>
        <w:lastRenderedPageBreak/>
        <w:t>establecidos en la Ley para realizar la liquidación unilateral, de conformidad con la citada sentencia de unificación del Consejo de Estado.</w:t>
      </w:r>
    </w:p>
    <w:p w14:paraId="51E554DD" w14:textId="77777777" w:rsidR="00571AE4" w:rsidRPr="007746EC" w:rsidRDefault="00571AE4" w:rsidP="00571AE4">
      <w:pPr>
        <w:spacing w:after="120" w:line="276" w:lineRule="auto"/>
        <w:ind w:firstLine="709"/>
        <w:jc w:val="both"/>
        <w:rPr>
          <w:rFonts w:ascii="Verdana" w:eastAsia="Times New Roman" w:hAnsi="Verdana" w:cs="Arial"/>
          <w:color w:val="000000" w:themeColor="text1"/>
          <w:lang w:eastAsia="es-ES"/>
        </w:rPr>
      </w:pPr>
      <w:r w:rsidRPr="007746EC">
        <w:rPr>
          <w:rFonts w:ascii="Verdana" w:eastAsia="Times New Roman" w:hAnsi="Verdana" w:cs="Arial"/>
          <w:color w:val="000000" w:themeColor="text1"/>
          <w:lang w:eastAsia="es-ES"/>
        </w:rPr>
        <w:t xml:space="preserve">De acuerdo con esto, cuando la liquidación se da de manera bilateral, ya sea en el plazo acordado por las partes o dentro del término supletivo establecido en el artículo 11 de la Ley 1150 de 2007, dicha actuación suele materializarse en un documento de denominado acta de liquidación, en el que se refleja el cruce de cuentas avalado por ambos extremos de la relación contractual quienes concurren a su suscripción. En todo caso, la liquidación del contrato solo puede ocurrir una vez vencido el periodo de ejecución, en la medida en que el vencimiento de este periodo es un presupuesto para verificar el cumplimiento de las obligaciones tendientes a la ejecución del objeto contractual, de tal manera que las partes pueden realizar el cruce de cuentos a efectos de declararse a paz y salvo.  </w:t>
      </w:r>
    </w:p>
    <w:p w14:paraId="65F57EF8" w14:textId="77777777" w:rsidR="00571AE4" w:rsidRPr="00A92CF5" w:rsidRDefault="00571AE4" w:rsidP="00571AE4">
      <w:pPr>
        <w:spacing w:after="120" w:line="276" w:lineRule="auto"/>
        <w:jc w:val="both"/>
        <w:rPr>
          <w:rFonts w:ascii="Verdana" w:eastAsia="Calibri" w:hAnsi="Verdana" w:cs="Arial"/>
          <w:color w:val="000000" w:themeColor="text1"/>
        </w:rPr>
      </w:pPr>
      <w:r>
        <w:rPr>
          <w:rFonts w:ascii="Verdana" w:eastAsia="Calibri" w:hAnsi="Verdana" w:cs="Arial"/>
          <w:color w:val="000000" w:themeColor="text1"/>
        </w:rPr>
        <w:t xml:space="preserve">Vi. Ahora bien, en relación con el problema jurídico, </w:t>
      </w:r>
      <w:r w:rsidRPr="00A92CF5">
        <w:rPr>
          <w:rFonts w:ascii="Verdana" w:eastAsia="Calibri" w:hAnsi="Verdana" w:cs="Arial"/>
          <w:color w:val="000000" w:themeColor="text1"/>
        </w:rPr>
        <w:t>debe tenerse en cuenta que</w:t>
      </w:r>
      <w:r>
        <w:rPr>
          <w:rFonts w:ascii="Verdana" w:eastAsia="Calibri" w:hAnsi="Verdana" w:cs="Arial"/>
          <w:color w:val="000000" w:themeColor="text1"/>
        </w:rPr>
        <w:t>,</w:t>
      </w:r>
      <w:r w:rsidRPr="00A92CF5">
        <w:rPr>
          <w:rFonts w:ascii="Verdana" w:eastAsia="Calibri" w:hAnsi="Verdana" w:cs="Arial"/>
          <w:color w:val="000000" w:themeColor="text1"/>
        </w:rPr>
        <w:t xml:space="preserve"> la celebración de los contratos de arrendamiento por parte de las entidades estatales se encuentra sometida a las reglas de publicidad de la actividad contractual. En este sentido, cuando la entidad se encuentra sometida al Estatuto General de Contratación de la Administración Pública, el artículo 3 de la Ley 1150 de 2007 y el artículo 2.2.1.1.1.7.1 del Decreto 1082 de 2015 establecen el deber de publicar en el SECOP</w:t>
      </w:r>
      <w:r>
        <w:rPr>
          <w:rFonts w:ascii="Verdana" w:eastAsia="Calibri" w:hAnsi="Verdana" w:cs="Arial"/>
          <w:color w:val="000000" w:themeColor="text1"/>
        </w:rPr>
        <w:t xml:space="preserve"> II, </w:t>
      </w:r>
      <w:r w:rsidRPr="00A92CF5">
        <w:rPr>
          <w:rFonts w:ascii="Verdana" w:eastAsia="Calibri" w:hAnsi="Verdana" w:cs="Arial"/>
          <w:color w:val="000000" w:themeColor="text1"/>
        </w:rPr>
        <w:t>los documentos del proceso de contratación y los actos administrativos correspondientes, dentro de los términos previstos en la normativa. Esta obligación comprende, en consecuencia, los contratos de arrendamiento que celebren las entidades sometidas al Estatuto, aun cuando se trate de una modalidad de contratación directa.</w:t>
      </w:r>
    </w:p>
    <w:p w14:paraId="1614E463" w14:textId="77777777" w:rsidR="00571AE4" w:rsidRPr="00A92CF5" w:rsidRDefault="00571AE4" w:rsidP="00571AE4">
      <w:pPr>
        <w:spacing w:after="120" w:line="276" w:lineRule="auto"/>
        <w:ind w:firstLine="709"/>
        <w:jc w:val="both"/>
        <w:rPr>
          <w:rFonts w:ascii="Verdana" w:eastAsia="Calibri" w:hAnsi="Verdana" w:cs="Arial"/>
          <w:color w:val="000000" w:themeColor="text1"/>
        </w:rPr>
      </w:pPr>
      <w:r w:rsidRPr="00A92CF5">
        <w:rPr>
          <w:rFonts w:ascii="Verdana" w:eastAsia="Calibri" w:hAnsi="Verdana" w:cs="Arial"/>
          <w:color w:val="000000" w:themeColor="text1"/>
        </w:rPr>
        <w:t xml:space="preserve">Por su parte, tratándose de entidades estatales que cuentan con un régimen contractual exceptuado, la obligación de publicidad se encuentra actualmente prevista en el artículo 53 de la Ley 2195 de 2022, que modificó el artículo 13 de la Ley 1150 de 2007. Esta disposición exige que dichas entidades publiquen en el SECOP II la información y los documentos relacionados con su actividad contractual, tanto en las etapas previas a la celebración del contrato como durante su ejecución y con posterioridad a esta, sin establecer una excepción por razón de la naturaleza u objeto del contrato. La Agencia Nacional de Contratación Pública – Colombia Compra Eficiente ha precisado que esta obligación comprende los documentos expedidos durante las diferentes etapas </w:t>
      </w:r>
      <w:r w:rsidRPr="00A92CF5">
        <w:rPr>
          <w:rFonts w:ascii="Verdana" w:eastAsia="Calibri" w:hAnsi="Verdana" w:cs="Arial"/>
          <w:color w:val="000000" w:themeColor="text1"/>
        </w:rPr>
        <w:lastRenderedPageBreak/>
        <w:t>del proceso contractual y que las entidades sometidas a régimen especial deben utilizar los módulos dispuestos para tal efecto en SECOP II.</w:t>
      </w:r>
    </w:p>
    <w:p w14:paraId="3A8A59D8" w14:textId="77777777" w:rsidR="00571AE4" w:rsidRDefault="00571AE4" w:rsidP="00571AE4">
      <w:pPr>
        <w:spacing w:line="276" w:lineRule="auto"/>
        <w:ind w:firstLine="709"/>
        <w:jc w:val="both"/>
        <w:rPr>
          <w:rFonts w:ascii="Verdana" w:eastAsia="Calibri" w:hAnsi="Verdana" w:cs="Arial"/>
          <w:color w:val="000000" w:themeColor="text1"/>
        </w:rPr>
      </w:pPr>
      <w:r w:rsidRPr="00A92CF5">
        <w:rPr>
          <w:rFonts w:ascii="Verdana" w:eastAsia="Calibri" w:hAnsi="Verdana" w:cs="Arial"/>
          <w:color w:val="000000" w:themeColor="text1"/>
        </w:rPr>
        <w:t xml:space="preserve">En consecuencia, </w:t>
      </w:r>
      <w:r w:rsidRPr="008F1472">
        <w:rPr>
          <w:rFonts w:ascii="Verdana" w:eastAsia="Calibri" w:hAnsi="Verdana" w:cs="Arial"/>
          <w:color w:val="000000" w:themeColor="text1"/>
        </w:rPr>
        <w:t>independientemente del régimen aplicable, el contrato de arrendamiento debe publicarse en el SECOP como los demás contratos estatales, en virtud del principio de publicidad de la función administrativa consagrado en el artículo 209 de la Constitución Política. Dicho principio fue desarrollado por el legislador en el ámbito de la contratación estatal mediante el artículo 3 de la Ley 1150 de 2007, el artículo 11, literal g de la Ley 1712 de 2014 y su reglamentación, normas que obligan a que la publicidad de los contratos celebrados por las entidades estatales se realice a través del SECOP.  Esto debido a que los contratos estatales involucran un interés público, por lo que deben publicarse en el mecanismo establecido para garantizar que se cumplan los principios de publicidad y transparencia en la gestión contractual.</w:t>
      </w:r>
    </w:p>
    <w:p w14:paraId="68A58FEE" w14:textId="77777777" w:rsidR="00571AE4" w:rsidRPr="00F47A74" w:rsidRDefault="00571AE4" w:rsidP="00571AE4">
      <w:pPr>
        <w:spacing w:line="276" w:lineRule="auto"/>
        <w:jc w:val="both"/>
        <w:rPr>
          <w:rFonts w:ascii="Verdana" w:hAnsi="Verdana" w:cs="Arial"/>
          <w:color w:val="000000" w:themeColor="text1"/>
        </w:rPr>
      </w:pPr>
      <w:r>
        <w:rPr>
          <w:rFonts w:ascii="Verdana" w:eastAsia="Calibri" w:hAnsi="Verdana" w:cs="Arial"/>
          <w:color w:val="000000" w:themeColor="text1"/>
        </w:rPr>
        <w:tab/>
        <w:t xml:space="preserve">En atención a esta normativa, el artículo </w:t>
      </w:r>
      <w:r w:rsidRPr="000D023F">
        <w:rPr>
          <w:rFonts w:ascii="Verdana" w:eastAsia="Calibri" w:hAnsi="Verdana" w:cs="Arial"/>
          <w:color w:val="000000" w:themeColor="text1"/>
        </w:rPr>
        <w:t>2.2.1.1.1.7.1.</w:t>
      </w:r>
      <w:r>
        <w:rPr>
          <w:rFonts w:ascii="Verdana" w:eastAsia="Calibri" w:hAnsi="Verdana" w:cs="Arial"/>
          <w:color w:val="000000" w:themeColor="text1"/>
        </w:rPr>
        <w:t xml:space="preserve"> del Decreto 1082 de 2015 prevé que </w:t>
      </w:r>
      <w:r w:rsidRPr="00D91047">
        <w:rPr>
          <w:rFonts w:ascii="Verdana" w:eastAsia="Calibri" w:hAnsi="Verdana" w:cs="Arial"/>
          <w:color w:val="000000" w:themeColor="text1"/>
        </w:rPr>
        <w:t>la</w:t>
      </w:r>
      <w:r>
        <w:rPr>
          <w:rFonts w:ascii="Verdana" w:eastAsia="Calibri" w:hAnsi="Verdana" w:cs="Arial"/>
          <w:color w:val="000000" w:themeColor="text1"/>
        </w:rPr>
        <w:t xml:space="preserve"> </w:t>
      </w:r>
      <w:r w:rsidRPr="00D91047">
        <w:rPr>
          <w:rFonts w:ascii="Verdana" w:eastAsia="Calibri" w:hAnsi="Verdana" w:cs="Arial"/>
          <w:color w:val="000000" w:themeColor="text1"/>
        </w:rPr>
        <w:t>Entidad Estatal está obligada a publicar en el SECOP los Documentos del Proceso y los actos administrativos del Proceso de Contratación, dentro de los tres (3) días siguientes a su expedición</w:t>
      </w:r>
      <w:r>
        <w:rPr>
          <w:rFonts w:ascii="Verdana" w:eastAsia="Calibri" w:hAnsi="Verdana" w:cs="Arial"/>
          <w:color w:val="000000" w:themeColor="text1"/>
        </w:rPr>
        <w:t xml:space="preserve">, obligación que se extiende al contrato y los demás documentos contractuales. Este deber también aparece reconocido el artículo </w:t>
      </w:r>
      <w:r w:rsidRPr="001D1F6B">
        <w:rPr>
          <w:rFonts w:ascii="Verdana" w:eastAsia="Calibri" w:hAnsi="Verdana" w:cs="Arial"/>
          <w:color w:val="000000" w:themeColor="text1"/>
        </w:rPr>
        <w:t>2.1.1.2.1.7</w:t>
      </w:r>
      <w:r>
        <w:rPr>
          <w:rFonts w:ascii="Verdana" w:eastAsia="Calibri" w:hAnsi="Verdana" w:cs="Arial"/>
          <w:color w:val="000000" w:themeColor="text1"/>
        </w:rPr>
        <w:t xml:space="preserve">. del Decreto 1081 de 2015. </w:t>
      </w:r>
    </w:p>
    <w:p w14:paraId="328F7CD9" w14:textId="77777777" w:rsidR="00571AE4" w:rsidRPr="004D43FE" w:rsidRDefault="00571AE4" w:rsidP="00571AE4">
      <w:pPr>
        <w:spacing w:after="120" w:line="276" w:lineRule="auto"/>
        <w:jc w:val="both"/>
        <w:rPr>
          <w:rFonts w:ascii="Verdana" w:eastAsia="Calibri" w:hAnsi="Verdana" w:cs="Arial"/>
          <w:bCs/>
          <w:color w:val="000000" w:themeColor="text1"/>
        </w:rPr>
      </w:pPr>
      <w:proofErr w:type="spellStart"/>
      <w:r>
        <w:rPr>
          <w:rFonts w:ascii="Verdana" w:eastAsia="Calibri" w:hAnsi="Verdana" w:cs="Arial"/>
          <w:bCs/>
          <w:color w:val="000000" w:themeColor="text1"/>
        </w:rPr>
        <w:t>Vii</w:t>
      </w:r>
      <w:proofErr w:type="spellEnd"/>
      <w:r w:rsidRPr="009D1586">
        <w:rPr>
          <w:rFonts w:ascii="Verdana" w:eastAsia="Calibri" w:hAnsi="Verdana" w:cs="Arial"/>
          <w:bCs/>
          <w:color w:val="000000" w:themeColor="text1"/>
        </w:rPr>
        <w:t xml:space="preserve">. </w:t>
      </w:r>
      <w:r w:rsidRPr="004D43FE">
        <w:rPr>
          <w:rFonts w:ascii="Verdana" w:eastAsia="Calibri" w:hAnsi="Verdana" w:cs="Arial"/>
          <w:bCs/>
          <w:color w:val="000000" w:themeColor="text1"/>
        </w:rPr>
        <w:t xml:space="preserve">Al margen de la explicación precedente debe advertirse que </w:t>
      </w:r>
      <w:r w:rsidRPr="004D43FE">
        <w:rPr>
          <w:rFonts w:ascii="Verdana" w:hAnsi="Verdana"/>
          <w:color w:val="000000"/>
        </w:rPr>
        <w:t>el análisis requerido para resolver problemas específicos en torno a la gestión contractual debe ser realizado por quienes tengan interés en ello, de acuerdo con lo explicado la aclaración preliminar del presente oficio</w:t>
      </w:r>
      <w:r w:rsidRPr="004D43FE">
        <w:rPr>
          <w:rFonts w:ascii="Verdana" w:eastAsia="Calibri" w:hAnsi="Verdana" w:cs="Arial"/>
          <w:bCs/>
          <w:color w:val="000000" w:themeColor="text1"/>
        </w:rPr>
        <w:t>.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45B54D13" w14:textId="77777777" w:rsidR="00571AE4" w:rsidRPr="004D43FE" w:rsidRDefault="00571AE4" w:rsidP="00571AE4">
      <w:pPr>
        <w:spacing w:after="0" w:line="276" w:lineRule="auto"/>
        <w:ind w:firstLine="708"/>
        <w:jc w:val="both"/>
        <w:rPr>
          <w:rFonts w:ascii="Verdana" w:eastAsia="Calibri" w:hAnsi="Verdana" w:cs="Arial"/>
          <w:bCs/>
          <w:color w:val="000000" w:themeColor="text1"/>
        </w:rPr>
      </w:pPr>
      <w:r w:rsidRPr="004D43FE">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w:t>
      </w:r>
      <w:r w:rsidRPr="004D43FE">
        <w:rPr>
          <w:rFonts w:ascii="Verdana" w:eastAsia="Calibri" w:hAnsi="Verdana" w:cs="Arial"/>
          <w:bCs/>
          <w:color w:val="000000" w:themeColor="text1"/>
        </w:rPr>
        <w:lastRenderedPageBreak/>
        <w:t xml:space="preserve">contratación pública adopten la decisión que corresponda, lo cual es acorde con el principio de juridicidad. Así, cada entidad definirá la forma de adelantar su gestión contractual, sin que sea atribución de Colombia Compra Eficiente validar sus actuaciones. </w:t>
      </w:r>
      <w:r w:rsidRPr="004D43FE">
        <w:rPr>
          <w:rFonts w:ascii="Verdana" w:hAnsi="Verdana"/>
          <w:color w:val="000000"/>
        </w:rPr>
        <w:t>Esto significa que,</w:t>
      </w:r>
      <w:r w:rsidRPr="004D43FE">
        <w:rPr>
          <w:rFonts w:ascii="Verdana" w:eastAsia="Calibri" w:hAnsi="Verdana" w:cs="Arial"/>
          <w:bCs/>
          <w:color w:val="000000" w:themeColor="text1"/>
        </w:rPr>
        <w:t xml:space="preserve"> fuera de la orientación del presente oficio, la ANCP – CCE carece de atribuciones normativas para desarrollar las actuaciones contractuales objeto de la solicitud</w:t>
      </w:r>
      <w:r w:rsidRPr="004D43FE">
        <w:rPr>
          <w:rFonts w:ascii="Verdana" w:eastAsia="Calibri" w:hAnsi="Verdana" w:cs="Arial"/>
          <w:bCs/>
          <w:color w:val="000000" w:themeColor="text1"/>
          <w:vertAlign w:val="superscript"/>
        </w:rPr>
        <w:footnoteReference w:id="7"/>
      </w:r>
      <w:r w:rsidRPr="004D43FE">
        <w:rPr>
          <w:rFonts w:ascii="Verdana" w:eastAsia="Calibri" w:hAnsi="Verdana" w:cs="Arial"/>
          <w:bCs/>
          <w:color w:val="000000" w:themeColor="text1"/>
        </w:rPr>
        <w:t xml:space="preserve">. </w:t>
      </w:r>
    </w:p>
    <w:p w14:paraId="575AAD3D" w14:textId="77777777" w:rsidR="00571AE4" w:rsidRPr="00C54887" w:rsidRDefault="00571AE4" w:rsidP="00571AE4">
      <w:pPr>
        <w:widowControl w:val="0"/>
        <w:autoSpaceDE w:val="0"/>
        <w:autoSpaceDN w:val="0"/>
        <w:spacing w:after="0" w:line="276" w:lineRule="auto"/>
        <w:jc w:val="both"/>
        <w:rPr>
          <w:rFonts w:ascii="Verdana" w:hAnsi="Verdana" w:cs="Arial"/>
          <w:lang w:eastAsia="es-ES"/>
        </w:rPr>
      </w:pPr>
    </w:p>
    <w:bookmarkEnd w:id="4"/>
    <w:bookmarkEnd w:id="5"/>
    <w:p w14:paraId="4CB4E71C" w14:textId="77777777" w:rsidR="00571AE4" w:rsidRPr="001F283D" w:rsidRDefault="00571AE4" w:rsidP="00571AE4">
      <w:pPr>
        <w:tabs>
          <w:tab w:val="left" w:pos="142"/>
          <w:tab w:val="left" w:pos="284"/>
        </w:tabs>
        <w:spacing w:after="0" w:line="276" w:lineRule="auto"/>
        <w:rPr>
          <w:rFonts w:ascii="Verdana" w:eastAsia="Century Gothic" w:hAnsi="Verdana" w:cs="Century Gothic"/>
          <w:b/>
          <w:bCs/>
        </w:rPr>
      </w:pPr>
      <w:r>
        <w:rPr>
          <w:rFonts w:ascii="Verdana" w:eastAsia="Century Gothic" w:hAnsi="Verdana" w:cs="Century Gothic"/>
          <w:b/>
          <w:bCs/>
        </w:rPr>
        <w:t xml:space="preserve">4. </w:t>
      </w:r>
      <w:r w:rsidRPr="001F283D">
        <w:rPr>
          <w:rFonts w:ascii="Verdana" w:eastAsia="Century Gothic" w:hAnsi="Verdana" w:cs="Century Gothic"/>
          <w:b/>
          <w:bCs/>
        </w:rPr>
        <w:t>Referencias normativas:</w:t>
      </w:r>
    </w:p>
    <w:bookmarkEnd w:id="6"/>
    <w:p w14:paraId="5312F0DE" w14:textId="77777777" w:rsidR="00571AE4" w:rsidRPr="00593A5F" w:rsidRDefault="00571AE4" w:rsidP="00571AE4">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571AE4" w:rsidRPr="002407CE" w14:paraId="66E49E5C" w14:textId="77777777" w:rsidTr="007279FC">
        <w:trPr>
          <w:trHeight w:val="870"/>
          <w:jc w:val="center"/>
        </w:trPr>
        <w:tc>
          <w:tcPr>
            <w:tcW w:w="8647" w:type="dxa"/>
          </w:tcPr>
          <w:p w14:paraId="18AF4A5E" w14:textId="77777777" w:rsidR="00571AE4" w:rsidRPr="00885622" w:rsidRDefault="00571AE4" w:rsidP="00571AE4">
            <w:pPr>
              <w:pStyle w:val="Sinespaciado"/>
              <w:numPr>
                <w:ilvl w:val="0"/>
                <w:numId w:val="17"/>
              </w:numPr>
              <w:spacing w:line="276" w:lineRule="auto"/>
              <w:rPr>
                <w:rFonts w:ascii="Verdana" w:hAnsi="Verdana"/>
              </w:rPr>
            </w:pPr>
            <w:r w:rsidRPr="00C62427">
              <w:rPr>
                <w:rFonts w:ascii="Verdana" w:hAnsi="Verdana"/>
              </w:rPr>
              <w:t>Código Civil</w:t>
            </w:r>
            <w:r>
              <w:rPr>
                <w:rFonts w:ascii="Verdana" w:hAnsi="Verdana"/>
              </w:rPr>
              <w:t>,</w:t>
            </w:r>
            <w:r w:rsidRPr="00C62427">
              <w:rPr>
                <w:rFonts w:ascii="Verdana" w:hAnsi="Verdana"/>
              </w:rPr>
              <w:t xml:space="preserve"> Artículos 1973, 2000</w:t>
            </w:r>
          </w:p>
          <w:p w14:paraId="17C4CA33" w14:textId="77777777" w:rsidR="00571AE4" w:rsidRDefault="00571AE4" w:rsidP="00571AE4">
            <w:pPr>
              <w:pStyle w:val="Sinespaciado"/>
              <w:numPr>
                <w:ilvl w:val="0"/>
                <w:numId w:val="17"/>
              </w:numPr>
              <w:spacing w:line="276" w:lineRule="auto"/>
              <w:rPr>
                <w:rFonts w:ascii="Verdana" w:hAnsi="Verdana"/>
              </w:rPr>
            </w:pPr>
            <w:r w:rsidRPr="0028495E">
              <w:rPr>
                <w:rFonts w:ascii="Verdana" w:hAnsi="Verdana"/>
              </w:rPr>
              <w:t>Ley 80 de 1993, artículos 13 y 32, numeral 3º</w:t>
            </w:r>
            <w:r>
              <w:rPr>
                <w:rFonts w:ascii="Verdana" w:hAnsi="Verdana"/>
              </w:rPr>
              <w:t>, 40, 41</w:t>
            </w:r>
          </w:p>
          <w:p w14:paraId="738DB607" w14:textId="77777777" w:rsidR="00571AE4" w:rsidRPr="00C408BB" w:rsidRDefault="00571AE4" w:rsidP="00571AE4">
            <w:pPr>
              <w:pStyle w:val="Sinespaciado"/>
              <w:numPr>
                <w:ilvl w:val="0"/>
                <w:numId w:val="17"/>
              </w:numPr>
              <w:spacing w:line="276" w:lineRule="auto"/>
              <w:rPr>
                <w:rFonts w:ascii="Verdana" w:hAnsi="Verdana"/>
              </w:rPr>
            </w:pPr>
            <w:r w:rsidRPr="00C62427">
              <w:rPr>
                <w:rFonts w:ascii="Verdana" w:hAnsi="Verdana"/>
              </w:rPr>
              <w:t>Ley 789 de 2002</w:t>
            </w:r>
            <w:r>
              <w:rPr>
                <w:rFonts w:ascii="Verdana" w:hAnsi="Verdana"/>
              </w:rPr>
              <w:t>,</w:t>
            </w:r>
            <w:r w:rsidRPr="00C62427">
              <w:rPr>
                <w:rFonts w:ascii="Verdana" w:hAnsi="Verdana"/>
              </w:rPr>
              <w:t xml:space="preserve"> Artículo 50 </w:t>
            </w:r>
          </w:p>
          <w:p w14:paraId="1E8D30E4" w14:textId="77777777" w:rsidR="00571AE4" w:rsidRDefault="00571AE4" w:rsidP="00571AE4">
            <w:pPr>
              <w:pStyle w:val="Sinespaciado"/>
              <w:numPr>
                <w:ilvl w:val="0"/>
                <w:numId w:val="17"/>
              </w:numPr>
              <w:spacing w:line="276" w:lineRule="auto"/>
              <w:rPr>
                <w:rFonts w:ascii="Verdana" w:hAnsi="Verdana"/>
              </w:rPr>
            </w:pPr>
            <w:r w:rsidRPr="0028495E">
              <w:rPr>
                <w:rFonts w:ascii="Verdana" w:hAnsi="Verdana"/>
              </w:rPr>
              <w:t>Ley 1150 de 2007, artículo 2, numeral 4º, literal h)</w:t>
            </w:r>
            <w:r>
              <w:rPr>
                <w:rFonts w:ascii="Verdana" w:hAnsi="Verdana"/>
              </w:rPr>
              <w:t>, 23</w:t>
            </w:r>
          </w:p>
          <w:p w14:paraId="29996888" w14:textId="77777777" w:rsidR="00571AE4" w:rsidRDefault="00571AE4" w:rsidP="00571AE4">
            <w:pPr>
              <w:pStyle w:val="Sinespaciado"/>
              <w:numPr>
                <w:ilvl w:val="0"/>
                <w:numId w:val="17"/>
              </w:numPr>
              <w:spacing w:line="276" w:lineRule="auto"/>
              <w:rPr>
                <w:rFonts w:ascii="Verdana" w:hAnsi="Verdana"/>
              </w:rPr>
            </w:pPr>
            <w:r w:rsidRPr="00C62427">
              <w:rPr>
                <w:rFonts w:ascii="Verdana" w:hAnsi="Verdana"/>
              </w:rPr>
              <w:t xml:space="preserve">Ley </w:t>
            </w:r>
            <w:r>
              <w:rPr>
                <w:rFonts w:ascii="Verdana" w:hAnsi="Verdana"/>
              </w:rPr>
              <w:t xml:space="preserve">2277 de 2022. Artículo 89. </w:t>
            </w:r>
          </w:p>
          <w:p w14:paraId="7D4BEABE" w14:textId="77777777" w:rsidR="00571AE4" w:rsidRDefault="00571AE4" w:rsidP="00571AE4">
            <w:pPr>
              <w:pStyle w:val="Sinespaciado"/>
              <w:numPr>
                <w:ilvl w:val="0"/>
                <w:numId w:val="17"/>
              </w:numPr>
              <w:spacing w:line="276" w:lineRule="auto"/>
              <w:rPr>
                <w:rFonts w:ascii="Verdana" w:hAnsi="Verdana"/>
              </w:rPr>
            </w:pPr>
            <w:r w:rsidRPr="006404FE">
              <w:rPr>
                <w:rFonts w:ascii="Verdana" w:hAnsi="Verdana"/>
              </w:rPr>
              <w:t>Decreto Único Reglamentario 780 de 2016</w:t>
            </w:r>
            <w:r>
              <w:rPr>
                <w:rFonts w:ascii="Verdana" w:hAnsi="Verdana"/>
              </w:rPr>
              <w:t>, Artículo 2.1.4.1</w:t>
            </w:r>
          </w:p>
          <w:p w14:paraId="647963D9" w14:textId="77777777" w:rsidR="00571AE4" w:rsidRPr="007B503D" w:rsidRDefault="00571AE4" w:rsidP="00571AE4">
            <w:pPr>
              <w:pStyle w:val="Sinespaciado"/>
              <w:numPr>
                <w:ilvl w:val="0"/>
                <w:numId w:val="17"/>
              </w:numPr>
              <w:spacing w:line="276" w:lineRule="auto"/>
              <w:rPr>
                <w:rFonts w:ascii="Verdana" w:hAnsi="Verdana"/>
              </w:rPr>
            </w:pPr>
            <w:r w:rsidRPr="007B503D">
              <w:rPr>
                <w:rFonts w:ascii="Verdana" w:hAnsi="Verdana" w:cs="Arial"/>
                <w:color w:val="000000" w:themeColor="text1"/>
              </w:rPr>
              <w:t xml:space="preserve">Guía para la liquidación de los Procesos de Contratación – G-LPC-01 </w:t>
            </w:r>
          </w:p>
          <w:p w14:paraId="1FF85A2B" w14:textId="77777777" w:rsidR="00571AE4" w:rsidRPr="00437B9F" w:rsidRDefault="00571AE4" w:rsidP="00571AE4">
            <w:pPr>
              <w:pStyle w:val="Sinespaciado"/>
              <w:numPr>
                <w:ilvl w:val="0"/>
                <w:numId w:val="17"/>
              </w:numPr>
              <w:spacing w:line="276" w:lineRule="auto"/>
              <w:rPr>
                <w:rFonts w:eastAsia="Calibri"/>
              </w:rPr>
            </w:pPr>
            <w:r w:rsidRPr="00B05F99">
              <w:rPr>
                <w:rFonts w:ascii="Verdana" w:hAnsi="Verdana"/>
              </w:rPr>
              <w:t xml:space="preserve">Consejo De Estado. Sala </w:t>
            </w:r>
            <w:r>
              <w:rPr>
                <w:rFonts w:ascii="Verdana" w:hAnsi="Verdana"/>
              </w:rPr>
              <w:t>d</w:t>
            </w:r>
            <w:r w:rsidRPr="00B05F99">
              <w:rPr>
                <w:rFonts w:ascii="Verdana" w:hAnsi="Verdana"/>
              </w:rPr>
              <w:t xml:space="preserve">e Consulta </w:t>
            </w:r>
            <w:r>
              <w:rPr>
                <w:rFonts w:ascii="Verdana" w:hAnsi="Verdana"/>
              </w:rPr>
              <w:t>y</w:t>
            </w:r>
            <w:r w:rsidRPr="00B05F99">
              <w:rPr>
                <w:rFonts w:ascii="Verdana" w:hAnsi="Verdana"/>
              </w:rPr>
              <w:t xml:space="preserve"> Servicio Civil. Sentencia del 26 de julio de 2007. </w:t>
            </w:r>
            <w:proofErr w:type="spellStart"/>
            <w:r w:rsidRPr="00B05F99">
              <w:rPr>
                <w:rFonts w:ascii="Verdana" w:hAnsi="Verdana"/>
              </w:rPr>
              <w:t>Exp</w:t>
            </w:r>
            <w:proofErr w:type="spellEnd"/>
            <w:r w:rsidRPr="00B05F99">
              <w:rPr>
                <w:rFonts w:ascii="Verdana" w:hAnsi="Verdana"/>
              </w:rPr>
              <w:t>. 1832. C.P. Luis Fernando Álvarez Jaramillo</w:t>
            </w:r>
          </w:p>
          <w:p w14:paraId="15A7F166" w14:textId="77777777" w:rsidR="00571AE4" w:rsidRPr="00A57FA0" w:rsidRDefault="00571AE4" w:rsidP="00571AE4">
            <w:pPr>
              <w:pStyle w:val="NormalWeb"/>
              <w:numPr>
                <w:ilvl w:val="0"/>
                <w:numId w:val="17"/>
              </w:numPr>
              <w:spacing w:before="120" w:beforeAutospacing="0" w:after="0" w:afterAutospacing="0" w:line="276" w:lineRule="auto"/>
              <w:jc w:val="both"/>
              <w:rPr>
                <w:rFonts w:ascii="Verdana" w:hAnsi="Verdana" w:cs="Arial"/>
                <w:color w:val="000000" w:themeColor="text1"/>
                <w:sz w:val="22"/>
                <w:szCs w:val="22"/>
              </w:rPr>
            </w:pPr>
            <w:r>
              <w:rPr>
                <w:rFonts w:ascii="Verdana" w:hAnsi="Verdana"/>
              </w:rPr>
              <w:t xml:space="preserve">Corte Constitucional. Sentencia del 26 de agosto de 2009. M.P. Juan Carlos Henao Pérez </w:t>
            </w:r>
            <w:r>
              <w:rPr>
                <w:rFonts w:ascii="Verdana" w:hAnsi="Verdana" w:cs="Arial"/>
                <w:lang w:val="es-ES"/>
              </w:rPr>
              <w:t xml:space="preserve"> </w:t>
            </w:r>
          </w:p>
        </w:tc>
      </w:tr>
    </w:tbl>
    <w:p w14:paraId="6B9C1420" w14:textId="77777777" w:rsidR="00571AE4" w:rsidRPr="00277E26" w:rsidRDefault="00571AE4" w:rsidP="00571AE4">
      <w:pPr>
        <w:widowControl w:val="0"/>
        <w:autoSpaceDE w:val="0"/>
        <w:autoSpaceDN w:val="0"/>
        <w:spacing w:after="0" w:line="276" w:lineRule="auto"/>
        <w:jc w:val="both"/>
        <w:rPr>
          <w:rFonts w:ascii="Verdana" w:hAnsi="Verdana" w:cs="Arial"/>
        </w:rPr>
      </w:pPr>
    </w:p>
    <w:p w14:paraId="5DBCEE42" w14:textId="77777777" w:rsidR="00571AE4" w:rsidRDefault="00571AE4" w:rsidP="00571AE4">
      <w:pPr>
        <w:tabs>
          <w:tab w:val="left" w:pos="142"/>
          <w:tab w:val="left" w:pos="284"/>
        </w:tabs>
        <w:spacing w:after="0" w:line="276" w:lineRule="auto"/>
        <w:jc w:val="both"/>
        <w:rPr>
          <w:rFonts w:ascii="Verdana" w:eastAsia="Century Gothic" w:hAnsi="Verdana" w:cs="Century Gothic"/>
          <w:b/>
          <w:bCs/>
        </w:rPr>
      </w:pPr>
      <w:r>
        <w:rPr>
          <w:rFonts w:ascii="Verdana" w:eastAsia="Century Gothic" w:hAnsi="Verdana" w:cs="Century Gothic"/>
          <w:b/>
          <w:bCs/>
        </w:rPr>
        <w:t xml:space="preserve">5. </w:t>
      </w:r>
      <w:r w:rsidRPr="001F283D">
        <w:rPr>
          <w:rFonts w:ascii="Verdana" w:eastAsia="Century Gothic" w:hAnsi="Verdana" w:cs="Century Gothic"/>
          <w:b/>
          <w:bCs/>
        </w:rPr>
        <w:t>Doctrina de la Agencia Nacional de Contratación Pública:</w:t>
      </w:r>
    </w:p>
    <w:p w14:paraId="340D43B4" w14:textId="77777777" w:rsidR="00571AE4" w:rsidRPr="001F283D" w:rsidRDefault="00571AE4" w:rsidP="00571AE4">
      <w:pPr>
        <w:tabs>
          <w:tab w:val="left" w:pos="142"/>
          <w:tab w:val="left" w:pos="284"/>
        </w:tabs>
        <w:spacing w:after="0" w:line="276" w:lineRule="auto"/>
        <w:jc w:val="both"/>
        <w:rPr>
          <w:rFonts w:ascii="Verdana" w:eastAsia="Century Gothic" w:hAnsi="Verdana" w:cs="Century Gothic"/>
          <w:b/>
          <w:bCs/>
        </w:rPr>
      </w:pPr>
    </w:p>
    <w:p w14:paraId="7BEB0F2D" w14:textId="77777777" w:rsidR="00571AE4" w:rsidRDefault="00571AE4" w:rsidP="00571AE4">
      <w:pPr>
        <w:widowControl w:val="0"/>
        <w:autoSpaceDE w:val="0"/>
        <w:autoSpaceDN w:val="0"/>
        <w:spacing w:after="0" w:line="240" w:lineRule="auto"/>
        <w:jc w:val="both"/>
        <w:rPr>
          <w:rStyle w:val="normaltextrun"/>
          <w:rFonts w:ascii="Verdana" w:hAnsi="Verdana" w:cs="Arial"/>
          <w:highlight w:val="yellow"/>
          <w:shd w:val="clear" w:color="auto" w:fill="FFFFFF"/>
          <w:lang w:val="es-ES"/>
        </w:rPr>
      </w:pPr>
    </w:p>
    <w:p w14:paraId="03B239CC" w14:textId="77777777" w:rsidR="00571AE4" w:rsidRPr="004D43FE" w:rsidRDefault="00571AE4" w:rsidP="00571AE4">
      <w:pPr>
        <w:widowControl w:val="0"/>
        <w:autoSpaceDE w:val="0"/>
        <w:autoSpaceDN w:val="0"/>
        <w:spacing w:after="0" w:line="276" w:lineRule="auto"/>
        <w:jc w:val="both"/>
        <w:rPr>
          <w:rFonts w:ascii="Verdana" w:hAnsi="Verdana" w:cs="Arial"/>
          <w:shd w:val="clear" w:color="auto" w:fill="FFFFFF"/>
        </w:rPr>
      </w:pPr>
      <w:r w:rsidRPr="004D43FE">
        <w:rPr>
          <w:rFonts w:ascii="Verdana" w:hAnsi="Verdana" w:cs="Arial"/>
          <w:shd w:val="clear" w:color="auto" w:fill="FFFFFF"/>
          <w:lang w:val="es-ES_tradnl"/>
        </w:rPr>
        <w:t>Esta Subdirección se ha pronunciado sobre el régimen jurídico de los contratos de arrendamiento en los conceptos C-646 del 22 de noviembre de 2021, C-214 del 22 de abril de 2022, C-830 del 16 de diciembre de 2024, C-159 del 20 de marzo de 2025 y C-1648 del 14 de noviembre de 2025. Es</w:t>
      </w:r>
      <w:r w:rsidRPr="004D43FE">
        <w:rPr>
          <w:rFonts w:ascii="Verdana" w:hAnsi="Verdana"/>
          <w:lang w:val="es-ES_tradnl"/>
        </w:rPr>
        <w:t xml:space="preserve">tos y otros se </w:t>
      </w:r>
      <w:r w:rsidRPr="004D43FE">
        <w:rPr>
          <w:rFonts w:ascii="Verdana" w:hAnsi="Verdana"/>
          <w:lang w:val="es-ES_tradnl"/>
        </w:rPr>
        <w:lastRenderedPageBreak/>
        <w:t>encuentran disponibles para consulta en el Sistema de relatoría de la Agencia, al cual puede accederse a través del siguiente enlace:</w:t>
      </w:r>
      <w:r w:rsidRPr="004D43FE">
        <w:rPr>
          <w:rFonts w:ascii="Verdana" w:hAnsi="Verdana" w:cs="Arial"/>
          <w:shd w:val="clear" w:color="auto" w:fill="FFFFFF"/>
        </w:rPr>
        <w:t xml:space="preserve"> </w:t>
      </w:r>
      <w:hyperlink r:id="rId14" w:history="1">
        <w:r w:rsidRPr="004D43FE">
          <w:rPr>
            <w:rFonts w:ascii="Verdana" w:hAnsi="Verdana" w:cs="Arial"/>
            <w:color w:val="0000FF"/>
            <w:u w:val="single"/>
            <w:shd w:val="clear" w:color="auto" w:fill="FFFFFF"/>
          </w:rPr>
          <w:t>https://relatoria.colombiacompra.gov.co/busqueda/conceptos</w:t>
        </w:r>
      </w:hyperlink>
    </w:p>
    <w:p w14:paraId="675FF1BE" w14:textId="77777777" w:rsidR="00571AE4" w:rsidRPr="00900D7D" w:rsidRDefault="00571AE4" w:rsidP="00571AE4">
      <w:pPr>
        <w:widowControl w:val="0"/>
        <w:autoSpaceDE w:val="0"/>
        <w:autoSpaceDN w:val="0"/>
        <w:spacing w:after="120" w:line="276" w:lineRule="auto"/>
        <w:jc w:val="both"/>
        <w:rPr>
          <w:rFonts w:ascii="Verdana" w:eastAsia="Calibri" w:hAnsi="Verdana" w:cs="Arial"/>
          <w:color w:val="000000" w:themeColor="text1"/>
          <w:lang w:eastAsia="es-ES_tradnl"/>
        </w:rPr>
      </w:pPr>
    </w:p>
    <w:p w14:paraId="66C9ED6C" w14:textId="77777777" w:rsidR="00571AE4" w:rsidRPr="008869C7" w:rsidRDefault="00571AE4" w:rsidP="00571AE4">
      <w:pPr>
        <w:spacing w:after="120" w:line="276" w:lineRule="auto"/>
        <w:jc w:val="both"/>
        <w:rPr>
          <w:rFonts w:ascii="Verdana" w:hAnsi="Verdana"/>
        </w:rPr>
      </w:pPr>
      <w:r w:rsidRPr="008869C7">
        <w:rPr>
          <w:rFonts w:ascii="Verdana" w:hAnsi="Verdana"/>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8869C7">
        <w:rPr>
          <w:rFonts w:ascii="Verdana" w:hAnsi="Verdana"/>
          <w:b/>
          <w:bCs/>
        </w:rPr>
        <w:t>Guía para la Exigencia y Constitución de Garantías en los Procesos de Contratación</w:t>
      </w:r>
      <w:r w:rsidRPr="008869C7">
        <w:rPr>
          <w:rFonts w:ascii="Verdana" w:hAnsi="Verdana"/>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5" w:tgtFrame="_blank" w:tooltip="Dirección URL original: https://www.colombiacompra.gov.co/archivos/manual/guia-de-garantias-en-procesos-de-contratacion. Haga clic o pulse si confía en este vínculo." w:history="1">
        <w:r w:rsidRPr="008869C7">
          <w:rPr>
            <w:rStyle w:val="Hipervnculo"/>
            <w:rFonts w:ascii="Verdana" w:hAnsi="Verdana"/>
          </w:rPr>
          <w:t>https://www.colombiacompra.gov.co/archivos/manual/guia-de-garantias-en-procesos-de-contratacion</w:t>
        </w:r>
      </w:hyperlink>
    </w:p>
    <w:p w14:paraId="6BA63B8C" w14:textId="77777777" w:rsidR="00571AE4" w:rsidRPr="008869C7" w:rsidRDefault="00571AE4" w:rsidP="00571AE4">
      <w:pPr>
        <w:spacing w:after="120" w:line="276" w:lineRule="auto"/>
        <w:jc w:val="both"/>
        <w:rPr>
          <w:rFonts w:ascii="Verdana" w:hAnsi="Verdana"/>
        </w:rPr>
      </w:pPr>
      <w:r w:rsidRPr="008869C7">
        <w:rPr>
          <w:rFonts w:ascii="Verdana" w:hAnsi="Verdana"/>
        </w:rPr>
        <w:t>De otro lado, te contamos que el Decreto 287 del 19 de marzo de 2026 sustituyó los artículos 2.2.1.2.4.2.6., 2.2.1.2.4.2.7. y 2.2.1.2.4.2.8. del Decreto 1082 de 2015 y estructuró el </w:t>
      </w:r>
      <w:r w:rsidRPr="008869C7">
        <w:rPr>
          <w:rFonts w:ascii="Verdana" w:hAnsi="Verdana"/>
          <w:b/>
          <w:bCs/>
        </w:rPr>
        <w:t>Sistema Integral de Preferencias en favor de las personas con discapacidad</w:t>
      </w:r>
      <w:r w:rsidRPr="008869C7">
        <w:rPr>
          <w:rFonts w:ascii="Verdana" w:hAnsi="Verdana"/>
        </w:rPr>
        <w:t>, en cumplimiento del artículo 13 de la Ley Estatutaria 1618 de 2013. Para orientar su aplicación, esta Agencia expidió la </w:t>
      </w:r>
      <w:r w:rsidRPr="008869C7">
        <w:rPr>
          <w:rFonts w:ascii="Verdana" w:hAnsi="Verdana"/>
          <w:b/>
          <w:bCs/>
        </w:rPr>
        <w:t>Circular Externa 003 del 12 de mayo de 2026, </w:t>
      </w:r>
      <w:r w:rsidRPr="008869C7">
        <w:rPr>
          <w:rFonts w:ascii="Verdana" w:hAnsi="Verdana"/>
        </w:rPr>
        <w:t>en la que precisa quiénes son los beneficiarios, las cinco medidas que integran el sistema y su obligatoriedad según la modalidad de selección, y el régimen de transición aplicable a los procesos en curso. Consúltala aquí: </w:t>
      </w:r>
      <w:hyperlink r:id="rId16" w:tgtFrame="_blank" w:tooltip="Dirección URL original: https://www.colombiacompra.gov.co/archivos/circular/circular-externa-003-de-2026. Haga clic o pulse si confía en este vínculo." w:history="1">
        <w:r w:rsidRPr="008869C7">
          <w:rPr>
            <w:rStyle w:val="Hipervnculo"/>
            <w:rFonts w:ascii="Verdana" w:hAnsi="Verdana"/>
          </w:rPr>
          <w:t>https://www.colombiacompra.gov.co/archivos/circular/circular-externa-003-de-2026</w:t>
        </w:r>
      </w:hyperlink>
    </w:p>
    <w:p w14:paraId="6347589A" w14:textId="77777777" w:rsidR="00571AE4" w:rsidRPr="008869C7" w:rsidRDefault="00571AE4" w:rsidP="00571AE4">
      <w:pPr>
        <w:spacing w:after="120" w:line="276" w:lineRule="auto"/>
        <w:jc w:val="both"/>
        <w:rPr>
          <w:rFonts w:ascii="Verdana" w:hAnsi="Verdana"/>
        </w:rPr>
      </w:pPr>
      <w:r w:rsidRPr="008869C7">
        <w:rPr>
          <w:rFonts w:ascii="Verdana" w:hAnsi="Verdana"/>
        </w:rPr>
        <w:t>Recuerda también que la</w:t>
      </w:r>
      <w:r w:rsidRPr="008869C7">
        <w:rPr>
          <w:rFonts w:ascii="Verdana" w:hAnsi="Verdana"/>
          <w:b/>
          <w:bCs/>
        </w:rPr>
        <w:t> información sobre sanciones e inhabilidades </w:t>
      </w:r>
      <w:r w:rsidRPr="008869C7">
        <w:rPr>
          <w:rFonts w:ascii="Verdana" w:hAnsi="Verdana"/>
        </w:rPr>
        <w:t>solo cumple su función preventiva si llega oportunamente a los registros públicos. Sobre este deber, esta Agencia expidió la </w:t>
      </w:r>
      <w:r w:rsidRPr="008869C7">
        <w:rPr>
          <w:rFonts w:ascii="Verdana" w:hAnsi="Verdana"/>
          <w:b/>
          <w:bCs/>
        </w:rPr>
        <w:t>Circular Externa 002 del 5 de mayo de 2026,</w:t>
      </w:r>
      <w:r w:rsidRPr="008869C7">
        <w:rPr>
          <w:rFonts w:ascii="Verdana" w:hAnsi="Verdana"/>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w:t>
      </w:r>
      <w:r w:rsidRPr="008869C7">
        <w:rPr>
          <w:rFonts w:ascii="Verdana" w:hAnsi="Verdana"/>
        </w:rPr>
        <w:lastRenderedPageBreak/>
        <w:t>aquí: </w:t>
      </w:r>
      <w:hyperlink r:id="rId17" w:tgtFrame="_blank" w:tooltip="Dirección URL original: https://www.colombiacompra.gov.co/archivos/circular/circular-externa-002-de-2026. Haga clic o pulse si confía en este vínculo." w:history="1">
        <w:r w:rsidRPr="008869C7">
          <w:rPr>
            <w:rStyle w:val="Hipervnculo"/>
            <w:rFonts w:ascii="Verdana" w:hAnsi="Verdana"/>
          </w:rPr>
          <w:t>https://www.colombiacompra.gov.co/archivos/circular/circular-externa-002-de-2026</w:t>
        </w:r>
      </w:hyperlink>
    </w:p>
    <w:p w14:paraId="431EF7C4" w14:textId="77777777" w:rsidR="00571AE4" w:rsidRDefault="00571AE4" w:rsidP="00571AE4">
      <w:pPr>
        <w:spacing w:after="120" w:line="276" w:lineRule="auto"/>
        <w:jc w:val="both"/>
        <w:rPr>
          <w:rFonts w:ascii="Verdana" w:hAnsi="Verdana"/>
        </w:rPr>
      </w:pPr>
      <w:r w:rsidRPr="008869C7">
        <w:rPr>
          <w:rFonts w:ascii="Verdana" w:hAnsi="Verdana"/>
        </w:rPr>
        <w:t>Finalmente, si quieres seguir de cerca la actividad de la Agencia, la tercera edición de 2026 del</w:t>
      </w:r>
      <w:r w:rsidRPr="008869C7">
        <w:rPr>
          <w:rFonts w:ascii="Verdana" w:hAnsi="Verdana"/>
          <w:b/>
          <w:bCs/>
        </w:rPr>
        <w:t> Radar de la Compra Pública</w:t>
      </w:r>
      <w:r w:rsidRPr="008869C7">
        <w:rPr>
          <w:rFonts w:ascii="Verdana" w:hAnsi="Verdana"/>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8" w:tgtFrame="_blank" w:tooltip="Dirección URL original: https://www.colombiacompra.gov.co/archivos/boletin/boletin-edicion-n-3-de-2026-radar-de-la-compra-publica. Haga clic o pulse si confía en este vínculo." w:history="1">
        <w:r w:rsidRPr="008869C7">
          <w:rPr>
            <w:rStyle w:val="Hipervnculo"/>
            <w:rFonts w:ascii="Verdana" w:hAnsi="Verdana"/>
          </w:rPr>
          <w:t>https://www.colombiacompra.gov.co/archivos/boletin/boletin-edicion-n-3-de-2026-radar-de-la-compra-publica</w:t>
        </w:r>
      </w:hyperlink>
      <w:r w:rsidRPr="008869C7">
        <w:rPr>
          <w:rFonts w:ascii="Verdana" w:hAnsi="Verdana"/>
        </w:rPr>
        <w:t>"</w:t>
      </w:r>
    </w:p>
    <w:p w14:paraId="161402A8" w14:textId="77777777" w:rsidR="00571AE4" w:rsidRDefault="00571AE4" w:rsidP="00571AE4">
      <w:pPr>
        <w:spacing w:after="120" w:line="276" w:lineRule="auto"/>
        <w:jc w:val="both"/>
        <w:rPr>
          <w:rFonts w:ascii="Verdana" w:hAnsi="Verdana"/>
        </w:rPr>
      </w:pPr>
    </w:p>
    <w:p w14:paraId="18B6A274" w14:textId="77777777" w:rsidR="00571AE4" w:rsidRPr="00237766" w:rsidRDefault="00571AE4" w:rsidP="00571AE4">
      <w:pPr>
        <w:spacing w:after="120" w:line="276" w:lineRule="auto"/>
        <w:jc w:val="both"/>
        <w:rPr>
          <w:rFonts w:ascii="Verdana" w:eastAsia="Calibri" w:hAnsi="Verdana" w:cs="Times New Roman"/>
        </w:rPr>
      </w:pPr>
      <w:r w:rsidRPr="008E4F36">
        <w:rPr>
          <w:rFonts w:ascii="Verdana" w:hAnsi="Verdana"/>
        </w:rPr>
        <w:t xml:space="preserve">Aprovechamos la oportunidad para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3182F131" w14:textId="77777777" w:rsidR="00571AE4" w:rsidRPr="008E4F36" w:rsidRDefault="00571AE4" w:rsidP="00571AE4">
      <w:pPr>
        <w:pStyle w:val="Prrafodelista"/>
        <w:numPr>
          <w:ilvl w:val="0"/>
          <w:numId w:val="15"/>
        </w:numPr>
        <w:spacing w:after="0" w:line="276" w:lineRule="auto"/>
        <w:contextualSpacing w:val="0"/>
        <w:jc w:val="both"/>
        <w:rPr>
          <w:rFonts w:ascii="Verdana" w:hAnsi="Verdana"/>
        </w:rPr>
      </w:pPr>
      <w:r w:rsidRPr="008E4F36">
        <w:rPr>
          <w:rFonts w:ascii="Verdana" w:hAnsi="Verdana"/>
        </w:rPr>
        <w:t>Línea nacional gratuita o servicio a la ciudadanía: 01800 0520808</w:t>
      </w:r>
    </w:p>
    <w:p w14:paraId="076BAF5C" w14:textId="77777777" w:rsidR="00571AE4" w:rsidRPr="008E4F36" w:rsidRDefault="00571AE4" w:rsidP="00571AE4">
      <w:pPr>
        <w:pStyle w:val="Prrafodelista"/>
        <w:numPr>
          <w:ilvl w:val="0"/>
          <w:numId w:val="15"/>
        </w:numPr>
        <w:spacing w:after="0" w:line="276" w:lineRule="auto"/>
        <w:contextualSpacing w:val="0"/>
        <w:jc w:val="both"/>
        <w:rPr>
          <w:rFonts w:ascii="Verdana" w:hAnsi="Verdana"/>
        </w:rPr>
      </w:pPr>
      <w:r w:rsidRPr="008E4F36">
        <w:rPr>
          <w:rFonts w:ascii="Verdana" w:hAnsi="Verdana"/>
        </w:rPr>
        <w:t>Línea en Bogotá (Mesa de servicio): +57 601 7456788</w:t>
      </w:r>
    </w:p>
    <w:p w14:paraId="493305A2" w14:textId="77777777" w:rsidR="00571AE4" w:rsidRPr="008E4F36" w:rsidRDefault="00571AE4" w:rsidP="00571AE4">
      <w:pPr>
        <w:pStyle w:val="Prrafodelista"/>
        <w:numPr>
          <w:ilvl w:val="0"/>
          <w:numId w:val="15"/>
        </w:numPr>
        <w:spacing w:after="0" w:line="276" w:lineRule="auto"/>
        <w:contextualSpacing w:val="0"/>
        <w:jc w:val="both"/>
        <w:rPr>
          <w:rFonts w:ascii="Verdana" w:hAnsi="Verdana"/>
        </w:rPr>
      </w:pPr>
      <w:r w:rsidRPr="008E4F36">
        <w:rPr>
          <w:rFonts w:ascii="Verdana" w:hAnsi="Verdana"/>
        </w:rPr>
        <w:t>Línea de servicio y atención al ciudadano: +57 601 7956600</w:t>
      </w:r>
    </w:p>
    <w:p w14:paraId="456BEDF2" w14:textId="77777777" w:rsidR="00571AE4" w:rsidRPr="008E4F36" w:rsidRDefault="00571AE4" w:rsidP="00571AE4">
      <w:pPr>
        <w:pStyle w:val="Prrafodelista"/>
        <w:numPr>
          <w:ilvl w:val="0"/>
          <w:numId w:val="15"/>
        </w:numPr>
        <w:spacing w:after="0" w:line="276" w:lineRule="auto"/>
        <w:contextualSpacing w:val="0"/>
        <w:jc w:val="both"/>
        <w:rPr>
          <w:rFonts w:ascii="Verdana" w:hAnsi="Verdana"/>
        </w:rPr>
      </w:pPr>
      <w:r w:rsidRPr="008E4F36">
        <w:rPr>
          <w:rFonts w:ascii="Verdana" w:hAnsi="Verdana"/>
        </w:rPr>
        <w:t xml:space="preserve">Página web: </w:t>
      </w:r>
      <w:hyperlink r:id="rId19" w:history="1">
        <w:r w:rsidRPr="008E4F36">
          <w:rPr>
            <w:rStyle w:val="Hipervnculo"/>
            <w:rFonts w:ascii="Verdana" w:hAnsi="Verdana"/>
          </w:rPr>
          <w:t>www.colombiacompra.gov.co</w:t>
        </w:r>
      </w:hyperlink>
    </w:p>
    <w:p w14:paraId="58942B70" w14:textId="77777777" w:rsidR="00571AE4" w:rsidRPr="008E4F36" w:rsidRDefault="00571AE4" w:rsidP="00571AE4">
      <w:pPr>
        <w:spacing w:before="120" w:after="0" w:line="276" w:lineRule="auto"/>
        <w:jc w:val="both"/>
        <w:rPr>
          <w:rFonts w:ascii="Verdana" w:hAnsi="Verdana"/>
        </w:rPr>
      </w:pPr>
      <w:r w:rsidRPr="008E4F36">
        <w:rPr>
          <w:rFonts w:ascii="Verdana" w:hAnsi="Verdana"/>
        </w:rPr>
        <w:t>Por ú</w:t>
      </w:r>
      <w:r>
        <w:rPr>
          <w:rFonts w:ascii="Verdana" w:hAnsi="Verdana"/>
        </w:rPr>
        <w:t>l</w:t>
      </w:r>
      <w:r w:rsidRPr="008E4F36">
        <w:rPr>
          <w:rFonts w:ascii="Verdana" w:hAnsi="Verdana"/>
        </w:rPr>
        <w:t xml:space="preserve">timo, lo invitamos a seguirnos en las redes sociales en las cuales se difunde información institucional: </w:t>
      </w:r>
    </w:p>
    <w:p w14:paraId="47534F50" w14:textId="77777777" w:rsidR="00571AE4" w:rsidRPr="008E4F36" w:rsidRDefault="00571AE4" w:rsidP="00571AE4">
      <w:pPr>
        <w:spacing w:after="0" w:line="276" w:lineRule="auto"/>
        <w:jc w:val="both"/>
        <w:rPr>
          <w:rFonts w:ascii="Verdana" w:hAnsi="Verdana"/>
        </w:rPr>
      </w:pPr>
    </w:p>
    <w:p w14:paraId="621691EB" w14:textId="77777777" w:rsidR="00571AE4" w:rsidRPr="008E4F36" w:rsidRDefault="00571AE4" w:rsidP="00571AE4">
      <w:pPr>
        <w:spacing w:after="0" w:line="276" w:lineRule="auto"/>
        <w:jc w:val="both"/>
        <w:rPr>
          <w:rFonts w:ascii="Verdana" w:hAnsi="Verdana"/>
        </w:rPr>
      </w:pPr>
      <w:r w:rsidRPr="008E4F36">
        <w:rPr>
          <w:rFonts w:ascii="Verdana" w:hAnsi="Verdana"/>
        </w:rPr>
        <w:t xml:space="preserve">Twitter: </w:t>
      </w:r>
      <w:r w:rsidRPr="008E4F36">
        <w:rPr>
          <w:rStyle w:val="Hipervnculo"/>
          <w:rFonts w:ascii="Verdana" w:hAnsi="Verdana"/>
        </w:rPr>
        <w:t>@colombiacompra</w:t>
      </w:r>
      <w:r w:rsidRPr="008E4F36">
        <w:rPr>
          <w:rFonts w:ascii="Verdana" w:hAnsi="Verdana"/>
        </w:rPr>
        <w:t xml:space="preserve"> </w:t>
      </w:r>
    </w:p>
    <w:p w14:paraId="16E8C6C1" w14:textId="77777777" w:rsidR="00571AE4" w:rsidRPr="008E4F36" w:rsidRDefault="00571AE4" w:rsidP="00571AE4">
      <w:pPr>
        <w:spacing w:after="0" w:line="276" w:lineRule="auto"/>
        <w:jc w:val="both"/>
        <w:rPr>
          <w:rFonts w:ascii="Verdana" w:hAnsi="Verdana"/>
        </w:rPr>
      </w:pPr>
      <w:r w:rsidRPr="008E4F36">
        <w:rPr>
          <w:rFonts w:ascii="Verdana" w:hAnsi="Verdana"/>
        </w:rPr>
        <w:t xml:space="preserve">Facebook: </w:t>
      </w:r>
      <w:proofErr w:type="spellStart"/>
      <w:r w:rsidRPr="008E4F36">
        <w:rPr>
          <w:rStyle w:val="Hipervnculo"/>
          <w:rFonts w:ascii="Verdana" w:hAnsi="Verdana"/>
        </w:rPr>
        <w:t>ColombiaCompraEficiente</w:t>
      </w:r>
      <w:proofErr w:type="spellEnd"/>
    </w:p>
    <w:p w14:paraId="7B1DA08B" w14:textId="77777777" w:rsidR="00571AE4" w:rsidRPr="008E4F36" w:rsidRDefault="00571AE4" w:rsidP="00571AE4">
      <w:pPr>
        <w:spacing w:after="0" w:line="276" w:lineRule="auto"/>
        <w:jc w:val="both"/>
        <w:rPr>
          <w:rFonts w:ascii="Verdana" w:hAnsi="Verdana"/>
        </w:rPr>
      </w:pPr>
      <w:r w:rsidRPr="008E4F36">
        <w:rPr>
          <w:rFonts w:ascii="Verdana" w:hAnsi="Verdana"/>
        </w:rPr>
        <w:t xml:space="preserve">LinkedIn: </w:t>
      </w:r>
      <w:r w:rsidRPr="008E4F36">
        <w:rPr>
          <w:rStyle w:val="Hipervnculo"/>
          <w:rFonts w:ascii="Verdana" w:hAnsi="Verdana"/>
        </w:rPr>
        <w:t>Agencia Nacional de Contratación Pública - Colombia Compra Eficiente</w:t>
      </w:r>
      <w:r w:rsidRPr="008E4F36">
        <w:rPr>
          <w:rFonts w:ascii="Verdana" w:hAnsi="Verdana"/>
        </w:rPr>
        <w:t xml:space="preserve"> Instagram: </w:t>
      </w:r>
      <w:r w:rsidRPr="008E4F36">
        <w:rPr>
          <w:rStyle w:val="Hipervnculo"/>
          <w:rFonts w:ascii="Verdana" w:hAnsi="Verdana"/>
        </w:rPr>
        <w:t>@colombiacompraeficiente_cce</w:t>
      </w:r>
    </w:p>
    <w:p w14:paraId="43BE2388" w14:textId="77777777" w:rsidR="002A61FA" w:rsidRDefault="002A61FA" w:rsidP="1985F7D6">
      <w:pPr>
        <w:spacing w:before="120" w:after="0" w:line="276" w:lineRule="auto"/>
        <w:jc w:val="both"/>
        <w:rPr>
          <w:rFonts w:ascii="Verdana" w:hAnsi="Verdana"/>
        </w:rPr>
      </w:pPr>
    </w:p>
    <w:p w14:paraId="63D0D9D8" w14:textId="77777777" w:rsidR="00571AE4" w:rsidRPr="00FB6C33" w:rsidRDefault="00571AE4" w:rsidP="00571AE4">
      <w:pPr>
        <w:spacing w:before="120" w:after="0" w:line="276" w:lineRule="auto"/>
        <w:jc w:val="both"/>
        <w:rPr>
          <w:rFonts w:ascii="Verdana" w:hAnsi="Verdana"/>
        </w:rPr>
      </w:pPr>
      <w:r w:rsidRPr="00FB6C33">
        <w:rPr>
          <w:rFonts w:ascii="Verdana" w:hAnsi="Verdana"/>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5E421AB8" w14:textId="77777777" w:rsidR="00571AE4" w:rsidRPr="008E4F36" w:rsidRDefault="00571AE4" w:rsidP="00571AE4">
      <w:pPr>
        <w:spacing w:after="0" w:line="276" w:lineRule="auto"/>
        <w:jc w:val="both"/>
        <w:rPr>
          <w:rFonts w:ascii="Verdana" w:eastAsia="Calibri" w:hAnsi="Verdana" w:cs="Times New Roman"/>
        </w:rPr>
      </w:pPr>
    </w:p>
    <w:p w14:paraId="2907EA39" w14:textId="77777777" w:rsidR="00571AE4" w:rsidRDefault="00571AE4" w:rsidP="00571AE4">
      <w:pPr>
        <w:spacing w:after="0" w:line="276" w:lineRule="auto"/>
        <w:jc w:val="both"/>
        <w:rPr>
          <w:rFonts w:ascii="Verdana" w:eastAsia="Calibri" w:hAnsi="Verdana" w:cs="Times New Roman"/>
        </w:rPr>
      </w:pPr>
      <w:r w:rsidRPr="008E4F36">
        <w:rPr>
          <w:rFonts w:ascii="Verdana" w:eastAsia="Calibri" w:hAnsi="Verdana" w:cs="Times New Roman"/>
        </w:rPr>
        <w:t>Atentamente,</w:t>
      </w:r>
    </w:p>
    <w:p w14:paraId="2FB15D55" w14:textId="77777777" w:rsidR="00571AE4" w:rsidRDefault="00571AE4" w:rsidP="00571AE4">
      <w:pPr>
        <w:spacing w:after="0" w:line="256" w:lineRule="auto"/>
        <w:jc w:val="both"/>
        <w:rPr>
          <w:rFonts w:ascii="Verdana" w:eastAsia="Calibri" w:hAnsi="Verdana" w:cs="Times New Roman"/>
        </w:rPr>
      </w:pPr>
    </w:p>
    <w:p w14:paraId="2B3B78FF" w14:textId="54069F3C" w:rsidR="00571AE4" w:rsidRPr="002A61FA" w:rsidRDefault="002A61FA" w:rsidP="002A61FA">
      <w:pPr>
        <w:spacing w:after="0" w:line="256" w:lineRule="auto"/>
        <w:jc w:val="center"/>
        <w:rPr>
          <w:noProof/>
        </w:rPr>
      </w:pPr>
      <w:r>
        <w:rPr>
          <w:noProof/>
        </w:rPr>
        <w:drawing>
          <wp:inline distT="0" distB="0" distL="0" distR="0" wp14:anchorId="67107CB4" wp14:editId="7E8CE3CC">
            <wp:extent cx="3771900" cy="1400175"/>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20"/>
                    <a:stretch>
                      <a:fillRect/>
                    </a:stretch>
                  </pic:blipFill>
                  <pic:spPr>
                    <a:xfrm>
                      <a:off x="0" y="0"/>
                      <a:ext cx="3771900" cy="1400175"/>
                    </a:xfrm>
                    <a:prstGeom prst="rect">
                      <a:avLst/>
                    </a:prstGeom>
                  </pic:spPr>
                </pic:pic>
              </a:graphicData>
            </a:graphic>
          </wp:inline>
        </w:drawing>
      </w:r>
      <w:bookmarkEnd w:id="0"/>
      <w:bookmarkEnd w:id="1"/>
    </w:p>
    <w:p w14:paraId="125598C4" w14:textId="77777777" w:rsidR="00571AE4" w:rsidRDefault="00571AE4" w:rsidP="00571AE4">
      <w:pPr>
        <w:spacing w:after="0"/>
        <w:rPr>
          <w:rFonts w:ascii="Verdana" w:hAnsi="Verdana"/>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571AE4" w:rsidRPr="002423D6" w14:paraId="6EAE7434" w14:textId="77777777" w:rsidTr="007279FC">
        <w:trPr>
          <w:trHeight w:val="315"/>
        </w:trPr>
        <w:tc>
          <w:tcPr>
            <w:tcW w:w="893" w:type="dxa"/>
            <w:vAlign w:val="center"/>
            <w:hideMark/>
          </w:tcPr>
          <w:p w14:paraId="78D251DE" w14:textId="77777777" w:rsidR="00571AE4" w:rsidRPr="002423D6" w:rsidRDefault="00571AE4" w:rsidP="007279FC">
            <w:pPr>
              <w:contextualSpacing/>
              <w:rPr>
                <w:rFonts w:ascii="Verdana" w:hAnsi="Verdana" w:cs="Arial"/>
                <w:color w:val="000000" w:themeColor="text1"/>
                <w:sz w:val="16"/>
                <w:szCs w:val="16"/>
                <w:lang w:val="es-ES" w:eastAsia="es-ES"/>
              </w:rPr>
            </w:pPr>
            <w:r w:rsidRPr="002423D6">
              <w:rPr>
                <w:rFonts w:ascii="Verdana" w:hAnsi="Verdana" w:cs="Arial"/>
                <w:color w:val="000000" w:themeColor="text1"/>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379BBA78" w14:textId="77777777" w:rsidR="00571AE4" w:rsidRPr="002423D6" w:rsidRDefault="00571AE4" w:rsidP="007279FC">
            <w:pPr>
              <w:contextualSpacing/>
              <w:rPr>
                <w:rFonts w:ascii="Verdana" w:eastAsia="Arial" w:hAnsi="Verdana" w:cs="Arial"/>
                <w:color w:val="000000" w:themeColor="text1"/>
                <w:sz w:val="16"/>
                <w:szCs w:val="16"/>
              </w:rPr>
            </w:pPr>
            <w:r w:rsidRPr="002423D6">
              <w:rPr>
                <w:rFonts w:ascii="Verdana" w:eastAsia="Arial" w:hAnsi="Verdana" w:cs="Arial"/>
                <w:color w:val="000000" w:themeColor="text1"/>
                <w:sz w:val="16"/>
                <w:szCs w:val="16"/>
              </w:rPr>
              <w:t>An</w:t>
            </w:r>
            <w:r>
              <w:rPr>
                <w:rFonts w:ascii="Verdana" w:eastAsia="Arial" w:hAnsi="Verdana" w:cs="Arial"/>
                <w:color w:val="000000" w:themeColor="text1"/>
                <w:sz w:val="16"/>
                <w:szCs w:val="16"/>
              </w:rPr>
              <w:t>dreina Cerpa Muñoz</w:t>
            </w:r>
          </w:p>
          <w:p w14:paraId="6C4D5B24" w14:textId="77777777" w:rsidR="00571AE4" w:rsidRPr="002423D6" w:rsidRDefault="00571AE4" w:rsidP="007279FC">
            <w:pPr>
              <w:contextualSpacing/>
              <w:rPr>
                <w:rFonts w:ascii="Verdana" w:eastAsia="Arial" w:hAnsi="Verdana" w:cs="Arial"/>
                <w:color w:val="000000" w:themeColor="text1"/>
                <w:sz w:val="16"/>
                <w:szCs w:val="16"/>
              </w:rPr>
            </w:pPr>
            <w:r w:rsidRPr="002423D6">
              <w:rPr>
                <w:rStyle w:val="normaltextrun"/>
                <w:rFonts w:ascii="Verdana" w:eastAsia="Arial" w:hAnsi="Verdana" w:cs="Arial"/>
                <w:color w:val="000000" w:themeColor="text1"/>
                <w:sz w:val="16"/>
                <w:szCs w:val="16"/>
              </w:rPr>
              <w:t>Analista T2-02 de la Subdirección de Gestión Contractual</w:t>
            </w:r>
          </w:p>
        </w:tc>
      </w:tr>
      <w:tr w:rsidR="00571AE4" w:rsidRPr="002423D6" w14:paraId="08C86869" w14:textId="77777777" w:rsidTr="007279FC">
        <w:trPr>
          <w:trHeight w:val="330"/>
        </w:trPr>
        <w:tc>
          <w:tcPr>
            <w:tcW w:w="893" w:type="dxa"/>
            <w:vAlign w:val="center"/>
            <w:hideMark/>
          </w:tcPr>
          <w:p w14:paraId="35ACE01C" w14:textId="77777777" w:rsidR="00571AE4" w:rsidRPr="002423D6" w:rsidRDefault="00571AE4" w:rsidP="007279FC">
            <w:pPr>
              <w:contextualSpacing/>
              <w:rPr>
                <w:rFonts w:ascii="Verdana" w:hAnsi="Verdana" w:cs="Arial"/>
                <w:color w:val="000000" w:themeColor="text1"/>
                <w:sz w:val="16"/>
                <w:szCs w:val="16"/>
                <w:lang w:val="es-ES" w:eastAsia="es-ES"/>
              </w:rPr>
            </w:pPr>
            <w:r w:rsidRPr="002423D6">
              <w:rPr>
                <w:rFonts w:ascii="Verdana" w:hAnsi="Verdana" w:cs="Arial"/>
                <w:color w:val="000000" w:themeColor="text1"/>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441E5755" w14:textId="77777777" w:rsidR="00571AE4" w:rsidRPr="00A11861" w:rsidRDefault="00571AE4" w:rsidP="007279FC">
            <w:pPr>
              <w:contextualSpacing/>
              <w:rPr>
                <w:rFonts w:ascii="Verdana" w:eastAsia="Arial" w:hAnsi="Verdana" w:cs="Arial"/>
                <w:color w:val="000000" w:themeColor="text1"/>
                <w:sz w:val="16"/>
                <w:szCs w:val="16"/>
              </w:rPr>
            </w:pPr>
            <w:r>
              <w:rPr>
                <w:rFonts w:ascii="Verdana" w:eastAsia="Arial" w:hAnsi="Verdana" w:cs="Arial"/>
                <w:color w:val="000000" w:themeColor="text1"/>
                <w:sz w:val="16"/>
                <w:szCs w:val="16"/>
              </w:rPr>
              <w:t xml:space="preserve">Adriana López Rodríguez </w:t>
            </w:r>
          </w:p>
          <w:p w14:paraId="5B092474" w14:textId="77777777" w:rsidR="00571AE4" w:rsidRPr="002423D6" w:rsidRDefault="00571AE4" w:rsidP="007279FC">
            <w:pPr>
              <w:pStyle w:val="paragraph"/>
              <w:spacing w:before="0" w:beforeAutospacing="0" w:after="0" w:afterAutospacing="0"/>
              <w:contextualSpacing/>
              <w:textAlignment w:val="baseline"/>
              <w:rPr>
                <w:rFonts w:ascii="Verdana" w:hAnsi="Verdana" w:cs="Segoe UI"/>
                <w:color w:val="000000" w:themeColor="text1"/>
                <w:sz w:val="16"/>
                <w:szCs w:val="16"/>
              </w:rPr>
            </w:pPr>
            <w:r w:rsidRPr="002423D6">
              <w:rPr>
                <w:rStyle w:val="normaltextrun"/>
                <w:rFonts w:ascii="Verdana" w:hAnsi="Verdana" w:cs="Arial"/>
                <w:color w:val="000000" w:themeColor="text1"/>
                <w:sz w:val="16"/>
                <w:szCs w:val="16"/>
                <w:lang w:val="es-ES"/>
              </w:rPr>
              <w:t>Contratista de la Subdirección de Gestión Contractual</w:t>
            </w:r>
            <w:r w:rsidRPr="002423D6">
              <w:rPr>
                <w:rStyle w:val="eop"/>
                <w:rFonts w:ascii="Verdana" w:hAnsi="Verdana" w:cs="Arial"/>
                <w:color w:val="000000" w:themeColor="text1"/>
                <w:sz w:val="16"/>
                <w:szCs w:val="16"/>
              </w:rPr>
              <w:t> </w:t>
            </w:r>
          </w:p>
        </w:tc>
      </w:tr>
      <w:tr w:rsidR="00571AE4" w:rsidRPr="002423D6" w14:paraId="59BDD9E8" w14:textId="77777777" w:rsidTr="007279FC">
        <w:trPr>
          <w:trHeight w:val="300"/>
        </w:trPr>
        <w:tc>
          <w:tcPr>
            <w:tcW w:w="893" w:type="dxa"/>
            <w:vAlign w:val="center"/>
          </w:tcPr>
          <w:p w14:paraId="0B5A37B3" w14:textId="77777777" w:rsidR="00571AE4" w:rsidRPr="002423D6" w:rsidRDefault="00571AE4" w:rsidP="007279FC">
            <w:pPr>
              <w:contextualSpacing/>
              <w:rPr>
                <w:rFonts w:ascii="Verdana" w:hAnsi="Verdana" w:cs="Arial"/>
                <w:color w:val="000000" w:themeColor="text1"/>
                <w:sz w:val="16"/>
                <w:szCs w:val="16"/>
                <w:lang w:val="es-ES" w:eastAsia="es-ES"/>
              </w:rPr>
            </w:pPr>
            <w:r w:rsidRPr="002423D6">
              <w:rPr>
                <w:rFonts w:ascii="Verdana" w:hAnsi="Verdana" w:cs="Arial"/>
                <w:color w:val="000000" w:themeColor="text1"/>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1F17804E" w14:textId="77777777" w:rsidR="00571AE4" w:rsidRPr="002423D6" w:rsidRDefault="00571AE4" w:rsidP="007279FC">
            <w:pPr>
              <w:contextualSpacing/>
              <w:rPr>
                <w:rFonts w:ascii="Verdana" w:eastAsia="Calibri" w:hAnsi="Verdana" w:cs="Arial"/>
                <w:color w:val="000000" w:themeColor="text1"/>
                <w:sz w:val="16"/>
                <w:szCs w:val="16"/>
                <w:lang w:val="pt-BR" w:eastAsia="es-ES"/>
              </w:rPr>
            </w:pPr>
            <w:r w:rsidRPr="002423D6">
              <w:rPr>
                <w:rFonts w:ascii="Verdana" w:eastAsia="Calibri" w:hAnsi="Verdana" w:cs="Arial"/>
                <w:color w:val="000000" w:themeColor="text1"/>
                <w:sz w:val="16"/>
                <w:szCs w:val="16"/>
                <w:lang w:val="pt-BR" w:eastAsia="es-ES"/>
              </w:rPr>
              <w:t xml:space="preserve">Carolina Quintero </w:t>
            </w:r>
            <w:proofErr w:type="spellStart"/>
            <w:r w:rsidRPr="002423D6">
              <w:rPr>
                <w:rFonts w:ascii="Verdana" w:eastAsia="Calibri" w:hAnsi="Verdana" w:cs="Arial"/>
                <w:color w:val="000000" w:themeColor="text1"/>
                <w:sz w:val="16"/>
                <w:szCs w:val="16"/>
                <w:lang w:val="pt-BR" w:eastAsia="es-ES"/>
              </w:rPr>
              <w:t>Gacharná</w:t>
            </w:r>
            <w:proofErr w:type="spellEnd"/>
          </w:p>
          <w:p w14:paraId="63A2059A" w14:textId="77777777" w:rsidR="00571AE4" w:rsidRPr="002423D6" w:rsidRDefault="00571AE4" w:rsidP="007279FC">
            <w:pPr>
              <w:contextualSpacing/>
              <w:rPr>
                <w:rFonts w:ascii="Verdana" w:eastAsia="Calibri" w:hAnsi="Verdana" w:cs="Arial"/>
                <w:color w:val="000000" w:themeColor="text1"/>
                <w:sz w:val="16"/>
                <w:szCs w:val="16"/>
                <w:lang w:val="pt-BR" w:eastAsia="es-ES"/>
              </w:rPr>
            </w:pPr>
            <w:r w:rsidRPr="002423D6">
              <w:rPr>
                <w:rFonts w:ascii="Verdana" w:eastAsia="Calibri" w:hAnsi="Verdana" w:cs="Arial"/>
                <w:color w:val="000000" w:themeColor="text1"/>
                <w:sz w:val="16"/>
                <w:szCs w:val="16"/>
                <w:lang w:eastAsia="es-ES"/>
              </w:rPr>
              <w:t>Subdirectora</w:t>
            </w:r>
            <w:r w:rsidRPr="002423D6">
              <w:rPr>
                <w:rFonts w:ascii="Verdana" w:eastAsia="Calibri" w:hAnsi="Verdana" w:cs="Arial"/>
                <w:color w:val="000000" w:themeColor="text1"/>
                <w:sz w:val="16"/>
                <w:szCs w:val="16"/>
                <w:lang w:val="pt-BR" w:eastAsia="es-ES"/>
              </w:rPr>
              <w:t xml:space="preserve"> de Gestión </w:t>
            </w:r>
            <w:proofErr w:type="spellStart"/>
            <w:r w:rsidRPr="002423D6">
              <w:rPr>
                <w:rFonts w:ascii="Verdana" w:eastAsia="Calibri" w:hAnsi="Verdana" w:cs="Arial"/>
                <w:color w:val="000000" w:themeColor="text1"/>
                <w:sz w:val="16"/>
                <w:szCs w:val="16"/>
                <w:lang w:val="pt-BR" w:eastAsia="es-ES"/>
              </w:rPr>
              <w:t>Contractual</w:t>
            </w:r>
            <w:proofErr w:type="spellEnd"/>
            <w:r w:rsidRPr="002423D6">
              <w:rPr>
                <w:rFonts w:ascii="Verdana" w:eastAsia="Calibri" w:hAnsi="Verdana" w:cs="Arial"/>
                <w:color w:val="000000" w:themeColor="text1"/>
                <w:sz w:val="16"/>
                <w:szCs w:val="16"/>
                <w:lang w:val="pt-BR" w:eastAsia="es-ES"/>
              </w:rPr>
              <w:t xml:space="preserve"> ANCP – CCE</w:t>
            </w:r>
          </w:p>
        </w:tc>
      </w:tr>
    </w:tbl>
    <w:p w14:paraId="635D87E0" w14:textId="77777777" w:rsidR="00571AE4" w:rsidRDefault="00571AE4" w:rsidP="00571AE4"/>
    <w:p w14:paraId="16327A1D" w14:textId="4FD25F46" w:rsidR="00571AE4" w:rsidRDefault="00571AE4" w:rsidP="00571AE4">
      <w:r>
        <w:t xml:space="preserve"> </w:t>
      </w:r>
    </w:p>
    <w:p w14:paraId="0F293BF4" w14:textId="510A4004" w:rsidR="00127233" w:rsidRPr="00571AE4" w:rsidRDefault="00127233" w:rsidP="00571AE4"/>
    <w:sectPr w:rsidR="00127233" w:rsidRPr="00571AE4" w:rsidSect="007C0C0F">
      <w:headerReference w:type="default" r:id="rId21"/>
      <w:footerReference w:type="default" r:id="rId22"/>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AA4896" w14:textId="77777777" w:rsidR="001971AA" w:rsidRDefault="001971AA" w:rsidP="004A1847">
      <w:pPr>
        <w:spacing w:after="0" w:line="240" w:lineRule="auto"/>
      </w:pPr>
      <w:r>
        <w:separator/>
      </w:r>
    </w:p>
  </w:endnote>
  <w:endnote w:type="continuationSeparator" w:id="0">
    <w:p w14:paraId="6D22277B" w14:textId="77777777" w:rsidR="001971AA" w:rsidRDefault="001971AA"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20B0604020202020204"/>
    <w:charset w:val="00"/>
    <w:family w:val="modern"/>
    <w:notTrueType/>
    <w:pitch w:val="variable"/>
    <w:sig w:usb0="A000002F" w:usb1="1000004A" w:usb2="00000000" w:usb3="00000000" w:csb0="00000193" w:csb1="00000000"/>
  </w:font>
  <w:font w:name="Geomanist">
    <w:altName w:val="Calibri"/>
    <w:panose1 w:val="020B0604020202020204"/>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20B0604020202020204"/>
    <w:charset w:val="00"/>
    <w:family w:val="modern"/>
    <w:notTrueType/>
    <w:pitch w:val="variable"/>
    <w:sig w:usb0="A000002F" w:usb1="1000004A" w:usb2="00000000" w:usb3="00000000" w:csb0="00000193" w:csb1="00000000"/>
  </w:font>
  <w:font w:name="Geo">
    <w:altName w:val="Calibri"/>
    <w:panose1 w:val="020B0604020202020204"/>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FD9B46D" w14:textId="77777777" w:rsidR="001971AA" w:rsidRDefault="001971AA" w:rsidP="004A1847">
      <w:pPr>
        <w:spacing w:after="0" w:line="240" w:lineRule="auto"/>
      </w:pPr>
      <w:r>
        <w:separator/>
      </w:r>
    </w:p>
  </w:footnote>
  <w:footnote w:type="continuationSeparator" w:id="0">
    <w:p w14:paraId="13F0E56E" w14:textId="77777777" w:rsidR="001971AA" w:rsidRDefault="001971AA" w:rsidP="004A1847">
      <w:pPr>
        <w:spacing w:after="0" w:line="240" w:lineRule="auto"/>
      </w:pPr>
      <w:r>
        <w:continuationSeparator/>
      </w:r>
    </w:p>
  </w:footnote>
  <w:footnote w:id="1">
    <w:p w14:paraId="7E0B610E" w14:textId="77777777" w:rsidR="00571AE4" w:rsidRPr="00202DC1" w:rsidRDefault="00571AE4" w:rsidP="00571AE4">
      <w:pPr>
        <w:pStyle w:val="Textonotapie"/>
        <w:ind w:right="108" w:firstLine="709"/>
        <w:jc w:val="both"/>
        <w:rPr>
          <w:rFonts w:ascii="Verdana" w:hAnsi="Verdana" w:cs="Arial"/>
          <w:sz w:val="14"/>
          <w:szCs w:val="14"/>
        </w:rPr>
      </w:pPr>
      <w:r w:rsidRPr="00202DC1">
        <w:rPr>
          <w:rStyle w:val="Refdenotaalpie"/>
          <w:rFonts w:ascii="Verdana" w:hAnsi="Verdana" w:cs="Arial"/>
          <w:sz w:val="14"/>
          <w:szCs w:val="14"/>
        </w:rPr>
        <w:footnoteRef/>
      </w:r>
      <w:r w:rsidRPr="00202DC1">
        <w:rPr>
          <w:rFonts w:ascii="Verdana" w:hAnsi="Verdana" w:cs="Arial"/>
          <w:sz w:val="14"/>
          <w:szCs w:val="14"/>
        </w:rPr>
        <w:t xml:space="preserve"> CONSEJO DE ESTADO. Sección Tercera. Sentencia del 4 de abril de 2002, C.P. Alier E. Hernández Enríquez, Rad. 1999-0290-01 (17.244).</w:t>
      </w:r>
    </w:p>
  </w:footnote>
  <w:footnote w:id="2">
    <w:p w14:paraId="15974BCD" w14:textId="77777777" w:rsidR="00571AE4" w:rsidRPr="0031671B" w:rsidRDefault="00571AE4" w:rsidP="00571AE4">
      <w:pPr>
        <w:spacing w:after="0" w:line="242" w:lineRule="auto"/>
        <w:ind w:right="108" w:firstLine="709"/>
        <w:jc w:val="both"/>
        <w:rPr>
          <w:rFonts w:ascii="Verdana" w:hAnsi="Verdana" w:cs="Arial"/>
          <w:sz w:val="16"/>
          <w:szCs w:val="16"/>
        </w:rPr>
      </w:pPr>
      <w:r w:rsidRPr="00202DC1">
        <w:rPr>
          <w:rStyle w:val="Refdenotaalpie"/>
          <w:rFonts w:ascii="Verdana" w:hAnsi="Verdana" w:cs="Arial"/>
          <w:sz w:val="14"/>
          <w:szCs w:val="14"/>
        </w:rPr>
        <w:footnoteRef/>
      </w:r>
      <w:r w:rsidRPr="00202DC1">
        <w:rPr>
          <w:rFonts w:ascii="Verdana" w:hAnsi="Verdana" w:cs="Arial"/>
          <w:sz w:val="14"/>
          <w:szCs w:val="14"/>
        </w:rPr>
        <w:t xml:space="preserve"> CONSEJO DE ESTADO. Sección Tercera. Auto del 30 de enero de 2008. Rad. 32.867. M.P. Mauricio Fajardo Gómez: “A partir de la vigencia de la Ley 80, expedida en el año de 1993, el ordenamiento positivo adoptó la categoría del contrato estatal, el cual -al margen de los reparos que amerita la definición contenida en la parte inicial de su artículo 32-, se encuentra legalmente definido como aquel acto jurídico creador de obligaciones a cuya celebración concurra una de las entidades estatales que menciona el artículo 2º ibídem, independientemente de que se trate de contratos previstos o tipificados en el derecho privado, en disposiciones especiales o que sencillamente resulten del ejercicio de la autonomía de la voluntad como suele suceder con los que se clasifican como atípicos e innominados (artículo 32, Ley 80). Así pues, la Ley 80 adoptó un criterio eminentemente subjetivo u orgánico, esto es en atención a la naturaleza de los sujetos u órganos que intervienen en la formación del vínculo contractual, para efectos de determinar que los contratos podrán catalogarse como estatales únicamente en cuanto en uno de sus extremos, al menos, se encuentre una entidad</w:t>
      </w:r>
      <w:r w:rsidRPr="00202DC1">
        <w:rPr>
          <w:rFonts w:ascii="Verdana" w:hAnsi="Verdana" w:cs="Arial"/>
          <w:spacing w:val="-2"/>
          <w:sz w:val="14"/>
          <w:szCs w:val="14"/>
        </w:rPr>
        <w:t xml:space="preserve"> </w:t>
      </w:r>
      <w:r w:rsidRPr="00202DC1">
        <w:rPr>
          <w:rFonts w:ascii="Verdana" w:hAnsi="Verdana" w:cs="Arial"/>
          <w:sz w:val="14"/>
          <w:szCs w:val="14"/>
        </w:rPr>
        <w:t xml:space="preserve">estatal”. </w:t>
      </w:r>
    </w:p>
  </w:footnote>
  <w:footnote w:id="3">
    <w:p w14:paraId="6843B8BC" w14:textId="77777777" w:rsidR="00571AE4" w:rsidRPr="00463641" w:rsidRDefault="00571AE4" w:rsidP="00571AE4">
      <w:pPr>
        <w:pStyle w:val="Textonotapie"/>
        <w:ind w:firstLine="708"/>
        <w:jc w:val="both"/>
        <w:rPr>
          <w:rFonts w:ascii="Verdana" w:hAnsi="Verdana"/>
          <w:sz w:val="14"/>
          <w:szCs w:val="14"/>
          <w:lang w:val="es-CO"/>
        </w:rPr>
      </w:pPr>
      <w:r w:rsidRPr="00463641">
        <w:rPr>
          <w:rStyle w:val="Refdenotaalpie"/>
          <w:rFonts w:ascii="Verdana" w:hAnsi="Verdana"/>
          <w:sz w:val="14"/>
          <w:szCs w:val="14"/>
        </w:rPr>
        <w:footnoteRef/>
      </w:r>
      <w:r w:rsidRPr="00463641">
        <w:rPr>
          <w:rFonts w:ascii="Verdana" w:hAnsi="Verdana"/>
          <w:sz w:val="14"/>
          <w:szCs w:val="14"/>
        </w:rPr>
        <w:t xml:space="preserve"> </w:t>
      </w:r>
      <w:r w:rsidRPr="00463641">
        <w:rPr>
          <w:rFonts w:ascii="Verdana" w:hAnsi="Verdana" w:cs="Arial"/>
          <w:sz w:val="14"/>
          <w:szCs w:val="14"/>
          <w:lang w:val="es-ES"/>
        </w:rPr>
        <w:t xml:space="preserve">Por ello, “[…] </w:t>
      </w:r>
      <w:r w:rsidRPr="00463641">
        <w:rPr>
          <w:rFonts w:ascii="Verdana" w:hAnsi="Verdana" w:cs="Arial"/>
          <w:sz w:val="14"/>
          <w:szCs w:val="14"/>
        </w:rPr>
        <w:t xml:space="preserve">la clasificación de estatal, respecto de un determinado contrato, no determina, </w:t>
      </w:r>
      <w:r w:rsidRPr="00463641">
        <w:rPr>
          <w:rFonts w:ascii="Verdana" w:hAnsi="Verdana" w:cs="Arial"/>
          <w:i/>
          <w:iCs/>
          <w:sz w:val="14"/>
          <w:szCs w:val="14"/>
        </w:rPr>
        <w:t>per se</w:t>
      </w:r>
      <w:r w:rsidRPr="00463641">
        <w:rPr>
          <w:rFonts w:ascii="Verdana" w:hAnsi="Verdana" w:cs="Arial"/>
          <w:sz w:val="14"/>
          <w:szCs w:val="14"/>
        </w:rPr>
        <w:t>, el régimen legal que deba aplicársele al mismo, puesto que resulta perfectamente posible, incluso en relación con contratos estatales propiamente dichos, que las normas sustanciales a la cuales deba someterse la relación contractual sean aquellas que formen parte del denominado derecho privado, sin que por ello pierda su condición de estatal, así como también puede resultar -como ocurre con la generalidad de los casos-, que el régimen jurídico correspondiente sea mixto, esto es integrado tanto por normas de derecho público como de derecho privado” (</w:t>
      </w:r>
      <w:r w:rsidRPr="00463641">
        <w:rPr>
          <w:rFonts w:ascii="Verdana" w:hAnsi="Verdana" w:cs="Arial"/>
          <w:i/>
          <w:iCs/>
          <w:sz w:val="14"/>
          <w:szCs w:val="14"/>
        </w:rPr>
        <w:t>Ibidem</w:t>
      </w:r>
      <w:r w:rsidRPr="00463641">
        <w:rPr>
          <w:rFonts w:ascii="Verdana" w:hAnsi="Verdana" w:cs="Arial"/>
          <w:sz w:val="14"/>
          <w:szCs w:val="14"/>
        </w:rPr>
        <w:t>).</w:t>
      </w:r>
    </w:p>
  </w:footnote>
  <w:footnote w:id="4">
    <w:p w14:paraId="0912E628" w14:textId="77777777" w:rsidR="00571AE4" w:rsidRPr="0031671B" w:rsidRDefault="00571AE4" w:rsidP="00571AE4">
      <w:pPr>
        <w:pStyle w:val="Textonotapie"/>
        <w:ind w:firstLine="708"/>
        <w:jc w:val="both"/>
        <w:rPr>
          <w:rFonts w:ascii="Verdana" w:hAnsi="Verdana" w:cs="Arial"/>
          <w:sz w:val="16"/>
          <w:szCs w:val="16"/>
          <w:lang w:val="es-ES"/>
        </w:rPr>
      </w:pPr>
      <w:r w:rsidRPr="00463641">
        <w:rPr>
          <w:rStyle w:val="Refdenotaalpie"/>
          <w:rFonts w:ascii="Verdana" w:hAnsi="Verdana" w:cs="Arial"/>
          <w:sz w:val="14"/>
          <w:szCs w:val="14"/>
        </w:rPr>
        <w:footnoteRef/>
      </w:r>
      <w:r w:rsidRPr="00463641">
        <w:rPr>
          <w:rFonts w:ascii="Verdana" w:hAnsi="Verdana" w:cs="Arial"/>
          <w:sz w:val="14"/>
          <w:szCs w:val="14"/>
        </w:rPr>
        <w:t xml:space="preserve"> Cfr. BENAVIDES, José Luis. El contrato estatal: entre el derecho público y el derecho privado. Segunda edición. Bogotá: Universidad Externado de Colombia, 2009. pp. 78-79.      </w:t>
      </w:r>
    </w:p>
  </w:footnote>
  <w:footnote w:id="5">
    <w:p w14:paraId="3514488D" w14:textId="77777777" w:rsidR="00571AE4" w:rsidRPr="0031671B" w:rsidRDefault="00571AE4" w:rsidP="00571AE4">
      <w:pPr>
        <w:pStyle w:val="Textonotapie"/>
        <w:ind w:firstLine="708"/>
        <w:jc w:val="both"/>
        <w:rPr>
          <w:rFonts w:ascii="Verdana" w:hAnsi="Verdana" w:cs="Arial"/>
          <w:sz w:val="16"/>
          <w:szCs w:val="16"/>
          <w:lang w:val="es-ES"/>
        </w:rPr>
      </w:pPr>
      <w:r w:rsidRPr="0031671B">
        <w:rPr>
          <w:rStyle w:val="Refdenotaalpie"/>
          <w:rFonts w:ascii="Verdana" w:hAnsi="Verdana" w:cs="Arial"/>
          <w:sz w:val="16"/>
          <w:szCs w:val="16"/>
        </w:rPr>
        <w:footnoteRef/>
      </w:r>
      <w:r w:rsidRPr="0031671B">
        <w:rPr>
          <w:rFonts w:ascii="Verdana" w:hAnsi="Verdana" w:cs="Arial"/>
          <w:sz w:val="16"/>
          <w:szCs w:val="16"/>
        </w:rPr>
        <w:t xml:space="preserve"> BETANCUR JARAMILLO, Carlos. Derecho procesal administrativo. Octava edición. Medellín: Señal Editora, 2013. p. 627. </w:t>
      </w:r>
    </w:p>
  </w:footnote>
  <w:footnote w:id="6">
    <w:p w14:paraId="66300FA7" w14:textId="77777777" w:rsidR="00571AE4" w:rsidRPr="007E2DF6" w:rsidRDefault="00571AE4" w:rsidP="00571AE4">
      <w:pPr>
        <w:pStyle w:val="Textonotapie"/>
        <w:ind w:firstLine="709"/>
        <w:jc w:val="both"/>
        <w:rPr>
          <w:rFonts w:ascii="Verdana" w:hAnsi="Verdana" w:cs="Arial"/>
          <w:sz w:val="16"/>
          <w:szCs w:val="16"/>
        </w:rPr>
      </w:pPr>
      <w:r w:rsidRPr="007E2DF6">
        <w:rPr>
          <w:rStyle w:val="Refdenotaalpie"/>
          <w:rFonts w:ascii="Verdana" w:hAnsi="Verdana" w:cs="Arial"/>
          <w:sz w:val="16"/>
          <w:szCs w:val="16"/>
        </w:rPr>
        <w:footnoteRef/>
      </w:r>
      <w:r w:rsidRPr="007E2DF6">
        <w:rPr>
          <w:rFonts w:ascii="Verdana" w:hAnsi="Verdana" w:cs="Arial"/>
          <w:sz w:val="16"/>
          <w:szCs w:val="16"/>
        </w:rPr>
        <w:t xml:space="preserve"> CONSEJO DE ESTADO, Sala de Consulta y Servicio Civil. Radicado No. 1453. Concepto de 6 de agosto de 2003. MP. Augusto Trejos.</w:t>
      </w:r>
    </w:p>
  </w:footnote>
  <w:footnote w:id="7">
    <w:p w14:paraId="5CD56FFA" w14:textId="77777777" w:rsidR="00571AE4" w:rsidRPr="00F26E5F" w:rsidRDefault="00571AE4" w:rsidP="00571AE4">
      <w:pPr>
        <w:pStyle w:val="Textonotapie"/>
        <w:ind w:firstLine="708"/>
        <w:jc w:val="both"/>
        <w:rPr>
          <w:rFonts w:ascii="Verdana" w:hAnsi="Verdana"/>
          <w:sz w:val="16"/>
          <w:szCs w:val="16"/>
        </w:rPr>
      </w:pPr>
      <w:r w:rsidRPr="00F26E5F">
        <w:rPr>
          <w:rStyle w:val="Refdenotaalpie"/>
          <w:rFonts w:ascii="Verdana" w:hAnsi="Verdana"/>
          <w:sz w:val="16"/>
          <w:szCs w:val="16"/>
        </w:rPr>
        <w:footnoteRef/>
      </w:r>
      <w:r w:rsidRPr="00F26E5F">
        <w:rPr>
          <w:rFonts w:ascii="Verdana" w:hAnsi="Verdana"/>
          <w:sz w:val="16"/>
          <w:szCs w:val="16"/>
        </w:rPr>
        <w:t xml:space="preserve"> </w:t>
      </w:r>
      <w:r>
        <w:rPr>
          <w:rFonts w:ascii="Verdana" w:hAnsi="Verdana"/>
          <w:sz w:val="16"/>
          <w:szCs w:val="16"/>
        </w:rPr>
        <w:t xml:space="preserve">Para la doctrina, “[…] </w:t>
      </w:r>
      <w:r w:rsidRPr="00F26E5F">
        <w:rPr>
          <w:rFonts w:ascii="Verdana" w:hAnsi="Verdana"/>
          <w:sz w:val="16"/>
          <w:szCs w:val="16"/>
        </w:rPr>
        <w:t>ni el objeto (art. 2.º) ni las funciones (art. 3.º) que</w:t>
      </w:r>
      <w:r>
        <w:rPr>
          <w:rFonts w:ascii="Verdana" w:hAnsi="Verdana"/>
          <w:sz w:val="16"/>
          <w:szCs w:val="16"/>
        </w:rPr>
        <w:t xml:space="preserve"> </w:t>
      </w:r>
      <w:r w:rsidRPr="00F26E5F">
        <w:rPr>
          <w:rFonts w:ascii="Verdana" w:hAnsi="Verdana"/>
          <w:sz w:val="16"/>
          <w:szCs w:val="16"/>
        </w:rPr>
        <w:t>la ley de creación confió a la Agencia (Dcto.-Ley 4170/11)</w:t>
      </w:r>
      <w:r>
        <w:rPr>
          <w:rFonts w:ascii="Verdana" w:hAnsi="Verdana"/>
          <w:sz w:val="16"/>
          <w:szCs w:val="16"/>
        </w:rPr>
        <w:t xml:space="preserve"> </w:t>
      </w:r>
      <w:r w:rsidRPr="00F26E5F">
        <w:rPr>
          <w:rFonts w:ascii="Verdana" w:hAnsi="Verdana"/>
          <w:sz w:val="16"/>
          <w:szCs w:val="16"/>
        </w:rPr>
        <w:t>comprenden competencias normativas sobre la contratación.</w:t>
      </w:r>
      <w:r>
        <w:rPr>
          <w:rFonts w:ascii="Verdana" w:hAnsi="Verdana"/>
          <w:sz w:val="16"/>
          <w:szCs w:val="16"/>
        </w:rPr>
        <w:t xml:space="preserve"> </w:t>
      </w:r>
      <w:r w:rsidRPr="00F26E5F">
        <w:rPr>
          <w:rFonts w:ascii="Verdana" w:hAnsi="Verdana"/>
          <w:sz w:val="16"/>
          <w:szCs w:val="16"/>
        </w:rPr>
        <w:t>Aunque el numeral 2.º del artículo 3.º le confiere las funciones</w:t>
      </w:r>
      <w:r>
        <w:rPr>
          <w:rFonts w:ascii="Verdana" w:hAnsi="Verdana"/>
          <w:sz w:val="16"/>
          <w:szCs w:val="16"/>
        </w:rPr>
        <w:t xml:space="preserve"> </w:t>
      </w:r>
      <w:r w:rsidRPr="00F26E5F">
        <w:rPr>
          <w:rFonts w:ascii="Verdana" w:hAnsi="Verdana"/>
          <w:sz w:val="16"/>
          <w:szCs w:val="16"/>
        </w:rPr>
        <w:t xml:space="preserve">de </w:t>
      </w:r>
      <w:r>
        <w:rPr>
          <w:rFonts w:ascii="Verdana" w:hAnsi="Verdana"/>
          <w:sz w:val="16"/>
          <w:szCs w:val="16"/>
        </w:rPr>
        <w:t>‘</w:t>
      </w:r>
      <w:r w:rsidRPr="00F26E5F">
        <w:rPr>
          <w:rFonts w:ascii="Verdana" w:hAnsi="Verdana"/>
          <w:sz w:val="16"/>
          <w:szCs w:val="16"/>
        </w:rPr>
        <w:t>desarrollar, implementar […] normas […] que faciliten</w:t>
      </w:r>
      <w:r>
        <w:rPr>
          <w:rFonts w:ascii="Verdana" w:hAnsi="Verdana"/>
          <w:sz w:val="16"/>
          <w:szCs w:val="16"/>
        </w:rPr>
        <w:t xml:space="preserve"> </w:t>
      </w:r>
      <w:r w:rsidRPr="00F26E5F">
        <w:rPr>
          <w:rFonts w:ascii="Verdana" w:hAnsi="Verdana"/>
          <w:sz w:val="16"/>
          <w:szCs w:val="16"/>
        </w:rPr>
        <w:t>las compras y contratación pública del Estado y promuevan las mejores prácticas</w:t>
      </w:r>
      <w:r>
        <w:rPr>
          <w:rFonts w:ascii="Verdana" w:hAnsi="Verdana"/>
          <w:sz w:val="16"/>
          <w:szCs w:val="16"/>
        </w:rPr>
        <w:t>’</w:t>
      </w:r>
      <w:r w:rsidRPr="00F26E5F">
        <w:rPr>
          <w:rFonts w:ascii="Verdana" w:hAnsi="Verdana"/>
          <w:sz w:val="16"/>
          <w:szCs w:val="16"/>
        </w:rPr>
        <w:t>, ello no puede concebirse como</w:t>
      </w:r>
      <w:r>
        <w:rPr>
          <w:rFonts w:ascii="Verdana" w:hAnsi="Verdana"/>
          <w:sz w:val="16"/>
          <w:szCs w:val="16"/>
        </w:rPr>
        <w:t xml:space="preserve"> </w:t>
      </w:r>
      <w:r w:rsidRPr="00F26E5F">
        <w:rPr>
          <w:rFonts w:ascii="Verdana" w:hAnsi="Verdana"/>
          <w:sz w:val="16"/>
          <w:szCs w:val="16"/>
        </w:rPr>
        <w:t>una competencia específicamente normativa. Su misión de</w:t>
      </w:r>
      <w:r>
        <w:rPr>
          <w:rFonts w:ascii="Verdana" w:hAnsi="Verdana"/>
          <w:sz w:val="16"/>
          <w:szCs w:val="16"/>
        </w:rPr>
        <w:t xml:space="preserve"> </w:t>
      </w:r>
      <w:r w:rsidRPr="00F26E5F">
        <w:rPr>
          <w:rFonts w:ascii="Verdana" w:hAnsi="Verdana"/>
          <w:sz w:val="16"/>
          <w:szCs w:val="16"/>
        </w:rPr>
        <w:t>carácter técnico es promover las mejores condiciones de</w:t>
      </w:r>
      <w:r>
        <w:rPr>
          <w:rFonts w:ascii="Verdana" w:hAnsi="Verdana"/>
          <w:sz w:val="16"/>
          <w:szCs w:val="16"/>
        </w:rPr>
        <w:t xml:space="preserve"> </w:t>
      </w:r>
      <w:r w:rsidRPr="00F26E5F">
        <w:rPr>
          <w:rFonts w:ascii="Verdana" w:hAnsi="Verdana"/>
          <w:sz w:val="16"/>
          <w:szCs w:val="16"/>
        </w:rPr>
        <w:t>contratación, lo que comprende la realización de estudios</w:t>
      </w:r>
      <w:r>
        <w:rPr>
          <w:rFonts w:ascii="Verdana" w:hAnsi="Verdana"/>
          <w:sz w:val="16"/>
          <w:szCs w:val="16"/>
        </w:rPr>
        <w:t xml:space="preserve"> </w:t>
      </w:r>
      <w:r w:rsidRPr="00F26E5F">
        <w:rPr>
          <w:rFonts w:ascii="Verdana" w:hAnsi="Verdana"/>
          <w:sz w:val="16"/>
          <w:szCs w:val="16"/>
        </w:rPr>
        <w:t>y diagnósticos (num. 4.º), la difusión de normas, reglas y</w:t>
      </w:r>
      <w:r>
        <w:rPr>
          <w:rFonts w:ascii="Verdana" w:hAnsi="Verdana"/>
          <w:sz w:val="16"/>
          <w:szCs w:val="16"/>
        </w:rPr>
        <w:t xml:space="preserve"> </w:t>
      </w:r>
      <w:r w:rsidRPr="00F26E5F">
        <w:rPr>
          <w:rFonts w:ascii="Verdana" w:hAnsi="Verdana"/>
          <w:sz w:val="16"/>
          <w:szCs w:val="16"/>
        </w:rPr>
        <w:t>procedimientos (num. 10), el brindar apoyo a entidades</w:t>
      </w:r>
      <w:r>
        <w:rPr>
          <w:rFonts w:ascii="Verdana" w:hAnsi="Verdana"/>
          <w:sz w:val="16"/>
          <w:szCs w:val="16"/>
        </w:rPr>
        <w:t xml:space="preserve"> </w:t>
      </w:r>
      <w:r w:rsidRPr="00F26E5F">
        <w:rPr>
          <w:rFonts w:ascii="Verdana" w:hAnsi="Verdana"/>
          <w:sz w:val="16"/>
          <w:szCs w:val="16"/>
        </w:rPr>
        <w:t>territoriales (num. 11) y la promoción de políticas y normas ante el Gobierno Nacional (num. 1.º). Estas labores de</w:t>
      </w:r>
      <w:r>
        <w:rPr>
          <w:rFonts w:ascii="Verdana" w:hAnsi="Verdana"/>
          <w:sz w:val="16"/>
          <w:szCs w:val="16"/>
        </w:rPr>
        <w:t xml:space="preserve"> </w:t>
      </w:r>
      <w:r w:rsidRPr="00F26E5F">
        <w:rPr>
          <w:rFonts w:ascii="Verdana" w:hAnsi="Verdana"/>
          <w:sz w:val="16"/>
          <w:szCs w:val="16"/>
        </w:rPr>
        <w:t>apoyo, tanto a las entidades contratantes como al Gobierno</w:t>
      </w:r>
      <w:r>
        <w:rPr>
          <w:rFonts w:ascii="Verdana" w:hAnsi="Verdana"/>
          <w:sz w:val="16"/>
          <w:szCs w:val="16"/>
        </w:rPr>
        <w:t xml:space="preserve"> </w:t>
      </w:r>
      <w:r w:rsidRPr="00F26E5F">
        <w:rPr>
          <w:rFonts w:ascii="Verdana" w:hAnsi="Verdana"/>
          <w:sz w:val="16"/>
          <w:szCs w:val="16"/>
        </w:rPr>
        <w:t>Nacional, no comportan una función normativa propia</w:t>
      </w:r>
      <w:r>
        <w:rPr>
          <w:rFonts w:ascii="Verdana" w:hAnsi="Verdana"/>
          <w:sz w:val="16"/>
          <w:szCs w:val="16"/>
        </w:rPr>
        <w:t xml:space="preserve"> […]” (Cfr. BENAVIDES, José Luis</w:t>
      </w:r>
      <w:r w:rsidRPr="00F26E5F">
        <w:rPr>
          <w:rFonts w:ascii="Verdana" w:hAnsi="Verdana"/>
          <w:sz w:val="16"/>
          <w:szCs w:val="16"/>
        </w:rPr>
        <w:t>.</w:t>
      </w:r>
      <w:r>
        <w:rPr>
          <w:rFonts w:ascii="Verdana" w:hAnsi="Verdana"/>
          <w:sz w:val="16"/>
          <w:szCs w:val="16"/>
        </w:rPr>
        <w:t xml:space="preserve"> Contratos públicos. Estudios. Bogotá: Universidad Externado de Colombia, 2014. p. 166).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360"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341274352">
    <w:abstractNumId w:val="0"/>
  </w:num>
  <w:num w:numId="17" w16cid:durableId="679089576">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5105"/>
    <w:rsid w:val="00127233"/>
    <w:rsid w:val="0015699B"/>
    <w:rsid w:val="001971AA"/>
    <w:rsid w:val="001A33BF"/>
    <w:rsid w:val="001D1240"/>
    <w:rsid w:val="001E4177"/>
    <w:rsid w:val="001F0B24"/>
    <w:rsid w:val="001F1E69"/>
    <w:rsid w:val="001F7DC6"/>
    <w:rsid w:val="0022400B"/>
    <w:rsid w:val="002421BB"/>
    <w:rsid w:val="00251570"/>
    <w:rsid w:val="0025796E"/>
    <w:rsid w:val="002707A2"/>
    <w:rsid w:val="00272BC1"/>
    <w:rsid w:val="00283B71"/>
    <w:rsid w:val="002951A0"/>
    <w:rsid w:val="002962BC"/>
    <w:rsid w:val="002A093D"/>
    <w:rsid w:val="002A0DD0"/>
    <w:rsid w:val="002A49AC"/>
    <w:rsid w:val="002A61FA"/>
    <w:rsid w:val="002A64FD"/>
    <w:rsid w:val="002C7A84"/>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859BC"/>
    <w:rsid w:val="004A1847"/>
    <w:rsid w:val="004A305D"/>
    <w:rsid w:val="004D30D7"/>
    <w:rsid w:val="004F21C4"/>
    <w:rsid w:val="004F685F"/>
    <w:rsid w:val="005566E8"/>
    <w:rsid w:val="00571AE4"/>
    <w:rsid w:val="00574867"/>
    <w:rsid w:val="00591460"/>
    <w:rsid w:val="005A65E0"/>
    <w:rsid w:val="005C3777"/>
    <w:rsid w:val="005C5CDC"/>
    <w:rsid w:val="005D476C"/>
    <w:rsid w:val="006200BF"/>
    <w:rsid w:val="006219F8"/>
    <w:rsid w:val="006302F7"/>
    <w:rsid w:val="00646B9F"/>
    <w:rsid w:val="00665D70"/>
    <w:rsid w:val="006900D9"/>
    <w:rsid w:val="007069FC"/>
    <w:rsid w:val="00706C16"/>
    <w:rsid w:val="007340C3"/>
    <w:rsid w:val="00751D9E"/>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7F95"/>
    <w:rsid w:val="008843B6"/>
    <w:rsid w:val="00891928"/>
    <w:rsid w:val="008A446D"/>
    <w:rsid w:val="008B25F1"/>
    <w:rsid w:val="008D180B"/>
    <w:rsid w:val="008D2015"/>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B00C0E"/>
    <w:rsid w:val="00B01B1A"/>
    <w:rsid w:val="00B0381D"/>
    <w:rsid w:val="00B370F3"/>
    <w:rsid w:val="00B37281"/>
    <w:rsid w:val="00B44A47"/>
    <w:rsid w:val="00B62695"/>
    <w:rsid w:val="00B72CD3"/>
    <w:rsid w:val="00B72FFF"/>
    <w:rsid w:val="00BC3D36"/>
    <w:rsid w:val="00BD54A6"/>
    <w:rsid w:val="00BD7F72"/>
    <w:rsid w:val="00BF7425"/>
    <w:rsid w:val="00C04FB3"/>
    <w:rsid w:val="00C11D8B"/>
    <w:rsid w:val="00C15139"/>
    <w:rsid w:val="00C330EB"/>
    <w:rsid w:val="00C50D69"/>
    <w:rsid w:val="00C5365C"/>
    <w:rsid w:val="00C63CA5"/>
    <w:rsid w:val="00C754BE"/>
    <w:rsid w:val="00C76B1C"/>
    <w:rsid w:val="00C925AC"/>
    <w:rsid w:val="00CB6357"/>
    <w:rsid w:val="00CC1B26"/>
    <w:rsid w:val="00CD5D63"/>
    <w:rsid w:val="00D154E5"/>
    <w:rsid w:val="00D361FD"/>
    <w:rsid w:val="00D423A2"/>
    <w:rsid w:val="00D44E26"/>
    <w:rsid w:val="00D520D8"/>
    <w:rsid w:val="00D63523"/>
    <w:rsid w:val="00D63AC2"/>
    <w:rsid w:val="00D7383B"/>
    <w:rsid w:val="00D7788A"/>
    <w:rsid w:val="00DA231B"/>
    <w:rsid w:val="00DC39FC"/>
    <w:rsid w:val="00DF5254"/>
    <w:rsid w:val="00E02524"/>
    <w:rsid w:val="00E13D1C"/>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85F7D6"/>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571AE4"/>
    <w:rPr>
      <w:rFonts w:ascii="Geomanist Light" w:hAnsi="Geomanist Light"/>
      <w:lang w:val="es-ES"/>
    </w:rPr>
  </w:style>
  <w:style w:type="character" w:customStyle="1" w:styleId="NormalWebCar">
    <w:name w:val="Normal (Web) Car"/>
    <w:link w:val="NormalWeb"/>
    <w:uiPriority w:val="99"/>
    <w:locked/>
    <w:rsid w:val="00571AE4"/>
    <w:rPr>
      <w:rFonts w:ascii="Times New Roman" w:eastAsia="Times New Roman" w:hAnsi="Times New Roman" w:cs="Times New Roman"/>
      <w:sz w:val="24"/>
      <w:szCs w:val="24"/>
      <w:lang w:eastAsia="es-CO"/>
    </w:rPr>
  </w:style>
  <w:style w:type="paragraph" w:customStyle="1" w:styleId="Appelnotedebasde">
    <w:name w:val="Appel note de bas de..."/>
    <w:basedOn w:val="Normal"/>
    <w:link w:val="Refdenotaalpie"/>
    <w:uiPriority w:val="99"/>
    <w:rsid w:val="00571AE4"/>
    <w:pPr>
      <w:spacing w:line="240" w:lineRule="exact"/>
    </w:pPr>
    <w:rPr>
      <w:vertAlign w:val="superscript"/>
    </w:rPr>
  </w:style>
  <w:style w:type="paragraph" w:styleId="Sinespaciado">
    <w:name w:val="No Spacing"/>
    <w:uiPriority w:val="1"/>
    <w:qFormat/>
    <w:rsid w:val="00571AE4"/>
    <w:pPr>
      <w:spacing w:after="0" w:line="240" w:lineRule="auto"/>
    </w:pPr>
  </w:style>
  <w:style w:type="character" w:customStyle="1" w:styleId="apple-converted-space">
    <w:name w:val="apple-converted-space"/>
    <w:basedOn w:val="Fuentedeprrafopredeter"/>
    <w:rsid w:val="004859BC"/>
  </w:style>
  <w:style w:type="character" w:styleId="nfasis">
    <w:name w:val="Emphasis"/>
    <w:basedOn w:val="Fuentedeprrafopredeter"/>
    <w:uiPriority w:val="20"/>
    <w:qFormat/>
    <w:rsid w:val="004859BC"/>
    <w:rPr>
      <w:i/>
      <w:iCs/>
    </w:rPr>
  </w:style>
  <w:style w:type="paragraph" w:customStyle="1" w:styleId="p1">
    <w:name w:val="p1"/>
    <w:basedOn w:val="Normal"/>
    <w:rsid w:val="00B370F3"/>
    <w:pPr>
      <w:spacing w:after="0" w:line="240" w:lineRule="auto"/>
    </w:pPr>
    <w:rPr>
      <w:rFonts w:ascii="Verdana" w:eastAsia="Times New Roman" w:hAnsi="Verdana" w:cs="Times New Roman"/>
      <w:color w:val="000000"/>
      <w:sz w:val="17"/>
      <w:szCs w:val="17"/>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lombiacompra.gov.co/wp-content/uploads/2024/08/2016-Guia-para-la-liquidacion-contratos-estatales-G-LPC-01.pdf" TargetMode="External"/><Relationship Id="rId18" Type="http://schemas.openxmlformats.org/officeDocument/2006/relationships/hyperlink" Target="https://nam02.safelinks.protection.outlook.com/?url=https%3A%2F%2Fwww.colombiacompra.gov.co%2Farchivos%2Fboletin%2Fboletin-edicion-n-3-de-2026-radar-de-la-compra-publica&amp;data=05%7C02%7Candreina.cerpa%40colombiacompra.gov.co%7C7128555136e04fa6887d08dee99e1b50%7C7b09041e245149d08cb179d5e3d8c1be%7C0%7C0%7C639205062451942843%7CUnknown%7CTWFpbGZsb3d8eyJFbXB0eU1hcGkiOnRydWUsIlYiOiIwLjAuMDAwMCIsIlAiOiJXaW4zMiIsIkFOIjoiTWFpbCIsIldUIjoyfQ%3D%3D%7C0%7C%7C%7C&amp;sdata=PL7FwKdlKO7yfv7e8wWT66q3flW8SM1jjbtRFcrkINI%3D&amp;reserved=0"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macero@cremil.gov.co" TargetMode="External"/><Relationship Id="rId17" Type="http://schemas.openxmlformats.org/officeDocument/2006/relationships/hyperlink" Target="https://nam02.safelinks.protection.outlook.com/?url=https%3A%2F%2Fwww.colombiacompra.gov.co%2Farchivos%2Fcircular%2Fcircular-externa-002-de-2026&amp;data=05%7C02%7Candreina.cerpa%40colombiacompra.gov.co%7C7128555136e04fa6887d08dee99e1b50%7C7b09041e245149d08cb179d5e3d8c1be%7C0%7C0%7C639205062451918514%7CUnknown%7CTWFpbGZsb3d8eyJFbXB0eU1hcGkiOnRydWUsIlYiOiIwLjAuMDAwMCIsIlAiOiJXaW4zMiIsIkFOIjoiTWFpbCIsIldUIjoyfQ%3D%3D%7C0%7C%7C%7C&amp;sdata=uiHyohAhXwzIA76x%2BvHmoZdW4qqZvUTEXErzXvPFxXQ%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3-de-2026&amp;data=05%7C02%7Candreina.cerpa%40colombiacompra.gov.co%7C7128555136e04fa6887d08dee99e1b50%7C7b09041e245149d08cb179d5e3d8c1be%7C0%7C0%7C639205062451882899%7CUnknown%7CTWFpbGZsb3d8eyJFbXB0eU1hcGkiOnRydWUsIlYiOiIwLjAuMDAwMCIsIlAiOiJXaW4zMiIsIkFOIjoiTWFpbCIsIldUIjoyfQ%3D%3D%7C0%7C%7C%7C&amp;sdata=jWyrguR2Hy%2BRtgMS7esQahsJB9c7aJL8%2FvCNioomarM%3D&amp;reserved=0"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nam02.safelinks.protection.outlook.com/?url=https%3A%2F%2Fwww.colombiacompra.gov.co%2Farchivos%2Fmanual%2Fguia-de-garantias-en-procesos-de-contratacion&amp;data=05%7C02%7Candreina.cerpa%40colombiacompra.gov.co%7C7128555136e04fa6887d08dee99e1b50%7C7b09041e245149d08cb179d5e3d8c1be%7C0%7C0%7C639205062451781845%7CUnknown%7CTWFpbGZsb3d8eyJFbXB0eU1hcGkiOnRydWUsIlYiOiIwLjAuMDAwMCIsIlAiOiJXaW4zMiIsIkFOIjoiTWFpbCIsIldUIjoyfQ%3D%3D%7C0%7C%7C%7C&amp;sdata=oX5J7xppKjMYKH3mc7%2B%2B01h5MDt0k0XkTV2ZsAy5tjU%3D&amp;reserved=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colombiacompra.gov.c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latoria.colombiacompra.gov.co/busqueda/concepto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59BF75-8B38-4C2C-BC20-E03F4D092F39}"/>
</file>

<file path=customXml/itemProps4.xml><?xml version="1.0" encoding="utf-8"?>
<ds:datastoreItem xmlns:ds="http://schemas.openxmlformats.org/officeDocument/2006/customXml" ds:itemID="{82DEC903-AA39-9248-90D8-BB0A512E8D46}">
  <ds:schemaRefs>
    <ds:schemaRef ds:uri="http://schemas.openxmlformats.org/officeDocument/2006/bibliography"/>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20</Pages>
  <Words>7163</Words>
  <Characters>39397</Characters>
  <Application>Microsoft Office Word</Application>
  <DocSecurity>0</DocSecurity>
  <Lines>328</Lines>
  <Paragraphs>92</Paragraphs>
  <ScaleCrop>false</ScaleCrop>
  <Company/>
  <LinksUpToDate>false</LinksUpToDate>
  <CharactersWithSpaces>46468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Andreina Cerpa Muñoz</cp:lastModifiedBy>
  <cp:revision>3</cp:revision>
  <cp:lastPrinted>2023-01-10T21:18:00Z</cp:lastPrinted>
  <dcterms:created xsi:type="dcterms:W3CDTF">2026-08-10T17:10:00Z</dcterms:created>
  <dcterms:modified xsi:type="dcterms:W3CDTF">2026-08-10T17:11:00Z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