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F9992" w14:textId="77777777" w:rsidR="00556A41" w:rsidRPr="00D71688" w:rsidRDefault="00556A41" w:rsidP="00556A41">
      <w:pPr>
        <w:spacing w:after="0" w:line="240" w:lineRule="auto"/>
        <w:jc w:val="both"/>
        <w:rPr>
          <w:rFonts w:ascii="Verdana" w:hAnsi="Verdana"/>
          <w:b/>
        </w:rPr>
      </w:pPr>
      <w:r w:rsidRPr="00D71688">
        <w:rPr>
          <w:rFonts w:ascii="Verdana" w:hAnsi="Verdana" w:cs="Arial"/>
          <w:b/>
          <w:bCs/>
          <w:lang w:val="es-ES" w:eastAsia="es-ES"/>
        </w:rPr>
        <w:t>CONTRATOS ESTATALES – Capacidad jurídica – Requisitos esenciales</w:t>
      </w:r>
    </w:p>
    <w:p w14:paraId="1E135C8B" w14:textId="77777777" w:rsidR="00556A41" w:rsidRDefault="00556A41" w:rsidP="00556A41">
      <w:pPr>
        <w:spacing w:after="0" w:line="240" w:lineRule="auto"/>
        <w:jc w:val="both"/>
        <w:rPr>
          <w:rFonts w:ascii="Verdana" w:hAnsi="Verdana"/>
          <w:b/>
        </w:rPr>
      </w:pPr>
    </w:p>
    <w:p w14:paraId="67D2068D" w14:textId="77777777" w:rsidR="00556A41" w:rsidRPr="00D71688" w:rsidRDefault="00556A41" w:rsidP="00556A41">
      <w:pPr>
        <w:spacing w:after="0" w:line="240" w:lineRule="auto"/>
        <w:jc w:val="both"/>
        <w:rPr>
          <w:rFonts w:ascii="Verdana" w:eastAsia="Calibri" w:hAnsi="Verdana"/>
          <w:color w:val="000000" w:themeColor="text1"/>
          <w:sz w:val="20"/>
          <w:lang w:val="es-ES"/>
        </w:rPr>
      </w:pPr>
      <w:r w:rsidRPr="00D71688">
        <w:rPr>
          <w:rFonts w:ascii="Verdana" w:eastAsia="Calibri" w:hAnsi="Verdana"/>
          <w:color w:val="000000" w:themeColor="text1"/>
          <w:sz w:val="20"/>
          <w:lang w:val="es-ES"/>
        </w:rPr>
        <w:t xml:space="preserve">Más allá de la tipicidad o no del contrato estatal, es necesario tener en cuenta que la capacidad contractual para celebrar contratos estatales está regulada en el artículo 6 de la Ley 80 de 1993. De conformidad con la norma citada, “Pueden celebrar contratos con las entidades estatales las personas consideradas legalmente capaces en las disposiciones vigentes […]”. De acuerdo con la modificación de la Ley 2160 de 2021, la norma agrega lo siguiente: “[…] También podrán celebrar contratos con las entidades estatales los Cabildos Indígenas, las asociaciones de Autoridades Tradicionales Indígenas, los consejos comunitarios de las comunidades negras regulados por la Ley 70 de 1993 […] las organizaciones de base de comunidades negras, afrocolombianas, raizales y palenqueras y las demás formas y expresiones organizativas […]; y los consorcios y uniones temporales”. </w:t>
      </w:r>
    </w:p>
    <w:p w14:paraId="7F52490D" w14:textId="77777777" w:rsidR="00556A41" w:rsidRDefault="00556A41" w:rsidP="00556A41">
      <w:pPr>
        <w:spacing w:after="0" w:line="240" w:lineRule="auto"/>
        <w:jc w:val="both"/>
        <w:rPr>
          <w:rFonts w:ascii="Verdana" w:eastAsia="Calibri" w:hAnsi="Verdana"/>
          <w:color w:val="000000" w:themeColor="text1"/>
          <w:sz w:val="20"/>
          <w:lang w:val="es-ES"/>
        </w:rPr>
      </w:pPr>
    </w:p>
    <w:p w14:paraId="12C98544" w14:textId="77777777" w:rsidR="00556A41" w:rsidRPr="00D71688" w:rsidRDefault="00556A41" w:rsidP="00556A41">
      <w:pPr>
        <w:spacing w:after="0" w:line="240" w:lineRule="auto"/>
        <w:jc w:val="both"/>
        <w:rPr>
          <w:rFonts w:ascii="Verdana" w:eastAsia="Calibri" w:hAnsi="Verdana"/>
          <w:color w:val="000000" w:themeColor="text1"/>
          <w:sz w:val="20"/>
          <w:lang w:val="es-ES"/>
        </w:rPr>
      </w:pPr>
      <w:r w:rsidRPr="00D71688">
        <w:rPr>
          <w:rFonts w:ascii="Verdana" w:eastAsia="Calibri" w:hAnsi="Verdana"/>
          <w:color w:val="000000" w:themeColor="text1"/>
          <w:sz w:val="20"/>
          <w:lang w:val="es-ES"/>
        </w:rPr>
        <w:t xml:space="preserve">Al margen de la tipicidad o no del negocio, la existencia de los contratos estatales, es decir, la producción de efectos jurídicos en los términos del artículo 1501 </w:t>
      </w:r>
      <w:r w:rsidRPr="00D71688">
        <w:rPr>
          <w:rFonts w:ascii="Verdana" w:eastAsia="Calibri" w:hAnsi="Verdana"/>
          <w:i/>
          <w:color w:val="000000" w:themeColor="text1"/>
          <w:sz w:val="20"/>
          <w:lang w:val="es-ES"/>
        </w:rPr>
        <w:t>ibidem</w:t>
      </w:r>
      <w:r w:rsidRPr="00D71688">
        <w:rPr>
          <w:rFonts w:ascii="Verdana" w:eastAsia="Calibri" w:hAnsi="Verdana"/>
          <w:color w:val="000000" w:themeColor="text1"/>
          <w:sz w:val="20"/>
          <w:lang w:val="es-ES"/>
        </w:rPr>
        <w:t xml:space="preserve">, depende de la regulación del inciso primero de los artículos 39 y 41 del EGCAP. Por un lado, “Los contratos 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 Por otra parte, “Los contratos del Estado se perfeccionan cuando se logre acuerdo sobre el objeto y la contraprestación y éste se eleve a escrito”. </w:t>
      </w:r>
    </w:p>
    <w:p w14:paraId="580A39D3" w14:textId="77777777" w:rsidR="00556A41" w:rsidRPr="00D71688" w:rsidRDefault="00556A41" w:rsidP="00556A41">
      <w:pPr>
        <w:spacing w:after="0" w:line="240" w:lineRule="auto"/>
        <w:jc w:val="both"/>
        <w:rPr>
          <w:rFonts w:ascii="Verdana" w:hAnsi="Verdana"/>
          <w:b/>
          <w:lang w:val="es-ES"/>
        </w:rPr>
      </w:pPr>
    </w:p>
    <w:p w14:paraId="1B592F5E" w14:textId="77777777" w:rsidR="00556A41" w:rsidRPr="00D71688" w:rsidRDefault="00556A41" w:rsidP="00556A41">
      <w:pPr>
        <w:spacing w:after="0" w:line="240" w:lineRule="auto"/>
        <w:jc w:val="both"/>
        <w:rPr>
          <w:rFonts w:ascii="Verdana" w:hAnsi="Verdana"/>
          <w:b/>
        </w:rPr>
      </w:pPr>
      <w:r w:rsidRPr="00D71688">
        <w:rPr>
          <w:rFonts w:ascii="Verdana" w:hAnsi="Verdana" w:cs="Arial"/>
          <w:b/>
          <w:bCs/>
          <w:lang w:val="es-ES"/>
        </w:rPr>
        <w:t>CONTRATO DE SEGURO – Noción – Definición – Autonomía de la voluntad</w:t>
      </w:r>
    </w:p>
    <w:p w14:paraId="477AE936" w14:textId="77777777" w:rsidR="00556A41" w:rsidRPr="00D71688" w:rsidRDefault="00556A41" w:rsidP="00556A41">
      <w:pPr>
        <w:spacing w:after="0" w:line="240" w:lineRule="auto"/>
        <w:jc w:val="both"/>
        <w:rPr>
          <w:rFonts w:ascii="Verdana" w:hAnsi="Verdana"/>
        </w:rPr>
      </w:pPr>
    </w:p>
    <w:p w14:paraId="5151A212" w14:textId="77777777" w:rsidR="00556A41" w:rsidRPr="00D71688" w:rsidRDefault="00556A41" w:rsidP="00556A41">
      <w:pPr>
        <w:spacing w:after="0" w:line="240" w:lineRule="auto"/>
        <w:jc w:val="both"/>
        <w:rPr>
          <w:rFonts w:ascii="Verdana" w:eastAsia="Calibri" w:hAnsi="Verdana"/>
          <w:color w:val="000000" w:themeColor="text1"/>
          <w:sz w:val="20"/>
          <w:szCs w:val="20"/>
          <w:lang w:val="es-ES"/>
        </w:rPr>
      </w:pPr>
      <w:r w:rsidRPr="00D71688">
        <w:rPr>
          <w:rFonts w:ascii="Verdana" w:hAnsi="Verdana"/>
          <w:sz w:val="20"/>
          <w:szCs w:val="20"/>
        </w:rPr>
        <w:t xml:space="preserve">[…] </w:t>
      </w:r>
      <w:r w:rsidRPr="00D71688">
        <w:rPr>
          <w:rFonts w:ascii="Verdana" w:eastAsia="Times New Roman" w:hAnsi="Verdana" w:cs="Arial"/>
          <w:color w:val="000000" w:themeColor="text1"/>
          <w:sz w:val="20"/>
          <w:szCs w:val="20"/>
          <w:lang w:eastAsia="es-ES_tradnl"/>
        </w:rPr>
        <w:t xml:space="preserve">es preciso mencionar que las </w:t>
      </w:r>
      <w:r w:rsidRPr="00D71688">
        <w:rPr>
          <w:rFonts w:ascii="Verdana" w:eastAsia="Calibri" w:hAnsi="Verdana" w:cs="Arial"/>
          <w:sz w:val="20"/>
          <w:szCs w:val="20"/>
          <w:lang w:eastAsia="es-ES_tradnl"/>
        </w:rPr>
        <w:t xml:space="preserve">entidades estatales regidas por el EGCAP están habilitadas para celebrar los contratos que suelen celebrar los particulares entre sí – como el de seguro al que se refiere en su pregunta – en ejercicio de la autonomía de la voluntad privada. En ese sentido, puede ocurrir que dentro de la gestión ordinaria de sus competencias y funciones las entidades tengan necesidades que deban ser satisfechas a través de contratos como el seguro, en los que además de las disposiciones del EGCAP deberán aplicarse en su mayoría normas de derecho privado, lo que de ninguna manera desvirtúa la calidad de estatal de dichos contratos. </w:t>
      </w:r>
    </w:p>
    <w:p w14:paraId="43C36421" w14:textId="77777777" w:rsidR="00556A41" w:rsidRPr="00D71688" w:rsidRDefault="00556A41" w:rsidP="00556A41">
      <w:pPr>
        <w:spacing w:after="0" w:line="240" w:lineRule="auto"/>
        <w:jc w:val="both"/>
        <w:rPr>
          <w:rFonts w:ascii="Verdana" w:eastAsia="Calibri" w:hAnsi="Verdana"/>
          <w:color w:val="000000" w:themeColor="text1"/>
          <w:sz w:val="20"/>
          <w:szCs w:val="20"/>
          <w:lang w:val="es-ES"/>
        </w:rPr>
      </w:pPr>
    </w:p>
    <w:p w14:paraId="39E52CCA" w14:textId="77777777" w:rsidR="00556A41" w:rsidRPr="00D71688" w:rsidRDefault="00556A41" w:rsidP="00556A41">
      <w:pPr>
        <w:spacing w:after="0" w:line="240" w:lineRule="auto"/>
        <w:jc w:val="both"/>
        <w:rPr>
          <w:rFonts w:ascii="Verdana" w:eastAsia="Calibri" w:hAnsi="Verdana"/>
          <w:color w:val="000000" w:themeColor="text1"/>
          <w:sz w:val="20"/>
          <w:szCs w:val="20"/>
        </w:rPr>
      </w:pPr>
      <w:r w:rsidRPr="00D71688">
        <w:rPr>
          <w:rFonts w:ascii="Verdana" w:eastAsia="Calibri" w:hAnsi="Verdana"/>
          <w:color w:val="000000" w:themeColor="text1"/>
          <w:sz w:val="20"/>
          <w:szCs w:val="20"/>
          <w:lang w:val="es-ES"/>
        </w:rPr>
        <w:t>Teniendo en cuenta la relación entre el derecho público y el derecho privado en la contratación estatal, es necesario entender el contrato de seguro que está definido en el artículo 1036 del Código de Comercio: “</w:t>
      </w:r>
      <w:r w:rsidRPr="00D71688">
        <w:rPr>
          <w:rFonts w:ascii="Verdana" w:eastAsia="Calibri" w:hAnsi="Verdana"/>
          <w:color w:val="000000" w:themeColor="text1"/>
          <w:sz w:val="20"/>
          <w:szCs w:val="20"/>
        </w:rPr>
        <w:t xml:space="preserve">El seguro es un contrato consensual, bilateral, oneroso, aleatorio y de ejecución sucesiva”, cuyas partes son: i) el asegurador, esto es, la persona jurídica que asume los riesgos y que está autorizada para ello: ii) el tomador, esto es, la persona que obrando por cuenta propia o ajena traslada los riesgos, de conformidad con el artículo 1037 del Código de Comercio. </w:t>
      </w:r>
    </w:p>
    <w:p w14:paraId="27F42351" w14:textId="77777777" w:rsidR="00556A41" w:rsidRPr="00D71688" w:rsidRDefault="00556A41" w:rsidP="00556A41">
      <w:pPr>
        <w:spacing w:after="0" w:line="240" w:lineRule="auto"/>
        <w:jc w:val="both"/>
        <w:rPr>
          <w:rFonts w:ascii="Verdana" w:eastAsia="Calibri" w:hAnsi="Verdana"/>
          <w:color w:val="000000" w:themeColor="text1"/>
          <w:sz w:val="20"/>
          <w:szCs w:val="20"/>
        </w:rPr>
      </w:pPr>
    </w:p>
    <w:p w14:paraId="5BFB9D69" w14:textId="77777777" w:rsidR="00556A41" w:rsidRPr="00D71688" w:rsidRDefault="00556A41" w:rsidP="00556A41">
      <w:pPr>
        <w:spacing w:after="0" w:line="240" w:lineRule="auto"/>
        <w:jc w:val="both"/>
        <w:rPr>
          <w:rFonts w:ascii="Verdana" w:eastAsia="Calibri" w:hAnsi="Verdana"/>
          <w:color w:val="000000" w:themeColor="text1"/>
          <w:sz w:val="20"/>
          <w:szCs w:val="20"/>
        </w:rPr>
      </w:pPr>
      <w:r w:rsidRPr="00D71688">
        <w:rPr>
          <w:rFonts w:ascii="Verdana" w:eastAsia="Calibri" w:hAnsi="Verdana"/>
          <w:color w:val="000000" w:themeColor="text1"/>
          <w:sz w:val="20"/>
          <w:szCs w:val="20"/>
        </w:rPr>
        <w:lastRenderedPageBreak/>
        <w:t>En este caso para que el contrato de seguro sea estatal implica que una de las partes sea una entidad pública. Por tanto, en los supuestos donde el contrato de seguro cuya celebración se procede con el cometido a garantizar el cumplimiento de contratos estatales previamente celebrados entre entidades pública y en contratistas que son en principio particulares, no tiene la calidad de estatal pues el solo hecho de la entidad de ser beneficiaria, por el contrario, los contratos por lo general son suscritos entre dos particulares, es decir, entre el contratista particular en su condición de tomador y la respectiva aseguradora, quienes, por tanto, en los términos del artículo 1037 del Código de Comercio, son los únicos que pueden considerarse como partes dentro de este tipo de contratos.</w:t>
      </w:r>
    </w:p>
    <w:p w14:paraId="5ED2ADD1" w14:textId="77777777" w:rsidR="00556A41" w:rsidRDefault="00556A41" w:rsidP="00556A41">
      <w:pPr>
        <w:spacing w:after="0" w:line="240" w:lineRule="auto"/>
        <w:jc w:val="both"/>
        <w:rPr>
          <w:rFonts w:ascii="Verdana" w:eastAsia="Arial" w:hAnsi="Verdana" w:cs="Arial"/>
          <w:b/>
          <w:bCs/>
          <w:lang w:val="es-ES_tradnl"/>
        </w:rPr>
      </w:pPr>
    </w:p>
    <w:p w14:paraId="5363219D" w14:textId="77777777" w:rsidR="00556A41" w:rsidRPr="00B021FA" w:rsidRDefault="00556A41" w:rsidP="00556A41">
      <w:pPr>
        <w:spacing w:after="0" w:line="240" w:lineRule="auto"/>
        <w:jc w:val="both"/>
        <w:rPr>
          <w:rFonts w:ascii="Verdana" w:eastAsia="Arial" w:hAnsi="Verdana" w:cs="Arial"/>
          <w:b/>
          <w:bCs/>
          <w:lang w:val="es-ES_tradnl"/>
        </w:rPr>
      </w:pPr>
      <w:r w:rsidRPr="00B021FA">
        <w:rPr>
          <w:rFonts w:ascii="Verdana" w:eastAsia="Arial" w:hAnsi="Verdana" w:cs="Arial"/>
          <w:b/>
          <w:bCs/>
          <w:lang w:val="es-ES_tradnl"/>
        </w:rPr>
        <w:t xml:space="preserve">CONTRATO DE CORRETAJE – Características </w:t>
      </w:r>
    </w:p>
    <w:p w14:paraId="1D0D5316" w14:textId="77777777" w:rsidR="00556A41" w:rsidRPr="00B021FA" w:rsidRDefault="00556A41" w:rsidP="00556A41">
      <w:pPr>
        <w:spacing w:after="0" w:line="240" w:lineRule="auto"/>
        <w:jc w:val="both"/>
        <w:rPr>
          <w:rFonts w:ascii="Verdana" w:eastAsia="Arial" w:hAnsi="Verdana" w:cs="Arial"/>
          <w:sz w:val="20"/>
          <w:szCs w:val="20"/>
          <w:lang w:val="es-ES_tradnl"/>
        </w:rPr>
      </w:pPr>
    </w:p>
    <w:p w14:paraId="23393EAC" w14:textId="77777777" w:rsidR="00556A41" w:rsidRDefault="00556A41" w:rsidP="00556A41">
      <w:pPr>
        <w:spacing w:after="0" w:line="240" w:lineRule="auto"/>
        <w:jc w:val="both"/>
        <w:rPr>
          <w:rFonts w:ascii="Verdana" w:hAnsi="Verdana" w:cs="Arial"/>
          <w:color w:val="000000" w:themeColor="text1"/>
          <w:sz w:val="20"/>
          <w:szCs w:val="20"/>
          <w:lang w:val="es-ES_tradnl"/>
        </w:rPr>
      </w:pPr>
      <w:r w:rsidRPr="00B021FA">
        <w:rPr>
          <w:rFonts w:ascii="Verdana" w:hAnsi="Verdana" w:cs="Arial"/>
          <w:color w:val="000000" w:themeColor="text1"/>
          <w:sz w:val="20"/>
          <w:szCs w:val="20"/>
        </w:rPr>
        <w:t xml:space="preserve">[…] el contrato de corretaje de seguros – al que se refiere en su consulta – está previsto en la sección segunda del título </w:t>
      </w:r>
      <w:r w:rsidRPr="00B021FA">
        <w:rPr>
          <w:rFonts w:ascii="Verdana" w:hAnsi="Verdana" w:cs="Arial"/>
          <w:color w:val="000000" w:themeColor="text1"/>
          <w:sz w:val="20"/>
          <w:szCs w:val="20"/>
          <w:lang w:val="es-ES_tradnl"/>
        </w:rPr>
        <w:t>XIV del Código de Comercio, que en su artículo 1347 establece que: “</w:t>
      </w:r>
      <w:r w:rsidRPr="00B021FA">
        <w:rPr>
          <w:rFonts w:ascii="Verdana" w:hAnsi="Verdana" w:cs="Arial"/>
          <w:color w:val="000000" w:themeColor="text1"/>
          <w:sz w:val="20"/>
          <w:szCs w:val="20"/>
        </w:rPr>
        <w:t xml:space="preserve">Son corredores de seguros las empresas constituidas o que se constituyan como sociedades comerciales, colectivas o de responsabilidad limitada, cuyo objeto social sea exclusivamente ofrecer seguros, promover su celebración y obtener su renovación a título de intermediarios entre el asegurado y el asegurador”. Esta </w:t>
      </w:r>
      <w:r w:rsidRPr="00B021FA">
        <w:rPr>
          <w:rFonts w:ascii="Verdana" w:hAnsi="Verdana" w:cs="Arial"/>
          <w:color w:val="000000" w:themeColor="text1"/>
          <w:sz w:val="20"/>
          <w:szCs w:val="20"/>
          <w:lang w:val="es-ES_tradnl"/>
        </w:rPr>
        <w:t>misma definición se encuentra en el artículo 40 del Estatuto Orgánico del Sistema Financiero.</w:t>
      </w:r>
    </w:p>
    <w:p w14:paraId="6626117E" w14:textId="77777777" w:rsidR="00556A41" w:rsidRPr="00B021FA" w:rsidRDefault="00556A41" w:rsidP="00556A41">
      <w:pPr>
        <w:spacing w:after="0" w:line="240" w:lineRule="auto"/>
        <w:jc w:val="both"/>
        <w:rPr>
          <w:rFonts w:ascii="Verdana" w:eastAsia="Arial" w:hAnsi="Verdana" w:cs="Arial"/>
          <w:sz w:val="20"/>
          <w:szCs w:val="20"/>
          <w:lang w:val="es-ES_tradnl"/>
        </w:rPr>
      </w:pPr>
    </w:p>
    <w:p w14:paraId="5D79F3C6" w14:textId="77777777" w:rsidR="00556A41" w:rsidRPr="00B021FA" w:rsidRDefault="00556A41" w:rsidP="00556A41">
      <w:pPr>
        <w:spacing w:after="0" w:line="240" w:lineRule="auto"/>
        <w:jc w:val="both"/>
        <w:rPr>
          <w:rFonts w:ascii="Verdana" w:hAnsi="Verdana" w:cs="Arial"/>
          <w:color w:val="000000" w:themeColor="text1"/>
          <w:sz w:val="20"/>
          <w:szCs w:val="20"/>
          <w:lang w:val="es-ES_tradnl"/>
        </w:rPr>
      </w:pPr>
      <w:r w:rsidRPr="00B021FA">
        <w:rPr>
          <w:rFonts w:ascii="Verdana" w:hAnsi="Verdana" w:cs="Arial"/>
          <w:color w:val="000000" w:themeColor="text1"/>
          <w:sz w:val="20"/>
          <w:szCs w:val="20"/>
          <w:lang w:val="es-ES_tradnl"/>
        </w:rPr>
        <w:t>Por su parte, la doctrina ha definido el contrato de corretaje como: “</w:t>
      </w:r>
      <w:r w:rsidRPr="00B021FA">
        <w:rPr>
          <w:rFonts w:ascii="Verdana" w:hAnsi="Verdana" w:cs="Arial"/>
          <w:color w:val="000000" w:themeColor="text1"/>
          <w:sz w:val="20"/>
          <w:szCs w:val="20"/>
        </w:rPr>
        <w:t>aquel que una parte, que es un profesional a quien llamamos corredor o mediador, se obliga a indicar el momento y el tercero con quien se va a celebrar el negocio jurídico, a cambio de una remuneración, para con otra y otras partes, que se encuentra interesada o interesadas en la conclusión de un negocio jurídico mercantil, con un tercero o entre sí en el segundo evento”.</w:t>
      </w:r>
      <w:r w:rsidRPr="00B021FA">
        <w:rPr>
          <w:rFonts w:ascii="Verdana" w:hAnsi="Verdana" w:cs="Arial"/>
          <w:color w:val="000000" w:themeColor="text1"/>
          <w:sz w:val="20"/>
          <w:szCs w:val="20"/>
          <w:lang w:val="es-ES_tradnl"/>
        </w:rPr>
        <w:t xml:space="preserve"> A partir de esta definición se deduce que los corredores de seguros mantienen su independencia respecto de las partes que ponen en contacto, esto es, el asegurador y el tomador del seguro. </w:t>
      </w:r>
    </w:p>
    <w:p w14:paraId="2A89ED70" w14:textId="77777777" w:rsidR="00556A41" w:rsidRPr="00B021FA" w:rsidRDefault="00556A41" w:rsidP="00556A41">
      <w:pPr>
        <w:spacing w:after="0" w:line="240" w:lineRule="auto"/>
        <w:jc w:val="both"/>
        <w:rPr>
          <w:rFonts w:ascii="Verdana" w:eastAsia="Arial" w:hAnsi="Verdana" w:cs="Arial"/>
          <w:sz w:val="20"/>
          <w:szCs w:val="20"/>
          <w:lang w:val="es-ES_tradnl"/>
        </w:rPr>
      </w:pPr>
    </w:p>
    <w:p w14:paraId="0866BADB" w14:textId="77777777" w:rsidR="00556A41" w:rsidRDefault="00556A41" w:rsidP="00556A41">
      <w:pPr>
        <w:spacing w:after="0" w:line="240" w:lineRule="auto"/>
        <w:jc w:val="both"/>
        <w:rPr>
          <w:rFonts w:ascii="Verdana" w:hAnsi="Verdana" w:cs="Arial"/>
          <w:color w:val="000000" w:themeColor="text1"/>
          <w:sz w:val="20"/>
          <w:szCs w:val="20"/>
          <w:lang w:val="es-ES_tradnl"/>
        </w:rPr>
      </w:pPr>
      <w:r w:rsidRPr="00B021FA">
        <w:rPr>
          <w:rFonts w:ascii="Verdana" w:eastAsia="Arial" w:hAnsi="Verdana" w:cs="Arial"/>
          <w:b/>
          <w:bCs/>
          <w:lang w:val="es-ES_tradnl"/>
        </w:rPr>
        <w:t>CONTRATO DE CORRETAJE DE SEGUROS – Contrato de tracto sucesivo</w:t>
      </w:r>
    </w:p>
    <w:p w14:paraId="681B1CE0" w14:textId="77777777" w:rsidR="00556A41" w:rsidRPr="00B021FA" w:rsidRDefault="00556A41" w:rsidP="00556A41">
      <w:pPr>
        <w:spacing w:after="0" w:line="240" w:lineRule="auto"/>
        <w:jc w:val="both"/>
        <w:rPr>
          <w:rFonts w:ascii="Verdana" w:hAnsi="Verdana" w:cs="Arial"/>
          <w:color w:val="000000" w:themeColor="text1"/>
          <w:sz w:val="20"/>
          <w:szCs w:val="20"/>
          <w:lang w:val="es-ES_tradnl"/>
        </w:rPr>
      </w:pPr>
      <w:r w:rsidRPr="00B021FA">
        <w:rPr>
          <w:rFonts w:ascii="Verdana" w:hAnsi="Verdana" w:cs="Arial"/>
          <w:color w:val="000000" w:themeColor="text1"/>
          <w:sz w:val="20"/>
          <w:szCs w:val="20"/>
          <w:lang w:val="es-ES_tradnl"/>
        </w:rPr>
        <w:t xml:space="preserve"> </w:t>
      </w:r>
    </w:p>
    <w:p w14:paraId="732FBBDA" w14:textId="77777777" w:rsidR="00556A41" w:rsidRPr="00B021FA" w:rsidRDefault="00556A41" w:rsidP="00556A41">
      <w:pPr>
        <w:spacing w:after="0" w:line="240" w:lineRule="auto"/>
        <w:jc w:val="both"/>
        <w:rPr>
          <w:rFonts w:ascii="Verdana" w:eastAsia="Arial" w:hAnsi="Verdana" w:cs="Arial"/>
          <w:sz w:val="20"/>
          <w:szCs w:val="20"/>
          <w:lang w:val="es-ES_tradnl" w:eastAsia="es-ES"/>
        </w:rPr>
      </w:pPr>
      <w:r w:rsidRPr="00B021FA">
        <w:rPr>
          <w:rFonts w:ascii="Verdana" w:hAnsi="Verdana" w:cs="Arial"/>
          <w:color w:val="000000" w:themeColor="text1"/>
          <w:sz w:val="20"/>
          <w:szCs w:val="20"/>
          <w:lang w:val="es-ES_tradnl"/>
        </w:rPr>
        <w:t>A partir de lo anterior, se puede concluir que el contrato de corretaje de seguros, además de ser autónomo, tiene la característica de contrato de tracto sucesivo – circunstancia que determina la obligación ser liquidados, conforme se pasara a explicar más adelante –, porque: “la labor de intermediación se extiende, por lo general, a la etapa de ejecución del contrato celebrado entre el asegurador y el tomador, en la cual pueden presentarse situaciones que requieran la realización de diversos trámites, especialmente cuando el riesgo se realiza o hay necesidad de efectuar ajustes al contrato de seguro. Finalmente, la intervención del corredor en la etapa posterior a la celebración de este último resulta muy importante para efectos de obtener su renovación, tarea que, como se ha visto, constituye uno de los objetivos específicos de la intermediación”</w:t>
      </w:r>
      <w:r>
        <w:rPr>
          <w:rFonts w:ascii="Verdana" w:hAnsi="Verdana" w:cs="Arial"/>
          <w:color w:val="000000" w:themeColor="text1"/>
          <w:sz w:val="20"/>
          <w:szCs w:val="20"/>
          <w:lang w:val="es-ES_tradnl"/>
        </w:rPr>
        <w:t>.</w:t>
      </w:r>
    </w:p>
    <w:p w14:paraId="09468B6A" w14:textId="77777777" w:rsidR="00556A41" w:rsidRPr="00B021FA" w:rsidRDefault="00556A41" w:rsidP="00556A41">
      <w:pPr>
        <w:spacing w:after="0" w:line="240" w:lineRule="auto"/>
        <w:jc w:val="both"/>
        <w:rPr>
          <w:rFonts w:ascii="Verdana" w:eastAsia="Arial" w:hAnsi="Verdana" w:cs="Arial"/>
          <w:sz w:val="20"/>
          <w:szCs w:val="20"/>
          <w:lang w:val="es-ES_tradnl" w:eastAsia="es-ES"/>
        </w:rPr>
      </w:pPr>
    </w:p>
    <w:p w14:paraId="725F26AA" w14:textId="77777777" w:rsidR="00556A41" w:rsidRPr="00B021FA" w:rsidRDefault="00556A41" w:rsidP="00556A41">
      <w:pPr>
        <w:spacing w:after="0" w:line="240" w:lineRule="auto"/>
        <w:jc w:val="both"/>
        <w:rPr>
          <w:rFonts w:ascii="Verdana" w:eastAsia="Arial" w:hAnsi="Verdana" w:cs="Arial"/>
          <w:b/>
          <w:bCs/>
          <w:lang w:val="es-ES_tradnl" w:eastAsia="es-ES"/>
        </w:rPr>
      </w:pPr>
      <w:r w:rsidRPr="00B021FA">
        <w:rPr>
          <w:rFonts w:ascii="Verdana" w:eastAsia="Arial" w:hAnsi="Verdana" w:cs="Arial"/>
          <w:b/>
          <w:bCs/>
          <w:lang w:val="es-ES_tradnl" w:eastAsia="es-ES"/>
        </w:rPr>
        <w:t xml:space="preserve">LIQUIDACIÓN DEL CONTRATO – Definición – Objetivo </w:t>
      </w:r>
    </w:p>
    <w:p w14:paraId="475B3AB3" w14:textId="77777777" w:rsidR="00556A41" w:rsidRPr="00B021FA" w:rsidRDefault="00556A41" w:rsidP="00556A41">
      <w:pPr>
        <w:spacing w:after="0" w:line="240" w:lineRule="auto"/>
        <w:jc w:val="both"/>
        <w:rPr>
          <w:rFonts w:ascii="Verdana" w:eastAsia="Arial" w:hAnsi="Verdana" w:cs="Arial"/>
          <w:sz w:val="20"/>
          <w:szCs w:val="20"/>
          <w:lang w:val="es-ES_tradnl" w:eastAsia="es-ES"/>
        </w:rPr>
      </w:pPr>
    </w:p>
    <w:p w14:paraId="11E7B115" w14:textId="77777777" w:rsidR="00556A41" w:rsidRDefault="00556A41" w:rsidP="00556A41">
      <w:pPr>
        <w:spacing w:after="0" w:line="240" w:lineRule="auto"/>
        <w:jc w:val="both"/>
        <w:rPr>
          <w:rFonts w:ascii="Verdana" w:hAnsi="Verdana" w:cs="Arial"/>
          <w:color w:val="000000" w:themeColor="text1"/>
          <w:sz w:val="20"/>
          <w:szCs w:val="20"/>
          <w:lang w:val="es-ES_tradnl"/>
        </w:rPr>
      </w:pPr>
      <w:r w:rsidRPr="00B021FA">
        <w:rPr>
          <w:rFonts w:ascii="Verdana" w:hAnsi="Verdana" w:cs="Arial"/>
          <w:color w:val="000000" w:themeColor="text1"/>
          <w:sz w:val="20"/>
          <w:szCs w:val="20"/>
          <w:lang w:val="es-ES_tradnl"/>
        </w:rPr>
        <w:lastRenderedPageBreak/>
        <w:t xml:space="preserve">[…] la liquidación es el ajuste de cuentas donde las partes hacen un balance económico, técnico y jurídico del cumplimiento de las obligaciones que tienen a su cargo. Así lo manifestó el Consejo de Estado, en la sentencia del 20 de octubre de 2014, en la que consideró, por un lado, que </w:t>
      </w:r>
      <w:r w:rsidRPr="00B021FA">
        <w:rPr>
          <w:rFonts w:ascii="Verdana" w:hAnsi="Verdana" w:cs="Arial"/>
          <w:i/>
          <w:iCs/>
          <w:color w:val="000000" w:themeColor="text1"/>
          <w:sz w:val="20"/>
          <w:szCs w:val="20"/>
          <w:lang w:val="es-ES_tradnl"/>
        </w:rPr>
        <w:t>liquidar</w:t>
      </w:r>
      <w:r w:rsidRPr="00B021FA">
        <w:rPr>
          <w:rFonts w:ascii="Verdana" w:hAnsi="Verdana" w:cs="Arial"/>
          <w:color w:val="000000" w:themeColor="text1"/>
          <w:sz w:val="20"/>
          <w:szCs w:val="20"/>
          <w:lang w:val="es-ES_tradnl"/>
        </w:rPr>
        <w:t xml:space="preserve"> supone un ajuste en relación con las cuentas y el estado de cumplimiento del contrato estatal y, por el otro, que la </w:t>
      </w:r>
      <w:r w:rsidRPr="00B021FA">
        <w:rPr>
          <w:rFonts w:ascii="Verdana" w:hAnsi="Verdana" w:cs="Arial"/>
          <w:i/>
          <w:iCs/>
          <w:color w:val="000000" w:themeColor="text1"/>
          <w:sz w:val="20"/>
          <w:szCs w:val="20"/>
          <w:lang w:val="es-ES_tradnl"/>
        </w:rPr>
        <w:t>liquidación</w:t>
      </w:r>
      <w:r w:rsidRPr="00B021FA">
        <w:rPr>
          <w:rFonts w:ascii="Verdana" w:hAnsi="Verdana" w:cs="Arial"/>
          <w:color w:val="000000" w:themeColor="text1"/>
          <w:sz w:val="20"/>
          <w:szCs w:val="20"/>
          <w:lang w:val="es-ES_tradnl"/>
        </w:rPr>
        <w:t xml:space="preserve"> debe incluir el análisis de las condiciones de calidad y oportunidad en la entrega de los bienes, obras o servicios, así como el balance económico y el comportamiento financiero del negocio</w:t>
      </w:r>
      <w:r>
        <w:rPr>
          <w:rFonts w:ascii="Verdana" w:hAnsi="Verdana" w:cs="Arial"/>
          <w:color w:val="000000" w:themeColor="text1"/>
          <w:sz w:val="20"/>
          <w:szCs w:val="20"/>
          <w:lang w:val="es-ES_tradnl"/>
        </w:rPr>
        <w:t>.</w:t>
      </w:r>
    </w:p>
    <w:p w14:paraId="0081341F" w14:textId="77777777" w:rsidR="00556A41" w:rsidRPr="00B021FA" w:rsidRDefault="00556A41" w:rsidP="00556A41">
      <w:pPr>
        <w:spacing w:after="0" w:line="240" w:lineRule="auto"/>
        <w:jc w:val="both"/>
        <w:rPr>
          <w:rFonts w:ascii="Verdana" w:eastAsia="Arial" w:hAnsi="Verdana" w:cs="Arial"/>
          <w:sz w:val="20"/>
          <w:szCs w:val="20"/>
          <w:lang w:val="es-ES_tradnl" w:eastAsia="es-ES"/>
        </w:rPr>
      </w:pPr>
    </w:p>
    <w:p w14:paraId="77B9334B" w14:textId="77777777" w:rsidR="00556A41" w:rsidRPr="00B021FA" w:rsidRDefault="00556A41" w:rsidP="00556A41">
      <w:pPr>
        <w:spacing w:after="0" w:line="240" w:lineRule="auto"/>
        <w:jc w:val="both"/>
        <w:rPr>
          <w:rFonts w:ascii="Verdana" w:eastAsia="Arial" w:hAnsi="Verdana" w:cs="Arial"/>
          <w:b/>
          <w:bCs/>
          <w:lang w:val="es-ES_tradnl" w:eastAsia="es-ES"/>
        </w:rPr>
      </w:pPr>
      <w:r w:rsidRPr="00B021FA">
        <w:rPr>
          <w:rFonts w:ascii="Verdana" w:eastAsia="Arial" w:hAnsi="Verdana" w:cs="Arial"/>
          <w:b/>
          <w:bCs/>
          <w:lang w:val="es-ES_tradnl" w:eastAsia="es-ES"/>
        </w:rPr>
        <w:t xml:space="preserve">LIQUIDACIÓN DEL CONTRATO – Normativa </w:t>
      </w:r>
    </w:p>
    <w:p w14:paraId="16F1C0A2" w14:textId="77777777" w:rsidR="00556A41" w:rsidRPr="00B021FA" w:rsidRDefault="00556A41" w:rsidP="00556A41">
      <w:pPr>
        <w:spacing w:after="0" w:line="240" w:lineRule="auto"/>
        <w:jc w:val="both"/>
        <w:rPr>
          <w:rFonts w:ascii="Verdana" w:eastAsia="Arial" w:hAnsi="Verdana" w:cs="Arial"/>
          <w:sz w:val="20"/>
          <w:szCs w:val="20"/>
          <w:lang w:val="es-ES_tradnl" w:eastAsia="es-ES"/>
        </w:rPr>
      </w:pPr>
    </w:p>
    <w:p w14:paraId="5377B395" w14:textId="77777777" w:rsidR="00556A41" w:rsidRDefault="00556A41" w:rsidP="00556A41">
      <w:pPr>
        <w:spacing w:after="0" w:line="240" w:lineRule="auto"/>
        <w:jc w:val="both"/>
        <w:rPr>
          <w:rFonts w:ascii="Verdana" w:eastAsia="Times New Roman" w:hAnsi="Verdana" w:cs="Arial"/>
          <w:color w:val="000000" w:themeColor="text1"/>
          <w:sz w:val="20"/>
          <w:szCs w:val="20"/>
          <w:lang w:val="es-ES_tradnl" w:eastAsia="es-ES"/>
        </w:rPr>
      </w:pPr>
      <w:r w:rsidRPr="00B021FA">
        <w:rPr>
          <w:rFonts w:ascii="Verdana" w:eastAsia="Times New Roman" w:hAnsi="Verdana" w:cs="Arial"/>
          <w:color w:val="000000" w:themeColor="text1"/>
          <w:sz w:val="20"/>
          <w:szCs w:val="20"/>
          <w:lang w:val="es-ES_tradnl" w:eastAsia="es-ES"/>
        </w:rPr>
        <w:t>Las disposiciones legales que regulan la etapa de liquidación de los contratos estatales son el artículo 60 de la Ley 80 de 1993, modificado por el artículo 217 del Decreto 019 de 2012, y el artículo 11 de la Ley 1150 de 2007. El primero de estos artículos se refiere al alcance sustantivo de la liquidación y los contratos en que procede, mientras que el segundo contiene reglas procedimentales para su realización.</w:t>
      </w:r>
    </w:p>
    <w:p w14:paraId="323145D4" w14:textId="77777777" w:rsidR="00556A41" w:rsidRPr="00B021FA" w:rsidRDefault="00556A41" w:rsidP="00556A41">
      <w:pPr>
        <w:spacing w:after="0" w:line="240" w:lineRule="auto"/>
        <w:jc w:val="both"/>
        <w:rPr>
          <w:rFonts w:ascii="Verdana" w:eastAsia="Arial" w:hAnsi="Verdana" w:cs="Arial"/>
          <w:sz w:val="20"/>
          <w:szCs w:val="20"/>
          <w:lang w:val="es-ES_tradnl" w:eastAsia="es-ES"/>
        </w:rPr>
      </w:pPr>
    </w:p>
    <w:p w14:paraId="2750A2AB" w14:textId="77777777" w:rsidR="00556A41" w:rsidRPr="00B021FA" w:rsidRDefault="00556A41" w:rsidP="00556A41">
      <w:pPr>
        <w:spacing w:after="0" w:line="240" w:lineRule="auto"/>
        <w:jc w:val="both"/>
        <w:rPr>
          <w:rFonts w:ascii="Verdana" w:eastAsia="Arial" w:hAnsi="Verdana" w:cs="Arial"/>
          <w:b/>
          <w:bCs/>
          <w:lang w:val="es-ES_tradnl" w:eastAsia="es-ES"/>
        </w:rPr>
      </w:pPr>
      <w:r w:rsidRPr="00B021FA">
        <w:rPr>
          <w:rFonts w:ascii="Verdana" w:eastAsia="Arial" w:hAnsi="Verdana" w:cs="Arial"/>
          <w:b/>
          <w:bCs/>
          <w:lang w:val="es-ES_tradnl" w:eastAsia="es-ES"/>
        </w:rPr>
        <w:t>LIQUIDACIÓN DE CONTRATOS – De tracto sucesivo</w:t>
      </w:r>
    </w:p>
    <w:p w14:paraId="5B7D4CFE" w14:textId="77777777" w:rsidR="00556A41" w:rsidRDefault="00556A41" w:rsidP="00556A41">
      <w:pPr>
        <w:spacing w:after="0" w:line="240" w:lineRule="auto"/>
        <w:jc w:val="both"/>
        <w:rPr>
          <w:rFonts w:ascii="Verdana" w:eastAsia="Times New Roman" w:hAnsi="Verdana" w:cs="Arial"/>
          <w:color w:val="000000" w:themeColor="text1"/>
          <w:sz w:val="20"/>
          <w:szCs w:val="20"/>
          <w:lang w:val="es-ES_tradnl" w:eastAsia="es-ES"/>
        </w:rPr>
      </w:pPr>
    </w:p>
    <w:p w14:paraId="70FF8210" w14:textId="77777777" w:rsidR="00556A41" w:rsidRPr="00B021FA" w:rsidRDefault="00556A41" w:rsidP="00556A41">
      <w:pPr>
        <w:spacing w:after="0" w:line="240" w:lineRule="auto"/>
        <w:jc w:val="both"/>
        <w:rPr>
          <w:rFonts w:ascii="Verdana" w:eastAsia="Times New Roman" w:hAnsi="Verdana" w:cs="Arial"/>
          <w:color w:val="000000" w:themeColor="text1"/>
          <w:sz w:val="20"/>
          <w:szCs w:val="20"/>
          <w:lang w:val="es-ES_tradnl" w:eastAsia="es-ES"/>
        </w:rPr>
      </w:pPr>
      <w:r w:rsidRPr="00B021FA">
        <w:rPr>
          <w:rFonts w:ascii="Verdana" w:eastAsia="Times New Roman" w:hAnsi="Verdana" w:cs="Arial"/>
          <w:color w:val="000000" w:themeColor="text1"/>
          <w:sz w:val="20"/>
          <w:szCs w:val="20"/>
          <w:lang w:val="es-ES_tradnl" w:eastAsia="es-ES"/>
        </w:rPr>
        <w:t>Por un lado, de acuerdo con el artículo 60 de la Ley 80 de 1993, los contratos de tracto sucesivo, aquellos cuyo cumplimiento o ejecución se prolongue en el tiempo y los demás que lo requieran “serán objeto de liquidación”. El mismo artículo prescribe que no será obligatoria la liquidación en los contratos de prestación de servicios profesionales y de apoyo a la gestión. Adicionalmente, en los contratos las Entidades Estatales deben definir la oportunidad y forma de recibir el objeto contratado y, en cada caso, si un contrato requiere o no de liquidación, con arreglo a criterios tales como la naturaleza, objeto y plazo del contrato, así como la probabilidad de que puedan surgir diferencias durante la ejecución del contrato; sin perjuicio de que, como se indicó, todos los contratos estatales de tracto sucesivo o aquellos cuya ejecución se prolongue en el tiempo siempre deban liquidarse, convirtiéndose en estos contratos en una cláusula de la naturaleza, conforme a la clasificación prevista en el Código Civil.</w:t>
      </w:r>
    </w:p>
    <w:p w14:paraId="152D9F32" w14:textId="77777777" w:rsidR="00556A41" w:rsidRPr="00B021FA" w:rsidRDefault="00556A41" w:rsidP="00556A41">
      <w:pPr>
        <w:pStyle w:val="Prrafodelista"/>
        <w:spacing w:after="0" w:line="240" w:lineRule="auto"/>
        <w:ind w:left="357"/>
        <w:contextualSpacing w:val="0"/>
        <w:jc w:val="both"/>
        <w:rPr>
          <w:rFonts w:ascii="Verdana" w:eastAsia="Times New Roman" w:hAnsi="Verdana" w:cs="Arial"/>
          <w:color w:val="000000" w:themeColor="text1"/>
          <w:sz w:val="20"/>
          <w:szCs w:val="20"/>
          <w:lang w:val="es-ES_tradnl" w:eastAsia="es-ES"/>
        </w:rPr>
      </w:pPr>
    </w:p>
    <w:p w14:paraId="1240EC8D" w14:textId="77777777" w:rsidR="00556A41" w:rsidRDefault="00556A41" w:rsidP="00556A41">
      <w:pPr>
        <w:spacing w:line="276" w:lineRule="auto"/>
        <w:jc w:val="both"/>
        <w:rPr>
          <w:rFonts w:ascii="Verdana" w:hAnsi="Verdana" w:cs="Arial"/>
          <w:color w:val="000000" w:themeColor="text1"/>
        </w:rPr>
      </w:pPr>
      <w:r w:rsidRPr="00B021FA">
        <w:rPr>
          <w:rFonts w:ascii="Verdana" w:eastAsia="Times New Roman" w:hAnsi="Verdana" w:cs="Arial"/>
          <w:color w:val="000000" w:themeColor="text1"/>
          <w:sz w:val="20"/>
          <w:szCs w:val="20"/>
          <w:lang w:val="es-ES_tradnl" w:eastAsia="es-ES"/>
        </w:rPr>
        <w:t>Así las cosas, atendiendo al primer problema jurídico la consulta realizada, el contrato de corretaje es un contrato de tracto sucesivo porque la labor de intermediador se extiende hasta la etapa de ejecución del contrato celebrado entre el asegurador y el tomador, además de la importancia de la intervención del corredor en la etapa posterior a la celebración del contrato para efectos de obtener la renovación. Por lo tanto, si una Entidad Estatal celebra un contrato de corretaje este deberá ser liquidado de acuerdo con lo establecido en el artículo 60 de la Ley 80 de 1993, independientemente de que se haya establecido o no tal obligación en el contrato, pues como se indicó en el párrafo anterior, el deber de liquidarse se convierte en una cláusula de la naturaleza de los contratos de tracto sucesivo, como es el caso del contrato de corretaje.</w:t>
      </w:r>
    </w:p>
    <w:p w14:paraId="5FBF9737" w14:textId="77777777" w:rsidR="00556A41" w:rsidRDefault="00556A41" w:rsidP="00556A41">
      <w:pPr>
        <w:spacing w:line="276" w:lineRule="auto"/>
        <w:jc w:val="both"/>
        <w:rPr>
          <w:rFonts w:ascii="Verdana" w:hAnsi="Verdana" w:cs="Arial"/>
          <w:color w:val="000000" w:themeColor="text1"/>
        </w:rPr>
      </w:pPr>
    </w:p>
    <w:p w14:paraId="54190972" w14:textId="77777777" w:rsidR="00556A41" w:rsidRDefault="00556A41" w:rsidP="00556A41">
      <w:pPr>
        <w:spacing w:line="276" w:lineRule="auto"/>
        <w:jc w:val="both"/>
        <w:rPr>
          <w:rFonts w:ascii="Verdana" w:hAnsi="Verdana" w:cs="Arial"/>
          <w:color w:val="000000" w:themeColor="text1"/>
        </w:rPr>
      </w:pPr>
    </w:p>
    <w:p w14:paraId="5F8C4CE7" w14:textId="4A1BA7E3" w:rsidR="00556A41" w:rsidRPr="00EA3A47" w:rsidRDefault="00556A41" w:rsidP="00EA3A47">
      <w:pPr>
        <w:spacing w:after="0" w:line="240" w:lineRule="auto"/>
        <w:jc w:val="both"/>
        <w:textAlignment w:val="baseline"/>
        <w:rPr>
          <w:rFonts w:ascii="Verdana" w:eastAsia="Verdana" w:hAnsi="Verdana" w:cs="Verdana"/>
          <w:color w:val="000000" w:themeColor="text1"/>
          <w:lang w:val="es"/>
        </w:rPr>
      </w:pPr>
      <w:r w:rsidRPr="00EA3A47">
        <w:rPr>
          <w:rFonts w:ascii="Verdana" w:eastAsia="Verdana" w:hAnsi="Verdana" w:cs="Verdana"/>
          <w:color w:val="000000" w:themeColor="text1"/>
          <w:lang w:val="es"/>
        </w:rPr>
        <w:lastRenderedPageBreak/>
        <w:t>Bogotá D.C., 0</w:t>
      </w:r>
      <w:r w:rsidR="00F83E60">
        <w:rPr>
          <w:rFonts w:ascii="Verdana" w:eastAsia="Verdana" w:hAnsi="Verdana" w:cs="Verdana"/>
          <w:color w:val="000000" w:themeColor="text1"/>
          <w:lang w:val="es"/>
        </w:rPr>
        <w:t>5</w:t>
      </w:r>
      <w:r w:rsidRPr="00EA3A47">
        <w:rPr>
          <w:rFonts w:ascii="Verdana" w:eastAsia="Verdana" w:hAnsi="Verdana" w:cs="Verdana"/>
          <w:color w:val="000000" w:themeColor="text1"/>
          <w:lang w:val="es"/>
        </w:rPr>
        <w:t xml:space="preserve"> de agosto de 2026</w:t>
      </w:r>
    </w:p>
    <w:p w14:paraId="246F28BD" w14:textId="77777777" w:rsidR="00556A41" w:rsidRDefault="00556A41" w:rsidP="00EA3A47">
      <w:pPr>
        <w:spacing w:after="0" w:line="240" w:lineRule="auto"/>
        <w:jc w:val="both"/>
        <w:textAlignment w:val="baseline"/>
        <w:rPr>
          <w:rFonts w:ascii="Verdana" w:eastAsia="Verdana" w:hAnsi="Verdana" w:cs="Verdana"/>
          <w:color w:val="000000" w:themeColor="text1"/>
          <w:lang w:val="es"/>
        </w:rPr>
      </w:pPr>
      <w:r w:rsidRPr="00EA3A47">
        <w:rPr>
          <w:rFonts w:ascii="Verdana" w:eastAsia="Verdana" w:hAnsi="Verdana" w:cs="Verdana"/>
          <w:color w:val="000000" w:themeColor="text1"/>
          <w:lang w:val="es"/>
        </w:rPr>
        <w:t xml:space="preserve"> </w:t>
      </w:r>
    </w:p>
    <w:p w14:paraId="7366AADB" w14:textId="77777777" w:rsidR="00791C31" w:rsidRPr="00EA3A47" w:rsidRDefault="00791C31" w:rsidP="00EA3A47">
      <w:pPr>
        <w:spacing w:after="0" w:line="240" w:lineRule="auto"/>
        <w:jc w:val="both"/>
        <w:textAlignment w:val="baseline"/>
        <w:rPr>
          <w:rFonts w:ascii="Verdana" w:eastAsia="Verdana" w:hAnsi="Verdana" w:cs="Verdana"/>
          <w:color w:val="000000" w:themeColor="text1"/>
          <w:lang w:val="es"/>
        </w:rPr>
      </w:pPr>
    </w:p>
    <w:p w14:paraId="577AA6F0" w14:textId="5006C7ED" w:rsidR="00556A41" w:rsidRDefault="00791C31" w:rsidP="00791C31">
      <w:pPr>
        <w:spacing w:after="0" w:line="240" w:lineRule="auto"/>
        <w:jc w:val="right"/>
        <w:textAlignment w:val="baseline"/>
        <w:rPr>
          <w:rFonts w:ascii="Verdana" w:eastAsia="Verdana" w:hAnsi="Verdana" w:cs="Verdana"/>
          <w:color w:val="000000" w:themeColor="text1"/>
          <w:lang w:val="es"/>
        </w:rPr>
      </w:pPr>
      <w:r>
        <w:rPr>
          <w:rFonts w:ascii="Verdana" w:eastAsia="Verdana" w:hAnsi="Verdana" w:cs="Verdana"/>
          <w:noProof/>
          <w:color w:val="000000" w:themeColor="text1"/>
          <w:lang w:val="es"/>
        </w:rPr>
        <w:drawing>
          <wp:inline distT="0" distB="0" distL="0" distR="0" wp14:anchorId="59526BE5" wp14:editId="0CD61992">
            <wp:extent cx="2343150" cy="647156"/>
            <wp:effectExtent l="0" t="0" r="0" b="635"/>
            <wp:docPr id="13217931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3691" cy="650067"/>
                    </a:xfrm>
                    <a:prstGeom prst="rect">
                      <a:avLst/>
                    </a:prstGeom>
                    <a:noFill/>
                    <a:ln>
                      <a:noFill/>
                    </a:ln>
                  </pic:spPr>
                </pic:pic>
              </a:graphicData>
            </a:graphic>
          </wp:inline>
        </w:drawing>
      </w:r>
    </w:p>
    <w:p w14:paraId="71EF8183" w14:textId="77777777" w:rsidR="00791C31" w:rsidRPr="00EA3A47" w:rsidRDefault="00791C31" w:rsidP="00EA3A47">
      <w:pPr>
        <w:spacing w:after="0" w:line="240" w:lineRule="auto"/>
        <w:jc w:val="both"/>
        <w:textAlignment w:val="baseline"/>
        <w:rPr>
          <w:rFonts w:ascii="Verdana" w:eastAsia="Verdana" w:hAnsi="Verdana" w:cs="Verdana"/>
          <w:color w:val="000000" w:themeColor="text1"/>
          <w:lang w:val="es"/>
        </w:rPr>
      </w:pPr>
    </w:p>
    <w:p w14:paraId="17631B95" w14:textId="77777777" w:rsidR="00556A41" w:rsidRPr="00EA3A47" w:rsidRDefault="00556A41" w:rsidP="00EA3A47">
      <w:pPr>
        <w:spacing w:after="0" w:line="240" w:lineRule="auto"/>
        <w:jc w:val="both"/>
        <w:textAlignment w:val="baseline"/>
        <w:rPr>
          <w:rFonts w:ascii="Verdana" w:eastAsia="Verdana" w:hAnsi="Verdana" w:cs="Verdana"/>
          <w:color w:val="000000" w:themeColor="text1"/>
          <w:lang w:val="es"/>
        </w:rPr>
      </w:pPr>
      <w:r w:rsidRPr="00EA3A47">
        <w:rPr>
          <w:rFonts w:ascii="Verdana" w:eastAsia="Verdana" w:hAnsi="Verdana" w:cs="Verdana"/>
          <w:color w:val="000000" w:themeColor="text1"/>
          <w:lang w:val="es"/>
        </w:rPr>
        <w:t>Señora</w:t>
      </w:r>
    </w:p>
    <w:p w14:paraId="5025E72A" w14:textId="77777777" w:rsidR="00556A41" w:rsidRPr="00EA3A47" w:rsidRDefault="00556A41" w:rsidP="00EA3A47">
      <w:pPr>
        <w:spacing w:after="0" w:line="240" w:lineRule="auto"/>
        <w:jc w:val="both"/>
        <w:textAlignment w:val="baseline"/>
        <w:rPr>
          <w:rFonts w:ascii="Verdana" w:eastAsia="Verdana" w:hAnsi="Verdana" w:cs="Verdana"/>
          <w:b/>
          <w:bCs/>
        </w:rPr>
      </w:pPr>
      <w:r w:rsidRPr="00EA3A47">
        <w:rPr>
          <w:rFonts w:ascii="Verdana" w:eastAsia="Verdana" w:hAnsi="Verdana" w:cs="Verdana"/>
          <w:b/>
          <w:bCs/>
        </w:rPr>
        <w:t>ZULAY YASMIN CUAN ECHAVARRIA</w:t>
      </w:r>
    </w:p>
    <w:p w14:paraId="59220D66" w14:textId="77777777" w:rsidR="00556A41" w:rsidRPr="00EA3A47" w:rsidRDefault="00556A41" w:rsidP="00EA3A47">
      <w:pPr>
        <w:spacing w:after="0" w:line="240" w:lineRule="auto"/>
        <w:jc w:val="both"/>
        <w:textAlignment w:val="baseline"/>
        <w:rPr>
          <w:rFonts w:ascii="Verdana" w:eastAsia="Verdana" w:hAnsi="Verdana" w:cs="Verdana"/>
          <w:lang w:val="es"/>
        </w:rPr>
      </w:pPr>
      <w:hyperlink r:id="rId11" w:history="1">
        <w:r w:rsidRPr="00EA3A47">
          <w:rPr>
            <w:rStyle w:val="Hipervnculo"/>
            <w:rFonts w:ascii="Verdana" w:eastAsia="Verdana" w:hAnsi="Verdana" w:cs="Verdana"/>
          </w:rPr>
          <w:t>zulay.cuan@aerocivil.gov.co</w:t>
        </w:r>
      </w:hyperlink>
      <w:r w:rsidRPr="00EA3A47">
        <w:rPr>
          <w:rFonts w:ascii="Verdana" w:eastAsia="Verdana" w:hAnsi="Verdana" w:cs="Verdana"/>
        </w:rPr>
        <w:t xml:space="preserve"> </w:t>
      </w:r>
    </w:p>
    <w:p w14:paraId="0A68E56A" w14:textId="77777777" w:rsidR="00556A41" w:rsidRPr="00EA3A47" w:rsidRDefault="00556A41" w:rsidP="00EA3A47">
      <w:pPr>
        <w:spacing w:after="0" w:line="240" w:lineRule="auto"/>
        <w:jc w:val="both"/>
        <w:textAlignment w:val="baseline"/>
        <w:rPr>
          <w:rFonts w:ascii="Verdana" w:eastAsia="Verdana" w:hAnsi="Verdana" w:cs="Verdana"/>
          <w:lang w:val="es"/>
        </w:rPr>
      </w:pPr>
      <w:r w:rsidRPr="00EA3A47">
        <w:rPr>
          <w:rFonts w:ascii="Verdana" w:eastAsia="Verdana" w:hAnsi="Verdana" w:cs="Verdana"/>
          <w:lang w:val="es"/>
        </w:rPr>
        <w:t>Bogotá D.C.</w:t>
      </w:r>
    </w:p>
    <w:p w14:paraId="7535C170" w14:textId="77777777" w:rsidR="00556A41" w:rsidRPr="00EA3A47" w:rsidRDefault="00556A41" w:rsidP="00EA3A47">
      <w:pPr>
        <w:spacing w:after="0" w:line="240" w:lineRule="auto"/>
        <w:jc w:val="both"/>
        <w:textAlignment w:val="baseline"/>
        <w:rPr>
          <w:rFonts w:ascii="Verdana" w:hAnsi="Verdana"/>
        </w:rPr>
      </w:pPr>
      <w:r w:rsidRPr="00EA3A47">
        <w:rPr>
          <w:rFonts w:ascii="Verdana" w:eastAsia="Verdana" w:hAnsi="Verdana" w:cs="Verdana"/>
          <w:b/>
          <w:bCs/>
          <w:color w:val="000000" w:themeColor="text1"/>
          <w:lang w:val="es"/>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6540"/>
      </w:tblGrid>
      <w:tr w:rsidR="00556A41" w:rsidRPr="00EA3A47" w14:paraId="0153CF85" w14:textId="77777777">
        <w:trPr>
          <w:trHeight w:val="615"/>
        </w:trPr>
        <w:tc>
          <w:tcPr>
            <w:tcW w:w="2265" w:type="dxa"/>
            <w:shd w:val="clear" w:color="auto" w:fill="FFFFFF" w:themeFill="background1"/>
            <w:tcMar>
              <w:left w:w="108" w:type="dxa"/>
              <w:right w:w="108" w:type="dxa"/>
            </w:tcMar>
          </w:tcPr>
          <w:p w14:paraId="2A4ACCCA" w14:textId="77777777" w:rsidR="00556A41" w:rsidRPr="00EA3A47" w:rsidRDefault="00556A41" w:rsidP="00EA3A47">
            <w:pPr>
              <w:jc w:val="both"/>
              <w:rPr>
                <w:rFonts w:ascii="Verdana" w:eastAsia="Verdana" w:hAnsi="Verdana" w:cs="Verdana"/>
                <w:b/>
                <w:bCs/>
                <w:color w:val="000000" w:themeColor="text1"/>
              </w:rPr>
            </w:pPr>
          </w:p>
        </w:tc>
        <w:tc>
          <w:tcPr>
            <w:tcW w:w="6540" w:type="dxa"/>
            <w:shd w:val="clear" w:color="auto" w:fill="FFFFFF" w:themeFill="background1"/>
            <w:tcMar>
              <w:left w:w="108" w:type="dxa"/>
              <w:right w:w="108" w:type="dxa"/>
            </w:tcMar>
          </w:tcPr>
          <w:p w14:paraId="129F38D4" w14:textId="77777777" w:rsidR="00556A41" w:rsidRPr="00F83E60" w:rsidRDefault="00556A41" w:rsidP="00EA3A47">
            <w:pPr>
              <w:jc w:val="both"/>
              <w:rPr>
                <w:rFonts w:ascii="Verdana" w:hAnsi="Verdana"/>
              </w:rPr>
            </w:pPr>
            <w:r w:rsidRPr="00EA3A47">
              <w:rPr>
                <w:rFonts w:ascii="Verdana" w:eastAsia="Verdana" w:hAnsi="Verdana" w:cs="Verdana"/>
                <w:b/>
                <w:bCs/>
                <w:color w:val="000000" w:themeColor="text1"/>
                <w:lang w:val="es"/>
              </w:rPr>
              <w:t>Concepto C- 1018 de 2026</w:t>
            </w:r>
          </w:p>
        </w:tc>
      </w:tr>
      <w:tr w:rsidR="00556A41" w:rsidRPr="00EA3A47" w14:paraId="38F283EB" w14:textId="77777777">
        <w:trPr>
          <w:trHeight w:val="1065"/>
        </w:trPr>
        <w:tc>
          <w:tcPr>
            <w:tcW w:w="2265" w:type="dxa"/>
            <w:shd w:val="clear" w:color="auto" w:fill="FFFFFF" w:themeFill="background1"/>
            <w:tcMar>
              <w:left w:w="108" w:type="dxa"/>
              <w:right w:w="108" w:type="dxa"/>
            </w:tcMar>
          </w:tcPr>
          <w:p w14:paraId="074CE521" w14:textId="77777777" w:rsidR="00556A41" w:rsidRPr="00F83E60" w:rsidRDefault="00556A41" w:rsidP="00EA3A47">
            <w:pPr>
              <w:jc w:val="both"/>
              <w:rPr>
                <w:rFonts w:ascii="Verdana" w:hAnsi="Verdana"/>
              </w:rPr>
            </w:pPr>
            <w:r w:rsidRPr="00EA3A47">
              <w:rPr>
                <w:rFonts w:ascii="Verdana" w:eastAsia="Verdana" w:hAnsi="Verdana" w:cs="Verdana"/>
                <w:b/>
                <w:bCs/>
                <w:color w:val="000000" w:themeColor="text1"/>
              </w:rPr>
              <w:t>Temas:</w:t>
            </w:r>
            <w:r w:rsidRPr="00EA3A47">
              <w:rPr>
                <w:rFonts w:ascii="Verdana" w:eastAsia="Verdana" w:hAnsi="Verdana" w:cs="Verdana"/>
                <w:color w:val="000000" w:themeColor="text1"/>
              </w:rPr>
              <w:t xml:space="preserve">                   </w:t>
            </w:r>
          </w:p>
        </w:tc>
        <w:tc>
          <w:tcPr>
            <w:tcW w:w="6540" w:type="dxa"/>
            <w:shd w:val="clear" w:color="auto" w:fill="FFFFFF" w:themeFill="background1"/>
            <w:tcMar>
              <w:left w:w="108" w:type="dxa"/>
              <w:right w:w="108" w:type="dxa"/>
            </w:tcMar>
          </w:tcPr>
          <w:p w14:paraId="2BFEE53A" w14:textId="77777777" w:rsidR="00556A41" w:rsidRPr="00EA3A47" w:rsidRDefault="00556A41" w:rsidP="00EA3A47">
            <w:pPr>
              <w:jc w:val="both"/>
              <w:rPr>
                <w:rFonts w:ascii="Verdana" w:hAnsi="Verdana"/>
                <w:b/>
              </w:rPr>
            </w:pPr>
            <w:r w:rsidRPr="00EA3A47">
              <w:rPr>
                <w:rFonts w:ascii="Verdana" w:hAnsi="Verdana" w:cs="Arial"/>
                <w:lang w:val="es-ES" w:eastAsia="es-ES"/>
              </w:rPr>
              <w:t>CONTRATOS ESTATALES – Capacidad jurídica – Requisitos esenciales /</w:t>
            </w:r>
            <w:r w:rsidRPr="00EA3A47">
              <w:rPr>
                <w:rFonts w:ascii="Verdana" w:hAnsi="Verdana" w:cs="Arial"/>
                <w:b/>
                <w:bCs/>
                <w:lang w:val="es-ES" w:eastAsia="es-ES"/>
              </w:rPr>
              <w:t xml:space="preserve"> </w:t>
            </w:r>
            <w:r w:rsidRPr="00EA3A47">
              <w:rPr>
                <w:rFonts w:ascii="Verdana" w:hAnsi="Verdana" w:cs="Arial"/>
                <w:lang w:val="es-ES"/>
              </w:rPr>
              <w:t>CONTRATO DE SEGURO – Noción – Definición – Autonomía de la voluntad</w:t>
            </w:r>
            <w:r w:rsidRPr="00EA3A47">
              <w:rPr>
                <w:rFonts w:ascii="Verdana" w:hAnsi="Verdana" w:cs="Arial"/>
                <w:b/>
                <w:bCs/>
                <w:lang w:val="es-ES"/>
              </w:rPr>
              <w:t xml:space="preserve"> </w:t>
            </w:r>
            <w:r w:rsidRPr="00EA3A47">
              <w:rPr>
                <w:rFonts w:ascii="Verdana" w:eastAsia="Arial" w:hAnsi="Verdana" w:cs="Arial"/>
                <w:lang w:val="es-ES_tradnl"/>
              </w:rPr>
              <w:t xml:space="preserve">/ CONTRATO DE CORRETAJE – Características / CONTRATO DE CORRETAJE DE SEGUROS – Contrato de tracto sucesivo / </w:t>
            </w:r>
            <w:r w:rsidRPr="00EA3A47">
              <w:rPr>
                <w:rFonts w:ascii="Verdana" w:eastAsia="Arial" w:hAnsi="Verdana" w:cs="Arial"/>
                <w:lang w:val="es-ES_tradnl" w:eastAsia="es-ES"/>
              </w:rPr>
              <w:t xml:space="preserve">LIQUIDACIÓN DEL CONTRATO – Definición – Objetivo / LIQUIDACIÓN DEL CONTRATO – Normativa / LIQUIDACIÓN DE CONTRATOS – De tracto sucesivo  </w:t>
            </w:r>
          </w:p>
          <w:p w14:paraId="6CACB6ED" w14:textId="77777777" w:rsidR="00556A41" w:rsidRPr="00F83E60" w:rsidRDefault="00556A41" w:rsidP="00F83E60">
            <w:pPr>
              <w:jc w:val="both"/>
              <w:rPr>
                <w:rFonts w:ascii="Verdana" w:hAnsi="Verdana"/>
              </w:rPr>
            </w:pPr>
          </w:p>
        </w:tc>
      </w:tr>
      <w:tr w:rsidR="00556A41" w:rsidRPr="00EA3A47" w14:paraId="20EFB9D4" w14:textId="77777777">
        <w:trPr>
          <w:trHeight w:val="660"/>
        </w:trPr>
        <w:tc>
          <w:tcPr>
            <w:tcW w:w="2265" w:type="dxa"/>
            <w:shd w:val="clear" w:color="auto" w:fill="FFFFFF" w:themeFill="background1"/>
            <w:tcMar>
              <w:left w:w="108" w:type="dxa"/>
              <w:right w:w="108" w:type="dxa"/>
            </w:tcMar>
          </w:tcPr>
          <w:p w14:paraId="4ABB9A20" w14:textId="77777777" w:rsidR="00556A41" w:rsidRPr="00F83E60" w:rsidRDefault="00556A41" w:rsidP="00EA3A47">
            <w:pPr>
              <w:jc w:val="both"/>
              <w:rPr>
                <w:rFonts w:ascii="Verdana" w:hAnsi="Verdana"/>
              </w:rPr>
            </w:pPr>
            <w:r w:rsidRPr="00EA3A47">
              <w:rPr>
                <w:rFonts w:ascii="Verdana" w:eastAsia="Verdana" w:hAnsi="Verdana" w:cs="Verdana"/>
                <w:b/>
                <w:bCs/>
                <w:color w:val="000000" w:themeColor="text1"/>
              </w:rPr>
              <w:t>Radicación:</w:t>
            </w:r>
            <w:r w:rsidRPr="00EA3A47">
              <w:rPr>
                <w:rFonts w:ascii="Verdana" w:eastAsia="Verdana" w:hAnsi="Verdana" w:cs="Verdana"/>
                <w:color w:val="000000" w:themeColor="text1"/>
              </w:rPr>
              <w:t xml:space="preserve">           </w:t>
            </w:r>
          </w:p>
        </w:tc>
        <w:tc>
          <w:tcPr>
            <w:tcW w:w="6540" w:type="dxa"/>
            <w:shd w:val="clear" w:color="auto" w:fill="FFFFFF" w:themeFill="background1"/>
            <w:tcMar>
              <w:left w:w="108" w:type="dxa"/>
              <w:right w:w="108" w:type="dxa"/>
            </w:tcMar>
          </w:tcPr>
          <w:p w14:paraId="1A14899B" w14:textId="77777777" w:rsidR="00556A41" w:rsidRPr="00F83E60" w:rsidRDefault="00556A41" w:rsidP="00EA3A47">
            <w:pPr>
              <w:ind w:right="1"/>
              <w:jc w:val="both"/>
              <w:rPr>
                <w:rFonts w:ascii="Verdana" w:hAnsi="Verdana"/>
              </w:rPr>
            </w:pPr>
            <w:r w:rsidRPr="00EA3A47">
              <w:rPr>
                <w:rFonts w:ascii="Verdana" w:eastAsia="Verdana" w:hAnsi="Verdana" w:cs="Verdana"/>
                <w:color w:val="000000" w:themeColor="text1"/>
              </w:rPr>
              <w:t>Respuesta a consulta con radicado N.º 1_2026_06_24_008492 acumulado con el radicado 1_2026_06_24_008493</w:t>
            </w:r>
          </w:p>
        </w:tc>
      </w:tr>
    </w:tbl>
    <w:p w14:paraId="27B8CE89" w14:textId="77777777" w:rsidR="00556A41" w:rsidRPr="00EA3A47" w:rsidRDefault="00556A41" w:rsidP="00EA3A47">
      <w:pPr>
        <w:spacing w:after="0" w:line="240" w:lineRule="auto"/>
        <w:jc w:val="both"/>
        <w:textAlignment w:val="baseline"/>
        <w:rPr>
          <w:rFonts w:ascii="Verdana" w:eastAsia="Verdana" w:hAnsi="Verdana" w:cs="Verdana"/>
          <w:b/>
          <w:bCs/>
          <w:color w:val="000000" w:themeColor="text1"/>
          <w:lang w:val="es"/>
        </w:rPr>
      </w:pPr>
    </w:p>
    <w:p w14:paraId="77D83369" w14:textId="77777777" w:rsidR="00556A41" w:rsidRPr="0015699B" w:rsidRDefault="00556A41" w:rsidP="00EE5AEC">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Estimad</w:t>
      </w:r>
      <w:r>
        <w:rPr>
          <w:rFonts w:ascii="Verdana" w:eastAsia="Verdana" w:hAnsi="Verdana" w:cs="Verdana"/>
          <w:color w:val="000000" w:themeColor="text1"/>
          <w:lang w:val="es"/>
        </w:rPr>
        <w:t>a</w:t>
      </w:r>
      <w:r w:rsidRPr="40A87941">
        <w:rPr>
          <w:rFonts w:ascii="Verdana" w:eastAsia="Verdana" w:hAnsi="Verdana" w:cs="Verdana"/>
          <w:color w:val="000000" w:themeColor="text1"/>
          <w:lang w:val="es"/>
        </w:rPr>
        <w:t xml:space="preserve"> señor</w:t>
      </w:r>
      <w:r>
        <w:rPr>
          <w:rFonts w:ascii="Verdana" w:eastAsia="Verdana" w:hAnsi="Verdana" w:cs="Verdana"/>
          <w:color w:val="000000" w:themeColor="text1"/>
          <w:lang w:val="es"/>
        </w:rPr>
        <w:t>a</w:t>
      </w:r>
      <w:r w:rsidRPr="40A87941">
        <w:rPr>
          <w:rFonts w:ascii="Verdana" w:eastAsia="Verdana" w:hAnsi="Verdana" w:cs="Verdana"/>
          <w:color w:val="000000" w:themeColor="text1"/>
          <w:lang w:val="es"/>
        </w:rPr>
        <w:t>;</w:t>
      </w:r>
    </w:p>
    <w:p w14:paraId="3C393496" w14:textId="77777777" w:rsidR="00556A41" w:rsidRPr="0015699B" w:rsidRDefault="00556A41" w:rsidP="00EE5AEC">
      <w:pPr>
        <w:spacing w:after="0" w:line="276" w:lineRule="auto"/>
        <w:jc w:val="both"/>
        <w:textAlignment w:val="baseline"/>
        <w:rPr>
          <w:rFonts w:ascii="Calibri" w:eastAsia="Calibri" w:hAnsi="Calibri" w:cs="Calibri"/>
          <w:lang w:val="es"/>
        </w:rPr>
      </w:pPr>
      <w:r w:rsidRPr="40A87941">
        <w:rPr>
          <w:rFonts w:ascii="Calibri" w:eastAsia="Calibri" w:hAnsi="Calibri" w:cs="Calibri"/>
          <w:lang w:val="es"/>
        </w:rPr>
        <w:t xml:space="preserve"> </w:t>
      </w:r>
    </w:p>
    <w:p w14:paraId="79A338A1" w14:textId="77777777" w:rsidR="00556A41" w:rsidRDefault="00556A41" w:rsidP="00EE5AEC">
      <w:pPr>
        <w:spacing w:after="0" w:line="276" w:lineRule="auto"/>
        <w:jc w:val="both"/>
        <w:textAlignment w:val="baseline"/>
        <w:rPr>
          <w:rFonts w:ascii="Verdana" w:eastAsia="Verdana" w:hAnsi="Verdana" w:cs="Verdana"/>
          <w:color w:val="000000" w:themeColor="text1"/>
          <w:lang w:val="es-ES"/>
        </w:rPr>
      </w:pPr>
      <w:r w:rsidRPr="39124533">
        <w:rPr>
          <w:rFonts w:ascii="Verdana" w:eastAsia="Verdana" w:hAnsi="Verdana" w:cs="Verdana"/>
          <w:color w:val="000000" w:themeColor="text1"/>
          <w:lang w:val="es-ES"/>
        </w:rPr>
        <w:t xml:space="preserve">En ejercicio de la competencia otorgada por los artículos 3, numeral 5º, y 11, numeral 8º, del Decreto Ley 4170 de 2011, así como lo establecido en el artículo 4 de la Resolución 1707 de 2018 expedida por esta Entidad, la Agencia Nacional de Contratación Pública – Colombia Compra Eficiente– responde a su solicitud radicada ante esta entidad el </w:t>
      </w:r>
      <w:r>
        <w:rPr>
          <w:rFonts w:ascii="Verdana" w:eastAsia="Verdana" w:hAnsi="Verdana" w:cs="Verdana"/>
          <w:color w:val="000000" w:themeColor="text1"/>
          <w:lang w:val="es-ES"/>
        </w:rPr>
        <w:t>24</w:t>
      </w:r>
      <w:r w:rsidRPr="39124533">
        <w:rPr>
          <w:rFonts w:ascii="Verdana" w:eastAsia="Verdana" w:hAnsi="Verdana" w:cs="Verdana"/>
          <w:color w:val="000000" w:themeColor="text1"/>
          <w:lang w:val="es-ES"/>
        </w:rPr>
        <w:t xml:space="preserve"> de junio de 2026 en la cual manifiesta lo siguiente:</w:t>
      </w:r>
    </w:p>
    <w:p w14:paraId="55866AC1" w14:textId="77777777" w:rsidR="00EE5AEC" w:rsidRDefault="00EE5AEC" w:rsidP="00F83E60">
      <w:pPr>
        <w:spacing w:after="0" w:line="276" w:lineRule="auto"/>
        <w:jc w:val="both"/>
        <w:textAlignment w:val="baseline"/>
        <w:rPr>
          <w:rFonts w:ascii="Verdana" w:eastAsia="Verdana" w:hAnsi="Verdana" w:cs="Verdana"/>
          <w:color w:val="000000" w:themeColor="text1"/>
          <w:lang w:val="es-ES"/>
        </w:rPr>
      </w:pPr>
    </w:p>
    <w:p w14:paraId="41173053" w14:textId="7E7819C0" w:rsidR="00556A41" w:rsidRPr="00F83E60" w:rsidRDefault="00556A41" w:rsidP="00F83E60">
      <w:pPr>
        <w:spacing w:after="0" w:line="240" w:lineRule="auto"/>
        <w:ind w:left="709" w:right="709"/>
        <w:jc w:val="both"/>
        <w:textAlignment w:val="baseline"/>
        <w:rPr>
          <w:rFonts w:ascii="Verdana" w:eastAsia="Verdana" w:hAnsi="Verdana" w:cs="Verdana"/>
          <w:color w:val="000000" w:themeColor="text1"/>
          <w:sz w:val="20"/>
          <w:szCs w:val="20"/>
          <w:lang w:val="es-ES"/>
        </w:rPr>
      </w:pPr>
      <w:r w:rsidRPr="00F83E60">
        <w:rPr>
          <w:rFonts w:ascii="Verdana" w:eastAsia="Verdana" w:hAnsi="Verdana" w:cs="Verdana"/>
          <w:color w:val="000000" w:themeColor="text1"/>
          <w:sz w:val="20"/>
          <w:szCs w:val="20"/>
          <w:lang w:val="es-ES"/>
        </w:rPr>
        <w:t>“</w:t>
      </w:r>
      <w:r w:rsidRPr="00F83E60">
        <w:rPr>
          <w:rFonts w:ascii="Verdana" w:eastAsia="Verdana" w:hAnsi="Verdana" w:cs="Verdana"/>
          <w:color w:val="000000" w:themeColor="text1"/>
          <w:sz w:val="20"/>
          <w:szCs w:val="20"/>
        </w:rPr>
        <w:t>CONTRATOS DE SEGUROS</w:t>
      </w:r>
    </w:p>
    <w:p w14:paraId="31A5BDD0" w14:textId="77777777" w:rsidR="00556A41" w:rsidRPr="00F83E60" w:rsidRDefault="00556A41" w:rsidP="00F83E60">
      <w:pPr>
        <w:spacing w:after="0" w:line="240" w:lineRule="auto"/>
        <w:ind w:left="709" w:right="709"/>
        <w:jc w:val="both"/>
        <w:textAlignment w:val="baseline"/>
        <w:rPr>
          <w:rFonts w:ascii="Verdana" w:eastAsia="Verdana" w:hAnsi="Verdana" w:cs="Verdana"/>
          <w:color w:val="000000" w:themeColor="text1"/>
          <w:sz w:val="20"/>
          <w:szCs w:val="20"/>
        </w:rPr>
      </w:pPr>
      <w:r w:rsidRPr="00F83E60">
        <w:rPr>
          <w:rFonts w:ascii="Verdana" w:eastAsia="Verdana" w:hAnsi="Verdana" w:cs="Verdana"/>
          <w:color w:val="000000" w:themeColor="text1"/>
          <w:sz w:val="20"/>
          <w:szCs w:val="20"/>
        </w:rPr>
        <w:t>¿Los contratos de seguros, adelantados por la Entidades Públicas, deben ser liquidados?</w:t>
      </w:r>
    </w:p>
    <w:p w14:paraId="10F8003A" w14:textId="77777777" w:rsidR="00062B44" w:rsidRDefault="00062B44" w:rsidP="00EE5AEC">
      <w:pPr>
        <w:spacing w:after="0" w:line="240" w:lineRule="auto"/>
        <w:ind w:left="709" w:right="709"/>
        <w:jc w:val="both"/>
        <w:textAlignment w:val="baseline"/>
        <w:rPr>
          <w:rFonts w:ascii="Verdana" w:eastAsia="Verdana" w:hAnsi="Verdana" w:cs="Verdana"/>
          <w:color w:val="000000" w:themeColor="text1"/>
          <w:sz w:val="20"/>
          <w:szCs w:val="20"/>
        </w:rPr>
      </w:pPr>
    </w:p>
    <w:p w14:paraId="5DCD33BA" w14:textId="24E14ABA" w:rsidR="00556A41" w:rsidRPr="00F83E60" w:rsidRDefault="00556A41" w:rsidP="00F83E60">
      <w:pPr>
        <w:spacing w:after="0" w:line="240" w:lineRule="auto"/>
        <w:ind w:left="709" w:right="709"/>
        <w:jc w:val="both"/>
        <w:textAlignment w:val="baseline"/>
        <w:rPr>
          <w:rFonts w:ascii="Verdana" w:eastAsia="Verdana" w:hAnsi="Verdana" w:cs="Verdana"/>
          <w:color w:val="000000" w:themeColor="text1"/>
          <w:sz w:val="20"/>
          <w:szCs w:val="20"/>
        </w:rPr>
      </w:pPr>
      <w:r w:rsidRPr="00F83E60">
        <w:rPr>
          <w:rFonts w:ascii="Verdana" w:eastAsia="Verdana" w:hAnsi="Verdana" w:cs="Verdana"/>
          <w:color w:val="000000" w:themeColor="text1"/>
          <w:sz w:val="20"/>
          <w:szCs w:val="20"/>
        </w:rPr>
        <w:lastRenderedPageBreak/>
        <w:t>De ser así ¿Existen aspectos específicos a evaluar para adelantar la</w:t>
      </w:r>
      <w:r w:rsidR="00062B44">
        <w:rPr>
          <w:rFonts w:ascii="Verdana" w:eastAsia="Verdana" w:hAnsi="Verdana" w:cs="Verdana"/>
          <w:color w:val="000000" w:themeColor="text1"/>
          <w:sz w:val="20"/>
          <w:szCs w:val="20"/>
        </w:rPr>
        <w:t xml:space="preserve"> </w:t>
      </w:r>
      <w:r w:rsidRPr="00F83E60">
        <w:rPr>
          <w:rFonts w:ascii="Verdana" w:eastAsia="Verdana" w:hAnsi="Verdana" w:cs="Verdana"/>
          <w:color w:val="000000" w:themeColor="text1"/>
          <w:sz w:val="20"/>
          <w:szCs w:val="20"/>
        </w:rPr>
        <w:t>liquidación de dichos contratos?</w:t>
      </w:r>
    </w:p>
    <w:p w14:paraId="5FBF484A" w14:textId="77777777" w:rsidR="00062B44" w:rsidRDefault="00062B44" w:rsidP="00EE5AEC">
      <w:pPr>
        <w:spacing w:after="0" w:line="240" w:lineRule="auto"/>
        <w:ind w:left="709" w:right="709"/>
        <w:jc w:val="both"/>
        <w:textAlignment w:val="baseline"/>
        <w:rPr>
          <w:rFonts w:ascii="Verdana" w:eastAsia="Verdana" w:hAnsi="Verdana" w:cs="Verdana"/>
          <w:color w:val="000000" w:themeColor="text1"/>
          <w:sz w:val="20"/>
          <w:szCs w:val="20"/>
        </w:rPr>
      </w:pPr>
    </w:p>
    <w:p w14:paraId="244647E7" w14:textId="72BD35A1" w:rsidR="00556A41" w:rsidRPr="00F83E60" w:rsidRDefault="00556A41" w:rsidP="00F83E60">
      <w:pPr>
        <w:spacing w:after="0" w:line="240" w:lineRule="auto"/>
        <w:ind w:left="709" w:right="709"/>
        <w:jc w:val="both"/>
        <w:textAlignment w:val="baseline"/>
        <w:rPr>
          <w:rFonts w:ascii="Verdana" w:eastAsia="Verdana" w:hAnsi="Verdana" w:cs="Verdana"/>
          <w:color w:val="000000" w:themeColor="text1"/>
          <w:sz w:val="20"/>
          <w:szCs w:val="20"/>
        </w:rPr>
      </w:pPr>
      <w:r w:rsidRPr="00F83E60">
        <w:rPr>
          <w:rFonts w:ascii="Verdana" w:eastAsia="Verdana" w:hAnsi="Verdana" w:cs="Verdana"/>
          <w:color w:val="000000" w:themeColor="text1"/>
          <w:sz w:val="20"/>
          <w:szCs w:val="20"/>
        </w:rPr>
        <w:t>En los contratos de seguros ¿Cuáles son los criterios para realizar el cierre de expediente?</w:t>
      </w:r>
    </w:p>
    <w:p w14:paraId="7B29A09D" w14:textId="77777777" w:rsidR="00062B44" w:rsidRDefault="00062B44" w:rsidP="00EE5AEC">
      <w:pPr>
        <w:spacing w:after="0" w:line="240" w:lineRule="auto"/>
        <w:ind w:left="709" w:right="709"/>
        <w:jc w:val="both"/>
        <w:textAlignment w:val="baseline"/>
        <w:rPr>
          <w:rFonts w:ascii="Verdana" w:eastAsia="Verdana" w:hAnsi="Verdana" w:cs="Verdana"/>
          <w:color w:val="000000" w:themeColor="text1"/>
          <w:sz w:val="20"/>
          <w:szCs w:val="20"/>
        </w:rPr>
      </w:pPr>
    </w:p>
    <w:p w14:paraId="5D630161" w14:textId="7C39BA73" w:rsidR="00556A41" w:rsidRPr="00F83E60" w:rsidRDefault="00556A41" w:rsidP="00F83E60">
      <w:pPr>
        <w:spacing w:after="0" w:line="240" w:lineRule="auto"/>
        <w:ind w:left="709" w:right="709"/>
        <w:jc w:val="both"/>
        <w:textAlignment w:val="baseline"/>
        <w:rPr>
          <w:rFonts w:ascii="Verdana" w:eastAsia="Verdana" w:hAnsi="Verdana" w:cs="Verdana"/>
          <w:color w:val="000000" w:themeColor="text1"/>
          <w:sz w:val="20"/>
          <w:szCs w:val="20"/>
        </w:rPr>
      </w:pPr>
      <w:r w:rsidRPr="00F83E60">
        <w:rPr>
          <w:rFonts w:ascii="Verdana" w:eastAsia="Verdana" w:hAnsi="Verdana" w:cs="Verdana"/>
          <w:color w:val="000000" w:themeColor="text1"/>
          <w:sz w:val="20"/>
          <w:szCs w:val="20"/>
        </w:rPr>
        <w:t>Si aplica la liquidación y la entidad contratante ha perdido competencia</w:t>
      </w:r>
      <w:r w:rsidR="005B2D41">
        <w:rPr>
          <w:rFonts w:ascii="Verdana" w:eastAsia="Verdana" w:hAnsi="Verdana" w:cs="Verdana"/>
          <w:color w:val="000000" w:themeColor="text1"/>
          <w:sz w:val="20"/>
          <w:szCs w:val="20"/>
        </w:rPr>
        <w:t xml:space="preserve"> </w:t>
      </w:r>
      <w:r w:rsidRPr="00F83E60">
        <w:rPr>
          <w:rFonts w:ascii="Verdana" w:eastAsia="Verdana" w:hAnsi="Verdana" w:cs="Verdana"/>
          <w:color w:val="000000" w:themeColor="text1"/>
          <w:sz w:val="20"/>
          <w:szCs w:val="20"/>
        </w:rPr>
        <w:t>para ello, ¿Cuál es el procedimiento para subsanar esta situación?</w:t>
      </w:r>
    </w:p>
    <w:p w14:paraId="7853EB37" w14:textId="77777777" w:rsidR="005B2D41" w:rsidRDefault="005B2D41" w:rsidP="00EE5AEC">
      <w:pPr>
        <w:spacing w:after="0" w:line="240" w:lineRule="auto"/>
        <w:ind w:left="709" w:right="709"/>
        <w:jc w:val="both"/>
        <w:textAlignment w:val="baseline"/>
        <w:rPr>
          <w:rFonts w:ascii="Verdana" w:eastAsia="Verdana" w:hAnsi="Verdana" w:cs="Verdana"/>
          <w:color w:val="000000" w:themeColor="text1"/>
          <w:sz w:val="20"/>
          <w:szCs w:val="20"/>
        </w:rPr>
      </w:pPr>
    </w:p>
    <w:p w14:paraId="59336954" w14:textId="2EC658F9" w:rsidR="00556A41" w:rsidRPr="00F83E60" w:rsidRDefault="00556A41" w:rsidP="00F83E60">
      <w:pPr>
        <w:spacing w:after="0" w:line="240" w:lineRule="auto"/>
        <w:ind w:left="709" w:right="709"/>
        <w:jc w:val="both"/>
        <w:textAlignment w:val="baseline"/>
        <w:rPr>
          <w:rFonts w:ascii="Verdana" w:eastAsia="Verdana" w:hAnsi="Verdana" w:cs="Verdana"/>
          <w:color w:val="000000" w:themeColor="text1"/>
          <w:sz w:val="20"/>
          <w:szCs w:val="20"/>
          <w:lang w:val="es-ES"/>
        </w:rPr>
      </w:pPr>
      <w:r w:rsidRPr="00F83E60">
        <w:rPr>
          <w:rFonts w:ascii="Verdana" w:eastAsia="Verdana" w:hAnsi="Verdana" w:cs="Verdana"/>
          <w:color w:val="000000" w:themeColor="text1"/>
          <w:sz w:val="20"/>
          <w:szCs w:val="20"/>
        </w:rPr>
        <w:t>¿Si existen reclamaciones en curso, que involucran procesos judiciales</w:t>
      </w:r>
      <w:r w:rsidR="005B2D41">
        <w:rPr>
          <w:rFonts w:ascii="Verdana" w:eastAsia="Verdana" w:hAnsi="Verdana" w:cs="Verdana"/>
          <w:color w:val="000000" w:themeColor="text1"/>
          <w:sz w:val="20"/>
          <w:szCs w:val="20"/>
        </w:rPr>
        <w:t xml:space="preserve"> </w:t>
      </w:r>
      <w:r w:rsidRPr="00F83E60">
        <w:rPr>
          <w:rFonts w:ascii="Verdana" w:eastAsia="Verdana" w:hAnsi="Verdana" w:cs="Verdana"/>
          <w:color w:val="000000" w:themeColor="text1"/>
          <w:sz w:val="20"/>
          <w:szCs w:val="20"/>
        </w:rPr>
        <w:t>ajenos a la operación de la Entidad contratante, en espera de sentencia</w:t>
      </w:r>
      <w:r w:rsidR="005B2D41">
        <w:rPr>
          <w:rFonts w:ascii="Verdana" w:eastAsia="Verdana" w:hAnsi="Verdana" w:cs="Verdana"/>
          <w:color w:val="000000" w:themeColor="text1"/>
          <w:sz w:val="20"/>
          <w:szCs w:val="20"/>
        </w:rPr>
        <w:t xml:space="preserve"> </w:t>
      </w:r>
      <w:r w:rsidRPr="00F83E60">
        <w:rPr>
          <w:rFonts w:ascii="Verdana" w:eastAsia="Verdana" w:hAnsi="Verdana" w:cs="Verdana"/>
          <w:color w:val="000000" w:themeColor="text1"/>
          <w:sz w:val="20"/>
          <w:szCs w:val="20"/>
        </w:rPr>
        <w:t>o fallo, es posible realizar el cierre del expediente contractual? o ¿La</w:t>
      </w:r>
      <w:r w:rsidR="005B2D41">
        <w:rPr>
          <w:rFonts w:ascii="Verdana" w:eastAsia="Verdana" w:hAnsi="Verdana" w:cs="Verdana"/>
          <w:color w:val="000000" w:themeColor="text1"/>
          <w:sz w:val="20"/>
          <w:szCs w:val="20"/>
        </w:rPr>
        <w:t xml:space="preserve"> </w:t>
      </w:r>
      <w:r w:rsidRPr="00F83E60">
        <w:rPr>
          <w:rFonts w:ascii="Verdana" w:eastAsia="Verdana" w:hAnsi="Verdana" w:cs="Verdana"/>
          <w:color w:val="000000" w:themeColor="text1"/>
          <w:sz w:val="20"/>
          <w:szCs w:val="20"/>
        </w:rPr>
        <w:t>Entidad debe esperar a que los procesos judiciales concluyan para hacer</w:t>
      </w:r>
      <w:r w:rsidR="005B2D41">
        <w:rPr>
          <w:rFonts w:ascii="Verdana" w:eastAsia="Verdana" w:hAnsi="Verdana" w:cs="Verdana"/>
          <w:color w:val="000000" w:themeColor="text1"/>
          <w:sz w:val="20"/>
          <w:szCs w:val="20"/>
        </w:rPr>
        <w:t xml:space="preserve"> </w:t>
      </w:r>
      <w:r w:rsidRPr="00F83E60">
        <w:rPr>
          <w:rFonts w:ascii="Verdana" w:eastAsia="Verdana" w:hAnsi="Verdana" w:cs="Verdana"/>
          <w:color w:val="000000" w:themeColor="text1"/>
          <w:sz w:val="20"/>
          <w:szCs w:val="20"/>
        </w:rPr>
        <w:t>el correspondiente cierre?</w:t>
      </w:r>
    </w:p>
    <w:p w14:paraId="245CA23F" w14:textId="77777777" w:rsidR="00556A41" w:rsidRPr="00F83E60" w:rsidRDefault="00556A41" w:rsidP="00F83E60">
      <w:pPr>
        <w:spacing w:after="0" w:line="240" w:lineRule="auto"/>
        <w:ind w:left="709" w:right="709"/>
        <w:jc w:val="both"/>
        <w:textAlignment w:val="baseline"/>
        <w:rPr>
          <w:rFonts w:ascii="Verdana" w:eastAsia="Verdana" w:hAnsi="Verdana" w:cs="Verdana"/>
          <w:color w:val="000000" w:themeColor="text1"/>
          <w:sz w:val="20"/>
          <w:szCs w:val="20"/>
          <w:lang w:val="es-ES"/>
        </w:rPr>
      </w:pPr>
    </w:p>
    <w:p w14:paraId="10C9167E" w14:textId="77777777" w:rsidR="00556A41" w:rsidRPr="00F83E60" w:rsidRDefault="00556A41" w:rsidP="00F83E60">
      <w:pPr>
        <w:spacing w:after="0" w:line="240" w:lineRule="auto"/>
        <w:ind w:left="709" w:right="709"/>
        <w:jc w:val="both"/>
        <w:textAlignment w:val="baseline"/>
        <w:rPr>
          <w:rFonts w:ascii="Verdana" w:eastAsia="Verdana" w:hAnsi="Verdana" w:cs="Verdana"/>
          <w:color w:val="000000" w:themeColor="text1"/>
          <w:sz w:val="20"/>
          <w:szCs w:val="20"/>
        </w:rPr>
      </w:pPr>
      <w:r w:rsidRPr="00F83E60">
        <w:rPr>
          <w:rFonts w:ascii="Verdana" w:eastAsia="Verdana" w:hAnsi="Verdana" w:cs="Verdana"/>
          <w:color w:val="000000" w:themeColor="text1"/>
          <w:sz w:val="20"/>
          <w:szCs w:val="20"/>
        </w:rPr>
        <w:t>CONTRATOS DE CORRETAJE O INTERMEDIACIÓN DE SEGUROS</w:t>
      </w:r>
    </w:p>
    <w:p w14:paraId="0D709DD1" w14:textId="77777777" w:rsidR="00556A41" w:rsidRPr="00F83E60" w:rsidRDefault="00556A41" w:rsidP="00F83E60">
      <w:pPr>
        <w:spacing w:after="0" w:line="240" w:lineRule="auto"/>
        <w:ind w:left="709" w:right="709"/>
        <w:jc w:val="both"/>
        <w:textAlignment w:val="baseline"/>
        <w:rPr>
          <w:rFonts w:ascii="Verdana" w:eastAsia="Verdana" w:hAnsi="Verdana" w:cs="Verdana"/>
          <w:color w:val="000000" w:themeColor="text1"/>
          <w:sz w:val="20"/>
          <w:szCs w:val="20"/>
        </w:rPr>
      </w:pPr>
    </w:p>
    <w:p w14:paraId="34631DB0" w14:textId="77777777" w:rsidR="00556A41" w:rsidRPr="00F83E60" w:rsidRDefault="00556A41" w:rsidP="00F83E60">
      <w:pPr>
        <w:spacing w:after="0" w:line="240" w:lineRule="auto"/>
        <w:ind w:left="709" w:right="709"/>
        <w:jc w:val="both"/>
        <w:textAlignment w:val="baseline"/>
        <w:rPr>
          <w:rFonts w:ascii="Verdana" w:eastAsia="Verdana" w:hAnsi="Verdana" w:cs="Verdana"/>
          <w:color w:val="000000" w:themeColor="text1"/>
          <w:sz w:val="20"/>
          <w:szCs w:val="20"/>
        </w:rPr>
      </w:pPr>
      <w:r w:rsidRPr="00F83E60">
        <w:rPr>
          <w:rFonts w:ascii="Verdana" w:eastAsia="Verdana" w:hAnsi="Verdana" w:cs="Verdana"/>
          <w:color w:val="000000" w:themeColor="text1"/>
          <w:sz w:val="20"/>
          <w:szCs w:val="20"/>
        </w:rPr>
        <w:t>¿Los contratos de corretaje de seguros, adelantados por la Entidades</w:t>
      </w:r>
    </w:p>
    <w:p w14:paraId="5976BCB5" w14:textId="77777777" w:rsidR="00556A41" w:rsidRDefault="00556A41" w:rsidP="00EE5AEC">
      <w:pPr>
        <w:spacing w:after="0" w:line="240" w:lineRule="auto"/>
        <w:ind w:left="709" w:right="709"/>
        <w:jc w:val="both"/>
        <w:textAlignment w:val="baseline"/>
        <w:rPr>
          <w:rFonts w:ascii="Verdana" w:eastAsia="Verdana" w:hAnsi="Verdana" w:cs="Verdana"/>
          <w:color w:val="000000" w:themeColor="text1"/>
          <w:sz w:val="20"/>
          <w:szCs w:val="20"/>
        </w:rPr>
      </w:pPr>
      <w:r w:rsidRPr="00F83E60">
        <w:rPr>
          <w:rFonts w:ascii="Verdana" w:eastAsia="Verdana" w:hAnsi="Verdana" w:cs="Verdana"/>
          <w:color w:val="000000" w:themeColor="text1"/>
          <w:sz w:val="20"/>
          <w:szCs w:val="20"/>
        </w:rPr>
        <w:t>¿Públicas, deben ser liquidados?</w:t>
      </w:r>
    </w:p>
    <w:p w14:paraId="0339162C" w14:textId="77777777" w:rsidR="005B2D41" w:rsidRPr="00F83E60" w:rsidRDefault="005B2D41" w:rsidP="00F83E60">
      <w:pPr>
        <w:spacing w:after="0" w:line="240" w:lineRule="auto"/>
        <w:ind w:left="709" w:right="709"/>
        <w:jc w:val="both"/>
        <w:textAlignment w:val="baseline"/>
        <w:rPr>
          <w:rFonts w:ascii="Verdana" w:eastAsia="Verdana" w:hAnsi="Verdana" w:cs="Verdana"/>
          <w:color w:val="000000" w:themeColor="text1"/>
          <w:sz w:val="20"/>
          <w:szCs w:val="20"/>
        </w:rPr>
      </w:pPr>
    </w:p>
    <w:p w14:paraId="3B324871" w14:textId="77777777" w:rsidR="00556A41" w:rsidRDefault="00556A41" w:rsidP="00EE5AEC">
      <w:pPr>
        <w:spacing w:after="0" w:line="240" w:lineRule="auto"/>
        <w:ind w:left="709" w:right="709"/>
        <w:jc w:val="both"/>
        <w:textAlignment w:val="baseline"/>
        <w:rPr>
          <w:rFonts w:ascii="Verdana" w:eastAsia="Verdana" w:hAnsi="Verdana" w:cs="Verdana"/>
          <w:color w:val="000000" w:themeColor="text1"/>
          <w:sz w:val="20"/>
          <w:szCs w:val="20"/>
        </w:rPr>
      </w:pPr>
      <w:r w:rsidRPr="00F83E60">
        <w:rPr>
          <w:rFonts w:ascii="Verdana" w:eastAsia="Verdana" w:hAnsi="Verdana" w:cs="Verdana"/>
          <w:color w:val="000000" w:themeColor="text1"/>
          <w:sz w:val="20"/>
          <w:szCs w:val="20"/>
        </w:rPr>
        <w:t>De ser así ¿Existen aspectos específicos a evaluar para adelantar la liquidación de dichos contratos?</w:t>
      </w:r>
    </w:p>
    <w:p w14:paraId="154F26EA" w14:textId="77777777" w:rsidR="005B2D41" w:rsidRPr="00F83E60" w:rsidRDefault="005B2D41" w:rsidP="00F83E60">
      <w:pPr>
        <w:spacing w:after="0" w:line="240" w:lineRule="auto"/>
        <w:ind w:left="709" w:right="709"/>
        <w:jc w:val="both"/>
        <w:textAlignment w:val="baseline"/>
        <w:rPr>
          <w:rFonts w:ascii="Verdana" w:eastAsia="Verdana" w:hAnsi="Verdana" w:cs="Verdana"/>
          <w:color w:val="000000" w:themeColor="text1"/>
          <w:sz w:val="20"/>
          <w:szCs w:val="20"/>
        </w:rPr>
      </w:pPr>
    </w:p>
    <w:p w14:paraId="1311E4FB" w14:textId="77777777" w:rsidR="00556A41" w:rsidRDefault="00556A41" w:rsidP="00EE5AEC">
      <w:pPr>
        <w:spacing w:after="0" w:line="240" w:lineRule="auto"/>
        <w:ind w:left="709" w:right="709"/>
        <w:jc w:val="both"/>
        <w:textAlignment w:val="baseline"/>
        <w:rPr>
          <w:rFonts w:ascii="Verdana" w:eastAsia="Verdana" w:hAnsi="Verdana" w:cs="Verdana"/>
          <w:color w:val="000000" w:themeColor="text1"/>
          <w:sz w:val="20"/>
          <w:szCs w:val="20"/>
        </w:rPr>
      </w:pPr>
      <w:r w:rsidRPr="00F83E60">
        <w:rPr>
          <w:rFonts w:ascii="Verdana" w:eastAsia="Verdana" w:hAnsi="Verdana" w:cs="Verdana"/>
          <w:color w:val="000000" w:themeColor="text1"/>
          <w:sz w:val="20"/>
          <w:szCs w:val="20"/>
        </w:rPr>
        <w:t>En estos contratos ¿Cuáles son los criterios para realizar el cierre de expediente?</w:t>
      </w:r>
    </w:p>
    <w:p w14:paraId="1E98CC76" w14:textId="77777777" w:rsidR="005B2D41" w:rsidRPr="00F83E60" w:rsidRDefault="005B2D41" w:rsidP="00F83E60">
      <w:pPr>
        <w:spacing w:after="0" w:line="240" w:lineRule="auto"/>
        <w:ind w:left="709" w:right="709"/>
        <w:jc w:val="both"/>
        <w:textAlignment w:val="baseline"/>
        <w:rPr>
          <w:rFonts w:ascii="Verdana" w:eastAsia="Verdana" w:hAnsi="Verdana" w:cs="Verdana"/>
          <w:color w:val="000000" w:themeColor="text1"/>
          <w:sz w:val="20"/>
          <w:szCs w:val="20"/>
        </w:rPr>
      </w:pPr>
    </w:p>
    <w:p w14:paraId="308A2110" w14:textId="77777777" w:rsidR="00556A41" w:rsidRPr="00F83E60" w:rsidRDefault="00556A41" w:rsidP="00F83E60">
      <w:pPr>
        <w:spacing w:after="0" w:line="240" w:lineRule="auto"/>
        <w:ind w:left="709" w:right="709"/>
        <w:jc w:val="both"/>
        <w:textAlignment w:val="baseline"/>
        <w:rPr>
          <w:rFonts w:ascii="Verdana" w:eastAsia="Verdana" w:hAnsi="Verdana" w:cs="Verdana"/>
          <w:color w:val="000000" w:themeColor="text1"/>
          <w:sz w:val="20"/>
          <w:szCs w:val="20"/>
        </w:rPr>
      </w:pPr>
      <w:r w:rsidRPr="00F83E60">
        <w:rPr>
          <w:rFonts w:ascii="Verdana" w:eastAsia="Verdana" w:hAnsi="Verdana" w:cs="Verdana"/>
          <w:color w:val="000000" w:themeColor="text1"/>
          <w:sz w:val="20"/>
          <w:szCs w:val="20"/>
        </w:rPr>
        <w:t>Si aplica la liquidación y la entidad contratante ha perdido competencia</w:t>
      </w:r>
    </w:p>
    <w:p w14:paraId="3E233F46" w14:textId="77777777" w:rsidR="00556A41" w:rsidRDefault="00556A41" w:rsidP="00EE5AEC">
      <w:pPr>
        <w:spacing w:after="0" w:line="240" w:lineRule="auto"/>
        <w:ind w:left="709" w:right="709"/>
        <w:jc w:val="both"/>
        <w:textAlignment w:val="baseline"/>
        <w:rPr>
          <w:rFonts w:ascii="Verdana" w:eastAsia="Verdana" w:hAnsi="Verdana" w:cs="Verdana"/>
          <w:color w:val="000000" w:themeColor="text1"/>
          <w:sz w:val="20"/>
          <w:szCs w:val="20"/>
        </w:rPr>
      </w:pPr>
      <w:r w:rsidRPr="00F83E60">
        <w:rPr>
          <w:rFonts w:ascii="Verdana" w:eastAsia="Verdana" w:hAnsi="Verdana" w:cs="Verdana"/>
          <w:color w:val="000000" w:themeColor="text1"/>
          <w:sz w:val="20"/>
          <w:szCs w:val="20"/>
        </w:rPr>
        <w:t>para ello, ¿Cuál es el procedimiento para subsanar esta situación?</w:t>
      </w:r>
    </w:p>
    <w:p w14:paraId="4132B397" w14:textId="77777777" w:rsidR="005B2D41" w:rsidRPr="00F83E60" w:rsidRDefault="005B2D41" w:rsidP="00F83E60">
      <w:pPr>
        <w:spacing w:after="0" w:line="240" w:lineRule="auto"/>
        <w:ind w:left="709" w:right="709"/>
        <w:jc w:val="both"/>
        <w:textAlignment w:val="baseline"/>
        <w:rPr>
          <w:rFonts w:ascii="Verdana" w:eastAsia="Verdana" w:hAnsi="Verdana" w:cs="Verdana"/>
          <w:color w:val="000000" w:themeColor="text1"/>
          <w:sz w:val="20"/>
          <w:szCs w:val="20"/>
        </w:rPr>
      </w:pPr>
    </w:p>
    <w:p w14:paraId="693F3FD0" w14:textId="77777777" w:rsidR="00556A41" w:rsidRPr="00F83E60" w:rsidRDefault="00556A41" w:rsidP="00F83E60">
      <w:pPr>
        <w:spacing w:after="0" w:line="240" w:lineRule="auto"/>
        <w:ind w:left="709" w:right="709"/>
        <w:jc w:val="both"/>
        <w:textAlignment w:val="baseline"/>
        <w:rPr>
          <w:rFonts w:ascii="Verdana" w:eastAsia="Verdana" w:hAnsi="Verdana" w:cs="Verdana"/>
          <w:color w:val="000000" w:themeColor="text1"/>
          <w:sz w:val="20"/>
          <w:szCs w:val="20"/>
          <w:lang w:val="es-ES"/>
        </w:rPr>
      </w:pPr>
      <w:r w:rsidRPr="00F83E60">
        <w:rPr>
          <w:rFonts w:ascii="Verdana" w:eastAsia="Verdana" w:hAnsi="Verdana" w:cs="Verdana"/>
          <w:color w:val="000000" w:themeColor="text1"/>
          <w:sz w:val="20"/>
          <w:szCs w:val="20"/>
        </w:rPr>
        <w:t>Si existen reclamaciones en curso con la Aseguradora, aun cuando el contrato de corretaje se haya terminado, ¿es necesario esperar a concluir el trámite de los siniestros en su totalidad para proceder a la liquidación y/o cierre del contrato de intermediación?”</w:t>
      </w:r>
    </w:p>
    <w:p w14:paraId="3A7FF12B" w14:textId="77777777" w:rsidR="00556A41" w:rsidRPr="00F83E60" w:rsidRDefault="00556A41" w:rsidP="00F83E60">
      <w:pPr>
        <w:spacing w:after="0" w:line="276" w:lineRule="auto"/>
        <w:ind w:left="567" w:right="760"/>
        <w:jc w:val="both"/>
        <w:textAlignment w:val="baseline"/>
        <w:rPr>
          <w:rFonts w:ascii="Verdana" w:eastAsia="Verdana" w:hAnsi="Verdana" w:cs="Verdana"/>
          <w:color w:val="000000" w:themeColor="text1"/>
          <w:lang w:val="es-ES"/>
        </w:rPr>
      </w:pPr>
    </w:p>
    <w:p w14:paraId="5953D9F5" w14:textId="77777777" w:rsidR="00556A41" w:rsidRPr="0015699B" w:rsidRDefault="00556A41" w:rsidP="00556A41">
      <w:pPr>
        <w:spacing w:after="120" w:line="276" w:lineRule="auto"/>
        <w:ind w:right="51" w:firstLine="709"/>
        <w:jc w:val="both"/>
        <w:textAlignment w:val="baseline"/>
        <w:rPr>
          <w:rFonts w:ascii="Calibri" w:eastAsia="Calibri" w:hAnsi="Calibri" w:cs="Calibri"/>
          <w:lang w:val="es"/>
        </w:rPr>
      </w:pPr>
      <w:r w:rsidRPr="39124533">
        <w:rPr>
          <w:rFonts w:ascii="Verdana" w:eastAsia="Verdana" w:hAnsi="Verdana" w:cs="Verdana"/>
          <w:color w:val="000000" w:themeColor="text1"/>
          <w:lang w:val="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w:t>
      </w:r>
      <w:r w:rsidRPr="39124533">
        <w:rPr>
          <w:rFonts w:ascii="Verdana" w:eastAsia="Verdana" w:hAnsi="Verdana" w:cs="Verdana"/>
          <w:color w:val="000000" w:themeColor="text1"/>
          <w:lang w:val="es"/>
        </w:rPr>
        <w:lastRenderedPageBreak/>
        <w:t xml:space="preserve">de 1993 o de los demás participantes de la contratación pública. Esta competencia de interpretación de normas generales, por definición, no puede extenderse a la resolución de controversias, ni a brindar asesorías sobre casos puntuales. </w:t>
      </w:r>
      <w:r w:rsidRPr="39124533">
        <w:rPr>
          <w:rFonts w:ascii="Calibri" w:eastAsia="Calibri" w:hAnsi="Calibri" w:cs="Calibri"/>
          <w:lang w:val="es"/>
        </w:rPr>
        <w:t xml:space="preserve">      </w:t>
      </w:r>
    </w:p>
    <w:p w14:paraId="00DD75F5" w14:textId="77777777" w:rsidR="00556A41" w:rsidRPr="0015699B" w:rsidRDefault="00556A41" w:rsidP="00556A41">
      <w:pPr>
        <w:spacing w:after="0" w:line="240" w:lineRule="auto"/>
        <w:ind w:right="49"/>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 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4B02E556" w14:textId="77777777" w:rsidR="00556A41" w:rsidRPr="0015699B" w:rsidRDefault="00556A41" w:rsidP="00611A34">
      <w:pPr>
        <w:spacing w:after="0" w:line="276" w:lineRule="auto"/>
        <w:ind w:firstLine="709"/>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4924E9F6" w14:textId="77777777" w:rsidR="00556A41" w:rsidRPr="0015699B" w:rsidRDefault="00556A41" w:rsidP="00611A34">
      <w:pPr>
        <w:pStyle w:val="Prrafodelista"/>
        <w:numPr>
          <w:ilvl w:val="0"/>
          <w:numId w:val="16"/>
        </w:numPr>
        <w:spacing w:after="0" w:line="276" w:lineRule="auto"/>
        <w:ind w:left="1080" w:hanging="720"/>
        <w:contextualSpacing w:val="0"/>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Problema planteado:</w:t>
      </w:r>
    </w:p>
    <w:p w14:paraId="28305FE1" w14:textId="77777777" w:rsidR="00556A41" w:rsidRPr="0015699B" w:rsidRDefault="00556A41" w:rsidP="00611A34">
      <w:pPr>
        <w:tabs>
          <w:tab w:val="left" w:pos="426"/>
        </w:tabs>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62DB0896" w14:textId="77777777" w:rsidR="00556A41" w:rsidRDefault="00556A41" w:rsidP="00611A34">
      <w:pPr>
        <w:spacing w:after="0" w:line="276" w:lineRule="auto"/>
        <w:jc w:val="both"/>
        <w:textAlignment w:val="baseline"/>
        <w:rPr>
          <w:rFonts w:ascii="Verdana" w:eastAsia="Verdana" w:hAnsi="Verdana" w:cs="Verdana"/>
          <w:color w:val="000000" w:themeColor="text1"/>
        </w:rPr>
      </w:pPr>
      <w:r w:rsidRPr="40A87941">
        <w:rPr>
          <w:rFonts w:ascii="Verdana" w:eastAsia="Verdana" w:hAnsi="Verdana" w:cs="Verdana"/>
          <w:color w:val="000000" w:themeColor="text1"/>
          <w:lang w:val="es"/>
        </w:rPr>
        <w:t>De acuerdo con el contenido de su solicitud, esta Agencia resolverá el siguiente problema jurídico:</w:t>
      </w:r>
      <w:r>
        <w:rPr>
          <w:rFonts w:ascii="Verdana" w:eastAsia="Verdana" w:hAnsi="Verdana" w:cs="Verdana"/>
          <w:color w:val="000000" w:themeColor="text1"/>
          <w:lang w:val="es"/>
        </w:rPr>
        <w:t xml:space="preserve"> </w:t>
      </w:r>
      <w:r w:rsidRPr="00736E9C">
        <w:rPr>
          <w:rFonts w:ascii="Verdana" w:eastAsia="Verdana" w:hAnsi="Verdana" w:cs="Verdana"/>
          <w:color w:val="000000" w:themeColor="text1"/>
        </w:rPr>
        <w:t>¿Cuáles son las reglas aplicables a la liquidación de los contratos de seguros y de corretaje o intermediación de seguros celebrados por entidades estatales, y qué efectos producen las reclamaciones pendientes, los procesos judiciales derivados de siniestros y la pérdida de competencia de la entidad para liquidarlos?</w:t>
      </w:r>
    </w:p>
    <w:p w14:paraId="07E55822" w14:textId="77777777" w:rsidR="00556A41" w:rsidRPr="0015699B" w:rsidRDefault="00556A41" w:rsidP="00611A34">
      <w:pPr>
        <w:spacing w:after="0" w:line="276" w:lineRule="auto"/>
        <w:jc w:val="both"/>
        <w:textAlignment w:val="baseline"/>
        <w:rPr>
          <w:rFonts w:ascii="Calibri" w:eastAsia="Calibri" w:hAnsi="Calibri" w:cs="Calibri"/>
          <w:lang w:val="es"/>
        </w:rPr>
      </w:pPr>
    </w:p>
    <w:p w14:paraId="0472CA93" w14:textId="77777777" w:rsidR="00556A41" w:rsidRPr="0015699B" w:rsidRDefault="00556A41" w:rsidP="00F83E60">
      <w:pPr>
        <w:pStyle w:val="Prrafodelista"/>
        <w:numPr>
          <w:ilvl w:val="0"/>
          <w:numId w:val="16"/>
        </w:numPr>
        <w:spacing w:after="0" w:line="276" w:lineRule="auto"/>
        <w:ind w:left="1080" w:hanging="720"/>
        <w:contextualSpacing w:val="0"/>
        <w:jc w:val="both"/>
        <w:textAlignment w:val="baseline"/>
        <w:rPr>
          <w:rFonts w:ascii="Verdana" w:eastAsia="Verdana" w:hAnsi="Verdana" w:cs="Verdana"/>
          <w:b/>
          <w:bCs/>
          <w:lang w:val="es"/>
        </w:rPr>
      </w:pPr>
      <w:r w:rsidRPr="40A87941">
        <w:rPr>
          <w:rFonts w:ascii="Verdana" w:eastAsia="Verdana" w:hAnsi="Verdana" w:cs="Verdana"/>
          <w:b/>
          <w:bCs/>
          <w:lang w:val="es"/>
        </w:rPr>
        <w:t>Respuesta:</w:t>
      </w:r>
    </w:p>
    <w:p w14:paraId="42D2220C" w14:textId="77777777" w:rsidR="00556A41" w:rsidRPr="0015699B" w:rsidRDefault="00556A41" w:rsidP="00611A34">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 xml:space="preserve"> </w:t>
      </w:r>
    </w:p>
    <w:tbl>
      <w:tblPr>
        <w:tblStyle w:val="Tablaconcuadrcula"/>
        <w:tblW w:w="0" w:type="auto"/>
        <w:tblLook w:val="04A0" w:firstRow="1" w:lastRow="0" w:firstColumn="1" w:lastColumn="0" w:noHBand="0" w:noVBand="1"/>
      </w:tblPr>
      <w:tblGrid>
        <w:gridCol w:w="8818"/>
      </w:tblGrid>
      <w:tr w:rsidR="00556A41" w14:paraId="43A9B38C" w14:textId="77777777">
        <w:trPr>
          <w:trHeight w:val="780"/>
        </w:trPr>
        <w:tc>
          <w:tcPr>
            <w:tcW w:w="8818" w:type="dxa"/>
            <w:tcBorders>
              <w:top w:val="dotted" w:sz="8" w:space="0" w:color="auto"/>
              <w:left w:val="dotted" w:sz="8" w:space="0" w:color="auto"/>
              <w:bottom w:val="dotted" w:sz="8" w:space="0" w:color="auto"/>
              <w:right w:val="dotted" w:sz="8" w:space="0" w:color="auto"/>
            </w:tcBorders>
            <w:tcMar>
              <w:left w:w="108" w:type="dxa"/>
              <w:right w:w="108" w:type="dxa"/>
            </w:tcMar>
          </w:tcPr>
          <w:p w14:paraId="12710C7D" w14:textId="7A819D81" w:rsidR="00556A41" w:rsidRPr="00B3534C" w:rsidRDefault="00556A41" w:rsidP="00B82F16">
            <w:pPr>
              <w:spacing w:after="120" w:line="276" w:lineRule="auto"/>
              <w:jc w:val="both"/>
              <w:rPr>
                <w:rFonts w:ascii="Verdana" w:eastAsia="Verdana" w:hAnsi="Verdana" w:cs="Verdana"/>
              </w:rPr>
            </w:pPr>
            <w:r>
              <w:rPr>
                <w:rFonts w:ascii="Verdana" w:eastAsia="Verdana" w:hAnsi="Verdana" w:cs="Verdana"/>
              </w:rPr>
              <w:t>De manera preliminar es pertinente indicar que l</w:t>
            </w:r>
            <w:r w:rsidRPr="00B3534C">
              <w:rPr>
                <w:rFonts w:ascii="Verdana" w:eastAsia="Verdana" w:hAnsi="Verdana" w:cs="Verdana"/>
              </w:rPr>
              <w:t>a Agencia Nacional de Contratación Pública – Colombia Compra Eficiente señaló</w:t>
            </w:r>
            <w:r w:rsidR="0010605A">
              <w:rPr>
                <w:rFonts w:ascii="Verdana" w:eastAsia="Verdana" w:hAnsi="Verdana" w:cs="Verdana"/>
              </w:rPr>
              <w:t>,</w:t>
            </w:r>
            <w:r w:rsidRPr="00B3534C">
              <w:rPr>
                <w:rFonts w:ascii="Verdana" w:eastAsia="Verdana" w:hAnsi="Verdana" w:cs="Verdana"/>
              </w:rPr>
              <w:t xml:space="preserve"> en el Concepto C-380 del 7 de mayo de 2025</w:t>
            </w:r>
            <w:r w:rsidR="0010605A">
              <w:rPr>
                <w:rFonts w:ascii="Verdana" w:eastAsia="Verdana" w:hAnsi="Verdana" w:cs="Verdana"/>
              </w:rPr>
              <w:t>,</w:t>
            </w:r>
            <w:r w:rsidRPr="00B3534C">
              <w:rPr>
                <w:rFonts w:ascii="Verdana" w:eastAsia="Verdana" w:hAnsi="Verdana" w:cs="Verdana"/>
              </w:rPr>
              <w:t xml:space="preserve"> que los contratos de seguro celebrados por las entidades estatales tienen naturaleza de contratos estatales, aun cuando su régimen jurídico incorpore disposiciones de derecho privado. Asimismo, recordó que el artículo 1036 del Código de Comercio los define como contratos de ejecución sucesiva.</w:t>
            </w:r>
          </w:p>
          <w:p w14:paraId="15F8E0FE" w14:textId="21159D42" w:rsidR="00556A41" w:rsidRPr="00B3534C" w:rsidRDefault="00556A41" w:rsidP="00B82F16">
            <w:pPr>
              <w:spacing w:after="120" w:line="276" w:lineRule="auto"/>
              <w:jc w:val="both"/>
              <w:rPr>
                <w:rFonts w:ascii="Verdana" w:eastAsia="Verdana" w:hAnsi="Verdana" w:cs="Verdana"/>
              </w:rPr>
            </w:pPr>
            <w:r>
              <w:rPr>
                <w:rFonts w:ascii="Verdana" w:eastAsia="Verdana" w:hAnsi="Verdana" w:cs="Verdana"/>
              </w:rPr>
              <w:t xml:space="preserve">          </w:t>
            </w:r>
            <w:r w:rsidRPr="00B3534C">
              <w:rPr>
                <w:rFonts w:ascii="Verdana" w:eastAsia="Verdana" w:hAnsi="Verdana" w:cs="Verdana"/>
              </w:rPr>
              <w:t xml:space="preserve">Por su parte, en el Concepto C-199 de 2024, la Agencia indicó que los contratos de tracto sucesivo deben liquidarse conforme a los artículos 60 de la Ley 80 de 1993 y 11 de la Ley 1150 de 2007, independientemente de que dicha obligación haya sido prevista expresamente en el contrato o en los documentos del proceso. En consecuencia, tanto los contratos de seguro como los contratos de corretaje o intermediación de seguros celebrados por </w:t>
            </w:r>
            <w:r w:rsidRPr="00B3534C">
              <w:rPr>
                <w:rFonts w:ascii="Verdana" w:eastAsia="Verdana" w:hAnsi="Verdana" w:cs="Verdana"/>
              </w:rPr>
              <w:lastRenderedPageBreak/>
              <w:t>entidades estatales están sujetos, en principio, a liquidación</w:t>
            </w:r>
            <w:r w:rsidR="00E31582">
              <w:rPr>
                <w:rFonts w:ascii="Verdana" w:eastAsia="Verdana" w:hAnsi="Verdana" w:cs="Verdana"/>
              </w:rPr>
              <w:t xml:space="preserve">, dado </w:t>
            </w:r>
            <w:r w:rsidR="00D8792D">
              <w:rPr>
                <w:rFonts w:ascii="Verdana" w:eastAsia="Verdana" w:hAnsi="Verdana" w:cs="Verdana"/>
              </w:rPr>
              <w:t>que se tratan de contratos de tracto sucesivo</w:t>
            </w:r>
            <w:r w:rsidRPr="00B3534C">
              <w:rPr>
                <w:rFonts w:ascii="Verdana" w:eastAsia="Verdana" w:hAnsi="Verdana" w:cs="Verdana"/>
              </w:rPr>
              <w:t>.</w:t>
            </w:r>
          </w:p>
          <w:p w14:paraId="07DC31FD" w14:textId="77777777" w:rsidR="00556A41" w:rsidRPr="00B3534C" w:rsidRDefault="00556A41" w:rsidP="00B82F16">
            <w:pPr>
              <w:spacing w:after="120" w:line="276" w:lineRule="auto"/>
              <w:jc w:val="both"/>
              <w:rPr>
                <w:rFonts w:ascii="Verdana" w:eastAsia="Verdana" w:hAnsi="Verdana" w:cs="Verdana"/>
              </w:rPr>
            </w:pPr>
            <w:r>
              <w:rPr>
                <w:rFonts w:ascii="Verdana" w:eastAsia="Verdana" w:hAnsi="Verdana" w:cs="Verdana"/>
              </w:rPr>
              <w:t xml:space="preserve">         </w:t>
            </w:r>
            <w:r w:rsidRPr="00B3534C">
              <w:rPr>
                <w:rFonts w:ascii="Verdana" w:eastAsia="Verdana" w:hAnsi="Verdana" w:cs="Verdana"/>
              </w:rPr>
              <w:t>Para adelantar dicha liquidación, la entidad debe efectuar el balance final de las obligaciones de las partes. En los contratos de seguro deberá verificar, entre otros aspectos, el estado de las primas, las coberturas contratadas, los siniestros reportados, las reclamaciones presentadas y las obligaciones pendientes. En los contratos de corretaje o intermediación deberá revisar el cumplimiento de las obligaciones de asesoría, acompañamiento y gestión asumidas por el intermediario.</w:t>
            </w:r>
          </w:p>
          <w:p w14:paraId="257675DA" w14:textId="77777777" w:rsidR="00556A41" w:rsidRPr="00B3534C" w:rsidRDefault="00556A41" w:rsidP="00B82F16">
            <w:pPr>
              <w:spacing w:after="120" w:line="276" w:lineRule="auto"/>
              <w:jc w:val="both"/>
              <w:rPr>
                <w:rFonts w:ascii="Verdana" w:eastAsia="Verdana" w:hAnsi="Verdana" w:cs="Verdana"/>
              </w:rPr>
            </w:pPr>
            <w:r>
              <w:rPr>
                <w:rFonts w:ascii="Verdana" w:eastAsia="Verdana" w:hAnsi="Verdana" w:cs="Verdana"/>
              </w:rPr>
              <w:t xml:space="preserve">         </w:t>
            </w:r>
            <w:r w:rsidRPr="00B3534C">
              <w:rPr>
                <w:rFonts w:ascii="Verdana" w:eastAsia="Verdana" w:hAnsi="Verdana" w:cs="Verdana"/>
              </w:rPr>
              <w:t>Ahora bien, el Concepto C-750 del 3 de julio de 2026 precisó que el contrato de intermediación de seguros constituye un negocio jurídico autónomo e independiente del contrato de seguro. Por ello, la existencia de reclamaciones o siniestros pendientes frente a la aseguradora no implica, por sí sola, que el contrato de corretaje permanezca vigente ni impide su liquidación, salvo que subsistan obligaciones contractuales a cargo del intermediario relacionadas con dichas reclamaciones.</w:t>
            </w:r>
          </w:p>
          <w:p w14:paraId="4C93F5D9" w14:textId="77777777" w:rsidR="00556A41" w:rsidRPr="00B3534C" w:rsidRDefault="00556A41" w:rsidP="00B82F16">
            <w:pPr>
              <w:spacing w:after="120" w:line="276" w:lineRule="auto"/>
              <w:jc w:val="both"/>
              <w:rPr>
                <w:rFonts w:ascii="Verdana" w:eastAsia="Verdana" w:hAnsi="Verdana" w:cs="Verdana"/>
              </w:rPr>
            </w:pPr>
            <w:r>
              <w:rPr>
                <w:rFonts w:ascii="Verdana" w:eastAsia="Verdana" w:hAnsi="Verdana" w:cs="Verdana"/>
              </w:rPr>
              <w:t xml:space="preserve">         </w:t>
            </w:r>
            <w:r w:rsidRPr="00B3534C">
              <w:rPr>
                <w:rFonts w:ascii="Verdana" w:eastAsia="Verdana" w:hAnsi="Verdana" w:cs="Verdana"/>
              </w:rPr>
              <w:t>Respecto del cierre del expediente contractual, la entidad deberá verificar la terminación del contrato, la realización de la liquidación cuando sea procedente, la incorporación de los documentos contractuales y la conservación de los soportes necesarios para atender eventuales actuaciones administrativas o judiciales posteriores.</w:t>
            </w:r>
          </w:p>
          <w:p w14:paraId="634B74E0" w14:textId="77777777" w:rsidR="00556A41" w:rsidRPr="00B3534C" w:rsidRDefault="00556A41" w:rsidP="00B82F16">
            <w:pPr>
              <w:spacing w:after="120" w:line="276" w:lineRule="auto"/>
              <w:jc w:val="both"/>
              <w:rPr>
                <w:rFonts w:ascii="Verdana" w:eastAsia="Verdana" w:hAnsi="Verdana" w:cs="Verdana"/>
              </w:rPr>
            </w:pPr>
            <w:r>
              <w:rPr>
                <w:rFonts w:ascii="Verdana" w:eastAsia="Verdana" w:hAnsi="Verdana" w:cs="Verdana"/>
              </w:rPr>
              <w:t xml:space="preserve">          </w:t>
            </w:r>
            <w:r w:rsidRPr="00B3534C">
              <w:rPr>
                <w:rFonts w:ascii="Verdana" w:eastAsia="Verdana" w:hAnsi="Verdana" w:cs="Verdana"/>
              </w:rPr>
              <w:t>En cuanto a la pérdida de competencia para liquidar, el Concepto C-199 de 2024 recordó que la Ley 1150 de 2007 contempla la liquidación bilateral, unilateral y judicial. Por tanto, una vez vencidas las oportunidades legales para la liquidación administrativa, la entidad no puede subsanar dicha situación mediante actuaciones extemporáneas y la definición de las obligaciones pendientes deberá tramitarse por las vías judiciales que resulten procedentes.</w:t>
            </w:r>
          </w:p>
          <w:p w14:paraId="60CF968E" w14:textId="77777777" w:rsidR="00556A41" w:rsidRPr="00B3534C" w:rsidRDefault="00556A41" w:rsidP="00B82F16">
            <w:pPr>
              <w:spacing w:after="120" w:line="276" w:lineRule="auto"/>
              <w:jc w:val="both"/>
              <w:rPr>
                <w:rFonts w:ascii="Verdana" w:eastAsia="Verdana" w:hAnsi="Verdana" w:cs="Verdana"/>
              </w:rPr>
            </w:pPr>
            <w:r>
              <w:rPr>
                <w:rFonts w:ascii="Verdana" w:eastAsia="Verdana" w:hAnsi="Verdana" w:cs="Verdana"/>
              </w:rPr>
              <w:t xml:space="preserve">         Por su parte</w:t>
            </w:r>
            <w:r w:rsidRPr="00B3534C">
              <w:rPr>
                <w:rFonts w:ascii="Verdana" w:eastAsia="Verdana" w:hAnsi="Verdana" w:cs="Verdana"/>
              </w:rPr>
              <w:t xml:space="preserve">, la existencia de reclamaciones o procesos judiciales derivados de siniestros no constituye, por sí sola, un impedimento para liquidar el contrato o cerrar el expediente contractual. Lo determinante es establecer si aún existen obligaciones contractuales pendientes entre las partes que deban ser definidas dentro de la liquidación. De no existir tales </w:t>
            </w:r>
            <w:r w:rsidRPr="00B3534C">
              <w:rPr>
                <w:rFonts w:ascii="Verdana" w:eastAsia="Verdana" w:hAnsi="Verdana" w:cs="Verdana"/>
              </w:rPr>
              <w:lastRenderedPageBreak/>
              <w:t>obligaciones, la entidad podrá adelantar la liquidación y el cierre del expediente conforme a las reglas generales de la contratación estatal.</w:t>
            </w:r>
          </w:p>
          <w:p w14:paraId="16CFB5FB" w14:textId="77777777" w:rsidR="00556A41" w:rsidRDefault="00556A41" w:rsidP="00B82F16">
            <w:pPr>
              <w:spacing w:after="120" w:line="276" w:lineRule="auto"/>
              <w:jc w:val="both"/>
              <w:rPr>
                <w:rFonts w:ascii="Verdana" w:eastAsia="Arial" w:hAnsi="Verdana" w:cs="Arial"/>
              </w:rPr>
            </w:pPr>
            <w:r>
              <w:rPr>
                <w:rFonts w:ascii="Verdana" w:eastAsia="Arial" w:hAnsi="Verdana" w:cs="Arial"/>
              </w:rPr>
              <w:t xml:space="preserve">        </w:t>
            </w:r>
            <w:r w:rsidRPr="003A5491">
              <w:rPr>
                <w:rFonts w:ascii="Verdana" w:eastAsia="Arial" w:hAnsi="Verdana" w:cs="Arial"/>
              </w:rPr>
              <w:t>Finalmente, debe advertirse que el análisis requerido para resolver situaciones particulares relacionadas con la acreditación de experiencia corresponde a quienes tengan interés directo en el respectivo proceso contractual. En consecuencia, las consideraciones anteriores constituyen criterios generales de interpretación y no pueden entenderse como un pronunciamiento sobre casos concretos. La decisión respecto de la suficiencia de los documentos aportados corresponde a la entidad contratante en cada procedimiento específico y, en caso de controversia, a las autoridades competentes.</w:t>
            </w:r>
          </w:p>
          <w:p w14:paraId="39852358" w14:textId="77777777" w:rsidR="00556A41" w:rsidRDefault="00556A41" w:rsidP="00F83E60">
            <w:pPr>
              <w:spacing w:line="276" w:lineRule="auto"/>
              <w:jc w:val="both"/>
              <w:rPr>
                <w:rFonts w:ascii="Verdana" w:eastAsia="Verdana" w:hAnsi="Verdana" w:cs="Verdana"/>
              </w:rPr>
            </w:pPr>
            <w:r>
              <w:rPr>
                <w:rFonts w:ascii="Verdana" w:eastAsia="Calibri" w:hAnsi="Verdana"/>
              </w:rPr>
              <w:t xml:space="preserve">          </w:t>
            </w:r>
            <w:r w:rsidRPr="00B643B2">
              <w:rPr>
                <w:rFonts w:ascii="Verdana" w:eastAsia="Calibri" w:hAnsi="Verdana"/>
              </w:rPr>
              <w:t>En ese sentido,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tc>
      </w:tr>
    </w:tbl>
    <w:p w14:paraId="6059CDC3" w14:textId="0A5018A2" w:rsidR="00556A41" w:rsidRPr="0015699B" w:rsidRDefault="00556A41" w:rsidP="00B82F16">
      <w:pPr>
        <w:tabs>
          <w:tab w:val="left" w:pos="142"/>
          <w:tab w:val="left" w:pos="284"/>
        </w:tabs>
        <w:spacing w:after="0" w:line="276" w:lineRule="auto"/>
        <w:jc w:val="both"/>
        <w:textAlignment w:val="baseline"/>
        <w:rPr>
          <w:rFonts w:ascii="Verdana" w:eastAsia="Verdana" w:hAnsi="Verdana" w:cs="Verdana"/>
          <w:b/>
          <w:bCs/>
          <w:color w:val="000000" w:themeColor="text1"/>
          <w:lang w:val="es"/>
        </w:rPr>
      </w:pPr>
    </w:p>
    <w:p w14:paraId="70378BC0" w14:textId="77777777" w:rsidR="00556A41" w:rsidRPr="0015699B" w:rsidRDefault="00556A41" w:rsidP="00B82F16">
      <w:pPr>
        <w:pStyle w:val="Prrafodelista"/>
        <w:numPr>
          <w:ilvl w:val="0"/>
          <w:numId w:val="16"/>
        </w:numPr>
        <w:spacing w:after="0" w:line="276" w:lineRule="auto"/>
        <w:ind w:left="1080" w:hanging="720"/>
        <w:contextualSpacing w:val="0"/>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Razones de la respuesta:</w:t>
      </w:r>
    </w:p>
    <w:p w14:paraId="1DF943C2" w14:textId="3DCDBFF7" w:rsidR="00556A41" w:rsidRPr="0015699B" w:rsidRDefault="00556A41" w:rsidP="00B82F16">
      <w:pPr>
        <w:tabs>
          <w:tab w:val="left" w:pos="142"/>
          <w:tab w:val="left" w:pos="284"/>
        </w:tabs>
        <w:spacing w:after="0" w:line="276" w:lineRule="auto"/>
        <w:jc w:val="both"/>
        <w:textAlignment w:val="baseline"/>
        <w:rPr>
          <w:rFonts w:ascii="Verdana" w:eastAsia="Verdana" w:hAnsi="Verdana" w:cs="Verdana"/>
          <w:b/>
          <w:bCs/>
          <w:color w:val="000000" w:themeColor="text1"/>
          <w:lang w:val="es"/>
        </w:rPr>
      </w:pPr>
    </w:p>
    <w:p w14:paraId="7EA91874" w14:textId="77777777" w:rsidR="00556A41" w:rsidRPr="0015699B" w:rsidRDefault="00556A41" w:rsidP="00B82F16">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Lo anterior se sustenta en las siguientes consideraciones: </w:t>
      </w:r>
    </w:p>
    <w:p w14:paraId="381C1613" w14:textId="194A3AA7" w:rsidR="00556A41" w:rsidRPr="0015699B" w:rsidRDefault="00556A41" w:rsidP="00B82F16">
      <w:pPr>
        <w:spacing w:after="0" w:line="276" w:lineRule="auto"/>
        <w:jc w:val="both"/>
        <w:textAlignment w:val="baseline"/>
        <w:rPr>
          <w:rFonts w:ascii="Verdana" w:eastAsia="Verdana" w:hAnsi="Verdana" w:cs="Verdana"/>
          <w:lang w:val="es"/>
        </w:rPr>
      </w:pPr>
    </w:p>
    <w:p w14:paraId="28879B2A" w14:textId="332FF8A7" w:rsidR="00556A41" w:rsidRPr="00481924" w:rsidRDefault="00556A41" w:rsidP="00F83E60">
      <w:pPr>
        <w:spacing w:after="120" w:line="276" w:lineRule="auto"/>
        <w:jc w:val="both"/>
        <w:textAlignment w:val="baseline"/>
        <w:rPr>
          <w:rFonts w:ascii="Verdana" w:hAnsi="Verdana" w:cs="Arial"/>
          <w:color w:val="000000" w:themeColor="text1"/>
        </w:rPr>
      </w:pPr>
      <w:r w:rsidRPr="00481924">
        <w:rPr>
          <w:rFonts w:ascii="Verdana" w:hAnsi="Verdana" w:cs="Arial"/>
          <w:color w:val="000000" w:themeColor="text1"/>
        </w:rPr>
        <w:t>Para abordar el análisis de los contratos de seguro celebrados por entidades estatales, es necesario partir de que las entidades sometidas al Estatuto General de Contratación de la Administración Pública (</w:t>
      </w:r>
      <w:r w:rsidR="00B47CE7">
        <w:rPr>
          <w:rFonts w:ascii="Verdana" w:hAnsi="Verdana" w:cs="Arial"/>
          <w:color w:val="000000" w:themeColor="text1"/>
        </w:rPr>
        <w:t xml:space="preserve">en adelante </w:t>
      </w:r>
      <w:r w:rsidRPr="00481924">
        <w:rPr>
          <w:rFonts w:ascii="Verdana" w:hAnsi="Verdana" w:cs="Arial"/>
          <w:color w:val="000000" w:themeColor="text1"/>
        </w:rPr>
        <w:t>EGCAP) se encuentran facultadas para celebrar no solo los contratos típicamente regulados por el derecho público, sino también aquellos que habitualmente celebran los particulares en ejercicio de la autonomía de la voluntad privada, siempre que resulten necesarios para el cumplimiento de sus fines y funciones. Dentro de esta categoría se encuentran los contratos de seguro, los cuales, aunque se rigen principalmente por las disposiciones del Código de Comercio y demás normas de derecho privado, no pierden por ello su naturaleza de contratos estatales cuando una entidad pública interviene como parte contratante.</w:t>
      </w:r>
    </w:p>
    <w:p w14:paraId="75585FF0" w14:textId="77777777" w:rsidR="00556A41" w:rsidRPr="00481924" w:rsidRDefault="00556A41" w:rsidP="00F83E60">
      <w:pPr>
        <w:spacing w:after="120" w:line="276" w:lineRule="auto"/>
        <w:ind w:firstLine="708"/>
        <w:jc w:val="both"/>
        <w:textAlignment w:val="baseline"/>
        <w:rPr>
          <w:rFonts w:ascii="Verdana" w:hAnsi="Verdana" w:cs="Arial"/>
          <w:color w:val="000000" w:themeColor="text1"/>
        </w:rPr>
      </w:pPr>
      <w:r w:rsidRPr="00481924">
        <w:rPr>
          <w:rFonts w:ascii="Verdana" w:hAnsi="Verdana" w:cs="Arial"/>
          <w:color w:val="000000" w:themeColor="text1"/>
        </w:rPr>
        <w:lastRenderedPageBreak/>
        <w:t>En este contexto, la contratación estatal evidencia una interacción permanente entre normas de derecho público y de derecho privado. Así, el artículo 1036 del Código de Comercio define el contrato de seguro como un contrato "consensual, bilateral, oneroso, aleatorio y de ejecución sucesiva". A su vez, el artículo 1037 ibidem establece que sus partes son el asegurador, entendido como la persona jurídica autorizada para asumir riesgos, y el tomador, esto es, la persona que, actuando por cuenta propia o ajena, traslada dichos riesgos al asegurador.</w:t>
      </w:r>
    </w:p>
    <w:p w14:paraId="5A65778B" w14:textId="77777777" w:rsidR="00556A41" w:rsidRPr="00481924" w:rsidRDefault="00556A41" w:rsidP="00F83E60">
      <w:pPr>
        <w:spacing w:after="120" w:line="276" w:lineRule="auto"/>
        <w:ind w:firstLine="708"/>
        <w:jc w:val="both"/>
        <w:textAlignment w:val="baseline"/>
        <w:rPr>
          <w:rFonts w:ascii="Verdana" w:hAnsi="Verdana" w:cs="Arial"/>
          <w:color w:val="000000" w:themeColor="text1"/>
        </w:rPr>
      </w:pPr>
      <w:r w:rsidRPr="00481924">
        <w:rPr>
          <w:rFonts w:ascii="Verdana" w:hAnsi="Verdana" w:cs="Arial"/>
          <w:color w:val="000000" w:themeColor="text1"/>
        </w:rPr>
        <w:t>Bajo estas consideraciones, un contrato de seguro tendrá la condición de contrato estatal cuando una entidad pública participe en él como parte contratante, generalmente en calidad de tomadora o asegurada. Distinta es la situación de las pólizas constituidas para garantizar el cumplimiento de contratos estatales, pues en estos eventos el contrato de seguro normalmente se celebra entre el contratista, en calidad de tomador, y la compañía aseguradora, sin que la entidad estatal intervenga como parte del negocio jurídico. En consecuencia, el hecho de que la entidad pública figure como beneficiaria de la póliza no convierte automáticamente el contrato de seguro en un contrato estatal, toda vez que las partes del contrato continúan siendo exclusivamente el tomador y la aseguradora, conforme a lo previsto en el artículo 1037 del Código de Comercio. Esta distinción resulta relevante para determinar el régimen jurídico aplicable y las consecuencias que de él se derivan en materia contractual.</w:t>
      </w:r>
    </w:p>
    <w:p w14:paraId="01A7E4FE" w14:textId="77777777" w:rsidR="00556A41" w:rsidRPr="00481924" w:rsidRDefault="00556A41" w:rsidP="00F83E60">
      <w:pPr>
        <w:spacing w:after="120" w:line="276" w:lineRule="auto"/>
        <w:ind w:firstLine="708"/>
        <w:jc w:val="both"/>
        <w:textAlignment w:val="baseline"/>
        <w:rPr>
          <w:rFonts w:ascii="Verdana" w:hAnsi="Verdana" w:cs="Arial"/>
          <w:color w:val="000000" w:themeColor="text1"/>
          <w:lang w:val="es-ES_tradnl"/>
        </w:rPr>
      </w:pPr>
      <w:r w:rsidRPr="00481924">
        <w:rPr>
          <w:rFonts w:ascii="Verdana" w:hAnsi="Verdana" w:cs="Arial"/>
          <w:color w:val="000000" w:themeColor="text1"/>
        </w:rPr>
        <w:t xml:space="preserve">Por su parte, el contrato de corretaje de seguros – al que se refiere en su consulta – está previsto en la sección segunda del título </w:t>
      </w:r>
      <w:r w:rsidRPr="00481924">
        <w:rPr>
          <w:rFonts w:ascii="Verdana" w:hAnsi="Verdana" w:cs="Arial"/>
          <w:color w:val="000000" w:themeColor="text1"/>
          <w:lang w:val="es-ES_tradnl"/>
        </w:rPr>
        <w:t>XIV del Código de Comercio, que en su artículo 1347 establece que: “</w:t>
      </w:r>
      <w:r w:rsidRPr="00481924">
        <w:rPr>
          <w:rFonts w:ascii="Verdana" w:hAnsi="Verdana" w:cs="Arial"/>
          <w:color w:val="000000" w:themeColor="text1"/>
        </w:rPr>
        <w:t xml:space="preserve">Son corredores de seguros las empresas constituidas o que se constituyan como sociedades comerciales, colectivas o de responsabilidad limitada, cuyo objeto social sea exclusivamente ofrecer seguros, promover su celebración y obtener su renovación a título de intermediarios entre el asegurado y el asegurador”. Esta </w:t>
      </w:r>
      <w:r w:rsidRPr="00481924">
        <w:rPr>
          <w:rFonts w:ascii="Verdana" w:hAnsi="Verdana" w:cs="Arial"/>
          <w:color w:val="000000" w:themeColor="text1"/>
          <w:lang w:val="es-ES_tradnl"/>
        </w:rPr>
        <w:t>misma definición se encuentra en el artículo 40 del Estatuto Orgánico del Sistema Financiero</w:t>
      </w:r>
      <w:r w:rsidRPr="00481924">
        <w:rPr>
          <w:rFonts w:ascii="Verdana" w:hAnsi="Verdana"/>
          <w:vertAlign w:val="superscript"/>
          <w:lang w:val="es-ES_tradnl"/>
        </w:rPr>
        <w:footnoteReference w:id="1"/>
      </w:r>
      <w:r w:rsidRPr="00481924">
        <w:rPr>
          <w:rFonts w:ascii="Verdana" w:hAnsi="Verdana" w:cs="Arial"/>
          <w:color w:val="000000" w:themeColor="text1"/>
          <w:lang w:val="es-ES_tradnl"/>
        </w:rPr>
        <w:t xml:space="preserve">. </w:t>
      </w:r>
    </w:p>
    <w:p w14:paraId="2108A16B" w14:textId="77777777" w:rsidR="00556A41" w:rsidRPr="00481924" w:rsidRDefault="00556A41" w:rsidP="00F83E60">
      <w:pPr>
        <w:spacing w:after="120" w:line="276" w:lineRule="auto"/>
        <w:ind w:firstLine="708"/>
        <w:jc w:val="both"/>
        <w:rPr>
          <w:rFonts w:ascii="Verdana" w:hAnsi="Verdana" w:cs="Arial"/>
          <w:color w:val="000000" w:themeColor="text1"/>
          <w:lang w:val="es-ES_tradnl"/>
        </w:rPr>
      </w:pPr>
      <w:r w:rsidRPr="00481924">
        <w:rPr>
          <w:rFonts w:ascii="Verdana" w:hAnsi="Verdana" w:cs="Arial"/>
          <w:color w:val="000000" w:themeColor="text1"/>
          <w:lang w:val="es-ES_tradnl"/>
        </w:rPr>
        <w:lastRenderedPageBreak/>
        <w:t>La doctrina ha definido el contrato de corretaje como: “</w:t>
      </w:r>
      <w:r w:rsidRPr="00481924">
        <w:rPr>
          <w:rFonts w:ascii="Verdana" w:hAnsi="Verdana" w:cs="Arial"/>
          <w:color w:val="000000" w:themeColor="text1"/>
        </w:rPr>
        <w:t>aquel que una parte, que es un profesional a quien llamamos corredor o mediador, se obliga a indicar el momento y el tercero con quien se va a celebrar el negocio jurídico, a cambio de una remuneración, para con otra y otras partes, que se encuentra interesada o interesadas en la conclusión de un negocio jurídico mercantil, con un tercero o entre sí en el segundo evento”</w:t>
      </w:r>
      <w:r w:rsidRPr="00F83E60">
        <w:rPr>
          <w:rFonts w:ascii="Verdana" w:hAnsi="Verdana"/>
          <w:vertAlign w:val="superscript"/>
          <w:lang w:val="es-ES_tradnl"/>
        </w:rPr>
        <w:footnoteReference w:id="2"/>
      </w:r>
      <w:r w:rsidRPr="00481924">
        <w:rPr>
          <w:rFonts w:ascii="Verdana" w:hAnsi="Verdana" w:cs="Arial"/>
          <w:color w:val="000000" w:themeColor="text1"/>
        </w:rPr>
        <w:t>.</w:t>
      </w:r>
      <w:r w:rsidRPr="00481924">
        <w:rPr>
          <w:rFonts w:ascii="Verdana" w:hAnsi="Verdana" w:cs="Arial"/>
          <w:color w:val="000000" w:themeColor="text1"/>
          <w:lang w:val="es-ES_tradnl"/>
        </w:rPr>
        <w:t xml:space="preserve"> A partir de esta definición se deduce que los corredores de seguros mantienen su independencia respecto de las partes que ponen en contacto, esto es, el asegurador y el tomador del seguro. </w:t>
      </w:r>
    </w:p>
    <w:p w14:paraId="2757DA06" w14:textId="33C4F351" w:rsidR="00556A41" w:rsidRPr="00745397" w:rsidRDefault="00010D71" w:rsidP="00556A41">
      <w:pPr>
        <w:spacing w:after="0" w:line="276" w:lineRule="auto"/>
        <w:ind w:firstLine="360"/>
        <w:jc w:val="both"/>
        <w:rPr>
          <w:rFonts w:ascii="Verdana" w:hAnsi="Verdana" w:cs="Arial"/>
          <w:color w:val="000000" w:themeColor="text1"/>
          <w:lang w:val="es-ES_tradnl"/>
        </w:rPr>
      </w:pPr>
      <w:r>
        <w:rPr>
          <w:rFonts w:ascii="Verdana" w:hAnsi="Verdana" w:cs="Arial"/>
          <w:color w:val="000000" w:themeColor="text1"/>
          <w:lang w:val="es-ES_tradnl"/>
        </w:rPr>
        <w:tab/>
      </w:r>
      <w:r w:rsidR="00556A41" w:rsidRPr="00745397">
        <w:rPr>
          <w:rFonts w:ascii="Verdana" w:hAnsi="Verdana" w:cs="Arial"/>
          <w:color w:val="000000" w:themeColor="text1"/>
          <w:lang w:val="es-ES_tradnl"/>
        </w:rPr>
        <w:t xml:space="preserve">La jurisprudencia con ayuda de la doctrina ha señalado las siguientes características del contrato de corretaje: </w:t>
      </w:r>
    </w:p>
    <w:p w14:paraId="7053D89E" w14:textId="77777777" w:rsidR="00556A41" w:rsidRPr="00EE5E8E" w:rsidRDefault="00556A41" w:rsidP="00556A41">
      <w:pPr>
        <w:spacing w:after="0" w:line="276" w:lineRule="auto"/>
        <w:ind w:left="709" w:right="709"/>
        <w:jc w:val="both"/>
        <w:rPr>
          <w:rFonts w:ascii="Verdana" w:hAnsi="Verdana" w:cs="Arial"/>
          <w:color w:val="000000" w:themeColor="text1"/>
          <w:lang w:val="es-ES"/>
        </w:rPr>
      </w:pPr>
    </w:p>
    <w:p w14:paraId="5BAA0754" w14:textId="77777777" w:rsidR="00556A41" w:rsidRPr="00EE5E8E" w:rsidRDefault="00556A41" w:rsidP="00556A41">
      <w:pPr>
        <w:spacing w:after="0" w:line="240" w:lineRule="auto"/>
        <w:ind w:left="709" w:right="709"/>
        <w:jc w:val="both"/>
        <w:rPr>
          <w:rFonts w:ascii="Verdana" w:hAnsi="Verdana" w:cs="Arial"/>
          <w:color w:val="000000" w:themeColor="text1"/>
          <w:sz w:val="20"/>
          <w:szCs w:val="20"/>
          <w:lang w:val="es-ES"/>
        </w:rPr>
      </w:pPr>
      <w:r>
        <w:rPr>
          <w:rFonts w:ascii="Verdana" w:hAnsi="Verdana" w:cs="Arial"/>
          <w:color w:val="000000" w:themeColor="text1"/>
          <w:sz w:val="20"/>
          <w:szCs w:val="20"/>
          <w:lang w:val="es-ES"/>
        </w:rPr>
        <w:t>“</w:t>
      </w:r>
      <w:r w:rsidRPr="00EE5E8E">
        <w:rPr>
          <w:rFonts w:ascii="Verdana" w:hAnsi="Verdana" w:cs="Arial"/>
          <w:color w:val="000000" w:themeColor="text1"/>
          <w:sz w:val="20"/>
          <w:szCs w:val="20"/>
          <w:lang w:val="es-ES"/>
        </w:rPr>
        <w:t>i) La presencia de un profesional en la intermediación que posee conocimientos especializados del mercado cuya intermediación va a realizar;</w:t>
      </w:r>
    </w:p>
    <w:p w14:paraId="24E80AF1" w14:textId="77777777" w:rsidR="00556A41" w:rsidRPr="00EE5E8E" w:rsidRDefault="00556A41" w:rsidP="00556A41">
      <w:pPr>
        <w:spacing w:after="0" w:line="240" w:lineRule="auto"/>
        <w:ind w:left="709" w:right="709"/>
        <w:jc w:val="both"/>
        <w:rPr>
          <w:rFonts w:ascii="Verdana" w:hAnsi="Verdana" w:cs="Arial"/>
          <w:color w:val="000000" w:themeColor="text1"/>
          <w:sz w:val="20"/>
          <w:szCs w:val="20"/>
          <w:lang w:val="es-ES"/>
        </w:rPr>
      </w:pPr>
    </w:p>
    <w:p w14:paraId="74F888D4" w14:textId="77777777" w:rsidR="00556A41" w:rsidRPr="00EE5E8E" w:rsidRDefault="00556A41" w:rsidP="00556A41">
      <w:pPr>
        <w:spacing w:after="0" w:line="240" w:lineRule="auto"/>
        <w:ind w:left="709" w:right="709"/>
        <w:jc w:val="both"/>
        <w:rPr>
          <w:rFonts w:ascii="Verdana" w:hAnsi="Verdana" w:cs="Arial"/>
          <w:color w:val="000000" w:themeColor="text1"/>
          <w:sz w:val="20"/>
          <w:szCs w:val="20"/>
          <w:lang w:val="es-ES"/>
        </w:rPr>
      </w:pPr>
      <w:r w:rsidRPr="00EE5E8E">
        <w:rPr>
          <w:rFonts w:ascii="Verdana" w:hAnsi="Verdana" w:cs="Arial"/>
          <w:color w:val="000000" w:themeColor="text1"/>
          <w:sz w:val="20"/>
          <w:szCs w:val="20"/>
          <w:lang w:val="es-ES"/>
        </w:rPr>
        <w:t>ii) El mencionado profesional se encarga de realizar la promoción o ambientación para la celebración de un contrato, por lo cual debe contactar a las posibles partes e inducirlas a la celebración del negocio.</w:t>
      </w:r>
    </w:p>
    <w:p w14:paraId="7DA61F94" w14:textId="77777777" w:rsidR="00556A41" w:rsidRPr="00EE5E8E" w:rsidRDefault="00556A41" w:rsidP="00556A41">
      <w:pPr>
        <w:spacing w:after="0" w:line="240" w:lineRule="auto"/>
        <w:ind w:left="709" w:right="709"/>
        <w:jc w:val="both"/>
        <w:rPr>
          <w:rFonts w:ascii="Verdana" w:hAnsi="Verdana" w:cs="Arial"/>
          <w:color w:val="000000" w:themeColor="text1"/>
          <w:sz w:val="20"/>
          <w:szCs w:val="20"/>
          <w:lang w:val="es-ES"/>
        </w:rPr>
      </w:pPr>
    </w:p>
    <w:p w14:paraId="691666A0" w14:textId="77777777" w:rsidR="00556A41" w:rsidRPr="00EE5E8E" w:rsidRDefault="00556A41" w:rsidP="00556A41">
      <w:pPr>
        <w:spacing w:after="0" w:line="240" w:lineRule="auto"/>
        <w:ind w:left="709" w:right="709"/>
        <w:jc w:val="both"/>
        <w:rPr>
          <w:rFonts w:ascii="Verdana" w:hAnsi="Verdana" w:cs="Arial"/>
          <w:color w:val="000000" w:themeColor="text1"/>
          <w:sz w:val="20"/>
          <w:szCs w:val="20"/>
          <w:lang w:val="es-ES"/>
        </w:rPr>
      </w:pPr>
      <w:r w:rsidRPr="00EE5E8E">
        <w:rPr>
          <w:rFonts w:ascii="Verdana" w:hAnsi="Verdana" w:cs="Arial"/>
          <w:color w:val="000000" w:themeColor="text1"/>
          <w:sz w:val="20"/>
          <w:szCs w:val="20"/>
          <w:lang w:val="es-ES"/>
        </w:rPr>
        <w:t>iii) El profesional no es quien concluye el contrato, por cuanto su actividad no constituye la realización de actos jurídicos por cuenta de terceros, como sucede en el mandato.</w:t>
      </w:r>
    </w:p>
    <w:p w14:paraId="1B6BFDB1" w14:textId="77777777" w:rsidR="00556A41" w:rsidRPr="00EE5E8E" w:rsidRDefault="00556A41" w:rsidP="00556A41">
      <w:pPr>
        <w:spacing w:after="0" w:line="240" w:lineRule="auto"/>
        <w:ind w:left="709" w:right="709"/>
        <w:jc w:val="both"/>
        <w:rPr>
          <w:rFonts w:ascii="Verdana" w:hAnsi="Verdana" w:cs="Arial"/>
          <w:color w:val="000000" w:themeColor="text1"/>
          <w:sz w:val="20"/>
          <w:szCs w:val="20"/>
          <w:lang w:val="es-ES"/>
        </w:rPr>
      </w:pPr>
    </w:p>
    <w:p w14:paraId="18F0228E" w14:textId="77777777" w:rsidR="00556A41" w:rsidRPr="00EE5E8E" w:rsidRDefault="00556A41" w:rsidP="00556A41">
      <w:pPr>
        <w:spacing w:after="0" w:line="240" w:lineRule="auto"/>
        <w:ind w:left="709" w:right="709"/>
        <w:jc w:val="both"/>
        <w:rPr>
          <w:rFonts w:ascii="Verdana" w:hAnsi="Verdana" w:cs="Arial"/>
          <w:i/>
          <w:color w:val="000000" w:themeColor="text1"/>
          <w:sz w:val="20"/>
          <w:szCs w:val="20"/>
          <w:lang w:val="es-ES"/>
        </w:rPr>
      </w:pPr>
      <w:r w:rsidRPr="00EE5E8E">
        <w:rPr>
          <w:rFonts w:ascii="Verdana" w:hAnsi="Verdana" w:cs="Arial"/>
          <w:color w:val="000000" w:themeColor="text1"/>
          <w:sz w:val="20"/>
          <w:szCs w:val="20"/>
          <w:lang w:val="es-ES"/>
        </w:rPr>
        <w:t xml:space="preserve">iv) El encargo recibido no es permanente, se considera </w:t>
      </w:r>
      <w:r w:rsidRPr="00EE5E8E">
        <w:rPr>
          <w:rFonts w:ascii="Verdana" w:hAnsi="Verdana" w:cs="Arial"/>
          <w:i/>
          <w:color w:val="000000" w:themeColor="text1"/>
          <w:sz w:val="20"/>
          <w:szCs w:val="20"/>
          <w:lang w:val="es-ES"/>
        </w:rPr>
        <w:t xml:space="preserve">“un intermediario de momento”. </w:t>
      </w:r>
      <w:r w:rsidRPr="00EE5E8E">
        <w:rPr>
          <w:rFonts w:ascii="Verdana" w:hAnsi="Verdana" w:cs="Arial"/>
          <w:color w:val="000000" w:themeColor="text1"/>
          <w:sz w:val="20"/>
          <w:szCs w:val="20"/>
          <w:lang w:val="es-ES"/>
        </w:rPr>
        <w:t xml:space="preserve">Al respecto sostiene Arrubla Paucar que </w:t>
      </w:r>
      <w:r w:rsidRPr="00EE5E8E">
        <w:rPr>
          <w:rFonts w:ascii="Verdana" w:hAnsi="Verdana" w:cs="Arial"/>
          <w:i/>
          <w:color w:val="000000" w:themeColor="text1"/>
          <w:sz w:val="20"/>
          <w:szCs w:val="20"/>
          <w:lang w:val="es-ES"/>
        </w:rPr>
        <w:t>“El corredor recibe un encargo concreto para un negocio concreto y luego que lo promociona y contacta a las partes se despide: ‘Pero mientras el agente se caracteriza por la nota de permanencia, la mediación constituye una simple actividad esporádica”.</w:t>
      </w:r>
    </w:p>
    <w:p w14:paraId="4F6A5E5A" w14:textId="77777777" w:rsidR="00556A41" w:rsidRPr="00EE5E8E" w:rsidRDefault="00556A41" w:rsidP="00556A41">
      <w:pPr>
        <w:spacing w:after="0" w:line="240" w:lineRule="auto"/>
        <w:ind w:left="709" w:right="709"/>
        <w:jc w:val="both"/>
        <w:rPr>
          <w:rFonts w:ascii="Verdana" w:hAnsi="Verdana" w:cs="Arial"/>
          <w:color w:val="000000" w:themeColor="text1"/>
          <w:sz w:val="20"/>
          <w:szCs w:val="20"/>
          <w:lang w:val="es-ES"/>
        </w:rPr>
      </w:pPr>
    </w:p>
    <w:p w14:paraId="3EB28873" w14:textId="77777777" w:rsidR="00556A41" w:rsidRPr="00EE5E8E" w:rsidRDefault="00556A41" w:rsidP="00556A41">
      <w:pPr>
        <w:spacing w:after="0" w:line="240" w:lineRule="auto"/>
        <w:ind w:left="709" w:right="709"/>
        <w:jc w:val="both"/>
        <w:rPr>
          <w:rFonts w:ascii="Verdana" w:hAnsi="Verdana" w:cs="Arial"/>
          <w:color w:val="000000" w:themeColor="text1"/>
          <w:sz w:val="20"/>
          <w:szCs w:val="20"/>
          <w:lang w:val="es-ES"/>
        </w:rPr>
      </w:pPr>
      <w:r w:rsidRPr="00EE5E8E">
        <w:rPr>
          <w:rFonts w:ascii="Verdana" w:hAnsi="Verdana" w:cs="Arial"/>
          <w:color w:val="000000" w:themeColor="text1"/>
          <w:sz w:val="20"/>
          <w:szCs w:val="20"/>
          <w:lang w:val="es-ES"/>
        </w:rPr>
        <w:t xml:space="preserve">v) El contrato de corretaje es remunerado, </w:t>
      </w:r>
      <w:proofErr w:type="gramStart"/>
      <w:r w:rsidRPr="00EE5E8E">
        <w:rPr>
          <w:rFonts w:ascii="Verdana" w:hAnsi="Verdana" w:cs="Arial"/>
          <w:color w:val="000000" w:themeColor="text1"/>
          <w:sz w:val="20"/>
          <w:szCs w:val="20"/>
          <w:lang w:val="es-ES"/>
        </w:rPr>
        <w:t>en razón de</w:t>
      </w:r>
      <w:proofErr w:type="gramEnd"/>
      <w:r w:rsidRPr="00EE5E8E">
        <w:rPr>
          <w:rFonts w:ascii="Verdana" w:hAnsi="Verdana" w:cs="Arial"/>
          <w:color w:val="000000" w:themeColor="text1"/>
          <w:sz w:val="20"/>
          <w:szCs w:val="20"/>
          <w:lang w:val="es-ES"/>
        </w:rPr>
        <w:t xml:space="preserve"> su actividad promocional</w:t>
      </w:r>
      <w:r>
        <w:rPr>
          <w:rFonts w:ascii="Verdana" w:hAnsi="Verdana" w:cs="Arial"/>
          <w:color w:val="000000" w:themeColor="text1"/>
          <w:sz w:val="20"/>
          <w:szCs w:val="20"/>
          <w:lang w:val="es-ES"/>
        </w:rPr>
        <w:t>”</w:t>
      </w:r>
      <w:r w:rsidRPr="00EE5E8E">
        <w:rPr>
          <w:rFonts w:ascii="Verdana" w:hAnsi="Verdana" w:cs="Arial"/>
          <w:color w:val="000000" w:themeColor="text1"/>
          <w:sz w:val="20"/>
          <w:szCs w:val="20"/>
          <w:vertAlign w:val="superscript"/>
          <w:lang w:val="es-ES"/>
        </w:rPr>
        <w:footnoteReference w:id="3"/>
      </w:r>
      <w:r w:rsidRPr="00EE5E8E">
        <w:rPr>
          <w:rFonts w:ascii="Verdana" w:hAnsi="Verdana" w:cs="Arial"/>
          <w:color w:val="000000" w:themeColor="text1"/>
          <w:sz w:val="20"/>
          <w:szCs w:val="20"/>
          <w:lang w:val="es-ES"/>
        </w:rPr>
        <w:t>.</w:t>
      </w:r>
    </w:p>
    <w:p w14:paraId="622970E0" w14:textId="77777777" w:rsidR="00556A41" w:rsidRPr="00EE5E8E" w:rsidRDefault="00556A41" w:rsidP="00556A41">
      <w:pPr>
        <w:spacing w:after="0" w:line="276" w:lineRule="auto"/>
        <w:ind w:left="709" w:right="709"/>
        <w:jc w:val="both"/>
        <w:rPr>
          <w:rFonts w:ascii="Verdana" w:hAnsi="Verdana" w:cs="Arial"/>
          <w:color w:val="000000" w:themeColor="text1"/>
          <w:lang w:val="es-ES"/>
        </w:rPr>
      </w:pPr>
    </w:p>
    <w:p w14:paraId="6ADC3E0E" w14:textId="77777777" w:rsidR="00556A41" w:rsidRPr="00745397" w:rsidRDefault="00556A41" w:rsidP="38FAFFF8">
      <w:pPr>
        <w:spacing w:after="0" w:line="276" w:lineRule="auto"/>
        <w:ind w:firstLine="708"/>
        <w:jc w:val="both"/>
        <w:rPr>
          <w:rFonts w:ascii="Verdana" w:hAnsi="Verdana" w:cs="Arial"/>
          <w:color w:val="000000" w:themeColor="text1"/>
          <w:lang w:val="es-ES"/>
        </w:rPr>
      </w:pPr>
      <w:r w:rsidRPr="38FAFFF8">
        <w:rPr>
          <w:rFonts w:ascii="Verdana" w:hAnsi="Verdana" w:cs="Arial"/>
          <w:color w:val="000000" w:themeColor="text1"/>
          <w:lang w:val="es-ES"/>
        </w:rPr>
        <w:lastRenderedPageBreak/>
        <w:t xml:space="preserve">La jurisprudencia de la Sección Tercera del Consejo de Estado ha precisado que el contrato de corretaje es autónomo y puede sobrevivir sin perjuicio de la no celebración del contrato de seguro, además, que el objeto de la intermediación del corredor es el ofrecimiento de seguros, la promoción de su celebración y la obtención de la renovación de </w:t>
      </w:r>
      <w:proofErr w:type="gramStart"/>
      <w:r w:rsidRPr="38FAFFF8">
        <w:rPr>
          <w:rFonts w:ascii="Verdana" w:hAnsi="Verdana" w:cs="Arial"/>
          <w:color w:val="000000" w:themeColor="text1"/>
          <w:lang w:val="es-ES"/>
        </w:rPr>
        <w:t>los mismos</w:t>
      </w:r>
      <w:proofErr w:type="gramEnd"/>
      <w:r w:rsidRPr="38FAFFF8">
        <w:rPr>
          <w:rFonts w:ascii="Verdana" w:hAnsi="Verdana" w:cs="Arial"/>
          <w:color w:val="000000" w:themeColor="text1"/>
          <w:lang w:val="es-ES"/>
        </w:rPr>
        <w:t>. En efecto, esta Corporación ha señalado que:</w:t>
      </w:r>
    </w:p>
    <w:p w14:paraId="1E458285" w14:textId="77777777" w:rsidR="00556A41" w:rsidRPr="00EE5E8E" w:rsidRDefault="00556A41" w:rsidP="00556A41">
      <w:pPr>
        <w:spacing w:after="0" w:line="276" w:lineRule="auto"/>
        <w:ind w:firstLine="708"/>
        <w:jc w:val="both"/>
        <w:rPr>
          <w:rFonts w:ascii="Verdana" w:hAnsi="Verdana" w:cs="Arial"/>
          <w:color w:val="000000" w:themeColor="text1"/>
          <w:sz w:val="21"/>
          <w:szCs w:val="21"/>
          <w:lang w:val="es-ES"/>
        </w:rPr>
      </w:pPr>
      <w:r w:rsidRPr="00EE5E8E">
        <w:rPr>
          <w:rFonts w:ascii="Verdana" w:hAnsi="Verdana" w:cs="Arial"/>
          <w:color w:val="000000" w:themeColor="text1"/>
          <w:sz w:val="21"/>
          <w:szCs w:val="21"/>
          <w:lang w:val="es-ES"/>
        </w:rPr>
        <w:t xml:space="preserve"> </w:t>
      </w:r>
    </w:p>
    <w:p w14:paraId="6BACDD4A" w14:textId="77777777" w:rsidR="00556A41" w:rsidRPr="00EE5E8E" w:rsidRDefault="00556A41" w:rsidP="00556A41">
      <w:pPr>
        <w:spacing w:after="0" w:line="240" w:lineRule="auto"/>
        <w:ind w:left="709" w:right="709"/>
        <w:jc w:val="both"/>
        <w:rPr>
          <w:rFonts w:ascii="Verdana" w:hAnsi="Verdana" w:cs="Arial"/>
          <w:color w:val="000000" w:themeColor="text1"/>
          <w:sz w:val="20"/>
          <w:szCs w:val="20"/>
          <w:lang w:val="es-ES"/>
        </w:rPr>
      </w:pPr>
      <w:r>
        <w:rPr>
          <w:rFonts w:ascii="Verdana" w:hAnsi="Verdana" w:cs="Arial"/>
          <w:color w:val="000000" w:themeColor="text1"/>
          <w:sz w:val="20"/>
          <w:szCs w:val="20"/>
          <w:lang w:val="es-ES"/>
        </w:rPr>
        <w:t>“</w:t>
      </w:r>
      <w:r w:rsidRPr="00EE5E8E">
        <w:rPr>
          <w:rFonts w:ascii="Verdana" w:hAnsi="Verdana" w:cs="Arial"/>
          <w:color w:val="000000" w:themeColor="text1"/>
          <w:sz w:val="20"/>
          <w:szCs w:val="20"/>
          <w:lang w:val="es-ES"/>
        </w:rPr>
        <w:t xml:space="preserve">[E]l objeto de la intermediación del corredor será el ofrecimiento de seguros, la promoción de su celebración y la obtención de la renovación de </w:t>
      </w:r>
      <w:proofErr w:type="gramStart"/>
      <w:r w:rsidRPr="00EE5E8E">
        <w:rPr>
          <w:rFonts w:ascii="Verdana" w:hAnsi="Verdana" w:cs="Arial"/>
          <w:color w:val="000000" w:themeColor="text1"/>
          <w:sz w:val="20"/>
          <w:szCs w:val="20"/>
          <w:lang w:val="es-ES"/>
        </w:rPr>
        <w:t>los mismos</w:t>
      </w:r>
      <w:proofErr w:type="gramEnd"/>
      <w:r w:rsidRPr="00EE5E8E">
        <w:rPr>
          <w:rFonts w:ascii="Verdana" w:hAnsi="Verdana" w:cs="Arial"/>
          <w:color w:val="000000" w:themeColor="text1"/>
          <w:sz w:val="20"/>
          <w:szCs w:val="20"/>
          <w:lang w:val="es-ES"/>
        </w:rPr>
        <w:t>, y se entenderá cumplido siempre que éste último realice sus obligaciones a cabalidad, independientemente de que el respectivo contrato de seguro se celebre.  En efecto, la circunstancia de que sólo cuando esto sucede tiene el corredor derecho a recibir la comisión, según lo dispuesto en el artículo 1341 del C. de Co.,  no puede dar lugar a obtener una conclusión diferente; el corredor de seguros celebra los contratos de intermediación con el tomador y con el asegurador, adquiriendo obligaciones que cumple, en el primer caso, de manera gratuita, y en el segundo, a cambio de una comisión aleatoria, esto es, condicionada a la celebración del contrato de seguro objeto de la intermediación</w:t>
      </w:r>
      <w:r>
        <w:rPr>
          <w:rFonts w:ascii="Verdana" w:hAnsi="Verdana" w:cs="Arial"/>
          <w:color w:val="000000" w:themeColor="text1"/>
          <w:sz w:val="20"/>
          <w:szCs w:val="20"/>
          <w:lang w:val="es-ES"/>
        </w:rPr>
        <w:t>”</w:t>
      </w:r>
      <w:r w:rsidRPr="00EE5E8E">
        <w:rPr>
          <w:rFonts w:ascii="Verdana" w:hAnsi="Verdana" w:cs="Arial"/>
          <w:color w:val="000000" w:themeColor="text1"/>
          <w:sz w:val="20"/>
          <w:szCs w:val="20"/>
          <w:lang w:val="es-ES"/>
        </w:rPr>
        <w:t>.</w:t>
      </w:r>
    </w:p>
    <w:p w14:paraId="61B249D4" w14:textId="77777777" w:rsidR="00556A41" w:rsidRPr="00EE5E8E" w:rsidRDefault="00556A41" w:rsidP="00556A41">
      <w:pPr>
        <w:spacing w:after="0" w:line="276" w:lineRule="auto"/>
        <w:ind w:left="709" w:right="709"/>
        <w:jc w:val="both"/>
        <w:rPr>
          <w:rFonts w:ascii="Verdana" w:hAnsi="Verdana" w:cs="Arial"/>
          <w:color w:val="000000" w:themeColor="text1"/>
          <w:lang w:val="es-ES"/>
        </w:rPr>
      </w:pPr>
    </w:p>
    <w:p w14:paraId="0FC7443A" w14:textId="77777777" w:rsidR="00556A41" w:rsidRPr="00745397" w:rsidRDefault="00556A41" w:rsidP="00F83E60">
      <w:pPr>
        <w:spacing w:after="120" w:line="276" w:lineRule="auto"/>
        <w:ind w:firstLine="360"/>
        <w:jc w:val="both"/>
        <w:rPr>
          <w:rFonts w:ascii="Verdana" w:hAnsi="Verdana" w:cs="Arial"/>
          <w:color w:val="000000" w:themeColor="text1"/>
          <w:lang w:val="es-ES_tradnl"/>
        </w:rPr>
      </w:pPr>
      <w:r>
        <w:rPr>
          <w:rFonts w:ascii="Verdana" w:hAnsi="Verdana" w:cs="Arial"/>
          <w:color w:val="000000" w:themeColor="text1"/>
          <w:lang w:val="es-ES_tradnl"/>
        </w:rPr>
        <w:t xml:space="preserve">     </w:t>
      </w:r>
      <w:r w:rsidRPr="00745397">
        <w:rPr>
          <w:rFonts w:ascii="Verdana" w:hAnsi="Verdana" w:cs="Arial"/>
          <w:color w:val="000000" w:themeColor="text1"/>
          <w:lang w:val="es-ES_tradnl"/>
        </w:rPr>
        <w:t xml:space="preserve">A partir de lo anterior, </w:t>
      </w:r>
      <w:bookmarkStart w:id="0" w:name="_Hlk174633953"/>
      <w:r w:rsidRPr="00745397">
        <w:rPr>
          <w:rFonts w:ascii="Verdana" w:hAnsi="Verdana" w:cs="Arial"/>
          <w:color w:val="000000" w:themeColor="text1"/>
          <w:lang w:val="es-ES_tradnl"/>
        </w:rPr>
        <w:t>se puede concluir que el contrato de corretaje de seguros, además de ser autónomo, tiene la característica de contrato de tracto sucesivo</w:t>
      </w:r>
      <w:bookmarkEnd w:id="0"/>
      <w:r w:rsidRPr="00745397">
        <w:rPr>
          <w:rFonts w:ascii="Verdana" w:hAnsi="Verdana" w:cs="Arial"/>
          <w:color w:val="000000" w:themeColor="text1"/>
          <w:lang w:val="es-ES_tradnl"/>
        </w:rPr>
        <w:t xml:space="preserve"> – circunstancia que determina la obligación ser liquidados, conforme se pasara a explicar más adelante –, porque: “la labor de intermediación se extiende, por lo general, a la etapa de ejecución del contrato celebrado entre el asegurador y el tomador, en la cual pueden presentarse situaciones que requieran la realización de diversos trámites, especialmente cuando el riesgo se realiza o hay necesidad de efectuar ajustes al contrato de seguro. Finalmente, la intervención del corredor en la etapa posterior a la celebración de este último resulta muy importante para efectos de obtener su renovación, tarea que, como se ha visto, constituye uno de los objetivos específicos de la intermediación”</w:t>
      </w:r>
      <w:r w:rsidRPr="00EE5E8E">
        <w:rPr>
          <w:vertAlign w:val="superscript"/>
          <w:lang w:val="es-ES_tradnl"/>
        </w:rPr>
        <w:footnoteReference w:id="4"/>
      </w:r>
      <w:r w:rsidRPr="00745397">
        <w:rPr>
          <w:rFonts w:ascii="Verdana" w:hAnsi="Verdana" w:cs="Arial"/>
          <w:color w:val="000000" w:themeColor="text1"/>
          <w:lang w:val="es-ES_tradnl"/>
        </w:rPr>
        <w:t>.</w:t>
      </w:r>
    </w:p>
    <w:p w14:paraId="45DFDB3D" w14:textId="77777777" w:rsidR="002561F4" w:rsidRDefault="00556A41" w:rsidP="00F83E60">
      <w:pPr>
        <w:spacing w:after="120" w:line="276" w:lineRule="auto"/>
        <w:ind w:firstLine="708"/>
        <w:jc w:val="both"/>
        <w:rPr>
          <w:rFonts w:ascii="Verdana" w:eastAsia="Times New Roman" w:hAnsi="Verdana" w:cs="Arial"/>
          <w:color w:val="000000" w:themeColor="text1"/>
          <w:lang w:val="es-ES_tradnl" w:eastAsia="es-ES"/>
        </w:rPr>
      </w:pPr>
      <w:r w:rsidRPr="00745397">
        <w:rPr>
          <w:rFonts w:ascii="Verdana" w:eastAsia="Times New Roman" w:hAnsi="Verdana" w:cs="Arial"/>
          <w:color w:val="000000" w:themeColor="text1"/>
          <w:lang w:val="es-ES_tradnl" w:eastAsia="es-ES"/>
        </w:rPr>
        <w:t xml:space="preserve">Ahora bien, con el fin de dar respuesta a su consulta, es necesario analizar la obligación de liquidar los contratos de corretaje y de seguro. La liquidación es la etapa en la cual, una vez concluido el contrato estatal, las partes cruzan cuentas respecto de sus obligaciones, por tanto, su objetivo es determinar si </w:t>
      </w:r>
      <w:r w:rsidRPr="00745397">
        <w:rPr>
          <w:rFonts w:ascii="Verdana" w:eastAsia="Times New Roman" w:hAnsi="Verdana" w:cs="Arial"/>
          <w:color w:val="000000" w:themeColor="text1"/>
          <w:lang w:val="es-ES_tradnl" w:eastAsia="es-ES"/>
        </w:rPr>
        <w:lastRenderedPageBreak/>
        <w:t>pueden declararse a paz y salvo mutuo o si, por el contrario, existen aún obligaciones por cumplir, para acordar la forma en que deben ser cumplidas</w:t>
      </w:r>
      <w:r w:rsidRPr="00EE5E8E">
        <w:rPr>
          <w:vertAlign w:val="superscript"/>
          <w:lang w:eastAsia="es-ES"/>
        </w:rPr>
        <w:footnoteReference w:id="5"/>
      </w:r>
      <w:r w:rsidRPr="00745397">
        <w:rPr>
          <w:rFonts w:ascii="Verdana" w:eastAsia="Times New Roman" w:hAnsi="Verdana" w:cs="Arial"/>
          <w:color w:val="000000" w:themeColor="text1"/>
          <w:lang w:val="es-ES_tradnl" w:eastAsia="es-ES"/>
        </w:rPr>
        <w:t xml:space="preserve">. </w:t>
      </w:r>
    </w:p>
    <w:p w14:paraId="5CE01397" w14:textId="09D4DAF0" w:rsidR="00556A41" w:rsidRPr="00745397" w:rsidRDefault="00556A41" w:rsidP="00F83E60">
      <w:pPr>
        <w:spacing w:after="0" w:line="276" w:lineRule="auto"/>
        <w:ind w:firstLine="708"/>
        <w:jc w:val="both"/>
        <w:rPr>
          <w:rFonts w:ascii="Verdana" w:hAnsi="Verdana" w:cs="Arial"/>
          <w:color w:val="000000" w:themeColor="text1"/>
          <w:lang w:val="es-ES_tradnl"/>
        </w:rPr>
      </w:pPr>
      <w:r w:rsidRPr="00745397">
        <w:rPr>
          <w:rFonts w:ascii="Verdana" w:eastAsia="Times New Roman" w:hAnsi="Verdana" w:cs="Arial"/>
          <w:color w:val="000000" w:themeColor="text1"/>
          <w:lang w:val="es-ES_tradnl" w:eastAsia="es-ES"/>
        </w:rPr>
        <w:t>En armonía con lo anterior, la doctrina ha definido la liquidación de la siguiente manera:</w:t>
      </w:r>
    </w:p>
    <w:p w14:paraId="1B5C5E7A" w14:textId="77777777" w:rsidR="00556A41" w:rsidRPr="00EE5E8E" w:rsidRDefault="00556A41" w:rsidP="00556A41">
      <w:pPr>
        <w:spacing w:after="0" w:line="276" w:lineRule="auto"/>
        <w:jc w:val="both"/>
        <w:rPr>
          <w:rFonts w:ascii="Verdana" w:eastAsia="Times New Roman" w:hAnsi="Verdana" w:cs="Arial"/>
          <w:color w:val="000000" w:themeColor="text1"/>
          <w:lang w:val="es-ES_tradnl" w:eastAsia="es-ES"/>
        </w:rPr>
      </w:pPr>
    </w:p>
    <w:p w14:paraId="41A120E6" w14:textId="77777777" w:rsidR="00556A41" w:rsidRPr="00EE5E8E" w:rsidRDefault="00556A41" w:rsidP="00556A41">
      <w:pPr>
        <w:spacing w:after="0" w:line="240" w:lineRule="auto"/>
        <w:ind w:left="709" w:right="709"/>
        <w:jc w:val="both"/>
        <w:rPr>
          <w:rFonts w:ascii="Verdana" w:eastAsia="Times New Roman" w:hAnsi="Verdana" w:cs="Arial"/>
          <w:sz w:val="20"/>
          <w:szCs w:val="20"/>
          <w:lang w:val="es-ES" w:eastAsia="es-ES"/>
        </w:rPr>
      </w:pPr>
      <w:r>
        <w:rPr>
          <w:rFonts w:ascii="Verdana" w:eastAsia="Times New Roman" w:hAnsi="Verdana" w:cs="Arial"/>
          <w:sz w:val="20"/>
          <w:szCs w:val="20"/>
          <w:lang w:val="es-ES" w:eastAsia="es-ES"/>
        </w:rPr>
        <w:t>“</w:t>
      </w:r>
      <w:r w:rsidRPr="00EE5E8E">
        <w:rPr>
          <w:rFonts w:ascii="Verdana" w:eastAsia="Times New Roman" w:hAnsi="Verdana" w:cs="Arial"/>
          <w:sz w:val="20"/>
          <w:szCs w:val="20"/>
          <w:lang w:val="es-ES" w:eastAsia="es-ES"/>
        </w:rPr>
        <w:t>[…] la liquidación del contrato estatal corresponde al arreglo o ajuste económico, técnico y jurídico al que se llega de forma bilateral (por las partes del negocio), unilateralmente (por la administración), por el juez o por el árbitro, según el caso, para determinar el estado final de la relación contractual, no solo en cuento al cumplimiento del objeto acordado y al recibo a satisfacción de los productos contratados (bienes y servicios), sino, además, para definir la situación en la que quedan los contratantes, luego de la ejecución del contrato, en el sentido de disponer cuánto se adeudan, de qué manera y en qué plazos se han de efectuar los pagos pendientes y las condiciones para el establecimiento del respectivo paz y salvo. En otras palabras, la liquidación es el acto jurídico bilateral, administrativo o judicial, en el que se plasma y formaliza la situación financiera y jurídica de las partes, al término de la relación contractual (aspecto subjetivo) y el grado de cumplimiento del objeto contratado (aspecto objetivo); de ahí que pueda hablarse, en términos amplios, de un doble contenido, que debe estar presente en toda liquidación. En efecto, el corte de cuentas realizado en ella tiene un doble alcance: (i) hacer un balance definitivo del negocio, en sus aspectos técnicos, financieros y jurídicos (aspecto objetivo o material) y ii) definir la situación jurídica de las partes, estableciendo si pueden constituirse o no a paz y salvo; lo que exige, en la práctica, que los negociantes dialoguen e intenten ponerse de acuerdo (aspecto subjetivo)</w:t>
      </w:r>
      <w:r>
        <w:rPr>
          <w:rFonts w:ascii="Verdana" w:eastAsia="Times New Roman" w:hAnsi="Verdana" w:cs="Arial"/>
          <w:sz w:val="20"/>
          <w:szCs w:val="20"/>
          <w:lang w:val="es-ES" w:eastAsia="es-ES"/>
        </w:rPr>
        <w:t>”</w:t>
      </w:r>
      <w:r w:rsidRPr="00EE5E8E">
        <w:rPr>
          <w:rFonts w:ascii="Verdana" w:eastAsia="Times New Roman" w:hAnsi="Verdana" w:cs="Arial"/>
          <w:sz w:val="20"/>
          <w:szCs w:val="20"/>
          <w:vertAlign w:val="superscript"/>
          <w:lang w:val="es-ES" w:eastAsia="es-ES"/>
        </w:rPr>
        <w:footnoteReference w:id="6"/>
      </w:r>
      <w:r w:rsidRPr="00EE5E8E">
        <w:rPr>
          <w:rFonts w:ascii="Verdana" w:eastAsia="Times New Roman" w:hAnsi="Verdana" w:cs="Arial"/>
          <w:sz w:val="20"/>
          <w:szCs w:val="20"/>
          <w:lang w:val="es-ES" w:eastAsia="es-ES"/>
        </w:rPr>
        <w:t xml:space="preserve">. </w:t>
      </w:r>
    </w:p>
    <w:p w14:paraId="5D77E255" w14:textId="77777777" w:rsidR="00556A41" w:rsidRPr="0074745E" w:rsidRDefault="00556A41" w:rsidP="00556A41">
      <w:pPr>
        <w:spacing w:after="0" w:line="276" w:lineRule="auto"/>
        <w:jc w:val="both"/>
        <w:rPr>
          <w:rFonts w:ascii="Verdana" w:eastAsia="Times New Roman" w:hAnsi="Verdana" w:cs="Arial"/>
          <w:color w:val="000000" w:themeColor="text1"/>
          <w:lang w:val="es-ES" w:eastAsia="es-ES"/>
        </w:rPr>
      </w:pPr>
    </w:p>
    <w:p w14:paraId="5B32BB5B" w14:textId="77777777" w:rsidR="00556A41" w:rsidRPr="00E803F5" w:rsidRDefault="00556A41" w:rsidP="00F83E60">
      <w:pPr>
        <w:spacing w:after="120" w:line="276" w:lineRule="auto"/>
        <w:ind w:firstLine="708"/>
        <w:jc w:val="both"/>
        <w:rPr>
          <w:rFonts w:ascii="Verdana" w:hAnsi="Verdana" w:cs="Arial"/>
          <w:color w:val="000000" w:themeColor="text1"/>
          <w:lang w:val="es-ES_tradnl"/>
        </w:rPr>
      </w:pPr>
      <w:r w:rsidRPr="00E803F5">
        <w:rPr>
          <w:rFonts w:ascii="Verdana" w:hAnsi="Verdana" w:cs="Arial"/>
          <w:color w:val="000000" w:themeColor="text1"/>
          <w:lang w:val="es-ES_tradnl"/>
        </w:rPr>
        <w:t xml:space="preserve">En línea con lo anterior, según la jurisprudencia, la liquidación es el ajuste de cuentas donde las partes hacen un balance económico, técnico y jurídico del cumplimiento de las obligaciones que tienen a su cargo. Así lo manifestó el Consejo de Estado, en la sentencia del 20 de octubre de 2014, en la que consideró, por un lado, que </w:t>
      </w:r>
      <w:r w:rsidRPr="00E803F5">
        <w:rPr>
          <w:rFonts w:ascii="Verdana" w:hAnsi="Verdana" w:cs="Arial"/>
          <w:i/>
          <w:iCs/>
          <w:color w:val="000000" w:themeColor="text1"/>
          <w:lang w:val="es-ES_tradnl"/>
        </w:rPr>
        <w:t>liquidar</w:t>
      </w:r>
      <w:r w:rsidRPr="00E803F5">
        <w:rPr>
          <w:rFonts w:ascii="Verdana" w:hAnsi="Verdana" w:cs="Arial"/>
          <w:color w:val="000000" w:themeColor="text1"/>
          <w:lang w:val="es-ES_tradnl"/>
        </w:rPr>
        <w:t xml:space="preserve"> supone un ajuste en relación con las cuentas </w:t>
      </w:r>
      <w:r w:rsidRPr="00E803F5">
        <w:rPr>
          <w:rFonts w:ascii="Verdana" w:hAnsi="Verdana" w:cs="Arial"/>
          <w:color w:val="000000" w:themeColor="text1"/>
          <w:lang w:val="es-ES_tradnl"/>
        </w:rPr>
        <w:lastRenderedPageBreak/>
        <w:t xml:space="preserve">y el estado de cumplimiento del contrato estatal y, por el otro, que la </w:t>
      </w:r>
      <w:r w:rsidRPr="00E803F5">
        <w:rPr>
          <w:rFonts w:ascii="Verdana" w:hAnsi="Verdana" w:cs="Arial"/>
          <w:i/>
          <w:iCs/>
          <w:color w:val="000000" w:themeColor="text1"/>
          <w:lang w:val="es-ES_tradnl"/>
        </w:rPr>
        <w:t>liquidación</w:t>
      </w:r>
      <w:r w:rsidRPr="00E803F5">
        <w:rPr>
          <w:rFonts w:ascii="Verdana" w:hAnsi="Verdana" w:cs="Arial"/>
          <w:color w:val="000000" w:themeColor="text1"/>
          <w:lang w:val="es-ES_tradnl"/>
        </w:rPr>
        <w:t xml:space="preserve"> debe incluir el análisis de las condiciones de calidad y oportunidad en la entrega de los bienes, obras o servicios, así como el balance económico y el comportamiento financiero del negocio</w:t>
      </w:r>
      <w:r w:rsidRPr="00EE5E8E">
        <w:rPr>
          <w:vertAlign w:val="superscript"/>
          <w:lang w:val="es-ES_tradnl"/>
        </w:rPr>
        <w:footnoteReference w:id="7"/>
      </w:r>
      <w:r w:rsidRPr="00E803F5">
        <w:rPr>
          <w:rFonts w:ascii="Verdana" w:hAnsi="Verdana" w:cs="Arial"/>
          <w:color w:val="000000" w:themeColor="text1"/>
          <w:lang w:val="es-ES_tradnl"/>
        </w:rPr>
        <w:t xml:space="preserve">. </w:t>
      </w:r>
    </w:p>
    <w:p w14:paraId="796FE1D0" w14:textId="7190EB5C" w:rsidR="00556A41" w:rsidRPr="00E803F5" w:rsidRDefault="00504D0A" w:rsidP="00556A41">
      <w:pPr>
        <w:spacing w:after="0" w:line="276" w:lineRule="auto"/>
        <w:ind w:firstLine="360"/>
        <w:jc w:val="both"/>
        <w:rPr>
          <w:rFonts w:ascii="Verdana" w:hAnsi="Verdana" w:cs="Arial"/>
          <w:color w:val="000000" w:themeColor="text1"/>
          <w:lang w:val="es-ES_tradnl"/>
        </w:rPr>
      </w:pPr>
      <w:r>
        <w:rPr>
          <w:rFonts w:ascii="Verdana" w:hAnsi="Verdana" w:cs="Arial"/>
          <w:color w:val="000000" w:themeColor="text1"/>
          <w:lang w:val="es-ES_tradnl"/>
        </w:rPr>
        <w:tab/>
      </w:r>
      <w:r w:rsidR="00556A41" w:rsidRPr="00E803F5">
        <w:rPr>
          <w:rFonts w:ascii="Verdana" w:eastAsia="Times New Roman" w:hAnsi="Verdana" w:cs="Arial"/>
          <w:color w:val="000000" w:themeColor="text1"/>
          <w:lang w:val="es-ES_tradnl" w:eastAsia="es-ES"/>
        </w:rPr>
        <w:t>Las disposiciones legales que regulan la etapa de liquidación de los contratos estatales son el artículo 60 de la Ley 80 de 1993, modificado por el artículo 217 del Decreto 019 de 2012, y el artículo 11 de la Ley 1150 de 2007. El primero de estos artículos se refiere al alcance sustantivo de la liquidación y los contratos en que procede, mientras que el segundo contiene reglas procedimentales para su realización. En relación con el artículo 60 referido, la doctrina ha indicado que:</w:t>
      </w:r>
    </w:p>
    <w:p w14:paraId="5436EBFC" w14:textId="77777777" w:rsidR="00556A41" w:rsidRPr="00EE5E8E" w:rsidRDefault="00556A41" w:rsidP="00556A41">
      <w:pPr>
        <w:spacing w:after="0" w:line="276" w:lineRule="auto"/>
        <w:ind w:firstLine="709"/>
        <w:jc w:val="both"/>
        <w:rPr>
          <w:rFonts w:ascii="Verdana" w:eastAsia="Times New Roman" w:hAnsi="Verdana" w:cs="Arial"/>
          <w:color w:val="000000" w:themeColor="text1"/>
          <w:lang w:val="es-ES_tradnl" w:eastAsia="es-ES"/>
        </w:rPr>
      </w:pPr>
    </w:p>
    <w:p w14:paraId="5A081376" w14:textId="77777777" w:rsidR="00556A41" w:rsidRPr="00EE5E8E" w:rsidRDefault="00556A41" w:rsidP="00820C89">
      <w:pPr>
        <w:spacing w:after="0" w:line="240" w:lineRule="auto"/>
        <w:ind w:left="709" w:right="709"/>
        <w:jc w:val="both"/>
        <w:rPr>
          <w:rFonts w:ascii="Verdana" w:eastAsia="Times New Roman" w:hAnsi="Verdana" w:cs="Arial"/>
          <w:color w:val="000000"/>
          <w:sz w:val="20"/>
          <w:szCs w:val="20"/>
          <w:shd w:val="clear" w:color="auto" w:fill="FFFFFF"/>
          <w:lang w:val="es-ES" w:eastAsia="es-ES"/>
        </w:rPr>
      </w:pPr>
      <w:r>
        <w:rPr>
          <w:rFonts w:ascii="Verdana" w:eastAsia="Times New Roman" w:hAnsi="Verdana" w:cs="Arial"/>
          <w:sz w:val="20"/>
          <w:szCs w:val="20"/>
          <w:lang w:val="es-ES" w:eastAsia="es-ES"/>
        </w:rPr>
        <w:t>“</w:t>
      </w:r>
      <w:r w:rsidRPr="00EE5E8E">
        <w:rPr>
          <w:rFonts w:ascii="Verdana" w:eastAsia="Times New Roman" w:hAnsi="Verdana" w:cs="Arial"/>
          <w:sz w:val="20"/>
          <w:szCs w:val="20"/>
          <w:lang w:val="es-ES" w:eastAsia="es-ES"/>
        </w:rPr>
        <w:t>La ley 80 de 1993 […] dispuso en el artículo 60 que serían objeto de liquidación todos los contratos de tracto sucesivo, entendiendo por estos los de ejecución y cumplimiento prolongados en el tiempo, así como los demás que lo requieran –que son generalmente aquellos de ejecución instantánea en los que la misma se ha extendido temporalmente–, etapa en la cual las partes debían acordar los ajustes, revisiones y reconocimientos a que hubiera lugar, y que el contenido de la misma debía reflejar los acuerdos, conciliaciones y transacciones a que llegaren las partes para poner fin a las divergencias presentadas y poder declararse a paz y salvo</w:t>
      </w:r>
      <w:r>
        <w:rPr>
          <w:rFonts w:ascii="Verdana" w:eastAsia="Times New Roman" w:hAnsi="Verdana" w:cs="Arial"/>
          <w:sz w:val="20"/>
          <w:szCs w:val="20"/>
          <w:lang w:val="es-ES" w:eastAsia="es-ES"/>
        </w:rPr>
        <w:t>”</w:t>
      </w:r>
      <w:r w:rsidRPr="00EE5E8E">
        <w:rPr>
          <w:rFonts w:ascii="Verdana" w:eastAsia="Times New Roman" w:hAnsi="Verdana" w:cs="Arial"/>
          <w:color w:val="000000"/>
          <w:sz w:val="20"/>
          <w:szCs w:val="20"/>
          <w:shd w:val="clear" w:color="auto" w:fill="FFFFFF"/>
          <w:vertAlign w:val="superscript"/>
          <w:lang w:val="es-ES" w:eastAsia="es-ES"/>
        </w:rPr>
        <w:footnoteReference w:id="8"/>
      </w:r>
      <w:r w:rsidRPr="00EE5E8E">
        <w:rPr>
          <w:rFonts w:ascii="Verdana" w:eastAsia="Times New Roman" w:hAnsi="Verdana" w:cs="Arial"/>
          <w:sz w:val="20"/>
          <w:szCs w:val="20"/>
          <w:lang w:val="es-ES" w:eastAsia="es-ES"/>
        </w:rPr>
        <w:t xml:space="preserve">. </w:t>
      </w:r>
    </w:p>
    <w:p w14:paraId="02DF8BCF" w14:textId="77777777" w:rsidR="00556A41" w:rsidRPr="00F83E60" w:rsidRDefault="00556A41" w:rsidP="00F83E60">
      <w:pPr>
        <w:spacing w:after="0" w:line="276" w:lineRule="auto"/>
        <w:ind w:left="709" w:right="760"/>
        <w:jc w:val="both"/>
        <w:rPr>
          <w:rFonts w:ascii="Verdana" w:eastAsia="Times New Roman" w:hAnsi="Verdana" w:cs="Arial"/>
          <w:color w:val="000000" w:themeColor="text1"/>
          <w:lang w:val="es-ES" w:eastAsia="es-ES"/>
        </w:rPr>
      </w:pPr>
    </w:p>
    <w:p w14:paraId="550333ED" w14:textId="75230490" w:rsidR="00556A41" w:rsidRPr="00520156" w:rsidRDefault="00556A41" w:rsidP="00F83E60">
      <w:pPr>
        <w:spacing w:after="120" w:line="276" w:lineRule="auto"/>
        <w:ind w:firstLine="708"/>
        <w:jc w:val="both"/>
        <w:rPr>
          <w:rFonts w:ascii="Verdana" w:eastAsia="Times New Roman" w:hAnsi="Verdana" w:cs="Arial"/>
          <w:color w:val="000000" w:themeColor="text1"/>
          <w:lang w:val="es-ES_tradnl" w:eastAsia="es-ES"/>
        </w:rPr>
      </w:pPr>
      <w:bookmarkStart w:id="1" w:name="_Hlk174625050"/>
      <w:r w:rsidRPr="00520156">
        <w:rPr>
          <w:rFonts w:ascii="Verdana" w:eastAsia="Times New Roman" w:hAnsi="Verdana" w:cs="Arial"/>
          <w:color w:val="000000" w:themeColor="text1"/>
          <w:lang w:val="es-ES_tradnl" w:eastAsia="es-ES"/>
        </w:rPr>
        <w:t xml:space="preserve">Por un lado, de acuerdo con el artículo 60 de la Ley 80 de 1993, los contratos de tracto sucesivo, aquellos cuyo cumplimiento o ejecución se prolongue en el tiempo y los demás que lo requieran “serán objeto de liquidación”. El mismo artículo prescribe que no será obligatoria la liquidación en los contratos de prestación de servicios profesionales y de apoyo a la gestión. Adicionalmente, en los contratos las </w:t>
      </w:r>
      <w:r w:rsidR="00A90A23" w:rsidRPr="00520156">
        <w:rPr>
          <w:rFonts w:ascii="Verdana" w:eastAsia="Times New Roman" w:hAnsi="Verdana" w:cs="Arial"/>
          <w:color w:val="000000" w:themeColor="text1"/>
          <w:lang w:val="es-ES_tradnl" w:eastAsia="es-ES"/>
        </w:rPr>
        <w:t xml:space="preserve">entidades estatales </w:t>
      </w:r>
      <w:r w:rsidRPr="00520156">
        <w:rPr>
          <w:rFonts w:ascii="Verdana" w:eastAsia="Times New Roman" w:hAnsi="Verdana" w:cs="Arial"/>
          <w:color w:val="000000" w:themeColor="text1"/>
          <w:lang w:val="es-ES_tradnl" w:eastAsia="es-ES"/>
        </w:rPr>
        <w:t xml:space="preserve">deben definir la oportunidad y forma de recibir el objeto contratado y, en cada caso, si un contrato requiere o no de liquidación, con arreglo a criterios tales como la </w:t>
      </w:r>
      <w:r w:rsidRPr="00520156">
        <w:rPr>
          <w:rFonts w:ascii="Verdana" w:eastAsia="Times New Roman" w:hAnsi="Verdana" w:cs="Arial"/>
          <w:color w:val="000000" w:themeColor="text1"/>
          <w:lang w:val="es-ES_tradnl" w:eastAsia="es-ES"/>
        </w:rPr>
        <w:lastRenderedPageBreak/>
        <w:t>naturaleza, objeto y plazo del contrato</w:t>
      </w:r>
      <w:r w:rsidRPr="00F83E60">
        <w:rPr>
          <w:rFonts w:ascii="Verdana" w:hAnsi="Verdana"/>
          <w:vertAlign w:val="superscript"/>
          <w:lang w:val="es-ES_tradnl" w:eastAsia="es-ES"/>
        </w:rPr>
        <w:footnoteReference w:id="9"/>
      </w:r>
      <w:r w:rsidRPr="00520156">
        <w:rPr>
          <w:rFonts w:ascii="Verdana" w:eastAsia="Times New Roman" w:hAnsi="Verdana" w:cs="Arial"/>
          <w:color w:val="000000" w:themeColor="text1"/>
          <w:lang w:val="es-ES_tradnl" w:eastAsia="es-ES"/>
        </w:rPr>
        <w:t>, así como la probabilidad de que puedan surgir diferencias durante la ejecución del contrato; sin perjuicio de que, como se indicó, todos los contratos estatales de tracto sucesivo o aquellos cuya ejecución se prolongue en el tiempo siempre deban liquidarse, convirtiéndose en estos contratos en una cláusula de la naturaleza, conforme a la clasificación prevista en el Código Civil.</w:t>
      </w:r>
    </w:p>
    <w:p w14:paraId="56C8652D" w14:textId="0E49AB23" w:rsidR="00556A41" w:rsidRPr="00520156" w:rsidRDefault="00556A41" w:rsidP="00F83E60">
      <w:pPr>
        <w:spacing w:after="120" w:line="276" w:lineRule="auto"/>
        <w:ind w:firstLine="708"/>
        <w:jc w:val="both"/>
        <w:rPr>
          <w:rFonts w:ascii="Verdana" w:eastAsia="Times New Roman" w:hAnsi="Verdana" w:cs="Arial"/>
          <w:color w:val="000000" w:themeColor="text1"/>
          <w:lang w:val="es-ES_tradnl" w:eastAsia="es-ES"/>
        </w:rPr>
      </w:pPr>
      <w:bookmarkStart w:id="2" w:name="_Hlk174625259"/>
      <w:bookmarkStart w:id="3" w:name="_Hlk174625111"/>
      <w:bookmarkEnd w:id="1"/>
      <w:r w:rsidRPr="00520156">
        <w:rPr>
          <w:rFonts w:ascii="Verdana" w:eastAsia="Times New Roman" w:hAnsi="Verdana" w:cs="Arial"/>
          <w:color w:val="000000" w:themeColor="text1"/>
          <w:lang w:val="es-ES_tradnl" w:eastAsia="es-ES"/>
        </w:rPr>
        <w:t>Así las cosas, atendiendo al primer problema jurídico</w:t>
      </w:r>
      <w:r w:rsidR="00834DBD">
        <w:rPr>
          <w:rFonts w:ascii="Verdana" w:eastAsia="Times New Roman" w:hAnsi="Verdana" w:cs="Arial"/>
          <w:color w:val="000000" w:themeColor="text1"/>
          <w:lang w:val="es-ES_tradnl" w:eastAsia="es-ES"/>
        </w:rPr>
        <w:t xml:space="preserve"> de</w:t>
      </w:r>
      <w:r w:rsidRPr="00520156">
        <w:rPr>
          <w:rFonts w:ascii="Verdana" w:eastAsia="Times New Roman" w:hAnsi="Verdana" w:cs="Arial"/>
          <w:color w:val="000000" w:themeColor="text1"/>
          <w:lang w:val="es-ES_tradnl" w:eastAsia="es-ES"/>
        </w:rPr>
        <w:t xml:space="preserve"> la consulta realizada, el contrato de corretaje es un contrato de tracto sucesivo porque la labor de intermediador se extiende hasta la etapa de ejecución del contrato celebrado entre el asegurador y el tomador, además de la importancia de la intervención del corredor en la etapa posterior a la celebración del contrato para efectos de obtener la renovación. Por lo tanto, si una </w:t>
      </w:r>
      <w:r w:rsidR="00834DBD" w:rsidRPr="00520156">
        <w:rPr>
          <w:rFonts w:ascii="Verdana" w:eastAsia="Times New Roman" w:hAnsi="Verdana" w:cs="Arial"/>
          <w:color w:val="000000" w:themeColor="text1"/>
          <w:lang w:val="es-ES_tradnl" w:eastAsia="es-ES"/>
        </w:rPr>
        <w:t>entidad e</w:t>
      </w:r>
      <w:r w:rsidRPr="00520156">
        <w:rPr>
          <w:rFonts w:ascii="Verdana" w:eastAsia="Times New Roman" w:hAnsi="Verdana" w:cs="Arial"/>
          <w:color w:val="000000" w:themeColor="text1"/>
          <w:lang w:val="es-ES_tradnl" w:eastAsia="es-ES"/>
        </w:rPr>
        <w:t>statal celebra un contrato de corretaje este deberá ser liquidado de acuerdo con lo establecido en el artículo 60 de la Ley 80 de 1993, independientemente de que se haya establecido o no tal obligación en el contrato, pues como se indicó en el párrafo anterior, el deber de liquidarse se convierte en una cláusula de la naturaleza de los contratos de tracto sucesivo, como es el caso del contrato de corretaje.</w:t>
      </w:r>
    </w:p>
    <w:bookmarkEnd w:id="2"/>
    <w:bookmarkEnd w:id="3"/>
    <w:p w14:paraId="4A8809A9" w14:textId="77777777" w:rsidR="00556A41" w:rsidRPr="00520156" w:rsidRDefault="00556A41" w:rsidP="00F83E60">
      <w:pPr>
        <w:spacing w:after="120" w:line="276" w:lineRule="auto"/>
        <w:ind w:firstLine="708"/>
        <w:jc w:val="both"/>
        <w:rPr>
          <w:rFonts w:ascii="Verdana" w:eastAsia="Times New Roman" w:hAnsi="Verdana" w:cs="Arial"/>
          <w:color w:val="000000" w:themeColor="text1"/>
          <w:lang w:val="es-ES_tradnl" w:eastAsia="es-ES"/>
        </w:rPr>
      </w:pPr>
      <w:r w:rsidRPr="00520156">
        <w:rPr>
          <w:rFonts w:ascii="Verdana" w:hAnsi="Verdana"/>
        </w:rPr>
        <w:t>Por</w:t>
      </w:r>
      <w:r w:rsidRPr="00520156">
        <w:rPr>
          <w:rFonts w:ascii="Verdana" w:hAnsi="Verdana"/>
          <w:spacing w:val="1"/>
        </w:rPr>
        <w:t xml:space="preserve"> </w:t>
      </w:r>
      <w:r w:rsidRPr="00520156">
        <w:rPr>
          <w:rFonts w:ascii="Verdana" w:hAnsi="Verdana"/>
        </w:rPr>
        <w:t>otro lado,</w:t>
      </w:r>
      <w:r w:rsidRPr="00520156">
        <w:rPr>
          <w:rFonts w:ascii="Verdana" w:hAnsi="Verdana"/>
          <w:spacing w:val="1"/>
        </w:rPr>
        <w:t xml:space="preserve"> </w:t>
      </w:r>
      <w:r w:rsidRPr="00520156">
        <w:rPr>
          <w:rFonts w:ascii="Verdana" w:hAnsi="Verdana"/>
        </w:rPr>
        <w:t>el</w:t>
      </w:r>
      <w:r w:rsidRPr="00520156">
        <w:rPr>
          <w:rFonts w:ascii="Verdana" w:hAnsi="Verdana"/>
          <w:spacing w:val="1"/>
        </w:rPr>
        <w:t xml:space="preserve"> </w:t>
      </w:r>
      <w:r w:rsidRPr="00520156">
        <w:rPr>
          <w:rFonts w:ascii="Verdana" w:hAnsi="Verdana"/>
        </w:rPr>
        <w:t>artículo</w:t>
      </w:r>
      <w:r w:rsidRPr="00520156">
        <w:rPr>
          <w:rFonts w:ascii="Verdana" w:hAnsi="Verdana"/>
          <w:spacing w:val="1"/>
        </w:rPr>
        <w:t xml:space="preserve"> </w:t>
      </w:r>
      <w:r w:rsidRPr="00520156">
        <w:rPr>
          <w:rFonts w:ascii="Verdana" w:hAnsi="Verdana"/>
        </w:rPr>
        <w:t>11</w:t>
      </w:r>
      <w:r w:rsidRPr="00520156">
        <w:rPr>
          <w:rFonts w:ascii="Verdana" w:hAnsi="Verdana"/>
          <w:spacing w:val="1"/>
        </w:rPr>
        <w:t xml:space="preserve"> </w:t>
      </w:r>
      <w:r w:rsidRPr="00520156">
        <w:rPr>
          <w:rFonts w:ascii="Verdana" w:hAnsi="Verdana"/>
        </w:rPr>
        <w:t>de</w:t>
      </w:r>
      <w:r w:rsidRPr="00520156">
        <w:rPr>
          <w:rFonts w:ascii="Verdana" w:hAnsi="Verdana"/>
          <w:spacing w:val="1"/>
        </w:rPr>
        <w:t xml:space="preserve"> </w:t>
      </w:r>
      <w:r w:rsidRPr="00520156">
        <w:rPr>
          <w:rFonts w:ascii="Verdana" w:hAnsi="Verdana"/>
        </w:rPr>
        <w:t>la</w:t>
      </w:r>
      <w:r w:rsidRPr="00520156">
        <w:rPr>
          <w:rFonts w:ascii="Verdana" w:hAnsi="Verdana"/>
          <w:spacing w:val="1"/>
        </w:rPr>
        <w:t xml:space="preserve"> </w:t>
      </w:r>
      <w:r w:rsidRPr="00520156">
        <w:rPr>
          <w:rFonts w:ascii="Verdana" w:hAnsi="Verdana"/>
        </w:rPr>
        <w:t>Ley</w:t>
      </w:r>
      <w:r w:rsidRPr="00520156">
        <w:rPr>
          <w:rFonts w:ascii="Verdana" w:hAnsi="Verdana"/>
          <w:spacing w:val="1"/>
        </w:rPr>
        <w:t xml:space="preserve"> </w:t>
      </w:r>
      <w:r w:rsidRPr="00520156">
        <w:rPr>
          <w:rFonts w:ascii="Verdana" w:hAnsi="Verdana"/>
        </w:rPr>
        <w:t>1150</w:t>
      </w:r>
      <w:r w:rsidRPr="00520156">
        <w:rPr>
          <w:rFonts w:ascii="Verdana" w:hAnsi="Verdana"/>
          <w:spacing w:val="1"/>
        </w:rPr>
        <w:t xml:space="preserve"> </w:t>
      </w:r>
      <w:r w:rsidRPr="00520156">
        <w:rPr>
          <w:rFonts w:ascii="Verdana" w:hAnsi="Verdana"/>
        </w:rPr>
        <w:t>de</w:t>
      </w:r>
      <w:r w:rsidRPr="00520156">
        <w:rPr>
          <w:rFonts w:ascii="Verdana" w:hAnsi="Verdana"/>
          <w:spacing w:val="1"/>
        </w:rPr>
        <w:t xml:space="preserve"> </w:t>
      </w:r>
      <w:r w:rsidRPr="00520156">
        <w:rPr>
          <w:rFonts w:ascii="Verdana" w:hAnsi="Verdana"/>
        </w:rPr>
        <w:t>2007</w:t>
      </w:r>
      <w:r w:rsidRPr="00520156">
        <w:rPr>
          <w:rStyle w:val="Refdenotaalpie"/>
          <w:rFonts w:ascii="Verdana" w:hAnsi="Verdana"/>
        </w:rPr>
        <w:footnoteReference w:id="10"/>
      </w:r>
      <w:r w:rsidRPr="00520156">
        <w:rPr>
          <w:rFonts w:ascii="Verdana" w:hAnsi="Verdana"/>
          <w:spacing w:val="1"/>
        </w:rPr>
        <w:t xml:space="preserve"> </w:t>
      </w:r>
      <w:r w:rsidRPr="00520156">
        <w:rPr>
          <w:rFonts w:ascii="Verdana" w:hAnsi="Verdana"/>
        </w:rPr>
        <w:t>contiene</w:t>
      </w:r>
      <w:r w:rsidRPr="00520156">
        <w:rPr>
          <w:rFonts w:ascii="Verdana" w:hAnsi="Verdana"/>
          <w:spacing w:val="1"/>
        </w:rPr>
        <w:t xml:space="preserve"> </w:t>
      </w:r>
      <w:r w:rsidRPr="00520156">
        <w:rPr>
          <w:rFonts w:ascii="Verdana" w:hAnsi="Verdana"/>
        </w:rPr>
        <w:t>las</w:t>
      </w:r>
      <w:r w:rsidRPr="00520156">
        <w:rPr>
          <w:rFonts w:ascii="Verdana" w:hAnsi="Verdana"/>
          <w:spacing w:val="1"/>
        </w:rPr>
        <w:t xml:space="preserve"> </w:t>
      </w:r>
      <w:r w:rsidRPr="00520156">
        <w:rPr>
          <w:rFonts w:ascii="Verdana" w:hAnsi="Verdana"/>
        </w:rPr>
        <w:t>reglas</w:t>
      </w:r>
      <w:r w:rsidRPr="00520156">
        <w:rPr>
          <w:rFonts w:ascii="Verdana" w:hAnsi="Verdana"/>
          <w:spacing w:val="1"/>
        </w:rPr>
        <w:t xml:space="preserve"> </w:t>
      </w:r>
      <w:r w:rsidRPr="00520156">
        <w:rPr>
          <w:rFonts w:ascii="Verdana" w:hAnsi="Verdana"/>
        </w:rPr>
        <w:t>de</w:t>
      </w:r>
      <w:r w:rsidRPr="00520156">
        <w:rPr>
          <w:rFonts w:ascii="Verdana" w:hAnsi="Verdana"/>
          <w:spacing w:val="1"/>
        </w:rPr>
        <w:t xml:space="preserve"> </w:t>
      </w:r>
      <w:r w:rsidRPr="00520156">
        <w:rPr>
          <w:rFonts w:ascii="Verdana" w:hAnsi="Verdana"/>
        </w:rPr>
        <w:t>tipo</w:t>
      </w:r>
      <w:r w:rsidRPr="00520156">
        <w:rPr>
          <w:rFonts w:ascii="Verdana" w:hAnsi="Verdana"/>
          <w:spacing w:val="1"/>
        </w:rPr>
        <w:t xml:space="preserve"> </w:t>
      </w:r>
      <w:r w:rsidRPr="00520156">
        <w:rPr>
          <w:rFonts w:ascii="Verdana" w:hAnsi="Verdana"/>
          <w:spacing w:val="-1"/>
        </w:rPr>
        <w:t>procedimental</w:t>
      </w:r>
      <w:r w:rsidRPr="00520156">
        <w:rPr>
          <w:rFonts w:ascii="Verdana" w:hAnsi="Verdana"/>
          <w:spacing w:val="-14"/>
        </w:rPr>
        <w:t xml:space="preserve"> </w:t>
      </w:r>
      <w:r w:rsidRPr="00520156">
        <w:rPr>
          <w:rFonts w:ascii="Verdana" w:hAnsi="Verdana"/>
          <w:spacing w:val="-1"/>
        </w:rPr>
        <w:t>para</w:t>
      </w:r>
      <w:r w:rsidRPr="00520156">
        <w:rPr>
          <w:rFonts w:ascii="Verdana" w:hAnsi="Verdana"/>
          <w:spacing w:val="-13"/>
        </w:rPr>
        <w:t xml:space="preserve"> </w:t>
      </w:r>
      <w:r w:rsidRPr="00520156">
        <w:rPr>
          <w:rFonts w:ascii="Verdana" w:hAnsi="Verdana"/>
          <w:spacing w:val="-1"/>
        </w:rPr>
        <w:t>liquidar</w:t>
      </w:r>
      <w:r w:rsidRPr="00520156">
        <w:rPr>
          <w:rFonts w:ascii="Verdana" w:hAnsi="Verdana"/>
          <w:spacing w:val="-13"/>
        </w:rPr>
        <w:t xml:space="preserve"> </w:t>
      </w:r>
      <w:r w:rsidRPr="00520156">
        <w:rPr>
          <w:rFonts w:ascii="Verdana" w:hAnsi="Verdana"/>
          <w:spacing w:val="-1"/>
        </w:rPr>
        <w:t>los</w:t>
      </w:r>
      <w:r w:rsidRPr="00520156">
        <w:rPr>
          <w:rFonts w:ascii="Verdana" w:hAnsi="Verdana"/>
          <w:spacing w:val="-13"/>
        </w:rPr>
        <w:t xml:space="preserve"> </w:t>
      </w:r>
      <w:r w:rsidRPr="00520156">
        <w:rPr>
          <w:rFonts w:ascii="Verdana" w:hAnsi="Verdana"/>
          <w:spacing w:val="-1"/>
        </w:rPr>
        <w:t>contratos</w:t>
      </w:r>
      <w:r w:rsidRPr="00520156">
        <w:rPr>
          <w:rFonts w:ascii="Verdana" w:hAnsi="Verdana"/>
          <w:spacing w:val="-14"/>
        </w:rPr>
        <w:t xml:space="preserve"> </w:t>
      </w:r>
      <w:r w:rsidRPr="00520156">
        <w:rPr>
          <w:rFonts w:ascii="Verdana" w:hAnsi="Verdana"/>
          <w:spacing w:val="-1"/>
        </w:rPr>
        <w:t>estatales,</w:t>
      </w:r>
      <w:r w:rsidRPr="00520156">
        <w:rPr>
          <w:rFonts w:ascii="Verdana" w:hAnsi="Verdana"/>
          <w:spacing w:val="-14"/>
        </w:rPr>
        <w:t xml:space="preserve"> </w:t>
      </w:r>
      <w:r w:rsidRPr="00520156">
        <w:rPr>
          <w:rFonts w:ascii="Verdana" w:hAnsi="Verdana"/>
          <w:spacing w:val="-1"/>
        </w:rPr>
        <w:t>las</w:t>
      </w:r>
      <w:r w:rsidRPr="00520156">
        <w:rPr>
          <w:rFonts w:ascii="Verdana" w:hAnsi="Verdana"/>
          <w:spacing w:val="-13"/>
        </w:rPr>
        <w:t xml:space="preserve"> </w:t>
      </w:r>
      <w:r w:rsidRPr="00520156">
        <w:rPr>
          <w:rFonts w:ascii="Verdana" w:hAnsi="Verdana"/>
          <w:spacing w:val="-1"/>
        </w:rPr>
        <w:t>cuales</w:t>
      </w:r>
      <w:r w:rsidRPr="00520156">
        <w:rPr>
          <w:rFonts w:ascii="Verdana" w:hAnsi="Verdana"/>
          <w:spacing w:val="-14"/>
        </w:rPr>
        <w:t xml:space="preserve"> </w:t>
      </w:r>
      <w:r w:rsidRPr="00520156">
        <w:rPr>
          <w:rFonts w:ascii="Verdana" w:hAnsi="Verdana"/>
        </w:rPr>
        <w:t>se</w:t>
      </w:r>
      <w:r w:rsidRPr="00520156">
        <w:rPr>
          <w:rFonts w:ascii="Verdana" w:hAnsi="Verdana"/>
          <w:spacing w:val="-14"/>
        </w:rPr>
        <w:t xml:space="preserve"> </w:t>
      </w:r>
      <w:r w:rsidRPr="00520156">
        <w:rPr>
          <w:rFonts w:ascii="Verdana" w:hAnsi="Verdana"/>
        </w:rPr>
        <w:t>proceden</w:t>
      </w:r>
      <w:r w:rsidRPr="00520156">
        <w:rPr>
          <w:rFonts w:ascii="Verdana" w:hAnsi="Verdana"/>
          <w:spacing w:val="-13"/>
        </w:rPr>
        <w:t xml:space="preserve"> </w:t>
      </w:r>
      <w:r w:rsidRPr="00520156">
        <w:rPr>
          <w:rFonts w:ascii="Verdana" w:hAnsi="Verdana"/>
        </w:rPr>
        <w:t>a</w:t>
      </w:r>
      <w:r w:rsidRPr="00520156">
        <w:rPr>
          <w:rFonts w:ascii="Verdana" w:hAnsi="Verdana"/>
          <w:spacing w:val="-15"/>
        </w:rPr>
        <w:t xml:space="preserve"> </w:t>
      </w:r>
      <w:r w:rsidRPr="00520156">
        <w:rPr>
          <w:rFonts w:ascii="Verdana" w:hAnsi="Verdana"/>
        </w:rPr>
        <w:t>explicar.</w:t>
      </w:r>
      <w:r w:rsidRPr="00520156">
        <w:rPr>
          <w:rFonts w:ascii="Verdana" w:hAnsi="Verdana"/>
          <w:spacing w:val="-13"/>
        </w:rPr>
        <w:t xml:space="preserve"> </w:t>
      </w:r>
      <w:r w:rsidRPr="00520156">
        <w:rPr>
          <w:rFonts w:ascii="Verdana" w:hAnsi="Verdana"/>
        </w:rPr>
        <w:t>En</w:t>
      </w:r>
      <w:r w:rsidRPr="00520156">
        <w:rPr>
          <w:rFonts w:ascii="Verdana" w:hAnsi="Verdana"/>
          <w:spacing w:val="-13"/>
        </w:rPr>
        <w:t xml:space="preserve"> </w:t>
      </w:r>
      <w:r w:rsidRPr="00520156">
        <w:rPr>
          <w:rFonts w:ascii="Verdana" w:hAnsi="Verdana"/>
        </w:rPr>
        <w:t>primer</w:t>
      </w:r>
      <w:r w:rsidRPr="00520156">
        <w:rPr>
          <w:rFonts w:ascii="Verdana" w:hAnsi="Verdana"/>
          <w:spacing w:val="-13"/>
        </w:rPr>
        <w:t xml:space="preserve"> </w:t>
      </w:r>
      <w:r w:rsidRPr="00520156">
        <w:rPr>
          <w:rFonts w:ascii="Verdana" w:hAnsi="Verdana"/>
        </w:rPr>
        <w:t>lugar,</w:t>
      </w:r>
      <w:r w:rsidRPr="00520156">
        <w:rPr>
          <w:rFonts w:ascii="Verdana" w:hAnsi="Verdana"/>
          <w:spacing w:val="1"/>
        </w:rPr>
        <w:t xml:space="preserve"> </w:t>
      </w:r>
      <w:r w:rsidRPr="00520156">
        <w:rPr>
          <w:rFonts w:ascii="Verdana" w:hAnsi="Verdana"/>
        </w:rPr>
        <w:t>en ejercicio de la autonomía de la voluntad y de conformidad con los criterios de la naturaleza,</w:t>
      </w:r>
      <w:r w:rsidRPr="00520156">
        <w:rPr>
          <w:rFonts w:ascii="Verdana" w:hAnsi="Verdana"/>
          <w:spacing w:val="1"/>
        </w:rPr>
        <w:t xml:space="preserve"> </w:t>
      </w:r>
      <w:r w:rsidRPr="00520156">
        <w:rPr>
          <w:rFonts w:ascii="Verdana" w:hAnsi="Verdana"/>
        </w:rPr>
        <w:t>objeto</w:t>
      </w:r>
      <w:r w:rsidRPr="00520156">
        <w:rPr>
          <w:rFonts w:ascii="Verdana" w:hAnsi="Verdana"/>
          <w:spacing w:val="5"/>
        </w:rPr>
        <w:t xml:space="preserve"> </w:t>
      </w:r>
      <w:r w:rsidRPr="00520156">
        <w:rPr>
          <w:rFonts w:ascii="Verdana" w:hAnsi="Verdana"/>
        </w:rPr>
        <w:t>y</w:t>
      </w:r>
      <w:r w:rsidRPr="00520156">
        <w:rPr>
          <w:rFonts w:ascii="Verdana" w:hAnsi="Verdana"/>
          <w:spacing w:val="5"/>
        </w:rPr>
        <w:t xml:space="preserve"> </w:t>
      </w:r>
      <w:r w:rsidRPr="00520156">
        <w:rPr>
          <w:rFonts w:ascii="Verdana" w:hAnsi="Verdana"/>
        </w:rPr>
        <w:t>plazo</w:t>
      </w:r>
      <w:r w:rsidRPr="00520156">
        <w:rPr>
          <w:rFonts w:ascii="Verdana" w:hAnsi="Verdana"/>
          <w:spacing w:val="5"/>
        </w:rPr>
        <w:t xml:space="preserve"> </w:t>
      </w:r>
      <w:r w:rsidRPr="00520156">
        <w:rPr>
          <w:rFonts w:ascii="Verdana" w:hAnsi="Verdana"/>
        </w:rPr>
        <w:t>del</w:t>
      </w:r>
      <w:r w:rsidRPr="00520156">
        <w:rPr>
          <w:rFonts w:ascii="Verdana" w:hAnsi="Verdana"/>
          <w:spacing w:val="5"/>
        </w:rPr>
        <w:t xml:space="preserve"> </w:t>
      </w:r>
      <w:r w:rsidRPr="00520156">
        <w:rPr>
          <w:rFonts w:ascii="Verdana" w:hAnsi="Verdana"/>
        </w:rPr>
        <w:t>contrato,</w:t>
      </w:r>
      <w:r w:rsidRPr="00520156">
        <w:rPr>
          <w:rFonts w:ascii="Verdana" w:hAnsi="Verdana"/>
          <w:spacing w:val="5"/>
        </w:rPr>
        <w:t xml:space="preserve"> </w:t>
      </w:r>
      <w:r w:rsidRPr="00520156">
        <w:rPr>
          <w:rFonts w:ascii="Verdana" w:hAnsi="Verdana"/>
        </w:rPr>
        <w:t>la</w:t>
      </w:r>
      <w:r w:rsidRPr="00520156">
        <w:rPr>
          <w:rFonts w:ascii="Verdana" w:hAnsi="Verdana"/>
          <w:spacing w:val="5"/>
        </w:rPr>
        <w:t xml:space="preserve"> </w:t>
      </w:r>
      <w:r w:rsidRPr="00520156">
        <w:rPr>
          <w:rFonts w:ascii="Verdana" w:hAnsi="Verdana"/>
        </w:rPr>
        <w:lastRenderedPageBreak/>
        <w:t>entidad</w:t>
      </w:r>
      <w:r w:rsidRPr="00520156">
        <w:rPr>
          <w:rFonts w:ascii="Verdana" w:hAnsi="Verdana"/>
          <w:spacing w:val="6"/>
        </w:rPr>
        <w:t xml:space="preserve"> </w:t>
      </w:r>
      <w:r w:rsidRPr="00520156">
        <w:rPr>
          <w:rFonts w:ascii="Verdana" w:hAnsi="Verdana"/>
        </w:rPr>
        <w:t>puede</w:t>
      </w:r>
      <w:r w:rsidRPr="00520156">
        <w:rPr>
          <w:rFonts w:ascii="Verdana" w:hAnsi="Verdana"/>
          <w:spacing w:val="5"/>
        </w:rPr>
        <w:t xml:space="preserve"> </w:t>
      </w:r>
      <w:r w:rsidRPr="00520156">
        <w:rPr>
          <w:rFonts w:ascii="Verdana" w:hAnsi="Verdana"/>
        </w:rPr>
        <w:t>definir</w:t>
      </w:r>
      <w:r w:rsidRPr="00520156">
        <w:rPr>
          <w:rFonts w:ascii="Verdana" w:hAnsi="Verdana"/>
          <w:spacing w:val="6"/>
        </w:rPr>
        <w:t xml:space="preserve"> </w:t>
      </w:r>
      <w:r w:rsidRPr="00520156">
        <w:rPr>
          <w:rFonts w:ascii="Verdana" w:hAnsi="Verdana"/>
        </w:rPr>
        <w:t>en</w:t>
      </w:r>
      <w:r w:rsidRPr="00520156">
        <w:rPr>
          <w:rFonts w:ascii="Verdana" w:hAnsi="Verdana"/>
          <w:spacing w:val="5"/>
        </w:rPr>
        <w:t xml:space="preserve"> </w:t>
      </w:r>
      <w:r w:rsidRPr="00520156">
        <w:rPr>
          <w:rFonts w:ascii="Verdana" w:hAnsi="Verdana"/>
        </w:rPr>
        <w:t>el</w:t>
      </w:r>
      <w:r w:rsidRPr="00520156">
        <w:rPr>
          <w:rFonts w:ascii="Verdana" w:hAnsi="Verdana"/>
          <w:spacing w:val="5"/>
        </w:rPr>
        <w:t xml:space="preserve"> </w:t>
      </w:r>
      <w:r w:rsidRPr="00520156">
        <w:rPr>
          <w:rFonts w:ascii="Verdana" w:hAnsi="Verdana"/>
        </w:rPr>
        <w:t>pliego</w:t>
      </w:r>
      <w:r w:rsidRPr="00520156">
        <w:rPr>
          <w:rFonts w:ascii="Verdana" w:hAnsi="Verdana"/>
          <w:spacing w:val="6"/>
        </w:rPr>
        <w:t xml:space="preserve"> </w:t>
      </w:r>
      <w:r w:rsidRPr="00520156">
        <w:rPr>
          <w:rFonts w:ascii="Verdana" w:hAnsi="Verdana"/>
        </w:rPr>
        <w:t>de</w:t>
      </w:r>
      <w:r w:rsidRPr="00520156">
        <w:rPr>
          <w:rFonts w:ascii="Verdana" w:hAnsi="Verdana"/>
          <w:spacing w:val="5"/>
        </w:rPr>
        <w:t xml:space="preserve"> </w:t>
      </w:r>
      <w:r w:rsidRPr="00520156">
        <w:rPr>
          <w:rFonts w:ascii="Verdana" w:hAnsi="Verdana"/>
        </w:rPr>
        <w:t>condiciones</w:t>
      </w:r>
      <w:r w:rsidRPr="00520156">
        <w:rPr>
          <w:rFonts w:ascii="Verdana" w:hAnsi="Verdana"/>
          <w:spacing w:val="5"/>
        </w:rPr>
        <w:t xml:space="preserve"> – o documento equivalente – </w:t>
      </w:r>
      <w:r w:rsidRPr="00520156">
        <w:rPr>
          <w:rFonts w:ascii="Verdana" w:hAnsi="Verdana"/>
        </w:rPr>
        <w:t>o en</w:t>
      </w:r>
      <w:r w:rsidRPr="00520156">
        <w:rPr>
          <w:rFonts w:ascii="Verdana" w:hAnsi="Verdana"/>
          <w:spacing w:val="5"/>
        </w:rPr>
        <w:t xml:space="preserve"> </w:t>
      </w:r>
      <w:r w:rsidRPr="00520156">
        <w:rPr>
          <w:rFonts w:ascii="Verdana" w:hAnsi="Verdana"/>
        </w:rPr>
        <w:t>el</w:t>
      </w:r>
      <w:r w:rsidRPr="00520156">
        <w:rPr>
          <w:rFonts w:ascii="Verdana" w:hAnsi="Verdana"/>
          <w:spacing w:val="5"/>
        </w:rPr>
        <w:t xml:space="preserve"> </w:t>
      </w:r>
      <w:r w:rsidRPr="00520156">
        <w:rPr>
          <w:rFonts w:ascii="Verdana" w:hAnsi="Verdana"/>
        </w:rPr>
        <w:t>contrato</w:t>
      </w:r>
      <w:r w:rsidRPr="00520156">
        <w:rPr>
          <w:rFonts w:ascii="Verdana" w:hAnsi="Verdana"/>
          <w:spacing w:val="1"/>
        </w:rPr>
        <w:t xml:space="preserve"> </w:t>
      </w:r>
      <w:r w:rsidRPr="00520156">
        <w:rPr>
          <w:rFonts w:ascii="Verdana" w:hAnsi="Verdana"/>
        </w:rPr>
        <w:t>el plazo para efectuar la liquidación de mutuo acuerdo. En ausencia de pacto contractual, el</w:t>
      </w:r>
      <w:r w:rsidRPr="00520156">
        <w:rPr>
          <w:rFonts w:ascii="Verdana" w:hAnsi="Verdana"/>
          <w:spacing w:val="1"/>
        </w:rPr>
        <w:t xml:space="preserve"> </w:t>
      </w:r>
      <w:r w:rsidRPr="00520156">
        <w:rPr>
          <w:rFonts w:ascii="Verdana" w:hAnsi="Verdana"/>
        </w:rPr>
        <w:t>artículo 11 de la Ley 1150 de 2007 prevé un término supletivo de cuatro (4) meses contados desde: i) el</w:t>
      </w:r>
      <w:r w:rsidRPr="00520156">
        <w:rPr>
          <w:rFonts w:ascii="Verdana" w:hAnsi="Verdana"/>
          <w:spacing w:val="1"/>
        </w:rPr>
        <w:t xml:space="preserve"> </w:t>
      </w:r>
      <w:r w:rsidRPr="00520156">
        <w:rPr>
          <w:rFonts w:ascii="Verdana" w:hAnsi="Verdana"/>
        </w:rPr>
        <w:t>vencimiento</w:t>
      </w:r>
      <w:r w:rsidRPr="00520156">
        <w:rPr>
          <w:rFonts w:ascii="Verdana" w:hAnsi="Verdana"/>
          <w:spacing w:val="1"/>
        </w:rPr>
        <w:t xml:space="preserve"> </w:t>
      </w:r>
      <w:r w:rsidRPr="00520156">
        <w:rPr>
          <w:rFonts w:ascii="Verdana" w:hAnsi="Verdana"/>
        </w:rPr>
        <w:t>del</w:t>
      </w:r>
      <w:r w:rsidRPr="00520156">
        <w:rPr>
          <w:rFonts w:ascii="Verdana" w:hAnsi="Verdana"/>
          <w:spacing w:val="1"/>
        </w:rPr>
        <w:t xml:space="preserve"> </w:t>
      </w:r>
      <w:r w:rsidRPr="00520156">
        <w:rPr>
          <w:rFonts w:ascii="Verdana" w:hAnsi="Verdana"/>
        </w:rPr>
        <w:t>plazo</w:t>
      </w:r>
      <w:r w:rsidRPr="00520156">
        <w:rPr>
          <w:rFonts w:ascii="Verdana" w:hAnsi="Verdana"/>
          <w:spacing w:val="1"/>
        </w:rPr>
        <w:t xml:space="preserve"> </w:t>
      </w:r>
      <w:r w:rsidRPr="00520156">
        <w:rPr>
          <w:rFonts w:ascii="Verdana" w:hAnsi="Verdana"/>
        </w:rPr>
        <w:t>previsto</w:t>
      </w:r>
      <w:r w:rsidRPr="00520156">
        <w:rPr>
          <w:rFonts w:ascii="Verdana" w:hAnsi="Verdana"/>
          <w:spacing w:val="1"/>
        </w:rPr>
        <w:t xml:space="preserve"> </w:t>
      </w:r>
      <w:r w:rsidRPr="00520156">
        <w:rPr>
          <w:rFonts w:ascii="Verdana" w:hAnsi="Verdana"/>
        </w:rPr>
        <w:t>para</w:t>
      </w:r>
      <w:r w:rsidRPr="00520156">
        <w:rPr>
          <w:rFonts w:ascii="Verdana" w:hAnsi="Verdana"/>
          <w:spacing w:val="1"/>
        </w:rPr>
        <w:t xml:space="preserve"> </w:t>
      </w:r>
      <w:r w:rsidRPr="00520156">
        <w:rPr>
          <w:rFonts w:ascii="Verdana" w:hAnsi="Verdana"/>
        </w:rPr>
        <w:t>la</w:t>
      </w:r>
      <w:r w:rsidRPr="00520156">
        <w:rPr>
          <w:rFonts w:ascii="Verdana" w:hAnsi="Verdana"/>
          <w:spacing w:val="1"/>
        </w:rPr>
        <w:t xml:space="preserve"> </w:t>
      </w:r>
      <w:r w:rsidRPr="00520156">
        <w:rPr>
          <w:rFonts w:ascii="Verdana" w:hAnsi="Verdana"/>
        </w:rPr>
        <w:t>ejecución</w:t>
      </w:r>
      <w:r w:rsidRPr="00520156">
        <w:rPr>
          <w:rFonts w:ascii="Verdana" w:hAnsi="Verdana"/>
          <w:spacing w:val="1"/>
        </w:rPr>
        <w:t xml:space="preserve"> </w:t>
      </w:r>
      <w:r w:rsidRPr="00520156">
        <w:rPr>
          <w:rFonts w:ascii="Verdana" w:hAnsi="Verdana"/>
        </w:rPr>
        <w:t>del</w:t>
      </w:r>
      <w:r w:rsidRPr="00520156">
        <w:rPr>
          <w:rFonts w:ascii="Verdana" w:hAnsi="Verdana"/>
          <w:spacing w:val="1"/>
        </w:rPr>
        <w:t xml:space="preserve"> </w:t>
      </w:r>
      <w:r w:rsidRPr="00520156">
        <w:rPr>
          <w:rFonts w:ascii="Verdana" w:hAnsi="Verdana"/>
        </w:rPr>
        <w:t>contrato;</w:t>
      </w:r>
      <w:r w:rsidRPr="00520156">
        <w:rPr>
          <w:rFonts w:ascii="Verdana" w:hAnsi="Verdana"/>
          <w:spacing w:val="1"/>
        </w:rPr>
        <w:t xml:space="preserve"> </w:t>
      </w:r>
      <w:r w:rsidRPr="00520156">
        <w:rPr>
          <w:rFonts w:ascii="Verdana" w:hAnsi="Verdana"/>
        </w:rPr>
        <w:t>ii)</w:t>
      </w:r>
      <w:r w:rsidRPr="00520156">
        <w:rPr>
          <w:rFonts w:ascii="Verdana" w:hAnsi="Verdana"/>
          <w:spacing w:val="1"/>
        </w:rPr>
        <w:t xml:space="preserve"> </w:t>
      </w:r>
      <w:r w:rsidRPr="00520156">
        <w:rPr>
          <w:rFonts w:ascii="Verdana" w:hAnsi="Verdana"/>
        </w:rPr>
        <w:t>la</w:t>
      </w:r>
      <w:r w:rsidRPr="00520156">
        <w:rPr>
          <w:rFonts w:ascii="Verdana" w:hAnsi="Verdana"/>
          <w:spacing w:val="1"/>
        </w:rPr>
        <w:t xml:space="preserve"> </w:t>
      </w:r>
      <w:r w:rsidRPr="00520156">
        <w:rPr>
          <w:rFonts w:ascii="Verdana" w:hAnsi="Verdana"/>
        </w:rPr>
        <w:t>expedición</w:t>
      </w:r>
      <w:r w:rsidRPr="00520156">
        <w:rPr>
          <w:rFonts w:ascii="Verdana" w:hAnsi="Verdana"/>
          <w:spacing w:val="1"/>
        </w:rPr>
        <w:t xml:space="preserve"> </w:t>
      </w:r>
      <w:r w:rsidRPr="00520156">
        <w:rPr>
          <w:rFonts w:ascii="Verdana" w:hAnsi="Verdana"/>
        </w:rPr>
        <w:t>del</w:t>
      </w:r>
      <w:r w:rsidRPr="00520156">
        <w:rPr>
          <w:rFonts w:ascii="Verdana" w:hAnsi="Verdana"/>
          <w:spacing w:val="1"/>
        </w:rPr>
        <w:t xml:space="preserve"> </w:t>
      </w:r>
      <w:r w:rsidRPr="00520156">
        <w:rPr>
          <w:rFonts w:ascii="Verdana" w:hAnsi="Verdana"/>
        </w:rPr>
        <w:t>acto</w:t>
      </w:r>
      <w:r w:rsidRPr="00520156">
        <w:rPr>
          <w:rFonts w:ascii="Verdana" w:hAnsi="Verdana"/>
          <w:spacing w:val="1"/>
        </w:rPr>
        <w:t xml:space="preserve"> </w:t>
      </w:r>
      <w:r w:rsidRPr="00520156">
        <w:rPr>
          <w:rFonts w:ascii="Verdana" w:hAnsi="Verdana"/>
        </w:rPr>
        <w:t>administrativo que ordene la terminación del contrato; o, iii) la fecha del acuerdo que disponga la</w:t>
      </w:r>
      <w:r w:rsidRPr="00520156">
        <w:rPr>
          <w:rFonts w:ascii="Verdana" w:hAnsi="Verdana"/>
          <w:spacing w:val="-59"/>
        </w:rPr>
        <w:t xml:space="preserve"> </w:t>
      </w:r>
      <w:r w:rsidRPr="00520156">
        <w:rPr>
          <w:rFonts w:ascii="Verdana" w:hAnsi="Verdana"/>
        </w:rPr>
        <w:t>terminación</w:t>
      </w:r>
      <w:r w:rsidRPr="00520156">
        <w:rPr>
          <w:rFonts w:ascii="Verdana" w:hAnsi="Verdana"/>
          <w:spacing w:val="-2"/>
        </w:rPr>
        <w:t xml:space="preserve"> </w:t>
      </w:r>
      <w:r w:rsidRPr="00520156">
        <w:rPr>
          <w:rFonts w:ascii="Verdana" w:hAnsi="Verdana"/>
        </w:rPr>
        <w:t>del</w:t>
      </w:r>
      <w:r w:rsidRPr="00520156">
        <w:rPr>
          <w:rFonts w:ascii="Verdana" w:hAnsi="Verdana"/>
          <w:spacing w:val="-1"/>
        </w:rPr>
        <w:t xml:space="preserve"> </w:t>
      </w:r>
      <w:r w:rsidRPr="00520156">
        <w:rPr>
          <w:rFonts w:ascii="Verdana" w:hAnsi="Verdana"/>
        </w:rPr>
        <w:t>contrato.</w:t>
      </w:r>
    </w:p>
    <w:p w14:paraId="4EAE671B" w14:textId="77777777" w:rsidR="00556A41" w:rsidRPr="00520156" w:rsidRDefault="00556A41" w:rsidP="00F83E60">
      <w:pPr>
        <w:spacing w:after="120" w:line="276" w:lineRule="auto"/>
        <w:ind w:firstLine="708"/>
        <w:jc w:val="both"/>
        <w:rPr>
          <w:rFonts w:ascii="Verdana" w:hAnsi="Verdana"/>
        </w:rPr>
      </w:pPr>
      <w:r w:rsidRPr="00520156">
        <w:rPr>
          <w:rFonts w:ascii="Verdana" w:hAnsi="Verdana"/>
        </w:rPr>
        <w:t xml:space="preserve">El término de cuatro (4) meses previstos en el artículo 11 de la Ley 1150 de 2007, dado su carácter supletivo, solo resulta aplicable ante la ausencia de regulación de este en el pliego de condiciones –documento equivalente– o acuerdo entre las partes en torno al plazo de liquidación bilateral. Por lo tanto, las partes, en desarrollo de la autonomía de la voluntad que les asiste, están habilitadas para pactar un término diferente, el cual puede ser inferior o incluso superior al plazo supletivo, ante la ausencia de una prohibición normativa al respecto, y ante la existencia, en cambio, de una habilitación legal. </w:t>
      </w:r>
    </w:p>
    <w:p w14:paraId="52B9D390" w14:textId="7D4602C2" w:rsidR="00556A41" w:rsidRPr="00520156" w:rsidRDefault="00556A41" w:rsidP="00F83E60">
      <w:pPr>
        <w:spacing w:after="120" w:line="276" w:lineRule="auto"/>
        <w:ind w:firstLine="357"/>
        <w:jc w:val="both"/>
        <w:rPr>
          <w:rFonts w:ascii="Verdana" w:hAnsi="Verdana"/>
        </w:rPr>
      </w:pPr>
      <w:r w:rsidRPr="00520156">
        <w:rPr>
          <w:rFonts w:ascii="Verdana" w:hAnsi="Verdana"/>
        </w:rPr>
        <w:t xml:space="preserve">Durante este término, el contratista puede solicitar que se adelante el trámite de liquidación. Sin embargo, es responsabilidad de la </w:t>
      </w:r>
      <w:r w:rsidR="00AA6DCE" w:rsidRPr="00520156">
        <w:rPr>
          <w:rFonts w:ascii="Verdana" w:hAnsi="Verdana"/>
        </w:rPr>
        <w:t xml:space="preserve">entidad estatal </w:t>
      </w:r>
      <w:r w:rsidRPr="00520156">
        <w:rPr>
          <w:rFonts w:ascii="Verdana" w:hAnsi="Verdana"/>
        </w:rPr>
        <w:t>convocarlo para adelantar la liquidación de común acuerdo o notificarlo para que se presente a realizarla, de manera que el contrato pueda ser liquidado bilateralmente, bien sea en el plazo previsto en el pliego de condiciones, el acordado por las partes, o el supletivo de cuatro (4) meses señalados en la ley, según corresponda. Esta liquidación bilateral puede ser total o parcial, y el documento que la contiene presta mérito ejecutivo, siempre que se satisfagan los elementos para considerarlo como tal.</w:t>
      </w:r>
    </w:p>
    <w:p w14:paraId="2805E345" w14:textId="2501A114" w:rsidR="00556A41" w:rsidRPr="00E803F5" w:rsidRDefault="00556A41" w:rsidP="00556A41">
      <w:pPr>
        <w:spacing w:after="0" w:line="276" w:lineRule="auto"/>
        <w:ind w:firstLine="357"/>
        <w:jc w:val="both"/>
        <w:rPr>
          <w:rFonts w:ascii="Verdana" w:hAnsi="Verdana"/>
        </w:rPr>
      </w:pPr>
      <w:r w:rsidRPr="00E803F5">
        <w:rPr>
          <w:rFonts w:ascii="Verdana" w:hAnsi="Verdana"/>
        </w:rPr>
        <w:t>Si</w:t>
      </w:r>
      <w:r w:rsidRPr="00E803F5">
        <w:rPr>
          <w:rFonts w:ascii="Verdana" w:hAnsi="Verdana"/>
          <w:spacing w:val="-11"/>
        </w:rPr>
        <w:t xml:space="preserve"> </w:t>
      </w:r>
      <w:r w:rsidRPr="00E803F5">
        <w:rPr>
          <w:rFonts w:ascii="Verdana" w:hAnsi="Verdana"/>
        </w:rPr>
        <w:t>no</w:t>
      </w:r>
      <w:r w:rsidRPr="00E803F5">
        <w:rPr>
          <w:rFonts w:ascii="Verdana" w:hAnsi="Verdana"/>
          <w:spacing w:val="-10"/>
        </w:rPr>
        <w:t xml:space="preserve"> </w:t>
      </w:r>
      <w:r w:rsidRPr="00E803F5">
        <w:rPr>
          <w:rFonts w:ascii="Verdana" w:hAnsi="Verdana"/>
        </w:rPr>
        <w:t>es</w:t>
      </w:r>
      <w:r w:rsidRPr="00E803F5">
        <w:rPr>
          <w:rFonts w:ascii="Verdana" w:hAnsi="Verdana"/>
          <w:spacing w:val="-10"/>
        </w:rPr>
        <w:t xml:space="preserve"> </w:t>
      </w:r>
      <w:r w:rsidRPr="00E803F5">
        <w:rPr>
          <w:rFonts w:ascii="Verdana" w:hAnsi="Verdana"/>
        </w:rPr>
        <w:t>posible</w:t>
      </w:r>
      <w:r w:rsidRPr="00E803F5">
        <w:rPr>
          <w:rFonts w:ascii="Verdana" w:hAnsi="Verdana"/>
          <w:spacing w:val="-11"/>
        </w:rPr>
        <w:t xml:space="preserve"> </w:t>
      </w:r>
      <w:r w:rsidRPr="00E803F5">
        <w:rPr>
          <w:rFonts w:ascii="Verdana" w:hAnsi="Verdana"/>
        </w:rPr>
        <w:t>efectuar</w:t>
      </w:r>
      <w:r w:rsidRPr="00E803F5">
        <w:rPr>
          <w:rFonts w:ascii="Verdana" w:hAnsi="Verdana"/>
          <w:spacing w:val="-10"/>
        </w:rPr>
        <w:t xml:space="preserve"> </w:t>
      </w:r>
      <w:r w:rsidRPr="00E803F5">
        <w:rPr>
          <w:rFonts w:ascii="Verdana" w:hAnsi="Verdana"/>
        </w:rPr>
        <w:t>la</w:t>
      </w:r>
      <w:r w:rsidRPr="00E803F5">
        <w:rPr>
          <w:rFonts w:ascii="Verdana" w:hAnsi="Verdana"/>
          <w:spacing w:val="-10"/>
        </w:rPr>
        <w:t xml:space="preserve"> </w:t>
      </w:r>
      <w:r w:rsidRPr="00E803F5">
        <w:rPr>
          <w:rFonts w:ascii="Verdana" w:hAnsi="Verdana"/>
        </w:rPr>
        <w:t>liquidación</w:t>
      </w:r>
      <w:r w:rsidRPr="00E803F5">
        <w:rPr>
          <w:rFonts w:ascii="Verdana" w:hAnsi="Verdana"/>
          <w:spacing w:val="-9"/>
        </w:rPr>
        <w:t xml:space="preserve"> </w:t>
      </w:r>
      <w:r w:rsidRPr="00E803F5">
        <w:rPr>
          <w:rFonts w:ascii="Verdana" w:hAnsi="Verdana"/>
        </w:rPr>
        <w:t>de</w:t>
      </w:r>
      <w:r w:rsidRPr="00E803F5">
        <w:rPr>
          <w:rFonts w:ascii="Verdana" w:hAnsi="Verdana"/>
          <w:spacing w:val="-11"/>
        </w:rPr>
        <w:t xml:space="preserve"> </w:t>
      </w:r>
      <w:r w:rsidRPr="00E803F5">
        <w:rPr>
          <w:rFonts w:ascii="Verdana" w:hAnsi="Verdana"/>
        </w:rPr>
        <w:t>manera</w:t>
      </w:r>
      <w:r w:rsidRPr="00E803F5">
        <w:rPr>
          <w:rFonts w:ascii="Verdana" w:hAnsi="Verdana"/>
          <w:spacing w:val="-10"/>
        </w:rPr>
        <w:t xml:space="preserve"> </w:t>
      </w:r>
      <w:r w:rsidRPr="00E803F5">
        <w:rPr>
          <w:rFonts w:ascii="Verdana" w:hAnsi="Verdana"/>
        </w:rPr>
        <w:t>bilateral,</w:t>
      </w:r>
      <w:r w:rsidRPr="00E803F5">
        <w:rPr>
          <w:rFonts w:ascii="Verdana" w:hAnsi="Verdana"/>
          <w:spacing w:val="-10"/>
        </w:rPr>
        <w:t xml:space="preserve"> </w:t>
      </w:r>
      <w:r w:rsidRPr="00E803F5">
        <w:rPr>
          <w:rFonts w:ascii="Verdana" w:hAnsi="Verdana"/>
        </w:rPr>
        <w:t>el</w:t>
      </w:r>
      <w:r w:rsidRPr="00E803F5">
        <w:rPr>
          <w:rFonts w:ascii="Verdana" w:hAnsi="Verdana"/>
          <w:spacing w:val="-11"/>
        </w:rPr>
        <w:t xml:space="preserve"> </w:t>
      </w:r>
      <w:r w:rsidRPr="00E803F5">
        <w:rPr>
          <w:rFonts w:ascii="Verdana" w:hAnsi="Verdana"/>
        </w:rPr>
        <w:t>ordenamiento</w:t>
      </w:r>
      <w:r w:rsidRPr="00E803F5">
        <w:rPr>
          <w:rFonts w:ascii="Verdana" w:hAnsi="Verdana"/>
          <w:spacing w:val="-9"/>
        </w:rPr>
        <w:t xml:space="preserve"> </w:t>
      </w:r>
      <w:r w:rsidRPr="00E803F5">
        <w:rPr>
          <w:rFonts w:ascii="Verdana" w:hAnsi="Verdana"/>
        </w:rPr>
        <w:t>jurídico</w:t>
      </w:r>
      <w:r w:rsidRPr="00E803F5">
        <w:rPr>
          <w:rFonts w:ascii="Verdana" w:hAnsi="Verdana"/>
          <w:spacing w:val="-10"/>
        </w:rPr>
        <w:t xml:space="preserve"> </w:t>
      </w:r>
      <w:r w:rsidRPr="00E803F5">
        <w:rPr>
          <w:rFonts w:ascii="Verdana" w:hAnsi="Verdana"/>
        </w:rPr>
        <w:t>prevé</w:t>
      </w:r>
      <w:r w:rsidRPr="00E803F5">
        <w:rPr>
          <w:rFonts w:ascii="Verdana" w:hAnsi="Verdana"/>
          <w:spacing w:val="1"/>
        </w:rPr>
        <w:t xml:space="preserve"> </w:t>
      </w:r>
      <w:r w:rsidRPr="00E803F5">
        <w:rPr>
          <w:rFonts w:ascii="Verdana" w:hAnsi="Verdana"/>
        </w:rPr>
        <w:t>una</w:t>
      </w:r>
      <w:r w:rsidRPr="00E803F5">
        <w:rPr>
          <w:rFonts w:ascii="Verdana" w:hAnsi="Verdana"/>
          <w:spacing w:val="11"/>
        </w:rPr>
        <w:t xml:space="preserve"> </w:t>
      </w:r>
      <w:r w:rsidRPr="00E803F5">
        <w:rPr>
          <w:rFonts w:ascii="Verdana" w:hAnsi="Verdana"/>
        </w:rPr>
        <w:t>facultad,</w:t>
      </w:r>
      <w:r w:rsidRPr="00E803F5">
        <w:rPr>
          <w:rFonts w:ascii="Verdana" w:hAnsi="Verdana"/>
          <w:spacing w:val="12"/>
        </w:rPr>
        <w:t xml:space="preserve"> </w:t>
      </w:r>
      <w:r w:rsidRPr="00E803F5">
        <w:rPr>
          <w:rFonts w:ascii="Verdana" w:hAnsi="Verdana"/>
        </w:rPr>
        <w:t>de</w:t>
      </w:r>
      <w:r w:rsidRPr="00E803F5">
        <w:rPr>
          <w:rFonts w:ascii="Verdana" w:hAnsi="Verdana"/>
          <w:spacing w:val="11"/>
        </w:rPr>
        <w:t xml:space="preserve"> </w:t>
      </w:r>
      <w:r w:rsidRPr="00E803F5">
        <w:rPr>
          <w:rFonts w:ascii="Verdana" w:hAnsi="Verdana"/>
        </w:rPr>
        <w:t>carácter</w:t>
      </w:r>
      <w:r w:rsidRPr="00E803F5">
        <w:rPr>
          <w:rFonts w:ascii="Verdana" w:hAnsi="Verdana"/>
          <w:spacing w:val="11"/>
        </w:rPr>
        <w:t xml:space="preserve"> </w:t>
      </w:r>
      <w:r w:rsidRPr="00E803F5">
        <w:rPr>
          <w:rFonts w:ascii="Verdana" w:hAnsi="Verdana"/>
        </w:rPr>
        <w:t>subsidiario,</w:t>
      </w:r>
      <w:r w:rsidRPr="00E803F5">
        <w:rPr>
          <w:rFonts w:ascii="Verdana" w:hAnsi="Verdana"/>
          <w:spacing w:val="11"/>
        </w:rPr>
        <w:t xml:space="preserve"> </w:t>
      </w:r>
      <w:r w:rsidRPr="00E803F5">
        <w:rPr>
          <w:rFonts w:ascii="Verdana" w:hAnsi="Verdana"/>
        </w:rPr>
        <w:t>para</w:t>
      </w:r>
      <w:r w:rsidRPr="00E803F5">
        <w:rPr>
          <w:rFonts w:ascii="Verdana" w:hAnsi="Verdana"/>
          <w:spacing w:val="11"/>
        </w:rPr>
        <w:t xml:space="preserve"> </w:t>
      </w:r>
      <w:r w:rsidRPr="00E803F5">
        <w:rPr>
          <w:rFonts w:ascii="Verdana" w:hAnsi="Verdana"/>
        </w:rPr>
        <w:t>que</w:t>
      </w:r>
      <w:r w:rsidRPr="00E803F5">
        <w:rPr>
          <w:rFonts w:ascii="Verdana" w:hAnsi="Verdana"/>
          <w:spacing w:val="11"/>
        </w:rPr>
        <w:t xml:space="preserve"> </w:t>
      </w:r>
      <w:r w:rsidRPr="00E803F5">
        <w:rPr>
          <w:rFonts w:ascii="Verdana" w:hAnsi="Verdana"/>
        </w:rPr>
        <w:t>la</w:t>
      </w:r>
      <w:r w:rsidRPr="00E803F5">
        <w:rPr>
          <w:rFonts w:ascii="Verdana" w:hAnsi="Verdana"/>
          <w:spacing w:val="11"/>
        </w:rPr>
        <w:t xml:space="preserve"> </w:t>
      </w:r>
      <w:r w:rsidR="00A677DD" w:rsidRPr="00E803F5">
        <w:rPr>
          <w:rFonts w:ascii="Verdana" w:hAnsi="Verdana"/>
        </w:rPr>
        <w:t>entidad</w:t>
      </w:r>
      <w:r w:rsidR="00A677DD" w:rsidRPr="00E803F5">
        <w:rPr>
          <w:rFonts w:ascii="Verdana" w:hAnsi="Verdana"/>
          <w:spacing w:val="12"/>
        </w:rPr>
        <w:t xml:space="preserve"> </w:t>
      </w:r>
      <w:r w:rsidR="00A677DD" w:rsidRPr="00E803F5">
        <w:rPr>
          <w:rFonts w:ascii="Verdana" w:hAnsi="Verdana"/>
        </w:rPr>
        <w:t>estatal</w:t>
      </w:r>
      <w:r w:rsidR="00A677DD" w:rsidRPr="00E803F5">
        <w:rPr>
          <w:rFonts w:ascii="Verdana" w:hAnsi="Verdana"/>
          <w:spacing w:val="12"/>
        </w:rPr>
        <w:t xml:space="preserve"> </w:t>
      </w:r>
      <w:r w:rsidRPr="00E803F5">
        <w:rPr>
          <w:rFonts w:ascii="Verdana" w:hAnsi="Verdana"/>
        </w:rPr>
        <w:t>realice</w:t>
      </w:r>
      <w:r w:rsidRPr="00E803F5">
        <w:rPr>
          <w:rFonts w:ascii="Verdana" w:hAnsi="Verdana"/>
          <w:spacing w:val="11"/>
        </w:rPr>
        <w:t xml:space="preserve"> </w:t>
      </w:r>
      <w:r w:rsidRPr="00E803F5">
        <w:rPr>
          <w:rFonts w:ascii="Verdana" w:hAnsi="Verdana"/>
        </w:rPr>
        <w:t>la liquidación</w:t>
      </w:r>
      <w:r w:rsidRPr="00E803F5">
        <w:rPr>
          <w:rFonts w:ascii="Verdana" w:hAnsi="Verdana"/>
          <w:spacing w:val="-5"/>
        </w:rPr>
        <w:t xml:space="preserve"> </w:t>
      </w:r>
      <w:r w:rsidRPr="00E803F5">
        <w:rPr>
          <w:rFonts w:ascii="Verdana" w:hAnsi="Verdana"/>
        </w:rPr>
        <w:t>unilateralmente.</w:t>
      </w:r>
      <w:r w:rsidRPr="00E803F5">
        <w:rPr>
          <w:rFonts w:ascii="Verdana" w:hAnsi="Verdana"/>
          <w:spacing w:val="-6"/>
        </w:rPr>
        <w:t xml:space="preserve"> </w:t>
      </w:r>
      <w:r w:rsidRPr="00E803F5">
        <w:rPr>
          <w:rFonts w:ascii="Verdana" w:hAnsi="Verdana"/>
        </w:rPr>
        <w:t>En</w:t>
      </w:r>
      <w:r w:rsidRPr="00E803F5">
        <w:rPr>
          <w:rFonts w:ascii="Verdana" w:hAnsi="Verdana"/>
          <w:spacing w:val="-6"/>
        </w:rPr>
        <w:t xml:space="preserve"> </w:t>
      </w:r>
      <w:r w:rsidRPr="00E803F5">
        <w:rPr>
          <w:rFonts w:ascii="Verdana" w:hAnsi="Verdana"/>
        </w:rPr>
        <w:t>relación</w:t>
      </w:r>
      <w:r w:rsidRPr="00E803F5">
        <w:rPr>
          <w:rFonts w:ascii="Verdana" w:hAnsi="Verdana"/>
          <w:spacing w:val="-6"/>
        </w:rPr>
        <w:t xml:space="preserve"> </w:t>
      </w:r>
      <w:r w:rsidRPr="00E803F5">
        <w:rPr>
          <w:rFonts w:ascii="Verdana" w:hAnsi="Verdana"/>
        </w:rPr>
        <w:t>con</w:t>
      </w:r>
      <w:r w:rsidRPr="00E803F5">
        <w:rPr>
          <w:rFonts w:ascii="Verdana" w:hAnsi="Verdana"/>
          <w:spacing w:val="-6"/>
        </w:rPr>
        <w:t xml:space="preserve"> </w:t>
      </w:r>
      <w:r w:rsidRPr="00E803F5">
        <w:rPr>
          <w:rFonts w:ascii="Verdana" w:hAnsi="Verdana"/>
        </w:rPr>
        <w:t>este</w:t>
      </w:r>
      <w:r w:rsidRPr="00E803F5">
        <w:rPr>
          <w:rFonts w:ascii="Verdana" w:hAnsi="Verdana"/>
          <w:spacing w:val="-6"/>
        </w:rPr>
        <w:t xml:space="preserve"> </w:t>
      </w:r>
      <w:r w:rsidRPr="00E803F5">
        <w:rPr>
          <w:rFonts w:ascii="Verdana" w:hAnsi="Verdana"/>
        </w:rPr>
        <w:t>aspecto,</w:t>
      </w:r>
      <w:r w:rsidRPr="00E803F5">
        <w:rPr>
          <w:rFonts w:ascii="Verdana" w:hAnsi="Verdana"/>
          <w:spacing w:val="-6"/>
        </w:rPr>
        <w:t xml:space="preserve"> </w:t>
      </w:r>
      <w:r w:rsidRPr="00E803F5">
        <w:rPr>
          <w:rFonts w:ascii="Verdana" w:hAnsi="Verdana"/>
        </w:rPr>
        <w:t>la</w:t>
      </w:r>
      <w:r w:rsidRPr="00E803F5">
        <w:rPr>
          <w:rFonts w:ascii="Verdana" w:hAnsi="Verdana"/>
          <w:spacing w:val="-6"/>
        </w:rPr>
        <w:t xml:space="preserve"> </w:t>
      </w:r>
      <w:r w:rsidRPr="00E803F5">
        <w:rPr>
          <w:rFonts w:ascii="Verdana" w:hAnsi="Verdana"/>
        </w:rPr>
        <w:t>Sala</w:t>
      </w:r>
      <w:r w:rsidRPr="00E803F5">
        <w:rPr>
          <w:rFonts w:ascii="Verdana" w:hAnsi="Verdana"/>
          <w:spacing w:val="-6"/>
        </w:rPr>
        <w:t xml:space="preserve"> </w:t>
      </w:r>
      <w:r w:rsidRPr="00E803F5">
        <w:rPr>
          <w:rFonts w:ascii="Verdana" w:hAnsi="Verdana"/>
        </w:rPr>
        <w:t>de</w:t>
      </w:r>
      <w:r w:rsidRPr="00E803F5">
        <w:rPr>
          <w:rFonts w:ascii="Verdana" w:hAnsi="Verdana"/>
          <w:spacing w:val="-7"/>
        </w:rPr>
        <w:t xml:space="preserve"> </w:t>
      </w:r>
      <w:r w:rsidRPr="00E803F5">
        <w:rPr>
          <w:rFonts w:ascii="Verdana" w:hAnsi="Verdana"/>
        </w:rPr>
        <w:t>Consulta</w:t>
      </w:r>
      <w:r w:rsidRPr="00E803F5">
        <w:rPr>
          <w:rFonts w:ascii="Verdana" w:hAnsi="Verdana"/>
          <w:spacing w:val="-6"/>
        </w:rPr>
        <w:t xml:space="preserve"> </w:t>
      </w:r>
      <w:r w:rsidRPr="00E803F5">
        <w:rPr>
          <w:rFonts w:ascii="Verdana" w:hAnsi="Verdana"/>
        </w:rPr>
        <w:t>y</w:t>
      </w:r>
      <w:r w:rsidRPr="00E803F5">
        <w:rPr>
          <w:rFonts w:ascii="Verdana" w:hAnsi="Verdana"/>
          <w:spacing w:val="-6"/>
        </w:rPr>
        <w:t xml:space="preserve"> </w:t>
      </w:r>
      <w:r w:rsidRPr="00E803F5">
        <w:rPr>
          <w:rFonts w:ascii="Verdana" w:hAnsi="Verdana"/>
        </w:rPr>
        <w:t>Servicio</w:t>
      </w:r>
      <w:r w:rsidRPr="00E803F5">
        <w:rPr>
          <w:rFonts w:ascii="Verdana" w:hAnsi="Verdana"/>
          <w:spacing w:val="-5"/>
        </w:rPr>
        <w:t xml:space="preserve"> </w:t>
      </w:r>
      <w:r w:rsidRPr="00E803F5">
        <w:rPr>
          <w:rFonts w:ascii="Verdana" w:hAnsi="Verdana"/>
        </w:rPr>
        <w:t>Civil</w:t>
      </w:r>
      <w:r w:rsidRPr="00E803F5">
        <w:rPr>
          <w:rFonts w:ascii="Verdana" w:hAnsi="Verdana"/>
          <w:spacing w:val="-6"/>
        </w:rPr>
        <w:t xml:space="preserve"> </w:t>
      </w:r>
      <w:r w:rsidRPr="00E803F5">
        <w:rPr>
          <w:rFonts w:ascii="Verdana" w:hAnsi="Verdana"/>
        </w:rPr>
        <w:t>del</w:t>
      </w:r>
      <w:r w:rsidRPr="00E803F5">
        <w:rPr>
          <w:rFonts w:ascii="Verdana" w:hAnsi="Verdana"/>
          <w:spacing w:val="-58"/>
        </w:rPr>
        <w:t xml:space="preserve"> </w:t>
      </w:r>
      <w:r w:rsidRPr="00E803F5">
        <w:rPr>
          <w:rFonts w:ascii="Verdana" w:hAnsi="Verdana"/>
        </w:rPr>
        <w:t>Consejo</w:t>
      </w:r>
      <w:r w:rsidRPr="00E803F5">
        <w:rPr>
          <w:rFonts w:ascii="Verdana" w:hAnsi="Verdana"/>
          <w:spacing w:val="-2"/>
        </w:rPr>
        <w:t xml:space="preserve"> </w:t>
      </w:r>
      <w:r w:rsidRPr="00E803F5">
        <w:rPr>
          <w:rFonts w:ascii="Verdana" w:hAnsi="Verdana"/>
        </w:rPr>
        <w:t>de</w:t>
      </w:r>
      <w:r w:rsidRPr="00E803F5">
        <w:rPr>
          <w:rFonts w:ascii="Verdana" w:hAnsi="Verdana"/>
          <w:spacing w:val="-1"/>
        </w:rPr>
        <w:t xml:space="preserve"> </w:t>
      </w:r>
      <w:r w:rsidRPr="00E803F5">
        <w:rPr>
          <w:rFonts w:ascii="Verdana" w:hAnsi="Verdana"/>
        </w:rPr>
        <w:t>Estado,</w:t>
      </w:r>
      <w:r w:rsidRPr="00E803F5">
        <w:rPr>
          <w:rFonts w:ascii="Verdana" w:hAnsi="Verdana"/>
          <w:spacing w:val="-1"/>
        </w:rPr>
        <w:t xml:space="preserve"> </w:t>
      </w:r>
      <w:r w:rsidRPr="00E803F5">
        <w:rPr>
          <w:rFonts w:ascii="Verdana" w:hAnsi="Verdana"/>
        </w:rPr>
        <w:t>en</w:t>
      </w:r>
      <w:r w:rsidRPr="00E803F5">
        <w:rPr>
          <w:rFonts w:ascii="Verdana" w:hAnsi="Verdana"/>
          <w:spacing w:val="-1"/>
        </w:rPr>
        <w:t xml:space="preserve"> </w:t>
      </w:r>
      <w:r w:rsidRPr="00E803F5">
        <w:rPr>
          <w:rFonts w:ascii="Verdana" w:hAnsi="Verdana"/>
        </w:rPr>
        <w:t>concepto</w:t>
      </w:r>
      <w:r w:rsidRPr="00E803F5">
        <w:rPr>
          <w:rFonts w:ascii="Verdana" w:hAnsi="Verdana"/>
          <w:spacing w:val="-2"/>
        </w:rPr>
        <w:t xml:space="preserve"> </w:t>
      </w:r>
      <w:r w:rsidRPr="00E803F5">
        <w:rPr>
          <w:rFonts w:ascii="Verdana" w:hAnsi="Verdana"/>
        </w:rPr>
        <w:t>del</w:t>
      </w:r>
      <w:r w:rsidRPr="00E803F5">
        <w:rPr>
          <w:rFonts w:ascii="Verdana" w:hAnsi="Verdana"/>
          <w:spacing w:val="-1"/>
        </w:rPr>
        <w:t xml:space="preserve"> </w:t>
      </w:r>
      <w:r w:rsidRPr="00E803F5">
        <w:rPr>
          <w:rFonts w:ascii="Verdana" w:hAnsi="Verdana"/>
        </w:rPr>
        <w:t>28</w:t>
      </w:r>
      <w:r w:rsidRPr="00E803F5">
        <w:rPr>
          <w:rFonts w:ascii="Verdana" w:hAnsi="Verdana"/>
          <w:spacing w:val="-1"/>
        </w:rPr>
        <w:t xml:space="preserve"> </w:t>
      </w:r>
      <w:r w:rsidRPr="00E803F5">
        <w:rPr>
          <w:rFonts w:ascii="Verdana" w:hAnsi="Verdana"/>
        </w:rPr>
        <w:t>de</w:t>
      </w:r>
      <w:r w:rsidRPr="00E803F5">
        <w:rPr>
          <w:rFonts w:ascii="Verdana" w:hAnsi="Verdana"/>
          <w:spacing w:val="-1"/>
        </w:rPr>
        <w:t xml:space="preserve"> </w:t>
      </w:r>
      <w:r w:rsidRPr="00E803F5">
        <w:rPr>
          <w:rFonts w:ascii="Verdana" w:hAnsi="Verdana"/>
        </w:rPr>
        <w:t>junio</w:t>
      </w:r>
      <w:r w:rsidRPr="00E803F5">
        <w:rPr>
          <w:rFonts w:ascii="Verdana" w:hAnsi="Verdana"/>
          <w:spacing w:val="-1"/>
        </w:rPr>
        <w:t xml:space="preserve"> </w:t>
      </w:r>
      <w:r w:rsidRPr="00E803F5">
        <w:rPr>
          <w:rFonts w:ascii="Verdana" w:hAnsi="Verdana"/>
        </w:rPr>
        <w:t>de</w:t>
      </w:r>
      <w:r w:rsidRPr="00E803F5">
        <w:rPr>
          <w:rFonts w:ascii="Verdana" w:hAnsi="Verdana"/>
          <w:spacing w:val="-2"/>
        </w:rPr>
        <w:t xml:space="preserve"> </w:t>
      </w:r>
      <w:r w:rsidRPr="00E803F5">
        <w:rPr>
          <w:rFonts w:ascii="Verdana" w:hAnsi="Verdana"/>
        </w:rPr>
        <w:t>2016,</w:t>
      </w:r>
      <w:r w:rsidRPr="00E803F5">
        <w:rPr>
          <w:rFonts w:ascii="Verdana" w:hAnsi="Verdana"/>
          <w:spacing w:val="-1"/>
        </w:rPr>
        <w:t xml:space="preserve"> </w:t>
      </w:r>
      <w:r w:rsidRPr="00E803F5">
        <w:rPr>
          <w:rFonts w:ascii="Verdana" w:hAnsi="Verdana"/>
        </w:rPr>
        <w:t>manifestó</w:t>
      </w:r>
      <w:r w:rsidRPr="00E803F5">
        <w:rPr>
          <w:rFonts w:ascii="Verdana" w:hAnsi="Verdana"/>
          <w:spacing w:val="-1"/>
        </w:rPr>
        <w:t xml:space="preserve"> </w:t>
      </w:r>
      <w:r w:rsidRPr="00E803F5">
        <w:rPr>
          <w:rFonts w:ascii="Verdana" w:hAnsi="Verdana"/>
        </w:rPr>
        <w:t>que:</w:t>
      </w:r>
    </w:p>
    <w:p w14:paraId="04EC860B" w14:textId="77777777" w:rsidR="00556A41" w:rsidRPr="00EE5E8E" w:rsidRDefault="00556A41" w:rsidP="00556A41">
      <w:pPr>
        <w:pStyle w:val="Textoindependiente"/>
        <w:spacing w:line="276" w:lineRule="auto"/>
        <w:rPr>
          <w:rFonts w:ascii="Verdana" w:hAnsi="Verdana"/>
        </w:rPr>
      </w:pPr>
    </w:p>
    <w:p w14:paraId="00DEFB6A" w14:textId="77777777" w:rsidR="00556A41" w:rsidRPr="00EE5E8E" w:rsidRDefault="00556A41" w:rsidP="00556A41">
      <w:pPr>
        <w:spacing w:after="0" w:line="240" w:lineRule="auto"/>
        <w:ind w:left="709" w:right="709"/>
        <w:jc w:val="both"/>
        <w:rPr>
          <w:rFonts w:ascii="Verdana" w:hAnsi="Verdana"/>
          <w:i/>
          <w:sz w:val="20"/>
          <w:szCs w:val="20"/>
        </w:rPr>
      </w:pPr>
      <w:r w:rsidRPr="00EE5E8E">
        <w:rPr>
          <w:rFonts w:ascii="Verdana" w:hAnsi="Verdana"/>
          <w:i/>
          <w:sz w:val="20"/>
          <w:szCs w:val="20"/>
        </w:rPr>
        <w:t>“</w:t>
      </w:r>
      <w:r w:rsidRPr="00EE5E8E">
        <w:rPr>
          <w:rFonts w:ascii="Verdana" w:hAnsi="Verdana"/>
          <w:sz w:val="20"/>
          <w:szCs w:val="20"/>
        </w:rPr>
        <w:t>[…]se debe tener en cuenta que la liquidación unilateral es subsidiaria o supletoria</w:t>
      </w:r>
      <w:r w:rsidRPr="00EE5E8E">
        <w:rPr>
          <w:rFonts w:ascii="Verdana" w:hAnsi="Verdana"/>
          <w:spacing w:val="1"/>
          <w:sz w:val="20"/>
          <w:szCs w:val="20"/>
        </w:rPr>
        <w:t xml:space="preserve"> </w:t>
      </w:r>
      <w:r w:rsidRPr="00EE5E8E">
        <w:rPr>
          <w:rFonts w:ascii="Verdana" w:hAnsi="Verdana"/>
          <w:sz w:val="20"/>
          <w:szCs w:val="20"/>
        </w:rPr>
        <w:t>frente a la bilateral, dado que el contratista tiene derecho a acordar la liquidación,</w:t>
      </w:r>
      <w:r w:rsidRPr="00EE5E8E">
        <w:rPr>
          <w:rFonts w:ascii="Verdana" w:hAnsi="Verdana"/>
          <w:spacing w:val="1"/>
          <w:sz w:val="20"/>
          <w:szCs w:val="20"/>
        </w:rPr>
        <w:t xml:space="preserve"> </w:t>
      </w:r>
      <w:r w:rsidRPr="00EE5E8E">
        <w:rPr>
          <w:rStyle w:val="Refdenotaalpie"/>
          <w:rFonts w:ascii="Verdana" w:hAnsi="Verdana"/>
          <w:spacing w:val="1"/>
          <w:sz w:val="20"/>
          <w:szCs w:val="20"/>
        </w:rPr>
        <w:footnoteReference w:id="11"/>
      </w:r>
      <w:r w:rsidRPr="00EE5E8E">
        <w:rPr>
          <w:rFonts w:ascii="Verdana" w:hAnsi="Verdana"/>
          <w:sz w:val="20"/>
          <w:szCs w:val="20"/>
        </w:rPr>
        <w:t>debidamente reconocido por el ordenamiento jurídico. Para tal efecto, el contratista</w:t>
      </w:r>
      <w:r w:rsidRPr="00EE5E8E">
        <w:rPr>
          <w:rFonts w:ascii="Verdana" w:hAnsi="Verdana"/>
          <w:spacing w:val="1"/>
          <w:sz w:val="20"/>
          <w:szCs w:val="20"/>
        </w:rPr>
        <w:t xml:space="preserve"> </w:t>
      </w:r>
      <w:r w:rsidRPr="00EE5E8E">
        <w:rPr>
          <w:rFonts w:ascii="Verdana" w:hAnsi="Verdana"/>
          <w:sz w:val="20"/>
          <w:szCs w:val="20"/>
        </w:rPr>
        <w:t xml:space="preserve">debe ser convocado o citado por la </w:t>
      </w:r>
      <w:r w:rsidRPr="00EE5E8E">
        <w:rPr>
          <w:rFonts w:ascii="Verdana" w:hAnsi="Verdana"/>
          <w:sz w:val="20"/>
          <w:szCs w:val="20"/>
        </w:rPr>
        <w:lastRenderedPageBreak/>
        <w:t>entidad contratante con el fin de intentar la</w:t>
      </w:r>
      <w:r w:rsidRPr="00EE5E8E">
        <w:rPr>
          <w:rFonts w:ascii="Verdana" w:hAnsi="Verdana"/>
          <w:spacing w:val="1"/>
          <w:sz w:val="20"/>
          <w:szCs w:val="20"/>
        </w:rPr>
        <w:t xml:space="preserve"> </w:t>
      </w:r>
      <w:r w:rsidRPr="00EE5E8E">
        <w:rPr>
          <w:rFonts w:ascii="Verdana" w:hAnsi="Verdana"/>
          <w:sz w:val="20"/>
          <w:szCs w:val="20"/>
        </w:rPr>
        <w:t>liquidación</w:t>
      </w:r>
      <w:r w:rsidRPr="00EE5E8E">
        <w:rPr>
          <w:rFonts w:ascii="Verdana" w:hAnsi="Verdana"/>
          <w:spacing w:val="-12"/>
          <w:sz w:val="20"/>
          <w:szCs w:val="20"/>
        </w:rPr>
        <w:t xml:space="preserve"> </w:t>
      </w:r>
      <w:r w:rsidRPr="00EE5E8E">
        <w:rPr>
          <w:rFonts w:ascii="Verdana" w:hAnsi="Verdana"/>
          <w:sz w:val="20"/>
          <w:szCs w:val="20"/>
        </w:rPr>
        <w:t>bilateral,</w:t>
      </w:r>
      <w:r w:rsidRPr="00EE5E8E">
        <w:rPr>
          <w:rFonts w:ascii="Verdana" w:hAnsi="Verdana"/>
          <w:spacing w:val="-11"/>
          <w:sz w:val="20"/>
          <w:szCs w:val="20"/>
        </w:rPr>
        <w:t xml:space="preserve"> </w:t>
      </w:r>
      <w:r w:rsidRPr="00EE5E8E">
        <w:rPr>
          <w:rFonts w:ascii="Verdana" w:hAnsi="Verdana"/>
          <w:sz w:val="20"/>
          <w:szCs w:val="20"/>
        </w:rPr>
        <w:t>puesto</w:t>
      </w:r>
      <w:r w:rsidRPr="00EE5E8E">
        <w:rPr>
          <w:rFonts w:ascii="Verdana" w:hAnsi="Verdana"/>
          <w:spacing w:val="-12"/>
          <w:sz w:val="20"/>
          <w:szCs w:val="20"/>
        </w:rPr>
        <w:t xml:space="preserve"> </w:t>
      </w:r>
      <w:r w:rsidRPr="00EE5E8E">
        <w:rPr>
          <w:rFonts w:ascii="Verdana" w:hAnsi="Verdana"/>
          <w:sz w:val="20"/>
          <w:szCs w:val="20"/>
        </w:rPr>
        <w:t>que</w:t>
      </w:r>
      <w:r w:rsidRPr="00EE5E8E">
        <w:rPr>
          <w:rFonts w:ascii="Verdana" w:hAnsi="Verdana"/>
          <w:spacing w:val="-11"/>
          <w:sz w:val="20"/>
          <w:szCs w:val="20"/>
        </w:rPr>
        <w:t xml:space="preserve"> </w:t>
      </w:r>
      <w:r w:rsidRPr="00EE5E8E">
        <w:rPr>
          <w:rFonts w:ascii="Verdana" w:hAnsi="Verdana"/>
          <w:sz w:val="20"/>
          <w:szCs w:val="20"/>
        </w:rPr>
        <w:t>en</w:t>
      </w:r>
      <w:r w:rsidRPr="00EE5E8E">
        <w:rPr>
          <w:rFonts w:ascii="Verdana" w:hAnsi="Verdana"/>
          <w:spacing w:val="-12"/>
          <w:sz w:val="20"/>
          <w:szCs w:val="20"/>
        </w:rPr>
        <w:t xml:space="preserve"> </w:t>
      </w:r>
      <w:r w:rsidRPr="00EE5E8E">
        <w:rPr>
          <w:rFonts w:ascii="Verdana" w:hAnsi="Verdana"/>
          <w:sz w:val="20"/>
          <w:szCs w:val="20"/>
        </w:rPr>
        <w:t>el</w:t>
      </w:r>
      <w:r w:rsidRPr="00EE5E8E">
        <w:rPr>
          <w:rFonts w:ascii="Verdana" w:hAnsi="Verdana"/>
          <w:spacing w:val="-11"/>
          <w:sz w:val="20"/>
          <w:szCs w:val="20"/>
        </w:rPr>
        <w:t xml:space="preserve"> </w:t>
      </w:r>
      <w:r w:rsidRPr="00EE5E8E">
        <w:rPr>
          <w:rFonts w:ascii="Verdana" w:hAnsi="Verdana"/>
          <w:sz w:val="20"/>
          <w:szCs w:val="20"/>
        </w:rPr>
        <w:t>supuesto</w:t>
      </w:r>
      <w:r w:rsidRPr="00EE5E8E">
        <w:rPr>
          <w:rFonts w:ascii="Verdana" w:hAnsi="Verdana"/>
          <w:spacing w:val="-11"/>
          <w:sz w:val="20"/>
          <w:szCs w:val="20"/>
        </w:rPr>
        <w:t xml:space="preserve"> </w:t>
      </w:r>
      <w:r w:rsidRPr="00EE5E8E">
        <w:rPr>
          <w:rFonts w:ascii="Verdana" w:hAnsi="Verdana"/>
          <w:sz w:val="20"/>
          <w:szCs w:val="20"/>
        </w:rPr>
        <w:t>caso</w:t>
      </w:r>
      <w:r w:rsidRPr="00EE5E8E">
        <w:rPr>
          <w:rFonts w:ascii="Verdana" w:hAnsi="Verdana"/>
          <w:spacing w:val="-12"/>
          <w:sz w:val="20"/>
          <w:szCs w:val="20"/>
        </w:rPr>
        <w:t xml:space="preserve"> </w:t>
      </w:r>
      <w:r w:rsidRPr="00EE5E8E">
        <w:rPr>
          <w:rFonts w:ascii="Verdana" w:hAnsi="Verdana"/>
          <w:sz w:val="20"/>
          <w:szCs w:val="20"/>
        </w:rPr>
        <w:t>de</w:t>
      </w:r>
      <w:r w:rsidRPr="00EE5E8E">
        <w:rPr>
          <w:rFonts w:ascii="Verdana" w:hAnsi="Verdana"/>
          <w:spacing w:val="-11"/>
          <w:sz w:val="20"/>
          <w:szCs w:val="20"/>
        </w:rPr>
        <w:t xml:space="preserve"> </w:t>
      </w:r>
      <w:r w:rsidRPr="00EE5E8E">
        <w:rPr>
          <w:rFonts w:ascii="Verdana" w:hAnsi="Verdana"/>
          <w:sz w:val="20"/>
          <w:szCs w:val="20"/>
        </w:rPr>
        <w:t>que</w:t>
      </w:r>
      <w:r w:rsidRPr="00EE5E8E">
        <w:rPr>
          <w:rFonts w:ascii="Verdana" w:hAnsi="Verdana"/>
          <w:spacing w:val="-12"/>
          <w:sz w:val="20"/>
          <w:szCs w:val="20"/>
        </w:rPr>
        <w:t xml:space="preserve"> </w:t>
      </w:r>
      <w:r w:rsidRPr="00EE5E8E">
        <w:rPr>
          <w:rFonts w:ascii="Verdana" w:hAnsi="Verdana"/>
          <w:sz w:val="20"/>
          <w:szCs w:val="20"/>
        </w:rPr>
        <w:t>no</w:t>
      </w:r>
      <w:r w:rsidRPr="00EE5E8E">
        <w:rPr>
          <w:rFonts w:ascii="Verdana" w:hAnsi="Verdana"/>
          <w:spacing w:val="-11"/>
          <w:sz w:val="20"/>
          <w:szCs w:val="20"/>
        </w:rPr>
        <w:t xml:space="preserve"> </w:t>
      </w:r>
      <w:r w:rsidRPr="00EE5E8E">
        <w:rPr>
          <w:rFonts w:ascii="Verdana" w:hAnsi="Verdana"/>
          <w:sz w:val="20"/>
          <w:szCs w:val="20"/>
        </w:rPr>
        <w:t>sea</w:t>
      </w:r>
      <w:r w:rsidRPr="00EE5E8E">
        <w:rPr>
          <w:rFonts w:ascii="Verdana" w:hAnsi="Verdana"/>
          <w:spacing w:val="-11"/>
          <w:sz w:val="20"/>
          <w:szCs w:val="20"/>
        </w:rPr>
        <w:t xml:space="preserve"> </w:t>
      </w:r>
      <w:r w:rsidRPr="00EE5E8E">
        <w:rPr>
          <w:rFonts w:ascii="Verdana" w:hAnsi="Verdana"/>
          <w:sz w:val="20"/>
          <w:szCs w:val="20"/>
        </w:rPr>
        <w:t>así,</w:t>
      </w:r>
      <w:r w:rsidRPr="00EE5E8E">
        <w:rPr>
          <w:rFonts w:ascii="Verdana" w:hAnsi="Verdana"/>
          <w:spacing w:val="-12"/>
          <w:sz w:val="20"/>
          <w:szCs w:val="20"/>
        </w:rPr>
        <w:t xml:space="preserve"> </w:t>
      </w:r>
      <w:r w:rsidRPr="00EE5E8E">
        <w:rPr>
          <w:rFonts w:ascii="Verdana" w:hAnsi="Verdana"/>
          <w:sz w:val="20"/>
          <w:szCs w:val="20"/>
        </w:rPr>
        <w:t>la</w:t>
      </w:r>
      <w:r w:rsidRPr="00EE5E8E">
        <w:rPr>
          <w:rFonts w:ascii="Verdana" w:hAnsi="Verdana"/>
          <w:spacing w:val="-11"/>
          <w:sz w:val="20"/>
          <w:szCs w:val="20"/>
        </w:rPr>
        <w:t xml:space="preserve"> </w:t>
      </w:r>
      <w:r w:rsidRPr="00EE5E8E">
        <w:rPr>
          <w:rFonts w:ascii="Verdana" w:hAnsi="Verdana"/>
          <w:sz w:val="20"/>
          <w:szCs w:val="20"/>
        </w:rPr>
        <w:t>(.liquidación</w:t>
      </w:r>
      <w:r w:rsidRPr="00EE5E8E">
        <w:rPr>
          <w:rFonts w:ascii="Verdana" w:hAnsi="Verdana"/>
          <w:spacing w:val="-56"/>
          <w:sz w:val="20"/>
          <w:szCs w:val="20"/>
        </w:rPr>
        <w:t xml:space="preserve"> </w:t>
      </w:r>
      <w:r w:rsidRPr="00EE5E8E">
        <w:rPr>
          <w:rFonts w:ascii="Verdana" w:hAnsi="Verdana"/>
          <w:sz w:val="20"/>
          <w:szCs w:val="20"/>
        </w:rPr>
        <w:t>unilateral posterior que llegase a practicar la administración resultaría inválida, dado</w:t>
      </w:r>
      <w:r w:rsidRPr="00EE5E8E">
        <w:rPr>
          <w:rFonts w:ascii="Verdana" w:hAnsi="Verdana"/>
          <w:spacing w:val="1"/>
          <w:sz w:val="20"/>
          <w:szCs w:val="20"/>
        </w:rPr>
        <w:t xml:space="preserve"> </w:t>
      </w:r>
      <w:r w:rsidRPr="00EE5E8E">
        <w:rPr>
          <w:rFonts w:ascii="Verdana" w:hAnsi="Verdana"/>
          <w:sz w:val="20"/>
          <w:szCs w:val="20"/>
        </w:rPr>
        <w:t>que no tendría competencia material para hacerla y por cuanto su adopción con tal</w:t>
      </w:r>
      <w:r w:rsidRPr="00EE5E8E">
        <w:rPr>
          <w:rFonts w:ascii="Verdana" w:hAnsi="Verdana"/>
          <w:spacing w:val="1"/>
          <w:sz w:val="20"/>
          <w:szCs w:val="20"/>
        </w:rPr>
        <w:t xml:space="preserve"> </w:t>
      </w:r>
      <w:r w:rsidRPr="00EE5E8E">
        <w:rPr>
          <w:rFonts w:ascii="Verdana" w:hAnsi="Verdana"/>
          <w:sz w:val="20"/>
          <w:szCs w:val="20"/>
        </w:rPr>
        <w:t>omisión vulneraría el derecho del contratista al debido proceso y sus corolarios de</w:t>
      </w:r>
      <w:r w:rsidRPr="00EE5E8E">
        <w:rPr>
          <w:rFonts w:ascii="Verdana" w:hAnsi="Verdana"/>
          <w:spacing w:val="1"/>
          <w:sz w:val="20"/>
          <w:szCs w:val="20"/>
        </w:rPr>
        <w:t xml:space="preserve"> </w:t>
      </w:r>
      <w:r w:rsidRPr="00EE5E8E">
        <w:rPr>
          <w:rFonts w:ascii="Verdana" w:hAnsi="Verdana"/>
          <w:sz w:val="20"/>
          <w:szCs w:val="20"/>
        </w:rPr>
        <w:t>defensa</w:t>
      </w:r>
      <w:r w:rsidRPr="00EE5E8E">
        <w:rPr>
          <w:rFonts w:ascii="Verdana" w:hAnsi="Verdana"/>
          <w:spacing w:val="-2"/>
          <w:sz w:val="20"/>
          <w:szCs w:val="20"/>
        </w:rPr>
        <w:t xml:space="preserve"> </w:t>
      </w:r>
      <w:r w:rsidRPr="00EE5E8E">
        <w:rPr>
          <w:rFonts w:ascii="Verdana" w:hAnsi="Verdana"/>
          <w:sz w:val="20"/>
          <w:szCs w:val="20"/>
        </w:rPr>
        <w:t>y</w:t>
      </w:r>
      <w:r w:rsidRPr="00EE5E8E">
        <w:rPr>
          <w:rFonts w:ascii="Verdana" w:hAnsi="Verdana"/>
          <w:spacing w:val="-2"/>
          <w:sz w:val="20"/>
          <w:szCs w:val="20"/>
        </w:rPr>
        <w:t xml:space="preserve"> </w:t>
      </w:r>
      <w:r w:rsidRPr="00EE5E8E">
        <w:rPr>
          <w:rFonts w:ascii="Verdana" w:hAnsi="Verdana"/>
          <w:sz w:val="20"/>
          <w:szCs w:val="20"/>
        </w:rPr>
        <w:t>contradicción</w:t>
      </w:r>
      <w:r w:rsidRPr="00EE5E8E">
        <w:rPr>
          <w:rFonts w:ascii="Verdana" w:hAnsi="Verdana"/>
          <w:spacing w:val="-1"/>
          <w:sz w:val="20"/>
          <w:szCs w:val="20"/>
        </w:rPr>
        <w:t xml:space="preserve"> </w:t>
      </w:r>
      <w:r w:rsidRPr="00EE5E8E">
        <w:rPr>
          <w:rFonts w:ascii="Verdana" w:hAnsi="Verdana"/>
          <w:sz w:val="20"/>
          <w:szCs w:val="20"/>
        </w:rPr>
        <w:t>y,</w:t>
      </w:r>
      <w:r w:rsidRPr="00EE5E8E">
        <w:rPr>
          <w:rFonts w:ascii="Verdana" w:hAnsi="Verdana"/>
          <w:spacing w:val="-2"/>
          <w:sz w:val="20"/>
          <w:szCs w:val="20"/>
        </w:rPr>
        <w:t xml:space="preserve"> </w:t>
      </w:r>
      <w:r w:rsidRPr="00EE5E8E">
        <w:rPr>
          <w:rFonts w:ascii="Verdana" w:hAnsi="Verdana"/>
          <w:sz w:val="20"/>
          <w:szCs w:val="20"/>
        </w:rPr>
        <w:t>además,</w:t>
      </w:r>
      <w:r w:rsidRPr="00EE5E8E">
        <w:rPr>
          <w:rFonts w:ascii="Verdana" w:hAnsi="Verdana"/>
          <w:spacing w:val="-1"/>
          <w:sz w:val="20"/>
          <w:szCs w:val="20"/>
        </w:rPr>
        <w:t xml:space="preserve"> </w:t>
      </w:r>
      <w:r w:rsidRPr="00EE5E8E">
        <w:rPr>
          <w:rFonts w:ascii="Verdana" w:hAnsi="Verdana"/>
          <w:sz w:val="20"/>
          <w:szCs w:val="20"/>
        </w:rPr>
        <w:t>configuraría</w:t>
      </w:r>
      <w:r w:rsidRPr="00EE5E8E">
        <w:rPr>
          <w:rFonts w:ascii="Verdana" w:hAnsi="Verdana"/>
          <w:spacing w:val="-2"/>
          <w:sz w:val="20"/>
          <w:szCs w:val="20"/>
        </w:rPr>
        <w:t xml:space="preserve"> </w:t>
      </w:r>
      <w:r w:rsidRPr="00EE5E8E">
        <w:rPr>
          <w:rFonts w:ascii="Verdana" w:hAnsi="Verdana"/>
          <w:sz w:val="20"/>
          <w:szCs w:val="20"/>
        </w:rPr>
        <w:t>un</w:t>
      </w:r>
      <w:r w:rsidRPr="00EE5E8E">
        <w:rPr>
          <w:rFonts w:ascii="Verdana" w:hAnsi="Verdana"/>
          <w:spacing w:val="-1"/>
          <w:sz w:val="20"/>
          <w:szCs w:val="20"/>
        </w:rPr>
        <w:t xml:space="preserve"> </w:t>
      </w:r>
      <w:r w:rsidRPr="00EE5E8E">
        <w:rPr>
          <w:rFonts w:ascii="Verdana" w:hAnsi="Verdana"/>
          <w:sz w:val="20"/>
          <w:szCs w:val="20"/>
        </w:rPr>
        <w:t>abuso</w:t>
      </w:r>
      <w:r w:rsidRPr="00EE5E8E">
        <w:rPr>
          <w:rFonts w:ascii="Verdana" w:hAnsi="Verdana"/>
          <w:spacing w:val="-2"/>
          <w:sz w:val="20"/>
          <w:szCs w:val="20"/>
        </w:rPr>
        <w:t xml:space="preserve"> </w:t>
      </w:r>
      <w:r w:rsidRPr="00EE5E8E">
        <w:rPr>
          <w:rFonts w:ascii="Verdana" w:hAnsi="Verdana"/>
          <w:sz w:val="20"/>
          <w:szCs w:val="20"/>
        </w:rPr>
        <w:t>de</w:t>
      </w:r>
      <w:r w:rsidRPr="00EE5E8E">
        <w:rPr>
          <w:rFonts w:ascii="Verdana" w:hAnsi="Verdana"/>
          <w:spacing w:val="-2"/>
          <w:sz w:val="20"/>
          <w:szCs w:val="20"/>
        </w:rPr>
        <w:t xml:space="preserve"> </w:t>
      </w:r>
      <w:r w:rsidRPr="00EE5E8E">
        <w:rPr>
          <w:rFonts w:ascii="Verdana" w:hAnsi="Verdana"/>
          <w:sz w:val="20"/>
          <w:szCs w:val="20"/>
        </w:rPr>
        <w:t>poder</w:t>
      </w:r>
      <w:r w:rsidRPr="00EE5E8E">
        <w:rPr>
          <w:rFonts w:ascii="Verdana" w:hAnsi="Verdana"/>
          <w:i/>
          <w:sz w:val="20"/>
          <w:szCs w:val="20"/>
        </w:rPr>
        <w:t>”</w:t>
      </w:r>
      <w:r>
        <w:rPr>
          <w:rFonts w:ascii="Verdana" w:hAnsi="Verdana"/>
          <w:i/>
          <w:sz w:val="20"/>
          <w:szCs w:val="20"/>
        </w:rPr>
        <w:t>.</w:t>
      </w:r>
    </w:p>
    <w:p w14:paraId="055FB374" w14:textId="77777777" w:rsidR="00556A41" w:rsidRPr="00EE5E8E" w:rsidRDefault="00556A41" w:rsidP="00556A41">
      <w:pPr>
        <w:spacing w:after="0" w:line="276" w:lineRule="auto"/>
        <w:ind w:left="709" w:right="709"/>
        <w:jc w:val="both"/>
        <w:rPr>
          <w:rFonts w:ascii="Verdana" w:hAnsi="Verdana"/>
          <w:i/>
        </w:rPr>
      </w:pPr>
    </w:p>
    <w:p w14:paraId="4374277B" w14:textId="2A7AFA76" w:rsidR="00556A41" w:rsidRPr="00E803F5" w:rsidRDefault="00556A41" w:rsidP="00F83E60">
      <w:pPr>
        <w:spacing w:after="120" w:line="276" w:lineRule="auto"/>
        <w:ind w:firstLine="708"/>
        <w:jc w:val="both"/>
        <w:rPr>
          <w:rFonts w:ascii="Verdana" w:hAnsi="Verdana"/>
        </w:rPr>
      </w:pPr>
      <w:r w:rsidRPr="00E803F5">
        <w:rPr>
          <w:rFonts w:ascii="Verdana" w:hAnsi="Verdana"/>
        </w:rPr>
        <w:t xml:space="preserve">Si no se logra la liquidación bilateral del contrato, la </w:t>
      </w:r>
      <w:r w:rsidR="00C6285F" w:rsidRPr="00E803F5">
        <w:rPr>
          <w:rFonts w:ascii="Verdana" w:hAnsi="Verdana"/>
        </w:rPr>
        <w:t xml:space="preserve">entidad estatal </w:t>
      </w:r>
      <w:r w:rsidRPr="00E803F5">
        <w:rPr>
          <w:rFonts w:ascii="Verdana" w:hAnsi="Verdana"/>
        </w:rPr>
        <w:t>tiene la facultad de liquidarlo unilateralmente dentro del término de dos (2) meses contados a partir del vencimiento del plazo que acuerden las partes para liquidar bilateralmente o, ante el silencio de estas, del vencimiento de los cuatro (4) meses supletivos establecido por la ley.</w:t>
      </w:r>
    </w:p>
    <w:p w14:paraId="6C9CB341" w14:textId="6036574D" w:rsidR="00556A41" w:rsidRPr="00E803F5" w:rsidRDefault="00A677DD" w:rsidP="00556A41">
      <w:pPr>
        <w:spacing w:after="0" w:line="276" w:lineRule="auto"/>
        <w:ind w:firstLine="357"/>
        <w:jc w:val="both"/>
        <w:rPr>
          <w:rFonts w:ascii="Verdana" w:hAnsi="Verdana"/>
        </w:rPr>
      </w:pPr>
      <w:r>
        <w:rPr>
          <w:rFonts w:ascii="Verdana" w:hAnsi="Verdana"/>
        </w:rPr>
        <w:tab/>
      </w:r>
      <w:r w:rsidR="00556A41">
        <w:rPr>
          <w:rFonts w:ascii="Verdana" w:hAnsi="Verdana"/>
        </w:rPr>
        <w:t>Ahora bien</w:t>
      </w:r>
      <w:r w:rsidR="00556A41" w:rsidRPr="00E803F5">
        <w:rPr>
          <w:rFonts w:ascii="Verdana" w:hAnsi="Verdana"/>
        </w:rPr>
        <w:t>, transcurridos estos meses, la liquidación podrá ser realizada en cualquier tiempo dentro de los dos (2) años siguientes al vencimiento del término referido, de mutuo acuerdo o unilateralmente, salvo que el contratista haya presentado la demanda con la cual pretenda la liquidación judicial del contrato. De esta manera, durante estos dos (2) años la liquidación podrá hacerse de mutuo acuerdo, unilateralmente por la entidad, o podrá ser solicitada judicialmente por el interesado. En este sentido, en decisión de unificación de la Sección Tercera del Consejo de Estado, del 1 de agosto de 2019</w:t>
      </w:r>
      <w:r w:rsidR="00556A41" w:rsidRPr="00EE5E8E">
        <w:rPr>
          <w:vertAlign w:val="superscript"/>
        </w:rPr>
        <w:footnoteReference w:id="12"/>
      </w:r>
      <w:r w:rsidR="00556A41" w:rsidRPr="00E803F5">
        <w:rPr>
          <w:rFonts w:ascii="Verdana" w:hAnsi="Verdana"/>
        </w:rPr>
        <w:t>, se expresó:</w:t>
      </w:r>
    </w:p>
    <w:p w14:paraId="5295A5A5" w14:textId="77777777" w:rsidR="00556A41" w:rsidRPr="00EE5E8E" w:rsidRDefault="00556A41" w:rsidP="00F83E60">
      <w:pPr>
        <w:pStyle w:val="Textoindependiente"/>
        <w:spacing w:line="276" w:lineRule="auto"/>
        <w:ind w:left="709" w:right="709"/>
        <w:rPr>
          <w:rFonts w:ascii="Verdana" w:hAnsi="Verdana"/>
        </w:rPr>
      </w:pPr>
    </w:p>
    <w:p w14:paraId="52008D79" w14:textId="77777777" w:rsidR="00556A41" w:rsidRPr="00EE5E8E" w:rsidRDefault="00556A41" w:rsidP="006D2B49">
      <w:pPr>
        <w:spacing w:after="0" w:line="240" w:lineRule="auto"/>
        <w:ind w:left="709" w:right="709"/>
        <w:jc w:val="both"/>
        <w:rPr>
          <w:rFonts w:ascii="Verdana" w:hAnsi="Verdana"/>
          <w:sz w:val="20"/>
        </w:rPr>
      </w:pPr>
      <w:r>
        <w:rPr>
          <w:rFonts w:ascii="Verdana" w:hAnsi="Verdana"/>
          <w:spacing w:val="-1"/>
          <w:sz w:val="20"/>
        </w:rPr>
        <w:t>“</w:t>
      </w:r>
      <w:r w:rsidRPr="00EE5E8E">
        <w:rPr>
          <w:rFonts w:ascii="Verdana" w:hAnsi="Verdana"/>
          <w:spacing w:val="-1"/>
          <w:sz w:val="20"/>
        </w:rPr>
        <w:t>Como</w:t>
      </w:r>
      <w:r w:rsidRPr="00EE5E8E">
        <w:rPr>
          <w:rFonts w:ascii="Verdana" w:hAnsi="Verdana"/>
          <w:spacing w:val="-13"/>
          <w:sz w:val="20"/>
        </w:rPr>
        <w:t xml:space="preserve"> </w:t>
      </w:r>
      <w:r w:rsidRPr="00EE5E8E">
        <w:rPr>
          <w:rFonts w:ascii="Verdana" w:hAnsi="Verdana"/>
          <w:spacing w:val="-1"/>
          <w:sz w:val="20"/>
        </w:rPr>
        <w:t>pudo</w:t>
      </w:r>
      <w:r w:rsidRPr="00EE5E8E">
        <w:rPr>
          <w:rFonts w:ascii="Verdana" w:hAnsi="Verdana"/>
          <w:spacing w:val="-12"/>
          <w:sz w:val="20"/>
        </w:rPr>
        <w:t xml:space="preserve"> </w:t>
      </w:r>
      <w:r w:rsidRPr="00EE5E8E">
        <w:rPr>
          <w:rFonts w:ascii="Verdana" w:hAnsi="Verdana"/>
          <w:spacing w:val="-1"/>
          <w:sz w:val="20"/>
        </w:rPr>
        <w:t>apreciarse,</w:t>
      </w:r>
      <w:r w:rsidRPr="00EE5E8E">
        <w:rPr>
          <w:rFonts w:ascii="Verdana" w:hAnsi="Verdana"/>
          <w:spacing w:val="-12"/>
          <w:sz w:val="20"/>
        </w:rPr>
        <w:t xml:space="preserve"> </w:t>
      </w:r>
      <w:r w:rsidRPr="00EE5E8E">
        <w:rPr>
          <w:rFonts w:ascii="Verdana" w:hAnsi="Verdana"/>
          <w:spacing w:val="-1"/>
          <w:sz w:val="20"/>
        </w:rPr>
        <w:t>este</w:t>
      </w:r>
      <w:r w:rsidRPr="00EE5E8E">
        <w:rPr>
          <w:rFonts w:ascii="Verdana" w:hAnsi="Verdana"/>
          <w:spacing w:val="-12"/>
          <w:sz w:val="20"/>
        </w:rPr>
        <w:t xml:space="preserve"> </w:t>
      </w:r>
      <w:r w:rsidRPr="00EE5E8E">
        <w:rPr>
          <w:rFonts w:ascii="Verdana" w:hAnsi="Verdana"/>
          <w:spacing w:val="-1"/>
          <w:sz w:val="20"/>
        </w:rPr>
        <w:t>precepto</w:t>
      </w:r>
      <w:r w:rsidRPr="00EE5E8E">
        <w:rPr>
          <w:rFonts w:ascii="Verdana" w:hAnsi="Verdana"/>
          <w:spacing w:val="-12"/>
          <w:sz w:val="20"/>
        </w:rPr>
        <w:t xml:space="preserve"> </w:t>
      </w:r>
      <w:r w:rsidRPr="00EE5E8E">
        <w:rPr>
          <w:rFonts w:ascii="Verdana" w:hAnsi="Verdana"/>
          <w:sz w:val="20"/>
        </w:rPr>
        <w:t>legal</w:t>
      </w:r>
      <w:r w:rsidRPr="00EE5E8E">
        <w:rPr>
          <w:rFonts w:ascii="Verdana" w:hAnsi="Verdana"/>
          <w:spacing w:val="-13"/>
          <w:sz w:val="20"/>
        </w:rPr>
        <w:t xml:space="preserve"> </w:t>
      </w:r>
      <w:r w:rsidRPr="00EE5E8E">
        <w:rPr>
          <w:rFonts w:ascii="Verdana" w:hAnsi="Verdana"/>
          <w:sz w:val="20"/>
        </w:rPr>
        <w:t>permite</w:t>
      </w:r>
      <w:r w:rsidRPr="00EE5E8E">
        <w:rPr>
          <w:rFonts w:ascii="Verdana" w:hAnsi="Verdana"/>
          <w:spacing w:val="-12"/>
          <w:sz w:val="20"/>
        </w:rPr>
        <w:t xml:space="preserve"> </w:t>
      </w:r>
      <w:r w:rsidRPr="00EE5E8E">
        <w:rPr>
          <w:rFonts w:ascii="Verdana" w:hAnsi="Verdana"/>
          <w:sz w:val="20"/>
        </w:rPr>
        <w:t>que</w:t>
      </w:r>
      <w:r w:rsidRPr="00EE5E8E">
        <w:rPr>
          <w:rFonts w:ascii="Verdana" w:hAnsi="Verdana"/>
          <w:spacing w:val="-12"/>
          <w:sz w:val="20"/>
        </w:rPr>
        <w:t xml:space="preserve"> </w:t>
      </w:r>
      <w:r w:rsidRPr="00EE5E8E">
        <w:rPr>
          <w:rFonts w:ascii="Verdana" w:hAnsi="Verdana"/>
          <w:sz w:val="20"/>
        </w:rPr>
        <w:t>la</w:t>
      </w:r>
      <w:r w:rsidRPr="00EE5E8E">
        <w:rPr>
          <w:rFonts w:ascii="Verdana" w:hAnsi="Verdana"/>
          <w:spacing w:val="-13"/>
          <w:sz w:val="20"/>
        </w:rPr>
        <w:t xml:space="preserve"> </w:t>
      </w:r>
      <w:r w:rsidRPr="00EE5E8E">
        <w:rPr>
          <w:rFonts w:ascii="Verdana" w:hAnsi="Verdana"/>
          <w:sz w:val="20"/>
        </w:rPr>
        <w:t>liquidación</w:t>
      </w:r>
      <w:r w:rsidRPr="00EE5E8E">
        <w:rPr>
          <w:rFonts w:ascii="Verdana" w:hAnsi="Verdana"/>
          <w:spacing w:val="-11"/>
          <w:sz w:val="20"/>
        </w:rPr>
        <w:t xml:space="preserve"> </w:t>
      </w:r>
      <w:r w:rsidRPr="00EE5E8E">
        <w:rPr>
          <w:rFonts w:ascii="Verdana" w:hAnsi="Verdana"/>
          <w:sz w:val="20"/>
        </w:rPr>
        <w:t>bilateral</w:t>
      </w:r>
      <w:r w:rsidRPr="00EE5E8E">
        <w:rPr>
          <w:rFonts w:ascii="Verdana" w:hAnsi="Verdana"/>
          <w:spacing w:val="-12"/>
          <w:sz w:val="20"/>
        </w:rPr>
        <w:t xml:space="preserve"> </w:t>
      </w:r>
      <w:r w:rsidRPr="00EE5E8E">
        <w:rPr>
          <w:rFonts w:ascii="Verdana" w:hAnsi="Verdana"/>
          <w:sz w:val="20"/>
        </w:rPr>
        <w:t>se</w:t>
      </w:r>
      <w:r w:rsidRPr="00EE5E8E">
        <w:rPr>
          <w:rFonts w:ascii="Verdana" w:hAnsi="Verdana"/>
          <w:spacing w:val="-13"/>
          <w:sz w:val="20"/>
        </w:rPr>
        <w:t xml:space="preserve"> </w:t>
      </w:r>
      <w:r w:rsidRPr="00EE5E8E">
        <w:rPr>
          <w:rFonts w:ascii="Verdana" w:hAnsi="Verdana"/>
          <w:sz w:val="20"/>
        </w:rPr>
        <w:t>acuerde</w:t>
      </w:r>
      <w:r w:rsidRPr="00EE5E8E">
        <w:rPr>
          <w:rFonts w:ascii="Verdana" w:hAnsi="Verdana"/>
          <w:spacing w:val="1"/>
          <w:sz w:val="20"/>
        </w:rPr>
        <w:t xml:space="preserve"> </w:t>
      </w:r>
      <w:r w:rsidRPr="00EE5E8E">
        <w:rPr>
          <w:rFonts w:ascii="Verdana" w:hAnsi="Verdana"/>
          <w:sz w:val="20"/>
        </w:rPr>
        <w:t>después del vencimiento del término pactado en el contrato o previsto en los documentos</w:t>
      </w:r>
      <w:r w:rsidRPr="00EE5E8E">
        <w:rPr>
          <w:rFonts w:ascii="Verdana" w:hAnsi="Verdana"/>
          <w:spacing w:val="-53"/>
          <w:sz w:val="20"/>
        </w:rPr>
        <w:t xml:space="preserve"> </w:t>
      </w:r>
      <w:r w:rsidRPr="00EE5E8E">
        <w:rPr>
          <w:rFonts w:ascii="Verdana" w:hAnsi="Verdana"/>
          <w:sz w:val="20"/>
        </w:rPr>
        <w:t>antepuestos,</w:t>
      </w:r>
      <w:r w:rsidRPr="00EE5E8E">
        <w:rPr>
          <w:rFonts w:ascii="Verdana" w:hAnsi="Verdana"/>
          <w:spacing w:val="-7"/>
          <w:sz w:val="20"/>
        </w:rPr>
        <w:t xml:space="preserve"> </w:t>
      </w:r>
      <w:r w:rsidRPr="00EE5E8E">
        <w:rPr>
          <w:rFonts w:ascii="Verdana" w:hAnsi="Verdana"/>
          <w:sz w:val="20"/>
        </w:rPr>
        <w:t>o,</w:t>
      </w:r>
      <w:r w:rsidRPr="00EE5E8E">
        <w:rPr>
          <w:rFonts w:ascii="Verdana" w:hAnsi="Verdana"/>
          <w:spacing w:val="-7"/>
          <w:sz w:val="20"/>
        </w:rPr>
        <w:t xml:space="preserve"> </w:t>
      </w:r>
      <w:r w:rsidRPr="00EE5E8E">
        <w:rPr>
          <w:rFonts w:ascii="Verdana" w:hAnsi="Verdana"/>
          <w:sz w:val="20"/>
        </w:rPr>
        <w:t>del</w:t>
      </w:r>
      <w:r w:rsidRPr="00EE5E8E">
        <w:rPr>
          <w:rFonts w:ascii="Verdana" w:hAnsi="Verdana"/>
          <w:spacing w:val="-6"/>
          <w:sz w:val="20"/>
        </w:rPr>
        <w:t xml:space="preserve"> </w:t>
      </w:r>
      <w:r w:rsidRPr="00EE5E8E">
        <w:rPr>
          <w:rFonts w:ascii="Verdana" w:hAnsi="Verdana"/>
          <w:sz w:val="20"/>
        </w:rPr>
        <w:t>término</w:t>
      </w:r>
      <w:r w:rsidRPr="00EE5E8E">
        <w:rPr>
          <w:rFonts w:ascii="Verdana" w:hAnsi="Verdana"/>
          <w:spacing w:val="-6"/>
          <w:sz w:val="20"/>
        </w:rPr>
        <w:t xml:space="preserve"> </w:t>
      </w:r>
      <w:r w:rsidRPr="00EE5E8E">
        <w:rPr>
          <w:rFonts w:ascii="Verdana" w:hAnsi="Verdana"/>
          <w:sz w:val="20"/>
        </w:rPr>
        <w:t>supletorio</w:t>
      </w:r>
      <w:r w:rsidRPr="00EE5E8E">
        <w:rPr>
          <w:rFonts w:ascii="Verdana" w:hAnsi="Verdana"/>
          <w:spacing w:val="-7"/>
          <w:sz w:val="20"/>
        </w:rPr>
        <w:t xml:space="preserve"> </w:t>
      </w:r>
      <w:r w:rsidRPr="00EE5E8E">
        <w:rPr>
          <w:rFonts w:ascii="Verdana" w:hAnsi="Verdana"/>
          <w:sz w:val="20"/>
        </w:rPr>
        <w:t>que</w:t>
      </w:r>
      <w:r w:rsidRPr="00EE5E8E">
        <w:rPr>
          <w:rFonts w:ascii="Verdana" w:hAnsi="Verdana"/>
          <w:spacing w:val="-6"/>
          <w:sz w:val="20"/>
        </w:rPr>
        <w:t xml:space="preserve"> </w:t>
      </w:r>
      <w:r w:rsidRPr="00EE5E8E">
        <w:rPr>
          <w:rFonts w:ascii="Verdana" w:hAnsi="Verdana"/>
          <w:sz w:val="20"/>
        </w:rPr>
        <w:t>para</w:t>
      </w:r>
      <w:r w:rsidRPr="00EE5E8E">
        <w:rPr>
          <w:rFonts w:ascii="Verdana" w:hAnsi="Verdana"/>
          <w:spacing w:val="-7"/>
          <w:sz w:val="20"/>
        </w:rPr>
        <w:t xml:space="preserve"> </w:t>
      </w:r>
      <w:r w:rsidRPr="00EE5E8E">
        <w:rPr>
          <w:rFonts w:ascii="Verdana" w:hAnsi="Verdana"/>
          <w:sz w:val="20"/>
        </w:rPr>
        <w:t>la</w:t>
      </w:r>
      <w:r w:rsidRPr="00EE5E8E">
        <w:rPr>
          <w:rFonts w:ascii="Verdana" w:hAnsi="Verdana"/>
          <w:spacing w:val="-7"/>
          <w:sz w:val="20"/>
        </w:rPr>
        <w:t xml:space="preserve"> </w:t>
      </w:r>
      <w:r w:rsidRPr="00EE5E8E">
        <w:rPr>
          <w:rFonts w:ascii="Verdana" w:hAnsi="Verdana"/>
          <w:sz w:val="20"/>
        </w:rPr>
        <w:t>concertación</w:t>
      </w:r>
      <w:r w:rsidRPr="00EE5E8E">
        <w:rPr>
          <w:rFonts w:ascii="Verdana" w:hAnsi="Verdana"/>
          <w:spacing w:val="-6"/>
          <w:sz w:val="20"/>
        </w:rPr>
        <w:t xml:space="preserve"> </w:t>
      </w:r>
      <w:r w:rsidRPr="00EE5E8E">
        <w:rPr>
          <w:rFonts w:ascii="Verdana" w:hAnsi="Verdana"/>
          <w:sz w:val="20"/>
        </w:rPr>
        <w:t>de</w:t>
      </w:r>
      <w:r w:rsidRPr="00EE5E8E">
        <w:rPr>
          <w:rFonts w:ascii="Verdana" w:hAnsi="Verdana"/>
          <w:spacing w:val="-7"/>
          <w:sz w:val="20"/>
        </w:rPr>
        <w:t xml:space="preserve"> </w:t>
      </w:r>
      <w:r w:rsidRPr="00EE5E8E">
        <w:rPr>
          <w:rFonts w:ascii="Verdana" w:hAnsi="Verdana"/>
          <w:sz w:val="20"/>
        </w:rPr>
        <w:t>la</w:t>
      </w:r>
      <w:r w:rsidRPr="00EE5E8E">
        <w:rPr>
          <w:rFonts w:ascii="Verdana" w:hAnsi="Verdana"/>
          <w:spacing w:val="-6"/>
          <w:sz w:val="20"/>
        </w:rPr>
        <w:t xml:space="preserve"> </w:t>
      </w:r>
      <w:r w:rsidRPr="00EE5E8E">
        <w:rPr>
          <w:rFonts w:ascii="Verdana" w:hAnsi="Verdana"/>
          <w:sz w:val="20"/>
        </w:rPr>
        <w:t>liquidación</w:t>
      </w:r>
      <w:r w:rsidRPr="00EE5E8E">
        <w:rPr>
          <w:rFonts w:ascii="Verdana" w:hAnsi="Verdana"/>
          <w:spacing w:val="-7"/>
          <w:sz w:val="20"/>
        </w:rPr>
        <w:t xml:space="preserve"> </w:t>
      </w:r>
      <w:r w:rsidRPr="00EE5E8E">
        <w:rPr>
          <w:rFonts w:ascii="Verdana" w:hAnsi="Verdana"/>
          <w:sz w:val="20"/>
        </w:rPr>
        <w:t>establece</w:t>
      </w:r>
      <w:r w:rsidRPr="00EE5E8E">
        <w:rPr>
          <w:rFonts w:ascii="Verdana" w:hAnsi="Verdana"/>
          <w:spacing w:val="-53"/>
          <w:sz w:val="20"/>
        </w:rPr>
        <w:t xml:space="preserve"> </w:t>
      </w:r>
      <w:r w:rsidRPr="00EE5E8E">
        <w:rPr>
          <w:rFonts w:ascii="Verdana" w:hAnsi="Verdana"/>
          <w:sz w:val="20"/>
        </w:rPr>
        <w:t>la</w:t>
      </w:r>
      <w:r w:rsidRPr="00EE5E8E">
        <w:rPr>
          <w:rFonts w:ascii="Verdana" w:hAnsi="Verdana"/>
          <w:spacing w:val="1"/>
          <w:sz w:val="20"/>
        </w:rPr>
        <w:t xml:space="preserve"> </w:t>
      </w:r>
      <w:r w:rsidRPr="00EE5E8E">
        <w:rPr>
          <w:rFonts w:ascii="Verdana" w:hAnsi="Verdana"/>
          <w:sz w:val="20"/>
        </w:rPr>
        <w:t>ley,</w:t>
      </w:r>
      <w:r w:rsidRPr="00EE5E8E">
        <w:rPr>
          <w:rFonts w:ascii="Verdana" w:hAnsi="Verdana"/>
          <w:spacing w:val="1"/>
          <w:sz w:val="20"/>
        </w:rPr>
        <w:t xml:space="preserve"> </w:t>
      </w:r>
      <w:r w:rsidRPr="00EE5E8E">
        <w:rPr>
          <w:rFonts w:ascii="Verdana" w:hAnsi="Verdana"/>
          <w:sz w:val="20"/>
        </w:rPr>
        <w:t>e</w:t>
      </w:r>
      <w:r w:rsidRPr="00EE5E8E">
        <w:rPr>
          <w:rFonts w:ascii="Verdana" w:hAnsi="Verdana"/>
          <w:spacing w:val="1"/>
          <w:sz w:val="20"/>
        </w:rPr>
        <w:t xml:space="preserve"> </w:t>
      </w:r>
      <w:r w:rsidRPr="00EE5E8E">
        <w:rPr>
          <w:rFonts w:ascii="Verdana" w:hAnsi="Verdana"/>
          <w:sz w:val="20"/>
        </w:rPr>
        <w:t>incluso,</w:t>
      </w:r>
      <w:r w:rsidRPr="00EE5E8E">
        <w:rPr>
          <w:rFonts w:ascii="Verdana" w:hAnsi="Verdana"/>
          <w:spacing w:val="1"/>
          <w:sz w:val="20"/>
        </w:rPr>
        <w:t xml:space="preserve"> </w:t>
      </w:r>
      <w:r w:rsidRPr="00EE5E8E">
        <w:rPr>
          <w:rFonts w:ascii="Verdana" w:hAnsi="Verdana"/>
          <w:sz w:val="20"/>
        </w:rPr>
        <w:t>después</w:t>
      </w:r>
      <w:r w:rsidRPr="00EE5E8E">
        <w:rPr>
          <w:rFonts w:ascii="Verdana" w:hAnsi="Verdana"/>
          <w:spacing w:val="1"/>
          <w:sz w:val="20"/>
        </w:rPr>
        <w:t xml:space="preserve"> </w:t>
      </w:r>
      <w:r w:rsidRPr="00EE5E8E">
        <w:rPr>
          <w:rFonts w:ascii="Verdana" w:hAnsi="Verdana"/>
          <w:sz w:val="20"/>
        </w:rPr>
        <w:t>de</w:t>
      </w:r>
      <w:r w:rsidRPr="00EE5E8E">
        <w:rPr>
          <w:rFonts w:ascii="Verdana" w:hAnsi="Verdana"/>
          <w:spacing w:val="1"/>
          <w:sz w:val="20"/>
        </w:rPr>
        <w:t xml:space="preserve"> </w:t>
      </w:r>
      <w:r w:rsidRPr="00EE5E8E">
        <w:rPr>
          <w:rFonts w:ascii="Verdana" w:hAnsi="Verdana"/>
          <w:sz w:val="20"/>
        </w:rPr>
        <w:t>haber</w:t>
      </w:r>
      <w:r w:rsidRPr="00EE5E8E">
        <w:rPr>
          <w:rFonts w:ascii="Verdana" w:hAnsi="Verdana"/>
          <w:spacing w:val="1"/>
          <w:sz w:val="20"/>
        </w:rPr>
        <w:t xml:space="preserve"> </w:t>
      </w:r>
      <w:r w:rsidRPr="00EE5E8E">
        <w:rPr>
          <w:rFonts w:ascii="Verdana" w:hAnsi="Verdana"/>
          <w:sz w:val="20"/>
        </w:rPr>
        <w:t>pasado</w:t>
      </w:r>
      <w:r w:rsidRPr="00EE5E8E">
        <w:rPr>
          <w:rFonts w:ascii="Verdana" w:hAnsi="Verdana"/>
          <w:spacing w:val="1"/>
          <w:sz w:val="20"/>
        </w:rPr>
        <w:t xml:space="preserve"> </w:t>
      </w:r>
      <w:r w:rsidRPr="00EE5E8E">
        <w:rPr>
          <w:rFonts w:ascii="Verdana" w:hAnsi="Verdana"/>
          <w:sz w:val="20"/>
        </w:rPr>
        <w:t>los</w:t>
      </w:r>
      <w:r w:rsidRPr="00EE5E8E">
        <w:rPr>
          <w:rFonts w:ascii="Verdana" w:hAnsi="Verdana"/>
          <w:spacing w:val="1"/>
          <w:sz w:val="20"/>
        </w:rPr>
        <w:t xml:space="preserve"> </w:t>
      </w:r>
      <w:r w:rsidRPr="00EE5E8E">
        <w:rPr>
          <w:rFonts w:ascii="Verdana" w:hAnsi="Verdana"/>
          <w:sz w:val="20"/>
        </w:rPr>
        <w:t>dos</w:t>
      </w:r>
      <w:r w:rsidRPr="00EE5E8E">
        <w:rPr>
          <w:rFonts w:ascii="Verdana" w:hAnsi="Verdana"/>
          <w:spacing w:val="1"/>
          <w:sz w:val="20"/>
        </w:rPr>
        <w:t xml:space="preserve"> </w:t>
      </w:r>
      <w:r w:rsidRPr="00EE5E8E">
        <w:rPr>
          <w:rFonts w:ascii="Verdana" w:hAnsi="Verdana"/>
          <w:sz w:val="20"/>
        </w:rPr>
        <w:t>meses</w:t>
      </w:r>
      <w:r w:rsidRPr="00EE5E8E">
        <w:rPr>
          <w:rFonts w:ascii="Verdana" w:hAnsi="Verdana"/>
          <w:spacing w:val="1"/>
          <w:sz w:val="20"/>
        </w:rPr>
        <w:t xml:space="preserve"> </w:t>
      </w:r>
      <w:r w:rsidRPr="00EE5E8E">
        <w:rPr>
          <w:rFonts w:ascii="Verdana" w:hAnsi="Verdana"/>
          <w:sz w:val="20"/>
        </w:rPr>
        <w:t>subsiguientes</w:t>
      </w:r>
      <w:r w:rsidRPr="00EE5E8E">
        <w:rPr>
          <w:rFonts w:ascii="Verdana" w:hAnsi="Verdana"/>
          <w:spacing w:val="1"/>
          <w:sz w:val="20"/>
        </w:rPr>
        <w:t xml:space="preserve"> </w:t>
      </w:r>
      <w:r w:rsidRPr="00EE5E8E">
        <w:rPr>
          <w:rFonts w:ascii="Verdana" w:hAnsi="Verdana"/>
          <w:sz w:val="20"/>
        </w:rPr>
        <w:t>a</w:t>
      </w:r>
      <w:r w:rsidRPr="00EE5E8E">
        <w:rPr>
          <w:rFonts w:ascii="Verdana" w:hAnsi="Verdana"/>
          <w:spacing w:val="1"/>
          <w:sz w:val="20"/>
        </w:rPr>
        <w:t xml:space="preserve"> </w:t>
      </w:r>
      <w:r w:rsidRPr="00EE5E8E">
        <w:rPr>
          <w:rFonts w:ascii="Verdana" w:hAnsi="Verdana"/>
          <w:sz w:val="20"/>
        </w:rPr>
        <w:t>dicho</w:t>
      </w:r>
      <w:r w:rsidRPr="00EE5E8E">
        <w:rPr>
          <w:rFonts w:ascii="Verdana" w:hAnsi="Verdana"/>
          <w:spacing w:val="1"/>
          <w:sz w:val="20"/>
        </w:rPr>
        <w:t xml:space="preserve"> </w:t>
      </w:r>
      <w:r w:rsidRPr="00EE5E8E">
        <w:rPr>
          <w:rFonts w:ascii="Verdana" w:hAnsi="Verdana"/>
          <w:sz w:val="20"/>
        </w:rPr>
        <w:t>vencimiento sin que la administración lo hubiera liquidado unilateralmente, bajo condición</w:t>
      </w:r>
      <w:r w:rsidRPr="00EE5E8E">
        <w:rPr>
          <w:rFonts w:ascii="Verdana" w:hAnsi="Verdana"/>
          <w:spacing w:val="-53"/>
          <w:sz w:val="20"/>
        </w:rPr>
        <w:t xml:space="preserve"> </w:t>
      </w:r>
      <w:r w:rsidRPr="00EE5E8E">
        <w:rPr>
          <w:rFonts w:ascii="Verdana" w:hAnsi="Verdana"/>
          <w:sz w:val="20"/>
        </w:rPr>
        <w:t>de que el acuerdo liquidatorio se logre dentro del lapso de dos años contados a partir del</w:t>
      </w:r>
      <w:r w:rsidRPr="00EE5E8E">
        <w:rPr>
          <w:rFonts w:ascii="Verdana" w:hAnsi="Verdana"/>
          <w:spacing w:val="1"/>
          <w:sz w:val="20"/>
        </w:rPr>
        <w:t xml:space="preserve"> </w:t>
      </w:r>
      <w:r w:rsidRPr="00EE5E8E">
        <w:rPr>
          <w:rFonts w:ascii="Verdana" w:hAnsi="Verdana"/>
          <w:sz w:val="20"/>
        </w:rPr>
        <w:t>vencimiento del término legalmente conocido para la liquidación unilateral, pues ese es el</w:t>
      </w:r>
      <w:r w:rsidRPr="00EE5E8E">
        <w:rPr>
          <w:rFonts w:ascii="Verdana" w:hAnsi="Verdana"/>
          <w:spacing w:val="-53"/>
          <w:sz w:val="20"/>
        </w:rPr>
        <w:t xml:space="preserve"> </w:t>
      </w:r>
      <w:r w:rsidRPr="00EE5E8E">
        <w:rPr>
          <w:rFonts w:ascii="Verdana" w:hAnsi="Verdana"/>
          <w:sz w:val="20"/>
        </w:rPr>
        <w:t>lapso</w:t>
      </w:r>
      <w:r w:rsidRPr="00EE5E8E">
        <w:rPr>
          <w:rFonts w:ascii="Verdana" w:hAnsi="Verdana"/>
          <w:spacing w:val="-3"/>
          <w:sz w:val="20"/>
        </w:rPr>
        <w:t xml:space="preserve"> </w:t>
      </w:r>
      <w:r w:rsidRPr="00EE5E8E">
        <w:rPr>
          <w:rFonts w:ascii="Verdana" w:hAnsi="Verdana"/>
          <w:sz w:val="20"/>
        </w:rPr>
        <w:t>que</w:t>
      </w:r>
      <w:r w:rsidRPr="00EE5E8E">
        <w:rPr>
          <w:rFonts w:ascii="Verdana" w:hAnsi="Verdana"/>
          <w:spacing w:val="-2"/>
          <w:sz w:val="20"/>
        </w:rPr>
        <w:t xml:space="preserve"> </w:t>
      </w:r>
      <w:r w:rsidRPr="00EE5E8E">
        <w:rPr>
          <w:rFonts w:ascii="Verdana" w:hAnsi="Verdana"/>
          <w:sz w:val="20"/>
        </w:rPr>
        <w:t>el</w:t>
      </w:r>
      <w:r w:rsidRPr="00EE5E8E">
        <w:rPr>
          <w:rFonts w:ascii="Verdana" w:hAnsi="Verdana"/>
          <w:spacing w:val="-2"/>
          <w:sz w:val="20"/>
        </w:rPr>
        <w:t xml:space="preserve"> </w:t>
      </w:r>
      <w:r w:rsidRPr="00EE5E8E">
        <w:rPr>
          <w:rFonts w:ascii="Verdana" w:hAnsi="Verdana"/>
          <w:sz w:val="20"/>
        </w:rPr>
        <w:t>ordenamiento</w:t>
      </w:r>
      <w:r w:rsidRPr="00EE5E8E">
        <w:rPr>
          <w:rFonts w:ascii="Verdana" w:hAnsi="Verdana"/>
          <w:spacing w:val="-2"/>
          <w:sz w:val="20"/>
        </w:rPr>
        <w:t xml:space="preserve"> </w:t>
      </w:r>
      <w:r w:rsidRPr="00EE5E8E">
        <w:rPr>
          <w:rFonts w:ascii="Verdana" w:hAnsi="Verdana"/>
          <w:sz w:val="20"/>
        </w:rPr>
        <w:t>ha</w:t>
      </w:r>
      <w:r w:rsidRPr="00EE5E8E">
        <w:rPr>
          <w:rFonts w:ascii="Verdana" w:hAnsi="Verdana"/>
          <w:spacing w:val="-3"/>
          <w:sz w:val="20"/>
        </w:rPr>
        <w:t xml:space="preserve"> </w:t>
      </w:r>
      <w:r w:rsidRPr="00EE5E8E">
        <w:rPr>
          <w:rFonts w:ascii="Verdana" w:hAnsi="Verdana"/>
          <w:sz w:val="20"/>
        </w:rPr>
        <w:t>fijado</w:t>
      </w:r>
      <w:r w:rsidRPr="00EE5E8E">
        <w:rPr>
          <w:rFonts w:ascii="Verdana" w:hAnsi="Verdana"/>
          <w:spacing w:val="-2"/>
          <w:sz w:val="20"/>
        </w:rPr>
        <w:t xml:space="preserve"> </w:t>
      </w:r>
      <w:r w:rsidRPr="00EE5E8E">
        <w:rPr>
          <w:rFonts w:ascii="Verdana" w:hAnsi="Verdana"/>
          <w:sz w:val="20"/>
        </w:rPr>
        <w:t>para</w:t>
      </w:r>
      <w:r w:rsidRPr="00EE5E8E">
        <w:rPr>
          <w:rFonts w:ascii="Verdana" w:hAnsi="Verdana"/>
          <w:spacing w:val="-2"/>
          <w:sz w:val="20"/>
        </w:rPr>
        <w:t xml:space="preserve"> </w:t>
      </w:r>
      <w:r w:rsidRPr="00EE5E8E">
        <w:rPr>
          <w:rFonts w:ascii="Verdana" w:hAnsi="Verdana"/>
          <w:sz w:val="20"/>
        </w:rPr>
        <w:t>el</w:t>
      </w:r>
      <w:r w:rsidRPr="00EE5E8E">
        <w:rPr>
          <w:rFonts w:ascii="Verdana" w:hAnsi="Verdana"/>
          <w:spacing w:val="-2"/>
          <w:sz w:val="20"/>
        </w:rPr>
        <w:t xml:space="preserve"> </w:t>
      </w:r>
      <w:r w:rsidRPr="00EE5E8E">
        <w:rPr>
          <w:rFonts w:ascii="Verdana" w:hAnsi="Verdana"/>
          <w:sz w:val="20"/>
        </w:rPr>
        <w:t>ejercicio</w:t>
      </w:r>
      <w:r w:rsidRPr="00EE5E8E">
        <w:rPr>
          <w:rFonts w:ascii="Verdana" w:hAnsi="Verdana"/>
          <w:spacing w:val="-3"/>
          <w:sz w:val="20"/>
        </w:rPr>
        <w:t xml:space="preserve"> </w:t>
      </w:r>
      <w:r w:rsidRPr="00EE5E8E">
        <w:rPr>
          <w:rFonts w:ascii="Verdana" w:hAnsi="Verdana"/>
          <w:sz w:val="20"/>
        </w:rPr>
        <w:t>oportuno</w:t>
      </w:r>
      <w:r w:rsidRPr="00EE5E8E">
        <w:rPr>
          <w:rFonts w:ascii="Verdana" w:hAnsi="Verdana"/>
          <w:spacing w:val="-2"/>
          <w:sz w:val="20"/>
        </w:rPr>
        <w:t xml:space="preserve"> </w:t>
      </w:r>
      <w:r w:rsidRPr="00EE5E8E">
        <w:rPr>
          <w:rFonts w:ascii="Verdana" w:hAnsi="Verdana"/>
          <w:sz w:val="20"/>
        </w:rPr>
        <w:t>de</w:t>
      </w:r>
      <w:r w:rsidRPr="00EE5E8E">
        <w:rPr>
          <w:rFonts w:ascii="Verdana" w:hAnsi="Verdana"/>
          <w:spacing w:val="-2"/>
          <w:sz w:val="20"/>
        </w:rPr>
        <w:t xml:space="preserve"> </w:t>
      </w:r>
      <w:r w:rsidRPr="00EE5E8E">
        <w:rPr>
          <w:rFonts w:ascii="Verdana" w:hAnsi="Verdana"/>
          <w:sz w:val="20"/>
        </w:rPr>
        <w:t>la</w:t>
      </w:r>
      <w:r w:rsidRPr="00EE5E8E">
        <w:rPr>
          <w:rFonts w:ascii="Verdana" w:hAnsi="Verdana"/>
          <w:spacing w:val="-2"/>
          <w:sz w:val="20"/>
        </w:rPr>
        <w:t xml:space="preserve"> </w:t>
      </w:r>
      <w:r w:rsidRPr="00EE5E8E">
        <w:rPr>
          <w:rFonts w:ascii="Verdana" w:hAnsi="Verdana"/>
          <w:sz w:val="20"/>
        </w:rPr>
        <w:t xml:space="preserve">acción”. </w:t>
      </w:r>
    </w:p>
    <w:p w14:paraId="7A402F53" w14:textId="77777777" w:rsidR="00556A41" w:rsidRPr="00F766A3" w:rsidRDefault="00556A41" w:rsidP="00556A41">
      <w:pPr>
        <w:spacing w:after="0" w:line="276" w:lineRule="auto"/>
        <w:ind w:left="709" w:right="709"/>
        <w:jc w:val="both"/>
        <w:rPr>
          <w:rFonts w:ascii="Verdana" w:hAnsi="Verdana"/>
          <w:i/>
        </w:rPr>
      </w:pPr>
    </w:p>
    <w:p w14:paraId="0B64713A" w14:textId="77777777" w:rsidR="00556A41" w:rsidRPr="00E803F5" w:rsidRDefault="00556A41" w:rsidP="00F83E60">
      <w:pPr>
        <w:spacing w:after="120" w:line="276" w:lineRule="auto"/>
        <w:ind w:firstLine="708"/>
        <w:jc w:val="both"/>
        <w:rPr>
          <w:rFonts w:ascii="Verdana" w:hAnsi="Verdana"/>
        </w:rPr>
      </w:pPr>
      <w:r w:rsidRPr="00E803F5">
        <w:rPr>
          <w:rFonts w:ascii="Verdana" w:hAnsi="Verdana"/>
        </w:rPr>
        <w:t xml:space="preserve">Así las cosas, de acuerdo con el artículo 11 de la Ley 1150 de 2007, existen tres (3) tipos de liquidación: i) bilateral, ii) unilateral y iii) judicial. En términos generales, la primera, que puede ser total o parcial, debe hacerse en el término que estipulen las partes o, en su defecto, dentro del término supletivo de cuatro </w:t>
      </w:r>
      <w:r w:rsidRPr="00E803F5">
        <w:rPr>
          <w:rFonts w:ascii="Verdana" w:hAnsi="Verdana"/>
        </w:rPr>
        <w:lastRenderedPageBreak/>
        <w:t>(4) meses. La segunda se debe practicar dentro de los dos (2) meses siguientes al vencimiento del término que acuerden las partes, o ante el silencio de estas, luego de los cuatro (4) meses para realizar la liquidación bilateral, sin que esta se efectúe. Finalmente, la tercera la realiza el juez contencioso administrativo o un tribunal arbitral dentro de un proceso judicial de controversias contractuales y puede darse con ocasión de una demanda del interesado solicitando dicha liquidación y para ello existe un plazo máximo de dos (2) años contados a partir de los dos (2) meses establecidos en la Ley para realizar la liquidación unilateral.</w:t>
      </w:r>
    </w:p>
    <w:p w14:paraId="0611A4A8" w14:textId="77777777" w:rsidR="00556A41" w:rsidRPr="00EC4338" w:rsidRDefault="00556A41" w:rsidP="00F83E60">
      <w:pPr>
        <w:spacing w:after="120" w:line="276" w:lineRule="auto"/>
        <w:ind w:firstLine="708"/>
        <w:jc w:val="both"/>
        <w:rPr>
          <w:rFonts w:ascii="Verdana" w:hAnsi="Verdana"/>
        </w:rPr>
      </w:pPr>
      <w:r w:rsidRPr="00EC4338">
        <w:rPr>
          <w:rFonts w:ascii="Verdana" w:hAnsi="Verdana"/>
        </w:rPr>
        <w:t>El artículo 11 de la Ley 1150 de 2007 determinó que dichos plazos inician a contarse desde la terminación de la ejecución del contrato, ya sea por vencimiento de plazo, o por expedición de acto administrativo de ordenó su terminación o la fecha de acuerdo entre las partes para ello.</w:t>
      </w:r>
    </w:p>
    <w:p w14:paraId="3E5DE1E6" w14:textId="77777777" w:rsidR="00556A41" w:rsidRPr="00EC4338" w:rsidRDefault="00556A41" w:rsidP="00F83E60">
      <w:pPr>
        <w:spacing w:after="120" w:line="276" w:lineRule="auto"/>
        <w:ind w:firstLine="708"/>
        <w:jc w:val="both"/>
        <w:rPr>
          <w:rFonts w:ascii="Verdana" w:hAnsi="Verdana"/>
        </w:rPr>
      </w:pPr>
      <w:r w:rsidRPr="00E803F5">
        <w:rPr>
          <w:rFonts w:ascii="Verdana" w:hAnsi="Verdana"/>
        </w:rPr>
        <w:t>Respecto de los criterios para el cierre del expediente contractual, debe distinguirse esta actuación de la liquidación del contrato. El cierre del expediente constituye una actuación administrativa orientada a consolidar la totalidad de los documentos que soportan la actuación contractual y garantizar la integridad del archivo contractual. En tal sentido, la entidad deberá verificar la terminación del contrato, la realización de la liquidación cuando esta resulte procedente, la incorporación de todos los documentos contractuales y la conservación de los soportes necesarios para atender eventuales actuaciones administrativas, fiscales, disciplinarias o judiciales posteriores.</w:t>
      </w:r>
    </w:p>
    <w:p w14:paraId="24732967" w14:textId="1B53D650" w:rsidR="00556A41" w:rsidRDefault="00556A41" w:rsidP="00F83E60">
      <w:pPr>
        <w:spacing w:after="120" w:line="276" w:lineRule="auto"/>
        <w:ind w:firstLine="708"/>
        <w:jc w:val="both"/>
        <w:rPr>
          <w:rFonts w:ascii="Verdana" w:hAnsi="Verdana"/>
        </w:rPr>
      </w:pPr>
      <w:r w:rsidRPr="00E803F5">
        <w:rPr>
          <w:rFonts w:ascii="Verdana" w:hAnsi="Verdana"/>
        </w:rPr>
        <w:t>En cuanto a la pérdida de competencia para liquidar el contrato, el Concepto C-199 de 2024</w:t>
      </w:r>
      <w:r>
        <w:rPr>
          <w:rFonts w:ascii="Verdana" w:hAnsi="Verdana"/>
        </w:rPr>
        <w:t xml:space="preserve"> emitido por esta Subdirección Contractual</w:t>
      </w:r>
      <w:r w:rsidRPr="00E803F5">
        <w:rPr>
          <w:rFonts w:ascii="Verdana" w:hAnsi="Verdana"/>
        </w:rPr>
        <w:t xml:space="preserve">, al desarrollar el artículo 11 de la Ley 1150 de 2007, recordó que el ordenamiento jurídico prevé tres modalidades de liquidación: bilateral, unilateral y judicial. La liquidación bilateral debe realizarse dentro del plazo acordado por las partes o, en su defecto, dentro de los cuatro </w:t>
      </w:r>
      <w:r w:rsidR="00233D80">
        <w:rPr>
          <w:rFonts w:ascii="Verdana" w:hAnsi="Verdana"/>
        </w:rPr>
        <w:t xml:space="preserve">(4) </w:t>
      </w:r>
      <w:r w:rsidRPr="00E803F5">
        <w:rPr>
          <w:rFonts w:ascii="Verdana" w:hAnsi="Verdana"/>
        </w:rPr>
        <w:t>meses siguientes a la terminación del contrato. La liquidación unilateral procede dentro de los dos</w:t>
      </w:r>
      <w:r w:rsidR="00A009AE">
        <w:rPr>
          <w:rFonts w:ascii="Verdana" w:hAnsi="Verdana"/>
        </w:rPr>
        <w:t xml:space="preserve"> (2)</w:t>
      </w:r>
      <w:r w:rsidRPr="00E803F5">
        <w:rPr>
          <w:rFonts w:ascii="Verdana" w:hAnsi="Verdana"/>
        </w:rPr>
        <w:t xml:space="preserve"> meses siguientes al vencimiento del término para liquidar bilateralmente. Finalmente, la liquidación judicial podrá solicitarse dentro del término legal previsto para promover el medio de control de controversias contractuales.</w:t>
      </w:r>
    </w:p>
    <w:p w14:paraId="60903AE8" w14:textId="77777777" w:rsidR="00556A41" w:rsidRDefault="00556A41" w:rsidP="00F83E60">
      <w:pPr>
        <w:spacing w:after="120" w:line="276" w:lineRule="auto"/>
        <w:ind w:firstLine="708"/>
        <w:jc w:val="both"/>
        <w:rPr>
          <w:rFonts w:ascii="Verdana" w:hAnsi="Verdana"/>
        </w:rPr>
      </w:pPr>
      <w:r w:rsidRPr="00E803F5">
        <w:rPr>
          <w:rFonts w:ascii="Verdana" w:hAnsi="Verdana"/>
        </w:rPr>
        <w:t xml:space="preserve">Por lo tanto, cuando la entidad ha perdido competencia para adelantar la liquidación bilateral o unilateral, no resulta jurídicamente viable subsanar dicha situación mediante una actuación administrativa extemporánea. En tales eventos, la definición de las obligaciones pendientes solamente podrá producirse </w:t>
      </w:r>
      <w:r w:rsidRPr="00E803F5">
        <w:rPr>
          <w:rFonts w:ascii="Verdana" w:hAnsi="Verdana"/>
        </w:rPr>
        <w:lastRenderedPageBreak/>
        <w:t>a través de los mecanismos judiciales previstos por el ordenamiento jurídico, cuando ello resulte procedente.</w:t>
      </w:r>
    </w:p>
    <w:p w14:paraId="22B2BAF7" w14:textId="2A4C288E" w:rsidR="00556A41" w:rsidRDefault="00556A41" w:rsidP="00F83E60">
      <w:pPr>
        <w:spacing w:after="120" w:line="276" w:lineRule="auto"/>
        <w:ind w:firstLine="708"/>
        <w:jc w:val="both"/>
        <w:rPr>
          <w:rFonts w:ascii="Verdana" w:hAnsi="Verdana"/>
        </w:rPr>
      </w:pPr>
      <w:r>
        <w:rPr>
          <w:rFonts w:ascii="Verdana" w:hAnsi="Verdana"/>
        </w:rPr>
        <w:t>Por su parte</w:t>
      </w:r>
      <w:r w:rsidRPr="00E803F5">
        <w:rPr>
          <w:rFonts w:ascii="Verdana" w:hAnsi="Verdana"/>
        </w:rPr>
        <w:t>, frente a la existencia de reclamaciones o procesos judiciales derivados de siniestros pendientes de decisión, debe señalarse que ni la Ley 80 de 1993 ni la Ley 1150 de 2007 establecen como requisito para liquidar o cerrar el expediente contractual la culminación de todos los litigios relacionados con la ejecución de las pólizas. En consecuencia, la sola existencia de reclamaciones administrativas o procesos judiciales en curso no impide automáticamente la liquidación del contrato ni el cierre del expediente contractual. Lo relevante es determinar si subsisten obligaciones contractuales pendientes entre las partes del contrato estatal objeto de liquidación.</w:t>
      </w:r>
    </w:p>
    <w:p w14:paraId="57A06925" w14:textId="77777777" w:rsidR="00556A41" w:rsidRDefault="00556A41" w:rsidP="00F83E60">
      <w:pPr>
        <w:spacing w:after="120" w:line="276" w:lineRule="auto"/>
        <w:ind w:firstLine="708"/>
        <w:jc w:val="both"/>
        <w:rPr>
          <w:rFonts w:ascii="Verdana" w:hAnsi="Verdana"/>
        </w:rPr>
      </w:pPr>
      <w:r w:rsidRPr="00EC4338">
        <w:rPr>
          <w:rFonts w:ascii="Verdana" w:hAnsi="Verdana"/>
        </w:rPr>
        <w:t>Finalmente, debe advertirse que el análisis requerido para resolver situaciones particulares relacionadas con la acreditación de experiencia corresponde a quienes tengan interés directo en el respectivo proceso contractual. En consecuencia, las consideraciones anteriores constituyen criterios generales de interpretación y no pueden entenderse como un pronunciamiento sobre casos concretos. La decisión respecto de la suficiencia de los documentos aportados corresponde a la entidad contratante en cada procedimiento específico y, en caso de controversia, a las autoridades competentes.</w:t>
      </w:r>
    </w:p>
    <w:p w14:paraId="3FA8A1E5" w14:textId="77777777" w:rsidR="00556A41" w:rsidRPr="00EC4338" w:rsidRDefault="00556A41" w:rsidP="00F83E60">
      <w:pPr>
        <w:spacing w:after="0" w:line="276" w:lineRule="auto"/>
        <w:ind w:firstLine="708"/>
        <w:jc w:val="both"/>
        <w:rPr>
          <w:rFonts w:ascii="Verdana" w:hAnsi="Verdana"/>
        </w:rPr>
      </w:pPr>
      <w:r w:rsidRPr="00EC4338">
        <w:rPr>
          <w:rFonts w:ascii="Verdana" w:hAnsi="Verdana"/>
        </w:rPr>
        <w:t>En ese sentido,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p w14:paraId="43579FCA" w14:textId="77777777" w:rsidR="00556A41" w:rsidRPr="00152A25" w:rsidRDefault="00556A41" w:rsidP="00152A25">
      <w:pPr>
        <w:spacing w:after="0" w:line="276" w:lineRule="auto"/>
        <w:ind w:firstLine="708"/>
        <w:jc w:val="both"/>
        <w:textAlignment w:val="baseline"/>
        <w:rPr>
          <w:rFonts w:ascii="Verdana" w:eastAsia="Verdana" w:hAnsi="Verdana" w:cs="Verdana"/>
          <w:lang w:val="es"/>
        </w:rPr>
      </w:pPr>
      <w:r w:rsidRPr="00152A25">
        <w:rPr>
          <w:rFonts w:ascii="Verdana" w:eastAsia="Verdana" w:hAnsi="Verdana" w:cs="Verdana"/>
          <w:lang w:val="es"/>
        </w:rPr>
        <w:t xml:space="preserve">  </w:t>
      </w:r>
    </w:p>
    <w:p w14:paraId="1399DACF" w14:textId="77777777" w:rsidR="00556A41" w:rsidRPr="00152A25" w:rsidRDefault="00556A41" w:rsidP="00F83E60">
      <w:pPr>
        <w:pStyle w:val="Prrafodelista"/>
        <w:numPr>
          <w:ilvl w:val="0"/>
          <w:numId w:val="16"/>
        </w:numPr>
        <w:spacing w:after="0" w:line="276" w:lineRule="auto"/>
        <w:ind w:left="1080" w:hanging="720"/>
        <w:contextualSpacing w:val="0"/>
        <w:jc w:val="both"/>
        <w:textAlignment w:val="baseline"/>
        <w:rPr>
          <w:rFonts w:ascii="Verdana" w:eastAsia="Verdana" w:hAnsi="Verdana" w:cs="Verdana"/>
          <w:b/>
          <w:bCs/>
          <w:lang w:val="es"/>
        </w:rPr>
      </w:pPr>
      <w:r w:rsidRPr="00152A25">
        <w:rPr>
          <w:rFonts w:ascii="Verdana" w:eastAsia="Verdana" w:hAnsi="Verdana" w:cs="Verdana"/>
          <w:b/>
          <w:bCs/>
          <w:lang w:val="es"/>
        </w:rPr>
        <w:t>Referencias normativas, jurisprudenciales y otras fuentes:</w:t>
      </w:r>
    </w:p>
    <w:p w14:paraId="106BE32F" w14:textId="77777777" w:rsidR="00556A41" w:rsidRPr="00152A25" w:rsidRDefault="00556A41" w:rsidP="00152A25">
      <w:pPr>
        <w:spacing w:after="0" w:line="276" w:lineRule="auto"/>
        <w:jc w:val="both"/>
        <w:textAlignment w:val="baseline"/>
        <w:rPr>
          <w:rFonts w:ascii="Verdana" w:eastAsia="Verdana" w:hAnsi="Verdana" w:cs="Verdana"/>
          <w:lang w:val="es"/>
        </w:rPr>
      </w:pPr>
      <w:r w:rsidRPr="00152A25">
        <w:rPr>
          <w:rFonts w:ascii="Verdana" w:eastAsia="Verdana" w:hAnsi="Verdana" w:cs="Verdana"/>
          <w:lang w:val="es"/>
        </w:rPr>
        <w:t xml:space="preserve"> </w:t>
      </w:r>
    </w:p>
    <w:tbl>
      <w:tblPr>
        <w:tblStyle w:val="Tablaconcuadrcula"/>
        <w:tblW w:w="0" w:type="auto"/>
        <w:tblInd w:w="135" w:type="dxa"/>
        <w:tblLook w:val="04A0" w:firstRow="1" w:lastRow="0" w:firstColumn="1" w:lastColumn="0" w:noHBand="0" w:noVBand="1"/>
      </w:tblPr>
      <w:tblGrid>
        <w:gridCol w:w="8683"/>
      </w:tblGrid>
      <w:tr w:rsidR="00556A41" w:rsidRPr="00152A25" w14:paraId="783F2085" w14:textId="77777777">
        <w:trPr>
          <w:trHeight w:val="870"/>
        </w:trPr>
        <w:tc>
          <w:tcPr>
            <w:tcW w:w="8640" w:type="dxa"/>
            <w:tcBorders>
              <w:top w:val="dotted" w:sz="8" w:space="0" w:color="auto"/>
              <w:left w:val="dotted" w:sz="8" w:space="0" w:color="auto"/>
              <w:bottom w:val="dotted" w:sz="8" w:space="0" w:color="auto"/>
              <w:right w:val="dotted" w:sz="8" w:space="0" w:color="auto"/>
            </w:tcBorders>
            <w:tcMar>
              <w:left w:w="108" w:type="dxa"/>
              <w:right w:w="108" w:type="dxa"/>
            </w:tcMar>
          </w:tcPr>
          <w:p w14:paraId="15F74D74" w14:textId="77777777" w:rsidR="00556A41" w:rsidRPr="00152A25" w:rsidRDefault="00556A41" w:rsidP="00152A25">
            <w:pPr>
              <w:pStyle w:val="Prrafodelista"/>
              <w:numPr>
                <w:ilvl w:val="0"/>
                <w:numId w:val="17"/>
              </w:numPr>
              <w:spacing w:line="276" w:lineRule="auto"/>
              <w:contextualSpacing w:val="0"/>
              <w:jc w:val="both"/>
              <w:rPr>
                <w:rFonts w:ascii="Verdana" w:hAnsi="Verdana" w:cs="Arial"/>
                <w:color w:val="000000" w:themeColor="text1"/>
                <w:lang w:val="es-ES_tradnl"/>
              </w:rPr>
            </w:pPr>
            <w:r w:rsidRPr="00152A25">
              <w:rPr>
                <w:rFonts w:ascii="Verdana" w:hAnsi="Verdana" w:cs="Arial"/>
                <w:color w:val="000000" w:themeColor="text1"/>
                <w:lang w:val="es-ES_tradnl"/>
              </w:rPr>
              <w:t xml:space="preserve">Código de Comercio: Artículo 1347. </w:t>
            </w:r>
          </w:p>
          <w:p w14:paraId="4B632AA4" w14:textId="77777777" w:rsidR="00556A41" w:rsidRPr="00152A25" w:rsidRDefault="00556A41" w:rsidP="00152A25">
            <w:pPr>
              <w:pStyle w:val="Prrafodelista"/>
              <w:numPr>
                <w:ilvl w:val="0"/>
                <w:numId w:val="17"/>
              </w:numPr>
              <w:spacing w:line="276" w:lineRule="auto"/>
              <w:contextualSpacing w:val="0"/>
              <w:jc w:val="both"/>
              <w:rPr>
                <w:rFonts w:ascii="Verdana" w:eastAsia="Times New Roman" w:hAnsi="Verdana" w:cs="Arial"/>
                <w:color w:val="000000" w:themeColor="text1"/>
                <w:lang w:val="es-ES_tradnl" w:eastAsia="es-ES"/>
              </w:rPr>
            </w:pPr>
            <w:r w:rsidRPr="00152A25">
              <w:rPr>
                <w:rFonts w:ascii="Verdana" w:eastAsia="Times New Roman" w:hAnsi="Verdana" w:cs="Arial"/>
                <w:color w:val="000000" w:themeColor="text1"/>
                <w:lang w:val="es-ES_tradnl" w:eastAsia="es-ES"/>
              </w:rPr>
              <w:t xml:space="preserve">Ley 80 de 1993: Artículo 60. </w:t>
            </w:r>
          </w:p>
          <w:p w14:paraId="3667A4B4" w14:textId="77777777" w:rsidR="00556A41" w:rsidRPr="00152A25" w:rsidRDefault="00556A41" w:rsidP="00152A25">
            <w:pPr>
              <w:pStyle w:val="Prrafodelista"/>
              <w:numPr>
                <w:ilvl w:val="0"/>
                <w:numId w:val="17"/>
              </w:numPr>
              <w:spacing w:line="276" w:lineRule="auto"/>
              <w:contextualSpacing w:val="0"/>
              <w:jc w:val="both"/>
              <w:rPr>
                <w:rFonts w:ascii="Verdana" w:eastAsia="Times New Roman" w:hAnsi="Verdana" w:cs="Arial"/>
                <w:color w:val="000000" w:themeColor="text1"/>
                <w:lang w:val="es-ES_tradnl" w:eastAsia="es-ES"/>
              </w:rPr>
            </w:pPr>
            <w:r w:rsidRPr="00152A25">
              <w:rPr>
                <w:rFonts w:ascii="Verdana" w:eastAsia="Times New Roman" w:hAnsi="Verdana" w:cs="Arial"/>
                <w:color w:val="000000" w:themeColor="text1"/>
                <w:lang w:val="es-ES_tradnl" w:eastAsia="es-ES"/>
              </w:rPr>
              <w:t xml:space="preserve">Ley 1150 de 2007: Artículo 11. </w:t>
            </w:r>
          </w:p>
          <w:p w14:paraId="41266009" w14:textId="77777777" w:rsidR="00556A41" w:rsidRPr="00152A25" w:rsidRDefault="00556A41" w:rsidP="00F83E60">
            <w:pPr>
              <w:pStyle w:val="Prrafodelista"/>
              <w:numPr>
                <w:ilvl w:val="0"/>
                <w:numId w:val="17"/>
              </w:numPr>
              <w:spacing w:line="276" w:lineRule="auto"/>
              <w:contextualSpacing w:val="0"/>
              <w:jc w:val="both"/>
              <w:rPr>
                <w:rFonts w:ascii="Verdana" w:eastAsia="Verdana" w:hAnsi="Verdana" w:cs="Verdana"/>
                <w:lang w:val="es"/>
              </w:rPr>
            </w:pPr>
            <w:r w:rsidRPr="00152A25">
              <w:rPr>
                <w:rFonts w:ascii="Verdana" w:eastAsia="Times New Roman" w:hAnsi="Verdana" w:cs="Arial"/>
                <w:color w:val="000000" w:themeColor="text1"/>
                <w:lang w:eastAsia="es-ES"/>
              </w:rPr>
              <w:lastRenderedPageBreak/>
              <w:t xml:space="preserve">Guía para la liquidación de los Procesos de Contratación. </w:t>
            </w:r>
            <w:r w:rsidRPr="00152A25">
              <w:rPr>
                <w:rFonts w:ascii="Verdana" w:hAnsi="Verdana" w:cs="Arial"/>
              </w:rPr>
              <w:t xml:space="preserve">Disponible en: </w:t>
            </w:r>
            <w:hyperlink r:id="rId12" w:history="1">
              <w:r w:rsidRPr="00152A25">
                <w:rPr>
                  <w:rStyle w:val="Hipervnculo"/>
                  <w:rFonts w:ascii="Verdana" w:hAnsi="Verdana" w:cs="Arial"/>
                </w:rPr>
                <w:t>https://www.colombiacompra.gov.co/sites/cce_public/files/cce_documents/cce_guia_liquidacion_procesos.pdf</w:t>
              </w:r>
            </w:hyperlink>
            <w:r w:rsidRPr="00152A25">
              <w:rPr>
                <w:rFonts w:ascii="Verdana" w:hAnsi="Verdana" w:cs="Arial"/>
                <w:color w:val="7030A0"/>
              </w:rPr>
              <w:t xml:space="preserve"> </w:t>
            </w:r>
          </w:p>
        </w:tc>
      </w:tr>
    </w:tbl>
    <w:p w14:paraId="28CF73B2" w14:textId="77777777" w:rsidR="00556A41" w:rsidRPr="00152A25" w:rsidRDefault="00556A41" w:rsidP="00152A25">
      <w:pPr>
        <w:spacing w:after="0" w:line="276" w:lineRule="auto"/>
        <w:jc w:val="both"/>
        <w:textAlignment w:val="baseline"/>
        <w:rPr>
          <w:rFonts w:ascii="Verdana" w:eastAsia="Verdana" w:hAnsi="Verdana" w:cs="Verdana"/>
          <w:lang w:val="es"/>
        </w:rPr>
      </w:pPr>
      <w:r w:rsidRPr="00152A25">
        <w:rPr>
          <w:rFonts w:ascii="Verdana" w:eastAsia="Verdana" w:hAnsi="Verdana" w:cs="Verdana"/>
          <w:lang w:val="es"/>
        </w:rPr>
        <w:lastRenderedPageBreak/>
        <w:t xml:space="preserve"> </w:t>
      </w:r>
    </w:p>
    <w:p w14:paraId="3996445D" w14:textId="77777777" w:rsidR="00556A41" w:rsidRPr="00152A25" w:rsidRDefault="00556A41" w:rsidP="00F83E60">
      <w:pPr>
        <w:pStyle w:val="Prrafodelista"/>
        <w:numPr>
          <w:ilvl w:val="0"/>
          <w:numId w:val="16"/>
        </w:numPr>
        <w:spacing w:after="0" w:line="276" w:lineRule="auto"/>
        <w:contextualSpacing w:val="0"/>
        <w:jc w:val="both"/>
        <w:textAlignment w:val="baseline"/>
        <w:rPr>
          <w:rFonts w:ascii="Verdana" w:eastAsia="Verdana" w:hAnsi="Verdana" w:cs="Verdana"/>
          <w:b/>
          <w:bCs/>
          <w:lang w:val="es"/>
        </w:rPr>
      </w:pPr>
      <w:r w:rsidRPr="00152A25">
        <w:rPr>
          <w:rFonts w:ascii="Verdana" w:eastAsia="Verdana" w:hAnsi="Verdana" w:cs="Verdana"/>
          <w:b/>
          <w:bCs/>
          <w:lang w:val="es"/>
        </w:rPr>
        <w:t>Doctrina de la Agencia Nacional de Contratación Pública:</w:t>
      </w:r>
    </w:p>
    <w:p w14:paraId="54C96F50" w14:textId="77777777" w:rsidR="00556A41" w:rsidRPr="00152A25" w:rsidRDefault="00556A41" w:rsidP="00F83E60">
      <w:pPr>
        <w:pStyle w:val="Prrafodelista"/>
        <w:spacing w:after="0" w:line="276" w:lineRule="auto"/>
        <w:contextualSpacing w:val="0"/>
        <w:jc w:val="both"/>
        <w:textAlignment w:val="baseline"/>
        <w:rPr>
          <w:rFonts w:ascii="Verdana" w:eastAsia="Verdana" w:hAnsi="Verdana" w:cs="Verdana"/>
          <w:b/>
          <w:bCs/>
          <w:lang w:val="es"/>
        </w:rPr>
      </w:pPr>
    </w:p>
    <w:p w14:paraId="4EC02D7F" w14:textId="65631D78" w:rsidR="00556A41" w:rsidRPr="00152A25" w:rsidRDefault="00556A41" w:rsidP="00152A25">
      <w:pPr>
        <w:widowControl w:val="0"/>
        <w:autoSpaceDE w:val="0"/>
        <w:autoSpaceDN w:val="0"/>
        <w:spacing w:after="0" w:line="276" w:lineRule="auto"/>
        <w:jc w:val="both"/>
        <w:rPr>
          <w:rStyle w:val="normaltextrun"/>
          <w:rFonts w:ascii="Verdana" w:hAnsi="Verdana" w:cs="Arial"/>
          <w:color w:val="7030A0"/>
          <w:shd w:val="clear" w:color="auto" w:fill="FFFFFF"/>
          <w:lang w:val="es-ES"/>
        </w:rPr>
      </w:pPr>
      <w:r w:rsidRPr="00152A25">
        <w:rPr>
          <w:rFonts w:ascii="Verdana" w:eastAsia="Calibri" w:hAnsi="Verdana" w:cs="Arial"/>
          <w:lang w:val="es-ES_tradnl"/>
        </w:rPr>
        <w:t xml:space="preserve">La Subdirección de gestión Contractual se ha pronunciado sobre la liquidación de los contratos estatales </w:t>
      </w:r>
      <w:r w:rsidRPr="00152A25">
        <w:rPr>
          <w:rFonts w:ascii="Verdana" w:eastAsia="Calibri" w:hAnsi="Verdana" w:cs="Arial"/>
          <w:bCs/>
          <w:lang w:val="es-MX"/>
        </w:rPr>
        <w:t xml:space="preserve">en el concepto con radicado No. 4201912000004908 del 27 de septiembre de 2019 y los conceptos con número interno CU-028 de 25 de febrero de 2020, C- 221 de 21 de abril de 2020 y C-444 del 23 de julio de 2021, C-542 del 31 de agosto de 2020, , C- 616 del 17 de septiembre de 2020, C−732 del 14 de diciembre de 2020, C-739 del 16 de diciembre de 2020 y C-168 del 19 de abril de 2021, C-444 del 23 de julio de 2021, </w:t>
      </w:r>
      <w:r w:rsidRPr="00152A25">
        <w:rPr>
          <w:rFonts w:ascii="Verdana" w:eastAsia="Calibri" w:hAnsi="Verdana" w:cs="Arial"/>
          <w:color w:val="000000" w:themeColor="text1"/>
        </w:rPr>
        <w:t>, C-747 del 8 de noviembre de 2022, C-739 de del 29 de noviembre de 2022, C- 176 de 3 de mayo de 2023, C-158 del 6 de junio de 2023 y C-209 21 de junio de 2023.</w:t>
      </w:r>
      <w:r w:rsidRPr="00152A25">
        <w:rPr>
          <w:rFonts w:ascii="Verdana" w:eastAsia="Calibri" w:hAnsi="Verdana" w:cs="Arial"/>
          <w:bCs/>
          <w:lang w:val="es-MX"/>
        </w:rPr>
        <w:t xml:space="preserve"> </w:t>
      </w:r>
      <w:r w:rsidRPr="00152A25">
        <w:rPr>
          <w:rFonts w:ascii="Verdana" w:eastAsia="Calibri" w:hAnsi="Verdana" w:cs="Arial"/>
          <w:lang w:val="es-ES_tradnl"/>
        </w:rPr>
        <w:t>Así mismo, se pronunció sobre el contrato de corretaje y de seguros en los conceptos</w:t>
      </w:r>
      <w:r w:rsidRPr="00152A25">
        <w:rPr>
          <w:rFonts w:ascii="Verdana" w:eastAsia="Calibri" w:hAnsi="Verdana" w:cs="Arial"/>
        </w:rPr>
        <w:t xml:space="preserve">, </w:t>
      </w:r>
      <w:r w:rsidRPr="00152A25">
        <w:rPr>
          <w:rFonts w:ascii="Verdana" w:eastAsia="Calibri" w:hAnsi="Verdana" w:cs="Arial"/>
          <w:lang w:val="es-ES_tradnl"/>
        </w:rPr>
        <w:t xml:space="preserve">C-823 del 21 de diciembre de 2022, </w:t>
      </w:r>
      <w:r w:rsidRPr="00152A25">
        <w:rPr>
          <w:rFonts w:ascii="Verdana" w:eastAsia="Calibri" w:hAnsi="Verdana" w:cs="Arial"/>
        </w:rPr>
        <w:t xml:space="preserve">Concepto C-199 del 16 de agosto de 2024, C- 380 del 07 de mayo 2025, Concepto C-750 del 03 de julio de 2026. </w:t>
      </w:r>
      <w:r w:rsidRPr="00152A25">
        <w:rPr>
          <w:rStyle w:val="normaltextrun"/>
          <w:rFonts w:ascii="Verdana" w:hAnsi="Verdana" w:cs="Arial"/>
          <w:shd w:val="clear" w:color="auto" w:fill="FFFFFF"/>
          <w:lang w:val="es-ES"/>
        </w:rPr>
        <w:t>Es</w:t>
      </w:r>
      <w:r w:rsidRPr="00152A25">
        <w:rPr>
          <w:rFonts w:ascii="Verdana" w:hAnsi="Verdana"/>
        </w:rPr>
        <w:t>tos y otros conceptos se encuentran disponibles para consulta en el Sistema de relatoría de la Agencia, al cual se puede acceder a través del siguiente enlace:</w:t>
      </w:r>
      <w:r w:rsidRPr="00152A25">
        <w:rPr>
          <w:rStyle w:val="normaltextrun"/>
          <w:rFonts w:ascii="Verdana" w:hAnsi="Verdana" w:cs="Arial"/>
          <w:shd w:val="clear" w:color="auto" w:fill="FFFFFF"/>
          <w:lang w:val="es-ES"/>
        </w:rPr>
        <w:t xml:space="preserve"> </w:t>
      </w:r>
      <w:hyperlink r:id="rId13" w:history="1">
        <w:r w:rsidRPr="00152A25">
          <w:rPr>
            <w:rStyle w:val="Hipervnculo"/>
            <w:rFonts w:ascii="Verdana" w:hAnsi="Verdana" w:cs="Arial"/>
            <w:shd w:val="clear" w:color="auto" w:fill="FFFFFF"/>
            <w:lang w:val="es-ES"/>
          </w:rPr>
          <w:t>https://relatoria.colombiacompra.gov.co/busqueda/conceptos</w:t>
        </w:r>
      </w:hyperlink>
      <w:r w:rsidRPr="00152A25">
        <w:rPr>
          <w:rStyle w:val="normaltextrun"/>
          <w:rFonts w:ascii="Verdana" w:hAnsi="Verdana" w:cs="Arial"/>
          <w:color w:val="FF0000"/>
          <w:shd w:val="clear" w:color="auto" w:fill="FFFFFF"/>
          <w:lang w:val="es-ES"/>
        </w:rPr>
        <w:t xml:space="preserve">. </w:t>
      </w:r>
    </w:p>
    <w:p w14:paraId="3D9E4E62" w14:textId="77777777" w:rsidR="00556A41" w:rsidRPr="00152A25" w:rsidRDefault="00556A41" w:rsidP="00152A25">
      <w:pPr>
        <w:spacing w:after="0" w:line="276" w:lineRule="auto"/>
        <w:jc w:val="both"/>
        <w:textAlignment w:val="baseline"/>
        <w:rPr>
          <w:rFonts w:ascii="Verdana" w:eastAsia="Verdana" w:hAnsi="Verdana" w:cs="Verdana"/>
        </w:rPr>
      </w:pPr>
    </w:p>
    <w:p w14:paraId="7D31D8FE" w14:textId="77777777" w:rsidR="00556A41" w:rsidRPr="00152A25" w:rsidRDefault="00556A41" w:rsidP="00152A25">
      <w:pPr>
        <w:spacing w:after="0" w:line="276" w:lineRule="auto"/>
        <w:jc w:val="both"/>
        <w:textAlignment w:val="baseline"/>
        <w:rPr>
          <w:rFonts w:ascii="Verdana" w:eastAsia="Verdana" w:hAnsi="Verdana" w:cs="Verdana"/>
          <w:color w:val="FF0000"/>
          <w:lang w:val="es"/>
        </w:rPr>
      </w:pPr>
      <w:r w:rsidRPr="00152A25">
        <w:rPr>
          <w:rFonts w:ascii="Verdana" w:eastAsia="Verdana" w:hAnsi="Verdana" w:cs="Verdana"/>
        </w:rPr>
        <w:t>Estos se encuentran disponibles para consulta en el Sistema de relatoría de la Agencia, al cual puede accederse a través del siguiente enlace:</w:t>
      </w:r>
      <w:hyperlink r:id="rId14">
        <w:r w:rsidRPr="00152A25">
          <w:rPr>
            <w:rStyle w:val="Hipervnculo"/>
            <w:rFonts w:ascii="Verdana" w:hAnsi="Verdana"/>
            <w:lang w:val="es"/>
          </w:rPr>
          <w:t>https://relatoria.colombiacompra.gov.co/busqueda/conceptos</w:t>
        </w:r>
      </w:hyperlink>
      <w:r w:rsidRPr="00152A25">
        <w:rPr>
          <w:rFonts w:ascii="Verdana" w:eastAsia="Verdana" w:hAnsi="Verdana" w:cs="Verdana"/>
          <w:color w:val="000000" w:themeColor="text1"/>
          <w:lang w:val="es"/>
        </w:rPr>
        <w:t xml:space="preserve">. </w:t>
      </w:r>
      <w:r w:rsidRPr="00152A25">
        <w:rPr>
          <w:rFonts w:ascii="Verdana" w:eastAsia="Verdana" w:hAnsi="Verdana" w:cs="Verdana"/>
          <w:color w:val="FF0000"/>
          <w:lang w:val="es"/>
        </w:rPr>
        <w:t xml:space="preserve"> </w:t>
      </w:r>
    </w:p>
    <w:p w14:paraId="7C5E8ED7" w14:textId="77777777" w:rsidR="00556A41" w:rsidRPr="00152A25" w:rsidRDefault="00556A41" w:rsidP="00152A25">
      <w:pPr>
        <w:spacing w:after="0" w:line="276" w:lineRule="auto"/>
        <w:jc w:val="both"/>
        <w:textAlignment w:val="baseline"/>
        <w:rPr>
          <w:rFonts w:ascii="Verdana" w:eastAsia="Verdana" w:hAnsi="Verdana" w:cs="Verdana"/>
          <w:color w:val="000000" w:themeColor="text1"/>
          <w:lang w:val="es"/>
        </w:rPr>
      </w:pPr>
      <w:r w:rsidRPr="00152A25">
        <w:rPr>
          <w:rFonts w:ascii="Verdana" w:eastAsia="Verdana" w:hAnsi="Verdana" w:cs="Verdana"/>
          <w:color w:val="000000" w:themeColor="text1"/>
          <w:lang w:val="es"/>
        </w:rPr>
        <w:t xml:space="preserve">  </w:t>
      </w:r>
    </w:p>
    <w:p w14:paraId="529AD700" w14:textId="77777777" w:rsidR="00556A41" w:rsidRDefault="00556A41" w:rsidP="00152A25">
      <w:pPr>
        <w:shd w:val="clear" w:color="auto" w:fill="FFFFFF" w:themeFill="background1"/>
        <w:spacing w:after="0" w:line="276" w:lineRule="auto"/>
        <w:jc w:val="both"/>
        <w:rPr>
          <w:rFonts w:ascii="Verdana" w:hAnsi="Verdana"/>
        </w:rPr>
      </w:pPr>
      <w:r w:rsidRPr="00152A25">
        <w:rPr>
          <w:rFonts w:ascii="Verdana" w:eastAsia="Verdana" w:hAnsi="Verdana" w:cs="Verdana"/>
          <w:color w:val="000000" w:themeColor="text1"/>
        </w:rPr>
        <w:t xml:space="preserve">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152A25">
        <w:rPr>
          <w:rFonts w:ascii="Verdana" w:eastAsia="Verdana" w:hAnsi="Verdana" w:cs="Verdana"/>
          <w:b/>
          <w:bCs/>
          <w:color w:val="000000" w:themeColor="text1"/>
        </w:rPr>
        <w:t>Guía para la Exigencia y Constitución de Garantías en los Procesos de Contratación</w:t>
      </w:r>
      <w:r w:rsidRPr="00152A25">
        <w:rPr>
          <w:rFonts w:ascii="Verdana" w:eastAsia="Verdana" w:hAnsi="Verdana" w:cs="Verdana"/>
          <w:color w:val="000000" w:themeColor="text1"/>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w:t>
      </w:r>
      <w:r w:rsidRPr="00152A25">
        <w:rPr>
          <w:rFonts w:ascii="Verdana" w:eastAsia="Verdana" w:hAnsi="Verdana" w:cs="Verdana"/>
          <w:color w:val="000000" w:themeColor="text1"/>
        </w:rPr>
        <w:lastRenderedPageBreak/>
        <w:t xml:space="preserve">aquí: </w:t>
      </w:r>
      <w:hyperlink r:id="rId15">
        <w:r w:rsidRPr="00152A25">
          <w:rPr>
            <w:rStyle w:val="Hipervnculo"/>
            <w:rFonts w:ascii="Verdana" w:eastAsia="Verdana" w:hAnsi="Verdana" w:cs="Verdana"/>
            <w:color w:val="000000" w:themeColor="text1"/>
          </w:rPr>
          <w:t>https://www.colombiacompra.gov.co/archivos/manual/guia-de-garantias-en-procesos-de-contratacion</w:t>
        </w:r>
      </w:hyperlink>
    </w:p>
    <w:p w14:paraId="2CEDA562" w14:textId="77777777" w:rsidR="00CF3EF5" w:rsidRPr="00152A25" w:rsidRDefault="00CF3EF5" w:rsidP="00F83E60">
      <w:pPr>
        <w:shd w:val="clear" w:color="auto" w:fill="FFFFFF" w:themeFill="background1"/>
        <w:spacing w:after="0" w:line="276" w:lineRule="auto"/>
        <w:jc w:val="both"/>
        <w:rPr>
          <w:rFonts w:ascii="Verdana" w:eastAsia="Verdana" w:hAnsi="Verdana" w:cs="Verdana"/>
        </w:rPr>
      </w:pPr>
    </w:p>
    <w:p w14:paraId="1936EF72" w14:textId="77777777" w:rsidR="00556A41" w:rsidRDefault="00556A41" w:rsidP="00152A25">
      <w:pPr>
        <w:shd w:val="clear" w:color="auto" w:fill="FFFFFF" w:themeFill="background1"/>
        <w:spacing w:after="0" w:line="276" w:lineRule="auto"/>
        <w:jc w:val="both"/>
        <w:rPr>
          <w:rFonts w:ascii="Verdana" w:hAnsi="Verdana"/>
        </w:rPr>
      </w:pPr>
      <w:r w:rsidRPr="00152A25">
        <w:rPr>
          <w:rFonts w:ascii="Verdana" w:eastAsia="Verdana" w:hAnsi="Verdana" w:cs="Verdana"/>
          <w:color w:val="000000" w:themeColor="text1"/>
        </w:rPr>
        <w:t xml:space="preserve">De otro lado, te contamos que el Decreto 287 del 19 de marzo de 2026 sustituyó los artículos 2.2.1.2.4.2.6., 2.2.1.2.4.2.7. y 2.2.1.2.4.2.8. del Decreto 1082 de 2015 y estructuró el </w:t>
      </w:r>
      <w:r w:rsidRPr="00152A25">
        <w:rPr>
          <w:rFonts w:ascii="Verdana" w:eastAsia="Verdana" w:hAnsi="Verdana" w:cs="Verdana"/>
          <w:b/>
          <w:bCs/>
          <w:color w:val="000000" w:themeColor="text1"/>
        </w:rPr>
        <w:t>Sistema Integral de Preferencias en favor de las personas con discapacidad</w:t>
      </w:r>
      <w:r w:rsidRPr="00152A25">
        <w:rPr>
          <w:rFonts w:ascii="Verdana" w:eastAsia="Verdana" w:hAnsi="Verdana" w:cs="Verdana"/>
          <w:color w:val="000000" w:themeColor="text1"/>
        </w:rPr>
        <w:t xml:space="preserve">, en cumplimiento del artículo 13 de la Ley Estatutaria 1618 de 2013. Para orientar su aplicación, esta Agencia expidió la </w:t>
      </w:r>
      <w:r w:rsidRPr="00152A25">
        <w:rPr>
          <w:rFonts w:ascii="Verdana" w:eastAsia="Verdana" w:hAnsi="Verdana" w:cs="Verdana"/>
          <w:b/>
          <w:bCs/>
          <w:color w:val="000000" w:themeColor="text1"/>
        </w:rPr>
        <w:t xml:space="preserve">Circular Externa 003 del 12 de mayo de 2026, </w:t>
      </w:r>
      <w:r w:rsidRPr="00152A25">
        <w:rPr>
          <w:rFonts w:ascii="Verdana" w:eastAsia="Verdana" w:hAnsi="Verdana" w:cs="Verdana"/>
          <w:color w:val="000000" w:themeColor="text1"/>
        </w:rPr>
        <w:t xml:space="preserve">en la que precisa quiénes son los beneficiarios, las cinco medidas que integran el sistema y su obligatoriedad según la modalidad de selección, y el régimen de transición aplicable a los procesos en curso. Consúltala aquí: </w:t>
      </w:r>
      <w:hyperlink r:id="rId16">
        <w:r w:rsidRPr="00152A25">
          <w:rPr>
            <w:rStyle w:val="Hipervnculo"/>
            <w:rFonts w:ascii="Verdana" w:eastAsia="Verdana" w:hAnsi="Verdana" w:cs="Verdana"/>
            <w:color w:val="000000" w:themeColor="text1"/>
          </w:rPr>
          <w:t>https://www.colombiacompra.gov.co/archivos/circular/circular-externa-003-de-2026</w:t>
        </w:r>
      </w:hyperlink>
    </w:p>
    <w:p w14:paraId="4B77F430" w14:textId="77777777" w:rsidR="00CF3EF5" w:rsidRPr="00152A25" w:rsidRDefault="00CF3EF5" w:rsidP="00F83E60">
      <w:pPr>
        <w:shd w:val="clear" w:color="auto" w:fill="FFFFFF" w:themeFill="background1"/>
        <w:spacing w:after="0" w:line="276" w:lineRule="auto"/>
        <w:jc w:val="both"/>
        <w:rPr>
          <w:rFonts w:ascii="Verdana" w:eastAsia="Verdana" w:hAnsi="Verdana" w:cs="Verdana"/>
        </w:rPr>
      </w:pPr>
    </w:p>
    <w:p w14:paraId="6B8CB716" w14:textId="77777777" w:rsidR="00556A41" w:rsidRDefault="00556A41" w:rsidP="00152A25">
      <w:pPr>
        <w:shd w:val="clear" w:color="auto" w:fill="FFFFFF" w:themeFill="background1"/>
        <w:spacing w:after="0" w:line="276" w:lineRule="auto"/>
        <w:jc w:val="both"/>
        <w:rPr>
          <w:rFonts w:ascii="Verdana" w:hAnsi="Verdana"/>
        </w:rPr>
      </w:pPr>
      <w:r w:rsidRPr="00152A25">
        <w:rPr>
          <w:rFonts w:ascii="Verdana" w:eastAsia="Verdana" w:hAnsi="Verdana" w:cs="Verdana"/>
          <w:color w:val="000000" w:themeColor="text1"/>
        </w:rPr>
        <w:t>Recuerda también que la</w:t>
      </w:r>
      <w:r w:rsidRPr="00152A25">
        <w:rPr>
          <w:rFonts w:ascii="Verdana" w:eastAsia="Verdana" w:hAnsi="Verdana" w:cs="Verdana"/>
          <w:b/>
          <w:bCs/>
          <w:color w:val="000000" w:themeColor="text1"/>
        </w:rPr>
        <w:t xml:space="preserve"> información sobre sanciones e inhabilidades </w:t>
      </w:r>
      <w:r w:rsidRPr="00152A25">
        <w:rPr>
          <w:rFonts w:ascii="Verdana" w:eastAsia="Verdana" w:hAnsi="Verdana" w:cs="Verdana"/>
          <w:color w:val="000000" w:themeColor="text1"/>
        </w:rPr>
        <w:t xml:space="preserve">solo cumple su función preventiva si llega oportunamente a los registros públicos. Sobre este deber, esta Agencia expidió la </w:t>
      </w:r>
      <w:r w:rsidRPr="00152A25">
        <w:rPr>
          <w:rFonts w:ascii="Verdana" w:eastAsia="Verdana" w:hAnsi="Verdana" w:cs="Verdana"/>
          <w:b/>
          <w:bCs/>
          <w:color w:val="000000" w:themeColor="text1"/>
        </w:rPr>
        <w:t>Circular Externa 002 del 5 de mayo de 2026,</w:t>
      </w:r>
      <w:r w:rsidRPr="00152A25">
        <w:rPr>
          <w:rFonts w:ascii="Verdana" w:eastAsia="Verdana" w:hAnsi="Verdana" w:cs="Verdana"/>
          <w:color w:val="000000" w:themeColor="text1"/>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7">
        <w:r w:rsidRPr="00152A25">
          <w:rPr>
            <w:rStyle w:val="Hipervnculo"/>
            <w:rFonts w:ascii="Verdana" w:eastAsia="Verdana" w:hAnsi="Verdana" w:cs="Verdana"/>
            <w:color w:val="000000" w:themeColor="text1"/>
          </w:rPr>
          <w:t>https://www.colombiacompra.gov.co/archivos/circular/circular-externa-002-de-2026</w:t>
        </w:r>
      </w:hyperlink>
    </w:p>
    <w:p w14:paraId="6FD5DD7F" w14:textId="77777777" w:rsidR="00CF3EF5" w:rsidRPr="00152A25" w:rsidRDefault="00CF3EF5" w:rsidP="00F83E60">
      <w:pPr>
        <w:shd w:val="clear" w:color="auto" w:fill="FFFFFF" w:themeFill="background1"/>
        <w:spacing w:after="0" w:line="276" w:lineRule="auto"/>
        <w:jc w:val="both"/>
        <w:rPr>
          <w:rFonts w:ascii="Verdana" w:eastAsia="Verdana" w:hAnsi="Verdana" w:cs="Verdana"/>
        </w:rPr>
      </w:pPr>
    </w:p>
    <w:p w14:paraId="1058BC8F" w14:textId="77777777" w:rsidR="00556A41" w:rsidRPr="00152A25" w:rsidRDefault="00556A41" w:rsidP="00F83E60">
      <w:pPr>
        <w:shd w:val="clear" w:color="auto" w:fill="FFFFFF" w:themeFill="background1"/>
        <w:spacing w:after="0" w:line="276" w:lineRule="auto"/>
        <w:jc w:val="both"/>
        <w:rPr>
          <w:rFonts w:ascii="Verdana" w:eastAsia="Verdana" w:hAnsi="Verdana" w:cs="Verdana"/>
          <w:color w:val="000000" w:themeColor="text1"/>
        </w:rPr>
      </w:pPr>
      <w:r w:rsidRPr="00152A25">
        <w:rPr>
          <w:rFonts w:ascii="Verdana" w:eastAsia="Verdana" w:hAnsi="Verdana" w:cs="Verdana"/>
          <w:color w:val="000000" w:themeColor="text1"/>
        </w:rPr>
        <w:t>Finalmente, si quieres seguir de cerca la actividad de la Agencia, la tercera edición de 2026 del</w:t>
      </w:r>
      <w:r w:rsidRPr="00152A25">
        <w:rPr>
          <w:rFonts w:ascii="Verdana" w:eastAsia="Verdana" w:hAnsi="Verdana" w:cs="Verdana"/>
          <w:b/>
          <w:bCs/>
          <w:color w:val="000000" w:themeColor="text1"/>
        </w:rPr>
        <w:t xml:space="preserve"> Radar de la Compra Pública</w:t>
      </w:r>
      <w:r w:rsidRPr="00152A25">
        <w:rPr>
          <w:rFonts w:ascii="Verdana" w:eastAsia="Verdana" w:hAnsi="Verdana" w:cs="Verdana"/>
          <w:color w:val="000000" w:themeColor="text1"/>
        </w:rPr>
        <w:t xml:space="preserve">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8">
        <w:r w:rsidRPr="00152A25">
          <w:rPr>
            <w:rStyle w:val="Hipervnculo"/>
            <w:rFonts w:ascii="Verdana" w:eastAsia="Verdana" w:hAnsi="Verdana" w:cs="Verdana"/>
            <w:color w:val="000000" w:themeColor="text1"/>
          </w:rPr>
          <w:t>https://www.colombiacompra.gov.co/archivos/boletin/boletin-edicion-n-3-de-2026-radar-de-la-compra-publica</w:t>
        </w:r>
      </w:hyperlink>
    </w:p>
    <w:p w14:paraId="37466D47" w14:textId="77777777" w:rsidR="00556A41" w:rsidRPr="00152A25" w:rsidRDefault="00556A41" w:rsidP="00F83E60">
      <w:pPr>
        <w:spacing w:after="0" w:line="276" w:lineRule="auto"/>
        <w:jc w:val="both"/>
        <w:textAlignment w:val="baseline"/>
        <w:rPr>
          <w:rFonts w:ascii="Verdana" w:eastAsia="Verdana" w:hAnsi="Verdana" w:cs="Verdana"/>
          <w:color w:val="000000" w:themeColor="text1"/>
          <w:lang w:val="es"/>
        </w:rPr>
      </w:pPr>
      <w:r w:rsidRPr="00152A25">
        <w:rPr>
          <w:rFonts w:ascii="Verdana" w:eastAsia="Verdana" w:hAnsi="Verdana" w:cs="Verdana"/>
          <w:color w:val="000000" w:themeColor="text1"/>
          <w:lang w:val="es"/>
        </w:rPr>
        <w:lastRenderedPageBreak/>
        <w:t xml:space="preserve">Lo invitamos a seguirnos en las redes sociales en las cuales se difunde información institucional: </w:t>
      </w:r>
    </w:p>
    <w:p w14:paraId="23DB0088" w14:textId="77777777" w:rsidR="00556A41" w:rsidRPr="00152A25" w:rsidRDefault="00556A41" w:rsidP="00F83E60">
      <w:pPr>
        <w:spacing w:after="0" w:line="276" w:lineRule="auto"/>
        <w:jc w:val="both"/>
        <w:textAlignment w:val="baseline"/>
        <w:rPr>
          <w:rFonts w:ascii="Verdana" w:eastAsia="Verdana" w:hAnsi="Verdana" w:cs="Verdana"/>
          <w:color w:val="000000" w:themeColor="text1"/>
          <w:lang w:val="es"/>
        </w:rPr>
      </w:pPr>
      <w:r w:rsidRPr="00152A25">
        <w:rPr>
          <w:rFonts w:ascii="Verdana" w:eastAsia="Verdana" w:hAnsi="Verdana" w:cs="Verdana"/>
          <w:color w:val="000000" w:themeColor="text1"/>
          <w:lang w:val="es"/>
        </w:rPr>
        <w:t xml:space="preserve"> </w:t>
      </w:r>
    </w:p>
    <w:p w14:paraId="23B01CAD" w14:textId="77777777" w:rsidR="00556A41" w:rsidRPr="00152A25" w:rsidRDefault="00556A41" w:rsidP="00F83E60">
      <w:pPr>
        <w:spacing w:after="0" w:line="276" w:lineRule="auto"/>
        <w:jc w:val="both"/>
        <w:textAlignment w:val="baseline"/>
        <w:rPr>
          <w:rFonts w:ascii="Verdana" w:eastAsia="Verdana" w:hAnsi="Verdana" w:cs="Verdana"/>
          <w:color w:val="000000" w:themeColor="text1"/>
          <w:lang w:val="es-ES"/>
        </w:rPr>
      </w:pPr>
      <w:r w:rsidRPr="00152A25">
        <w:rPr>
          <w:rFonts w:ascii="Verdana" w:eastAsia="Verdana" w:hAnsi="Verdana" w:cs="Verdana"/>
          <w:color w:val="000000" w:themeColor="text1"/>
          <w:lang w:val="es-ES"/>
        </w:rPr>
        <w:t xml:space="preserve">Twitter: </w:t>
      </w:r>
      <w:r w:rsidRPr="00152A25">
        <w:rPr>
          <w:rFonts w:ascii="Verdana" w:eastAsia="Verdana" w:hAnsi="Verdana" w:cs="Verdana"/>
          <w:color w:val="000000" w:themeColor="text1"/>
          <w:u w:val="single"/>
          <w:lang w:val="es-ES"/>
        </w:rPr>
        <w:t>@colombiacompra</w:t>
      </w:r>
      <w:r w:rsidRPr="00152A25">
        <w:rPr>
          <w:rFonts w:ascii="Verdana" w:eastAsia="Verdana" w:hAnsi="Verdana" w:cs="Verdana"/>
          <w:color w:val="000000" w:themeColor="text1"/>
          <w:lang w:val="es-ES"/>
        </w:rPr>
        <w:t xml:space="preserve"> </w:t>
      </w:r>
    </w:p>
    <w:p w14:paraId="3648E653" w14:textId="77777777" w:rsidR="00556A41" w:rsidRPr="00152A25" w:rsidRDefault="00556A41" w:rsidP="00F83E60">
      <w:pPr>
        <w:spacing w:after="0" w:line="276" w:lineRule="auto"/>
        <w:jc w:val="both"/>
        <w:textAlignment w:val="baseline"/>
        <w:rPr>
          <w:rFonts w:ascii="Verdana" w:eastAsia="Verdana" w:hAnsi="Verdana" w:cs="Verdana"/>
          <w:color w:val="000000" w:themeColor="text1"/>
          <w:u w:val="single"/>
          <w:lang w:val="es-ES"/>
        </w:rPr>
      </w:pPr>
      <w:r w:rsidRPr="00152A25">
        <w:rPr>
          <w:rFonts w:ascii="Verdana" w:eastAsia="Verdana" w:hAnsi="Verdana" w:cs="Verdana"/>
          <w:color w:val="000000" w:themeColor="text1"/>
          <w:lang w:val="es-ES"/>
        </w:rPr>
        <w:t xml:space="preserve">Facebook: </w:t>
      </w:r>
      <w:proofErr w:type="spellStart"/>
      <w:r w:rsidRPr="00152A25">
        <w:rPr>
          <w:rFonts w:ascii="Verdana" w:eastAsia="Verdana" w:hAnsi="Verdana" w:cs="Verdana"/>
          <w:color w:val="000000" w:themeColor="text1"/>
          <w:u w:val="single"/>
          <w:lang w:val="es-ES"/>
        </w:rPr>
        <w:t>ColombiaCompraEficiente</w:t>
      </w:r>
      <w:proofErr w:type="spellEnd"/>
    </w:p>
    <w:p w14:paraId="25B8D0F3" w14:textId="77777777" w:rsidR="00556A41" w:rsidRPr="00152A25" w:rsidRDefault="00556A41" w:rsidP="00F83E60">
      <w:pPr>
        <w:spacing w:after="0" w:line="276" w:lineRule="auto"/>
        <w:jc w:val="both"/>
        <w:textAlignment w:val="baseline"/>
        <w:rPr>
          <w:rFonts w:ascii="Verdana" w:eastAsia="Verdana" w:hAnsi="Verdana" w:cs="Verdana"/>
          <w:color w:val="000000" w:themeColor="text1"/>
          <w:u w:val="single"/>
          <w:lang w:val="es-ES"/>
        </w:rPr>
      </w:pPr>
      <w:r w:rsidRPr="00152A25">
        <w:rPr>
          <w:rFonts w:ascii="Verdana" w:eastAsia="Verdana" w:hAnsi="Verdana" w:cs="Verdana"/>
          <w:color w:val="000000" w:themeColor="text1"/>
          <w:lang w:val="es-ES"/>
        </w:rPr>
        <w:t xml:space="preserve">LinkedIn: </w:t>
      </w:r>
      <w:r w:rsidRPr="00152A25">
        <w:rPr>
          <w:rFonts w:ascii="Verdana" w:eastAsia="Verdana" w:hAnsi="Verdana" w:cs="Verdana"/>
          <w:color w:val="000000" w:themeColor="text1"/>
          <w:u w:val="single"/>
          <w:lang w:val="es-ES"/>
        </w:rPr>
        <w:t>Agencia Nacional de Contratación Pública - Colombia Compra Eficiente</w:t>
      </w:r>
      <w:r w:rsidRPr="00152A25">
        <w:rPr>
          <w:rFonts w:ascii="Verdana" w:eastAsia="Verdana" w:hAnsi="Verdana" w:cs="Verdana"/>
          <w:color w:val="000000" w:themeColor="text1"/>
          <w:lang w:val="es-ES"/>
        </w:rPr>
        <w:t xml:space="preserve"> Instagram: </w:t>
      </w:r>
      <w:r w:rsidRPr="00152A25">
        <w:rPr>
          <w:rFonts w:ascii="Verdana" w:eastAsia="Verdana" w:hAnsi="Verdana" w:cs="Verdana"/>
          <w:color w:val="000000" w:themeColor="text1"/>
          <w:u w:val="single"/>
          <w:lang w:val="es-ES"/>
        </w:rPr>
        <w:t>@colombiacompraeficiente_cce</w:t>
      </w:r>
    </w:p>
    <w:p w14:paraId="3E34C91A" w14:textId="77777777" w:rsidR="00556A41" w:rsidRPr="00152A25" w:rsidRDefault="00556A41" w:rsidP="00152A25">
      <w:pPr>
        <w:spacing w:after="0" w:line="276" w:lineRule="auto"/>
        <w:jc w:val="both"/>
        <w:textAlignment w:val="baseline"/>
        <w:rPr>
          <w:rFonts w:ascii="Verdana" w:eastAsia="Verdana" w:hAnsi="Verdana" w:cs="Verdana"/>
          <w:color w:val="000000" w:themeColor="text1"/>
          <w:lang w:val="es"/>
        </w:rPr>
      </w:pPr>
      <w:r w:rsidRPr="00152A25">
        <w:rPr>
          <w:rFonts w:ascii="Verdana" w:eastAsia="Verdana" w:hAnsi="Verdana" w:cs="Verdana"/>
          <w:color w:val="000000" w:themeColor="text1"/>
          <w:lang w:val="es"/>
        </w:rPr>
        <w:t xml:space="preserve"> </w:t>
      </w:r>
    </w:p>
    <w:p w14:paraId="0A13C796" w14:textId="77777777" w:rsidR="00556A41" w:rsidRPr="00152A25" w:rsidRDefault="00556A41" w:rsidP="00152A25">
      <w:pPr>
        <w:spacing w:after="0" w:line="276" w:lineRule="auto"/>
        <w:jc w:val="both"/>
        <w:textAlignment w:val="baseline"/>
        <w:rPr>
          <w:rFonts w:ascii="Verdana" w:eastAsia="Verdana" w:hAnsi="Verdana" w:cs="Verdana"/>
          <w:color w:val="000000" w:themeColor="text1"/>
          <w:lang w:val="es"/>
        </w:rPr>
      </w:pPr>
      <w:r w:rsidRPr="00152A25">
        <w:rPr>
          <w:rFonts w:ascii="Verdana" w:eastAsia="Verdana" w:hAnsi="Verdana" w:cs="Verdana"/>
          <w:color w:val="000000" w:themeColor="text1"/>
          <w:lang w:val="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33DC7081" w14:textId="77777777" w:rsidR="00556A41" w:rsidRPr="00152A25" w:rsidRDefault="00556A41" w:rsidP="00F83E60">
      <w:pPr>
        <w:spacing w:after="0" w:line="276" w:lineRule="auto"/>
        <w:jc w:val="both"/>
        <w:textAlignment w:val="baseline"/>
        <w:rPr>
          <w:rFonts w:ascii="Verdana" w:eastAsia="Verdana" w:hAnsi="Verdana" w:cs="Verdana"/>
          <w:color w:val="000000" w:themeColor="text1"/>
          <w:lang w:val="es"/>
        </w:rPr>
      </w:pPr>
      <w:r w:rsidRPr="00152A25">
        <w:rPr>
          <w:rFonts w:ascii="Verdana" w:eastAsia="Verdana" w:hAnsi="Verdana" w:cs="Verdana"/>
          <w:color w:val="000000" w:themeColor="text1"/>
          <w:lang w:val="es"/>
        </w:rPr>
        <w:t xml:space="preserve"> </w:t>
      </w:r>
    </w:p>
    <w:p w14:paraId="2AD4C262" w14:textId="77777777" w:rsidR="00556A41" w:rsidRPr="00152A25" w:rsidRDefault="00556A41" w:rsidP="00F83E60">
      <w:pPr>
        <w:spacing w:after="0" w:line="276" w:lineRule="auto"/>
        <w:jc w:val="both"/>
        <w:textAlignment w:val="baseline"/>
        <w:rPr>
          <w:rFonts w:ascii="Verdana" w:eastAsia="Verdana" w:hAnsi="Verdana" w:cs="Verdana"/>
          <w:color w:val="000000" w:themeColor="text1"/>
          <w:lang w:val="es"/>
        </w:rPr>
      </w:pPr>
      <w:r w:rsidRPr="00152A25">
        <w:rPr>
          <w:rFonts w:ascii="Verdana" w:eastAsia="Verdana" w:hAnsi="Verdana" w:cs="Verdana"/>
          <w:color w:val="000000" w:themeColor="text1"/>
          <w:lang w:val="es"/>
        </w:rPr>
        <w:t xml:space="preserve"> </w:t>
      </w:r>
    </w:p>
    <w:p w14:paraId="3F31E1F3" w14:textId="77777777" w:rsidR="00556A41" w:rsidRPr="00F83E60" w:rsidRDefault="00556A41" w:rsidP="00F83E60">
      <w:pPr>
        <w:spacing w:after="0" w:line="276" w:lineRule="auto"/>
        <w:jc w:val="both"/>
        <w:textAlignment w:val="baseline"/>
        <w:rPr>
          <w:rFonts w:ascii="Verdana" w:hAnsi="Verdana"/>
        </w:rPr>
      </w:pPr>
      <w:r w:rsidRPr="00152A25">
        <w:rPr>
          <w:rFonts w:ascii="Verdana" w:eastAsia="Verdana" w:hAnsi="Verdana" w:cs="Verdana"/>
          <w:color w:val="000000" w:themeColor="text1"/>
          <w:lang w:val="es"/>
        </w:rPr>
        <w:t xml:space="preserve">Atentamente, </w:t>
      </w:r>
    </w:p>
    <w:p w14:paraId="0AF13F14" w14:textId="77777777" w:rsidR="00791C31" w:rsidRDefault="00791C31" w:rsidP="00F83E60">
      <w:pPr>
        <w:spacing w:after="0" w:line="240" w:lineRule="auto"/>
        <w:ind w:left="2340"/>
        <w:jc w:val="both"/>
        <w:rPr>
          <w:noProof/>
        </w:rPr>
      </w:pPr>
    </w:p>
    <w:p w14:paraId="7910E1DD" w14:textId="3C94498F" w:rsidR="00791C31" w:rsidRDefault="00791C31" w:rsidP="00791C31">
      <w:pPr>
        <w:spacing w:after="0" w:line="240" w:lineRule="auto"/>
        <w:jc w:val="center"/>
        <w:rPr>
          <w:noProof/>
        </w:rPr>
      </w:pPr>
      <w:r>
        <w:rPr>
          <w:noProof/>
        </w:rPr>
        <w:drawing>
          <wp:inline distT="0" distB="0" distL="0" distR="0" wp14:anchorId="1A72BBB9" wp14:editId="18595F05">
            <wp:extent cx="3478530" cy="1493273"/>
            <wp:effectExtent l="0" t="0" r="7620" b="0"/>
            <wp:docPr id="67538149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88682" cy="1497631"/>
                    </a:xfrm>
                    <a:prstGeom prst="rect">
                      <a:avLst/>
                    </a:prstGeom>
                    <a:noFill/>
                    <a:ln>
                      <a:noFill/>
                    </a:ln>
                  </pic:spPr>
                </pic:pic>
              </a:graphicData>
            </a:graphic>
          </wp:inline>
        </w:drawing>
      </w:r>
    </w:p>
    <w:p w14:paraId="35AF67CC" w14:textId="77777777" w:rsidR="00791C31" w:rsidRDefault="00791C31" w:rsidP="00F83E60">
      <w:pPr>
        <w:spacing w:after="0" w:line="240" w:lineRule="auto"/>
        <w:ind w:left="2340"/>
        <w:jc w:val="both"/>
        <w:rPr>
          <w:noProof/>
        </w:rPr>
      </w:pPr>
    </w:p>
    <w:p w14:paraId="69AD64AE" w14:textId="77777777" w:rsidR="00791C31" w:rsidRDefault="00791C31" w:rsidP="00F83E60">
      <w:pPr>
        <w:spacing w:after="0" w:line="240" w:lineRule="auto"/>
        <w:ind w:left="2340"/>
        <w:jc w:val="both"/>
        <w:rPr>
          <w:noProof/>
        </w:rPr>
      </w:pPr>
    </w:p>
    <w:p w14:paraId="5C8B4584" w14:textId="77777777" w:rsidR="00791C31" w:rsidRDefault="00791C31" w:rsidP="00F83E60">
      <w:pPr>
        <w:spacing w:after="0" w:line="240" w:lineRule="auto"/>
        <w:ind w:left="2340"/>
        <w:jc w:val="both"/>
        <w:rPr>
          <w:noProof/>
        </w:rPr>
      </w:pPr>
    </w:p>
    <w:p w14:paraId="04BA8A53" w14:textId="3BFC63BE" w:rsidR="00556A41" w:rsidRPr="0015699B" w:rsidRDefault="00556A41" w:rsidP="00F83E60">
      <w:pPr>
        <w:spacing w:after="0" w:line="240" w:lineRule="auto"/>
        <w:ind w:left="2340"/>
        <w:jc w:val="both"/>
        <w:rPr>
          <w:rFonts w:ascii="Calibri" w:eastAsia="Calibri" w:hAnsi="Calibri" w:cs="Calibri"/>
          <w:lang w:val="es"/>
        </w:rPr>
      </w:pPr>
      <w:r w:rsidRPr="225CD92B">
        <w:rPr>
          <w:rFonts w:ascii="Calibri" w:eastAsia="Calibri" w:hAnsi="Calibri" w:cs="Calibri"/>
          <w:lang w:val="es"/>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893"/>
        <w:gridCol w:w="4919"/>
      </w:tblGrid>
      <w:tr w:rsidR="00556A41" w14:paraId="467D12C9" w14:textId="77777777">
        <w:trPr>
          <w:trHeight w:val="315"/>
        </w:trPr>
        <w:tc>
          <w:tcPr>
            <w:tcW w:w="893" w:type="dxa"/>
            <w:tcBorders>
              <w:top w:val="nil"/>
              <w:bottom w:val="nil"/>
              <w:right w:val="nil"/>
            </w:tcBorders>
            <w:tcMar>
              <w:left w:w="108" w:type="dxa"/>
              <w:right w:w="108" w:type="dxa"/>
            </w:tcMar>
            <w:vAlign w:val="center"/>
          </w:tcPr>
          <w:p w14:paraId="035946C2" w14:textId="77777777" w:rsidR="00556A41" w:rsidRDefault="00556A41">
            <w:pPr>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Elaboró:</w:t>
            </w:r>
          </w:p>
        </w:tc>
        <w:tc>
          <w:tcPr>
            <w:tcW w:w="4919" w:type="dxa"/>
            <w:tcBorders>
              <w:left w:val="nil"/>
            </w:tcBorders>
            <w:tcMar>
              <w:left w:w="108" w:type="dxa"/>
              <w:right w:w="108" w:type="dxa"/>
            </w:tcMar>
            <w:vAlign w:val="center"/>
          </w:tcPr>
          <w:p w14:paraId="12FC2139" w14:textId="77777777" w:rsidR="00556A41" w:rsidRDefault="00556A41">
            <w:pPr>
              <w:rPr>
                <w:rFonts w:ascii="Verdana" w:eastAsia="Verdana" w:hAnsi="Verdana" w:cs="Verdana"/>
                <w:color w:val="000000" w:themeColor="text1"/>
                <w:sz w:val="16"/>
                <w:szCs w:val="16"/>
              </w:rPr>
            </w:pPr>
            <w:r w:rsidRPr="40A87941">
              <w:rPr>
                <w:rFonts w:ascii="Verdana" w:eastAsia="Verdana" w:hAnsi="Verdana" w:cs="Verdana"/>
                <w:color w:val="000000" w:themeColor="text1"/>
                <w:sz w:val="16"/>
                <w:szCs w:val="16"/>
              </w:rPr>
              <w:t>Daniel Eduardo Rojas Poveda</w:t>
            </w:r>
          </w:p>
          <w:p w14:paraId="6D9349A4" w14:textId="77777777" w:rsidR="00556A41" w:rsidRDefault="00556A41">
            <w:pPr>
              <w:rPr>
                <w:rFonts w:ascii="Verdana" w:eastAsia="Verdana" w:hAnsi="Verdana" w:cs="Verdana"/>
                <w:color w:val="000000" w:themeColor="text1"/>
                <w:sz w:val="16"/>
                <w:szCs w:val="16"/>
              </w:rPr>
            </w:pPr>
            <w:r w:rsidRPr="40A87941">
              <w:rPr>
                <w:rFonts w:ascii="Verdana" w:eastAsia="Verdana" w:hAnsi="Verdana" w:cs="Verdana"/>
                <w:color w:val="000000" w:themeColor="text1"/>
                <w:sz w:val="16"/>
                <w:szCs w:val="16"/>
              </w:rPr>
              <w:t>C</w:t>
            </w:r>
            <w:r w:rsidRPr="40A87941">
              <w:rPr>
                <w:rFonts w:ascii="Verdana" w:eastAsia="Verdana" w:hAnsi="Verdana" w:cs="Verdana"/>
                <w:sz w:val="16"/>
                <w:szCs w:val="16"/>
              </w:rPr>
              <w:t xml:space="preserve">ontratista </w:t>
            </w:r>
            <w:r w:rsidRPr="40A87941">
              <w:rPr>
                <w:rFonts w:ascii="Verdana" w:eastAsia="Verdana" w:hAnsi="Verdana" w:cs="Verdana"/>
                <w:color w:val="000000" w:themeColor="text1"/>
                <w:sz w:val="16"/>
                <w:szCs w:val="16"/>
              </w:rPr>
              <w:t>de la Subdirección de Gestión Contractual</w:t>
            </w:r>
          </w:p>
        </w:tc>
      </w:tr>
      <w:tr w:rsidR="00556A41" w14:paraId="2F7704BD" w14:textId="77777777">
        <w:trPr>
          <w:trHeight w:val="330"/>
        </w:trPr>
        <w:tc>
          <w:tcPr>
            <w:tcW w:w="893" w:type="dxa"/>
            <w:tcBorders>
              <w:top w:val="nil"/>
              <w:bottom w:val="nil"/>
              <w:right w:val="nil"/>
            </w:tcBorders>
            <w:tcMar>
              <w:left w:w="108" w:type="dxa"/>
              <w:right w:w="108" w:type="dxa"/>
            </w:tcMar>
            <w:vAlign w:val="center"/>
          </w:tcPr>
          <w:p w14:paraId="47468CC0" w14:textId="77777777" w:rsidR="00556A41" w:rsidRDefault="00556A41">
            <w:pPr>
              <w:spacing w:after="255"/>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Revisó:</w:t>
            </w:r>
          </w:p>
        </w:tc>
        <w:tc>
          <w:tcPr>
            <w:tcW w:w="4919" w:type="dxa"/>
            <w:tcBorders>
              <w:left w:val="nil"/>
            </w:tcBorders>
            <w:tcMar>
              <w:left w:w="108" w:type="dxa"/>
              <w:right w:w="108" w:type="dxa"/>
            </w:tcMar>
            <w:vAlign w:val="center"/>
          </w:tcPr>
          <w:p w14:paraId="78927285" w14:textId="5ED6E3D6" w:rsidR="00556A41" w:rsidRDefault="00556A41">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Diana Lucia Saavedra</w:t>
            </w:r>
            <w:r w:rsidR="00CF3EF5">
              <w:rPr>
                <w:rFonts w:ascii="Verdana" w:eastAsia="Verdana" w:hAnsi="Verdana" w:cs="Verdana"/>
                <w:color w:val="000000" w:themeColor="text1"/>
                <w:sz w:val="16"/>
                <w:szCs w:val="16"/>
              </w:rPr>
              <w:t xml:space="preserve"> Castañeda</w:t>
            </w:r>
          </w:p>
          <w:p w14:paraId="2540512D" w14:textId="77777777" w:rsidR="00556A41" w:rsidRDefault="00556A41">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Contratista</w:t>
            </w:r>
            <w:r w:rsidRPr="39124533">
              <w:rPr>
                <w:rFonts w:ascii="Verdana" w:eastAsia="Verdana" w:hAnsi="Verdana" w:cs="Verdana"/>
                <w:color w:val="000000" w:themeColor="text1"/>
                <w:sz w:val="16"/>
                <w:szCs w:val="16"/>
              </w:rPr>
              <w:t xml:space="preserve"> de la Subdirección de Gestión Contractual</w:t>
            </w:r>
          </w:p>
        </w:tc>
      </w:tr>
      <w:tr w:rsidR="00556A41" w14:paraId="59D0CEAC" w14:textId="77777777">
        <w:trPr>
          <w:trHeight w:val="300"/>
        </w:trPr>
        <w:tc>
          <w:tcPr>
            <w:tcW w:w="893" w:type="dxa"/>
            <w:tcBorders>
              <w:top w:val="nil"/>
              <w:bottom w:val="nil"/>
              <w:right w:val="nil"/>
            </w:tcBorders>
            <w:tcMar>
              <w:left w:w="108" w:type="dxa"/>
              <w:right w:w="108" w:type="dxa"/>
            </w:tcMar>
            <w:vAlign w:val="center"/>
          </w:tcPr>
          <w:p w14:paraId="03FD94E4" w14:textId="77777777" w:rsidR="00556A41" w:rsidRDefault="00556A41">
            <w:pPr>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Aprobó:</w:t>
            </w:r>
          </w:p>
        </w:tc>
        <w:tc>
          <w:tcPr>
            <w:tcW w:w="4919" w:type="dxa"/>
            <w:tcBorders>
              <w:left w:val="nil"/>
            </w:tcBorders>
            <w:tcMar>
              <w:left w:w="108" w:type="dxa"/>
              <w:right w:w="108" w:type="dxa"/>
            </w:tcMar>
            <w:vAlign w:val="center"/>
          </w:tcPr>
          <w:p w14:paraId="32459438" w14:textId="77777777" w:rsidR="00556A41" w:rsidRDefault="00556A41">
            <w:pPr>
              <w:rPr>
                <w:rFonts w:ascii="Verdana" w:eastAsia="Verdana" w:hAnsi="Verdana" w:cs="Verdana"/>
                <w:color w:val="000000" w:themeColor="text1"/>
                <w:sz w:val="16"/>
                <w:szCs w:val="16"/>
                <w:lang w:val="pt-BR"/>
              </w:rPr>
            </w:pPr>
            <w:r w:rsidRPr="40A87941">
              <w:rPr>
                <w:rFonts w:ascii="Verdana" w:eastAsia="Verdana" w:hAnsi="Verdana" w:cs="Verdana"/>
                <w:color w:val="000000" w:themeColor="text1"/>
                <w:sz w:val="16"/>
                <w:szCs w:val="16"/>
                <w:lang w:val="pt-BR"/>
              </w:rPr>
              <w:t>Carolina Quintero Gacharná</w:t>
            </w:r>
          </w:p>
          <w:p w14:paraId="3253F452" w14:textId="77777777" w:rsidR="00556A41" w:rsidRDefault="00556A41">
            <w:pPr>
              <w:rPr>
                <w:rFonts w:ascii="Verdana" w:eastAsia="Verdana" w:hAnsi="Verdana" w:cs="Verdana"/>
                <w:color w:val="000000" w:themeColor="text1"/>
                <w:sz w:val="16"/>
                <w:szCs w:val="16"/>
                <w:lang w:val="pt-BR"/>
              </w:rPr>
            </w:pPr>
            <w:r w:rsidRPr="40A87941">
              <w:rPr>
                <w:rFonts w:ascii="Verdana" w:eastAsia="Verdana" w:hAnsi="Verdana" w:cs="Verdana"/>
                <w:color w:val="000000" w:themeColor="text1"/>
                <w:sz w:val="16"/>
                <w:szCs w:val="16"/>
              </w:rPr>
              <w:t>Subdirectora</w:t>
            </w:r>
            <w:r w:rsidRPr="40A87941">
              <w:rPr>
                <w:rFonts w:ascii="Verdana" w:eastAsia="Verdana" w:hAnsi="Verdana" w:cs="Verdana"/>
                <w:color w:val="000000" w:themeColor="text1"/>
                <w:sz w:val="16"/>
                <w:szCs w:val="16"/>
                <w:lang w:val="pt-BR"/>
              </w:rPr>
              <w:t xml:space="preserve"> de Gestión Contractual ANCP – CCE</w:t>
            </w:r>
          </w:p>
        </w:tc>
      </w:tr>
    </w:tbl>
    <w:p w14:paraId="121D0902" w14:textId="68ADD3BE" w:rsidR="00556A41" w:rsidRPr="0015699B" w:rsidRDefault="00556A41" w:rsidP="00F83E60">
      <w:pPr>
        <w:spacing w:line="257" w:lineRule="auto"/>
        <w:jc w:val="both"/>
        <w:textAlignment w:val="baseline"/>
        <w:rPr>
          <w:rFonts w:ascii="Calibri" w:eastAsia="Calibri" w:hAnsi="Calibri" w:cs="Calibri"/>
          <w:lang w:val="es-ES"/>
        </w:rPr>
      </w:pPr>
    </w:p>
    <w:p w14:paraId="0F293BF4" w14:textId="6BC0646F" w:rsidR="00127233" w:rsidRPr="00556A41" w:rsidRDefault="00127233" w:rsidP="00556A41"/>
    <w:sectPr w:rsidR="00127233" w:rsidRPr="00556A41"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6D460" w14:textId="77777777" w:rsidR="00B8782D" w:rsidRDefault="00B8782D" w:rsidP="004A1847">
      <w:pPr>
        <w:spacing w:after="0" w:line="240" w:lineRule="auto"/>
      </w:pPr>
      <w:r>
        <w:separator/>
      </w:r>
    </w:p>
  </w:endnote>
  <w:endnote w:type="continuationSeparator" w:id="0">
    <w:p w14:paraId="6DD36747" w14:textId="77777777" w:rsidR="00B8782D" w:rsidRDefault="00B8782D"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AF686" w14:textId="77777777" w:rsidR="00B8782D" w:rsidRDefault="00B8782D" w:rsidP="004A1847">
      <w:pPr>
        <w:spacing w:after="0" w:line="240" w:lineRule="auto"/>
      </w:pPr>
      <w:r>
        <w:separator/>
      </w:r>
    </w:p>
  </w:footnote>
  <w:footnote w:type="continuationSeparator" w:id="0">
    <w:p w14:paraId="08DAB938" w14:textId="77777777" w:rsidR="00B8782D" w:rsidRDefault="00B8782D" w:rsidP="004A1847">
      <w:pPr>
        <w:spacing w:after="0" w:line="240" w:lineRule="auto"/>
      </w:pPr>
      <w:r>
        <w:continuationSeparator/>
      </w:r>
    </w:p>
  </w:footnote>
  <w:footnote w:id="1">
    <w:p w14:paraId="3D332547" w14:textId="77777777" w:rsidR="00556A41" w:rsidRPr="00F83E60" w:rsidRDefault="00556A41" w:rsidP="00556A41">
      <w:pPr>
        <w:pStyle w:val="Textonotapie"/>
        <w:ind w:firstLine="709"/>
        <w:jc w:val="both"/>
        <w:rPr>
          <w:rFonts w:ascii="Verdana" w:hAnsi="Verdana" w:cs="Arial"/>
          <w:color w:val="000000" w:themeColor="text1"/>
          <w:sz w:val="16"/>
          <w:szCs w:val="16"/>
          <w:lang w:val="es-ES_tradnl"/>
        </w:rPr>
      </w:pPr>
      <w:r w:rsidRPr="00F83E60">
        <w:rPr>
          <w:rStyle w:val="Refdenotaalpie"/>
          <w:rFonts w:ascii="Verdana" w:hAnsi="Verdana" w:cs="Arial"/>
          <w:sz w:val="16"/>
          <w:szCs w:val="16"/>
        </w:rPr>
        <w:footnoteRef/>
      </w:r>
      <w:r w:rsidRPr="00F83E60">
        <w:rPr>
          <w:rFonts w:ascii="Verdana" w:hAnsi="Verdana" w:cs="Arial"/>
          <w:sz w:val="16"/>
          <w:szCs w:val="16"/>
        </w:rPr>
        <w:t xml:space="preserve"> </w:t>
      </w:r>
      <w:r w:rsidRPr="00F83E60">
        <w:rPr>
          <w:rFonts w:ascii="Verdana" w:hAnsi="Verdana" w:cs="Arial"/>
          <w:color w:val="000000" w:themeColor="text1"/>
          <w:sz w:val="16"/>
          <w:szCs w:val="16"/>
          <w:lang w:val="es-ES_tradnl"/>
        </w:rPr>
        <w:t>“</w:t>
      </w:r>
      <w:r w:rsidRPr="00F83E60">
        <w:rPr>
          <w:rFonts w:ascii="Verdana" w:hAnsi="Verdana" w:cs="Arial"/>
          <w:bCs/>
          <w:iCs/>
          <w:sz w:val="16"/>
          <w:szCs w:val="16"/>
        </w:rPr>
        <w:t>Artículo 40.- Sociedades Corredoras de seguros. 1. Definición. De acuerdo con el artículo 1347 del Código de Comercio, son corredores de seguros las empresas constituidas o que se constituyan como sociedades comerciales, colectivas o de responsabilidad limitada, cuyo objeto social sea exclusivamente ofrecer seguros, promover su celebración y obtener su renovación a título de intermediarios entre el asegurado y el asegurador</w:t>
      </w:r>
      <w:r w:rsidRPr="00F83E60">
        <w:rPr>
          <w:rFonts w:ascii="Verdana" w:hAnsi="Verdana" w:cs="Arial"/>
          <w:color w:val="000000" w:themeColor="text1"/>
          <w:sz w:val="16"/>
          <w:szCs w:val="16"/>
          <w:lang w:val="es-ES_tradnl"/>
        </w:rPr>
        <w:t xml:space="preserve">”. </w:t>
      </w:r>
    </w:p>
    <w:p w14:paraId="6E29D9E0" w14:textId="77777777" w:rsidR="00556A41" w:rsidRPr="00F83E60" w:rsidRDefault="00556A41" w:rsidP="00556A41">
      <w:pPr>
        <w:pStyle w:val="Textonotapie"/>
        <w:ind w:firstLine="709"/>
        <w:jc w:val="both"/>
        <w:rPr>
          <w:rFonts w:ascii="Verdana" w:hAnsi="Verdana" w:cs="Arial"/>
          <w:color w:val="000000" w:themeColor="text1"/>
          <w:sz w:val="16"/>
          <w:szCs w:val="16"/>
          <w:lang w:val="es-ES_tradnl"/>
        </w:rPr>
      </w:pPr>
    </w:p>
    <w:p w14:paraId="56985258" w14:textId="77777777" w:rsidR="00556A41" w:rsidRPr="00F83E60" w:rsidRDefault="00556A41" w:rsidP="00556A41">
      <w:pPr>
        <w:pStyle w:val="Textonotapie"/>
        <w:ind w:firstLine="708"/>
        <w:jc w:val="both"/>
        <w:rPr>
          <w:rFonts w:ascii="Verdana" w:hAnsi="Verdana" w:cs="Arial"/>
          <w:sz w:val="16"/>
          <w:szCs w:val="16"/>
        </w:rPr>
      </w:pPr>
      <w:r w:rsidRPr="00F83E60">
        <w:rPr>
          <w:rFonts w:ascii="Verdana" w:hAnsi="Verdana" w:cs="Arial"/>
          <w:sz w:val="16"/>
          <w:szCs w:val="16"/>
        </w:rPr>
        <w:t>El artículo 101 de la Ley 510 de 1999 modificó esta disposición, al establecer que los corredores de seguros deben constituirse como sociedades anónimas e indicar dentro de su denominación las palabras “corredor de seguros” o “corredores de seguros”, las que serán de uso exclusivo de tales sociedades.  Esta ley fijó un plazo de seis meses, a partir de su entrada en vigencia, para que las empresas corredoras de seguros acreditaran su transformación en sociedades anónimas.</w:t>
      </w:r>
    </w:p>
    <w:p w14:paraId="2C9BF06F" w14:textId="77777777" w:rsidR="00556A41" w:rsidRPr="00F83E60" w:rsidRDefault="00556A41" w:rsidP="00556A41">
      <w:pPr>
        <w:pStyle w:val="Textonotapie"/>
        <w:jc w:val="both"/>
        <w:rPr>
          <w:rFonts w:ascii="Verdana" w:hAnsi="Verdana" w:cs="Arial"/>
          <w:sz w:val="16"/>
          <w:szCs w:val="16"/>
        </w:rPr>
      </w:pPr>
    </w:p>
  </w:footnote>
  <w:footnote w:id="2">
    <w:p w14:paraId="75638C77" w14:textId="77777777" w:rsidR="00556A41" w:rsidRPr="00F83E60" w:rsidRDefault="00556A41" w:rsidP="00556A41">
      <w:pPr>
        <w:pStyle w:val="Textonotapie"/>
        <w:ind w:firstLine="708"/>
        <w:jc w:val="both"/>
        <w:rPr>
          <w:rFonts w:ascii="Verdana" w:hAnsi="Verdana" w:cs="Arial"/>
          <w:sz w:val="16"/>
          <w:szCs w:val="16"/>
          <w:lang w:val="es-CO"/>
        </w:rPr>
      </w:pPr>
      <w:r w:rsidRPr="00F83E60">
        <w:rPr>
          <w:rStyle w:val="Refdenotaalpie"/>
          <w:rFonts w:ascii="Verdana" w:hAnsi="Verdana" w:cs="Arial"/>
          <w:sz w:val="16"/>
          <w:szCs w:val="16"/>
        </w:rPr>
        <w:footnoteRef/>
      </w:r>
      <w:r w:rsidRPr="00F83E60">
        <w:rPr>
          <w:rFonts w:ascii="Verdana" w:hAnsi="Verdana" w:cs="Arial"/>
          <w:sz w:val="16"/>
          <w:szCs w:val="16"/>
        </w:rPr>
        <w:t xml:space="preserve"> </w:t>
      </w:r>
      <w:r w:rsidRPr="00F83E60">
        <w:rPr>
          <w:rFonts w:ascii="Verdana" w:hAnsi="Verdana" w:cs="Arial"/>
          <w:sz w:val="16"/>
          <w:szCs w:val="16"/>
          <w:lang w:val="es-CO"/>
        </w:rPr>
        <w:t>ARRUBLA PAUCAR Jaime, Contratos mercantiles</w:t>
      </w:r>
      <w:r w:rsidRPr="00F83E60">
        <w:rPr>
          <w:rFonts w:ascii="Verdana" w:hAnsi="Verdana" w:cs="Arial"/>
          <w:iCs/>
          <w:sz w:val="16"/>
          <w:szCs w:val="16"/>
          <w:lang w:val="es-CO"/>
        </w:rPr>
        <w:t>. C</w:t>
      </w:r>
      <w:r w:rsidRPr="00F83E60">
        <w:rPr>
          <w:rFonts w:ascii="Verdana" w:hAnsi="Verdana" w:cs="Arial"/>
          <w:sz w:val="16"/>
          <w:szCs w:val="16"/>
          <w:lang w:val="es-CO"/>
        </w:rPr>
        <w:t>ontratos típicos</w:t>
      </w:r>
      <w:r w:rsidRPr="00F83E60">
        <w:rPr>
          <w:rFonts w:ascii="Verdana" w:hAnsi="Verdana" w:cs="Arial"/>
          <w:i/>
          <w:sz w:val="16"/>
          <w:szCs w:val="16"/>
          <w:lang w:val="es-CO"/>
        </w:rPr>
        <w:t xml:space="preserve">, </w:t>
      </w:r>
      <w:r w:rsidRPr="00F83E60">
        <w:rPr>
          <w:rFonts w:ascii="Verdana" w:hAnsi="Verdana" w:cs="Arial"/>
          <w:sz w:val="16"/>
          <w:szCs w:val="16"/>
          <w:lang w:val="es-CO"/>
        </w:rPr>
        <w:t>décimo tercera edición, Universidad Pontificia Javeriana y Legis S.A., Bogotá, 2012, p. 354.</w:t>
      </w:r>
    </w:p>
  </w:footnote>
  <w:footnote w:id="3">
    <w:p w14:paraId="0710AFA3" w14:textId="77777777" w:rsidR="00556A41" w:rsidRPr="00F83E60" w:rsidRDefault="00556A41" w:rsidP="00556A41">
      <w:pPr>
        <w:pStyle w:val="Sinespaciado"/>
        <w:ind w:firstLine="708"/>
        <w:jc w:val="both"/>
        <w:rPr>
          <w:rFonts w:ascii="Verdana" w:hAnsi="Verdana" w:cs="Arial"/>
          <w:sz w:val="16"/>
          <w:szCs w:val="16"/>
        </w:rPr>
      </w:pPr>
      <w:r w:rsidRPr="00F83E60">
        <w:rPr>
          <w:rStyle w:val="Refdenotaalpie"/>
          <w:rFonts w:ascii="Verdana" w:hAnsi="Verdana" w:cs="Arial"/>
          <w:sz w:val="16"/>
          <w:szCs w:val="16"/>
        </w:rPr>
        <w:footnoteRef/>
      </w:r>
      <w:r w:rsidRPr="00F83E60">
        <w:rPr>
          <w:rFonts w:ascii="Verdana" w:hAnsi="Verdana" w:cs="Arial"/>
          <w:sz w:val="16"/>
          <w:szCs w:val="16"/>
        </w:rPr>
        <w:t xml:space="preserve"> Consejo de Estado. Sección Tercera. Subsección A. Sentencia del 30 de abril de 2014. M.P. Hernán Andrade Rincón. Rad. 25000-23-26-000-1996-13326-01(26967). </w:t>
      </w:r>
    </w:p>
    <w:p w14:paraId="262EC42D" w14:textId="77777777" w:rsidR="00556A41" w:rsidRPr="00F83E60" w:rsidRDefault="00556A41" w:rsidP="00556A41">
      <w:pPr>
        <w:pStyle w:val="Sinespaciado"/>
        <w:ind w:firstLine="708"/>
        <w:jc w:val="both"/>
        <w:rPr>
          <w:rFonts w:ascii="Verdana" w:hAnsi="Verdana" w:cs="Arial"/>
          <w:b/>
          <w:bCs/>
          <w:sz w:val="16"/>
          <w:szCs w:val="16"/>
        </w:rPr>
      </w:pPr>
    </w:p>
  </w:footnote>
  <w:footnote w:id="4">
    <w:p w14:paraId="6B28C285" w14:textId="77777777" w:rsidR="00556A41" w:rsidRPr="00F83E60" w:rsidRDefault="00556A41" w:rsidP="00556A41">
      <w:pPr>
        <w:pStyle w:val="Textonotapie"/>
        <w:ind w:firstLine="708"/>
        <w:jc w:val="both"/>
        <w:rPr>
          <w:rFonts w:ascii="Verdana" w:hAnsi="Verdana" w:cs="Arial"/>
          <w:sz w:val="16"/>
          <w:szCs w:val="16"/>
        </w:rPr>
      </w:pPr>
      <w:r w:rsidRPr="00F83E60">
        <w:rPr>
          <w:rStyle w:val="Refdenotaalpie"/>
          <w:rFonts w:ascii="Verdana" w:hAnsi="Verdana" w:cs="Arial"/>
          <w:sz w:val="16"/>
          <w:szCs w:val="16"/>
        </w:rPr>
        <w:footnoteRef/>
      </w:r>
      <w:r w:rsidRPr="00F83E60">
        <w:rPr>
          <w:rFonts w:ascii="Verdana" w:hAnsi="Verdana" w:cs="Arial"/>
          <w:sz w:val="16"/>
          <w:szCs w:val="16"/>
        </w:rPr>
        <w:t xml:space="preserve"> Ídem. </w:t>
      </w:r>
    </w:p>
  </w:footnote>
  <w:footnote w:id="5">
    <w:p w14:paraId="15BB4FCC" w14:textId="77777777" w:rsidR="00556A41" w:rsidRPr="00F83E60" w:rsidRDefault="00556A41" w:rsidP="00556A41">
      <w:pPr>
        <w:pStyle w:val="Textonotapie"/>
        <w:ind w:firstLine="708"/>
        <w:jc w:val="both"/>
        <w:rPr>
          <w:rFonts w:ascii="Verdana" w:hAnsi="Verdana" w:cs="Arial"/>
          <w:color w:val="000000" w:themeColor="text1"/>
          <w:sz w:val="16"/>
          <w:szCs w:val="16"/>
        </w:rPr>
      </w:pPr>
      <w:r w:rsidRPr="00F83E60">
        <w:rPr>
          <w:rStyle w:val="Refdenotaalpie"/>
          <w:rFonts w:ascii="Verdana" w:hAnsi="Verdana" w:cs="Arial"/>
          <w:color w:val="000000" w:themeColor="text1"/>
          <w:sz w:val="16"/>
          <w:szCs w:val="16"/>
        </w:rPr>
        <w:footnoteRef/>
      </w:r>
      <w:r w:rsidRPr="00F83E60">
        <w:rPr>
          <w:rFonts w:ascii="Verdana" w:hAnsi="Verdana" w:cs="Arial"/>
          <w:color w:val="000000" w:themeColor="text1"/>
          <w:sz w:val="16"/>
          <w:szCs w:val="16"/>
        </w:rPr>
        <w:t xml:space="preserve"> “La última formalidad que deben cumplir los contratos de la Administración dentro del marco jurídico de la contratación estatal se refiere a la liquidación, definida, en principio, como un negocio jurídico bilateral cuyo objeto es la realización del corte de cuentas entre las partes contratantes, en el cual queda establecida la relación directa entre las prestaciones ejecutaras, el valor cobrado por las mismas y su cancelación por parte del deudor de estas, sin perjuicio de los descuentos económicos a que haya lugar con motivo de la aplicación de estipulaciones contractuales específicas”. EXPOSITO, Juan Carlos. Forma y contenido del contrato estatal. Bogotá: Universidad Externado de Colombia, p. 89 y 90.</w:t>
      </w:r>
    </w:p>
    <w:p w14:paraId="4DF0F2BD" w14:textId="77777777" w:rsidR="00556A41" w:rsidRPr="00F83E60" w:rsidRDefault="00556A41" w:rsidP="00556A41">
      <w:pPr>
        <w:pStyle w:val="Textonotapie"/>
        <w:ind w:firstLine="708"/>
        <w:jc w:val="both"/>
        <w:rPr>
          <w:rFonts w:ascii="Verdana" w:hAnsi="Verdana" w:cs="Arial"/>
          <w:color w:val="000000" w:themeColor="text1"/>
          <w:sz w:val="16"/>
          <w:szCs w:val="16"/>
        </w:rPr>
      </w:pPr>
      <w:r w:rsidRPr="00F83E60">
        <w:rPr>
          <w:rFonts w:ascii="Verdana" w:hAnsi="Verdana" w:cs="Arial"/>
          <w:color w:val="000000" w:themeColor="text1"/>
          <w:sz w:val="16"/>
          <w:szCs w:val="16"/>
        </w:rPr>
        <w:t xml:space="preserve"> </w:t>
      </w:r>
    </w:p>
  </w:footnote>
  <w:footnote w:id="6">
    <w:p w14:paraId="2F9D2E41" w14:textId="77777777" w:rsidR="00556A41" w:rsidRPr="00F83E60" w:rsidRDefault="00556A41" w:rsidP="00556A41">
      <w:pPr>
        <w:pStyle w:val="Textonotapie"/>
        <w:ind w:firstLine="708"/>
        <w:jc w:val="both"/>
        <w:rPr>
          <w:rFonts w:ascii="Verdana" w:hAnsi="Verdana" w:cs="Arial"/>
          <w:color w:val="000000" w:themeColor="text1"/>
          <w:sz w:val="16"/>
          <w:szCs w:val="16"/>
        </w:rPr>
      </w:pPr>
      <w:r w:rsidRPr="00F83E60">
        <w:rPr>
          <w:rStyle w:val="Refdenotaalpie"/>
          <w:rFonts w:ascii="Verdana" w:hAnsi="Verdana" w:cs="Arial"/>
          <w:color w:val="000000" w:themeColor="text1"/>
          <w:sz w:val="16"/>
          <w:szCs w:val="16"/>
        </w:rPr>
        <w:footnoteRef/>
      </w:r>
      <w:r w:rsidRPr="00F83E60">
        <w:rPr>
          <w:rFonts w:ascii="Verdana" w:hAnsi="Verdana" w:cs="Arial"/>
          <w:color w:val="000000" w:themeColor="text1"/>
          <w:sz w:val="16"/>
          <w:szCs w:val="16"/>
        </w:rPr>
        <w:t xml:space="preserve"> DÍAZ DÍEZ, Cristian Andrés. La liquidación. Serie: Las Cláusulas del Contrato Estatal. Medellín: Librería Jurídica Sánchez y Centro de Estudios de Derecho Administrativo –CEDA–, 2013, pp. 53-54.</w:t>
      </w:r>
    </w:p>
    <w:p w14:paraId="3C04352D" w14:textId="77777777" w:rsidR="00556A41" w:rsidRPr="00F83E60" w:rsidRDefault="00556A41" w:rsidP="00556A41">
      <w:pPr>
        <w:pStyle w:val="Textonotapie"/>
        <w:ind w:firstLine="708"/>
        <w:jc w:val="both"/>
        <w:rPr>
          <w:rFonts w:ascii="Verdana" w:hAnsi="Verdana" w:cs="Arial"/>
          <w:color w:val="000000" w:themeColor="text1"/>
          <w:sz w:val="16"/>
          <w:szCs w:val="16"/>
          <w:lang w:val="es-CO"/>
        </w:rPr>
      </w:pPr>
    </w:p>
  </w:footnote>
  <w:footnote w:id="7">
    <w:p w14:paraId="0878D6B8" w14:textId="77777777" w:rsidR="00556A41" w:rsidRPr="00F83E60" w:rsidRDefault="00556A41" w:rsidP="00556A41">
      <w:pPr>
        <w:spacing w:after="0" w:line="240" w:lineRule="auto"/>
        <w:ind w:firstLine="708"/>
        <w:jc w:val="both"/>
        <w:rPr>
          <w:rFonts w:ascii="Verdana" w:hAnsi="Verdana" w:cs="Arial"/>
          <w:color w:val="000000" w:themeColor="text1"/>
          <w:sz w:val="16"/>
          <w:szCs w:val="16"/>
        </w:rPr>
      </w:pPr>
      <w:r w:rsidRPr="00F83E60">
        <w:rPr>
          <w:rStyle w:val="Refdenotaalpie"/>
          <w:rFonts w:ascii="Verdana" w:hAnsi="Verdana" w:cs="Arial"/>
          <w:color w:val="000000" w:themeColor="text1"/>
          <w:sz w:val="16"/>
          <w:szCs w:val="16"/>
        </w:rPr>
        <w:footnoteRef/>
      </w:r>
      <w:r w:rsidRPr="00F83E60">
        <w:rPr>
          <w:rFonts w:ascii="Verdana" w:hAnsi="Verdana" w:cs="Arial"/>
          <w:color w:val="000000" w:themeColor="text1"/>
          <w:sz w:val="16"/>
          <w:szCs w:val="16"/>
        </w:rPr>
        <w:t xml:space="preserve"> Consejo de Estado. Sección Tercera. Subsección C. 20 de octubre de 2014, M.P: Enrique Gil Botero. Exp. 27.777. Allí se dijo: “[…] liquidar supone un ajuste expreso y claro sobre las cuentas y el estado de cumplimiento de un contrato, de tal manera que conste el balance tanto técnico como económico de las obligaciones que estuvieron a cargo de las partes. En cuanto a lo primero, la liquidación debe incluir un análisis detallado de las condiciones de calidad y oportunidad en la entrega de los bienes, obras o servicios, y el balance económico dará cuenta del comportamiento financiero del negocio: recursos recibidos, pagos efectuados, estado del crédito o de la deuda de cada parte, entre otros detalles mínimos y necesarios para finiquitar una relación jurídica contractual”.</w:t>
      </w:r>
    </w:p>
    <w:p w14:paraId="1ED1FC61" w14:textId="77777777" w:rsidR="00556A41" w:rsidRPr="00F83E60" w:rsidRDefault="00556A41" w:rsidP="00556A41">
      <w:pPr>
        <w:pStyle w:val="Textonotapie"/>
        <w:ind w:firstLine="708"/>
        <w:jc w:val="both"/>
        <w:rPr>
          <w:rFonts w:ascii="Verdana" w:hAnsi="Verdana" w:cs="Arial"/>
          <w:color w:val="000000" w:themeColor="text1"/>
          <w:sz w:val="16"/>
          <w:szCs w:val="16"/>
          <w:lang w:val="es-ES"/>
        </w:rPr>
      </w:pPr>
    </w:p>
  </w:footnote>
  <w:footnote w:id="8">
    <w:p w14:paraId="78CBDD2B" w14:textId="77777777" w:rsidR="00556A41" w:rsidRPr="00F83E60" w:rsidRDefault="00556A41" w:rsidP="00556A41">
      <w:pPr>
        <w:pStyle w:val="Textonotapie"/>
        <w:ind w:firstLine="708"/>
        <w:jc w:val="both"/>
        <w:rPr>
          <w:rFonts w:ascii="Verdana" w:hAnsi="Verdana" w:cs="Arial"/>
          <w:color w:val="000000" w:themeColor="text1"/>
          <w:sz w:val="16"/>
          <w:szCs w:val="16"/>
        </w:rPr>
      </w:pPr>
      <w:r w:rsidRPr="00F83E60">
        <w:rPr>
          <w:rStyle w:val="Refdenotaalpie"/>
          <w:rFonts w:ascii="Verdana" w:hAnsi="Verdana" w:cs="Arial"/>
          <w:color w:val="000000" w:themeColor="text1"/>
          <w:sz w:val="16"/>
          <w:szCs w:val="16"/>
        </w:rPr>
        <w:footnoteRef/>
      </w:r>
      <w:r w:rsidRPr="00F83E60">
        <w:rPr>
          <w:rFonts w:ascii="Verdana" w:hAnsi="Verdana" w:cs="Arial"/>
          <w:color w:val="000000" w:themeColor="text1"/>
          <w:sz w:val="16"/>
          <w:szCs w:val="16"/>
        </w:rPr>
        <w:t xml:space="preserve"> EXPOSITO VELEZ. Juan Carlos. Forma y contenido del contrato estatal, p. 90.</w:t>
      </w:r>
    </w:p>
  </w:footnote>
  <w:footnote w:id="9">
    <w:p w14:paraId="3FF0A2D9" w14:textId="77777777" w:rsidR="00556A41" w:rsidRPr="00F83E60" w:rsidRDefault="00556A41" w:rsidP="00556A41">
      <w:pPr>
        <w:pStyle w:val="Textonotapie"/>
        <w:ind w:firstLine="708"/>
        <w:jc w:val="both"/>
        <w:rPr>
          <w:rFonts w:ascii="Verdana" w:hAnsi="Verdana" w:cs="Arial"/>
          <w:color w:val="000000" w:themeColor="text1"/>
          <w:sz w:val="16"/>
          <w:szCs w:val="16"/>
        </w:rPr>
      </w:pPr>
    </w:p>
    <w:p w14:paraId="0DA42BC9" w14:textId="77777777" w:rsidR="00556A41" w:rsidRPr="00F83E60" w:rsidRDefault="00556A41" w:rsidP="00556A41">
      <w:pPr>
        <w:pStyle w:val="Textonotapie"/>
        <w:ind w:firstLine="708"/>
        <w:jc w:val="both"/>
        <w:rPr>
          <w:rFonts w:ascii="Verdana" w:hAnsi="Verdana" w:cs="Arial"/>
          <w:color w:val="000000" w:themeColor="text1"/>
          <w:sz w:val="16"/>
          <w:szCs w:val="16"/>
        </w:rPr>
      </w:pPr>
      <w:r w:rsidRPr="00F83E60">
        <w:rPr>
          <w:rStyle w:val="Refdenotaalpie"/>
          <w:rFonts w:ascii="Verdana" w:hAnsi="Verdana" w:cs="Arial"/>
          <w:color w:val="000000" w:themeColor="text1"/>
          <w:sz w:val="16"/>
          <w:szCs w:val="16"/>
        </w:rPr>
        <w:footnoteRef/>
      </w:r>
      <w:r w:rsidRPr="00F83E60">
        <w:rPr>
          <w:rFonts w:ascii="Verdana" w:hAnsi="Verdana" w:cs="Arial"/>
          <w:color w:val="000000" w:themeColor="text1"/>
          <w:sz w:val="16"/>
          <w:szCs w:val="16"/>
        </w:rPr>
        <w:t xml:space="preserve"> Consejo de Estado. Sala de Consulta y Servicio Civil. Concepto de 6 de agosto de 2003. MP. Augusto Trejos. Exp. No. 1453.</w:t>
      </w:r>
    </w:p>
    <w:p w14:paraId="6E308666" w14:textId="77777777" w:rsidR="00556A41" w:rsidRPr="00F83E60" w:rsidRDefault="00556A41" w:rsidP="00556A41">
      <w:pPr>
        <w:pStyle w:val="Textonotapie"/>
        <w:ind w:firstLine="708"/>
        <w:jc w:val="both"/>
        <w:rPr>
          <w:rFonts w:ascii="Verdana" w:hAnsi="Verdana" w:cs="Arial"/>
          <w:color w:val="000000" w:themeColor="text1"/>
          <w:sz w:val="16"/>
          <w:szCs w:val="16"/>
        </w:rPr>
      </w:pPr>
    </w:p>
  </w:footnote>
  <w:footnote w:id="10">
    <w:p w14:paraId="56A0E2BA" w14:textId="77777777" w:rsidR="00556A41" w:rsidRPr="00F83E60" w:rsidRDefault="00556A41" w:rsidP="00556A41">
      <w:pPr>
        <w:spacing w:after="0" w:line="240" w:lineRule="auto"/>
        <w:ind w:left="118" w:right="197" w:firstLine="708"/>
        <w:jc w:val="both"/>
        <w:rPr>
          <w:rFonts w:ascii="Verdana" w:hAnsi="Verdana" w:cs="Arial"/>
          <w:sz w:val="16"/>
          <w:szCs w:val="16"/>
        </w:rPr>
      </w:pPr>
      <w:r w:rsidRPr="00F83E60">
        <w:rPr>
          <w:rStyle w:val="Refdenotaalpie"/>
          <w:rFonts w:ascii="Verdana" w:hAnsi="Verdana" w:cs="Arial"/>
          <w:sz w:val="16"/>
          <w:szCs w:val="16"/>
        </w:rPr>
        <w:footnoteRef/>
      </w:r>
      <w:r w:rsidRPr="00F83E60">
        <w:rPr>
          <w:rFonts w:ascii="Verdana" w:hAnsi="Verdana" w:cs="Arial"/>
          <w:sz w:val="16"/>
          <w:szCs w:val="16"/>
        </w:rPr>
        <w:t xml:space="preserve"> El</w:t>
      </w:r>
      <w:r w:rsidRPr="00F83E60">
        <w:rPr>
          <w:rFonts w:ascii="Verdana" w:hAnsi="Verdana" w:cs="Arial"/>
          <w:spacing w:val="-5"/>
          <w:sz w:val="16"/>
          <w:szCs w:val="16"/>
        </w:rPr>
        <w:t xml:space="preserve"> </w:t>
      </w:r>
      <w:r w:rsidRPr="00F83E60">
        <w:rPr>
          <w:rFonts w:ascii="Verdana" w:hAnsi="Verdana" w:cs="Arial"/>
          <w:sz w:val="16"/>
          <w:szCs w:val="16"/>
        </w:rPr>
        <w:t>artículo</w:t>
      </w:r>
      <w:r w:rsidRPr="00F83E60">
        <w:rPr>
          <w:rFonts w:ascii="Verdana" w:hAnsi="Verdana" w:cs="Arial"/>
          <w:spacing w:val="-5"/>
          <w:sz w:val="16"/>
          <w:szCs w:val="16"/>
        </w:rPr>
        <w:t xml:space="preserve"> </w:t>
      </w:r>
      <w:r w:rsidRPr="00F83E60">
        <w:rPr>
          <w:rFonts w:ascii="Verdana" w:hAnsi="Verdana" w:cs="Arial"/>
          <w:sz w:val="16"/>
          <w:szCs w:val="16"/>
        </w:rPr>
        <w:t>11</w:t>
      </w:r>
      <w:r w:rsidRPr="00F83E60">
        <w:rPr>
          <w:rFonts w:ascii="Verdana" w:hAnsi="Verdana" w:cs="Arial"/>
          <w:spacing w:val="-5"/>
          <w:sz w:val="16"/>
          <w:szCs w:val="16"/>
        </w:rPr>
        <w:t xml:space="preserve"> </w:t>
      </w:r>
      <w:r w:rsidRPr="00F83E60">
        <w:rPr>
          <w:rFonts w:ascii="Verdana" w:hAnsi="Verdana" w:cs="Arial"/>
          <w:sz w:val="16"/>
          <w:szCs w:val="16"/>
        </w:rPr>
        <w:t>de</w:t>
      </w:r>
      <w:r w:rsidRPr="00F83E60">
        <w:rPr>
          <w:rFonts w:ascii="Verdana" w:hAnsi="Verdana" w:cs="Arial"/>
          <w:spacing w:val="-4"/>
          <w:sz w:val="16"/>
          <w:szCs w:val="16"/>
        </w:rPr>
        <w:t xml:space="preserve"> </w:t>
      </w:r>
      <w:r w:rsidRPr="00F83E60">
        <w:rPr>
          <w:rFonts w:ascii="Verdana" w:hAnsi="Verdana" w:cs="Arial"/>
          <w:sz w:val="16"/>
          <w:szCs w:val="16"/>
        </w:rPr>
        <w:t>la</w:t>
      </w:r>
      <w:r w:rsidRPr="00F83E60">
        <w:rPr>
          <w:rFonts w:ascii="Verdana" w:hAnsi="Verdana" w:cs="Arial"/>
          <w:spacing w:val="-5"/>
          <w:sz w:val="16"/>
          <w:szCs w:val="16"/>
        </w:rPr>
        <w:t xml:space="preserve"> </w:t>
      </w:r>
      <w:r w:rsidRPr="00F83E60">
        <w:rPr>
          <w:rFonts w:ascii="Verdana" w:hAnsi="Verdana" w:cs="Arial"/>
          <w:sz w:val="16"/>
          <w:szCs w:val="16"/>
        </w:rPr>
        <w:t>Ley</w:t>
      </w:r>
      <w:r w:rsidRPr="00F83E60">
        <w:rPr>
          <w:rFonts w:ascii="Verdana" w:hAnsi="Verdana" w:cs="Arial"/>
          <w:spacing w:val="-5"/>
          <w:sz w:val="16"/>
          <w:szCs w:val="16"/>
        </w:rPr>
        <w:t xml:space="preserve"> </w:t>
      </w:r>
      <w:r w:rsidRPr="00F83E60">
        <w:rPr>
          <w:rFonts w:ascii="Verdana" w:hAnsi="Verdana" w:cs="Arial"/>
          <w:sz w:val="16"/>
          <w:szCs w:val="16"/>
        </w:rPr>
        <w:t>1150</w:t>
      </w:r>
      <w:r w:rsidRPr="00F83E60">
        <w:rPr>
          <w:rFonts w:ascii="Verdana" w:hAnsi="Verdana" w:cs="Arial"/>
          <w:spacing w:val="-5"/>
          <w:sz w:val="16"/>
          <w:szCs w:val="16"/>
        </w:rPr>
        <w:t xml:space="preserve"> </w:t>
      </w:r>
      <w:r w:rsidRPr="00F83E60">
        <w:rPr>
          <w:rFonts w:ascii="Verdana" w:hAnsi="Verdana" w:cs="Arial"/>
          <w:sz w:val="16"/>
          <w:szCs w:val="16"/>
        </w:rPr>
        <w:t>de</w:t>
      </w:r>
      <w:r w:rsidRPr="00F83E60">
        <w:rPr>
          <w:rFonts w:ascii="Verdana" w:hAnsi="Verdana" w:cs="Arial"/>
          <w:spacing w:val="-4"/>
          <w:sz w:val="16"/>
          <w:szCs w:val="16"/>
        </w:rPr>
        <w:t xml:space="preserve"> </w:t>
      </w:r>
      <w:r w:rsidRPr="00F83E60">
        <w:rPr>
          <w:rFonts w:ascii="Verdana" w:hAnsi="Verdana" w:cs="Arial"/>
          <w:sz w:val="16"/>
          <w:szCs w:val="16"/>
        </w:rPr>
        <w:t>2007</w:t>
      </w:r>
      <w:r w:rsidRPr="00F83E60">
        <w:rPr>
          <w:rFonts w:ascii="Verdana" w:hAnsi="Verdana" w:cs="Arial"/>
          <w:spacing w:val="-5"/>
          <w:sz w:val="16"/>
          <w:szCs w:val="16"/>
        </w:rPr>
        <w:t xml:space="preserve"> </w:t>
      </w:r>
      <w:r w:rsidRPr="00F83E60">
        <w:rPr>
          <w:rFonts w:ascii="Verdana" w:hAnsi="Verdana" w:cs="Arial"/>
          <w:sz w:val="16"/>
          <w:szCs w:val="16"/>
        </w:rPr>
        <w:t>prescribe:</w:t>
      </w:r>
      <w:r w:rsidRPr="00F83E60">
        <w:rPr>
          <w:rFonts w:ascii="Verdana" w:hAnsi="Verdana" w:cs="Arial"/>
          <w:spacing w:val="-5"/>
          <w:sz w:val="16"/>
          <w:szCs w:val="16"/>
        </w:rPr>
        <w:t xml:space="preserve"> </w:t>
      </w:r>
      <w:r w:rsidRPr="00F83E60">
        <w:rPr>
          <w:rFonts w:ascii="Verdana" w:hAnsi="Verdana" w:cs="Arial"/>
          <w:sz w:val="16"/>
          <w:szCs w:val="16"/>
        </w:rPr>
        <w:t>“Artículo</w:t>
      </w:r>
      <w:r w:rsidRPr="00F83E60">
        <w:rPr>
          <w:rFonts w:ascii="Verdana" w:hAnsi="Verdana" w:cs="Arial"/>
          <w:spacing w:val="-5"/>
          <w:sz w:val="16"/>
          <w:szCs w:val="16"/>
        </w:rPr>
        <w:t xml:space="preserve"> </w:t>
      </w:r>
      <w:r w:rsidRPr="00F83E60">
        <w:rPr>
          <w:rFonts w:ascii="Verdana" w:hAnsi="Verdana" w:cs="Arial"/>
          <w:sz w:val="16"/>
          <w:szCs w:val="16"/>
        </w:rPr>
        <w:t>11.</w:t>
      </w:r>
      <w:r w:rsidRPr="00F83E60">
        <w:rPr>
          <w:rFonts w:ascii="Verdana" w:hAnsi="Verdana" w:cs="Arial"/>
          <w:spacing w:val="-5"/>
          <w:sz w:val="16"/>
          <w:szCs w:val="16"/>
        </w:rPr>
        <w:t xml:space="preserve"> </w:t>
      </w:r>
      <w:r w:rsidRPr="00F83E60">
        <w:rPr>
          <w:rFonts w:ascii="Verdana" w:hAnsi="Verdana" w:cs="Arial"/>
          <w:sz w:val="16"/>
          <w:szCs w:val="16"/>
        </w:rPr>
        <w:t>Del</w:t>
      </w:r>
      <w:r w:rsidRPr="00F83E60">
        <w:rPr>
          <w:rFonts w:ascii="Verdana" w:hAnsi="Verdana" w:cs="Arial"/>
          <w:spacing w:val="-4"/>
          <w:sz w:val="16"/>
          <w:szCs w:val="16"/>
        </w:rPr>
        <w:t xml:space="preserve"> </w:t>
      </w:r>
      <w:r w:rsidRPr="00F83E60">
        <w:rPr>
          <w:rFonts w:ascii="Verdana" w:hAnsi="Verdana" w:cs="Arial"/>
          <w:sz w:val="16"/>
          <w:szCs w:val="16"/>
        </w:rPr>
        <w:t>plazo</w:t>
      </w:r>
      <w:r w:rsidRPr="00F83E60">
        <w:rPr>
          <w:rFonts w:ascii="Verdana" w:hAnsi="Verdana" w:cs="Arial"/>
          <w:spacing w:val="-5"/>
          <w:sz w:val="16"/>
          <w:szCs w:val="16"/>
        </w:rPr>
        <w:t xml:space="preserve"> </w:t>
      </w:r>
      <w:r w:rsidRPr="00F83E60">
        <w:rPr>
          <w:rFonts w:ascii="Verdana" w:hAnsi="Verdana" w:cs="Arial"/>
          <w:sz w:val="16"/>
          <w:szCs w:val="16"/>
        </w:rPr>
        <w:t>para</w:t>
      </w:r>
      <w:r w:rsidRPr="00F83E60">
        <w:rPr>
          <w:rFonts w:ascii="Verdana" w:hAnsi="Verdana" w:cs="Arial"/>
          <w:spacing w:val="-5"/>
          <w:sz w:val="16"/>
          <w:szCs w:val="16"/>
        </w:rPr>
        <w:t xml:space="preserve"> </w:t>
      </w:r>
      <w:r w:rsidRPr="00F83E60">
        <w:rPr>
          <w:rFonts w:ascii="Verdana" w:hAnsi="Verdana" w:cs="Arial"/>
          <w:sz w:val="16"/>
          <w:szCs w:val="16"/>
        </w:rPr>
        <w:t>la</w:t>
      </w:r>
      <w:r w:rsidRPr="00F83E60">
        <w:rPr>
          <w:rFonts w:ascii="Verdana" w:hAnsi="Verdana" w:cs="Arial"/>
          <w:spacing w:val="-5"/>
          <w:sz w:val="16"/>
          <w:szCs w:val="16"/>
        </w:rPr>
        <w:t xml:space="preserve"> </w:t>
      </w:r>
      <w:r w:rsidRPr="00F83E60">
        <w:rPr>
          <w:rFonts w:ascii="Verdana" w:hAnsi="Verdana" w:cs="Arial"/>
          <w:sz w:val="16"/>
          <w:szCs w:val="16"/>
        </w:rPr>
        <w:t>liquidación</w:t>
      </w:r>
      <w:r w:rsidRPr="00F83E60">
        <w:rPr>
          <w:rFonts w:ascii="Verdana" w:hAnsi="Verdana" w:cs="Arial"/>
          <w:spacing w:val="-5"/>
          <w:sz w:val="16"/>
          <w:szCs w:val="16"/>
        </w:rPr>
        <w:t xml:space="preserve"> </w:t>
      </w:r>
      <w:r w:rsidRPr="00F83E60">
        <w:rPr>
          <w:rFonts w:ascii="Verdana" w:hAnsi="Verdana" w:cs="Arial"/>
          <w:sz w:val="16"/>
          <w:szCs w:val="16"/>
        </w:rPr>
        <w:t>de</w:t>
      </w:r>
      <w:r w:rsidRPr="00F83E60">
        <w:rPr>
          <w:rFonts w:ascii="Verdana" w:hAnsi="Verdana" w:cs="Arial"/>
          <w:spacing w:val="-4"/>
          <w:sz w:val="16"/>
          <w:szCs w:val="16"/>
        </w:rPr>
        <w:t xml:space="preserve"> </w:t>
      </w:r>
      <w:r w:rsidRPr="00F83E60">
        <w:rPr>
          <w:rFonts w:ascii="Verdana" w:hAnsi="Verdana" w:cs="Arial"/>
          <w:sz w:val="16"/>
          <w:szCs w:val="16"/>
        </w:rPr>
        <w:t>los</w:t>
      </w:r>
      <w:r w:rsidRPr="00F83E60">
        <w:rPr>
          <w:rFonts w:ascii="Verdana" w:hAnsi="Verdana" w:cs="Arial"/>
          <w:spacing w:val="-5"/>
          <w:sz w:val="16"/>
          <w:szCs w:val="16"/>
        </w:rPr>
        <w:t xml:space="preserve"> </w:t>
      </w:r>
      <w:r w:rsidRPr="00F83E60">
        <w:rPr>
          <w:rFonts w:ascii="Verdana" w:hAnsi="Verdana" w:cs="Arial"/>
          <w:sz w:val="16"/>
          <w:szCs w:val="16"/>
        </w:rPr>
        <w:t>contratos.</w:t>
      </w:r>
      <w:r w:rsidRPr="00F83E60">
        <w:rPr>
          <w:rFonts w:ascii="Verdana" w:hAnsi="Verdana" w:cs="Arial"/>
          <w:spacing w:val="-5"/>
          <w:sz w:val="16"/>
          <w:szCs w:val="16"/>
        </w:rPr>
        <w:t xml:space="preserve"> </w:t>
      </w:r>
      <w:r w:rsidRPr="00F83E60">
        <w:rPr>
          <w:rFonts w:ascii="Verdana" w:hAnsi="Verdana" w:cs="Arial"/>
          <w:sz w:val="16"/>
          <w:szCs w:val="16"/>
        </w:rPr>
        <w:t>La</w:t>
      </w:r>
      <w:r w:rsidRPr="00F83E60">
        <w:rPr>
          <w:rFonts w:ascii="Verdana" w:hAnsi="Verdana" w:cs="Arial"/>
          <w:spacing w:val="-5"/>
          <w:sz w:val="16"/>
          <w:szCs w:val="16"/>
        </w:rPr>
        <w:t xml:space="preserve"> </w:t>
      </w:r>
      <w:r w:rsidRPr="00F83E60">
        <w:rPr>
          <w:rFonts w:ascii="Verdana" w:hAnsi="Verdana" w:cs="Arial"/>
          <w:sz w:val="16"/>
          <w:szCs w:val="16"/>
        </w:rPr>
        <w:t>liquidación</w:t>
      </w:r>
      <w:r w:rsidRPr="00F83E60">
        <w:rPr>
          <w:rFonts w:ascii="Verdana" w:hAnsi="Verdana" w:cs="Arial"/>
          <w:spacing w:val="1"/>
          <w:sz w:val="16"/>
          <w:szCs w:val="16"/>
        </w:rPr>
        <w:t xml:space="preserve"> </w:t>
      </w:r>
      <w:r w:rsidRPr="00F83E60">
        <w:rPr>
          <w:rFonts w:ascii="Verdana" w:hAnsi="Verdana" w:cs="Arial"/>
          <w:sz w:val="16"/>
          <w:szCs w:val="16"/>
        </w:rPr>
        <w:t>de los contratos se hará de mutuo acuerdo dentro del término fijado en los pliegos de condiciones o sus equivalentes, o dentro del</w:t>
      </w:r>
      <w:r w:rsidRPr="00F83E60">
        <w:rPr>
          <w:rFonts w:ascii="Verdana" w:hAnsi="Verdana" w:cs="Arial"/>
          <w:spacing w:val="1"/>
          <w:sz w:val="16"/>
          <w:szCs w:val="16"/>
        </w:rPr>
        <w:t xml:space="preserve"> </w:t>
      </w:r>
      <w:r w:rsidRPr="00F83E60">
        <w:rPr>
          <w:rFonts w:ascii="Verdana" w:hAnsi="Verdana" w:cs="Arial"/>
          <w:sz w:val="16"/>
          <w:szCs w:val="16"/>
        </w:rPr>
        <w:t>que</w:t>
      </w:r>
      <w:r w:rsidRPr="00F83E60">
        <w:rPr>
          <w:rFonts w:ascii="Verdana" w:hAnsi="Verdana"/>
          <w:sz w:val="16"/>
          <w:szCs w:val="16"/>
        </w:rPr>
        <w:t xml:space="preserve"> acuerden las partes para el efecto. De no existir tal término, la liquidación se realizará dentro de los </w:t>
      </w:r>
      <w:r w:rsidRPr="00F83E60">
        <w:rPr>
          <w:rFonts w:ascii="Verdana" w:hAnsi="Verdana" w:cs="Arial"/>
          <w:sz w:val="16"/>
          <w:szCs w:val="16"/>
        </w:rPr>
        <w:t>cuatro (4) meses siguientes</w:t>
      </w:r>
      <w:r w:rsidRPr="00F83E60">
        <w:rPr>
          <w:rFonts w:ascii="Verdana" w:hAnsi="Verdana" w:cs="Arial"/>
          <w:spacing w:val="-42"/>
          <w:sz w:val="16"/>
          <w:szCs w:val="16"/>
        </w:rPr>
        <w:t xml:space="preserve"> </w:t>
      </w:r>
      <w:r w:rsidRPr="00F83E60">
        <w:rPr>
          <w:rFonts w:ascii="Verdana" w:hAnsi="Verdana" w:cs="Arial"/>
          <w:sz w:val="16"/>
          <w:szCs w:val="16"/>
        </w:rPr>
        <w:t>a</w:t>
      </w:r>
      <w:r w:rsidRPr="00F83E60">
        <w:rPr>
          <w:rFonts w:ascii="Verdana" w:hAnsi="Verdana" w:cs="Arial"/>
          <w:spacing w:val="-6"/>
          <w:sz w:val="16"/>
          <w:szCs w:val="16"/>
        </w:rPr>
        <w:t xml:space="preserve"> </w:t>
      </w:r>
      <w:r w:rsidRPr="00F83E60">
        <w:rPr>
          <w:rFonts w:ascii="Verdana" w:hAnsi="Verdana" w:cs="Arial"/>
          <w:sz w:val="16"/>
          <w:szCs w:val="16"/>
        </w:rPr>
        <w:t>la</w:t>
      </w:r>
      <w:r w:rsidRPr="00F83E60">
        <w:rPr>
          <w:rFonts w:ascii="Verdana" w:hAnsi="Verdana" w:cs="Arial"/>
          <w:spacing w:val="-6"/>
          <w:sz w:val="16"/>
          <w:szCs w:val="16"/>
        </w:rPr>
        <w:t xml:space="preserve"> </w:t>
      </w:r>
      <w:r w:rsidRPr="00F83E60">
        <w:rPr>
          <w:rFonts w:ascii="Verdana" w:hAnsi="Verdana" w:cs="Arial"/>
          <w:sz w:val="16"/>
          <w:szCs w:val="16"/>
        </w:rPr>
        <w:t>expiración</w:t>
      </w:r>
      <w:r w:rsidRPr="00F83E60">
        <w:rPr>
          <w:rFonts w:ascii="Verdana" w:hAnsi="Verdana" w:cs="Arial"/>
          <w:spacing w:val="-4"/>
          <w:sz w:val="16"/>
          <w:szCs w:val="16"/>
        </w:rPr>
        <w:t xml:space="preserve"> </w:t>
      </w:r>
      <w:r w:rsidRPr="00F83E60">
        <w:rPr>
          <w:rFonts w:ascii="Verdana" w:hAnsi="Verdana" w:cs="Arial"/>
          <w:sz w:val="16"/>
          <w:szCs w:val="16"/>
        </w:rPr>
        <w:t>del</w:t>
      </w:r>
      <w:r w:rsidRPr="00F83E60">
        <w:rPr>
          <w:rFonts w:ascii="Verdana" w:hAnsi="Verdana" w:cs="Arial"/>
          <w:spacing w:val="-6"/>
          <w:sz w:val="16"/>
          <w:szCs w:val="16"/>
        </w:rPr>
        <w:t xml:space="preserve"> </w:t>
      </w:r>
      <w:r w:rsidRPr="00F83E60">
        <w:rPr>
          <w:rFonts w:ascii="Verdana" w:hAnsi="Verdana" w:cs="Arial"/>
          <w:sz w:val="16"/>
          <w:szCs w:val="16"/>
        </w:rPr>
        <w:t>término</w:t>
      </w:r>
      <w:r w:rsidRPr="00F83E60">
        <w:rPr>
          <w:rFonts w:ascii="Verdana" w:hAnsi="Verdana" w:cs="Arial"/>
          <w:spacing w:val="-5"/>
          <w:sz w:val="16"/>
          <w:szCs w:val="16"/>
        </w:rPr>
        <w:t xml:space="preserve"> </w:t>
      </w:r>
      <w:r w:rsidRPr="00F83E60">
        <w:rPr>
          <w:rFonts w:ascii="Verdana" w:hAnsi="Verdana" w:cs="Arial"/>
          <w:sz w:val="16"/>
          <w:szCs w:val="16"/>
        </w:rPr>
        <w:t>previsto</w:t>
      </w:r>
      <w:r w:rsidRPr="00F83E60">
        <w:rPr>
          <w:rFonts w:ascii="Verdana" w:hAnsi="Verdana" w:cs="Arial"/>
          <w:spacing w:val="-4"/>
          <w:sz w:val="16"/>
          <w:szCs w:val="16"/>
        </w:rPr>
        <w:t xml:space="preserve"> </w:t>
      </w:r>
      <w:r w:rsidRPr="00F83E60">
        <w:rPr>
          <w:rFonts w:ascii="Verdana" w:hAnsi="Verdana" w:cs="Arial"/>
          <w:sz w:val="16"/>
          <w:szCs w:val="16"/>
        </w:rPr>
        <w:t>para</w:t>
      </w:r>
      <w:r w:rsidRPr="00F83E60">
        <w:rPr>
          <w:rFonts w:ascii="Verdana" w:hAnsi="Verdana" w:cs="Arial"/>
          <w:spacing w:val="-6"/>
          <w:sz w:val="16"/>
          <w:szCs w:val="16"/>
        </w:rPr>
        <w:t xml:space="preserve"> </w:t>
      </w:r>
      <w:r w:rsidRPr="00F83E60">
        <w:rPr>
          <w:rFonts w:ascii="Verdana" w:hAnsi="Verdana" w:cs="Arial"/>
          <w:sz w:val="16"/>
          <w:szCs w:val="16"/>
        </w:rPr>
        <w:t>la</w:t>
      </w:r>
      <w:r w:rsidRPr="00F83E60">
        <w:rPr>
          <w:rFonts w:ascii="Verdana" w:hAnsi="Verdana" w:cs="Arial"/>
          <w:spacing w:val="-6"/>
          <w:sz w:val="16"/>
          <w:szCs w:val="16"/>
        </w:rPr>
        <w:t xml:space="preserve"> </w:t>
      </w:r>
      <w:r w:rsidRPr="00F83E60">
        <w:rPr>
          <w:rFonts w:ascii="Verdana" w:hAnsi="Verdana" w:cs="Arial"/>
          <w:sz w:val="16"/>
          <w:szCs w:val="16"/>
        </w:rPr>
        <w:t>ejecución</w:t>
      </w:r>
      <w:r w:rsidRPr="00F83E60">
        <w:rPr>
          <w:rFonts w:ascii="Verdana" w:hAnsi="Verdana" w:cs="Arial"/>
          <w:spacing w:val="-4"/>
          <w:sz w:val="16"/>
          <w:szCs w:val="16"/>
        </w:rPr>
        <w:t xml:space="preserve"> </w:t>
      </w:r>
      <w:r w:rsidRPr="00F83E60">
        <w:rPr>
          <w:rFonts w:ascii="Verdana" w:hAnsi="Verdana" w:cs="Arial"/>
          <w:sz w:val="16"/>
          <w:szCs w:val="16"/>
        </w:rPr>
        <w:t>del</w:t>
      </w:r>
      <w:r w:rsidRPr="00F83E60">
        <w:rPr>
          <w:rFonts w:ascii="Verdana" w:hAnsi="Verdana" w:cs="Arial"/>
          <w:spacing w:val="-6"/>
          <w:sz w:val="16"/>
          <w:szCs w:val="16"/>
        </w:rPr>
        <w:t xml:space="preserve"> </w:t>
      </w:r>
      <w:r w:rsidRPr="00F83E60">
        <w:rPr>
          <w:rFonts w:ascii="Verdana" w:hAnsi="Verdana" w:cs="Arial"/>
          <w:sz w:val="16"/>
          <w:szCs w:val="16"/>
        </w:rPr>
        <w:t>contrato</w:t>
      </w:r>
      <w:r w:rsidRPr="00F83E60">
        <w:rPr>
          <w:rFonts w:ascii="Verdana" w:hAnsi="Verdana" w:cs="Arial"/>
          <w:spacing w:val="-6"/>
          <w:sz w:val="16"/>
          <w:szCs w:val="16"/>
        </w:rPr>
        <w:t xml:space="preserve"> </w:t>
      </w:r>
      <w:r w:rsidRPr="00F83E60">
        <w:rPr>
          <w:rFonts w:ascii="Verdana" w:hAnsi="Verdana" w:cs="Arial"/>
          <w:sz w:val="16"/>
          <w:szCs w:val="16"/>
        </w:rPr>
        <w:t>o</w:t>
      </w:r>
      <w:r w:rsidRPr="00F83E60">
        <w:rPr>
          <w:rFonts w:ascii="Verdana" w:hAnsi="Verdana" w:cs="Arial"/>
          <w:spacing w:val="-5"/>
          <w:sz w:val="16"/>
          <w:szCs w:val="16"/>
        </w:rPr>
        <w:t xml:space="preserve"> </w:t>
      </w:r>
      <w:r w:rsidRPr="00F83E60">
        <w:rPr>
          <w:rFonts w:ascii="Verdana" w:hAnsi="Verdana" w:cs="Arial"/>
          <w:sz w:val="16"/>
          <w:szCs w:val="16"/>
        </w:rPr>
        <w:t>a</w:t>
      </w:r>
      <w:r w:rsidRPr="00F83E60">
        <w:rPr>
          <w:rFonts w:ascii="Verdana" w:hAnsi="Verdana" w:cs="Arial"/>
          <w:spacing w:val="-6"/>
          <w:sz w:val="16"/>
          <w:szCs w:val="16"/>
        </w:rPr>
        <w:t xml:space="preserve"> </w:t>
      </w:r>
      <w:r w:rsidRPr="00F83E60">
        <w:rPr>
          <w:rFonts w:ascii="Verdana" w:hAnsi="Verdana" w:cs="Arial"/>
          <w:sz w:val="16"/>
          <w:szCs w:val="16"/>
        </w:rPr>
        <w:t>la</w:t>
      </w:r>
      <w:r w:rsidRPr="00F83E60">
        <w:rPr>
          <w:rFonts w:ascii="Verdana" w:hAnsi="Verdana" w:cs="Arial"/>
          <w:spacing w:val="-6"/>
          <w:sz w:val="16"/>
          <w:szCs w:val="16"/>
        </w:rPr>
        <w:t xml:space="preserve"> </w:t>
      </w:r>
      <w:r w:rsidRPr="00F83E60">
        <w:rPr>
          <w:rFonts w:ascii="Verdana" w:hAnsi="Verdana" w:cs="Arial"/>
          <w:sz w:val="16"/>
          <w:szCs w:val="16"/>
        </w:rPr>
        <w:t>expedición</w:t>
      </w:r>
      <w:r w:rsidRPr="00F83E60">
        <w:rPr>
          <w:rFonts w:ascii="Verdana" w:hAnsi="Verdana" w:cs="Arial"/>
          <w:spacing w:val="-4"/>
          <w:sz w:val="16"/>
          <w:szCs w:val="16"/>
        </w:rPr>
        <w:t xml:space="preserve"> </w:t>
      </w:r>
      <w:r w:rsidRPr="00F83E60">
        <w:rPr>
          <w:rFonts w:ascii="Verdana" w:hAnsi="Verdana" w:cs="Arial"/>
          <w:sz w:val="16"/>
          <w:szCs w:val="16"/>
        </w:rPr>
        <w:t>del</w:t>
      </w:r>
      <w:r w:rsidRPr="00F83E60">
        <w:rPr>
          <w:rFonts w:ascii="Verdana" w:hAnsi="Verdana" w:cs="Arial"/>
          <w:spacing w:val="-6"/>
          <w:sz w:val="16"/>
          <w:szCs w:val="16"/>
        </w:rPr>
        <w:t xml:space="preserve"> </w:t>
      </w:r>
      <w:r w:rsidRPr="00F83E60">
        <w:rPr>
          <w:rFonts w:ascii="Verdana" w:hAnsi="Verdana" w:cs="Arial"/>
          <w:sz w:val="16"/>
          <w:szCs w:val="16"/>
        </w:rPr>
        <w:t>acto</w:t>
      </w:r>
      <w:r w:rsidRPr="00F83E60">
        <w:rPr>
          <w:rFonts w:ascii="Verdana" w:hAnsi="Verdana" w:cs="Arial"/>
          <w:spacing w:val="-5"/>
          <w:sz w:val="16"/>
          <w:szCs w:val="16"/>
        </w:rPr>
        <w:t xml:space="preserve"> </w:t>
      </w:r>
      <w:r w:rsidRPr="00F83E60">
        <w:rPr>
          <w:rFonts w:ascii="Verdana" w:hAnsi="Verdana" w:cs="Arial"/>
          <w:sz w:val="16"/>
          <w:szCs w:val="16"/>
        </w:rPr>
        <w:t>administrativo</w:t>
      </w:r>
      <w:r w:rsidRPr="00F83E60">
        <w:rPr>
          <w:rFonts w:ascii="Verdana" w:hAnsi="Verdana" w:cs="Arial"/>
          <w:spacing w:val="-5"/>
          <w:sz w:val="16"/>
          <w:szCs w:val="16"/>
        </w:rPr>
        <w:t xml:space="preserve"> </w:t>
      </w:r>
      <w:r w:rsidRPr="00F83E60">
        <w:rPr>
          <w:rFonts w:ascii="Verdana" w:hAnsi="Verdana" w:cs="Arial"/>
          <w:sz w:val="16"/>
          <w:szCs w:val="16"/>
        </w:rPr>
        <w:t>que</w:t>
      </w:r>
      <w:r w:rsidRPr="00F83E60">
        <w:rPr>
          <w:rFonts w:ascii="Verdana" w:hAnsi="Verdana" w:cs="Arial"/>
          <w:spacing w:val="-6"/>
          <w:sz w:val="16"/>
          <w:szCs w:val="16"/>
        </w:rPr>
        <w:t xml:space="preserve"> </w:t>
      </w:r>
      <w:r w:rsidRPr="00F83E60">
        <w:rPr>
          <w:rFonts w:ascii="Verdana" w:hAnsi="Verdana" w:cs="Arial"/>
          <w:sz w:val="16"/>
          <w:szCs w:val="16"/>
        </w:rPr>
        <w:t>ordene</w:t>
      </w:r>
      <w:r w:rsidRPr="00F83E60">
        <w:rPr>
          <w:rFonts w:ascii="Verdana" w:hAnsi="Verdana" w:cs="Arial"/>
          <w:spacing w:val="-5"/>
          <w:sz w:val="16"/>
          <w:szCs w:val="16"/>
        </w:rPr>
        <w:t xml:space="preserve"> </w:t>
      </w:r>
      <w:r w:rsidRPr="00F83E60">
        <w:rPr>
          <w:rFonts w:ascii="Verdana" w:hAnsi="Verdana" w:cs="Arial"/>
          <w:sz w:val="16"/>
          <w:szCs w:val="16"/>
        </w:rPr>
        <w:t>la</w:t>
      </w:r>
      <w:r w:rsidRPr="00F83E60">
        <w:rPr>
          <w:rFonts w:ascii="Verdana" w:hAnsi="Verdana" w:cs="Arial"/>
          <w:spacing w:val="-5"/>
          <w:sz w:val="16"/>
          <w:szCs w:val="16"/>
        </w:rPr>
        <w:t xml:space="preserve"> </w:t>
      </w:r>
      <w:r w:rsidRPr="00F83E60">
        <w:rPr>
          <w:rFonts w:ascii="Verdana" w:hAnsi="Verdana" w:cs="Arial"/>
          <w:sz w:val="16"/>
          <w:szCs w:val="16"/>
        </w:rPr>
        <w:t>terminación,</w:t>
      </w:r>
      <w:r w:rsidRPr="00F83E60">
        <w:rPr>
          <w:rFonts w:ascii="Verdana" w:hAnsi="Verdana" w:cs="Arial"/>
          <w:spacing w:val="1"/>
          <w:sz w:val="16"/>
          <w:szCs w:val="16"/>
        </w:rPr>
        <w:t xml:space="preserve"> </w:t>
      </w:r>
      <w:r w:rsidRPr="00F83E60">
        <w:rPr>
          <w:rFonts w:ascii="Verdana" w:hAnsi="Verdana" w:cs="Arial"/>
          <w:sz w:val="16"/>
          <w:szCs w:val="16"/>
        </w:rPr>
        <w:t>o</w:t>
      </w:r>
      <w:r w:rsidRPr="00F83E60">
        <w:rPr>
          <w:rFonts w:ascii="Verdana" w:hAnsi="Verdana" w:cs="Arial"/>
          <w:spacing w:val="-2"/>
          <w:sz w:val="16"/>
          <w:szCs w:val="16"/>
        </w:rPr>
        <w:t xml:space="preserve"> </w:t>
      </w:r>
      <w:r w:rsidRPr="00F83E60">
        <w:rPr>
          <w:rFonts w:ascii="Verdana" w:hAnsi="Verdana" w:cs="Arial"/>
          <w:sz w:val="16"/>
          <w:szCs w:val="16"/>
        </w:rPr>
        <w:t>a</w:t>
      </w:r>
      <w:r w:rsidRPr="00F83E60">
        <w:rPr>
          <w:rFonts w:ascii="Verdana" w:hAnsi="Verdana" w:cs="Arial"/>
          <w:spacing w:val="-1"/>
          <w:sz w:val="16"/>
          <w:szCs w:val="16"/>
        </w:rPr>
        <w:t xml:space="preserve"> </w:t>
      </w:r>
      <w:r w:rsidRPr="00F83E60">
        <w:rPr>
          <w:rFonts w:ascii="Verdana" w:hAnsi="Verdana" w:cs="Arial"/>
          <w:sz w:val="16"/>
          <w:szCs w:val="16"/>
        </w:rPr>
        <w:t>la</w:t>
      </w:r>
      <w:r w:rsidRPr="00F83E60">
        <w:rPr>
          <w:rFonts w:ascii="Verdana" w:hAnsi="Verdana" w:cs="Arial"/>
          <w:spacing w:val="-1"/>
          <w:sz w:val="16"/>
          <w:szCs w:val="16"/>
        </w:rPr>
        <w:t xml:space="preserve"> </w:t>
      </w:r>
      <w:r w:rsidRPr="00F83E60">
        <w:rPr>
          <w:rFonts w:ascii="Verdana" w:hAnsi="Verdana" w:cs="Arial"/>
          <w:sz w:val="16"/>
          <w:szCs w:val="16"/>
        </w:rPr>
        <w:t>fecha</w:t>
      </w:r>
      <w:r w:rsidRPr="00F83E60">
        <w:rPr>
          <w:rFonts w:ascii="Verdana" w:hAnsi="Verdana" w:cs="Arial"/>
          <w:spacing w:val="-1"/>
          <w:sz w:val="16"/>
          <w:szCs w:val="16"/>
        </w:rPr>
        <w:t xml:space="preserve"> </w:t>
      </w:r>
      <w:r w:rsidRPr="00F83E60">
        <w:rPr>
          <w:rFonts w:ascii="Verdana" w:hAnsi="Verdana" w:cs="Arial"/>
          <w:sz w:val="16"/>
          <w:szCs w:val="16"/>
        </w:rPr>
        <w:t>del</w:t>
      </w:r>
      <w:r w:rsidRPr="00F83E60">
        <w:rPr>
          <w:rFonts w:ascii="Verdana" w:hAnsi="Verdana" w:cs="Arial"/>
          <w:spacing w:val="-1"/>
          <w:sz w:val="16"/>
          <w:szCs w:val="16"/>
        </w:rPr>
        <w:t xml:space="preserve"> </w:t>
      </w:r>
      <w:r w:rsidRPr="00F83E60">
        <w:rPr>
          <w:rFonts w:ascii="Verdana" w:hAnsi="Verdana" w:cs="Arial"/>
          <w:sz w:val="16"/>
          <w:szCs w:val="16"/>
        </w:rPr>
        <w:t>acuerdo</w:t>
      </w:r>
      <w:r w:rsidRPr="00F83E60">
        <w:rPr>
          <w:rFonts w:ascii="Verdana" w:hAnsi="Verdana" w:cs="Arial"/>
          <w:spacing w:val="-1"/>
          <w:sz w:val="16"/>
          <w:szCs w:val="16"/>
        </w:rPr>
        <w:t xml:space="preserve"> </w:t>
      </w:r>
      <w:r w:rsidRPr="00F83E60">
        <w:rPr>
          <w:rFonts w:ascii="Verdana" w:hAnsi="Verdana" w:cs="Arial"/>
          <w:sz w:val="16"/>
          <w:szCs w:val="16"/>
        </w:rPr>
        <w:t>que</w:t>
      </w:r>
      <w:r w:rsidRPr="00F83E60">
        <w:rPr>
          <w:rFonts w:ascii="Verdana" w:hAnsi="Verdana" w:cs="Arial"/>
          <w:spacing w:val="-2"/>
          <w:sz w:val="16"/>
          <w:szCs w:val="16"/>
        </w:rPr>
        <w:t xml:space="preserve"> </w:t>
      </w:r>
      <w:r w:rsidRPr="00F83E60">
        <w:rPr>
          <w:rFonts w:ascii="Verdana" w:hAnsi="Verdana" w:cs="Arial"/>
          <w:sz w:val="16"/>
          <w:szCs w:val="16"/>
        </w:rPr>
        <w:t>la</w:t>
      </w:r>
      <w:r w:rsidRPr="00F83E60">
        <w:rPr>
          <w:rFonts w:ascii="Verdana" w:hAnsi="Verdana" w:cs="Arial"/>
          <w:spacing w:val="-1"/>
          <w:sz w:val="16"/>
          <w:szCs w:val="16"/>
        </w:rPr>
        <w:t xml:space="preserve"> </w:t>
      </w:r>
      <w:r w:rsidRPr="00F83E60">
        <w:rPr>
          <w:rFonts w:ascii="Verdana" w:hAnsi="Verdana" w:cs="Arial"/>
          <w:sz w:val="16"/>
          <w:szCs w:val="16"/>
        </w:rPr>
        <w:t>disponga.</w:t>
      </w:r>
    </w:p>
    <w:p w14:paraId="7526D428" w14:textId="77777777" w:rsidR="00556A41" w:rsidRPr="00F83E60" w:rsidRDefault="00556A41" w:rsidP="00556A41">
      <w:pPr>
        <w:spacing w:after="0" w:line="240" w:lineRule="auto"/>
        <w:ind w:left="118" w:right="196" w:firstLine="708"/>
        <w:jc w:val="both"/>
        <w:rPr>
          <w:rFonts w:ascii="Verdana" w:hAnsi="Verdana" w:cs="Arial"/>
          <w:sz w:val="16"/>
          <w:szCs w:val="16"/>
        </w:rPr>
      </w:pPr>
      <w:r w:rsidRPr="00F83E60">
        <w:rPr>
          <w:rFonts w:ascii="Verdana" w:hAnsi="Verdana" w:cs="Arial"/>
          <w:sz w:val="16"/>
          <w:szCs w:val="16"/>
        </w:rPr>
        <w:t xml:space="preserve"> En aquellos casos en que el contratista no se presente a la liquidación previa notificación o convocatoria que le haga la</w:t>
      </w:r>
      <w:r w:rsidRPr="00F83E60">
        <w:rPr>
          <w:rFonts w:ascii="Verdana" w:hAnsi="Verdana" w:cs="Arial"/>
          <w:spacing w:val="1"/>
          <w:sz w:val="16"/>
          <w:szCs w:val="16"/>
        </w:rPr>
        <w:t xml:space="preserve"> </w:t>
      </w:r>
      <w:r w:rsidRPr="00F83E60">
        <w:rPr>
          <w:rFonts w:ascii="Verdana" w:hAnsi="Verdana" w:cs="Arial"/>
          <w:sz w:val="16"/>
          <w:szCs w:val="16"/>
        </w:rPr>
        <w:t>entidad, o las partes no lleguen a un acuerdo sobre su contenido, la entidad tendrá la facultad de liquidar en forma unilateral dentro</w:t>
      </w:r>
      <w:r w:rsidRPr="00F83E60">
        <w:rPr>
          <w:rFonts w:ascii="Verdana" w:hAnsi="Verdana" w:cs="Arial"/>
          <w:spacing w:val="1"/>
          <w:sz w:val="16"/>
          <w:szCs w:val="16"/>
        </w:rPr>
        <w:t xml:space="preserve"> </w:t>
      </w:r>
      <w:r w:rsidRPr="00F83E60">
        <w:rPr>
          <w:rFonts w:ascii="Verdana" w:hAnsi="Verdana" w:cs="Arial"/>
          <w:sz w:val="16"/>
          <w:szCs w:val="16"/>
        </w:rPr>
        <w:t>de</w:t>
      </w:r>
      <w:r w:rsidRPr="00F83E60">
        <w:rPr>
          <w:rFonts w:ascii="Verdana" w:hAnsi="Verdana" w:cs="Arial"/>
          <w:spacing w:val="-2"/>
          <w:sz w:val="16"/>
          <w:szCs w:val="16"/>
        </w:rPr>
        <w:t xml:space="preserve"> </w:t>
      </w:r>
      <w:r w:rsidRPr="00F83E60">
        <w:rPr>
          <w:rFonts w:ascii="Verdana" w:hAnsi="Verdana" w:cs="Arial"/>
          <w:sz w:val="16"/>
          <w:szCs w:val="16"/>
        </w:rPr>
        <w:t>los</w:t>
      </w:r>
      <w:r w:rsidRPr="00F83E60">
        <w:rPr>
          <w:rFonts w:ascii="Verdana" w:hAnsi="Verdana" w:cs="Arial"/>
          <w:spacing w:val="-1"/>
          <w:sz w:val="16"/>
          <w:szCs w:val="16"/>
        </w:rPr>
        <w:t xml:space="preserve"> </w:t>
      </w:r>
      <w:r w:rsidRPr="00F83E60">
        <w:rPr>
          <w:rFonts w:ascii="Verdana" w:hAnsi="Verdana" w:cs="Arial"/>
          <w:sz w:val="16"/>
          <w:szCs w:val="16"/>
        </w:rPr>
        <w:t>dos</w:t>
      </w:r>
      <w:r w:rsidRPr="00F83E60">
        <w:rPr>
          <w:rFonts w:ascii="Verdana" w:hAnsi="Verdana" w:cs="Arial"/>
          <w:spacing w:val="-2"/>
          <w:sz w:val="16"/>
          <w:szCs w:val="16"/>
        </w:rPr>
        <w:t xml:space="preserve"> </w:t>
      </w:r>
      <w:r w:rsidRPr="00F83E60">
        <w:rPr>
          <w:rFonts w:ascii="Verdana" w:hAnsi="Verdana" w:cs="Arial"/>
          <w:sz w:val="16"/>
          <w:szCs w:val="16"/>
        </w:rPr>
        <w:t>(2)</w:t>
      </w:r>
      <w:r w:rsidRPr="00F83E60">
        <w:rPr>
          <w:rFonts w:ascii="Verdana" w:hAnsi="Verdana" w:cs="Arial"/>
          <w:spacing w:val="-1"/>
          <w:sz w:val="16"/>
          <w:szCs w:val="16"/>
        </w:rPr>
        <w:t xml:space="preserve"> </w:t>
      </w:r>
      <w:r w:rsidRPr="00F83E60">
        <w:rPr>
          <w:rFonts w:ascii="Verdana" w:hAnsi="Verdana" w:cs="Arial"/>
          <w:sz w:val="16"/>
          <w:szCs w:val="16"/>
        </w:rPr>
        <w:t>meses</w:t>
      </w:r>
      <w:r w:rsidRPr="00F83E60">
        <w:rPr>
          <w:rFonts w:ascii="Verdana" w:hAnsi="Verdana" w:cs="Arial"/>
          <w:spacing w:val="-1"/>
          <w:sz w:val="16"/>
          <w:szCs w:val="16"/>
        </w:rPr>
        <w:t xml:space="preserve"> </w:t>
      </w:r>
      <w:r w:rsidRPr="00F83E60">
        <w:rPr>
          <w:rFonts w:ascii="Verdana" w:hAnsi="Verdana" w:cs="Arial"/>
          <w:sz w:val="16"/>
          <w:szCs w:val="16"/>
        </w:rPr>
        <w:t>siguientes,</w:t>
      </w:r>
      <w:r w:rsidRPr="00F83E60">
        <w:rPr>
          <w:rFonts w:ascii="Verdana" w:hAnsi="Verdana" w:cs="Arial"/>
          <w:spacing w:val="-2"/>
          <w:sz w:val="16"/>
          <w:szCs w:val="16"/>
        </w:rPr>
        <w:t xml:space="preserve"> </w:t>
      </w:r>
      <w:r w:rsidRPr="00F83E60">
        <w:rPr>
          <w:rFonts w:ascii="Verdana" w:hAnsi="Verdana" w:cs="Arial"/>
          <w:sz w:val="16"/>
          <w:szCs w:val="16"/>
        </w:rPr>
        <w:t>de</w:t>
      </w:r>
      <w:r w:rsidRPr="00F83E60">
        <w:rPr>
          <w:rFonts w:ascii="Verdana" w:hAnsi="Verdana" w:cs="Arial"/>
          <w:spacing w:val="-1"/>
          <w:sz w:val="16"/>
          <w:szCs w:val="16"/>
        </w:rPr>
        <w:t xml:space="preserve"> </w:t>
      </w:r>
      <w:r w:rsidRPr="00F83E60">
        <w:rPr>
          <w:rFonts w:ascii="Verdana" w:hAnsi="Verdana" w:cs="Arial"/>
          <w:sz w:val="16"/>
          <w:szCs w:val="16"/>
        </w:rPr>
        <w:t>conformidad</w:t>
      </w:r>
      <w:r w:rsidRPr="00F83E60">
        <w:rPr>
          <w:rFonts w:ascii="Verdana" w:hAnsi="Verdana" w:cs="Arial"/>
          <w:spacing w:val="-2"/>
          <w:sz w:val="16"/>
          <w:szCs w:val="16"/>
        </w:rPr>
        <w:t xml:space="preserve"> </w:t>
      </w:r>
      <w:r w:rsidRPr="00F83E60">
        <w:rPr>
          <w:rFonts w:ascii="Verdana" w:hAnsi="Verdana" w:cs="Arial"/>
          <w:sz w:val="16"/>
          <w:szCs w:val="16"/>
        </w:rPr>
        <w:t>con</w:t>
      </w:r>
      <w:r w:rsidRPr="00F83E60">
        <w:rPr>
          <w:rFonts w:ascii="Verdana" w:hAnsi="Verdana" w:cs="Arial"/>
          <w:spacing w:val="-1"/>
          <w:sz w:val="16"/>
          <w:szCs w:val="16"/>
        </w:rPr>
        <w:t xml:space="preserve"> </w:t>
      </w:r>
      <w:r w:rsidRPr="00F83E60">
        <w:rPr>
          <w:rFonts w:ascii="Verdana" w:hAnsi="Verdana" w:cs="Arial"/>
          <w:sz w:val="16"/>
          <w:szCs w:val="16"/>
        </w:rPr>
        <w:t>lo</w:t>
      </w:r>
      <w:r w:rsidRPr="00F83E60">
        <w:rPr>
          <w:rFonts w:ascii="Verdana" w:hAnsi="Verdana" w:cs="Arial"/>
          <w:spacing w:val="-2"/>
          <w:sz w:val="16"/>
          <w:szCs w:val="16"/>
        </w:rPr>
        <w:t xml:space="preserve"> </w:t>
      </w:r>
      <w:r w:rsidRPr="00F83E60">
        <w:rPr>
          <w:rFonts w:ascii="Verdana" w:hAnsi="Verdana" w:cs="Arial"/>
          <w:sz w:val="16"/>
          <w:szCs w:val="16"/>
        </w:rPr>
        <w:t>dispuesto</w:t>
      </w:r>
      <w:r w:rsidRPr="00F83E60">
        <w:rPr>
          <w:rFonts w:ascii="Verdana" w:hAnsi="Verdana" w:cs="Arial"/>
          <w:spacing w:val="-1"/>
          <w:sz w:val="16"/>
          <w:szCs w:val="16"/>
        </w:rPr>
        <w:t xml:space="preserve"> </w:t>
      </w:r>
      <w:r w:rsidRPr="00F83E60">
        <w:rPr>
          <w:rFonts w:ascii="Verdana" w:hAnsi="Verdana" w:cs="Arial"/>
          <w:sz w:val="16"/>
          <w:szCs w:val="16"/>
        </w:rPr>
        <w:t>en</w:t>
      </w:r>
      <w:r w:rsidRPr="00F83E60">
        <w:rPr>
          <w:rFonts w:ascii="Verdana" w:hAnsi="Verdana" w:cs="Arial"/>
          <w:spacing w:val="-1"/>
          <w:sz w:val="16"/>
          <w:szCs w:val="16"/>
        </w:rPr>
        <w:t xml:space="preserve"> </w:t>
      </w:r>
      <w:r w:rsidRPr="00F83E60">
        <w:rPr>
          <w:rFonts w:ascii="Verdana" w:hAnsi="Verdana" w:cs="Arial"/>
          <w:sz w:val="16"/>
          <w:szCs w:val="16"/>
        </w:rPr>
        <w:t>el</w:t>
      </w:r>
      <w:r w:rsidRPr="00F83E60">
        <w:rPr>
          <w:rFonts w:ascii="Verdana" w:hAnsi="Verdana" w:cs="Arial"/>
          <w:spacing w:val="-2"/>
          <w:sz w:val="16"/>
          <w:szCs w:val="16"/>
        </w:rPr>
        <w:t xml:space="preserve"> </w:t>
      </w:r>
      <w:r w:rsidRPr="00F83E60">
        <w:rPr>
          <w:rFonts w:ascii="Verdana" w:hAnsi="Verdana" w:cs="Arial"/>
          <w:sz w:val="16"/>
          <w:szCs w:val="16"/>
        </w:rPr>
        <w:t>artículo</w:t>
      </w:r>
      <w:r w:rsidRPr="00F83E60">
        <w:rPr>
          <w:rFonts w:ascii="Verdana" w:hAnsi="Verdana" w:cs="Arial"/>
          <w:spacing w:val="-1"/>
          <w:sz w:val="16"/>
          <w:szCs w:val="16"/>
        </w:rPr>
        <w:t xml:space="preserve"> </w:t>
      </w:r>
      <w:r w:rsidRPr="00F83E60">
        <w:rPr>
          <w:rFonts w:ascii="Verdana" w:hAnsi="Verdana" w:cs="Arial"/>
          <w:sz w:val="16"/>
          <w:szCs w:val="16"/>
        </w:rPr>
        <w:t>136</w:t>
      </w:r>
      <w:r w:rsidRPr="00F83E60">
        <w:rPr>
          <w:rFonts w:ascii="Verdana" w:hAnsi="Verdana" w:cs="Arial"/>
          <w:spacing w:val="-2"/>
          <w:sz w:val="16"/>
          <w:szCs w:val="16"/>
        </w:rPr>
        <w:t xml:space="preserve"> </w:t>
      </w:r>
      <w:r w:rsidRPr="00F83E60">
        <w:rPr>
          <w:rFonts w:ascii="Verdana" w:hAnsi="Verdana" w:cs="Arial"/>
          <w:sz w:val="16"/>
          <w:szCs w:val="16"/>
        </w:rPr>
        <w:t>del</w:t>
      </w:r>
      <w:r w:rsidRPr="00F83E60">
        <w:rPr>
          <w:rFonts w:ascii="Verdana" w:hAnsi="Verdana" w:cs="Arial"/>
          <w:spacing w:val="-1"/>
          <w:sz w:val="16"/>
          <w:szCs w:val="16"/>
        </w:rPr>
        <w:t xml:space="preserve"> </w:t>
      </w:r>
      <w:r w:rsidRPr="00F83E60">
        <w:rPr>
          <w:rFonts w:ascii="Verdana" w:hAnsi="Verdana" w:cs="Arial"/>
          <w:sz w:val="16"/>
          <w:szCs w:val="16"/>
        </w:rPr>
        <w:t>C.</w:t>
      </w:r>
      <w:r w:rsidRPr="00F83E60">
        <w:rPr>
          <w:rFonts w:ascii="Verdana" w:hAnsi="Verdana" w:cs="Arial"/>
          <w:spacing w:val="-1"/>
          <w:sz w:val="16"/>
          <w:szCs w:val="16"/>
        </w:rPr>
        <w:t xml:space="preserve"> </w:t>
      </w:r>
      <w:r w:rsidRPr="00F83E60">
        <w:rPr>
          <w:rFonts w:ascii="Verdana" w:hAnsi="Verdana" w:cs="Arial"/>
          <w:sz w:val="16"/>
          <w:szCs w:val="16"/>
        </w:rPr>
        <w:t>C.</w:t>
      </w:r>
      <w:r w:rsidRPr="00F83E60">
        <w:rPr>
          <w:rFonts w:ascii="Verdana" w:hAnsi="Verdana" w:cs="Arial"/>
          <w:spacing w:val="-2"/>
          <w:sz w:val="16"/>
          <w:szCs w:val="16"/>
        </w:rPr>
        <w:t xml:space="preserve"> </w:t>
      </w:r>
      <w:r w:rsidRPr="00F83E60">
        <w:rPr>
          <w:rFonts w:ascii="Verdana" w:hAnsi="Verdana" w:cs="Arial"/>
          <w:sz w:val="16"/>
          <w:szCs w:val="16"/>
        </w:rPr>
        <w:t>A.</w:t>
      </w:r>
    </w:p>
    <w:p w14:paraId="6DA5F385" w14:textId="77777777" w:rsidR="00556A41" w:rsidRPr="00F83E60" w:rsidRDefault="00556A41" w:rsidP="00556A41">
      <w:pPr>
        <w:spacing w:after="0" w:line="240" w:lineRule="auto"/>
        <w:ind w:left="118" w:right="197" w:firstLine="708"/>
        <w:jc w:val="both"/>
        <w:rPr>
          <w:rFonts w:ascii="Verdana" w:hAnsi="Verdana" w:cs="Arial"/>
          <w:sz w:val="16"/>
          <w:szCs w:val="16"/>
        </w:rPr>
      </w:pPr>
      <w:r w:rsidRPr="00F83E60">
        <w:rPr>
          <w:rFonts w:ascii="Verdana" w:hAnsi="Verdana" w:cs="Arial"/>
          <w:spacing w:val="-5"/>
          <w:sz w:val="16"/>
          <w:szCs w:val="16"/>
        </w:rPr>
        <w:t xml:space="preserve"> </w:t>
      </w:r>
      <w:r w:rsidRPr="00F83E60">
        <w:rPr>
          <w:rFonts w:ascii="Verdana" w:hAnsi="Verdana" w:cs="Arial"/>
          <w:sz w:val="16"/>
          <w:szCs w:val="16"/>
        </w:rPr>
        <w:t>Si</w:t>
      </w:r>
      <w:r w:rsidRPr="00F83E60">
        <w:rPr>
          <w:rFonts w:ascii="Verdana" w:hAnsi="Verdana" w:cs="Arial"/>
          <w:spacing w:val="-4"/>
          <w:sz w:val="16"/>
          <w:szCs w:val="16"/>
        </w:rPr>
        <w:t xml:space="preserve"> </w:t>
      </w:r>
      <w:r w:rsidRPr="00F83E60">
        <w:rPr>
          <w:rFonts w:ascii="Verdana" w:hAnsi="Verdana" w:cs="Arial"/>
          <w:sz w:val="16"/>
          <w:szCs w:val="16"/>
        </w:rPr>
        <w:t>vencido</w:t>
      </w:r>
      <w:r w:rsidRPr="00F83E60">
        <w:rPr>
          <w:rFonts w:ascii="Verdana" w:hAnsi="Verdana" w:cs="Arial"/>
          <w:spacing w:val="-5"/>
          <w:sz w:val="16"/>
          <w:szCs w:val="16"/>
        </w:rPr>
        <w:t xml:space="preserve"> </w:t>
      </w:r>
      <w:r w:rsidRPr="00F83E60">
        <w:rPr>
          <w:rFonts w:ascii="Verdana" w:hAnsi="Verdana" w:cs="Arial"/>
          <w:sz w:val="16"/>
          <w:szCs w:val="16"/>
        </w:rPr>
        <w:t>el</w:t>
      </w:r>
      <w:r w:rsidRPr="00F83E60">
        <w:rPr>
          <w:rFonts w:ascii="Verdana" w:hAnsi="Verdana" w:cs="Arial"/>
          <w:spacing w:val="-4"/>
          <w:sz w:val="16"/>
          <w:szCs w:val="16"/>
        </w:rPr>
        <w:t xml:space="preserve"> </w:t>
      </w:r>
      <w:r w:rsidRPr="00F83E60">
        <w:rPr>
          <w:rFonts w:ascii="Verdana" w:hAnsi="Verdana" w:cs="Arial"/>
          <w:sz w:val="16"/>
          <w:szCs w:val="16"/>
        </w:rPr>
        <w:t>plazo</w:t>
      </w:r>
      <w:r w:rsidRPr="00F83E60">
        <w:rPr>
          <w:rFonts w:ascii="Verdana" w:hAnsi="Verdana" w:cs="Arial"/>
          <w:spacing w:val="-4"/>
          <w:sz w:val="16"/>
          <w:szCs w:val="16"/>
        </w:rPr>
        <w:t xml:space="preserve"> </w:t>
      </w:r>
      <w:r w:rsidRPr="00F83E60">
        <w:rPr>
          <w:rFonts w:ascii="Verdana" w:hAnsi="Verdana" w:cs="Arial"/>
          <w:sz w:val="16"/>
          <w:szCs w:val="16"/>
        </w:rPr>
        <w:t>anteriormente</w:t>
      </w:r>
      <w:r w:rsidRPr="00F83E60">
        <w:rPr>
          <w:rFonts w:ascii="Verdana" w:hAnsi="Verdana" w:cs="Arial"/>
          <w:spacing w:val="-5"/>
          <w:sz w:val="16"/>
          <w:szCs w:val="16"/>
        </w:rPr>
        <w:t xml:space="preserve"> </w:t>
      </w:r>
      <w:r w:rsidRPr="00F83E60">
        <w:rPr>
          <w:rFonts w:ascii="Verdana" w:hAnsi="Verdana" w:cs="Arial"/>
          <w:sz w:val="16"/>
          <w:szCs w:val="16"/>
        </w:rPr>
        <w:t>establecido</w:t>
      </w:r>
      <w:r w:rsidRPr="00F83E60">
        <w:rPr>
          <w:rFonts w:ascii="Verdana" w:hAnsi="Verdana" w:cs="Arial"/>
          <w:spacing w:val="-4"/>
          <w:sz w:val="16"/>
          <w:szCs w:val="16"/>
        </w:rPr>
        <w:t xml:space="preserve"> </w:t>
      </w:r>
      <w:r w:rsidRPr="00F83E60">
        <w:rPr>
          <w:rFonts w:ascii="Verdana" w:hAnsi="Verdana" w:cs="Arial"/>
          <w:sz w:val="16"/>
          <w:szCs w:val="16"/>
        </w:rPr>
        <w:t>no</w:t>
      </w:r>
      <w:r w:rsidRPr="00F83E60">
        <w:rPr>
          <w:rFonts w:ascii="Verdana" w:hAnsi="Verdana" w:cs="Arial"/>
          <w:spacing w:val="-5"/>
          <w:sz w:val="16"/>
          <w:szCs w:val="16"/>
        </w:rPr>
        <w:t xml:space="preserve"> </w:t>
      </w:r>
      <w:r w:rsidRPr="00F83E60">
        <w:rPr>
          <w:rFonts w:ascii="Verdana" w:hAnsi="Verdana" w:cs="Arial"/>
          <w:sz w:val="16"/>
          <w:szCs w:val="16"/>
        </w:rPr>
        <w:t>se</w:t>
      </w:r>
      <w:r w:rsidRPr="00F83E60">
        <w:rPr>
          <w:rFonts w:ascii="Verdana" w:hAnsi="Verdana" w:cs="Arial"/>
          <w:spacing w:val="-4"/>
          <w:sz w:val="16"/>
          <w:szCs w:val="16"/>
        </w:rPr>
        <w:t xml:space="preserve"> </w:t>
      </w:r>
      <w:r w:rsidRPr="00F83E60">
        <w:rPr>
          <w:rFonts w:ascii="Verdana" w:hAnsi="Verdana" w:cs="Arial"/>
          <w:sz w:val="16"/>
          <w:szCs w:val="16"/>
        </w:rPr>
        <w:t>ha</w:t>
      </w:r>
      <w:r w:rsidRPr="00F83E60">
        <w:rPr>
          <w:rFonts w:ascii="Verdana" w:hAnsi="Verdana" w:cs="Arial"/>
          <w:spacing w:val="-4"/>
          <w:sz w:val="16"/>
          <w:szCs w:val="16"/>
        </w:rPr>
        <w:t xml:space="preserve"> </w:t>
      </w:r>
      <w:r w:rsidRPr="00F83E60">
        <w:rPr>
          <w:rFonts w:ascii="Verdana" w:hAnsi="Verdana" w:cs="Arial"/>
          <w:sz w:val="16"/>
          <w:szCs w:val="16"/>
        </w:rPr>
        <w:t>realizado</w:t>
      </w:r>
      <w:r w:rsidRPr="00F83E60">
        <w:rPr>
          <w:rFonts w:ascii="Verdana" w:hAnsi="Verdana" w:cs="Arial"/>
          <w:spacing w:val="-5"/>
          <w:sz w:val="16"/>
          <w:szCs w:val="16"/>
        </w:rPr>
        <w:t xml:space="preserve"> </w:t>
      </w:r>
      <w:r w:rsidRPr="00F83E60">
        <w:rPr>
          <w:rFonts w:ascii="Verdana" w:hAnsi="Verdana" w:cs="Arial"/>
          <w:sz w:val="16"/>
          <w:szCs w:val="16"/>
        </w:rPr>
        <w:t>la</w:t>
      </w:r>
      <w:r w:rsidRPr="00F83E60">
        <w:rPr>
          <w:rFonts w:ascii="Verdana" w:hAnsi="Verdana" w:cs="Arial"/>
          <w:spacing w:val="-4"/>
          <w:sz w:val="16"/>
          <w:szCs w:val="16"/>
        </w:rPr>
        <w:t xml:space="preserve"> </w:t>
      </w:r>
      <w:r w:rsidRPr="00F83E60">
        <w:rPr>
          <w:rFonts w:ascii="Verdana" w:hAnsi="Verdana" w:cs="Arial"/>
          <w:sz w:val="16"/>
          <w:szCs w:val="16"/>
        </w:rPr>
        <w:t>liquidación,</w:t>
      </w:r>
      <w:r w:rsidRPr="00F83E60">
        <w:rPr>
          <w:rFonts w:ascii="Verdana" w:hAnsi="Verdana" w:cs="Arial"/>
          <w:spacing w:val="-4"/>
          <w:sz w:val="16"/>
          <w:szCs w:val="16"/>
        </w:rPr>
        <w:t xml:space="preserve"> </w:t>
      </w:r>
      <w:r w:rsidRPr="00F83E60">
        <w:rPr>
          <w:rFonts w:ascii="Verdana" w:hAnsi="Verdana" w:cs="Arial"/>
          <w:sz w:val="16"/>
          <w:szCs w:val="16"/>
        </w:rPr>
        <w:t>la</w:t>
      </w:r>
      <w:r w:rsidRPr="00F83E60">
        <w:rPr>
          <w:rFonts w:ascii="Verdana" w:hAnsi="Verdana" w:cs="Arial"/>
          <w:spacing w:val="-5"/>
          <w:sz w:val="16"/>
          <w:szCs w:val="16"/>
        </w:rPr>
        <w:t xml:space="preserve"> </w:t>
      </w:r>
      <w:r w:rsidRPr="00F83E60">
        <w:rPr>
          <w:rFonts w:ascii="Verdana" w:hAnsi="Verdana" w:cs="Arial"/>
          <w:sz w:val="16"/>
          <w:szCs w:val="16"/>
        </w:rPr>
        <w:t>misma</w:t>
      </w:r>
      <w:r w:rsidRPr="00F83E60">
        <w:rPr>
          <w:rFonts w:ascii="Verdana" w:hAnsi="Verdana" w:cs="Arial"/>
          <w:spacing w:val="-4"/>
          <w:sz w:val="16"/>
          <w:szCs w:val="16"/>
        </w:rPr>
        <w:t xml:space="preserve"> </w:t>
      </w:r>
      <w:r w:rsidRPr="00F83E60">
        <w:rPr>
          <w:rFonts w:ascii="Verdana" w:hAnsi="Verdana" w:cs="Arial"/>
          <w:sz w:val="16"/>
          <w:szCs w:val="16"/>
        </w:rPr>
        <w:t>podrá</w:t>
      </w:r>
      <w:r w:rsidRPr="00F83E60">
        <w:rPr>
          <w:rFonts w:ascii="Verdana" w:hAnsi="Verdana" w:cs="Arial"/>
          <w:spacing w:val="-5"/>
          <w:sz w:val="16"/>
          <w:szCs w:val="16"/>
        </w:rPr>
        <w:t xml:space="preserve"> </w:t>
      </w:r>
      <w:r w:rsidRPr="00F83E60">
        <w:rPr>
          <w:rFonts w:ascii="Verdana" w:hAnsi="Verdana" w:cs="Arial"/>
          <w:sz w:val="16"/>
          <w:szCs w:val="16"/>
        </w:rPr>
        <w:t>ser</w:t>
      </w:r>
      <w:r w:rsidRPr="00F83E60">
        <w:rPr>
          <w:rFonts w:ascii="Verdana" w:hAnsi="Verdana" w:cs="Arial"/>
          <w:spacing w:val="-4"/>
          <w:sz w:val="16"/>
          <w:szCs w:val="16"/>
        </w:rPr>
        <w:t xml:space="preserve"> </w:t>
      </w:r>
      <w:r w:rsidRPr="00F83E60">
        <w:rPr>
          <w:rFonts w:ascii="Verdana" w:hAnsi="Verdana" w:cs="Arial"/>
          <w:sz w:val="16"/>
          <w:szCs w:val="16"/>
        </w:rPr>
        <w:t>realizada</w:t>
      </w:r>
      <w:r w:rsidRPr="00F83E60">
        <w:rPr>
          <w:rFonts w:ascii="Verdana" w:hAnsi="Verdana" w:cs="Arial"/>
          <w:spacing w:val="-4"/>
          <w:sz w:val="16"/>
          <w:szCs w:val="16"/>
        </w:rPr>
        <w:t xml:space="preserve"> </w:t>
      </w:r>
      <w:r w:rsidRPr="00F83E60">
        <w:rPr>
          <w:rFonts w:ascii="Verdana" w:hAnsi="Verdana" w:cs="Arial"/>
          <w:sz w:val="16"/>
          <w:szCs w:val="16"/>
        </w:rPr>
        <w:t>en</w:t>
      </w:r>
      <w:r w:rsidRPr="00F83E60">
        <w:rPr>
          <w:rFonts w:ascii="Verdana" w:hAnsi="Verdana" w:cs="Arial"/>
          <w:spacing w:val="-5"/>
          <w:sz w:val="16"/>
          <w:szCs w:val="16"/>
        </w:rPr>
        <w:t xml:space="preserve"> </w:t>
      </w:r>
      <w:r w:rsidRPr="00F83E60">
        <w:rPr>
          <w:rFonts w:ascii="Verdana" w:hAnsi="Verdana" w:cs="Arial"/>
          <w:sz w:val="16"/>
          <w:szCs w:val="16"/>
        </w:rPr>
        <w:t>cualquier</w:t>
      </w:r>
      <w:r w:rsidRPr="00F83E60">
        <w:rPr>
          <w:rFonts w:ascii="Verdana" w:hAnsi="Verdana" w:cs="Arial"/>
          <w:spacing w:val="1"/>
          <w:sz w:val="16"/>
          <w:szCs w:val="16"/>
        </w:rPr>
        <w:t xml:space="preserve"> </w:t>
      </w:r>
      <w:r w:rsidRPr="00F83E60">
        <w:rPr>
          <w:rFonts w:ascii="Verdana" w:hAnsi="Verdana" w:cs="Arial"/>
          <w:sz w:val="16"/>
          <w:szCs w:val="16"/>
        </w:rPr>
        <w:t>tiempo dentro de los dos años siguientes al vencimiento del término a que se refieren los incisos anteriores, de mutuo acuerdo o</w:t>
      </w:r>
      <w:r w:rsidRPr="00F83E60">
        <w:rPr>
          <w:rFonts w:ascii="Verdana" w:hAnsi="Verdana" w:cs="Arial"/>
          <w:spacing w:val="1"/>
          <w:sz w:val="16"/>
          <w:szCs w:val="16"/>
        </w:rPr>
        <w:t xml:space="preserve"> </w:t>
      </w:r>
      <w:r w:rsidRPr="00F83E60">
        <w:rPr>
          <w:rFonts w:ascii="Verdana" w:hAnsi="Verdana" w:cs="Arial"/>
          <w:sz w:val="16"/>
          <w:szCs w:val="16"/>
        </w:rPr>
        <w:t>unilateralmente,</w:t>
      </w:r>
      <w:r w:rsidRPr="00F83E60">
        <w:rPr>
          <w:rFonts w:ascii="Verdana" w:hAnsi="Verdana" w:cs="Arial"/>
          <w:spacing w:val="-2"/>
          <w:sz w:val="16"/>
          <w:szCs w:val="16"/>
        </w:rPr>
        <w:t xml:space="preserve"> </w:t>
      </w:r>
      <w:r w:rsidRPr="00F83E60">
        <w:rPr>
          <w:rFonts w:ascii="Verdana" w:hAnsi="Verdana" w:cs="Arial"/>
          <w:sz w:val="16"/>
          <w:szCs w:val="16"/>
        </w:rPr>
        <w:t>sin</w:t>
      </w:r>
      <w:r w:rsidRPr="00F83E60">
        <w:rPr>
          <w:rFonts w:ascii="Verdana" w:hAnsi="Verdana" w:cs="Arial"/>
          <w:spacing w:val="-1"/>
          <w:sz w:val="16"/>
          <w:szCs w:val="16"/>
        </w:rPr>
        <w:t xml:space="preserve"> </w:t>
      </w:r>
      <w:r w:rsidRPr="00F83E60">
        <w:rPr>
          <w:rFonts w:ascii="Verdana" w:hAnsi="Verdana" w:cs="Arial"/>
          <w:sz w:val="16"/>
          <w:szCs w:val="16"/>
        </w:rPr>
        <w:t>perjuicio</w:t>
      </w:r>
      <w:r w:rsidRPr="00F83E60">
        <w:rPr>
          <w:rFonts w:ascii="Verdana" w:hAnsi="Verdana" w:cs="Arial"/>
          <w:spacing w:val="-2"/>
          <w:sz w:val="16"/>
          <w:szCs w:val="16"/>
        </w:rPr>
        <w:t xml:space="preserve"> </w:t>
      </w:r>
      <w:r w:rsidRPr="00F83E60">
        <w:rPr>
          <w:rFonts w:ascii="Verdana" w:hAnsi="Verdana" w:cs="Arial"/>
          <w:sz w:val="16"/>
          <w:szCs w:val="16"/>
        </w:rPr>
        <w:t>de</w:t>
      </w:r>
      <w:r w:rsidRPr="00F83E60">
        <w:rPr>
          <w:rFonts w:ascii="Verdana" w:hAnsi="Verdana" w:cs="Arial"/>
          <w:spacing w:val="-1"/>
          <w:sz w:val="16"/>
          <w:szCs w:val="16"/>
        </w:rPr>
        <w:t xml:space="preserve"> </w:t>
      </w:r>
      <w:r w:rsidRPr="00F83E60">
        <w:rPr>
          <w:rFonts w:ascii="Verdana" w:hAnsi="Verdana" w:cs="Arial"/>
          <w:sz w:val="16"/>
          <w:szCs w:val="16"/>
        </w:rPr>
        <w:t>lo</w:t>
      </w:r>
      <w:r w:rsidRPr="00F83E60">
        <w:rPr>
          <w:rFonts w:ascii="Verdana" w:hAnsi="Verdana" w:cs="Arial"/>
          <w:spacing w:val="-2"/>
          <w:sz w:val="16"/>
          <w:szCs w:val="16"/>
        </w:rPr>
        <w:t xml:space="preserve"> </w:t>
      </w:r>
      <w:r w:rsidRPr="00F83E60">
        <w:rPr>
          <w:rFonts w:ascii="Verdana" w:hAnsi="Verdana" w:cs="Arial"/>
          <w:sz w:val="16"/>
          <w:szCs w:val="16"/>
        </w:rPr>
        <w:t>previsto</w:t>
      </w:r>
      <w:r w:rsidRPr="00F83E60">
        <w:rPr>
          <w:rFonts w:ascii="Verdana" w:hAnsi="Verdana" w:cs="Arial"/>
          <w:spacing w:val="-1"/>
          <w:sz w:val="16"/>
          <w:szCs w:val="16"/>
        </w:rPr>
        <w:t xml:space="preserve"> </w:t>
      </w:r>
      <w:r w:rsidRPr="00F83E60">
        <w:rPr>
          <w:rFonts w:ascii="Verdana" w:hAnsi="Verdana" w:cs="Arial"/>
          <w:sz w:val="16"/>
          <w:szCs w:val="16"/>
        </w:rPr>
        <w:t>en</w:t>
      </w:r>
      <w:r w:rsidRPr="00F83E60">
        <w:rPr>
          <w:rFonts w:ascii="Verdana" w:hAnsi="Verdana" w:cs="Arial"/>
          <w:spacing w:val="-2"/>
          <w:sz w:val="16"/>
          <w:szCs w:val="16"/>
        </w:rPr>
        <w:t xml:space="preserve"> </w:t>
      </w:r>
      <w:r w:rsidRPr="00F83E60">
        <w:rPr>
          <w:rFonts w:ascii="Verdana" w:hAnsi="Verdana" w:cs="Arial"/>
          <w:sz w:val="16"/>
          <w:szCs w:val="16"/>
        </w:rPr>
        <w:t>el</w:t>
      </w:r>
      <w:r w:rsidRPr="00F83E60">
        <w:rPr>
          <w:rFonts w:ascii="Verdana" w:hAnsi="Verdana" w:cs="Arial"/>
          <w:spacing w:val="-1"/>
          <w:sz w:val="16"/>
          <w:szCs w:val="16"/>
        </w:rPr>
        <w:t xml:space="preserve"> </w:t>
      </w:r>
      <w:r w:rsidRPr="00F83E60">
        <w:rPr>
          <w:rFonts w:ascii="Verdana" w:hAnsi="Verdana" w:cs="Arial"/>
          <w:sz w:val="16"/>
          <w:szCs w:val="16"/>
        </w:rPr>
        <w:t>artículo</w:t>
      </w:r>
      <w:r w:rsidRPr="00F83E60">
        <w:rPr>
          <w:rFonts w:ascii="Verdana" w:hAnsi="Verdana" w:cs="Arial"/>
          <w:spacing w:val="-1"/>
          <w:sz w:val="16"/>
          <w:szCs w:val="16"/>
        </w:rPr>
        <w:t xml:space="preserve"> </w:t>
      </w:r>
      <w:r w:rsidRPr="00F83E60">
        <w:rPr>
          <w:rFonts w:ascii="Verdana" w:hAnsi="Verdana" w:cs="Arial"/>
          <w:sz w:val="16"/>
          <w:szCs w:val="16"/>
        </w:rPr>
        <w:t>136</w:t>
      </w:r>
      <w:r w:rsidRPr="00F83E60">
        <w:rPr>
          <w:rFonts w:ascii="Verdana" w:hAnsi="Verdana" w:cs="Arial"/>
          <w:spacing w:val="-2"/>
          <w:sz w:val="16"/>
          <w:szCs w:val="16"/>
        </w:rPr>
        <w:t xml:space="preserve"> </w:t>
      </w:r>
      <w:r w:rsidRPr="00F83E60">
        <w:rPr>
          <w:rFonts w:ascii="Verdana" w:hAnsi="Verdana" w:cs="Arial"/>
          <w:sz w:val="16"/>
          <w:szCs w:val="16"/>
        </w:rPr>
        <w:t>del</w:t>
      </w:r>
      <w:r w:rsidRPr="00F83E60">
        <w:rPr>
          <w:rFonts w:ascii="Verdana" w:hAnsi="Verdana" w:cs="Arial"/>
          <w:spacing w:val="-1"/>
          <w:sz w:val="16"/>
          <w:szCs w:val="16"/>
        </w:rPr>
        <w:t xml:space="preserve"> </w:t>
      </w:r>
      <w:r w:rsidRPr="00F83E60">
        <w:rPr>
          <w:rFonts w:ascii="Verdana" w:hAnsi="Verdana" w:cs="Arial"/>
          <w:sz w:val="16"/>
          <w:szCs w:val="16"/>
        </w:rPr>
        <w:t>C.</w:t>
      </w:r>
      <w:r w:rsidRPr="00F83E60">
        <w:rPr>
          <w:rFonts w:ascii="Verdana" w:hAnsi="Verdana" w:cs="Arial"/>
          <w:spacing w:val="-2"/>
          <w:sz w:val="16"/>
          <w:szCs w:val="16"/>
        </w:rPr>
        <w:t xml:space="preserve"> </w:t>
      </w:r>
      <w:r w:rsidRPr="00F83E60">
        <w:rPr>
          <w:rFonts w:ascii="Verdana" w:hAnsi="Verdana" w:cs="Arial"/>
          <w:sz w:val="16"/>
          <w:szCs w:val="16"/>
        </w:rPr>
        <w:t>C.</w:t>
      </w:r>
      <w:r w:rsidRPr="00F83E60">
        <w:rPr>
          <w:rFonts w:ascii="Verdana" w:hAnsi="Verdana" w:cs="Arial"/>
          <w:spacing w:val="-1"/>
          <w:sz w:val="16"/>
          <w:szCs w:val="16"/>
        </w:rPr>
        <w:t xml:space="preserve"> </w:t>
      </w:r>
      <w:r w:rsidRPr="00F83E60">
        <w:rPr>
          <w:rFonts w:ascii="Verdana" w:hAnsi="Verdana" w:cs="Arial"/>
          <w:sz w:val="16"/>
          <w:szCs w:val="16"/>
        </w:rPr>
        <w:t>A.</w:t>
      </w:r>
    </w:p>
    <w:p w14:paraId="127C323A" w14:textId="77777777" w:rsidR="00556A41" w:rsidRPr="00F83E60" w:rsidRDefault="00556A41" w:rsidP="00556A41">
      <w:pPr>
        <w:spacing w:after="0" w:line="240" w:lineRule="auto"/>
        <w:ind w:left="118" w:right="196" w:firstLine="708"/>
        <w:jc w:val="both"/>
        <w:rPr>
          <w:rFonts w:ascii="Verdana" w:hAnsi="Verdana" w:cs="Arial"/>
          <w:sz w:val="16"/>
          <w:szCs w:val="16"/>
        </w:rPr>
      </w:pPr>
      <w:r w:rsidRPr="00F83E60">
        <w:rPr>
          <w:rFonts w:ascii="Verdana" w:hAnsi="Verdana" w:cs="Arial"/>
          <w:sz w:val="16"/>
          <w:szCs w:val="16"/>
        </w:rPr>
        <w:t>Los</w:t>
      </w:r>
      <w:r w:rsidRPr="00F83E60">
        <w:rPr>
          <w:rFonts w:ascii="Verdana" w:hAnsi="Verdana" w:cs="Arial"/>
          <w:spacing w:val="-9"/>
          <w:sz w:val="16"/>
          <w:szCs w:val="16"/>
        </w:rPr>
        <w:t xml:space="preserve"> </w:t>
      </w:r>
      <w:r w:rsidRPr="00F83E60">
        <w:rPr>
          <w:rFonts w:ascii="Verdana" w:hAnsi="Verdana" w:cs="Arial"/>
          <w:sz w:val="16"/>
          <w:szCs w:val="16"/>
        </w:rPr>
        <w:t>contratistas</w:t>
      </w:r>
      <w:r w:rsidRPr="00F83E60">
        <w:rPr>
          <w:rFonts w:ascii="Verdana" w:hAnsi="Verdana" w:cs="Arial"/>
          <w:spacing w:val="-9"/>
          <w:sz w:val="16"/>
          <w:szCs w:val="16"/>
        </w:rPr>
        <w:t xml:space="preserve"> </w:t>
      </w:r>
      <w:r w:rsidRPr="00F83E60">
        <w:rPr>
          <w:rFonts w:ascii="Verdana" w:hAnsi="Verdana" w:cs="Arial"/>
          <w:sz w:val="16"/>
          <w:szCs w:val="16"/>
        </w:rPr>
        <w:t>tendrán</w:t>
      </w:r>
      <w:r w:rsidRPr="00F83E60">
        <w:rPr>
          <w:rFonts w:ascii="Verdana" w:hAnsi="Verdana" w:cs="Arial"/>
          <w:spacing w:val="-8"/>
          <w:sz w:val="16"/>
          <w:szCs w:val="16"/>
        </w:rPr>
        <w:t xml:space="preserve"> </w:t>
      </w:r>
      <w:r w:rsidRPr="00F83E60">
        <w:rPr>
          <w:rFonts w:ascii="Verdana" w:hAnsi="Verdana" w:cs="Arial"/>
          <w:sz w:val="16"/>
          <w:szCs w:val="16"/>
        </w:rPr>
        <w:t>derecho</w:t>
      </w:r>
      <w:r w:rsidRPr="00F83E60">
        <w:rPr>
          <w:rFonts w:ascii="Verdana" w:hAnsi="Verdana" w:cs="Arial"/>
          <w:spacing w:val="-9"/>
          <w:sz w:val="16"/>
          <w:szCs w:val="16"/>
        </w:rPr>
        <w:t xml:space="preserve"> </w:t>
      </w:r>
      <w:r w:rsidRPr="00F83E60">
        <w:rPr>
          <w:rFonts w:ascii="Verdana" w:hAnsi="Verdana" w:cs="Arial"/>
          <w:sz w:val="16"/>
          <w:szCs w:val="16"/>
        </w:rPr>
        <w:t>a</w:t>
      </w:r>
      <w:r w:rsidRPr="00F83E60">
        <w:rPr>
          <w:rFonts w:ascii="Verdana" w:hAnsi="Verdana" w:cs="Arial"/>
          <w:spacing w:val="-9"/>
          <w:sz w:val="16"/>
          <w:szCs w:val="16"/>
        </w:rPr>
        <w:t xml:space="preserve"> </w:t>
      </w:r>
      <w:r w:rsidRPr="00F83E60">
        <w:rPr>
          <w:rFonts w:ascii="Verdana" w:hAnsi="Verdana" w:cs="Arial"/>
          <w:sz w:val="16"/>
          <w:szCs w:val="16"/>
        </w:rPr>
        <w:t>efectuar</w:t>
      </w:r>
      <w:r w:rsidRPr="00F83E60">
        <w:rPr>
          <w:rFonts w:ascii="Verdana" w:hAnsi="Verdana" w:cs="Arial"/>
          <w:spacing w:val="-9"/>
          <w:sz w:val="16"/>
          <w:szCs w:val="16"/>
        </w:rPr>
        <w:t xml:space="preserve"> </w:t>
      </w:r>
      <w:r w:rsidRPr="00F83E60">
        <w:rPr>
          <w:rFonts w:ascii="Verdana" w:hAnsi="Verdana" w:cs="Arial"/>
          <w:sz w:val="16"/>
          <w:szCs w:val="16"/>
        </w:rPr>
        <w:t>salvedades</w:t>
      </w:r>
      <w:r w:rsidRPr="00F83E60">
        <w:rPr>
          <w:rFonts w:ascii="Verdana" w:hAnsi="Verdana" w:cs="Arial"/>
          <w:spacing w:val="-9"/>
          <w:sz w:val="16"/>
          <w:szCs w:val="16"/>
        </w:rPr>
        <w:t xml:space="preserve"> </w:t>
      </w:r>
      <w:r w:rsidRPr="00F83E60">
        <w:rPr>
          <w:rFonts w:ascii="Verdana" w:hAnsi="Verdana" w:cs="Arial"/>
          <w:sz w:val="16"/>
          <w:szCs w:val="16"/>
        </w:rPr>
        <w:t>a</w:t>
      </w:r>
      <w:r w:rsidRPr="00F83E60">
        <w:rPr>
          <w:rFonts w:ascii="Verdana" w:hAnsi="Verdana" w:cs="Arial"/>
          <w:spacing w:val="-9"/>
          <w:sz w:val="16"/>
          <w:szCs w:val="16"/>
        </w:rPr>
        <w:t xml:space="preserve"> </w:t>
      </w:r>
      <w:r w:rsidRPr="00F83E60">
        <w:rPr>
          <w:rFonts w:ascii="Verdana" w:hAnsi="Verdana" w:cs="Arial"/>
          <w:sz w:val="16"/>
          <w:szCs w:val="16"/>
        </w:rPr>
        <w:t>la</w:t>
      </w:r>
      <w:r w:rsidRPr="00F83E60">
        <w:rPr>
          <w:rFonts w:ascii="Verdana" w:hAnsi="Verdana" w:cs="Arial"/>
          <w:spacing w:val="-9"/>
          <w:sz w:val="16"/>
          <w:szCs w:val="16"/>
        </w:rPr>
        <w:t xml:space="preserve"> </w:t>
      </w:r>
      <w:r w:rsidRPr="00F83E60">
        <w:rPr>
          <w:rFonts w:ascii="Verdana" w:hAnsi="Verdana" w:cs="Arial"/>
          <w:sz w:val="16"/>
          <w:szCs w:val="16"/>
        </w:rPr>
        <w:t>liquidación</w:t>
      </w:r>
      <w:r w:rsidRPr="00F83E60">
        <w:rPr>
          <w:rFonts w:ascii="Verdana" w:hAnsi="Verdana" w:cs="Arial"/>
          <w:spacing w:val="-9"/>
          <w:sz w:val="16"/>
          <w:szCs w:val="16"/>
        </w:rPr>
        <w:t xml:space="preserve"> </w:t>
      </w:r>
      <w:r w:rsidRPr="00F83E60">
        <w:rPr>
          <w:rFonts w:ascii="Verdana" w:hAnsi="Verdana" w:cs="Arial"/>
          <w:sz w:val="16"/>
          <w:szCs w:val="16"/>
        </w:rPr>
        <w:t>por</w:t>
      </w:r>
      <w:r w:rsidRPr="00F83E60">
        <w:rPr>
          <w:rFonts w:ascii="Verdana" w:hAnsi="Verdana" w:cs="Arial"/>
          <w:spacing w:val="-9"/>
          <w:sz w:val="16"/>
          <w:szCs w:val="16"/>
        </w:rPr>
        <w:t xml:space="preserve"> </w:t>
      </w:r>
      <w:r w:rsidRPr="00F83E60">
        <w:rPr>
          <w:rFonts w:ascii="Verdana" w:hAnsi="Verdana" w:cs="Arial"/>
          <w:sz w:val="16"/>
          <w:szCs w:val="16"/>
        </w:rPr>
        <w:t>mutuo</w:t>
      </w:r>
      <w:r w:rsidRPr="00F83E60">
        <w:rPr>
          <w:rFonts w:ascii="Verdana" w:hAnsi="Verdana" w:cs="Arial"/>
          <w:spacing w:val="-9"/>
          <w:sz w:val="16"/>
          <w:szCs w:val="16"/>
        </w:rPr>
        <w:t xml:space="preserve"> </w:t>
      </w:r>
      <w:r w:rsidRPr="00F83E60">
        <w:rPr>
          <w:rFonts w:ascii="Verdana" w:hAnsi="Verdana" w:cs="Arial"/>
          <w:sz w:val="16"/>
          <w:szCs w:val="16"/>
        </w:rPr>
        <w:t>acuerdo,</w:t>
      </w:r>
      <w:r w:rsidRPr="00F83E60">
        <w:rPr>
          <w:rFonts w:ascii="Verdana" w:hAnsi="Verdana" w:cs="Arial"/>
          <w:spacing w:val="-9"/>
          <w:sz w:val="16"/>
          <w:szCs w:val="16"/>
        </w:rPr>
        <w:t xml:space="preserve"> </w:t>
      </w:r>
      <w:r w:rsidRPr="00F83E60">
        <w:rPr>
          <w:rFonts w:ascii="Verdana" w:hAnsi="Verdana" w:cs="Arial"/>
          <w:sz w:val="16"/>
          <w:szCs w:val="16"/>
        </w:rPr>
        <w:t>y</w:t>
      </w:r>
      <w:r w:rsidRPr="00F83E60">
        <w:rPr>
          <w:rFonts w:ascii="Verdana" w:hAnsi="Verdana" w:cs="Arial"/>
          <w:spacing w:val="-9"/>
          <w:sz w:val="16"/>
          <w:szCs w:val="16"/>
        </w:rPr>
        <w:t xml:space="preserve"> </w:t>
      </w:r>
      <w:r w:rsidRPr="00F83E60">
        <w:rPr>
          <w:rFonts w:ascii="Verdana" w:hAnsi="Verdana" w:cs="Arial"/>
          <w:sz w:val="16"/>
          <w:szCs w:val="16"/>
        </w:rPr>
        <w:t>en</w:t>
      </w:r>
      <w:r w:rsidRPr="00F83E60">
        <w:rPr>
          <w:rFonts w:ascii="Verdana" w:hAnsi="Verdana" w:cs="Arial"/>
          <w:spacing w:val="-9"/>
          <w:sz w:val="16"/>
          <w:szCs w:val="16"/>
        </w:rPr>
        <w:t xml:space="preserve"> </w:t>
      </w:r>
      <w:r w:rsidRPr="00F83E60">
        <w:rPr>
          <w:rFonts w:ascii="Verdana" w:hAnsi="Verdana" w:cs="Arial"/>
          <w:sz w:val="16"/>
          <w:szCs w:val="16"/>
        </w:rPr>
        <w:t>este</w:t>
      </w:r>
      <w:r w:rsidRPr="00F83E60">
        <w:rPr>
          <w:rFonts w:ascii="Verdana" w:hAnsi="Verdana" w:cs="Arial"/>
          <w:spacing w:val="-9"/>
          <w:sz w:val="16"/>
          <w:szCs w:val="16"/>
        </w:rPr>
        <w:t xml:space="preserve"> </w:t>
      </w:r>
      <w:r w:rsidRPr="00F83E60">
        <w:rPr>
          <w:rFonts w:ascii="Verdana" w:hAnsi="Verdana" w:cs="Arial"/>
          <w:sz w:val="16"/>
          <w:szCs w:val="16"/>
        </w:rPr>
        <w:t>evento</w:t>
      </w:r>
      <w:r w:rsidRPr="00F83E60">
        <w:rPr>
          <w:rFonts w:ascii="Verdana" w:hAnsi="Verdana" w:cs="Arial"/>
          <w:spacing w:val="-9"/>
          <w:sz w:val="16"/>
          <w:szCs w:val="16"/>
        </w:rPr>
        <w:t xml:space="preserve"> </w:t>
      </w:r>
      <w:r w:rsidRPr="00F83E60">
        <w:rPr>
          <w:rFonts w:ascii="Verdana" w:hAnsi="Verdana" w:cs="Arial"/>
          <w:sz w:val="16"/>
          <w:szCs w:val="16"/>
        </w:rPr>
        <w:t>la</w:t>
      </w:r>
      <w:r w:rsidRPr="00F83E60">
        <w:rPr>
          <w:rFonts w:ascii="Verdana" w:hAnsi="Verdana" w:cs="Arial"/>
          <w:spacing w:val="-9"/>
          <w:sz w:val="16"/>
          <w:szCs w:val="16"/>
        </w:rPr>
        <w:t xml:space="preserve"> </w:t>
      </w:r>
      <w:r w:rsidRPr="00F83E60">
        <w:rPr>
          <w:rFonts w:ascii="Verdana" w:hAnsi="Verdana" w:cs="Arial"/>
          <w:sz w:val="16"/>
          <w:szCs w:val="16"/>
        </w:rPr>
        <w:t>liquidación</w:t>
      </w:r>
      <w:r w:rsidRPr="00F83E60">
        <w:rPr>
          <w:rFonts w:ascii="Verdana" w:hAnsi="Verdana" w:cs="Arial"/>
          <w:spacing w:val="1"/>
          <w:sz w:val="16"/>
          <w:szCs w:val="16"/>
        </w:rPr>
        <w:t xml:space="preserve"> </w:t>
      </w:r>
      <w:r w:rsidRPr="00F83E60">
        <w:rPr>
          <w:rFonts w:ascii="Verdana" w:hAnsi="Verdana" w:cs="Arial"/>
          <w:sz w:val="16"/>
          <w:szCs w:val="16"/>
        </w:rPr>
        <w:t>unilateral</w:t>
      </w:r>
      <w:r w:rsidRPr="00F83E60">
        <w:rPr>
          <w:rFonts w:ascii="Verdana" w:hAnsi="Verdana" w:cs="Arial"/>
          <w:spacing w:val="-2"/>
          <w:sz w:val="16"/>
          <w:szCs w:val="16"/>
        </w:rPr>
        <w:t xml:space="preserve"> </w:t>
      </w:r>
      <w:r w:rsidRPr="00F83E60">
        <w:rPr>
          <w:rFonts w:ascii="Verdana" w:hAnsi="Verdana" w:cs="Arial"/>
          <w:sz w:val="16"/>
          <w:szCs w:val="16"/>
        </w:rPr>
        <w:t>solo</w:t>
      </w:r>
      <w:r w:rsidRPr="00F83E60">
        <w:rPr>
          <w:rFonts w:ascii="Verdana" w:hAnsi="Verdana" w:cs="Arial"/>
          <w:spacing w:val="-2"/>
          <w:sz w:val="16"/>
          <w:szCs w:val="16"/>
        </w:rPr>
        <w:t xml:space="preserve"> </w:t>
      </w:r>
      <w:r w:rsidRPr="00F83E60">
        <w:rPr>
          <w:rFonts w:ascii="Verdana" w:hAnsi="Verdana" w:cs="Arial"/>
          <w:sz w:val="16"/>
          <w:szCs w:val="16"/>
        </w:rPr>
        <w:t>procederá</w:t>
      </w:r>
      <w:r w:rsidRPr="00F83E60">
        <w:rPr>
          <w:rFonts w:ascii="Verdana" w:hAnsi="Verdana" w:cs="Arial"/>
          <w:spacing w:val="-1"/>
          <w:sz w:val="16"/>
          <w:szCs w:val="16"/>
        </w:rPr>
        <w:t xml:space="preserve"> </w:t>
      </w:r>
      <w:r w:rsidRPr="00F83E60">
        <w:rPr>
          <w:rFonts w:ascii="Verdana" w:hAnsi="Verdana" w:cs="Arial"/>
          <w:sz w:val="16"/>
          <w:szCs w:val="16"/>
        </w:rPr>
        <w:t>en</w:t>
      </w:r>
      <w:r w:rsidRPr="00F83E60">
        <w:rPr>
          <w:rFonts w:ascii="Verdana" w:hAnsi="Verdana" w:cs="Arial"/>
          <w:spacing w:val="-2"/>
          <w:sz w:val="16"/>
          <w:szCs w:val="16"/>
        </w:rPr>
        <w:t xml:space="preserve"> </w:t>
      </w:r>
      <w:r w:rsidRPr="00F83E60">
        <w:rPr>
          <w:rFonts w:ascii="Verdana" w:hAnsi="Verdana" w:cs="Arial"/>
          <w:sz w:val="16"/>
          <w:szCs w:val="16"/>
        </w:rPr>
        <w:t>relación</w:t>
      </w:r>
      <w:r w:rsidRPr="00F83E60">
        <w:rPr>
          <w:rFonts w:ascii="Verdana" w:hAnsi="Verdana" w:cs="Arial"/>
          <w:spacing w:val="-2"/>
          <w:sz w:val="16"/>
          <w:szCs w:val="16"/>
        </w:rPr>
        <w:t xml:space="preserve"> </w:t>
      </w:r>
      <w:r w:rsidRPr="00F83E60">
        <w:rPr>
          <w:rFonts w:ascii="Verdana" w:hAnsi="Verdana" w:cs="Arial"/>
          <w:sz w:val="16"/>
          <w:szCs w:val="16"/>
        </w:rPr>
        <w:t>con</w:t>
      </w:r>
      <w:r w:rsidRPr="00F83E60">
        <w:rPr>
          <w:rFonts w:ascii="Verdana" w:hAnsi="Verdana" w:cs="Arial"/>
          <w:spacing w:val="-1"/>
          <w:sz w:val="16"/>
          <w:szCs w:val="16"/>
        </w:rPr>
        <w:t xml:space="preserve"> </w:t>
      </w:r>
      <w:r w:rsidRPr="00F83E60">
        <w:rPr>
          <w:rFonts w:ascii="Verdana" w:hAnsi="Verdana" w:cs="Arial"/>
          <w:sz w:val="16"/>
          <w:szCs w:val="16"/>
        </w:rPr>
        <w:t>los</w:t>
      </w:r>
      <w:r w:rsidRPr="00F83E60">
        <w:rPr>
          <w:rFonts w:ascii="Verdana" w:hAnsi="Verdana" w:cs="Arial"/>
          <w:spacing w:val="-2"/>
          <w:sz w:val="16"/>
          <w:szCs w:val="16"/>
        </w:rPr>
        <w:t xml:space="preserve"> </w:t>
      </w:r>
      <w:r w:rsidRPr="00F83E60">
        <w:rPr>
          <w:rFonts w:ascii="Verdana" w:hAnsi="Verdana" w:cs="Arial"/>
          <w:sz w:val="16"/>
          <w:szCs w:val="16"/>
        </w:rPr>
        <w:t>aspectos</w:t>
      </w:r>
      <w:r w:rsidRPr="00F83E60">
        <w:rPr>
          <w:rFonts w:ascii="Verdana" w:hAnsi="Verdana" w:cs="Arial"/>
          <w:spacing w:val="-1"/>
          <w:sz w:val="16"/>
          <w:szCs w:val="16"/>
        </w:rPr>
        <w:t xml:space="preserve"> </w:t>
      </w:r>
      <w:r w:rsidRPr="00F83E60">
        <w:rPr>
          <w:rFonts w:ascii="Verdana" w:hAnsi="Verdana" w:cs="Arial"/>
          <w:sz w:val="16"/>
          <w:szCs w:val="16"/>
        </w:rPr>
        <w:t>que</w:t>
      </w:r>
      <w:r w:rsidRPr="00F83E60">
        <w:rPr>
          <w:rFonts w:ascii="Verdana" w:hAnsi="Verdana" w:cs="Arial"/>
          <w:spacing w:val="-2"/>
          <w:sz w:val="16"/>
          <w:szCs w:val="16"/>
        </w:rPr>
        <w:t xml:space="preserve"> </w:t>
      </w:r>
      <w:r w:rsidRPr="00F83E60">
        <w:rPr>
          <w:rFonts w:ascii="Verdana" w:hAnsi="Verdana" w:cs="Arial"/>
          <w:sz w:val="16"/>
          <w:szCs w:val="16"/>
        </w:rPr>
        <w:t>no</w:t>
      </w:r>
      <w:r w:rsidRPr="00F83E60">
        <w:rPr>
          <w:rFonts w:ascii="Verdana" w:hAnsi="Verdana" w:cs="Arial"/>
          <w:spacing w:val="-2"/>
          <w:sz w:val="16"/>
          <w:szCs w:val="16"/>
        </w:rPr>
        <w:t xml:space="preserve"> </w:t>
      </w:r>
      <w:r w:rsidRPr="00F83E60">
        <w:rPr>
          <w:rFonts w:ascii="Verdana" w:hAnsi="Verdana" w:cs="Arial"/>
          <w:sz w:val="16"/>
          <w:szCs w:val="16"/>
        </w:rPr>
        <w:t>hayan</w:t>
      </w:r>
      <w:r w:rsidRPr="00F83E60">
        <w:rPr>
          <w:rFonts w:ascii="Verdana" w:hAnsi="Verdana" w:cs="Arial"/>
          <w:spacing w:val="-1"/>
          <w:sz w:val="16"/>
          <w:szCs w:val="16"/>
        </w:rPr>
        <w:t xml:space="preserve"> </w:t>
      </w:r>
      <w:r w:rsidRPr="00F83E60">
        <w:rPr>
          <w:rFonts w:ascii="Verdana" w:hAnsi="Verdana" w:cs="Arial"/>
          <w:sz w:val="16"/>
          <w:szCs w:val="16"/>
        </w:rPr>
        <w:t>sido</w:t>
      </w:r>
      <w:r w:rsidRPr="00F83E60">
        <w:rPr>
          <w:rFonts w:ascii="Verdana" w:hAnsi="Verdana" w:cs="Arial"/>
          <w:spacing w:val="-2"/>
          <w:sz w:val="16"/>
          <w:szCs w:val="16"/>
        </w:rPr>
        <w:t xml:space="preserve"> </w:t>
      </w:r>
      <w:r w:rsidRPr="00F83E60">
        <w:rPr>
          <w:rFonts w:ascii="Verdana" w:hAnsi="Verdana" w:cs="Arial"/>
          <w:sz w:val="16"/>
          <w:szCs w:val="16"/>
        </w:rPr>
        <w:t>objeto</w:t>
      </w:r>
      <w:r w:rsidRPr="00F83E60">
        <w:rPr>
          <w:rFonts w:ascii="Verdana" w:hAnsi="Verdana" w:cs="Arial"/>
          <w:spacing w:val="-2"/>
          <w:sz w:val="16"/>
          <w:szCs w:val="16"/>
        </w:rPr>
        <w:t xml:space="preserve"> </w:t>
      </w:r>
      <w:r w:rsidRPr="00F83E60">
        <w:rPr>
          <w:rFonts w:ascii="Verdana" w:hAnsi="Verdana" w:cs="Arial"/>
          <w:sz w:val="16"/>
          <w:szCs w:val="16"/>
        </w:rPr>
        <w:t>de</w:t>
      </w:r>
      <w:r w:rsidRPr="00F83E60">
        <w:rPr>
          <w:rFonts w:ascii="Verdana" w:hAnsi="Verdana" w:cs="Arial"/>
          <w:spacing w:val="-1"/>
          <w:sz w:val="16"/>
          <w:szCs w:val="16"/>
        </w:rPr>
        <w:t xml:space="preserve"> </w:t>
      </w:r>
      <w:r w:rsidRPr="00F83E60">
        <w:rPr>
          <w:rFonts w:ascii="Verdana" w:hAnsi="Verdana" w:cs="Arial"/>
          <w:sz w:val="16"/>
          <w:szCs w:val="16"/>
        </w:rPr>
        <w:t>acuerdo”.</w:t>
      </w:r>
    </w:p>
    <w:p w14:paraId="419F86C1" w14:textId="77777777" w:rsidR="00556A41" w:rsidRPr="00F83E60" w:rsidRDefault="00556A41" w:rsidP="00556A41">
      <w:pPr>
        <w:spacing w:after="0" w:line="240" w:lineRule="auto"/>
        <w:ind w:left="118" w:right="196" w:firstLine="708"/>
        <w:jc w:val="both"/>
        <w:rPr>
          <w:rFonts w:ascii="Verdana" w:hAnsi="Verdana" w:cs="Arial"/>
          <w:sz w:val="16"/>
          <w:szCs w:val="16"/>
        </w:rPr>
      </w:pPr>
    </w:p>
  </w:footnote>
  <w:footnote w:id="11">
    <w:p w14:paraId="20016FFC" w14:textId="77777777" w:rsidR="00556A41" w:rsidRPr="00F83E60" w:rsidRDefault="00556A41" w:rsidP="00556A41">
      <w:pPr>
        <w:spacing w:after="0" w:line="240" w:lineRule="auto"/>
        <w:ind w:left="118" w:firstLine="708"/>
        <w:jc w:val="both"/>
        <w:rPr>
          <w:rFonts w:ascii="Verdana" w:hAnsi="Verdana" w:cs="Arial"/>
          <w:sz w:val="16"/>
          <w:szCs w:val="16"/>
        </w:rPr>
      </w:pPr>
      <w:r w:rsidRPr="00F83E60">
        <w:rPr>
          <w:rStyle w:val="Refdenotaalpie"/>
          <w:rFonts w:ascii="Verdana" w:hAnsi="Verdana" w:cs="Arial"/>
          <w:sz w:val="16"/>
          <w:szCs w:val="16"/>
        </w:rPr>
        <w:footnoteRef/>
      </w:r>
      <w:r w:rsidRPr="00F83E60">
        <w:rPr>
          <w:rFonts w:ascii="Verdana" w:hAnsi="Verdana" w:cs="Arial"/>
          <w:sz w:val="16"/>
          <w:szCs w:val="16"/>
        </w:rPr>
        <w:t xml:space="preserve"> </w:t>
      </w:r>
      <w:r w:rsidRPr="00F83E60">
        <w:rPr>
          <w:rFonts w:ascii="Verdana" w:hAnsi="Verdana" w:cs="Arial"/>
          <w:spacing w:val="6"/>
          <w:sz w:val="16"/>
          <w:szCs w:val="16"/>
        </w:rPr>
        <w:t xml:space="preserve"> </w:t>
      </w:r>
      <w:r w:rsidRPr="00F83E60">
        <w:rPr>
          <w:rFonts w:ascii="Verdana" w:hAnsi="Verdana" w:cs="Arial"/>
          <w:sz w:val="16"/>
          <w:szCs w:val="16"/>
        </w:rPr>
        <w:t>Consejo</w:t>
      </w:r>
      <w:r w:rsidRPr="00F83E60">
        <w:rPr>
          <w:rFonts w:ascii="Verdana" w:hAnsi="Verdana" w:cs="Arial"/>
          <w:spacing w:val="6"/>
          <w:sz w:val="16"/>
          <w:szCs w:val="16"/>
        </w:rPr>
        <w:t xml:space="preserve"> </w:t>
      </w:r>
      <w:r w:rsidRPr="00F83E60">
        <w:rPr>
          <w:rFonts w:ascii="Verdana" w:hAnsi="Verdana" w:cs="Arial"/>
          <w:sz w:val="16"/>
          <w:szCs w:val="16"/>
        </w:rPr>
        <w:t>de</w:t>
      </w:r>
      <w:r w:rsidRPr="00F83E60">
        <w:rPr>
          <w:rFonts w:ascii="Verdana" w:hAnsi="Verdana" w:cs="Arial"/>
          <w:spacing w:val="6"/>
          <w:sz w:val="16"/>
          <w:szCs w:val="16"/>
        </w:rPr>
        <w:t xml:space="preserve"> </w:t>
      </w:r>
      <w:r w:rsidRPr="00F83E60">
        <w:rPr>
          <w:rFonts w:ascii="Verdana" w:hAnsi="Verdana" w:cs="Arial"/>
          <w:sz w:val="16"/>
          <w:szCs w:val="16"/>
        </w:rPr>
        <w:t>Estado.</w:t>
      </w:r>
      <w:r w:rsidRPr="00F83E60">
        <w:rPr>
          <w:rFonts w:ascii="Verdana" w:hAnsi="Verdana" w:cs="Arial"/>
          <w:spacing w:val="8"/>
          <w:sz w:val="16"/>
          <w:szCs w:val="16"/>
        </w:rPr>
        <w:t xml:space="preserve"> </w:t>
      </w:r>
      <w:r w:rsidRPr="00F83E60">
        <w:rPr>
          <w:rFonts w:ascii="Verdana" w:hAnsi="Verdana" w:cs="Arial"/>
          <w:sz w:val="16"/>
          <w:szCs w:val="16"/>
        </w:rPr>
        <w:t>Sala</w:t>
      </w:r>
      <w:r w:rsidRPr="00F83E60">
        <w:rPr>
          <w:rFonts w:ascii="Verdana" w:hAnsi="Verdana" w:cs="Arial"/>
          <w:spacing w:val="7"/>
          <w:sz w:val="16"/>
          <w:szCs w:val="16"/>
        </w:rPr>
        <w:t xml:space="preserve"> </w:t>
      </w:r>
      <w:r w:rsidRPr="00F83E60">
        <w:rPr>
          <w:rFonts w:ascii="Verdana" w:hAnsi="Verdana" w:cs="Arial"/>
          <w:sz w:val="16"/>
          <w:szCs w:val="16"/>
        </w:rPr>
        <w:t>de</w:t>
      </w:r>
      <w:r w:rsidRPr="00F83E60">
        <w:rPr>
          <w:rFonts w:ascii="Verdana" w:hAnsi="Verdana" w:cs="Arial"/>
          <w:spacing w:val="6"/>
          <w:sz w:val="16"/>
          <w:szCs w:val="16"/>
        </w:rPr>
        <w:t xml:space="preserve"> </w:t>
      </w:r>
      <w:r w:rsidRPr="00F83E60">
        <w:rPr>
          <w:rFonts w:ascii="Verdana" w:hAnsi="Verdana" w:cs="Arial"/>
          <w:sz w:val="16"/>
          <w:szCs w:val="16"/>
        </w:rPr>
        <w:t>Consulta</w:t>
      </w:r>
      <w:r w:rsidRPr="00F83E60">
        <w:rPr>
          <w:rFonts w:ascii="Verdana" w:hAnsi="Verdana" w:cs="Arial"/>
          <w:spacing w:val="7"/>
          <w:sz w:val="16"/>
          <w:szCs w:val="16"/>
        </w:rPr>
        <w:t xml:space="preserve"> </w:t>
      </w:r>
      <w:r w:rsidRPr="00F83E60">
        <w:rPr>
          <w:rFonts w:ascii="Verdana" w:hAnsi="Verdana" w:cs="Arial"/>
          <w:sz w:val="16"/>
          <w:szCs w:val="16"/>
        </w:rPr>
        <w:t>y</w:t>
      </w:r>
      <w:r w:rsidRPr="00F83E60">
        <w:rPr>
          <w:rFonts w:ascii="Verdana" w:hAnsi="Verdana" w:cs="Arial"/>
          <w:spacing w:val="6"/>
          <w:sz w:val="16"/>
          <w:szCs w:val="16"/>
        </w:rPr>
        <w:t xml:space="preserve"> </w:t>
      </w:r>
      <w:r w:rsidRPr="00F83E60">
        <w:rPr>
          <w:rFonts w:ascii="Verdana" w:hAnsi="Verdana" w:cs="Arial"/>
          <w:sz w:val="16"/>
          <w:szCs w:val="16"/>
        </w:rPr>
        <w:t>Servicio</w:t>
      </w:r>
      <w:r w:rsidRPr="00F83E60">
        <w:rPr>
          <w:rFonts w:ascii="Verdana" w:hAnsi="Verdana" w:cs="Arial"/>
          <w:spacing w:val="7"/>
          <w:sz w:val="16"/>
          <w:szCs w:val="16"/>
        </w:rPr>
        <w:t xml:space="preserve"> </w:t>
      </w:r>
      <w:r w:rsidRPr="00F83E60">
        <w:rPr>
          <w:rFonts w:ascii="Verdana" w:hAnsi="Verdana" w:cs="Arial"/>
          <w:sz w:val="16"/>
          <w:szCs w:val="16"/>
        </w:rPr>
        <w:t>Civil.</w:t>
      </w:r>
      <w:r w:rsidRPr="00F83E60">
        <w:rPr>
          <w:rFonts w:ascii="Verdana" w:hAnsi="Verdana" w:cs="Arial"/>
          <w:spacing w:val="7"/>
          <w:sz w:val="16"/>
          <w:szCs w:val="16"/>
        </w:rPr>
        <w:t xml:space="preserve"> </w:t>
      </w:r>
      <w:r w:rsidRPr="00F83E60">
        <w:rPr>
          <w:rFonts w:ascii="Verdana" w:hAnsi="Verdana" w:cs="Arial"/>
          <w:sz w:val="16"/>
          <w:szCs w:val="16"/>
        </w:rPr>
        <w:t>Concepto</w:t>
      </w:r>
      <w:r w:rsidRPr="00F83E60">
        <w:rPr>
          <w:rFonts w:ascii="Verdana" w:hAnsi="Verdana" w:cs="Arial"/>
          <w:spacing w:val="6"/>
          <w:sz w:val="16"/>
          <w:szCs w:val="16"/>
        </w:rPr>
        <w:t xml:space="preserve"> </w:t>
      </w:r>
      <w:r w:rsidRPr="00F83E60">
        <w:rPr>
          <w:rFonts w:ascii="Verdana" w:hAnsi="Verdana" w:cs="Arial"/>
          <w:sz w:val="16"/>
          <w:szCs w:val="16"/>
        </w:rPr>
        <w:t>de</w:t>
      </w:r>
      <w:r w:rsidRPr="00F83E60">
        <w:rPr>
          <w:rFonts w:ascii="Verdana" w:hAnsi="Verdana" w:cs="Arial"/>
          <w:spacing w:val="6"/>
          <w:sz w:val="16"/>
          <w:szCs w:val="16"/>
        </w:rPr>
        <w:t xml:space="preserve"> </w:t>
      </w:r>
      <w:r w:rsidRPr="00F83E60">
        <w:rPr>
          <w:rFonts w:ascii="Verdana" w:hAnsi="Verdana" w:cs="Arial"/>
          <w:sz w:val="16"/>
          <w:szCs w:val="16"/>
        </w:rPr>
        <w:t>28</w:t>
      </w:r>
      <w:r w:rsidRPr="00F83E60">
        <w:rPr>
          <w:rFonts w:ascii="Verdana" w:hAnsi="Verdana" w:cs="Arial"/>
          <w:spacing w:val="7"/>
          <w:sz w:val="16"/>
          <w:szCs w:val="16"/>
        </w:rPr>
        <w:t xml:space="preserve"> </w:t>
      </w:r>
      <w:r w:rsidRPr="00F83E60">
        <w:rPr>
          <w:rFonts w:ascii="Verdana" w:hAnsi="Verdana" w:cs="Arial"/>
          <w:sz w:val="16"/>
          <w:szCs w:val="16"/>
        </w:rPr>
        <w:t>de</w:t>
      </w:r>
      <w:r w:rsidRPr="00F83E60">
        <w:rPr>
          <w:rFonts w:ascii="Verdana" w:hAnsi="Verdana" w:cs="Arial"/>
          <w:spacing w:val="6"/>
          <w:sz w:val="16"/>
          <w:szCs w:val="16"/>
        </w:rPr>
        <w:t xml:space="preserve"> </w:t>
      </w:r>
      <w:r w:rsidRPr="00F83E60">
        <w:rPr>
          <w:rFonts w:ascii="Verdana" w:hAnsi="Verdana" w:cs="Arial"/>
          <w:sz w:val="16"/>
          <w:szCs w:val="16"/>
        </w:rPr>
        <w:t>Junio</w:t>
      </w:r>
      <w:r w:rsidRPr="00F83E60">
        <w:rPr>
          <w:rFonts w:ascii="Verdana" w:hAnsi="Verdana" w:cs="Arial"/>
          <w:spacing w:val="6"/>
          <w:sz w:val="16"/>
          <w:szCs w:val="16"/>
        </w:rPr>
        <w:t xml:space="preserve"> </w:t>
      </w:r>
      <w:r w:rsidRPr="00F83E60">
        <w:rPr>
          <w:rFonts w:ascii="Verdana" w:hAnsi="Verdana" w:cs="Arial"/>
          <w:sz w:val="16"/>
          <w:szCs w:val="16"/>
        </w:rPr>
        <w:t>de</w:t>
      </w:r>
      <w:r w:rsidRPr="00F83E60">
        <w:rPr>
          <w:rFonts w:ascii="Verdana" w:hAnsi="Verdana" w:cs="Arial"/>
          <w:spacing w:val="6"/>
          <w:sz w:val="16"/>
          <w:szCs w:val="16"/>
        </w:rPr>
        <w:t xml:space="preserve"> </w:t>
      </w:r>
      <w:r w:rsidRPr="00F83E60">
        <w:rPr>
          <w:rFonts w:ascii="Verdana" w:hAnsi="Verdana" w:cs="Arial"/>
          <w:sz w:val="16"/>
          <w:szCs w:val="16"/>
        </w:rPr>
        <w:t>2016.</w:t>
      </w:r>
      <w:r w:rsidRPr="00F83E60">
        <w:rPr>
          <w:rFonts w:ascii="Verdana" w:hAnsi="Verdana" w:cs="Arial"/>
          <w:spacing w:val="7"/>
          <w:sz w:val="16"/>
          <w:szCs w:val="16"/>
        </w:rPr>
        <w:t xml:space="preserve"> </w:t>
      </w:r>
      <w:r w:rsidRPr="00F83E60">
        <w:rPr>
          <w:rFonts w:ascii="Verdana" w:hAnsi="Verdana" w:cs="Arial"/>
          <w:sz w:val="16"/>
          <w:szCs w:val="16"/>
        </w:rPr>
        <w:t>Radicación:</w:t>
      </w:r>
      <w:r w:rsidRPr="00F83E60">
        <w:rPr>
          <w:rFonts w:ascii="Verdana" w:hAnsi="Verdana" w:cs="Arial"/>
          <w:spacing w:val="6"/>
          <w:sz w:val="16"/>
          <w:szCs w:val="16"/>
        </w:rPr>
        <w:t xml:space="preserve"> </w:t>
      </w:r>
      <w:r w:rsidRPr="00F83E60">
        <w:rPr>
          <w:rFonts w:ascii="Verdana" w:hAnsi="Verdana" w:cs="Arial"/>
          <w:sz w:val="16"/>
          <w:szCs w:val="16"/>
        </w:rPr>
        <w:t>2253.</w:t>
      </w:r>
      <w:r w:rsidRPr="00F83E60">
        <w:rPr>
          <w:rFonts w:ascii="Verdana" w:hAnsi="Verdana" w:cs="Arial"/>
          <w:spacing w:val="6"/>
          <w:sz w:val="16"/>
          <w:szCs w:val="16"/>
        </w:rPr>
        <w:t xml:space="preserve"> </w:t>
      </w:r>
      <w:r w:rsidRPr="00F83E60">
        <w:rPr>
          <w:rFonts w:ascii="Verdana" w:hAnsi="Verdana" w:cs="Arial"/>
          <w:sz w:val="16"/>
          <w:szCs w:val="16"/>
        </w:rPr>
        <w:t>C.P.</w:t>
      </w:r>
      <w:r w:rsidRPr="00F83E60">
        <w:rPr>
          <w:rFonts w:ascii="Verdana" w:hAnsi="Verdana" w:cs="Arial"/>
          <w:spacing w:val="1"/>
          <w:sz w:val="16"/>
          <w:szCs w:val="16"/>
        </w:rPr>
        <w:t xml:space="preserve"> </w:t>
      </w:r>
      <w:r w:rsidRPr="00F83E60">
        <w:rPr>
          <w:rFonts w:ascii="Verdana" w:hAnsi="Verdana" w:cs="Arial"/>
          <w:sz w:val="16"/>
          <w:szCs w:val="16"/>
        </w:rPr>
        <w:t>Álvaro</w:t>
      </w:r>
      <w:r w:rsidRPr="00F83E60">
        <w:rPr>
          <w:rFonts w:ascii="Verdana" w:hAnsi="Verdana" w:cs="Arial"/>
          <w:spacing w:val="-2"/>
          <w:sz w:val="16"/>
          <w:szCs w:val="16"/>
        </w:rPr>
        <w:t xml:space="preserve"> </w:t>
      </w:r>
      <w:r w:rsidRPr="00F83E60">
        <w:rPr>
          <w:rFonts w:ascii="Verdana" w:hAnsi="Verdana" w:cs="Arial"/>
          <w:sz w:val="16"/>
          <w:szCs w:val="16"/>
        </w:rPr>
        <w:t>Namén</w:t>
      </w:r>
      <w:r w:rsidRPr="00F83E60">
        <w:rPr>
          <w:rFonts w:ascii="Verdana" w:hAnsi="Verdana" w:cs="Arial"/>
          <w:spacing w:val="-1"/>
          <w:sz w:val="16"/>
          <w:szCs w:val="16"/>
        </w:rPr>
        <w:t xml:space="preserve"> </w:t>
      </w:r>
      <w:r w:rsidRPr="00F83E60">
        <w:rPr>
          <w:rFonts w:ascii="Verdana" w:hAnsi="Verdana" w:cs="Arial"/>
          <w:sz w:val="16"/>
          <w:szCs w:val="16"/>
        </w:rPr>
        <w:t>Vargas.</w:t>
      </w:r>
    </w:p>
  </w:footnote>
  <w:footnote w:id="12">
    <w:p w14:paraId="7231D02A" w14:textId="77777777" w:rsidR="00556A41" w:rsidRPr="00F83E60" w:rsidRDefault="00556A41" w:rsidP="00556A41">
      <w:pPr>
        <w:spacing w:after="0" w:line="240" w:lineRule="auto"/>
        <w:ind w:left="118" w:firstLine="708"/>
        <w:jc w:val="both"/>
        <w:rPr>
          <w:rFonts w:ascii="Verdana" w:hAnsi="Verdana" w:cs="Arial"/>
          <w:sz w:val="16"/>
          <w:szCs w:val="16"/>
        </w:rPr>
      </w:pPr>
      <w:r w:rsidRPr="00F83E60">
        <w:rPr>
          <w:rStyle w:val="Refdenotaalpie"/>
          <w:rFonts w:ascii="Verdana" w:hAnsi="Verdana" w:cs="Arial"/>
          <w:sz w:val="16"/>
          <w:szCs w:val="16"/>
        </w:rPr>
        <w:footnoteRef/>
      </w:r>
      <w:r w:rsidRPr="00F83E60">
        <w:rPr>
          <w:rFonts w:ascii="Verdana" w:hAnsi="Verdana" w:cs="Arial"/>
          <w:sz w:val="16"/>
          <w:szCs w:val="16"/>
        </w:rPr>
        <w:t xml:space="preserve"> Consejo</w:t>
      </w:r>
      <w:r w:rsidRPr="00F83E60">
        <w:rPr>
          <w:rFonts w:ascii="Verdana" w:hAnsi="Verdana" w:cs="Arial"/>
          <w:spacing w:val="3"/>
          <w:sz w:val="16"/>
          <w:szCs w:val="16"/>
        </w:rPr>
        <w:t xml:space="preserve"> </w:t>
      </w:r>
      <w:r w:rsidRPr="00F83E60">
        <w:rPr>
          <w:rFonts w:ascii="Verdana" w:hAnsi="Verdana" w:cs="Arial"/>
          <w:sz w:val="16"/>
          <w:szCs w:val="16"/>
        </w:rPr>
        <w:t>de</w:t>
      </w:r>
      <w:r w:rsidRPr="00F83E60">
        <w:rPr>
          <w:rFonts w:ascii="Verdana" w:hAnsi="Verdana" w:cs="Arial"/>
          <w:spacing w:val="4"/>
          <w:sz w:val="16"/>
          <w:szCs w:val="16"/>
        </w:rPr>
        <w:t xml:space="preserve"> </w:t>
      </w:r>
      <w:r w:rsidRPr="00F83E60">
        <w:rPr>
          <w:rFonts w:ascii="Verdana" w:hAnsi="Verdana" w:cs="Arial"/>
          <w:sz w:val="16"/>
          <w:szCs w:val="16"/>
        </w:rPr>
        <w:t>Estado.</w:t>
      </w:r>
      <w:r w:rsidRPr="00F83E60">
        <w:rPr>
          <w:rFonts w:ascii="Verdana" w:hAnsi="Verdana" w:cs="Arial"/>
          <w:spacing w:val="4"/>
          <w:sz w:val="16"/>
          <w:szCs w:val="16"/>
        </w:rPr>
        <w:t xml:space="preserve"> </w:t>
      </w:r>
      <w:r w:rsidRPr="00F83E60">
        <w:rPr>
          <w:rFonts w:ascii="Verdana" w:hAnsi="Verdana" w:cs="Arial"/>
          <w:sz w:val="16"/>
          <w:szCs w:val="16"/>
        </w:rPr>
        <w:t>Sección</w:t>
      </w:r>
      <w:r w:rsidRPr="00F83E60">
        <w:rPr>
          <w:rFonts w:ascii="Verdana" w:hAnsi="Verdana" w:cs="Arial"/>
          <w:spacing w:val="4"/>
          <w:sz w:val="16"/>
          <w:szCs w:val="16"/>
        </w:rPr>
        <w:t xml:space="preserve"> </w:t>
      </w:r>
      <w:r w:rsidRPr="00F83E60">
        <w:rPr>
          <w:rFonts w:ascii="Verdana" w:hAnsi="Verdana" w:cs="Arial"/>
          <w:sz w:val="16"/>
          <w:szCs w:val="16"/>
        </w:rPr>
        <w:t>Tercera.</w:t>
      </w:r>
      <w:r w:rsidRPr="00F83E60">
        <w:rPr>
          <w:rFonts w:ascii="Verdana" w:hAnsi="Verdana" w:cs="Arial"/>
          <w:spacing w:val="5"/>
          <w:sz w:val="16"/>
          <w:szCs w:val="16"/>
        </w:rPr>
        <w:t xml:space="preserve"> </w:t>
      </w:r>
      <w:r w:rsidRPr="00F83E60">
        <w:rPr>
          <w:rFonts w:ascii="Verdana" w:hAnsi="Verdana" w:cs="Arial"/>
          <w:sz w:val="16"/>
          <w:szCs w:val="16"/>
        </w:rPr>
        <w:t>Sala</w:t>
      </w:r>
      <w:r w:rsidRPr="00F83E60">
        <w:rPr>
          <w:rFonts w:ascii="Verdana" w:hAnsi="Verdana" w:cs="Arial"/>
          <w:spacing w:val="4"/>
          <w:sz w:val="16"/>
          <w:szCs w:val="16"/>
        </w:rPr>
        <w:t xml:space="preserve"> </w:t>
      </w:r>
      <w:r w:rsidRPr="00F83E60">
        <w:rPr>
          <w:rFonts w:ascii="Verdana" w:hAnsi="Verdana" w:cs="Arial"/>
          <w:sz w:val="16"/>
          <w:szCs w:val="16"/>
        </w:rPr>
        <w:t>Plena.</w:t>
      </w:r>
      <w:r w:rsidRPr="00F83E60">
        <w:rPr>
          <w:rFonts w:ascii="Verdana" w:hAnsi="Verdana" w:cs="Arial"/>
          <w:spacing w:val="4"/>
          <w:sz w:val="16"/>
          <w:szCs w:val="16"/>
        </w:rPr>
        <w:t xml:space="preserve"> </w:t>
      </w:r>
      <w:r w:rsidRPr="00F83E60">
        <w:rPr>
          <w:rFonts w:ascii="Verdana" w:hAnsi="Verdana" w:cs="Arial"/>
          <w:sz w:val="16"/>
          <w:szCs w:val="16"/>
        </w:rPr>
        <w:t>Auto</w:t>
      </w:r>
      <w:r w:rsidRPr="00F83E60">
        <w:rPr>
          <w:rFonts w:ascii="Verdana" w:hAnsi="Verdana" w:cs="Arial"/>
          <w:spacing w:val="5"/>
          <w:sz w:val="16"/>
          <w:szCs w:val="16"/>
        </w:rPr>
        <w:t xml:space="preserve"> </w:t>
      </w:r>
      <w:r w:rsidRPr="00F83E60">
        <w:rPr>
          <w:rFonts w:ascii="Verdana" w:hAnsi="Verdana" w:cs="Arial"/>
          <w:sz w:val="16"/>
          <w:szCs w:val="16"/>
        </w:rPr>
        <w:t>del</w:t>
      </w:r>
      <w:r w:rsidRPr="00F83E60">
        <w:rPr>
          <w:rFonts w:ascii="Verdana" w:hAnsi="Verdana" w:cs="Arial"/>
          <w:spacing w:val="3"/>
          <w:sz w:val="16"/>
          <w:szCs w:val="16"/>
        </w:rPr>
        <w:t xml:space="preserve"> </w:t>
      </w:r>
      <w:r w:rsidRPr="00F83E60">
        <w:rPr>
          <w:rFonts w:ascii="Verdana" w:hAnsi="Verdana" w:cs="Arial"/>
          <w:sz w:val="16"/>
          <w:szCs w:val="16"/>
        </w:rPr>
        <w:t>1</w:t>
      </w:r>
      <w:r w:rsidRPr="00F83E60">
        <w:rPr>
          <w:rFonts w:ascii="Verdana" w:hAnsi="Verdana" w:cs="Arial"/>
          <w:spacing w:val="3"/>
          <w:sz w:val="16"/>
          <w:szCs w:val="16"/>
        </w:rPr>
        <w:t xml:space="preserve"> </w:t>
      </w:r>
      <w:r w:rsidRPr="00F83E60">
        <w:rPr>
          <w:rFonts w:ascii="Verdana" w:hAnsi="Verdana" w:cs="Arial"/>
          <w:sz w:val="16"/>
          <w:szCs w:val="16"/>
        </w:rPr>
        <w:t>de</w:t>
      </w:r>
      <w:r w:rsidRPr="00F83E60">
        <w:rPr>
          <w:rFonts w:ascii="Verdana" w:hAnsi="Verdana" w:cs="Arial"/>
          <w:spacing w:val="4"/>
          <w:sz w:val="16"/>
          <w:szCs w:val="16"/>
        </w:rPr>
        <w:t xml:space="preserve"> </w:t>
      </w:r>
      <w:r w:rsidRPr="00F83E60">
        <w:rPr>
          <w:rFonts w:ascii="Verdana" w:hAnsi="Verdana" w:cs="Arial"/>
          <w:sz w:val="16"/>
          <w:szCs w:val="16"/>
        </w:rPr>
        <w:t>agosto</w:t>
      </w:r>
      <w:r w:rsidRPr="00F83E60">
        <w:rPr>
          <w:rFonts w:ascii="Verdana" w:hAnsi="Verdana" w:cs="Arial"/>
          <w:spacing w:val="3"/>
          <w:sz w:val="16"/>
          <w:szCs w:val="16"/>
        </w:rPr>
        <w:t xml:space="preserve"> </w:t>
      </w:r>
      <w:r w:rsidRPr="00F83E60">
        <w:rPr>
          <w:rFonts w:ascii="Verdana" w:hAnsi="Verdana" w:cs="Arial"/>
          <w:sz w:val="16"/>
          <w:szCs w:val="16"/>
        </w:rPr>
        <w:t>de</w:t>
      </w:r>
      <w:r w:rsidRPr="00F83E60">
        <w:rPr>
          <w:rFonts w:ascii="Verdana" w:hAnsi="Verdana" w:cs="Arial"/>
          <w:spacing w:val="4"/>
          <w:sz w:val="16"/>
          <w:szCs w:val="16"/>
        </w:rPr>
        <w:t xml:space="preserve"> </w:t>
      </w:r>
      <w:r w:rsidRPr="00F83E60">
        <w:rPr>
          <w:rFonts w:ascii="Verdana" w:hAnsi="Verdana" w:cs="Arial"/>
          <w:sz w:val="16"/>
          <w:szCs w:val="16"/>
        </w:rPr>
        <w:t>2019.</w:t>
      </w:r>
      <w:r w:rsidRPr="00F83E60">
        <w:rPr>
          <w:rFonts w:ascii="Verdana" w:hAnsi="Verdana" w:cs="Arial"/>
          <w:spacing w:val="3"/>
          <w:sz w:val="16"/>
          <w:szCs w:val="16"/>
        </w:rPr>
        <w:t xml:space="preserve"> </w:t>
      </w:r>
      <w:r w:rsidRPr="00F83E60">
        <w:rPr>
          <w:rFonts w:ascii="Verdana" w:hAnsi="Verdana" w:cs="Arial"/>
          <w:sz w:val="16"/>
          <w:szCs w:val="16"/>
        </w:rPr>
        <w:t>Exp.</w:t>
      </w:r>
      <w:r w:rsidRPr="00F83E60">
        <w:rPr>
          <w:rFonts w:ascii="Verdana" w:hAnsi="Verdana" w:cs="Arial"/>
          <w:spacing w:val="4"/>
          <w:sz w:val="16"/>
          <w:szCs w:val="16"/>
        </w:rPr>
        <w:t xml:space="preserve"> </w:t>
      </w:r>
      <w:r w:rsidRPr="00F83E60">
        <w:rPr>
          <w:rFonts w:ascii="Verdana" w:hAnsi="Verdana" w:cs="Arial"/>
          <w:sz w:val="16"/>
          <w:szCs w:val="16"/>
        </w:rPr>
        <w:t>62009.</w:t>
      </w:r>
      <w:r w:rsidRPr="00F83E60">
        <w:rPr>
          <w:rFonts w:ascii="Verdana" w:hAnsi="Verdana" w:cs="Arial"/>
          <w:spacing w:val="4"/>
          <w:sz w:val="16"/>
          <w:szCs w:val="16"/>
        </w:rPr>
        <w:t xml:space="preserve"> </w:t>
      </w:r>
      <w:r w:rsidRPr="00F83E60">
        <w:rPr>
          <w:rFonts w:ascii="Verdana" w:hAnsi="Verdana" w:cs="Arial"/>
          <w:sz w:val="16"/>
          <w:szCs w:val="16"/>
        </w:rPr>
        <w:t>C.P.</w:t>
      </w:r>
      <w:r w:rsidRPr="00F83E60">
        <w:rPr>
          <w:rFonts w:ascii="Verdana" w:hAnsi="Verdana" w:cs="Arial"/>
          <w:spacing w:val="3"/>
          <w:sz w:val="16"/>
          <w:szCs w:val="16"/>
        </w:rPr>
        <w:t xml:space="preserve"> </w:t>
      </w:r>
      <w:r w:rsidRPr="00F83E60">
        <w:rPr>
          <w:rFonts w:ascii="Verdana" w:hAnsi="Verdana" w:cs="Arial"/>
          <w:sz w:val="16"/>
          <w:szCs w:val="16"/>
        </w:rPr>
        <w:t>Jaime</w:t>
      </w:r>
      <w:r w:rsidRPr="00F83E60">
        <w:rPr>
          <w:rFonts w:ascii="Verdana" w:hAnsi="Verdana" w:cs="Arial"/>
          <w:spacing w:val="3"/>
          <w:sz w:val="16"/>
          <w:szCs w:val="16"/>
        </w:rPr>
        <w:t xml:space="preserve"> </w:t>
      </w:r>
      <w:r w:rsidRPr="00F83E60">
        <w:rPr>
          <w:rFonts w:ascii="Verdana" w:hAnsi="Verdana" w:cs="Arial"/>
          <w:sz w:val="16"/>
          <w:szCs w:val="16"/>
        </w:rPr>
        <w:t>Enrique</w:t>
      </w:r>
      <w:r w:rsidRPr="00F83E60">
        <w:rPr>
          <w:rFonts w:ascii="Verdana" w:hAnsi="Verdana" w:cs="Arial"/>
          <w:spacing w:val="1"/>
          <w:sz w:val="16"/>
          <w:szCs w:val="16"/>
        </w:rPr>
        <w:t xml:space="preserve"> </w:t>
      </w:r>
      <w:r w:rsidRPr="00F83E60">
        <w:rPr>
          <w:rFonts w:ascii="Verdana" w:hAnsi="Verdana" w:cs="Arial"/>
          <w:sz w:val="16"/>
          <w:szCs w:val="16"/>
        </w:rPr>
        <w:t>Rodríguez</w:t>
      </w:r>
      <w:r w:rsidRPr="00F83E60">
        <w:rPr>
          <w:rFonts w:ascii="Verdana" w:hAnsi="Verdana" w:cs="Arial"/>
          <w:spacing w:val="-2"/>
          <w:sz w:val="16"/>
          <w:szCs w:val="16"/>
        </w:rPr>
        <w:t xml:space="preserve"> </w:t>
      </w:r>
      <w:r w:rsidRPr="00F83E60">
        <w:rPr>
          <w:rFonts w:ascii="Verdana" w:hAnsi="Verdana" w:cs="Arial"/>
          <w:sz w:val="16"/>
          <w:szCs w:val="16"/>
        </w:rPr>
        <w:t>Navas.</w:t>
      </w:r>
    </w:p>
    <w:p w14:paraId="7C0BCF3E" w14:textId="77777777" w:rsidR="00556A41" w:rsidRPr="00F83E60" w:rsidRDefault="00556A41" w:rsidP="00556A41">
      <w:pPr>
        <w:spacing w:after="0" w:line="240" w:lineRule="auto"/>
        <w:ind w:left="118" w:firstLine="708"/>
        <w:jc w:val="both"/>
        <w:rPr>
          <w:rFonts w:ascii="Verdana" w:hAnsi="Verdana"/>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CEB590"/>
    <w:multiLevelType w:val="hybridMultilevel"/>
    <w:tmpl w:val="AA841710"/>
    <w:lvl w:ilvl="0" w:tplc="26145AFA">
      <w:start w:val="1"/>
      <w:numFmt w:val="upperRoman"/>
      <w:lvlText w:val="%1."/>
      <w:lvlJc w:val="right"/>
      <w:pPr>
        <w:ind w:left="720" w:hanging="360"/>
      </w:pPr>
    </w:lvl>
    <w:lvl w:ilvl="1" w:tplc="802818A6">
      <w:start w:val="1"/>
      <w:numFmt w:val="lowerLetter"/>
      <w:lvlText w:val="%2."/>
      <w:lvlJc w:val="left"/>
      <w:pPr>
        <w:ind w:left="1440" w:hanging="360"/>
      </w:pPr>
    </w:lvl>
    <w:lvl w:ilvl="2" w:tplc="E98C3A7A">
      <w:start w:val="1"/>
      <w:numFmt w:val="lowerRoman"/>
      <w:lvlText w:val="%3."/>
      <w:lvlJc w:val="right"/>
      <w:pPr>
        <w:ind w:left="2160" w:hanging="180"/>
      </w:pPr>
    </w:lvl>
    <w:lvl w:ilvl="3" w:tplc="ACB8BD72">
      <w:start w:val="1"/>
      <w:numFmt w:val="decimal"/>
      <w:lvlText w:val="%4."/>
      <w:lvlJc w:val="left"/>
      <w:pPr>
        <w:ind w:left="2880" w:hanging="360"/>
      </w:pPr>
    </w:lvl>
    <w:lvl w:ilvl="4" w:tplc="48AE8B9A">
      <w:start w:val="1"/>
      <w:numFmt w:val="lowerLetter"/>
      <w:lvlText w:val="%5."/>
      <w:lvlJc w:val="left"/>
      <w:pPr>
        <w:ind w:left="3600" w:hanging="360"/>
      </w:pPr>
    </w:lvl>
    <w:lvl w:ilvl="5" w:tplc="327293A2">
      <w:start w:val="1"/>
      <w:numFmt w:val="lowerRoman"/>
      <w:lvlText w:val="%6."/>
      <w:lvlJc w:val="right"/>
      <w:pPr>
        <w:ind w:left="4320" w:hanging="180"/>
      </w:pPr>
    </w:lvl>
    <w:lvl w:ilvl="6" w:tplc="1FFC5D48">
      <w:start w:val="1"/>
      <w:numFmt w:val="decimal"/>
      <w:lvlText w:val="%7."/>
      <w:lvlJc w:val="left"/>
      <w:pPr>
        <w:ind w:left="5040" w:hanging="360"/>
      </w:pPr>
    </w:lvl>
    <w:lvl w:ilvl="7" w:tplc="2F589C46">
      <w:start w:val="1"/>
      <w:numFmt w:val="lowerLetter"/>
      <w:lvlText w:val="%8."/>
      <w:lvlJc w:val="left"/>
      <w:pPr>
        <w:ind w:left="5760" w:hanging="360"/>
      </w:pPr>
    </w:lvl>
    <w:lvl w:ilvl="8" w:tplc="AB7C3298">
      <w:start w:val="1"/>
      <w:numFmt w:val="lowerRoman"/>
      <w:lvlText w:val="%9."/>
      <w:lvlJc w:val="right"/>
      <w:pPr>
        <w:ind w:left="6480" w:hanging="180"/>
      </w:p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67C6560"/>
    <w:multiLevelType w:val="hybridMultilevel"/>
    <w:tmpl w:val="E2E279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1829895">
    <w:abstractNumId w:val="5"/>
  </w:num>
  <w:num w:numId="2" w16cid:durableId="1916426742">
    <w:abstractNumId w:val="1"/>
  </w:num>
  <w:num w:numId="3" w16cid:durableId="2138403174">
    <w:abstractNumId w:val="3"/>
  </w:num>
  <w:num w:numId="4" w16cid:durableId="2791495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9546836">
    <w:abstractNumId w:val="1"/>
  </w:num>
  <w:num w:numId="6" w16cid:durableId="1471827504">
    <w:abstractNumId w:val="13"/>
  </w:num>
  <w:num w:numId="7" w16cid:durableId="1304240100">
    <w:abstractNumId w:val="4"/>
  </w:num>
  <w:num w:numId="8" w16cid:durableId="162553582">
    <w:abstractNumId w:val="12"/>
  </w:num>
  <w:num w:numId="9" w16cid:durableId="1609312520">
    <w:abstractNumId w:val="6"/>
  </w:num>
  <w:num w:numId="10" w16cid:durableId="1907955056">
    <w:abstractNumId w:val="11"/>
  </w:num>
  <w:num w:numId="11" w16cid:durableId="851604715">
    <w:abstractNumId w:val="7"/>
  </w:num>
  <w:num w:numId="12" w16cid:durableId="1032879022">
    <w:abstractNumId w:val="0"/>
  </w:num>
  <w:num w:numId="13" w16cid:durableId="1109197784">
    <w:abstractNumId w:val="2"/>
  </w:num>
  <w:num w:numId="14" w16cid:durableId="1359702855">
    <w:abstractNumId w:val="14"/>
  </w:num>
  <w:num w:numId="15" w16cid:durableId="1994604562">
    <w:abstractNumId w:val="9"/>
  </w:num>
  <w:num w:numId="16" w16cid:durableId="1511720811">
    <w:abstractNumId w:val="8"/>
  </w:num>
  <w:num w:numId="17" w16cid:durableId="2519361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0D71"/>
    <w:rsid w:val="00016F78"/>
    <w:rsid w:val="00046945"/>
    <w:rsid w:val="00051BD7"/>
    <w:rsid w:val="00054F79"/>
    <w:rsid w:val="00061B2A"/>
    <w:rsid w:val="00062B44"/>
    <w:rsid w:val="00082362"/>
    <w:rsid w:val="000A683E"/>
    <w:rsid w:val="000B19B9"/>
    <w:rsid w:val="000D0334"/>
    <w:rsid w:val="000D5DA7"/>
    <w:rsid w:val="000E7A4E"/>
    <w:rsid w:val="000F6486"/>
    <w:rsid w:val="0010605A"/>
    <w:rsid w:val="00116940"/>
    <w:rsid w:val="00125105"/>
    <w:rsid w:val="00127233"/>
    <w:rsid w:val="00152A25"/>
    <w:rsid w:val="0015699B"/>
    <w:rsid w:val="00160969"/>
    <w:rsid w:val="00180E50"/>
    <w:rsid w:val="001A33BF"/>
    <w:rsid w:val="001A419E"/>
    <w:rsid w:val="001E2437"/>
    <w:rsid w:val="001E4177"/>
    <w:rsid w:val="001F0B24"/>
    <w:rsid w:val="001F7DC6"/>
    <w:rsid w:val="002126CD"/>
    <w:rsid w:val="0022400B"/>
    <w:rsid w:val="00233D80"/>
    <w:rsid w:val="002355D7"/>
    <w:rsid w:val="002421BB"/>
    <w:rsid w:val="002561F4"/>
    <w:rsid w:val="0025796E"/>
    <w:rsid w:val="002707A2"/>
    <w:rsid w:val="00280AA7"/>
    <w:rsid w:val="002951A0"/>
    <w:rsid w:val="002962BC"/>
    <w:rsid w:val="002A093D"/>
    <w:rsid w:val="002A0DD0"/>
    <w:rsid w:val="002A49AC"/>
    <w:rsid w:val="002A64FD"/>
    <w:rsid w:val="002B1DCA"/>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525A8"/>
    <w:rsid w:val="00466E39"/>
    <w:rsid w:val="00481924"/>
    <w:rsid w:val="004868E8"/>
    <w:rsid w:val="004A1847"/>
    <w:rsid w:val="004A305D"/>
    <w:rsid w:val="004F21C4"/>
    <w:rsid w:val="004F685F"/>
    <w:rsid w:val="00504D0A"/>
    <w:rsid w:val="00520156"/>
    <w:rsid w:val="005227B6"/>
    <w:rsid w:val="005566E8"/>
    <w:rsid w:val="00556A41"/>
    <w:rsid w:val="00574867"/>
    <w:rsid w:val="00591460"/>
    <w:rsid w:val="005A65E0"/>
    <w:rsid w:val="005B2D41"/>
    <w:rsid w:val="005C3777"/>
    <w:rsid w:val="005C5CDC"/>
    <w:rsid w:val="005D476C"/>
    <w:rsid w:val="00611A34"/>
    <w:rsid w:val="00617DD7"/>
    <w:rsid w:val="006200BF"/>
    <w:rsid w:val="006219F8"/>
    <w:rsid w:val="006302F7"/>
    <w:rsid w:val="00646B9F"/>
    <w:rsid w:val="0065281C"/>
    <w:rsid w:val="00665D70"/>
    <w:rsid w:val="006900D9"/>
    <w:rsid w:val="006A58D5"/>
    <w:rsid w:val="006B2147"/>
    <w:rsid w:val="006D2B49"/>
    <w:rsid w:val="006E5851"/>
    <w:rsid w:val="00706C16"/>
    <w:rsid w:val="007168FA"/>
    <w:rsid w:val="007340C3"/>
    <w:rsid w:val="007466B4"/>
    <w:rsid w:val="0075235A"/>
    <w:rsid w:val="00756841"/>
    <w:rsid w:val="00763755"/>
    <w:rsid w:val="007649AB"/>
    <w:rsid w:val="00771D0C"/>
    <w:rsid w:val="007833AC"/>
    <w:rsid w:val="00791C31"/>
    <w:rsid w:val="007B268C"/>
    <w:rsid w:val="007B7171"/>
    <w:rsid w:val="007C0C0F"/>
    <w:rsid w:val="007C3DC2"/>
    <w:rsid w:val="007E5497"/>
    <w:rsid w:val="00806F5F"/>
    <w:rsid w:val="00820278"/>
    <w:rsid w:val="00820C89"/>
    <w:rsid w:val="008258C9"/>
    <w:rsid w:val="00834DBD"/>
    <w:rsid w:val="00844AE9"/>
    <w:rsid w:val="00867F95"/>
    <w:rsid w:val="008843B6"/>
    <w:rsid w:val="00885819"/>
    <w:rsid w:val="00891928"/>
    <w:rsid w:val="008A446D"/>
    <w:rsid w:val="008B25F1"/>
    <w:rsid w:val="008D180B"/>
    <w:rsid w:val="008F0EA7"/>
    <w:rsid w:val="00906610"/>
    <w:rsid w:val="00911F2B"/>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009AE"/>
    <w:rsid w:val="00A122D3"/>
    <w:rsid w:val="00A14468"/>
    <w:rsid w:val="00A17F13"/>
    <w:rsid w:val="00A20739"/>
    <w:rsid w:val="00A23AF9"/>
    <w:rsid w:val="00A27B06"/>
    <w:rsid w:val="00A33C78"/>
    <w:rsid w:val="00A677DD"/>
    <w:rsid w:val="00A90A23"/>
    <w:rsid w:val="00AA6A52"/>
    <w:rsid w:val="00AA6DCE"/>
    <w:rsid w:val="00AB0ADB"/>
    <w:rsid w:val="00B00C0E"/>
    <w:rsid w:val="00B01B1A"/>
    <w:rsid w:val="00B0381D"/>
    <w:rsid w:val="00B17CB4"/>
    <w:rsid w:val="00B44A47"/>
    <w:rsid w:val="00B47CE7"/>
    <w:rsid w:val="00B63D39"/>
    <w:rsid w:val="00B6467B"/>
    <w:rsid w:val="00B66B17"/>
    <w:rsid w:val="00B72CD3"/>
    <w:rsid w:val="00B72FFF"/>
    <w:rsid w:val="00B82F16"/>
    <w:rsid w:val="00B8782D"/>
    <w:rsid w:val="00BC3D36"/>
    <w:rsid w:val="00BD54A6"/>
    <w:rsid w:val="00BD7F13"/>
    <w:rsid w:val="00BD7F72"/>
    <w:rsid w:val="00BF13B3"/>
    <w:rsid w:val="00BF7425"/>
    <w:rsid w:val="00C04FB3"/>
    <w:rsid w:val="00C11D8B"/>
    <w:rsid w:val="00C15139"/>
    <w:rsid w:val="00C330EB"/>
    <w:rsid w:val="00C50D69"/>
    <w:rsid w:val="00C5365C"/>
    <w:rsid w:val="00C6285F"/>
    <w:rsid w:val="00C62B73"/>
    <w:rsid w:val="00C754BE"/>
    <w:rsid w:val="00C76B1C"/>
    <w:rsid w:val="00C925AC"/>
    <w:rsid w:val="00CB576F"/>
    <w:rsid w:val="00CB6357"/>
    <w:rsid w:val="00CB7378"/>
    <w:rsid w:val="00CC1B26"/>
    <w:rsid w:val="00CF3EF5"/>
    <w:rsid w:val="00D361FD"/>
    <w:rsid w:val="00D423A2"/>
    <w:rsid w:val="00D44E26"/>
    <w:rsid w:val="00D520D8"/>
    <w:rsid w:val="00D5710F"/>
    <w:rsid w:val="00D63AC2"/>
    <w:rsid w:val="00D7383B"/>
    <w:rsid w:val="00D7788A"/>
    <w:rsid w:val="00D8792D"/>
    <w:rsid w:val="00DA195A"/>
    <w:rsid w:val="00DA231B"/>
    <w:rsid w:val="00DC39FC"/>
    <w:rsid w:val="00DF5254"/>
    <w:rsid w:val="00E02524"/>
    <w:rsid w:val="00E16408"/>
    <w:rsid w:val="00E20894"/>
    <w:rsid w:val="00E245AB"/>
    <w:rsid w:val="00E2764C"/>
    <w:rsid w:val="00E27F2E"/>
    <w:rsid w:val="00E31582"/>
    <w:rsid w:val="00E4272E"/>
    <w:rsid w:val="00E50AFE"/>
    <w:rsid w:val="00E75C92"/>
    <w:rsid w:val="00E771DC"/>
    <w:rsid w:val="00E86961"/>
    <w:rsid w:val="00E8772A"/>
    <w:rsid w:val="00E90F6B"/>
    <w:rsid w:val="00E92C27"/>
    <w:rsid w:val="00EA0E3D"/>
    <w:rsid w:val="00EA3A47"/>
    <w:rsid w:val="00EC38A7"/>
    <w:rsid w:val="00EE1AA8"/>
    <w:rsid w:val="00EE5AEC"/>
    <w:rsid w:val="00F23FEA"/>
    <w:rsid w:val="00F31EDC"/>
    <w:rsid w:val="00F445D5"/>
    <w:rsid w:val="00F462B3"/>
    <w:rsid w:val="00F5664F"/>
    <w:rsid w:val="00F666C4"/>
    <w:rsid w:val="00F76AFC"/>
    <w:rsid w:val="00F83E60"/>
    <w:rsid w:val="00F85742"/>
    <w:rsid w:val="00FA47C0"/>
    <w:rsid w:val="00FB5DD1"/>
    <w:rsid w:val="00FC051B"/>
    <w:rsid w:val="00FC2B5D"/>
    <w:rsid w:val="00FD7FF2"/>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8FAFFF8"/>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8B33F0F5-DAA0-4D8D-B42B-5AA2B0054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556A41"/>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556A41"/>
    <w:rPr>
      <w:rFonts w:ascii="Geomanist Light" w:hAnsi="Geomanist Light"/>
      <w:lang w:val="es-ES"/>
    </w:rPr>
  </w:style>
  <w:style w:type="paragraph" w:styleId="Sinespaciado">
    <w:name w:val="No Spacing"/>
    <w:uiPriority w:val="1"/>
    <w:qFormat/>
    <w:rsid w:val="00556A41"/>
    <w:pPr>
      <w:spacing w:after="0" w:line="240" w:lineRule="auto"/>
    </w:pPr>
  </w:style>
  <w:style w:type="paragraph" w:styleId="Textoindependiente">
    <w:name w:val="Body Text"/>
    <w:basedOn w:val="Normal"/>
    <w:link w:val="TextoindependienteCar"/>
    <w:uiPriority w:val="1"/>
    <w:qFormat/>
    <w:rsid w:val="00556A41"/>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556A41"/>
    <w:rPr>
      <w:rFonts w:ascii="Arial MT" w:eastAsia="Arial MT" w:hAnsi="Arial MT" w:cs="Arial MT"/>
      <w:lang w:val="es-ES"/>
    </w:rPr>
  </w:style>
  <w:style w:type="paragraph" w:styleId="Textodeglobo">
    <w:name w:val="Balloon Text"/>
    <w:basedOn w:val="Normal"/>
    <w:link w:val="TextodegloboCar"/>
    <w:uiPriority w:val="99"/>
    <w:semiHidden/>
    <w:unhideWhenUsed/>
    <w:rsid w:val="00F83E60"/>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F83E6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hyperlink" Target="https://nam02.safelinks.protection.outlook.com/?url=https%3A%2F%2Fwww.colombiacompra.gov.co%2Farchivos%2Fboletin%2Fboletin-edicion-n-3-de-2026-radar-de-la-compra-publica&amp;data=05%7C02%7Cdaniel.rojas%40colombiacompra.gov.co%7C7128555136e04fa6887d08dee99e1b50%7C7b09041e245149d08cb179d5e3d8c1be%7C0%7C0%7C639205062448658089%7CUnknown%7CTWFpbGZsb3d8eyJFbXB0eU1hcGkiOnRydWUsIlYiOiIwLjAuMDAwMCIsIlAiOiJXaW4zMiIsIkFOIjoiTWFpbCIsIldUIjoyfQ%3D%3D%7C0%7C%7C%7C&amp;sdata=hxI7IcssQTDJ1Uyr%2B%2BcRBDJJk7BVdJJW%2B%2F3Jg82WGfI%3D&amp;reserved=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colombiacompra.gov.co/sites/cce_public/files/cce_documents/cce_guia_liquidacion_procesos.pdf" TargetMode="External"/><Relationship Id="rId17" Type="http://schemas.openxmlformats.org/officeDocument/2006/relationships/hyperlink" Target="https://nam02.safelinks.protection.outlook.com/?url=https%3A%2F%2Fwww.colombiacompra.gov.co%2Farchivos%2Fcircular%2Fcircular-externa-002-de-2026&amp;data=05%7C02%7Cdaniel.rojas%40colombiacompra.gov.co%7C7128555136e04fa6887d08dee99e1b50%7C7b09041e245149d08cb179d5e3d8c1be%7C0%7C0%7C639205062448638798%7CUnknown%7CTWFpbGZsb3d8eyJFbXB0eU1hcGkiOnRydWUsIlYiOiIwLjAuMDAwMCIsIlAiOiJXaW4zMiIsIkFOIjoiTWFpbCIsIldUIjoyfQ%3D%3D%7C0%7C%7C%7C&amp;sdata=BleggI38FRKn0jF8DoA8g9HSkP3uDdTrTqkrwcDrB%2Fo%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3-de-2026&amp;data=05%7C02%7Cdaniel.rojas%40colombiacompra.gov.co%7C7128555136e04fa6887d08dee99e1b50%7C7b09041e245149d08cb179d5e3d8c1be%7C0%7C0%7C639205062448624002%7CUnknown%7CTWFpbGZsb3d8eyJFbXB0eU1hcGkiOnRydWUsIlYiOiIwLjAuMDAwMCIsIlAiOiJXaW4zMiIsIkFOIjoiTWFpbCIsIldUIjoyfQ%3D%3D%7C0%7C%7C%7C&amp;sdata=arzPuE5g9HcDcoQ6XcnrZvrBNmRg7dREpQYdCPBDVI8%3D&amp;reserved=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zulay.cuan@aerocivil.gov.c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manual%2Fguia-de-garantias-en-procesos-de-contratacion&amp;data=05%7C02%7Cdaniel.rojas%40colombiacompra.gov.co%7C7128555136e04fa6887d08dee99e1b50%7C7b09041e245149d08cb179d5e3d8c1be%7C0%7C0%7C639205062448593820%7CUnknown%7CTWFpbGZsb3d8eyJFbXB0eU1hcGkiOnRydWUsIlYiOiIwLjAuMDAwMCIsIlAiOiJXaW4zMiIsIkFOIjoiTWFpbCIsIldUIjoyfQ%3D%3D%7C0%7C%7C%7C&amp;sdata=hxIQCfuGUII381yJFYTZLjCTG4dHWk4aCsIlfPWtcGc%3D&amp;reserved=0"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9ED447AE-83AA-4C1D-9670-CB3A76DB01B9}"/>
</file>

<file path=docProps/app.xml><?xml version="1.0" encoding="utf-8"?>
<Properties xmlns="http://schemas.openxmlformats.org/officeDocument/2006/extended-properties" xmlns:vt="http://schemas.openxmlformats.org/officeDocument/2006/docPropsVTypes">
  <Template>Normal</Template>
  <TotalTime>5</TotalTime>
  <Pages>21</Pages>
  <Words>7457</Words>
  <Characters>41019</Characters>
  <Application>Microsoft Office Word</Application>
  <DocSecurity>0</DocSecurity>
  <Lines>341</Lines>
  <Paragraphs>96</Paragraphs>
  <ScaleCrop>false</ScaleCrop>
  <Company/>
  <LinksUpToDate>false</LinksUpToDate>
  <CharactersWithSpaces>48380</CharactersWithSpaces>
  <SharedDoc>false</SharedDoc>
  <HLinks>
    <vt:vector size="48" baseType="variant">
      <vt:variant>
        <vt:i4>2228328</vt:i4>
      </vt:variant>
      <vt:variant>
        <vt:i4>21</vt:i4>
      </vt:variant>
      <vt:variant>
        <vt:i4>0</vt:i4>
      </vt:variant>
      <vt:variant>
        <vt:i4>5</vt:i4>
      </vt:variant>
      <vt:variant>
        <vt:lpwstr>https://nam02.safelinks.protection.outlook.com/?url=https%3A%2F%2Fwww.colombiacompra.gov.co%2Farchivos%2Fboletin%2Fboletin-edicion-n-3-de-2026-radar-de-la-compra-publica&amp;data=05%7C02%7Cdaniel.rojas%40colombiacompra.gov.co%7C7128555136e04fa6887d08dee99e1b50%7C7b09041e245149d08cb179d5e3d8c1be%7C0%7C0%7C639205062448658089%7CUnknown%7CTWFpbGZsb3d8eyJFbXB0eU1hcGkiOnRydWUsIlYiOiIwLjAuMDAwMCIsIlAiOiJXaW4zMiIsIkFOIjoiTWFpbCIsIldUIjoyfQ%3D%3D%7C0%7C%7C%7C&amp;sdata=hxI7IcssQTDJ1Uyr%2B%2BcRBDJJk7BVdJJW%2B%2F3Jg82WGfI%3D&amp;reserved=0</vt:lpwstr>
      </vt:variant>
      <vt:variant>
        <vt:lpwstr/>
      </vt:variant>
      <vt:variant>
        <vt:i4>6553714</vt:i4>
      </vt:variant>
      <vt:variant>
        <vt:i4>18</vt:i4>
      </vt:variant>
      <vt:variant>
        <vt:i4>0</vt:i4>
      </vt:variant>
      <vt:variant>
        <vt:i4>5</vt:i4>
      </vt:variant>
      <vt:variant>
        <vt:lpwstr>https://nam02.safelinks.protection.outlook.com/?url=https%3A%2F%2Fwww.colombiacompra.gov.co%2Farchivos%2Fcircular%2Fcircular-externa-002-de-2026&amp;data=05%7C02%7Cdaniel.rojas%40colombiacompra.gov.co%7C7128555136e04fa6887d08dee99e1b50%7C7b09041e245149d08cb179d5e3d8c1be%7C0%7C0%7C639205062448638798%7CUnknown%7CTWFpbGZsb3d8eyJFbXB0eU1hcGkiOnRydWUsIlYiOiIwLjAuMDAwMCIsIlAiOiJXaW4zMiIsIkFOIjoiTWFpbCIsIldUIjoyfQ%3D%3D%7C0%7C%7C%7C&amp;sdata=BleggI38FRKn0jF8DoA8g9HSkP3uDdTrTqkrwcDrB%2Fo%3D&amp;reserved=0</vt:lpwstr>
      </vt:variant>
      <vt:variant>
        <vt:lpwstr/>
      </vt:variant>
      <vt:variant>
        <vt:i4>6619250</vt:i4>
      </vt:variant>
      <vt:variant>
        <vt:i4>15</vt:i4>
      </vt:variant>
      <vt:variant>
        <vt:i4>0</vt:i4>
      </vt:variant>
      <vt:variant>
        <vt:i4>5</vt:i4>
      </vt:variant>
      <vt:variant>
        <vt:lpwstr>https://nam02.safelinks.protection.outlook.com/?url=https%3A%2F%2Fwww.colombiacompra.gov.co%2Farchivos%2Fcircular%2Fcircular-externa-003-de-2026&amp;data=05%7C02%7Cdaniel.rojas%40colombiacompra.gov.co%7C7128555136e04fa6887d08dee99e1b50%7C7b09041e245149d08cb179d5e3d8c1be%7C0%7C0%7C639205062448624002%7CUnknown%7CTWFpbGZsb3d8eyJFbXB0eU1hcGkiOnRydWUsIlYiOiIwLjAuMDAwMCIsIlAiOiJXaW4zMiIsIkFOIjoiTWFpbCIsIldUIjoyfQ%3D%3D%7C0%7C%7C%7C&amp;sdata=arzPuE5g9HcDcoQ6XcnrZvrBNmRg7dREpQYdCPBDVI8%3D&amp;reserved=0</vt:lpwstr>
      </vt:variant>
      <vt:variant>
        <vt:lpwstr/>
      </vt:variant>
      <vt:variant>
        <vt:i4>3014703</vt:i4>
      </vt:variant>
      <vt:variant>
        <vt:i4>12</vt:i4>
      </vt:variant>
      <vt:variant>
        <vt:i4>0</vt:i4>
      </vt:variant>
      <vt:variant>
        <vt:i4>5</vt:i4>
      </vt:variant>
      <vt:variant>
        <vt:lpwstr>https://nam02.safelinks.protection.outlook.com/?url=https%3A%2F%2Fwww.colombiacompra.gov.co%2Farchivos%2Fmanual%2Fguia-de-garantias-en-procesos-de-contratacion&amp;data=05%7C02%7Cdaniel.rojas%40colombiacompra.gov.co%7C7128555136e04fa6887d08dee99e1b50%7C7b09041e245149d08cb179d5e3d8c1be%7C0%7C0%7C639205062448593820%7CUnknown%7CTWFpbGZsb3d8eyJFbXB0eU1hcGkiOnRydWUsIlYiOiIwLjAuMDAwMCIsIlAiOiJXaW4zMiIsIkFOIjoiTWFpbCIsIldUIjoyfQ%3D%3D%7C0%7C%7C%7C&amp;sdata=hxIQCfuGUII381yJFYTZLjCTG4dHWk4aCsIlfPWtcGc%3D&amp;reserved=0</vt:lpwstr>
      </vt:variant>
      <vt:variant>
        <vt:lpwstr/>
      </vt:variant>
      <vt:variant>
        <vt:i4>7471218</vt:i4>
      </vt:variant>
      <vt:variant>
        <vt:i4>9</vt:i4>
      </vt:variant>
      <vt:variant>
        <vt:i4>0</vt:i4>
      </vt:variant>
      <vt:variant>
        <vt:i4>5</vt:i4>
      </vt:variant>
      <vt:variant>
        <vt:lpwstr>https://relatoria.colombiacompra.gov.co/busqueda/conceptos</vt:lpwstr>
      </vt:variant>
      <vt:variant>
        <vt:lpwstr/>
      </vt:variant>
      <vt:variant>
        <vt:i4>7471218</vt:i4>
      </vt:variant>
      <vt:variant>
        <vt:i4>6</vt:i4>
      </vt:variant>
      <vt:variant>
        <vt:i4>0</vt:i4>
      </vt:variant>
      <vt:variant>
        <vt:i4>5</vt:i4>
      </vt:variant>
      <vt:variant>
        <vt:lpwstr>https://relatoria.colombiacompra.gov.co/busqueda/conceptos</vt:lpwstr>
      </vt:variant>
      <vt:variant>
        <vt:lpwstr/>
      </vt:variant>
      <vt:variant>
        <vt:i4>8257615</vt:i4>
      </vt:variant>
      <vt:variant>
        <vt:i4>3</vt:i4>
      </vt:variant>
      <vt:variant>
        <vt:i4>0</vt:i4>
      </vt:variant>
      <vt:variant>
        <vt:i4>5</vt:i4>
      </vt:variant>
      <vt:variant>
        <vt:lpwstr>https://www.colombiacompra.gov.co/sites/cce_public/files/cce_documents/cce_guia_liquidacion_procesos.pdf</vt:lpwstr>
      </vt:variant>
      <vt:variant>
        <vt:lpwstr/>
      </vt:variant>
      <vt:variant>
        <vt:i4>4522099</vt:i4>
      </vt:variant>
      <vt:variant>
        <vt:i4>0</vt:i4>
      </vt:variant>
      <vt:variant>
        <vt:i4>0</vt:i4>
      </vt:variant>
      <vt:variant>
        <vt:i4>5</vt:i4>
      </vt:variant>
      <vt:variant>
        <vt:lpwstr>mailto:zulay.cuan@aerocivil.gov.co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Daniel Eduardo Rojas Poveda</cp:lastModifiedBy>
  <cp:revision>3</cp:revision>
  <cp:lastPrinted>2023-01-11T00:18:00Z</cp:lastPrinted>
  <dcterms:created xsi:type="dcterms:W3CDTF">2026-08-10T21:01:00Z</dcterms:created>
  <dcterms:modified xsi:type="dcterms:W3CDTF">2026-08-10T21:04:00Z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