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3F8AB" w14:textId="77777777" w:rsidR="00A71BCE" w:rsidRPr="00A71BCE" w:rsidRDefault="00A71BCE" w:rsidP="00DC75CF">
      <w:pPr>
        <w:jc w:val="both"/>
        <w:rPr>
          <w:rFonts w:ascii="Verdana" w:eastAsia="Calibri" w:hAnsi="Verdana" w:cs="Arial"/>
          <w:b/>
          <w:sz w:val="22"/>
          <w:szCs w:val="22"/>
          <w:lang w:val="es-MX" w:eastAsia="en-US"/>
        </w:rPr>
      </w:pPr>
      <w:bookmarkStart w:id="0" w:name="_Hlk143780582"/>
      <w:r w:rsidRPr="00A71BCE">
        <w:rPr>
          <w:rFonts w:ascii="Verdana" w:eastAsia="Calibri" w:hAnsi="Verdana" w:cs="Arial"/>
          <w:b/>
          <w:sz w:val="22"/>
          <w:szCs w:val="22"/>
          <w:lang w:val="es-MX" w:eastAsia="en-US"/>
        </w:rPr>
        <w:t xml:space="preserve">INHABILIDADES E INCOMPATIBILIDADES ─ Definición ─ fundamento – clases </w:t>
      </w:r>
    </w:p>
    <w:p w14:paraId="5FA78825" w14:textId="77777777" w:rsidR="00A71BCE" w:rsidRPr="00A71BCE" w:rsidRDefault="00A71BCE" w:rsidP="00DC75CF">
      <w:pPr>
        <w:jc w:val="both"/>
        <w:rPr>
          <w:rFonts w:ascii="Verdana" w:eastAsia="Calibri" w:hAnsi="Verdana" w:cs="Arial"/>
          <w:b/>
          <w:sz w:val="22"/>
          <w:szCs w:val="22"/>
          <w:lang w:val="es-MX" w:eastAsia="en-US"/>
        </w:rPr>
      </w:pPr>
    </w:p>
    <w:p w14:paraId="391ECCFB" w14:textId="77777777" w:rsidR="00A71BCE" w:rsidRPr="00A71BCE" w:rsidRDefault="00A71BCE" w:rsidP="00DC75CF">
      <w:pPr>
        <w:jc w:val="both"/>
        <w:rPr>
          <w:rFonts w:ascii="Verdana" w:eastAsia="Calibri" w:hAnsi="Verdana" w:cs="Arial"/>
          <w:sz w:val="20"/>
          <w:szCs w:val="22"/>
          <w:lang w:val="es-MX" w:eastAsia="en-US"/>
        </w:rPr>
      </w:pPr>
      <w:r w:rsidRPr="00A71BCE">
        <w:rPr>
          <w:rFonts w:ascii="Verdana" w:eastAsia="Calibri" w:hAnsi="Verdana" w:cs="Arial"/>
          <w:sz w:val="20"/>
          <w:szCs w:val="22"/>
          <w:lang w:val="es-MX" w:eastAsia="en-US"/>
        </w:rPr>
        <w:t>Las inhabilidades e incompatibilidades pueden enfocarse en varios asuntos: en primer lugar, se encuentran las inhabilidades e incompatibilidades que impiden que u</w:t>
      </w:r>
      <w:proofErr w:type="spellStart"/>
      <w:r w:rsidRPr="00A71BCE">
        <w:rPr>
          <w:rFonts w:ascii="Verdana" w:eastAsia="Calibri" w:hAnsi="Verdana" w:cs="Arial"/>
          <w:sz w:val="20"/>
          <w:szCs w:val="22"/>
          <w:lang w:eastAsia="en-US"/>
        </w:rPr>
        <w:t>na</w:t>
      </w:r>
      <w:proofErr w:type="spellEnd"/>
      <w:r w:rsidRPr="00A71BCE">
        <w:rPr>
          <w:rFonts w:ascii="Verdana" w:eastAsia="Calibri" w:hAnsi="Verdana" w:cs="Arial"/>
          <w:sz w:val="20"/>
          <w:szCs w:val="22"/>
          <w:lang w:eastAsia="en-US"/>
        </w:rPr>
        <w:t xml:space="preserve"> persona sea elegida, designada para un cargo público, como también en ciertos eventos impiden que la persona se encuentre vinculada a la función pública continúe en ella; en segundo lugar, se hallan las inhabilidades e incompatibilidades para el ejercicio de una profesión, las cuales se constituyen </w:t>
      </w:r>
      <w:r w:rsidRPr="00A71BCE">
        <w:rPr>
          <w:rFonts w:ascii="Verdana" w:eastAsia="Calibri" w:hAnsi="Verdana" w:cs="Arial"/>
          <w:sz w:val="20"/>
          <w:szCs w:val="22"/>
          <w:lang w:val="es-MX" w:eastAsia="en-US"/>
        </w:rPr>
        <w:t xml:space="preserve">en restricciones que impiden el ejercicio de una profesión que encuentran sustento en el artículo 26 de la Constitución Política; en tercer lugar, se encuentra el régimen de inhabilidades e incompatibilidades en la contratación estatal, que busca limitar la celebración de contratos, así como evitar que siga contratando por una inhabilidad o incompatibilidad sobreviniente. </w:t>
      </w:r>
      <w:proofErr w:type="gramStart"/>
      <w:r w:rsidRPr="00A71BCE">
        <w:rPr>
          <w:rFonts w:ascii="Verdana" w:eastAsia="Calibri" w:hAnsi="Verdana" w:cs="Arial"/>
          <w:sz w:val="20"/>
          <w:szCs w:val="22"/>
          <w:lang w:val="es-MX" w:eastAsia="en-US"/>
        </w:rPr>
        <w:t>De acuerdo a</w:t>
      </w:r>
      <w:proofErr w:type="gramEnd"/>
      <w:r w:rsidRPr="00A71BCE">
        <w:rPr>
          <w:rFonts w:ascii="Verdana" w:eastAsia="Calibri" w:hAnsi="Verdana" w:cs="Arial"/>
          <w:sz w:val="20"/>
          <w:szCs w:val="22"/>
          <w:lang w:val="es-MX" w:eastAsia="en-US"/>
        </w:rPr>
        <w:t xml:space="preserve"> lo expuesto, se señala que la Agencia Nacional de Contratación Pública es competente para resolver consultas sobre normas del sistema de compras y contratación públicas que establezca inhabilidades e incompatibilidades para contratar con el Estado. </w:t>
      </w:r>
    </w:p>
    <w:p w14:paraId="6DAA9558" w14:textId="77777777" w:rsidR="00A71BCE" w:rsidRPr="00A71BCE" w:rsidRDefault="00A71BCE" w:rsidP="00DC75CF">
      <w:pPr>
        <w:jc w:val="both"/>
        <w:rPr>
          <w:rFonts w:ascii="Verdana" w:eastAsia="Calibri" w:hAnsi="Verdana" w:cs="Arial"/>
          <w:b/>
          <w:sz w:val="22"/>
          <w:szCs w:val="22"/>
          <w:lang w:val="es-MX" w:eastAsia="en-US"/>
        </w:rPr>
      </w:pPr>
    </w:p>
    <w:p w14:paraId="44303AD8" w14:textId="77777777" w:rsidR="00A71BCE" w:rsidRPr="00A71BCE" w:rsidRDefault="00A71BCE" w:rsidP="00DC75CF">
      <w:pPr>
        <w:jc w:val="both"/>
        <w:rPr>
          <w:rFonts w:ascii="Verdana" w:eastAsia="Calibri" w:hAnsi="Verdana" w:cs="Arial"/>
          <w:b/>
          <w:sz w:val="22"/>
          <w:szCs w:val="22"/>
          <w:lang w:val="es-MX" w:eastAsia="en-US"/>
        </w:rPr>
      </w:pPr>
      <w:r w:rsidRPr="00A71BCE">
        <w:rPr>
          <w:rFonts w:ascii="Verdana" w:eastAsia="Calibri" w:hAnsi="Verdana" w:cs="Arial"/>
          <w:b/>
          <w:sz w:val="22"/>
          <w:szCs w:val="22"/>
          <w:lang w:val="es-MX" w:eastAsia="en-US"/>
        </w:rPr>
        <w:t xml:space="preserve">INHABILIDADES E INCOMPATIBILIDADES - Finalidad ─ Limitación capacidad contractual </w:t>
      </w:r>
    </w:p>
    <w:p w14:paraId="094E3D46" w14:textId="77777777" w:rsidR="00A71BCE" w:rsidRPr="00A71BCE" w:rsidRDefault="00A71BCE" w:rsidP="00DC75CF">
      <w:pPr>
        <w:jc w:val="both"/>
        <w:rPr>
          <w:rFonts w:ascii="Verdana" w:eastAsia="Calibri" w:hAnsi="Verdana" w:cs="Arial"/>
          <w:b/>
          <w:sz w:val="22"/>
          <w:szCs w:val="22"/>
          <w:lang w:val="es-MX" w:eastAsia="en-US"/>
        </w:rPr>
      </w:pPr>
    </w:p>
    <w:p w14:paraId="199160E0" w14:textId="77777777" w:rsidR="00A71BCE" w:rsidRPr="00A71BCE" w:rsidRDefault="00A71BCE" w:rsidP="00DC75CF">
      <w:pPr>
        <w:jc w:val="both"/>
        <w:rPr>
          <w:rFonts w:ascii="Verdana" w:eastAsia="Calibri" w:hAnsi="Verdana" w:cs="Arial"/>
          <w:sz w:val="20"/>
          <w:szCs w:val="22"/>
          <w:lang w:val="es-MX" w:eastAsia="en-US"/>
        </w:rPr>
      </w:pPr>
      <w:r w:rsidRPr="00A71BCE">
        <w:rPr>
          <w:rFonts w:ascii="Verdana" w:eastAsia="Calibri" w:hAnsi="Verdana" w:cs="Arial"/>
          <w:sz w:val="20"/>
          <w:szCs w:val="22"/>
          <w:lang w:val="es-MX" w:eastAsia="en-US"/>
        </w:rPr>
        <w:t>Para ello, hay que precisar que, el régimen de inhabilidades 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p>
    <w:p w14:paraId="793E3EEC" w14:textId="77777777" w:rsidR="00A71BCE" w:rsidRPr="00A71BCE" w:rsidRDefault="00A71BCE" w:rsidP="00DC75CF">
      <w:pPr>
        <w:jc w:val="both"/>
        <w:rPr>
          <w:rFonts w:ascii="Verdana" w:eastAsia="Calibri" w:hAnsi="Verdana" w:cs="Arial"/>
          <w:b/>
          <w:sz w:val="22"/>
          <w:szCs w:val="22"/>
          <w:lang w:val="es-MX" w:eastAsia="en-US"/>
        </w:rPr>
      </w:pPr>
    </w:p>
    <w:p w14:paraId="6400E3DC" w14:textId="77777777" w:rsidR="00A71BCE" w:rsidRPr="00A71BCE" w:rsidRDefault="00A71BCE" w:rsidP="00DC75CF">
      <w:pPr>
        <w:jc w:val="both"/>
        <w:rPr>
          <w:rFonts w:ascii="Verdana" w:eastAsia="Calibri" w:hAnsi="Verdana" w:cs="Arial"/>
          <w:b/>
          <w:sz w:val="22"/>
          <w:szCs w:val="22"/>
          <w:lang w:val="es-ES_tradnl" w:eastAsia="en-US"/>
        </w:rPr>
      </w:pPr>
      <w:r w:rsidRPr="00A71BCE">
        <w:rPr>
          <w:rFonts w:ascii="Verdana" w:eastAsia="Calibri" w:hAnsi="Verdana" w:cs="Arial"/>
          <w:b/>
          <w:sz w:val="22"/>
          <w:szCs w:val="22"/>
          <w:lang w:val="es-ES_tradnl" w:eastAsia="en-US"/>
        </w:rPr>
        <w:t>INHABILIDADES – Taxatividad – Principio de legalidad – Interpretación restrictiva</w:t>
      </w:r>
      <w:r w:rsidRPr="00A71BCE" w:rsidDel="00A75E55">
        <w:rPr>
          <w:rFonts w:ascii="Verdana" w:eastAsia="Calibri" w:hAnsi="Verdana" w:cs="Arial"/>
          <w:b/>
          <w:sz w:val="22"/>
          <w:szCs w:val="22"/>
          <w:lang w:val="es-ES_tradnl" w:eastAsia="en-US"/>
        </w:rPr>
        <w:t xml:space="preserve"> </w:t>
      </w:r>
    </w:p>
    <w:p w14:paraId="11326024" w14:textId="77777777" w:rsidR="00A71BCE" w:rsidRPr="00A71BCE" w:rsidRDefault="00A71BCE" w:rsidP="00DC75CF">
      <w:pPr>
        <w:jc w:val="both"/>
        <w:rPr>
          <w:rFonts w:ascii="Verdana" w:eastAsia="Calibri" w:hAnsi="Verdana" w:cs="Arial"/>
          <w:b/>
          <w:sz w:val="22"/>
          <w:szCs w:val="22"/>
          <w:lang w:val="es-ES_tradnl" w:eastAsia="en-US"/>
        </w:rPr>
      </w:pPr>
    </w:p>
    <w:p w14:paraId="549F0A29" w14:textId="77777777" w:rsidR="00A71BCE" w:rsidRPr="00A71BCE" w:rsidRDefault="00A71BCE" w:rsidP="00DC75CF">
      <w:pPr>
        <w:jc w:val="both"/>
        <w:rPr>
          <w:rFonts w:ascii="Verdana" w:eastAsia="Calibri" w:hAnsi="Verdana" w:cs="Arial"/>
          <w:sz w:val="20"/>
          <w:szCs w:val="22"/>
          <w:lang w:val="es-ES_tradnl" w:eastAsia="en-US"/>
        </w:rPr>
      </w:pPr>
      <w:r w:rsidRPr="00A71BCE">
        <w:rPr>
          <w:rFonts w:ascii="Verdana" w:eastAsia="Calibri" w:hAnsi="Verdana" w:cs="Arial"/>
          <w:sz w:val="20"/>
          <w:szCs w:val="22"/>
          <w:lang w:val="es-ES_tradnl" w:eastAsia="en-US"/>
        </w:rPr>
        <w:t xml:space="preserve">Ahora bien, las inhabilidades e incompatibilidades al ser restricciones o límites especiales a la capacidad para presentar ofertas y celebrar contratos estatales, solo pueden tipificarse en la ley o la Constitución –o sea, deben satisfacer el principio de legalidad– y su interpretación debe ser </w:t>
      </w:r>
      <w:r w:rsidRPr="00A71BCE">
        <w:rPr>
          <w:rFonts w:ascii="Verdana" w:eastAsia="Calibri" w:hAnsi="Verdana" w:cs="Arial"/>
          <w:i/>
          <w:iCs/>
          <w:sz w:val="20"/>
          <w:szCs w:val="22"/>
          <w:lang w:val="es-ES_tradnl" w:eastAsia="en-US"/>
        </w:rPr>
        <w:t xml:space="preserve">restrictiva, </w:t>
      </w:r>
      <w:r w:rsidRPr="00A71BCE">
        <w:rPr>
          <w:rFonts w:ascii="Verdana" w:eastAsia="Calibri" w:hAnsi="Verdana" w:cs="Arial"/>
          <w:sz w:val="20"/>
          <w:szCs w:val="22"/>
          <w:lang w:val="es-ES_tradnl" w:eastAsia="en-US"/>
        </w:rPr>
        <w:t xml:space="preserve">pues si se admitiera una interpretación amplia, extensiva o finalista de las 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 </w:t>
      </w:r>
    </w:p>
    <w:p w14:paraId="7455B2DD" w14:textId="77777777" w:rsidR="00A71BCE" w:rsidRPr="00A71BCE" w:rsidRDefault="00A71BCE" w:rsidP="00DC75CF">
      <w:pPr>
        <w:jc w:val="both"/>
        <w:rPr>
          <w:rFonts w:ascii="Verdana" w:eastAsia="Calibri" w:hAnsi="Verdana" w:cs="Arial"/>
          <w:sz w:val="20"/>
          <w:szCs w:val="22"/>
          <w:lang w:val="es-ES_tradnl" w:eastAsia="en-US"/>
        </w:rPr>
      </w:pPr>
    </w:p>
    <w:p w14:paraId="16BBBEAD" w14:textId="77777777" w:rsidR="00A71BCE" w:rsidRPr="00A71BCE" w:rsidRDefault="00A71BCE" w:rsidP="00DC75CF">
      <w:pPr>
        <w:jc w:val="both"/>
        <w:rPr>
          <w:rFonts w:ascii="Verdana" w:eastAsia="Calibri" w:hAnsi="Verdana" w:cs="Arial"/>
          <w:sz w:val="20"/>
          <w:szCs w:val="22"/>
          <w:lang w:val="es-ES_tradnl" w:eastAsia="en-US"/>
        </w:rPr>
      </w:pPr>
      <w:r w:rsidRPr="00A71BCE">
        <w:rPr>
          <w:rFonts w:ascii="Verdana" w:eastAsia="Calibri" w:hAnsi="Verdana" w:cs="Arial"/>
          <w:sz w:val="20"/>
          <w:szCs w:val="22"/>
          <w:lang w:val="es-ES_tradnl" w:eastAsia="en-US"/>
        </w:rPr>
        <w:lastRenderedPageBreak/>
        <w:t>En efecto, el máximo tribunal constitucional ha indicado, al tratar de precisar el sentido de este tipo de normas, que “[…] el intérprete de las 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p>
    <w:p w14:paraId="78EC835B" w14:textId="77777777" w:rsidR="00A71BCE" w:rsidRDefault="00A71BCE" w:rsidP="00DC75CF">
      <w:pPr>
        <w:rPr>
          <w:rFonts w:ascii="Verdana" w:eastAsia="Verdana" w:hAnsi="Verdana" w:cs="Verdana"/>
          <w:sz w:val="22"/>
          <w:szCs w:val="22"/>
          <w:lang w:val="es-ES_tradnl" w:eastAsia="en-US"/>
        </w:rPr>
      </w:pPr>
    </w:p>
    <w:p w14:paraId="32C3EADF" w14:textId="77777777" w:rsidR="00132E88" w:rsidRPr="009A532A" w:rsidRDefault="00E2290A" w:rsidP="00DC75CF">
      <w:pPr>
        <w:jc w:val="both"/>
        <w:rPr>
          <w:rFonts w:ascii="Verdana" w:eastAsia="Verdana" w:hAnsi="Verdana" w:cs="Verdana"/>
          <w:b/>
          <w:bCs/>
          <w:sz w:val="22"/>
          <w:szCs w:val="22"/>
          <w:lang w:eastAsia="en-US"/>
        </w:rPr>
      </w:pPr>
      <w:r w:rsidRPr="009A532A">
        <w:rPr>
          <w:rFonts w:ascii="Verdana" w:eastAsia="Verdana" w:hAnsi="Verdana" w:cs="Verdana"/>
          <w:b/>
          <w:bCs/>
          <w:sz w:val="22"/>
          <w:szCs w:val="22"/>
          <w:lang w:eastAsia="en-US"/>
        </w:rPr>
        <w:t>CONTRIBUCIONES PARAFISCALES AGROPECUARIAS – Naturaleza pública de los recursos – Función pública</w:t>
      </w:r>
    </w:p>
    <w:p w14:paraId="6C5BA560" w14:textId="77777777" w:rsidR="00132E88" w:rsidRPr="00941AE4" w:rsidRDefault="00132E88" w:rsidP="00DC75CF">
      <w:pPr>
        <w:jc w:val="both"/>
        <w:rPr>
          <w:rFonts w:ascii="Verdana" w:eastAsia="Verdana" w:hAnsi="Verdana" w:cs="Verdana"/>
          <w:sz w:val="20"/>
          <w:szCs w:val="20"/>
          <w:lang w:eastAsia="en-US"/>
        </w:rPr>
      </w:pPr>
    </w:p>
    <w:p w14:paraId="47642AAA" w14:textId="5C10540B" w:rsidR="00941AE4" w:rsidRPr="00941AE4" w:rsidRDefault="00941AE4" w:rsidP="00DC75CF">
      <w:pPr>
        <w:jc w:val="both"/>
        <w:rPr>
          <w:rFonts w:ascii="Verdana" w:eastAsia="Verdana" w:hAnsi="Verdana" w:cs="Verdana"/>
          <w:sz w:val="20"/>
          <w:szCs w:val="20"/>
          <w:lang w:eastAsia="en-US"/>
        </w:rPr>
      </w:pPr>
      <w:r w:rsidRPr="00941AE4">
        <w:rPr>
          <w:rFonts w:ascii="Verdana" w:eastAsia="Verdana" w:hAnsi="Verdana" w:cs="Verdana"/>
          <w:sz w:val="20"/>
          <w:szCs w:val="20"/>
          <w:lang w:eastAsia="en-US"/>
        </w:rPr>
        <w:t>Como punto de partida, resulta necesario precisar la naturaleza jurídica de los recursos que integran los fondos parafiscales del sector agropecuario y pesquero, puesto que depende la determinación del régimen jurídico aplicable a su administración y, particularmente, a la contratación que se realiza con cargo a dichos recursos. Las contribuciones parafiscales constituyen una modalidad de tributo prevista en el ordenamiento jurídico colombiano, cuya creación corresponde exclusivamente al legislador en ejercicio de la potestad tributaria atribuida por los artículos 150, numeral 12, y 338 de la Constitución Política. A diferencia de los impuestos, estas contribuciones presentan la particularidad de gravar a un determinado sector económico y de destinar los recursos obtenidos exclusivamente al beneficio del mismo sector que soporta la carga tributaria.</w:t>
      </w:r>
    </w:p>
    <w:p w14:paraId="68C586E9" w14:textId="77777777" w:rsidR="00941AE4" w:rsidRPr="00941AE4" w:rsidRDefault="00941AE4" w:rsidP="00DC75CF">
      <w:pPr>
        <w:jc w:val="both"/>
        <w:rPr>
          <w:rFonts w:ascii="Verdana" w:eastAsia="Verdana" w:hAnsi="Verdana" w:cs="Verdana"/>
          <w:sz w:val="20"/>
          <w:szCs w:val="20"/>
          <w:lang w:eastAsia="en-US"/>
        </w:rPr>
      </w:pPr>
    </w:p>
    <w:p w14:paraId="5C88B44A" w14:textId="7CD57999" w:rsidR="00132E88" w:rsidRDefault="00941AE4" w:rsidP="00DC75CF">
      <w:pPr>
        <w:jc w:val="both"/>
        <w:rPr>
          <w:rFonts w:ascii="Verdana" w:eastAsia="Verdana" w:hAnsi="Verdana" w:cs="Verdana"/>
          <w:sz w:val="20"/>
          <w:szCs w:val="20"/>
          <w:lang w:eastAsia="en-US"/>
        </w:rPr>
      </w:pPr>
      <w:r w:rsidRPr="00941AE4">
        <w:rPr>
          <w:rFonts w:ascii="Verdana" w:eastAsia="Verdana" w:hAnsi="Verdana" w:cs="Verdana"/>
          <w:sz w:val="20"/>
          <w:szCs w:val="20"/>
          <w:lang w:eastAsia="en-US"/>
        </w:rPr>
        <w:t>Estas características permiten diferenciar las contribuciones parafiscales de otras categorías tributarias y evidencian que, pese a estar destinadas exclusivamente al beneficio del sector gravado y poder administrarse por entidades privadas, conservan en todo momento su naturaleza de recursos públicos. En igual sentido, la Corte Constitucional ha explicado que la institución de la parafiscalidad constituye un mecanismo de obtención de ingresos públicos con un régimen jurídico especial, caracterizado por la destinación específica de los recursos recaudados y por la posibilidad de que su administración sea confiada a entidades diferentes al Estado, sin que altere su naturaleza pública.</w:t>
      </w:r>
    </w:p>
    <w:p w14:paraId="64563597" w14:textId="77777777" w:rsidR="00941AE4" w:rsidRPr="00941AE4" w:rsidRDefault="00941AE4" w:rsidP="00DC75CF">
      <w:pPr>
        <w:jc w:val="both"/>
        <w:rPr>
          <w:rFonts w:ascii="Verdana" w:eastAsia="Verdana" w:hAnsi="Verdana" w:cs="Verdana"/>
          <w:sz w:val="20"/>
          <w:szCs w:val="20"/>
          <w:lang w:eastAsia="en-US"/>
        </w:rPr>
      </w:pPr>
    </w:p>
    <w:p w14:paraId="2C13CA0E" w14:textId="77777777" w:rsidR="00132E88" w:rsidRPr="009A532A" w:rsidRDefault="00E2290A" w:rsidP="00DC75CF">
      <w:pPr>
        <w:jc w:val="both"/>
        <w:rPr>
          <w:rFonts w:ascii="Verdana" w:eastAsia="Verdana" w:hAnsi="Verdana" w:cs="Verdana"/>
          <w:b/>
          <w:bCs/>
          <w:sz w:val="22"/>
          <w:szCs w:val="22"/>
          <w:lang w:eastAsia="en-US"/>
        </w:rPr>
      </w:pPr>
      <w:r w:rsidRPr="009A532A">
        <w:rPr>
          <w:rFonts w:ascii="Verdana" w:eastAsia="Verdana" w:hAnsi="Verdana" w:cs="Verdana"/>
          <w:b/>
          <w:bCs/>
          <w:sz w:val="22"/>
          <w:szCs w:val="22"/>
          <w:lang w:eastAsia="en-US"/>
        </w:rPr>
        <w:t>FONDOS PARAFISCALES AGROPECUARIOS – Administración por entidades gremiales</w:t>
      </w:r>
    </w:p>
    <w:p w14:paraId="11EE7F89" w14:textId="77777777" w:rsidR="00132E88" w:rsidRPr="00DD75C5" w:rsidRDefault="00132E88" w:rsidP="00DC75CF">
      <w:pPr>
        <w:jc w:val="both"/>
        <w:rPr>
          <w:rFonts w:ascii="Verdana" w:eastAsia="Verdana" w:hAnsi="Verdana" w:cs="Verdana"/>
          <w:sz w:val="20"/>
          <w:szCs w:val="20"/>
          <w:lang w:eastAsia="en-US"/>
        </w:rPr>
      </w:pPr>
    </w:p>
    <w:p w14:paraId="0A3B72E1" w14:textId="77777777" w:rsidR="00DD75C5" w:rsidRPr="00DD75C5" w:rsidRDefault="00DD75C5" w:rsidP="00DC75CF">
      <w:pPr>
        <w:jc w:val="both"/>
        <w:rPr>
          <w:rFonts w:ascii="Verdana" w:eastAsia="Verdana" w:hAnsi="Verdana" w:cs="Verdana"/>
          <w:sz w:val="20"/>
          <w:szCs w:val="20"/>
          <w:lang w:eastAsia="en-US"/>
        </w:rPr>
      </w:pPr>
      <w:r w:rsidRPr="00DD75C5">
        <w:rPr>
          <w:rFonts w:ascii="Verdana" w:eastAsia="Verdana" w:hAnsi="Verdana" w:cs="Verdana"/>
          <w:sz w:val="20"/>
          <w:szCs w:val="20"/>
          <w:lang w:eastAsia="en-US"/>
        </w:rPr>
        <w:t>En este sentido, el artículo 30 de la Ley 101 de 1993 dispone que la administración de las contribuciones parafiscales agropecuarias y pesqueras se realizará directamente por las entidades gremiales que reúnan condiciones de representatividad nacional respecto de una actividad agropecuaria o pesquera determinada y que hayan celebrado un contrato especial con el Gobierno nacional. Dicho contrato se encuentra sujeto a los términos y procedimientos previstos en la ley que haya creado la respectiva contribución.</w:t>
      </w:r>
    </w:p>
    <w:p w14:paraId="25B2E9BF" w14:textId="77777777" w:rsidR="00DD75C5" w:rsidRDefault="00DD75C5" w:rsidP="00DC75CF">
      <w:pPr>
        <w:jc w:val="both"/>
        <w:rPr>
          <w:rFonts w:ascii="Verdana" w:eastAsia="Verdana" w:hAnsi="Verdana" w:cs="Verdana"/>
          <w:sz w:val="20"/>
          <w:szCs w:val="20"/>
          <w:lang w:eastAsia="en-US"/>
        </w:rPr>
      </w:pPr>
      <w:r w:rsidRPr="00DD75C5">
        <w:rPr>
          <w:rFonts w:ascii="Verdana" w:eastAsia="Verdana" w:hAnsi="Verdana" w:cs="Verdana"/>
          <w:sz w:val="20"/>
          <w:szCs w:val="20"/>
          <w:lang w:eastAsia="en-US"/>
        </w:rPr>
        <w:t xml:space="preserve">De acuerdo con esta disposición, la representatividad nacional de la entidad gremial y la celebración del contrato especial con el Gobierno nacional constituyen condiciones establecidas por el legislador para la administración directa de las contribuciones parafiscales agropecuarias y pesqueras. Por tanto, no basta la sola condición de entidad gremial para asumir la administración de tales recursos, pues también se requiere la </w:t>
      </w:r>
      <w:r w:rsidRPr="00DD75C5">
        <w:rPr>
          <w:rFonts w:ascii="Verdana" w:eastAsia="Verdana" w:hAnsi="Verdana" w:cs="Verdana"/>
          <w:sz w:val="20"/>
          <w:szCs w:val="20"/>
          <w:lang w:eastAsia="en-US"/>
        </w:rPr>
        <w:lastRenderedPageBreak/>
        <w:t>celebración del contrato correspondiente y la sujeción a la ley que creó la contribución respectiva.</w:t>
      </w:r>
    </w:p>
    <w:p w14:paraId="33F666AB" w14:textId="77777777" w:rsidR="00DD75C5" w:rsidRPr="00DD75C5" w:rsidRDefault="00DD75C5" w:rsidP="00DC75CF">
      <w:pPr>
        <w:jc w:val="both"/>
        <w:rPr>
          <w:rFonts w:ascii="Verdana" w:eastAsia="Verdana" w:hAnsi="Verdana" w:cs="Verdana"/>
          <w:sz w:val="20"/>
          <w:szCs w:val="20"/>
          <w:lang w:eastAsia="en-US"/>
        </w:rPr>
      </w:pPr>
    </w:p>
    <w:p w14:paraId="5BBE0D37" w14:textId="77777777" w:rsidR="00DD75C5" w:rsidRPr="00DD75C5" w:rsidRDefault="00DD75C5" w:rsidP="00DC75CF">
      <w:pPr>
        <w:jc w:val="both"/>
        <w:rPr>
          <w:rFonts w:ascii="Verdana" w:eastAsia="Verdana" w:hAnsi="Verdana" w:cs="Verdana"/>
          <w:sz w:val="20"/>
          <w:szCs w:val="20"/>
          <w:lang w:eastAsia="en-US"/>
        </w:rPr>
      </w:pPr>
      <w:r w:rsidRPr="00DD75C5">
        <w:rPr>
          <w:rFonts w:ascii="Verdana" w:eastAsia="Verdana" w:hAnsi="Verdana" w:cs="Verdana"/>
          <w:sz w:val="20"/>
          <w:szCs w:val="20"/>
          <w:lang w:eastAsia="en-US"/>
        </w:rPr>
        <w:t xml:space="preserve">Por otra parte, el parágrafo 1 del artículo 30 de la norma </w:t>
      </w:r>
      <w:r w:rsidRPr="00DD75C5">
        <w:rPr>
          <w:rFonts w:ascii="Verdana" w:eastAsia="Verdana" w:hAnsi="Verdana" w:cs="Verdana"/>
          <w:i/>
          <w:iCs/>
          <w:sz w:val="20"/>
          <w:szCs w:val="20"/>
          <w:lang w:eastAsia="en-US"/>
        </w:rPr>
        <w:t xml:space="preserve">ibidem </w:t>
      </w:r>
      <w:r w:rsidRPr="00DD75C5">
        <w:rPr>
          <w:rFonts w:ascii="Verdana" w:eastAsia="Verdana" w:hAnsi="Verdana" w:cs="Verdana"/>
          <w:sz w:val="20"/>
          <w:szCs w:val="20"/>
          <w:lang w:eastAsia="en-US"/>
        </w:rPr>
        <w:t>faculta a las entidades administradoras de los fondos provenientes de contribuciones parafiscales agropecuarias y pesqueras para demandar por vía ejecutiva, ante la jurisdicción ordinaria, el pago de dichas contribuciones. Para tal efecto, el representante legal de la entidad administradora debe expedir, de acuerdo con la información suministrada por el Ministerio de Hacienda, el certificado en el cual consten el monto de la deuda y su exigibilidad. A su vez, el parágrafo 2 del mismo artículo establece que el recaudador de los recursos parafiscales que no los transfiera oportunamente a la entidad administradora deberá pagar intereses moratorios a la tasa señalada para el impuesto sobre la renta y complementarios. Esta previsión busca garantizar que los recursos recaudados sean trasladados oportunamente a la entidad encargada de su administración.</w:t>
      </w:r>
    </w:p>
    <w:p w14:paraId="4FFA9105" w14:textId="77777777" w:rsidR="00132E88" w:rsidRPr="009A532A" w:rsidRDefault="00132E88" w:rsidP="00DC75CF">
      <w:pPr>
        <w:jc w:val="both"/>
        <w:rPr>
          <w:rFonts w:ascii="Verdana" w:eastAsia="Verdana" w:hAnsi="Verdana" w:cs="Verdana"/>
          <w:b/>
          <w:bCs/>
          <w:sz w:val="22"/>
          <w:szCs w:val="22"/>
          <w:lang w:eastAsia="en-US"/>
        </w:rPr>
      </w:pPr>
    </w:p>
    <w:p w14:paraId="21A20A61" w14:textId="027858D8" w:rsidR="00132E88" w:rsidRPr="009A532A" w:rsidRDefault="00E2290A" w:rsidP="00DC75CF">
      <w:pPr>
        <w:jc w:val="both"/>
        <w:rPr>
          <w:rFonts w:ascii="Verdana" w:eastAsia="Verdana" w:hAnsi="Verdana" w:cs="Verdana"/>
          <w:b/>
          <w:bCs/>
          <w:sz w:val="22"/>
          <w:szCs w:val="22"/>
          <w:lang w:eastAsia="en-US"/>
        </w:rPr>
      </w:pPr>
      <w:r w:rsidRPr="009A532A">
        <w:rPr>
          <w:rFonts w:ascii="Verdana" w:eastAsia="Verdana" w:hAnsi="Verdana" w:cs="Verdana"/>
          <w:b/>
          <w:bCs/>
          <w:sz w:val="22"/>
          <w:szCs w:val="22"/>
          <w:lang w:eastAsia="en-US"/>
        </w:rPr>
        <w:t>PARTICULARES QUE EJERCEN FUNCIONES PÚBLICAS – Régimen de inhabilidades e incompatibilidades – Ley 1952 de 2019 – Ley 489 de 1998</w:t>
      </w:r>
    </w:p>
    <w:p w14:paraId="0003B379" w14:textId="77777777" w:rsidR="00132E88" w:rsidRPr="009A532A" w:rsidRDefault="00132E88" w:rsidP="00DC75CF">
      <w:pPr>
        <w:jc w:val="both"/>
        <w:rPr>
          <w:rFonts w:ascii="Verdana" w:eastAsia="Verdana" w:hAnsi="Verdana" w:cs="Verdana"/>
          <w:b/>
          <w:bCs/>
          <w:sz w:val="22"/>
          <w:szCs w:val="22"/>
          <w:lang w:eastAsia="en-US"/>
        </w:rPr>
      </w:pPr>
    </w:p>
    <w:p w14:paraId="253ADF31" w14:textId="77777777" w:rsidR="009C5C3E" w:rsidRPr="00050765" w:rsidRDefault="009C5C3E" w:rsidP="00DC75CF">
      <w:pPr>
        <w:jc w:val="both"/>
        <w:rPr>
          <w:rFonts w:ascii="Verdana" w:eastAsia="Verdana" w:hAnsi="Verdana" w:cs="Verdana"/>
          <w:sz w:val="20"/>
          <w:szCs w:val="20"/>
          <w:lang w:eastAsia="en-US"/>
        </w:rPr>
      </w:pPr>
      <w:r w:rsidRPr="00050765">
        <w:rPr>
          <w:rFonts w:ascii="Verdana" w:eastAsia="Verdana" w:hAnsi="Verdana" w:cs="Verdana"/>
          <w:sz w:val="20"/>
          <w:szCs w:val="20"/>
          <w:lang w:eastAsia="en-US"/>
        </w:rPr>
        <w:t>Por su parte, el artículo 13 de la Ley 1150 de 2007 dispuso que las entidades sometidas a regímenes exceptuados continúan sujetas al régimen de inhabilidades e incompatibilidades previsto para la contratación estatal. No obstante, dado que el administrador gremial del fondo no es una entidad estatal sino un particular, su sujeción al régimen del artículo 8 de la Ley 80 de 1993 encuentra fundamento directo en el numeral 2 del artículo 71 del Código General Disciplinario (Ley 1952 de 2019), que somete a los particulares que ejercen funciones públicas a las inhabilidades e incompatibilidades de los artículos 8 de la Ley 80 de 1993 y 113 de la Ley 489 de 1998, este último referido a las prohibiciones e incompatibilidades de los servidores públicos en relación con la función conferida. A ello se suma el artículo 126 de la Constitución Política, que proscribe intervenir en la designación o la contratación de personas ligadas por matrimonio, unión permanente o parentesco en los grados allí previstos.</w:t>
      </w:r>
    </w:p>
    <w:p w14:paraId="54BDF755" w14:textId="77777777" w:rsidR="00132E88" w:rsidRPr="009A532A" w:rsidRDefault="00132E88" w:rsidP="00DC75CF">
      <w:pPr>
        <w:jc w:val="both"/>
        <w:rPr>
          <w:rFonts w:ascii="Verdana" w:eastAsia="Verdana" w:hAnsi="Verdana" w:cs="Verdana"/>
          <w:b/>
          <w:bCs/>
          <w:sz w:val="22"/>
          <w:szCs w:val="22"/>
          <w:lang w:eastAsia="en-US"/>
        </w:rPr>
      </w:pPr>
    </w:p>
    <w:p w14:paraId="1975691E" w14:textId="77777777" w:rsidR="00132E88" w:rsidRPr="009A532A" w:rsidRDefault="00E2290A" w:rsidP="00DC75CF">
      <w:pPr>
        <w:jc w:val="both"/>
        <w:rPr>
          <w:rFonts w:ascii="Verdana" w:eastAsia="Verdana" w:hAnsi="Verdana" w:cs="Verdana"/>
          <w:b/>
          <w:bCs/>
          <w:sz w:val="22"/>
          <w:szCs w:val="22"/>
          <w:lang w:eastAsia="en-US"/>
        </w:rPr>
      </w:pPr>
      <w:r w:rsidRPr="009A532A">
        <w:rPr>
          <w:rFonts w:ascii="Verdana" w:eastAsia="Verdana" w:hAnsi="Verdana" w:cs="Verdana"/>
          <w:b/>
          <w:bCs/>
          <w:sz w:val="22"/>
          <w:szCs w:val="22"/>
          <w:lang w:eastAsia="en-US"/>
        </w:rPr>
        <w:t>CONTRATACIÓN CON RECURSOS PÚBLICOS – Régimen de inhabilidades e incompatibilidades – Ley 2014 de 2019 – Aplicación a la contratación privada</w:t>
      </w:r>
    </w:p>
    <w:p w14:paraId="0329D0A4" w14:textId="77777777" w:rsidR="00132E88" w:rsidRPr="00DF645F" w:rsidRDefault="00132E88" w:rsidP="00DC75CF">
      <w:pPr>
        <w:jc w:val="both"/>
        <w:rPr>
          <w:rFonts w:ascii="Verdana" w:eastAsia="Verdana" w:hAnsi="Verdana" w:cs="Verdana"/>
          <w:sz w:val="22"/>
          <w:szCs w:val="22"/>
          <w:lang w:eastAsia="en-US"/>
        </w:rPr>
      </w:pPr>
    </w:p>
    <w:p w14:paraId="4AB7F53C" w14:textId="77777777" w:rsidR="00DD1100" w:rsidRPr="00311AF4" w:rsidRDefault="00DD1100" w:rsidP="00DC75CF">
      <w:pPr>
        <w:jc w:val="both"/>
        <w:rPr>
          <w:rFonts w:ascii="Verdana" w:eastAsia="Verdana" w:hAnsi="Verdana" w:cs="Verdana"/>
          <w:sz w:val="20"/>
          <w:szCs w:val="20"/>
          <w:lang w:eastAsia="en-US"/>
        </w:rPr>
      </w:pPr>
      <w:r w:rsidRPr="00311AF4">
        <w:rPr>
          <w:rFonts w:ascii="Verdana" w:eastAsia="Verdana" w:hAnsi="Verdana" w:cs="Verdana"/>
          <w:sz w:val="20"/>
          <w:szCs w:val="20"/>
          <w:lang w:eastAsia="en-US"/>
        </w:rPr>
        <w:t xml:space="preserve">Conforme a lo anterior, se tiene que el legislador advirtió que la sola existencia de un régimen de inhabilidades e incompatibilidades aplicable a la contratación estatal resultaba insuficiente para garantizar los principios de moralidad, transparencia e imparcialidad en aquellos eventos en los que, pese a comprometerse recursos públicos, la contratación se desarrollaba bajo reglas de derecho privado. Con el propósito de evitar que la naturaleza privada del régimen contractual se utilizara como mecanismo para eludir las prohibiciones previstas en el Estatuto General de Contratación de la Administración Pública, la Ley 2014 de 2019 amplió expresamente el ámbito de </w:t>
      </w:r>
      <w:r w:rsidRPr="00311AF4">
        <w:rPr>
          <w:rFonts w:ascii="Verdana" w:eastAsia="Verdana" w:hAnsi="Verdana" w:cs="Verdana"/>
          <w:sz w:val="20"/>
          <w:szCs w:val="20"/>
          <w:lang w:eastAsia="en-US"/>
        </w:rPr>
        <w:lastRenderedPageBreak/>
        <w:t xml:space="preserve">aplicación de dichas inhabilidades e incompatibilidades a toda contratación privada financiada con recursos públicos, de ahí que el artículo 3 de la norma ibidem, prescriba que “Las inhabilidades e incompatibilidades contempladas en este artículo se aplicarán a cualquier proceso de contratación privada en el que se comprometan recursos públicos”. </w:t>
      </w:r>
    </w:p>
    <w:p w14:paraId="0C56D0F1" w14:textId="77777777" w:rsidR="00132E88" w:rsidRPr="009A532A" w:rsidRDefault="00132E88" w:rsidP="00DC75CF">
      <w:pPr>
        <w:jc w:val="both"/>
        <w:rPr>
          <w:rFonts w:ascii="Verdana" w:eastAsia="Verdana" w:hAnsi="Verdana" w:cs="Verdana"/>
          <w:b/>
          <w:bCs/>
          <w:sz w:val="22"/>
          <w:szCs w:val="22"/>
          <w:lang w:eastAsia="en-US"/>
        </w:rPr>
      </w:pPr>
    </w:p>
    <w:p w14:paraId="30914E6B" w14:textId="799A6C43" w:rsidR="00A71BCE" w:rsidRPr="009A532A" w:rsidRDefault="00E2290A" w:rsidP="00DC75CF">
      <w:pPr>
        <w:jc w:val="both"/>
        <w:rPr>
          <w:rFonts w:ascii="Verdana" w:eastAsia="Verdana" w:hAnsi="Verdana" w:cs="Verdana"/>
          <w:b/>
          <w:bCs/>
          <w:sz w:val="22"/>
          <w:szCs w:val="22"/>
          <w:lang w:val="es-ES_tradnl" w:eastAsia="en-US"/>
        </w:rPr>
      </w:pPr>
      <w:r w:rsidRPr="009A532A">
        <w:rPr>
          <w:rFonts w:ascii="Verdana" w:eastAsia="Verdana" w:hAnsi="Verdana" w:cs="Verdana"/>
          <w:b/>
          <w:bCs/>
          <w:sz w:val="22"/>
          <w:szCs w:val="22"/>
          <w:lang w:eastAsia="en-US"/>
        </w:rPr>
        <w:t>FONDOS PARAFISCALES AGROPECUARIOS – Contratación del administrador con socios o aportantes</w:t>
      </w:r>
    </w:p>
    <w:p w14:paraId="305171DF" w14:textId="77777777" w:rsidR="00E2290A" w:rsidRPr="00567007" w:rsidRDefault="00E2290A" w:rsidP="00DC75CF">
      <w:pPr>
        <w:jc w:val="both"/>
        <w:rPr>
          <w:rFonts w:ascii="Verdana" w:eastAsia="Verdana" w:hAnsi="Verdana" w:cs="Verdana"/>
          <w:sz w:val="22"/>
          <w:szCs w:val="22"/>
          <w:lang w:eastAsia="en-US"/>
        </w:rPr>
      </w:pPr>
    </w:p>
    <w:p w14:paraId="7C419907" w14:textId="77777777" w:rsidR="00567007" w:rsidRPr="00311AF4" w:rsidRDefault="00567007" w:rsidP="00DC75CF">
      <w:pPr>
        <w:jc w:val="both"/>
        <w:rPr>
          <w:rFonts w:ascii="Verdana" w:eastAsia="Verdana" w:hAnsi="Verdana" w:cs="Verdana"/>
          <w:sz w:val="20"/>
          <w:szCs w:val="20"/>
          <w:lang w:eastAsia="en-US"/>
        </w:rPr>
      </w:pPr>
      <w:r w:rsidRPr="00311AF4">
        <w:rPr>
          <w:rFonts w:ascii="Verdana" w:eastAsia="Verdana" w:hAnsi="Verdana" w:cs="Verdana"/>
          <w:sz w:val="20"/>
          <w:szCs w:val="20"/>
          <w:lang w:eastAsia="en-US"/>
        </w:rPr>
        <w:t>Sin embargo, no significa que la contratación resulte procedente. Por el contrario, la inexistencia de una causal específica de inhabilidad debe analizarse juntamente con el régimen jurídico que gobierna la administración de los recursos parafiscales y con los deberes que recaen sobre quien ejerce dicha función pública. Precisamente sobre este aspecto se pronunció la Sala de Consulta y Servicio Civil del Consejo de Estado en el Concepto 2556 del 10 de diciembre de 2025, al resolver una consulta formulada por el Ministerio de Agricultura y Desarrollo Rural acerca de la contratación realizada con recursos de los fondos parafiscales agropecuarios. Luego de analizar el régimen constitucional y legal aplicable, la Sala concluyó que en el ordenamiento jurídico colombiano no existe habilitación constitucional ni legal que autorice al administrador de un fondo parafiscal del sector agropecuario a celebrar contratos, con recursos del fondo, con socios, aportantes o con personas naturales o jurídicas respecto de las cuales exista un interés directo o indirecto derivado de la participación de uno de sus aportantes o de un miembro de la junta directiva. El condicionamiento a la existencia de un interés directo o indirecto es relevante, pues la restricción no recae sobre la simple condición de aportante, sino sobre los supuestos en que ese vínculo comprometa la imparcialidad del administrador.</w:t>
      </w:r>
    </w:p>
    <w:p w14:paraId="761A253A" w14:textId="77777777" w:rsidR="00830A63" w:rsidRPr="00311AF4" w:rsidRDefault="00830A63" w:rsidP="00DC75CF">
      <w:pPr>
        <w:jc w:val="both"/>
        <w:rPr>
          <w:rFonts w:ascii="Verdana" w:eastAsia="Verdana" w:hAnsi="Verdana" w:cs="Verdana"/>
          <w:sz w:val="20"/>
          <w:szCs w:val="20"/>
          <w:lang w:eastAsia="en-US"/>
        </w:rPr>
      </w:pPr>
    </w:p>
    <w:p w14:paraId="7B988AF7" w14:textId="77777777" w:rsidR="00567007" w:rsidRPr="00311AF4" w:rsidRDefault="00567007" w:rsidP="00DC75CF">
      <w:pPr>
        <w:jc w:val="both"/>
        <w:rPr>
          <w:rFonts w:ascii="Verdana" w:eastAsia="Verdana" w:hAnsi="Verdana" w:cs="Verdana"/>
          <w:sz w:val="20"/>
          <w:szCs w:val="20"/>
          <w:lang w:eastAsia="en-US"/>
        </w:rPr>
      </w:pPr>
      <w:r w:rsidRPr="00311AF4">
        <w:rPr>
          <w:rFonts w:ascii="Verdana" w:eastAsia="Verdana" w:hAnsi="Verdana" w:cs="Verdana"/>
          <w:sz w:val="20"/>
          <w:szCs w:val="20"/>
          <w:lang w:eastAsia="en-US"/>
        </w:rPr>
        <w:t>La Sala explicó que esta conclusión responde a la naturaleza pública de los recursos administrados, a la aplicación de los principios de moralidad, transparencia, imparcialidad y prevalencia del interés general, así como a la configuración de un conflicto de interés incompatible con la función que desempeña el administrador del fondo. En esta línea, consideró la Sala de Consulta y Servicio Civil del Consejo de Estado que la contratación con socios o aportantes carece de fundamento jurídico suficiente dentro del régimen especial que gobierna la administración de las contribuciones parafiscales.</w:t>
      </w:r>
    </w:p>
    <w:p w14:paraId="04A53327" w14:textId="77777777" w:rsidR="00567007" w:rsidRPr="009A532A" w:rsidRDefault="00567007" w:rsidP="00DC75CF">
      <w:pPr>
        <w:jc w:val="both"/>
        <w:rPr>
          <w:rFonts w:ascii="Verdana" w:eastAsia="Verdana" w:hAnsi="Verdana" w:cs="Verdana"/>
          <w:b/>
          <w:bCs/>
          <w:sz w:val="22"/>
          <w:szCs w:val="22"/>
          <w:lang w:eastAsia="en-US"/>
        </w:rPr>
      </w:pPr>
    </w:p>
    <w:p w14:paraId="4B4C971C" w14:textId="77777777" w:rsidR="00634E7C" w:rsidRPr="009A532A" w:rsidRDefault="00132E88" w:rsidP="00DC75CF">
      <w:pPr>
        <w:jc w:val="both"/>
        <w:rPr>
          <w:rFonts w:ascii="Verdana" w:eastAsia="Verdana" w:hAnsi="Verdana" w:cs="Verdana"/>
          <w:b/>
          <w:bCs/>
          <w:sz w:val="22"/>
          <w:szCs w:val="22"/>
          <w:lang w:eastAsia="en-US"/>
        </w:rPr>
      </w:pPr>
      <w:r w:rsidRPr="009A532A">
        <w:rPr>
          <w:rFonts w:ascii="Verdana" w:eastAsia="Verdana" w:hAnsi="Verdana" w:cs="Verdana"/>
          <w:b/>
          <w:bCs/>
          <w:sz w:val="22"/>
          <w:szCs w:val="22"/>
          <w:lang w:eastAsia="en-US"/>
        </w:rPr>
        <w:t>FONDOS PARAFISCALES AGROPECUARIOS – Contratación con personas jurídicas vinculadas a miembros de la junta directiva – Nepotismo (artículo 126 de la Constitución Política)</w:t>
      </w:r>
    </w:p>
    <w:p w14:paraId="336DD36F" w14:textId="77777777" w:rsidR="00634E7C" w:rsidRDefault="00634E7C" w:rsidP="00DC75CF">
      <w:pPr>
        <w:jc w:val="both"/>
        <w:rPr>
          <w:rFonts w:ascii="Verdana" w:eastAsia="Verdana" w:hAnsi="Verdana" w:cs="Verdana"/>
          <w:b/>
          <w:bCs/>
          <w:sz w:val="22"/>
          <w:szCs w:val="22"/>
          <w:lang w:eastAsia="en-US"/>
        </w:rPr>
      </w:pPr>
    </w:p>
    <w:p w14:paraId="7BF5BCE3" w14:textId="77777777" w:rsidR="00311AF4" w:rsidRPr="00766622" w:rsidRDefault="00311AF4" w:rsidP="00DC75CF">
      <w:pPr>
        <w:jc w:val="both"/>
        <w:rPr>
          <w:rFonts w:ascii="Verdana" w:eastAsia="Verdana" w:hAnsi="Verdana" w:cs="Verdana"/>
          <w:sz w:val="20"/>
          <w:szCs w:val="20"/>
          <w:lang w:eastAsia="en-US"/>
        </w:rPr>
      </w:pPr>
      <w:r w:rsidRPr="00766622">
        <w:rPr>
          <w:rFonts w:ascii="Verdana" w:eastAsia="Verdana" w:hAnsi="Verdana" w:cs="Verdana"/>
          <w:sz w:val="20"/>
          <w:szCs w:val="20"/>
          <w:lang w:eastAsia="en-US"/>
        </w:rPr>
        <w:t xml:space="preserve">En efecto, el literal d) del numeral 2 del artículo 8 de la Ley 80 de 1993 establece una inhabilidad para contratar respecto de determinadas personas jurídicas cuando en ellas el miembro de la junta o consejo directivo de la entidad contratante, su cónyuge, compañero permanente o sus parientes dentro de los grados allí previstos tengan participación o desempeñen cargos de dirección o manejo. Esta disposición evidencia la </w:t>
      </w:r>
      <w:r w:rsidRPr="00766622">
        <w:rPr>
          <w:rFonts w:ascii="Verdana" w:eastAsia="Verdana" w:hAnsi="Verdana" w:cs="Verdana"/>
          <w:sz w:val="20"/>
          <w:szCs w:val="20"/>
          <w:lang w:eastAsia="en-US"/>
        </w:rPr>
        <w:lastRenderedPageBreak/>
        <w:t>voluntad del legislador de ampliar el ámbito de protección de la moralidad administrativa y de prevenir fenómenos de favorecimiento indebido y nepotismo en la contratación pública, extendiendo la restricción no solo a las personas naturales vinculadas familiarmente con quienes intervienen en la contratación, sino también a determinadas personas jurídicas respecto de las cuales aquellos conservan intereses patrimoniales o de dirección.</w:t>
      </w:r>
    </w:p>
    <w:p w14:paraId="3A878493" w14:textId="77777777" w:rsidR="00311AF4" w:rsidRPr="009A532A" w:rsidRDefault="00311AF4" w:rsidP="00DC75CF">
      <w:pPr>
        <w:jc w:val="both"/>
        <w:rPr>
          <w:rFonts w:ascii="Verdana" w:eastAsia="Verdana" w:hAnsi="Verdana" w:cs="Verdana"/>
          <w:b/>
          <w:bCs/>
          <w:sz w:val="22"/>
          <w:szCs w:val="22"/>
          <w:lang w:eastAsia="en-US"/>
        </w:rPr>
      </w:pPr>
    </w:p>
    <w:p w14:paraId="43F99BCF" w14:textId="77777777" w:rsidR="00634E7C" w:rsidRPr="009A532A" w:rsidRDefault="00132E88" w:rsidP="00DC75CF">
      <w:pPr>
        <w:jc w:val="both"/>
        <w:rPr>
          <w:rFonts w:ascii="Verdana" w:eastAsia="Verdana" w:hAnsi="Verdana" w:cs="Verdana"/>
          <w:b/>
          <w:bCs/>
          <w:sz w:val="22"/>
          <w:szCs w:val="22"/>
          <w:lang w:eastAsia="en-US"/>
        </w:rPr>
      </w:pPr>
      <w:r w:rsidRPr="009A532A">
        <w:rPr>
          <w:rFonts w:ascii="Verdana" w:eastAsia="Verdana" w:hAnsi="Verdana" w:cs="Verdana"/>
          <w:b/>
          <w:bCs/>
          <w:sz w:val="22"/>
          <w:szCs w:val="22"/>
          <w:lang w:eastAsia="en-US"/>
        </w:rPr>
        <w:t xml:space="preserve">CONFLICTOS DE INTERÉS – Deberes de los administradores – Ley 222 de 1995 – Aplicación supletiva de la Ley 1437 de 2011 </w:t>
      </w:r>
    </w:p>
    <w:p w14:paraId="00B361E9" w14:textId="77777777" w:rsidR="005C5C2C" w:rsidRPr="008314F9" w:rsidRDefault="005C5C2C" w:rsidP="00DC75CF">
      <w:pPr>
        <w:jc w:val="both"/>
        <w:rPr>
          <w:rFonts w:ascii="Verdana" w:eastAsia="Verdana" w:hAnsi="Verdana" w:cs="Verdana"/>
          <w:sz w:val="20"/>
          <w:szCs w:val="20"/>
          <w:lang w:eastAsia="en-US"/>
        </w:rPr>
      </w:pPr>
    </w:p>
    <w:p w14:paraId="7CBFC6BD" w14:textId="77777777" w:rsidR="005C5C2C" w:rsidRPr="008314F9" w:rsidRDefault="005C5C2C" w:rsidP="00DC75CF">
      <w:pPr>
        <w:jc w:val="both"/>
        <w:rPr>
          <w:rFonts w:ascii="Verdana" w:eastAsia="Verdana" w:hAnsi="Verdana" w:cs="Verdana"/>
          <w:sz w:val="20"/>
          <w:szCs w:val="20"/>
          <w:lang w:eastAsia="en-US"/>
        </w:rPr>
      </w:pPr>
      <w:r w:rsidRPr="008314F9">
        <w:rPr>
          <w:rFonts w:ascii="Verdana" w:eastAsia="Verdana" w:hAnsi="Verdana" w:cs="Verdana"/>
          <w:sz w:val="20"/>
          <w:szCs w:val="20"/>
          <w:lang w:eastAsia="en-US"/>
        </w:rPr>
        <w:t xml:space="preserve">Sobre el fundamento de ese deber conviene precisar que la Sala de Consulta y Servicio Civil no lo derivó del régimen de impedimentos y recusaciones de la Ley 1437 de 2011, sino del deber de lealtad y de abstención en actos con conflicto de interés consagrado en el artículo 23 de la Ley 222 de 1995 y su Decreto Reglamentario 1925 de 2009, modificado por el Decreto 1074 de 2015, aplicado como criterio orientador a quien administra recursos públicos, en concordancia con el artículo 126 de la Constitución. La Sala añadió una precisión hermenéutica de particular relevancia para la coherencia de este análisis: mientras las inhabilidades e incompatibilidades se interpretan de manera restrictiva, el régimen de conflictos de interés en la administración de recursos parafiscales se interpreta de manera amplia y preventiva, de modo que comprende tanto las situaciones reales de parcialidad como aquellas que generen una apariencia razonable de interferencia en la imparcialidad. De ahí que la ausencia de una inhabilidad tipificada por la sola condición de socio o aportante no habilite la contratación, pues el impedimento proviene de un conflicto de interés valorado bajo ese estándar preventivo. </w:t>
      </w:r>
    </w:p>
    <w:p w14:paraId="450F02C6" w14:textId="77777777" w:rsidR="00634E7C" w:rsidRPr="005C5C2C" w:rsidRDefault="00634E7C" w:rsidP="00DC75CF">
      <w:pPr>
        <w:jc w:val="both"/>
        <w:rPr>
          <w:rFonts w:ascii="Verdana" w:eastAsia="Verdana" w:hAnsi="Verdana" w:cs="Verdana"/>
          <w:sz w:val="20"/>
          <w:szCs w:val="20"/>
          <w:lang w:eastAsia="en-US"/>
        </w:rPr>
      </w:pPr>
    </w:p>
    <w:p w14:paraId="246225C3" w14:textId="1863ACE1" w:rsidR="005C5C2C" w:rsidRPr="005C5C2C" w:rsidRDefault="005C5C2C" w:rsidP="00DC75CF">
      <w:pPr>
        <w:jc w:val="both"/>
        <w:rPr>
          <w:rFonts w:ascii="Verdana" w:eastAsia="Verdana" w:hAnsi="Verdana" w:cs="Verdana"/>
          <w:sz w:val="20"/>
          <w:szCs w:val="20"/>
          <w:lang w:eastAsia="en-US"/>
        </w:rPr>
      </w:pPr>
      <w:r w:rsidRPr="005C5C2C">
        <w:rPr>
          <w:rFonts w:ascii="Verdana" w:eastAsia="Verdana" w:hAnsi="Verdana" w:cs="Verdana"/>
          <w:sz w:val="20"/>
          <w:szCs w:val="20"/>
          <w:lang w:eastAsia="en-US"/>
        </w:rPr>
        <w:t>A lo anterior puede sumarse, como criterio supletivo, que la institución de los conflictos de interés no está definida con carácter general en las leyes que regulan los fondos que administran recursos parafiscales, por lo que, en ese aspecto, se trata de un asunto no regulado. Ante ese vacío es pertinente acudir al artículo 2 de la Ley 1437 de 2011, Código de Procedimiento Administrativo y de lo Contencioso Administrativo –CPACA–, que establece que las disposiciones de dicho código se aplicarán de forma supletiva en los aspectos no regulados de los procedimientos administrativos especiales. Dicha norma prescribe, además, que sus reglas también rigen para los particulares cuando cumplen funciones administrativas, supuesto que se configura en este caso, en tanto el Fondo administra recursos parafiscales.</w:t>
      </w:r>
    </w:p>
    <w:p w14:paraId="426F9290" w14:textId="77777777" w:rsidR="005C5C2C" w:rsidRPr="009A532A" w:rsidRDefault="005C5C2C" w:rsidP="00DC75CF">
      <w:pPr>
        <w:jc w:val="both"/>
        <w:rPr>
          <w:rFonts w:ascii="Verdana" w:eastAsia="Verdana" w:hAnsi="Verdana" w:cs="Verdana"/>
          <w:b/>
          <w:bCs/>
          <w:sz w:val="22"/>
          <w:szCs w:val="22"/>
          <w:lang w:eastAsia="en-US"/>
        </w:rPr>
      </w:pPr>
    </w:p>
    <w:p w14:paraId="34233288" w14:textId="7DC646F3" w:rsidR="00E2290A" w:rsidRPr="009A532A" w:rsidRDefault="00132E88" w:rsidP="00DC75CF">
      <w:pPr>
        <w:jc w:val="both"/>
        <w:rPr>
          <w:rFonts w:ascii="Verdana" w:eastAsia="Verdana" w:hAnsi="Verdana" w:cs="Verdana"/>
          <w:b/>
          <w:bCs/>
          <w:sz w:val="22"/>
          <w:szCs w:val="22"/>
          <w:lang w:eastAsia="en-US"/>
        </w:rPr>
      </w:pPr>
      <w:r w:rsidRPr="009A532A">
        <w:rPr>
          <w:rFonts w:ascii="Verdana" w:eastAsia="Verdana" w:hAnsi="Verdana" w:cs="Verdana"/>
          <w:b/>
          <w:bCs/>
          <w:sz w:val="22"/>
          <w:szCs w:val="22"/>
          <w:lang w:eastAsia="en-US"/>
        </w:rPr>
        <w:t>GESTIÓN DE RECURSOS PÚBLICOS – Transparencia – Postura de la Sala de Consulta y Servicio Civil</w:t>
      </w:r>
    </w:p>
    <w:p w14:paraId="2344AD8A" w14:textId="77777777" w:rsidR="00132E88" w:rsidRDefault="00132E88" w:rsidP="00DC75CF">
      <w:pPr>
        <w:jc w:val="both"/>
        <w:rPr>
          <w:rFonts w:ascii="Verdana" w:eastAsia="Verdana" w:hAnsi="Verdana" w:cs="Verdana"/>
          <w:sz w:val="22"/>
          <w:szCs w:val="22"/>
          <w:lang w:eastAsia="en-US"/>
        </w:rPr>
      </w:pPr>
    </w:p>
    <w:p w14:paraId="3E65150E" w14:textId="77777777" w:rsidR="00050765" w:rsidRPr="00311AF4" w:rsidRDefault="00050765" w:rsidP="00DC75CF">
      <w:pPr>
        <w:jc w:val="both"/>
        <w:rPr>
          <w:rFonts w:ascii="Verdana" w:eastAsia="Verdana" w:hAnsi="Verdana" w:cs="Verdana"/>
          <w:sz w:val="20"/>
          <w:szCs w:val="20"/>
          <w:lang w:eastAsia="en-US"/>
        </w:rPr>
      </w:pPr>
      <w:r w:rsidRPr="00311AF4">
        <w:rPr>
          <w:rFonts w:ascii="Verdana" w:eastAsia="Verdana" w:hAnsi="Verdana" w:cs="Verdana"/>
          <w:sz w:val="20"/>
          <w:szCs w:val="20"/>
          <w:lang w:eastAsia="en-US"/>
        </w:rPr>
        <w:t xml:space="preserve">Sin embargo, no significa que la contratación resulte procedente. Por el contrario, la inexistencia de una causal específica de inhabilidad debe analizarse juntamente con el régimen jurídico que gobierna la administración de los recursos parafiscales y con los deberes que recaen sobre quien ejerce dicha función pública. Precisamente sobre este aspecto se pronunció la Sala de Consulta y Servicio Civil del Consejo de Estado en el Concepto 2556 del 10 de diciembre de 2025, al resolver una consulta formulada por el </w:t>
      </w:r>
      <w:r w:rsidRPr="00311AF4">
        <w:rPr>
          <w:rFonts w:ascii="Verdana" w:eastAsia="Verdana" w:hAnsi="Verdana" w:cs="Verdana"/>
          <w:sz w:val="20"/>
          <w:szCs w:val="20"/>
          <w:lang w:eastAsia="en-US"/>
        </w:rPr>
        <w:lastRenderedPageBreak/>
        <w:t>Ministerio de Agricultura y Desarrollo Rural acerca de la contratación realizada con recursos de los fondos parafiscales agropecuarios. Luego de analizar el régimen constitucional y legal aplicable, la Sala concluyó que en el ordenamiento jurídico colombiano no existe habilitación constitucional ni legal que autorice al administrador de un fondo parafiscal del sector agropecuario a celebrar contratos, con recursos del fondo, con socios, aportantes o con personas naturales o jurídicas respecto de las cuales exista un interés directo o indirecto derivado de la participación de uno de sus aportantes o de un miembro de la junta directiva. El condicionamiento a la existencia de un interés directo o indirecto es relevante, pues la restricción no recae sobre la simple condición de aportante, sino sobre los supuestos en que ese vínculo comprometa la imparcialidad del administrador.</w:t>
      </w:r>
    </w:p>
    <w:p w14:paraId="7A856D21" w14:textId="77777777" w:rsidR="00050765" w:rsidRPr="00311AF4" w:rsidRDefault="00050765" w:rsidP="00DC75CF">
      <w:pPr>
        <w:jc w:val="both"/>
        <w:rPr>
          <w:rFonts w:ascii="Verdana" w:eastAsia="Verdana" w:hAnsi="Verdana" w:cs="Verdana"/>
          <w:sz w:val="20"/>
          <w:szCs w:val="20"/>
          <w:lang w:eastAsia="en-US"/>
        </w:rPr>
      </w:pPr>
    </w:p>
    <w:p w14:paraId="46E58577" w14:textId="77777777" w:rsidR="00050765" w:rsidRPr="00311AF4" w:rsidRDefault="00050765" w:rsidP="00DC75CF">
      <w:pPr>
        <w:jc w:val="both"/>
        <w:rPr>
          <w:rFonts w:ascii="Verdana" w:eastAsia="Verdana" w:hAnsi="Verdana" w:cs="Verdana"/>
          <w:sz w:val="20"/>
          <w:szCs w:val="20"/>
          <w:lang w:eastAsia="en-US"/>
        </w:rPr>
      </w:pPr>
      <w:r w:rsidRPr="00311AF4">
        <w:rPr>
          <w:rFonts w:ascii="Verdana" w:eastAsia="Verdana" w:hAnsi="Verdana" w:cs="Verdana"/>
          <w:sz w:val="20"/>
          <w:szCs w:val="20"/>
          <w:lang w:eastAsia="en-US"/>
        </w:rPr>
        <w:t>La Sala explicó que esta conclusión responde a la naturaleza pública de los recursos administrados, a la aplicación de los principios de moralidad, transparencia, imparcialidad y prevalencia del interés general, así como a la configuración de un conflicto de interés incompatible con la función que desempeña el administrador del fondo. En esta línea, consideró la Sala de Consulta y Servicio Civil del Consejo de Estado que la contratación con socios o aportantes carece de fundamento jurídico suficiente dentro del régimen especial que gobierna la administración de las contribuciones parafiscales.</w:t>
      </w:r>
    </w:p>
    <w:p w14:paraId="28D70E7B" w14:textId="77777777" w:rsidR="00050765" w:rsidRDefault="00050765" w:rsidP="00DC75CF">
      <w:pPr>
        <w:rPr>
          <w:rFonts w:ascii="Verdana" w:eastAsia="Verdana" w:hAnsi="Verdana" w:cs="Verdana"/>
          <w:sz w:val="22"/>
          <w:szCs w:val="22"/>
          <w:lang w:eastAsia="en-US"/>
        </w:rPr>
      </w:pPr>
    </w:p>
    <w:p w14:paraId="7A545AC0" w14:textId="77777777" w:rsidR="00DC75CF" w:rsidRDefault="00DC75CF" w:rsidP="00DC75CF">
      <w:pPr>
        <w:rPr>
          <w:rFonts w:ascii="Verdana" w:eastAsia="Verdana" w:hAnsi="Verdana" w:cs="Verdana"/>
          <w:sz w:val="22"/>
          <w:szCs w:val="22"/>
          <w:lang w:eastAsia="en-US"/>
        </w:rPr>
      </w:pPr>
    </w:p>
    <w:p w14:paraId="248805FB" w14:textId="77777777" w:rsidR="00DC75CF" w:rsidRDefault="00DC75CF" w:rsidP="00DC75CF">
      <w:pPr>
        <w:rPr>
          <w:rFonts w:ascii="Verdana" w:eastAsia="Verdana" w:hAnsi="Verdana" w:cs="Verdana"/>
          <w:sz w:val="22"/>
          <w:szCs w:val="22"/>
          <w:lang w:eastAsia="en-US"/>
        </w:rPr>
      </w:pPr>
    </w:p>
    <w:p w14:paraId="4ADB35C8" w14:textId="77777777" w:rsidR="00DC75CF" w:rsidRDefault="00DC75CF" w:rsidP="00DC75CF">
      <w:pPr>
        <w:rPr>
          <w:rFonts w:ascii="Verdana" w:eastAsia="Verdana" w:hAnsi="Verdana" w:cs="Verdana"/>
          <w:sz w:val="22"/>
          <w:szCs w:val="22"/>
          <w:lang w:eastAsia="en-US"/>
        </w:rPr>
      </w:pPr>
    </w:p>
    <w:p w14:paraId="7AD8AF29" w14:textId="77777777" w:rsidR="00DC75CF" w:rsidRDefault="00DC75CF" w:rsidP="00DC75CF">
      <w:pPr>
        <w:rPr>
          <w:rFonts w:ascii="Verdana" w:eastAsia="Verdana" w:hAnsi="Verdana" w:cs="Verdana"/>
          <w:sz w:val="22"/>
          <w:szCs w:val="22"/>
          <w:lang w:eastAsia="en-US"/>
        </w:rPr>
      </w:pPr>
    </w:p>
    <w:p w14:paraId="46560EB9" w14:textId="77777777" w:rsidR="00DC75CF" w:rsidRDefault="00DC75CF" w:rsidP="00DC75CF">
      <w:pPr>
        <w:rPr>
          <w:rFonts w:ascii="Verdana" w:eastAsia="Verdana" w:hAnsi="Verdana" w:cs="Verdana"/>
          <w:sz w:val="22"/>
          <w:szCs w:val="22"/>
          <w:lang w:eastAsia="en-US"/>
        </w:rPr>
      </w:pPr>
    </w:p>
    <w:p w14:paraId="339616BF" w14:textId="77777777" w:rsidR="00DC75CF" w:rsidRDefault="00DC75CF" w:rsidP="00DC75CF">
      <w:pPr>
        <w:rPr>
          <w:rFonts w:ascii="Verdana" w:eastAsia="Verdana" w:hAnsi="Verdana" w:cs="Verdana"/>
          <w:sz w:val="22"/>
          <w:szCs w:val="22"/>
          <w:lang w:eastAsia="en-US"/>
        </w:rPr>
      </w:pPr>
    </w:p>
    <w:p w14:paraId="58F58BF8" w14:textId="77777777" w:rsidR="00DC75CF" w:rsidRDefault="00DC75CF" w:rsidP="00DC75CF">
      <w:pPr>
        <w:rPr>
          <w:rFonts w:ascii="Verdana" w:eastAsia="Verdana" w:hAnsi="Verdana" w:cs="Verdana"/>
          <w:sz w:val="22"/>
          <w:szCs w:val="22"/>
          <w:lang w:eastAsia="en-US"/>
        </w:rPr>
      </w:pPr>
    </w:p>
    <w:p w14:paraId="3D17696E" w14:textId="77777777" w:rsidR="00DC75CF" w:rsidRDefault="00DC75CF" w:rsidP="00404C23">
      <w:pPr>
        <w:spacing w:line="259" w:lineRule="auto"/>
        <w:rPr>
          <w:rFonts w:ascii="Verdana" w:eastAsia="Verdana" w:hAnsi="Verdana" w:cs="Verdana"/>
          <w:sz w:val="22"/>
          <w:szCs w:val="22"/>
          <w:lang w:eastAsia="en-US"/>
        </w:rPr>
      </w:pPr>
    </w:p>
    <w:p w14:paraId="64CB2DFD" w14:textId="77777777" w:rsidR="00DC75CF" w:rsidRDefault="00DC75CF" w:rsidP="00404C23">
      <w:pPr>
        <w:spacing w:line="259" w:lineRule="auto"/>
        <w:rPr>
          <w:rFonts w:ascii="Verdana" w:eastAsia="Verdana" w:hAnsi="Verdana" w:cs="Verdana"/>
          <w:sz w:val="22"/>
          <w:szCs w:val="22"/>
          <w:lang w:eastAsia="en-US"/>
        </w:rPr>
      </w:pPr>
    </w:p>
    <w:p w14:paraId="40F78D9F" w14:textId="77777777" w:rsidR="00DC75CF" w:rsidRDefault="00DC75CF" w:rsidP="00404C23">
      <w:pPr>
        <w:spacing w:line="259" w:lineRule="auto"/>
        <w:rPr>
          <w:rFonts w:ascii="Verdana" w:eastAsia="Verdana" w:hAnsi="Verdana" w:cs="Verdana"/>
          <w:sz w:val="22"/>
          <w:szCs w:val="22"/>
          <w:lang w:eastAsia="en-US"/>
        </w:rPr>
      </w:pPr>
    </w:p>
    <w:p w14:paraId="63561FB3" w14:textId="77777777" w:rsidR="00DC75CF" w:rsidRDefault="00DC75CF" w:rsidP="00404C23">
      <w:pPr>
        <w:spacing w:line="259" w:lineRule="auto"/>
        <w:rPr>
          <w:rFonts w:ascii="Verdana" w:eastAsia="Verdana" w:hAnsi="Verdana" w:cs="Verdana"/>
          <w:sz w:val="22"/>
          <w:szCs w:val="22"/>
          <w:lang w:eastAsia="en-US"/>
        </w:rPr>
      </w:pPr>
    </w:p>
    <w:p w14:paraId="13304BD6" w14:textId="77777777" w:rsidR="00DC75CF" w:rsidRDefault="00DC75CF" w:rsidP="00404C23">
      <w:pPr>
        <w:spacing w:line="259" w:lineRule="auto"/>
        <w:rPr>
          <w:rFonts w:ascii="Verdana" w:eastAsia="Verdana" w:hAnsi="Verdana" w:cs="Verdana"/>
          <w:sz w:val="22"/>
          <w:szCs w:val="22"/>
          <w:lang w:eastAsia="en-US"/>
        </w:rPr>
      </w:pPr>
    </w:p>
    <w:p w14:paraId="4FC088E8" w14:textId="77777777" w:rsidR="00DC75CF" w:rsidRDefault="00DC75CF" w:rsidP="00404C23">
      <w:pPr>
        <w:spacing w:line="259" w:lineRule="auto"/>
        <w:rPr>
          <w:rFonts w:ascii="Verdana" w:eastAsia="Verdana" w:hAnsi="Verdana" w:cs="Verdana"/>
          <w:sz w:val="22"/>
          <w:szCs w:val="22"/>
          <w:lang w:eastAsia="en-US"/>
        </w:rPr>
      </w:pPr>
    </w:p>
    <w:p w14:paraId="4A33449A" w14:textId="77777777" w:rsidR="00DC75CF" w:rsidRDefault="00DC75CF" w:rsidP="00404C23">
      <w:pPr>
        <w:spacing w:line="259" w:lineRule="auto"/>
        <w:rPr>
          <w:rFonts w:ascii="Verdana" w:eastAsia="Verdana" w:hAnsi="Verdana" w:cs="Verdana"/>
          <w:sz w:val="22"/>
          <w:szCs w:val="22"/>
          <w:lang w:eastAsia="en-US"/>
        </w:rPr>
      </w:pPr>
    </w:p>
    <w:p w14:paraId="249DE4E6" w14:textId="77777777" w:rsidR="00DC75CF" w:rsidRDefault="00DC75CF" w:rsidP="00404C23">
      <w:pPr>
        <w:spacing w:line="259" w:lineRule="auto"/>
        <w:rPr>
          <w:rFonts w:ascii="Verdana" w:eastAsia="Verdana" w:hAnsi="Verdana" w:cs="Verdana"/>
          <w:sz w:val="22"/>
          <w:szCs w:val="22"/>
          <w:lang w:eastAsia="en-US"/>
        </w:rPr>
      </w:pPr>
    </w:p>
    <w:p w14:paraId="6CCCBA50" w14:textId="77777777" w:rsidR="00DC75CF" w:rsidRDefault="00DC75CF" w:rsidP="00404C23">
      <w:pPr>
        <w:spacing w:line="259" w:lineRule="auto"/>
        <w:rPr>
          <w:rFonts w:ascii="Verdana" w:eastAsia="Verdana" w:hAnsi="Verdana" w:cs="Verdana"/>
          <w:sz w:val="22"/>
          <w:szCs w:val="22"/>
          <w:lang w:eastAsia="en-US"/>
        </w:rPr>
      </w:pPr>
    </w:p>
    <w:p w14:paraId="7D481DCC" w14:textId="77777777" w:rsidR="00DC75CF" w:rsidRDefault="00DC75CF" w:rsidP="00404C23">
      <w:pPr>
        <w:spacing w:line="259" w:lineRule="auto"/>
        <w:rPr>
          <w:rFonts w:ascii="Verdana" w:eastAsia="Verdana" w:hAnsi="Verdana" w:cs="Verdana"/>
          <w:sz w:val="22"/>
          <w:szCs w:val="22"/>
          <w:lang w:eastAsia="en-US"/>
        </w:rPr>
      </w:pPr>
    </w:p>
    <w:p w14:paraId="01036D7B" w14:textId="77777777" w:rsidR="00DC75CF" w:rsidRDefault="00DC75CF" w:rsidP="00404C23">
      <w:pPr>
        <w:spacing w:line="259" w:lineRule="auto"/>
        <w:rPr>
          <w:rFonts w:ascii="Verdana" w:eastAsia="Verdana" w:hAnsi="Verdana" w:cs="Verdana"/>
          <w:sz w:val="22"/>
          <w:szCs w:val="22"/>
          <w:lang w:eastAsia="en-US"/>
        </w:rPr>
      </w:pPr>
    </w:p>
    <w:p w14:paraId="3B0AE065" w14:textId="77777777" w:rsidR="00DC75CF" w:rsidRDefault="00DC75CF" w:rsidP="00404C23">
      <w:pPr>
        <w:spacing w:line="259" w:lineRule="auto"/>
        <w:rPr>
          <w:rFonts w:ascii="Verdana" w:eastAsia="Verdana" w:hAnsi="Verdana" w:cs="Verdana"/>
          <w:sz w:val="22"/>
          <w:szCs w:val="22"/>
          <w:lang w:eastAsia="en-US"/>
        </w:rPr>
      </w:pPr>
    </w:p>
    <w:p w14:paraId="1E921F99" w14:textId="77777777" w:rsidR="00DC75CF" w:rsidRDefault="00DC75CF" w:rsidP="00404C23">
      <w:pPr>
        <w:spacing w:line="259" w:lineRule="auto"/>
        <w:rPr>
          <w:rFonts w:ascii="Verdana" w:eastAsia="Verdana" w:hAnsi="Verdana" w:cs="Verdana"/>
          <w:sz w:val="22"/>
          <w:szCs w:val="22"/>
          <w:lang w:eastAsia="en-US"/>
        </w:rPr>
      </w:pPr>
    </w:p>
    <w:p w14:paraId="45EB0972" w14:textId="77777777" w:rsidR="00DC75CF" w:rsidRDefault="00DC75CF" w:rsidP="00404C23">
      <w:pPr>
        <w:spacing w:line="259" w:lineRule="auto"/>
        <w:rPr>
          <w:rFonts w:ascii="Verdana" w:eastAsia="Verdana" w:hAnsi="Verdana" w:cs="Verdana"/>
          <w:sz w:val="22"/>
          <w:szCs w:val="22"/>
          <w:lang w:eastAsia="en-US"/>
        </w:rPr>
      </w:pPr>
    </w:p>
    <w:p w14:paraId="2DD1D2B5" w14:textId="77777777" w:rsidR="00DC75CF" w:rsidRDefault="00DC75CF" w:rsidP="00404C23">
      <w:pPr>
        <w:spacing w:line="259" w:lineRule="auto"/>
        <w:rPr>
          <w:rFonts w:ascii="Verdana" w:eastAsia="Verdana" w:hAnsi="Verdana" w:cs="Verdana"/>
          <w:sz w:val="22"/>
          <w:szCs w:val="22"/>
          <w:lang w:eastAsia="en-US"/>
        </w:rPr>
      </w:pPr>
    </w:p>
    <w:p w14:paraId="20A2A38A" w14:textId="716B3602" w:rsidR="00404C23" w:rsidRDefault="00404C23" w:rsidP="00404C23">
      <w:pPr>
        <w:spacing w:line="259" w:lineRule="auto"/>
        <w:rPr>
          <w:rFonts w:ascii="Verdana" w:eastAsia="Verdana" w:hAnsi="Verdana" w:cs="Verdana"/>
          <w:sz w:val="22"/>
          <w:szCs w:val="22"/>
          <w:lang w:eastAsia="en-US"/>
        </w:rPr>
      </w:pPr>
      <w:r w:rsidRPr="00404C23">
        <w:rPr>
          <w:rFonts w:ascii="Verdana" w:eastAsia="Verdana" w:hAnsi="Verdana" w:cs="Verdana"/>
          <w:sz w:val="22"/>
          <w:szCs w:val="22"/>
          <w:lang w:eastAsia="en-US"/>
        </w:rPr>
        <w:lastRenderedPageBreak/>
        <w:t xml:space="preserve">Bogotá D.C., </w:t>
      </w:r>
      <w:r w:rsidR="00A71BCE">
        <w:rPr>
          <w:rFonts w:ascii="Verdana" w:eastAsia="Verdana" w:hAnsi="Verdana" w:cs="Verdana"/>
          <w:sz w:val="22"/>
          <w:szCs w:val="22"/>
          <w:lang w:eastAsia="en-US"/>
        </w:rPr>
        <w:t>6 de agosto de 20</w:t>
      </w:r>
      <w:r w:rsidR="001F5D8F">
        <w:rPr>
          <w:rFonts w:ascii="Verdana" w:eastAsia="Verdana" w:hAnsi="Verdana" w:cs="Verdana"/>
          <w:sz w:val="22"/>
          <w:szCs w:val="22"/>
          <w:lang w:eastAsia="en-US"/>
        </w:rPr>
        <w:t>2</w:t>
      </w:r>
      <w:r w:rsidR="00A71BCE">
        <w:rPr>
          <w:rFonts w:ascii="Verdana" w:eastAsia="Verdana" w:hAnsi="Verdana" w:cs="Verdana"/>
          <w:sz w:val="22"/>
          <w:szCs w:val="22"/>
          <w:lang w:eastAsia="en-US"/>
        </w:rPr>
        <w:t>6</w:t>
      </w:r>
      <w:r w:rsidR="001F5D8F">
        <w:rPr>
          <w:rFonts w:ascii="Verdana" w:eastAsia="Verdana" w:hAnsi="Verdana" w:cs="Verdana"/>
          <w:sz w:val="22"/>
          <w:szCs w:val="22"/>
          <w:lang w:eastAsia="en-US"/>
        </w:rPr>
        <w:t xml:space="preserve"> </w:t>
      </w:r>
    </w:p>
    <w:p w14:paraId="4D23C894" w14:textId="41701ABE" w:rsidR="00A71BCE" w:rsidRDefault="00A71BCE" w:rsidP="00404C23">
      <w:pPr>
        <w:spacing w:line="259" w:lineRule="auto"/>
        <w:rPr>
          <w:rFonts w:ascii="Verdana" w:eastAsia="Verdana" w:hAnsi="Verdana" w:cs="Verdana"/>
          <w:sz w:val="22"/>
          <w:szCs w:val="22"/>
          <w:lang w:eastAsia="en-US"/>
        </w:rPr>
      </w:pPr>
    </w:p>
    <w:p w14:paraId="5EE9907F" w14:textId="500BCCC2" w:rsidR="00A71BCE" w:rsidRPr="00404C23" w:rsidRDefault="00A71BCE" w:rsidP="00404C23">
      <w:pPr>
        <w:spacing w:line="259" w:lineRule="auto"/>
        <w:rPr>
          <w:rFonts w:ascii="Verdana" w:eastAsia="Verdana" w:hAnsi="Verdana" w:cs="Verdana"/>
          <w:sz w:val="22"/>
          <w:szCs w:val="22"/>
        </w:rPr>
      </w:pPr>
    </w:p>
    <w:p w14:paraId="1A68ACFE" w14:textId="04BECAA3" w:rsidR="00404C23" w:rsidRPr="00404C23" w:rsidRDefault="00CB07BE" w:rsidP="00404C23">
      <w:pPr>
        <w:rPr>
          <w:rFonts w:ascii="Verdana" w:eastAsia="Verdana" w:hAnsi="Verdana" w:cs="Verdana"/>
          <w:sz w:val="22"/>
          <w:szCs w:val="22"/>
        </w:rPr>
      </w:pPr>
      <w:r w:rsidRPr="001F5D8F">
        <w:rPr>
          <w:rFonts w:ascii="Verdana" w:eastAsia="Verdana" w:hAnsi="Verdana" w:cs="Verdana"/>
          <w:noProof/>
          <w:sz w:val="22"/>
          <w:szCs w:val="22"/>
          <w:lang w:eastAsia="en-US"/>
        </w:rPr>
        <w:drawing>
          <wp:anchor distT="0" distB="0" distL="114300" distR="114300" simplePos="0" relativeHeight="251658240" behindDoc="0" locked="0" layoutInCell="1" allowOverlap="1" wp14:anchorId="7318F54D" wp14:editId="26707A00">
            <wp:simplePos x="0" y="0"/>
            <wp:positionH relativeFrom="margin">
              <wp:align>right</wp:align>
            </wp:positionH>
            <wp:positionV relativeFrom="paragraph">
              <wp:posOffset>84345</wp:posOffset>
            </wp:positionV>
            <wp:extent cx="2351405" cy="650875"/>
            <wp:effectExtent l="0" t="0" r="0" b="0"/>
            <wp:wrapSquare wrapText="bothSides"/>
            <wp:docPr id="10482524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1405" cy="650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4C23" w:rsidRPr="00404C23">
        <w:rPr>
          <w:rFonts w:ascii="Verdana" w:eastAsia="Verdana" w:hAnsi="Verdana" w:cs="Verdana"/>
          <w:sz w:val="22"/>
          <w:szCs w:val="22"/>
        </w:rPr>
        <w:t>Doctor</w:t>
      </w:r>
    </w:p>
    <w:p w14:paraId="3CC1472B" w14:textId="77777777" w:rsidR="00404C23" w:rsidRPr="00404C23" w:rsidRDefault="00404C23" w:rsidP="00404C23">
      <w:pPr>
        <w:rPr>
          <w:rFonts w:ascii="Verdana" w:eastAsia="Verdana" w:hAnsi="Verdana" w:cs="Verdana"/>
          <w:b/>
          <w:bCs/>
          <w:sz w:val="22"/>
          <w:szCs w:val="22"/>
        </w:rPr>
      </w:pPr>
      <w:r w:rsidRPr="00404C23">
        <w:rPr>
          <w:rFonts w:ascii="Verdana" w:eastAsia="Verdana" w:hAnsi="Verdana" w:cs="Verdana"/>
          <w:b/>
          <w:bCs/>
          <w:sz w:val="22"/>
          <w:szCs w:val="22"/>
        </w:rPr>
        <w:t xml:space="preserve">Jorge Enrique Moncaleano Ospina </w:t>
      </w:r>
    </w:p>
    <w:p w14:paraId="5DD40D9E" w14:textId="77777777" w:rsidR="00404C23" w:rsidRPr="00404C23" w:rsidRDefault="00404C23" w:rsidP="00404C23">
      <w:pPr>
        <w:rPr>
          <w:rFonts w:ascii="Verdana" w:eastAsia="Verdana" w:hAnsi="Verdana" w:cs="Verdana"/>
          <w:sz w:val="22"/>
          <w:szCs w:val="22"/>
        </w:rPr>
      </w:pPr>
      <w:r w:rsidRPr="00404C23">
        <w:rPr>
          <w:rFonts w:ascii="Verdana" w:eastAsia="Verdana" w:hAnsi="Verdana" w:cs="Verdana"/>
          <w:sz w:val="22"/>
          <w:szCs w:val="22"/>
        </w:rPr>
        <w:t>Jefe Oficina Asesora Jurídica</w:t>
      </w:r>
    </w:p>
    <w:p w14:paraId="2B1B4DCD" w14:textId="77777777" w:rsidR="00404C23" w:rsidRPr="00404C23" w:rsidRDefault="00404C23" w:rsidP="00404C23">
      <w:pPr>
        <w:rPr>
          <w:rFonts w:ascii="Verdana" w:eastAsia="Verdana" w:hAnsi="Verdana" w:cs="Verdana"/>
          <w:sz w:val="22"/>
          <w:szCs w:val="22"/>
        </w:rPr>
      </w:pPr>
      <w:r w:rsidRPr="00404C23">
        <w:rPr>
          <w:rFonts w:ascii="Verdana" w:eastAsia="Verdana" w:hAnsi="Verdana" w:cs="Verdana"/>
          <w:sz w:val="22"/>
          <w:szCs w:val="22"/>
        </w:rPr>
        <w:t xml:space="preserve">Ministerio de Agricultura </w:t>
      </w:r>
    </w:p>
    <w:p w14:paraId="51847E6C" w14:textId="77777777" w:rsidR="00404C23" w:rsidRPr="00404C23" w:rsidRDefault="00404C23" w:rsidP="00404C23">
      <w:pPr>
        <w:rPr>
          <w:rFonts w:ascii="Verdana" w:eastAsia="Verdana" w:hAnsi="Verdana" w:cs="Verdana"/>
          <w:sz w:val="22"/>
          <w:szCs w:val="22"/>
        </w:rPr>
      </w:pPr>
      <w:hyperlink r:id="rId13" w:history="1">
        <w:r w:rsidRPr="00404C23">
          <w:rPr>
            <w:rFonts w:ascii="Verdana" w:eastAsia="Verdana" w:hAnsi="Verdana" w:cs="Verdana"/>
            <w:color w:val="0000FF"/>
            <w:sz w:val="22"/>
            <w:szCs w:val="22"/>
            <w:u w:val="single"/>
          </w:rPr>
          <w:t>notificacionesjudiciales@minagricultura.gov.co</w:t>
        </w:r>
      </w:hyperlink>
      <w:r w:rsidRPr="00404C23">
        <w:rPr>
          <w:rFonts w:ascii="Verdana" w:eastAsia="Verdana" w:hAnsi="Verdana" w:cs="Verdana"/>
          <w:sz w:val="22"/>
          <w:szCs w:val="22"/>
        </w:rPr>
        <w:t xml:space="preserve"> </w:t>
      </w:r>
    </w:p>
    <w:p w14:paraId="62F2E3FA" w14:textId="77777777" w:rsidR="00404C23" w:rsidRPr="00404C23" w:rsidRDefault="00404C23" w:rsidP="00404C23">
      <w:pPr>
        <w:rPr>
          <w:rFonts w:ascii="Verdana" w:eastAsia="Verdana" w:hAnsi="Verdana" w:cs="Verdana"/>
          <w:sz w:val="22"/>
          <w:szCs w:val="22"/>
        </w:rPr>
      </w:pPr>
      <w:hyperlink r:id="rId14" w:history="1">
        <w:r w:rsidRPr="00404C23">
          <w:rPr>
            <w:rFonts w:ascii="Verdana" w:eastAsia="Verdana" w:hAnsi="Verdana" w:cs="Verdana"/>
            <w:color w:val="0000FF"/>
            <w:sz w:val="22"/>
            <w:szCs w:val="22"/>
            <w:u w:val="single"/>
          </w:rPr>
          <w:t>Jorge.moncaleano@minagricultura.gov.co</w:t>
        </w:r>
      </w:hyperlink>
      <w:r w:rsidRPr="00404C23">
        <w:rPr>
          <w:rFonts w:ascii="Verdana" w:eastAsia="Verdana" w:hAnsi="Verdana" w:cs="Verdana"/>
          <w:sz w:val="22"/>
          <w:szCs w:val="22"/>
        </w:rPr>
        <w:t xml:space="preserve"> </w:t>
      </w:r>
    </w:p>
    <w:p w14:paraId="1B20D97F" w14:textId="77777777" w:rsidR="00404C23" w:rsidRPr="00404C23" w:rsidRDefault="00404C23" w:rsidP="00404C23">
      <w:pPr>
        <w:rPr>
          <w:rFonts w:ascii="Verdana" w:eastAsia="Verdana" w:hAnsi="Verdana" w:cs="Verdana"/>
          <w:sz w:val="22"/>
          <w:szCs w:val="22"/>
        </w:rPr>
      </w:pPr>
      <w:hyperlink r:id="rId15" w:history="1">
        <w:r w:rsidRPr="00404C23">
          <w:rPr>
            <w:rFonts w:ascii="Verdana" w:eastAsia="Verdana" w:hAnsi="Verdana" w:cs="Verdana"/>
            <w:color w:val="0000FF"/>
            <w:sz w:val="22"/>
            <w:szCs w:val="22"/>
            <w:u w:val="single"/>
          </w:rPr>
          <w:t>eva@funcionpublica.gov.co</w:t>
        </w:r>
      </w:hyperlink>
      <w:r w:rsidRPr="00404C23">
        <w:rPr>
          <w:rFonts w:ascii="Verdana" w:eastAsia="Verdana" w:hAnsi="Verdana" w:cs="Verdana"/>
          <w:sz w:val="22"/>
          <w:szCs w:val="22"/>
        </w:rPr>
        <w:t xml:space="preserve"> </w:t>
      </w:r>
    </w:p>
    <w:p w14:paraId="56449149" w14:textId="77777777" w:rsidR="00404C23" w:rsidRPr="00404C23" w:rsidRDefault="00404C23" w:rsidP="00404C23">
      <w:pPr>
        <w:rPr>
          <w:rFonts w:ascii="Verdana" w:eastAsia="Verdana" w:hAnsi="Verdana" w:cs="Verdana"/>
          <w:sz w:val="22"/>
          <w:szCs w:val="22"/>
        </w:rPr>
      </w:pPr>
      <w:r w:rsidRPr="00404C23">
        <w:rPr>
          <w:rFonts w:ascii="Verdana" w:eastAsia="Verdana" w:hAnsi="Verdana" w:cs="Verdana"/>
          <w:sz w:val="22"/>
          <w:szCs w:val="22"/>
        </w:rPr>
        <w:t>Bogotá D.C.</w:t>
      </w:r>
    </w:p>
    <w:p w14:paraId="1F86878C" w14:textId="77777777" w:rsidR="00404C23" w:rsidRPr="00404C23" w:rsidRDefault="00404C23" w:rsidP="00404C23">
      <w:pPr>
        <w:rPr>
          <w:rFonts w:ascii="Verdana" w:eastAsia="Verdana" w:hAnsi="Verdana" w:cs="Verdana"/>
          <w:sz w:val="22"/>
          <w:szCs w:val="22"/>
        </w:rPr>
      </w:pPr>
    </w:p>
    <w:p w14:paraId="070ABA2A" w14:textId="2B160B91" w:rsidR="00404C23" w:rsidRPr="00404C23" w:rsidRDefault="00404C23" w:rsidP="00404C23">
      <w:pPr>
        <w:rPr>
          <w:rFonts w:ascii="Verdana" w:eastAsia="Verdana" w:hAnsi="Verdana" w:cs="Verdana"/>
          <w:b/>
          <w:sz w:val="22"/>
          <w:szCs w:val="22"/>
        </w:rPr>
      </w:pPr>
      <w:r w:rsidRPr="00404C23">
        <w:rPr>
          <w:rFonts w:ascii="Verdana" w:eastAsia="Verdana" w:hAnsi="Verdana" w:cs="Verdana"/>
          <w:b/>
          <w:sz w:val="22"/>
          <w:szCs w:val="22"/>
        </w:rPr>
        <w:t xml:space="preserve">                                    Concepto C</w:t>
      </w:r>
      <w:r w:rsidR="00C55B5B">
        <w:rPr>
          <w:rFonts w:ascii="Verdana" w:eastAsia="Verdana" w:hAnsi="Verdana" w:cs="Verdana"/>
          <w:b/>
          <w:sz w:val="22"/>
          <w:szCs w:val="22"/>
        </w:rPr>
        <w:t>-</w:t>
      </w:r>
      <w:r w:rsidRPr="00404C23">
        <w:rPr>
          <w:rFonts w:ascii="Verdana" w:eastAsia="Verdana" w:hAnsi="Verdana" w:cs="Verdana"/>
          <w:b/>
          <w:sz w:val="22"/>
          <w:szCs w:val="22"/>
        </w:rPr>
        <w:t>1019 de 2026</w:t>
      </w:r>
    </w:p>
    <w:p w14:paraId="4194887E" w14:textId="77777777" w:rsidR="00404C23" w:rsidRPr="00404C23" w:rsidRDefault="00404C23" w:rsidP="00404C23">
      <w:pPr>
        <w:rPr>
          <w:rFonts w:ascii="Verdana" w:eastAsia="Verdana" w:hAnsi="Verdana" w:cs="Verdana"/>
          <w:sz w:val="22"/>
          <w:szCs w:val="22"/>
        </w:rPr>
      </w:pPr>
    </w:p>
    <w:tbl>
      <w:tblPr>
        <w:tblW w:w="15163" w:type="dxa"/>
        <w:tblBorders>
          <w:top w:val="nil"/>
          <w:left w:val="nil"/>
          <w:bottom w:val="nil"/>
          <w:right w:val="nil"/>
          <w:insideH w:val="nil"/>
          <w:insideV w:val="nil"/>
        </w:tblBorders>
        <w:tblLayout w:type="fixed"/>
        <w:tblLook w:val="0400" w:firstRow="0" w:lastRow="0" w:firstColumn="0" w:lastColumn="0" w:noHBand="0" w:noVBand="1"/>
      </w:tblPr>
      <w:tblGrid>
        <w:gridCol w:w="2685"/>
        <w:gridCol w:w="6241"/>
        <w:gridCol w:w="6237"/>
      </w:tblGrid>
      <w:tr w:rsidR="00404C23" w:rsidRPr="00404C23" w14:paraId="2D407177" w14:textId="77777777" w:rsidTr="00787EE0">
        <w:trPr>
          <w:trHeight w:val="1180"/>
        </w:trPr>
        <w:tc>
          <w:tcPr>
            <w:tcW w:w="2685" w:type="dxa"/>
          </w:tcPr>
          <w:p w14:paraId="7A451C31" w14:textId="77777777" w:rsidR="00404C23" w:rsidRPr="00404C23" w:rsidRDefault="00404C23" w:rsidP="00404C23">
            <w:pPr>
              <w:rPr>
                <w:rFonts w:ascii="Verdana" w:eastAsia="Verdana" w:hAnsi="Verdana" w:cs="Verdana"/>
                <w:b/>
                <w:bCs/>
                <w:sz w:val="22"/>
                <w:szCs w:val="22"/>
              </w:rPr>
            </w:pPr>
            <w:r w:rsidRPr="00404C23">
              <w:rPr>
                <w:rFonts w:ascii="Verdana" w:eastAsia="Verdana" w:hAnsi="Verdana" w:cs="Verdana"/>
                <w:b/>
                <w:bCs/>
                <w:sz w:val="22"/>
                <w:szCs w:val="22"/>
              </w:rPr>
              <w:t xml:space="preserve">Temas:                   </w:t>
            </w:r>
          </w:p>
        </w:tc>
        <w:tc>
          <w:tcPr>
            <w:tcW w:w="6237" w:type="dxa"/>
          </w:tcPr>
          <w:p w14:paraId="31972A36" w14:textId="38EDEB3F" w:rsidR="00404C23" w:rsidRDefault="00404C23" w:rsidP="00404C23">
            <w:pPr>
              <w:spacing w:line="276" w:lineRule="auto"/>
              <w:jc w:val="both"/>
              <w:rPr>
                <w:rFonts w:ascii="Verdana" w:eastAsia="Verdana" w:hAnsi="Verdana" w:cs="Verdana"/>
                <w:sz w:val="22"/>
                <w:szCs w:val="22"/>
              </w:rPr>
            </w:pPr>
            <w:r w:rsidRPr="00404C23">
              <w:rPr>
                <w:rFonts w:ascii="Verdana" w:eastAsia="Verdana" w:hAnsi="Verdana" w:cs="Verdana"/>
                <w:sz w:val="22"/>
                <w:szCs w:val="22"/>
              </w:rPr>
              <w:t xml:space="preserve">INHABILIDADES E INCOMPATIBILIDADES – Definición – Fundamento – Clases / INHABILIDADES E INCOMPATIBILIDADES – Finalidad – Limitación de la capacidad contractual / INHABILIDADES E INCOMPATIBILIDADES – Taxatividad – Principio de legalidad – Interpretación restrictiva / CONTRIBUCIONES PARAFISCALES AGROPECUARIAS – Naturaleza pública de los recursos – Función pública / FONDOS PARAFISCALES AGROPECUARIOS – Administración por entidades gremiales / PARTICULARES QUE EJERCEN FUNCIONES PÚBLICAS – Régimen de inhabilidades e incompatibilidades – Ley 1952 de 2019 – Ley 489 de 1998 / CONTRATACIÓN CON RECURSOS PÚBLICOS – Régimen de inhabilidades e incompatibilidades – Ley 2014 de 2019 – Aplicación a la contratación privada / FONDOS PARAFISCALES AGROPECUARIOS – Contratación del administrador con socios o aportantes / FONDOS PARAFISCALES AGROPECUARIOS – Contratación con personas jurídicas vinculadas a miembros de la junta directiva – Nepotismo (artículo 126 de la Constitución Política) / CONFLICTOS DE INTERÉS – Deberes de los administradores – Ley 222 de 1995 – Aplicación supletiva de la Ley 1437 de 2011 / GESTIÓN DE </w:t>
            </w:r>
            <w:r w:rsidRPr="00404C23">
              <w:rPr>
                <w:rFonts w:ascii="Verdana" w:eastAsia="Verdana" w:hAnsi="Verdana" w:cs="Verdana"/>
                <w:sz w:val="22"/>
                <w:szCs w:val="22"/>
              </w:rPr>
              <w:lastRenderedPageBreak/>
              <w:t>RECURSOS PÚBLICOS – Transparencia – Postura de la Sala de Consulta y Servicio Civil</w:t>
            </w:r>
          </w:p>
          <w:p w14:paraId="6B93F3CC" w14:textId="77777777" w:rsidR="00E2290A" w:rsidRDefault="00E2290A" w:rsidP="00404C23">
            <w:pPr>
              <w:spacing w:line="276" w:lineRule="auto"/>
              <w:jc w:val="both"/>
              <w:rPr>
                <w:rFonts w:ascii="Verdana" w:eastAsia="Verdana" w:hAnsi="Verdana" w:cs="Verdana"/>
                <w:sz w:val="22"/>
                <w:szCs w:val="22"/>
              </w:rPr>
            </w:pPr>
          </w:p>
          <w:p w14:paraId="48577C83" w14:textId="77777777" w:rsidR="00E2290A" w:rsidRPr="00404C23" w:rsidRDefault="00E2290A" w:rsidP="00404C23">
            <w:pPr>
              <w:spacing w:line="276" w:lineRule="auto"/>
              <w:jc w:val="both"/>
              <w:rPr>
                <w:rFonts w:ascii="Verdana" w:eastAsia="Verdana" w:hAnsi="Verdana" w:cs="Verdana"/>
                <w:sz w:val="22"/>
                <w:szCs w:val="22"/>
              </w:rPr>
            </w:pPr>
          </w:p>
        </w:tc>
        <w:tc>
          <w:tcPr>
            <w:tcW w:w="6237" w:type="dxa"/>
          </w:tcPr>
          <w:p w14:paraId="5F50790B" w14:textId="77777777" w:rsidR="00404C23" w:rsidRPr="00404C23" w:rsidRDefault="00404C23" w:rsidP="00404C23">
            <w:pPr>
              <w:rPr>
                <w:sz w:val="22"/>
                <w:szCs w:val="22"/>
              </w:rPr>
            </w:pPr>
          </w:p>
        </w:tc>
      </w:tr>
      <w:tr w:rsidR="00404C23" w:rsidRPr="00404C23" w14:paraId="76D8775D" w14:textId="77777777" w:rsidTr="00787EE0">
        <w:tc>
          <w:tcPr>
            <w:tcW w:w="2685" w:type="dxa"/>
          </w:tcPr>
          <w:p w14:paraId="53AE9AA8" w14:textId="77777777" w:rsidR="00404C23" w:rsidRPr="00404C23" w:rsidRDefault="00404C23" w:rsidP="00404C23">
            <w:pPr>
              <w:rPr>
                <w:rFonts w:ascii="Verdana" w:eastAsia="Verdana" w:hAnsi="Verdana" w:cs="Verdana"/>
                <w:b/>
                <w:bCs/>
                <w:sz w:val="22"/>
                <w:szCs w:val="22"/>
              </w:rPr>
            </w:pPr>
            <w:r w:rsidRPr="00404C23">
              <w:rPr>
                <w:rFonts w:ascii="Verdana" w:eastAsia="Verdana" w:hAnsi="Verdana" w:cs="Verdana"/>
                <w:b/>
                <w:bCs/>
                <w:sz w:val="22"/>
                <w:szCs w:val="22"/>
              </w:rPr>
              <w:t xml:space="preserve">Radicación:               </w:t>
            </w:r>
          </w:p>
        </w:tc>
        <w:tc>
          <w:tcPr>
            <w:tcW w:w="6241" w:type="dxa"/>
          </w:tcPr>
          <w:p w14:paraId="6C6FEFE0" w14:textId="77777777" w:rsidR="00404C23" w:rsidRPr="00404C23" w:rsidRDefault="00404C23" w:rsidP="00404C23">
            <w:pPr>
              <w:jc w:val="both"/>
              <w:rPr>
                <w:rFonts w:ascii="Verdana" w:eastAsia="Verdana" w:hAnsi="Verdana" w:cs="Verdana"/>
                <w:sz w:val="22"/>
                <w:szCs w:val="22"/>
              </w:rPr>
            </w:pPr>
            <w:r w:rsidRPr="00404C23">
              <w:rPr>
                <w:rFonts w:ascii="Verdana" w:eastAsia="Verdana" w:hAnsi="Verdana" w:cs="Verdana"/>
                <w:sz w:val="22"/>
                <w:szCs w:val="22"/>
              </w:rPr>
              <w:t xml:space="preserve">Respuesta a consulta con radicados 1_2026_06_25_008512 </w:t>
            </w:r>
          </w:p>
          <w:p w14:paraId="1D526435" w14:textId="77777777" w:rsidR="00404C23" w:rsidRPr="00404C23" w:rsidRDefault="00404C23" w:rsidP="00404C23">
            <w:pPr>
              <w:jc w:val="both"/>
              <w:rPr>
                <w:rFonts w:ascii="Verdana" w:eastAsia="Verdana" w:hAnsi="Verdana" w:cs="Verdana"/>
                <w:sz w:val="22"/>
                <w:szCs w:val="22"/>
              </w:rPr>
            </w:pPr>
          </w:p>
        </w:tc>
        <w:tc>
          <w:tcPr>
            <w:tcW w:w="6237" w:type="dxa"/>
          </w:tcPr>
          <w:p w14:paraId="7CDAF43B" w14:textId="77777777" w:rsidR="00404C23" w:rsidRPr="00404C23" w:rsidRDefault="00404C23" w:rsidP="00404C23">
            <w:pPr>
              <w:rPr>
                <w:rFonts w:ascii="Verdana" w:eastAsia="Verdana" w:hAnsi="Verdana" w:cs="Verdana"/>
                <w:sz w:val="22"/>
                <w:szCs w:val="22"/>
              </w:rPr>
            </w:pPr>
          </w:p>
        </w:tc>
      </w:tr>
      <w:tr w:rsidR="00404C23" w:rsidRPr="00404C23" w14:paraId="49BEEA09" w14:textId="77777777" w:rsidTr="00787EE0">
        <w:tc>
          <w:tcPr>
            <w:tcW w:w="2685" w:type="dxa"/>
          </w:tcPr>
          <w:p w14:paraId="69681568" w14:textId="77777777" w:rsidR="00404C23" w:rsidRPr="00404C23" w:rsidRDefault="00404C23" w:rsidP="00404C23">
            <w:pPr>
              <w:rPr>
                <w:rFonts w:ascii="Verdana" w:eastAsia="Verdana" w:hAnsi="Verdana" w:cs="Verdana"/>
                <w:sz w:val="22"/>
                <w:szCs w:val="22"/>
              </w:rPr>
            </w:pPr>
          </w:p>
        </w:tc>
        <w:tc>
          <w:tcPr>
            <w:tcW w:w="6241" w:type="dxa"/>
          </w:tcPr>
          <w:p w14:paraId="590A22E7" w14:textId="77777777" w:rsidR="00404C23" w:rsidRPr="00404C23" w:rsidRDefault="00404C23" w:rsidP="00404C23">
            <w:pPr>
              <w:jc w:val="both"/>
              <w:rPr>
                <w:rFonts w:ascii="Verdana" w:eastAsia="Verdana" w:hAnsi="Verdana" w:cs="Verdana"/>
                <w:sz w:val="22"/>
                <w:szCs w:val="22"/>
              </w:rPr>
            </w:pPr>
          </w:p>
        </w:tc>
        <w:tc>
          <w:tcPr>
            <w:tcW w:w="6237" w:type="dxa"/>
          </w:tcPr>
          <w:p w14:paraId="74E9D5E0" w14:textId="77777777" w:rsidR="00404C23" w:rsidRPr="00404C23" w:rsidRDefault="00404C23" w:rsidP="00404C23">
            <w:pPr>
              <w:rPr>
                <w:rFonts w:ascii="Verdana" w:eastAsia="Verdana" w:hAnsi="Verdana" w:cs="Verdana"/>
                <w:sz w:val="22"/>
                <w:szCs w:val="22"/>
              </w:rPr>
            </w:pPr>
          </w:p>
        </w:tc>
      </w:tr>
    </w:tbl>
    <w:p w14:paraId="3C253842" w14:textId="77777777" w:rsidR="00404C23" w:rsidRPr="00404C23" w:rsidRDefault="00404C23" w:rsidP="00404C23">
      <w:pPr>
        <w:spacing w:line="256" w:lineRule="auto"/>
        <w:rPr>
          <w:rFonts w:ascii="Verdana" w:eastAsia="Verdana" w:hAnsi="Verdana" w:cs="Verdana"/>
          <w:sz w:val="22"/>
          <w:szCs w:val="22"/>
        </w:rPr>
      </w:pPr>
      <w:r w:rsidRPr="00404C23">
        <w:rPr>
          <w:rFonts w:ascii="Verdana" w:eastAsia="Verdana" w:hAnsi="Verdana" w:cs="Verdana"/>
          <w:sz w:val="22"/>
          <w:szCs w:val="22"/>
        </w:rPr>
        <w:t>Estimado Doctor Moncaleano:</w:t>
      </w:r>
    </w:p>
    <w:p w14:paraId="7AEBFF69" w14:textId="77777777" w:rsidR="00404C23" w:rsidRPr="00404C23" w:rsidRDefault="00404C23" w:rsidP="00404C23">
      <w:pPr>
        <w:spacing w:line="276" w:lineRule="auto"/>
        <w:rPr>
          <w:rFonts w:ascii="Verdana" w:eastAsia="Verdana" w:hAnsi="Verdana" w:cs="Verdana"/>
          <w:sz w:val="22"/>
          <w:szCs w:val="22"/>
        </w:rPr>
      </w:pPr>
    </w:p>
    <w:p w14:paraId="4AB24B44" w14:textId="77777777" w:rsidR="00404C23" w:rsidRPr="00404C23" w:rsidRDefault="00404C23" w:rsidP="00404C23">
      <w:pPr>
        <w:spacing w:line="276" w:lineRule="auto"/>
        <w:jc w:val="both"/>
        <w:rPr>
          <w:rFonts w:ascii="Verdana" w:eastAsia="Verdana" w:hAnsi="Verdana" w:cs="Verdana"/>
          <w:sz w:val="22"/>
          <w:szCs w:val="22"/>
        </w:rPr>
      </w:pPr>
      <w:r w:rsidRPr="00404C23">
        <w:rPr>
          <w:rFonts w:ascii="Verdana" w:eastAsia="Verdana" w:hAnsi="Verdana" w:cs="Verdana"/>
          <w:sz w:val="22"/>
          <w:szCs w:val="22"/>
        </w:rPr>
        <w:t xml:space="preserve">En ejercicio de la competencia otorgada por los artículos 3, numeral 5º, y 11, numeral 8º, del Decreto Ley 4170 de 2011, así como lo establecido por la Resolución 469 de 2025 expedida por esta Entidad, la Agencia Nacional de Contratación Pública – Colombia Compra Eficiente– responde la solicitud de consulta remitida por competencia por parte del Departamento Administrativo de la Función Pública el 25 de junio de 2026, en la cual manifiesta, respecto al ámbito de nuestra competencia, se responda a las siguientes preguntas: </w:t>
      </w:r>
    </w:p>
    <w:p w14:paraId="34FE4DBD" w14:textId="77777777" w:rsidR="00404C23" w:rsidRPr="00404C23" w:rsidRDefault="00404C23" w:rsidP="00404C23">
      <w:pPr>
        <w:ind w:right="709"/>
        <w:jc w:val="both"/>
        <w:rPr>
          <w:rFonts w:ascii="Verdana" w:eastAsia="Verdana" w:hAnsi="Verdana" w:cs="Verdana"/>
          <w:sz w:val="22"/>
          <w:szCs w:val="22"/>
        </w:rPr>
      </w:pPr>
    </w:p>
    <w:p w14:paraId="1AF923EE" w14:textId="77777777" w:rsidR="00404C23" w:rsidRPr="00404C23" w:rsidRDefault="00404C23" w:rsidP="00404C23">
      <w:pPr>
        <w:autoSpaceDE w:val="0"/>
        <w:autoSpaceDN w:val="0"/>
        <w:adjustRightInd w:val="0"/>
        <w:ind w:left="709" w:right="709"/>
        <w:jc w:val="both"/>
        <w:rPr>
          <w:rFonts w:ascii="Verdana" w:eastAsia="Verdana" w:hAnsi="Verdana" w:cs="Verdana"/>
          <w:sz w:val="20"/>
          <w:szCs w:val="20"/>
        </w:rPr>
      </w:pPr>
      <w:r w:rsidRPr="00404C23">
        <w:rPr>
          <w:rFonts w:ascii="Verdana" w:eastAsia="Verdana" w:hAnsi="Verdana" w:cs="Verdana"/>
          <w:sz w:val="20"/>
          <w:szCs w:val="20"/>
        </w:rPr>
        <w:t>II.1. ¿Existe habilitación constitucional o legal en el ordenamiento jurídico</w:t>
      </w:r>
    </w:p>
    <w:p w14:paraId="62E413E3" w14:textId="77777777" w:rsidR="00404C23" w:rsidRPr="00404C23" w:rsidRDefault="00404C23" w:rsidP="00404C23">
      <w:pPr>
        <w:autoSpaceDE w:val="0"/>
        <w:autoSpaceDN w:val="0"/>
        <w:adjustRightInd w:val="0"/>
        <w:ind w:left="709" w:right="709"/>
        <w:jc w:val="both"/>
        <w:rPr>
          <w:rFonts w:ascii="Verdana" w:eastAsia="Verdana" w:hAnsi="Verdana" w:cs="Verdana"/>
          <w:sz w:val="20"/>
          <w:szCs w:val="20"/>
        </w:rPr>
      </w:pPr>
      <w:r w:rsidRPr="00404C23">
        <w:rPr>
          <w:rFonts w:ascii="Verdana" w:eastAsia="Verdana" w:hAnsi="Verdana" w:cs="Verdana"/>
          <w:sz w:val="20"/>
          <w:szCs w:val="20"/>
        </w:rPr>
        <w:t xml:space="preserve">colombiano para que, con recursos de un fondo parafiscal agropecuario, el administrador del fondo celebre contratos con uno de sus socios o aportantes o por el contrario le aplican el régimen de Inhabilidades según lo dispuesto en el artículo 3º parágrafo 3 de la Ley 2014 de 2019? </w:t>
      </w:r>
    </w:p>
    <w:p w14:paraId="62DBCEAB" w14:textId="77777777" w:rsidR="00404C23" w:rsidRPr="00404C23" w:rsidRDefault="00404C23" w:rsidP="00404C23">
      <w:pPr>
        <w:autoSpaceDE w:val="0"/>
        <w:autoSpaceDN w:val="0"/>
        <w:adjustRightInd w:val="0"/>
        <w:ind w:right="709"/>
        <w:jc w:val="both"/>
        <w:rPr>
          <w:rFonts w:ascii="Verdana" w:eastAsia="Verdana" w:hAnsi="Verdana" w:cs="Verdana"/>
          <w:sz w:val="20"/>
          <w:szCs w:val="20"/>
        </w:rPr>
      </w:pPr>
    </w:p>
    <w:p w14:paraId="259462D8" w14:textId="77777777" w:rsidR="00404C23" w:rsidRPr="00404C23" w:rsidRDefault="00404C23" w:rsidP="00404C23">
      <w:pPr>
        <w:autoSpaceDE w:val="0"/>
        <w:autoSpaceDN w:val="0"/>
        <w:adjustRightInd w:val="0"/>
        <w:ind w:left="709" w:right="709"/>
        <w:jc w:val="both"/>
        <w:rPr>
          <w:rFonts w:ascii="Verdana" w:eastAsia="Verdana" w:hAnsi="Verdana" w:cs="Verdana"/>
          <w:sz w:val="20"/>
          <w:szCs w:val="20"/>
        </w:rPr>
      </w:pPr>
      <w:r w:rsidRPr="00404C23">
        <w:rPr>
          <w:rFonts w:ascii="Verdana" w:eastAsia="Verdana" w:hAnsi="Verdana" w:cs="Verdana"/>
          <w:sz w:val="20"/>
          <w:szCs w:val="20"/>
        </w:rPr>
        <w:t>II.2. ¿Puede el administrador de un Fondo parafiscal del sector agropecuario, con recursos del fondo suscribir un contrato con una persona jurídica cuyo accionista es cónyuge, compañero permanente o con las personas que tengan vínculos de parentesco hasta el segundo grado de consanguinidad, segundo de afinidad o primero civil de uno de los miembros de la junta directiva del mismo Fondo?</w:t>
      </w:r>
    </w:p>
    <w:p w14:paraId="48A0C173" w14:textId="77777777" w:rsidR="00404C23" w:rsidRPr="00404C23" w:rsidRDefault="00404C23" w:rsidP="00404C23">
      <w:pPr>
        <w:ind w:right="709"/>
        <w:jc w:val="both"/>
        <w:rPr>
          <w:rFonts w:ascii="Verdana" w:eastAsia="Verdana" w:hAnsi="Verdana" w:cs="Verdana"/>
          <w:i/>
          <w:sz w:val="22"/>
          <w:szCs w:val="22"/>
        </w:rPr>
      </w:pPr>
    </w:p>
    <w:p w14:paraId="5A2A2F78" w14:textId="77777777" w:rsidR="00404C23" w:rsidRPr="00404C23" w:rsidRDefault="00404C23" w:rsidP="00404C23">
      <w:pPr>
        <w:spacing w:after="120" w:line="276" w:lineRule="auto"/>
        <w:ind w:firstLine="709"/>
        <w:jc w:val="both"/>
        <w:rPr>
          <w:rFonts w:ascii="Verdana" w:eastAsia="Verdana" w:hAnsi="Verdana" w:cs="Verdana"/>
          <w:sz w:val="22"/>
          <w:szCs w:val="22"/>
        </w:rPr>
      </w:pPr>
      <w:r w:rsidRPr="00404C23">
        <w:rPr>
          <w:rFonts w:ascii="Verdana" w:eastAsia="Verdana" w:hAnsi="Verdana" w:cs="Verdana"/>
          <w:sz w:val="22"/>
          <w:szCs w:val="22"/>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w:t>
      </w:r>
      <w:r w:rsidRPr="00404C23">
        <w:rPr>
          <w:rFonts w:ascii="Verdana" w:eastAsia="Verdana" w:hAnsi="Verdana" w:cs="Verdana"/>
          <w:sz w:val="22"/>
          <w:szCs w:val="22"/>
        </w:rPr>
        <w:lastRenderedPageBreak/>
        <w:t>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1F6BEE81" w14:textId="77777777" w:rsidR="00404C23" w:rsidRPr="00404C23" w:rsidRDefault="00404C23" w:rsidP="00404C23">
      <w:pPr>
        <w:spacing w:line="276" w:lineRule="auto"/>
        <w:ind w:firstLine="708"/>
        <w:jc w:val="both"/>
        <w:rPr>
          <w:rFonts w:ascii="Verdana" w:eastAsia="Verdana" w:hAnsi="Verdana" w:cs="Verdana"/>
          <w:sz w:val="22"/>
          <w:szCs w:val="22"/>
        </w:rPr>
      </w:pPr>
      <w:r w:rsidRPr="00404C23">
        <w:rPr>
          <w:rFonts w:ascii="Verdana" w:eastAsia="Verdana" w:hAnsi="Verdana" w:cs="Verdana"/>
          <w:sz w:val="22"/>
          <w:szCs w:val="22"/>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0AA99186" w14:textId="77777777" w:rsidR="00404C23" w:rsidRPr="00404C23" w:rsidRDefault="00404C23" w:rsidP="00404C23">
      <w:pPr>
        <w:spacing w:line="276" w:lineRule="auto"/>
        <w:ind w:firstLine="708"/>
        <w:jc w:val="both"/>
        <w:rPr>
          <w:rFonts w:ascii="Verdana" w:eastAsia="Verdana" w:hAnsi="Verdana" w:cs="Verdana"/>
          <w:sz w:val="22"/>
          <w:szCs w:val="22"/>
        </w:rPr>
      </w:pPr>
    </w:p>
    <w:p w14:paraId="2640802C" w14:textId="77777777" w:rsidR="00404C23" w:rsidRPr="00404C23" w:rsidRDefault="00404C23" w:rsidP="00404C23">
      <w:pPr>
        <w:spacing w:line="276" w:lineRule="auto"/>
        <w:rPr>
          <w:rFonts w:ascii="Verdana" w:eastAsia="Verdana" w:hAnsi="Verdana" w:cs="Verdana"/>
          <w:b/>
          <w:sz w:val="22"/>
          <w:szCs w:val="22"/>
        </w:rPr>
      </w:pPr>
      <w:r w:rsidRPr="00404C23">
        <w:rPr>
          <w:rFonts w:ascii="Verdana" w:eastAsia="Verdana" w:hAnsi="Verdana" w:cs="Verdana"/>
          <w:b/>
          <w:sz w:val="22"/>
          <w:szCs w:val="22"/>
        </w:rPr>
        <w:t xml:space="preserve">I. </w:t>
      </w:r>
      <w:r w:rsidRPr="00404C23">
        <w:rPr>
          <w:rFonts w:ascii="Verdana" w:eastAsia="Verdana" w:hAnsi="Verdana" w:cs="Verdana"/>
          <w:b/>
          <w:bCs/>
          <w:sz w:val="22"/>
          <w:szCs w:val="22"/>
        </w:rPr>
        <w:tab/>
      </w:r>
      <w:r w:rsidRPr="00404C23">
        <w:rPr>
          <w:rFonts w:ascii="Verdana" w:eastAsia="Verdana" w:hAnsi="Verdana" w:cs="Verdana"/>
          <w:b/>
          <w:sz w:val="22"/>
          <w:szCs w:val="22"/>
        </w:rPr>
        <w:t>Problema planteado:</w:t>
      </w:r>
    </w:p>
    <w:p w14:paraId="1381DE32" w14:textId="77777777" w:rsidR="00404C23" w:rsidRPr="00404C23" w:rsidRDefault="00404C23" w:rsidP="00404C23">
      <w:pPr>
        <w:spacing w:line="276" w:lineRule="auto"/>
        <w:rPr>
          <w:rFonts w:ascii="Verdana" w:eastAsia="Verdana" w:hAnsi="Verdana" w:cs="Verdana"/>
          <w:sz w:val="22"/>
          <w:szCs w:val="22"/>
        </w:rPr>
      </w:pPr>
    </w:p>
    <w:p w14:paraId="7835DF34" w14:textId="77777777" w:rsidR="00404C23" w:rsidRPr="00404C23" w:rsidRDefault="00404C23" w:rsidP="00404C23">
      <w:pPr>
        <w:spacing w:line="276" w:lineRule="auto"/>
        <w:jc w:val="both"/>
        <w:rPr>
          <w:rFonts w:ascii="Verdana" w:eastAsia="Verdana" w:hAnsi="Verdana" w:cs="Verdana"/>
          <w:sz w:val="22"/>
          <w:szCs w:val="22"/>
        </w:rPr>
      </w:pPr>
      <w:r w:rsidRPr="00404C23">
        <w:rPr>
          <w:rFonts w:ascii="Verdana" w:eastAsia="Verdana" w:hAnsi="Verdana" w:cs="Verdana"/>
          <w:sz w:val="22"/>
          <w:szCs w:val="22"/>
        </w:rPr>
        <w:t xml:space="preserve">De acuerdo con el contenido de su solicitud, esta Agencia procede a resolver los siguientes problemas jurídicos: i) ¿Existe habilitación constitucional o legal que permita al administrador de un fondo parafiscal agropecuario celebrar contratos, con cargo a los recursos del fondo, con sus propios socios o aportantes, o en tal caso resulta aplicable el régimen de inhabilidades previsto en el parágrafo 3º del artículo 3º de la Ley 2014 de 2019?; </w:t>
      </w:r>
      <w:proofErr w:type="spellStart"/>
      <w:r w:rsidRPr="00404C23">
        <w:rPr>
          <w:rFonts w:ascii="Verdana" w:eastAsia="Verdana" w:hAnsi="Verdana" w:cs="Verdana"/>
          <w:sz w:val="22"/>
          <w:szCs w:val="22"/>
        </w:rPr>
        <w:t>ii</w:t>
      </w:r>
      <w:proofErr w:type="spellEnd"/>
      <w:r w:rsidRPr="00404C23">
        <w:rPr>
          <w:rFonts w:ascii="Verdana" w:eastAsia="Verdana" w:hAnsi="Verdana" w:cs="Verdana"/>
          <w:sz w:val="22"/>
          <w:szCs w:val="22"/>
        </w:rPr>
        <w:t>) ¿Puede el administrador de un fondo parafiscal agropecuario celebrar contratos financiados con recursos del fondo con personas jurídicas cuyos accionistas tengan vínculos de parentesco —cónyuge, compañero permanente, o parientes hasta el segundo grado de consanguinidad, segundo de afinidad o primero civil— con miembros de la junta directiva del fondo, sin que configure una inhabilidad o incompatibilidad?</w:t>
      </w:r>
    </w:p>
    <w:p w14:paraId="45C0D330" w14:textId="77777777" w:rsidR="00404C23" w:rsidRPr="00404C23" w:rsidRDefault="00404C23" w:rsidP="00404C23">
      <w:pPr>
        <w:spacing w:line="276" w:lineRule="auto"/>
        <w:rPr>
          <w:rFonts w:ascii="Verdana" w:eastAsia="Verdana" w:hAnsi="Verdana" w:cs="Verdana"/>
          <w:sz w:val="22"/>
          <w:szCs w:val="22"/>
        </w:rPr>
      </w:pPr>
    </w:p>
    <w:p w14:paraId="1172B7AD" w14:textId="77777777" w:rsidR="00404C23" w:rsidRPr="00404C23" w:rsidRDefault="00404C23" w:rsidP="00404C23">
      <w:pPr>
        <w:spacing w:line="276" w:lineRule="auto"/>
        <w:rPr>
          <w:rFonts w:ascii="Verdana" w:eastAsia="Verdana" w:hAnsi="Verdana" w:cs="Verdana"/>
          <w:b/>
          <w:sz w:val="22"/>
          <w:szCs w:val="22"/>
        </w:rPr>
      </w:pPr>
      <w:r w:rsidRPr="00404C23">
        <w:rPr>
          <w:rFonts w:ascii="Verdana" w:eastAsia="Verdana" w:hAnsi="Verdana" w:cs="Verdana"/>
          <w:b/>
          <w:sz w:val="22"/>
          <w:szCs w:val="22"/>
        </w:rPr>
        <w:t>II. Respuesta:</w:t>
      </w:r>
    </w:p>
    <w:p w14:paraId="78FD1626" w14:textId="77777777" w:rsidR="00404C23" w:rsidRPr="00404C23" w:rsidRDefault="00404C23" w:rsidP="00404C23">
      <w:pPr>
        <w:spacing w:line="276" w:lineRule="auto"/>
        <w:jc w:val="both"/>
        <w:rPr>
          <w:rFonts w:ascii="Verdana" w:eastAsia="Verdana" w:hAnsi="Verdana" w:cs="Verdana"/>
          <w:sz w:val="22"/>
          <w:szCs w:val="22"/>
          <w:lang w:bidi="es-ES"/>
        </w:rPr>
      </w:pPr>
    </w:p>
    <w:tbl>
      <w:tblPr>
        <w:tblW w:w="8647"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8647"/>
      </w:tblGrid>
      <w:tr w:rsidR="00404C23" w:rsidRPr="00404C23" w14:paraId="0C0C6D1D" w14:textId="77777777" w:rsidTr="00787EE0">
        <w:trPr>
          <w:trHeight w:val="65"/>
          <w:jc w:val="center"/>
        </w:trPr>
        <w:tc>
          <w:tcPr>
            <w:tcW w:w="8647" w:type="dxa"/>
          </w:tcPr>
          <w:p w14:paraId="2047B9C0" w14:textId="77777777" w:rsidR="00404C23" w:rsidRPr="00404C23" w:rsidRDefault="00404C23" w:rsidP="00404C23">
            <w:pPr>
              <w:spacing w:line="276" w:lineRule="auto"/>
              <w:jc w:val="both"/>
              <w:rPr>
                <w:rFonts w:ascii="Verdana" w:eastAsia="Verdana" w:hAnsi="Verdana" w:cs="Verdana"/>
                <w:sz w:val="22"/>
                <w:szCs w:val="22"/>
              </w:rPr>
            </w:pPr>
            <w:r w:rsidRPr="00404C23">
              <w:rPr>
                <w:rFonts w:ascii="Verdana" w:eastAsia="Verdana" w:hAnsi="Verdana" w:cs="Verdana"/>
                <w:sz w:val="22"/>
                <w:szCs w:val="22"/>
              </w:rPr>
              <w:t>En relación con los problemas jurídicos de su consulta, se expresa lo siguiente:</w:t>
            </w:r>
          </w:p>
          <w:p w14:paraId="7AADBDA8" w14:textId="77777777" w:rsidR="00404C23" w:rsidRPr="00404C23" w:rsidRDefault="00404C23" w:rsidP="00404C23">
            <w:pPr>
              <w:spacing w:line="276" w:lineRule="auto"/>
              <w:jc w:val="both"/>
              <w:rPr>
                <w:rFonts w:ascii="Verdana" w:eastAsia="Verdana" w:hAnsi="Verdana" w:cs="Verdana"/>
                <w:sz w:val="22"/>
                <w:szCs w:val="22"/>
              </w:rPr>
            </w:pPr>
          </w:p>
          <w:p w14:paraId="7651DE19" w14:textId="77777777" w:rsidR="00404C23" w:rsidRPr="00404C23" w:rsidRDefault="00404C23" w:rsidP="00404C23">
            <w:pPr>
              <w:spacing w:after="120" w:line="276" w:lineRule="auto"/>
              <w:jc w:val="both"/>
              <w:rPr>
                <w:rFonts w:ascii="Verdana" w:eastAsia="Verdana" w:hAnsi="Verdana" w:cs="Verdana"/>
                <w:sz w:val="22"/>
                <w:szCs w:val="22"/>
              </w:rPr>
            </w:pPr>
            <w:r w:rsidRPr="00404C23">
              <w:rPr>
                <w:rFonts w:ascii="Verdana" w:eastAsia="Verdana" w:hAnsi="Verdana" w:cs="Verdana"/>
                <w:sz w:val="22"/>
                <w:szCs w:val="22"/>
              </w:rPr>
              <w:t xml:space="preserve">i. En torno al primer problema jurídico, se señala que la Sala de Consulta y Servicio Civil del Consejo de Estado ya tuvo la oportunidad de pronunciarse sobre el interrogante relativo a la posibilidad de que el administrador de un fondo parafiscal agropecuario celebre, con recursos del fondo, contratos con sus propios socios o aportantes. En el Concepto 2556 del 10 de diciembre de </w:t>
            </w:r>
            <w:r w:rsidRPr="00404C23">
              <w:rPr>
                <w:rFonts w:ascii="Verdana" w:eastAsia="Verdana" w:hAnsi="Verdana" w:cs="Verdana"/>
                <w:sz w:val="22"/>
                <w:szCs w:val="22"/>
              </w:rPr>
              <w:lastRenderedPageBreak/>
              <w:t>2025, emitido a solicitud del Ministerio de Agricultura y Desarrollo Rural, la Sala concluyó que no existe habilitación constitucional o legal para que el administrador de un fondo parafiscal agropecuario celebre contratos, con recursos del fondo, con uno de sus socios o aportantes, criterio que esta Agencia comparte.</w:t>
            </w:r>
          </w:p>
          <w:p w14:paraId="3DC25FE4"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Los recursos provenientes de las contribuciones parafiscales agropecuarias tienen naturaleza pública, aun cuando cuentan con una destinación específica en beneficio del respectivo sector económico y que su administración sea confiada por la ley a entidades gremiales representativas o, en los eventos autorizados, a sociedades fiduciarias. En ese contexto, la administración de dichos recursos constituye el ejercicio de una función pública atribuida por el legislador a particulares, circunstancia que impone al administrador el deber de sujetar su actuación al principio de legalidad y a las normas especiales que regulan el recaudo, administración y destinación de las contribuciones parafiscales.</w:t>
            </w:r>
          </w:p>
          <w:p w14:paraId="64E57C93"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 xml:space="preserve">Ahora bien, del análisis de la Ley 101 de 1993, y de las normas legales y reglamentarias sobre fondos parafiscales agropecuarios y de las disposiciones que regulan la atribución de funciones públicas a particulares, no se advierte disposición alguna que autorice expresamente al administrador del fondo para celebrar contratos con sus propios socios o aportantes. Por el contrario, el régimen especial delimita las competencias del administrador y orienta el ejercicio de sus funciones al cumplimiento exclusivo de las finalidades públicas para las cuales fueron creadas las contribuciones parafiscales. </w:t>
            </w:r>
          </w:p>
          <w:p w14:paraId="52E90FEF"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 xml:space="preserve">Adicionalmente, aunque el artículo 13 de la Ley 1150 de 2007 dispone que las entidades sometidas a regímenes exceptuados deben aplicar los principios de la función administrativa y de la gestión fiscal, así como el régimen de inhabilidades e incompatibilidades previsto para la contratación estatal, y el artículo 3 de la Ley 2014 de 2019 extendió la aplicación de dicho régimen a cualquier proceso de contratación privada en el que se comprometan recursos públicos, el ordenamiento jurídico no prevé una causal específica de inhabilidad derivada únicamente de la calidad de socio o aportante del administrador del fondo. En consecuencia, la improcedencia de esta modalidad de contratación no deriva de la configuración de una inhabilidad expresa, sino de la inexistencia de una habilitación legal que </w:t>
            </w:r>
            <w:r w:rsidRPr="00404C23">
              <w:rPr>
                <w:rFonts w:ascii="Verdana" w:eastAsia="Verdana" w:hAnsi="Verdana" w:cs="Verdana"/>
                <w:sz w:val="22"/>
                <w:szCs w:val="22"/>
              </w:rPr>
              <w:lastRenderedPageBreak/>
              <w:t>permita celebrar ese tipo de negocios jurídicos con recursos públicos administrados en ejercicio de una función pública.</w:t>
            </w:r>
          </w:p>
          <w:p w14:paraId="52151951"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Precisamente esa fue la conclusión alcanzada por la Sala de Consulta y Servicio Civil, al considerar que la administración de recursos parafiscales exige garantizar la prevalencia del interés general, la moralidad, la transparencia y la imparcialidad en la gestión contractual, circunstancias incompatibles con la celebración de contratos con quienes integran la propia entidad administradora en calidad de socios o aportantes. En ese sentido, la Sala concluyó que el ordenamiento jurídico colombiano no contempla una habilitación constitucional o legal que autorice esa modalidad de contratación. Por tanto, esta Agencia considera que el administrador de un fondo parafiscal agropecuario no se encuentra facultado para celebrar, con recursos del fondo, contratos con sus propios socios o aportantes.</w:t>
            </w:r>
          </w:p>
          <w:p w14:paraId="0E791BEF"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Esta conclusión se predica de quienes ostentan la calidad de socios o aportantes respecto de la propia entidad administradora y en condiciones que comprometan la imparcialidad en el manejo de los recursos, sin que pueda entenderse como una prohibición absoluta de toda relación jurídica con los integrantes del subsector gravado, a cuyo beneficio se destinan precisamente las contribuciones parafiscales. Así lo delimitó la Sala de Consulta al condicionar la restricción a la existencia de un interés directo o indirecto derivado de la participación del aportante o del miembro de la junta directiva.</w:t>
            </w:r>
          </w:p>
          <w:p w14:paraId="57315BB1" w14:textId="77777777" w:rsidR="00404C23" w:rsidRPr="00404C23" w:rsidRDefault="00404C23" w:rsidP="00404C23">
            <w:pPr>
              <w:spacing w:after="120" w:line="276" w:lineRule="auto"/>
              <w:jc w:val="both"/>
              <w:rPr>
                <w:rFonts w:ascii="Verdana" w:eastAsia="Verdana" w:hAnsi="Verdana" w:cs="Verdana"/>
                <w:sz w:val="22"/>
                <w:szCs w:val="22"/>
              </w:rPr>
            </w:pPr>
            <w:proofErr w:type="spellStart"/>
            <w:r w:rsidRPr="00404C23">
              <w:rPr>
                <w:rFonts w:ascii="Verdana" w:eastAsia="Verdana" w:hAnsi="Verdana" w:cs="Verdana"/>
                <w:sz w:val="22"/>
                <w:szCs w:val="22"/>
              </w:rPr>
              <w:t>ii</w:t>
            </w:r>
            <w:proofErr w:type="spellEnd"/>
            <w:r w:rsidRPr="00404C23">
              <w:rPr>
                <w:rFonts w:ascii="Verdana" w:eastAsia="Verdana" w:hAnsi="Verdana" w:cs="Verdana"/>
                <w:sz w:val="22"/>
                <w:szCs w:val="22"/>
              </w:rPr>
              <w:t>. En torno al segundo problema jurídico de su consulta, se precisa que, en relación con la posibilidad de celebrar contratos con personas jurídicas en las que el cónyuge, compañero permanente o los parientes hasta el segundo grado de consanguinidad, segundo de afinidad o primero civil de alguno de los miembros de la junta directiva del fondo tengan participación o desempeñen cargos de dirección o manejo, el análisis corresponde al régimen legal de inhabilidades previsto para la contratación que compromete recursos públicos.</w:t>
            </w:r>
          </w:p>
          <w:p w14:paraId="1B97742A"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 xml:space="preserve">En efecto, el literal d) del numeral 2 del artículo 8 de la Ley 80 de 1993 establece una inhabilidad para contratar respecto de determinadas personas jurídicas cuando en ellas el miembro de la junta o consejo directivo de la entidad contratante, su cónyuge, compañero permanente o sus parientes dentro de los grados allí previstos tengan participación o </w:t>
            </w:r>
            <w:r w:rsidRPr="00404C23">
              <w:rPr>
                <w:rFonts w:ascii="Verdana" w:eastAsia="Verdana" w:hAnsi="Verdana" w:cs="Verdana"/>
                <w:sz w:val="22"/>
                <w:szCs w:val="22"/>
              </w:rPr>
              <w:lastRenderedPageBreak/>
              <w:t>desempeñen cargos de dirección o manejo. Esta disposición evidencia la voluntad del legislador de ampliar el ámbito de protección de la moralidad administrativa y de prevenir fenómenos de favorecimiento indebido y nepotismo en la contratación pública, extendiendo la restricción no solo a las personas naturales vinculadas familiarmente con quienes intervienen en la contratación, sino también a determinadas personas jurídicas respecto de las cuales aquellos conservan intereses patrimoniales o de dirección.</w:t>
            </w:r>
          </w:p>
          <w:p w14:paraId="1C502116"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Por su parte, el artículo 13 de la Ley 1150 de 2007 dispuso que las entidades sometidas a regímenes exceptuados continúan sujetas al régimen de inhabilidades e incompatibilidades previsto para la contratación estatal. No obstante, dado que el administrador gremial del fondo no es una entidad estatal sino un particular, su sujeción al régimen del artículo 8 de la Ley 80 de 1993 encuentra fundamento directo en el numeral 2 del artículo 71 del Código General Disciplinario (Ley 1952 de 2019), que somete a los particulares que ejercen funciones públicas a las inhabilidades e incompatibilidades de los artículos 8 de la Ley 80 de 1993 y 113 de la Ley 489 de 1998, este último referido a las prohibiciones e incompatibilidades de los servidores públicos en relación con la función conferida. A ello se suma el artículo 126 de la Constitución Política, que proscribe intervenir en la designación o la contratación de personas ligadas por matrimonio, unión permanente o parentesco en los grados allí previstos.</w:t>
            </w:r>
          </w:p>
          <w:p w14:paraId="49121AD0"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 xml:space="preserve"> En el mismo sentido, el parágrafo 3 del artículo 8 de la Ley 80 de 1993, adicionado por el artículo 3 de la Ley 2014 de 2019, extendió la aplicación de dichas inhabilidades a cualquier proceso de contratación privada en el que se comprometan recursos públicos. En consecuencia, el hecho de que la contratación adelantada por el administrador del fondo se rija por normas de derecho privado no excluye la aplicación de las restricciones previstas por el legislador cuando se administran recursos públicos.</w:t>
            </w:r>
          </w:p>
          <w:p w14:paraId="569B84E3"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 xml:space="preserve">En ese orden, siempre que concurran los presupuestos establecidos en el literal d) del numeral 2 del artículo 8 de la Ley 80 de 1993, la persona jurídica respectiva se encontrará incursa en la inhabilidad allí prevista para contratar. No obstante, la configuración de dicha inhabilidad deberá verificarse en cada caso concreto, atendiendo la naturaleza jurídica de la entidad administradora, la integración de su órgano directivo y la </w:t>
            </w:r>
            <w:r w:rsidRPr="00404C23">
              <w:rPr>
                <w:rFonts w:ascii="Verdana" w:eastAsia="Verdana" w:hAnsi="Verdana" w:cs="Verdana"/>
                <w:sz w:val="22"/>
                <w:szCs w:val="22"/>
              </w:rPr>
              <w:lastRenderedPageBreak/>
              <w:t>concurrencia de los elementos objetivos y subjetivos previstos por el legislador para la aplicación de la restricción.</w:t>
            </w:r>
          </w:p>
          <w:p w14:paraId="2745E4D0"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En esa verificación resulta determinante el tipo de la persona jurídica contratante, pues el literal d) circunscribe la restricción a las corporaciones, asociaciones y fundaciones, a las sociedades anónimas que no tengan el carácter de abiertas y a las sociedades de responsabilidad limitada y demás sociedades de personas, con exclusión expresa de las sociedades anónimas abiertas. De ahí que, tratándose de una sociedad por acciones, la configuración de la causal dependa de que la contraparte no ostente el carácter de abierta.</w:t>
            </w:r>
          </w:p>
          <w:p w14:paraId="3F67CC11"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 xml:space="preserve">Dentro de este marco, el consultante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tc>
      </w:tr>
    </w:tbl>
    <w:p w14:paraId="53C2A935" w14:textId="77777777" w:rsidR="00404C23" w:rsidRPr="00404C23" w:rsidRDefault="00404C23" w:rsidP="00404C23">
      <w:pPr>
        <w:spacing w:line="276" w:lineRule="auto"/>
        <w:rPr>
          <w:rFonts w:ascii="Verdana" w:eastAsia="Verdana" w:hAnsi="Verdana" w:cs="Verdana"/>
          <w:b/>
          <w:sz w:val="22"/>
          <w:szCs w:val="22"/>
        </w:rPr>
      </w:pPr>
    </w:p>
    <w:p w14:paraId="6DE22E84" w14:textId="77777777" w:rsidR="00404C23" w:rsidRPr="00404C23" w:rsidRDefault="00404C23" w:rsidP="00404C23">
      <w:pPr>
        <w:spacing w:line="276" w:lineRule="auto"/>
        <w:rPr>
          <w:rFonts w:ascii="Verdana" w:eastAsia="Verdana" w:hAnsi="Verdana" w:cs="Verdana"/>
          <w:b/>
          <w:sz w:val="22"/>
          <w:szCs w:val="22"/>
        </w:rPr>
      </w:pPr>
      <w:r w:rsidRPr="00404C23">
        <w:rPr>
          <w:rFonts w:ascii="Verdana" w:eastAsia="Verdana" w:hAnsi="Verdana" w:cs="Verdana"/>
          <w:b/>
          <w:sz w:val="22"/>
          <w:szCs w:val="22"/>
        </w:rPr>
        <w:t>III. Razones de la respuesta:</w:t>
      </w:r>
    </w:p>
    <w:p w14:paraId="191F7D1C" w14:textId="77777777" w:rsidR="00404C23" w:rsidRPr="00404C23" w:rsidRDefault="00404C23" w:rsidP="00404C23">
      <w:pPr>
        <w:spacing w:line="276" w:lineRule="auto"/>
        <w:rPr>
          <w:rFonts w:ascii="Verdana" w:eastAsia="Verdana" w:hAnsi="Verdana" w:cs="Verdana"/>
          <w:b/>
          <w:sz w:val="22"/>
          <w:szCs w:val="22"/>
        </w:rPr>
      </w:pPr>
    </w:p>
    <w:p w14:paraId="680F5816" w14:textId="77777777" w:rsidR="00404C23" w:rsidRPr="00404C23" w:rsidRDefault="00404C23" w:rsidP="00404C23">
      <w:pPr>
        <w:spacing w:line="276" w:lineRule="auto"/>
        <w:jc w:val="both"/>
        <w:rPr>
          <w:rFonts w:ascii="Verdana" w:eastAsia="Verdana" w:hAnsi="Verdana" w:cs="Verdana"/>
          <w:sz w:val="22"/>
          <w:szCs w:val="22"/>
        </w:rPr>
      </w:pPr>
      <w:r w:rsidRPr="00404C23">
        <w:rPr>
          <w:rFonts w:ascii="Verdana" w:eastAsia="Verdana" w:hAnsi="Verdana" w:cs="Verdana"/>
          <w:sz w:val="22"/>
          <w:szCs w:val="22"/>
        </w:rPr>
        <w:t xml:space="preserve">Lo anterior se sustenta en las siguientes consideraciones: </w:t>
      </w:r>
    </w:p>
    <w:p w14:paraId="2FB337AF" w14:textId="77777777" w:rsidR="00404C23" w:rsidRPr="00404C23" w:rsidRDefault="00404C23" w:rsidP="00404C23">
      <w:pPr>
        <w:spacing w:line="276" w:lineRule="auto"/>
        <w:jc w:val="both"/>
        <w:rPr>
          <w:rFonts w:ascii="Verdana" w:eastAsia="Verdana" w:hAnsi="Verdana" w:cs="Verdana"/>
          <w:sz w:val="22"/>
          <w:szCs w:val="22"/>
        </w:rPr>
      </w:pPr>
    </w:p>
    <w:p w14:paraId="096BF970" w14:textId="77777777" w:rsidR="00404C23" w:rsidRPr="00404C23" w:rsidRDefault="00404C23" w:rsidP="00404C23">
      <w:pPr>
        <w:spacing w:line="276" w:lineRule="auto"/>
        <w:jc w:val="both"/>
        <w:rPr>
          <w:rFonts w:ascii="Verdana" w:eastAsia="Verdana" w:hAnsi="Verdana" w:cs="Verdana"/>
          <w:sz w:val="22"/>
          <w:szCs w:val="22"/>
        </w:rPr>
      </w:pPr>
      <w:r w:rsidRPr="00404C23">
        <w:rPr>
          <w:rFonts w:ascii="Verdana" w:eastAsia="Verdana" w:hAnsi="Verdana" w:cs="Verdana"/>
          <w:sz w:val="22"/>
          <w:szCs w:val="22"/>
        </w:rPr>
        <w:t xml:space="preserve">i. Las inhabilidades son circunstancias establecidas por la Constitución o la ley que impiden que personas naturales o jurídicas sean elegidas o designadas en un cargo público, celebren contratos con el Estado, o no puedan ejercer una profesión, con el objetivo de garantizar la idoneidad, imparcialidad, probidad, transparencia y moralidad de la función pública, garantizando el interés general. De igual modo, en torno a la incompatibilidad, la Corte Constitucional ha señalado: </w:t>
      </w:r>
    </w:p>
    <w:p w14:paraId="0E4CEE65" w14:textId="77777777" w:rsidR="00404C23" w:rsidRPr="00404C23" w:rsidRDefault="00404C23" w:rsidP="00404C23">
      <w:pPr>
        <w:spacing w:line="276" w:lineRule="auto"/>
        <w:jc w:val="both"/>
        <w:rPr>
          <w:rFonts w:ascii="Verdana" w:eastAsia="Verdana" w:hAnsi="Verdana" w:cs="Verdana"/>
          <w:sz w:val="22"/>
          <w:szCs w:val="22"/>
        </w:rPr>
      </w:pPr>
    </w:p>
    <w:p w14:paraId="38624EB7" w14:textId="77777777" w:rsidR="00404C23" w:rsidRPr="00404C23" w:rsidRDefault="00404C23" w:rsidP="00404C23">
      <w:pPr>
        <w:ind w:left="709" w:right="709"/>
        <w:jc w:val="both"/>
        <w:rPr>
          <w:rFonts w:ascii="Verdana" w:eastAsia="Verdana" w:hAnsi="Verdana" w:cs="Verdana"/>
          <w:sz w:val="20"/>
          <w:szCs w:val="20"/>
        </w:rPr>
      </w:pPr>
      <w:r w:rsidRPr="00404C23">
        <w:rPr>
          <w:rFonts w:ascii="Verdana" w:eastAsia="Verdana" w:hAnsi="Verdana" w:cs="Verdana"/>
          <w:sz w:val="20"/>
          <w:szCs w:val="20"/>
        </w:rPr>
        <w:t xml:space="preserve"> “[…] una prohibición dirigida al titular de una función pública a quien, por ese hecho, se le impide ocuparse de ciertas actividades o ejercer, simultáneamente, las competencias propias de la función que desempeña y las correspondientes a otros cargos o empleos, en guarda del interés </w:t>
      </w:r>
      <w:r w:rsidRPr="00404C23">
        <w:rPr>
          <w:rFonts w:ascii="Verdana" w:eastAsia="Verdana" w:hAnsi="Verdana" w:cs="Verdana"/>
          <w:sz w:val="20"/>
          <w:szCs w:val="20"/>
        </w:rPr>
        <w:lastRenderedPageBreak/>
        <w:t>superior que puede verse afectado por una indebida acumulación de funciones o por la confluencia de intereses poco conciliables y capaces, en todo caso, de afectar la imparcialidad y la independencia que deben guiar las actuaciones de quien ejerce la autoridad en nombre del Estado”</w:t>
      </w:r>
      <w:r w:rsidRPr="00404C23">
        <w:rPr>
          <w:rFonts w:ascii="Verdana" w:eastAsia="Verdana" w:hAnsi="Verdana" w:cs="Verdana"/>
          <w:sz w:val="20"/>
          <w:szCs w:val="20"/>
          <w:vertAlign w:val="superscript"/>
        </w:rPr>
        <w:footnoteReference w:id="1"/>
      </w:r>
      <w:r w:rsidRPr="00404C23">
        <w:rPr>
          <w:rFonts w:ascii="Verdana" w:eastAsia="Verdana" w:hAnsi="Verdana" w:cs="Verdana"/>
          <w:sz w:val="20"/>
          <w:szCs w:val="20"/>
        </w:rPr>
        <w:t>.</w:t>
      </w:r>
    </w:p>
    <w:p w14:paraId="2E729AE6" w14:textId="77777777" w:rsidR="00404C23" w:rsidRPr="00404C23" w:rsidRDefault="00404C23" w:rsidP="00404C23">
      <w:pPr>
        <w:ind w:left="709" w:right="709"/>
        <w:jc w:val="both"/>
        <w:rPr>
          <w:rFonts w:ascii="Verdana" w:eastAsia="Verdana" w:hAnsi="Verdana" w:cs="Verdana"/>
          <w:sz w:val="22"/>
          <w:szCs w:val="22"/>
        </w:rPr>
      </w:pPr>
    </w:p>
    <w:p w14:paraId="7DAD29EA" w14:textId="77777777" w:rsidR="00404C23" w:rsidRPr="00404C23" w:rsidRDefault="00404C23" w:rsidP="00404C23">
      <w:pPr>
        <w:spacing w:after="120" w:line="276" w:lineRule="auto"/>
        <w:ind w:firstLine="709"/>
        <w:jc w:val="both"/>
        <w:rPr>
          <w:rFonts w:ascii="Verdana" w:eastAsia="Verdana" w:hAnsi="Verdana" w:cs="Verdana"/>
          <w:sz w:val="22"/>
          <w:szCs w:val="22"/>
        </w:rPr>
      </w:pPr>
      <w:r w:rsidRPr="00404C23">
        <w:rPr>
          <w:rFonts w:ascii="Verdana" w:eastAsia="Verdana" w:hAnsi="Verdana" w:cs="Verdana"/>
          <w:sz w:val="22"/>
          <w:szCs w:val="22"/>
        </w:rPr>
        <w:t xml:space="preserve">Las inhabilidades e incompatibilidades pueden enfocarse en varios asuntos: en primer lugar, se encuentran las inhabilidades e incompatibilidades que impiden que una persona sea elegida, designada para un cargo público, como también en ciertos eventos impiden que la persona se encuentre vinculada a la función pública continúe en ella; en segundo lugar, se hallan las inhabilidades e incompatibilidades para el ejercicio de una profesión, las cuales se constituyen en restricciones que impiden el ejercicio de una profesión que encuentran sustento en el artículo 26 de la Constitución Política; en tercer lugar, se encuentra el régimen de inhabilidades e incompatibilidades en la contratación estatal, que busca limitar la celebración de contratos, así como evitar que siga contratando por una inhabilidad o incompatibilidad sobreviniente. De acuerdo con lo expuesto, se señala que la Agencia Nacional de Contratación Pública es competente para resolver consultas sobre normas del sistema de compras y contratación públicas que establezcan inhabilidades e incompatibilidades para contratar con el Estado. </w:t>
      </w:r>
    </w:p>
    <w:p w14:paraId="772DF755" w14:textId="77777777" w:rsidR="00404C23" w:rsidRPr="00404C23" w:rsidRDefault="00404C23" w:rsidP="00404C23">
      <w:pPr>
        <w:spacing w:after="120" w:line="276" w:lineRule="auto"/>
        <w:ind w:firstLine="709"/>
        <w:jc w:val="both"/>
        <w:rPr>
          <w:rFonts w:ascii="Verdana" w:eastAsia="Verdana" w:hAnsi="Verdana" w:cs="Verdana"/>
          <w:sz w:val="22"/>
          <w:szCs w:val="22"/>
        </w:rPr>
      </w:pPr>
      <w:r w:rsidRPr="00404C23">
        <w:rPr>
          <w:rFonts w:ascii="Verdana" w:eastAsia="Verdana" w:hAnsi="Verdana" w:cs="Verdana"/>
          <w:sz w:val="22"/>
          <w:szCs w:val="22"/>
        </w:rPr>
        <w:t>Para ello, hay que precisar que, el régimen de inhabilidades 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r w:rsidRPr="00404C23">
        <w:rPr>
          <w:rFonts w:ascii="Verdana" w:eastAsia="Verdana" w:hAnsi="Verdana" w:cs="Verdana"/>
          <w:sz w:val="22"/>
          <w:szCs w:val="22"/>
          <w:vertAlign w:val="superscript"/>
        </w:rPr>
        <w:footnoteReference w:id="2"/>
      </w:r>
    </w:p>
    <w:p w14:paraId="39766580" w14:textId="77777777" w:rsidR="00404C23" w:rsidRPr="00404C23" w:rsidRDefault="00404C23" w:rsidP="00404C23">
      <w:pPr>
        <w:spacing w:before="120" w:line="276" w:lineRule="auto"/>
        <w:ind w:firstLine="709"/>
        <w:jc w:val="both"/>
        <w:rPr>
          <w:rFonts w:ascii="Verdana" w:eastAsia="Verdana" w:hAnsi="Verdana" w:cs="Verdana"/>
          <w:sz w:val="22"/>
          <w:szCs w:val="22"/>
        </w:rPr>
      </w:pPr>
      <w:r w:rsidRPr="00404C23">
        <w:rPr>
          <w:rFonts w:ascii="Verdana" w:eastAsia="Verdana" w:hAnsi="Verdana" w:cs="Verdana"/>
          <w:sz w:val="22"/>
          <w:szCs w:val="22"/>
        </w:rPr>
        <w:t xml:space="preserve">La regulación de las inhabilidades implica limitaciones a la capacidad jurídica para contratar, que desarrolla los principios de la función administrativa consagrados en el artículo 209 de la Constitución Política, con especial énfasis, el de moralidad. Así lo entiende el Consejo de Estado: </w:t>
      </w:r>
    </w:p>
    <w:p w14:paraId="0E20AF74" w14:textId="77777777" w:rsidR="00404C23" w:rsidRPr="00404C23" w:rsidRDefault="00404C23" w:rsidP="00404C23">
      <w:pPr>
        <w:spacing w:line="276" w:lineRule="auto"/>
        <w:jc w:val="both"/>
        <w:rPr>
          <w:rFonts w:ascii="Verdana" w:eastAsia="Verdana" w:hAnsi="Verdana" w:cs="Verdana"/>
          <w:sz w:val="22"/>
          <w:szCs w:val="22"/>
        </w:rPr>
      </w:pPr>
    </w:p>
    <w:p w14:paraId="16F7A15A" w14:textId="77777777" w:rsidR="00404C23" w:rsidRPr="00404C23" w:rsidRDefault="00404C23" w:rsidP="00404C23">
      <w:pPr>
        <w:shd w:val="clear" w:color="auto" w:fill="FFFFFF"/>
        <w:ind w:left="709" w:right="709"/>
        <w:jc w:val="both"/>
        <w:rPr>
          <w:rFonts w:ascii="Verdana" w:eastAsia="Verdana" w:hAnsi="Verdana" w:cs="Verdana"/>
          <w:sz w:val="20"/>
          <w:szCs w:val="20"/>
        </w:rPr>
      </w:pPr>
      <w:r w:rsidRPr="00404C23">
        <w:rPr>
          <w:rFonts w:ascii="Verdana" w:eastAsia="Verdana" w:hAnsi="Verdana" w:cs="Verdana"/>
          <w:sz w:val="20"/>
          <w:szCs w:val="20"/>
        </w:rPr>
        <w:t>“De manera primordial en esta reflexión debe advertirse que la consagración legal de las incompatibilidades e inhabilidades en materia contractual, no es sino desarrollo del Principio de Moralidad que la Constitución Política consagra como uno de los rectores de la Función Administrativa, instituido en el artículo 209 de la Carta, toda vez que este Principio –en su carácter jurídico, ordenador y orientador del derecho– constituye la Finalidad, el Deber Ser, la Razón de Primer Orden en la cual se inspira, justifica y legitima la existencia de las normas que definen y regulan las inhabilidades e incompatibilidades.</w:t>
      </w:r>
    </w:p>
    <w:p w14:paraId="34F5B39E" w14:textId="77777777" w:rsidR="00404C23" w:rsidRPr="00404C23" w:rsidRDefault="00404C23" w:rsidP="00404C23">
      <w:pPr>
        <w:shd w:val="clear" w:color="auto" w:fill="FFFFFF"/>
        <w:ind w:left="709" w:right="709"/>
        <w:jc w:val="both"/>
        <w:rPr>
          <w:rFonts w:ascii="Verdana" w:eastAsia="Verdana" w:hAnsi="Verdana" w:cs="Verdana"/>
          <w:sz w:val="20"/>
          <w:szCs w:val="20"/>
        </w:rPr>
      </w:pPr>
    </w:p>
    <w:p w14:paraId="50F87789" w14:textId="77777777" w:rsidR="00404C23" w:rsidRPr="00404C23" w:rsidRDefault="00404C23" w:rsidP="00404C23">
      <w:pPr>
        <w:shd w:val="clear" w:color="auto" w:fill="FFFFFF"/>
        <w:ind w:left="709" w:right="709"/>
        <w:jc w:val="both"/>
        <w:rPr>
          <w:rFonts w:ascii="Verdana" w:eastAsia="Verdana" w:hAnsi="Verdana" w:cs="Verdana"/>
          <w:sz w:val="20"/>
          <w:szCs w:val="20"/>
        </w:rPr>
      </w:pPr>
      <w:r w:rsidRPr="00404C23">
        <w:rPr>
          <w:rFonts w:ascii="Verdana" w:eastAsia="Verdana" w:hAnsi="Verdana" w:cs="Verdana"/>
          <w:sz w:val="20"/>
          <w:szCs w:val="20"/>
        </w:rPr>
        <w:t>Adicionalmente, toda vez que la Jurisprudencia Constitucional se ha referido a la protección del Interés General como causa que legitima la estructuración legal de las incompatibilidades e inhabilidades, se puede precisar que la regulación de sus causales para contratar con el Estado debe orientarse por el Principio de Moralidad que obviamente –como es propio de todos los Principios de la Función Administrativa– se despliega ordenado con base en la protección prevalente del interés general y, por ello, se entiende que la potestad de configuración legislativa en materia de incompatibilidades e inhabilidades para contratar con el Estado puede concretarse a través de una regla de carácter excluyente para determinados potenciales contratistas, la cual se impone entonces por razón de ese fin de interés general como regla legal prevalente, esto es que puede ser impuesta sobre el derecho individual a contratar con el Estado”</w:t>
      </w:r>
      <w:r w:rsidRPr="00404C23">
        <w:rPr>
          <w:rFonts w:ascii="Verdana" w:eastAsia="Verdana" w:hAnsi="Verdana" w:cs="Verdana"/>
          <w:sz w:val="20"/>
          <w:szCs w:val="20"/>
          <w:vertAlign w:val="superscript"/>
        </w:rPr>
        <w:footnoteReference w:id="3"/>
      </w:r>
    </w:p>
    <w:p w14:paraId="670E9304" w14:textId="77777777" w:rsidR="00404C23" w:rsidRPr="00404C23" w:rsidRDefault="00404C23" w:rsidP="00404C23">
      <w:pPr>
        <w:shd w:val="clear" w:color="auto" w:fill="FFFFFF"/>
        <w:ind w:left="709" w:right="709"/>
        <w:jc w:val="both"/>
        <w:rPr>
          <w:rFonts w:ascii="Verdana" w:eastAsia="Verdana" w:hAnsi="Verdana" w:cs="Verdana"/>
          <w:sz w:val="22"/>
          <w:szCs w:val="22"/>
        </w:rPr>
      </w:pPr>
    </w:p>
    <w:p w14:paraId="352AEEE6" w14:textId="77777777" w:rsidR="00404C23" w:rsidRPr="00404C23" w:rsidRDefault="00404C23" w:rsidP="00404C23">
      <w:pPr>
        <w:spacing w:line="276" w:lineRule="auto"/>
        <w:ind w:firstLine="709"/>
        <w:jc w:val="both"/>
        <w:rPr>
          <w:rFonts w:ascii="Verdana" w:eastAsia="Verdana" w:hAnsi="Verdana" w:cs="Verdana"/>
          <w:sz w:val="22"/>
          <w:szCs w:val="22"/>
        </w:rPr>
      </w:pPr>
      <w:r w:rsidRPr="00404C23">
        <w:rPr>
          <w:rFonts w:ascii="Verdana" w:eastAsia="Verdana" w:hAnsi="Verdana" w:cs="Verdana"/>
          <w:sz w:val="22"/>
          <w:szCs w:val="22"/>
        </w:rPr>
        <w:t xml:space="preserve">Así las cosas, las inhabilidades son medios que garantizan la transparencia y eficiencia en la actividad contractual del Estado, imponiendo restricciones en la personalidad jurídica, la igualdad, la libre empresa y, particularmente, en el derecho a participar en procesos de selección y celebrar contratos con el Estado. La Corte Constitucional ha reconocido que estas limitaciones deben justificarse en la salvaguarda del interés general y que su interpretación es taxativa y restrictiva: </w:t>
      </w:r>
    </w:p>
    <w:p w14:paraId="4B1BBD5A" w14:textId="77777777" w:rsidR="00404C23" w:rsidRPr="00404C23" w:rsidRDefault="00404C23" w:rsidP="00404C23">
      <w:pPr>
        <w:rPr>
          <w:rFonts w:ascii="Verdana" w:eastAsia="Verdana" w:hAnsi="Verdana" w:cs="Verdana"/>
          <w:sz w:val="22"/>
          <w:szCs w:val="22"/>
          <w:highlight w:val="white"/>
        </w:rPr>
      </w:pPr>
    </w:p>
    <w:p w14:paraId="023C10B2" w14:textId="77777777" w:rsidR="00404C23" w:rsidRPr="00404C23" w:rsidRDefault="00404C23" w:rsidP="00404C23">
      <w:pPr>
        <w:ind w:left="709" w:right="709"/>
        <w:jc w:val="both"/>
        <w:rPr>
          <w:rFonts w:ascii="Verdana" w:eastAsia="Verdana" w:hAnsi="Verdana" w:cs="Verdana"/>
          <w:sz w:val="20"/>
          <w:szCs w:val="20"/>
        </w:rPr>
      </w:pPr>
      <w:r w:rsidRPr="00404C23">
        <w:rPr>
          <w:rFonts w:ascii="Verdana" w:eastAsia="Verdana" w:hAnsi="Verdana" w:cs="Verdana"/>
          <w:sz w:val="20"/>
          <w:szCs w:val="20"/>
        </w:rPr>
        <w:t xml:space="preserve">“Todo régimen de inhabilidades e incompatibilidades de suyo excluye a ciertas categorías de personas del proceso de contratación, generando incapacidades especiales, impedimentos y prohibiciones de variada naturaleza, que en cierta medida afectan el derecho a la personalidad jurídica traducido, a su turno, en el principio general de capacidad legal [CC arts. 1502 y 1503; ley 80 de 1993, art. 6]. De ordinario, como ocurre en la contratación estatal, la inobservancia del régimen de inhabilidades e </w:t>
      </w:r>
      <w:proofErr w:type="gramStart"/>
      <w:r w:rsidRPr="00404C23">
        <w:rPr>
          <w:rFonts w:ascii="Verdana" w:eastAsia="Verdana" w:hAnsi="Verdana" w:cs="Verdana"/>
          <w:sz w:val="20"/>
          <w:szCs w:val="20"/>
        </w:rPr>
        <w:lastRenderedPageBreak/>
        <w:t>incompatibilidades,</w:t>
      </w:r>
      <w:proofErr w:type="gramEnd"/>
      <w:r w:rsidRPr="00404C23">
        <w:rPr>
          <w:rFonts w:ascii="Verdana" w:eastAsia="Verdana" w:hAnsi="Verdana" w:cs="Verdana"/>
          <w:sz w:val="20"/>
          <w:szCs w:val="20"/>
        </w:rPr>
        <w:t xml:space="preserve"> se erige en causal de nulidad del contrato celebrado en esas condiciones (ley 80 de 1993, art. 44).</w:t>
      </w:r>
    </w:p>
    <w:p w14:paraId="55593ED3" w14:textId="77777777" w:rsidR="00404C23" w:rsidRPr="00404C23" w:rsidRDefault="00404C23" w:rsidP="00404C23">
      <w:pPr>
        <w:ind w:left="709" w:right="709"/>
        <w:jc w:val="both"/>
        <w:rPr>
          <w:rFonts w:ascii="Verdana" w:eastAsia="Verdana" w:hAnsi="Verdana" w:cs="Verdana"/>
          <w:sz w:val="20"/>
          <w:szCs w:val="20"/>
        </w:rPr>
      </w:pPr>
    </w:p>
    <w:p w14:paraId="5BCC0D67" w14:textId="77777777" w:rsidR="00404C23" w:rsidRPr="00404C23" w:rsidRDefault="00404C23" w:rsidP="00404C23">
      <w:pPr>
        <w:ind w:left="709" w:right="709"/>
        <w:jc w:val="both"/>
        <w:rPr>
          <w:rFonts w:ascii="Verdana" w:eastAsia="Verdana" w:hAnsi="Verdana" w:cs="Verdana"/>
          <w:sz w:val="20"/>
          <w:szCs w:val="20"/>
        </w:rPr>
      </w:pPr>
      <w:r w:rsidRPr="00404C23">
        <w:rPr>
          <w:rFonts w:ascii="Verdana" w:eastAsia="Verdana" w:hAnsi="Verdana" w:cs="Verdana"/>
          <w:sz w:val="20"/>
          <w:szCs w:val="20"/>
        </w:rPr>
        <w:t>El carácter reconocidamente taxativo y restrictivo de este régimen y el de las correlativas nulidades, obedece a la necesidad de salvaguardar el interés general ínsito en la contratación pública de manera que implique el menor sacrificio posible al derecho de igualdad y de reconocimiento de la personalidad jurídica de quienes aspiran a contratar con el Estado. Es evidente que si la restricción legal [incompatibilidad o inhabilidad] no se sustenta en ninguna necesidad de protección del interés general o ésta es irrazonable o desproporcionada, en esa misma medida pierde justificación constitucional como medio legítimo para restringir, en ese caso, el derecho a la igualdad y el reconocimiento de la personalidad jurídica de las personas que resultan rechazadas del ámbito contractual del Estado”</w:t>
      </w:r>
      <w:r w:rsidRPr="00404C23">
        <w:rPr>
          <w:rFonts w:ascii="Verdana" w:eastAsia="Verdana" w:hAnsi="Verdana" w:cs="Verdana"/>
          <w:sz w:val="20"/>
          <w:szCs w:val="20"/>
          <w:vertAlign w:val="superscript"/>
        </w:rPr>
        <w:footnoteReference w:id="4"/>
      </w:r>
      <w:r w:rsidRPr="00404C23">
        <w:rPr>
          <w:rFonts w:ascii="Verdana" w:eastAsia="Verdana" w:hAnsi="Verdana" w:cs="Verdana"/>
          <w:sz w:val="20"/>
          <w:szCs w:val="20"/>
        </w:rPr>
        <w:t xml:space="preserve">. </w:t>
      </w:r>
    </w:p>
    <w:p w14:paraId="3E2B16B6" w14:textId="77777777" w:rsidR="00404C23" w:rsidRPr="00404C23" w:rsidRDefault="00404C23" w:rsidP="00404C23">
      <w:pPr>
        <w:spacing w:line="276" w:lineRule="auto"/>
        <w:ind w:right="709"/>
        <w:jc w:val="both"/>
        <w:rPr>
          <w:rFonts w:ascii="Verdana" w:eastAsia="Verdana" w:hAnsi="Verdana" w:cs="Verdana"/>
          <w:sz w:val="22"/>
          <w:szCs w:val="22"/>
        </w:rPr>
      </w:pPr>
    </w:p>
    <w:p w14:paraId="16132C58" w14:textId="77777777" w:rsidR="00404C23" w:rsidRPr="00404C23" w:rsidRDefault="00404C23" w:rsidP="00404C23">
      <w:pPr>
        <w:spacing w:line="276" w:lineRule="auto"/>
        <w:ind w:firstLine="709"/>
        <w:jc w:val="both"/>
        <w:rPr>
          <w:rFonts w:ascii="Verdana" w:eastAsia="Verdana" w:hAnsi="Verdana" w:cs="Verdana"/>
          <w:sz w:val="22"/>
          <w:szCs w:val="22"/>
        </w:rPr>
      </w:pPr>
      <w:r w:rsidRPr="00404C23">
        <w:rPr>
          <w:rFonts w:ascii="Verdana" w:eastAsia="Verdana" w:hAnsi="Verdana" w:cs="Verdana"/>
          <w:sz w:val="22"/>
          <w:szCs w:val="22"/>
        </w:rPr>
        <w:t>Además, la Corte Constitucional explica que el legislador tiene la competencia para determinar qué hechos o situaciones generan inhabilidad para contratar, pues este régimen es un aspecto propio del Estatuto General de Contratación de la Administración Pública – en adelante EGCAP –, cuya expedición compete al Congreso de la República a la luz del artículo 150 de la Constitución Política, y que en esta materia rige el principio de legalidad:</w:t>
      </w:r>
    </w:p>
    <w:p w14:paraId="7898F8D8" w14:textId="77777777" w:rsidR="00404C23" w:rsidRPr="00404C23" w:rsidRDefault="00404C23" w:rsidP="00404C23">
      <w:pPr>
        <w:tabs>
          <w:tab w:val="left" w:pos="1532"/>
        </w:tabs>
        <w:jc w:val="both"/>
        <w:rPr>
          <w:rFonts w:ascii="Verdana" w:eastAsia="Verdana" w:hAnsi="Verdana" w:cs="Verdana"/>
          <w:sz w:val="22"/>
          <w:szCs w:val="22"/>
        </w:rPr>
      </w:pPr>
    </w:p>
    <w:p w14:paraId="1F8F5E3F" w14:textId="77777777" w:rsidR="00404C23" w:rsidRPr="00404C23" w:rsidRDefault="00404C23" w:rsidP="00404C23">
      <w:pPr>
        <w:ind w:left="709" w:right="709"/>
        <w:jc w:val="both"/>
        <w:rPr>
          <w:rFonts w:ascii="Verdana" w:eastAsia="Verdana" w:hAnsi="Verdana" w:cs="Verdana"/>
          <w:sz w:val="20"/>
          <w:szCs w:val="20"/>
        </w:rPr>
      </w:pPr>
      <w:r w:rsidRPr="00404C23">
        <w:rPr>
          <w:rFonts w:ascii="Verdana" w:eastAsia="Verdana" w:hAnsi="Verdana" w:cs="Verdana"/>
          <w:sz w:val="20"/>
          <w:szCs w:val="20"/>
        </w:rPr>
        <w:t xml:space="preserve">“Las limitaciones y restricciones que se contienen en el citado estatuto, predicables de la relación Estado-particulares y que afectan los diversos momentos de formación, celebración y ejecución de los contratos estatales, se refieren a una faceta de la actividad del Estado y en la que se contempla, en los términos de la ley, una especial modalidad de participación o colaboración de los particulares en su papel de contratistas. La ley demandada recae sobre una materia que pertenece al dominio de la esfera estatal y pública, dentro de la cual no rige el principio pro </w:t>
      </w:r>
      <w:proofErr w:type="spellStart"/>
      <w:r w:rsidRPr="00404C23">
        <w:rPr>
          <w:rFonts w:ascii="Verdana" w:eastAsia="Verdana" w:hAnsi="Verdana" w:cs="Verdana"/>
          <w:sz w:val="20"/>
          <w:szCs w:val="20"/>
        </w:rPr>
        <w:t>libertate</w:t>
      </w:r>
      <w:proofErr w:type="spellEnd"/>
      <w:r w:rsidRPr="00404C23">
        <w:rPr>
          <w:rFonts w:ascii="Verdana" w:eastAsia="Verdana" w:hAnsi="Verdana" w:cs="Verdana"/>
          <w:sz w:val="20"/>
          <w:szCs w:val="20"/>
        </w:rPr>
        <w:t xml:space="preserve">, sino el de legalidad, el que ordena que la función pública debe someterse estrictamente a lo que disponga la Constitución y la ley (CP art. 6). </w:t>
      </w:r>
    </w:p>
    <w:p w14:paraId="5A1F6064" w14:textId="77777777" w:rsidR="00404C23" w:rsidRPr="00404C23" w:rsidRDefault="00404C23" w:rsidP="00404C23">
      <w:pPr>
        <w:ind w:left="709" w:right="709"/>
        <w:jc w:val="both"/>
        <w:rPr>
          <w:rFonts w:ascii="Verdana" w:eastAsia="Verdana" w:hAnsi="Verdana" w:cs="Verdana"/>
          <w:sz w:val="20"/>
          <w:szCs w:val="20"/>
        </w:rPr>
      </w:pPr>
      <w:r w:rsidRPr="00404C23">
        <w:rPr>
          <w:rFonts w:ascii="Verdana" w:eastAsia="Verdana" w:hAnsi="Verdana" w:cs="Verdana"/>
          <w:sz w:val="20"/>
          <w:szCs w:val="20"/>
        </w:rPr>
        <w:t xml:space="preserve">[…] </w:t>
      </w:r>
    </w:p>
    <w:p w14:paraId="00C1BD70" w14:textId="77777777" w:rsidR="00404C23" w:rsidRPr="00404C23" w:rsidRDefault="00404C23" w:rsidP="00404C23">
      <w:pPr>
        <w:ind w:left="709" w:right="709"/>
        <w:jc w:val="both"/>
        <w:rPr>
          <w:rFonts w:ascii="Verdana" w:eastAsia="Verdana" w:hAnsi="Verdana" w:cs="Verdana"/>
          <w:sz w:val="20"/>
          <w:szCs w:val="20"/>
        </w:rPr>
      </w:pPr>
      <w:r w:rsidRPr="00404C23">
        <w:rPr>
          <w:rFonts w:ascii="Verdana" w:eastAsia="Verdana" w:hAnsi="Verdana" w:cs="Verdana"/>
          <w:sz w:val="20"/>
          <w:szCs w:val="20"/>
        </w:rPr>
        <w:t xml:space="preserve">Se comprende con facilidad que el régimen de inhabilidades e </w:t>
      </w:r>
      <w:proofErr w:type="gramStart"/>
      <w:r w:rsidRPr="00404C23">
        <w:rPr>
          <w:rFonts w:ascii="Verdana" w:eastAsia="Verdana" w:hAnsi="Verdana" w:cs="Verdana"/>
          <w:sz w:val="20"/>
          <w:szCs w:val="20"/>
        </w:rPr>
        <w:t>incompatibilidades,</w:t>
      </w:r>
      <w:proofErr w:type="gramEnd"/>
      <w:r w:rsidRPr="00404C23">
        <w:rPr>
          <w:rFonts w:ascii="Verdana" w:eastAsia="Verdana" w:hAnsi="Verdana" w:cs="Verdana"/>
          <w:sz w:val="20"/>
          <w:szCs w:val="20"/>
        </w:rPr>
        <w:t xml:space="preserve"> corresponde a una materia de normal y obligada inclusión en un estatuto contractual. El legislador, a quien se ha confiado expedir el indicado estatuto, tiene, pues, competencia para establecerlo (CP art. 150)”</w:t>
      </w:r>
      <w:r w:rsidRPr="00404C23">
        <w:rPr>
          <w:rFonts w:ascii="Verdana" w:eastAsia="Verdana" w:hAnsi="Verdana" w:cs="Verdana"/>
          <w:sz w:val="20"/>
          <w:szCs w:val="20"/>
          <w:vertAlign w:val="superscript"/>
        </w:rPr>
        <w:footnoteReference w:id="5"/>
      </w:r>
      <w:r w:rsidRPr="00404C23">
        <w:rPr>
          <w:rFonts w:ascii="Verdana" w:eastAsia="Verdana" w:hAnsi="Verdana" w:cs="Verdana"/>
          <w:sz w:val="20"/>
          <w:szCs w:val="20"/>
        </w:rPr>
        <w:t>.</w:t>
      </w:r>
    </w:p>
    <w:p w14:paraId="238D34C0" w14:textId="77777777" w:rsidR="00404C23" w:rsidRPr="00404C23" w:rsidRDefault="00404C23" w:rsidP="00404C23">
      <w:pPr>
        <w:ind w:left="709" w:right="709"/>
        <w:jc w:val="both"/>
        <w:rPr>
          <w:rFonts w:ascii="Verdana" w:eastAsia="Verdana" w:hAnsi="Verdana" w:cs="Verdana"/>
          <w:sz w:val="22"/>
          <w:szCs w:val="22"/>
        </w:rPr>
      </w:pPr>
    </w:p>
    <w:p w14:paraId="7B2D7307" w14:textId="77777777" w:rsidR="00404C23" w:rsidRPr="00404C23" w:rsidRDefault="00404C23" w:rsidP="00404C23">
      <w:pPr>
        <w:spacing w:after="120" w:line="276" w:lineRule="auto"/>
        <w:ind w:firstLine="709"/>
        <w:jc w:val="both"/>
        <w:rPr>
          <w:rFonts w:ascii="Verdana" w:eastAsia="Verdana" w:hAnsi="Verdana" w:cs="Verdana"/>
          <w:sz w:val="22"/>
          <w:szCs w:val="22"/>
        </w:rPr>
      </w:pPr>
      <w:r w:rsidRPr="00404C23">
        <w:rPr>
          <w:rFonts w:ascii="Verdana" w:eastAsia="Verdana" w:hAnsi="Verdana" w:cs="Verdana"/>
          <w:sz w:val="22"/>
          <w:szCs w:val="22"/>
        </w:rPr>
        <w:lastRenderedPageBreak/>
        <w:t xml:space="preserve">Conviene también distinguir las fuentes de las inhabilidades, las cuales han sido clasificadas en dos (2) grupos: i) inhabilidades-sanción y </w:t>
      </w:r>
      <w:proofErr w:type="spellStart"/>
      <w:r w:rsidRPr="00404C23">
        <w:rPr>
          <w:rFonts w:ascii="Verdana" w:eastAsia="Verdana" w:hAnsi="Verdana" w:cs="Verdana"/>
          <w:sz w:val="22"/>
          <w:szCs w:val="22"/>
        </w:rPr>
        <w:t>ii</w:t>
      </w:r>
      <w:proofErr w:type="spellEnd"/>
      <w:r w:rsidRPr="00404C23">
        <w:rPr>
          <w:rFonts w:ascii="Verdana" w:eastAsia="Verdana" w:hAnsi="Verdana" w:cs="Verdana"/>
          <w:sz w:val="22"/>
          <w:szCs w:val="22"/>
        </w:rPr>
        <w:t>) inhabilidades-requisito. En el primer grupo se encuentran las inhabilidades que surgen como consecuencia de un proceso sancionatorio, en los ámbitos penal, disciplinario, contravencional o de pérdida de investidura. En el segundo grupo están aquellas que no devienen de un proceso sancionatorio, sino de condiciones propias de la persona y garantizan la moralidad, la imparcialidad, la eficacia y la transparencia</w:t>
      </w:r>
      <w:r w:rsidRPr="00404C23">
        <w:rPr>
          <w:rFonts w:ascii="Verdana" w:eastAsia="Verdana" w:hAnsi="Verdana" w:cs="Verdana"/>
          <w:sz w:val="22"/>
          <w:szCs w:val="22"/>
          <w:vertAlign w:val="superscript"/>
        </w:rPr>
        <w:footnoteReference w:id="6"/>
      </w:r>
      <w:r w:rsidRPr="00404C23">
        <w:rPr>
          <w:rFonts w:ascii="Verdana" w:eastAsia="Verdana" w:hAnsi="Verdana" w:cs="Verdana"/>
          <w:sz w:val="22"/>
          <w:szCs w:val="22"/>
        </w:rPr>
        <w:t>.</w:t>
      </w:r>
    </w:p>
    <w:p w14:paraId="19A2D19D" w14:textId="77777777" w:rsidR="00404C23" w:rsidRPr="00404C23" w:rsidRDefault="00404C23" w:rsidP="00404C23">
      <w:pPr>
        <w:spacing w:before="120" w:after="120" w:line="276" w:lineRule="auto"/>
        <w:ind w:firstLine="708"/>
        <w:jc w:val="both"/>
        <w:rPr>
          <w:rFonts w:ascii="Verdana" w:eastAsia="Verdana" w:hAnsi="Verdana" w:cs="Verdana"/>
          <w:sz w:val="22"/>
          <w:szCs w:val="22"/>
        </w:rPr>
      </w:pPr>
      <w:r w:rsidRPr="00404C23">
        <w:rPr>
          <w:rFonts w:ascii="Verdana" w:eastAsia="Verdana" w:hAnsi="Verdana" w:cs="Verdana"/>
          <w:sz w:val="22"/>
          <w:szCs w:val="22"/>
        </w:rPr>
        <w:t>A manera de ejemplo, en materia contractual, los literales c), d) y j) del numeral 1 del artículo 8 de la Ley 80 de 1993</w:t>
      </w:r>
      <w:r w:rsidRPr="00404C23">
        <w:rPr>
          <w:rFonts w:ascii="Verdana" w:eastAsia="Verdana" w:hAnsi="Verdana" w:cs="Verdana"/>
          <w:sz w:val="22"/>
          <w:szCs w:val="22"/>
          <w:vertAlign w:val="superscript"/>
        </w:rPr>
        <w:footnoteReference w:id="7"/>
      </w:r>
      <w:r w:rsidRPr="00404C23">
        <w:rPr>
          <w:rFonts w:ascii="Verdana" w:eastAsia="Verdana" w:hAnsi="Verdana" w:cs="Verdana"/>
          <w:sz w:val="22"/>
          <w:szCs w:val="22"/>
        </w:rPr>
        <w:t xml:space="preserve"> establecen inhabilidades-sanción, </w:t>
      </w:r>
      <w:r w:rsidRPr="00404C23">
        <w:rPr>
          <w:rFonts w:ascii="Verdana" w:eastAsia="Verdana" w:hAnsi="Verdana" w:cs="Verdana"/>
          <w:sz w:val="22"/>
          <w:szCs w:val="22"/>
        </w:rPr>
        <w:lastRenderedPageBreak/>
        <w:t xml:space="preserve">porque la prohibición para contratar con el Estado en esos eventos es una consecuencia de una declaratoria de responsabilidad que surge luego de un proceso sancionatorio –administrativo, disciplinario o penal–; mientras que las inhabilidades de los literales f), g) y h) del numeral 1° de la norma citada establecen inhabilidades–requisito, pues no se configuran por la comisión previa de una falta o un delito que dio lugar a una declaratoria por parte de la Administración o el juez, sino de aspectos propios de la persona, derivados, por ejemplo, del parentesco o la afinidad o de la condición de servidor público. </w:t>
      </w:r>
    </w:p>
    <w:p w14:paraId="16502BDC" w14:textId="77777777" w:rsidR="00404C23" w:rsidRPr="00404C23" w:rsidRDefault="00404C23" w:rsidP="00404C23">
      <w:pPr>
        <w:spacing w:before="120" w:after="120" w:line="276" w:lineRule="auto"/>
        <w:ind w:firstLine="709"/>
        <w:jc w:val="both"/>
        <w:rPr>
          <w:rFonts w:ascii="Verdana" w:eastAsia="Verdana" w:hAnsi="Verdana" w:cs="Verdana"/>
          <w:sz w:val="22"/>
          <w:szCs w:val="22"/>
        </w:rPr>
      </w:pPr>
      <w:r w:rsidRPr="00404C23">
        <w:rPr>
          <w:rFonts w:ascii="Verdana" w:eastAsia="Verdana" w:hAnsi="Verdana" w:cs="Verdana"/>
          <w:sz w:val="22"/>
          <w:szCs w:val="22"/>
        </w:rPr>
        <w:t xml:space="preserve">En ambos eventos, la inhabilidad tiene como fuente una situación o un hecho propio del proponente –una conducta o una condición– ajena a la oferta. La inhabilidad surge, entre otros, por su grado de parentesco o afinidad, por su condición de servidor público o por una declaratoria de responsabilidad penal, disciplinaria o sancionatoria contractual sobre él. </w:t>
      </w:r>
    </w:p>
    <w:p w14:paraId="1CAF56C3" w14:textId="77777777" w:rsidR="00404C23" w:rsidRPr="00404C23" w:rsidRDefault="00404C23" w:rsidP="00404C23">
      <w:pPr>
        <w:spacing w:before="120" w:after="120" w:line="276" w:lineRule="auto"/>
        <w:ind w:firstLine="709"/>
        <w:jc w:val="both"/>
        <w:rPr>
          <w:rFonts w:ascii="Verdana" w:eastAsia="Verdana" w:hAnsi="Verdana" w:cs="Verdana"/>
          <w:sz w:val="22"/>
          <w:szCs w:val="22"/>
        </w:rPr>
      </w:pPr>
      <w:r w:rsidRPr="00404C23">
        <w:rPr>
          <w:rFonts w:ascii="Verdana" w:eastAsia="Verdana" w:hAnsi="Verdana" w:cs="Verdana"/>
          <w:sz w:val="22"/>
          <w:szCs w:val="22"/>
        </w:rPr>
        <w:lastRenderedPageBreak/>
        <w:t xml:space="preserve">Ahora bien, las inhabilidades e incompatibilidades al ser restricciones o límites especiales a la capacidad para presentar ofertas y celebrar contratos estatales, solo pueden tipificarse en la ley o la Constitución –o sea, deben satisfacer el principio de legalidad– y su interpretación debe ser </w:t>
      </w:r>
      <w:r w:rsidRPr="00404C23">
        <w:rPr>
          <w:rFonts w:ascii="Verdana" w:eastAsia="Verdana" w:hAnsi="Verdana" w:cs="Verdana"/>
          <w:i/>
          <w:sz w:val="22"/>
          <w:szCs w:val="22"/>
        </w:rPr>
        <w:t>restrictiva</w:t>
      </w:r>
      <w:r w:rsidRPr="00404C23">
        <w:rPr>
          <w:rFonts w:ascii="Verdana" w:eastAsia="Verdana" w:hAnsi="Verdana" w:cs="Verdana"/>
          <w:i/>
          <w:sz w:val="22"/>
          <w:szCs w:val="22"/>
          <w:vertAlign w:val="superscript"/>
        </w:rPr>
        <w:footnoteReference w:id="8"/>
      </w:r>
      <w:r w:rsidRPr="00404C23">
        <w:rPr>
          <w:rFonts w:ascii="Verdana" w:eastAsia="Verdana" w:hAnsi="Verdana" w:cs="Verdana"/>
          <w:i/>
          <w:sz w:val="22"/>
          <w:szCs w:val="22"/>
        </w:rPr>
        <w:t xml:space="preserve">, </w:t>
      </w:r>
      <w:r w:rsidRPr="00404C23">
        <w:rPr>
          <w:rFonts w:ascii="Verdana" w:eastAsia="Verdana" w:hAnsi="Verdana" w:cs="Verdana"/>
          <w:sz w:val="22"/>
          <w:szCs w:val="22"/>
        </w:rPr>
        <w:t xml:space="preserve">pues si se admitiera una interpretación amplia, extensiva o finalista de las 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 </w:t>
      </w:r>
    </w:p>
    <w:p w14:paraId="0DA04764" w14:textId="77777777" w:rsidR="00404C23" w:rsidRPr="00404C23" w:rsidRDefault="00404C23" w:rsidP="00404C23">
      <w:pPr>
        <w:spacing w:after="120" w:line="276" w:lineRule="auto"/>
        <w:ind w:firstLine="709"/>
        <w:jc w:val="both"/>
        <w:rPr>
          <w:rFonts w:ascii="Verdana" w:eastAsia="Verdana" w:hAnsi="Verdana" w:cs="Verdana"/>
          <w:sz w:val="22"/>
          <w:szCs w:val="22"/>
        </w:rPr>
      </w:pPr>
      <w:r w:rsidRPr="00404C23">
        <w:rPr>
          <w:rFonts w:ascii="Verdana" w:eastAsia="Verdana" w:hAnsi="Verdana" w:cs="Verdana"/>
          <w:sz w:val="22"/>
          <w:szCs w:val="22"/>
        </w:rPr>
        <w:t>En efecto, el máximo tribunal constitucional ha indicado, al tratar de precisar el sentido de este tipo de normas, que “[…] el intérprete de las 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r w:rsidRPr="00404C23">
        <w:rPr>
          <w:rFonts w:ascii="Verdana" w:eastAsia="Verdana" w:hAnsi="Verdana" w:cs="Verdana"/>
          <w:sz w:val="22"/>
          <w:szCs w:val="22"/>
          <w:vertAlign w:val="superscript"/>
        </w:rPr>
        <w:footnoteReference w:id="9"/>
      </w:r>
      <w:r w:rsidRPr="00404C23">
        <w:rPr>
          <w:rFonts w:ascii="Verdana" w:eastAsia="Verdana" w:hAnsi="Verdana" w:cs="Verdana"/>
          <w:sz w:val="22"/>
          <w:szCs w:val="22"/>
        </w:rPr>
        <w:t xml:space="preserve">. </w:t>
      </w:r>
    </w:p>
    <w:p w14:paraId="58DF84EB" w14:textId="77777777" w:rsidR="00404C23" w:rsidRPr="00404C23" w:rsidRDefault="00404C23" w:rsidP="00404C23">
      <w:pPr>
        <w:spacing w:line="276" w:lineRule="auto"/>
        <w:ind w:firstLine="709"/>
        <w:jc w:val="both"/>
        <w:rPr>
          <w:rFonts w:ascii="Verdana" w:eastAsia="Verdana" w:hAnsi="Verdana" w:cs="Verdana"/>
          <w:sz w:val="22"/>
          <w:szCs w:val="22"/>
        </w:rPr>
      </w:pPr>
      <w:r w:rsidRPr="00404C23">
        <w:rPr>
          <w:rFonts w:ascii="Verdana" w:eastAsia="Verdana" w:hAnsi="Verdana" w:cs="Verdana"/>
          <w:sz w:val="22"/>
          <w:szCs w:val="22"/>
        </w:rPr>
        <w:t>Por su parte, el Consejo de Estado ha acogido también este criterio, considerando –como expresa la Sala de Consulta y Servicio Civil–, que “La interpretación restrictiva de las normas que establecen inhabilidades constituye una aplicación del principio del Estado de Derecho previsto en el artículo 6º de la Constitución, según el cual “Los particulares sólo son responsables ante las autoridades por infringir la Constitución y las leyes” lo que se traduce en que pueden hacer todo aquello que no les esté expresamente prohibido”</w:t>
      </w:r>
      <w:r w:rsidRPr="00404C23">
        <w:rPr>
          <w:rFonts w:ascii="Verdana" w:eastAsia="Verdana" w:hAnsi="Verdana" w:cs="Verdana"/>
          <w:sz w:val="22"/>
          <w:szCs w:val="22"/>
          <w:vertAlign w:val="superscript"/>
        </w:rPr>
        <w:footnoteReference w:id="10"/>
      </w:r>
      <w:r w:rsidRPr="00404C23">
        <w:rPr>
          <w:rFonts w:ascii="Verdana" w:eastAsia="Verdana" w:hAnsi="Verdana" w:cs="Verdana"/>
          <w:sz w:val="22"/>
          <w:szCs w:val="22"/>
        </w:rPr>
        <w:t>. En tal sentido, la Sección Tercera ha señalado que:</w:t>
      </w:r>
    </w:p>
    <w:p w14:paraId="11FB110D" w14:textId="77777777" w:rsidR="00404C23" w:rsidRPr="00404C23" w:rsidRDefault="00404C23" w:rsidP="00404C23">
      <w:pPr>
        <w:spacing w:line="276" w:lineRule="auto"/>
        <w:ind w:firstLine="709"/>
        <w:jc w:val="both"/>
        <w:rPr>
          <w:rFonts w:ascii="Verdana" w:eastAsia="Verdana" w:hAnsi="Verdana" w:cs="Verdana"/>
          <w:sz w:val="22"/>
          <w:szCs w:val="22"/>
        </w:rPr>
      </w:pPr>
    </w:p>
    <w:p w14:paraId="67C9E5DA" w14:textId="77777777" w:rsidR="00404C23" w:rsidRPr="00404C23" w:rsidRDefault="00404C23" w:rsidP="00404C23">
      <w:pPr>
        <w:ind w:left="709" w:right="709"/>
        <w:jc w:val="both"/>
        <w:rPr>
          <w:rFonts w:ascii="Verdana" w:eastAsia="Verdana" w:hAnsi="Verdana" w:cs="Verdana"/>
          <w:sz w:val="20"/>
          <w:szCs w:val="20"/>
        </w:rPr>
      </w:pPr>
      <w:r w:rsidRPr="00404C23">
        <w:rPr>
          <w:rFonts w:ascii="Verdana" w:eastAsia="Verdana" w:hAnsi="Verdana" w:cs="Verdana"/>
          <w:sz w:val="20"/>
          <w:szCs w:val="20"/>
        </w:rPr>
        <w:t xml:space="preserve">“[…] de conformidad con la jurisprudencia uniforme y reiterada de esta Corporación, la aplicación de las normas que contemplan inhabilidades e incompatibilidades, como en general de todas aquellas que comportan prohibiciones o limitaciones, deben responder a una interpretación </w:t>
      </w:r>
      <w:r w:rsidRPr="00404C23">
        <w:rPr>
          <w:rFonts w:ascii="Verdana" w:eastAsia="Verdana" w:hAnsi="Verdana" w:cs="Verdana"/>
          <w:sz w:val="20"/>
          <w:szCs w:val="20"/>
        </w:rPr>
        <w:lastRenderedPageBreak/>
        <w:t>restrictiva que no permite su extensión, por vía de la figura de la analogía, a supuestos no contemplados por el ordenamiento</w:t>
      </w:r>
      <w:r w:rsidRPr="00404C23">
        <w:rPr>
          <w:rFonts w:ascii="Verdana" w:eastAsia="Verdana" w:hAnsi="Verdana" w:cs="Verdana"/>
          <w:sz w:val="20"/>
          <w:szCs w:val="20"/>
          <w:vertAlign w:val="superscript"/>
        </w:rPr>
        <w:footnoteReference w:id="11"/>
      </w:r>
      <w:r w:rsidRPr="00404C23">
        <w:rPr>
          <w:rFonts w:ascii="Verdana" w:eastAsia="Verdana" w:hAnsi="Verdana" w:cs="Verdana"/>
          <w:sz w:val="20"/>
          <w:szCs w:val="20"/>
        </w:rPr>
        <w:t>.</w:t>
      </w:r>
    </w:p>
    <w:p w14:paraId="4783DCFF" w14:textId="77777777" w:rsidR="00404C23" w:rsidRPr="00404C23" w:rsidRDefault="00404C23" w:rsidP="00404C23">
      <w:pPr>
        <w:ind w:firstLine="709"/>
        <w:jc w:val="both"/>
        <w:rPr>
          <w:rFonts w:ascii="Verdana" w:eastAsia="Verdana" w:hAnsi="Verdana" w:cs="Verdana"/>
          <w:sz w:val="20"/>
          <w:szCs w:val="20"/>
        </w:rPr>
      </w:pPr>
    </w:p>
    <w:p w14:paraId="28C205B2" w14:textId="77777777" w:rsidR="00404C23" w:rsidRPr="00404C23" w:rsidRDefault="00404C23" w:rsidP="00404C23">
      <w:pPr>
        <w:ind w:firstLine="709"/>
        <w:jc w:val="both"/>
        <w:rPr>
          <w:rFonts w:ascii="Verdana" w:eastAsia="Verdana" w:hAnsi="Verdana" w:cs="Verdana"/>
          <w:sz w:val="20"/>
          <w:szCs w:val="20"/>
        </w:rPr>
      </w:pPr>
      <w:r w:rsidRPr="00404C23">
        <w:rPr>
          <w:rFonts w:ascii="Verdana" w:eastAsia="Verdana" w:hAnsi="Verdana" w:cs="Verdana"/>
          <w:sz w:val="20"/>
          <w:szCs w:val="20"/>
        </w:rPr>
        <w:t>También ha dicho que:</w:t>
      </w:r>
    </w:p>
    <w:p w14:paraId="36613616" w14:textId="77777777" w:rsidR="00404C23" w:rsidRPr="00404C23" w:rsidRDefault="00404C23" w:rsidP="00404C23">
      <w:pPr>
        <w:ind w:left="709" w:right="616"/>
        <w:jc w:val="both"/>
        <w:rPr>
          <w:rFonts w:ascii="Verdana" w:eastAsia="Verdana" w:hAnsi="Verdana" w:cs="Verdana"/>
          <w:sz w:val="20"/>
          <w:szCs w:val="20"/>
        </w:rPr>
      </w:pPr>
      <w:r w:rsidRPr="00404C23">
        <w:rPr>
          <w:rFonts w:ascii="Verdana" w:eastAsia="Verdana" w:hAnsi="Verdana" w:cs="Verdana"/>
          <w:sz w:val="20"/>
          <w:szCs w:val="20"/>
        </w:rPr>
        <w:t xml:space="preserve">[…] la aplicación de estos preceptos exige una interpretación restrictiva, dado que según el principio hermenéutico </w:t>
      </w:r>
      <w:r w:rsidRPr="00404C23">
        <w:rPr>
          <w:rFonts w:ascii="Verdana" w:eastAsia="Verdana" w:hAnsi="Verdana" w:cs="Verdana"/>
          <w:i/>
          <w:sz w:val="20"/>
          <w:szCs w:val="20"/>
        </w:rPr>
        <w:t xml:space="preserve">pro </w:t>
      </w:r>
      <w:proofErr w:type="spellStart"/>
      <w:r w:rsidRPr="00404C23">
        <w:rPr>
          <w:rFonts w:ascii="Verdana" w:eastAsia="Verdana" w:hAnsi="Verdana" w:cs="Verdana"/>
          <w:i/>
          <w:sz w:val="20"/>
          <w:szCs w:val="20"/>
        </w:rPr>
        <w:t>libertate</w:t>
      </w:r>
      <w:proofErr w:type="spellEnd"/>
      <w:r w:rsidRPr="00404C23">
        <w:rPr>
          <w:rFonts w:ascii="Verdana" w:eastAsia="Verdana" w:hAnsi="Verdana" w:cs="Verdana"/>
          <w:sz w:val="20"/>
          <w:szCs w:val="20"/>
        </w:rPr>
        <w:t>, entre varias interpretaciones posibles de una norma que regula una inhabilidad, debe preferirse aquella que menos limita el derecho de las personas; en otros términos, se encuentra prohibida constitucionalmente la interpretación extensiva de las causales de inhabilidad, toda vez que las palabras de la ley son la frontera que no se puede traspasar en el ejercicio hermenéutico de las mismas, pues de hacerlo se vulnerarían los derechos fundamentales al debido proceso (art. 29 CN) y a la igualdad (art. 13 Ibid.) […]”</w:t>
      </w:r>
      <w:r w:rsidRPr="00404C23">
        <w:rPr>
          <w:rFonts w:ascii="Verdana" w:eastAsia="Verdana" w:hAnsi="Verdana" w:cs="Verdana"/>
          <w:sz w:val="20"/>
          <w:szCs w:val="20"/>
          <w:vertAlign w:val="superscript"/>
        </w:rPr>
        <w:footnoteReference w:id="12"/>
      </w:r>
      <w:r w:rsidRPr="00404C23">
        <w:rPr>
          <w:rFonts w:ascii="Verdana" w:eastAsia="Verdana" w:hAnsi="Verdana" w:cs="Verdana"/>
          <w:sz w:val="20"/>
          <w:szCs w:val="20"/>
        </w:rPr>
        <w:t>.</w:t>
      </w:r>
    </w:p>
    <w:p w14:paraId="4A64BB37" w14:textId="77777777" w:rsidR="00404C23" w:rsidRPr="00404C23" w:rsidRDefault="00404C23" w:rsidP="00404C23">
      <w:pPr>
        <w:spacing w:line="276" w:lineRule="auto"/>
        <w:jc w:val="both"/>
        <w:rPr>
          <w:rFonts w:ascii="Verdana" w:eastAsia="Verdana" w:hAnsi="Verdana" w:cs="Verdana"/>
          <w:color w:val="000000"/>
          <w:sz w:val="22"/>
          <w:szCs w:val="22"/>
        </w:rPr>
      </w:pPr>
    </w:p>
    <w:p w14:paraId="156F02ED" w14:textId="77777777" w:rsidR="00404C23" w:rsidRPr="00404C23" w:rsidRDefault="00404C23" w:rsidP="00404C23">
      <w:pPr>
        <w:spacing w:after="120" w:line="276" w:lineRule="auto"/>
        <w:ind w:firstLine="708"/>
        <w:jc w:val="both"/>
        <w:rPr>
          <w:rFonts w:ascii="Verdana" w:eastAsia="Verdana" w:hAnsi="Verdana" w:cs="Verdana"/>
          <w:color w:val="000000"/>
          <w:sz w:val="22"/>
          <w:szCs w:val="22"/>
        </w:rPr>
      </w:pPr>
      <w:r w:rsidRPr="00404C23">
        <w:rPr>
          <w:rFonts w:ascii="Verdana" w:eastAsia="Verdana" w:hAnsi="Verdana" w:cs="Verdana"/>
          <w:color w:val="000000"/>
          <w:sz w:val="22"/>
          <w:szCs w:val="22"/>
        </w:rPr>
        <w:t xml:space="preserve">Como se aprecia, el principio </w:t>
      </w:r>
      <w:r w:rsidRPr="00404C23">
        <w:rPr>
          <w:rFonts w:ascii="Verdana" w:eastAsia="Verdana" w:hAnsi="Verdana" w:cs="Verdana"/>
          <w:i/>
          <w:color w:val="000000"/>
          <w:sz w:val="22"/>
          <w:szCs w:val="22"/>
        </w:rPr>
        <w:t xml:space="preserve">pro </w:t>
      </w:r>
      <w:proofErr w:type="spellStart"/>
      <w:r w:rsidRPr="00404C23">
        <w:rPr>
          <w:rFonts w:ascii="Verdana" w:eastAsia="Verdana" w:hAnsi="Verdana" w:cs="Verdana"/>
          <w:i/>
          <w:color w:val="000000"/>
          <w:sz w:val="22"/>
          <w:szCs w:val="22"/>
        </w:rPr>
        <w:t>libertate</w:t>
      </w:r>
      <w:proofErr w:type="spellEnd"/>
      <w:r w:rsidRPr="00404C23">
        <w:rPr>
          <w:rFonts w:ascii="Verdana" w:eastAsia="Verdana" w:hAnsi="Verdana" w:cs="Verdana"/>
          <w:color w:val="000000"/>
          <w:sz w:val="22"/>
          <w:szCs w:val="22"/>
        </w:rPr>
        <w:t xml:space="preserve"> es el que debe dirigir la interpretación de las disposiciones normativas que consagran restricciones de derechos, como sucede con las causales de inhabilidad e incompatibilidad en la contratación estatal. Además, en relación con la determinación de las causales de inhabilidad e incompatibilidad, la Corte Constitucional ha resaltado que la competencia para determinar qué hechos o situaciones generan inhabilidades o incompatibilidades para contratar con el Estado la tiene el legislador, pues este régimen es un aspecto propio del Estatuto General de la Contratación de la Administración Pública, cuya expedición compete al Congreso de la República, conforme al artículo 150 de la Constitución Política, y que en esta materia rige el principio de legalidad</w:t>
      </w:r>
      <w:r w:rsidRPr="00404C23">
        <w:rPr>
          <w:rFonts w:ascii="Verdana" w:eastAsia="Verdana" w:hAnsi="Verdana" w:cs="Verdana"/>
          <w:color w:val="000000"/>
          <w:sz w:val="22"/>
          <w:szCs w:val="22"/>
          <w:vertAlign w:val="superscript"/>
        </w:rPr>
        <w:footnoteReference w:id="13"/>
      </w:r>
    </w:p>
    <w:p w14:paraId="5ECFFEAF" w14:textId="77777777" w:rsidR="00404C23" w:rsidRPr="00404C23" w:rsidRDefault="00404C23" w:rsidP="00404C23">
      <w:pPr>
        <w:spacing w:after="120" w:line="276" w:lineRule="auto"/>
        <w:ind w:firstLine="709"/>
        <w:jc w:val="both"/>
        <w:rPr>
          <w:rFonts w:ascii="Verdana" w:eastAsia="Verdana" w:hAnsi="Verdana" w:cs="Verdana"/>
          <w:color w:val="000000"/>
          <w:sz w:val="22"/>
          <w:szCs w:val="22"/>
          <w:highlight w:val="white"/>
        </w:rPr>
      </w:pPr>
      <w:r w:rsidRPr="00404C23">
        <w:rPr>
          <w:rFonts w:ascii="Verdana" w:eastAsia="Verdana" w:hAnsi="Verdana" w:cs="Verdana"/>
          <w:sz w:val="22"/>
          <w:szCs w:val="22"/>
          <w:highlight w:val="white"/>
        </w:rPr>
        <w:t>En este sentido, retomando una idea esbozada con anterioridad, la doctrina y la jurisprudencia son pacíficas en considerar que la creación de inhabilidades e incompatibilidades es un asunto con reserva de ley, en tanto, “[…] su previsión y desarrollo es materia exclusiva del legislador (reserva de ley), quien en virtud del principio democrático debe definir y tipificar expresamente sus causas, vigencia, naturaleza y efectos”</w:t>
      </w:r>
      <w:r w:rsidRPr="00404C23">
        <w:rPr>
          <w:rFonts w:ascii="Verdana" w:eastAsia="Verdana" w:hAnsi="Verdana" w:cs="Verdana"/>
          <w:sz w:val="22"/>
          <w:szCs w:val="22"/>
          <w:highlight w:val="white"/>
          <w:vertAlign w:val="superscript"/>
        </w:rPr>
        <w:footnoteReference w:id="14"/>
      </w:r>
      <w:r w:rsidRPr="00404C23">
        <w:rPr>
          <w:rFonts w:ascii="Verdana" w:eastAsia="Verdana" w:hAnsi="Verdana" w:cs="Verdana"/>
          <w:sz w:val="22"/>
          <w:szCs w:val="22"/>
          <w:highlight w:val="white"/>
        </w:rPr>
        <w:t xml:space="preserve"> En similar sentido, </w:t>
      </w:r>
      <w:r w:rsidRPr="00404C23">
        <w:rPr>
          <w:rFonts w:ascii="Verdana" w:eastAsia="Verdana" w:hAnsi="Verdana" w:cs="Verdana"/>
          <w:sz w:val="22"/>
          <w:szCs w:val="22"/>
          <w:highlight w:val="white"/>
        </w:rPr>
        <w:lastRenderedPageBreak/>
        <w:t xml:space="preserve">la Sala de Consulta y Servicio Civil del Consejo de Estado expresó </w:t>
      </w:r>
      <w:r w:rsidRPr="00404C23">
        <w:rPr>
          <w:rFonts w:ascii="Verdana" w:eastAsia="Verdana" w:hAnsi="Verdana" w:cs="Verdana"/>
          <w:color w:val="000000"/>
          <w:sz w:val="22"/>
          <w:szCs w:val="22"/>
          <w:highlight w:val="white"/>
        </w:rPr>
        <w:t>que “[…] las causales de inhabilidad e incompatibilidad deben estar expresa y taxativamente establecidas en la Constitución o en la ley y son de aplicación e interpretación restrictivas […]”</w:t>
      </w:r>
      <w:r w:rsidRPr="00404C23">
        <w:rPr>
          <w:rFonts w:ascii="Verdana" w:eastAsia="Verdana" w:hAnsi="Verdana" w:cs="Verdana"/>
          <w:color w:val="000000"/>
          <w:sz w:val="22"/>
          <w:szCs w:val="22"/>
          <w:highlight w:val="white"/>
          <w:vertAlign w:val="superscript"/>
        </w:rPr>
        <w:footnoteReference w:id="15"/>
      </w:r>
      <w:r w:rsidRPr="00404C23">
        <w:rPr>
          <w:rFonts w:ascii="Verdana" w:eastAsia="Verdana" w:hAnsi="Verdana" w:cs="Verdana"/>
          <w:color w:val="000000"/>
          <w:sz w:val="22"/>
          <w:szCs w:val="22"/>
          <w:highlight w:val="white"/>
        </w:rPr>
        <w:t>. Como se observa, existe consenso, incluso como lo ha expresado esta Agencia en ocasiones anteriores, que la creación de inhabilidades o incompatibilidades está reservada al constituyente o al legislador.</w:t>
      </w:r>
    </w:p>
    <w:p w14:paraId="6C6A6F71" w14:textId="77777777" w:rsidR="00404C23" w:rsidRPr="00404C23" w:rsidRDefault="00404C23" w:rsidP="00404C23">
      <w:pPr>
        <w:spacing w:line="276" w:lineRule="auto"/>
        <w:ind w:firstLine="709"/>
        <w:jc w:val="both"/>
        <w:rPr>
          <w:rFonts w:ascii="Verdana" w:eastAsia="Verdana" w:hAnsi="Verdana" w:cs="Verdana"/>
          <w:color w:val="000000"/>
          <w:sz w:val="22"/>
          <w:szCs w:val="22"/>
          <w:highlight w:val="white"/>
        </w:rPr>
      </w:pPr>
      <w:r w:rsidRPr="00404C23">
        <w:rPr>
          <w:rFonts w:ascii="Verdana" w:eastAsia="Verdana" w:hAnsi="Verdana" w:cs="Verdana"/>
          <w:color w:val="000000"/>
          <w:sz w:val="22"/>
          <w:szCs w:val="22"/>
          <w:highlight w:val="white"/>
        </w:rPr>
        <w:t>A partir de las consideraciones generales expuestas sobre el régimen de inhabilidades e incompatibilidades, resulta necesario profundizar en su alcance y examinar de manera sistemática su aplicación específica respecto de los fondos parafiscales del sector agropecuario. Ello implica analizar cómo dichas restricciones operan frente a la naturaleza jurídica de los fondos, la calidad de sus administradores, la composición de sus órganos directivos y el carácter público de los recursos que gestionan, con el fin de determinar si las prohibiciones previstas por el legislador se extienden —y en qué medida— a las actuaciones contractuales que estos realizan en desarrollo de su función.</w:t>
      </w:r>
    </w:p>
    <w:p w14:paraId="4A422328" w14:textId="77777777" w:rsidR="00404C23" w:rsidRPr="00404C23" w:rsidRDefault="00404C23" w:rsidP="00404C23">
      <w:pPr>
        <w:spacing w:line="276" w:lineRule="auto"/>
        <w:ind w:firstLine="709"/>
        <w:jc w:val="both"/>
        <w:rPr>
          <w:rFonts w:ascii="Verdana" w:eastAsia="Verdana" w:hAnsi="Verdana" w:cs="Verdana"/>
          <w:color w:val="000000"/>
          <w:sz w:val="22"/>
          <w:szCs w:val="22"/>
          <w:highlight w:val="white"/>
        </w:rPr>
      </w:pPr>
      <w:r w:rsidRPr="00404C23">
        <w:rPr>
          <w:rFonts w:ascii="Verdana" w:eastAsia="Verdana" w:hAnsi="Verdana" w:cs="Verdana"/>
          <w:color w:val="000000"/>
          <w:sz w:val="22"/>
          <w:szCs w:val="22"/>
          <w:highlight w:val="white"/>
        </w:rPr>
        <w:t xml:space="preserve"> </w:t>
      </w:r>
    </w:p>
    <w:p w14:paraId="664B9EF4" w14:textId="77777777" w:rsidR="00404C23" w:rsidRPr="00404C23" w:rsidRDefault="00404C23" w:rsidP="00404C23">
      <w:pPr>
        <w:spacing w:after="120" w:line="276" w:lineRule="auto"/>
        <w:jc w:val="both"/>
        <w:rPr>
          <w:rFonts w:ascii="Verdana" w:eastAsia="Verdana" w:hAnsi="Verdana" w:cs="Verdana"/>
          <w:color w:val="000000"/>
          <w:sz w:val="22"/>
          <w:szCs w:val="22"/>
          <w:highlight w:val="white"/>
        </w:rPr>
      </w:pPr>
      <w:proofErr w:type="spellStart"/>
      <w:r w:rsidRPr="00404C23">
        <w:rPr>
          <w:rFonts w:ascii="Verdana" w:eastAsia="Verdana" w:hAnsi="Verdana" w:cs="Verdana"/>
          <w:sz w:val="22"/>
          <w:szCs w:val="22"/>
        </w:rPr>
        <w:t>ii</w:t>
      </w:r>
      <w:proofErr w:type="spellEnd"/>
      <w:r w:rsidRPr="00404C23">
        <w:rPr>
          <w:rFonts w:ascii="Verdana" w:eastAsia="Verdana" w:hAnsi="Verdana" w:cs="Verdana"/>
          <w:sz w:val="22"/>
          <w:szCs w:val="22"/>
        </w:rPr>
        <w:t xml:space="preserve">. </w:t>
      </w:r>
      <w:r w:rsidRPr="00404C23">
        <w:rPr>
          <w:rFonts w:ascii="Verdana" w:eastAsia="Verdana" w:hAnsi="Verdana" w:cs="Verdana"/>
          <w:color w:val="000000"/>
          <w:sz w:val="22"/>
          <w:szCs w:val="22"/>
          <w:highlight w:val="white"/>
        </w:rPr>
        <w:t>Como punto de partida, resulta necesario precisar la naturaleza jurídica de los recursos que integran los fondos parafiscales del sector agropecuario y pesquero, puesto que depende la determinación del régimen jurídico aplicable a su administración y, particularmente, a la contratación que se realiza con cargo a dichos recursos. Las contribuciones parafiscales constituyen una modalidad de tributo prevista en el ordenamiento jurídico colombiano, cuya creación corresponde exclusivamente al legislador en ejercicio de la potestad tributaria atribuida por los artículos 150, numeral 12, y 338 de la Constitución Política. A diferencia de los impuestos, estas contribuciones presentan la particularidad de gravar a un determinado sector económico y de destinar los recursos obtenidos exclusivamente al beneficio del mismo sector que soporta la carga tributaria.</w:t>
      </w:r>
    </w:p>
    <w:p w14:paraId="7E1DE648" w14:textId="77777777" w:rsidR="00404C23" w:rsidRPr="00404C23" w:rsidRDefault="00404C23" w:rsidP="00404C23">
      <w:pPr>
        <w:spacing w:line="276" w:lineRule="auto"/>
        <w:ind w:firstLine="720"/>
        <w:jc w:val="both"/>
        <w:rPr>
          <w:rFonts w:ascii="Verdana" w:eastAsia="Verdana" w:hAnsi="Verdana" w:cs="Verdana"/>
          <w:color w:val="000000"/>
          <w:sz w:val="22"/>
          <w:szCs w:val="22"/>
          <w:highlight w:val="white"/>
        </w:rPr>
      </w:pPr>
      <w:r w:rsidRPr="00404C23">
        <w:rPr>
          <w:rFonts w:ascii="Verdana" w:eastAsia="Verdana" w:hAnsi="Verdana" w:cs="Verdana"/>
          <w:color w:val="000000"/>
          <w:sz w:val="22"/>
          <w:szCs w:val="22"/>
          <w:highlight w:val="white"/>
        </w:rPr>
        <w:t>Sobre el particular, la Sala de Consulta y Servicio Civil del Consejo de Estado ha señalado que las contribuciones parafiscales presentan las siguientes características:</w:t>
      </w:r>
    </w:p>
    <w:p w14:paraId="5C184AB8" w14:textId="77777777" w:rsidR="00404C23" w:rsidRPr="00404C23" w:rsidRDefault="00404C23" w:rsidP="00404C23">
      <w:pPr>
        <w:ind w:firstLine="720"/>
        <w:jc w:val="both"/>
        <w:rPr>
          <w:rFonts w:ascii="Verdana" w:eastAsia="Verdana" w:hAnsi="Verdana" w:cs="Verdana"/>
          <w:color w:val="000000"/>
          <w:sz w:val="22"/>
          <w:szCs w:val="22"/>
          <w:highlight w:val="white"/>
        </w:rPr>
      </w:pPr>
    </w:p>
    <w:p w14:paraId="2AF76AB5" w14:textId="77777777" w:rsidR="00404C23" w:rsidRPr="00404C23" w:rsidRDefault="00404C23" w:rsidP="00404C23">
      <w:pPr>
        <w:ind w:left="709" w:right="709"/>
        <w:jc w:val="both"/>
        <w:rPr>
          <w:rFonts w:ascii="Verdana" w:eastAsia="Verdana" w:hAnsi="Verdana" w:cs="Verdana"/>
          <w:sz w:val="20"/>
          <w:szCs w:val="20"/>
        </w:rPr>
      </w:pPr>
      <w:r w:rsidRPr="00404C23">
        <w:rPr>
          <w:rFonts w:ascii="Verdana" w:eastAsia="Verdana" w:hAnsi="Verdana" w:cs="Verdana"/>
          <w:sz w:val="20"/>
          <w:szCs w:val="20"/>
        </w:rPr>
        <w:t>(i) corresponden a una expresión de la soberanía fiscal del Estado; (</w:t>
      </w:r>
      <w:proofErr w:type="spellStart"/>
      <w:r w:rsidRPr="00404C23">
        <w:rPr>
          <w:rFonts w:ascii="Verdana" w:eastAsia="Verdana" w:hAnsi="Verdana" w:cs="Verdana"/>
          <w:sz w:val="20"/>
          <w:szCs w:val="20"/>
        </w:rPr>
        <w:t>ii</w:t>
      </w:r>
      <w:proofErr w:type="spellEnd"/>
      <w:r w:rsidRPr="00404C23">
        <w:rPr>
          <w:rFonts w:ascii="Verdana" w:eastAsia="Verdana" w:hAnsi="Verdana" w:cs="Verdana"/>
          <w:sz w:val="20"/>
          <w:szCs w:val="20"/>
        </w:rPr>
        <w:t>) tienen origen legal, en atención a lo dispuesto en los artículos 150, numeral 12, y 338 de la Constitución Política; (</w:t>
      </w:r>
      <w:proofErr w:type="spellStart"/>
      <w:r w:rsidRPr="00404C23">
        <w:rPr>
          <w:rFonts w:ascii="Verdana" w:eastAsia="Verdana" w:hAnsi="Verdana" w:cs="Verdana"/>
          <w:sz w:val="20"/>
          <w:szCs w:val="20"/>
        </w:rPr>
        <w:t>iii</w:t>
      </w:r>
      <w:proofErr w:type="spellEnd"/>
      <w:r w:rsidRPr="00404C23">
        <w:rPr>
          <w:rFonts w:ascii="Verdana" w:eastAsia="Verdana" w:hAnsi="Verdana" w:cs="Verdana"/>
          <w:sz w:val="20"/>
          <w:szCs w:val="20"/>
        </w:rPr>
        <w:t>) son obligatorias; (</w:t>
      </w:r>
      <w:proofErr w:type="spellStart"/>
      <w:r w:rsidRPr="00404C23">
        <w:rPr>
          <w:rFonts w:ascii="Verdana" w:eastAsia="Verdana" w:hAnsi="Verdana" w:cs="Verdana"/>
          <w:sz w:val="20"/>
          <w:szCs w:val="20"/>
        </w:rPr>
        <w:t>iv</w:t>
      </w:r>
      <w:proofErr w:type="spellEnd"/>
      <w:r w:rsidRPr="00404C23">
        <w:rPr>
          <w:rFonts w:ascii="Verdana" w:eastAsia="Verdana" w:hAnsi="Verdana" w:cs="Verdana"/>
          <w:sz w:val="20"/>
          <w:szCs w:val="20"/>
        </w:rPr>
        <w:t xml:space="preserve">) </w:t>
      </w:r>
      <w:r w:rsidRPr="00404C23">
        <w:rPr>
          <w:rFonts w:ascii="Verdana" w:eastAsia="Verdana" w:hAnsi="Verdana" w:cs="Verdana"/>
          <w:sz w:val="20"/>
          <w:szCs w:val="20"/>
        </w:rPr>
        <w:lastRenderedPageBreak/>
        <w:t>tienen una destinación específica, dirigida al beneficio del sector económico que soporta el gravamen; (v) no conllevan una contraprestación equivalente o proporcional al monto pagado; (vi) no integran el Presupuesto General de la Nación; (</w:t>
      </w:r>
      <w:proofErr w:type="spellStart"/>
      <w:r w:rsidRPr="00404C23">
        <w:rPr>
          <w:rFonts w:ascii="Verdana" w:eastAsia="Verdana" w:hAnsi="Verdana" w:cs="Verdana"/>
          <w:sz w:val="20"/>
          <w:szCs w:val="20"/>
        </w:rPr>
        <w:t>vii</w:t>
      </w:r>
      <w:proofErr w:type="spellEnd"/>
      <w:r w:rsidRPr="00404C23">
        <w:rPr>
          <w:rFonts w:ascii="Verdana" w:eastAsia="Verdana" w:hAnsi="Verdana" w:cs="Verdana"/>
          <w:sz w:val="20"/>
          <w:szCs w:val="20"/>
        </w:rPr>
        <w:t>) su administración puede ser confiada a agremiaciones o federaciones representativas del sector económico gravado; (</w:t>
      </w:r>
      <w:proofErr w:type="spellStart"/>
      <w:r w:rsidRPr="00404C23">
        <w:rPr>
          <w:rFonts w:ascii="Verdana" w:eastAsia="Verdana" w:hAnsi="Verdana" w:cs="Verdana"/>
          <w:sz w:val="20"/>
          <w:szCs w:val="20"/>
        </w:rPr>
        <w:t>viii</w:t>
      </w:r>
      <w:proofErr w:type="spellEnd"/>
      <w:r w:rsidRPr="00404C23">
        <w:rPr>
          <w:rFonts w:ascii="Verdana" w:eastAsia="Verdana" w:hAnsi="Verdana" w:cs="Verdana"/>
          <w:sz w:val="20"/>
          <w:szCs w:val="20"/>
        </w:rPr>
        <w:t>) constituyen recursos públicos por pertenecer al Estado; y (</w:t>
      </w:r>
      <w:proofErr w:type="spellStart"/>
      <w:r w:rsidRPr="00404C23">
        <w:rPr>
          <w:rFonts w:ascii="Verdana" w:eastAsia="Verdana" w:hAnsi="Verdana" w:cs="Verdana"/>
          <w:sz w:val="20"/>
          <w:szCs w:val="20"/>
        </w:rPr>
        <w:t>ix</w:t>
      </w:r>
      <w:proofErr w:type="spellEnd"/>
      <w:r w:rsidRPr="00404C23">
        <w:rPr>
          <w:rFonts w:ascii="Verdana" w:eastAsia="Verdana" w:hAnsi="Verdana" w:cs="Verdana"/>
          <w:sz w:val="20"/>
          <w:szCs w:val="20"/>
        </w:rPr>
        <w:t>) están sometidas al control fiscal de la Contraloría</w:t>
      </w:r>
      <w:r w:rsidRPr="00404C23">
        <w:rPr>
          <w:rFonts w:ascii="Verdana" w:eastAsia="Verdana" w:hAnsi="Verdana" w:cs="Verdana"/>
          <w:sz w:val="20"/>
          <w:szCs w:val="20"/>
          <w:vertAlign w:val="superscript"/>
        </w:rPr>
        <w:footnoteReference w:id="16"/>
      </w:r>
      <w:r w:rsidRPr="00404C23">
        <w:rPr>
          <w:rFonts w:ascii="Verdana" w:eastAsia="Verdana" w:hAnsi="Verdana" w:cs="Verdana"/>
          <w:sz w:val="20"/>
          <w:szCs w:val="20"/>
        </w:rPr>
        <w:t>.</w:t>
      </w:r>
    </w:p>
    <w:p w14:paraId="70C570E0" w14:textId="77777777" w:rsidR="00404C23" w:rsidRPr="00404C23" w:rsidRDefault="00404C23" w:rsidP="00404C23">
      <w:pPr>
        <w:ind w:left="709" w:right="709"/>
        <w:jc w:val="both"/>
        <w:rPr>
          <w:rFonts w:ascii="Verdana" w:eastAsia="Verdana" w:hAnsi="Verdana" w:cs="Verdana"/>
          <w:sz w:val="20"/>
          <w:szCs w:val="20"/>
        </w:rPr>
      </w:pPr>
    </w:p>
    <w:p w14:paraId="61883A62" w14:textId="77777777" w:rsidR="00404C23" w:rsidRPr="00404C23" w:rsidRDefault="00404C23" w:rsidP="00404C23">
      <w:pPr>
        <w:spacing w:line="276" w:lineRule="auto"/>
        <w:ind w:firstLine="720"/>
        <w:jc w:val="both"/>
        <w:rPr>
          <w:rFonts w:ascii="Verdana" w:eastAsia="Verdana" w:hAnsi="Verdana" w:cs="Verdana"/>
          <w:sz w:val="22"/>
          <w:szCs w:val="22"/>
        </w:rPr>
      </w:pPr>
      <w:r w:rsidRPr="00404C23">
        <w:rPr>
          <w:rFonts w:ascii="Verdana" w:eastAsia="Verdana" w:hAnsi="Verdana" w:cs="Verdana"/>
          <w:sz w:val="22"/>
          <w:szCs w:val="22"/>
        </w:rPr>
        <w:t>Estas características permiten diferenciar las contribuciones parafiscales de otras categorías tributarias y evidencian que, pese a estar destinadas exclusivamente al beneficio del sector gravado y poder administrarse por entidades privadas, conservan en todo momento su naturaleza de recursos públicos. En igual sentido, la Corte Constitucional ha explicado que la institución de la parafiscalidad constituye un mecanismo de obtención de ingresos públicos con un régimen jurídico especial, caracterizado por la destinación específica de los recursos recaudados y por la posibilidad de que su administración sea confiada a entidades diferentes al Estado, sin que altere su naturaleza pública. En esa oportunidad, sostuvo:</w:t>
      </w:r>
    </w:p>
    <w:p w14:paraId="4234A8EE" w14:textId="77777777" w:rsidR="00404C23" w:rsidRPr="00404C23" w:rsidRDefault="00404C23" w:rsidP="00404C23">
      <w:pPr>
        <w:ind w:left="709" w:right="709"/>
        <w:jc w:val="both"/>
        <w:rPr>
          <w:rFonts w:ascii="Verdana" w:eastAsia="Verdana" w:hAnsi="Verdana" w:cs="Verdana"/>
          <w:sz w:val="20"/>
          <w:szCs w:val="20"/>
        </w:rPr>
      </w:pPr>
    </w:p>
    <w:p w14:paraId="79417871" w14:textId="77777777" w:rsidR="00404C23" w:rsidRPr="00404C23" w:rsidRDefault="00404C23" w:rsidP="00404C23">
      <w:pPr>
        <w:ind w:left="709" w:right="709"/>
        <w:jc w:val="both"/>
        <w:rPr>
          <w:rFonts w:ascii="Verdana" w:eastAsia="Verdana" w:hAnsi="Verdana" w:cs="Verdana"/>
          <w:sz w:val="20"/>
          <w:szCs w:val="20"/>
        </w:rPr>
      </w:pPr>
      <w:r w:rsidRPr="00404C23">
        <w:rPr>
          <w:rFonts w:ascii="Verdana" w:eastAsia="Verdana" w:hAnsi="Verdana" w:cs="Verdana"/>
          <w:sz w:val="20"/>
          <w:szCs w:val="20"/>
        </w:rPr>
        <w:t xml:space="preserve">“En nuestro ordenamiento jurídico la figura de la parafiscalidad constituye un instrumento para la generación de ingresos públicos, caracterizado como una forma de gravamen que se maneja por fuera del presupuesto -aunque en ocasiones se registre en él- afecto a una destinación especial de carácter económico, gremial o de previsión social, en beneficio del propio grupo gravado, bajo la administración, según razones de conveniencia legal, de un organismo autónomo, oficial o privado. No es con todo, un ingreso de la Nación y ello explica porque no se incorpora al presupuesto nacional, pero no por eso deja de ser producto de la soberanía fiscal, de manera que sólo el Estado a través de los mecanismos constitucionalmente diseñados con tal fin (la ley, las ordenanzas y los acuerdos) puede imponer esta clase de contribuciones como ocurre también con los impuestos. Por su origen, como se deduce de lo expresado, las contribuciones parafiscales son de la misma estirpe de los impuestos o contribuciones fiscales, y su diferencia reside entonces en el </w:t>
      </w:r>
      <w:proofErr w:type="spellStart"/>
      <w:r w:rsidRPr="00404C23">
        <w:rPr>
          <w:rFonts w:ascii="Verdana" w:eastAsia="Verdana" w:hAnsi="Verdana" w:cs="Verdana"/>
          <w:sz w:val="20"/>
          <w:szCs w:val="20"/>
        </w:rPr>
        <w:t>precondicionamiento</w:t>
      </w:r>
      <w:proofErr w:type="spellEnd"/>
      <w:r w:rsidRPr="00404C23">
        <w:rPr>
          <w:rFonts w:ascii="Verdana" w:eastAsia="Verdana" w:hAnsi="Verdana" w:cs="Verdana"/>
          <w:sz w:val="20"/>
          <w:szCs w:val="20"/>
        </w:rPr>
        <w:t xml:space="preserve"> de su destinación, en los beneficiarios potenciales y en la determinación de los sujetos gravados.”</w:t>
      </w:r>
      <w:r w:rsidRPr="00404C23">
        <w:rPr>
          <w:rFonts w:ascii="Verdana" w:eastAsia="Verdana" w:hAnsi="Verdana" w:cs="Verdana"/>
          <w:sz w:val="20"/>
          <w:szCs w:val="20"/>
          <w:vertAlign w:val="superscript"/>
        </w:rPr>
        <w:footnoteReference w:id="17"/>
      </w:r>
    </w:p>
    <w:p w14:paraId="5FB679EA" w14:textId="77777777" w:rsidR="00404C23" w:rsidRPr="00404C23" w:rsidRDefault="00404C23" w:rsidP="00404C23">
      <w:pPr>
        <w:spacing w:after="120"/>
        <w:ind w:firstLine="720"/>
        <w:jc w:val="both"/>
        <w:rPr>
          <w:rFonts w:ascii="Verdana" w:eastAsia="Verdana" w:hAnsi="Verdana" w:cs="Verdana"/>
          <w:sz w:val="22"/>
          <w:szCs w:val="22"/>
        </w:rPr>
      </w:pPr>
    </w:p>
    <w:p w14:paraId="766FF161"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lastRenderedPageBreak/>
        <w:t>A partir de esta caracterización, la Corte Constitucional destacó que las contribuciones parafiscales, si bien no hacen parte del Presupuesto General de la Nación, siguen siendo una manifestación de la potestad tributaria del Estado. En consecuencia, los recursos provenientes de dichas contribuciones conservan su naturaleza de recursos públicos y deben destinarse exclusivamente a las finalidades previstas por el legislador en beneficio del sector económico que soporta el gravamen.</w:t>
      </w:r>
    </w:p>
    <w:p w14:paraId="3F8BFB3E" w14:textId="77777777" w:rsidR="00404C23" w:rsidRPr="00404C23" w:rsidRDefault="00404C23" w:rsidP="00404C23">
      <w:pPr>
        <w:spacing w:line="276" w:lineRule="auto"/>
        <w:ind w:firstLine="720"/>
        <w:jc w:val="both"/>
        <w:rPr>
          <w:rFonts w:ascii="Verdana" w:eastAsia="Verdana" w:hAnsi="Verdana" w:cs="Verdana"/>
          <w:sz w:val="22"/>
          <w:szCs w:val="22"/>
        </w:rPr>
      </w:pPr>
      <w:r w:rsidRPr="00404C23">
        <w:rPr>
          <w:rFonts w:ascii="Verdana" w:eastAsia="Verdana" w:hAnsi="Verdana" w:cs="Verdana"/>
          <w:sz w:val="22"/>
          <w:szCs w:val="22"/>
        </w:rPr>
        <w:t xml:space="preserve">En armonía con lo anterior, la Corte Constitucional también ha explicado que la parafiscalidad se integra a un complejo sistema de fuentes que, en distintos niveles y con diferentes grados de especialidad, regulan las diversas dimensiones de las contribuciones parafiscales. En ese sentido, indicó que dicho sistema se encuentra conformado por: i) la Constitución Política, que establece las reglas generales sobre el alcance de esta clase de tributos y la distribución de competencias entre el Congreso y las demás autoridades públicas; </w:t>
      </w:r>
      <w:proofErr w:type="spellStart"/>
      <w:r w:rsidRPr="00404C23">
        <w:rPr>
          <w:rFonts w:ascii="Verdana" w:eastAsia="Verdana" w:hAnsi="Verdana" w:cs="Verdana"/>
          <w:sz w:val="22"/>
          <w:szCs w:val="22"/>
        </w:rPr>
        <w:t>ii</w:t>
      </w:r>
      <w:proofErr w:type="spellEnd"/>
      <w:r w:rsidRPr="00404C23">
        <w:rPr>
          <w:rFonts w:ascii="Verdana" w:eastAsia="Verdana" w:hAnsi="Verdana" w:cs="Verdana"/>
          <w:sz w:val="22"/>
          <w:szCs w:val="22"/>
        </w:rPr>
        <w:t xml:space="preserve">) el artículo 29 del Decreto 111 de 1996, que contiene reglas relativas a los elementos esenciales de las contribuciones parafiscales; </w:t>
      </w:r>
      <w:proofErr w:type="spellStart"/>
      <w:r w:rsidRPr="00404C23">
        <w:rPr>
          <w:rFonts w:ascii="Verdana" w:eastAsia="Verdana" w:hAnsi="Verdana" w:cs="Verdana"/>
          <w:sz w:val="22"/>
          <w:szCs w:val="22"/>
        </w:rPr>
        <w:t>iii</w:t>
      </w:r>
      <w:proofErr w:type="spellEnd"/>
      <w:r w:rsidRPr="00404C23">
        <w:rPr>
          <w:rFonts w:ascii="Verdana" w:eastAsia="Verdana" w:hAnsi="Verdana" w:cs="Verdana"/>
          <w:sz w:val="22"/>
          <w:szCs w:val="22"/>
        </w:rPr>
        <w:t xml:space="preserve">) las leyes, que regulan sus elementos esenciales, el régimen de recaudo y administración de los recursos y la constitución de los fondos especialmente destinados al cumplimiento de las finalidades previstas para el sector gravado; </w:t>
      </w:r>
      <w:proofErr w:type="spellStart"/>
      <w:r w:rsidRPr="00404C23">
        <w:rPr>
          <w:rFonts w:ascii="Verdana" w:eastAsia="Verdana" w:hAnsi="Verdana" w:cs="Verdana"/>
          <w:sz w:val="22"/>
          <w:szCs w:val="22"/>
        </w:rPr>
        <w:t>iv</w:t>
      </w:r>
      <w:proofErr w:type="spellEnd"/>
      <w:r w:rsidRPr="00404C23">
        <w:rPr>
          <w:rFonts w:ascii="Verdana" w:eastAsia="Verdana" w:hAnsi="Verdana" w:cs="Verdana"/>
          <w:sz w:val="22"/>
          <w:szCs w:val="22"/>
        </w:rPr>
        <w:t>) las disposiciones reglamentarias, actualmente compiladas en la Parte 10 del Libro 2 del Decreto 1071 de 2015; v) las estipulaciones contenidas en los contratos celebrados por el Estado con los particulares a quienes se les ha asignado la función pública de recaudo y administración de las contribuciones parafiscales; y vi) los actos administrativos mediante los cuales las autoridades competentes fijan la tarifa de la contribución de conformidad con el sistema y método establecidos por los órganos competentes</w:t>
      </w:r>
      <w:r w:rsidRPr="00404C23">
        <w:rPr>
          <w:rFonts w:ascii="Verdana" w:eastAsia="Verdana" w:hAnsi="Verdana" w:cs="Verdana"/>
          <w:sz w:val="22"/>
          <w:szCs w:val="22"/>
          <w:vertAlign w:val="superscript"/>
        </w:rPr>
        <w:footnoteReference w:id="18"/>
      </w:r>
      <w:r w:rsidRPr="00404C23">
        <w:rPr>
          <w:rFonts w:ascii="Verdana" w:eastAsia="Verdana" w:hAnsi="Verdana" w:cs="Verdana"/>
          <w:sz w:val="22"/>
          <w:szCs w:val="22"/>
        </w:rPr>
        <w:t xml:space="preserve">. De este modo, el régimen jurídico de las contribuciones parafiscales no se agota en las disposiciones que crean cada gravamen, sino que comprende un conjunto de normas constitucionales, legales, reglamentarias y contractuales que regulan integralmente la administración de estos recursos públicos. </w:t>
      </w:r>
    </w:p>
    <w:p w14:paraId="78324DAA" w14:textId="77777777" w:rsidR="00404C23" w:rsidRPr="00404C23" w:rsidRDefault="00404C23" w:rsidP="00404C23">
      <w:pPr>
        <w:spacing w:line="276" w:lineRule="auto"/>
        <w:jc w:val="both"/>
        <w:rPr>
          <w:rFonts w:ascii="Verdana" w:eastAsia="Verdana" w:hAnsi="Verdana" w:cs="Verdana"/>
          <w:sz w:val="22"/>
          <w:szCs w:val="22"/>
        </w:rPr>
      </w:pPr>
    </w:p>
    <w:p w14:paraId="3CDA7249" w14:textId="77777777" w:rsidR="00404C23" w:rsidRPr="00404C23" w:rsidRDefault="00404C23" w:rsidP="00404C23">
      <w:pPr>
        <w:spacing w:after="120" w:line="276" w:lineRule="auto"/>
        <w:jc w:val="both"/>
        <w:rPr>
          <w:rFonts w:ascii="Verdana" w:eastAsia="Verdana" w:hAnsi="Verdana" w:cs="Verdana"/>
          <w:sz w:val="22"/>
          <w:szCs w:val="22"/>
        </w:rPr>
      </w:pPr>
      <w:proofErr w:type="spellStart"/>
      <w:r w:rsidRPr="00404C23">
        <w:rPr>
          <w:rFonts w:ascii="Verdana" w:eastAsia="Verdana" w:hAnsi="Verdana" w:cs="Verdana"/>
          <w:sz w:val="22"/>
          <w:szCs w:val="22"/>
        </w:rPr>
        <w:t>iii</w:t>
      </w:r>
      <w:proofErr w:type="spellEnd"/>
      <w:r w:rsidRPr="00404C23">
        <w:rPr>
          <w:rFonts w:ascii="Verdana" w:eastAsia="Verdana" w:hAnsi="Verdana" w:cs="Verdana"/>
          <w:sz w:val="22"/>
          <w:szCs w:val="22"/>
        </w:rPr>
        <w:t xml:space="preserve">. Una vez precisada la naturaleza de las contribuciones parafiscales, resulta necesario examinar el régimen previsto por el legislador para la administración y el recaudo de las contribuciones parafiscales agropecuarias y pesqueras, así </w:t>
      </w:r>
      <w:r w:rsidRPr="00404C23">
        <w:rPr>
          <w:rFonts w:ascii="Verdana" w:eastAsia="Verdana" w:hAnsi="Verdana" w:cs="Verdana"/>
          <w:sz w:val="22"/>
          <w:szCs w:val="22"/>
        </w:rPr>
        <w:lastRenderedPageBreak/>
        <w:t>como para el manejo de los fondos constituidos con los recursos provenientes de estas. La Ley 101 de 1993 contiene reglas generales relacionadas con los sujetos que pueden administrar las contribuciones parafiscales agropecuarias y pesqueras, las condiciones requeridas para ello, el recaudo de los recursos y la separación entre estos y el patrimonio propio de las entidades administradoras.</w:t>
      </w:r>
    </w:p>
    <w:p w14:paraId="235F3A5B"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En este sentido, el artículo 30 de la Ley 101 de 1993 dispone que la administración de las contribuciones parafiscales agropecuarias y pesqueras se realizará directamente por las entidades gremiales que reúnan condiciones de representatividad nacional respecto de una actividad agropecuaria o pesquera determinada y que hayan celebrado un contrato especial con el Gobierno nacional. Dicho contrato se encuentra sujeto a los términos y procedimientos previstos en la ley que haya creado la respectiva contribución.</w:t>
      </w:r>
    </w:p>
    <w:p w14:paraId="174E74C0"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De acuerdo con esta disposición, la representatividad nacional de la entidad gremial y la celebración del contrato especial con el Gobierno nacional constituyen condiciones establecidas por el legislador para la administración directa de las contribuciones parafiscales agropecuarias y pesqueras. Por tanto, no basta la sola condición de entidad gremial para asumir la administración de tales recursos, pues también se requiere la celebración del contrato correspondiente y la sujeción a la ley que creó la contribución respectiva.</w:t>
      </w:r>
    </w:p>
    <w:p w14:paraId="37E1AC5D"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 xml:space="preserve">Por otra parte, el parágrafo 1 del artículo 30 de la norma </w:t>
      </w:r>
      <w:r w:rsidRPr="00404C23">
        <w:rPr>
          <w:rFonts w:ascii="Verdana" w:eastAsia="Verdana" w:hAnsi="Verdana" w:cs="Verdana"/>
          <w:i/>
          <w:iCs/>
          <w:sz w:val="22"/>
          <w:szCs w:val="22"/>
        </w:rPr>
        <w:t xml:space="preserve">ibidem </w:t>
      </w:r>
      <w:r w:rsidRPr="00404C23">
        <w:rPr>
          <w:rFonts w:ascii="Verdana" w:eastAsia="Verdana" w:hAnsi="Verdana" w:cs="Verdana"/>
          <w:sz w:val="22"/>
          <w:szCs w:val="22"/>
        </w:rPr>
        <w:t>faculta a las entidades administradoras de los fondos provenientes de contribuciones parafiscales agropecuarias y pesqueras para demandar por vía ejecutiva, ante la jurisdicción ordinaria, el pago de dichas contribuciones. Para tal efecto, el representante legal de la entidad administradora debe expedir, de acuerdo con la información suministrada por el Ministerio de Hacienda, el certificado en el cual consten el monto de la deuda y su exigibilidad. A su vez, el parágrafo 2 del mismo artículo establece que el recaudador de los recursos parafiscales que no los transfiera oportunamente a la entidad administradora deberá pagar intereses moratorios a la tasa señalada para el impuesto sobre la renta y complementarios. Esta previsión busca garantizar que los recursos recaudados sean trasladados oportunamente a la entidad encargada de su administración.</w:t>
      </w:r>
    </w:p>
    <w:p w14:paraId="679E319E"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 xml:space="preserve">Las reglas anteriores muestran que el legislador reguló tanto la administración como algunos aspectos del recaudo y cobro de las contribuciones parafiscales agropecuarias y pesqueras. En particular, determinó las condiciones que deben reunir las entidades gremiales administradoras, exigió la celebración </w:t>
      </w:r>
      <w:r w:rsidRPr="00404C23">
        <w:rPr>
          <w:rFonts w:ascii="Verdana" w:eastAsia="Verdana" w:hAnsi="Verdana" w:cs="Verdana"/>
          <w:sz w:val="22"/>
          <w:szCs w:val="22"/>
        </w:rPr>
        <w:lastRenderedPageBreak/>
        <w:t>de un contrato especial con el Gobierno nacional, autorizó la administración fiduciaria y estableció mecanismos para el cobro y la transferencia oportuna de los recursos.</w:t>
      </w:r>
    </w:p>
    <w:p w14:paraId="3AE25F54"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Por su parte, el artículo 32 de la Ley 101 de 1993 dispone que los recursos provenientes de contribuciones parafiscales agropecuarias y pesqueras y los patrimonios formados con estos constituyen fondos especiales en las entidades administradoras. Estas últimas se encuentran obligadas a manejarlos en cuentas separadas, de modo que no se confundan con los recursos y el patrimonio propios de la entidad administradora. La disposición evidencia, por tanto, que el fondo parafiscal no se confunde patrimonialmente con la entidad encargada de su administración. Aunque los recursos se manejan dentro de la entidad administradora, deben permanecer identificados y contabilizados separadamente respecto de sus recursos propios. Esta separación permite distinguir los bienes y recursos afectos a las finalidades parafiscales de aquellos que pertenecen al patrimonio particular de la entidad administradora.</w:t>
      </w:r>
    </w:p>
    <w:p w14:paraId="196FE6B2"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 xml:space="preserve">El artículo 32 también determina que los ingresos de los fondos parafiscales están integrados por: i) el producto de las contribuciones parafiscales agropecuarias y pesqueras establecidas en la ley; </w:t>
      </w:r>
      <w:proofErr w:type="spellStart"/>
      <w:r w:rsidRPr="00404C23">
        <w:rPr>
          <w:rFonts w:ascii="Verdana" w:eastAsia="Verdana" w:hAnsi="Verdana" w:cs="Verdana"/>
          <w:sz w:val="22"/>
          <w:szCs w:val="22"/>
        </w:rPr>
        <w:t>ii</w:t>
      </w:r>
      <w:proofErr w:type="spellEnd"/>
      <w:r w:rsidRPr="00404C23">
        <w:rPr>
          <w:rFonts w:ascii="Verdana" w:eastAsia="Verdana" w:hAnsi="Verdana" w:cs="Verdana"/>
          <w:sz w:val="22"/>
          <w:szCs w:val="22"/>
        </w:rPr>
        <w:t xml:space="preserve">) los rendimientos producidos por el manejo de sus recursos, incluidos los financieros; </w:t>
      </w:r>
      <w:proofErr w:type="spellStart"/>
      <w:r w:rsidRPr="00404C23">
        <w:rPr>
          <w:rFonts w:ascii="Verdana" w:eastAsia="Verdana" w:hAnsi="Verdana" w:cs="Verdana"/>
          <w:sz w:val="22"/>
          <w:szCs w:val="22"/>
        </w:rPr>
        <w:t>iii</w:t>
      </w:r>
      <w:proofErr w:type="spellEnd"/>
      <w:r w:rsidRPr="00404C23">
        <w:rPr>
          <w:rFonts w:ascii="Verdana" w:eastAsia="Verdana" w:hAnsi="Verdana" w:cs="Verdana"/>
          <w:sz w:val="22"/>
          <w:szCs w:val="22"/>
        </w:rPr>
        <w:t xml:space="preserve">) los ingresos derivados de las operaciones realizadas con recursos de los respectivos fondos; </w:t>
      </w:r>
      <w:proofErr w:type="spellStart"/>
      <w:r w:rsidRPr="00404C23">
        <w:rPr>
          <w:rFonts w:ascii="Verdana" w:eastAsia="Verdana" w:hAnsi="Verdana" w:cs="Verdana"/>
          <w:sz w:val="22"/>
          <w:szCs w:val="22"/>
        </w:rPr>
        <w:t>iv</w:t>
      </w:r>
      <w:proofErr w:type="spellEnd"/>
      <w:r w:rsidRPr="00404C23">
        <w:rPr>
          <w:rFonts w:ascii="Verdana" w:eastAsia="Verdana" w:hAnsi="Verdana" w:cs="Verdana"/>
          <w:sz w:val="22"/>
          <w:szCs w:val="22"/>
        </w:rPr>
        <w:t>) el producto de la venta o liquidación de sus activos e inversiones; v) los recursos de crédito; y vi) las donaciones o aportes que reciban.</w:t>
      </w:r>
    </w:p>
    <w:p w14:paraId="74F1F195"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Esta enumeración permite advertir que los fondos no se integran exclusivamente con el producto directo del recaudo de la contribución. También forman parte de sus ingresos los rendimientos, los resultados de las operaciones realizadas con sus recursos, el producto de sus activos e inversiones, los créditos y las donaciones o aportes que reciban, en los términos previstos por el legislador. Finalmente, el artículo 32 dispone que los recursos de los fondos parafiscales solamente podrán utilizarse para las finalidades señaladas en la ley que establezca cada contribución. De esta manera, la entidad administradora no puede destinar los recursos a cualquier finalidad, sino únicamente a aquellas definidas por la ley creadora del respectivo gravamen.</w:t>
      </w:r>
    </w:p>
    <w:p w14:paraId="00CDE6CE"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 xml:space="preserve">En consecuencia, de los artículos 30 y 32 de la Ley 101 de 1993 se deduce que la administración de las contribuciones y de los fondos parafiscales </w:t>
      </w:r>
      <w:r w:rsidRPr="00404C23">
        <w:rPr>
          <w:rFonts w:ascii="Verdana" w:eastAsia="Verdana" w:hAnsi="Verdana" w:cs="Verdana"/>
          <w:sz w:val="22"/>
          <w:szCs w:val="22"/>
        </w:rPr>
        <w:lastRenderedPageBreak/>
        <w:t>agropecuarios y pesqueros está sometida a condiciones legales específicas. Entre estas se encuentran la representatividad nacional de la entidad gremial, la celebración de un contrato especial con el Gobierno nacional, el manejo separado de los recursos frente al patrimonio propio de la administradora y la destinación exclusiva de aquellos a las finalidades previstas en la ley correspondiente.</w:t>
      </w:r>
    </w:p>
    <w:p w14:paraId="761C221B" w14:textId="77777777" w:rsidR="00404C23" w:rsidRPr="00404C23" w:rsidRDefault="00404C23" w:rsidP="00404C23">
      <w:pPr>
        <w:spacing w:line="276" w:lineRule="auto"/>
        <w:ind w:firstLine="720"/>
        <w:jc w:val="both"/>
        <w:rPr>
          <w:rFonts w:ascii="Verdana" w:eastAsia="Verdana" w:hAnsi="Verdana" w:cs="Verdana"/>
          <w:sz w:val="22"/>
          <w:szCs w:val="22"/>
        </w:rPr>
      </w:pPr>
      <w:r w:rsidRPr="00404C23">
        <w:rPr>
          <w:rFonts w:ascii="Verdana" w:eastAsia="Verdana" w:hAnsi="Verdana" w:cs="Verdana"/>
          <w:sz w:val="22"/>
          <w:szCs w:val="22"/>
        </w:rPr>
        <w:t>Frente a esto, la Corte Constitucional ha señalado que la administración de recursos parafiscales por particulares constituye una forma de atribución de funciones públicas, posibilidad que encuentra fundamento en los artículos 123 y 210 de la Constitución Política. En desarrollo de estas disposiciones, la jurisprudencia constitucional ha identificado tres hipótesis mediante las cuales los particulares pueden ejercer funciones públicas. La primera se presenta cuando la ley atribuye directamente a un particular el ejercicio de una función pública y define las condiciones para su desarrollo, los recursos involucrados, los mecanismos de control y, cuando sea del caso, la celebración del correspondiente contrato con el Estado. La Corte precisó que esta es la modalidad utilizada para la administración de las contribuciones parafiscales, razón por la cual los particulares encargados de su recaudo y administración ejercen verdaderas funciones administrativas. La segunda hipótesis tiene lugar cuando la ley autoriza a las entidades públicas para conferir a particulares el ejercicio de funciones administrativas mediante acto administrativo y convenio, conservando en todo momento la autoridad la regulación, orientación, vigilancia y control de la función atribuida. Finalmente, la tercera hipótesis corresponde a la creación de asociaciones o instituciones integradas conjuntamente por entidades públicas y particulares para el cumplimiento de funciones administrativas, como ocurre con las asociaciones y fundaciones de participación mixta. A partir de estas modalidades, la Corte concluyó que la administración de recursos parafiscales está sujeta al principio de legalidad, de manera que tanto la asignación como el ejercicio de dicha función deben someterse a la Constitución, la ley y a los mecanismos de control previstos por el ordenamiento jurídico</w:t>
      </w:r>
      <w:r w:rsidRPr="00404C23">
        <w:rPr>
          <w:rFonts w:ascii="Verdana" w:eastAsia="Verdana" w:hAnsi="Verdana" w:cs="Verdana"/>
          <w:sz w:val="22"/>
          <w:szCs w:val="22"/>
          <w:vertAlign w:val="superscript"/>
        </w:rPr>
        <w:footnoteReference w:id="19"/>
      </w:r>
      <w:r w:rsidRPr="00404C23">
        <w:rPr>
          <w:rFonts w:ascii="Verdana" w:eastAsia="Verdana" w:hAnsi="Verdana" w:cs="Verdana"/>
          <w:sz w:val="22"/>
          <w:szCs w:val="22"/>
        </w:rPr>
        <w:t xml:space="preserve">. </w:t>
      </w:r>
    </w:p>
    <w:p w14:paraId="30556BA2" w14:textId="77777777" w:rsidR="00404C23" w:rsidRPr="00404C23" w:rsidRDefault="00404C23" w:rsidP="00404C23">
      <w:pPr>
        <w:spacing w:line="276" w:lineRule="auto"/>
        <w:jc w:val="both"/>
        <w:rPr>
          <w:rFonts w:ascii="Verdana" w:eastAsia="Verdana" w:hAnsi="Verdana" w:cs="Verdana"/>
          <w:sz w:val="22"/>
          <w:szCs w:val="22"/>
        </w:rPr>
      </w:pPr>
    </w:p>
    <w:p w14:paraId="580EF49A" w14:textId="77777777" w:rsidR="00404C23" w:rsidRPr="00404C23" w:rsidRDefault="00404C23" w:rsidP="00404C23">
      <w:pPr>
        <w:spacing w:line="276" w:lineRule="auto"/>
        <w:jc w:val="both"/>
        <w:rPr>
          <w:rFonts w:ascii="Verdana" w:eastAsia="Verdana" w:hAnsi="Verdana" w:cs="Verdana"/>
          <w:sz w:val="22"/>
          <w:szCs w:val="22"/>
        </w:rPr>
      </w:pPr>
      <w:proofErr w:type="spellStart"/>
      <w:r w:rsidRPr="00404C23">
        <w:rPr>
          <w:rFonts w:ascii="Verdana" w:eastAsia="Verdana" w:hAnsi="Verdana" w:cs="Verdana"/>
          <w:sz w:val="22"/>
          <w:szCs w:val="22"/>
        </w:rPr>
        <w:t>iv</w:t>
      </w:r>
      <w:proofErr w:type="spellEnd"/>
      <w:r w:rsidRPr="00404C23">
        <w:rPr>
          <w:rFonts w:ascii="Verdana" w:eastAsia="Verdana" w:hAnsi="Verdana" w:cs="Verdana"/>
          <w:sz w:val="22"/>
          <w:szCs w:val="22"/>
        </w:rPr>
        <w:t xml:space="preserve">. Para establecer si el administrador de un fondo parafiscal del sector agropecuario puede celebrar, con recursos del fondo, contratos con una persona </w:t>
      </w:r>
      <w:r w:rsidRPr="00404C23">
        <w:rPr>
          <w:rFonts w:ascii="Verdana" w:eastAsia="Verdana" w:hAnsi="Verdana" w:cs="Verdana"/>
          <w:sz w:val="22"/>
          <w:szCs w:val="22"/>
        </w:rPr>
        <w:lastRenderedPageBreak/>
        <w:t xml:space="preserve">jurídica cuyo accionista sea el cónyuge, compañero permanente o un pariente hasta el segundo grado de consanguinidad, segundo de afinidad o primero civil de uno de los miembros de la junta directiva del mismo fondo, es necesario verificar si dicho supuesto está comprendido dentro del régimen de inhabilidades e incompatibilidades previsto por el legislador. Sobre este aspecto, el numeral 2 del artículo 8 de la Ley 80 de 1993 regula las inhabilidades derivadas de los vínculos familiares y societarios respecto de quienes participan en la dirección de la entidad contratante. En este asunto, el literal b) dispone que: </w:t>
      </w:r>
    </w:p>
    <w:p w14:paraId="50CA8E1D" w14:textId="77777777" w:rsidR="00404C23" w:rsidRPr="00404C23" w:rsidRDefault="00404C23" w:rsidP="00404C23">
      <w:pPr>
        <w:jc w:val="both"/>
        <w:rPr>
          <w:rFonts w:ascii="Verdana" w:eastAsia="Verdana" w:hAnsi="Verdana" w:cs="Verdana"/>
          <w:sz w:val="22"/>
          <w:szCs w:val="22"/>
        </w:rPr>
      </w:pPr>
    </w:p>
    <w:p w14:paraId="05BAC408" w14:textId="77777777" w:rsidR="00404C23" w:rsidRPr="00404C23" w:rsidRDefault="00404C23" w:rsidP="00404C23">
      <w:pPr>
        <w:ind w:left="709" w:right="709"/>
        <w:jc w:val="both"/>
        <w:rPr>
          <w:rFonts w:ascii="Verdana" w:eastAsia="Verdana" w:hAnsi="Verdana" w:cs="Verdana"/>
          <w:sz w:val="20"/>
          <w:szCs w:val="20"/>
        </w:rPr>
      </w:pPr>
      <w:r w:rsidRPr="00404C23">
        <w:rPr>
          <w:rFonts w:ascii="Verdana" w:eastAsia="Verdana" w:hAnsi="Verdana" w:cs="Verdana"/>
          <w:sz w:val="20"/>
          <w:szCs w:val="20"/>
        </w:rPr>
        <w:t>"No podrán participar en licitaciones o concursos ni celebrar contratos estatales con la entidad respectiva [...]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w:t>
      </w:r>
    </w:p>
    <w:p w14:paraId="68FF240C" w14:textId="77777777" w:rsidR="00404C23" w:rsidRPr="00404C23" w:rsidRDefault="00404C23" w:rsidP="00404C23">
      <w:pPr>
        <w:rPr>
          <w:rFonts w:ascii="Verdana" w:eastAsia="Verdana" w:hAnsi="Verdana" w:cs="Verdana"/>
          <w:sz w:val="22"/>
          <w:szCs w:val="22"/>
        </w:rPr>
      </w:pPr>
    </w:p>
    <w:p w14:paraId="1F16C298" w14:textId="77777777" w:rsidR="00404C23" w:rsidRPr="00404C23" w:rsidRDefault="00404C23" w:rsidP="00404C23">
      <w:pPr>
        <w:spacing w:line="276" w:lineRule="auto"/>
        <w:ind w:firstLine="709"/>
        <w:jc w:val="both"/>
        <w:rPr>
          <w:rFonts w:ascii="Verdana" w:eastAsia="Verdana" w:hAnsi="Verdana" w:cs="Verdana"/>
          <w:sz w:val="22"/>
          <w:szCs w:val="22"/>
        </w:rPr>
      </w:pPr>
      <w:r w:rsidRPr="00404C23">
        <w:rPr>
          <w:rFonts w:ascii="Verdana" w:eastAsia="Verdana" w:hAnsi="Verdana" w:cs="Verdana"/>
          <w:sz w:val="22"/>
          <w:szCs w:val="22"/>
        </w:rPr>
        <w:t>Por su parte, el literal c) establece que la misma incompatibilidad cobija: "El cónyuge o compañero permanente de los servidores públicos en los niveles directivo, asesor, ejecutivo o de un miembro de la junta o consejo directivo [...]". Finalmente, el literal d) amplía el ámbito subjetivo de la inhabilidad al señalar que:</w:t>
      </w:r>
    </w:p>
    <w:p w14:paraId="4733F9B7" w14:textId="77777777" w:rsidR="00404C23" w:rsidRPr="00404C23" w:rsidRDefault="00404C23" w:rsidP="00404C23">
      <w:pPr>
        <w:ind w:left="709" w:right="709"/>
        <w:jc w:val="both"/>
        <w:rPr>
          <w:rFonts w:ascii="Verdana" w:eastAsia="Verdana" w:hAnsi="Verdana" w:cs="Verdana"/>
          <w:sz w:val="20"/>
          <w:szCs w:val="20"/>
        </w:rPr>
      </w:pPr>
    </w:p>
    <w:p w14:paraId="2FFFB9AC" w14:textId="77777777" w:rsidR="00404C23" w:rsidRPr="00404C23" w:rsidRDefault="00404C23" w:rsidP="00404C23">
      <w:pPr>
        <w:ind w:left="709" w:right="709"/>
        <w:jc w:val="both"/>
        <w:rPr>
          <w:rFonts w:ascii="Verdana" w:eastAsia="Verdana" w:hAnsi="Verdana" w:cs="Verdana"/>
          <w:sz w:val="20"/>
          <w:szCs w:val="20"/>
        </w:rPr>
      </w:pPr>
      <w:r w:rsidRPr="00404C23">
        <w:rPr>
          <w:rFonts w:ascii="Verdana" w:eastAsia="Verdana" w:hAnsi="Verdana" w:cs="Verdana"/>
          <w:sz w:val="20"/>
          <w:szCs w:val="20"/>
        </w:rPr>
        <w:t>"No podrán participar en licitaciones o concursos ni celebrar contratos estatales con la entidad respectiva [...]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el cónyuge, compañero permanente o los parientes hasta el segundo grado de consanguinidad, afinidad o civil de cualquiera de ellos tengan participación o desempeñen cargos de dirección o manejo."</w:t>
      </w:r>
    </w:p>
    <w:p w14:paraId="0082CD4F" w14:textId="77777777" w:rsidR="00404C23" w:rsidRPr="00404C23" w:rsidRDefault="00404C23" w:rsidP="00404C23">
      <w:pPr>
        <w:spacing w:line="276" w:lineRule="auto"/>
        <w:ind w:firstLine="720"/>
        <w:jc w:val="both"/>
        <w:rPr>
          <w:rFonts w:ascii="Verdana" w:eastAsia="Verdana" w:hAnsi="Verdana" w:cs="Verdana"/>
          <w:sz w:val="22"/>
          <w:szCs w:val="22"/>
        </w:rPr>
      </w:pPr>
    </w:p>
    <w:p w14:paraId="350B10AA"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 xml:space="preserve">Conforme a lo anterior, se tiene que el legislador advirtió que la sola existencia de un régimen de inhabilidades e incompatibilidades aplicable a la contratación estatal resultaba insuficiente para garantizar los principios de moralidad, transparencia e imparcialidad en aquellos eventos en los que, pese a comprometerse recursos públicos, la contratación se desarrollaba bajo reglas de derecho privado. Con el propósito de evitar que la naturaleza privada del régimen contractual se utilizara como mecanismo para eludir las prohibiciones </w:t>
      </w:r>
      <w:r w:rsidRPr="00404C23">
        <w:rPr>
          <w:rFonts w:ascii="Verdana" w:eastAsia="Verdana" w:hAnsi="Verdana" w:cs="Verdana"/>
          <w:sz w:val="22"/>
          <w:szCs w:val="22"/>
        </w:rPr>
        <w:lastRenderedPageBreak/>
        <w:t xml:space="preserve">previstas en el Estatuto General de Contratación de la Administración Pública, la Ley 2014 de 2019 amplió expresamente el ámbito de aplicación de dichas inhabilidades e incompatibilidades a toda contratación privada financiada con recursos públicos, de ahí que el artículo 3 de la norma ibidem, prescriba que “Las inhabilidades e incompatibilidades contempladas en este artículo se aplicarán a cualquier proceso de contratación privada en el que se comprometan recursos públicos”. </w:t>
      </w:r>
    </w:p>
    <w:p w14:paraId="048B0FBF" w14:textId="77777777" w:rsidR="00404C23" w:rsidRPr="00404C23" w:rsidRDefault="00404C23" w:rsidP="00404C23">
      <w:pPr>
        <w:spacing w:line="276" w:lineRule="auto"/>
        <w:ind w:firstLine="720"/>
        <w:jc w:val="both"/>
        <w:rPr>
          <w:rFonts w:ascii="Verdana" w:eastAsia="Verdana" w:hAnsi="Verdana" w:cs="Verdana"/>
          <w:sz w:val="22"/>
          <w:szCs w:val="22"/>
        </w:rPr>
      </w:pPr>
      <w:r w:rsidRPr="00404C23">
        <w:rPr>
          <w:rFonts w:ascii="Verdana" w:eastAsia="Verdana" w:hAnsi="Verdana" w:cs="Verdana"/>
          <w:sz w:val="22"/>
          <w:szCs w:val="22"/>
        </w:rPr>
        <w:t xml:space="preserve">De este modo, mientras el artículo 13 de la Ley 1150 de 2007 somete a las entidades estatales con régimen contractual excepcional al régimen legal de inhabilidades e incompatibilidades, el parágrafo 3 del artículo 8 de la Ley 80 de 1993 extiende las causales contenidas en este artículo a cualquier proceso de contratación privada que comprometa recursos públicos. Este último precepto resulta especialmente relevante para la contratación realizada con recursos parafiscales, en atención a la naturaleza pública de dichos recursos, con independencia de que su administración haya sido confiada a una persona de derecho privado. </w:t>
      </w:r>
    </w:p>
    <w:p w14:paraId="65E7C406" w14:textId="77777777" w:rsidR="00404C23" w:rsidRPr="00404C23" w:rsidRDefault="00404C23" w:rsidP="00404C23">
      <w:pPr>
        <w:spacing w:line="276" w:lineRule="auto"/>
        <w:jc w:val="both"/>
        <w:rPr>
          <w:rFonts w:ascii="Verdana" w:eastAsia="Verdana" w:hAnsi="Verdana" w:cs="Verdana"/>
          <w:sz w:val="22"/>
          <w:szCs w:val="22"/>
        </w:rPr>
      </w:pPr>
    </w:p>
    <w:p w14:paraId="07581421" w14:textId="77777777" w:rsidR="00404C23" w:rsidRPr="00404C23" w:rsidRDefault="00404C23" w:rsidP="00404C23">
      <w:pPr>
        <w:spacing w:after="120" w:line="276" w:lineRule="auto"/>
        <w:jc w:val="both"/>
        <w:rPr>
          <w:rFonts w:ascii="Verdana" w:eastAsia="Verdana" w:hAnsi="Verdana" w:cs="Verdana"/>
          <w:sz w:val="22"/>
          <w:szCs w:val="22"/>
        </w:rPr>
      </w:pPr>
      <w:r w:rsidRPr="00404C23">
        <w:rPr>
          <w:rFonts w:ascii="Verdana" w:eastAsia="Verdana" w:hAnsi="Verdana" w:cs="Verdana"/>
          <w:sz w:val="22"/>
          <w:szCs w:val="22"/>
        </w:rPr>
        <w:t>v. La posibilidad de que el administrador de un fondo parafiscal agropecuario celebre contratos, con recursos del fondo, con sus propios socios o aportantes no se encuentra regulada de manera expresa en el régimen especial de las contribuciones parafiscales. En efecto, las disposiciones que gobiernan la creación, administración y destinación de estos recursos, en especial, la Ley 101 de 1993, el Decreto 111 de 1996 y las demás normas especiales que regulan los fondos parafiscales agropecuarios, establecen las reglas concernientes a la administración de los recursos, los sujetos autorizados para ejercer dicha función, las finalidades a las cuales deben destinarse y los mecanismos de control aplicables, sin prever una autorización para que la entidad administradora celebre contratos con sus propios socios o aportantes.</w:t>
      </w:r>
    </w:p>
    <w:p w14:paraId="5908EE09"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Esta circunstancia adquiere especial relevancia si se tiene en cuenta que, como se expuso en los apartados anteriores, los recursos provenientes de las contribuciones parafiscales conservan su naturaleza de recursos públicos y su administración constituye una función pública atribuida por el legislador a particulares. En tal sentido, el ejercicio de dicha función se encuentra sometido al principio de legalidad, de manera que las actuaciones del administrador deben desarrollarse dentro de las competencias y facultades expresamente previstas por el ordenamiento jurídico.</w:t>
      </w:r>
    </w:p>
    <w:p w14:paraId="46A0A403"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lastRenderedPageBreak/>
        <w:t>A ello se suma que el artículo 13 de la Ley 1150 de 2007 dispuso que las entidades estatales sometidas a un régimen contractual excepcional deben aplicar, en desarrollo de su actividad contractual, los principios de la función administrativa y de la gestión fiscal, así como el régimen de inhabilidades e incompatibilidades previsto para la contratación estatal. Posteriormente, el artículo 3 de la Ley 2014 de 2019 reforzó esta protección al adicionar el parágrafo 3 del artículo 8 de la Ley 80 de 1993, contemplando que las inhabilidades e incompatibilidades se aplicarán a cualquier proceso de contratación privada en el que se comprometan recursos públicos.</w:t>
      </w:r>
    </w:p>
    <w:p w14:paraId="1BC0F1A4"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El fin de esta disposición consistió en evitar que el uso de esquemas contractuales sometidos al derecho privado permitiera eludir las garantías previstas por el legislador para proteger la moralidad, la transparencia y la imparcialidad en la administración de recursos públicos. En esta línea, el hecho de que la contratación adelantada por el administrador del fondo se rija por normas de derecho privado no excluye la aplicación de las restricciones previstas por el ordenamiento cuando en ella se comprometan recursos públicos. Ahora bien, a diferencia de otros supuestos expresamente regulados en el artículo 8 de la Ley 80 de 1993, el legislador no consagró una causal específica de inhabilidad referida a la sola condición de socio o aportante del administrador del fondo. En ese sentido, la improcedencia de esta modalidad de contratación no puede fundamentarse en una interpretación extensiva de las causales de inhabilidad, pues estas, por su carácter excepcional, son de interpretación restrictiva y aplican en los eventos expresamente previstos por la ley.</w:t>
      </w:r>
    </w:p>
    <w:p w14:paraId="5402DF4B"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 xml:space="preserve">Sin embargo, no significa que la contratación resulte procedente. Por el contrario, la inexistencia de una causal específica de inhabilidad debe analizarse juntamente con el régimen jurídico que gobierna la administración de los recursos parafiscales y con los deberes que recaen sobre quien ejerce dicha función pública. Precisamente sobre este aspecto se pronunció la Sala de Consulta y Servicio Civil del Consejo de Estado en el Concepto 2556 del 10 de diciembre de 2025, al resolver una consulta formulada por el Ministerio de Agricultura y Desarrollo Rural acerca de la contratación realizada con recursos de los fondos parafiscales agropecuarios. Luego de analizar el régimen constitucional y legal aplicable, la Sala concluyó que en el ordenamiento jurídico colombiano no existe habilitación constitucional ni legal que autorice al administrador de un fondo parafiscal del sector agropecuario a celebrar contratos, con recursos del fondo, con socios, aportantes o con personas </w:t>
      </w:r>
      <w:r w:rsidRPr="00404C23">
        <w:rPr>
          <w:rFonts w:ascii="Verdana" w:eastAsia="Verdana" w:hAnsi="Verdana" w:cs="Verdana"/>
          <w:sz w:val="22"/>
          <w:szCs w:val="22"/>
        </w:rPr>
        <w:lastRenderedPageBreak/>
        <w:t>naturales o jurídicas respecto de las cuales exista un interés directo o indirecto derivado de la participación de uno de sus aportantes o de un miembro de la junta directiva. El condicionamiento a la existencia de un interés directo o indirecto es relevante, pues la restricción no recae sobre la simple condición de aportante, sino sobre los supuestos en que ese vínculo comprometa la imparcialidad del administrador.</w:t>
      </w:r>
    </w:p>
    <w:p w14:paraId="0D3D1B5D"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La Sala explicó que esta conclusión responde a la naturaleza pública de los recursos administrados, a la aplicación de los principios de moralidad, transparencia, imparcialidad y prevalencia del interés general, así como a la configuración de un conflicto de interés incompatible con la función que desempeña el administrador del fondo. En esta línea, consideró la Sala de Consulta y Servicio Civil del Consejo de Estado que la contratación con socios o aportantes carece de fundamento jurídico suficiente dentro del régimen especial que gobierna la administración de las contribuciones parafiscales.</w:t>
      </w:r>
    </w:p>
    <w:p w14:paraId="7C4F6D76"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En este orden de ideas, el ordenamiento jurídico colombiano no contiene una habilitación constitucional o legal que permita al administrador de un fondo parafiscal agropecuario celebrar, con recursos del fondo, contratos con sus propios socios o aportantes. En tal sentido, no deriva de la existencia de una causal específica de inhabilidad o incompatibilidad prevista para tales sujetos, sino de la interpretación sistemática del régimen especial de administración de los recursos parafiscales, del principio de legalidad que gobierna el ejercicio de funciones públicas, de las reglas aplicables a la contratación que compromete recursos públicos y de los deberes de imparcialidad y ausencia de conflicto de interés que orientan la actuación del administrador.</w:t>
      </w:r>
    </w:p>
    <w:p w14:paraId="0E274E4B"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 xml:space="preserve">Sobre el fundamento de ese deber conviene precisar que la Sala de Consulta y Servicio Civil no lo derivó del régimen de impedimentos y recusaciones de la Ley 1437 de 2011, sino del deber de lealtad y de abstención en actos con conflicto de interés consagrado en el artículo 23 de la Ley 222 de 1995 y su Decreto Reglamentario 1925 de 2009, modificado por el Decreto 1074 de 2015, aplicado como criterio orientador a quien administra recursos públicos, en concordancia con el artículo 126 de la Constitución. La Sala añadió una precisión hermenéutica de particular relevancia para la coherencia de este análisis: mientras las inhabilidades e incompatibilidades se interpretan de manera restrictiva, el régimen de conflictos de interés en la administración de recursos parafiscales se interpreta de manera amplia y preventiva, de modo que </w:t>
      </w:r>
      <w:r w:rsidRPr="00404C23">
        <w:rPr>
          <w:rFonts w:ascii="Verdana" w:eastAsia="Verdana" w:hAnsi="Verdana" w:cs="Verdana"/>
          <w:sz w:val="22"/>
          <w:szCs w:val="22"/>
        </w:rPr>
        <w:lastRenderedPageBreak/>
        <w:t xml:space="preserve">comprende tanto las situaciones reales de parcialidad como aquellas que generen una apariencia razonable de interferencia en la imparcialidad. De ahí que la ausencia de una inhabilidad tipificada por la sola condición de socio o aportante no habilite la contratación, pues el impedimento proviene de un conflicto de interés valorado bajo ese estándar preventivo. </w:t>
      </w:r>
    </w:p>
    <w:p w14:paraId="14F341A1" w14:textId="77777777" w:rsidR="00404C23" w:rsidRPr="00404C23" w:rsidRDefault="00404C23" w:rsidP="00404C23">
      <w:pPr>
        <w:spacing w:after="120" w:line="276" w:lineRule="auto"/>
        <w:ind w:firstLine="720"/>
        <w:jc w:val="both"/>
        <w:rPr>
          <w:rFonts w:ascii="Verdana" w:eastAsia="Verdana" w:hAnsi="Verdana" w:cs="Verdana"/>
          <w:sz w:val="22"/>
          <w:szCs w:val="22"/>
        </w:rPr>
      </w:pPr>
      <w:r w:rsidRPr="00404C23">
        <w:rPr>
          <w:rFonts w:ascii="Verdana" w:eastAsia="Verdana" w:hAnsi="Verdana" w:cs="Verdana"/>
          <w:sz w:val="22"/>
          <w:szCs w:val="22"/>
        </w:rPr>
        <w:t>A lo anterior puede sumarse, como criterio supletivo, que la institución de los conflictos de interés no está definida con carácter general en las leyes que regulan los fondos que administran recursos parafiscales, por lo que, en ese aspecto, se trata de un asunto no regulado. Ante ese vacío es pertinente acudir al artículo 2 de la Ley 1437 de 2011, Código de Procedimiento Administrativo y de lo Contencioso Administrativo –CPACA–, que establece que las disposiciones de dicho código se aplicarán de forma supletiva en los aspectos no regulados de los procedimientos administrativos especiales</w:t>
      </w:r>
      <w:r w:rsidRPr="00404C23">
        <w:rPr>
          <w:rFonts w:ascii="Verdana" w:eastAsia="Verdana" w:hAnsi="Verdana" w:cs="Verdana"/>
          <w:sz w:val="22"/>
          <w:szCs w:val="22"/>
          <w:vertAlign w:val="superscript"/>
          <w:lang w:val="es-ES_tradnl"/>
        </w:rPr>
        <w:footnoteReference w:id="20"/>
      </w:r>
      <w:r w:rsidRPr="00404C23">
        <w:rPr>
          <w:rFonts w:ascii="Verdana" w:eastAsia="Verdana" w:hAnsi="Verdana" w:cs="Verdana"/>
          <w:sz w:val="22"/>
          <w:szCs w:val="22"/>
        </w:rPr>
        <w:t>. Dicha norma prescribe, además, que sus reglas también rigen para los particulares cuando cumplen funciones administrativas, supuesto que se configura en este caso, en tanto el Fondo administra recursos parafiscales.</w:t>
      </w:r>
    </w:p>
    <w:p w14:paraId="532981AC" w14:textId="77777777" w:rsidR="00404C23" w:rsidRPr="00404C23" w:rsidRDefault="00404C23" w:rsidP="00404C23">
      <w:pPr>
        <w:spacing w:after="120" w:line="276" w:lineRule="auto"/>
        <w:ind w:firstLine="720"/>
        <w:jc w:val="both"/>
        <w:rPr>
          <w:rFonts w:ascii="Verdana" w:eastAsia="Verdana" w:hAnsi="Verdana" w:cs="Verdana"/>
          <w:sz w:val="22"/>
          <w:szCs w:val="22"/>
          <w:lang w:val="es-ES_tradnl"/>
        </w:rPr>
      </w:pPr>
      <w:r w:rsidRPr="00404C23">
        <w:rPr>
          <w:rFonts w:ascii="Verdana" w:eastAsia="Verdana" w:hAnsi="Verdana" w:cs="Verdana"/>
          <w:sz w:val="22"/>
          <w:szCs w:val="22"/>
          <w:lang w:val="es-ES_tradnl"/>
        </w:rPr>
        <w:t xml:space="preserve">De esta manera, en los procedimientos de contratación resultan aplicables, de forma supletiva, la regulación de los conflictos de interés, las causales de impedimento y recusación, al igual que el trámite de los impedimentos y recusaciones, esto es, los artículos 11 y 12 de la Ley 1437 de 2011. En este sentido, en caso de que estos administradores adviertan que incurren en alguna de las causales establecidas en el artículo 11 del CPACA, dada su relación, de acuerdo con las causales establecidas en dicho artículo, con alguno de los proponentes, correspondería aplicar el trámite establecido en el artículo 12 de la misma ley. Sobre el particular el artículo 11 de la mencionada Ley ha establecido frente al conflicto de interés lo siguiente: “Cuando el interés general propio de la función pública entre en conflicto con el interés particular y directo del servidor público, este deberá declararse impedido. Todo servidor </w:t>
      </w:r>
      <w:r w:rsidRPr="00404C23">
        <w:rPr>
          <w:rFonts w:ascii="Verdana" w:eastAsia="Verdana" w:hAnsi="Verdana" w:cs="Verdana"/>
          <w:sz w:val="22"/>
          <w:szCs w:val="22"/>
          <w:lang w:val="es-ES_tradnl"/>
        </w:rPr>
        <w:lastRenderedPageBreak/>
        <w:t xml:space="preserve">público que deba adelantar o sustanciar actuaciones administrativas, realizar investigaciones, practicar pruebas o pronunciar decisiones definitivas podrá ser recusado si no manifiesta su impedimento por: […]”. En el problema jurídico planteado, podría configurarse la causal de conflictos de interés, impedimento y recusación regulado en el artículo 11, numeral 1° de la Ley 1437 de 2011: “1. Tener interés particular y directo en la regulación, gestión, control o decisión del asunto, o tenerlo su cónyuge, compañero o compañera permanente, o alguno de sus parientes dentro del cuarto grado de consanguinidad, segundo de afinidad o primero civil, o su socio o socios de hecho o de derecho”. </w:t>
      </w:r>
    </w:p>
    <w:p w14:paraId="7A60888F" w14:textId="77777777" w:rsidR="00404C23" w:rsidRPr="00404C23" w:rsidRDefault="00404C23" w:rsidP="00404C23">
      <w:pPr>
        <w:spacing w:line="276" w:lineRule="auto"/>
        <w:ind w:firstLine="720"/>
        <w:jc w:val="both"/>
        <w:rPr>
          <w:rFonts w:ascii="Verdana" w:eastAsia="Verdana" w:hAnsi="Verdana" w:cs="Verdana"/>
          <w:sz w:val="22"/>
          <w:szCs w:val="22"/>
          <w:lang w:val="es-MX"/>
        </w:rPr>
      </w:pPr>
      <w:r w:rsidRPr="00404C23">
        <w:rPr>
          <w:rFonts w:ascii="Verdana" w:eastAsia="Verdana" w:hAnsi="Verdana" w:cs="Verdana"/>
          <w:sz w:val="22"/>
          <w:szCs w:val="22"/>
        </w:rPr>
        <w:t>En todo caso, el Fondo debe verificar de manera permanente, en cada una de sus actuaciones administrativas y contractuales, la eventual configuración de conflictos de interés. Esta revisión resulta indispensable para garantizar que las decisiones adoptadas por sus órganos de dirección y por el administrador se encuentren libres de influencias indebidas, preserven la imparcialidad en el manejo de los recursos parafiscales y aseguren que la gestión del Fondo responda exclusivamente a los fines colectivos que justifican su existencia.</w:t>
      </w:r>
      <w:r w:rsidRPr="00404C23">
        <w:rPr>
          <w:rFonts w:ascii="Verdana" w:eastAsia="Verdana" w:hAnsi="Verdana" w:cs="Verdana"/>
          <w:sz w:val="22"/>
          <w:szCs w:val="22"/>
          <w:lang w:val="es-MX"/>
        </w:rPr>
        <w:t xml:space="preserve"> </w:t>
      </w:r>
      <w:r w:rsidRPr="00404C23">
        <w:rPr>
          <w:rFonts w:ascii="Verdana" w:eastAsia="Verdana" w:hAnsi="Verdana" w:cs="Verdana"/>
          <w:sz w:val="22"/>
          <w:szCs w:val="22"/>
        </w:rPr>
        <w:t>La identificación temprana de posibles conflictos de interés permite activar los mecanismos de prevención, gestión y mitigación previstos en la normativa aplicable, evitando que situaciones personales, familiares o económicas de los intervinientes afecten la transparencia y la integridad de las actuaciones del Fondo.</w:t>
      </w:r>
    </w:p>
    <w:p w14:paraId="6463D76C" w14:textId="77777777" w:rsidR="00404C23" w:rsidRPr="00404C23" w:rsidRDefault="00404C23" w:rsidP="00404C23">
      <w:pPr>
        <w:spacing w:line="276" w:lineRule="auto"/>
        <w:ind w:firstLine="720"/>
        <w:jc w:val="both"/>
        <w:rPr>
          <w:rFonts w:ascii="Verdana" w:eastAsia="Verdana" w:hAnsi="Verdana" w:cs="Verdana"/>
          <w:sz w:val="22"/>
          <w:szCs w:val="22"/>
          <w:lang w:val="es-MX"/>
        </w:rPr>
      </w:pPr>
    </w:p>
    <w:p w14:paraId="654C45A4" w14:textId="77777777" w:rsidR="00404C23" w:rsidRPr="00404C23" w:rsidRDefault="00404C23" w:rsidP="00404C23">
      <w:pPr>
        <w:spacing w:after="120" w:line="276" w:lineRule="auto"/>
        <w:jc w:val="both"/>
        <w:rPr>
          <w:rFonts w:ascii="Verdana" w:eastAsia="Verdana" w:hAnsi="Verdana" w:cs="Verdana"/>
          <w:sz w:val="22"/>
          <w:szCs w:val="22"/>
        </w:rPr>
      </w:pPr>
      <w:r w:rsidRPr="00404C23">
        <w:rPr>
          <w:rFonts w:ascii="Verdana" w:eastAsia="Verdana" w:hAnsi="Verdana" w:cs="Verdana"/>
          <w:sz w:val="22"/>
          <w:szCs w:val="22"/>
        </w:rPr>
        <w:t xml:space="preserve">vi. Al margen de la explicación precedente debe advertirse que el análisis requerido para resolver problemas específicos en torno a la gestión contractual de los particulares que cumplen funciones administrativas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 </w:t>
      </w:r>
    </w:p>
    <w:p w14:paraId="3A1884A3" w14:textId="77777777" w:rsidR="00404C23" w:rsidRPr="00404C23" w:rsidRDefault="00404C23" w:rsidP="00404C23">
      <w:pPr>
        <w:spacing w:line="276" w:lineRule="auto"/>
        <w:ind w:firstLine="708"/>
        <w:jc w:val="both"/>
        <w:rPr>
          <w:rFonts w:ascii="Verdana" w:eastAsia="Verdana" w:hAnsi="Verdana" w:cs="Verdana"/>
          <w:sz w:val="22"/>
          <w:szCs w:val="22"/>
        </w:rPr>
      </w:pPr>
      <w:r w:rsidRPr="00404C23">
        <w:rPr>
          <w:rFonts w:ascii="Verdana" w:eastAsia="Verdana" w:hAnsi="Verdana" w:cs="Verdana"/>
          <w:sz w:val="22"/>
          <w:szCs w:val="22"/>
        </w:rPr>
        <w:t xml:space="preserve">Dentro de este marco, el consultante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w:t>
      </w:r>
      <w:r w:rsidRPr="00404C23">
        <w:rPr>
          <w:rFonts w:ascii="Verdana" w:eastAsia="Verdana" w:hAnsi="Verdana" w:cs="Verdana"/>
          <w:sz w:val="22"/>
          <w:szCs w:val="22"/>
        </w:rPr>
        <w:lastRenderedPageBreak/>
        <w:t xml:space="preserve">carácter general para que los partícipes del sistema de compras y contratación pública adopten la decisión que corresponda, lo cual es acorde con el principio de juridicidad. Así, cada entidad dentro del sistema de compras públicas definirá la forma de adelantar su gestión contractual, sin que sea atribución de Colombia Compra Eficiente validar sus actuaciones. </w:t>
      </w:r>
    </w:p>
    <w:p w14:paraId="59A535CF" w14:textId="77777777" w:rsidR="00404C23" w:rsidRPr="00404C23" w:rsidRDefault="00404C23" w:rsidP="00404C23">
      <w:pPr>
        <w:spacing w:line="276" w:lineRule="auto"/>
        <w:jc w:val="both"/>
        <w:rPr>
          <w:rFonts w:ascii="Verdana" w:eastAsia="Verdana" w:hAnsi="Verdana" w:cs="Verdana"/>
          <w:sz w:val="22"/>
          <w:szCs w:val="22"/>
        </w:rPr>
      </w:pPr>
    </w:p>
    <w:p w14:paraId="320E22D0" w14:textId="77777777" w:rsidR="00404C23" w:rsidRPr="00404C23" w:rsidRDefault="00404C23" w:rsidP="00404C23">
      <w:pPr>
        <w:spacing w:line="276" w:lineRule="auto"/>
        <w:rPr>
          <w:rFonts w:ascii="Verdana" w:eastAsia="Verdana" w:hAnsi="Verdana" w:cs="Verdana"/>
          <w:b/>
          <w:sz w:val="22"/>
          <w:szCs w:val="22"/>
        </w:rPr>
      </w:pPr>
      <w:r w:rsidRPr="00404C23">
        <w:rPr>
          <w:rFonts w:ascii="Verdana" w:eastAsia="Verdana" w:hAnsi="Verdana" w:cs="Verdana"/>
          <w:b/>
          <w:sz w:val="22"/>
          <w:szCs w:val="22"/>
        </w:rPr>
        <w:t>IV. Referencias normativas:</w:t>
      </w:r>
    </w:p>
    <w:p w14:paraId="635A4C85" w14:textId="77777777" w:rsidR="00404C23" w:rsidRPr="00404C23" w:rsidRDefault="00404C23" w:rsidP="00404C23">
      <w:pPr>
        <w:widowControl w:val="0"/>
        <w:spacing w:line="276" w:lineRule="auto"/>
        <w:jc w:val="both"/>
        <w:rPr>
          <w:rFonts w:ascii="Verdana" w:eastAsia="Verdana" w:hAnsi="Verdana" w:cs="Verdana"/>
          <w:sz w:val="22"/>
          <w:szCs w:val="22"/>
        </w:rPr>
      </w:pPr>
    </w:p>
    <w:tbl>
      <w:tblPr>
        <w:tblW w:w="8647"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8647"/>
      </w:tblGrid>
      <w:tr w:rsidR="00404C23" w:rsidRPr="00404C23" w14:paraId="52C90142" w14:textId="77777777" w:rsidTr="00787EE0">
        <w:trPr>
          <w:trHeight w:val="487"/>
          <w:jc w:val="center"/>
        </w:trPr>
        <w:tc>
          <w:tcPr>
            <w:tcW w:w="8647" w:type="dxa"/>
          </w:tcPr>
          <w:p w14:paraId="1A3664AF" w14:textId="77777777" w:rsidR="00404C23" w:rsidRPr="00404C23" w:rsidRDefault="00404C23" w:rsidP="00404C23">
            <w:pPr>
              <w:numPr>
                <w:ilvl w:val="0"/>
                <w:numId w:val="11"/>
              </w:numPr>
              <w:spacing w:after="120" w:line="276" w:lineRule="auto"/>
              <w:ind w:left="714" w:hanging="357"/>
              <w:jc w:val="both"/>
              <w:rPr>
                <w:rFonts w:ascii="Verdana" w:hAnsi="Verdana"/>
                <w:sz w:val="22"/>
                <w:szCs w:val="22"/>
              </w:rPr>
            </w:pPr>
            <w:r w:rsidRPr="00404C23">
              <w:rPr>
                <w:rFonts w:ascii="Verdana" w:hAnsi="Verdana"/>
                <w:sz w:val="22"/>
                <w:szCs w:val="22"/>
              </w:rPr>
              <w:t xml:space="preserve">Constitución Política, artículos 123, 126, 150 numerales 9 y 12, 189 numerales 11, 20 y 23, 209, 210, 267 y 338. </w:t>
            </w:r>
          </w:p>
          <w:p w14:paraId="33C1434D" w14:textId="77777777" w:rsidR="00404C23" w:rsidRPr="00404C23" w:rsidRDefault="00404C23" w:rsidP="00404C23">
            <w:pPr>
              <w:numPr>
                <w:ilvl w:val="0"/>
                <w:numId w:val="11"/>
              </w:numPr>
              <w:spacing w:after="120" w:line="276" w:lineRule="auto"/>
              <w:ind w:left="714" w:hanging="357"/>
              <w:jc w:val="both"/>
              <w:rPr>
                <w:rFonts w:ascii="Verdana" w:hAnsi="Verdana"/>
                <w:sz w:val="22"/>
                <w:szCs w:val="22"/>
              </w:rPr>
            </w:pPr>
            <w:r w:rsidRPr="00404C23">
              <w:rPr>
                <w:rFonts w:ascii="Verdana" w:hAnsi="Verdana"/>
                <w:sz w:val="22"/>
                <w:szCs w:val="22"/>
              </w:rPr>
              <w:t xml:space="preserve">Ley 80 de 1993, artículos 8 y 9. </w:t>
            </w:r>
          </w:p>
          <w:p w14:paraId="183F9D84" w14:textId="77777777" w:rsidR="00404C23" w:rsidRPr="00404C23" w:rsidRDefault="00404C23" w:rsidP="00404C23">
            <w:pPr>
              <w:numPr>
                <w:ilvl w:val="0"/>
                <w:numId w:val="11"/>
              </w:numPr>
              <w:spacing w:after="120" w:line="276" w:lineRule="auto"/>
              <w:ind w:left="714" w:hanging="357"/>
              <w:jc w:val="both"/>
              <w:rPr>
                <w:rFonts w:ascii="Verdana" w:hAnsi="Verdana"/>
                <w:sz w:val="22"/>
                <w:szCs w:val="22"/>
              </w:rPr>
            </w:pPr>
            <w:r w:rsidRPr="00404C23">
              <w:rPr>
                <w:rFonts w:ascii="Verdana" w:hAnsi="Verdana"/>
                <w:sz w:val="22"/>
                <w:szCs w:val="22"/>
              </w:rPr>
              <w:t xml:space="preserve">Ley 101 de 1993, artículos 29, 30 y 32. </w:t>
            </w:r>
          </w:p>
          <w:p w14:paraId="5B8AA1CD" w14:textId="77777777" w:rsidR="00404C23" w:rsidRPr="00404C23" w:rsidRDefault="00404C23" w:rsidP="00404C23">
            <w:pPr>
              <w:numPr>
                <w:ilvl w:val="0"/>
                <w:numId w:val="11"/>
              </w:numPr>
              <w:spacing w:after="120" w:line="276" w:lineRule="auto"/>
              <w:ind w:left="714" w:hanging="357"/>
              <w:jc w:val="both"/>
              <w:rPr>
                <w:rFonts w:ascii="Verdana" w:hAnsi="Verdana"/>
                <w:sz w:val="22"/>
                <w:szCs w:val="22"/>
              </w:rPr>
            </w:pPr>
            <w:r w:rsidRPr="00404C23">
              <w:rPr>
                <w:rFonts w:ascii="Verdana" w:hAnsi="Verdana"/>
                <w:sz w:val="22"/>
                <w:szCs w:val="22"/>
              </w:rPr>
              <w:t xml:space="preserve">Decreto 111 de 1996, artículo 29. </w:t>
            </w:r>
          </w:p>
          <w:p w14:paraId="706E0EEF" w14:textId="77777777" w:rsidR="00404C23" w:rsidRPr="00404C23" w:rsidRDefault="00404C23" w:rsidP="00404C23">
            <w:pPr>
              <w:numPr>
                <w:ilvl w:val="0"/>
                <w:numId w:val="11"/>
              </w:numPr>
              <w:spacing w:after="120" w:line="276" w:lineRule="auto"/>
              <w:ind w:left="714" w:hanging="357"/>
              <w:jc w:val="both"/>
              <w:rPr>
                <w:rFonts w:ascii="Verdana" w:hAnsi="Verdana"/>
                <w:sz w:val="22"/>
                <w:szCs w:val="22"/>
              </w:rPr>
            </w:pPr>
            <w:r w:rsidRPr="00404C23">
              <w:rPr>
                <w:rFonts w:ascii="Verdana" w:hAnsi="Verdana"/>
                <w:sz w:val="22"/>
                <w:szCs w:val="22"/>
              </w:rPr>
              <w:t>Ley 489 de 1998, artículo 113</w:t>
            </w:r>
          </w:p>
          <w:p w14:paraId="493FE261" w14:textId="77777777" w:rsidR="00404C23" w:rsidRPr="00404C23" w:rsidRDefault="00404C23" w:rsidP="00404C23">
            <w:pPr>
              <w:numPr>
                <w:ilvl w:val="0"/>
                <w:numId w:val="11"/>
              </w:numPr>
              <w:spacing w:after="120" w:line="276" w:lineRule="auto"/>
              <w:ind w:left="714" w:hanging="357"/>
              <w:jc w:val="both"/>
              <w:rPr>
                <w:rFonts w:ascii="Verdana" w:hAnsi="Verdana"/>
                <w:sz w:val="22"/>
                <w:szCs w:val="22"/>
              </w:rPr>
            </w:pPr>
            <w:r w:rsidRPr="00404C23">
              <w:rPr>
                <w:rFonts w:ascii="Verdana" w:hAnsi="Verdana"/>
                <w:sz w:val="22"/>
                <w:szCs w:val="22"/>
              </w:rPr>
              <w:t xml:space="preserve">Ley 1150 de 2007, artículo 13. </w:t>
            </w:r>
          </w:p>
          <w:p w14:paraId="32DC914F" w14:textId="77777777" w:rsidR="00404C23" w:rsidRPr="00404C23" w:rsidRDefault="00404C23" w:rsidP="00404C23">
            <w:pPr>
              <w:numPr>
                <w:ilvl w:val="0"/>
                <w:numId w:val="11"/>
              </w:numPr>
              <w:spacing w:after="120" w:line="276" w:lineRule="auto"/>
              <w:ind w:left="714" w:hanging="357"/>
              <w:jc w:val="both"/>
              <w:rPr>
                <w:rFonts w:ascii="Verdana" w:hAnsi="Verdana"/>
                <w:sz w:val="22"/>
                <w:szCs w:val="22"/>
              </w:rPr>
            </w:pPr>
            <w:r w:rsidRPr="00404C23">
              <w:rPr>
                <w:rFonts w:ascii="Verdana" w:hAnsi="Verdana"/>
                <w:sz w:val="22"/>
                <w:szCs w:val="22"/>
              </w:rPr>
              <w:t xml:space="preserve">Ley 1437 de 2011, artículos 2, 11, y 12. </w:t>
            </w:r>
          </w:p>
          <w:p w14:paraId="52BF5705" w14:textId="77777777" w:rsidR="00404C23" w:rsidRPr="00404C23" w:rsidRDefault="00404C23" w:rsidP="00404C23">
            <w:pPr>
              <w:numPr>
                <w:ilvl w:val="0"/>
                <w:numId w:val="10"/>
              </w:numPr>
              <w:spacing w:before="120" w:after="120" w:line="276" w:lineRule="auto"/>
              <w:ind w:left="714" w:hanging="357"/>
              <w:jc w:val="both"/>
              <w:rPr>
                <w:rFonts w:ascii="Verdana" w:eastAsia="Verdana" w:hAnsi="Verdana" w:cs="Verdana"/>
                <w:sz w:val="22"/>
                <w:szCs w:val="22"/>
              </w:rPr>
            </w:pPr>
            <w:r w:rsidRPr="00404C23">
              <w:rPr>
                <w:rFonts w:ascii="Verdana" w:hAnsi="Verdana"/>
                <w:sz w:val="22"/>
                <w:szCs w:val="22"/>
              </w:rPr>
              <w:t>Ley 222 de 1995, artículo 23</w:t>
            </w:r>
          </w:p>
          <w:p w14:paraId="117A340F" w14:textId="77777777" w:rsidR="00404C23" w:rsidRPr="00404C23" w:rsidRDefault="00404C23" w:rsidP="00404C23">
            <w:pPr>
              <w:numPr>
                <w:ilvl w:val="0"/>
                <w:numId w:val="10"/>
              </w:numPr>
              <w:spacing w:before="120" w:after="120" w:line="276" w:lineRule="auto"/>
              <w:ind w:left="714" w:hanging="357"/>
              <w:jc w:val="both"/>
              <w:rPr>
                <w:rFonts w:ascii="Verdana" w:eastAsia="Verdana" w:hAnsi="Verdana" w:cs="Verdana"/>
                <w:sz w:val="22"/>
                <w:szCs w:val="22"/>
              </w:rPr>
            </w:pPr>
            <w:r w:rsidRPr="00404C23">
              <w:rPr>
                <w:rFonts w:ascii="Verdana" w:hAnsi="Verdana"/>
                <w:sz w:val="22"/>
                <w:szCs w:val="22"/>
              </w:rPr>
              <w:t>Ley 2014 de 2019, artículo 3.</w:t>
            </w:r>
          </w:p>
          <w:p w14:paraId="182BE3BE" w14:textId="77777777" w:rsidR="00404C23" w:rsidRPr="00404C23" w:rsidRDefault="00404C23" w:rsidP="00404C23">
            <w:pPr>
              <w:numPr>
                <w:ilvl w:val="0"/>
                <w:numId w:val="10"/>
              </w:numPr>
              <w:spacing w:before="120" w:after="120" w:line="276" w:lineRule="auto"/>
              <w:ind w:left="714" w:hanging="357"/>
              <w:jc w:val="both"/>
              <w:rPr>
                <w:rFonts w:ascii="Verdana" w:eastAsia="Verdana" w:hAnsi="Verdana" w:cs="Verdana"/>
                <w:sz w:val="22"/>
                <w:szCs w:val="22"/>
              </w:rPr>
            </w:pPr>
            <w:r w:rsidRPr="00404C23">
              <w:rPr>
                <w:rFonts w:ascii="Verdana" w:eastAsia="Verdana" w:hAnsi="Verdana" w:cs="Verdana"/>
                <w:sz w:val="22"/>
                <w:szCs w:val="22"/>
              </w:rPr>
              <w:t>Ley 1952 de 2019, artículos 69, 70 y 71.</w:t>
            </w:r>
          </w:p>
          <w:p w14:paraId="66CC9DA7" w14:textId="77777777" w:rsidR="00404C23" w:rsidRPr="00404C23" w:rsidRDefault="00404C23" w:rsidP="00404C23">
            <w:pPr>
              <w:numPr>
                <w:ilvl w:val="0"/>
                <w:numId w:val="10"/>
              </w:numPr>
              <w:spacing w:before="120" w:after="120" w:line="276" w:lineRule="auto"/>
              <w:ind w:left="714" w:hanging="357"/>
              <w:jc w:val="both"/>
              <w:rPr>
                <w:rFonts w:ascii="Verdana" w:eastAsia="Verdana" w:hAnsi="Verdana" w:cs="Verdana"/>
                <w:sz w:val="22"/>
                <w:szCs w:val="22"/>
              </w:rPr>
            </w:pPr>
            <w:r w:rsidRPr="00404C23">
              <w:rPr>
                <w:rFonts w:ascii="Verdana" w:hAnsi="Verdana"/>
                <w:sz w:val="22"/>
                <w:szCs w:val="22"/>
              </w:rPr>
              <w:t xml:space="preserve">Decreto 1071 de 2015, Parte 10 del Libro 2. </w:t>
            </w:r>
          </w:p>
        </w:tc>
      </w:tr>
    </w:tbl>
    <w:p w14:paraId="044228E8" w14:textId="77777777" w:rsidR="00404C23" w:rsidRPr="00404C23" w:rsidRDefault="00404C23" w:rsidP="00404C23">
      <w:pPr>
        <w:rPr>
          <w:rFonts w:ascii="Verdana" w:eastAsia="Verdana" w:hAnsi="Verdana" w:cs="Verdana"/>
          <w:b/>
          <w:bCs/>
          <w:sz w:val="22"/>
          <w:szCs w:val="22"/>
        </w:rPr>
      </w:pPr>
    </w:p>
    <w:p w14:paraId="7927FD48" w14:textId="77777777" w:rsidR="00404C23" w:rsidRPr="00404C23" w:rsidRDefault="00404C23" w:rsidP="00404C23">
      <w:pPr>
        <w:rPr>
          <w:rFonts w:ascii="Verdana" w:eastAsia="Verdana" w:hAnsi="Verdana" w:cs="Verdana"/>
          <w:b/>
          <w:bCs/>
          <w:sz w:val="22"/>
          <w:szCs w:val="22"/>
        </w:rPr>
      </w:pPr>
      <w:r w:rsidRPr="00404C23">
        <w:rPr>
          <w:rFonts w:ascii="Verdana" w:eastAsia="Verdana" w:hAnsi="Verdana" w:cs="Verdana"/>
          <w:b/>
          <w:bCs/>
          <w:sz w:val="22"/>
          <w:szCs w:val="22"/>
        </w:rPr>
        <w:t>V. Doctrina de la Agencia Nacional de Contratación Pública:</w:t>
      </w:r>
    </w:p>
    <w:p w14:paraId="0E2CAB6B" w14:textId="77777777" w:rsidR="00404C23" w:rsidRPr="00404C23" w:rsidRDefault="00404C23" w:rsidP="00404C23">
      <w:pPr>
        <w:rPr>
          <w:rFonts w:ascii="Verdana" w:eastAsia="Verdana" w:hAnsi="Verdana" w:cs="Verdana"/>
          <w:sz w:val="22"/>
          <w:szCs w:val="22"/>
        </w:rPr>
      </w:pPr>
    </w:p>
    <w:p w14:paraId="62B8EFE0" w14:textId="77777777" w:rsidR="00404C23" w:rsidRPr="00404C23" w:rsidRDefault="00404C23" w:rsidP="00404C23">
      <w:pPr>
        <w:widowControl w:val="0"/>
        <w:spacing w:line="276" w:lineRule="auto"/>
        <w:jc w:val="both"/>
        <w:rPr>
          <w:rFonts w:ascii="Verdana" w:eastAsia="Verdana" w:hAnsi="Verdana" w:cs="Verdana"/>
          <w:sz w:val="22"/>
          <w:szCs w:val="22"/>
          <w:highlight w:val="white"/>
        </w:rPr>
      </w:pPr>
      <w:r w:rsidRPr="00404C23">
        <w:rPr>
          <w:rFonts w:ascii="Verdana" w:eastAsia="Verdana" w:hAnsi="Verdana" w:cs="Verdana"/>
          <w:sz w:val="22"/>
          <w:szCs w:val="22"/>
        </w:rPr>
        <w:t xml:space="preserve">Esta Subdirección se ha pronunciado sobre las inhabilidades e incompatibilidades en algunos conceptos, tales como: </w:t>
      </w:r>
      <w:sdt>
        <w:sdtPr>
          <w:rPr>
            <w:rFonts w:ascii="Verdana" w:eastAsia="Verdana" w:hAnsi="Verdana" w:cs="Verdana"/>
            <w:sz w:val="22"/>
            <w:szCs w:val="22"/>
          </w:rPr>
          <w:tag w:val="goog_rdk_3"/>
          <w:id w:val="-1310473169"/>
        </w:sdtPr>
        <w:sdtContent>
          <w:r w:rsidRPr="00404C23">
            <w:rPr>
              <w:rFonts w:ascii="Verdana" w:eastAsia="Verdana" w:hAnsi="Verdana" w:cs="Verdana"/>
              <w:sz w:val="22"/>
              <w:szCs w:val="22"/>
            </w:rPr>
            <w:t xml:space="preserve">radicados No. 4201912000004765 de 29 de agosto de 2019, 4201913000005694 del 3 de octubre de 2019, 4201912000006288 del 7 de septiembre de 2019, 4201912000006259 del 13 de noviembre de 2019, 4201913000006917 del 21 de noviembre de 2019, 4201912000006978 del 25 de noviembre de 2019, 4201912000007291 del 3 de diciembre de 2019, 4201912000007281 del 5 de diciembre de 2019, 4201912000007060 del 11 de diciembre de 2019, 4201912000007512 del 16  diciembre de 2019, 4201912000008460 del 14 de febrero de 2020, C−032 del 19 de febrero de 2020,  C−402 del 26 de junio de </w:t>
          </w:r>
          <w:r w:rsidRPr="00404C23">
            <w:rPr>
              <w:rFonts w:ascii="Verdana" w:eastAsia="Verdana" w:hAnsi="Verdana" w:cs="Verdana"/>
              <w:sz w:val="22"/>
              <w:szCs w:val="22"/>
            </w:rPr>
            <w:lastRenderedPageBreak/>
            <w:t xml:space="preserve">2020, C−365 del 30 de junio de 2020, C−386 del 24 de julio de 2020, C-585 del 14 de septiembre de 2020, C–592 del 14 de septiembre de 2020, C−551 de 24 de septiembre de 2020, C−709 del 7 de diciembre de 2020, C–721 de 14 de diciembre de 2020, C–004 del 12 de febrero de 2021, C–815 del 18 de febrero de 2021, C–047 del 8 de marzo de 2021, C–113 del 30 de marzo de 2021, C–122 del 30 de marzo de 2021, C–178 del 28 de abril de 2021, C-293 del 28 de agosto de 2021, C-449 del 31 de agosto de 2021, C-028 del 28 de febrero de 2022, C-318 del 18 de mayo de 2022, C-252 del 30 de mayo de 2022, C-619 del 27 de septiembre de 2022, C-731 de 10 de noviembre de 2022, C-059 de 13 de junio de 2023, C-352 del 22 de diciembre de 2023, C-010 del 31 de enero de 2024, C-023 del 26 de febrero de 2024, C-035 del 24 de abril de 2024, C-039 del 23 de abril de 2024, C-041 del 29 de mayo de 2024, C-067 del 16 de mayo de 2024, C-078 del 4 de junio de 2024, C-289 del 15 de agosto de 2023, C-172 de 25 de julio de 2024, C-271 del 22 de julio de 2024, C-904 del 9 de diciembre de 2024, C-170 del 19 de marzo de 2025, C-392 del 8 de mayo de 2025, C-632 del 2 de julio de 2025, C-710 del 15 de julio de 2025, C-731 del 21 de agosto de 2025, C-1058 del 5 de septiembre de 2025, C-1233 del 10 de octubre de 2025, C-1388 del 30 de octubre de 2025, C-1390 del 4 de noviembre de 2025, C-552 del 19 de mayo de 2026, C-1073 del 23 de julio de 2026, entre otros. </w:t>
          </w:r>
        </w:sdtContent>
      </w:sdt>
      <w:r w:rsidRPr="00404C23">
        <w:rPr>
          <w:rFonts w:ascii="Verdana" w:eastAsia="Verdana" w:hAnsi="Verdana" w:cs="Verdana"/>
          <w:sz w:val="22"/>
          <w:szCs w:val="22"/>
          <w:lang w:val="es-ES"/>
        </w:rPr>
        <w:t xml:space="preserve">En cuanto a los conflictos de interés, puede destacarse los siguientes conceptos: C- 449 del 31 de agosto de 2021, C-426 del 16 de mayo de 2025, C-710 del 15 de julio de 2025, C-920 del 19 de agosto de 2025, C-1141 del 27 de agosto del 2025, entre otros. </w:t>
      </w:r>
      <w:r w:rsidRPr="00404C23">
        <w:rPr>
          <w:rFonts w:ascii="Verdana" w:eastAsia="Verdana" w:hAnsi="Verdana" w:cs="Verdana"/>
          <w:sz w:val="22"/>
          <w:szCs w:val="22"/>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6">
        <w:r w:rsidRPr="00404C23">
          <w:rPr>
            <w:rFonts w:ascii="Verdana" w:eastAsia="Verdana" w:hAnsi="Verdana" w:cs="Verdana"/>
            <w:color w:val="0000FF"/>
            <w:sz w:val="22"/>
            <w:szCs w:val="22"/>
            <w:u w:val="single"/>
          </w:rPr>
          <w:t>https://relatoria.colombiacompra.gov.co/busqueda/conceptos</w:t>
        </w:r>
      </w:hyperlink>
      <w:r w:rsidRPr="00404C23">
        <w:rPr>
          <w:rFonts w:ascii="Verdana" w:eastAsia="Verdana" w:hAnsi="Verdana" w:cs="Verdana"/>
          <w:sz w:val="22"/>
          <w:szCs w:val="22"/>
        </w:rPr>
        <w:t xml:space="preserve">. </w:t>
      </w:r>
    </w:p>
    <w:p w14:paraId="6BD75391" w14:textId="77777777" w:rsidR="00404C23" w:rsidRPr="00404C23" w:rsidRDefault="00404C23" w:rsidP="00404C23">
      <w:pPr>
        <w:widowControl w:val="0"/>
        <w:autoSpaceDE w:val="0"/>
        <w:autoSpaceDN w:val="0"/>
        <w:spacing w:line="276" w:lineRule="auto"/>
        <w:jc w:val="both"/>
        <w:rPr>
          <w:rFonts w:ascii="Verdana" w:eastAsia="Calibri" w:hAnsi="Verdana" w:cs="Arial"/>
          <w:sz w:val="22"/>
          <w:szCs w:val="22"/>
          <w:shd w:val="clear" w:color="auto" w:fill="FFFFFF"/>
          <w:lang w:eastAsia="en-US"/>
        </w:rPr>
      </w:pPr>
    </w:p>
    <w:p w14:paraId="3EADD0CB" w14:textId="77777777" w:rsidR="00404C23" w:rsidRPr="00404C23" w:rsidRDefault="00404C23" w:rsidP="00404C23">
      <w:pPr>
        <w:spacing w:line="276" w:lineRule="auto"/>
        <w:jc w:val="both"/>
        <w:rPr>
          <w:rFonts w:ascii="Verdana" w:eastAsia="Calibri" w:hAnsi="Verdana" w:cs="Arial"/>
          <w:color w:val="000000"/>
          <w:sz w:val="22"/>
          <w:szCs w:val="22"/>
        </w:rPr>
      </w:pPr>
      <w:r w:rsidRPr="00404C23">
        <w:rPr>
          <w:rFonts w:ascii="Verdana" w:eastAsia="Calibri" w:hAnsi="Verdana" w:cs="Arial"/>
          <w:color w:val="000000"/>
          <w:sz w:val="22"/>
          <w:szCs w:val="22"/>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404C23">
        <w:rPr>
          <w:rFonts w:ascii="Verdana" w:eastAsia="Calibri" w:hAnsi="Verdana" w:cs="Arial"/>
          <w:b/>
          <w:bCs/>
          <w:color w:val="000000"/>
          <w:sz w:val="22"/>
          <w:szCs w:val="22"/>
        </w:rPr>
        <w:t>Guía para la Exigencia y Constitución de Garantías en los Procesos de Contratación</w:t>
      </w:r>
      <w:r w:rsidRPr="00404C23">
        <w:rPr>
          <w:rFonts w:ascii="Verdana" w:eastAsia="Calibri" w:hAnsi="Verdana" w:cs="Arial"/>
          <w:color w:val="000000"/>
          <w:sz w:val="22"/>
          <w:szCs w:val="22"/>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w:t>
      </w:r>
      <w:r w:rsidRPr="00404C23">
        <w:rPr>
          <w:rFonts w:ascii="Verdana" w:eastAsia="Calibri" w:hAnsi="Verdana" w:cs="Arial"/>
          <w:color w:val="000000"/>
          <w:sz w:val="22"/>
          <w:szCs w:val="22"/>
        </w:rPr>
        <w:lastRenderedPageBreak/>
        <w:t>suficiencia y vigencia, y el procedimiento para hacerlas efectivas. Consúltala aquí: </w:t>
      </w:r>
      <w:hyperlink r:id="rId17" w:tgtFrame="_blank" w:tooltip="https://www.colombiacompra.gov.co/archivos/manual/guia-de-garantias-en-procesos-de-contratacion" w:history="1">
        <w:r w:rsidRPr="00404C23">
          <w:rPr>
            <w:rFonts w:ascii="Verdana" w:eastAsia="Calibri" w:hAnsi="Verdana" w:cs="Arial"/>
            <w:color w:val="0000FF"/>
            <w:sz w:val="22"/>
            <w:szCs w:val="22"/>
            <w:u w:val="single"/>
          </w:rPr>
          <w:t>https://www.colombiacompra.gov.co/archivos/manual/guia-de-garantias-en-procesos-de-contratacion</w:t>
        </w:r>
      </w:hyperlink>
    </w:p>
    <w:p w14:paraId="2D2FE3F9" w14:textId="77777777" w:rsidR="00404C23" w:rsidRPr="00404C23" w:rsidRDefault="00404C23" w:rsidP="00404C23">
      <w:pPr>
        <w:spacing w:line="276" w:lineRule="auto"/>
        <w:jc w:val="both"/>
        <w:rPr>
          <w:rFonts w:ascii="Verdana" w:eastAsia="Calibri" w:hAnsi="Verdana" w:cs="Arial"/>
          <w:color w:val="000000"/>
          <w:sz w:val="22"/>
          <w:szCs w:val="22"/>
        </w:rPr>
      </w:pPr>
    </w:p>
    <w:p w14:paraId="21499456" w14:textId="77777777" w:rsidR="00404C23" w:rsidRPr="00404C23" w:rsidRDefault="00404C23" w:rsidP="00404C23">
      <w:pPr>
        <w:spacing w:line="276" w:lineRule="auto"/>
        <w:jc w:val="both"/>
        <w:rPr>
          <w:rFonts w:ascii="Verdana" w:eastAsia="Calibri" w:hAnsi="Verdana" w:cs="Arial"/>
          <w:color w:val="000000"/>
          <w:sz w:val="22"/>
          <w:szCs w:val="22"/>
        </w:rPr>
      </w:pPr>
      <w:r w:rsidRPr="00404C23">
        <w:rPr>
          <w:rFonts w:ascii="Verdana" w:eastAsia="Calibri" w:hAnsi="Verdana" w:cs="Arial"/>
          <w:color w:val="000000"/>
          <w:sz w:val="22"/>
          <w:szCs w:val="22"/>
        </w:rPr>
        <w:t>De otro lado, te contamos que el Decreto 287 del 19 de marzo de 2026 sustituyó los artículos 2.2.1.2.4.2.6., 2.2.1.2.4.2.7. y 2.2.1.2.4.2.8. del Decreto 1082 de 2015 y estructuró el </w:t>
      </w:r>
      <w:r w:rsidRPr="00404C23">
        <w:rPr>
          <w:rFonts w:ascii="Verdana" w:eastAsia="Calibri" w:hAnsi="Verdana" w:cs="Arial"/>
          <w:b/>
          <w:bCs/>
          <w:color w:val="000000"/>
          <w:sz w:val="22"/>
          <w:szCs w:val="22"/>
        </w:rPr>
        <w:t>Sistema Integral de Preferencias en favor de las personas con discapacidad</w:t>
      </w:r>
      <w:r w:rsidRPr="00404C23">
        <w:rPr>
          <w:rFonts w:ascii="Verdana" w:eastAsia="Calibri" w:hAnsi="Verdana" w:cs="Arial"/>
          <w:color w:val="000000"/>
          <w:sz w:val="22"/>
          <w:szCs w:val="22"/>
        </w:rPr>
        <w:t>, en cumplimiento del artículo 13 de la Ley Estatutaria 1618 de 2013. Para orientar su aplicación, esta Agencia expidió la </w:t>
      </w:r>
      <w:r w:rsidRPr="00404C23">
        <w:rPr>
          <w:rFonts w:ascii="Verdana" w:eastAsia="Calibri" w:hAnsi="Verdana" w:cs="Arial"/>
          <w:b/>
          <w:bCs/>
          <w:color w:val="000000"/>
          <w:sz w:val="22"/>
          <w:szCs w:val="22"/>
        </w:rPr>
        <w:t>Circular Externa 003 del 12 de mayo de 2026, </w:t>
      </w:r>
      <w:r w:rsidRPr="00404C23">
        <w:rPr>
          <w:rFonts w:ascii="Verdana" w:eastAsia="Calibri" w:hAnsi="Verdana" w:cs="Arial"/>
          <w:color w:val="000000"/>
          <w:sz w:val="22"/>
          <w:szCs w:val="22"/>
        </w:rPr>
        <w:t>en la que precisa quiénes son los beneficiarios, las cinco medidas que integran el sistema y su obligatoriedad según la modalidad de selección, y el régimen de transición aplicable a los procesos en curso. Consúltala aquí: </w:t>
      </w:r>
      <w:hyperlink r:id="rId18" w:tgtFrame="_blank" w:tooltip="https://www.colombiacompra.gov.co/archivos/circular/circular-externa-003-de-2026" w:history="1">
        <w:r w:rsidRPr="00404C23">
          <w:rPr>
            <w:rFonts w:ascii="Verdana" w:eastAsia="Calibri" w:hAnsi="Verdana" w:cs="Arial"/>
            <w:color w:val="0000FF"/>
            <w:sz w:val="22"/>
            <w:szCs w:val="22"/>
            <w:u w:val="single"/>
          </w:rPr>
          <w:t>https://www.colombiacompra.gov.co/archivos/circular/circular-externa-003-de-2026</w:t>
        </w:r>
      </w:hyperlink>
    </w:p>
    <w:p w14:paraId="1ECC68A8" w14:textId="77777777" w:rsidR="00404C23" w:rsidRPr="00404C23" w:rsidRDefault="00404C23" w:rsidP="00404C23">
      <w:pPr>
        <w:spacing w:line="276" w:lineRule="auto"/>
        <w:jc w:val="both"/>
        <w:rPr>
          <w:rFonts w:ascii="Verdana" w:eastAsia="Calibri" w:hAnsi="Verdana" w:cs="Arial"/>
          <w:color w:val="000000"/>
          <w:sz w:val="22"/>
          <w:szCs w:val="22"/>
        </w:rPr>
      </w:pPr>
    </w:p>
    <w:p w14:paraId="22D7BE77" w14:textId="77777777" w:rsidR="00404C23" w:rsidRPr="00404C23" w:rsidRDefault="00404C23" w:rsidP="00404C23">
      <w:pPr>
        <w:spacing w:line="276" w:lineRule="auto"/>
        <w:jc w:val="both"/>
        <w:rPr>
          <w:rFonts w:ascii="Verdana" w:eastAsia="Calibri" w:hAnsi="Verdana" w:cs="Arial"/>
          <w:color w:val="000000"/>
          <w:sz w:val="22"/>
          <w:szCs w:val="22"/>
        </w:rPr>
      </w:pPr>
      <w:r w:rsidRPr="00404C23">
        <w:rPr>
          <w:rFonts w:ascii="Verdana" w:eastAsia="Calibri" w:hAnsi="Verdana" w:cs="Arial"/>
          <w:color w:val="000000"/>
          <w:sz w:val="22"/>
          <w:szCs w:val="22"/>
        </w:rPr>
        <w:t>Recuerda también que la</w:t>
      </w:r>
      <w:r w:rsidRPr="00404C23">
        <w:rPr>
          <w:rFonts w:ascii="Verdana" w:eastAsia="Calibri" w:hAnsi="Verdana" w:cs="Arial"/>
          <w:b/>
          <w:bCs/>
          <w:color w:val="000000"/>
          <w:sz w:val="22"/>
          <w:szCs w:val="22"/>
        </w:rPr>
        <w:t> información sobre sanciones e inhabilidades </w:t>
      </w:r>
      <w:r w:rsidRPr="00404C23">
        <w:rPr>
          <w:rFonts w:ascii="Verdana" w:eastAsia="Calibri" w:hAnsi="Verdana" w:cs="Arial"/>
          <w:color w:val="000000"/>
          <w:sz w:val="22"/>
          <w:szCs w:val="22"/>
        </w:rPr>
        <w:t>solo cumple su función preventiva si llega oportunamente a los registros públicos. Sobre este deber, esta Agencia expidió la </w:t>
      </w:r>
      <w:r w:rsidRPr="00404C23">
        <w:rPr>
          <w:rFonts w:ascii="Verdana" w:eastAsia="Calibri" w:hAnsi="Verdana" w:cs="Arial"/>
          <w:b/>
          <w:bCs/>
          <w:color w:val="000000"/>
          <w:sz w:val="22"/>
          <w:szCs w:val="22"/>
        </w:rPr>
        <w:t>Circular Externa 002 del 5 de mayo de 2026,</w:t>
      </w:r>
      <w:r w:rsidRPr="00404C23">
        <w:rPr>
          <w:rFonts w:ascii="Verdana" w:eastAsia="Calibri" w:hAnsi="Verdana" w:cs="Arial"/>
          <w:color w:val="000000"/>
          <w:sz w:val="22"/>
          <w:szCs w:val="22"/>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9" w:tgtFrame="_blank" w:tooltip="https://www.colombiacompra.gov.co/archivos/circular/circular-externa-002-de-2026" w:history="1">
        <w:r w:rsidRPr="00404C23">
          <w:rPr>
            <w:rFonts w:ascii="Verdana" w:eastAsia="Calibri" w:hAnsi="Verdana" w:cs="Arial"/>
            <w:color w:val="0000FF"/>
            <w:sz w:val="22"/>
            <w:szCs w:val="22"/>
            <w:u w:val="single"/>
          </w:rPr>
          <w:t>https://www.colombiacompra.gov.co/archivos/circular/circular-externa-002-de-2026</w:t>
        </w:r>
      </w:hyperlink>
    </w:p>
    <w:p w14:paraId="49B28F01" w14:textId="77777777" w:rsidR="00404C23" w:rsidRPr="00404C23" w:rsidRDefault="00404C23" w:rsidP="00404C23">
      <w:pPr>
        <w:spacing w:line="276" w:lineRule="auto"/>
        <w:jc w:val="both"/>
        <w:rPr>
          <w:rFonts w:ascii="Verdana" w:eastAsia="Calibri" w:hAnsi="Verdana" w:cs="Arial"/>
          <w:color w:val="000000"/>
          <w:sz w:val="22"/>
          <w:szCs w:val="22"/>
        </w:rPr>
      </w:pPr>
    </w:p>
    <w:p w14:paraId="622506E8" w14:textId="77777777" w:rsidR="00404C23" w:rsidRPr="00404C23" w:rsidRDefault="00404C23" w:rsidP="00404C23">
      <w:pPr>
        <w:spacing w:line="276" w:lineRule="auto"/>
        <w:jc w:val="both"/>
        <w:rPr>
          <w:rFonts w:ascii="Verdana" w:eastAsia="Calibri" w:hAnsi="Verdana" w:cs="Arial"/>
          <w:color w:val="000000"/>
          <w:sz w:val="22"/>
          <w:szCs w:val="22"/>
        </w:rPr>
      </w:pPr>
      <w:r w:rsidRPr="00404C23">
        <w:rPr>
          <w:rFonts w:ascii="Verdana" w:eastAsia="Calibri" w:hAnsi="Verdana" w:cs="Arial"/>
          <w:color w:val="000000"/>
          <w:sz w:val="22"/>
          <w:szCs w:val="22"/>
        </w:rPr>
        <w:t>Finalmente, si quieres seguir de cerca la actividad de la Agencia, la tercera edición de 2026 del</w:t>
      </w:r>
      <w:r w:rsidRPr="00404C23">
        <w:rPr>
          <w:rFonts w:ascii="Verdana" w:eastAsia="Calibri" w:hAnsi="Verdana" w:cs="Arial"/>
          <w:b/>
          <w:bCs/>
          <w:color w:val="000000"/>
          <w:sz w:val="22"/>
          <w:szCs w:val="22"/>
        </w:rPr>
        <w:t> Radar de la Compra Pública</w:t>
      </w:r>
      <w:r w:rsidRPr="00404C23">
        <w:rPr>
          <w:rFonts w:ascii="Verdana" w:eastAsia="Calibri" w:hAnsi="Verdana" w:cs="Arial"/>
          <w:color w:val="000000"/>
          <w:sz w:val="22"/>
          <w:szCs w:val="22"/>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20" w:tgtFrame="_blank" w:tooltip="https://www.colombiacompra.gov.co/archivos/boletin/boletin-edicion-n-3-de-2026-radar-de-la-compra-publica" w:history="1">
        <w:r w:rsidRPr="00404C23">
          <w:rPr>
            <w:rFonts w:ascii="Verdana" w:eastAsia="Calibri" w:hAnsi="Verdana" w:cs="Arial"/>
            <w:color w:val="0000FF"/>
            <w:sz w:val="22"/>
            <w:szCs w:val="22"/>
            <w:u w:val="single"/>
          </w:rPr>
          <w:t>https://www.colombiacompra.gov.co/archivos/boletin/boletin-edicion-n-3-de-2026-radar-de-la-compra-publica</w:t>
        </w:r>
      </w:hyperlink>
    </w:p>
    <w:p w14:paraId="4186E18D" w14:textId="77777777" w:rsidR="00404C23" w:rsidRPr="00404C23" w:rsidRDefault="00404C23" w:rsidP="00404C23">
      <w:pPr>
        <w:spacing w:line="259" w:lineRule="auto"/>
        <w:jc w:val="both"/>
        <w:rPr>
          <w:rFonts w:ascii="Verdana" w:eastAsia="Calibri" w:hAnsi="Verdana"/>
          <w:sz w:val="22"/>
          <w:szCs w:val="22"/>
          <w:lang w:eastAsia="en-US"/>
        </w:rPr>
      </w:pPr>
    </w:p>
    <w:p w14:paraId="6E87ADF2" w14:textId="77777777" w:rsidR="00404C23" w:rsidRPr="00404C23" w:rsidRDefault="00404C23" w:rsidP="00404C23">
      <w:pPr>
        <w:spacing w:line="259" w:lineRule="auto"/>
        <w:jc w:val="both"/>
        <w:rPr>
          <w:rFonts w:ascii="Verdana" w:eastAsia="Calibri" w:hAnsi="Verdana"/>
          <w:sz w:val="22"/>
          <w:szCs w:val="22"/>
          <w:lang w:eastAsia="en-US"/>
        </w:rPr>
      </w:pPr>
      <w:r w:rsidRPr="00404C23">
        <w:rPr>
          <w:rFonts w:ascii="Verdana" w:eastAsia="Calibri" w:hAnsi="Verdana"/>
          <w:sz w:val="22"/>
          <w:szCs w:val="22"/>
          <w:lang w:eastAsia="en-US"/>
        </w:rPr>
        <w:lastRenderedPageBreak/>
        <w:t xml:space="preserve">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662900F1" w14:textId="77777777" w:rsidR="00404C23" w:rsidRPr="00404C23" w:rsidRDefault="00404C23" w:rsidP="00404C23">
      <w:pPr>
        <w:spacing w:line="259" w:lineRule="auto"/>
        <w:jc w:val="both"/>
        <w:rPr>
          <w:rFonts w:ascii="Verdana" w:eastAsia="Calibri" w:hAnsi="Verdana"/>
          <w:sz w:val="22"/>
          <w:szCs w:val="22"/>
          <w:lang w:eastAsia="en-US"/>
        </w:rPr>
      </w:pPr>
    </w:p>
    <w:p w14:paraId="4E160A45" w14:textId="77777777" w:rsidR="00404C23" w:rsidRPr="00404C23" w:rsidRDefault="00404C23" w:rsidP="00404C23">
      <w:pPr>
        <w:numPr>
          <w:ilvl w:val="0"/>
          <w:numId w:val="13"/>
        </w:numPr>
        <w:spacing w:after="160" w:line="259" w:lineRule="auto"/>
        <w:jc w:val="both"/>
        <w:rPr>
          <w:rFonts w:ascii="Verdana" w:eastAsia="Verdana" w:hAnsi="Verdana" w:cs="Verdana"/>
          <w:color w:val="4472C4"/>
          <w:sz w:val="22"/>
          <w:szCs w:val="22"/>
          <w:u w:val="single"/>
          <w:lang w:val="es-MX" w:eastAsia="en-US"/>
        </w:rPr>
      </w:pPr>
      <w:r w:rsidRPr="00404C23">
        <w:rPr>
          <w:rFonts w:ascii="Verdana" w:eastAsia="Verdana" w:hAnsi="Verdana" w:cs="Verdana"/>
          <w:sz w:val="22"/>
          <w:szCs w:val="22"/>
          <w:lang w:val="es-MX" w:eastAsia="en-US"/>
        </w:rPr>
        <w:t xml:space="preserve">Línea nacional gratuita o servicio a la ciudadanía (Mesa de servicio): </w:t>
      </w:r>
      <w:r w:rsidRPr="00404C23">
        <w:rPr>
          <w:rFonts w:ascii="Verdana" w:eastAsia="Calibri" w:hAnsi="Verdana"/>
          <w:color w:val="0000FF"/>
          <w:sz w:val="22"/>
          <w:szCs w:val="22"/>
          <w:u w:val="single"/>
          <w:lang w:val="es-ES" w:eastAsia="en-US"/>
        </w:rPr>
        <w:t>01800 0520808</w:t>
      </w:r>
    </w:p>
    <w:p w14:paraId="3E94E869" w14:textId="77777777" w:rsidR="00404C23" w:rsidRPr="00404C23" w:rsidRDefault="00404C23" w:rsidP="00404C23">
      <w:pPr>
        <w:numPr>
          <w:ilvl w:val="0"/>
          <w:numId w:val="13"/>
        </w:numPr>
        <w:spacing w:after="160" w:line="259" w:lineRule="auto"/>
        <w:rPr>
          <w:rFonts w:ascii="Verdana" w:eastAsia="Verdana" w:hAnsi="Verdana" w:cs="Verdana"/>
          <w:color w:val="4472C4"/>
          <w:sz w:val="22"/>
          <w:szCs w:val="22"/>
          <w:u w:val="single"/>
          <w:lang w:val="es-MX" w:eastAsia="en-US"/>
        </w:rPr>
      </w:pPr>
      <w:r w:rsidRPr="00404C23">
        <w:rPr>
          <w:rFonts w:ascii="Verdana" w:eastAsia="Verdana" w:hAnsi="Verdana" w:cs="Verdana"/>
          <w:sz w:val="22"/>
          <w:szCs w:val="22"/>
          <w:lang w:val="es-MX" w:eastAsia="en-US"/>
        </w:rPr>
        <w:t>Línea en Bogotá (Mesa de servicio</w:t>
      </w:r>
      <w:proofErr w:type="gramStart"/>
      <w:r w:rsidRPr="00404C23">
        <w:rPr>
          <w:rFonts w:ascii="Verdana" w:eastAsia="Verdana" w:hAnsi="Verdana" w:cs="Verdana"/>
          <w:sz w:val="22"/>
          <w:szCs w:val="22"/>
          <w:lang w:val="es-MX" w:eastAsia="en-US"/>
        </w:rPr>
        <w:t>):</w:t>
      </w:r>
      <w:r w:rsidRPr="00404C23">
        <w:rPr>
          <w:rFonts w:ascii="Verdana" w:eastAsia="Calibri" w:hAnsi="Verdana"/>
          <w:color w:val="0000FF"/>
          <w:sz w:val="22"/>
          <w:szCs w:val="22"/>
          <w:u w:val="single"/>
          <w:lang w:val="es-ES" w:eastAsia="en-US"/>
        </w:rPr>
        <w:t>+</w:t>
      </w:r>
      <w:proofErr w:type="gramEnd"/>
      <w:r w:rsidRPr="00404C23">
        <w:rPr>
          <w:rFonts w:ascii="Verdana" w:eastAsia="Calibri" w:hAnsi="Verdana"/>
          <w:color w:val="0000FF"/>
          <w:sz w:val="22"/>
          <w:szCs w:val="22"/>
          <w:u w:val="single"/>
          <w:lang w:val="es-ES" w:eastAsia="en-US"/>
        </w:rPr>
        <w:t>57 601 7456788</w:t>
      </w:r>
    </w:p>
    <w:p w14:paraId="71A4DAD5" w14:textId="77777777" w:rsidR="00404C23" w:rsidRPr="00404C23" w:rsidRDefault="00404C23" w:rsidP="00404C23">
      <w:pPr>
        <w:numPr>
          <w:ilvl w:val="0"/>
          <w:numId w:val="13"/>
        </w:numPr>
        <w:spacing w:after="160" w:line="259" w:lineRule="auto"/>
        <w:rPr>
          <w:rFonts w:ascii="Verdana" w:eastAsia="Verdana" w:hAnsi="Verdana" w:cs="Verdana"/>
          <w:color w:val="0000FF"/>
          <w:sz w:val="22"/>
          <w:szCs w:val="22"/>
          <w:u w:val="single"/>
          <w:lang w:val="es-MX" w:eastAsia="en-US"/>
        </w:rPr>
      </w:pPr>
      <w:r w:rsidRPr="00404C23">
        <w:rPr>
          <w:rFonts w:ascii="Verdana" w:eastAsia="Verdana" w:hAnsi="Verdana" w:cs="Verdana"/>
          <w:sz w:val="22"/>
          <w:szCs w:val="22"/>
          <w:lang w:val="es-MX" w:eastAsia="en-US"/>
        </w:rPr>
        <w:t xml:space="preserve">Correo de radicación de correspondencia: </w:t>
      </w:r>
      <w:hyperlink r:id="rId21">
        <w:r w:rsidRPr="00404C23">
          <w:rPr>
            <w:rFonts w:ascii="Verdana" w:eastAsia="Verdana" w:hAnsi="Verdana" w:cs="Verdana"/>
            <w:color w:val="0000FF"/>
            <w:sz w:val="22"/>
            <w:szCs w:val="22"/>
            <w:u w:val="single"/>
            <w:lang w:val="es-MX" w:eastAsia="en-US"/>
          </w:rPr>
          <w:t>ventanilladeradicacion@colombiacompra.gov.co</w:t>
        </w:r>
      </w:hyperlink>
    </w:p>
    <w:p w14:paraId="5C6C23A6" w14:textId="77777777" w:rsidR="00404C23" w:rsidRPr="00404C23" w:rsidRDefault="00404C23" w:rsidP="00404C23">
      <w:pPr>
        <w:numPr>
          <w:ilvl w:val="0"/>
          <w:numId w:val="13"/>
        </w:numPr>
        <w:spacing w:after="160" w:line="259" w:lineRule="auto"/>
        <w:rPr>
          <w:rFonts w:ascii="Verdana" w:eastAsia="Verdana" w:hAnsi="Verdana" w:cs="Verdana"/>
          <w:color w:val="0000FF"/>
          <w:sz w:val="22"/>
          <w:szCs w:val="22"/>
          <w:u w:val="single"/>
          <w:lang w:val="es-MX" w:eastAsia="en-US"/>
        </w:rPr>
      </w:pPr>
      <w:r w:rsidRPr="00404C23">
        <w:rPr>
          <w:rFonts w:ascii="Verdana" w:eastAsia="Verdana" w:hAnsi="Verdana" w:cs="Verdana"/>
          <w:sz w:val="22"/>
          <w:szCs w:val="22"/>
          <w:lang w:val="es-ES" w:eastAsia="en-US"/>
        </w:rPr>
        <w:t>Formulario web para</w:t>
      </w:r>
      <w:r w:rsidRPr="00404C23">
        <w:rPr>
          <w:rFonts w:ascii="Verdana" w:eastAsia="Verdana" w:hAnsi="Verdana" w:cs="Verdana"/>
          <w:sz w:val="22"/>
          <w:szCs w:val="22"/>
          <w:lang w:val="es" w:eastAsia="en-US"/>
        </w:rPr>
        <w:t xml:space="preserve"> PQRSD: </w:t>
      </w:r>
      <w:hyperlink r:id="rId22">
        <w:r w:rsidRPr="00404C23">
          <w:rPr>
            <w:rFonts w:ascii="Verdana" w:eastAsia="Verdana" w:hAnsi="Verdana" w:cs="Verdana"/>
            <w:color w:val="0000FF"/>
            <w:sz w:val="22"/>
            <w:szCs w:val="22"/>
            <w:u w:val="single"/>
            <w:lang w:val="es-MX" w:eastAsia="en-US"/>
          </w:rPr>
          <w:t>https://www.colombiacompra.gov.co/pqrsd/informacion-importante-antes-de-formular-una-pqrsd</w:t>
        </w:r>
      </w:hyperlink>
    </w:p>
    <w:p w14:paraId="3BA08453" w14:textId="77777777" w:rsidR="00404C23" w:rsidRPr="00404C23" w:rsidRDefault="00404C23" w:rsidP="00404C23">
      <w:pPr>
        <w:ind w:left="720"/>
        <w:jc w:val="both"/>
        <w:rPr>
          <w:rFonts w:ascii="Verdana" w:eastAsia="Calibri" w:hAnsi="Verdana"/>
          <w:sz w:val="22"/>
          <w:szCs w:val="22"/>
          <w:lang w:eastAsia="en-US"/>
        </w:rPr>
      </w:pPr>
    </w:p>
    <w:p w14:paraId="18014902" w14:textId="77777777" w:rsidR="00404C23" w:rsidRPr="00404C23" w:rsidRDefault="00404C23" w:rsidP="00404C23">
      <w:pPr>
        <w:rPr>
          <w:rFonts w:ascii="Verdana" w:eastAsia="Calibri" w:hAnsi="Verdana"/>
          <w:sz w:val="22"/>
          <w:szCs w:val="22"/>
          <w:lang w:eastAsia="en-US"/>
        </w:rPr>
      </w:pPr>
      <w:r w:rsidRPr="00404C23">
        <w:rPr>
          <w:rFonts w:ascii="Verdana" w:eastAsia="Calibri" w:hAnsi="Verdana"/>
          <w:sz w:val="22"/>
          <w:szCs w:val="22"/>
          <w:lang w:eastAsia="en-US"/>
        </w:rPr>
        <w:t xml:space="preserve">Evalúa el servicio que ofrece la Agencia por el canal de atención de PQRSD en el siguiente </w:t>
      </w:r>
      <w:proofErr w:type="gramStart"/>
      <w:r w:rsidRPr="00404C23">
        <w:rPr>
          <w:rFonts w:ascii="Verdana" w:eastAsia="Calibri" w:hAnsi="Verdana"/>
          <w:sz w:val="22"/>
          <w:szCs w:val="22"/>
          <w:lang w:eastAsia="en-US"/>
        </w:rPr>
        <w:t>enlace :</w:t>
      </w:r>
      <w:proofErr w:type="gramEnd"/>
      <w:hyperlink r:id="rId23" w:tgtFrame="_blank" w:tooltip="https://forms.office.com/r/pphywvs2sz" w:history="1">
        <w:r w:rsidRPr="00404C23">
          <w:rPr>
            <w:rFonts w:ascii="Verdana" w:eastAsia="Calibri" w:hAnsi="Verdana"/>
            <w:color w:val="0000FF"/>
            <w:sz w:val="22"/>
            <w:szCs w:val="22"/>
            <w:u w:val="single"/>
            <w:lang w:eastAsia="en-US"/>
          </w:rPr>
          <w:t>https://forms.office.com/r/pPHyWVs2SZ</w:t>
        </w:r>
      </w:hyperlink>
      <w:r w:rsidRPr="00404C23">
        <w:rPr>
          <w:rFonts w:ascii="Verdana" w:eastAsia="Calibri" w:hAnsi="Verdana"/>
          <w:sz w:val="22"/>
          <w:szCs w:val="22"/>
          <w:lang w:eastAsia="en-US"/>
        </w:rPr>
        <w:t xml:space="preserve"> .¡Ayúdanos a mejorar porque el compromiso es de todos!</w:t>
      </w:r>
    </w:p>
    <w:p w14:paraId="045A97F0" w14:textId="77777777" w:rsidR="00404C23" w:rsidRPr="00404C23" w:rsidRDefault="00404C23" w:rsidP="00404C23">
      <w:pPr>
        <w:rPr>
          <w:rFonts w:ascii="Verdana" w:eastAsia="Calibri" w:hAnsi="Verdana"/>
          <w:sz w:val="22"/>
          <w:szCs w:val="22"/>
          <w:lang w:eastAsia="en-US"/>
        </w:rPr>
      </w:pPr>
    </w:p>
    <w:p w14:paraId="22838D3C" w14:textId="77777777" w:rsidR="00404C23" w:rsidRPr="00404C23" w:rsidRDefault="00404C23" w:rsidP="00404C23">
      <w:pPr>
        <w:jc w:val="both"/>
        <w:rPr>
          <w:rFonts w:ascii="Verdana" w:eastAsia="Calibri" w:hAnsi="Verdana"/>
          <w:sz w:val="22"/>
          <w:szCs w:val="22"/>
          <w:lang w:eastAsia="en-US"/>
        </w:rPr>
      </w:pPr>
      <w:r w:rsidRPr="00404C23">
        <w:rPr>
          <w:rFonts w:ascii="Verdana" w:eastAsia="Calibri" w:hAnsi="Verdana"/>
          <w:sz w:val="22"/>
          <w:szCs w:val="22"/>
          <w:lang w:eastAsia="en-US"/>
        </w:rPr>
        <w:t xml:space="preserve">Por último, lo invitamos a seguirnos en las redes sociales en las cuales se difunde información institucional: </w:t>
      </w:r>
    </w:p>
    <w:p w14:paraId="2BCDEF5F" w14:textId="77777777" w:rsidR="00404C23" w:rsidRPr="00404C23" w:rsidRDefault="00404C23" w:rsidP="00404C23">
      <w:pPr>
        <w:jc w:val="both"/>
        <w:rPr>
          <w:rFonts w:ascii="Verdana" w:eastAsia="Calibri" w:hAnsi="Verdana"/>
          <w:sz w:val="22"/>
          <w:szCs w:val="22"/>
          <w:lang w:eastAsia="en-US"/>
        </w:rPr>
      </w:pPr>
    </w:p>
    <w:p w14:paraId="1664C84F" w14:textId="77777777" w:rsidR="00404C23" w:rsidRPr="00404C23" w:rsidRDefault="00404C23" w:rsidP="00404C23">
      <w:pPr>
        <w:jc w:val="both"/>
        <w:rPr>
          <w:rFonts w:ascii="Verdana" w:eastAsia="Calibri" w:hAnsi="Verdana"/>
          <w:sz w:val="22"/>
          <w:szCs w:val="22"/>
          <w:lang w:eastAsia="en-US"/>
        </w:rPr>
      </w:pPr>
      <w:r w:rsidRPr="00404C23">
        <w:rPr>
          <w:rFonts w:ascii="Verdana" w:eastAsia="Calibri" w:hAnsi="Verdana"/>
          <w:sz w:val="22"/>
          <w:szCs w:val="22"/>
          <w:lang w:eastAsia="en-US"/>
        </w:rPr>
        <w:t xml:space="preserve">Twitter: </w:t>
      </w:r>
      <w:r w:rsidRPr="00404C23">
        <w:rPr>
          <w:rFonts w:ascii="Verdana" w:eastAsia="Calibri" w:hAnsi="Verdana"/>
          <w:color w:val="0000FF"/>
          <w:sz w:val="22"/>
          <w:szCs w:val="22"/>
          <w:u w:val="single"/>
          <w:lang w:eastAsia="en-US"/>
        </w:rPr>
        <w:t>@colombiacompra</w:t>
      </w:r>
      <w:r w:rsidRPr="00404C23">
        <w:rPr>
          <w:rFonts w:ascii="Verdana" w:eastAsia="Calibri" w:hAnsi="Verdana"/>
          <w:sz w:val="22"/>
          <w:szCs w:val="22"/>
          <w:lang w:eastAsia="en-US"/>
        </w:rPr>
        <w:t xml:space="preserve"> </w:t>
      </w:r>
    </w:p>
    <w:p w14:paraId="33654C67" w14:textId="77777777" w:rsidR="00404C23" w:rsidRPr="00404C23" w:rsidRDefault="00404C23" w:rsidP="00404C23">
      <w:pPr>
        <w:jc w:val="both"/>
        <w:rPr>
          <w:rFonts w:ascii="Verdana" w:eastAsia="Calibri" w:hAnsi="Verdana"/>
          <w:sz w:val="22"/>
          <w:szCs w:val="22"/>
          <w:lang w:eastAsia="en-US"/>
        </w:rPr>
      </w:pPr>
      <w:r w:rsidRPr="00404C23">
        <w:rPr>
          <w:rFonts w:ascii="Verdana" w:eastAsia="Calibri" w:hAnsi="Verdana"/>
          <w:sz w:val="22"/>
          <w:szCs w:val="22"/>
          <w:lang w:eastAsia="en-US"/>
        </w:rPr>
        <w:t xml:space="preserve">Facebook: </w:t>
      </w:r>
      <w:proofErr w:type="spellStart"/>
      <w:r w:rsidRPr="00404C23">
        <w:rPr>
          <w:rFonts w:ascii="Verdana" w:eastAsia="Calibri" w:hAnsi="Verdana"/>
          <w:color w:val="0000FF"/>
          <w:sz w:val="22"/>
          <w:szCs w:val="22"/>
          <w:u w:val="single"/>
          <w:lang w:eastAsia="en-US"/>
        </w:rPr>
        <w:t>ColombiaCompraEficiente</w:t>
      </w:r>
      <w:proofErr w:type="spellEnd"/>
    </w:p>
    <w:p w14:paraId="5030CCC1" w14:textId="77777777" w:rsidR="00404C23" w:rsidRPr="00404C23" w:rsidRDefault="00404C23" w:rsidP="00404C23">
      <w:pPr>
        <w:jc w:val="both"/>
        <w:rPr>
          <w:rFonts w:ascii="Verdana" w:eastAsia="Calibri" w:hAnsi="Verdana"/>
          <w:sz w:val="22"/>
          <w:szCs w:val="22"/>
          <w:lang w:eastAsia="en-US"/>
        </w:rPr>
      </w:pPr>
      <w:r w:rsidRPr="00404C23">
        <w:rPr>
          <w:rFonts w:ascii="Verdana" w:eastAsia="Calibri" w:hAnsi="Verdana"/>
          <w:sz w:val="22"/>
          <w:szCs w:val="22"/>
          <w:lang w:eastAsia="en-US"/>
        </w:rPr>
        <w:t xml:space="preserve">LinkedIn: </w:t>
      </w:r>
      <w:r w:rsidRPr="00404C23">
        <w:rPr>
          <w:rFonts w:ascii="Verdana" w:eastAsia="Calibri" w:hAnsi="Verdana"/>
          <w:color w:val="0000FF"/>
          <w:sz w:val="22"/>
          <w:szCs w:val="22"/>
          <w:u w:val="single"/>
          <w:lang w:eastAsia="en-US"/>
        </w:rPr>
        <w:t>Agencia Nacional de Contratación Pública - Colombia Compra Eficiente</w:t>
      </w:r>
      <w:r w:rsidRPr="00404C23">
        <w:rPr>
          <w:rFonts w:ascii="Verdana" w:eastAsia="Calibri" w:hAnsi="Verdana"/>
          <w:sz w:val="22"/>
          <w:szCs w:val="22"/>
          <w:lang w:eastAsia="en-US"/>
        </w:rPr>
        <w:t xml:space="preserve"> Instagram: </w:t>
      </w:r>
      <w:r w:rsidRPr="00404C23">
        <w:rPr>
          <w:rFonts w:ascii="Verdana" w:eastAsia="Calibri" w:hAnsi="Verdana"/>
          <w:color w:val="0000FF"/>
          <w:sz w:val="22"/>
          <w:szCs w:val="22"/>
          <w:u w:val="single"/>
          <w:lang w:eastAsia="en-US"/>
        </w:rPr>
        <w:t>@colombiacompraeficiente_cce</w:t>
      </w:r>
    </w:p>
    <w:p w14:paraId="7B2BF0EF" w14:textId="77777777" w:rsidR="00404C23" w:rsidRPr="00404C23" w:rsidRDefault="00404C23" w:rsidP="00404C23">
      <w:pPr>
        <w:jc w:val="both"/>
        <w:rPr>
          <w:rFonts w:ascii="Verdana" w:eastAsia="Calibri" w:hAnsi="Verdana"/>
          <w:sz w:val="22"/>
          <w:szCs w:val="22"/>
          <w:lang w:eastAsia="en-US"/>
        </w:rPr>
      </w:pPr>
    </w:p>
    <w:p w14:paraId="5FC70572" w14:textId="77777777" w:rsidR="00404C23" w:rsidRPr="00404C23" w:rsidRDefault="00404C23" w:rsidP="00404C23">
      <w:pPr>
        <w:spacing w:line="256" w:lineRule="auto"/>
        <w:jc w:val="both"/>
        <w:rPr>
          <w:rFonts w:ascii="Verdana" w:eastAsia="Calibri" w:hAnsi="Verdana"/>
          <w:bCs/>
          <w:sz w:val="22"/>
          <w:szCs w:val="22"/>
          <w:lang w:val="es-ES_tradnl" w:eastAsia="en-US"/>
        </w:rPr>
      </w:pPr>
      <w:r w:rsidRPr="00404C23">
        <w:rPr>
          <w:rFonts w:ascii="Verdana" w:eastAsia="Calibri" w:hAnsi="Verdana"/>
          <w:sz w:val="22"/>
          <w:szCs w:val="22"/>
          <w:lang w:val="es-ES_tradnl" w:eastAsia="en-US"/>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7128D3BB" w14:textId="77777777" w:rsidR="00404C23" w:rsidRPr="00404C23" w:rsidRDefault="00404C23" w:rsidP="00404C23">
      <w:pPr>
        <w:spacing w:line="256" w:lineRule="auto"/>
        <w:jc w:val="both"/>
        <w:rPr>
          <w:rFonts w:ascii="Verdana" w:eastAsia="Calibri" w:hAnsi="Verdana"/>
          <w:sz w:val="22"/>
          <w:szCs w:val="22"/>
          <w:lang w:val="es-ES_tradnl" w:eastAsia="en-US"/>
        </w:rPr>
      </w:pPr>
    </w:p>
    <w:p w14:paraId="464FADA9" w14:textId="77777777" w:rsidR="00404C23" w:rsidRPr="00404C23" w:rsidRDefault="00404C23" w:rsidP="00404C23">
      <w:pPr>
        <w:spacing w:line="256" w:lineRule="auto"/>
        <w:jc w:val="both"/>
        <w:rPr>
          <w:rFonts w:ascii="Verdana" w:eastAsia="Calibri" w:hAnsi="Verdana"/>
          <w:sz w:val="22"/>
          <w:szCs w:val="22"/>
          <w:lang w:eastAsia="en-US"/>
        </w:rPr>
      </w:pPr>
      <w:r w:rsidRPr="00404C23">
        <w:rPr>
          <w:rFonts w:ascii="Verdana" w:eastAsia="Calibri" w:hAnsi="Verdana"/>
          <w:sz w:val="22"/>
          <w:szCs w:val="22"/>
          <w:lang w:eastAsia="en-US"/>
        </w:rPr>
        <w:t>Atentamente,</w:t>
      </w:r>
    </w:p>
    <w:p w14:paraId="79C608A1" w14:textId="77777777" w:rsidR="00404C23" w:rsidRPr="00404C23" w:rsidRDefault="00404C23" w:rsidP="00404C23">
      <w:pPr>
        <w:spacing w:line="256" w:lineRule="auto"/>
        <w:jc w:val="both"/>
        <w:rPr>
          <w:rFonts w:ascii="Calibri" w:eastAsia="Calibri" w:hAnsi="Calibri"/>
          <w:sz w:val="22"/>
          <w:szCs w:val="22"/>
          <w:lang w:eastAsia="en-US"/>
        </w:rPr>
      </w:pPr>
    </w:p>
    <w:p w14:paraId="3D45F955" w14:textId="28C34007" w:rsidR="00404C23" w:rsidRPr="00404C23" w:rsidRDefault="00D367DC" w:rsidP="00404C23">
      <w:pPr>
        <w:spacing w:line="254" w:lineRule="auto"/>
        <w:jc w:val="center"/>
        <w:rPr>
          <w:rFonts w:ascii="Century Gothic" w:eastAsia="Calibri" w:hAnsi="Century Gothic"/>
          <w:noProof/>
          <w:sz w:val="22"/>
          <w:szCs w:val="22"/>
          <w:lang w:val="en-US" w:eastAsia="en-US"/>
        </w:rPr>
      </w:pPr>
      <w:r w:rsidRPr="002C3AD6">
        <w:rPr>
          <w:rFonts w:ascii="Century Gothic" w:hAnsi="Century Gothic"/>
          <w:noProof/>
          <w:lang w:val="en-US"/>
        </w:rPr>
        <w:lastRenderedPageBreak/>
        <w:drawing>
          <wp:inline distT="0" distB="0" distL="0" distR="0" wp14:anchorId="657C20E9" wp14:editId="660778B6">
            <wp:extent cx="3247038" cy="1186774"/>
            <wp:effectExtent l="0" t="0" r="0" b="0"/>
            <wp:docPr id="64273248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4"/>
                    <a:stretch>
                      <a:fillRect/>
                    </a:stretch>
                  </pic:blipFill>
                  <pic:spPr>
                    <a:xfrm>
                      <a:off x="0" y="0"/>
                      <a:ext cx="3358959" cy="1227680"/>
                    </a:xfrm>
                    <a:prstGeom prst="rect">
                      <a:avLst/>
                    </a:prstGeom>
                  </pic:spPr>
                </pic:pic>
              </a:graphicData>
            </a:graphic>
          </wp:inline>
        </w:drawing>
      </w:r>
    </w:p>
    <w:p w14:paraId="407AFAA2" w14:textId="77777777" w:rsidR="00404C23" w:rsidRPr="00404C23" w:rsidRDefault="00404C23" w:rsidP="00404C23">
      <w:pPr>
        <w:spacing w:line="254" w:lineRule="auto"/>
        <w:rPr>
          <w:rFonts w:ascii="Century Gothic" w:eastAsia="Calibri" w:hAnsi="Century Gothic"/>
          <w:noProof/>
          <w:sz w:val="16"/>
          <w:szCs w:val="16"/>
          <w:lang w:val="en-US" w:eastAsia="en-U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404C23" w:rsidRPr="00404C23" w14:paraId="724017C8" w14:textId="77777777" w:rsidTr="00787EE0">
        <w:trPr>
          <w:trHeight w:val="409"/>
        </w:trPr>
        <w:tc>
          <w:tcPr>
            <w:tcW w:w="817" w:type="dxa"/>
            <w:tcBorders>
              <w:top w:val="nil"/>
              <w:left w:val="nil"/>
              <w:bottom w:val="nil"/>
              <w:right w:val="nil"/>
            </w:tcBorders>
            <w:vAlign w:val="center"/>
            <w:hideMark/>
          </w:tcPr>
          <w:p w14:paraId="48EE0100" w14:textId="77777777" w:rsidR="00404C23" w:rsidRPr="00404C23" w:rsidRDefault="00404C23" w:rsidP="00404C23">
            <w:pPr>
              <w:spacing w:line="254" w:lineRule="auto"/>
              <w:rPr>
                <w:rFonts w:ascii="Verdana" w:eastAsia="Calibri" w:hAnsi="Verdana"/>
                <w:sz w:val="16"/>
                <w:szCs w:val="16"/>
                <w:lang w:eastAsia="en-US"/>
              </w:rPr>
            </w:pPr>
            <w:r w:rsidRPr="00404C23">
              <w:rPr>
                <w:rFonts w:ascii="Verdana" w:eastAsia="Calibri" w:hAnsi="Verdana"/>
                <w:sz w:val="16"/>
                <w:szCs w:val="16"/>
                <w:lang w:eastAsia="en-US"/>
              </w:rPr>
              <w:t>Elaboró: </w:t>
            </w:r>
          </w:p>
        </w:tc>
        <w:tc>
          <w:tcPr>
            <w:tcW w:w="4937" w:type="dxa"/>
            <w:tcBorders>
              <w:top w:val="nil"/>
              <w:left w:val="nil"/>
              <w:bottom w:val="dotted" w:sz="6" w:space="0" w:color="7F7F7F"/>
              <w:right w:val="nil"/>
            </w:tcBorders>
            <w:vAlign w:val="center"/>
            <w:hideMark/>
          </w:tcPr>
          <w:p w14:paraId="6DA94945" w14:textId="77777777" w:rsidR="00404C23" w:rsidRPr="00404C23" w:rsidRDefault="00404C23" w:rsidP="00404C23">
            <w:pPr>
              <w:spacing w:line="254" w:lineRule="auto"/>
              <w:rPr>
                <w:rFonts w:ascii="Verdana" w:eastAsia="Calibri" w:hAnsi="Verdana"/>
                <w:sz w:val="16"/>
                <w:szCs w:val="16"/>
                <w:lang w:eastAsia="en-US"/>
              </w:rPr>
            </w:pPr>
            <w:r w:rsidRPr="00404C23">
              <w:rPr>
                <w:rFonts w:ascii="Verdana" w:eastAsia="Calibri" w:hAnsi="Verdana"/>
                <w:sz w:val="16"/>
                <w:szCs w:val="16"/>
                <w:lang w:eastAsia="en-US"/>
              </w:rPr>
              <w:t>José Luis Sánchez Cardona</w:t>
            </w:r>
          </w:p>
          <w:p w14:paraId="126CC7F7" w14:textId="77777777" w:rsidR="00404C23" w:rsidRPr="00404C23" w:rsidRDefault="00404C23" w:rsidP="00404C23">
            <w:pPr>
              <w:spacing w:line="254" w:lineRule="auto"/>
              <w:rPr>
                <w:rFonts w:ascii="Verdana" w:eastAsia="Calibri" w:hAnsi="Verdana"/>
                <w:sz w:val="16"/>
                <w:szCs w:val="16"/>
                <w:lang w:eastAsia="en-US"/>
              </w:rPr>
            </w:pPr>
            <w:r w:rsidRPr="00404C23">
              <w:rPr>
                <w:rFonts w:ascii="Verdana" w:eastAsia="Calibri" w:hAnsi="Verdana"/>
                <w:sz w:val="16"/>
                <w:szCs w:val="16"/>
                <w:lang w:eastAsia="en-US"/>
              </w:rPr>
              <w:t>Contratista de la Subdirección de Gestión Contractual</w:t>
            </w:r>
          </w:p>
        </w:tc>
      </w:tr>
      <w:tr w:rsidR="00404C23" w:rsidRPr="00404C23" w14:paraId="52188D05" w14:textId="77777777" w:rsidTr="00787EE0">
        <w:trPr>
          <w:trHeight w:val="409"/>
        </w:trPr>
        <w:tc>
          <w:tcPr>
            <w:tcW w:w="817" w:type="dxa"/>
            <w:tcBorders>
              <w:top w:val="nil"/>
              <w:left w:val="nil"/>
              <w:bottom w:val="nil"/>
              <w:right w:val="nil"/>
            </w:tcBorders>
            <w:vAlign w:val="center"/>
            <w:hideMark/>
          </w:tcPr>
          <w:p w14:paraId="1FDD57AF" w14:textId="77777777" w:rsidR="00404C23" w:rsidRPr="00404C23" w:rsidRDefault="00404C23" w:rsidP="00404C23">
            <w:pPr>
              <w:spacing w:line="254" w:lineRule="auto"/>
              <w:rPr>
                <w:rFonts w:ascii="Verdana" w:eastAsia="Calibri" w:hAnsi="Verdana"/>
                <w:sz w:val="16"/>
                <w:szCs w:val="16"/>
                <w:lang w:eastAsia="en-US"/>
              </w:rPr>
            </w:pPr>
            <w:r w:rsidRPr="00404C23">
              <w:rPr>
                <w:rFonts w:ascii="Verdana" w:eastAsia="Calibri" w:hAnsi="Verdana"/>
                <w:sz w:val="16"/>
                <w:szCs w:val="16"/>
                <w:lang w:eastAsia="en-US"/>
              </w:rPr>
              <w:t>Revisó </w:t>
            </w:r>
          </w:p>
        </w:tc>
        <w:tc>
          <w:tcPr>
            <w:tcW w:w="4937" w:type="dxa"/>
            <w:tcBorders>
              <w:top w:val="dotted" w:sz="6" w:space="0" w:color="7F7F7F"/>
              <w:left w:val="nil"/>
              <w:bottom w:val="dotted" w:sz="6" w:space="0" w:color="7F7F7F"/>
              <w:right w:val="nil"/>
            </w:tcBorders>
            <w:vAlign w:val="center"/>
            <w:hideMark/>
          </w:tcPr>
          <w:p w14:paraId="09798A27" w14:textId="77777777" w:rsidR="00404C23" w:rsidRPr="00404C23" w:rsidRDefault="00404C23" w:rsidP="00404C23">
            <w:pPr>
              <w:spacing w:line="254" w:lineRule="auto"/>
              <w:rPr>
                <w:rFonts w:ascii="Verdana" w:eastAsia="Calibri" w:hAnsi="Verdana"/>
                <w:sz w:val="16"/>
                <w:szCs w:val="16"/>
                <w:lang w:eastAsia="en-US"/>
              </w:rPr>
            </w:pPr>
            <w:r w:rsidRPr="00404C23">
              <w:rPr>
                <w:rFonts w:ascii="Verdana" w:eastAsia="Calibri" w:hAnsi="Verdana"/>
                <w:sz w:val="16"/>
                <w:szCs w:val="16"/>
                <w:lang w:eastAsia="en-US"/>
              </w:rPr>
              <w:t>Alejandro R. Sarmiento Cantillo</w:t>
            </w:r>
          </w:p>
          <w:p w14:paraId="16B5A8C7" w14:textId="77777777" w:rsidR="00404C23" w:rsidRPr="00404C23" w:rsidRDefault="00404C23" w:rsidP="00404C23">
            <w:pPr>
              <w:spacing w:line="254" w:lineRule="auto"/>
              <w:rPr>
                <w:rFonts w:ascii="Verdana" w:eastAsia="Calibri" w:hAnsi="Verdana"/>
                <w:sz w:val="16"/>
                <w:szCs w:val="16"/>
                <w:lang w:eastAsia="en-US"/>
              </w:rPr>
            </w:pPr>
            <w:r w:rsidRPr="00404C23">
              <w:rPr>
                <w:rFonts w:ascii="Verdana" w:eastAsia="Calibri" w:hAnsi="Verdana"/>
                <w:sz w:val="16"/>
                <w:szCs w:val="16"/>
                <w:lang w:eastAsia="en-US"/>
              </w:rPr>
              <w:t>Gestor T1-15 de la Subdirección de Gestión Contractual </w:t>
            </w:r>
          </w:p>
        </w:tc>
      </w:tr>
      <w:tr w:rsidR="00404C23" w:rsidRPr="00404C23" w14:paraId="5841E5D7" w14:textId="77777777" w:rsidTr="00787EE0">
        <w:trPr>
          <w:trHeight w:val="389"/>
        </w:trPr>
        <w:tc>
          <w:tcPr>
            <w:tcW w:w="817" w:type="dxa"/>
            <w:tcBorders>
              <w:top w:val="nil"/>
              <w:left w:val="nil"/>
              <w:bottom w:val="nil"/>
              <w:right w:val="nil"/>
            </w:tcBorders>
            <w:vAlign w:val="center"/>
            <w:hideMark/>
          </w:tcPr>
          <w:p w14:paraId="12E6D189" w14:textId="77777777" w:rsidR="00404C23" w:rsidRPr="00404C23" w:rsidRDefault="00404C23" w:rsidP="00404C23">
            <w:pPr>
              <w:spacing w:line="254" w:lineRule="auto"/>
              <w:rPr>
                <w:rFonts w:ascii="Verdana" w:eastAsia="Calibri" w:hAnsi="Verdana"/>
                <w:sz w:val="16"/>
                <w:szCs w:val="16"/>
                <w:lang w:eastAsia="en-US"/>
              </w:rPr>
            </w:pPr>
            <w:r w:rsidRPr="00404C23">
              <w:rPr>
                <w:rFonts w:ascii="Verdana" w:eastAsia="Calibri" w:hAnsi="Verdana"/>
                <w:sz w:val="16"/>
                <w:szCs w:val="16"/>
                <w:lang w:eastAsia="en-US"/>
              </w:rPr>
              <w:t>Aprobó: </w:t>
            </w:r>
          </w:p>
        </w:tc>
        <w:tc>
          <w:tcPr>
            <w:tcW w:w="4937" w:type="dxa"/>
            <w:tcBorders>
              <w:top w:val="dotted" w:sz="6" w:space="0" w:color="7F7F7F"/>
              <w:left w:val="nil"/>
              <w:bottom w:val="dotted" w:sz="6" w:space="0" w:color="7F7F7F"/>
              <w:right w:val="nil"/>
            </w:tcBorders>
            <w:vAlign w:val="center"/>
            <w:hideMark/>
          </w:tcPr>
          <w:p w14:paraId="3C012AA5" w14:textId="77777777" w:rsidR="00404C23" w:rsidRPr="00404C23" w:rsidRDefault="00404C23" w:rsidP="00404C23">
            <w:pPr>
              <w:spacing w:line="254" w:lineRule="auto"/>
              <w:rPr>
                <w:rFonts w:ascii="Verdana" w:eastAsia="Calibri" w:hAnsi="Verdana"/>
                <w:sz w:val="16"/>
                <w:szCs w:val="16"/>
                <w:lang w:eastAsia="en-US"/>
              </w:rPr>
            </w:pPr>
            <w:r w:rsidRPr="00404C23">
              <w:rPr>
                <w:rFonts w:ascii="Verdana" w:eastAsia="Calibri" w:hAnsi="Verdana"/>
                <w:sz w:val="16"/>
                <w:szCs w:val="16"/>
                <w:lang w:eastAsia="en-US"/>
              </w:rPr>
              <w:t>Carolina Quintero Gacharná</w:t>
            </w:r>
          </w:p>
          <w:p w14:paraId="13CDC66C" w14:textId="77777777" w:rsidR="00404C23" w:rsidRPr="00404C23" w:rsidRDefault="00404C23" w:rsidP="00404C23">
            <w:pPr>
              <w:spacing w:line="254" w:lineRule="auto"/>
              <w:rPr>
                <w:rFonts w:ascii="Verdana" w:eastAsia="Calibri" w:hAnsi="Verdana"/>
                <w:sz w:val="16"/>
                <w:szCs w:val="16"/>
                <w:lang w:eastAsia="en-US"/>
              </w:rPr>
            </w:pPr>
            <w:r w:rsidRPr="00404C23">
              <w:rPr>
                <w:rFonts w:ascii="Verdana" w:eastAsia="Calibri" w:hAnsi="Verdana"/>
                <w:sz w:val="16"/>
                <w:szCs w:val="16"/>
                <w:lang w:eastAsia="en-US"/>
              </w:rPr>
              <w:t>Subdirectora de Gestión Contractual ANCP – CCE</w:t>
            </w:r>
          </w:p>
        </w:tc>
      </w:tr>
    </w:tbl>
    <w:p w14:paraId="731B4351" w14:textId="77777777" w:rsidR="00404C23" w:rsidRPr="00404C23" w:rsidRDefault="00404C23" w:rsidP="00404C23">
      <w:pPr>
        <w:jc w:val="both"/>
        <w:textAlignment w:val="baseline"/>
        <w:rPr>
          <w:rFonts w:ascii="Verdana" w:eastAsia="Verdana" w:hAnsi="Verdana" w:cs="Verdana"/>
          <w:sz w:val="22"/>
          <w:szCs w:val="22"/>
          <w:lang w:eastAsia="es-CO"/>
        </w:rPr>
      </w:pPr>
    </w:p>
    <w:p w14:paraId="77F26EF0" w14:textId="755EA74C" w:rsidR="00404C23" w:rsidRPr="00404C23" w:rsidRDefault="00404C23" w:rsidP="00404C23">
      <w:pPr>
        <w:textAlignment w:val="baseline"/>
        <w:rPr>
          <w:rFonts w:ascii="Verdana" w:eastAsia="Verdana" w:hAnsi="Verdana" w:cs="Verdana"/>
          <w:sz w:val="22"/>
          <w:szCs w:val="22"/>
          <w:lang w:eastAsia="es-CO"/>
        </w:rPr>
      </w:pPr>
      <w:r w:rsidRPr="00404C23">
        <w:rPr>
          <w:rFonts w:ascii="Verdana" w:eastAsia="Verdana" w:hAnsi="Verdana" w:cs="Verdana"/>
          <w:sz w:val="22"/>
          <w:szCs w:val="22"/>
          <w:lang w:eastAsia="es-CO"/>
        </w:rPr>
        <w:t> </w:t>
      </w:r>
      <w:bookmarkEnd w:id="0"/>
    </w:p>
    <w:p w14:paraId="44EEDC23" w14:textId="77777777" w:rsidR="00843DAC" w:rsidRPr="00404C23" w:rsidRDefault="00843DAC" w:rsidP="00404C23"/>
    <w:sectPr w:rsidR="00843DAC" w:rsidRPr="00404C23">
      <w:headerReference w:type="default" r:id="rId25"/>
      <w:footerReference w:type="default" r:id="rId26"/>
      <w:pgSz w:w="12240" w:h="15840"/>
      <w:pgMar w:top="1417" w:right="1701" w:bottom="1417"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2EB69" w14:textId="77777777" w:rsidR="00BD3070" w:rsidRDefault="00BD3070">
      <w:r>
        <w:separator/>
      </w:r>
    </w:p>
  </w:endnote>
  <w:endnote w:type="continuationSeparator" w:id="0">
    <w:p w14:paraId="73B30245" w14:textId="77777777" w:rsidR="00BD3070" w:rsidRDefault="00BD3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4B32A4D-A3B5-486C-A05E-6AEF01B7EB3F}"/>
    <w:embedBold r:id="rId2" w:fontKey="{AD116690-6566-48CC-95FC-42FF5AED8585}"/>
    <w:embedItalic r:id="rId3" w:fontKey="{B9D7993A-D7C0-46F2-8F23-13CEE56869D4}"/>
  </w:font>
  <w:font w:name="Geom">
    <w:charset w:val="00"/>
    <w:family w:val="auto"/>
    <w:pitch w:val="default"/>
    <w:embedRegular r:id="rId4" w:fontKey="{856E12D5-0DDA-427E-B1B8-B9A496F51D2A}"/>
    <w:embedBold r:id="rId5" w:fontKey="{41CC85A8-7D19-4504-991A-6EE76B63C091}"/>
  </w:font>
  <w:font w:name="Georgia">
    <w:panose1 w:val="02040502050405020303"/>
    <w:charset w:val="00"/>
    <w:family w:val="roman"/>
    <w:pitch w:val="variable"/>
    <w:sig w:usb0="00000287" w:usb1="00000000" w:usb2="00000000" w:usb3="00000000" w:csb0="0000009F" w:csb1="00000000"/>
    <w:embedItalic r:id="rId6" w:fontKey="{DBE6C0F2-B139-495D-A853-555687FB740E}"/>
  </w:font>
  <w:font w:name="Verdana">
    <w:panose1 w:val="020B0604030504040204"/>
    <w:charset w:val="00"/>
    <w:family w:val="swiss"/>
    <w:pitch w:val="variable"/>
    <w:sig w:usb0="A00006FF" w:usb1="4000205B" w:usb2="00000010" w:usb3="00000000" w:csb0="0000019F" w:csb1="00000000"/>
    <w:embedRegular r:id="rId7" w:fontKey="{F72EA4E5-F4CD-453D-AA94-1F8096CFE731}"/>
    <w:embedBold r:id="rId8" w:fontKey="{7822805E-E480-4AF3-84C7-3B3C15BFF6B6}"/>
    <w:embedItalic r:id="rId9" w:fontKey="{4FBB99D6-8E7A-404C-B49E-42A5A8D25148}"/>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10" w:fontKey="{71F627D7-E4B4-4211-BB8A-4D624B6C4E11}"/>
  </w:font>
  <w:font w:name="Cambria">
    <w:panose1 w:val="02040503050406030204"/>
    <w:charset w:val="00"/>
    <w:family w:val="roman"/>
    <w:pitch w:val="variable"/>
    <w:sig w:usb0="E00006FF" w:usb1="420024FF" w:usb2="02000000" w:usb3="00000000" w:csb0="0000019F" w:csb1="00000000"/>
    <w:embedRegular r:id="rId11" w:fontKey="{E5FAFB72-E38C-48E4-BEE0-6FF2DF53DC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1E154" w14:textId="77777777" w:rsidR="00843DAC" w:rsidRDefault="00843DAC">
    <w:pPr>
      <w:pBdr>
        <w:top w:val="nil"/>
        <w:left w:val="nil"/>
        <w:bottom w:val="nil"/>
        <w:right w:val="nil"/>
        <w:between w:val="nil"/>
      </w:pBdr>
      <w:tabs>
        <w:tab w:val="center" w:pos="4419"/>
        <w:tab w:val="right" w:pos="8838"/>
      </w:tabs>
      <w:rPr>
        <w:color w:val="000000"/>
      </w:rPr>
    </w:pPr>
  </w:p>
  <w:p w14:paraId="151E5778" w14:textId="77777777" w:rsidR="00843DAC" w:rsidRDefault="00CA0EDB">
    <w:pPr>
      <w:pBdr>
        <w:top w:val="single" w:sz="4" w:space="1" w:color="000000"/>
      </w:pBdr>
      <w:rPr>
        <w:rFonts w:ascii="Verdana" w:eastAsia="Verdana" w:hAnsi="Verdana" w:cs="Verdana"/>
        <w:b/>
        <w:bCs/>
        <w:sz w:val="18"/>
        <w:szCs w:val="18"/>
      </w:rPr>
    </w:pPr>
    <w:r>
      <w:rPr>
        <w:rFonts w:ascii="Verdana" w:eastAsia="Verdana" w:hAnsi="Verdana" w:cs="Verdana"/>
        <w:b/>
        <w:bCs/>
        <w:sz w:val="18"/>
        <w:szCs w:val="18"/>
      </w:rPr>
      <w:t xml:space="preserve">Agencia Nacional de Contratación Pública                                              pág. </w:t>
    </w:r>
    <w:r>
      <w:rPr>
        <w:rFonts w:ascii="Verdana" w:eastAsia="Verdana" w:hAnsi="Verdana" w:cs="Verdana"/>
        <w:b/>
        <w:bCs/>
        <w:sz w:val="16"/>
        <w:szCs w:val="16"/>
      </w:rPr>
      <w:fldChar w:fldCharType="begin"/>
    </w:r>
    <w:r>
      <w:rPr>
        <w:rFonts w:ascii="Verdana" w:eastAsia="Verdana" w:hAnsi="Verdana" w:cs="Verdana"/>
        <w:b/>
        <w:bCs/>
        <w:sz w:val="16"/>
        <w:szCs w:val="16"/>
      </w:rPr>
      <w:instrText>PAGE</w:instrText>
    </w:r>
    <w:r>
      <w:rPr>
        <w:rFonts w:ascii="Verdana" w:eastAsia="Verdana" w:hAnsi="Verdana" w:cs="Verdana"/>
        <w:b/>
        <w:bCs/>
        <w:sz w:val="16"/>
        <w:szCs w:val="16"/>
      </w:rPr>
      <w:fldChar w:fldCharType="separate"/>
    </w:r>
    <w:r w:rsidR="006A7B2B">
      <w:rPr>
        <w:rFonts w:ascii="Verdana" w:eastAsia="Verdana" w:hAnsi="Verdana" w:cs="Verdana"/>
        <w:b/>
        <w:bCs/>
        <w:noProof/>
        <w:sz w:val="16"/>
        <w:szCs w:val="16"/>
      </w:rPr>
      <w:t>1</w:t>
    </w:r>
    <w:r>
      <w:rPr>
        <w:rFonts w:ascii="Verdana" w:eastAsia="Verdana" w:hAnsi="Verdana" w:cs="Verdana"/>
        <w:b/>
        <w:bCs/>
        <w:sz w:val="16"/>
        <w:szCs w:val="16"/>
      </w:rPr>
      <w:fldChar w:fldCharType="end"/>
    </w:r>
    <w:r>
      <w:rPr>
        <w:rFonts w:ascii="Verdana" w:eastAsia="Verdana" w:hAnsi="Verdana" w:cs="Verdana"/>
        <w:b/>
        <w:bCs/>
        <w:sz w:val="18"/>
        <w:szCs w:val="18"/>
      </w:rPr>
      <w:t xml:space="preserve">              Colombia Compra Eficiente                                                            </w:t>
    </w:r>
  </w:p>
  <w:p w14:paraId="480E4520" w14:textId="77777777" w:rsidR="00843DAC" w:rsidRDefault="00CA0EDB">
    <w:pPr>
      <w:jc w:val="both"/>
      <w:rPr>
        <w:rFonts w:ascii="Verdana" w:eastAsia="Verdana" w:hAnsi="Verdana" w:cs="Verdana"/>
        <w:sz w:val="18"/>
        <w:szCs w:val="18"/>
      </w:rPr>
    </w:pPr>
    <w:r>
      <w:rPr>
        <w:rFonts w:ascii="Verdana" w:eastAsia="Verdana" w:hAnsi="Verdana" w:cs="Verdana"/>
        <w:sz w:val="18"/>
        <w:szCs w:val="18"/>
      </w:rPr>
      <w:t>Dirección: Carrera 7 # 26 – 20 - Bogotá, Colombia</w:t>
    </w:r>
  </w:p>
  <w:p w14:paraId="667EAEBF" w14:textId="77777777" w:rsidR="00843DAC" w:rsidRDefault="00CA0EDB">
    <w:pPr>
      <w:jc w:val="both"/>
      <w:rPr>
        <w:rFonts w:ascii="Verdana" w:eastAsia="Verdana" w:hAnsi="Verdana" w:cs="Verdana"/>
        <w:sz w:val="18"/>
        <w:szCs w:val="18"/>
      </w:rPr>
    </w:pPr>
    <w:r>
      <w:rPr>
        <w:rFonts w:ascii="Verdana" w:eastAsia="Verdana" w:hAnsi="Verdana" w:cs="Verdana"/>
        <w:sz w:val="18"/>
        <w:szCs w:val="18"/>
      </w:rPr>
      <w:t>Mesa de servicio: (+57) 601 7456788</w:t>
    </w:r>
  </w:p>
  <w:p w14:paraId="2502B23A" w14:textId="77777777" w:rsidR="00843DAC" w:rsidRDefault="00CA0EDB">
    <w:pPr>
      <w:pBdr>
        <w:top w:val="nil"/>
        <w:left w:val="nil"/>
        <w:bottom w:val="nil"/>
        <w:right w:val="nil"/>
        <w:between w:val="nil"/>
      </w:pBdr>
      <w:tabs>
        <w:tab w:val="center" w:pos="4419"/>
        <w:tab w:val="right" w:pos="8838"/>
        <w:tab w:val="center" w:pos="5400"/>
      </w:tabs>
      <w:jc w:val="right"/>
      <w:rPr>
        <w:rFonts w:ascii="Verdana" w:eastAsia="Verdana" w:hAnsi="Verdana" w:cs="Verdana"/>
        <w:sz w:val="18"/>
        <w:szCs w:val="18"/>
      </w:rPr>
    </w:pPr>
    <w:r>
      <w:rPr>
        <w:rFonts w:ascii="Verdana" w:eastAsia="Verdana" w:hAnsi="Verdana" w:cs="Verdana"/>
        <w:b/>
        <w:bCs/>
        <w:color w:val="000000"/>
        <w:sz w:val="18"/>
        <w:szCs w:val="18"/>
      </w:rPr>
      <w:t xml:space="preserve">Código: </w:t>
    </w:r>
    <w:r>
      <w:rPr>
        <w:rFonts w:ascii="Verdana" w:eastAsia="Verdana" w:hAnsi="Verdana" w:cs="Verdana"/>
        <w:color w:val="000000"/>
        <w:sz w:val="18"/>
        <w:szCs w:val="18"/>
      </w:rPr>
      <w:t xml:space="preserve">CCE-REC-FM-17 </w:t>
    </w:r>
    <w:r>
      <w:rPr>
        <w:rFonts w:ascii="Verdana" w:eastAsia="Verdana" w:hAnsi="Verdana" w:cs="Verdana"/>
        <w:b/>
        <w:bCs/>
        <w:color w:val="000000"/>
        <w:sz w:val="18"/>
        <w:szCs w:val="18"/>
      </w:rPr>
      <w:t xml:space="preserve">V: </w:t>
    </w:r>
    <w:r>
      <w:rPr>
        <w:rFonts w:ascii="Verdana" w:eastAsia="Verdana" w:hAnsi="Verdana" w:cs="Verdana"/>
        <w:sz w:val="18"/>
        <w:szCs w:val="18"/>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A461B" w14:textId="77777777" w:rsidR="00BD3070" w:rsidRDefault="00BD3070">
      <w:r>
        <w:separator/>
      </w:r>
    </w:p>
  </w:footnote>
  <w:footnote w:type="continuationSeparator" w:id="0">
    <w:p w14:paraId="3408F303" w14:textId="77777777" w:rsidR="00BD3070" w:rsidRDefault="00BD3070">
      <w:r>
        <w:continuationSeparator/>
      </w:r>
    </w:p>
  </w:footnote>
  <w:footnote w:id="1">
    <w:p w14:paraId="20F5D9F7" w14:textId="77777777" w:rsidR="00404C23" w:rsidRPr="00D844A0" w:rsidRDefault="00404C23" w:rsidP="00404C23">
      <w:pPr>
        <w:pBdr>
          <w:top w:val="nil"/>
          <w:left w:val="nil"/>
          <w:bottom w:val="nil"/>
          <w:right w:val="nil"/>
          <w:between w:val="nil"/>
        </w:pBdr>
        <w:ind w:firstLine="708"/>
        <w:jc w:val="both"/>
        <w:rPr>
          <w:rFonts w:ascii="Verdana" w:eastAsia="Verdana" w:hAnsi="Verdana" w:cs="Verdana"/>
          <w:color w:val="000000"/>
          <w:sz w:val="16"/>
          <w:szCs w:val="16"/>
        </w:rPr>
      </w:pPr>
      <w:r w:rsidRPr="00D844A0">
        <w:rPr>
          <w:rFonts w:ascii="Verdana" w:hAnsi="Verdana"/>
          <w:sz w:val="16"/>
          <w:szCs w:val="16"/>
          <w:vertAlign w:val="superscript"/>
        </w:rPr>
        <w:footnoteRef/>
      </w:r>
      <w:r w:rsidRPr="00D844A0">
        <w:rPr>
          <w:rFonts w:ascii="Verdana" w:eastAsia="Verdana" w:hAnsi="Verdana" w:cs="Verdana"/>
          <w:color w:val="000000"/>
          <w:sz w:val="16"/>
          <w:szCs w:val="16"/>
        </w:rPr>
        <w:t xml:space="preserve"> Corte Constitucional. Sentencia C-181 de 1997. M.P. Fabio Morón Díaz. Ver también las Sentencias C-540 de 2001, C-893 de 2003 y C-903 de 2008, entre otras.</w:t>
      </w:r>
    </w:p>
  </w:footnote>
  <w:footnote w:id="2">
    <w:p w14:paraId="12B7A7EF" w14:textId="77777777" w:rsidR="00404C23" w:rsidRPr="00D844A0" w:rsidRDefault="00404C23" w:rsidP="00404C23">
      <w:pPr>
        <w:pBdr>
          <w:top w:val="nil"/>
          <w:left w:val="nil"/>
          <w:bottom w:val="nil"/>
          <w:right w:val="nil"/>
          <w:between w:val="nil"/>
        </w:pBdr>
        <w:ind w:firstLine="708"/>
        <w:jc w:val="both"/>
        <w:rPr>
          <w:rFonts w:ascii="Verdana" w:eastAsia="Verdana" w:hAnsi="Verdana" w:cs="Verdana"/>
          <w:color w:val="000000"/>
          <w:sz w:val="16"/>
          <w:szCs w:val="16"/>
        </w:rPr>
      </w:pPr>
      <w:r w:rsidRPr="00D844A0">
        <w:rPr>
          <w:rFonts w:ascii="Verdana" w:hAnsi="Verdana"/>
          <w:sz w:val="16"/>
          <w:szCs w:val="16"/>
          <w:vertAlign w:val="superscript"/>
        </w:rPr>
        <w:footnoteRef/>
      </w:r>
      <w:r w:rsidRPr="00D844A0">
        <w:rPr>
          <w:rFonts w:ascii="Verdana" w:eastAsia="Verdana" w:hAnsi="Verdana" w:cs="Verdana"/>
          <w:color w:val="000000"/>
          <w:sz w:val="16"/>
          <w:szCs w:val="16"/>
        </w:rPr>
        <w:t xml:space="preserve"> Corte Constitucional. Sentencia C-1016 de 2012. M.P. Jorge Iván Palacio.</w:t>
      </w:r>
    </w:p>
  </w:footnote>
  <w:footnote w:id="3">
    <w:p w14:paraId="2AB22F14" w14:textId="77777777" w:rsidR="00404C23" w:rsidRPr="00D844A0" w:rsidRDefault="00404C23" w:rsidP="00404C23">
      <w:pPr>
        <w:pBdr>
          <w:top w:val="nil"/>
          <w:left w:val="nil"/>
          <w:bottom w:val="nil"/>
          <w:right w:val="nil"/>
          <w:between w:val="nil"/>
        </w:pBdr>
        <w:ind w:firstLine="708"/>
        <w:jc w:val="both"/>
        <w:rPr>
          <w:rFonts w:ascii="Verdana" w:eastAsia="Verdana" w:hAnsi="Verdana" w:cs="Verdana"/>
          <w:color w:val="000000"/>
          <w:sz w:val="16"/>
          <w:szCs w:val="16"/>
        </w:rPr>
      </w:pPr>
      <w:r w:rsidRPr="00D844A0">
        <w:rPr>
          <w:rFonts w:ascii="Verdana" w:hAnsi="Verdana"/>
          <w:sz w:val="16"/>
          <w:szCs w:val="16"/>
          <w:vertAlign w:val="superscript"/>
        </w:rPr>
        <w:footnoteRef/>
      </w:r>
      <w:r w:rsidRPr="00D844A0">
        <w:rPr>
          <w:rFonts w:ascii="Verdana" w:eastAsia="Verdana" w:hAnsi="Verdana" w:cs="Verdana"/>
          <w:color w:val="000000"/>
          <w:sz w:val="16"/>
          <w:szCs w:val="16"/>
        </w:rPr>
        <w:t xml:space="preserve"> Consejo </w:t>
      </w:r>
      <w:r>
        <w:rPr>
          <w:rFonts w:ascii="Verdana" w:eastAsia="Verdana" w:hAnsi="Verdana" w:cs="Verdana"/>
          <w:color w:val="000000"/>
          <w:sz w:val="16"/>
          <w:szCs w:val="16"/>
        </w:rPr>
        <w:t>d</w:t>
      </w:r>
      <w:r w:rsidRPr="00D844A0">
        <w:rPr>
          <w:rFonts w:ascii="Verdana" w:eastAsia="Verdana" w:hAnsi="Verdana" w:cs="Verdana"/>
          <w:color w:val="000000"/>
          <w:sz w:val="16"/>
          <w:szCs w:val="16"/>
        </w:rPr>
        <w:t xml:space="preserve">e Estado. Sección Tercera. Subsección A. Sentencia del 13 de noviembre de 2013. Rad. 25.646. C.P. Mauricio Fajardo Gómez. </w:t>
      </w:r>
    </w:p>
  </w:footnote>
  <w:footnote w:id="4">
    <w:p w14:paraId="10C4CF09" w14:textId="77777777" w:rsidR="00404C23" w:rsidRPr="00D844A0" w:rsidRDefault="00404C23" w:rsidP="00404C23">
      <w:pPr>
        <w:pBdr>
          <w:top w:val="nil"/>
          <w:left w:val="nil"/>
          <w:bottom w:val="nil"/>
          <w:right w:val="nil"/>
          <w:between w:val="nil"/>
        </w:pBdr>
        <w:ind w:firstLine="708"/>
        <w:jc w:val="both"/>
        <w:rPr>
          <w:rFonts w:ascii="Verdana" w:eastAsia="Verdana" w:hAnsi="Verdana" w:cs="Verdana"/>
          <w:color w:val="000000"/>
          <w:sz w:val="16"/>
          <w:szCs w:val="16"/>
        </w:rPr>
      </w:pPr>
      <w:r w:rsidRPr="00D844A0">
        <w:rPr>
          <w:rFonts w:ascii="Verdana" w:hAnsi="Verdana"/>
          <w:sz w:val="16"/>
          <w:szCs w:val="16"/>
          <w:vertAlign w:val="superscript"/>
        </w:rPr>
        <w:footnoteRef/>
      </w:r>
      <w:r w:rsidRPr="00D844A0">
        <w:rPr>
          <w:rFonts w:ascii="Verdana" w:eastAsia="Verdana" w:hAnsi="Verdana" w:cs="Verdana"/>
          <w:color w:val="000000"/>
          <w:sz w:val="16"/>
          <w:szCs w:val="16"/>
        </w:rPr>
        <w:t xml:space="preserve"> Corte Constitucional. Sentencia C-415 de 1994. M.P. Eduardo Cifuentes Muñoz.</w:t>
      </w:r>
    </w:p>
  </w:footnote>
  <w:footnote w:id="5">
    <w:p w14:paraId="69474BA8" w14:textId="77777777" w:rsidR="00404C23" w:rsidRPr="00D844A0" w:rsidRDefault="00404C23" w:rsidP="00404C23">
      <w:pPr>
        <w:pBdr>
          <w:top w:val="nil"/>
          <w:left w:val="nil"/>
          <w:bottom w:val="nil"/>
          <w:right w:val="nil"/>
          <w:between w:val="nil"/>
        </w:pBdr>
        <w:ind w:firstLine="708"/>
        <w:jc w:val="both"/>
        <w:rPr>
          <w:rFonts w:ascii="Verdana" w:eastAsia="Verdana" w:hAnsi="Verdana" w:cs="Verdana"/>
          <w:color w:val="000000"/>
          <w:sz w:val="16"/>
          <w:szCs w:val="16"/>
        </w:rPr>
      </w:pPr>
      <w:r w:rsidRPr="00D844A0">
        <w:rPr>
          <w:rFonts w:ascii="Verdana" w:hAnsi="Verdana"/>
          <w:sz w:val="16"/>
          <w:szCs w:val="16"/>
          <w:vertAlign w:val="superscript"/>
        </w:rPr>
        <w:footnoteRef/>
      </w:r>
      <w:r w:rsidRPr="00D844A0">
        <w:rPr>
          <w:rFonts w:ascii="Verdana" w:eastAsia="Verdana" w:hAnsi="Verdana" w:cs="Verdana"/>
          <w:color w:val="000000"/>
          <w:sz w:val="16"/>
          <w:szCs w:val="16"/>
        </w:rPr>
        <w:t xml:space="preserve"> </w:t>
      </w:r>
      <w:r w:rsidRPr="00D844A0">
        <w:rPr>
          <w:rFonts w:ascii="Verdana" w:eastAsia="Verdana" w:hAnsi="Verdana" w:cs="Verdana"/>
          <w:color w:val="000000"/>
          <w:sz w:val="16"/>
          <w:szCs w:val="16"/>
        </w:rPr>
        <w:t>Ibídem.</w:t>
      </w:r>
    </w:p>
  </w:footnote>
  <w:footnote w:id="6">
    <w:p w14:paraId="6F2E5F7E" w14:textId="77777777" w:rsidR="00404C23" w:rsidRPr="00D844A0" w:rsidRDefault="00404C23" w:rsidP="00404C23">
      <w:pPr>
        <w:pBdr>
          <w:top w:val="nil"/>
          <w:left w:val="nil"/>
          <w:bottom w:val="nil"/>
          <w:right w:val="nil"/>
          <w:between w:val="nil"/>
        </w:pBdr>
        <w:ind w:firstLine="708"/>
        <w:jc w:val="both"/>
        <w:rPr>
          <w:rFonts w:ascii="Verdana" w:eastAsia="Verdana" w:hAnsi="Verdana" w:cs="Verdana"/>
          <w:color w:val="000000"/>
          <w:sz w:val="16"/>
          <w:szCs w:val="16"/>
        </w:rPr>
      </w:pPr>
      <w:r w:rsidRPr="00D844A0">
        <w:rPr>
          <w:rFonts w:ascii="Verdana" w:hAnsi="Verdana"/>
          <w:sz w:val="16"/>
          <w:szCs w:val="16"/>
          <w:vertAlign w:val="superscript"/>
        </w:rPr>
        <w:footnoteRef/>
      </w:r>
      <w:r w:rsidRPr="00D844A0">
        <w:rPr>
          <w:rFonts w:ascii="Verdana" w:eastAsia="Verdana" w:hAnsi="Verdana" w:cs="Verdana"/>
          <w:color w:val="000000"/>
          <w:sz w:val="16"/>
          <w:szCs w:val="16"/>
        </w:rPr>
        <w:t xml:space="preserve"> Corte Constitucional. Sentencia C-780 de 2001. M.P. Jaime Córdoba Triviño.</w:t>
      </w:r>
    </w:p>
  </w:footnote>
  <w:footnote w:id="7">
    <w:p w14:paraId="61126174" w14:textId="77777777" w:rsidR="00404C23" w:rsidRPr="00D844A0" w:rsidRDefault="00404C23" w:rsidP="00404C23">
      <w:pPr>
        <w:pBdr>
          <w:top w:val="nil"/>
          <w:left w:val="nil"/>
          <w:bottom w:val="nil"/>
          <w:right w:val="nil"/>
          <w:between w:val="nil"/>
        </w:pBdr>
        <w:ind w:firstLine="708"/>
        <w:jc w:val="both"/>
        <w:rPr>
          <w:rFonts w:ascii="Verdana" w:eastAsia="Verdana" w:hAnsi="Verdana" w:cs="Verdana"/>
          <w:color w:val="000000"/>
          <w:sz w:val="16"/>
          <w:szCs w:val="16"/>
        </w:rPr>
      </w:pPr>
      <w:r w:rsidRPr="00D844A0">
        <w:rPr>
          <w:rFonts w:ascii="Verdana" w:hAnsi="Verdana"/>
          <w:sz w:val="16"/>
          <w:szCs w:val="16"/>
          <w:vertAlign w:val="superscript"/>
        </w:rPr>
        <w:footnoteRef/>
      </w:r>
      <w:r w:rsidRPr="00D844A0">
        <w:rPr>
          <w:rFonts w:ascii="Verdana" w:eastAsia="Verdana" w:hAnsi="Verdana" w:cs="Verdana"/>
          <w:color w:val="000000"/>
          <w:sz w:val="16"/>
          <w:szCs w:val="16"/>
        </w:rPr>
        <w:t xml:space="preserve"> Ley 80 de 1993: “Artículo 8: 1o. Son inhábiles para participar en licitaciones o concursos y para celebrar contratos con las entidades estatales: </w:t>
      </w:r>
    </w:p>
    <w:p w14:paraId="19318293" w14:textId="77777777" w:rsidR="00404C23" w:rsidRPr="00D844A0" w:rsidRDefault="00404C23" w:rsidP="00404C23">
      <w:pPr>
        <w:pBdr>
          <w:top w:val="nil"/>
          <w:left w:val="nil"/>
          <w:bottom w:val="nil"/>
          <w:right w:val="nil"/>
          <w:between w:val="nil"/>
        </w:pBdr>
        <w:jc w:val="both"/>
        <w:rPr>
          <w:rFonts w:ascii="Verdana" w:eastAsia="Verdana" w:hAnsi="Verdana" w:cs="Verdana"/>
          <w:color w:val="000000"/>
          <w:sz w:val="16"/>
          <w:szCs w:val="16"/>
        </w:rPr>
      </w:pPr>
      <w:r w:rsidRPr="00D844A0">
        <w:rPr>
          <w:rFonts w:ascii="Verdana" w:eastAsia="Verdana" w:hAnsi="Verdana" w:cs="Verdana"/>
          <w:color w:val="000000"/>
          <w:sz w:val="16"/>
          <w:szCs w:val="16"/>
        </w:rPr>
        <w:t>  </w:t>
      </w:r>
      <w:r w:rsidRPr="00D844A0">
        <w:rPr>
          <w:rFonts w:ascii="Verdana" w:eastAsia="Verdana" w:hAnsi="Verdana" w:cs="Verdana"/>
          <w:color w:val="000000"/>
          <w:sz w:val="16"/>
          <w:szCs w:val="16"/>
        </w:rPr>
        <w:tab/>
        <w:t>a) Las personas que se hallen inhabilitadas para contratar por la Constitución y las leyes. </w:t>
      </w:r>
    </w:p>
    <w:p w14:paraId="1B6AF64E" w14:textId="77777777" w:rsidR="00404C23" w:rsidRPr="00D844A0" w:rsidRDefault="00404C23" w:rsidP="00404C23">
      <w:pPr>
        <w:pBdr>
          <w:top w:val="nil"/>
          <w:left w:val="nil"/>
          <w:bottom w:val="nil"/>
          <w:right w:val="nil"/>
          <w:between w:val="nil"/>
        </w:pBdr>
        <w:jc w:val="both"/>
        <w:rPr>
          <w:rFonts w:ascii="Verdana" w:eastAsia="Verdana" w:hAnsi="Verdana" w:cs="Verdana"/>
          <w:color w:val="000000"/>
          <w:sz w:val="16"/>
          <w:szCs w:val="16"/>
        </w:rPr>
      </w:pPr>
      <w:r w:rsidRPr="00D844A0">
        <w:rPr>
          <w:rFonts w:ascii="Verdana" w:eastAsia="Verdana" w:hAnsi="Verdana" w:cs="Verdana"/>
          <w:color w:val="000000"/>
          <w:sz w:val="16"/>
          <w:szCs w:val="16"/>
        </w:rPr>
        <w:t>  </w:t>
      </w:r>
      <w:r w:rsidRPr="00D844A0">
        <w:rPr>
          <w:rFonts w:ascii="Verdana" w:eastAsia="Verdana" w:hAnsi="Verdana" w:cs="Verdana"/>
          <w:color w:val="000000"/>
          <w:sz w:val="16"/>
          <w:szCs w:val="16"/>
        </w:rPr>
        <w:tab/>
        <w:t>b) Quienes participaron en las licitaciones o concursos o celebraron los contratos de que trata el literal anterior estando inhabilitados. </w:t>
      </w:r>
    </w:p>
    <w:p w14:paraId="7177CAF3" w14:textId="77777777" w:rsidR="00404C23" w:rsidRPr="00D844A0" w:rsidRDefault="00404C23" w:rsidP="00404C23">
      <w:pPr>
        <w:pBdr>
          <w:top w:val="nil"/>
          <w:left w:val="nil"/>
          <w:bottom w:val="nil"/>
          <w:right w:val="nil"/>
          <w:between w:val="nil"/>
        </w:pBdr>
        <w:jc w:val="both"/>
        <w:rPr>
          <w:rFonts w:ascii="Verdana" w:eastAsia="Verdana" w:hAnsi="Verdana" w:cs="Verdana"/>
          <w:color w:val="000000"/>
          <w:sz w:val="16"/>
          <w:szCs w:val="16"/>
        </w:rPr>
      </w:pPr>
      <w:r w:rsidRPr="00D844A0">
        <w:rPr>
          <w:rFonts w:ascii="Verdana" w:eastAsia="Verdana" w:hAnsi="Verdana" w:cs="Verdana"/>
          <w:color w:val="000000"/>
          <w:sz w:val="16"/>
          <w:szCs w:val="16"/>
        </w:rPr>
        <w:t>  </w:t>
      </w:r>
      <w:r w:rsidRPr="00D844A0">
        <w:rPr>
          <w:rFonts w:ascii="Verdana" w:eastAsia="Verdana" w:hAnsi="Verdana" w:cs="Verdana"/>
          <w:color w:val="000000"/>
          <w:sz w:val="16"/>
          <w:szCs w:val="16"/>
        </w:rPr>
        <w:tab/>
        <w:t>c) Quienes dieron lugar a la declaratoria de caducidad. </w:t>
      </w:r>
    </w:p>
    <w:p w14:paraId="1BB1CA76" w14:textId="77777777" w:rsidR="00404C23" w:rsidRPr="00D844A0" w:rsidRDefault="00404C23" w:rsidP="00404C23">
      <w:pPr>
        <w:pBdr>
          <w:top w:val="nil"/>
          <w:left w:val="nil"/>
          <w:bottom w:val="nil"/>
          <w:right w:val="nil"/>
          <w:between w:val="nil"/>
        </w:pBdr>
        <w:jc w:val="both"/>
        <w:rPr>
          <w:rFonts w:ascii="Verdana" w:eastAsia="Verdana" w:hAnsi="Verdana" w:cs="Verdana"/>
          <w:color w:val="000000"/>
          <w:sz w:val="16"/>
          <w:szCs w:val="16"/>
        </w:rPr>
      </w:pPr>
      <w:r w:rsidRPr="00D844A0">
        <w:rPr>
          <w:rFonts w:ascii="Verdana" w:eastAsia="Verdana" w:hAnsi="Verdana" w:cs="Verdana"/>
          <w:color w:val="000000"/>
          <w:sz w:val="16"/>
          <w:szCs w:val="16"/>
        </w:rPr>
        <w:t>  </w:t>
      </w:r>
      <w:r w:rsidRPr="00D844A0">
        <w:rPr>
          <w:rFonts w:ascii="Verdana" w:eastAsia="Verdana" w:hAnsi="Verdana" w:cs="Verdana"/>
          <w:color w:val="000000"/>
          <w:sz w:val="16"/>
          <w:szCs w:val="16"/>
        </w:rPr>
        <w:tab/>
        <w:t>d) Quienes en sentencia judicial hayan sido condenados a la pena accesoria de interdicción de derechos y funciones públicas y quienes hayan sido sancionados disciplinariamente con destitución. </w:t>
      </w:r>
    </w:p>
    <w:p w14:paraId="0EB0BFDA" w14:textId="77777777" w:rsidR="00404C23" w:rsidRPr="00D844A0" w:rsidRDefault="00404C23" w:rsidP="00404C23">
      <w:pPr>
        <w:pBdr>
          <w:top w:val="nil"/>
          <w:left w:val="nil"/>
          <w:bottom w:val="nil"/>
          <w:right w:val="nil"/>
          <w:between w:val="nil"/>
        </w:pBdr>
        <w:jc w:val="both"/>
        <w:rPr>
          <w:rFonts w:ascii="Verdana" w:eastAsia="Verdana" w:hAnsi="Verdana" w:cs="Verdana"/>
          <w:color w:val="000000"/>
          <w:sz w:val="16"/>
          <w:szCs w:val="16"/>
        </w:rPr>
      </w:pPr>
      <w:r w:rsidRPr="00D844A0">
        <w:rPr>
          <w:rFonts w:ascii="Verdana" w:eastAsia="Verdana" w:hAnsi="Verdana" w:cs="Verdana"/>
          <w:color w:val="000000"/>
          <w:sz w:val="16"/>
          <w:szCs w:val="16"/>
        </w:rPr>
        <w:t>  </w:t>
      </w:r>
      <w:r w:rsidRPr="00D844A0">
        <w:rPr>
          <w:rFonts w:ascii="Verdana" w:eastAsia="Verdana" w:hAnsi="Verdana" w:cs="Verdana"/>
          <w:color w:val="000000"/>
          <w:sz w:val="16"/>
          <w:szCs w:val="16"/>
        </w:rPr>
        <w:tab/>
        <w:t>e) Quienes sin justa causa se abstengan de suscribir el contrato estatal adjudicado. </w:t>
      </w:r>
    </w:p>
    <w:p w14:paraId="2DBCBD67" w14:textId="77777777" w:rsidR="00404C23" w:rsidRPr="00D844A0" w:rsidRDefault="00404C23" w:rsidP="00404C23">
      <w:pPr>
        <w:pBdr>
          <w:top w:val="nil"/>
          <w:left w:val="nil"/>
          <w:bottom w:val="nil"/>
          <w:right w:val="nil"/>
          <w:between w:val="nil"/>
        </w:pBdr>
        <w:jc w:val="both"/>
        <w:rPr>
          <w:rFonts w:ascii="Verdana" w:eastAsia="Verdana" w:hAnsi="Verdana" w:cs="Verdana"/>
          <w:color w:val="000000"/>
          <w:sz w:val="16"/>
          <w:szCs w:val="16"/>
        </w:rPr>
      </w:pPr>
      <w:r w:rsidRPr="00D844A0">
        <w:rPr>
          <w:rFonts w:ascii="Verdana" w:eastAsia="Verdana" w:hAnsi="Verdana" w:cs="Verdana"/>
          <w:color w:val="000000"/>
          <w:sz w:val="16"/>
          <w:szCs w:val="16"/>
        </w:rPr>
        <w:t>  </w:t>
      </w:r>
      <w:r w:rsidRPr="00D844A0">
        <w:rPr>
          <w:rFonts w:ascii="Verdana" w:eastAsia="Verdana" w:hAnsi="Verdana" w:cs="Verdana"/>
          <w:color w:val="000000"/>
          <w:sz w:val="16"/>
          <w:szCs w:val="16"/>
        </w:rPr>
        <w:tab/>
        <w:t>f) Los servidores públicos. </w:t>
      </w:r>
    </w:p>
    <w:p w14:paraId="3CBADC87" w14:textId="77777777" w:rsidR="00404C23" w:rsidRPr="00D844A0" w:rsidRDefault="00404C23" w:rsidP="00404C23">
      <w:pPr>
        <w:pBdr>
          <w:top w:val="nil"/>
          <w:left w:val="nil"/>
          <w:bottom w:val="nil"/>
          <w:right w:val="nil"/>
          <w:between w:val="nil"/>
        </w:pBdr>
        <w:jc w:val="both"/>
        <w:rPr>
          <w:rFonts w:ascii="Verdana" w:eastAsia="Verdana" w:hAnsi="Verdana" w:cs="Verdana"/>
          <w:color w:val="000000"/>
          <w:sz w:val="16"/>
          <w:szCs w:val="16"/>
        </w:rPr>
      </w:pPr>
      <w:r w:rsidRPr="00D844A0">
        <w:rPr>
          <w:rFonts w:ascii="Verdana" w:eastAsia="Verdana" w:hAnsi="Verdana" w:cs="Verdana"/>
          <w:color w:val="000000"/>
          <w:sz w:val="16"/>
          <w:szCs w:val="16"/>
        </w:rPr>
        <w:t>  </w:t>
      </w:r>
      <w:r w:rsidRPr="00D844A0">
        <w:rPr>
          <w:rFonts w:ascii="Verdana" w:eastAsia="Verdana" w:hAnsi="Verdana" w:cs="Verdana"/>
          <w:color w:val="000000"/>
          <w:sz w:val="16"/>
          <w:szCs w:val="16"/>
        </w:rPr>
        <w:tab/>
        <w:t>g) Quienes sean cónyuges o compañeros permanentes y quienes se encuentren dentro del segundo grado de consanguinidad o segundo de afinidad con cualquier otra persona que formalmente haya presentado propuesta para una misma licitación o concurso. </w:t>
      </w:r>
    </w:p>
    <w:p w14:paraId="67AB0527" w14:textId="77777777" w:rsidR="00404C23" w:rsidRPr="00D844A0" w:rsidRDefault="00404C23" w:rsidP="00404C23">
      <w:pPr>
        <w:pBdr>
          <w:top w:val="nil"/>
          <w:left w:val="nil"/>
          <w:bottom w:val="nil"/>
          <w:right w:val="nil"/>
          <w:between w:val="nil"/>
        </w:pBdr>
        <w:ind w:firstLine="708"/>
        <w:jc w:val="both"/>
        <w:rPr>
          <w:rFonts w:ascii="Verdana" w:eastAsia="Verdana" w:hAnsi="Verdana" w:cs="Verdana"/>
          <w:color w:val="000000"/>
          <w:sz w:val="16"/>
          <w:szCs w:val="16"/>
        </w:rPr>
      </w:pPr>
      <w:r w:rsidRPr="00D844A0">
        <w:rPr>
          <w:rFonts w:ascii="Verdana" w:eastAsia="Verdana" w:hAnsi="Verdana" w:cs="Verdana"/>
          <w:color w:val="000000"/>
          <w:sz w:val="16"/>
          <w:szCs w:val="16"/>
        </w:rPr>
        <w:t>h)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 o concurso. </w:t>
      </w:r>
    </w:p>
    <w:p w14:paraId="26F18867" w14:textId="77777777" w:rsidR="00404C23" w:rsidRPr="00D844A0" w:rsidRDefault="00404C23" w:rsidP="00404C23">
      <w:pPr>
        <w:pBdr>
          <w:top w:val="nil"/>
          <w:left w:val="nil"/>
          <w:bottom w:val="nil"/>
          <w:right w:val="nil"/>
          <w:between w:val="nil"/>
        </w:pBdr>
        <w:jc w:val="both"/>
        <w:rPr>
          <w:rFonts w:ascii="Verdana" w:eastAsia="Verdana" w:hAnsi="Verdana" w:cs="Verdana"/>
          <w:color w:val="000000"/>
          <w:sz w:val="16"/>
          <w:szCs w:val="16"/>
        </w:rPr>
      </w:pPr>
      <w:r w:rsidRPr="00D844A0">
        <w:rPr>
          <w:rFonts w:ascii="Verdana" w:eastAsia="Verdana" w:hAnsi="Verdana" w:cs="Verdana"/>
          <w:color w:val="000000"/>
          <w:sz w:val="16"/>
          <w:szCs w:val="16"/>
        </w:rPr>
        <w:t>  </w:t>
      </w:r>
      <w:r w:rsidRPr="00D844A0">
        <w:rPr>
          <w:rFonts w:ascii="Verdana" w:eastAsia="Verdana" w:hAnsi="Verdana" w:cs="Verdana"/>
          <w:color w:val="000000"/>
          <w:sz w:val="16"/>
          <w:szCs w:val="16"/>
        </w:rPr>
        <w:tab/>
        <w:t>i) Los socios de sociedades de personas a las cuales se haya declarado la caducidad, así como las sociedades de personas de las que aquellos formen parte con posterioridad a dicha declaratoria. </w:t>
      </w:r>
    </w:p>
    <w:p w14:paraId="1B0AAC17" w14:textId="77777777" w:rsidR="00404C23" w:rsidRPr="00D844A0" w:rsidRDefault="00404C23" w:rsidP="00404C23">
      <w:pPr>
        <w:pBdr>
          <w:top w:val="nil"/>
          <w:left w:val="nil"/>
          <w:bottom w:val="nil"/>
          <w:right w:val="nil"/>
          <w:between w:val="nil"/>
        </w:pBdr>
        <w:jc w:val="both"/>
        <w:rPr>
          <w:rFonts w:ascii="Verdana" w:eastAsia="Verdana" w:hAnsi="Verdana" w:cs="Verdana"/>
          <w:color w:val="000000"/>
          <w:sz w:val="16"/>
          <w:szCs w:val="16"/>
        </w:rPr>
      </w:pPr>
      <w:r w:rsidRPr="00D844A0">
        <w:rPr>
          <w:rFonts w:ascii="Verdana" w:eastAsia="Verdana" w:hAnsi="Verdana" w:cs="Verdana"/>
          <w:color w:val="000000"/>
          <w:sz w:val="16"/>
          <w:szCs w:val="16"/>
        </w:rPr>
        <w:t>  </w:t>
      </w:r>
      <w:r w:rsidRPr="00D844A0">
        <w:rPr>
          <w:rFonts w:ascii="Verdana" w:eastAsia="Verdana" w:hAnsi="Verdana" w:cs="Verdana"/>
          <w:color w:val="000000"/>
          <w:sz w:val="16"/>
          <w:szCs w:val="16"/>
        </w:rPr>
        <w:tab/>
        <w:t>Las inhabilidades a que se refieren los literales c), d) e i) se extenderán por un término de cinco (5) años contado a partir de la fecha de ejecutoria del acto que declaró la caducidad, o de la sentencia que impuso la pena, o del acto que dispuso la destitución; las previstas en los literales b) y e), se extenderán por un término de cinco (5) años contado a partir de la fecha de ocurrencia del hecho de la participación en la licitación o concurso, o de la de celebración del contrato, o de la de expiración del plazo para su firma. </w:t>
      </w:r>
    </w:p>
    <w:p w14:paraId="0378AB93" w14:textId="77777777" w:rsidR="00404C23" w:rsidRPr="00D844A0" w:rsidRDefault="00404C23" w:rsidP="00404C23">
      <w:pPr>
        <w:pBdr>
          <w:top w:val="nil"/>
          <w:left w:val="nil"/>
          <w:bottom w:val="nil"/>
          <w:right w:val="nil"/>
          <w:between w:val="nil"/>
        </w:pBdr>
        <w:jc w:val="both"/>
        <w:rPr>
          <w:rFonts w:ascii="Verdana" w:eastAsia="Verdana" w:hAnsi="Verdana" w:cs="Verdana"/>
          <w:color w:val="000000"/>
          <w:sz w:val="16"/>
          <w:szCs w:val="16"/>
        </w:rPr>
      </w:pPr>
      <w:r w:rsidRPr="00D844A0">
        <w:rPr>
          <w:rFonts w:ascii="Verdana" w:eastAsia="Verdana" w:hAnsi="Verdana" w:cs="Verdana"/>
          <w:color w:val="000000"/>
          <w:sz w:val="16"/>
          <w:szCs w:val="16"/>
        </w:rPr>
        <w:t>  </w:t>
      </w:r>
      <w:r w:rsidRPr="00D844A0">
        <w:rPr>
          <w:rFonts w:ascii="Verdana" w:eastAsia="Verdana" w:hAnsi="Verdana" w:cs="Verdana"/>
          <w:color w:val="000000"/>
          <w:sz w:val="16"/>
          <w:szCs w:val="16"/>
        </w:rPr>
        <w:tab/>
        <w:t>j) Las personas naturales que hayan sido declaradas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  </w:t>
      </w:r>
    </w:p>
    <w:p w14:paraId="475AE93D" w14:textId="77777777" w:rsidR="00404C23" w:rsidRPr="00D844A0" w:rsidRDefault="00404C23" w:rsidP="00404C23">
      <w:pPr>
        <w:pBdr>
          <w:top w:val="nil"/>
          <w:left w:val="nil"/>
          <w:bottom w:val="nil"/>
          <w:right w:val="nil"/>
          <w:between w:val="nil"/>
        </w:pBdr>
        <w:jc w:val="both"/>
        <w:rPr>
          <w:rFonts w:ascii="Verdana" w:eastAsia="Verdana" w:hAnsi="Verdana" w:cs="Verdana"/>
          <w:color w:val="000000"/>
          <w:sz w:val="16"/>
          <w:szCs w:val="16"/>
        </w:rPr>
      </w:pPr>
      <w:r w:rsidRPr="00D844A0">
        <w:rPr>
          <w:rFonts w:ascii="Verdana" w:eastAsia="Verdana" w:hAnsi="Verdana" w:cs="Verdana"/>
          <w:color w:val="000000"/>
          <w:sz w:val="16"/>
          <w:szCs w:val="16"/>
        </w:rPr>
        <w:t> </w:t>
      </w:r>
      <w:r w:rsidRPr="00D844A0">
        <w:rPr>
          <w:rFonts w:ascii="Verdana" w:eastAsia="Verdana" w:hAnsi="Verdana" w:cs="Verdana"/>
          <w:color w:val="000000"/>
          <w:sz w:val="16"/>
          <w:szCs w:val="16"/>
        </w:rPr>
        <w:tab/>
        <w:t>Esta inhabilidad procederá preventivamente aún en los casos en los que esté pendiente la decisión sobre la impugnación de la sentencia condenatoria. Asimismo, la inhabilidad se extenderá a las sociedades de las que hagan parte dichas personas en calidad de administradores, representantes legales, miembros de junta directiva o de socios controlantes, a sus matrices y a sus subordinadas, a los grupos empresariales a los que estas pertenezcan cuando la conducta delictiva haya sido parte de una política del grupo y a las sucursales de sociedades extranjeras, con excepción de las sociedades anónimas abiertas. También se considerarán inhabilitadas para contratar, las personas jurídicas sobre las cuales se haya ordenado la suspensión de la personería jurídica en los términos de ley, o cuyos representantes legales, administradores de hecho o de derecho, miembros de junta directiva o sus socios controlantes, sus matrices, subordinadas y/o las sucursales de sociedades extranjeras, hayan sido beneficiados con la aplicación de un principio de oportunidad por cualquier delito contra la Administración pública o el patrimonio del Estado.  La inhabilidad prevista en este literal se extenderá de forma permanente a las sociedades de las que hagan parte dichas personas en las calidades presentadas en los incisos anteriores, y se aplicará de igual forma a las personas naturales que hayan sido declaradas responsables judicialmente por la comisión de delitos mencionados en este literal. </w:t>
      </w:r>
    </w:p>
    <w:p w14:paraId="05B2A3E7" w14:textId="77777777" w:rsidR="00404C23" w:rsidRPr="00D844A0" w:rsidRDefault="00404C23" w:rsidP="00404C23">
      <w:pPr>
        <w:pBdr>
          <w:top w:val="nil"/>
          <w:left w:val="nil"/>
          <w:bottom w:val="nil"/>
          <w:right w:val="nil"/>
          <w:between w:val="nil"/>
        </w:pBdr>
        <w:jc w:val="both"/>
        <w:rPr>
          <w:rFonts w:ascii="Verdana" w:eastAsia="Verdana" w:hAnsi="Verdana" w:cs="Verdana"/>
          <w:color w:val="000000"/>
          <w:sz w:val="16"/>
          <w:szCs w:val="16"/>
        </w:rPr>
      </w:pPr>
      <w:r w:rsidRPr="00D844A0">
        <w:rPr>
          <w:rFonts w:ascii="Verdana" w:eastAsia="Verdana" w:hAnsi="Verdana" w:cs="Verdana"/>
          <w:color w:val="000000"/>
          <w:sz w:val="16"/>
          <w:szCs w:val="16"/>
        </w:rPr>
        <w:t>[…]</w:t>
      </w:r>
    </w:p>
    <w:p w14:paraId="3146871F" w14:textId="77777777" w:rsidR="00404C23" w:rsidRPr="00D844A0" w:rsidRDefault="00404C23" w:rsidP="00404C23">
      <w:pPr>
        <w:pBdr>
          <w:top w:val="nil"/>
          <w:left w:val="nil"/>
          <w:bottom w:val="nil"/>
          <w:right w:val="nil"/>
          <w:between w:val="nil"/>
        </w:pBdr>
        <w:ind w:firstLine="708"/>
        <w:jc w:val="both"/>
        <w:rPr>
          <w:rFonts w:ascii="Verdana" w:eastAsia="Verdana" w:hAnsi="Verdana" w:cs="Verdana"/>
          <w:color w:val="000000"/>
          <w:sz w:val="16"/>
          <w:szCs w:val="16"/>
        </w:rPr>
      </w:pPr>
      <w:r w:rsidRPr="00D844A0">
        <w:rPr>
          <w:rFonts w:ascii="Verdana" w:eastAsia="Verdana" w:hAnsi="Verdana" w:cs="Verdana"/>
          <w:color w:val="000000"/>
          <w:sz w:val="16"/>
          <w:szCs w:val="16"/>
        </w:rPr>
        <w:t>2o. Tampoco podrán participar en licitaciones o concursos ni celebrar contratos estatales con la entidad respectiva: </w:t>
      </w:r>
    </w:p>
    <w:p w14:paraId="79BA7E8F" w14:textId="77777777" w:rsidR="00404C23" w:rsidRPr="00D844A0" w:rsidRDefault="00404C23" w:rsidP="00404C23">
      <w:pPr>
        <w:pBdr>
          <w:top w:val="nil"/>
          <w:left w:val="nil"/>
          <w:bottom w:val="nil"/>
          <w:right w:val="nil"/>
          <w:between w:val="nil"/>
        </w:pBdr>
        <w:jc w:val="both"/>
        <w:rPr>
          <w:rFonts w:ascii="Verdana" w:eastAsia="Verdana" w:hAnsi="Verdana" w:cs="Verdana"/>
          <w:color w:val="000000"/>
          <w:sz w:val="16"/>
          <w:szCs w:val="16"/>
        </w:rPr>
      </w:pPr>
      <w:r w:rsidRPr="00D844A0">
        <w:rPr>
          <w:rFonts w:ascii="Verdana" w:eastAsia="Verdana" w:hAnsi="Verdana" w:cs="Verdana"/>
          <w:color w:val="000000"/>
          <w:sz w:val="16"/>
          <w:szCs w:val="16"/>
        </w:rPr>
        <w:t>  </w:t>
      </w:r>
      <w:r w:rsidRPr="00D844A0">
        <w:rPr>
          <w:rFonts w:ascii="Verdana" w:eastAsia="Verdana" w:hAnsi="Verdana" w:cs="Verdana"/>
          <w:color w:val="000000"/>
          <w:sz w:val="16"/>
          <w:szCs w:val="16"/>
        </w:rPr>
        <w:tab/>
        <w:t>a) Quienes fueron miembros de la junta o consejo directivo o servidores públicos de la entidad contratante. Esta incompatibilidad solo comprende a quienes desempeñaron funciones en los niveles directivo, asesor o ejecutivo y se extiende por el término de un (1) año, contado a partir de la fecha del retiro. </w:t>
      </w:r>
    </w:p>
    <w:p w14:paraId="02962D0A" w14:textId="77777777" w:rsidR="00404C23" w:rsidRPr="00D844A0" w:rsidRDefault="00404C23" w:rsidP="00404C23">
      <w:pPr>
        <w:pBdr>
          <w:top w:val="nil"/>
          <w:left w:val="nil"/>
          <w:bottom w:val="nil"/>
          <w:right w:val="nil"/>
          <w:between w:val="nil"/>
        </w:pBdr>
        <w:jc w:val="both"/>
        <w:rPr>
          <w:rFonts w:ascii="Verdana" w:eastAsia="Verdana" w:hAnsi="Verdana" w:cs="Verdana"/>
          <w:color w:val="000000"/>
          <w:sz w:val="16"/>
          <w:szCs w:val="16"/>
        </w:rPr>
      </w:pPr>
      <w:r w:rsidRPr="00D844A0">
        <w:rPr>
          <w:rFonts w:ascii="Verdana" w:eastAsia="Verdana" w:hAnsi="Verdana" w:cs="Verdana"/>
          <w:color w:val="000000"/>
          <w:sz w:val="16"/>
          <w:szCs w:val="16"/>
        </w:rPr>
        <w:t>  </w:t>
      </w:r>
      <w:r w:rsidRPr="00D844A0">
        <w:rPr>
          <w:rFonts w:ascii="Verdana" w:eastAsia="Verdana" w:hAnsi="Verdana" w:cs="Verdana"/>
          <w:color w:val="000000"/>
          <w:sz w:val="16"/>
          <w:szCs w:val="16"/>
        </w:rPr>
        <w:tab/>
        <w:t>b)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w:t>
      </w:r>
    </w:p>
    <w:p w14:paraId="564A7A20" w14:textId="77777777" w:rsidR="00404C23" w:rsidRPr="00D844A0" w:rsidRDefault="00404C23" w:rsidP="00404C23">
      <w:pPr>
        <w:pBdr>
          <w:top w:val="nil"/>
          <w:left w:val="nil"/>
          <w:bottom w:val="nil"/>
          <w:right w:val="nil"/>
          <w:between w:val="nil"/>
        </w:pBdr>
        <w:jc w:val="both"/>
        <w:rPr>
          <w:rFonts w:ascii="Verdana" w:eastAsia="Verdana" w:hAnsi="Verdana" w:cs="Verdana"/>
          <w:color w:val="000000"/>
          <w:sz w:val="16"/>
          <w:szCs w:val="16"/>
        </w:rPr>
      </w:pPr>
      <w:r w:rsidRPr="00D844A0">
        <w:rPr>
          <w:rFonts w:ascii="Verdana" w:eastAsia="Verdana" w:hAnsi="Verdana" w:cs="Verdana"/>
          <w:color w:val="000000"/>
          <w:sz w:val="16"/>
          <w:szCs w:val="16"/>
        </w:rPr>
        <w:t>  </w:t>
      </w:r>
      <w:r w:rsidRPr="00D844A0">
        <w:rPr>
          <w:rFonts w:ascii="Verdana" w:eastAsia="Verdana" w:hAnsi="Verdana" w:cs="Verdana"/>
          <w:color w:val="000000"/>
          <w:sz w:val="16"/>
          <w:szCs w:val="16"/>
        </w:rPr>
        <w:tab/>
        <w:t>c) El cónyuge, compañero o compañera permanente del servidor público en los niveles directivo, asesor, ejecutivo, o de un miembro de la junta o consejo directivo, o de quien ejerza funciones de control interno o de control fiscal. </w:t>
      </w:r>
    </w:p>
    <w:p w14:paraId="023BFEE3" w14:textId="77777777" w:rsidR="00404C23" w:rsidRPr="00D844A0" w:rsidRDefault="00404C23" w:rsidP="00404C23">
      <w:pPr>
        <w:pBdr>
          <w:top w:val="nil"/>
          <w:left w:val="nil"/>
          <w:bottom w:val="nil"/>
          <w:right w:val="nil"/>
          <w:between w:val="nil"/>
        </w:pBdr>
        <w:jc w:val="both"/>
        <w:rPr>
          <w:rFonts w:ascii="Verdana" w:eastAsia="Verdana" w:hAnsi="Verdana" w:cs="Verdana"/>
          <w:color w:val="000000"/>
          <w:sz w:val="16"/>
          <w:szCs w:val="16"/>
        </w:rPr>
      </w:pPr>
      <w:r w:rsidRPr="00D844A0">
        <w:rPr>
          <w:rFonts w:ascii="Verdana" w:eastAsia="Verdana" w:hAnsi="Verdana" w:cs="Verdana"/>
          <w:color w:val="000000"/>
          <w:sz w:val="16"/>
          <w:szCs w:val="16"/>
        </w:rPr>
        <w:t>  </w:t>
      </w:r>
      <w:r w:rsidRPr="00D844A0">
        <w:rPr>
          <w:rFonts w:ascii="Verdana" w:eastAsia="Verdana" w:hAnsi="Verdana" w:cs="Verdana"/>
          <w:color w:val="000000"/>
          <w:sz w:val="16"/>
          <w:szCs w:val="16"/>
        </w:rPr>
        <w:tab/>
        <w:t>d)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w:t>
      </w:r>
    </w:p>
    <w:p w14:paraId="52AE0C1A" w14:textId="77777777" w:rsidR="00404C23" w:rsidRPr="00D844A0" w:rsidRDefault="00404C23" w:rsidP="00404C23">
      <w:pPr>
        <w:pBdr>
          <w:top w:val="nil"/>
          <w:left w:val="nil"/>
          <w:bottom w:val="nil"/>
          <w:right w:val="nil"/>
          <w:between w:val="nil"/>
        </w:pBdr>
        <w:jc w:val="both"/>
        <w:rPr>
          <w:rFonts w:ascii="Verdana" w:eastAsia="Verdana" w:hAnsi="Verdana" w:cs="Verdana"/>
          <w:color w:val="000000"/>
          <w:sz w:val="16"/>
          <w:szCs w:val="16"/>
        </w:rPr>
      </w:pPr>
      <w:r w:rsidRPr="00D844A0">
        <w:rPr>
          <w:rFonts w:ascii="Verdana" w:eastAsia="Verdana" w:hAnsi="Verdana" w:cs="Verdana"/>
          <w:color w:val="000000"/>
          <w:sz w:val="16"/>
          <w:szCs w:val="16"/>
        </w:rPr>
        <w:t>  </w:t>
      </w:r>
      <w:r w:rsidRPr="00D844A0">
        <w:rPr>
          <w:rFonts w:ascii="Verdana" w:eastAsia="Verdana" w:hAnsi="Verdana" w:cs="Verdana"/>
          <w:color w:val="000000"/>
          <w:sz w:val="16"/>
          <w:szCs w:val="16"/>
        </w:rPr>
        <w:tab/>
        <w:t>e) Los miembros de las juntas o consejos directivos. Esta incompatibilidad sólo se predica respecto de la entidad a la cual prestan sus servicios y de las del sector administrativo al que la misma esté adscrita o vinculada. </w:t>
      </w:r>
    </w:p>
    <w:p w14:paraId="7A131FC7" w14:textId="77777777" w:rsidR="00404C23" w:rsidRPr="00D844A0" w:rsidRDefault="00404C23" w:rsidP="00404C23">
      <w:pPr>
        <w:pBdr>
          <w:top w:val="nil"/>
          <w:left w:val="nil"/>
          <w:bottom w:val="nil"/>
          <w:right w:val="nil"/>
          <w:between w:val="nil"/>
        </w:pBdr>
        <w:ind w:firstLine="708"/>
        <w:jc w:val="both"/>
        <w:rPr>
          <w:rFonts w:ascii="Verdana" w:eastAsia="Verdana" w:hAnsi="Verdana" w:cs="Verdana"/>
          <w:color w:val="000000"/>
          <w:sz w:val="16"/>
          <w:szCs w:val="16"/>
        </w:rPr>
      </w:pPr>
      <w:r w:rsidRPr="00D844A0">
        <w:rPr>
          <w:rFonts w:ascii="Verdana" w:eastAsia="Verdana" w:hAnsi="Verdana" w:cs="Verdana"/>
          <w:color w:val="000000"/>
          <w:sz w:val="16"/>
          <w:szCs w:val="16"/>
        </w:rPr>
        <w:t xml:space="preserve">f)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 Esta incompatibilidad también operará para las personas que se encuentren dentro del primer grado de consanguinidad, primero de afinidad, o primero civil del ex empleado público”. (…). </w:t>
      </w:r>
    </w:p>
  </w:footnote>
  <w:footnote w:id="8">
    <w:p w14:paraId="4AB7206F" w14:textId="77777777" w:rsidR="00404C23" w:rsidRPr="00D844A0" w:rsidRDefault="00404C23" w:rsidP="00404C23">
      <w:pPr>
        <w:pBdr>
          <w:top w:val="nil"/>
          <w:left w:val="nil"/>
          <w:bottom w:val="nil"/>
          <w:right w:val="nil"/>
          <w:between w:val="nil"/>
        </w:pBdr>
        <w:ind w:firstLine="708"/>
        <w:jc w:val="both"/>
        <w:rPr>
          <w:rFonts w:ascii="Verdana" w:eastAsia="Verdana" w:hAnsi="Verdana" w:cs="Verdana"/>
          <w:color w:val="000000"/>
          <w:sz w:val="16"/>
          <w:szCs w:val="16"/>
        </w:rPr>
      </w:pPr>
      <w:r w:rsidRPr="00D844A0">
        <w:rPr>
          <w:rFonts w:ascii="Verdana" w:hAnsi="Verdana"/>
          <w:sz w:val="16"/>
          <w:szCs w:val="16"/>
          <w:vertAlign w:val="superscript"/>
        </w:rPr>
        <w:footnoteRef/>
      </w:r>
      <w:r w:rsidRPr="00D844A0">
        <w:rPr>
          <w:rFonts w:ascii="Verdana" w:eastAsia="Verdana" w:hAnsi="Verdana" w:cs="Verdana"/>
          <w:color w:val="000000"/>
          <w:sz w:val="16"/>
          <w:szCs w:val="16"/>
        </w:rPr>
        <w:t xml:space="preserve"> </w:t>
      </w:r>
      <w:r w:rsidRPr="00D844A0">
        <w:rPr>
          <w:rFonts w:ascii="Verdana" w:eastAsia="Verdana" w:hAnsi="Verdana" w:cs="Verdana"/>
          <w:color w:val="000000"/>
          <w:sz w:val="16"/>
          <w:szCs w:val="16"/>
        </w:rPr>
        <w:t>Ibídem. p. 69.</w:t>
      </w:r>
    </w:p>
  </w:footnote>
  <w:footnote w:id="9">
    <w:p w14:paraId="6E642800" w14:textId="77777777" w:rsidR="00404C23" w:rsidRPr="00D844A0" w:rsidRDefault="00404C23" w:rsidP="00404C23">
      <w:pPr>
        <w:pBdr>
          <w:top w:val="nil"/>
          <w:left w:val="nil"/>
          <w:bottom w:val="nil"/>
          <w:right w:val="nil"/>
          <w:between w:val="nil"/>
        </w:pBdr>
        <w:ind w:firstLine="708"/>
        <w:jc w:val="both"/>
        <w:rPr>
          <w:rFonts w:ascii="Verdana" w:eastAsia="Verdana" w:hAnsi="Verdana" w:cs="Verdana"/>
          <w:color w:val="000000"/>
          <w:sz w:val="16"/>
          <w:szCs w:val="16"/>
        </w:rPr>
      </w:pPr>
      <w:r w:rsidRPr="00D844A0">
        <w:rPr>
          <w:rFonts w:ascii="Verdana" w:hAnsi="Verdana"/>
          <w:sz w:val="16"/>
          <w:szCs w:val="16"/>
          <w:vertAlign w:val="superscript"/>
        </w:rPr>
        <w:footnoteRef/>
      </w:r>
      <w:r w:rsidRPr="00D844A0">
        <w:rPr>
          <w:rFonts w:ascii="Verdana" w:eastAsia="Verdana" w:hAnsi="Verdana" w:cs="Verdana"/>
          <w:color w:val="000000"/>
          <w:sz w:val="16"/>
          <w:szCs w:val="16"/>
        </w:rPr>
        <w:t xml:space="preserve"> Corte Constitucional. Sentencia T-1039 de 2006. M.P. Humberto Sierra Porto. La Corte Constitucional ha mantenido este criterio en las sentencias: C-903 de 2008. M.P. Jaime Araujo Rentería; C-101 de 2018. M.P. Gloria Stella Ortiz Delgado; entre otras. </w:t>
      </w:r>
    </w:p>
  </w:footnote>
  <w:footnote w:id="10">
    <w:p w14:paraId="135F7480" w14:textId="77777777" w:rsidR="00404C23" w:rsidRPr="00D844A0" w:rsidRDefault="00404C23" w:rsidP="00404C23">
      <w:pPr>
        <w:pBdr>
          <w:top w:val="nil"/>
          <w:left w:val="nil"/>
          <w:bottom w:val="nil"/>
          <w:right w:val="nil"/>
          <w:between w:val="nil"/>
        </w:pBdr>
        <w:ind w:firstLine="708"/>
        <w:jc w:val="both"/>
        <w:rPr>
          <w:rFonts w:ascii="Verdana" w:eastAsia="Verdana" w:hAnsi="Verdana" w:cs="Verdana"/>
          <w:color w:val="000000"/>
          <w:sz w:val="16"/>
          <w:szCs w:val="16"/>
        </w:rPr>
      </w:pPr>
      <w:r w:rsidRPr="00D844A0">
        <w:rPr>
          <w:rFonts w:ascii="Verdana" w:hAnsi="Verdana"/>
          <w:sz w:val="16"/>
          <w:szCs w:val="16"/>
          <w:vertAlign w:val="superscript"/>
        </w:rPr>
        <w:footnoteRef/>
      </w:r>
      <w:r w:rsidRPr="00D844A0">
        <w:rPr>
          <w:rFonts w:ascii="Verdana" w:eastAsia="Verdana" w:hAnsi="Verdana" w:cs="Verdana"/>
          <w:color w:val="000000"/>
          <w:sz w:val="16"/>
          <w:szCs w:val="16"/>
        </w:rPr>
        <w:t xml:space="preserve"> Consejo de Estado. Sala de Consulta y Servicio Civil. Concepto del 30 de abril de 2015. </w:t>
      </w:r>
      <w:r w:rsidRPr="00D844A0">
        <w:rPr>
          <w:rFonts w:ascii="Verdana" w:eastAsia="Verdana" w:hAnsi="Verdana" w:cs="Verdana"/>
          <w:color w:val="000000"/>
          <w:sz w:val="16"/>
          <w:szCs w:val="16"/>
        </w:rPr>
        <w:t>Exp. 2251. C.P. Álvaro Namén Vargas.</w:t>
      </w:r>
    </w:p>
  </w:footnote>
  <w:footnote w:id="11">
    <w:p w14:paraId="50050693" w14:textId="77777777" w:rsidR="00404C23" w:rsidRPr="00D844A0" w:rsidRDefault="00404C23" w:rsidP="00404C23">
      <w:pPr>
        <w:pBdr>
          <w:top w:val="nil"/>
          <w:left w:val="nil"/>
          <w:bottom w:val="nil"/>
          <w:right w:val="nil"/>
          <w:between w:val="nil"/>
        </w:pBdr>
        <w:ind w:firstLine="708"/>
        <w:jc w:val="both"/>
        <w:rPr>
          <w:rFonts w:ascii="Verdana" w:eastAsia="Verdana" w:hAnsi="Verdana" w:cs="Verdana"/>
          <w:color w:val="000000"/>
          <w:sz w:val="16"/>
          <w:szCs w:val="16"/>
        </w:rPr>
      </w:pPr>
      <w:r w:rsidRPr="00D844A0">
        <w:rPr>
          <w:rFonts w:ascii="Verdana" w:hAnsi="Verdana"/>
          <w:sz w:val="16"/>
          <w:szCs w:val="16"/>
          <w:vertAlign w:val="superscript"/>
        </w:rPr>
        <w:footnoteRef/>
      </w:r>
      <w:r w:rsidRPr="00D844A0">
        <w:rPr>
          <w:rFonts w:ascii="Verdana" w:eastAsia="Verdana" w:hAnsi="Verdana" w:cs="Verdana"/>
          <w:color w:val="000000"/>
          <w:sz w:val="16"/>
          <w:szCs w:val="16"/>
        </w:rPr>
        <w:t xml:space="preserve"> Consejo de Estado. Sección Tercera. Subsección A. Sentencia del 24 de junio de 2015. </w:t>
      </w:r>
      <w:r w:rsidRPr="00D844A0">
        <w:rPr>
          <w:rFonts w:ascii="Verdana" w:eastAsia="Verdana" w:hAnsi="Verdana" w:cs="Verdana"/>
          <w:color w:val="000000"/>
          <w:sz w:val="16"/>
          <w:szCs w:val="16"/>
        </w:rPr>
        <w:t>Exp. 40.635. C.P. Hernán Andrade Rincón (E).</w:t>
      </w:r>
    </w:p>
  </w:footnote>
  <w:footnote w:id="12">
    <w:p w14:paraId="6BDA1875" w14:textId="77777777" w:rsidR="00404C23" w:rsidRPr="00D844A0" w:rsidRDefault="00404C23" w:rsidP="00404C23">
      <w:pPr>
        <w:pBdr>
          <w:top w:val="nil"/>
          <w:left w:val="nil"/>
          <w:bottom w:val="nil"/>
          <w:right w:val="nil"/>
          <w:between w:val="nil"/>
        </w:pBdr>
        <w:ind w:firstLine="708"/>
        <w:jc w:val="both"/>
        <w:rPr>
          <w:rFonts w:ascii="Verdana" w:eastAsia="Verdana" w:hAnsi="Verdana" w:cs="Verdana"/>
          <w:color w:val="000000"/>
          <w:sz w:val="16"/>
          <w:szCs w:val="16"/>
        </w:rPr>
      </w:pPr>
      <w:r w:rsidRPr="00D844A0">
        <w:rPr>
          <w:rFonts w:ascii="Verdana" w:hAnsi="Verdana"/>
          <w:sz w:val="16"/>
          <w:szCs w:val="16"/>
          <w:vertAlign w:val="superscript"/>
        </w:rPr>
        <w:footnoteRef/>
      </w:r>
      <w:r w:rsidRPr="00D844A0">
        <w:rPr>
          <w:rFonts w:ascii="Verdana" w:eastAsia="Verdana" w:hAnsi="Verdana" w:cs="Verdana"/>
          <w:color w:val="000000"/>
          <w:sz w:val="16"/>
          <w:szCs w:val="16"/>
        </w:rPr>
        <w:t xml:space="preserve"> Consejo de Estado. Sección Tercera. Subsección C. Sentencia del 22 de mayo de 2013. Rad. 24.057. C.P. Olga Mélida Valle De </w:t>
      </w:r>
      <w:r w:rsidRPr="00D844A0">
        <w:rPr>
          <w:rFonts w:ascii="Verdana" w:eastAsia="Verdana" w:hAnsi="Verdana" w:cs="Verdana"/>
          <w:color w:val="000000"/>
          <w:sz w:val="16"/>
          <w:szCs w:val="16"/>
        </w:rPr>
        <w:t>De La Hoz.</w:t>
      </w:r>
    </w:p>
  </w:footnote>
  <w:footnote w:id="13">
    <w:p w14:paraId="28E91F4A" w14:textId="77777777" w:rsidR="00404C23" w:rsidRPr="00D844A0" w:rsidRDefault="00404C23" w:rsidP="00404C23">
      <w:pPr>
        <w:pBdr>
          <w:top w:val="nil"/>
          <w:left w:val="nil"/>
          <w:bottom w:val="nil"/>
          <w:right w:val="nil"/>
          <w:between w:val="nil"/>
        </w:pBdr>
        <w:ind w:firstLine="708"/>
        <w:jc w:val="both"/>
        <w:rPr>
          <w:rFonts w:ascii="Verdana" w:eastAsia="Verdana" w:hAnsi="Verdana" w:cs="Verdana"/>
          <w:color w:val="000000"/>
          <w:sz w:val="16"/>
          <w:szCs w:val="16"/>
        </w:rPr>
      </w:pPr>
      <w:r w:rsidRPr="00D844A0">
        <w:rPr>
          <w:rFonts w:ascii="Verdana" w:hAnsi="Verdana"/>
          <w:sz w:val="16"/>
          <w:szCs w:val="16"/>
          <w:vertAlign w:val="superscript"/>
        </w:rPr>
        <w:footnoteRef/>
      </w:r>
      <w:r w:rsidRPr="00D844A0">
        <w:rPr>
          <w:rFonts w:ascii="Verdana" w:eastAsia="Verdana" w:hAnsi="Verdana" w:cs="Verdana"/>
          <w:color w:val="000000"/>
          <w:sz w:val="16"/>
          <w:szCs w:val="16"/>
        </w:rPr>
        <w:t xml:space="preserve"> Corte Constitucional. Sentencia C-415 de 1994. M.P. Eduardo Cifuentes Muñoz.</w:t>
      </w:r>
    </w:p>
  </w:footnote>
  <w:footnote w:id="14">
    <w:p w14:paraId="12622B2F" w14:textId="77777777" w:rsidR="00404C23" w:rsidRPr="00D844A0" w:rsidRDefault="00404C23" w:rsidP="00404C23">
      <w:pPr>
        <w:pBdr>
          <w:top w:val="nil"/>
          <w:left w:val="nil"/>
          <w:bottom w:val="nil"/>
          <w:right w:val="nil"/>
          <w:between w:val="nil"/>
        </w:pBdr>
        <w:ind w:firstLine="708"/>
        <w:jc w:val="both"/>
        <w:rPr>
          <w:rFonts w:ascii="Verdana" w:eastAsia="Verdana" w:hAnsi="Verdana" w:cs="Verdana"/>
          <w:color w:val="000000"/>
          <w:sz w:val="16"/>
          <w:szCs w:val="16"/>
        </w:rPr>
      </w:pPr>
      <w:r w:rsidRPr="00D844A0">
        <w:rPr>
          <w:rFonts w:ascii="Verdana" w:hAnsi="Verdana"/>
          <w:sz w:val="16"/>
          <w:szCs w:val="16"/>
          <w:vertAlign w:val="superscript"/>
        </w:rPr>
        <w:footnoteRef/>
      </w:r>
      <w:r w:rsidRPr="00D844A0">
        <w:rPr>
          <w:rFonts w:ascii="Verdana" w:eastAsia="Verdana" w:hAnsi="Verdana" w:cs="Verdana"/>
          <w:color w:val="000000"/>
          <w:sz w:val="16"/>
          <w:szCs w:val="16"/>
        </w:rPr>
        <w:t xml:space="preserve"> Consejo de Estado. Sección Tercera. Subsección B. Sentencia del 12 de diciembre de 2014. </w:t>
      </w:r>
      <w:r w:rsidRPr="00D844A0">
        <w:rPr>
          <w:rFonts w:ascii="Verdana" w:eastAsia="Verdana" w:hAnsi="Verdana" w:cs="Verdana"/>
          <w:color w:val="000000"/>
          <w:sz w:val="16"/>
          <w:szCs w:val="16"/>
        </w:rPr>
        <w:t>Exp. 26496. C.P. Ramiro Pazos Guerrero. En similar sentido, la doctrina expresa que: “[…] las causales de inhabilidad e incompatibilidad resultan ser las que la ley de manera expresa señala, no siendo factible para las entidades estatales, crearlas en los pliegos de condiciones que elaboran (DAVILA VINUEZA, Luis Guillermo Régimen jurídico de la contratación estatal: aproximación crítica a Ley 80 de 1993. 3ª ed. Bogotá: Legis, 2016. p. 149.</w:t>
      </w:r>
    </w:p>
  </w:footnote>
  <w:footnote w:id="15">
    <w:p w14:paraId="5B1F609F" w14:textId="77777777" w:rsidR="00404C23" w:rsidRPr="00D844A0" w:rsidRDefault="00404C23" w:rsidP="00404C23">
      <w:pPr>
        <w:pBdr>
          <w:top w:val="nil"/>
          <w:left w:val="nil"/>
          <w:bottom w:val="nil"/>
          <w:right w:val="nil"/>
          <w:between w:val="nil"/>
        </w:pBdr>
        <w:ind w:firstLine="708"/>
        <w:jc w:val="both"/>
        <w:rPr>
          <w:rFonts w:ascii="Verdana" w:eastAsia="Verdana" w:hAnsi="Verdana" w:cs="Verdana"/>
          <w:color w:val="000000"/>
          <w:sz w:val="16"/>
          <w:szCs w:val="16"/>
        </w:rPr>
      </w:pPr>
      <w:r w:rsidRPr="00D844A0">
        <w:rPr>
          <w:rFonts w:ascii="Verdana" w:hAnsi="Verdana"/>
          <w:sz w:val="16"/>
          <w:szCs w:val="16"/>
          <w:vertAlign w:val="superscript"/>
        </w:rPr>
        <w:footnoteRef/>
      </w:r>
      <w:r w:rsidRPr="00D844A0">
        <w:rPr>
          <w:rFonts w:ascii="Verdana" w:eastAsia="Verdana" w:hAnsi="Verdana" w:cs="Verdana"/>
          <w:color w:val="000000"/>
          <w:sz w:val="16"/>
          <w:szCs w:val="16"/>
        </w:rPr>
        <w:t xml:space="preserve"> Consejo de Estado. Sala de Consulta y Servicio Civil. Concepto del 29 de abril de 1998. Rad. 1097. C.P. Augusto Trejos Jaramillo.</w:t>
      </w:r>
    </w:p>
  </w:footnote>
  <w:footnote w:id="16">
    <w:p w14:paraId="5DCA9697" w14:textId="77777777" w:rsidR="00404C23" w:rsidRPr="00D844A0" w:rsidRDefault="00404C23" w:rsidP="00404C23">
      <w:pPr>
        <w:pStyle w:val="Textonotapie"/>
        <w:ind w:firstLine="708"/>
        <w:rPr>
          <w:rFonts w:ascii="Verdana" w:hAnsi="Verdana"/>
          <w:sz w:val="16"/>
          <w:szCs w:val="16"/>
          <w:lang w:val="es-ES_tradnl"/>
        </w:rPr>
      </w:pPr>
      <w:r w:rsidRPr="00D844A0">
        <w:rPr>
          <w:rStyle w:val="Refdenotaalpie"/>
          <w:rFonts w:ascii="Verdana" w:hAnsi="Verdana"/>
          <w:sz w:val="16"/>
          <w:szCs w:val="16"/>
        </w:rPr>
        <w:footnoteRef/>
      </w:r>
      <w:r w:rsidRPr="00D844A0">
        <w:rPr>
          <w:rFonts w:ascii="Verdana" w:hAnsi="Verdana"/>
          <w:sz w:val="16"/>
          <w:szCs w:val="16"/>
        </w:rPr>
        <w:t xml:space="preserve"> Consejo de Estado. Sala de Consulta y Servicio Civil. Concepto del 10 de diciembre de 2013. Rad. 2183. C.P. William Zambrano Cetina. </w:t>
      </w:r>
    </w:p>
  </w:footnote>
  <w:footnote w:id="17">
    <w:p w14:paraId="40000F19" w14:textId="77777777" w:rsidR="00404C23" w:rsidRPr="00D844A0" w:rsidRDefault="00404C23" w:rsidP="00404C23">
      <w:pPr>
        <w:pStyle w:val="Textonotapie"/>
        <w:ind w:firstLine="708"/>
        <w:rPr>
          <w:rFonts w:ascii="Verdana" w:hAnsi="Verdana"/>
          <w:sz w:val="16"/>
          <w:szCs w:val="16"/>
          <w:lang w:val="es-ES_tradnl"/>
        </w:rPr>
      </w:pPr>
      <w:r w:rsidRPr="00D844A0">
        <w:rPr>
          <w:rStyle w:val="Refdenotaalpie"/>
          <w:rFonts w:ascii="Verdana" w:hAnsi="Verdana"/>
          <w:sz w:val="16"/>
          <w:szCs w:val="16"/>
        </w:rPr>
        <w:footnoteRef/>
      </w:r>
      <w:r w:rsidRPr="00D844A0">
        <w:rPr>
          <w:rFonts w:ascii="Verdana" w:hAnsi="Verdana"/>
          <w:sz w:val="16"/>
          <w:szCs w:val="16"/>
        </w:rPr>
        <w:t xml:space="preserve"> </w:t>
      </w:r>
      <w:r w:rsidRPr="00D844A0">
        <w:rPr>
          <w:rFonts w:ascii="Verdana" w:eastAsia="Verdana" w:hAnsi="Verdana" w:cs="Verdana"/>
          <w:sz w:val="16"/>
          <w:szCs w:val="16"/>
        </w:rPr>
        <w:t xml:space="preserve">Corte Constitucional. Sentencia C-132 de 2009. M.P. Nilson Pinilla </w:t>
      </w:r>
      <w:r w:rsidRPr="00D844A0">
        <w:rPr>
          <w:rFonts w:ascii="Verdana" w:eastAsia="Verdana" w:hAnsi="Verdana" w:cs="Verdana"/>
          <w:sz w:val="16"/>
          <w:szCs w:val="16"/>
        </w:rPr>
        <w:t>Pinilla. Reitera la sentencia C-308 de 1994. M. P. Antonio Barrera Carbonell</w:t>
      </w:r>
    </w:p>
  </w:footnote>
  <w:footnote w:id="18">
    <w:p w14:paraId="5D500FAA" w14:textId="77777777" w:rsidR="00404C23" w:rsidRPr="00D844A0" w:rsidRDefault="00404C23" w:rsidP="00404C23">
      <w:pPr>
        <w:pStyle w:val="Textonotapie"/>
        <w:ind w:firstLine="720"/>
        <w:rPr>
          <w:rFonts w:ascii="Verdana" w:hAnsi="Verdana"/>
          <w:sz w:val="16"/>
          <w:szCs w:val="16"/>
          <w:lang w:val="es-ES_tradnl"/>
        </w:rPr>
      </w:pPr>
      <w:r w:rsidRPr="00D844A0">
        <w:rPr>
          <w:rStyle w:val="Refdenotaalpie"/>
          <w:rFonts w:ascii="Verdana" w:hAnsi="Verdana"/>
          <w:sz w:val="16"/>
          <w:szCs w:val="16"/>
        </w:rPr>
        <w:footnoteRef/>
      </w:r>
      <w:r w:rsidRPr="00D844A0">
        <w:rPr>
          <w:rFonts w:ascii="Verdana" w:hAnsi="Verdana"/>
          <w:sz w:val="16"/>
          <w:szCs w:val="16"/>
        </w:rPr>
        <w:t xml:space="preserve">  </w:t>
      </w:r>
      <w:r w:rsidRPr="00D844A0">
        <w:rPr>
          <w:rFonts w:ascii="Verdana" w:eastAsia="Verdana" w:hAnsi="Verdana" w:cs="Verdana"/>
          <w:sz w:val="16"/>
          <w:szCs w:val="16"/>
        </w:rPr>
        <w:t>Corte Constitucional. Sentencia C-644 de 2016.M.P: Alejandro Linares Cantillo</w:t>
      </w:r>
    </w:p>
  </w:footnote>
  <w:footnote w:id="19">
    <w:p w14:paraId="6375E7F0" w14:textId="77777777" w:rsidR="00404C23" w:rsidRPr="000560B7" w:rsidRDefault="00404C23" w:rsidP="00404C23">
      <w:pPr>
        <w:pStyle w:val="Textonotapie"/>
        <w:ind w:firstLine="720"/>
        <w:rPr>
          <w:lang w:val="es-ES_tradnl"/>
        </w:rPr>
      </w:pPr>
      <w:r w:rsidRPr="00D844A0">
        <w:rPr>
          <w:rStyle w:val="Refdenotaalpie"/>
          <w:rFonts w:ascii="Verdana" w:hAnsi="Verdana"/>
          <w:sz w:val="16"/>
          <w:szCs w:val="16"/>
        </w:rPr>
        <w:footnoteRef/>
      </w:r>
      <w:r w:rsidRPr="00D844A0">
        <w:rPr>
          <w:rFonts w:ascii="Verdana" w:hAnsi="Verdana"/>
          <w:sz w:val="16"/>
          <w:szCs w:val="16"/>
        </w:rPr>
        <w:t xml:space="preserve"> </w:t>
      </w:r>
      <w:r w:rsidRPr="00D844A0">
        <w:rPr>
          <w:rFonts w:ascii="Verdana" w:eastAsia="Verdana" w:hAnsi="Verdana" w:cs="Verdana"/>
          <w:sz w:val="16"/>
          <w:szCs w:val="16"/>
        </w:rPr>
        <w:t>Corte Constitucional. Sentencia C-644 de 2016. M.P: Alejandro Linares Cantillo</w:t>
      </w:r>
    </w:p>
  </w:footnote>
  <w:footnote w:id="20">
    <w:p w14:paraId="3D4FD3B4" w14:textId="77777777" w:rsidR="00404C23" w:rsidRPr="0049722A" w:rsidRDefault="00404C23" w:rsidP="00404C23">
      <w:pPr>
        <w:pStyle w:val="Textonotapie"/>
        <w:ind w:firstLine="708"/>
        <w:jc w:val="both"/>
        <w:rPr>
          <w:rFonts w:ascii="Verdana" w:hAnsi="Verdana" w:cs="Arial"/>
          <w:sz w:val="16"/>
          <w:szCs w:val="16"/>
        </w:rPr>
      </w:pPr>
      <w:r w:rsidRPr="0049722A">
        <w:rPr>
          <w:rStyle w:val="Refdenotaalpie"/>
          <w:rFonts w:ascii="Verdana" w:hAnsi="Verdana" w:cs="Arial"/>
          <w:sz w:val="16"/>
          <w:szCs w:val="16"/>
        </w:rPr>
        <w:footnoteRef/>
      </w:r>
      <w:r>
        <w:rPr>
          <w:rFonts w:ascii="Verdana" w:hAnsi="Verdana" w:cs="Arial"/>
          <w:sz w:val="16"/>
          <w:szCs w:val="16"/>
        </w:rPr>
        <w:t xml:space="preserve"> Ley 1437 de 2011: “</w:t>
      </w:r>
      <w:r w:rsidRPr="0049722A">
        <w:rPr>
          <w:rFonts w:ascii="Verdana" w:hAnsi="Verdana" w:cs="Arial"/>
          <w:sz w:val="16"/>
          <w:szCs w:val="16"/>
        </w:rPr>
        <w:t>Artículo 2°.</w:t>
      </w:r>
      <w:r>
        <w:rPr>
          <w:rFonts w:ascii="Verdana" w:hAnsi="Verdana" w:cs="Arial"/>
          <w:sz w:val="16"/>
          <w:szCs w:val="16"/>
        </w:rPr>
        <w:t xml:space="preserve"> </w:t>
      </w:r>
      <w:r w:rsidRPr="0049722A">
        <w:rPr>
          <w:rFonts w:ascii="Verdana" w:hAnsi="Verdana" w:cs="Arial"/>
          <w:sz w:val="16"/>
          <w:szCs w:val="16"/>
        </w:rPr>
        <w:t xml:space="preserve">Ámbito de aplicación. Las normas de esta Parte Primera del Código se aplican a todos los organismos y entidades que conforman las ramas del poder público en sus distintos órdenes, sectores y niveles, a los órganos autónomos e independientes del Estado y a los particulares, cuando cumplan funciones administrativas. A todos ellos se les dará el nombre de autoridades. </w:t>
      </w:r>
    </w:p>
    <w:p w14:paraId="3A798159" w14:textId="77777777" w:rsidR="00404C23" w:rsidRPr="0049722A" w:rsidRDefault="00404C23" w:rsidP="00404C23">
      <w:pPr>
        <w:pStyle w:val="Textonotapie"/>
        <w:ind w:firstLine="708"/>
        <w:jc w:val="both"/>
        <w:rPr>
          <w:rFonts w:ascii="Verdana" w:hAnsi="Verdana" w:cs="Arial"/>
          <w:sz w:val="16"/>
          <w:szCs w:val="16"/>
        </w:rPr>
      </w:pPr>
      <w:r w:rsidRPr="0049722A">
        <w:rPr>
          <w:rFonts w:ascii="Verdana" w:hAnsi="Verdana" w:cs="Arial"/>
          <w:sz w:val="16"/>
          <w:szCs w:val="16"/>
        </w:rPr>
        <w:t xml:space="preserve">Las disposiciones de esta Parte Primera no se aplicarán en los procedimientos militares o de policía que por su naturaleza requieran decisiones de aplicación inmediata, para evitar o remediar perturbaciones de orden público en los aspectos de defensa nacional, seguridad, tranquilidad, salubridad, y circulación de personas y cosas. Tampoco se aplicarán para ejercer la facultad de libre nombramiento y remoción. </w:t>
      </w:r>
    </w:p>
    <w:p w14:paraId="62640ED1" w14:textId="77777777" w:rsidR="00404C23" w:rsidRPr="0049722A" w:rsidRDefault="00404C23" w:rsidP="00404C23">
      <w:pPr>
        <w:pStyle w:val="Textonotapie"/>
        <w:ind w:firstLine="708"/>
        <w:jc w:val="both"/>
        <w:rPr>
          <w:rFonts w:ascii="Verdana" w:hAnsi="Verdana" w:cs="Arial"/>
          <w:sz w:val="16"/>
          <w:szCs w:val="16"/>
        </w:rPr>
      </w:pPr>
      <w:r w:rsidRPr="0049722A">
        <w:rPr>
          <w:rFonts w:ascii="Verdana" w:hAnsi="Verdana" w:cs="Arial"/>
          <w:sz w:val="16"/>
          <w:szCs w:val="16"/>
        </w:rPr>
        <w:t>Las autoridades sujetarán sus actuaciones a los procedimientos que se establecen en este Código, sin perjuicio de los procedimientos regulados en leyes especiales. En lo no previsto en los mismos se aplicarán las disposiciones de este Código</w:t>
      </w:r>
      <w:r>
        <w:rPr>
          <w:rFonts w:ascii="Verdana" w:hAnsi="Verdana" w:cs="Arial"/>
          <w:sz w:val="16"/>
          <w:szCs w:val="16"/>
        </w:rPr>
        <w:t>”</w:t>
      </w:r>
      <w:r w:rsidRPr="0049722A">
        <w:rPr>
          <w:rFonts w:ascii="Verdana" w:hAnsi="Verdana"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66CCB" w14:textId="77777777" w:rsidR="00843DAC" w:rsidRDefault="00CA0EDB">
    <w:pPr>
      <w:pBdr>
        <w:top w:val="nil"/>
        <w:left w:val="nil"/>
        <w:bottom w:val="nil"/>
        <w:right w:val="nil"/>
        <w:between w:val="nil"/>
      </w:pBdr>
      <w:tabs>
        <w:tab w:val="center" w:pos="4419"/>
        <w:tab w:val="right" w:pos="8838"/>
      </w:tabs>
      <w:spacing w:line="120" w:lineRule="auto"/>
      <w:rPr>
        <w:color w:val="000000"/>
      </w:rPr>
    </w:pPr>
    <w:r>
      <w:rPr>
        <w:rFonts w:ascii="Geom" w:eastAsia="Geom" w:hAnsi="Geom" w:cs="Geom"/>
        <w:b/>
        <w:bCs/>
        <w:noProof/>
        <w:color w:val="002060"/>
      </w:rPr>
      <w:drawing>
        <wp:anchor distT="0" distB="0" distL="114300" distR="114300" simplePos="0" relativeHeight="251658240" behindDoc="0" locked="0" layoutInCell="1" hidden="0" allowOverlap="1" wp14:anchorId="50DA7FEB" wp14:editId="696A39C1">
          <wp:simplePos x="0" y="0"/>
          <wp:positionH relativeFrom="margin">
            <wp:posOffset>8420100</wp:posOffset>
          </wp:positionH>
          <wp:positionV relativeFrom="margin">
            <wp:posOffset>-1377948</wp:posOffset>
          </wp:positionV>
          <wp:extent cx="665480" cy="30988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65480" cy="3098800"/>
                  </a:xfrm>
                  <a:prstGeom prst="rect">
                    <a:avLst/>
                  </a:prstGeom>
                  <a:ln/>
                </pic:spPr>
              </pic:pic>
            </a:graphicData>
          </a:graphic>
        </wp:anchor>
      </w:drawing>
    </w:r>
    <w:r>
      <w:rPr>
        <w:noProof/>
      </w:rPr>
      <w:drawing>
        <wp:anchor distT="0" distB="0" distL="0" distR="0" simplePos="0" relativeHeight="251659264" behindDoc="1" locked="0" layoutInCell="1" hidden="0" allowOverlap="1" wp14:anchorId="2B3683B8" wp14:editId="6568052E">
          <wp:simplePos x="0" y="0"/>
          <wp:positionH relativeFrom="column">
            <wp:posOffset>1844039</wp:posOffset>
          </wp:positionH>
          <wp:positionV relativeFrom="paragraph">
            <wp:posOffset>-256384</wp:posOffset>
          </wp:positionV>
          <wp:extent cx="1924050" cy="856004"/>
          <wp:effectExtent l="0" t="0" r="0" b="0"/>
          <wp:wrapNone/>
          <wp:docPr id="2" name="image2.png" descr="Imagen que contiene 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magen que contiene Interfaz de usuario gráfica&#10;&#10;Descripción generada automáticamente"/>
                  <pic:cNvPicPr preferRelativeResize="0"/>
                </pic:nvPicPr>
                <pic:blipFill>
                  <a:blip r:embed="rId2"/>
                  <a:srcRect/>
                  <a:stretch>
                    <a:fillRect/>
                  </a:stretch>
                </pic:blipFill>
                <pic:spPr>
                  <a:xfrm>
                    <a:off x="0" y="0"/>
                    <a:ext cx="1924050" cy="856004"/>
                  </a:xfrm>
                  <a:prstGeom prst="rect">
                    <a:avLst/>
                  </a:prstGeom>
                  <a:ln/>
                </pic:spPr>
              </pic:pic>
            </a:graphicData>
          </a:graphic>
        </wp:anchor>
      </w:drawing>
    </w:r>
  </w:p>
  <w:p w14:paraId="58E8822F" w14:textId="77777777" w:rsidR="00843DAC" w:rsidRDefault="00843DAC">
    <w:pPr>
      <w:pBdr>
        <w:top w:val="nil"/>
        <w:left w:val="nil"/>
        <w:bottom w:val="nil"/>
        <w:right w:val="nil"/>
        <w:between w:val="nil"/>
      </w:pBdr>
      <w:tabs>
        <w:tab w:val="center" w:pos="4419"/>
        <w:tab w:val="right" w:pos="8838"/>
      </w:tabs>
      <w:rPr>
        <w:color w:val="000000"/>
      </w:rPr>
    </w:pPr>
  </w:p>
  <w:p w14:paraId="6AD72821" w14:textId="77777777" w:rsidR="00843DAC" w:rsidRDefault="00843DAC">
    <w:pPr>
      <w:spacing w:line="120" w:lineRule="auto"/>
      <w:rPr>
        <w:rFonts w:ascii="Century Gothic" w:eastAsia="Century Gothic" w:hAnsi="Century Gothic" w:cs="Century Gothic"/>
        <w:sz w:val="16"/>
        <w:szCs w:val="16"/>
      </w:rPr>
    </w:pPr>
  </w:p>
  <w:p w14:paraId="5B2B58C5" w14:textId="77777777" w:rsidR="00843DAC" w:rsidRDefault="00843DAC">
    <w:pPr>
      <w:rPr>
        <w:rFonts w:ascii="Verdana" w:eastAsia="Verdana" w:hAnsi="Verdana" w:cs="Verdana"/>
      </w:rPr>
    </w:pPr>
  </w:p>
  <w:p w14:paraId="28F9753B" w14:textId="77777777" w:rsidR="00843DAC" w:rsidRDefault="00843DAC">
    <w:pPr>
      <w:rPr>
        <w:rFonts w:ascii="Verdana" w:eastAsia="Verdana" w:hAnsi="Verdana" w:cs="Verdana"/>
      </w:rPr>
    </w:pPr>
  </w:p>
  <w:p w14:paraId="05130EFC" w14:textId="77777777" w:rsidR="00843DAC" w:rsidRDefault="00CA0EDB">
    <w:pPr>
      <w:spacing w:line="480" w:lineRule="auto"/>
      <w:rPr>
        <w:rFonts w:ascii="Verdana" w:eastAsia="Verdana" w:hAnsi="Verdana" w:cs="Verdana"/>
        <w:b/>
        <w:bCs/>
      </w:rPr>
    </w:pPr>
    <w:r>
      <w:rPr>
        <w:rFonts w:ascii="Verdana" w:eastAsia="Verdana" w:hAnsi="Verdana" w:cs="Verdana"/>
        <w:b/>
        <w:bCs/>
      </w:rPr>
      <w:t>FORMATO DE RESPUESTA 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3732"/>
    <w:multiLevelType w:val="multilevel"/>
    <w:tmpl w:val="7060749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E160A84"/>
    <w:multiLevelType w:val="hybridMultilevel"/>
    <w:tmpl w:val="D6005E3A"/>
    <w:lvl w:ilvl="0" w:tplc="25404A60">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10AC3E38"/>
    <w:multiLevelType w:val="hybridMultilevel"/>
    <w:tmpl w:val="D30AB496"/>
    <w:lvl w:ilvl="0" w:tplc="2394502A">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4680BBB"/>
    <w:multiLevelType w:val="hybridMultilevel"/>
    <w:tmpl w:val="DAD6F936"/>
    <w:lvl w:ilvl="0" w:tplc="4276075E">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B471867"/>
    <w:multiLevelType w:val="multilevel"/>
    <w:tmpl w:val="9E14F608"/>
    <w:lvl w:ilvl="0">
      <w:start w:val="1"/>
      <w:numFmt w:val="bullet"/>
      <w:lvlText w:val="●"/>
      <w:lvlJc w:val="left"/>
      <w:pPr>
        <w:ind w:left="785" w:hanging="360"/>
      </w:pPr>
      <w:rPr>
        <w:rFonts w:ascii="Noto Sans Symbols" w:eastAsia="Noto Sans Symbols" w:hAnsi="Noto Sans Symbols" w:cs="Noto Sans Symbols"/>
        <w:color w:val="000000"/>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5" w15:restartNumberingAfterBreak="0">
    <w:nsid w:val="1E9E3F36"/>
    <w:multiLevelType w:val="hybridMultilevel"/>
    <w:tmpl w:val="9132CD72"/>
    <w:lvl w:ilvl="0" w:tplc="1CCE8374">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BBA7FA5"/>
    <w:multiLevelType w:val="hybridMultilevel"/>
    <w:tmpl w:val="DC985A7E"/>
    <w:lvl w:ilvl="0" w:tplc="040A0001">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44605003"/>
    <w:multiLevelType w:val="multilevel"/>
    <w:tmpl w:val="790408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4A376E75"/>
    <w:multiLevelType w:val="hybridMultilevel"/>
    <w:tmpl w:val="D82A6C86"/>
    <w:lvl w:ilvl="0" w:tplc="27AC34B2">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5E022C0C"/>
    <w:multiLevelType w:val="hybridMultilevel"/>
    <w:tmpl w:val="2CF0726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78C62088"/>
    <w:multiLevelType w:val="hybridMultilevel"/>
    <w:tmpl w:val="DEEC84B2"/>
    <w:lvl w:ilvl="0" w:tplc="86FC1BE0">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79626BE3"/>
    <w:multiLevelType w:val="hybridMultilevel"/>
    <w:tmpl w:val="8432EE54"/>
    <w:lvl w:ilvl="0" w:tplc="DDC0AA8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667442087">
    <w:abstractNumId w:val="7"/>
  </w:num>
  <w:num w:numId="2" w16cid:durableId="1227230317">
    <w:abstractNumId w:val="4"/>
  </w:num>
  <w:num w:numId="3" w16cid:durableId="659309883">
    <w:abstractNumId w:val="0"/>
  </w:num>
  <w:num w:numId="4" w16cid:durableId="2107188546">
    <w:abstractNumId w:val="5"/>
  </w:num>
  <w:num w:numId="5" w16cid:durableId="1015616933">
    <w:abstractNumId w:val="2"/>
  </w:num>
  <w:num w:numId="6" w16cid:durableId="1536651655">
    <w:abstractNumId w:val="3"/>
  </w:num>
  <w:num w:numId="7" w16cid:durableId="485173297">
    <w:abstractNumId w:val="8"/>
  </w:num>
  <w:num w:numId="8" w16cid:durableId="2037122638">
    <w:abstractNumId w:val="1"/>
  </w:num>
  <w:num w:numId="9" w16cid:durableId="1560821191">
    <w:abstractNumId w:val="11"/>
  </w:num>
  <w:num w:numId="10" w16cid:durableId="1448424139">
    <w:abstractNumId w:val="9"/>
  </w:num>
  <w:num w:numId="11" w16cid:durableId="1589729571">
    <w:abstractNumId w:val="6"/>
  </w:num>
  <w:num w:numId="12" w16cid:durableId="1720779514">
    <w:abstractNumId w:val="12"/>
  </w:num>
  <w:num w:numId="13" w16cid:durableId="3903498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DAC"/>
    <w:rsid w:val="0000494B"/>
    <w:rsid w:val="000050A9"/>
    <w:rsid w:val="0001324F"/>
    <w:rsid w:val="00014FC4"/>
    <w:rsid w:val="00015385"/>
    <w:rsid w:val="00015DC0"/>
    <w:rsid w:val="00016FBD"/>
    <w:rsid w:val="000170D6"/>
    <w:rsid w:val="000175C3"/>
    <w:rsid w:val="00025D74"/>
    <w:rsid w:val="00034DC2"/>
    <w:rsid w:val="0003537D"/>
    <w:rsid w:val="00036C65"/>
    <w:rsid w:val="000465D8"/>
    <w:rsid w:val="00047608"/>
    <w:rsid w:val="00050765"/>
    <w:rsid w:val="00051B23"/>
    <w:rsid w:val="000560B7"/>
    <w:rsid w:val="000565B4"/>
    <w:rsid w:val="00061A44"/>
    <w:rsid w:val="00086199"/>
    <w:rsid w:val="00092718"/>
    <w:rsid w:val="000A41BF"/>
    <w:rsid w:val="000A4799"/>
    <w:rsid w:val="000B182B"/>
    <w:rsid w:val="000B27F2"/>
    <w:rsid w:val="000B6774"/>
    <w:rsid w:val="000C1969"/>
    <w:rsid w:val="000C2FA0"/>
    <w:rsid w:val="000C43DF"/>
    <w:rsid w:val="000C7A4A"/>
    <w:rsid w:val="000D1B48"/>
    <w:rsid w:val="000D76E3"/>
    <w:rsid w:val="000F52F3"/>
    <w:rsid w:val="000F6648"/>
    <w:rsid w:val="00107A51"/>
    <w:rsid w:val="0011143B"/>
    <w:rsid w:val="001158AE"/>
    <w:rsid w:val="00123785"/>
    <w:rsid w:val="00124A51"/>
    <w:rsid w:val="00126698"/>
    <w:rsid w:val="00126882"/>
    <w:rsid w:val="00132E88"/>
    <w:rsid w:val="0015112D"/>
    <w:rsid w:val="00153D33"/>
    <w:rsid w:val="0016425C"/>
    <w:rsid w:val="00173919"/>
    <w:rsid w:val="00177316"/>
    <w:rsid w:val="00195CCD"/>
    <w:rsid w:val="001A0061"/>
    <w:rsid w:val="001A03ED"/>
    <w:rsid w:val="001A4E7C"/>
    <w:rsid w:val="001B030A"/>
    <w:rsid w:val="001B6D99"/>
    <w:rsid w:val="001C0326"/>
    <w:rsid w:val="001C6E78"/>
    <w:rsid w:val="001E4738"/>
    <w:rsid w:val="001E6AE5"/>
    <w:rsid w:val="001F5D8F"/>
    <w:rsid w:val="00200EC1"/>
    <w:rsid w:val="002114BB"/>
    <w:rsid w:val="00214B88"/>
    <w:rsid w:val="00222386"/>
    <w:rsid w:val="00222E04"/>
    <w:rsid w:val="0022517D"/>
    <w:rsid w:val="0023481A"/>
    <w:rsid w:val="00251147"/>
    <w:rsid w:val="00253124"/>
    <w:rsid w:val="00256C9D"/>
    <w:rsid w:val="00261AF5"/>
    <w:rsid w:val="002624B9"/>
    <w:rsid w:val="00262A24"/>
    <w:rsid w:val="00271E8D"/>
    <w:rsid w:val="00272D62"/>
    <w:rsid w:val="00272FB7"/>
    <w:rsid w:val="00274F53"/>
    <w:rsid w:val="002769E9"/>
    <w:rsid w:val="00281BC5"/>
    <w:rsid w:val="002875AA"/>
    <w:rsid w:val="00291BFB"/>
    <w:rsid w:val="002A0808"/>
    <w:rsid w:val="002A2897"/>
    <w:rsid w:val="002A3113"/>
    <w:rsid w:val="002A5679"/>
    <w:rsid w:val="002B0F09"/>
    <w:rsid w:val="002D14B9"/>
    <w:rsid w:val="002D2153"/>
    <w:rsid w:val="002D366D"/>
    <w:rsid w:val="002E3583"/>
    <w:rsid w:val="002F30D0"/>
    <w:rsid w:val="002F3816"/>
    <w:rsid w:val="0030214F"/>
    <w:rsid w:val="00304271"/>
    <w:rsid w:val="00311AF4"/>
    <w:rsid w:val="00315DEE"/>
    <w:rsid w:val="00321D9F"/>
    <w:rsid w:val="003229BB"/>
    <w:rsid w:val="003254BD"/>
    <w:rsid w:val="00327462"/>
    <w:rsid w:val="00327AC8"/>
    <w:rsid w:val="00336504"/>
    <w:rsid w:val="003366E7"/>
    <w:rsid w:val="003427B5"/>
    <w:rsid w:val="00346B01"/>
    <w:rsid w:val="00350A9F"/>
    <w:rsid w:val="00373A5D"/>
    <w:rsid w:val="003812C8"/>
    <w:rsid w:val="003821A6"/>
    <w:rsid w:val="00382A50"/>
    <w:rsid w:val="00385265"/>
    <w:rsid w:val="003856C6"/>
    <w:rsid w:val="00385D74"/>
    <w:rsid w:val="00390154"/>
    <w:rsid w:val="003A3F2E"/>
    <w:rsid w:val="003A461D"/>
    <w:rsid w:val="003B06FD"/>
    <w:rsid w:val="003B0957"/>
    <w:rsid w:val="003B1E23"/>
    <w:rsid w:val="003B38FA"/>
    <w:rsid w:val="003B5715"/>
    <w:rsid w:val="003B783D"/>
    <w:rsid w:val="003C4B86"/>
    <w:rsid w:val="003C50EE"/>
    <w:rsid w:val="003D32F9"/>
    <w:rsid w:val="003E04FD"/>
    <w:rsid w:val="003E316B"/>
    <w:rsid w:val="003E77FB"/>
    <w:rsid w:val="003E7FD4"/>
    <w:rsid w:val="003F28AF"/>
    <w:rsid w:val="003F496F"/>
    <w:rsid w:val="003F4E49"/>
    <w:rsid w:val="00404C23"/>
    <w:rsid w:val="00411AB2"/>
    <w:rsid w:val="00412ADC"/>
    <w:rsid w:val="004275C5"/>
    <w:rsid w:val="0043205B"/>
    <w:rsid w:val="004325CF"/>
    <w:rsid w:val="004451C2"/>
    <w:rsid w:val="004649FA"/>
    <w:rsid w:val="00470DC2"/>
    <w:rsid w:val="00473195"/>
    <w:rsid w:val="0047426F"/>
    <w:rsid w:val="00477480"/>
    <w:rsid w:val="00480EEF"/>
    <w:rsid w:val="004834F5"/>
    <w:rsid w:val="004A072D"/>
    <w:rsid w:val="004B1F38"/>
    <w:rsid w:val="004B2A89"/>
    <w:rsid w:val="004D279C"/>
    <w:rsid w:val="004D46D3"/>
    <w:rsid w:val="004F150C"/>
    <w:rsid w:val="004F3F37"/>
    <w:rsid w:val="004F6330"/>
    <w:rsid w:val="004F7CCD"/>
    <w:rsid w:val="0050257A"/>
    <w:rsid w:val="005062E4"/>
    <w:rsid w:val="00510412"/>
    <w:rsid w:val="00511337"/>
    <w:rsid w:val="0052078A"/>
    <w:rsid w:val="005232CA"/>
    <w:rsid w:val="005279D5"/>
    <w:rsid w:val="005352A1"/>
    <w:rsid w:val="00557BDA"/>
    <w:rsid w:val="005641EE"/>
    <w:rsid w:val="00567007"/>
    <w:rsid w:val="005861B1"/>
    <w:rsid w:val="00587C15"/>
    <w:rsid w:val="00590FF5"/>
    <w:rsid w:val="00592043"/>
    <w:rsid w:val="00594178"/>
    <w:rsid w:val="00596086"/>
    <w:rsid w:val="005A6188"/>
    <w:rsid w:val="005A7B94"/>
    <w:rsid w:val="005B4FF1"/>
    <w:rsid w:val="005B7D33"/>
    <w:rsid w:val="005C17BC"/>
    <w:rsid w:val="005C5C2C"/>
    <w:rsid w:val="005E1EB5"/>
    <w:rsid w:val="005F696A"/>
    <w:rsid w:val="00602D46"/>
    <w:rsid w:val="00604DD5"/>
    <w:rsid w:val="0060616B"/>
    <w:rsid w:val="0062331C"/>
    <w:rsid w:val="00634E7C"/>
    <w:rsid w:val="00640F41"/>
    <w:rsid w:val="00644494"/>
    <w:rsid w:val="0066464F"/>
    <w:rsid w:val="00675887"/>
    <w:rsid w:val="006868B3"/>
    <w:rsid w:val="006A7B2B"/>
    <w:rsid w:val="006C146E"/>
    <w:rsid w:val="006C21D0"/>
    <w:rsid w:val="006C6B3F"/>
    <w:rsid w:val="006D0E1F"/>
    <w:rsid w:val="006D3A75"/>
    <w:rsid w:val="006E33E4"/>
    <w:rsid w:val="006F35B1"/>
    <w:rsid w:val="00706C82"/>
    <w:rsid w:val="00726B2E"/>
    <w:rsid w:val="00745E05"/>
    <w:rsid w:val="00750B60"/>
    <w:rsid w:val="00751D38"/>
    <w:rsid w:val="00752B93"/>
    <w:rsid w:val="00766622"/>
    <w:rsid w:val="00766AFC"/>
    <w:rsid w:val="007754E3"/>
    <w:rsid w:val="007800AE"/>
    <w:rsid w:val="007A2AE6"/>
    <w:rsid w:val="007A3FEA"/>
    <w:rsid w:val="007B07A5"/>
    <w:rsid w:val="007C4C1D"/>
    <w:rsid w:val="007D0793"/>
    <w:rsid w:val="007F5B7B"/>
    <w:rsid w:val="00810B59"/>
    <w:rsid w:val="00811026"/>
    <w:rsid w:val="00814071"/>
    <w:rsid w:val="00817219"/>
    <w:rsid w:val="008214E1"/>
    <w:rsid w:val="00822FCC"/>
    <w:rsid w:val="008259BA"/>
    <w:rsid w:val="00830A63"/>
    <w:rsid w:val="008314F9"/>
    <w:rsid w:val="00840DF0"/>
    <w:rsid w:val="00843DAC"/>
    <w:rsid w:val="008512AA"/>
    <w:rsid w:val="0085493A"/>
    <w:rsid w:val="00872DA4"/>
    <w:rsid w:val="008745ED"/>
    <w:rsid w:val="008755EC"/>
    <w:rsid w:val="0087725F"/>
    <w:rsid w:val="008821F6"/>
    <w:rsid w:val="00882899"/>
    <w:rsid w:val="0088580B"/>
    <w:rsid w:val="008A5D4C"/>
    <w:rsid w:val="008A6781"/>
    <w:rsid w:val="008A7C8A"/>
    <w:rsid w:val="008A7DD9"/>
    <w:rsid w:val="008B2A23"/>
    <w:rsid w:val="008B5F92"/>
    <w:rsid w:val="008B6D1F"/>
    <w:rsid w:val="008D6BE2"/>
    <w:rsid w:val="008E2793"/>
    <w:rsid w:val="008E2943"/>
    <w:rsid w:val="00925909"/>
    <w:rsid w:val="00941AE4"/>
    <w:rsid w:val="00962DC5"/>
    <w:rsid w:val="00970D8F"/>
    <w:rsid w:val="00971428"/>
    <w:rsid w:val="00971A7B"/>
    <w:rsid w:val="0097651A"/>
    <w:rsid w:val="00980CA9"/>
    <w:rsid w:val="00983F5B"/>
    <w:rsid w:val="0099078E"/>
    <w:rsid w:val="009937E2"/>
    <w:rsid w:val="009A044C"/>
    <w:rsid w:val="009A532A"/>
    <w:rsid w:val="009B614C"/>
    <w:rsid w:val="009C5C3E"/>
    <w:rsid w:val="009C7EE2"/>
    <w:rsid w:val="009D1B9D"/>
    <w:rsid w:val="009D68A8"/>
    <w:rsid w:val="009E4D64"/>
    <w:rsid w:val="009E7ADC"/>
    <w:rsid w:val="009F2095"/>
    <w:rsid w:val="00A01487"/>
    <w:rsid w:val="00A037A5"/>
    <w:rsid w:val="00A26D8B"/>
    <w:rsid w:val="00A302A0"/>
    <w:rsid w:val="00A64102"/>
    <w:rsid w:val="00A71BCE"/>
    <w:rsid w:val="00A72869"/>
    <w:rsid w:val="00A8628A"/>
    <w:rsid w:val="00A86750"/>
    <w:rsid w:val="00A87B65"/>
    <w:rsid w:val="00A919EB"/>
    <w:rsid w:val="00AA1017"/>
    <w:rsid w:val="00AB0195"/>
    <w:rsid w:val="00AC5CFC"/>
    <w:rsid w:val="00AD0A3D"/>
    <w:rsid w:val="00AD1D84"/>
    <w:rsid w:val="00B06D4E"/>
    <w:rsid w:val="00B11999"/>
    <w:rsid w:val="00B121F0"/>
    <w:rsid w:val="00B142D1"/>
    <w:rsid w:val="00B14E19"/>
    <w:rsid w:val="00B26AEF"/>
    <w:rsid w:val="00B320CC"/>
    <w:rsid w:val="00B35AD3"/>
    <w:rsid w:val="00B5018B"/>
    <w:rsid w:val="00B54FE0"/>
    <w:rsid w:val="00B62BE7"/>
    <w:rsid w:val="00B74B07"/>
    <w:rsid w:val="00B80C4F"/>
    <w:rsid w:val="00B933FF"/>
    <w:rsid w:val="00B956FC"/>
    <w:rsid w:val="00BA0019"/>
    <w:rsid w:val="00BA6B60"/>
    <w:rsid w:val="00BB1BAF"/>
    <w:rsid w:val="00BB2DF9"/>
    <w:rsid w:val="00BB734C"/>
    <w:rsid w:val="00BC0E84"/>
    <w:rsid w:val="00BC5B0D"/>
    <w:rsid w:val="00BD3070"/>
    <w:rsid w:val="00BE229C"/>
    <w:rsid w:val="00BF1B2B"/>
    <w:rsid w:val="00BF2884"/>
    <w:rsid w:val="00C060CC"/>
    <w:rsid w:val="00C30F11"/>
    <w:rsid w:val="00C4001F"/>
    <w:rsid w:val="00C42924"/>
    <w:rsid w:val="00C43FEE"/>
    <w:rsid w:val="00C47E0A"/>
    <w:rsid w:val="00C55B5B"/>
    <w:rsid w:val="00C56358"/>
    <w:rsid w:val="00C7600C"/>
    <w:rsid w:val="00C84353"/>
    <w:rsid w:val="00C85402"/>
    <w:rsid w:val="00C904BB"/>
    <w:rsid w:val="00C90DD6"/>
    <w:rsid w:val="00C93F30"/>
    <w:rsid w:val="00C95CB0"/>
    <w:rsid w:val="00C95DD6"/>
    <w:rsid w:val="00CA0EDB"/>
    <w:rsid w:val="00CB07BE"/>
    <w:rsid w:val="00CC2D89"/>
    <w:rsid w:val="00CD201F"/>
    <w:rsid w:val="00CD4F3A"/>
    <w:rsid w:val="00CE23CC"/>
    <w:rsid w:val="00CE383B"/>
    <w:rsid w:val="00CE5046"/>
    <w:rsid w:val="00CE7C89"/>
    <w:rsid w:val="00CF3F9F"/>
    <w:rsid w:val="00D00C69"/>
    <w:rsid w:val="00D044B2"/>
    <w:rsid w:val="00D102AC"/>
    <w:rsid w:val="00D1175F"/>
    <w:rsid w:val="00D14375"/>
    <w:rsid w:val="00D17BFC"/>
    <w:rsid w:val="00D26149"/>
    <w:rsid w:val="00D367DC"/>
    <w:rsid w:val="00D37709"/>
    <w:rsid w:val="00D40DF4"/>
    <w:rsid w:val="00D4120D"/>
    <w:rsid w:val="00D44C72"/>
    <w:rsid w:val="00D46A92"/>
    <w:rsid w:val="00D51421"/>
    <w:rsid w:val="00D51A28"/>
    <w:rsid w:val="00D569C7"/>
    <w:rsid w:val="00D649EB"/>
    <w:rsid w:val="00D67452"/>
    <w:rsid w:val="00D76462"/>
    <w:rsid w:val="00D81923"/>
    <w:rsid w:val="00D844A0"/>
    <w:rsid w:val="00D964BC"/>
    <w:rsid w:val="00DA10BD"/>
    <w:rsid w:val="00DB6AF8"/>
    <w:rsid w:val="00DC67D9"/>
    <w:rsid w:val="00DC74F9"/>
    <w:rsid w:val="00DC75CF"/>
    <w:rsid w:val="00DD1100"/>
    <w:rsid w:val="00DD5E2A"/>
    <w:rsid w:val="00DD75C5"/>
    <w:rsid w:val="00DF46F5"/>
    <w:rsid w:val="00DF645F"/>
    <w:rsid w:val="00DF762C"/>
    <w:rsid w:val="00E1743D"/>
    <w:rsid w:val="00E17CB2"/>
    <w:rsid w:val="00E2290A"/>
    <w:rsid w:val="00E23338"/>
    <w:rsid w:val="00E23F66"/>
    <w:rsid w:val="00E25BE8"/>
    <w:rsid w:val="00E332F9"/>
    <w:rsid w:val="00E34E8E"/>
    <w:rsid w:val="00E42230"/>
    <w:rsid w:val="00E47A7F"/>
    <w:rsid w:val="00E5078D"/>
    <w:rsid w:val="00E5559A"/>
    <w:rsid w:val="00E71BF0"/>
    <w:rsid w:val="00E72955"/>
    <w:rsid w:val="00E75187"/>
    <w:rsid w:val="00E945C9"/>
    <w:rsid w:val="00EA0D8E"/>
    <w:rsid w:val="00EA790B"/>
    <w:rsid w:val="00EC0C96"/>
    <w:rsid w:val="00EC5899"/>
    <w:rsid w:val="00ED125B"/>
    <w:rsid w:val="00ED50A7"/>
    <w:rsid w:val="00ED6335"/>
    <w:rsid w:val="00F0689D"/>
    <w:rsid w:val="00F076E8"/>
    <w:rsid w:val="00F07F95"/>
    <w:rsid w:val="00F1442E"/>
    <w:rsid w:val="00F1675F"/>
    <w:rsid w:val="00F178EC"/>
    <w:rsid w:val="00F21C74"/>
    <w:rsid w:val="00F23147"/>
    <w:rsid w:val="00F23306"/>
    <w:rsid w:val="00F23791"/>
    <w:rsid w:val="00F358E9"/>
    <w:rsid w:val="00F424DE"/>
    <w:rsid w:val="00F42CB5"/>
    <w:rsid w:val="00F660C5"/>
    <w:rsid w:val="00F76EC3"/>
    <w:rsid w:val="00F8084F"/>
    <w:rsid w:val="00F828C0"/>
    <w:rsid w:val="00F84878"/>
    <w:rsid w:val="00F87E22"/>
    <w:rsid w:val="00F96820"/>
    <w:rsid w:val="00FA1AD5"/>
    <w:rsid w:val="00FA25D9"/>
    <w:rsid w:val="00FA50EC"/>
    <w:rsid w:val="00FB310B"/>
    <w:rsid w:val="00FB59C8"/>
    <w:rsid w:val="00FD0CC9"/>
    <w:rsid w:val="00FD4AE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F7F69"/>
  <w15:docId w15:val="{B608B1AF-286C-9442-9FB9-539B64C67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ES_trad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E49"/>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rPr>
      <w:rFonts w:ascii="Geom" w:eastAsia="Geom" w:hAnsi="Geom" w:cs="Geom"/>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0" w:type="dxa"/>
        <w:bottom w:w="0" w:type="dxa"/>
        <w:right w:w="0"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Prrafodelista">
    <w:name w:val="List Paragraph"/>
    <w:basedOn w:val="Normal"/>
    <w:uiPriority w:val="34"/>
    <w:qFormat/>
    <w:rsid w:val="00557BDA"/>
    <w:pPr>
      <w:ind w:left="720"/>
      <w:contextualSpacing/>
    </w:pPr>
  </w:style>
  <w:style w:type="paragraph" w:styleId="Textonotapie">
    <w:name w:val="footnote text"/>
    <w:basedOn w:val="Normal"/>
    <w:link w:val="TextonotapieCar"/>
    <w:uiPriority w:val="99"/>
    <w:semiHidden/>
    <w:unhideWhenUsed/>
    <w:rsid w:val="00F1675F"/>
    <w:rPr>
      <w:sz w:val="20"/>
      <w:szCs w:val="20"/>
    </w:rPr>
  </w:style>
  <w:style w:type="character" w:customStyle="1" w:styleId="TextonotapieCar">
    <w:name w:val="Texto nota pie Car"/>
    <w:basedOn w:val="Fuentedeprrafopredeter"/>
    <w:link w:val="Textonotapie"/>
    <w:uiPriority w:val="99"/>
    <w:semiHidden/>
    <w:rsid w:val="00F1675F"/>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F1675F"/>
    <w:rPr>
      <w:vertAlign w:val="superscript"/>
    </w:rPr>
  </w:style>
  <w:style w:type="paragraph" w:styleId="Textoindependiente">
    <w:name w:val="Body Text"/>
    <w:basedOn w:val="Normal"/>
    <w:link w:val="TextoindependienteCar"/>
    <w:uiPriority w:val="1"/>
    <w:qFormat/>
    <w:rsid w:val="0011143B"/>
    <w:pPr>
      <w:widowControl w:val="0"/>
      <w:autoSpaceDE w:val="0"/>
      <w:autoSpaceDN w:val="0"/>
    </w:pPr>
    <w:rPr>
      <w:rFonts w:ascii="Verdana" w:eastAsia="Verdana" w:hAnsi="Verdana" w:cs="Verdana"/>
      <w:lang w:val="es-ES" w:eastAsia="en-US"/>
    </w:rPr>
  </w:style>
  <w:style w:type="character" w:customStyle="1" w:styleId="TextoindependienteCar">
    <w:name w:val="Texto independiente Car"/>
    <w:basedOn w:val="Fuentedeprrafopredeter"/>
    <w:link w:val="Textoindependiente"/>
    <w:uiPriority w:val="1"/>
    <w:rsid w:val="0011143B"/>
    <w:rPr>
      <w:rFonts w:ascii="Verdana" w:eastAsia="Verdana" w:hAnsi="Verdana" w:cs="Verdana"/>
      <w:lang w:val="es-ES" w:eastAsia="en-US"/>
    </w:rPr>
  </w:style>
  <w:style w:type="paragraph" w:styleId="Revisin">
    <w:name w:val="Revision"/>
    <w:hidden/>
    <w:uiPriority w:val="99"/>
    <w:semiHidden/>
    <w:rsid w:val="00262A24"/>
    <w:pPr>
      <w:spacing w:after="0" w:line="240" w:lineRule="auto"/>
    </w:pPr>
  </w:style>
  <w:style w:type="paragraph" w:styleId="NormalWeb">
    <w:name w:val="Normal (Web)"/>
    <w:basedOn w:val="Normal"/>
    <w:uiPriority w:val="99"/>
    <w:unhideWhenUsed/>
    <w:rsid w:val="00594178"/>
  </w:style>
  <w:style w:type="paragraph" w:customStyle="1" w:styleId="Appelnotedebasde">
    <w:name w:val="Appel note de bas de..."/>
    <w:basedOn w:val="Normal"/>
    <w:link w:val="Refdenotaalpie"/>
    <w:uiPriority w:val="99"/>
    <w:rsid w:val="000D1B48"/>
    <w:pPr>
      <w:spacing w:line="240" w:lineRule="exact"/>
    </w:pPr>
    <w:rPr>
      <w:vertAlign w:val="superscript"/>
    </w:rPr>
  </w:style>
  <w:style w:type="paragraph" w:customStyle="1" w:styleId="pdq2pgselectionanchorcontainer">
    <w:name w:val="pdq2pg_selectionanchorcontainer"/>
    <w:basedOn w:val="Normal"/>
    <w:rsid w:val="004F7CCD"/>
    <w:pPr>
      <w:spacing w:before="100" w:beforeAutospacing="1" w:after="100" w:afterAutospacing="1"/>
    </w:pPr>
  </w:style>
  <w:style w:type="character" w:styleId="Fuerte">
    <w:name w:val="Strong"/>
    <w:basedOn w:val="Fuentedeprrafopredeter"/>
    <w:uiPriority w:val="22"/>
    <w:qFormat/>
    <w:rsid w:val="00126882"/>
    <w:rPr>
      <w:b/>
      <w:bCs/>
    </w:rPr>
  </w:style>
  <w:style w:type="character" w:styleId="Hipervnculo">
    <w:name w:val="Hyperlink"/>
    <w:basedOn w:val="Fuentedeprrafopredeter"/>
    <w:uiPriority w:val="99"/>
    <w:unhideWhenUsed/>
    <w:rsid w:val="002F30D0"/>
    <w:rPr>
      <w:color w:val="0000FF"/>
      <w:u w:val="single"/>
    </w:rPr>
  </w:style>
  <w:style w:type="character" w:styleId="nfasis">
    <w:name w:val="Emphasis"/>
    <w:basedOn w:val="Fuentedeprrafopredeter"/>
    <w:uiPriority w:val="20"/>
    <w:qFormat/>
    <w:rsid w:val="006868B3"/>
    <w:rPr>
      <w:i/>
      <w:iCs/>
    </w:rPr>
  </w:style>
  <w:style w:type="character" w:styleId="Mencinsinresolver">
    <w:name w:val="Unresolved Mention"/>
    <w:basedOn w:val="Fuentedeprrafopredeter"/>
    <w:uiPriority w:val="99"/>
    <w:semiHidden/>
    <w:unhideWhenUsed/>
    <w:rsid w:val="008214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otificacionesjudiciales@minagricultura.gov.co" TargetMode="External"/><Relationship Id="rId18" Type="http://schemas.openxmlformats.org/officeDocument/2006/relationships/hyperlink" Target="https://www.colombiacompra.gov.co/archivos/circular/circular-externa-003-de-2026"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ventanilladeradicacion@colombiacompra.gov.co"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www.colombiacompra.gov.co/archivos/manual/guia-de-garantias-en-procesos-de-contratacio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elatoria.colombiacompra.gov.co/busqueda/conceptos" TargetMode="External"/><Relationship Id="rId20" Type="http://schemas.openxmlformats.org/officeDocument/2006/relationships/hyperlink" Target="https://www.colombiacompra.gov.co/archivos/boletin/boletin-edicion-n-3-de-2026-radar-de-la-compra-public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hyperlink" Target="mailto:eva@funcionpublica.gov.co" TargetMode="External"/><Relationship Id="rId23" Type="http://schemas.openxmlformats.org/officeDocument/2006/relationships/hyperlink" Target="https://forms.office.com/r/pPHyWVs2SZ"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colombiacompra.gov.co/archivos/circular/circular-externa-002-de-202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orge.moncaleano@minagricultura.gov.co" TargetMode="External"/><Relationship Id="rId22" Type="http://schemas.openxmlformats.org/officeDocument/2006/relationships/hyperlink" Target="https://www.colombiacompra.gov.co/pqrsd/informacion-importante-antes-de-formular-una-pqrsd"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DhrqkWZrQnE0ULO6sP8F/XWcwQ==">CgMxLjAaJgoBMBIhCh8IB0IbCgdWZXJkYW5hEhBBcmlhbCBVbmljb2RlIE1TGicKATESIgogCAQqHAoLQUFBQ0MtTVpqTlkQCBoLQUFBQ0MtTVpqTlkaJwoBMhIiCiAIBCocCgtBQUFDQy1NWmpOcxAIGgtBQUFDQy1NWmpOcxomCgEzEiEKHwgHQhsKB1ZlcmRhbmESEEFyaWFsIFVuaWNvZGUgTVMaJgoBNBIhCh8IB0IbCgdWZXJkYW5hEhBBcmlhbCBVbmljb2RlIE1TGiYKATUSIQofCAdCGwoHVmVyZGFuYRIQQXJpYWwgVW5pY29kZSBNUyLMMAoLQUFBQ0MtTVpqTlkSojAKC0FBQUNDLU1aak5ZEgtBQUFDQy1NWmpOWRq8DwoJdGV4dC9odG1sEq4PTGEgcHJlZ3VudGEgMSBjb250aWVuZSBkb3MgaW50ZXJyb2dhbnRlcyBxdWUgZWwgcHJveWVjdG8gbm8gY29udGVzdGEuIFByaW1lcm8sIGVsIHByb2NlZGltaWVudG86IGxhIHJlc3B1ZXN0YSBkZWJlcsOtYSBkZXNjcmliaXIgbGEgc2VjdWVuY2lhIHF1ZSBzZSBkZXNwcmVuZGUgZGVsIGFydMOtY3VsbyA5LCBpbmNpc28gdGVyY2VybywgeSBkZSBsYSBqdXJpc3BydWRlbmNpYTogKGkpIGRlYmVyIGRlbCBjb250cmF0aXN0YSBkZSBpbmZvcm1hciBsYSBjb25maWd1cmFjacOzbiBkZSBsYSBpbmhhYmlsaWRhZCAocHJpbmNpcGlvIGRlIGJ1ZW5hIGZlLCBhcnTDrWN1bG9zIDIzIHkgMjYgZGUgbGEgTGV5IDgwIGRlIDE5OTMpOyAoaWkpIHJlcXVlcmltaWVudG8gZGUgbGEgZW50aWRhZCBhbCBpbnRlZ3JhbnRlIHBhcmEgcXVlIHByZXNlbnRlIGNlc2lvbmFyaW8gZW4gcGxhem8gcmF6b25hYmxlOyAoaWlpKSB2ZXJpZmljYWNpw7NuIGRlbCBjZXNpb25hcmlvLCByZXNwZWN0byBkZWwgY3VhbCBlbCBDb25zZWpvIGRlIEVzdGFkbyBleGlnZSBxdWUgc2VhIHVuIHZlcmRhZGVybyB0ZXJjZXJvLCBjb24gY2FwYWNpZGFkIGp1csOtZGljYSwgbm8gaW5jdXJzbyBlbiBpbmhhYmlsaWRhZGVzIG5pIGluY29tcGF0aWJpbGlkYWRlcywgeSBjb24gY2FwYWNpZGFkIHTDqWNuaWNhLCBlY29uw7NtaWNhIHkgZmluYW5jaWVyYSBzdWZpY2llbnRlcyAocmVxdWlzaXRvcyByZWNvZ2lkb3MgcG9yIGVzdGEgU3ViZGlyZWNjacOzbiBlbiBlbCBDb25jZXB0byBDLTE2OTQgZGUgMjAyNSk7IHkgKGl2KSBhdXRvcml6YWNpw7NuIHByZXZpYSwgZXhwcmVzYSB5IGVzY3JpdGEgZGUgbGEgZW50aWRhZCwgbGEgY3VhbCBubyBlcyBvYmxpZ2F0b3JpYSBwYXJhIGVzdGEsIHB1ZXMgY29uc3RpdHV5ZSB1biBwZXJtaXNvIGN1eWEgcHJvY2VkZW5jaWEganVyw61kaWNhIHkgY29udmVuaWVuY2lhIGRlYmUgYW5hbGl6YXIgbGEgYWRtaW5pc3RyYWNpw7NuLCBjb21vIGxvIHByZWNpc8OzIGxhIFNhbGEgZGUgQ29uc3VsdGEgeSBTZXJ2aWNpbyBDaXZpbCBlbiBlbCBjb25jZXB0byBkZWwgMTcgZGUgbWF5byBkZSAyMDAxLCByYWRpY2FjacOzbiAxLjM0Ni4gU2VndW5kbywgbG9zIGxpbmVhbWllbnRvczogZGViZSByZXNwb25kZXJzZSBleHByZXNhbWVudGUgcXVlIGxhIEFnZW5jaWEgbm8gaGEgZXhwZWRpZG8gbGluZWFtaWVudG9zLCBwcm90b2NvbG9zIG8gZGlyZWN0cmljZXMgZ2VuZXJhbGVzIHNvYnJlIGxhIG1hdGVyaWEgZGlzdGludG9zIGRlIHN1IGRvY3RyaW5hIGNvbnN1bHRpdmEsIGNvbiByZW1pc2nDs24gYWwgU2lzdGVtYSBkZSBSZWxhdG9yw61hLjxicj5BZGljaW9uYWxtZW50ZSwgZWwgcHJveWVjdG8gZGViZSBjb25mcm9udGFyIGxhIGRvY3RyaW5hIHByZXZpYSBkZSBsYSBTdWJkaXJlY2Npw7NuLCBlbiBwYXJ0aWN1bGFyIGVsIENvbmNlcHRvIEMtMDU5IGRlbCAxMyBkZSBqdW5pbyBkZSAyMDIzLCBjb25mb3JtZSBhbCBjdWFsLCBhbnRlIGxhIGluaGFiaWxpZGFkIHNvYnJldmluaWVudGUsIGxhIG5vcm1hdGl2YSBzb2xvIHByZXbDqSBsYXMgZG9zIHNvbHVjaW9uZXMgZGVsIGFydMOtY3VsbyA5IChjZXNpw7NuIG8gcmVudW5jaWEpLCBzYWx2byBlbCByw6lnaW1lbiBlc3BlY2lhbCBkZWwgcGFyw6FncmFmbyAxLCB5IGVsIGNvbnRyYXRvIHNvbG8gcHVlZGUgY29udGludWFyIGVqZWN1dMOhbmRvc2Ugc2kgZWwgaW50ZWdyYW50ZSBhZmVjdGFkbyBjZWRlIHN1IHBhcnRpY2lwYWNpw7NuIGEgdW4gdGVyY2VybyBwcmV2aWEgYXV0b3JpemFjacOzbiBlc2NyaXRhLiBTaSBlbCBjb25jZXB0byBDLTEwNzMgbGxlZ2FyYSBhIHVuYSBjb25jbHVzacOzbiBkaXN0aW50YSwgZGViZXLDoSBleHBsaWNpdGFyIGxhIHByZWNpc2nDs24gbyBlbCBjYW1iaW8gZGUgZG9jdHJpbmE7IGRlIGxvIGNvbnRyYXJpbyBzZSBnZW5lcmFyw6EgdW5hIGluY29oZXJlbmNpYSBlbiBsYSByZWxhdG9yw61hLiK6DwoKdGV4dC9wbGFpbhKrD0xhIHByZWd1bnRhIDEgY29udGllbmUgZG9zIGludGVycm9nYW50ZXMgcXVlIGVsIHByb3llY3RvIG5vIGNvbnRlc3RhLiBQcmltZXJvLCBlbCBwcm9jZWRpbWllbnRvOiBsYSByZXNwdWVzdGEgZGViZXLDrWEgZGVzY3JpYmlyIGxhIHNlY3VlbmNpYSBxdWUgc2UgZGVzcHJlbmRlIGRlbCBhcnTDrWN1bG8gOSwgaW5jaXNvIHRlcmNlcm8sIHkgZGUgbGEganVyaXNwcnVkZW5jaWE6IChpKSBkZWJlciBkZWwgY29udHJhdGlzdGEgZGUgaW5mb3JtYXIgbGEgY29uZmlndXJhY2nDs24gZGUgbGEgaW5oYWJpbGlkYWQgKHByaW5jaXBpbyBkZSBidWVuYSBmZSwgYXJ0w61jdWxvcyAyMyB5IDI2IGRlIGxhIExleSA4MCBkZSAxOTkzKTsgKGlpKSByZXF1ZXJpbWllbnRvIGRlIGxhIGVudGlkYWQgYWwgaW50ZWdyYW50ZSBwYXJhIHF1ZSBwcmVzZW50ZSBjZXNpb25hcmlvIGVuIHBsYXpvIHJhem9uYWJsZTsgKGlpaSkgdmVyaWZpY2FjacOzbiBkZWwgY2VzaW9uYXJpbywgcmVzcGVjdG8gZGVsIGN1YWwgZWwgQ29uc2VqbyBkZSBFc3RhZG8gZXhpZ2UgcXVlIHNlYSB1biB2ZXJkYWRlcm8gdGVyY2VybywgY29uIGNhcGFjaWRhZCBqdXLDrWRpY2EsIG5vIGluY3Vyc28gZW4gaW5oYWJpbGlkYWRlcyBuaSBpbmNvbXBhdGliaWxpZGFkZXMsIHkgY29uIGNhcGFjaWRhZCB0w6ljbmljYSwgZWNvbsOzbWljYSB5IGZpbmFuY2llcmEgc3VmaWNpZW50ZXMgKHJlcXVpc2l0b3MgcmVjb2dpZG9zIHBvciBlc3RhIFN1YmRpcmVjY2nDs24gZW4gZWwgQ29uY2VwdG8gQy0xNjk0IGRlIDIwMjUpOyB5IChpdikgYXV0b3JpemFjacOzbiBwcmV2aWEsIGV4cHJlc2EgeSBlc2NyaXRhIGRlIGxhIGVudGlkYWQsIGxhIGN1YWwgbm8gZXMgb2JsaWdhdG9yaWEgcGFyYSBlc3RhLCBwdWVzIGNvbnN0aXR1eWUgdW4gcGVybWlzbyBjdXlhIHByb2NlZGVuY2lhIGp1csOtZGljYSB5IGNvbnZlbmllbmNpYSBkZWJlIGFuYWxpemFyIGxhIGFkbWluaXN0cmFjacOzbiwgY29tbyBsbyBwcmVjaXPDsyBsYSBTYWxhIGRlIENvbnN1bHRhIHkgU2VydmljaW8gQ2l2aWwgZW4gZWwgY29uY2VwdG8gZGVsIDE3IGRlIG1heW8gZGUgMjAwMSwgcmFkaWNhY2nDs24gMS4zNDYuIFNlZ3VuZG8sIGxvcyBsaW5lYW1pZW50b3M6IGRlYmUgcmVzcG9uZGVyc2UgZXhwcmVzYW1lbnRlIHF1ZSBsYSBBZ2VuY2lhIG5vIGhhIGV4cGVkaWRvIGxpbmVhbWllbnRvcywgcHJvdG9jb2xvcyBvIGRpcmVjdHJpY2VzIGdlbmVyYWxlcyBzb2JyZSBsYSBtYXRlcmlhIGRpc3RpbnRvcyBkZSBzdSBkb2N0cmluYSBjb25zdWx0aXZhLCBjb24gcmVtaXNpw7NuIGFsIFNpc3RlbWEgZGUgUmVsYXRvcsOtYS4KQWRpY2lvbmFsbWVudGUsIGVsIHByb3llY3RvIGRlYmUgY29uZnJvbnRhciBsYSBkb2N0cmluYSBwcmV2aWEgZGUgbGEgU3ViZGlyZWNjacOzbiwgZW4gcGFydGljdWxhciBlbCBDb25jZXB0byBDLTA1OSBkZWwgMTMgZGUganVuaW8gZGUgMjAyMywgY29uZm9ybWUgYWwgY3VhbCwgYW50ZSBsYSBpbmhhYmlsaWRhZCBzb2JyZXZpbmllbnRlLCBsYSBub3JtYXRpdmEgc29sbyBwcmV2w6kgbGFzIGRvcyBzb2x1Y2lvbmVzIGRlbCBhcnTDrWN1bG8gOSAoY2VzacOzbiBvIHJlbnVuY2lhKSwgc2Fsdm8gZWwgcsOpZ2ltZW4gZXNwZWNpYWwgZGVsIHBhcsOhZ3JhZm8gMSwgeSBlbCBjb250cmF0byBzb2xvIHB1ZWRlIGNvbnRpbnVhciBlamVjdXTDoW5kb3NlIHNpIGVsIGludGVncmFudGUgYWZlY3RhZG8gY2VkZSBzdSBwYXJ0aWNpcGFjacOzbiBhIHVuIHRlcmNlcm8gcHJldmlhIGF1dG9yaXphY2nDs24gZXNjcml0YS4gU2kgZWwgY29uY2VwdG8gQy0xMDczIGxsZWdhcmEgYSB1bmEgY29uY2x1c2nDs24gZGlzdGludGEsIGRlYmVyw6EgZXhwbGljaXRhciBsYSBwcmVjaXNpw7NuIG8gZWwgY2FtYmlvIGRlIGRvY3RyaW5hOyBkZSBsbyBjb250cmFyaW8gc2UgZ2VuZXJhcsOhIHVuYSBpbmNvaGVyZW5jaWEgZW4gbGEgcmVsYXRvcsOtYS4qVgodQWxlamFuZHJvIFNhcm1pZW50byAtQU5DUC1DQ0UaNS8vc3NsLmdzdGF0aWMuY29tL2RvY3MvY29tbW9uL2JsdWVfc2lsaG91ZXR0ZTk2LTAucG5nMOD1rdz0Mzjg9a3c9DNyWAodQWxlamFuZHJvIFNhcm1pZW50byAtQU5DUC1DQ0UaNwo1Ly9zc2wuZ3N0YXRpYy5jb20vZG9jcy9jb21tb24vYmx1ZV9zaWxob3VldHRlOTYtMC5wbmd4AIgBAZoBBggAEAAYAKoBsQ8Srg9MYSBwcmVndW50YSAxIGNvbnRpZW5lIGRvcyBpbnRlcnJvZ2FudGVzIHF1ZSBlbCBwcm95ZWN0byBubyBjb250ZXN0YS4gUHJpbWVybywgZWwgcHJvY2VkaW1pZW50bzogbGEgcmVzcHVlc3RhIGRlYmVyw61hIGRlc2NyaWJpciBsYSBzZWN1ZW5jaWEgcXVlIHNlIGRlc3ByZW5kZSBkZWwgYXJ0w61jdWxvIDksIGluY2lzbyB0ZXJjZXJvLCB5IGRlIGxhIGp1cmlzcHJ1ZGVuY2lhOiAoaSkgZGViZXIgZGVsIGNvbnRyYXRpc3RhIGRlIGluZm9ybWFyIGxhIGNvbmZpZ3VyYWNpw7NuIGRlIGxhIGluaGFiaWxpZGFkIChwcmluY2lwaW8gZGUgYnVlbmEgZmUsIGFydMOtY3Vsb3MgMjMgeSAyNiBkZSBsYSBMZXkgODAgZGUgMTk5Myk7IChpaSkgcmVxdWVyaW1pZW50byBkZSBsYSBlbnRpZGFkIGFsIGludGVncmFudGUgcGFyYSBxdWUgcHJlc2VudGUgY2VzaW9uYXJpbyBlbiBwbGF6byByYXpvbmFibGU7IChpaWkpIHZlcmlmaWNhY2nDs24gZGVsIGNlc2lvbmFyaW8sIHJlc3BlY3RvIGRlbCBjdWFsIGVsIENvbnNlam8gZGUgRXN0YWRvIGV4aWdlIHF1ZSBzZWEgdW4gdmVyZGFkZXJvIHRlcmNlcm8sIGNvbiBjYXBhY2lkYWQganVyw61kaWNhLCBubyBpbmN1cnNvIGVuIGluaGFiaWxpZGFkZXMgbmkgaW5jb21wYXRpYmlsaWRhZGVzLCB5IGNvbiBjYXBhY2lkYWQgdMOpY25pY2EsIGVjb27Ds21pY2EgeSBmaW5hbmNpZXJhIHN1ZmljaWVudGVzIChyZXF1aXNpdG9zIHJlY29naWRvcyBwb3IgZXN0YSBTdWJkaXJlY2Npw7NuIGVuIGVsIENvbmNlcHRvIEMtMTY5NCBkZSAyMDI1KTsgeSAoaXYpIGF1dG9yaXphY2nDs24gcHJldmlhLCBleHByZXNhIHkgZXNjcml0YSBkZSBsYSBlbnRpZGFkLCBsYSBjdWFsIG5vIGVzIG9ibGlnYXRvcmlhIHBhcmEgZXN0YSwgcHVlcyBjb25zdGl0dXllIHVuIHBlcm1pc28gY3V5YSBwcm9jZWRlbmNpYSBqdXLDrWRpY2EgeSBjb252ZW5pZW5jaWEgZGViZSBhbmFsaXphciBsYSBhZG1pbmlzdHJhY2nDs24sIGNvbW8gbG8gcHJlY2lzw7MgbGEgU2FsYSBkZSBDb25zdWx0YSB5IFNlcnZpY2lvIENpdmlsIGVuIGVsIGNvbmNlcHRvIGRlbCAxNyBkZSBtYXlvIGRlIDIwMDEsIHJhZGljYWNpw7NuIDEuMzQ2LiBTZWd1bmRvLCBsb3MgbGluZWFtaWVudG9zOiBkZWJlIHJlc3BvbmRlcnNlIGV4cHJlc2FtZW50ZSBxdWUgbGEgQWdlbmNpYSBubyBoYSBleHBlZGlkbyBsaW5lYW1pZW50b3MsIHByb3RvY29sb3MgbyBkaXJlY3RyaWNlcyBnZW5lcmFsZXMgc29icmUgbGEgbWF0ZXJpYSBkaXN0aW50b3MgZGUgc3UgZG9jdHJpbmEgY29uc3VsdGl2YSwgY29uIHJlbWlzacOzbiBhbCBTaXN0ZW1hIGRlIFJlbGF0b3LDrWEuPGJyPkFkaWNpb25hbG1lbnRlLCBlbCBwcm95ZWN0byBkZWJlIGNvbmZyb250YXIgbGEgZG9jdHJpbmEgcHJldmlhIGRlIGxhIFN1YmRpcmVjY2nDs24sIGVuIHBhcnRpY3VsYXIgZWwgQ29uY2VwdG8gQy0wNTkgZGVsIDEzIGRlIGp1bmlvIGRlIDIwMjMsIGNvbmZvcm1lIGFsIGN1YWwsIGFudGUgbGEgaW5oYWJpbGlkYWQgc29icmV2aW5pZW50ZSwgbGEgbm9ybWF0aXZhIHNvbG8gcHJldsOpIGxhcyBkb3Mgc29sdWNpb25lcyBkZWwgYXJ0w61jdWxvIDkgKGNlc2nDs24gbyByZW51bmNpYSksIHNhbHZvIGVsIHLDqWdpbWVuIGVzcGVjaWFsIGRlbCBwYXLDoWdyYWZvIDEsIHkgZWwgY29udHJhdG8gc29sbyBwdWVkZSBjb250aW51YXIgZWplY3V0w6FuZG9zZSBzaSBlbCBpbnRlZ3JhbnRlIGFmZWN0YWRvIGNlZGUgc3UgcGFydGljaXBhY2nDs24gYSB1biB0ZXJjZXJvIHByZXZpYSBhdXRvcml6YWNpw7NuIGVzY3JpdGEuIFNpIGVsIGNvbmNlcHRvIEMtMTA3MyBsbGVnYXJhIGEgdW5hIGNvbmNsdXNpw7NuIGRpc3RpbnRhLCBkZWJlcsOhIGV4cGxpY2l0YXIgbGEgcHJlY2lzacOzbiBvIGVsIGNhbWJpbyBkZSBkb2N0cmluYTsgZGUgbG8gY29udHJhcmlvIHNlIGdlbmVyYXLDoSB1bmEgaW5jb2hlcmVuY2lhIGVuIGxhIHJlbGF0b3LDrWEusAEAuAEByAEAGOD1rdz0MyDg9a3c9DMwAEIIa2l4LmNtdDAijiUKC0FBQUNDLU1aak5zEuQkCgtBQUFDQy1NWmpOcxILQUFBQ0MtTVpqTnMa0QsKCXRleHQvaHRtbBLDC0VsIHByb3llY3RvIG5vIHJlc3VlbHZlIHNpIGxhIGZpZ3VyYSBkZSBsYSByZW51bmNpYSBwcmV2aXN0YSBlbiBlbCBpbmNpc28gcHJpbWVybyBkZWwgYXJ0w61jdWxvIDkgZGUgbGEgTGV5IDgwIGRlIDE5OTMgcmVzdWx0YSBhcGxpY2FibGUgYWwgaW50ZWdyYW50ZSBkZSB1biBjb25zb3JjaW8gbyB1bmnDs24gdGVtcG9yYWwuIFNlIHJlY29taWVuZGEgZXhwb25lciBleHByZXNhbWVudGUgbGFzIGRvcyBpbnRlcnByZXRhY2lvbmVzIGV4aXN0ZW50ZXM6IChpKSB1bmEgdGVzaXMgaW50ZWdyYWRvcmEsIHNlZ8O6biBsYSBjdWFsIGVsIGRlYmVyIGRlIHJlbnVuY2lhciB0YW1iacOpbiByZXN1bHRhIGV4aWdpYmxlIGFsIGludGVncmFudGUgZGVsIGNvbnRyYXRpc3RhIHBsdXJhbCBjdWFuZG8gbGEgY2VzacOzbiBzZWEgaW1wb3NpYmxlLCBwb3IgdHJhdGFyc2UgZGUgbGEgY29uc2VjdWVuY2lhIGdlbmVyYWwgcHJldmlzdGEgcG9yIGVsIGFydMOtY3VsbyA5IHBhcmEgbGFzIGluaGFiaWxpZGFkZXMgc29icmV2aW5pZW50ZXMgeSBubyBkZSB1bmEgZXh0ZW5zacOzbiBhbmFsw7NnaWNhIGRlIHVuYSBjYXVzYWwgZGUgaW5oYWJpbGlkYWQ7IGJham8gZXN0YSBsZWN0dXJhLCBsYSBjb250aW51aWRhZCBkZSBsYSBlamVjdWNpw7NuIGRlc2NhbnNhIGVuIGxhIHJlc3BvbnNhYmlsaWRhZCBzb2xpZGFyaWEgZGVsIGNvbnRyYXRpc3RhIHBsdXJhbDsgeSAoaWkpIHVuYSB0ZXNpcyByZXN0cmljdGl2YSwgc2Vnw7puIGxhIGN1YWwgbGEgcmVudW5jaWEgbm8gZXMgYXBsaWNhYmxlIGFsIGludGVncmFudGUgZGVsIGNvbnNvcmNpbyBvIHVuacOzbiB0ZW1wb3JhbCBwb3JxdWUgZWwgaW5jaXNvIHRlcmNlcm8gZGVsIGFydMOtY3VsbyA5IHJlZ3VsYSDDrW50ZWdyYW1lbnRlIGVzdGEgaGlww7N0ZXNpcywgcHJldsOpIMO6bmljYW1lbnRlIGxhIGNlc2nDs24gZGUgbGEgcGFydGljaXBhY2nDs24geSBwcm9ow61iZSBjdWFscXVpZXIgcmVkaXN0cmlidWNpw7NuIGludGVybmEgZW50cmUgbG9zIGludGVncmFudGVzLCBkZSBtb2RvIHF1ZSBleHRlbmRlciBsYSByZW51bmNpYSBzdXBvbmRyw61hIGFkaWNpb25hciB1bmEgY29uc2VjdWVuY2lhIG5vIHByZXZpc3RhIHBvciBlbCBsZWdpc2xhZG9yLiBFbiBjdWFscXVpZXJhIGRlIGxhcyBkb3MgcG9zdHVyYXMsIGVsIGNvbmNlcHRvIGRlYmUgcHJlY2lzYXIgcXVlIGxhIGFjdHVhY2nDs24gZGUgbGEgZW50aWRhZCBubyBxdWVkYSBzdXBlZGl0YWRhIGEgbGEgdm9sdW50YWQgZGVsIGNvbnRyYXRpc3RhLCBwdWVzIGxhIGltcG9zaWJpbGlkYWQgZGUgb2J0ZW5lciBsYSByZW51bmNpYSBubyBpbXBpZGUgcXVlIGxhIGFkbWluaXN0cmFjacOzbiBlamVyemEgbGFzIGNvbXBldGVuY2lhcyBxdWUgZWwgb3JkZW5hbWllbnRvIGxlIGF0cmlidXllIHBhcmEgcHJvdGVnZXIgZWwgaW50ZXLDqXMgcMO6YmxpY28geSBhc2VndXJhciBsYSBjb250aW51aWRhZCBkZWwgc2VydmljaW8uItILCgp0ZXh0L3BsYWluEsMLRWwgcHJveWVjdG8gbm8gcmVzdWVsdmUgc2kgbGEgZmlndXJhIGRlIGxhIHJlbnVuY2lhIHByZXZpc3RhIGVuIGVsIGluY2lzbyBwcmltZXJvIGRlbCBhcnTDrWN1bG8gOSBkZSBsYSBMZXkgODAgZGUgMTk5MyByZXN1bHRhIGFwbGljYWJsZSBhbCBpbnRlZ3JhbnRlIGRlIHVuIGNvbnNvcmNpbyBvIHVuacOzbiB0ZW1wb3JhbC4gU2UgcmVjb21pZW5kYSBleHBvbmVyIGV4cHJlc2FtZW50ZSBsYXMgZG9zIGludGVycHJldGFjaW9uZXMgZXhpc3RlbnRlczogKGkpIHVuYSB0ZXNpcyBpbnRlZ3JhZG9yYSwgc2Vnw7puIGxhIGN1YWwgZWwgZGViZXIgZGUgcmVudW5jaWFyIHRhbWJpw6luIHJlc3VsdGEgZXhpZ2libGUgYWwgaW50ZWdyYW50ZSBkZWwgY29udHJhdGlzdGEgcGx1cmFsIGN1YW5kbyBsYSBjZXNpw7NuIHNlYSBpbXBvc2libGUsIHBvciB0cmF0YXJzZSBkZSBsYSBjb25zZWN1ZW5jaWEgZ2VuZXJhbCBwcmV2aXN0YSBwb3IgZWwgYXJ0w61jdWxvIDkgcGFyYSBsYXMgaW5oYWJpbGlkYWRlcyBzb2JyZXZpbmllbnRlcyB5IG5vIGRlIHVuYSBleHRlbnNpw7NuIGFuYWzDs2dpY2EgZGUgdW5hIGNhdXNhbCBkZSBpbmhhYmlsaWRhZDsgYmFqbyBlc3RhIGxlY3R1cmEsIGxhIGNvbnRpbnVpZGFkIGRlIGxhIGVqZWN1Y2nDs24gZGVzY2Fuc2EgZW4gbGEgcmVzcG9uc2FiaWxpZGFkIHNvbGlkYXJpYSBkZWwgY29udHJhdGlzdGEgcGx1cmFsOyB5IChpaSkgdW5hIHRlc2lzIHJlc3RyaWN0aXZhLCBzZWfDum4gbGEgY3VhbCBsYSByZW51bmNpYSBubyBlcyBhcGxpY2FibGUgYWwgaW50ZWdyYW50ZSBkZWwgY29uc29yY2lvIG8gdW5pw7NuIHRlbXBvcmFsIHBvcnF1ZSBlbCBpbmNpc28gdGVyY2VybyBkZWwgYXJ0w61jdWxvIDkgcmVndWxhIMOtbnRlZ3JhbWVudGUgZXN0YSBoaXDDs3Rlc2lzLCBwcmV2w6kgw7puaWNhbWVudGUgbGEgY2VzacOzbiBkZSBsYSBwYXJ0aWNpcGFjacOzbiB5IHByb2jDrWJlIGN1YWxxdWllciByZWRpc3RyaWJ1Y2nDs24gaW50ZXJuYSBlbnRyZSBsb3MgaW50ZWdyYW50ZXMsIGRlIG1vZG8gcXVlIGV4dGVuZGVyIGxhIHJlbnVuY2lhIHN1cG9uZHLDrWEgYWRpY2lvbmFyIHVuYSBjb25zZWN1ZW5jaWEgbm8gcHJldmlzdGEgcG9yIGVsIGxlZ2lzbGFkb3IuIEVuIGN1YWxxdWllcmEgZGUgbGFzIGRvcyBwb3N0dXJhcywgZWwgY29uY2VwdG8gZGViZSBwcmVjaXNhciBxdWUgbGEgYWN0dWFjacOzbiBkZSBsYSBlbnRpZGFkIG5vIHF1ZWRhIHN1cGVkaXRhZGEgYSBsYSB2b2x1bnRhZCBkZWwgY29udHJhdGlzdGEsIHB1ZXMgbGEgaW1wb3NpYmlsaWRhZCBkZSBvYnRlbmVyIGxhIHJlbnVuY2lhIG5vIGltcGlkZSBxdWUgbGEgYWRtaW5pc3RyYWNpw7NuIGVqZXJ6YSBsYXMgY29tcGV0ZW5jaWFzIHF1ZSBlbCBvcmRlbmFtaWVudG8gbGUgYXRyaWJ1eWUgcGFyYSBwcm90ZWdlciBlbCBpbnRlcsOpcyBww7pibGljbyB5IGFzZWd1cmFyIGxhIGNvbnRpbnVpZGFkIGRlbCBzZXJ2aWNpby4qVgodQWxlamFuZHJvIFNhcm1pZW50byAtQU5DUC1DQ0UaNS8vc3NsLmdzdGF0aWMuY29tL2RvY3MvY29tbW9uL2JsdWVfc2lsaG91ZXR0ZTk2LTAucG5nMODIvNz0MzjgyLzc9DNyWAodQWxlamFuZHJvIFNhcm1pZW50byAtQU5DUC1DQ0UaNwo1Ly9zc2wuZ3N0YXRpYy5jb20vZG9jcy9jb21tb24vYmx1ZV9zaWxob3VldHRlOTYtMC5wbmd4AIgBAZoBBggAEAAYAKoBxgsSwwtFbCBwcm95ZWN0byBubyByZXN1ZWx2ZSBzaSBsYSBmaWd1cmEgZGUgbGEgcmVudW5jaWEgcHJldmlzdGEgZW4gZWwgaW5jaXNvIHByaW1lcm8gZGVsIGFydMOtY3VsbyA5IGRlIGxhIExleSA4MCBkZSAxOTkzIHJlc3VsdGEgYXBsaWNhYmxlIGFsIGludGVncmFudGUgZGUgdW4gY29uc29yY2lvIG8gdW5pw7NuIHRlbXBvcmFsLiBTZSByZWNvbWllbmRhIGV4cG9uZXIgZXhwcmVzYW1lbnRlIGxhcyBkb3MgaW50ZXJwcmV0YWNpb25lcyBleGlzdGVudGVzOiAoaSkgdW5hIHRlc2lzIGludGVncmFkb3JhLCBzZWfDum4gbGEgY3VhbCBlbCBkZWJlciBkZSByZW51bmNpYXIgdGFtYmnDqW4gcmVzdWx0YSBleGlnaWJsZSBhbCBpbnRlZ3JhbnRlIGRlbCBjb250cmF0aXN0YSBwbHVyYWwgY3VhbmRvIGxhIGNlc2nDs24gc2VhIGltcG9zaWJsZSwgcG9yIHRyYXRhcnNlIGRlIGxhIGNvbnNlY3VlbmNpYSBnZW5lcmFsIHByZXZpc3RhIHBvciBlbCBhcnTDrWN1bG8gOSBwYXJhIGxhcyBpbmhhYmlsaWRhZGVzIHNvYnJldmluaWVudGVzIHkgbm8gZGUgdW5hIGV4dGVuc2nDs24gYW5hbMOzZ2ljYSBkZSB1bmEgY2F1c2FsIGRlIGluaGFiaWxpZGFkOyBiYWpvIGVzdGEgbGVjdHVyYSwgbGEgY29udGludWlkYWQgZGUgbGEgZWplY3VjacOzbiBkZXNjYW5zYSBlbiBsYSByZXNwb25zYWJpbGlkYWQgc29saWRhcmlhIGRlbCBjb250cmF0aXN0YSBwbHVyYWw7IHkgKGlpKSB1bmEgdGVzaXMgcmVzdHJpY3RpdmEsIHNlZ8O6biBsYSBjdWFsIGxhIHJlbnVuY2lhIG5vIGVzIGFwbGljYWJsZSBhbCBpbnRlZ3JhbnRlIGRlbCBjb25zb3JjaW8gbyB1bmnDs24gdGVtcG9yYWwgcG9ycXVlIGVsIGluY2lzbyB0ZXJjZXJvIGRlbCBhcnTDrWN1bG8gOSByZWd1bGEgw61udGVncmFtZW50ZSBlc3RhIGhpcMOzdGVzaXMsIHByZXbDqSDDum5pY2FtZW50ZSBsYSBjZXNpw7NuIGRlIGxhIHBhcnRpY2lwYWNpw7NuIHkgcHJvaMOtYmUgY3VhbHF1aWVyIHJlZGlzdHJpYnVjacOzbiBpbnRlcm5hIGVudHJlIGxvcyBpbnRlZ3JhbnRlcywgZGUgbW9kbyBxdWUgZXh0ZW5kZXIgbGEgcmVudW5jaWEgc3Vwb25kcsOtYSBhZGljaW9uYXIgdW5hIGNvbnNlY3VlbmNpYSBubyBwcmV2aXN0YSBwb3IgZWwgbGVnaXNsYWRvci4gRW4gY3VhbHF1aWVyYSBkZSBsYXMgZG9zIHBvc3R1cmFzLCBlbCBjb25jZXB0byBkZWJlIHByZWNpc2FyIHF1ZSBsYSBhY3R1YWNpw7NuIGRlIGxhIGVudGlkYWQgbm8gcXVlZGEgc3VwZWRpdGFkYSBhIGxhIHZvbHVudGFkIGRlbCBjb250cmF0aXN0YSwgcHVlcyBsYSBpbXBvc2liaWxpZGFkIGRlIG9idGVuZXIgbGEgcmVudW5jaWEgbm8gaW1waWRlIHF1ZSBsYSBhZG1pbmlzdHJhY2nDs24gZWplcnphIGxhcyBjb21wZXRlbmNpYXMgcXVlIGVsIG9yZGVuYW1pZW50byBsZSBhdHJpYnV5ZSBwYXJhIHByb3RlZ2VyIGVsIGludGVyw6lzIHDDumJsaWNvIHkgYXNlZ3VyYXIgbGEgY29udGludWlkYWQgZGVsIHNlcnZpY2lvLrABALgBAcgBABjgyLzc9DMg4Mi83PQzMABCCGtpeC5jbXQxMg5oLmFhZTJjMnZqMnhpbDIOaC5uMTBucjJ0amlwNGgyDmgubWhiMnBuZW01djE5Mg1oLjV0ZW42bWtpNzY3Mg5oLjF3bHVldzVxYjZwdjIOaC5kYmQzMjl0eWljang4AGoyChRzdWdnZXN0Lmh2ZmtzdW0wdHh6bxIaSlVBTiBDQU1JTE8gQk9MSVZBUiBSSVZFUkFqWQo2c3VnZ2VzdElkSW1wb3J0ZjkyZWQ2NmMtMGJkNS00ODdmLWJkMzMtZmVlOTc5Mjc4ZWM1XzE3Eh9ZZWlzb24gT2N0YXZpbyBNYWNpYXMgR29uesOhbGV6ajIKFHN1Z2dlc3QuaWZ1NnIzOGdwa3lrEhpKVUFOIENBTUlMTyBCT0xJVkFSIFJJVkVSQWpTCjVzdWdnZXN0SWRJbXBvcnRmOTJlZDY2Yy0wYmQ1LTQ4N2YtYmQzMy1mZWU5NzkyNzhlYzVfORIaSlVBTiBDQU1JTE8gQk9MSVZBUiBSSVZFUkFqWAo1c3VnZ2VzdElkSW1wb3J0ZjkyZWQ2NmMtMGJkNS00ODdmLWJkMzMtZmVlOTc5Mjc4ZWM1XzgSH1llaXNvbiBPY3RhdmlvIE1hY2lhcyBHb256w6FsZXpqWQo2c3VnZ2VzdElkSW1wb3J0ZjkyZWQ2NmMtMGJkNS00ODdmLWJkMzMtZmVlOTc5Mjc4ZWM1XzEwEh9ZZWlzb24gT2N0YXZpbyBNYWNpYXMgR29uesOhbGV6ciExdUZXdWR6LW9sLXplRnhaSC1HMUFUX2lPa2hSRkpaaHQ=</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520D82B-CA69-45A0-A39D-DC49F4C1A5F1}">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3E7E8337-BFBB-402B-AB6C-FDDC57464456}">
  <ds:schemaRefs>
    <ds:schemaRef ds:uri="http://schemas.microsoft.com/sharepoint/v3/contenttype/forms"/>
  </ds:schemaRefs>
</ds:datastoreItem>
</file>

<file path=customXml/itemProps4.xml><?xml version="1.0" encoding="utf-8"?>
<ds:datastoreItem xmlns:ds="http://schemas.openxmlformats.org/officeDocument/2006/customXml" ds:itemID="{E4EBEAE5-1C30-4E9B-8976-21576DF58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981143-74FB-6341-B424-71CE589C8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37</Pages>
  <Words>13066</Words>
  <Characters>71866</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Luis Sanchez</dc:creator>
  <cp:lastModifiedBy>Sergio Andrés Rivera Cano</cp:lastModifiedBy>
  <cp:revision>28</cp:revision>
  <dcterms:created xsi:type="dcterms:W3CDTF">2026-08-06T13:21:00Z</dcterms:created>
  <dcterms:modified xsi:type="dcterms:W3CDTF">2026-08-10T16:03:00Z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MediaServiceImageTags</vt:lpwstr>
  </property>
</Properties>
</file>