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AC2A9" w14:textId="4A344545" w:rsidR="00E30D96" w:rsidRDefault="00E30D96" w:rsidP="004A75E3">
      <w:pPr>
        <w:spacing w:after="0"/>
        <w:rPr>
          <w:rFonts w:ascii="Verdana" w:hAnsi="Verdana" w:cs="Arial"/>
          <w:b/>
          <w:color w:val="000000" w:themeColor="text1"/>
          <w:lang w:val="es-ES_tradnl"/>
        </w:rPr>
      </w:pPr>
      <w:bookmarkStart w:id="0" w:name="_Hlk143780582"/>
      <w:r w:rsidRPr="00023F53">
        <w:rPr>
          <w:rFonts w:ascii="Verdana" w:hAnsi="Verdana" w:cs="Arial"/>
          <w:b/>
          <w:color w:val="000000" w:themeColor="text1"/>
          <w:lang w:val="es-ES_tradnl"/>
        </w:rPr>
        <w:t xml:space="preserve">LEY DE GARANTÍAS ELECTORALES ‒ Finalidad </w:t>
      </w:r>
    </w:p>
    <w:p w14:paraId="3A13034E" w14:textId="77777777" w:rsidR="004A75E3" w:rsidRPr="004A75E3" w:rsidRDefault="004A75E3" w:rsidP="004A75E3">
      <w:pPr>
        <w:spacing w:after="0"/>
        <w:rPr>
          <w:rFonts w:ascii="Verdana" w:eastAsia="Verdana" w:hAnsi="Verdana" w:cs="Verdana"/>
        </w:rPr>
      </w:pPr>
    </w:p>
    <w:p w14:paraId="1F7AAB0F" w14:textId="77777777" w:rsidR="00E30D96" w:rsidRPr="0008409B" w:rsidRDefault="00E30D96" w:rsidP="00E30D96">
      <w:pPr>
        <w:tabs>
          <w:tab w:val="left" w:pos="426"/>
        </w:tabs>
        <w:spacing w:after="120"/>
        <w:jc w:val="both"/>
        <w:rPr>
          <w:rFonts w:ascii="Verdana" w:eastAsia="Calibri" w:hAnsi="Verdana" w:cs="Arial"/>
          <w:sz w:val="20"/>
          <w:szCs w:val="20"/>
          <w:lang w:val="es-ES_tradnl"/>
        </w:rPr>
      </w:pPr>
      <w:r w:rsidRPr="0008409B">
        <w:rPr>
          <w:rFonts w:ascii="Verdana" w:eastAsia="Times New Roman" w:hAnsi="Verdana" w:cs="Arial"/>
          <w:sz w:val="20"/>
          <w:szCs w:val="20"/>
          <w:lang w:val="es-MX" w:eastAsia="es-CO"/>
        </w:rPr>
        <w:t>La Ley 996 de 2005, conocida como “Ley de Garantías Electorales”, se suma al andamiaje de orden constitucional y legal que se ha ocupado de evitar la injerencia inadecuada de intereses particulares en el ejercicio de la función pública. Esta Ley tiene como propósito evitar cualquier tipo de arbitrariedad, de ventaja injustificada, de uso irregular de los recursos del Estado en las campañas o falta de garantías en la elección presidencial. En esta medida, introduce limitaciones para realizar nombramientos, postulaciones, contrataciones o cualquier otro tipo de actividad que implique destinación de recursos públicos bajo el devenir propio de las Entidades Estatales.</w:t>
      </w:r>
      <w:r w:rsidRPr="0008409B">
        <w:rPr>
          <w:rFonts w:ascii="Verdana" w:eastAsia="Calibri" w:hAnsi="Verdana" w:cs="Arial"/>
          <w:sz w:val="20"/>
          <w:szCs w:val="20"/>
          <w:lang w:val="es-ES_tradnl"/>
        </w:rPr>
        <w:t xml:space="preserve"> </w:t>
      </w:r>
    </w:p>
    <w:p w14:paraId="400113E0" w14:textId="77777777" w:rsidR="00E30D96" w:rsidRDefault="00E30D96" w:rsidP="00E30D96">
      <w:pPr>
        <w:jc w:val="both"/>
        <w:rPr>
          <w:rFonts w:ascii="Verdana" w:eastAsia="Arial" w:hAnsi="Verdana" w:cs="Arial"/>
          <w:b/>
          <w:lang w:val="es-ES" w:eastAsia="es-ES"/>
        </w:rPr>
      </w:pPr>
      <w:r w:rsidRPr="00023F53">
        <w:rPr>
          <w:rFonts w:ascii="Verdana" w:hAnsi="Verdana" w:cs="Arial"/>
          <w:b/>
          <w:color w:val="000000" w:themeColor="text1"/>
          <w:lang w:val="es-ES_tradnl"/>
        </w:rPr>
        <w:t xml:space="preserve">LEY DE GARANTÍAS ELECTORALES ‒ Tipos de restricciones – </w:t>
      </w:r>
      <w:r w:rsidRPr="00023F53">
        <w:rPr>
          <w:rFonts w:ascii="Verdana" w:eastAsia="Arial" w:hAnsi="Verdana" w:cs="Arial"/>
          <w:b/>
          <w:lang w:val="es-ES" w:eastAsia="es-ES"/>
        </w:rPr>
        <w:t>Instituciones Educativas</w:t>
      </w:r>
    </w:p>
    <w:p w14:paraId="04643F69" w14:textId="77777777" w:rsidR="00E30D96" w:rsidRPr="00FA0D4C" w:rsidRDefault="00E30D96" w:rsidP="00E30D96">
      <w:pPr>
        <w:tabs>
          <w:tab w:val="left" w:pos="426"/>
        </w:tabs>
        <w:spacing w:after="120"/>
        <w:jc w:val="both"/>
        <w:rPr>
          <w:rFonts w:ascii="Verdana" w:eastAsia="Times New Roman" w:hAnsi="Verdana" w:cs="Arial"/>
          <w:sz w:val="20"/>
          <w:szCs w:val="20"/>
          <w:lang w:val="es-MX" w:eastAsia="es-CO"/>
        </w:rPr>
      </w:pPr>
      <w:r w:rsidRPr="00FA0D4C">
        <w:rPr>
          <w:rFonts w:ascii="Verdana" w:eastAsia="Times New Roman" w:hAnsi="Verdana" w:cs="Arial"/>
          <w:sz w:val="20"/>
          <w:szCs w:val="20"/>
          <w:lang w:val="es-MX" w:eastAsia="es-CO"/>
        </w:rPr>
        <w:t xml:space="preserve">[…] las restricciones consagradas en la citada Ley se dirigen a dos (2) tipos de campañas electorales claramente diferenciadas: i) las presidenciales y </w:t>
      </w:r>
      <w:proofErr w:type="spellStart"/>
      <w:r w:rsidRPr="00FA0D4C">
        <w:rPr>
          <w:rFonts w:ascii="Verdana" w:eastAsia="Times New Roman" w:hAnsi="Verdana" w:cs="Arial"/>
          <w:sz w:val="20"/>
          <w:szCs w:val="20"/>
          <w:lang w:val="es-MX" w:eastAsia="es-CO"/>
        </w:rPr>
        <w:t>ii</w:t>
      </w:r>
      <w:proofErr w:type="spellEnd"/>
      <w:r w:rsidRPr="00FA0D4C">
        <w:rPr>
          <w:rFonts w:ascii="Verdana" w:eastAsia="Times New Roman" w:hAnsi="Verdana" w:cs="Arial"/>
          <w:sz w:val="20"/>
          <w:szCs w:val="20"/>
          <w:lang w:val="es-MX" w:eastAsia="es-CO"/>
        </w:rPr>
        <w:t>) las demás que se adelanten para la elección de los demás cargos de elección popular, tanto a nivel nacional como territorial.</w:t>
      </w:r>
    </w:p>
    <w:p w14:paraId="14E15A1E" w14:textId="77777777" w:rsidR="00E30D96" w:rsidRPr="00FA0D4C" w:rsidRDefault="00E30D96" w:rsidP="00E30D96">
      <w:pPr>
        <w:tabs>
          <w:tab w:val="left" w:pos="426"/>
        </w:tabs>
        <w:spacing w:after="120"/>
        <w:jc w:val="both"/>
        <w:rPr>
          <w:rFonts w:ascii="Verdana" w:eastAsia="Times New Roman" w:hAnsi="Verdana" w:cs="Arial"/>
          <w:sz w:val="20"/>
          <w:szCs w:val="20"/>
          <w:lang w:val="es-MX" w:eastAsia="es-CO"/>
        </w:rPr>
      </w:pPr>
      <w:r w:rsidRPr="00FA0D4C">
        <w:rPr>
          <w:rFonts w:ascii="Verdana" w:eastAsia="Times New Roman" w:hAnsi="Verdana" w:cs="Arial"/>
          <w:sz w:val="20"/>
          <w:szCs w:val="20"/>
          <w:lang w:val="es-MX" w:eastAsia="es-CO"/>
        </w:rPr>
        <w:t>Por un lado, el artículo 33 de la Ley 996 de 2005 prohíbe “[…] la contratación directa por parte de todos los entes del Estado” durante los cuatro (4) meses anteriores a las elecciones presidenciales, salvo “[…]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p>
    <w:p w14:paraId="244AE281" w14:textId="77777777" w:rsidR="00E30D96" w:rsidRPr="00FA0D4C" w:rsidRDefault="00E30D96" w:rsidP="00E30D96">
      <w:pPr>
        <w:tabs>
          <w:tab w:val="left" w:pos="426"/>
        </w:tabs>
        <w:spacing w:after="120"/>
        <w:jc w:val="both"/>
        <w:rPr>
          <w:rFonts w:ascii="Verdana" w:eastAsia="Times New Roman" w:hAnsi="Verdana" w:cs="Arial"/>
          <w:sz w:val="20"/>
          <w:szCs w:val="20"/>
          <w:lang w:val="es-MX" w:eastAsia="es-CO"/>
        </w:rPr>
      </w:pPr>
      <w:r w:rsidRPr="00FA0D4C">
        <w:rPr>
          <w:rFonts w:ascii="Verdana" w:eastAsia="Times New Roman" w:hAnsi="Verdana" w:cs="Arial"/>
          <w:sz w:val="20"/>
          <w:szCs w:val="20"/>
          <w:lang w:val="es-MX" w:eastAsia="es-CO"/>
        </w:rPr>
        <w:t>Por otro lado, el parágrafo del artículo 38 de la Ley 996 de 2005 prevé una restricción, aplicable respecto de cualquier tipo de contienda electoral, que prohíbe a los gobernadores, alcaldes municipales o distritales, secretarios, gerentes y directores de entidades descentralizadas del orden municipal, departamental o distrital “[…] 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p>
    <w:p w14:paraId="67E02BC7" w14:textId="77777777" w:rsidR="00E30D96" w:rsidRPr="00FA0D4C" w:rsidRDefault="00E30D96" w:rsidP="00E30D96">
      <w:pPr>
        <w:tabs>
          <w:tab w:val="left" w:pos="426"/>
        </w:tabs>
        <w:spacing w:after="120"/>
        <w:jc w:val="both"/>
        <w:rPr>
          <w:rFonts w:ascii="Verdana" w:eastAsia="Times New Roman" w:hAnsi="Verdana" w:cs="Arial"/>
          <w:sz w:val="20"/>
          <w:szCs w:val="20"/>
          <w:lang w:val="es-MX" w:eastAsia="es-CO"/>
        </w:rPr>
      </w:pPr>
      <w:r w:rsidRPr="00FA0D4C">
        <w:rPr>
          <w:rFonts w:ascii="Verdana" w:eastAsia="Times New Roman" w:hAnsi="Verdana" w:cs="Arial"/>
          <w:sz w:val="20"/>
          <w:szCs w:val="20"/>
          <w:lang w:val="es-MX" w:eastAsia="es-CO"/>
        </w:rPr>
        <w:t>En este contexto, para la restricción del artículo 33 de la Ley 996 de 2005 es necesario considerar que el artículo 13 de la Ley 715 de 2001 consagra un régimen jurídico que exceptúa la aplicación del Estatuto General de Contratación de la Administración Pública en los contratos de los fondos de servicios educativos inferiores a veinte (20) SMLMV con el objetivo de flexibilizar el régimen contractual aplicable. Pese a lo anterior, la prohibición de contratación directa de la Ley de Garantías es independiente del régimen contractual, por lo que se extiende a los contratos celebrados con cargo a los fondos de servicios educativos.</w:t>
      </w:r>
    </w:p>
    <w:p w14:paraId="1DFC64FC" w14:textId="77777777" w:rsidR="00E30D96" w:rsidRPr="00FA0D4C" w:rsidRDefault="00E30D96" w:rsidP="00E30D96">
      <w:pPr>
        <w:pStyle w:val="p1"/>
        <w:rPr>
          <w:b/>
          <w:bCs/>
          <w:sz w:val="22"/>
          <w:szCs w:val="22"/>
        </w:rPr>
      </w:pPr>
      <w:r w:rsidRPr="00FA0D4C">
        <w:rPr>
          <w:rFonts w:eastAsia="Arial" w:cs="Arial"/>
          <w:b/>
          <w:bCs/>
          <w:color w:val="000000" w:themeColor="text1"/>
          <w:sz w:val="22"/>
          <w:szCs w:val="22"/>
        </w:rPr>
        <w:lastRenderedPageBreak/>
        <w:t>INSTITUCIONES EDUCATIVAS OFICIALES – Naturaleza jurídica – Capacidad para contratar</w:t>
      </w:r>
    </w:p>
    <w:p w14:paraId="76BADC67" w14:textId="77777777" w:rsidR="00E30D96" w:rsidRPr="00FA0D4C" w:rsidRDefault="00E30D96" w:rsidP="00E30D96">
      <w:pPr>
        <w:pStyle w:val="p1"/>
        <w:jc w:val="both"/>
        <w:rPr>
          <w:sz w:val="20"/>
          <w:szCs w:val="20"/>
        </w:rPr>
      </w:pPr>
    </w:p>
    <w:p w14:paraId="79A658D8" w14:textId="77777777" w:rsidR="00E30D96" w:rsidRPr="00FA0D4C" w:rsidRDefault="00E30D96" w:rsidP="00E30D96">
      <w:pPr>
        <w:pStyle w:val="p1"/>
        <w:jc w:val="both"/>
        <w:rPr>
          <w:sz w:val="20"/>
          <w:szCs w:val="20"/>
        </w:rPr>
      </w:pPr>
      <w:r w:rsidRPr="00FA0D4C">
        <w:rPr>
          <w:sz w:val="20"/>
          <w:szCs w:val="20"/>
        </w:rPr>
        <w:t>Las Leyes 60 de 1993 y 715 de 2001 descentralizaron el sistema educativo en Colombia, asignándoles a los departamentos, distritos y municipios las competencias y los recursos para dirigir las instituciones educativas. Es decir, el sistema educativo está descentralizado por las competencias propias que se les ha otorgado a las entidades territoriales para administrar las instituciones educativas, que pueden ser de los diferentes niveles, pero estas no son entidades descentralizadas.</w:t>
      </w:r>
    </w:p>
    <w:p w14:paraId="7DAB595D" w14:textId="77777777" w:rsidR="00E30D96" w:rsidRDefault="00E30D96" w:rsidP="00E30D96">
      <w:pPr>
        <w:pStyle w:val="p1"/>
        <w:jc w:val="both"/>
        <w:rPr>
          <w:sz w:val="20"/>
          <w:szCs w:val="20"/>
        </w:rPr>
      </w:pPr>
      <w:r w:rsidRPr="00FA0D4C">
        <w:rPr>
          <w:sz w:val="20"/>
          <w:szCs w:val="20"/>
        </w:rPr>
        <w:t>Conforme a lo anterior, las instituciones educativas pertenecen a la entidad territorial que haya efectuado su reconocimiento de carácter oficial. No obstante, carecen de personería jurídica, pero tienen capacidad para contratar y se concreta en la competencia que le otorgó el legislador en la Ley 715 de 2001 para administrar los fondos de servicios educativos, siendo cuentas contables que les permiten a las instituciones realizar la gestión y ejecución presupuestal de los recursos que reciben los establecimientos educativos.</w:t>
      </w:r>
    </w:p>
    <w:p w14:paraId="31905194" w14:textId="77777777" w:rsidR="00E30D96" w:rsidRDefault="00E30D96" w:rsidP="00E30D96">
      <w:pPr>
        <w:pStyle w:val="p1"/>
        <w:jc w:val="both"/>
        <w:rPr>
          <w:sz w:val="20"/>
          <w:szCs w:val="20"/>
        </w:rPr>
      </w:pPr>
    </w:p>
    <w:p w14:paraId="089659EF" w14:textId="77777777" w:rsidR="00E30D96" w:rsidRPr="00FA0D4C" w:rsidRDefault="00E30D96" w:rsidP="00E30D96">
      <w:pPr>
        <w:pStyle w:val="p1"/>
        <w:jc w:val="both"/>
        <w:rPr>
          <w:sz w:val="20"/>
          <w:szCs w:val="20"/>
        </w:rPr>
      </w:pPr>
      <w:r w:rsidRPr="00FA0D4C">
        <w:rPr>
          <w:sz w:val="20"/>
          <w:szCs w:val="20"/>
        </w:rPr>
        <w:t>Respecto de la capacidad para contratar con la que cuentan las instituciones educativas por medio de los fondos de servicios educativos, hay que precisar que cuando se trata de actos y contratos cuya cuantía no exceda los veinte (20) salarios mínimos mensuales legales vigentes, se sujetarán a las condiciones previstas en el reglamento de contratación que expida el consejo directivo de la institución, de conformidad con lo dispuesto en el artículo 13 de la Ley 715 de 2001.</w:t>
      </w:r>
    </w:p>
    <w:p w14:paraId="0B04DE06" w14:textId="77777777" w:rsidR="00E30D96" w:rsidRDefault="00E30D96" w:rsidP="00E30D96">
      <w:pPr>
        <w:pStyle w:val="p1"/>
        <w:rPr>
          <w:sz w:val="22"/>
          <w:szCs w:val="22"/>
        </w:rPr>
      </w:pPr>
    </w:p>
    <w:p w14:paraId="54C6487F" w14:textId="77777777" w:rsidR="00E30D96" w:rsidRPr="00FA0D4C" w:rsidRDefault="00E30D96" w:rsidP="00E30D96">
      <w:pPr>
        <w:jc w:val="both"/>
        <w:rPr>
          <w:rFonts w:ascii="Verdana" w:eastAsia="Arial" w:hAnsi="Verdana" w:cs="Arial"/>
          <w:b/>
          <w:bCs/>
          <w:color w:val="000000" w:themeColor="text1"/>
        </w:rPr>
      </w:pPr>
      <w:r w:rsidRPr="00FA0D4C">
        <w:rPr>
          <w:rFonts w:ascii="Verdana" w:eastAsia="Arial" w:hAnsi="Verdana" w:cs="Arial"/>
          <w:b/>
          <w:bCs/>
          <w:color w:val="000000" w:themeColor="text1"/>
        </w:rPr>
        <w:t xml:space="preserve">INSTITUCIONES EDUCATIVAS OFICIALES – Ley de Garantías Electorales – Aplicación  </w:t>
      </w:r>
    </w:p>
    <w:p w14:paraId="55D81271" w14:textId="77777777" w:rsidR="00E30D96" w:rsidRPr="00FA0D4C" w:rsidRDefault="00E30D96" w:rsidP="00E30D96">
      <w:pPr>
        <w:tabs>
          <w:tab w:val="left" w:pos="426"/>
        </w:tabs>
        <w:spacing w:after="120"/>
        <w:jc w:val="both"/>
        <w:rPr>
          <w:rFonts w:ascii="Verdana" w:eastAsia="Times New Roman" w:hAnsi="Verdana" w:cs="Arial"/>
          <w:sz w:val="20"/>
          <w:szCs w:val="20"/>
          <w:lang w:val="es-MX" w:eastAsia="es-CO"/>
        </w:rPr>
      </w:pPr>
      <w:r w:rsidRPr="00FA0D4C">
        <w:rPr>
          <w:rFonts w:ascii="Verdana" w:eastAsia="Times New Roman" w:hAnsi="Verdana" w:cs="Arial"/>
          <w:sz w:val="20"/>
          <w:szCs w:val="20"/>
          <w:lang w:val="es-MX" w:eastAsia="es-CO"/>
        </w:rPr>
        <w:t>La prohibición del artículo 33 de la Ley 996 de 2005 se extiende a cualquier contrato realizado con recursos de fondos de servicios educativos, sean inferiores o superiores a 20 SMLMV siempre que el contrato se celebre sin que esté antecedido de un procedimiento que admita la posible participación de una pluralidad de oferentes, toda vez que la prohibición recae sobre la contratación directa.  Por tanto, no son materia de la prohibición los procesos que estén antecedidos por la participación de una pluralidad de oferentes y las demás modalidades de selección previstas en la Ley 1150 de 2007, es decir, la licitación pública, el concurso de méritos, la selección abreviada y la contratación de mínima cuantía, razón por la cual en el período preelectoral de que trata la disposición las entidades públicas pueden seguir contratando bajo estos sistemas.</w:t>
      </w:r>
    </w:p>
    <w:p w14:paraId="5D485EE0" w14:textId="77777777" w:rsidR="00E30D96" w:rsidRDefault="00E30D96" w:rsidP="00E30D96">
      <w:pPr>
        <w:pStyle w:val="p1"/>
        <w:rPr>
          <w:sz w:val="22"/>
          <w:szCs w:val="22"/>
        </w:rPr>
      </w:pPr>
    </w:p>
    <w:p w14:paraId="3C6CB1CF" w14:textId="77777777" w:rsidR="00E30D96" w:rsidRDefault="00E30D96" w:rsidP="00E30D96">
      <w:pPr>
        <w:pStyle w:val="p1"/>
        <w:rPr>
          <w:sz w:val="22"/>
          <w:szCs w:val="22"/>
        </w:rPr>
      </w:pPr>
    </w:p>
    <w:p w14:paraId="30EE2466" w14:textId="77777777" w:rsidR="00E30D96" w:rsidRDefault="00E30D96" w:rsidP="00E30D96">
      <w:pPr>
        <w:pStyle w:val="p1"/>
        <w:rPr>
          <w:sz w:val="22"/>
          <w:szCs w:val="22"/>
        </w:rPr>
      </w:pPr>
    </w:p>
    <w:p w14:paraId="6BE5D196" w14:textId="77777777" w:rsidR="004A75E3" w:rsidRDefault="004A75E3" w:rsidP="00E30D96">
      <w:pPr>
        <w:pStyle w:val="p1"/>
        <w:rPr>
          <w:sz w:val="22"/>
          <w:szCs w:val="22"/>
        </w:rPr>
      </w:pPr>
    </w:p>
    <w:p w14:paraId="08335F79" w14:textId="77777777" w:rsidR="004A75E3" w:rsidRDefault="004A75E3" w:rsidP="00E30D96">
      <w:pPr>
        <w:pStyle w:val="p1"/>
        <w:rPr>
          <w:sz w:val="22"/>
          <w:szCs w:val="22"/>
        </w:rPr>
      </w:pPr>
    </w:p>
    <w:p w14:paraId="535C5D84" w14:textId="77777777" w:rsidR="00286849" w:rsidRDefault="00286849" w:rsidP="00E30D96">
      <w:pPr>
        <w:pStyle w:val="p1"/>
        <w:rPr>
          <w:rFonts w:eastAsia="Verdana" w:cs="Verdana"/>
          <w:sz w:val="22"/>
          <w:szCs w:val="22"/>
        </w:rPr>
      </w:pPr>
    </w:p>
    <w:p w14:paraId="54C3834C" w14:textId="77777777" w:rsidR="00286849" w:rsidRDefault="00286849" w:rsidP="00E30D96">
      <w:pPr>
        <w:pStyle w:val="p1"/>
        <w:rPr>
          <w:rFonts w:eastAsia="Verdana" w:cs="Verdana"/>
          <w:sz w:val="22"/>
          <w:szCs w:val="22"/>
        </w:rPr>
      </w:pPr>
    </w:p>
    <w:p w14:paraId="2F69837C" w14:textId="77777777" w:rsidR="00286849" w:rsidRDefault="00286849" w:rsidP="00E30D96">
      <w:pPr>
        <w:pStyle w:val="p1"/>
        <w:rPr>
          <w:rFonts w:eastAsia="Verdana" w:cs="Verdana"/>
          <w:sz w:val="22"/>
          <w:szCs w:val="22"/>
        </w:rPr>
      </w:pPr>
    </w:p>
    <w:p w14:paraId="0A4AD39F" w14:textId="6B90DC8A" w:rsidR="00E30D96" w:rsidRDefault="005E68E7" w:rsidP="00E30D96">
      <w:pPr>
        <w:pStyle w:val="p1"/>
        <w:rPr>
          <w:rFonts w:eastAsia="Verdana" w:cs="Verdana"/>
          <w:sz w:val="22"/>
          <w:szCs w:val="22"/>
        </w:rPr>
      </w:pPr>
      <w:r w:rsidRPr="005E68E7">
        <w:rPr>
          <w:rFonts w:eastAsia="Verdana" w:cs="Verdana"/>
          <w:sz w:val="22"/>
          <w:szCs w:val="22"/>
        </w:rPr>
        <w:lastRenderedPageBreak/>
        <w:t xml:space="preserve">Bogotá D.C., 03 </w:t>
      </w:r>
      <w:r w:rsidR="004A75E3" w:rsidRPr="005E68E7">
        <w:rPr>
          <w:rFonts w:eastAsia="Verdana" w:cs="Verdana"/>
          <w:sz w:val="22"/>
          <w:szCs w:val="22"/>
        </w:rPr>
        <w:t>agosto</w:t>
      </w:r>
      <w:r w:rsidRPr="005E68E7">
        <w:rPr>
          <w:rFonts w:eastAsia="Verdana" w:cs="Verdana"/>
          <w:sz w:val="22"/>
          <w:szCs w:val="22"/>
        </w:rPr>
        <w:t xml:space="preserve"> 2026</w:t>
      </w:r>
    </w:p>
    <w:p w14:paraId="38A8793A" w14:textId="0F1664ED" w:rsidR="00E30D96" w:rsidRDefault="00E30D96" w:rsidP="00E30D96">
      <w:pPr>
        <w:spacing w:after="0" w:line="240" w:lineRule="auto"/>
        <w:jc w:val="both"/>
        <w:rPr>
          <w:rFonts w:ascii="Verdana" w:eastAsia="Calibri" w:hAnsi="Verdana" w:cs="Arial"/>
          <w:lang w:eastAsia="es-ES"/>
        </w:rPr>
      </w:pPr>
      <w:bookmarkStart w:id="1" w:name="_Hlk197462763"/>
      <w:bookmarkStart w:id="2" w:name="_Hlk197529996"/>
    </w:p>
    <w:p w14:paraId="7A41A85E" w14:textId="77777777" w:rsidR="004A75E3" w:rsidRDefault="004A75E3" w:rsidP="00E30D96">
      <w:pPr>
        <w:spacing w:after="0" w:line="240" w:lineRule="auto"/>
        <w:jc w:val="both"/>
        <w:rPr>
          <w:rFonts w:ascii="Verdana" w:eastAsia="Calibri" w:hAnsi="Verdana" w:cs="Arial"/>
          <w:lang w:eastAsia="es-ES"/>
        </w:rPr>
      </w:pPr>
    </w:p>
    <w:p w14:paraId="323F69CF" w14:textId="12EDDE88" w:rsidR="00E30D96" w:rsidRDefault="004A75E3" w:rsidP="00E30D96">
      <w:pPr>
        <w:spacing w:after="0" w:line="240" w:lineRule="auto"/>
        <w:jc w:val="both"/>
        <w:rPr>
          <w:rFonts w:ascii="Verdana" w:eastAsia="Calibri" w:hAnsi="Verdana" w:cs="Arial"/>
          <w:lang w:eastAsia="es-ES"/>
        </w:rPr>
      </w:pPr>
      <w:r w:rsidRPr="005E68E7">
        <w:rPr>
          <w:rFonts w:eastAsia="Verdana" w:cs="Verdana"/>
          <w:noProof/>
        </w:rPr>
        <w:drawing>
          <wp:anchor distT="0" distB="0" distL="114300" distR="114300" simplePos="0" relativeHeight="251658240" behindDoc="1" locked="0" layoutInCell="1" allowOverlap="1" wp14:anchorId="205AD6F2" wp14:editId="7C98F720">
            <wp:simplePos x="0" y="0"/>
            <wp:positionH relativeFrom="column">
              <wp:posOffset>3684905</wp:posOffset>
            </wp:positionH>
            <wp:positionV relativeFrom="paragraph">
              <wp:posOffset>29210</wp:posOffset>
            </wp:positionV>
            <wp:extent cx="1933575" cy="535305"/>
            <wp:effectExtent l="0" t="0" r="0" b="0"/>
            <wp:wrapTight wrapText="bothSides">
              <wp:wrapPolygon edited="0">
                <wp:start x="0" y="0"/>
                <wp:lineTo x="0" y="20754"/>
                <wp:lineTo x="21281" y="20754"/>
                <wp:lineTo x="21281" y="0"/>
                <wp:lineTo x="0" y="0"/>
              </wp:wrapPolygon>
            </wp:wrapTight>
            <wp:docPr id="13595746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33575" cy="535305"/>
                    </a:xfrm>
                    <a:prstGeom prst="rect">
                      <a:avLst/>
                    </a:prstGeom>
                    <a:noFill/>
                    <a:ln>
                      <a:noFill/>
                    </a:ln>
                  </pic:spPr>
                </pic:pic>
              </a:graphicData>
            </a:graphic>
          </wp:anchor>
        </w:drawing>
      </w:r>
      <w:r w:rsidR="00E30D96" w:rsidRPr="008E4F36">
        <w:rPr>
          <w:rFonts w:ascii="Verdana" w:eastAsia="Calibri" w:hAnsi="Verdana" w:cs="Arial"/>
          <w:lang w:eastAsia="es-ES"/>
        </w:rPr>
        <w:t>Señor</w:t>
      </w:r>
    </w:p>
    <w:p w14:paraId="45CAE578" w14:textId="77777777" w:rsidR="00E30D96" w:rsidRDefault="00E30D96" w:rsidP="00E30D96">
      <w:pPr>
        <w:spacing w:after="0" w:line="240" w:lineRule="auto"/>
        <w:jc w:val="both"/>
        <w:rPr>
          <w:rFonts w:ascii="Verdana" w:eastAsia="Calibri" w:hAnsi="Verdana" w:cs="Arial"/>
          <w:b/>
          <w:bCs/>
          <w:lang w:eastAsia="es-ES"/>
        </w:rPr>
      </w:pPr>
      <w:r w:rsidRPr="0092207E">
        <w:rPr>
          <w:rFonts w:ascii="Verdana" w:eastAsia="Calibri" w:hAnsi="Verdana" w:cs="Arial"/>
          <w:b/>
          <w:bCs/>
          <w:lang w:eastAsia="es-ES"/>
        </w:rPr>
        <w:t>ANDRÉ DAINOVER RODRÍGUEZ MARIÑO</w:t>
      </w:r>
    </w:p>
    <w:p w14:paraId="13D1FA13" w14:textId="77777777" w:rsidR="00E30D96" w:rsidRPr="00D46CCA" w:rsidRDefault="00E30D96" w:rsidP="00E30D96">
      <w:pPr>
        <w:spacing w:after="0" w:line="240" w:lineRule="auto"/>
        <w:jc w:val="both"/>
        <w:rPr>
          <w:rFonts w:ascii="Verdana" w:eastAsia="Calibri" w:hAnsi="Verdana" w:cs="Arial"/>
          <w:lang w:eastAsia="es-ES"/>
        </w:rPr>
      </w:pPr>
      <w:hyperlink r:id="rId11" w:history="1">
        <w:r w:rsidRPr="00D46CCA">
          <w:rPr>
            <w:rStyle w:val="Hipervnculo"/>
            <w:rFonts w:ascii="Verdana" w:eastAsia="Calibri" w:hAnsi="Verdana" w:cs="Arial"/>
            <w:color w:val="auto"/>
            <w:u w:val="none"/>
            <w:lang w:eastAsia="es-ES"/>
          </w:rPr>
          <w:t>ejecutiva@concejo-yopalcasanare.gov.co</w:t>
        </w:r>
      </w:hyperlink>
    </w:p>
    <w:p w14:paraId="79735755" w14:textId="77777777" w:rsidR="00E30D96" w:rsidRDefault="00E30D96" w:rsidP="00E30D96">
      <w:pPr>
        <w:spacing w:after="0" w:line="240" w:lineRule="auto"/>
        <w:jc w:val="both"/>
        <w:rPr>
          <w:rFonts w:ascii="Verdana" w:eastAsia="Calibri" w:hAnsi="Verdana" w:cs="Arial"/>
          <w:lang w:eastAsia="es-ES"/>
        </w:rPr>
      </w:pPr>
      <w:r w:rsidRPr="00D46CCA">
        <w:rPr>
          <w:rFonts w:ascii="Verdana" w:eastAsia="Calibri" w:hAnsi="Verdana" w:cs="Arial"/>
          <w:lang w:eastAsia="es-ES"/>
        </w:rPr>
        <w:t xml:space="preserve">Yopal-Casanare </w:t>
      </w:r>
    </w:p>
    <w:p w14:paraId="58EA4D11" w14:textId="77777777" w:rsidR="00E30D96" w:rsidRPr="00D46CCA" w:rsidRDefault="00E30D96" w:rsidP="00E30D96">
      <w:pPr>
        <w:spacing w:after="0" w:line="240" w:lineRule="auto"/>
        <w:jc w:val="both"/>
        <w:rPr>
          <w:rFonts w:ascii="Verdana" w:eastAsia="Calibri" w:hAnsi="Verdana" w:cs="Arial"/>
          <w:lang w:eastAsia="es-ES"/>
        </w:rPr>
      </w:pPr>
    </w:p>
    <w:p w14:paraId="2F9B6250" w14:textId="77777777" w:rsidR="00E30D96" w:rsidRPr="00750FCC" w:rsidRDefault="00E30D96" w:rsidP="00E30D96">
      <w:pPr>
        <w:spacing w:after="0" w:line="240" w:lineRule="auto"/>
        <w:jc w:val="both"/>
        <w:rPr>
          <w:rFonts w:ascii="Verdana" w:eastAsia="Calibri" w:hAnsi="Verdana" w:cs="Arial"/>
          <w:b/>
          <w:bCs/>
          <w:color w:val="000000"/>
          <w:lang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5670"/>
      </w:tblGrid>
      <w:tr w:rsidR="00E30D96" w:rsidRPr="002842E0" w14:paraId="678F6111" w14:textId="77777777" w:rsidTr="00645FE8">
        <w:trPr>
          <w:trHeight w:val="162"/>
        </w:trPr>
        <w:tc>
          <w:tcPr>
            <w:tcW w:w="3119" w:type="dxa"/>
          </w:tcPr>
          <w:p w14:paraId="7717686E" w14:textId="77777777" w:rsidR="00E30D96" w:rsidRPr="00750FCC" w:rsidRDefault="00E30D96" w:rsidP="00645FE8">
            <w:pPr>
              <w:jc w:val="both"/>
              <w:rPr>
                <w:rFonts w:ascii="Verdana" w:eastAsia="Calibri" w:hAnsi="Verdana" w:cs="Arial"/>
                <w:b/>
                <w:bCs/>
                <w:color w:val="7030A0"/>
                <w:lang w:eastAsia="es-ES_tradnl"/>
              </w:rPr>
            </w:pPr>
          </w:p>
        </w:tc>
        <w:tc>
          <w:tcPr>
            <w:tcW w:w="5670" w:type="dxa"/>
          </w:tcPr>
          <w:p w14:paraId="580E4E34" w14:textId="77777777" w:rsidR="00E30D96" w:rsidRPr="00801462" w:rsidRDefault="00E30D96" w:rsidP="00645FE8">
            <w:pPr>
              <w:jc w:val="both"/>
              <w:rPr>
                <w:rFonts w:ascii="Verdana" w:eastAsia="Calibri" w:hAnsi="Verdana" w:cs="Arial"/>
                <w:b/>
                <w:bCs/>
                <w:lang w:eastAsia="es-ES"/>
              </w:rPr>
            </w:pPr>
            <w:r w:rsidRPr="00083AB6">
              <w:rPr>
                <w:rFonts w:ascii="Verdana" w:eastAsia="Calibri" w:hAnsi="Verdana" w:cs="Arial"/>
                <w:b/>
                <w:bCs/>
                <w:lang w:eastAsia="es-ES"/>
              </w:rPr>
              <w:t xml:space="preserve">Concepto C- </w:t>
            </w:r>
            <w:r>
              <w:rPr>
                <w:rFonts w:ascii="Verdana" w:eastAsia="Calibri" w:hAnsi="Verdana" w:cs="Arial"/>
                <w:b/>
                <w:bCs/>
                <w:lang w:eastAsia="es-ES"/>
              </w:rPr>
              <w:t>1022 de 2026</w:t>
            </w:r>
          </w:p>
          <w:p w14:paraId="37DAFFAD" w14:textId="77777777" w:rsidR="00E30D96" w:rsidRPr="00801462" w:rsidRDefault="00E30D96" w:rsidP="00645FE8">
            <w:pPr>
              <w:jc w:val="both"/>
              <w:rPr>
                <w:rFonts w:ascii="Verdana" w:eastAsia="Calibri" w:hAnsi="Verdana" w:cs="Arial"/>
                <w:b/>
                <w:bCs/>
                <w:color w:val="7030A0"/>
                <w:lang w:eastAsia="es-ES"/>
              </w:rPr>
            </w:pPr>
          </w:p>
        </w:tc>
      </w:tr>
      <w:tr w:rsidR="00E30D96" w:rsidRPr="002842E0" w14:paraId="73AEBEF3" w14:textId="77777777" w:rsidTr="00645FE8">
        <w:trPr>
          <w:trHeight w:val="884"/>
        </w:trPr>
        <w:tc>
          <w:tcPr>
            <w:tcW w:w="3119" w:type="dxa"/>
          </w:tcPr>
          <w:p w14:paraId="028BC57C" w14:textId="77777777" w:rsidR="00E30D96" w:rsidRPr="00801462" w:rsidRDefault="00E30D96" w:rsidP="00645FE8">
            <w:pPr>
              <w:jc w:val="both"/>
              <w:rPr>
                <w:rFonts w:ascii="Verdana" w:eastAsia="Calibri" w:hAnsi="Verdana" w:cs="Arial"/>
                <w:color w:val="000000"/>
                <w:lang w:eastAsia="es-ES_tradnl"/>
              </w:rPr>
            </w:pPr>
            <w:r w:rsidRPr="00801462">
              <w:rPr>
                <w:rFonts w:ascii="Verdana" w:eastAsia="Calibri" w:hAnsi="Verdana" w:cs="Arial"/>
                <w:b/>
                <w:color w:val="000000"/>
                <w:lang w:eastAsia="es-ES_tradnl"/>
              </w:rPr>
              <w:t>Temas:</w:t>
            </w:r>
            <w:r w:rsidRPr="00801462">
              <w:rPr>
                <w:rFonts w:ascii="Verdana" w:eastAsia="Calibri" w:hAnsi="Verdana" w:cs="Arial"/>
                <w:color w:val="000000"/>
                <w:lang w:eastAsia="es-ES_tradnl"/>
              </w:rPr>
              <w:t xml:space="preserve">                   </w:t>
            </w:r>
          </w:p>
        </w:tc>
        <w:tc>
          <w:tcPr>
            <w:tcW w:w="5670" w:type="dxa"/>
          </w:tcPr>
          <w:p w14:paraId="4723E6A3" w14:textId="77777777" w:rsidR="00E30D96" w:rsidRPr="001A27A8" w:rsidRDefault="00E30D96" w:rsidP="00645FE8">
            <w:pPr>
              <w:jc w:val="both"/>
              <w:rPr>
                <w:rFonts w:ascii="Verdana" w:eastAsia="Arial" w:hAnsi="Verdana" w:cs="Arial"/>
                <w:color w:val="000000" w:themeColor="text1"/>
              </w:rPr>
            </w:pPr>
            <w:r w:rsidRPr="00C21522">
              <w:rPr>
                <w:rFonts w:ascii="Verdana" w:hAnsi="Verdana" w:cs="Arial"/>
                <w:bCs/>
                <w:color w:val="000000" w:themeColor="text1"/>
                <w:lang w:val="es-ES_tradnl"/>
              </w:rPr>
              <w:t xml:space="preserve">LEY DE GARANTÍAS ELECTORALES ‒ Finalidad / LEY DE GARANTÍAS ELECTORALES ‒ Tipos de restricciones – </w:t>
            </w:r>
            <w:r>
              <w:rPr>
                <w:rFonts w:ascii="Verdana" w:eastAsia="Arial" w:hAnsi="Verdana" w:cs="Arial"/>
                <w:color w:val="000000" w:themeColor="text1"/>
                <w:lang w:val="es-ES" w:eastAsia="es-ES"/>
              </w:rPr>
              <w:t xml:space="preserve">Contratación directa – Convenios interadministrativos </w:t>
            </w:r>
            <w:r w:rsidRPr="00C21522">
              <w:rPr>
                <w:rFonts w:ascii="Verdana" w:eastAsia="Arial" w:hAnsi="Verdana" w:cs="Arial"/>
                <w:color w:val="000000" w:themeColor="text1"/>
                <w:lang w:val="es-ES" w:eastAsia="es-ES"/>
              </w:rPr>
              <w:t xml:space="preserve">/ </w:t>
            </w:r>
            <w:r w:rsidRPr="00C21522">
              <w:rPr>
                <w:rFonts w:ascii="Verdana" w:eastAsia="Arial" w:hAnsi="Verdana" w:cs="Arial"/>
                <w:color w:val="000000" w:themeColor="text1"/>
              </w:rPr>
              <w:t>INSTITUCIONES EDUCATIVAS OFICIALES – Naturaleza jurídica – Capacidad para contratar</w:t>
            </w:r>
            <w:r>
              <w:rPr>
                <w:rFonts w:ascii="Verdana" w:eastAsia="Arial" w:hAnsi="Verdana" w:cs="Arial"/>
                <w:color w:val="000000" w:themeColor="text1"/>
              </w:rPr>
              <w:t xml:space="preserve"> </w:t>
            </w:r>
            <w:r w:rsidRPr="00C21522">
              <w:rPr>
                <w:rFonts w:ascii="Verdana" w:eastAsia="Arial" w:hAnsi="Verdana" w:cs="Arial"/>
                <w:color w:val="000000" w:themeColor="text1"/>
                <w:lang w:val="es-ES" w:eastAsia="es-ES"/>
              </w:rPr>
              <w:t xml:space="preserve">/ </w:t>
            </w:r>
            <w:r w:rsidRPr="00C21522">
              <w:rPr>
                <w:rFonts w:ascii="Verdana" w:eastAsia="Arial" w:hAnsi="Verdana" w:cs="Arial"/>
                <w:color w:val="000000" w:themeColor="text1"/>
              </w:rPr>
              <w:t>INSTITUCIONES EDUCATIVAS OFICIALES –</w:t>
            </w:r>
            <w:r>
              <w:rPr>
                <w:rFonts w:ascii="Verdana" w:eastAsia="Arial" w:hAnsi="Verdana" w:cs="Arial"/>
                <w:color w:val="000000" w:themeColor="text1"/>
              </w:rPr>
              <w:t xml:space="preserve"> Ley de Garantías Electorales – Aplicación  </w:t>
            </w:r>
          </w:p>
          <w:p w14:paraId="4753C4B9" w14:textId="77777777" w:rsidR="00E30D96" w:rsidRPr="00801462" w:rsidRDefault="00E30D96" w:rsidP="00645FE8">
            <w:pPr>
              <w:jc w:val="both"/>
              <w:rPr>
                <w:rFonts w:ascii="Verdana" w:eastAsia="Calibri" w:hAnsi="Verdana" w:cs="Arial"/>
                <w:lang w:val="es-ES_tradnl" w:eastAsia="es-ES"/>
              </w:rPr>
            </w:pPr>
          </w:p>
        </w:tc>
      </w:tr>
      <w:tr w:rsidR="00E30D96" w:rsidRPr="002842E0" w14:paraId="5ED068AD" w14:textId="77777777" w:rsidTr="00645FE8">
        <w:tc>
          <w:tcPr>
            <w:tcW w:w="3119" w:type="dxa"/>
          </w:tcPr>
          <w:p w14:paraId="11E07700" w14:textId="77777777" w:rsidR="00E30D96" w:rsidRPr="00801462" w:rsidRDefault="00E30D96" w:rsidP="00645FE8">
            <w:pPr>
              <w:jc w:val="both"/>
              <w:rPr>
                <w:rFonts w:ascii="Verdana" w:eastAsia="Calibri" w:hAnsi="Verdana" w:cs="Arial"/>
                <w:b/>
                <w:lang w:eastAsia="es-ES_tradnl"/>
              </w:rPr>
            </w:pPr>
            <w:r w:rsidRPr="00801462">
              <w:rPr>
                <w:rFonts w:ascii="Verdana" w:eastAsia="Calibri" w:hAnsi="Verdana" w:cs="Arial"/>
                <w:b/>
                <w:lang w:eastAsia="es-ES_tradnl"/>
              </w:rPr>
              <w:t>Radicación:</w:t>
            </w:r>
            <w:r w:rsidRPr="00801462">
              <w:rPr>
                <w:rFonts w:ascii="Verdana" w:eastAsia="Calibri" w:hAnsi="Verdana" w:cs="Arial"/>
                <w:lang w:eastAsia="es-ES_tradnl"/>
              </w:rPr>
              <w:t xml:space="preserve">               </w:t>
            </w:r>
          </w:p>
        </w:tc>
        <w:tc>
          <w:tcPr>
            <w:tcW w:w="5670" w:type="dxa"/>
          </w:tcPr>
          <w:p w14:paraId="6B420540" w14:textId="77777777" w:rsidR="00E30D96" w:rsidRPr="001110A6" w:rsidRDefault="00E30D96" w:rsidP="00645FE8">
            <w:pPr>
              <w:jc w:val="both"/>
              <w:rPr>
                <w:rFonts w:ascii="Verdana" w:eastAsia="Calibri" w:hAnsi="Verdana" w:cs="Arial"/>
                <w:lang w:eastAsia="es-ES_tradnl"/>
              </w:rPr>
            </w:pPr>
            <w:r w:rsidRPr="007E6111">
              <w:rPr>
                <w:rFonts w:ascii="Verdana" w:eastAsia="Calibri" w:hAnsi="Verdana" w:cs="Arial"/>
                <w:lang w:eastAsia="es-ES_tradnl"/>
              </w:rPr>
              <w:t xml:space="preserve">Respuesta a consulta con radicado </w:t>
            </w:r>
            <w:r>
              <w:rPr>
                <w:rFonts w:ascii="Verdana" w:hAnsi="Verdana" w:cs="Calibri"/>
                <w:color w:val="000000"/>
              </w:rPr>
              <w:t>1_2026_06_25_008520</w:t>
            </w:r>
          </w:p>
        </w:tc>
      </w:tr>
    </w:tbl>
    <w:p w14:paraId="7C4C9B92" w14:textId="77777777" w:rsidR="00E30D96" w:rsidRDefault="00E30D96" w:rsidP="00E30D96">
      <w:pPr>
        <w:spacing w:after="0" w:line="276" w:lineRule="auto"/>
        <w:jc w:val="both"/>
        <w:rPr>
          <w:rFonts w:ascii="Verdana" w:eastAsia="Calibri" w:hAnsi="Verdana" w:cs="Arial"/>
          <w:lang w:eastAsia="es-ES_tradnl"/>
        </w:rPr>
      </w:pPr>
    </w:p>
    <w:p w14:paraId="21F9315E" w14:textId="77777777" w:rsidR="00E30D96" w:rsidRDefault="00E30D96" w:rsidP="00E30D96">
      <w:pPr>
        <w:spacing w:after="0" w:line="276" w:lineRule="auto"/>
        <w:jc w:val="both"/>
        <w:rPr>
          <w:rFonts w:ascii="Verdana" w:eastAsia="Calibri" w:hAnsi="Verdana" w:cs="Arial"/>
          <w:lang w:eastAsia="es-ES_tradnl"/>
        </w:rPr>
      </w:pPr>
    </w:p>
    <w:p w14:paraId="6FE7AA67" w14:textId="77777777" w:rsidR="00E30D96" w:rsidRPr="008E4F36" w:rsidRDefault="00E30D96" w:rsidP="00E30D96">
      <w:pPr>
        <w:spacing w:after="0" w:line="276" w:lineRule="auto"/>
        <w:jc w:val="both"/>
        <w:rPr>
          <w:rFonts w:ascii="Verdana" w:eastAsia="Calibri" w:hAnsi="Verdana" w:cs="Arial"/>
          <w:lang w:eastAsia="es-ES"/>
        </w:rPr>
      </w:pPr>
      <w:r w:rsidRPr="00083AB6">
        <w:rPr>
          <w:rFonts w:ascii="Verdana" w:eastAsia="Calibri" w:hAnsi="Verdana" w:cs="Arial"/>
          <w:lang w:eastAsia="es-ES"/>
        </w:rPr>
        <w:t>Estimad</w:t>
      </w:r>
      <w:r>
        <w:rPr>
          <w:rFonts w:ascii="Verdana" w:eastAsia="Calibri" w:hAnsi="Verdana" w:cs="Arial"/>
          <w:lang w:eastAsia="es-ES"/>
        </w:rPr>
        <w:t>o</w:t>
      </w:r>
      <w:r w:rsidRPr="00083AB6">
        <w:rPr>
          <w:rFonts w:ascii="Verdana" w:eastAsia="Calibri" w:hAnsi="Verdana" w:cs="Arial"/>
          <w:lang w:eastAsia="es-ES"/>
        </w:rPr>
        <w:t xml:space="preserve"> </w:t>
      </w:r>
      <w:r>
        <w:rPr>
          <w:rFonts w:ascii="Verdana" w:eastAsia="Calibri" w:hAnsi="Verdana" w:cs="Arial"/>
          <w:lang w:eastAsia="es-ES"/>
        </w:rPr>
        <w:t>Señor Rodríguez</w:t>
      </w:r>
      <w:r w:rsidRPr="00083AB6">
        <w:rPr>
          <w:rFonts w:ascii="Verdana" w:eastAsia="Calibri" w:hAnsi="Verdana" w:cs="Arial"/>
          <w:lang w:eastAsia="es-ES"/>
        </w:rPr>
        <w:t>:</w:t>
      </w:r>
      <w:r w:rsidRPr="008E4F36">
        <w:rPr>
          <w:rFonts w:ascii="Verdana" w:eastAsia="Calibri" w:hAnsi="Verdana" w:cs="Arial"/>
          <w:lang w:eastAsia="es-ES"/>
        </w:rPr>
        <w:t xml:space="preserve"> </w:t>
      </w:r>
    </w:p>
    <w:p w14:paraId="258127A8" w14:textId="77777777" w:rsidR="00E30D96" w:rsidRDefault="00E30D96" w:rsidP="00E30D96">
      <w:pPr>
        <w:tabs>
          <w:tab w:val="left" w:pos="3768"/>
        </w:tabs>
        <w:spacing w:after="0" w:line="240" w:lineRule="auto"/>
        <w:jc w:val="both"/>
        <w:rPr>
          <w:rFonts w:ascii="Verdana" w:eastAsia="Calibri" w:hAnsi="Verdana" w:cs="Arial"/>
          <w:lang w:eastAsia="es-ES"/>
        </w:rPr>
      </w:pPr>
    </w:p>
    <w:p w14:paraId="7FF8A1FE" w14:textId="3869DC86" w:rsidR="00E30D96" w:rsidRDefault="00E30D96" w:rsidP="00E30D96">
      <w:pPr>
        <w:tabs>
          <w:tab w:val="left" w:pos="3768"/>
        </w:tabs>
        <w:spacing w:after="0" w:line="276" w:lineRule="auto"/>
        <w:jc w:val="both"/>
        <w:rPr>
          <w:rFonts w:ascii="Verdana" w:eastAsia="Calibri" w:hAnsi="Verdana" w:cs="Arial"/>
          <w:lang w:eastAsia="es-ES"/>
        </w:rPr>
      </w:pPr>
      <w:r w:rsidRPr="000B62E4">
        <w:rPr>
          <w:rFonts w:ascii="Verdana" w:eastAsia="Calibri" w:hAnsi="Verdana" w:cs="Arial"/>
          <w:lang w:eastAsia="es-ES"/>
        </w:rPr>
        <w:t xml:space="preserve">En ejercicio de la competencia otorgada por los artículos 3, numeral 5º, y 11, numeral 8º, del Decreto Ley 4170 de 2011, así como lo establecido por la Resolución 469 de 2025 expedida por esta Entidad, la Agencia Nacional de Contratación Pública – Colombia Compra Eficiente– responde sus solicitudes de consulta de fecha </w:t>
      </w:r>
      <w:r>
        <w:rPr>
          <w:rFonts w:ascii="Verdana" w:eastAsia="Calibri" w:hAnsi="Verdana" w:cs="Arial"/>
          <w:lang w:eastAsia="es-ES"/>
        </w:rPr>
        <w:t>24</w:t>
      </w:r>
      <w:r w:rsidRPr="000B62E4">
        <w:rPr>
          <w:rFonts w:ascii="Verdana" w:eastAsia="Calibri" w:hAnsi="Verdana" w:cs="Arial"/>
          <w:lang w:eastAsia="es-ES"/>
        </w:rPr>
        <w:t xml:space="preserve"> de junio de 2026, en la cual manifiesta lo siguiente: </w:t>
      </w:r>
    </w:p>
    <w:p w14:paraId="6D5FCFBB" w14:textId="77777777" w:rsidR="00E30D96" w:rsidRDefault="00E30D96" w:rsidP="00E30D96">
      <w:pPr>
        <w:tabs>
          <w:tab w:val="left" w:pos="3768"/>
        </w:tabs>
        <w:spacing w:after="0" w:line="276" w:lineRule="auto"/>
        <w:jc w:val="both"/>
        <w:rPr>
          <w:rFonts w:ascii="Verdana" w:eastAsia="Calibri" w:hAnsi="Verdana" w:cs="Arial"/>
          <w:lang w:eastAsia="es-ES"/>
        </w:rPr>
      </w:pPr>
    </w:p>
    <w:p w14:paraId="3A2D86E9" w14:textId="189C27D8" w:rsidR="00E30D96" w:rsidRDefault="00E30D96" w:rsidP="00E30D96">
      <w:pPr>
        <w:spacing w:before="120" w:after="0" w:line="276" w:lineRule="auto"/>
        <w:ind w:firstLine="709"/>
        <w:jc w:val="both"/>
        <w:rPr>
          <w:rFonts w:ascii="Verdana" w:eastAsia="Calibri" w:hAnsi="Verdana" w:cs="Arial"/>
          <w:color w:val="000000" w:themeColor="text1"/>
          <w:sz w:val="20"/>
          <w:szCs w:val="20"/>
        </w:rPr>
      </w:pPr>
      <w:r>
        <w:rPr>
          <w:rFonts w:ascii="Verdana" w:eastAsia="Calibri" w:hAnsi="Verdana" w:cs="Arial"/>
          <w:color w:val="000000" w:themeColor="text1"/>
          <w:sz w:val="20"/>
          <w:szCs w:val="20"/>
        </w:rPr>
        <w:t>“En Merito de lo expuesto, respetuosamente se solicita:</w:t>
      </w:r>
    </w:p>
    <w:p w14:paraId="1B2959A4" w14:textId="77777777" w:rsidR="00E30D96" w:rsidRDefault="00E30D96" w:rsidP="00E30D96">
      <w:pPr>
        <w:spacing w:before="120" w:after="0" w:line="276" w:lineRule="auto"/>
        <w:ind w:firstLine="709"/>
        <w:jc w:val="both"/>
        <w:rPr>
          <w:rFonts w:ascii="Verdana" w:eastAsia="Calibri" w:hAnsi="Verdana" w:cs="Arial"/>
          <w:color w:val="000000" w:themeColor="text1"/>
          <w:sz w:val="20"/>
          <w:szCs w:val="20"/>
        </w:rPr>
      </w:pPr>
    </w:p>
    <w:p w14:paraId="7F9D7541" w14:textId="77777777" w:rsidR="00E30D96" w:rsidRPr="00161ECA" w:rsidRDefault="00E30D96" w:rsidP="00E30D96">
      <w:pPr>
        <w:spacing w:after="0" w:line="276" w:lineRule="auto"/>
        <w:ind w:left="737" w:right="737"/>
        <w:jc w:val="both"/>
        <w:rPr>
          <w:rFonts w:ascii="Verdana" w:eastAsia="Calibri" w:hAnsi="Verdana" w:cs="Arial"/>
          <w:i/>
          <w:iCs/>
          <w:color w:val="000000" w:themeColor="text1"/>
          <w:sz w:val="20"/>
          <w:szCs w:val="20"/>
        </w:rPr>
      </w:pPr>
      <w:r w:rsidRPr="00161ECA">
        <w:rPr>
          <w:rFonts w:ascii="Verdana" w:eastAsia="Calibri" w:hAnsi="Verdana" w:cs="Arial"/>
          <w:i/>
          <w:iCs/>
          <w:color w:val="000000" w:themeColor="text1"/>
          <w:sz w:val="20"/>
          <w:szCs w:val="20"/>
        </w:rPr>
        <w:t xml:space="preserve">Se emita concepto jurídico claro, preciso y de fondo en relación con la forma en que la Mesa Directiva del Concejo Municipal puede adelantar la selección de la institución de educación superior que apoyara el proceso de elección de </w:t>
      </w:r>
      <w:proofErr w:type="gramStart"/>
      <w:r w:rsidRPr="00161ECA">
        <w:rPr>
          <w:rFonts w:ascii="Verdana" w:eastAsia="Calibri" w:hAnsi="Verdana" w:cs="Arial"/>
          <w:i/>
          <w:iCs/>
          <w:color w:val="000000" w:themeColor="text1"/>
          <w:sz w:val="20"/>
          <w:szCs w:val="20"/>
        </w:rPr>
        <w:t>Secretario General</w:t>
      </w:r>
      <w:proofErr w:type="gramEnd"/>
      <w:r w:rsidRPr="00161ECA">
        <w:rPr>
          <w:rFonts w:ascii="Verdana" w:eastAsia="Calibri" w:hAnsi="Verdana" w:cs="Arial"/>
          <w:i/>
          <w:iCs/>
          <w:color w:val="000000" w:themeColor="text1"/>
          <w:sz w:val="20"/>
          <w:szCs w:val="20"/>
        </w:rPr>
        <w:t xml:space="preserve">, garantizando la observancia simultanea de la Ley 1904 de 2018 y de la Ley 996 de 2005, sin incurrir </w:t>
      </w:r>
      <w:r w:rsidRPr="00161ECA">
        <w:rPr>
          <w:rFonts w:ascii="Verdana" w:eastAsia="Calibri" w:hAnsi="Verdana" w:cs="Arial"/>
          <w:i/>
          <w:iCs/>
          <w:color w:val="000000" w:themeColor="text1"/>
          <w:sz w:val="20"/>
          <w:szCs w:val="20"/>
        </w:rPr>
        <w:lastRenderedPageBreak/>
        <w:t>en vulneración de las disposiciones que regulan la contratación estatal en periodo de la ley de garantías.</w:t>
      </w:r>
      <w:r>
        <w:rPr>
          <w:rFonts w:ascii="Verdana" w:eastAsia="Calibri" w:hAnsi="Verdana" w:cs="Arial"/>
          <w:i/>
          <w:iCs/>
          <w:color w:val="000000" w:themeColor="text1"/>
          <w:sz w:val="20"/>
          <w:szCs w:val="20"/>
        </w:rPr>
        <w:t>”</w:t>
      </w:r>
    </w:p>
    <w:p w14:paraId="56A83766" w14:textId="77777777" w:rsidR="00E30D96" w:rsidRDefault="00E30D96" w:rsidP="00E30D96">
      <w:pPr>
        <w:spacing w:before="120" w:after="0" w:line="276" w:lineRule="auto"/>
        <w:jc w:val="both"/>
        <w:rPr>
          <w:rFonts w:ascii="Verdana" w:eastAsia="Calibri" w:hAnsi="Verdana" w:cs="Arial"/>
          <w:i/>
          <w:iCs/>
          <w:color w:val="000000" w:themeColor="text1"/>
          <w:sz w:val="20"/>
          <w:szCs w:val="20"/>
        </w:rPr>
      </w:pPr>
    </w:p>
    <w:p w14:paraId="0E621667" w14:textId="77777777" w:rsidR="00E30D96" w:rsidRDefault="00E30D96" w:rsidP="00E30D96">
      <w:pPr>
        <w:spacing w:before="120" w:after="0" w:line="276" w:lineRule="auto"/>
        <w:ind w:firstLine="709"/>
        <w:jc w:val="both"/>
        <w:rPr>
          <w:rFonts w:ascii="Verdana" w:eastAsia="Calibri" w:hAnsi="Verdana" w:cs="Arial"/>
          <w:color w:val="000000"/>
          <w:szCs w:val="24"/>
          <w:lang w:eastAsia="es-ES_tradnl"/>
        </w:rPr>
      </w:pPr>
      <w:r w:rsidRPr="008E4F36">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640238CB" w14:textId="77777777" w:rsidR="00E30D96" w:rsidRPr="00054383" w:rsidRDefault="00E30D96" w:rsidP="00E30D96">
      <w:pPr>
        <w:spacing w:before="120" w:after="0" w:line="276" w:lineRule="auto"/>
        <w:ind w:firstLine="709"/>
        <w:jc w:val="both"/>
        <w:rPr>
          <w:rFonts w:ascii="Verdana" w:eastAsia="Calibri" w:hAnsi="Verdana" w:cs="Arial"/>
          <w:color w:val="000000"/>
          <w:szCs w:val="24"/>
          <w:lang w:eastAsia="es-ES_tradnl"/>
        </w:rPr>
      </w:pPr>
      <w:r w:rsidRPr="008E4F36">
        <w:rPr>
          <w:rFonts w:ascii="Verdana" w:eastAsia="Calibri" w:hAnsi="Verdana" w:cs="Arial"/>
          <w:color w:val="000000"/>
          <w:lang w:eastAsia="es-ES"/>
        </w:rPr>
        <w:t xml:space="preserve">Conforme lo expuesto, en aras de garantizar el derecho fundamental de petición, se resolverá su petición dentro de los límites de la referida competencia consultiva, esto es, haciendo abstracción del caso particular y concreto señalado en su petición, pero señalando algunas consideraciones sobre las normas generales relacionadas </w:t>
      </w:r>
      <w:r w:rsidRPr="002975A0">
        <w:rPr>
          <w:rFonts w:ascii="Verdana" w:eastAsia="Calibri" w:hAnsi="Verdana" w:cs="Arial"/>
          <w:color w:val="000000"/>
          <w:lang w:eastAsia="es-ES"/>
        </w:rPr>
        <w:t xml:space="preserve">con </w:t>
      </w:r>
      <w:r>
        <w:rPr>
          <w:rFonts w:ascii="Verdana" w:eastAsia="Calibri" w:hAnsi="Verdana" w:cs="Arial"/>
          <w:color w:val="000000"/>
          <w:lang w:eastAsia="es-ES"/>
        </w:rPr>
        <w:t xml:space="preserve">el </w:t>
      </w:r>
      <w:r w:rsidRPr="002975A0">
        <w:rPr>
          <w:rFonts w:ascii="Verdana" w:eastAsia="Calibri" w:hAnsi="Verdana" w:cs="Arial"/>
          <w:color w:val="000000"/>
          <w:lang w:eastAsia="es-ES"/>
        </w:rPr>
        <w:t>problema jurídico de su consulta.</w:t>
      </w:r>
      <w:r w:rsidRPr="008E4F36">
        <w:rPr>
          <w:rFonts w:ascii="Verdana" w:eastAsia="Calibri" w:hAnsi="Verdana" w:cs="Arial"/>
          <w:color w:val="000000"/>
          <w:lang w:eastAsia="es-ES"/>
        </w:rPr>
        <w:t xml:space="preserve">  </w:t>
      </w:r>
    </w:p>
    <w:p w14:paraId="4449B99C" w14:textId="77777777" w:rsidR="00E30D96" w:rsidRPr="008E4F36" w:rsidRDefault="00E30D96" w:rsidP="00E30D96">
      <w:pPr>
        <w:spacing w:after="0"/>
        <w:ind w:firstLine="709"/>
        <w:jc w:val="both"/>
        <w:rPr>
          <w:rFonts w:ascii="Verdana" w:eastAsia="Calibri" w:hAnsi="Verdana" w:cs="Arial"/>
          <w:color w:val="000000"/>
          <w:lang w:eastAsia="es-ES"/>
        </w:rPr>
      </w:pPr>
    </w:p>
    <w:p w14:paraId="5B6264CB" w14:textId="77777777" w:rsidR="00E30D96" w:rsidRDefault="00E30D96" w:rsidP="00E30D96">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8E4F36">
        <w:rPr>
          <w:rFonts w:ascii="Verdana" w:eastAsia="Century Gothic" w:hAnsi="Verdana" w:cs="Century Gothic"/>
          <w:b/>
          <w:bCs/>
        </w:rPr>
        <w:t>Problema planteado:</w:t>
      </w:r>
    </w:p>
    <w:p w14:paraId="68C1B8C1" w14:textId="77777777" w:rsidR="00E30D96" w:rsidRDefault="00E30D96" w:rsidP="00E30D96">
      <w:pPr>
        <w:spacing w:after="0" w:line="276" w:lineRule="auto"/>
        <w:jc w:val="both"/>
        <w:rPr>
          <w:rFonts w:ascii="Verdana" w:eastAsia="Calibri" w:hAnsi="Verdana" w:cs="Arial"/>
          <w:color w:val="000000"/>
          <w:highlight w:val="yellow"/>
          <w:lang w:eastAsia="es-ES"/>
        </w:rPr>
      </w:pPr>
    </w:p>
    <w:p w14:paraId="6AD9AB5D" w14:textId="77777777" w:rsidR="00E30D96" w:rsidRPr="005A3B40" w:rsidRDefault="00E30D96" w:rsidP="00E30D96">
      <w:pPr>
        <w:spacing w:after="0" w:line="276" w:lineRule="auto"/>
        <w:jc w:val="both"/>
        <w:rPr>
          <w:rFonts w:ascii="Verdana" w:eastAsia="Calibri" w:hAnsi="Verdana" w:cs="Arial"/>
          <w:color w:val="000000"/>
          <w:lang w:eastAsia="es-ES"/>
        </w:rPr>
      </w:pPr>
      <w:r w:rsidRPr="00005FE3">
        <w:rPr>
          <w:rFonts w:ascii="Verdana" w:eastAsia="Calibri" w:hAnsi="Verdana" w:cs="Arial"/>
          <w:color w:val="000000"/>
          <w:lang w:eastAsia="es-ES"/>
        </w:rPr>
        <w:t xml:space="preserve">De acuerdo con el contenido de su solicitud, esta Agencia resolverá </w:t>
      </w:r>
      <w:r>
        <w:rPr>
          <w:rFonts w:ascii="Verdana" w:eastAsia="Calibri" w:hAnsi="Verdana" w:cs="Arial"/>
          <w:color w:val="000000"/>
          <w:lang w:eastAsia="es-ES"/>
        </w:rPr>
        <w:t>el siguiente</w:t>
      </w:r>
      <w:r w:rsidRPr="00005FE3">
        <w:rPr>
          <w:rFonts w:ascii="Verdana" w:eastAsia="Calibri" w:hAnsi="Verdana" w:cs="Arial"/>
          <w:color w:val="000000"/>
          <w:lang w:eastAsia="es-ES"/>
        </w:rPr>
        <w:t xml:space="preserve"> problema jurídico</w:t>
      </w:r>
      <w:r w:rsidRPr="00D47A7B">
        <w:rPr>
          <w:rFonts w:ascii="Verdana" w:eastAsia="Calibri" w:hAnsi="Verdana" w:cs="Arial"/>
          <w:color w:val="000000"/>
          <w:lang w:eastAsia="es-ES"/>
        </w:rPr>
        <w:t>:</w:t>
      </w:r>
      <w:r w:rsidRPr="00D47A7B">
        <w:rPr>
          <w:rFonts w:ascii="Verdana" w:hAnsi="Verdana"/>
        </w:rPr>
        <w:t xml:space="preserve"> </w:t>
      </w:r>
      <w:r w:rsidRPr="000A184F">
        <w:rPr>
          <w:rFonts w:ascii="Verdana" w:hAnsi="Verdana"/>
        </w:rPr>
        <w:t xml:space="preserve">¿Cuál es el mecanismo jurídicamente procedente para seleccionar la institución de educación superior que apoyará la elección del </w:t>
      </w:r>
      <w:proofErr w:type="gramStart"/>
      <w:r w:rsidRPr="000A184F">
        <w:rPr>
          <w:rFonts w:ascii="Verdana" w:hAnsi="Verdana"/>
        </w:rPr>
        <w:t>Secretario General</w:t>
      </w:r>
      <w:proofErr w:type="gramEnd"/>
      <w:r w:rsidRPr="000A184F">
        <w:rPr>
          <w:rFonts w:ascii="Verdana" w:hAnsi="Verdana"/>
        </w:rPr>
        <w:t xml:space="preserve"> durante la vigencia de la Ley 996 de 2005</w:t>
      </w:r>
      <w:r w:rsidRPr="00D47A7B">
        <w:rPr>
          <w:rFonts w:ascii="Verdana" w:hAnsi="Verdana"/>
        </w:rPr>
        <w:t xml:space="preserve">? </w:t>
      </w:r>
    </w:p>
    <w:p w14:paraId="3B8FF42A" w14:textId="77777777" w:rsidR="00E30D96" w:rsidRPr="00BF422F" w:rsidRDefault="00E30D96" w:rsidP="00E30D96">
      <w:pPr>
        <w:spacing w:after="0" w:line="276" w:lineRule="auto"/>
        <w:jc w:val="both"/>
        <w:rPr>
          <w:rFonts w:ascii="Verdana" w:eastAsia="Calibri" w:hAnsi="Verdana" w:cs="Times New Roman"/>
          <w:i/>
          <w:iCs/>
          <w:lang w:val="es-ES"/>
        </w:rPr>
      </w:pPr>
    </w:p>
    <w:p w14:paraId="1C96BFF5" w14:textId="77777777" w:rsidR="00E30D96" w:rsidRPr="008E4F36" w:rsidRDefault="00E30D96" w:rsidP="00E30D96">
      <w:pPr>
        <w:spacing w:after="0" w:line="276" w:lineRule="auto"/>
        <w:jc w:val="both"/>
        <w:rPr>
          <w:rFonts w:ascii="Verdana" w:eastAsia="Century Gothic" w:hAnsi="Verdana" w:cs="Century Gothic"/>
          <w:b/>
          <w:bCs/>
        </w:rPr>
      </w:pPr>
      <w:r w:rsidRPr="008E4F36">
        <w:rPr>
          <w:rFonts w:ascii="Verdana" w:eastAsia="Century Gothic" w:hAnsi="Verdana" w:cs="Century Gothic"/>
          <w:b/>
          <w:bCs/>
        </w:rPr>
        <w:t>2. Respuesta:</w:t>
      </w: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E30D96" w:rsidRPr="008E4F36" w14:paraId="78B10DEB" w14:textId="77777777" w:rsidTr="00645FE8">
        <w:tc>
          <w:tcPr>
            <w:tcW w:w="8828" w:type="dxa"/>
          </w:tcPr>
          <w:p w14:paraId="5E4EE588" w14:textId="77777777" w:rsidR="00E30D96" w:rsidRDefault="00E30D96" w:rsidP="00645FE8">
            <w:pPr>
              <w:spacing w:after="120" w:line="276" w:lineRule="auto"/>
              <w:jc w:val="both"/>
              <w:rPr>
                <w:rFonts w:ascii="Verdana" w:eastAsia="Times New Roman" w:hAnsi="Verdana" w:cs="Open Sans"/>
                <w:lang w:eastAsia="es-CO"/>
              </w:rPr>
            </w:pPr>
            <w:r w:rsidRPr="00DE5508">
              <w:rPr>
                <w:rFonts w:ascii="Verdana" w:eastAsia="Times New Roman" w:hAnsi="Verdana" w:cs="Open Sans"/>
                <w:lang w:eastAsia="es-CO"/>
              </w:rPr>
              <w:t xml:space="preserve">El artículo 33 de la Ley 996 de 2205 prohíbe la contratación directa por parte de todos los entes estatales durante los cuatro meses anteriores a las elecciones presidenciales y dispone las excepciones a dicha prohibición. Así, su ámbito de prohibición está delimitado por la expresión “queda prohibida la contratación directa” y para los efectos de la Ley de Garantías Electorales y, en particular, para la prohibición o restricción temporal contenida en su artículo 33, “contratación directa” </w:t>
            </w:r>
            <w:r w:rsidRPr="485EFC16">
              <w:rPr>
                <w:rFonts w:ascii="Verdana" w:eastAsia="Times New Roman" w:hAnsi="Verdana" w:cs="Open Sans"/>
                <w:lang w:eastAsia="es-CO"/>
              </w:rPr>
              <w:t>se refiere a</w:t>
            </w:r>
            <w:r w:rsidRPr="00DE5508">
              <w:rPr>
                <w:rFonts w:ascii="Verdana" w:eastAsia="Times New Roman" w:hAnsi="Verdana" w:cs="Open Sans"/>
                <w:lang w:eastAsia="es-CO"/>
              </w:rPr>
              <w:t xml:space="preserve"> cualquier sistema de selección </w:t>
            </w:r>
            <w:r w:rsidRPr="00DE5508">
              <w:rPr>
                <w:rFonts w:ascii="Verdana" w:eastAsia="Times New Roman" w:hAnsi="Verdana" w:cs="Open Sans"/>
                <w:lang w:eastAsia="es-CO"/>
              </w:rPr>
              <w:lastRenderedPageBreak/>
              <w:t xml:space="preserve">o procedimiento de contratación utilizado por las entidades estatales que no incluya la convocatoria pública en alguna de sus etapas, ni permita la participación de una pluralidad de oferentes. </w:t>
            </w:r>
          </w:p>
          <w:p w14:paraId="13C86FD8" w14:textId="77777777" w:rsidR="00E30D96" w:rsidRDefault="00E30D96" w:rsidP="00645FE8">
            <w:pPr>
              <w:spacing w:after="120" w:line="276" w:lineRule="auto"/>
              <w:ind w:firstLine="708"/>
              <w:jc w:val="both"/>
              <w:rPr>
                <w:rFonts w:ascii="Verdana" w:hAnsi="Verdana"/>
              </w:rPr>
            </w:pPr>
            <w:r>
              <w:rPr>
                <w:rFonts w:ascii="Verdana" w:eastAsia="Times New Roman" w:hAnsi="Verdana" w:cs="Open Sans"/>
                <w:lang w:eastAsia="es-CO"/>
              </w:rPr>
              <w:t>Por s</w:t>
            </w:r>
            <w:r w:rsidRPr="00D44FF2">
              <w:rPr>
                <w:rFonts w:ascii="Verdana" w:eastAsia="Times New Roman" w:hAnsi="Verdana" w:cs="Open Sans"/>
                <w:lang w:eastAsia="es-CO"/>
              </w:rPr>
              <w:t xml:space="preserve">u parte, </w:t>
            </w:r>
            <w:r w:rsidRPr="00D44FF2">
              <w:rPr>
                <w:rFonts w:ascii="Verdana" w:hAnsi="Verdana"/>
              </w:rPr>
              <w:t xml:space="preserve">los destinatarios de la prohibición están expresamente señalados como </w:t>
            </w:r>
            <w:r>
              <w:rPr>
                <w:rFonts w:ascii="Verdana" w:hAnsi="Verdana"/>
              </w:rPr>
              <w:t>“</w:t>
            </w:r>
            <w:r w:rsidRPr="00D44FF2">
              <w:rPr>
                <w:rFonts w:ascii="Verdana" w:hAnsi="Verdana"/>
              </w:rPr>
              <w:t>todos los entes del Estado</w:t>
            </w:r>
            <w:r>
              <w:rPr>
                <w:rFonts w:ascii="Verdana" w:hAnsi="Verdana"/>
              </w:rPr>
              <w:t>”</w:t>
            </w:r>
            <w:r w:rsidRPr="00D44FF2">
              <w:rPr>
                <w:rFonts w:ascii="Verdana" w:hAnsi="Verdana"/>
              </w:rPr>
              <w:t xml:space="preserve">, expresión que contempla a los diferentes organismos o entidades autorizadas por la ley para suscribir contratos. En efecto, tal como lo ha sostenido el Consejo de Estado, el vocablo </w:t>
            </w:r>
            <w:r>
              <w:rPr>
                <w:rFonts w:ascii="Verdana" w:hAnsi="Verdana"/>
              </w:rPr>
              <w:t>“</w:t>
            </w:r>
            <w:r w:rsidRPr="00D44FF2">
              <w:rPr>
                <w:rFonts w:ascii="Verdana" w:hAnsi="Verdana"/>
              </w:rPr>
              <w:t>todos</w:t>
            </w:r>
            <w:r>
              <w:rPr>
                <w:rFonts w:ascii="Verdana" w:hAnsi="Verdana"/>
              </w:rPr>
              <w:t>”</w:t>
            </w:r>
            <w:r w:rsidRPr="00D44FF2">
              <w:rPr>
                <w:rFonts w:ascii="Verdana" w:hAnsi="Verdana"/>
              </w:rPr>
              <w:t xml:space="preserve"> utilizado por el legislador comprende a la totalidad de los entes del Estado, sin distinción del régimen jurídico, forma de organización o naturaleza, su pertenencia a una u otra rama del poder público o su autonomía, e incluso si las entidades estatales tienen régimen especial de contratación y están exceptuadas del ámbito de aplicación del Estatuto General de Contratación de la Administración Pública.</w:t>
            </w:r>
            <w:r>
              <w:rPr>
                <w:rFonts w:ascii="Verdana" w:hAnsi="Verdana"/>
              </w:rPr>
              <w:t xml:space="preserve"> </w:t>
            </w:r>
          </w:p>
          <w:p w14:paraId="0B77785B" w14:textId="77777777" w:rsidR="00E30D96" w:rsidRPr="00423B3F" w:rsidRDefault="00E30D96" w:rsidP="00645FE8">
            <w:pPr>
              <w:spacing w:after="120" w:line="276" w:lineRule="auto"/>
              <w:ind w:firstLine="708"/>
              <w:jc w:val="both"/>
              <w:rPr>
                <w:rFonts w:ascii="Verdana" w:eastAsia="Arial" w:hAnsi="Verdana" w:cs="Arial"/>
                <w:color w:val="000000"/>
                <w:lang w:eastAsia="es-CO"/>
              </w:rPr>
            </w:pPr>
            <w:r>
              <w:rPr>
                <w:rFonts w:ascii="Verdana" w:hAnsi="Verdana" w:cs="Arial"/>
                <w:color w:val="000000" w:themeColor="text1"/>
              </w:rPr>
              <w:t xml:space="preserve">En ese contexto, </w:t>
            </w:r>
            <w:r w:rsidRPr="00072C23">
              <w:rPr>
                <w:rFonts w:ascii="Verdana" w:eastAsia="Arial" w:hAnsi="Verdana" w:cs="Arial"/>
                <w:color w:val="000000" w:themeColor="text1"/>
                <w:lang w:eastAsia="es-MX"/>
              </w:rPr>
              <w:t xml:space="preserve">para la restricción del artículo 33 de la </w:t>
            </w:r>
            <w:r w:rsidRPr="00072C23">
              <w:rPr>
                <w:rFonts w:ascii="Verdana" w:eastAsia="Arial" w:hAnsi="Verdana" w:cs="Arial"/>
                <w:color w:val="000000" w:themeColor="text1"/>
                <w:lang w:eastAsia="es-CO"/>
              </w:rPr>
              <w:t xml:space="preserve">Ley 996 de 2005 es necesario considerar que </w:t>
            </w:r>
            <w:r w:rsidRPr="00072C23">
              <w:rPr>
                <w:rFonts w:ascii="Verdana" w:eastAsia="Arial" w:hAnsi="Verdana" w:cs="Arial"/>
                <w:lang w:val="es-ES" w:eastAsia="es-MX"/>
              </w:rPr>
              <w:t xml:space="preserve">el artículo </w:t>
            </w:r>
            <w:r w:rsidRPr="00072C23">
              <w:rPr>
                <w:rFonts w:ascii="Verdana" w:eastAsia="Arial" w:hAnsi="Verdana" w:cs="Arial"/>
                <w:lang w:eastAsia="es-MX"/>
              </w:rPr>
              <w:t>13 de la Ley 715 de 2001</w:t>
            </w:r>
            <w:r w:rsidRPr="00072C23">
              <w:rPr>
                <w:rFonts w:ascii="Verdana" w:eastAsia="Arial" w:hAnsi="Verdana" w:cs="Arial"/>
                <w:color w:val="000000" w:themeColor="text1"/>
                <w:lang w:eastAsia="es-CO"/>
              </w:rPr>
              <w:t xml:space="preserve"> consagra un régimen jurídico que exceptúa la aplicación del Estatuto General de Contratación de la Administración Pública en los contratos de los fondos de servicios educativos inferiores a veinte (20) SMLMV con el objetivo de flexibilizar el régimen contractual aplicable. Pese a lo anterior, la prohibición de contratación directa de la Ley de Garantías es independiente del régimen contractual, por lo que se extiende a los contratos celebrados con cargo a los fondos de servicios educativos.</w:t>
            </w:r>
            <w:r w:rsidRPr="00072C23">
              <w:rPr>
                <w:rFonts w:ascii="Verdana" w:eastAsia="Arial" w:hAnsi="Verdana" w:cs="Arial"/>
                <w:color w:val="000000"/>
                <w:lang w:eastAsia="es-CO"/>
              </w:rPr>
              <w:t xml:space="preserve"> </w:t>
            </w:r>
          </w:p>
          <w:p w14:paraId="0150E818" w14:textId="77777777" w:rsidR="00E30D96" w:rsidRPr="00331777" w:rsidRDefault="00E30D96" w:rsidP="00645FE8">
            <w:pPr>
              <w:spacing w:after="120" w:line="276" w:lineRule="auto"/>
              <w:ind w:firstLine="708"/>
              <w:jc w:val="both"/>
              <w:rPr>
                <w:rFonts w:ascii="Verdana" w:eastAsia="Times New Roman" w:hAnsi="Verdana" w:cs="Open Sans"/>
                <w:lang w:eastAsia="es-CO"/>
              </w:rPr>
            </w:pPr>
            <w:r w:rsidRPr="002C2851">
              <w:rPr>
                <w:rFonts w:ascii="Verdana" w:hAnsi="Verdana" w:cs="Arial"/>
                <w:color w:val="000000" w:themeColor="text1"/>
              </w:rPr>
              <w:t xml:space="preserve">En </w:t>
            </w:r>
            <w:r>
              <w:rPr>
                <w:rFonts w:ascii="Verdana" w:hAnsi="Verdana" w:cs="Arial"/>
                <w:color w:val="000000" w:themeColor="text1"/>
              </w:rPr>
              <w:t>consecuencia</w:t>
            </w:r>
            <w:r w:rsidRPr="002C2851">
              <w:rPr>
                <w:rFonts w:ascii="Verdana" w:hAnsi="Verdana" w:cs="Arial"/>
                <w:color w:val="000000" w:themeColor="text1"/>
              </w:rPr>
              <w:t xml:space="preserve">, </w:t>
            </w:r>
            <w:r w:rsidRPr="00072C23">
              <w:rPr>
                <w:rFonts w:ascii="Verdana" w:eastAsia="Arial" w:hAnsi="Verdana" w:cs="Arial"/>
                <w:color w:val="000000"/>
                <w:lang w:eastAsia="es-CO"/>
              </w:rPr>
              <w:t xml:space="preserve">la prohibición del artículo 33 de la Ley 996 de 2005 se extiende a cualquier contrato realizado con recursos de fondos de servicios educativos, sean inferiores o superiores a 20 SMLMV siempre que el contrato se celebre sin que esté antecedido de un procedimiento que admita la posible participación de una pluralidad de oferentes, toda vez que la prohibición recae sobre la </w:t>
            </w:r>
            <w:r w:rsidRPr="00072C23">
              <w:rPr>
                <w:rFonts w:ascii="Verdana" w:eastAsia="Arial" w:hAnsi="Verdana" w:cs="Arial"/>
                <w:i/>
                <w:iCs/>
                <w:color w:val="000000"/>
                <w:lang w:eastAsia="es-CO"/>
              </w:rPr>
              <w:t>contratación directa</w:t>
            </w:r>
            <w:r w:rsidRPr="00072C23">
              <w:rPr>
                <w:rFonts w:ascii="Verdana" w:eastAsia="Arial" w:hAnsi="Verdana" w:cs="Arial"/>
                <w:color w:val="000000"/>
                <w:lang w:eastAsia="es-CO"/>
              </w:rPr>
              <w:t xml:space="preserve">.  </w:t>
            </w:r>
            <w:r w:rsidRPr="006A640E">
              <w:rPr>
                <w:rFonts w:ascii="Verdana" w:eastAsia="Times New Roman" w:hAnsi="Verdana" w:cs="Open Sans"/>
                <w:lang w:eastAsia="es-CO"/>
              </w:rPr>
              <w:t>Por tanto, no son</w:t>
            </w:r>
            <w:r>
              <w:rPr>
                <w:rFonts w:ascii="Verdana" w:eastAsia="Times New Roman" w:hAnsi="Verdana" w:cs="Open Sans"/>
                <w:lang w:eastAsia="es-CO"/>
              </w:rPr>
              <w:t xml:space="preserve"> </w:t>
            </w:r>
            <w:r w:rsidRPr="006A640E">
              <w:rPr>
                <w:rFonts w:ascii="Verdana" w:eastAsia="Times New Roman" w:hAnsi="Verdana" w:cs="Open Sans"/>
                <w:lang w:eastAsia="es-CO"/>
              </w:rPr>
              <w:t xml:space="preserve">materia de la prohibición </w:t>
            </w:r>
            <w:r>
              <w:rPr>
                <w:rFonts w:ascii="Verdana" w:eastAsia="Times New Roman" w:hAnsi="Verdana" w:cs="Open Sans"/>
                <w:lang w:eastAsia="es-CO"/>
              </w:rPr>
              <w:t xml:space="preserve">los procesos que estén antecedidos por la participación de una pluralidad de oferentes y </w:t>
            </w:r>
            <w:r w:rsidRPr="006A640E">
              <w:rPr>
                <w:rFonts w:ascii="Verdana" w:eastAsia="Times New Roman" w:hAnsi="Verdana" w:cs="Open Sans"/>
                <w:lang w:eastAsia="es-CO"/>
              </w:rPr>
              <w:t>las demás modalidades de selección previstas en la Ley</w:t>
            </w:r>
            <w:r>
              <w:rPr>
                <w:rFonts w:ascii="Verdana" w:eastAsia="Times New Roman" w:hAnsi="Verdana" w:cs="Open Sans"/>
                <w:lang w:eastAsia="es-CO"/>
              </w:rPr>
              <w:t xml:space="preserve"> </w:t>
            </w:r>
            <w:r w:rsidRPr="006A640E">
              <w:rPr>
                <w:rFonts w:ascii="Verdana" w:eastAsia="Times New Roman" w:hAnsi="Verdana" w:cs="Open Sans"/>
                <w:lang w:eastAsia="es-CO"/>
              </w:rPr>
              <w:t>1150 de 2007, es decir, la licitación pública, el concurso de méritos, la selección</w:t>
            </w:r>
            <w:r>
              <w:rPr>
                <w:rFonts w:ascii="Verdana" w:eastAsia="Times New Roman" w:hAnsi="Verdana" w:cs="Open Sans"/>
                <w:lang w:eastAsia="es-CO"/>
              </w:rPr>
              <w:t xml:space="preserve"> </w:t>
            </w:r>
            <w:r w:rsidRPr="006A640E">
              <w:rPr>
                <w:rFonts w:ascii="Verdana" w:eastAsia="Times New Roman" w:hAnsi="Verdana" w:cs="Open Sans"/>
                <w:lang w:eastAsia="es-CO"/>
              </w:rPr>
              <w:t>abreviada y la contratación de mínima cuantía, razón por la cual en el período</w:t>
            </w:r>
            <w:r>
              <w:rPr>
                <w:rFonts w:ascii="Verdana" w:eastAsia="Times New Roman" w:hAnsi="Verdana" w:cs="Open Sans"/>
                <w:lang w:eastAsia="es-CO"/>
              </w:rPr>
              <w:t xml:space="preserve"> </w:t>
            </w:r>
            <w:r w:rsidRPr="006A640E">
              <w:rPr>
                <w:rFonts w:ascii="Verdana" w:eastAsia="Times New Roman" w:hAnsi="Verdana" w:cs="Open Sans"/>
                <w:lang w:eastAsia="es-CO"/>
              </w:rPr>
              <w:t>preelectoral de que trata la disposición las entidades públicas pueden seguir</w:t>
            </w:r>
            <w:r>
              <w:rPr>
                <w:rFonts w:ascii="Verdana" w:eastAsia="Times New Roman" w:hAnsi="Verdana" w:cs="Open Sans"/>
                <w:lang w:eastAsia="es-CO"/>
              </w:rPr>
              <w:t xml:space="preserve"> </w:t>
            </w:r>
            <w:r w:rsidRPr="006A640E">
              <w:rPr>
                <w:rFonts w:ascii="Verdana" w:eastAsia="Times New Roman" w:hAnsi="Verdana" w:cs="Open Sans"/>
                <w:lang w:eastAsia="es-CO"/>
              </w:rPr>
              <w:t>contratando bajo estos sistemas.</w:t>
            </w:r>
          </w:p>
          <w:p w14:paraId="17E49A91" w14:textId="77777777" w:rsidR="00E30D96" w:rsidRDefault="00E30D96" w:rsidP="00645FE8">
            <w:pPr>
              <w:spacing w:after="120" w:line="276" w:lineRule="auto"/>
              <w:ind w:firstLine="709"/>
              <w:jc w:val="both"/>
              <w:rPr>
                <w:rFonts w:ascii="Verdana" w:hAnsi="Verdana" w:cs="Arial"/>
                <w:color w:val="000000" w:themeColor="text1"/>
              </w:rPr>
            </w:pPr>
            <w:r w:rsidRPr="002C2851">
              <w:rPr>
                <w:rFonts w:ascii="Verdana" w:hAnsi="Verdana" w:cs="Arial"/>
                <w:color w:val="000000" w:themeColor="text1"/>
              </w:rPr>
              <w:lastRenderedPageBreak/>
              <w:t>De igual manera, respecto de las restricciones previstas en el artículo 38 de la Ley 996 de 2005 para las elecciones al Congreso de la República, estas se dirigen a gobernadores, alcaldes, secretarios, gerentes y directores de entidades descentralizadas del orden territorial. Por regla general, las Instituciones Educativas oficiales no tienen la naturaleza de entidades descentralizadas, razón por la cual no son destinatarias directas de dicha prohibición. No obstante, deberán observar las limitaciones legales cuando pretendan celebrar convenios interadministrativos con entidades sujetas a las restricciones previstas en esa disposición.</w:t>
            </w:r>
          </w:p>
          <w:p w14:paraId="380A68D8" w14:textId="77777777" w:rsidR="00E30D96" w:rsidRPr="00A64042" w:rsidRDefault="00E30D96" w:rsidP="00645FE8">
            <w:pPr>
              <w:spacing w:before="120" w:after="120" w:line="276" w:lineRule="auto"/>
              <w:ind w:firstLine="709"/>
              <w:jc w:val="both"/>
              <w:rPr>
                <w:rFonts w:ascii="Verdana" w:eastAsia="Arial" w:hAnsi="Verdana" w:cs="Arial"/>
                <w:lang w:eastAsia="es-MX"/>
              </w:rPr>
            </w:pPr>
            <w:r w:rsidRPr="32DD78C2">
              <w:rPr>
                <w:rFonts w:ascii="Verdana" w:hAnsi="Verdana" w:cs="BCDHEE+Verdana"/>
                <w:color w:val="000000" w:themeColor="text1"/>
              </w:rPr>
              <w:t>Por lo que,</w:t>
            </w:r>
            <w:r>
              <w:rPr>
                <w:rFonts w:ascii="Verdana" w:hAnsi="Verdana" w:cs="BCDHEE+Verdana"/>
                <w:color w:val="000000" w:themeColor="text1"/>
              </w:rPr>
              <w:t xml:space="preserve"> teniendo en cuenta</w:t>
            </w:r>
            <w:r w:rsidRPr="00072C23">
              <w:rPr>
                <w:rFonts w:ascii="Verdana" w:eastAsia="Calibri" w:hAnsi="Verdana" w:cs="Arial"/>
              </w:rPr>
              <w:t xml:space="preserve"> que </w:t>
            </w:r>
            <w:r w:rsidRPr="00072C23">
              <w:rPr>
                <w:rFonts w:ascii="Verdana" w:eastAsia="Arial" w:hAnsi="Verdana" w:cs="Arial"/>
                <w:lang w:eastAsia="es-MX"/>
              </w:rPr>
              <w:t xml:space="preserve">las instituciones educativas </w:t>
            </w:r>
            <w:r>
              <w:rPr>
                <w:rFonts w:ascii="Verdana" w:eastAsia="Arial" w:hAnsi="Verdana" w:cs="Arial"/>
                <w:lang w:eastAsia="es-MX"/>
              </w:rPr>
              <w:t xml:space="preserve">no son entidades descentralizadas aun cuando </w:t>
            </w:r>
            <w:r w:rsidRPr="00072C23">
              <w:rPr>
                <w:rFonts w:ascii="Verdana" w:eastAsia="Arial" w:hAnsi="Verdana" w:cs="Arial"/>
                <w:lang w:eastAsia="es-MX"/>
              </w:rPr>
              <w:t>pertenecen a la entidad territorial que haya efectuado su reconocimiento de carácter oficial</w:t>
            </w:r>
            <w:r>
              <w:rPr>
                <w:rFonts w:ascii="Verdana" w:eastAsia="Arial" w:hAnsi="Verdana" w:cs="Arial"/>
                <w:lang w:eastAsia="es-MX"/>
              </w:rPr>
              <w:t xml:space="preserve">, estas no se encuentran dentro de las entidades descritas en la restricción del artículo 38 antes mencionado. Sin embargo, </w:t>
            </w:r>
            <w:r w:rsidRPr="32DD78C2">
              <w:rPr>
                <w:rFonts w:ascii="Verdana" w:hAnsi="Verdana" w:cs="BCDHEE+Verdana"/>
                <w:color w:val="000000" w:themeColor="text1"/>
              </w:rPr>
              <w:t xml:space="preserve">en virtud </w:t>
            </w:r>
            <w:r w:rsidRPr="00FE3C27">
              <w:rPr>
                <w:rFonts w:ascii="Verdana" w:eastAsia="Calibri" w:hAnsi="Verdana" w:cs="Arial"/>
                <w:lang w:eastAsia="es-MX"/>
              </w:rPr>
              <w:t xml:space="preserve">del artículo 38 no podrán celebrar </w:t>
            </w:r>
            <w:r w:rsidRPr="00FE3C27">
              <w:rPr>
                <w:rFonts w:ascii="Verdana" w:eastAsia="Calibri" w:hAnsi="Verdana" w:cs="Arial"/>
                <w:i/>
                <w:iCs/>
                <w:lang w:eastAsia="es-MX"/>
              </w:rPr>
              <w:t>convenios interadministrativos</w:t>
            </w:r>
            <w:r w:rsidRPr="00FE3C27">
              <w:rPr>
                <w:rFonts w:ascii="Verdana" w:eastAsia="Calibri" w:hAnsi="Verdana" w:cs="Arial"/>
                <w:lang w:eastAsia="es-MX"/>
              </w:rPr>
              <w:t xml:space="preserve"> para la ejecución de recursos públicos si la otra parte de la relación contractual es una entidad de aquellas descritas en el parágrafo </w:t>
            </w:r>
            <w:r w:rsidRPr="00131D34">
              <w:rPr>
                <w:rFonts w:ascii="Verdana" w:eastAsia="Calibri" w:hAnsi="Verdana" w:cs="Arial"/>
                <w:i/>
                <w:iCs/>
                <w:lang w:eastAsia="es-MX"/>
              </w:rPr>
              <w:t>ibidem</w:t>
            </w:r>
            <w:r>
              <w:rPr>
                <w:rFonts w:ascii="Verdana" w:eastAsia="Calibri" w:hAnsi="Verdana" w:cs="Arial"/>
                <w:i/>
                <w:iCs/>
                <w:lang w:eastAsia="es-MX"/>
              </w:rPr>
              <w:t>.</w:t>
            </w:r>
          </w:p>
          <w:p w14:paraId="02650658" w14:textId="77777777" w:rsidR="00E30D96" w:rsidRPr="00B70775" w:rsidRDefault="00E30D96" w:rsidP="00645FE8">
            <w:pPr>
              <w:spacing w:after="120" w:line="276" w:lineRule="auto"/>
              <w:ind w:firstLine="709"/>
              <w:jc w:val="both"/>
              <w:rPr>
                <w:rFonts w:ascii="Verdana" w:hAnsi="Verdana" w:cs="Arial"/>
                <w:color w:val="000000" w:themeColor="text1"/>
              </w:rPr>
            </w:pPr>
            <w:r>
              <w:rPr>
                <w:rFonts w:ascii="Verdana" w:hAnsi="Verdana"/>
              </w:rPr>
              <w:t>Finalmente</w:t>
            </w:r>
            <w:r w:rsidRPr="00DE5508">
              <w:rPr>
                <w:rFonts w:ascii="Verdana" w:hAnsi="Verdana"/>
              </w:rPr>
              <w:t>, corresponde a cada entidad pública, en ejercicio de su competencia y previa valoración de los elementos fácticos y jurídicos, así como de las disposiciones legales mencionadas, determinar su gestión contractual durante la aplicación de las restricciones de la Ley de Garantías Electorales.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tc>
      </w:tr>
    </w:tbl>
    <w:p w14:paraId="3B6FFA2B" w14:textId="77777777" w:rsidR="00E30D96" w:rsidRDefault="00E30D96" w:rsidP="00E30D96">
      <w:pPr>
        <w:tabs>
          <w:tab w:val="left" w:pos="142"/>
          <w:tab w:val="left" w:pos="284"/>
        </w:tabs>
        <w:spacing w:after="0" w:line="276" w:lineRule="auto"/>
        <w:jc w:val="both"/>
        <w:rPr>
          <w:rFonts w:ascii="Verdana" w:eastAsia="Century Gothic" w:hAnsi="Verdana" w:cs="Century Gothic"/>
          <w:b/>
          <w:bCs/>
        </w:rPr>
      </w:pPr>
    </w:p>
    <w:p w14:paraId="51DD0F86" w14:textId="77777777" w:rsidR="00E30D96" w:rsidRPr="008E4F36" w:rsidRDefault="00E30D96" w:rsidP="00E30D96">
      <w:pPr>
        <w:tabs>
          <w:tab w:val="left" w:pos="142"/>
          <w:tab w:val="left" w:pos="284"/>
        </w:tabs>
        <w:spacing w:after="0" w:line="276" w:lineRule="auto"/>
        <w:jc w:val="both"/>
        <w:rPr>
          <w:rFonts w:ascii="Verdana" w:eastAsia="Century Gothic" w:hAnsi="Verdana" w:cs="Century Gothic"/>
          <w:b/>
          <w:bCs/>
        </w:rPr>
      </w:pPr>
      <w:r w:rsidRPr="008E4F36">
        <w:rPr>
          <w:rFonts w:ascii="Verdana" w:eastAsia="Century Gothic" w:hAnsi="Verdana" w:cs="Century Gothic"/>
          <w:b/>
          <w:bCs/>
        </w:rPr>
        <w:t>3. Razones de la respuesta:</w:t>
      </w:r>
    </w:p>
    <w:p w14:paraId="28A96198" w14:textId="77777777" w:rsidR="00E30D96" w:rsidRDefault="00E30D96" w:rsidP="00E30D96">
      <w:pPr>
        <w:pStyle w:val="Prrafodelista"/>
        <w:tabs>
          <w:tab w:val="left" w:pos="142"/>
          <w:tab w:val="left" w:pos="284"/>
        </w:tabs>
        <w:spacing w:after="0" w:line="276" w:lineRule="auto"/>
        <w:ind w:left="0"/>
        <w:contextualSpacing w:val="0"/>
        <w:jc w:val="both"/>
        <w:rPr>
          <w:rFonts w:ascii="Verdana" w:eastAsia="Calibri" w:hAnsi="Verdana" w:cs="Arial"/>
        </w:rPr>
      </w:pPr>
    </w:p>
    <w:p w14:paraId="0511DCDD" w14:textId="77777777" w:rsidR="00E30D96" w:rsidRDefault="00E30D96" w:rsidP="00E30D96">
      <w:pPr>
        <w:pStyle w:val="Prrafodelista"/>
        <w:tabs>
          <w:tab w:val="left" w:pos="142"/>
          <w:tab w:val="left" w:pos="284"/>
        </w:tabs>
        <w:spacing w:after="0" w:line="276" w:lineRule="auto"/>
        <w:ind w:left="0"/>
        <w:contextualSpacing w:val="0"/>
        <w:jc w:val="both"/>
        <w:rPr>
          <w:rFonts w:ascii="Verdana" w:eastAsia="Calibri" w:hAnsi="Verdana" w:cs="Arial"/>
        </w:rPr>
      </w:pPr>
      <w:r w:rsidRPr="008E4F36">
        <w:rPr>
          <w:rFonts w:ascii="Verdana" w:eastAsia="Calibri" w:hAnsi="Verdana" w:cs="Arial"/>
        </w:rPr>
        <w:t xml:space="preserve">Lo anterior se sustenta en las siguientes consideraciones: </w:t>
      </w:r>
    </w:p>
    <w:p w14:paraId="1952B931" w14:textId="77777777" w:rsidR="00E30D96" w:rsidRPr="001C12F8" w:rsidRDefault="00E30D96" w:rsidP="00E30D96">
      <w:pPr>
        <w:pStyle w:val="Prrafodelista"/>
        <w:tabs>
          <w:tab w:val="left" w:pos="142"/>
          <w:tab w:val="left" w:pos="284"/>
        </w:tabs>
        <w:spacing w:after="0" w:line="276" w:lineRule="auto"/>
        <w:ind w:left="0"/>
        <w:contextualSpacing w:val="0"/>
        <w:jc w:val="both"/>
        <w:rPr>
          <w:rFonts w:ascii="Verdana" w:eastAsia="Calibri" w:hAnsi="Verdana" w:cs="Arial"/>
        </w:rPr>
      </w:pPr>
    </w:p>
    <w:p w14:paraId="15975B67" w14:textId="77777777" w:rsidR="00E30D96" w:rsidRDefault="00E30D96" w:rsidP="00E30D96">
      <w:pPr>
        <w:tabs>
          <w:tab w:val="left" w:pos="426"/>
        </w:tabs>
        <w:spacing w:after="120" w:line="276" w:lineRule="auto"/>
        <w:jc w:val="both"/>
        <w:rPr>
          <w:rFonts w:ascii="Verdana" w:eastAsia="Calibri" w:hAnsi="Verdana" w:cs="Arial"/>
          <w:lang w:val="es-ES_tradnl"/>
        </w:rPr>
      </w:pPr>
      <w:bookmarkStart w:id="3" w:name="_Hlk204856061"/>
      <w:bookmarkStart w:id="4" w:name="_Hlk78820161"/>
      <w:bookmarkStart w:id="5" w:name="_Hlk204854194"/>
      <w:r>
        <w:rPr>
          <w:rFonts w:ascii="Verdana" w:eastAsia="Times New Roman" w:hAnsi="Verdana" w:cs="Arial"/>
          <w:lang w:val="es-MX" w:eastAsia="es-CO"/>
        </w:rPr>
        <w:t>L</w:t>
      </w:r>
      <w:r w:rsidRPr="00E2397D">
        <w:rPr>
          <w:rFonts w:ascii="Verdana" w:eastAsia="Times New Roman" w:hAnsi="Verdana" w:cs="Arial"/>
          <w:lang w:val="es-MX" w:eastAsia="es-CO"/>
        </w:rPr>
        <w:t xml:space="preserve">a Ley 996 de 2005, conocida como “Ley de Garantías Electorales”, se suma al andamiaje de orden constitucional y legal que se ha ocupado de evitar la injerencia inadecuada de intereses particulares en el ejercicio de la función </w:t>
      </w:r>
      <w:r w:rsidRPr="00E2397D">
        <w:rPr>
          <w:rFonts w:ascii="Verdana" w:eastAsia="Times New Roman" w:hAnsi="Verdana" w:cs="Arial"/>
          <w:lang w:val="es-MX" w:eastAsia="es-CO"/>
        </w:rPr>
        <w:lastRenderedPageBreak/>
        <w:t>pública. Esta Ley tiene como propósito evitar cualquier tipo de arbitrariedad, de ventaja injustificada, de uso irregular de los recursos del Estado en las campañas o falta de garantías en la elección presidencial</w:t>
      </w:r>
      <w:r w:rsidRPr="00E2397D">
        <w:rPr>
          <w:rFonts w:ascii="Verdana" w:eastAsia="Times New Roman" w:hAnsi="Verdana" w:cs="Arial"/>
          <w:vertAlign w:val="superscript"/>
          <w:lang w:val="es-MX" w:eastAsia="es-CO"/>
        </w:rPr>
        <w:footnoteReference w:id="1"/>
      </w:r>
      <w:r w:rsidRPr="00E2397D">
        <w:rPr>
          <w:rFonts w:ascii="Verdana" w:eastAsia="Times New Roman" w:hAnsi="Verdana" w:cs="Arial"/>
          <w:lang w:val="es-MX" w:eastAsia="es-CO"/>
        </w:rPr>
        <w:t>. En esta medida, introduce limitaciones para realizar nombramientos, postulaciones, contrataciones o cualquier otro tipo de actividad que implique destinación de recursos públicos bajo el devenir propio de las Entidades Estatales.</w:t>
      </w:r>
      <w:r w:rsidRPr="00E2397D">
        <w:rPr>
          <w:rFonts w:ascii="Verdana" w:eastAsia="Calibri" w:hAnsi="Verdana" w:cs="Arial"/>
          <w:lang w:val="es-ES_tradnl"/>
        </w:rPr>
        <w:t xml:space="preserve"> </w:t>
      </w:r>
    </w:p>
    <w:p w14:paraId="6A9A46A6" w14:textId="77777777" w:rsidR="00E30D96" w:rsidRPr="006B14B5" w:rsidRDefault="00E30D96" w:rsidP="00E30D96">
      <w:pPr>
        <w:tabs>
          <w:tab w:val="left" w:pos="426"/>
        </w:tabs>
        <w:spacing w:after="0" w:line="276" w:lineRule="auto"/>
        <w:ind w:firstLine="709"/>
        <w:jc w:val="both"/>
        <w:rPr>
          <w:rFonts w:ascii="Verdana" w:eastAsia="Calibri" w:hAnsi="Verdana" w:cs="Arial"/>
          <w:lang w:val="es-ES_tradnl"/>
        </w:rPr>
      </w:pPr>
      <w:r w:rsidRPr="00E2397D">
        <w:rPr>
          <w:rFonts w:ascii="Verdana" w:eastAsia="Times New Roman" w:hAnsi="Verdana" w:cs="Arial"/>
          <w:lang w:val="es-MX" w:eastAsia="es-CO"/>
        </w:rPr>
        <w:t>En armonía con lo anterior, la Corte Constitucional ha abordado la definición de la Ley de Garantías Electorales. De esta manera, explica que tiene como propósito:</w:t>
      </w:r>
    </w:p>
    <w:p w14:paraId="3B952C0A" w14:textId="77777777" w:rsidR="00E30D96" w:rsidRPr="00E2397D" w:rsidRDefault="00E30D96" w:rsidP="00E30D96">
      <w:pPr>
        <w:spacing w:after="0" w:line="276" w:lineRule="auto"/>
        <w:ind w:right="709"/>
        <w:contextualSpacing/>
        <w:jc w:val="both"/>
        <w:rPr>
          <w:rFonts w:ascii="Verdana" w:eastAsia="Times New Roman" w:hAnsi="Verdana" w:cs="Arial"/>
          <w:lang w:val="es-ES" w:eastAsia="es-CO"/>
        </w:rPr>
      </w:pPr>
    </w:p>
    <w:p w14:paraId="64C75E63" w14:textId="77777777" w:rsidR="00E30D96" w:rsidRPr="00E2397D" w:rsidRDefault="00E30D96" w:rsidP="00E30D96">
      <w:pPr>
        <w:spacing w:after="0" w:line="240" w:lineRule="auto"/>
        <w:ind w:left="709" w:right="709"/>
        <w:contextualSpacing/>
        <w:jc w:val="both"/>
        <w:rPr>
          <w:rFonts w:ascii="Verdana" w:eastAsia="Times New Roman" w:hAnsi="Verdana" w:cs="Arial"/>
          <w:sz w:val="20"/>
          <w:szCs w:val="20"/>
          <w:lang w:val="es-MX" w:eastAsia="es-CO"/>
        </w:rPr>
      </w:pPr>
      <w:r w:rsidRPr="00E2397D">
        <w:rPr>
          <w:rFonts w:ascii="Verdana" w:eastAsia="Times New Roman" w:hAnsi="Verdana" w:cs="Arial"/>
          <w:sz w:val="20"/>
          <w:szCs w:val="20"/>
          <w:lang w:val="es-ES" w:eastAsia="es-CO"/>
        </w:rPr>
        <w:t xml:space="preserve">“[…] </w:t>
      </w:r>
      <w:r w:rsidRPr="00E2397D">
        <w:rPr>
          <w:rFonts w:ascii="Verdana" w:eastAsia="Times New Roman" w:hAnsi="Verdana" w:cs="Arial"/>
          <w:sz w:val="20"/>
          <w:szCs w:val="20"/>
          <w:lang w:val="es-MX" w:eastAsia="es-CO"/>
        </w:rPr>
        <w:t>la definición de reglas claras que permitan acceder a los canales de expresión democrática de manera efectiva e igualitaria. El objetivo de una ley de garantías es definir esas reglas.</w:t>
      </w:r>
    </w:p>
    <w:p w14:paraId="4F7CE53D" w14:textId="77777777" w:rsidR="00E30D96" w:rsidRPr="00E2397D" w:rsidRDefault="00E30D96" w:rsidP="00E30D96">
      <w:pPr>
        <w:spacing w:after="0" w:line="240" w:lineRule="auto"/>
        <w:ind w:left="709" w:right="709"/>
        <w:contextualSpacing/>
        <w:jc w:val="both"/>
        <w:rPr>
          <w:rFonts w:ascii="Verdana" w:eastAsia="Times New Roman" w:hAnsi="Verdana" w:cs="Arial"/>
          <w:sz w:val="20"/>
          <w:szCs w:val="20"/>
          <w:lang w:val="es-MX" w:eastAsia="es-CO"/>
        </w:rPr>
      </w:pPr>
      <w:r>
        <w:rPr>
          <w:rFonts w:ascii="Verdana" w:eastAsia="Times New Roman" w:hAnsi="Verdana" w:cs="Arial"/>
          <w:sz w:val="20"/>
          <w:szCs w:val="20"/>
          <w:lang w:val="es-MX" w:eastAsia="es-CO"/>
        </w:rPr>
        <w:t xml:space="preserve">[…] </w:t>
      </w:r>
    </w:p>
    <w:p w14:paraId="057336DF" w14:textId="77777777" w:rsidR="00E30D96" w:rsidRPr="00E2397D" w:rsidRDefault="00E30D96" w:rsidP="00E30D96">
      <w:pPr>
        <w:spacing w:after="0" w:line="240" w:lineRule="auto"/>
        <w:ind w:left="709" w:right="709"/>
        <w:contextualSpacing/>
        <w:jc w:val="both"/>
        <w:rPr>
          <w:rFonts w:ascii="Verdana" w:eastAsia="Times New Roman" w:hAnsi="Verdana" w:cs="Arial"/>
          <w:sz w:val="20"/>
          <w:szCs w:val="20"/>
          <w:lang w:val="es-MX" w:eastAsia="es-CO"/>
        </w:rPr>
      </w:pPr>
      <w:r w:rsidRPr="00E2397D">
        <w:rPr>
          <w:rFonts w:ascii="Verdana" w:eastAsia="Times New Roman" w:hAnsi="Verdana" w:cs="Arial"/>
          <w:sz w:val="20"/>
          <w:szCs w:val="20"/>
          <w:lang w:val="es-MX" w:eastAsia="es-CO"/>
        </w:rPr>
        <w:t>Una ley de garantías electorales es una guía para el ejercicio equitativo y transparente de la democracia representativa. Un estatuto diseñado para asegurar que la contienda democrática se cumpla en condiciones igualitarias y transparentes para a los electores. Una ley de garantías busca afianzar la neutralidad de los servidores públicos que organizan y supervisan las disputas electorales, e intenta garantizar el acceso igualitario a los canales de comunicación de los candidatos. Igualmente, una ley de garantías debe permitir que, en el debate democrático, sean las ideas y las propuestas las que definan el ascenso al poder, y no el músculo económico de los que se lo disputan”.</w:t>
      </w:r>
      <w:r w:rsidRPr="00E2397D">
        <w:rPr>
          <w:rFonts w:ascii="Verdana" w:eastAsia="Calibri" w:hAnsi="Verdana" w:cs="Arial"/>
          <w:sz w:val="20"/>
          <w:szCs w:val="20"/>
          <w:vertAlign w:val="superscript"/>
          <w:lang w:val="es-MX"/>
        </w:rPr>
        <w:footnoteReference w:id="2"/>
      </w:r>
    </w:p>
    <w:p w14:paraId="300CB718" w14:textId="77777777" w:rsidR="00E30D96" w:rsidRPr="00E2397D" w:rsidRDefault="00E30D96" w:rsidP="00E30D96">
      <w:pPr>
        <w:spacing w:after="0" w:line="276" w:lineRule="auto"/>
        <w:ind w:firstLine="709"/>
        <w:jc w:val="both"/>
        <w:rPr>
          <w:rFonts w:ascii="Verdana" w:eastAsia="Times New Roman" w:hAnsi="Verdana" w:cs="Arial"/>
          <w:lang w:val="es-MX" w:eastAsia="es-CO"/>
        </w:rPr>
      </w:pPr>
    </w:p>
    <w:p w14:paraId="72D8E264" w14:textId="77777777" w:rsidR="00E30D96" w:rsidRDefault="00E30D96" w:rsidP="00E30D96">
      <w:pPr>
        <w:spacing w:after="120" w:line="276" w:lineRule="auto"/>
        <w:ind w:firstLine="709"/>
        <w:jc w:val="both"/>
        <w:rPr>
          <w:rFonts w:ascii="Verdana" w:eastAsia="Times New Roman" w:hAnsi="Verdana" w:cs="Arial"/>
          <w:lang w:val="es-MX" w:eastAsia="es-CO"/>
        </w:rPr>
      </w:pPr>
      <w:r w:rsidRPr="00E2397D">
        <w:rPr>
          <w:rFonts w:ascii="Verdana" w:eastAsia="Times New Roman" w:hAnsi="Verdana" w:cs="Arial"/>
          <w:lang w:val="es-MX" w:eastAsia="es-CO"/>
        </w:rPr>
        <w:t>En este contexto, la Ley de Garantías Electorales establece el marco jurídico para el desarrollo de las elecciones, procurando condiciones de igualdad y transparencia para los aspirantes. Paralelamente,</w:t>
      </w:r>
      <w:r>
        <w:rPr>
          <w:rFonts w:ascii="Verdana" w:eastAsia="Times New Roman" w:hAnsi="Verdana" w:cs="Arial"/>
          <w:lang w:val="es-MX" w:eastAsia="es-CO"/>
        </w:rPr>
        <w:t xml:space="preserve"> se incluyen restricciones en las actuaciones</w:t>
      </w:r>
      <w:r w:rsidRPr="00E2397D">
        <w:rPr>
          <w:rFonts w:ascii="Verdana" w:eastAsia="Times New Roman" w:hAnsi="Verdana" w:cs="Arial"/>
          <w:lang w:val="es-MX" w:eastAsia="es-CO"/>
        </w:rPr>
        <w:t xml:space="preserve"> de los servidores públicos, evitando interferencias en la contienda electoral, así como la posible desviación de recursos públicos en aspiraciones electorales. Por ello, varias de las disposiciones de la Ley 996 de 2005, al contener normas prohibitivas, no admiten una interpretación amplia, sino que deben interpretarse restrictivamente. </w:t>
      </w:r>
    </w:p>
    <w:p w14:paraId="05720BE5" w14:textId="77777777" w:rsidR="00E30D96" w:rsidRPr="00E2397D" w:rsidRDefault="00E30D96" w:rsidP="00E30D96">
      <w:pPr>
        <w:spacing w:after="0" w:line="276" w:lineRule="auto"/>
        <w:ind w:firstLine="709"/>
        <w:jc w:val="both"/>
        <w:rPr>
          <w:rFonts w:ascii="Verdana" w:eastAsia="Times New Roman" w:hAnsi="Verdana" w:cs="Arial"/>
          <w:lang w:val="es-MX" w:eastAsia="es-CO"/>
        </w:rPr>
      </w:pPr>
      <w:r w:rsidRPr="00E2397D">
        <w:rPr>
          <w:rFonts w:ascii="Verdana" w:eastAsia="Times New Roman" w:hAnsi="Verdana" w:cs="Arial"/>
          <w:lang w:val="es-MX" w:eastAsia="es-CO"/>
        </w:rPr>
        <w:t>En efecto, la Sala de Consulta y Servicio Civil del Consejo de Estado, pre</w:t>
      </w:r>
      <w:r>
        <w:rPr>
          <w:rFonts w:ascii="Verdana" w:eastAsia="Times New Roman" w:hAnsi="Verdana" w:cs="Arial"/>
          <w:lang w:val="es-MX" w:eastAsia="es-CO"/>
        </w:rPr>
        <w:t>cisó</w:t>
      </w:r>
      <w:r w:rsidRPr="00E2397D">
        <w:rPr>
          <w:rFonts w:ascii="Verdana" w:eastAsia="Times New Roman" w:hAnsi="Verdana" w:cs="Arial"/>
          <w:lang w:val="es-MX" w:eastAsia="es-CO"/>
        </w:rPr>
        <w:t>:</w:t>
      </w:r>
    </w:p>
    <w:p w14:paraId="033F0385" w14:textId="77777777" w:rsidR="00E30D96" w:rsidRPr="00886C02" w:rsidRDefault="00E30D96" w:rsidP="00E30D96">
      <w:pPr>
        <w:spacing w:after="0" w:line="276" w:lineRule="auto"/>
        <w:ind w:firstLine="709"/>
        <w:jc w:val="both"/>
        <w:rPr>
          <w:rFonts w:ascii="Verdana" w:eastAsia="Times New Roman" w:hAnsi="Verdana" w:cs="Arial"/>
          <w:lang w:val="es-MX" w:eastAsia="es-CO"/>
        </w:rPr>
      </w:pPr>
    </w:p>
    <w:p w14:paraId="2376C90E" w14:textId="77777777" w:rsidR="00E30D96" w:rsidRPr="00E2397D" w:rsidRDefault="00E30D96" w:rsidP="00E30D96">
      <w:pPr>
        <w:spacing w:after="0" w:line="240" w:lineRule="auto"/>
        <w:ind w:left="709" w:right="709"/>
        <w:contextualSpacing/>
        <w:jc w:val="both"/>
        <w:rPr>
          <w:rFonts w:ascii="Verdana" w:eastAsia="Times New Roman" w:hAnsi="Verdana" w:cs="Arial"/>
          <w:sz w:val="20"/>
          <w:szCs w:val="20"/>
          <w:lang w:val="es-MX" w:eastAsia="es-CO"/>
        </w:rPr>
      </w:pPr>
      <w:r w:rsidRPr="00E2397D">
        <w:rPr>
          <w:rFonts w:ascii="Verdana" w:eastAsia="Times New Roman" w:hAnsi="Verdana" w:cs="Arial"/>
          <w:sz w:val="20"/>
          <w:szCs w:val="20"/>
          <w:lang w:val="es-MX" w:eastAsia="es-CO"/>
        </w:rPr>
        <w:lastRenderedPageBreak/>
        <w:t xml:space="preserve">“No está de más recordar que las prohibiciones, en tanto limitan la libertad y los derechos de las personas, son de origen constitucional y legal; la tipificación de sus causas, vigencia, naturaleza y efectos es rígida y taxativa; y su aplicación es restrictiva, de manera que excluye la analogía </w:t>
      </w:r>
      <w:proofErr w:type="spellStart"/>
      <w:r w:rsidRPr="00E2397D">
        <w:rPr>
          <w:rFonts w:ascii="Verdana" w:eastAsia="Times New Roman" w:hAnsi="Verdana" w:cs="Arial"/>
          <w:sz w:val="20"/>
          <w:szCs w:val="20"/>
          <w:lang w:val="es-MX" w:eastAsia="es-CO"/>
        </w:rPr>
        <w:t>legis</w:t>
      </w:r>
      <w:proofErr w:type="spellEnd"/>
      <w:r w:rsidRPr="00E2397D">
        <w:rPr>
          <w:rFonts w:ascii="Verdana" w:eastAsia="Times New Roman" w:hAnsi="Verdana" w:cs="Arial"/>
          <w:sz w:val="20"/>
          <w:szCs w:val="20"/>
          <w:lang w:val="es-MX" w:eastAsia="es-CO"/>
        </w:rPr>
        <w:t xml:space="preserve"> o iuris y la interpretación extensiva. Las normas legales de contenido prohibitivo hacen parte de un conjunto de disposiciones que integran un régimen jurídico imperativo y de orden público, razón por la cual no son disponibles ni pueden ser derogadas, modificadas, ampliadas o adicionadas por acuerdo o convenio o acto unilateral.</w:t>
      </w:r>
      <w:r>
        <w:rPr>
          <w:rFonts w:ascii="Verdana" w:eastAsia="Times New Roman" w:hAnsi="Verdana" w:cs="Arial"/>
          <w:sz w:val="20"/>
          <w:szCs w:val="20"/>
          <w:lang w:val="es-MX" w:eastAsia="es-CO"/>
        </w:rPr>
        <w:t xml:space="preserve"> </w:t>
      </w:r>
      <w:r w:rsidRPr="00E2397D">
        <w:rPr>
          <w:rFonts w:ascii="Verdana" w:eastAsia="Times New Roman" w:hAnsi="Verdana" w:cs="Arial"/>
          <w:sz w:val="20"/>
          <w:szCs w:val="20"/>
          <w:lang w:val="es-MX" w:eastAsia="es-CO"/>
        </w:rPr>
        <w:t>La jurisprudencia de la Corte Constitucional</w:t>
      </w:r>
      <w:r w:rsidRPr="00E2397D">
        <w:rPr>
          <w:rFonts w:ascii="Verdana" w:eastAsia="Times New Roman" w:hAnsi="Verdana" w:cs="Arial"/>
          <w:sz w:val="20"/>
          <w:szCs w:val="20"/>
          <w:vertAlign w:val="superscript"/>
          <w:lang w:val="es-MX" w:eastAsia="es-CO"/>
        </w:rPr>
        <w:footnoteReference w:id="3"/>
      </w:r>
      <w:r w:rsidRPr="00E2397D">
        <w:rPr>
          <w:rFonts w:ascii="Verdana" w:eastAsia="Times New Roman" w:hAnsi="Verdana" w:cs="Arial"/>
          <w:sz w:val="20"/>
          <w:szCs w:val="20"/>
          <w:lang w:val="es-MX" w:eastAsia="es-CO"/>
        </w:rPr>
        <w:t> y del Consejo de Estado</w:t>
      </w:r>
      <w:r w:rsidRPr="00E2397D">
        <w:rPr>
          <w:rFonts w:ascii="Verdana" w:eastAsia="Times New Roman" w:hAnsi="Verdana" w:cs="Arial"/>
          <w:sz w:val="20"/>
          <w:szCs w:val="20"/>
          <w:vertAlign w:val="superscript"/>
          <w:lang w:val="es-MX" w:eastAsia="es-CO"/>
        </w:rPr>
        <w:footnoteReference w:id="4"/>
      </w:r>
      <w:r w:rsidRPr="00E2397D">
        <w:rPr>
          <w:rFonts w:ascii="Verdana" w:eastAsia="Times New Roman" w:hAnsi="Verdana" w:cs="Arial"/>
          <w:sz w:val="20"/>
          <w:szCs w:val="20"/>
          <w:lang w:val="es-MX" w:eastAsia="es-CO"/>
        </w:rPr>
        <w:t>, coinciden en que las normas que establecen prohibiciones deben estar de manera explícita en la Constitución o en la ley y no podrán ser excesivas ni desproporcionadas. No pueden interpretarse extensivamente sino siempre en forma restrictiva o estricta; es decir, en la aplicación de las normas prohibitivas, el intérprete solamente habrá de tener en cuenta lo que en ellas expresamente se menciona y, por tanto, no le es permitido ampliar el natural y obvio alcance de los supuestos que contemplan, pues como entrañan una limitación -así fuere justificada- a la libertad de actuar o capacidad de obrar, sobrepasar sus precisos términos comporta el desconocimiento de la voluntad del legislador”</w:t>
      </w:r>
      <w:r w:rsidRPr="00E2397D">
        <w:rPr>
          <w:rFonts w:ascii="Verdana" w:eastAsia="Times New Roman" w:hAnsi="Verdana" w:cs="Arial"/>
          <w:sz w:val="20"/>
          <w:szCs w:val="20"/>
          <w:vertAlign w:val="superscript"/>
          <w:lang w:val="es-MX" w:eastAsia="es-CO"/>
        </w:rPr>
        <w:footnoteReference w:id="5"/>
      </w:r>
      <w:r w:rsidRPr="00E2397D">
        <w:rPr>
          <w:rFonts w:ascii="Verdana" w:eastAsia="Times New Roman" w:hAnsi="Verdana" w:cs="Arial"/>
          <w:sz w:val="20"/>
          <w:szCs w:val="20"/>
          <w:lang w:val="es-MX" w:eastAsia="es-CO"/>
        </w:rPr>
        <w:t>.</w:t>
      </w:r>
    </w:p>
    <w:p w14:paraId="1F0BD95C" w14:textId="77777777" w:rsidR="00E30D96" w:rsidRPr="00E2397D" w:rsidRDefault="00E30D96" w:rsidP="00E30D96">
      <w:pPr>
        <w:spacing w:after="0" w:line="276" w:lineRule="auto"/>
        <w:jc w:val="both"/>
        <w:rPr>
          <w:rFonts w:ascii="Verdana" w:eastAsia="Calibri" w:hAnsi="Verdana" w:cs="Arial"/>
          <w:bCs/>
          <w:lang w:val="es-ES_tradnl"/>
        </w:rPr>
      </w:pPr>
    </w:p>
    <w:p w14:paraId="249E5C8A" w14:textId="77777777" w:rsidR="00E30D96" w:rsidRPr="00B3605D" w:rsidRDefault="00E30D96" w:rsidP="00E30D96">
      <w:pPr>
        <w:spacing w:after="120" w:line="276" w:lineRule="auto"/>
        <w:ind w:firstLine="709"/>
        <w:jc w:val="both"/>
        <w:rPr>
          <w:rFonts w:ascii="Verdana" w:eastAsia="Arial" w:hAnsi="Verdana" w:cs="Arial"/>
          <w:lang w:val="es-ES" w:eastAsia="es-ES" w:bidi="es-ES"/>
        </w:rPr>
      </w:pPr>
      <w:r w:rsidRPr="00B3605D">
        <w:rPr>
          <w:rFonts w:ascii="Verdana" w:eastAsia="Times New Roman" w:hAnsi="Verdana" w:cs="Arial"/>
          <w:lang w:val="es-MX" w:eastAsia="es-CO"/>
        </w:rPr>
        <w:t>De</w:t>
      </w:r>
      <w:r w:rsidRPr="00B3605D">
        <w:rPr>
          <w:rFonts w:ascii="Verdana" w:eastAsia="Arial" w:hAnsi="Verdana" w:cs="Arial"/>
          <w:lang w:val="es-ES" w:eastAsia="es-ES" w:bidi="es-ES"/>
        </w:rPr>
        <w:t xml:space="preserve"> conformidad con lo anterior, la Ley de Garantías Electorales estableció una serie de regulaciones y prohibiciones dirigidas a los servidores públicos. Con la finalidad de preservar la igualdad entre los candidatos en las elecciones, aumentó las garantías en materia de contratación, de forma que no exista siquiera sospecha de que, por ese medio, en los periodos previos a la contienda electoral, se altere las condiciones de igualdad entre los candidatos. </w:t>
      </w:r>
    </w:p>
    <w:p w14:paraId="6A50E3DC" w14:textId="77777777" w:rsidR="00E30D96" w:rsidRDefault="00E30D96" w:rsidP="00E30D96">
      <w:pPr>
        <w:spacing w:after="0" w:line="276" w:lineRule="auto"/>
        <w:ind w:firstLine="709"/>
        <w:jc w:val="both"/>
        <w:rPr>
          <w:rFonts w:ascii="Verdana" w:eastAsia="Arial" w:hAnsi="Verdana" w:cs="Arial"/>
          <w:lang w:val="es-ES" w:eastAsia="es-ES" w:bidi="es-ES"/>
        </w:rPr>
      </w:pPr>
      <w:r w:rsidRPr="00B3605D">
        <w:rPr>
          <w:rFonts w:ascii="Verdana" w:eastAsia="Calibri" w:hAnsi="Verdana" w:cs="Arial"/>
          <w:lang w:val="es-ES"/>
        </w:rPr>
        <w:t xml:space="preserve">Las restricciones consagradas en la mencionada Ley se dirigen a dos tipos de campañas electorales: </w:t>
      </w:r>
      <w:r w:rsidRPr="00B3605D">
        <w:rPr>
          <w:rFonts w:ascii="Verdana" w:eastAsia="Arial" w:hAnsi="Verdana" w:cs="Arial"/>
          <w:lang w:val="es-ES" w:eastAsia="es-ES" w:bidi="es-ES"/>
        </w:rPr>
        <w:t>las presidenciales y las demás que se adelanten para la elección de los demás cargos de elección popular, tanto a nivel nacional como territorial:</w:t>
      </w:r>
    </w:p>
    <w:p w14:paraId="3C4264EF" w14:textId="77777777" w:rsidR="00E30D96" w:rsidRDefault="00E30D96" w:rsidP="00E30D96">
      <w:pPr>
        <w:spacing w:after="0" w:line="276" w:lineRule="auto"/>
        <w:ind w:firstLine="709"/>
        <w:jc w:val="both"/>
        <w:rPr>
          <w:rFonts w:ascii="Verdana" w:eastAsia="Arial" w:hAnsi="Verdana" w:cs="Arial"/>
          <w:lang w:val="es-ES" w:eastAsia="es-ES" w:bidi="es-ES"/>
        </w:rPr>
      </w:pPr>
    </w:p>
    <w:p w14:paraId="5A2701E2" w14:textId="77777777" w:rsidR="00E30D96" w:rsidRPr="00B96E97" w:rsidRDefault="00E30D96" w:rsidP="00E30D96">
      <w:pPr>
        <w:pStyle w:val="Prrafodelista"/>
        <w:numPr>
          <w:ilvl w:val="0"/>
          <w:numId w:val="18"/>
        </w:numPr>
        <w:spacing w:after="0" w:line="276" w:lineRule="auto"/>
        <w:jc w:val="both"/>
        <w:rPr>
          <w:rFonts w:ascii="Verdana" w:eastAsia="Arial" w:hAnsi="Verdana" w:cs="Arial"/>
          <w:i/>
          <w:iCs/>
          <w:lang w:eastAsia="es-ES" w:bidi="es-ES"/>
        </w:rPr>
      </w:pPr>
      <w:r w:rsidRPr="00B96E97">
        <w:rPr>
          <w:rFonts w:ascii="Verdana" w:eastAsia="Arial" w:hAnsi="Verdana" w:cs="Arial"/>
          <w:i/>
          <w:iCs/>
          <w:lang w:eastAsia="es-ES" w:bidi="es-ES"/>
        </w:rPr>
        <w:lastRenderedPageBreak/>
        <w:t xml:space="preserve">Restricciones elecciones presidenciales </w:t>
      </w:r>
    </w:p>
    <w:p w14:paraId="25802BDF" w14:textId="77777777" w:rsidR="00E30D96" w:rsidRPr="00A545DE" w:rsidRDefault="00E30D96" w:rsidP="00E30D96">
      <w:pPr>
        <w:pStyle w:val="Prrafodelista"/>
        <w:spacing w:after="0" w:line="276" w:lineRule="auto"/>
        <w:ind w:left="1080"/>
        <w:jc w:val="both"/>
        <w:rPr>
          <w:rFonts w:ascii="Verdana" w:eastAsia="Arial" w:hAnsi="Verdana" w:cs="Arial"/>
          <w:lang w:eastAsia="es-ES" w:bidi="es-ES"/>
        </w:rPr>
      </w:pPr>
    </w:p>
    <w:p w14:paraId="411FCBA6" w14:textId="77777777" w:rsidR="00E30D96" w:rsidRPr="00FC54ED" w:rsidRDefault="00E30D96" w:rsidP="00E30D96">
      <w:pPr>
        <w:spacing w:after="0" w:line="240" w:lineRule="auto"/>
        <w:ind w:left="708" w:right="709"/>
        <w:jc w:val="both"/>
        <w:rPr>
          <w:rFonts w:ascii="Verdana" w:eastAsia="Times New Roman" w:hAnsi="Verdana" w:cs="Open Sans"/>
          <w:sz w:val="20"/>
          <w:szCs w:val="20"/>
          <w:lang w:eastAsia="es-CO"/>
        </w:rPr>
      </w:pPr>
      <w:bookmarkStart w:id="6" w:name="33"/>
      <w:r>
        <w:rPr>
          <w:rFonts w:ascii="Verdana" w:eastAsia="Times New Roman" w:hAnsi="Verdana" w:cs="Open Sans"/>
          <w:b/>
          <w:bCs/>
          <w:sz w:val="20"/>
          <w:szCs w:val="20"/>
          <w:lang w:eastAsia="es-CO"/>
        </w:rPr>
        <w:t>“</w:t>
      </w:r>
      <w:r w:rsidRPr="00FC54ED">
        <w:rPr>
          <w:rFonts w:ascii="Verdana" w:eastAsia="Times New Roman" w:hAnsi="Verdana" w:cs="Open Sans"/>
          <w:b/>
          <w:bCs/>
          <w:sz w:val="20"/>
          <w:szCs w:val="20"/>
          <w:lang w:eastAsia="es-CO"/>
        </w:rPr>
        <w:t>ARTÍCULO 33. RESTRICCIONES A LA CONTRATACIÓN PÚBLICA.</w:t>
      </w:r>
      <w:bookmarkEnd w:id="6"/>
      <w:r w:rsidRPr="00FC54ED">
        <w:rPr>
          <w:rFonts w:ascii="Verdana" w:eastAsia="Times New Roman" w:hAnsi="Verdana" w:cs="Open Sans"/>
          <w:sz w:val="20"/>
          <w:szCs w:val="20"/>
          <w:lang w:eastAsia="es-CO"/>
        </w:rPr>
        <w:t>  Durante los cuatro (4) meses anteriores a la elección presidencial y hasta la realización de la elección en la segunda vuelta, si fuere el caso, queda prohibida la contratación directa por parte de todos los entes del Estado.</w:t>
      </w:r>
    </w:p>
    <w:p w14:paraId="7BD47DA3" w14:textId="77777777" w:rsidR="00E30D96" w:rsidRPr="00FC54ED" w:rsidRDefault="00E30D96" w:rsidP="00E30D96">
      <w:pPr>
        <w:spacing w:after="0" w:line="240" w:lineRule="auto"/>
        <w:ind w:left="708" w:right="709"/>
        <w:jc w:val="both"/>
        <w:rPr>
          <w:rFonts w:ascii="Verdana" w:eastAsia="Times New Roman" w:hAnsi="Verdana" w:cs="Open Sans"/>
          <w:sz w:val="20"/>
          <w:szCs w:val="20"/>
          <w:lang w:eastAsia="es-CO"/>
        </w:rPr>
      </w:pPr>
    </w:p>
    <w:p w14:paraId="21E4CA5B" w14:textId="77777777" w:rsidR="00E30D96" w:rsidRPr="00B3605D" w:rsidRDefault="00E30D96" w:rsidP="00E30D96">
      <w:pPr>
        <w:spacing w:after="0" w:line="240" w:lineRule="auto"/>
        <w:ind w:left="708" w:right="709"/>
        <w:jc w:val="both"/>
        <w:rPr>
          <w:rFonts w:ascii="Verdana" w:eastAsia="Times New Roman" w:hAnsi="Verdana" w:cs="Open Sans"/>
          <w:sz w:val="20"/>
          <w:szCs w:val="20"/>
          <w:lang w:eastAsia="es-CO"/>
        </w:rPr>
      </w:pPr>
      <w:r w:rsidRPr="00FC54ED">
        <w:rPr>
          <w:rFonts w:ascii="Verdana" w:eastAsia="Times New Roman" w:hAnsi="Verdana" w:cs="Open Sans"/>
          <w:sz w:val="20"/>
          <w:szCs w:val="20"/>
          <w:lang w:eastAsia="es-CO"/>
        </w:rPr>
        <w:t>Queda exceptuado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Pr>
          <w:rFonts w:ascii="Verdana" w:eastAsia="Times New Roman" w:hAnsi="Verdana" w:cs="Open Sans"/>
          <w:sz w:val="20"/>
          <w:szCs w:val="20"/>
          <w:lang w:eastAsia="es-CO"/>
        </w:rPr>
        <w:t>”</w:t>
      </w:r>
      <w:r w:rsidRPr="00FC54ED">
        <w:rPr>
          <w:rFonts w:ascii="Verdana" w:eastAsia="Times New Roman" w:hAnsi="Verdana" w:cs="Open Sans"/>
          <w:sz w:val="20"/>
          <w:szCs w:val="20"/>
          <w:lang w:eastAsia="es-CO"/>
        </w:rPr>
        <w:t>.</w:t>
      </w:r>
    </w:p>
    <w:p w14:paraId="6133CD83" w14:textId="77777777" w:rsidR="00E30D96" w:rsidRDefault="00E30D96" w:rsidP="00E30D96">
      <w:pPr>
        <w:spacing w:after="0" w:line="276" w:lineRule="auto"/>
        <w:ind w:right="618" w:firstLine="708"/>
        <w:jc w:val="both"/>
        <w:rPr>
          <w:rFonts w:ascii="Verdana" w:eastAsia="Times New Roman" w:hAnsi="Verdana" w:cs="Open Sans"/>
          <w:lang w:eastAsia="es-CO"/>
        </w:rPr>
      </w:pPr>
    </w:p>
    <w:p w14:paraId="1B600D3C" w14:textId="77777777" w:rsidR="00E30D96" w:rsidRDefault="00E30D96" w:rsidP="00E30D96">
      <w:pPr>
        <w:spacing w:after="120" w:line="276" w:lineRule="auto"/>
        <w:ind w:firstLine="708"/>
        <w:jc w:val="both"/>
        <w:rPr>
          <w:rFonts w:ascii="Verdana" w:eastAsia="Times New Roman" w:hAnsi="Verdana" w:cs="Open Sans"/>
          <w:lang w:eastAsia="es-CO"/>
        </w:rPr>
      </w:pPr>
      <w:r w:rsidRPr="00B3605D">
        <w:rPr>
          <w:rFonts w:ascii="Verdana" w:eastAsia="Times New Roman" w:hAnsi="Verdana" w:cs="Open Sans"/>
          <w:lang w:eastAsia="es-CO"/>
        </w:rPr>
        <w:t xml:space="preserve">Como se puede observar, el artículo 33 de la Ley 996 de 2205 prohíbe la contratación directa por parte de todos los entes estatales durante los cuatro </w:t>
      </w:r>
      <w:r>
        <w:rPr>
          <w:rFonts w:ascii="Verdana" w:eastAsia="Times New Roman" w:hAnsi="Verdana" w:cs="Open Sans"/>
          <w:lang w:eastAsia="es-CO"/>
        </w:rPr>
        <w:t>(4)</w:t>
      </w:r>
      <w:r w:rsidRPr="00B3605D">
        <w:rPr>
          <w:rFonts w:ascii="Verdana" w:eastAsia="Times New Roman" w:hAnsi="Verdana" w:cs="Open Sans"/>
          <w:lang w:eastAsia="es-CO"/>
        </w:rPr>
        <w:t xml:space="preserve"> meses anteriores a las elecciones presidenciales y dispone las excepciones a dicha prohibición. </w:t>
      </w:r>
      <w:r>
        <w:rPr>
          <w:rFonts w:ascii="Verdana" w:eastAsia="Times New Roman" w:hAnsi="Verdana" w:cs="Open Sans"/>
          <w:lang w:eastAsia="es-CO"/>
        </w:rPr>
        <w:t>Así, su ámbito de prohibición está delimitado por la expresión “</w:t>
      </w:r>
      <w:r w:rsidRPr="006A640E">
        <w:rPr>
          <w:rFonts w:ascii="Verdana" w:eastAsia="Times New Roman" w:hAnsi="Verdana" w:cs="Open Sans"/>
          <w:lang w:eastAsia="es-CO"/>
        </w:rPr>
        <w:t>queda prohibida la contratación directa</w:t>
      </w:r>
      <w:r>
        <w:rPr>
          <w:rFonts w:ascii="Verdana" w:eastAsia="Times New Roman" w:hAnsi="Verdana" w:cs="Open Sans"/>
          <w:lang w:eastAsia="es-CO"/>
        </w:rPr>
        <w:t xml:space="preserve">” y </w:t>
      </w:r>
      <w:r w:rsidRPr="006A640E">
        <w:rPr>
          <w:rFonts w:ascii="Verdana" w:eastAsia="Times New Roman" w:hAnsi="Verdana" w:cs="Open Sans"/>
          <w:lang w:eastAsia="es-CO"/>
        </w:rPr>
        <w:t>para los efectos de la Ley de Garantías</w:t>
      </w:r>
      <w:r>
        <w:rPr>
          <w:rFonts w:ascii="Verdana" w:eastAsia="Times New Roman" w:hAnsi="Verdana" w:cs="Open Sans"/>
          <w:lang w:eastAsia="es-CO"/>
        </w:rPr>
        <w:t xml:space="preserve"> </w:t>
      </w:r>
      <w:r w:rsidRPr="006A640E">
        <w:rPr>
          <w:rFonts w:ascii="Verdana" w:eastAsia="Times New Roman" w:hAnsi="Verdana" w:cs="Open Sans"/>
          <w:lang w:eastAsia="es-CO"/>
        </w:rPr>
        <w:t>Electorales y, en particular, para la prohibición o restricción temporal contenida en su</w:t>
      </w:r>
      <w:r>
        <w:rPr>
          <w:rFonts w:ascii="Verdana" w:eastAsia="Times New Roman" w:hAnsi="Verdana" w:cs="Open Sans"/>
          <w:lang w:eastAsia="es-CO"/>
        </w:rPr>
        <w:t xml:space="preserve"> </w:t>
      </w:r>
      <w:r w:rsidRPr="006A640E">
        <w:rPr>
          <w:rFonts w:ascii="Verdana" w:eastAsia="Times New Roman" w:hAnsi="Verdana" w:cs="Open Sans"/>
          <w:lang w:eastAsia="es-CO"/>
        </w:rPr>
        <w:t xml:space="preserve">artículo 33, </w:t>
      </w:r>
      <w:r>
        <w:rPr>
          <w:rFonts w:ascii="Verdana" w:eastAsia="Times New Roman" w:hAnsi="Verdana" w:cs="Open Sans"/>
          <w:lang w:eastAsia="es-CO"/>
        </w:rPr>
        <w:t>“</w:t>
      </w:r>
      <w:r w:rsidRPr="006A640E">
        <w:rPr>
          <w:rFonts w:ascii="Verdana" w:eastAsia="Times New Roman" w:hAnsi="Verdana" w:cs="Open Sans"/>
          <w:lang w:eastAsia="es-CO"/>
        </w:rPr>
        <w:t>contratación directa</w:t>
      </w:r>
      <w:r>
        <w:rPr>
          <w:rFonts w:ascii="Verdana" w:eastAsia="Times New Roman" w:hAnsi="Verdana" w:cs="Open Sans"/>
          <w:lang w:eastAsia="es-CO"/>
        </w:rPr>
        <w:t>”</w:t>
      </w:r>
      <w:r w:rsidRPr="006A640E">
        <w:rPr>
          <w:rFonts w:ascii="Verdana" w:eastAsia="Times New Roman" w:hAnsi="Verdana" w:cs="Open Sans"/>
          <w:lang w:eastAsia="es-CO"/>
        </w:rPr>
        <w:t xml:space="preserve"> es cualquier sistema de selección o procedimiento</w:t>
      </w:r>
      <w:r>
        <w:rPr>
          <w:rFonts w:ascii="Verdana" w:eastAsia="Times New Roman" w:hAnsi="Verdana" w:cs="Open Sans"/>
          <w:lang w:eastAsia="es-CO"/>
        </w:rPr>
        <w:t xml:space="preserve"> </w:t>
      </w:r>
      <w:r w:rsidRPr="006A640E">
        <w:rPr>
          <w:rFonts w:ascii="Verdana" w:eastAsia="Times New Roman" w:hAnsi="Verdana" w:cs="Open Sans"/>
          <w:lang w:eastAsia="es-CO"/>
        </w:rPr>
        <w:t>de contratación utilizado por las entidades estatales que no incluya la convocatoria</w:t>
      </w:r>
      <w:r>
        <w:rPr>
          <w:rFonts w:ascii="Verdana" w:eastAsia="Times New Roman" w:hAnsi="Verdana" w:cs="Open Sans"/>
          <w:lang w:eastAsia="es-CO"/>
        </w:rPr>
        <w:t xml:space="preserve"> </w:t>
      </w:r>
      <w:r w:rsidRPr="006A640E">
        <w:rPr>
          <w:rFonts w:ascii="Verdana" w:eastAsia="Times New Roman" w:hAnsi="Verdana" w:cs="Open Sans"/>
          <w:lang w:eastAsia="es-CO"/>
        </w:rPr>
        <w:t>pública en alguna de sus etapas, ni permita la participación de una pluralidad de</w:t>
      </w:r>
      <w:r>
        <w:rPr>
          <w:rFonts w:ascii="Verdana" w:eastAsia="Times New Roman" w:hAnsi="Verdana" w:cs="Open Sans"/>
          <w:lang w:eastAsia="es-CO"/>
        </w:rPr>
        <w:t xml:space="preserve"> </w:t>
      </w:r>
      <w:r w:rsidRPr="006A640E">
        <w:rPr>
          <w:rFonts w:ascii="Verdana" w:eastAsia="Times New Roman" w:hAnsi="Verdana" w:cs="Open Sans"/>
          <w:lang w:eastAsia="es-CO"/>
        </w:rPr>
        <w:t>oferentes</w:t>
      </w:r>
      <w:r>
        <w:rPr>
          <w:rStyle w:val="Refdenotaalpie"/>
          <w:rFonts w:ascii="Verdana" w:eastAsia="Times New Roman" w:hAnsi="Verdana" w:cs="Open Sans"/>
          <w:lang w:eastAsia="es-CO"/>
        </w:rPr>
        <w:footnoteReference w:id="6"/>
      </w:r>
      <w:r>
        <w:rPr>
          <w:rFonts w:ascii="Verdana" w:eastAsia="Times New Roman" w:hAnsi="Verdana" w:cs="Open Sans"/>
          <w:lang w:eastAsia="es-CO"/>
        </w:rPr>
        <w:t>.</w:t>
      </w:r>
    </w:p>
    <w:p w14:paraId="4EE866D3" w14:textId="77777777" w:rsidR="00E30D96" w:rsidRDefault="00E30D96" w:rsidP="00E30D96">
      <w:pPr>
        <w:spacing w:after="120" w:line="276" w:lineRule="auto"/>
        <w:ind w:firstLine="708"/>
        <w:jc w:val="both"/>
        <w:rPr>
          <w:rFonts w:ascii="Verdana" w:hAnsi="Verdana"/>
        </w:rPr>
      </w:pPr>
      <w:r>
        <w:rPr>
          <w:rFonts w:ascii="Verdana" w:eastAsia="Times New Roman" w:hAnsi="Verdana" w:cs="Open Sans"/>
          <w:lang w:eastAsia="es-CO"/>
        </w:rPr>
        <w:t>Por s</w:t>
      </w:r>
      <w:r w:rsidRPr="00D44FF2">
        <w:rPr>
          <w:rFonts w:ascii="Verdana" w:eastAsia="Times New Roman" w:hAnsi="Verdana" w:cs="Open Sans"/>
          <w:lang w:eastAsia="es-CO"/>
        </w:rPr>
        <w:t xml:space="preserve">u parte, </w:t>
      </w:r>
      <w:r w:rsidRPr="00D44FF2">
        <w:rPr>
          <w:rFonts w:ascii="Verdana" w:hAnsi="Verdana"/>
        </w:rPr>
        <w:t xml:space="preserve">los destinatarios de la prohibición están expresamente señalados como </w:t>
      </w:r>
      <w:r>
        <w:rPr>
          <w:rFonts w:ascii="Verdana" w:hAnsi="Verdana"/>
        </w:rPr>
        <w:t>“</w:t>
      </w:r>
      <w:r w:rsidRPr="00D44FF2">
        <w:rPr>
          <w:rFonts w:ascii="Verdana" w:hAnsi="Verdana"/>
        </w:rPr>
        <w:t>todos los entes del Estado</w:t>
      </w:r>
      <w:r>
        <w:rPr>
          <w:rFonts w:ascii="Verdana" w:hAnsi="Verdana"/>
        </w:rPr>
        <w:t>”</w:t>
      </w:r>
      <w:r w:rsidRPr="00D44FF2">
        <w:rPr>
          <w:rFonts w:ascii="Verdana" w:hAnsi="Verdana"/>
        </w:rPr>
        <w:t xml:space="preserve">, expresión que contempla a los diferentes organismos o entidades autorizadas por la ley para suscribir contratos. En efecto, tal como lo ha sostenido el Consejo de Estado, el vocablo </w:t>
      </w:r>
      <w:r>
        <w:rPr>
          <w:rFonts w:ascii="Verdana" w:hAnsi="Verdana"/>
        </w:rPr>
        <w:t>“</w:t>
      </w:r>
      <w:r w:rsidRPr="00D44FF2">
        <w:rPr>
          <w:rFonts w:ascii="Verdana" w:hAnsi="Verdana"/>
        </w:rPr>
        <w:t>todos</w:t>
      </w:r>
      <w:r>
        <w:rPr>
          <w:rFonts w:ascii="Verdana" w:hAnsi="Verdana"/>
        </w:rPr>
        <w:t>”</w:t>
      </w:r>
      <w:r w:rsidRPr="00D44FF2">
        <w:rPr>
          <w:rFonts w:ascii="Verdana" w:hAnsi="Verdana"/>
        </w:rPr>
        <w:t xml:space="preserve"> utilizado por el legislador comprende a la totalidad de los entes del Estado, sin distinción del régimen jurídico, forma de organización o naturaleza, su pertenencia a una u otra rama del poder público o su autonomía, e incluso si las entidades estatales tienen régimen especial de contratación y están exceptuadas del ámbito de aplicación del Estatuto General de Contratación de la Administración Pública.</w:t>
      </w:r>
      <w:r>
        <w:rPr>
          <w:rFonts w:ascii="Verdana" w:hAnsi="Verdana"/>
        </w:rPr>
        <w:t xml:space="preserve"> </w:t>
      </w:r>
    </w:p>
    <w:p w14:paraId="44BD970D" w14:textId="77777777" w:rsidR="00E30D96" w:rsidRDefault="00E30D96" w:rsidP="00E30D96">
      <w:pPr>
        <w:spacing w:after="120" w:line="276" w:lineRule="auto"/>
        <w:ind w:firstLine="708"/>
        <w:jc w:val="both"/>
        <w:rPr>
          <w:rFonts w:ascii="Verdana" w:eastAsia="Times New Roman" w:hAnsi="Verdana" w:cs="Open Sans"/>
          <w:lang w:eastAsia="es-CO"/>
        </w:rPr>
      </w:pPr>
      <w:r w:rsidRPr="00A545DE">
        <w:rPr>
          <w:rFonts w:ascii="Verdana" w:eastAsia="Times New Roman" w:hAnsi="Verdana" w:cs="Open Sans"/>
          <w:lang w:eastAsia="es-CO"/>
        </w:rPr>
        <w:lastRenderedPageBreak/>
        <w:t>De lo anterior se desprende que la restricción aplica, sin perjuicio de las excepciones establecidas en la misma ley, para celebrar cualquier contrato de</w:t>
      </w:r>
      <w:r w:rsidRPr="006A640E">
        <w:rPr>
          <w:rFonts w:ascii="Verdana" w:eastAsia="Times New Roman" w:hAnsi="Verdana" w:cs="Open Sans"/>
          <w:lang w:eastAsia="es-CO"/>
        </w:rPr>
        <w:t xml:space="preserve"> forma</w:t>
      </w:r>
      <w:r>
        <w:rPr>
          <w:rFonts w:ascii="Verdana" w:eastAsia="Times New Roman" w:hAnsi="Verdana" w:cs="Open Sans"/>
          <w:lang w:eastAsia="es-CO"/>
        </w:rPr>
        <w:t xml:space="preserve"> </w:t>
      </w:r>
      <w:r w:rsidRPr="006A640E">
        <w:rPr>
          <w:rFonts w:ascii="Verdana" w:eastAsia="Times New Roman" w:hAnsi="Verdana" w:cs="Open Sans"/>
          <w:lang w:eastAsia="es-CO"/>
        </w:rPr>
        <w:t>directa</w:t>
      </w:r>
      <w:r>
        <w:rPr>
          <w:rFonts w:ascii="Verdana" w:eastAsia="Times New Roman" w:hAnsi="Verdana" w:cs="Open Sans"/>
          <w:lang w:eastAsia="es-CO"/>
        </w:rPr>
        <w:t xml:space="preserve">, esto es, </w:t>
      </w:r>
      <w:r w:rsidRPr="006A640E">
        <w:rPr>
          <w:rFonts w:ascii="Verdana" w:eastAsia="Times New Roman" w:hAnsi="Verdana" w:cs="Open Sans"/>
          <w:lang w:eastAsia="es-CO"/>
        </w:rPr>
        <w:t>sin que exista un proceso abierto y competitivo. Por tanto, no son</w:t>
      </w:r>
      <w:r>
        <w:rPr>
          <w:rFonts w:ascii="Verdana" w:eastAsia="Times New Roman" w:hAnsi="Verdana" w:cs="Open Sans"/>
          <w:lang w:eastAsia="es-CO"/>
        </w:rPr>
        <w:t xml:space="preserve"> </w:t>
      </w:r>
      <w:r w:rsidRPr="006A640E">
        <w:rPr>
          <w:rFonts w:ascii="Verdana" w:eastAsia="Times New Roman" w:hAnsi="Verdana" w:cs="Open Sans"/>
          <w:lang w:eastAsia="es-CO"/>
        </w:rPr>
        <w:t>materia de la prohibición las demás modalidades de selección previstas en la Ley</w:t>
      </w:r>
      <w:r>
        <w:rPr>
          <w:rFonts w:ascii="Verdana" w:eastAsia="Times New Roman" w:hAnsi="Verdana" w:cs="Open Sans"/>
          <w:lang w:eastAsia="es-CO"/>
        </w:rPr>
        <w:t xml:space="preserve"> </w:t>
      </w:r>
      <w:r w:rsidRPr="006A640E">
        <w:rPr>
          <w:rFonts w:ascii="Verdana" w:eastAsia="Times New Roman" w:hAnsi="Verdana" w:cs="Open Sans"/>
          <w:lang w:eastAsia="es-CO"/>
        </w:rPr>
        <w:t>1150 de 2007, es decir, la licitación pública, el concurso de méritos, la selección</w:t>
      </w:r>
      <w:r>
        <w:rPr>
          <w:rFonts w:ascii="Verdana" w:eastAsia="Times New Roman" w:hAnsi="Verdana" w:cs="Open Sans"/>
          <w:lang w:eastAsia="es-CO"/>
        </w:rPr>
        <w:t xml:space="preserve"> </w:t>
      </w:r>
      <w:r w:rsidRPr="006A640E">
        <w:rPr>
          <w:rFonts w:ascii="Verdana" w:eastAsia="Times New Roman" w:hAnsi="Verdana" w:cs="Open Sans"/>
          <w:lang w:eastAsia="es-CO"/>
        </w:rPr>
        <w:t>abreviada y la contratación de mínima cuantía, razón por la cual en el período</w:t>
      </w:r>
      <w:r>
        <w:rPr>
          <w:rFonts w:ascii="Verdana" w:eastAsia="Times New Roman" w:hAnsi="Verdana" w:cs="Open Sans"/>
          <w:lang w:eastAsia="es-CO"/>
        </w:rPr>
        <w:t xml:space="preserve"> </w:t>
      </w:r>
      <w:r w:rsidRPr="006A640E">
        <w:rPr>
          <w:rFonts w:ascii="Verdana" w:eastAsia="Times New Roman" w:hAnsi="Verdana" w:cs="Open Sans"/>
          <w:lang w:eastAsia="es-CO"/>
        </w:rPr>
        <w:t>preelectoral de que trata la disposición las entidades públicas pueden seguir</w:t>
      </w:r>
      <w:r>
        <w:rPr>
          <w:rFonts w:ascii="Verdana" w:eastAsia="Times New Roman" w:hAnsi="Verdana" w:cs="Open Sans"/>
          <w:lang w:eastAsia="es-CO"/>
        </w:rPr>
        <w:t xml:space="preserve"> </w:t>
      </w:r>
      <w:r w:rsidRPr="006A640E">
        <w:rPr>
          <w:rFonts w:ascii="Verdana" w:eastAsia="Times New Roman" w:hAnsi="Verdana" w:cs="Open Sans"/>
          <w:lang w:eastAsia="es-CO"/>
        </w:rPr>
        <w:t>contratando bajo estos sistemas.</w:t>
      </w:r>
    </w:p>
    <w:p w14:paraId="3858A4DD" w14:textId="77777777" w:rsidR="00E30D96" w:rsidRDefault="00E30D96" w:rsidP="00E30D96">
      <w:pPr>
        <w:spacing w:after="120" w:line="276" w:lineRule="auto"/>
        <w:ind w:firstLine="708"/>
        <w:jc w:val="both"/>
        <w:rPr>
          <w:rFonts w:ascii="Verdana" w:hAnsi="Verdana"/>
        </w:rPr>
      </w:pPr>
      <w:r w:rsidRPr="005916BD">
        <w:rPr>
          <w:rFonts w:ascii="Verdana" w:hAnsi="Verdana"/>
        </w:rPr>
        <w:t xml:space="preserve">De otro lado, las excepciones a la restricción prevista en la Ley de Garantías, con fundamento en las cuales podrán las entidades públicas adelantar procedimientos de selección directa en períodos previos a la contienda electoral por la Presidencia, se encuentran consagradas de manera taxativa en el inciso final del citado artículo 33 de la Ley 996 de 2005 en lo referente a: i) la defensa y seguridad del Estado; </w:t>
      </w:r>
      <w:proofErr w:type="spellStart"/>
      <w:r w:rsidRPr="005916BD">
        <w:rPr>
          <w:rFonts w:ascii="Verdana" w:hAnsi="Verdana"/>
        </w:rPr>
        <w:t>ii</w:t>
      </w:r>
      <w:proofErr w:type="spellEnd"/>
      <w:r w:rsidRPr="005916BD">
        <w:rPr>
          <w:rFonts w:ascii="Verdana" w:hAnsi="Verdana"/>
        </w:rPr>
        <w:t xml:space="preserve">) los contratos de crédito público; </w:t>
      </w:r>
      <w:proofErr w:type="spellStart"/>
      <w:r w:rsidRPr="005916BD">
        <w:rPr>
          <w:rFonts w:ascii="Verdana" w:hAnsi="Verdana"/>
        </w:rPr>
        <w:t>iii</w:t>
      </w:r>
      <w:proofErr w:type="spellEnd"/>
      <w:r w:rsidRPr="005916BD">
        <w:rPr>
          <w:rFonts w:ascii="Verdana" w:hAnsi="Verdana"/>
        </w:rPr>
        <w:t xml:space="preserve">) los requeridos para cubrir las emergencias educativas, sanitarias y desastres; </w:t>
      </w:r>
      <w:proofErr w:type="spellStart"/>
      <w:r w:rsidRPr="005916BD">
        <w:rPr>
          <w:rFonts w:ascii="Verdana" w:hAnsi="Verdana"/>
        </w:rPr>
        <w:t>iv</w:t>
      </w:r>
      <w:proofErr w:type="spellEnd"/>
      <w:r w:rsidRPr="005916BD">
        <w:rPr>
          <w:rFonts w:ascii="Verdana" w:hAnsi="Verdana"/>
        </w:rPr>
        <w:t xml:space="preserve">) los utilizados para la reconstrucción de vías, puentes, carreteras, infraestructura energética y de comunicaciones, en caso de que hayan sido objeto de atentados, acciones terroristas, desastres naturales o casos de fuerza mayor; y, v) los que deban realizar las entidades sanitarias y hospitalarias. </w:t>
      </w:r>
    </w:p>
    <w:p w14:paraId="3BB995A4" w14:textId="77777777" w:rsidR="00E30D96" w:rsidRDefault="00E30D96" w:rsidP="00E30D96">
      <w:pPr>
        <w:spacing w:after="120" w:line="276" w:lineRule="auto"/>
        <w:ind w:firstLine="708"/>
        <w:jc w:val="both"/>
        <w:rPr>
          <w:rFonts w:ascii="Verdana" w:hAnsi="Verdana"/>
        </w:rPr>
      </w:pPr>
      <w:r w:rsidRPr="005916BD">
        <w:rPr>
          <w:rFonts w:ascii="Verdana" w:hAnsi="Verdana"/>
        </w:rPr>
        <w:t>E</w:t>
      </w:r>
      <w:r>
        <w:rPr>
          <w:rFonts w:ascii="Verdana" w:hAnsi="Verdana"/>
        </w:rPr>
        <w:t>n este contexto e</w:t>
      </w:r>
      <w:r w:rsidRPr="005916BD">
        <w:rPr>
          <w:rFonts w:ascii="Verdana" w:hAnsi="Verdana"/>
        </w:rPr>
        <w:t>s responsabilidad del respectivo ente del Estado examinar en cada caso la naturaleza de las actividades que adelanta y determinar si las mismas se enmarcan en alguna de las mencionadas excepciones, de manera que se le permita realizar la contratación que necesite en forma directa.</w:t>
      </w:r>
    </w:p>
    <w:p w14:paraId="59AE88DF" w14:textId="77777777" w:rsidR="00E30D96" w:rsidRDefault="00E30D96" w:rsidP="00E30D96">
      <w:pPr>
        <w:spacing w:after="120" w:line="276" w:lineRule="auto"/>
        <w:ind w:firstLine="709"/>
        <w:jc w:val="both"/>
        <w:rPr>
          <w:rFonts w:ascii="Verdana" w:eastAsia="Arial" w:hAnsi="Verdana" w:cs="Arial"/>
          <w:lang w:eastAsia="es-MX"/>
        </w:rPr>
      </w:pPr>
      <w:r w:rsidRPr="00072C23">
        <w:rPr>
          <w:rFonts w:ascii="Verdana" w:eastAsia="Calibri" w:hAnsi="Verdana" w:cs="Arial"/>
        </w:rPr>
        <w:t xml:space="preserve">Precisado lo anterior, en relación con el problema jurídico planteado, se resalta que </w:t>
      </w:r>
      <w:bookmarkStart w:id="7" w:name="_Hlk100224224"/>
      <w:r w:rsidRPr="00072C23">
        <w:rPr>
          <w:rFonts w:ascii="Verdana" w:eastAsia="Arial" w:hAnsi="Verdana" w:cs="Arial"/>
          <w:lang w:eastAsia="es-MX"/>
        </w:rPr>
        <w:t xml:space="preserve">las instituciones educativas pertenecen a la entidad territorial que haya efectuado su reconocimiento de carácter oficial. </w:t>
      </w:r>
      <w:r w:rsidRPr="00A16162">
        <w:rPr>
          <w:rFonts w:ascii="Verdana" w:eastAsia="Arial" w:hAnsi="Verdana" w:cs="Arial"/>
          <w:lang w:eastAsia="es-MX"/>
        </w:rPr>
        <w:t>Es decir, el sistema educativo está descentralizado</w:t>
      </w:r>
      <w:r>
        <w:rPr>
          <w:rStyle w:val="Refdenotaalpie"/>
          <w:rFonts w:ascii="Verdana" w:eastAsia="Arial" w:hAnsi="Verdana" w:cs="Arial"/>
          <w:lang w:eastAsia="es-MX"/>
        </w:rPr>
        <w:footnoteReference w:id="7"/>
      </w:r>
      <w:r>
        <w:rPr>
          <w:rFonts w:ascii="Verdana" w:eastAsia="Arial" w:hAnsi="Verdana" w:cs="Arial"/>
          <w:lang w:eastAsia="es-MX"/>
        </w:rPr>
        <w:t xml:space="preserve"> </w:t>
      </w:r>
      <w:r w:rsidRPr="00A16162">
        <w:rPr>
          <w:rFonts w:ascii="Verdana" w:eastAsia="Arial" w:hAnsi="Verdana" w:cs="Arial"/>
          <w:lang w:eastAsia="es-MX"/>
        </w:rPr>
        <w:t>por las competencias propias que se les ha otorgado a las entidades territoriales</w:t>
      </w:r>
      <w:r>
        <w:rPr>
          <w:rFonts w:ascii="Verdana" w:eastAsia="Arial" w:hAnsi="Verdana" w:cs="Arial"/>
          <w:lang w:eastAsia="es-MX"/>
        </w:rPr>
        <w:t xml:space="preserve"> (Departamentos, Municipios, Distritos)</w:t>
      </w:r>
      <w:r w:rsidRPr="00A16162">
        <w:rPr>
          <w:rFonts w:ascii="Verdana" w:eastAsia="Arial" w:hAnsi="Verdana" w:cs="Arial"/>
          <w:lang w:eastAsia="es-MX"/>
        </w:rPr>
        <w:t xml:space="preserve"> para</w:t>
      </w:r>
      <w:r>
        <w:rPr>
          <w:rFonts w:ascii="Verdana" w:eastAsia="Arial" w:hAnsi="Verdana" w:cs="Arial"/>
          <w:lang w:eastAsia="es-MX"/>
        </w:rPr>
        <w:t xml:space="preserve"> </w:t>
      </w:r>
      <w:r w:rsidRPr="00A16162">
        <w:rPr>
          <w:rFonts w:ascii="Verdana" w:eastAsia="Arial" w:hAnsi="Verdana" w:cs="Arial"/>
          <w:lang w:eastAsia="es-MX"/>
        </w:rPr>
        <w:t>administrar las instituciones educativas, que pueden ser de los diferentes niveles, pero</w:t>
      </w:r>
      <w:r>
        <w:rPr>
          <w:rFonts w:ascii="Verdana" w:eastAsia="Arial" w:hAnsi="Verdana" w:cs="Arial"/>
          <w:lang w:eastAsia="es-MX"/>
        </w:rPr>
        <w:t xml:space="preserve"> </w:t>
      </w:r>
      <w:r w:rsidRPr="00A16162">
        <w:rPr>
          <w:rFonts w:ascii="Verdana" w:eastAsia="Arial" w:hAnsi="Verdana" w:cs="Arial"/>
          <w:lang w:eastAsia="es-MX"/>
        </w:rPr>
        <w:t>estas no son entidades descentralizadas.</w:t>
      </w:r>
    </w:p>
    <w:p w14:paraId="17C5BA1E" w14:textId="77777777" w:rsidR="00E30D96" w:rsidRPr="00072C23" w:rsidRDefault="00E30D96" w:rsidP="00E30D96">
      <w:pPr>
        <w:spacing w:after="120" w:line="276" w:lineRule="auto"/>
        <w:ind w:firstLine="709"/>
        <w:jc w:val="both"/>
        <w:rPr>
          <w:rFonts w:ascii="Verdana" w:eastAsia="Arial" w:hAnsi="Verdana" w:cs="Arial"/>
          <w:lang w:eastAsia="es-MX"/>
        </w:rPr>
      </w:pPr>
      <w:r>
        <w:rPr>
          <w:rFonts w:ascii="Verdana" w:eastAsia="Arial" w:hAnsi="Verdana" w:cs="Arial"/>
          <w:lang w:eastAsia="es-MX"/>
        </w:rPr>
        <w:t>Así, las instituciones educativas</w:t>
      </w:r>
      <w:r w:rsidRPr="00072C23">
        <w:rPr>
          <w:rFonts w:ascii="Verdana" w:eastAsia="Arial" w:hAnsi="Verdana" w:cs="Arial"/>
          <w:lang w:eastAsia="es-MX"/>
        </w:rPr>
        <w:t xml:space="preserve"> carecen de personería jurídica, pero tienen capacidad para contratar y se concreta en la competencia que le otorgó </w:t>
      </w:r>
      <w:r w:rsidRPr="00072C23">
        <w:rPr>
          <w:rFonts w:ascii="Verdana" w:eastAsia="Arial" w:hAnsi="Verdana" w:cs="Arial"/>
          <w:lang w:eastAsia="es-MX"/>
        </w:rPr>
        <w:lastRenderedPageBreak/>
        <w:t>el legislador en la Ley 715 de 2001 para administrar los fondos de servicios educativos. Estas son cuentas contables que le permiten a las instituciones realizar la gestión y ejecución presupuestal de los recursos que reciben los establecimientos educativos</w:t>
      </w:r>
      <w:bookmarkEnd w:id="7"/>
      <w:r w:rsidRPr="00072C23">
        <w:rPr>
          <w:rFonts w:ascii="Verdana" w:eastAsia="Arial" w:hAnsi="Verdana" w:cs="Arial"/>
          <w:vertAlign w:val="superscript"/>
          <w:lang w:eastAsia="es-MX"/>
        </w:rPr>
        <w:footnoteReference w:id="8"/>
      </w:r>
      <w:r w:rsidRPr="00072C23">
        <w:rPr>
          <w:rFonts w:ascii="Verdana" w:eastAsia="Arial" w:hAnsi="Verdana" w:cs="Arial"/>
          <w:lang w:eastAsia="es-MX"/>
        </w:rPr>
        <w:t xml:space="preserve"> </w:t>
      </w:r>
      <w:r w:rsidRPr="00072C23">
        <w:rPr>
          <w:rFonts w:ascii="Verdana" w:eastAsia="Arial" w:hAnsi="Verdana" w:cs="Arial"/>
          <w:vertAlign w:val="superscript"/>
          <w:lang w:eastAsia="es-MX"/>
        </w:rPr>
        <w:footnoteReference w:id="9"/>
      </w:r>
      <w:r w:rsidRPr="00072C23">
        <w:rPr>
          <w:rFonts w:ascii="Verdana" w:eastAsia="Arial" w:hAnsi="Verdana" w:cs="Arial"/>
          <w:lang w:eastAsia="es-MX"/>
        </w:rPr>
        <w:t>.</w:t>
      </w:r>
    </w:p>
    <w:p w14:paraId="1781C1FB" w14:textId="77777777" w:rsidR="00E30D96" w:rsidRDefault="00E30D96" w:rsidP="00E30D96">
      <w:pPr>
        <w:spacing w:after="0" w:line="276" w:lineRule="auto"/>
        <w:ind w:firstLine="709"/>
        <w:jc w:val="both"/>
        <w:rPr>
          <w:rFonts w:ascii="Verdana" w:eastAsia="Arial" w:hAnsi="Verdana" w:cs="Arial"/>
          <w:lang w:eastAsia="es-MX"/>
        </w:rPr>
      </w:pPr>
      <w:r w:rsidRPr="00072C23">
        <w:rPr>
          <w:rFonts w:ascii="Verdana" w:eastAsia="Arial" w:hAnsi="Verdana" w:cs="Arial"/>
          <w:lang w:eastAsia="es-MX"/>
        </w:rPr>
        <w:t>Los fondos de servicios educativos tampoco cuentan con personería jurídica según lo previsto en el artículo 2.3.1.6.3.4 del Decreto 1075 de 2015, Decreto Único Reglamentario del Sector Educación:</w:t>
      </w:r>
    </w:p>
    <w:p w14:paraId="67FB6CAF" w14:textId="77777777" w:rsidR="00E30D96" w:rsidRPr="00072C23" w:rsidRDefault="00E30D96" w:rsidP="00E30D96">
      <w:pPr>
        <w:spacing w:after="0" w:line="276" w:lineRule="auto"/>
        <w:ind w:firstLine="709"/>
        <w:jc w:val="both"/>
        <w:rPr>
          <w:rFonts w:ascii="Verdana" w:eastAsia="Arial" w:hAnsi="Verdana" w:cs="Arial"/>
          <w:lang w:eastAsia="es-MX"/>
        </w:rPr>
      </w:pPr>
    </w:p>
    <w:p w14:paraId="33855FC0" w14:textId="77777777" w:rsidR="00E30D96" w:rsidRDefault="00E30D96" w:rsidP="00E30D96">
      <w:pPr>
        <w:spacing w:after="0" w:line="240" w:lineRule="auto"/>
        <w:ind w:left="709" w:right="709"/>
        <w:jc w:val="both"/>
        <w:rPr>
          <w:rFonts w:ascii="Verdana" w:eastAsia="Arial" w:hAnsi="Verdana" w:cs="Arial"/>
          <w:sz w:val="20"/>
          <w:szCs w:val="20"/>
          <w:lang w:eastAsia="es-MX"/>
        </w:rPr>
      </w:pPr>
      <w:r>
        <w:rPr>
          <w:rFonts w:ascii="Verdana" w:eastAsia="Arial" w:hAnsi="Verdana" w:cs="Arial"/>
          <w:sz w:val="20"/>
          <w:szCs w:val="20"/>
          <w:lang w:eastAsia="es-MX"/>
        </w:rPr>
        <w:t>“</w:t>
      </w:r>
      <w:r w:rsidRPr="00072C23">
        <w:rPr>
          <w:rFonts w:ascii="Verdana" w:eastAsia="Arial" w:hAnsi="Verdana" w:cs="Arial"/>
          <w:sz w:val="20"/>
          <w:szCs w:val="20"/>
          <w:lang w:eastAsia="es-MX"/>
        </w:rPr>
        <w:t>Artículo 2.3.1.6.3.4. Ordenación del gasto. Los fondos de servicios educativos carecen de personería jurídica. El rector o director rural es el ordenador del gasto del Fondo de Servicios Educativos y su ejercicio no implica representación legal</w:t>
      </w:r>
      <w:r>
        <w:rPr>
          <w:rFonts w:ascii="Verdana" w:eastAsia="Arial" w:hAnsi="Verdana" w:cs="Arial"/>
          <w:sz w:val="20"/>
          <w:szCs w:val="20"/>
          <w:lang w:eastAsia="es-MX"/>
        </w:rPr>
        <w:t>”</w:t>
      </w:r>
      <w:r w:rsidRPr="00072C23">
        <w:rPr>
          <w:rFonts w:ascii="Verdana" w:eastAsia="Arial" w:hAnsi="Verdana" w:cs="Arial"/>
          <w:sz w:val="20"/>
          <w:szCs w:val="20"/>
          <w:lang w:eastAsia="es-MX"/>
        </w:rPr>
        <w:t>.</w:t>
      </w:r>
    </w:p>
    <w:p w14:paraId="1EB70AFD" w14:textId="77777777" w:rsidR="00E30D96" w:rsidRPr="00B96E97" w:rsidRDefault="00E30D96" w:rsidP="00E30D96">
      <w:pPr>
        <w:spacing w:after="0" w:line="276" w:lineRule="auto"/>
        <w:ind w:left="709" w:right="709"/>
        <w:jc w:val="both"/>
        <w:rPr>
          <w:rFonts w:ascii="Verdana" w:eastAsia="Arial" w:hAnsi="Verdana" w:cs="Arial"/>
          <w:lang w:eastAsia="es-MX"/>
        </w:rPr>
      </w:pPr>
    </w:p>
    <w:p w14:paraId="6F2D5543" w14:textId="77777777" w:rsidR="00E30D96" w:rsidRDefault="00E30D96" w:rsidP="00E30D96">
      <w:pPr>
        <w:spacing w:after="0" w:line="276" w:lineRule="auto"/>
        <w:ind w:firstLine="709"/>
        <w:jc w:val="both"/>
        <w:rPr>
          <w:rFonts w:ascii="Verdana" w:eastAsia="Arial" w:hAnsi="Verdana" w:cs="Arial"/>
          <w:lang w:eastAsia="es-MX"/>
        </w:rPr>
      </w:pPr>
      <w:r w:rsidRPr="00072C23">
        <w:rPr>
          <w:rFonts w:ascii="Verdana" w:eastAsia="Arial" w:hAnsi="Verdana" w:cs="Arial"/>
          <w:lang w:eastAsia="es-MX"/>
        </w:rPr>
        <w:t>En relación con la capacidad para contratar con la que cuentan las instituciones educativas por medio de los fondos de servicios educativos, es necesario precisar que cuando se trate de actos y contratos cuya cuantía no exceda los veinte (20) salarios mínimos mensuales legales vigentes, se sujetarán a las condiciones previstas en el reglamento de contratación que expida el consejo directivo de la institución, de conformidad con lo dispuesto en el artículo 13 de la Ley 715 de 2001</w:t>
      </w:r>
      <w:r w:rsidRPr="00072C23">
        <w:rPr>
          <w:rFonts w:ascii="Verdana" w:eastAsia="Arial" w:hAnsi="Verdana" w:cs="Arial"/>
          <w:vertAlign w:val="superscript"/>
          <w:lang w:eastAsia="es-MX"/>
        </w:rPr>
        <w:footnoteReference w:id="10"/>
      </w:r>
      <w:r w:rsidRPr="00072C23">
        <w:rPr>
          <w:rFonts w:ascii="Verdana" w:eastAsia="Arial" w:hAnsi="Verdana" w:cs="Arial"/>
          <w:lang w:eastAsia="es-MX"/>
        </w:rPr>
        <w:t>. Para estos efectos, el artículo 2.3.1.6.3.17. del Decreto 1075 de 2015 dispone lo siguiente:</w:t>
      </w:r>
    </w:p>
    <w:p w14:paraId="392CE4E0" w14:textId="77777777" w:rsidR="00E30D96" w:rsidRPr="00072C23" w:rsidRDefault="00E30D96" w:rsidP="00E30D96">
      <w:pPr>
        <w:spacing w:after="0" w:line="276" w:lineRule="auto"/>
        <w:ind w:firstLine="709"/>
        <w:jc w:val="both"/>
        <w:rPr>
          <w:rFonts w:ascii="Verdana" w:eastAsia="Arial" w:hAnsi="Verdana" w:cs="Arial"/>
          <w:lang w:eastAsia="es-MX"/>
        </w:rPr>
      </w:pPr>
    </w:p>
    <w:p w14:paraId="0A5530D5" w14:textId="77777777" w:rsidR="00E30D96" w:rsidRPr="003A37DA" w:rsidRDefault="00E30D96" w:rsidP="00E30D96">
      <w:pPr>
        <w:spacing w:after="0" w:line="240" w:lineRule="auto"/>
        <w:ind w:left="709" w:right="709"/>
        <w:jc w:val="both"/>
        <w:textAlignment w:val="baseline"/>
        <w:rPr>
          <w:rFonts w:ascii="Verdana" w:eastAsia="Arial" w:hAnsi="Verdana" w:cs="Arial"/>
          <w:sz w:val="20"/>
          <w:szCs w:val="20"/>
          <w:lang w:val="es-ES" w:eastAsia="es-ES"/>
        </w:rPr>
      </w:pPr>
      <w:r>
        <w:rPr>
          <w:rFonts w:ascii="Verdana" w:eastAsia="Arial" w:hAnsi="Verdana" w:cs="Arial"/>
          <w:color w:val="000000" w:themeColor="text1"/>
          <w:sz w:val="20"/>
          <w:szCs w:val="20"/>
          <w:lang w:val="es-ES" w:eastAsia="es-ES"/>
        </w:rPr>
        <w:t>“</w:t>
      </w:r>
      <w:r w:rsidRPr="003A37DA">
        <w:rPr>
          <w:rFonts w:ascii="Verdana" w:eastAsia="Arial" w:hAnsi="Verdana" w:cs="Arial"/>
          <w:color w:val="000000" w:themeColor="text1"/>
          <w:sz w:val="20"/>
          <w:szCs w:val="20"/>
          <w:lang w:val="es-ES" w:eastAsia="es-ES"/>
        </w:rPr>
        <w:t>La celebración de contratos a que haya lugar con recursos del Fondo de Servicios Educativos, debe realizarse con estricta sujeción a lo dispuesto en el estatuto contractual de la administración pública, cuando supere la cuantía de veinte (20) salarios mínimos legales mensuales vigentes.  </w:t>
      </w:r>
    </w:p>
    <w:p w14:paraId="013F0B7D" w14:textId="77777777" w:rsidR="00E30D96" w:rsidRDefault="00E30D96" w:rsidP="00E30D96">
      <w:pPr>
        <w:spacing w:after="0" w:line="240" w:lineRule="auto"/>
        <w:ind w:left="709" w:right="709"/>
        <w:jc w:val="both"/>
        <w:textAlignment w:val="baseline"/>
        <w:rPr>
          <w:rFonts w:ascii="Verdana" w:eastAsia="Arial" w:hAnsi="Verdana" w:cs="Arial"/>
          <w:color w:val="000000" w:themeColor="text1"/>
          <w:sz w:val="20"/>
          <w:szCs w:val="20"/>
          <w:lang w:val="es-ES" w:eastAsia="es-ES"/>
        </w:rPr>
      </w:pPr>
      <w:r w:rsidRPr="003A37DA">
        <w:rPr>
          <w:rFonts w:ascii="Verdana" w:eastAsia="Arial" w:hAnsi="Verdana" w:cs="Arial"/>
          <w:color w:val="000000" w:themeColor="text1"/>
          <w:sz w:val="20"/>
          <w:szCs w:val="20"/>
          <w:lang w:val="es-ES" w:eastAsia="es-ES"/>
        </w:rPr>
        <w:t>Si la cuantía es inferior a los veinte (20) salarios mínimos legales mensuales vigentes se deben seguir los procedimientos establecidos en el reglamento expedido por el consejo directivo, de conformidad con lo dispuesto en el artículo 13 de la Ley 715 de 2001, y en todo caso siguiendo los principios de transparencia, economía, publicidad, y responsabilidad, de conformidad con los postulados de la función administrativa</w:t>
      </w:r>
      <w:r>
        <w:rPr>
          <w:rFonts w:ascii="Verdana" w:eastAsia="Arial" w:hAnsi="Verdana" w:cs="Arial"/>
          <w:color w:val="000000" w:themeColor="text1"/>
          <w:sz w:val="20"/>
          <w:szCs w:val="20"/>
          <w:lang w:val="es-ES" w:eastAsia="es-ES"/>
        </w:rPr>
        <w:t>”</w:t>
      </w:r>
      <w:r w:rsidRPr="003A37DA">
        <w:rPr>
          <w:rFonts w:ascii="Verdana" w:eastAsia="Arial" w:hAnsi="Verdana" w:cs="Arial"/>
          <w:color w:val="000000" w:themeColor="text1"/>
          <w:sz w:val="20"/>
          <w:szCs w:val="20"/>
          <w:lang w:val="es-ES" w:eastAsia="es-ES"/>
        </w:rPr>
        <w:t>.  </w:t>
      </w:r>
    </w:p>
    <w:p w14:paraId="6AA85F0C" w14:textId="77777777" w:rsidR="00E30D96" w:rsidRPr="003A37DA" w:rsidRDefault="00E30D96" w:rsidP="00E30D96">
      <w:pPr>
        <w:spacing w:after="0" w:line="240" w:lineRule="auto"/>
        <w:ind w:left="709" w:right="709"/>
        <w:jc w:val="both"/>
        <w:textAlignment w:val="baseline"/>
        <w:rPr>
          <w:rFonts w:ascii="Verdana" w:eastAsia="Arial" w:hAnsi="Verdana" w:cs="Arial"/>
          <w:sz w:val="20"/>
          <w:szCs w:val="20"/>
          <w:lang w:val="es-ES" w:eastAsia="es-ES"/>
        </w:rPr>
      </w:pPr>
    </w:p>
    <w:p w14:paraId="585348BE" w14:textId="77777777" w:rsidR="00E30D96" w:rsidRPr="00072C23" w:rsidRDefault="00E30D96" w:rsidP="00E30D96">
      <w:pPr>
        <w:spacing w:after="120" w:line="276" w:lineRule="auto"/>
        <w:ind w:firstLine="709"/>
        <w:jc w:val="both"/>
        <w:rPr>
          <w:rFonts w:ascii="Verdana" w:eastAsia="Arial" w:hAnsi="Verdana" w:cs="Arial"/>
          <w:lang w:eastAsia="es-MX"/>
        </w:rPr>
      </w:pPr>
      <w:r w:rsidRPr="00072C23">
        <w:rPr>
          <w:rFonts w:ascii="Verdana" w:eastAsia="Arial" w:hAnsi="Verdana" w:cs="Arial"/>
          <w:lang w:eastAsia="es-MX"/>
        </w:rPr>
        <w:t xml:space="preserve">Esto significa que la contratación que realicen las instituciones educativas, siempre que se ubique por debajo del referido umbral, no deberá ceñirse a las reglas del Estatuto General de Contratación de la Administración Pública, sino a las determinadas por el reglamento expedido por el consejo directivo de la institución educativa conforme al </w:t>
      </w:r>
      <w:bookmarkStart w:id="9" w:name="_Hlk61284209"/>
      <w:r w:rsidRPr="00072C23">
        <w:rPr>
          <w:rFonts w:ascii="Verdana" w:eastAsia="Arial" w:hAnsi="Verdana" w:cs="Arial"/>
          <w:lang w:eastAsia="es-MX"/>
        </w:rPr>
        <w:t>artículo 13 de la Ley 715 de 2001</w:t>
      </w:r>
      <w:bookmarkEnd w:id="9"/>
      <w:r w:rsidRPr="00072C23">
        <w:rPr>
          <w:rFonts w:ascii="Verdana" w:eastAsia="Arial" w:hAnsi="Verdana" w:cs="Arial"/>
          <w:lang w:eastAsia="es-MX"/>
        </w:rPr>
        <w:t xml:space="preserve">. Los reglamentos que se expidan de conformidad con los principios de igualdad, moralidad, imparcialidad y publicidad, así como de acuerdo con la experiencia y el análisis concreto de las necesidades del establecimiento, deben definir los trámites, garantías y constancias que deben cumplirse para que el rector o director celebre cualquier acto o contrato que cree, extinga o modifique obligaciones con cargo al respectivo fondo de servicios educativos. </w:t>
      </w:r>
    </w:p>
    <w:p w14:paraId="0E1A9038" w14:textId="77777777" w:rsidR="00E30D96" w:rsidRPr="00072C23" w:rsidRDefault="00E30D96" w:rsidP="00E30D96">
      <w:pPr>
        <w:spacing w:line="276" w:lineRule="auto"/>
        <w:ind w:firstLine="709"/>
        <w:jc w:val="both"/>
        <w:rPr>
          <w:rFonts w:ascii="Verdana" w:eastAsia="Arial" w:hAnsi="Verdana" w:cs="Arial"/>
          <w:color w:val="000000"/>
          <w:lang w:eastAsia="es-CO"/>
        </w:rPr>
      </w:pPr>
      <w:r w:rsidRPr="00072C23">
        <w:rPr>
          <w:rFonts w:ascii="Verdana" w:eastAsia="Arial" w:hAnsi="Verdana" w:cs="Arial"/>
          <w:color w:val="000000" w:themeColor="text1"/>
          <w:lang w:eastAsia="es-MX"/>
        </w:rPr>
        <w:t xml:space="preserve">En este contexto, </w:t>
      </w:r>
      <w:r>
        <w:rPr>
          <w:rFonts w:ascii="Verdana" w:eastAsia="Arial" w:hAnsi="Verdana" w:cs="Arial"/>
          <w:color w:val="000000" w:themeColor="text1"/>
          <w:lang w:eastAsia="es-MX"/>
        </w:rPr>
        <w:t>respecto del análisis sobre la aplicación a</w:t>
      </w:r>
      <w:r w:rsidRPr="00072C23">
        <w:rPr>
          <w:rFonts w:ascii="Verdana" w:eastAsia="Arial" w:hAnsi="Verdana" w:cs="Arial"/>
          <w:color w:val="000000" w:themeColor="text1"/>
          <w:lang w:eastAsia="es-MX"/>
        </w:rPr>
        <w:t xml:space="preserve"> la restricción del artículo 33 de la </w:t>
      </w:r>
      <w:r w:rsidRPr="00072C23">
        <w:rPr>
          <w:rFonts w:ascii="Verdana" w:eastAsia="Arial" w:hAnsi="Verdana" w:cs="Arial"/>
          <w:color w:val="000000" w:themeColor="text1"/>
          <w:lang w:eastAsia="es-CO"/>
        </w:rPr>
        <w:t>Ley 996 de 2005 es necesario considerar que</w:t>
      </w:r>
      <w:r>
        <w:rPr>
          <w:rFonts w:ascii="Verdana" w:eastAsia="Arial" w:hAnsi="Verdana" w:cs="Arial"/>
          <w:color w:val="000000" w:themeColor="text1"/>
          <w:lang w:eastAsia="es-CO"/>
        </w:rPr>
        <w:t>, si bien</w:t>
      </w:r>
      <w:r w:rsidRPr="00072C23">
        <w:rPr>
          <w:rFonts w:ascii="Verdana" w:eastAsia="Arial" w:hAnsi="Verdana" w:cs="Arial"/>
          <w:color w:val="000000" w:themeColor="text1"/>
          <w:lang w:eastAsia="es-CO"/>
        </w:rPr>
        <w:t xml:space="preserve"> </w:t>
      </w:r>
      <w:r w:rsidRPr="00072C23">
        <w:rPr>
          <w:rFonts w:ascii="Verdana" w:eastAsia="Arial" w:hAnsi="Verdana" w:cs="Arial"/>
          <w:lang w:val="es-ES" w:eastAsia="es-MX"/>
        </w:rPr>
        <w:t xml:space="preserve">el artículo </w:t>
      </w:r>
      <w:r w:rsidRPr="00072C23">
        <w:rPr>
          <w:rFonts w:ascii="Verdana" w:eastAsia="Arial" w:hAnsi="Verdana" w:cs="Arial"/>
          <w:lang w:eastAsia="es-MX"/>
        </w:rPr>
        <w:t>13 de la Ley 715 de 2001</w:t>
      </w:r>
      <w:r w:rsidRPr="00072C23">
        <w:rPr>
          <w:rFonts w:ascii="Verdana" w:eastAsia="Arial" w:hAnsi="Verdana" w:cs="Arial"/>
          <w:color w:val="000000" w:themeColor="text1"/>
          <w:lang w:eastAsia="es-CO"/>
        </w:rPr>
        <w:t xml:space="preserve"> consagra un régimen jurídico que exceptúa la aplicación del Estatuto General de Contratación de la Administración Pública en los contratos de los fondos de servicios educativos inferiores a veinte (20) SMLMV con el objetivo de flexibilizar el régimen contractual aplicable</w:t>
      </w:r>
      <w:r>
        <w:rPr>
          <w:rFonts w:ascii="Verdana" w:eastAsia="Arial" w:hAnsi="Verdana" w:cs="Arial"/>
          <w:color w:val="000000" w:themeColor="text1"/>
          <w:lang w:eastAsia="es-CO"/>
        </w:rPr>
        <w:t xml:space="preserve">, lo cierto es que </w:t>
      </w:r>
      <w:r w:rsidRPr="00072C23">
        <w:rPr>
          <w:rFonts w:ascii="Verdana" w:eastAsia="Arial" w:hAnsi="Verdana" w:cs="Arial"/>
          <w:color w:val="000000" w:themeColor="text1"/>
          <w:lang w:eastAsia="es-CO"/>
        </w:rPr>
        <w:t>la prohibición de contratación directa de la Ley de Garantías</w:t>
      </w:r>
      <w:r>
        <w:rPr>
          <w:rFonts w:ascii="Verdana" w:eastAsia="Arial" w:hAnsi="Verdana" w:cs="Arial"/>
          <w:color w:val="000000" w:themeColor="text1"/>
          <w:lang w:eastAsia="es-CO"/>
        </w:rPr>
        <w:t xml:space="preserve"> Electorales aplica</w:t>
      </w:r>
      <w:r w:rsidRPr="00072C23">
        <w:rPr>
          <w:rFonts w:ascii="Verdana" w:eastAsia="Arial" w:hAnsi="Verdana" w:cs="Arial"/>
          <w:color w:val="000000" w:themeColor="text1"/>
          <w:lang w:eastAsia="es-CO"/>
        </w:rPr>
        <w:t xml:space="preserve"> independiente</w:t>
      </w:r>
      <w:r>
        <w:rPr>
          <w:rFonts w:ascii="Verdana" w:eastAsia="Arial" w:hAnsi="Verdana" w:cs="Arial"/>
          <w:color w:val="000000" w:themeColor="text1"/>
          <w:lang w:eastAsia="es-CO"/>
        </w:rPr>
        <w:t>mente</w:t>
      </w:r>
      <w:r w:rsidRPr="00072C23">
        <w:rPr>
          <w:rFonts w:ascii="Verdana" w:eastAsia="Arial" w:hAnsi="Verdana" w:cs="Arial"/>
          <w:color w:val="000000" w:themeColor="text1"/>
          <w:lang w:eastAsia="es-CO"/>
        </w:rPr>
        <w:t xml:space="preserve"> del régimen contractual, por lo que se extiende a los contratos celebrados con cargo a los fondos de servicios educativos</w:t>
      </w:r>
      <w:r>
        <w:rPr>
          <w:rFonts w:ascii="Verdana" w:eastAsia="Arial" w:hAnsi="Verdana" w:cs="Arial"/>
          <w:color w:val="000000" w:themeColor="text1"/>
          <w:lang w:eastAsia="es-CO"/>
        </w:rPr>
        <w:t>, por ser Entes del Estado</w:t>
      </w:r>
      <w:r w:rsidRPr="00072C23">
        <w:rPr>
          <w:rFonts w:ascii="Verdana" w:eastAsia="Arial" w:hAnsi="Verdana" w:cs="Arial"/>
          <w:color w:val="000000" w:themeColor="text1"/>
          <w:lang w:eastAsia="es-CO"/>
        </w:rPr>
        <w:t>.</w:t>
      </w:r>
    </w:p>
    <w:p w14:paraId="2C1B7D1A" w14:textId="77777777" w:rsidR="00E30D96" w:rsidRDefault="00E30D96" w:rsidP="00E30D96">
      <w:pPr>
        <w:spacing w:line="276" w:lineRule="auto"/>
        <w:ind w:firstLine="709"/>
        <w:jc w:val="both"/>
        <w:rPr>
          <w:rFonts w:ascii="Verdana" w:eastAsia="Arial" w:hAnsi="Verdana" w:cs="Arial"/>
          <w:color w:val="000000"/>
          <w:lang w:eastAsia="es-CO"/>
        </w:rPr>
      </w:pPr>
      <w:r>
        <w:rPr>
          <w:rFonts w:ascii="Verdana" w:eastAsia="Arial" w:hAnsi="Verdana" w:cs="Arial"/>
          <w:color w:val="000000"/>
          <w:lang w:eastAsia="es-CO"/>
        </w:rPr>
        <w:lastRenderedPageBreak/>
        <w:t>Sobre el alcance de la prohibición</w:t>
      </w:r>
      <w:r w:rsidRPr="00072C23">
        <w:rPr>
          <w:rFonts w:ascii="Verdana" w:eastAsia="Arial" w:hAnsi="Verdana" w:cs="Arial"/>
          <w:color w:val="000000"/>
          <w:lang w:eastAsia="es-CO"/>
        </w:rPr>
        <w:t>,</w:t>
      </w:r>
      <w:r>
        <w:rPr>
          <w:rFonts w:ascii="Verdana" w:eastAsia="Arial" w:hAnsi="Verdana" w:cs="Arial"/>
          <w:color w:val="000000"/>
          <w:lang w:eastAsia="es-CO"/>
        </w:rPr>
        <w:t xml:space="preserve"> debe tenerse en cuenta que</w:t>
      </w:r>
      <w:r w:rsidRPr="00072C23">
        <w:rPr>
          <w:rFonts w:ascii="Verdana" w:eastAsia="Arial" w:hAnsi="Verdana" w:cs="Arial"/>
          <w:color w:val="000000"/>
          <w:lang w:eastAsia="es-CO"/>
        </w:rPr>
        <w:t xml:space="preserve"> la Sala de Consulta y Servicio Civil del Consejo de Estado explica que “La prohibición contenida en el artículo 33, desde el punto de vista objetivo o material, comprende la contratación directa, entendida como cualquier mecanismo de escogencia del contratista en el que se prescinde de la licitación o concurso, </w:t>
      </w:r>
      <w:r w:rsidRPr="00072C23">
        <w:rPr>
          <w:rFonts w:ascii="Verdana" w:eastAsia="Arial" w:hAnsi="Verdana" w:cs="Arial"/>
          <w:i/>
          <w:iCs/>
          <w:color w:val="000000"/>
          <w:lang w:eastAsia="es-CO"/>
        </w:rPr>
        <w:t>sin que se tenga en cuenta por el legislador estatutario el régimen de contratación aplicable, ya sea contenido en el Estatuto General de Contratación de la Administración Pública o uno especial en razón del objeto, del contrato o del órgano que contrata</w:t>
      </w:r>
      <w:r w:rsidRPr="00072C23">
        <w:rPr>
          <w:rFonts w:ascii="Verdana" w:eastAsia="Arial" w:hAnsi="Verdana" w:cs="Arial"/>
          <w:color w:val="000000"/>
          <w:lang w:eastAsia="es-CO"/>
        </w:rPr>
        <w:t>”</w:t>
      </w:r>
      <w:r w:rsidRPr="00072C23">
        <w:rPr>
          <w:rFonts w:ascii="Verdana" w:eastAsia="Arial" w:hAnsi="Verdana" w:cs="Arial"/>
          <w:color w:val="000000"/>
          <w:vertAlign w:val="superscript"/>
          <w:lang w:eastAsia="es-CO"/>
        </w:rPr>
        <w:footnoteReference w:id="11"/>
      </w:r>
      <w:r w:rsidRPr="00072C23">
        <w:rPr>
          <w:rFonts w:ascii="Verdana" w:eastAsia="Arial" w:hAnsi="Verdana" w:cs="Arial"/>
          <w:color w:val="000000"/>
          <w:lang w:eastAsia="es-CO"/>
        </w:rPr>
        <w:t xml:space="preserve"> (Énfasis fuera de texto). </w:t>
      </w:r>
    </w:p>
    <w:p w14:paraId="359B103C" w14:textId="77777777" w:rsidR="00E30D96" w:rsidRDefault="00E30D96" w:rsidP="00E30D96">
      <w:pPr>
        <w:spacing w:after="0" w:line="276" w:lineRule="auto"/>
        <w:ind w:firstLine="709"/>
        <w:jc w:val="both"/>
        <w:rPr>
          <w:rFonts w:ascii="Verdana" w:eastAsia="Arial" w:hAnsi="Verdana" w:cs="Arial"/>
          <w:color w:val="000000"/>
          <w:lang w:eastAsia="es-CO"/>
        </w:rPr>
      </w:pPr>
      <w:r w:rsidRPr="00072C23">
        <w:rPr>
          <w:rFonts w:ascii="Verdana" w:eastAsia="Arial" w:hAnsi="Verdana" w:cs="Arial"/>
          <w:color w:val="000000"/>
          <w:lang w:eastAsia="es-CO"/>
        </w:rPr>
        <w:t xml:space="preserve">Por tanto, durante la vigencia de la prohibición del artículo 33 de la Ley 996 de 2005 está restringida </w:t>
      </w:r>
      <w:r w:rsidRPr="00072C23">
        <w:rPr>
          <w:rFonts w:ascii="Verdana" w:eastAsia="Arial" w:hAnsi="Verdana" w:cs="Arial"/>
          <w:i/>
          <w:iCs/>
          <w:color w:val="000000"/>
          <w:lang w:eastAsia="es-CO"/>
        </w:rPr>
        <w:t>cualquier modalidad de selección que excluya la pluralidad de oferentes</w:t>
      </w:r>
      <w:r w:rsidRPr="00072C23">
        <w:rPr>
          <w:rFonts w:ascii="Verdana" w:eastAsia="Arial" w:hAnsi="Verdana" w:cs="Arial"/>
          <w:color w:val="000000"/>
          <w:lang w:eastAsia="es-CO"/>
        </w:rPr>
        <w:t xml:space="preserve">, incluso aunque se realice con fundamento en el régimen especial de contratación realizado con recursos de los fondos de servicios educativos por valor inferior a veinte (20) SMLMV, por implicar una forma de contratación directa. </w:t>
      </w:r>
      <w:r>
        <w:rPr>
          <w:rFonts w:ascii="Verdana" w:eastAsia="Arial" w:hAnsi="Verdana" w:cs="Arial"/>
          <w:color w:val="000000"/>
          <w:lang w:eastAsia="es-CO"/>
        </w:rPr>
        <w:t>Ahora bien</w:t>
      </w:r>
      <w:r w:rsidRPr="00072C23">
        <w:rPr>
          <w:rFonts w:ascii="Verdana" w:eastAsia="Arial" w:hAnsi="Verdana" w:cs="Arial"/>
          <w:color w:val="000000"/>
          <w:lang w:eastAsia="es-CO"/>
        </w:rPr>
        <w:t>,</w:t>
      </w:r>
      <w:r>
        <w:rPr>
          <w:rFonts w:ascii="Verdana" w:eastAsia="Arial" w:hAnsi="Verdana" w:cs="Arial"/>
          <w:color w:val="000000"/>
          <w:lang w:eastAsia="es-CO"/>
        </w:rPr>
        <w:t xml:space="preserve"> en vigencia de la Ley de</w:t>
      </w:r>
      <w:r w:rsidRPr="00072C23">
        <w:rPr>
          <w:rFonts w:ascii="Verdana" w:eastAsia="Arial" w:hAnsi="Verdana" w:cs="Arial"/>
          <w:color w:val="000000"/>
          <w:lang w:eastAsia="es-CO"/>
        </w:rPr>
        <w:t xml:space="preserve"> será posible realizar procesos contractuales, siempre que estos incluyan la posibilidad de participación de una pluralidad de oferentes, ya que estos no implicarían una contratación </w:t>
      </w:r>
      <w:r w:rsidRPr="00072C23">
        <w:rPr>
          <w:rFonts w:ascii="Verdana" w:eastAsia="Arial" w:hAnsi="Verdana" w:cs="Arial"/>
          <w:i/>
          <w:iCs/>
          <w:color w:val="000000"/>
          <w:lang w:eastAsia="es-CO"/>
        </w:rPr>
        <w:t>directa.</w:t>
      </w:r>
      <w:r w:rsidRPr="00072C23">
        <w:rPr>
          <w:rFonts w:ascii="Verdana" w:eastAsia="Arial" w:hAnsi="Verdana" w:cs="Arial"/>
          <w:color w:val="000000"/>
          <w:lang w:eastAsia="es-CO"/>
        </w:rPr>
        <w:t xml:space="preserve"> En conclusión, la prohibición del artículo 33 de la Ley 996 de 2005 se extiende a cualquier contrato realizado con recursos de fondos de servicios educativos, sean inferiores o superiores a </w:t>
      </w:r>
      <w:r>
        <w:rPr>
          <w:rFonts w:ascii="Verdana" w:eastAsia="Arial" w:hAnsi="Verdana" w:cs="Arial"/>
          <w:color w:val="000000"/>
          <w:lang w:eastAsia="es-CO"/>
        </w:rPr>
        <w:t>veinte (</w:t>
      </w:r>
      <w:r w:rsidRPr="00072C23">
        <w:rPr>
          <w:rFonts w:ascii="Verdana" w:eastAsia="Arial" w:hAnsi="Verdana" w:cs="Arial"/>
          <w:color w:val="000000"/>
          <w:lang w:eastAsia="es-CO"/>
        </w:rPr>
        <w:t>20</w:t>
      </w:r>
      <w:r>
        <w:rPr>
          <w:rFonts w:ascii="Verdana" w:eastAsia="Arial" w:hAnsi="Verdana" w:cs="Arial"/>
          <w:color w:val="000000"/>
          <w:lang w:eastAsia="es-CO"/>
        </w:rPr>
        <w:t>)</w:t>
      </w:r>
      <w:r w:rsidRPr="00072C23">
        <w:rPr>
          <w:rFonts w:ascii="Verdana" w:eastAsia="Arial" w:hAnsi="Verdana" w:cs="Arial"/>
          <w:color w:val="000000"/>
          <w:lang w:eastAsia="es-CO"/>
        </w:rPr>
        <w:t xml:space="preserve"> SMLMV siempre que el contrato se celebre sin que esté antecedido de un procedimiento que admita la posible participación de una pluralidad de oferentes, toda vez que la prohibición recae sobre la </w:t>
      </w:r>
      <w:r w:rsidRPr="00072C23">
        <w:rPr>
          <w:rFonts w:ascii="Verdana" w:eastAsia="Arial" w:hAnsi="Verdana" w:cs="Arial"/>
          <w:i/>
          <w:iCs/>
          <w:color w:val="000000"/>
          <w:lang w:eastAsia="es-CO"/>
        </w:rPr>
        <w:t>contratación directa</w:t>
      </w:r>
      <w:r w:rsidRPr="00072C23">
        <w:rPr>
          <w:rFonts w:ascii="Verdana" w:eastAsia="Arial" w:hAnsi="Verdana" w:cs="Arial"/>
          <w:color w:val="000000"/>
          <w:lang w:eastAsia="es-CO"/>
        </w:rPr>
        <w:t xml:space="preserve">.  </w:t>
      </w:r>
    </w:p>
    <w:p w14:paraId="18CA93B5" w14:textId="77777777" w:rsidR="00E30D96" w:rsidRPr="00072C23" w:rsidRDefault="00E30D96" w:rsidP="00E30D96">
      <w:pPr>
        <w:spacing w:after="0" w:line="276" w:lineRule="auto"/>
        <w:ind w:firstLine="709"/>
        <w:jc w:val="both"/>
        <w:rPr>
          <w:rFonts w:ascii="Verdana" w:eastAsia="Arial" w:hAnsi="Verdana" w:cs="Arial"/>
          <w:color w:val="000000"/>
          <w:lang w:eastAsia="es-CO"/>
        </w:rPr>
      </w:pPr>
    </w:p>
    <w:p w14:paraId="2E914C4A" w14:textId="77777777" w:rsidR="00E30D96" w:rsidRPr="00A545DE" w:rsidRDefault="00E30D96" w:rsidP="00E30D96">
      <w:pPr>
        <w:pStyle w:val="Prrafodelista"/>
        <w:numPr>
          <w:ilvl w:val="0"/>
          <w:numId w:val="18"/>
        </w:numPr>
        <w:spacing w:after="0" w:line="276" w:lineRule="auto"/>
        <w:contextualSpacing w:val="0"/>
        <w:jc w:val="both"/>
        <w:rPr>
          <w:rFonts w:ascii="Verdana" w:eastAsia="Times New Roman" w:hAnsi="Verdana" w:cs="Open Sans"/>
          <w:lang w:eastAsia="es-CO"/>
        </w:rPr>
      </w:pPr>
      <w:r>
        <w:rPr>
          <w:rFonts w:ascii="Verdana" w:eastAsia="Times New Roman" w:hAnsi="Verdana" w:cs="Open Sans"/>
          <w:lang w:eastAsia="es-CO"/>
        </w:rPr>
        <w:t xml:space="preserve">Restricciones demás elecciones </w:t>
      </w:r>
    </w:p>
    <w:p w14:paraId="17287BF1" w14:textId="77777777" w:rsidR="00E30D96" w:rsidRDefault="00E30D96" w:rsidP="00E30D96">
      <w:pPr>
        <w:spacing w:after="0" w:line="270" w:lineRule="atLeast"/>
        <w:jc w:val="both"/>
        <w:rPr>
          <w:rFonts w:ascii="Verdana" w:eastAsia="Times New Roman" w:hAnsi="Verdana" w:cs="Open Sans"/>
          <w:lang w:eastAsia="es-CO"/>
        </w:rPr>
      </w:pPr>
    </w:p>
    <w:p w14:paraId="072783DA" w14:textId="77777777" w:rsidR="00E30D96" w:rsidRPr="00D61E29" w:rsidRDefault="00E30D96" w:rsidP="00E30D96">
      <w:pPr>
        <w:spacing w:after="0" w:line="270" w:lineRule="atLeast"/>
        <w:jc w:val="both"/>
        <w:rPr>
          <w:rFonts w:ascii="Verdana" w:eastAsia="Times New Roman" w:hAnsi="Verdana" w:cs="Open Sans"/>
          <w:lang w:eastAsia="es-CO"/>
        </w:rPr>
      </w:pPr>
      <w:r w:rsidRPr="00D61E29">
        <w:rPr>
          <w:rFonts w:ascii="Verdana" w:eastAsia="Times New Roman" w:hAnsi="Verdana" w:cs="Open Sans"/>
          <w:lang w:eastAsia="es-CO"/>
        </w:rPr>
        <w:t xml:space="preserve">Adicionalmente, el parágrafo del artículo 38 </w:t>
      </w:r>
      <w:r w:rsidRPr="00D61E29">
        <w:rPr>
          <w:rFonts w:ascii="Verdana" w:eastAsia="Calibri" w:hAnsi="Verdana" w:cs="Arial"/>
        </w:rPr>
        <w:t>prevé una restricción, aplicable respecto de cualquier tipo de contienda electoral, como sigue:</w:t>
      </w:r>
    </w:p>
    <w:p w14:paraId="11F9F79F" w14:textId="77777777" w:rsidR="00E30D96" w:rsidRDefault="00E30D96" w:rsidP="00E30D96">
      <w:pPr>
        <w:pStyle w:val="NormalWeb"/>
        <w:spacing w:before="0" w:beforeAutospacing="0" w:after="0" w:afterAutospacing="0" w:line="270" w:lineRule="atLeast"/>
        <w:ind w:left="709" w:right="616"/>
        <w:jc w:val="both"/>
        <w:rPr>
          <w:rStyle w:val="baj"/>
          <w:rFonts w:ascii="Verdana" w:eastAsiaTheme="minorHAnsi" w:hAnsi="Verdana" w:cs="Open Sans"/>
          <w:b/>
          <w:bCs/>
          <w:sz w:val="20"/>
          <w:szCs w:val="20"/>
          <w:lang w:eastAsia="en-US"/>
        </w:rPr>
      </w:pPr>
    </w:p>
    <w:p w14:paraId="3D9D55CB" w14:textId="77777777" w:rsidR="00E30D96" w:rsidRDefault="00E30D96" w:rsidP="00E30D96">
      <w:pPr>
        <w:pStyle w:val="NormalWeb"/>
        <w:spacing w:before="0" w:beforeAutospacing="0" w:after="0" w:afterAutospacing="0"/>
        <w:ind w:left="709" w:right="709"/>
        <w:jc w:val="both"/>
        <w:rPr>
          <w:rFonts w:ascii="Verdana" w:hAnsi="Verdana" w:cs="Open Sans"/>
          <w:sz w:val="20"/>
          <w:szCs w:val="20"/>
        </w:rPr>
      </w:pPr>
      <w:r>
        <w:rPr>
          <w:rStyle w:val="baj"/>
          <w:rFonts w:ascii="Verdana" w:hAnsi="Verdana" w:cs="Open Sans"/>
          <w:b/>
          <w:bCs/>
          <w:sz w:val="20"/>
          <w:szCs w:val="20"/>
        </w:rPr>
        <w:t>“</w:t>
      </w:r>
      <w:r w:rsidRPr="00D61E29">
        <w:rPr>
          <w:rStyle w:val="baj"/>
          <w:rFonts w:ascii="Verdana" w:hAnsi="Verdana" w:cs="Open Sans"/>
          <w:b/>
          <w:bCs/>
          <w:sz w:val="20"/>
          <w:szCs w:val="20"/>
        </w:rPr>
        <w:t>PARÁGRAFO.</w:t>
      </w:r>
      <w:r w:rsidRPr="00D61E29">
        <w:rPr>
          <w:rFonts w:ascii="Verdana" w:hAnsi="Verdana" w:cs="Open Sans"/>
          <w:sz w:val="20"/>
          <w:szCs w:val="20"/>
        </w:rPr>
        <w:t xml:space="preserve"> Los gobernadores, alcaldes municipales y/o distritales, secretarios, gerentes y directores de entidades descentralizadas del orden municipal, departamental o distrital, dentro de los cuatro (4) meses anteriores a las elecciones, no podrán celebrar convenios interadministrativos para la ejecución de recursos públicos, ni participar, promover y destinar recursos públicos de las entidades a su cargo, como </w:t>
      </w:r>
      <w:r w:rsidRPr="00D61E29">
        <w:rPr>
          <w:rFonts w:ascii="Verdana" w:hAnsi="Verdana" w:cs="Open Sans"/>
          <w:sz w:val="20"/>
          <w:szCs w:val="20"/>
        </w:rPr>
        <w:lastRenderedPageBreak/>
        <w:t>tampoco de las que participen como miembros de sus juntas directivas, en o para reuniones de carácter proselitista.</w:t>
      </w:r>
    </w:p>
    <w:p w14:paraId="57F12E14" w14:textId="77777777" w:rsidR="00E30D96" w:rsidRPr="00D61E29" w:rsidRDefault="00E30D96" w:rsidP="00E30D96">
      <w:pPr>
        <w:pStyle w:val="NormalWeb"/>
        <w:spacing w:before="0" w:beforeAutospacing="0" w:after="0" w:afterAutospacing="0"/>
        <w:ind w:left="709" w:right="709"/>
        <w:jc w:val="both"/>
        <w:rPr>
          <w:rFonts w:ascii="Verdana" w:hAnsi="Verdana" w:cs="Open Sans"/>
          <w:sz w:val="20"/>
          <w:szCs w:val="20"/>
        </w:rPr>
      </w:pPr>
    </w:p>
    <w:p w14:paraId="5A818D3B" w14:textId="77777777" w:rsidR="00E30D96" w:rsidRPr="00D61E29" w:rsidRDefault="00E30D96" w:rsidP="00E30D96">
      <w:pPr>
        <w:pStyle w:val="NormalWeb"/>
        <w:spacing w:before="0" w:beforeAutospacing="0" w:after="0" w:afterAutospacing="0"/>
        <w:ind w:left="709" w:right="709"/>
        <w:jc w:val="both"/>
        <w:rPr>
          <w:rFonts w:ascii="Verdana" w:hAnsi="Verdana" w:cs="Open Sans"/>
          <w:sz w:val="20"/>
          <w:szCs w:val="20"/>
        </w:rPr>
      </w:pPr>
      <w:r w:rsidRPr="00D61E29">
        <w:rPr>
          <w:rFonts w:ascii="Verdana" w:hAnsi="Verdana" w:cs="Open Sans"/>
          <w:sz w:val="20"/>
          <w:szCs w:val="20"/>
        </w:rPr>
        <w:t xml:space="preserve">Tampoco podrán inaugurar obras públicas o </w:t>
      </w:r>
      <w:proofErr w:type="gramStart"/>
      <w:r w:rsidRPr="00D61E29">
        <w:rPr>
          <w:rFonts w:ascii="Verdana" w:hAnsi="Verdana" w:cs="Open Sans"/>
          <w:sz w:val="20"/>
          <w:szCs w:val="20"/>
        </w:rPr>
        <w:t>dar inicio a</w:t>
      </w:r>
      <w:proofErr w:type="gramEnd"/>
      <w:r w:rsidRPr="00D61E29">
        <w:rPr>
          <w:rFonts w:ascii="Verdana" w:hAnsi="Verdana" w:cs="Open Sans"/>
          <w:sz w:val="20"/>
          <w:szCs w:val="20"/>
        </w:rPr>
        <w:t xml:space="preserve"> programas de carácter social en reuniones o eventos en los que participen candidatos a la Presidencia y Vicepresidencia de la República, el Congreso de la República, gobernaciones departamentales, asambleas departamentales, alcaldías y concejos municipales o distritales. Tampoco podrán hacerlo cuando participen voceros de los candidatos.</w:t>
      </w:r>
    </w:p>
    <w:p w14:paraId="3713F3B7" w14:textId="77777777" w:rsidR="00E30D96" w:rsidRDefault="00E30D96" w:rsidP="00E30D96">
      <w:pPr>
        <w:pStyle w:val="NormalWeb"/>
        <w:spacing w:before="0" w:beforeAutospacing="0" w:after="0" w:afterAutospacing="0"/>
        <w:ind w:left="709" w:right="709"/>
        <w:jc w:val="both"/>
        <w:rPr>
          <w:rFonts w:ascii="Verdana" w:hAnsi="Verdana" w:cs="Open Sans"/>
          <w:sz w:val="20"/>
          <w:szCs w:val="20"/>
        </w:rPr>
      </w:pPr>
    </w:p>
    <w:p w14:paraId="137980CF" w14:textId="77777777" w:rsidR="00E30D96" w:rsidRPr="00D61E29" w:rsidRDefault="00E30D96" w:rsidP="00E30D96">
      <w:pPr>
        <w:pStyle w:val="NormalWeb"/>
        <w:spacing w:before="0" w:beforeAutospacing="0" w:after="0" w:afterAutospacing="0"/>
        <w:ind w:left="709" w:right="709"/>
        <w:jc w:val="both"/>
        <w:rPr>
          <w:rFonts w:ascii="Verdana" w:hAnsi="Verdana" w:cs="Open Sans"/>
          <w:sz w:val="20"/>
          <w:szCs w:val="20"/>
        </w:rPr>
      </w:pPr>
      <w:r w:rsidRPr="00D61E29">
        <w:rPr>
          <w:rFonts w:ascii="Verdana" w:hAnsi="Verdana" w:cs="Open Sans"/>
          <w:sz w:val="20"/>
          <w:szCs w:val="20"/>
        </w:rPr>
        <w:t>No podrán autorizar la utilización de inmuebles o bienes muebles de carácter público para actividades proselitistas, ni para facilitar el alojamiento, ni el transporte de electores de candidatos a cargos de elección popular. Tampoco podrán hacerlo cuando participen voceros de los candidatos.</w:t>
      </w:r>
    </w:p>
    <w:p w14:paraId="374F4A0F" w14:textId="77777777" w:rsidR="00E30D96" w:rsidRDefault="00E30D96" w:rsidP="00E30D96">
      <w:pPr>
        <w:pStyle w:val="NormalWeb"/>
        <w:spacing w:before="0" w:beforeAutospacing="0" w:after="0" w:afterAutospacing="0"/>
        <w:ind w:left="709" w:right="709"/>
        <w:jc w:val="both"/>
        <w:rPr>
          <w:rFonts w:ascii="Verdana" w:hAnsi="Verdana" w:cs="Open Sans"/>
          <w:sz w:val="20"/>
          <w:szCs w:val="20"/>
        </w:rPr>
      </w:pPr>
    </w:p>
    <w:p w14:paraId="77D8F883" w14:textId="77777777" w:rsidR="00E30D96" w:rsidRPr="00D61E29" w:rsidRDefault="00E30D96" w:rsidP="00E30D96">
      <w:pPr>
        <w:pStyle w:val="NormalWeb"/>
        <w:spacing w:before="0" w:beforeAutospacing="0" w:after="0" w:afterAutospacing="0"/>
        <w:ind w:left="709" w:right="709"/>
        <w:jc w:val="both"/>
        <w:rPr>
          <w:rFonts w:ascii="Verdana" w:hAnsi="Verdana" w:cs="Open Sans"/>
          <w:sz w:val="20"/>
          <w:szCs w:val="20"/>
        </w:rPr>
      </w:pPr>
      <w:r w:rsidRPr="00D61E29">
        <w:rPr>
          <w:rFonts w:ascii="Verdana" w:hAnsi="Verdana" w:cs="Open Sans"/>
          <w:sz w:val="20"/>
          <w:szCs w:val="20"/>
        </w:rPr>
        <w:t>La nómina del respectivo ente territorial o entidad no se podrá modificar dentro de los cuatro (4) meses anteriores a las elecciones a cargos de elección popular, salvo que se trate de provisión de cargos por faltas definitivas, con ocasión de muerte o renuncia irrevocable del cargo correspondiente debidamente aceptada, y en los casos de aplicación de las normas de carrera administrativa.</w:t>
      </w:r>
    </w:p>
    <w:p w14:paraId="59C2BC57" w14:textId="77777777" w:rsidR="00E30D96" w:rsidRDefault="00E30D96" w:rsidP="00E30D96">
      <w:pPr>
        <w:widowControl w:val="0"/>
        <w:autoSpaceDE w:val="0"/>
        <w:autoSpaceDN w:val="0"/>
        <w:spacing w:after="0" w:line="276" w:lineRule="auto"/>
        <w:ind w:right="113"/>
        <w:contextualSpacing/>
        <w:jc w:val="both"/>
      </w:pPr>
    </w:p>
    <w:p w14:paraId="1EC02E19" w14:textId="77777777" w:rsidR="00E30D96" w:rsidRDefault="00E30D96" w:rsidP="00E30D96">
      <w:pPr>
        <w:spacing w:after="120" w:line="276" w:lineRule="auto"/>
        <w:ind w:firstLine="709"/>
        <w:jc w:val="both"/>
        <w:rPr>
          <w:rFonts w:ascii="Verdana" w:eastAsia="Times New Roman" w:hAnsi="Verdana" w:cs="Arial"/>
          <w:lang w:val="es-MX" w:eastAsia="es-CO"/>
        </w:rPr>
      </w:pPr>
      <w:r w:rsidRPr="00E2397D">
        <w:rPr>
          <w:rFonts w:ascii="Verdana" w:eastAsia="Arial" w:hAnsi="Verdana" w:cs="Arial"/>
          <w:lang w:val="es-MX" w:eastAsia="es-ES" w:bidi="es-ES"/>
        </w:rPr>
        <w:t>De esta manera, s</w:t>
      </w:r>
      <w:proofErr w:type="spellStart"/>
      <w:r w:rsidRPr="00E2397D">
        <w:rPr>
          <w:rFonts w:ascii="Verdana" w:eastAsia="Times New Roman" w:hAnsi="Verdana" w:cs="Arial"/>
          <w:lang w:eastAsia="es-CO"/>
        </w:rPr>
        <w:t>e</w:t>
      </w:r>
      <w:proofErr w:type="spellEnd"/>
      <w:r w:rsidRPr="00E2397D">
        <w:rPr>
          <w:rFonts w:ascii="Verdana" w:eastAsia="Times New Roman" w:hAnsi="Verdana" w:cs="Arial"/>
          <w:lang w:eastAsia="es-CO"/>
        </w:rPr>
        <w:t xml:space="preserve"> observa entonces </w:t>
      </w:r>
      <w:bookmarkStart w:id="10" w:name="_Hlk207205098"/>
      <w:r w:rsidRPr="00E2397D">
        <w:rPr>
          <w:rFonts w:ascii="Verdana" w:eastAsia="Times New Roman" w:hAnsi="Verdana" w:cs="Arial"/>
          <w:lang w:eastAsia="es-CO"/>
        </w:rPr>
        <w:t xml:space="preserve">que </w:t>
      </w:r>
      <w:r w:rsidRPr="00E2397D">
        <w:rPr>
          <w:rFonts w:ascii="Verdana" w:eastAsia="Times New Roman" w:hAnsi="Verdana" w:cs="Arial"/>
          <w:lang w:val="es-MX" w:eastAsia="es-CO"/>
        </w:rPr>
        <w:t xml:space="preserve">el parágrafo del artículo 38 de la Ley 996 de 2005 prohíbe a los </w:t>
      </w:r>
      <w:proofErr w:type="gramStart"/>
      <w:r w:rsidRPr="00E2397D">
        <w:rPr>
          <w:rFonts w:ascii="Verdana" w:eastAsia="Times New Roman" w:hAnsi="Verdana" w:cs="Arial"/>
          <w:lang w:val="es-MX" w:eastAsia="es-CO"/>
        </w:rPr>
        <w:t>Alcaldes</w:t>
      </w:r>
      <w:proofErr w:type="gramEnd"/>
      <w:r w:rsidRPr="00E2397D">
        <w:rPr>
          <w:rFonts w:ascii="Verdana" w:eastAsia="Times New Roman" w:hAnsi="Verdana" w:cs="Arial"/>
          <w:lang w:val="es-MX" w:eastAsia="es-CO"/>
        </w:rPr>
        <w:t xml:space="preserve">, Gobernadores, </w:t>
      </w:r>
      <w:proofErr w:type="gramStart"/>
      <w:r w:rsidRPr="00E2397D">
        <w:rPr>
          <w:rFonts w:ascii="Verdana" w:eastAsia="Times New Roman" w:hAnsi="Verdana" w:cs="Arial"/>
          <w:lang w:val="es-MX" w:eastAsia="es-CO"/>
        </w:rPr>
        <w:t>Secretarios</w:t>
      </w:r>
      <w:proofErr w:type="gramEnd"/>
      <w:r w:rsidRPr="00E2397D">
        <w:rPr>
          <w:rFonts w:ascii="Verdana" w:eastAsia="Times New Roman" w:hAnsi="Verdana" w:cs="Arial"/>
          <w:lang w:val="es-MX" w:eastAsia="es-CO"/>
        </w:rPr>
        <w:t xml:space="preserve">, Gerentes y </w:t>
      </w:r>
      <w:proofErr w:type="gramStart"/>
      <w:r w:rsidRPr="00E2397D">
        <w:rPr>
          <w:rFonts w:ascii="Verdana" w:eastAsia="Times New Roman" w:hAnsi="Verdana" w:cs="Arial"/>
          <w:lang w:val="es-MX" w:eastAsia="es-CO"/>
        </w:rPr>
        <w:t>Directores</w:t>
      </w:r>
      <w:proofErr w:type="gramEnd"/>
      <w:r w:rsidRPr="00E2397D">
        <w:rPr>
          <w:rFonts w:ascii="Verdana" w:eastAsia="Times New Roman" w:hAnsi="Verdana" w:cs="Arial"/>
          <w:lang w:val="es-MX" w:eastAsia="es-CO"/>
        </w:rPr>
        <w:t xml:space="preserve"> de las entidades </w:t>
      </w:r>
      <w:r>
        <w:rPr>
          <w:rFonts w:ascii="Verdana" w:eastAsia="Times New Roman" w:hAnsi="Verdana" w:cs="Arial"/>
          <w:lang w:val="es-MX" w:eastAsia="es-CO"/>
        </w:rPr>
        <w:t xml:space="preserve">descentralizadas </w:t>
      </w:r>
      <w:r w:rsidRPr="00E2397D">
        <w:rPr>
          <w:rFonts w:ascii="Verdana" w:eastAsia="Times New Roman" w:hAnsi="Verdana" w:cs="Arial"/>
          <w:lang w:val="es-MX" w:eastAsia="es-CO"/>
        </w:rPr>
        <w:t xml:space="preserve">del orden municipal, departamental o distrital celebrar </w:t>
      </w:r>
      <w:r w:rsidRPr="00E2397D">
        <w:rPr>
          <w:rFonts w:ascii="Verdana" w:eastAsia="Times New Roman" w:hAnsi="Verdana" w:cs="Arial"/>
          <w:i/>
          <w:iCs/>
          <w:lang w:val="es-MX" w:eastAsia="es-CO"/>
        </w:rPr>
        <w:t>convenios interadministrativos</w:t>
      </w:r>
      <w:r w:rsidRPr="00E2397D">
        <w:rPr>
          <w:rFonts w:ascii="Verdana" w:eastAsia="Times New Roman" w:hAnsi="Verdana" w:cs="Arial"/>
          <w:lang w:val="es-MX" w:eastAsia="es-CO"/>
        </w:rPr>
        <w:t xml:space="preserve"> para la ejecución de recursos públicos. En este sentido, si una o ambas partes de la relación contractual es una entidad de aquellas descritas en el parágrafo </w:t>
      </w:r>
      <w:r w:rsidRPr="00E2397D">
        <w:rPr>
          <w:rFonts w:ascii="Verdana" w:eastAsia="Times New Roman" w:hAnsi="Verdana" w:cs="Arial"/>
          <w:i/>
          <w:lang w:val="es-MX" w:eastAsia="es-CO"/>
        </w:rPr>
        <w:t>ibidem</w:t>
      </w:r>
      <w:r w:rsidRPr="00E2397D">
        <w:rPr>
          <w:rFonts w:ascii="Verdana" w:eastAsia="Times New Roman" w:hAnsi="Verdana" w:cs="Arial"/>
          <w:lang w:val="es-MX" w:eastAsia="es-CO"/>
        </w:rPr>
        <w:t>,</w:t>
      </w:r>
      <w:r>
        <w:rPr>
          <w:rFonts w:ascii="Verdana" w:eastAsia="Times New Roman" w:hAnsi="Verdana" w:cs="Arial"/>
          <w:lang w:val="es-MX" w:eastAsia="es-CO"/>
        </w:rPr>
        <w:t xml:space="preserve"> </w:t>
      </w:r>
      <w:r w:rsidRPr="00E2397D">
        <w:rPr>
          <w:rFonts w:ascii="Verdana" w:eastAsia="Times New Roman" w:hAnsi="Verdana" w:cs="Arial"/>
          <w:lang w:val="es-MX" w:eastAsia="es-CO"/>
        </w:rPr>
        <w:t xml:space="preserve">no podrá celebrar tales </w:t>
      </w:r>
      <w:r w:rsidRPr="00E2397D">
        <w:rPr>
          <w:rFonts w:ascii="Verdana" w:eastAsia="Times New Roman" w:hAnsi="Verdana" w:cs="Arial"/>
          <w:i/>
          <w:iCs/>
          <w:lang w:val="es-MX" w:eastAsia="es-CO"/>
        </w:rPr>
        <w:t>convenios</w:t>
      </w:r>
      <w:r w:rsidRPr="00E2397D">
        <w:rPr>
          <w:rFonts w:ascii="Verdana" w:eastAsia="Times New Roman" w:hAnsi="Verdana" w:cs="Arial"/>
          <w:lang w:val="es-MX" w:eastAsia="es-CO"/>
        </w:rPr>
        <w:t xml:space="preserve"> durante la aplicación de la Ley de Garantías Electorales, toda vez que la citada disposición hace referencia a dicha tipología contractual sin que el legislador hubiere contemplado un efecto extensivo a otra tipología. </w:t>
      </w:r>
      <w:bookmarkEnd w:id="10"/>
    </w:p>
    <w:p w14:paraId="4DB53C6A" w14:textId="77777777" w:rsidR="00E30D96" w:rsidRPr="00D61E29" w:rsidRDefault="00E30D96" w:rsidP="00E30D96">
      <w:pPr>
        <w:widowControl w:val="0"/>
        <w:autoSpaceDE w:val="0"/>
        <w:autoSpaceDN w:val="0"/>
        <w:spacing w:after="0" w:line="276" w:lineRule="auto"/>
        <w:ind w:firstLine="708"/>
        <w:contextualSpacing/>
        <w:jc w:val="both"/>
        <w:rPr>
          <w:rFonts w:ascii="Verdana" w:eastAsia="Arial" w:hAnsi="Verdana" w:cs="Arial"/>
          <w:lang w:val="es-ES" w:eastAsia="es-ES" w:bidi="es-ES"/>
        </w:rPr>
      </w:pPr>
      <w:r w:rsidRPr="00D61E29">
        <w:rPr>
          <w:rFonts w:ascii="Verdana" w:eastAsia="Arial" w:hAnsi="Verdana" w:cs="Arial"/>
          <w:lang w:val="es-ES" w:eastAsia="es-ES" w:bidi="es-ES"/>
        </w:rPr>
        <w:t>La Sala de Consulta y Servicio Civil del Consejo de Estado ha aclarado la distinción en la aplicación de las prohibiciones de la Ley 996 de 2005, dependiendo del tipo de elección que se trate. Al respecto, considera:</w:t>
      </w:r>
    </w:p>
    <w:p w14:paraId="3CDB855A" w14:textId="77777777" w:rsidR="00E30D96" w:rsidRPr="00D61E29" w:rsidRDefault="00E30D96" w:rsidP="00E30D96">
      <w:pPr>
        <w:widowControl w:val="0"/>
        <w:autoSpaceDE w:val="0"/>
        <w:autoSpaceDN w:val="0"/>
        <w:spacing w:after="0" w:line="240" w:lineRule="auto"/>
        <w:ind w:left="805" w:right="812"/>
        <w:contextualSpacing/>
        <w:jc w:val="both"/>
        <w:rPr>
          <w:rFonts w:ascii="Verdana" w:eastAsia="Arial" w:hAnsi="Verdana" w:cs="Arial"/>
          <w:lang w:val="es-ES" w:eastAsia="es-ES" w:bidi="es-ES"/>
        </w:rPr>
      </w:pPr>
    </w:p>
    <w:p w14:paraId="4C97952D" w14:textId="77777777" w:rsidR="00E30D96" w:rsidRPr="00D61E29" w:rsidRDefault="00E30D96" w:rsidP="00E30D96">
      <w:pPr>
        <w:widowControl w:val="0"/>
        <w:autoSpaceDE w:val="0"/>
        <w:autoSpaceDN w:val="0"/>
        <w:spacing w:after="0" w:line="240" w:lineRule="auto"/>
        <w:ind w:left="709" w:right="709"/>
        <w:jc w:val="both"/>
        <w:rPr>
          <w:rFonts w:ascii="Verdana" w:eastAsia="Arial" w:hAnsi="Verdana" w:cs="Arial"/>
          <w:sz w:val="20"/>
          <w:szCs w:val="20"/>
          <w:lang w:eastAsia="es-ES" w:bidi="es-ES"/>
        </w:rPr>
      </w:pPr>
      <w:r w:rsidRPr="00D61E29">
        <w:rPr>
          <w:rFonts w:ascii="Verdana" w:eastAsia="Arial" w:hAnsi="Verdana" w:cs="Arial"/>
          <w:sz w:val="20"/>
          <w:szCs w:val="20"/>
          <w:lang w:eastAsia="es-ES" w:bidi="es-ES"/>
        </w:rPr>
        <w:t xml:space="preserve">“La interpretación sistemática de las disposiciones consagradas en los artículos 32, 33 y el parágrafo del artículo 38 de la ley 996 de 2.005 lleva a concluir que dichas normas contienen restricciones y prohibiciones para periodos preelectorales diferentes; las dos primeras, de manera específica para los cuatro meses anteriores a la elección presidencial; el último, de manera más genérica para los cuatro meses anteriores a las elecciones  </w:t>
      </w:r>
      <w:r w:rsidRPr="00D61E29">
        <w:rPr>
          <w:rFonts w:ascii="Verdana" w:eastAsia="Arial" w:hAnsi="Verdana" w:cs="Arial"/>
          <w:sz w:val="20"/>
          <w:szCs w:val="20"/>
          <w:lang w:eastAsia="es-ES" w:bidi="es-ES"/>
        </w:rPr>
        <w:lastRenderedPageBreak/>
        <w:t xml:space="preserve">para cualquier cargo de elección popular a que se refiere la ley –incluido el de Presidente de la República-; de manera que dichas restricciones no se excluyen sino que se integran parcialmente, lo que permite concluir que en periodo preelectoral para elección de Presidente de la República, a todos los entes del Estado, incluidos los territoriales, se aplican las restricciones de los artículos 32 y 33 con sus excepciones, así como las del parágrafo del artículo 38. En cambio, para elecciones en general, excluyendo las correspondientes a </w:t>
      </w:r>
      <w:proofErr w:type="gramStart"/>
      <w:r w:rsidRPr="00D61E29">
        <w:rPr>
          <w:rFonts w:ascii="Verdana" w:eastAsia="Arial" w:hAnsi="Verdana" w:cs="Arial"/>
          <w:sz w:val="20"/>
          <w:szCs w:val="20"/>
          <w:lang w:eastAsia="es-ES" w:bidi="es-ES"/>
        </w:rPr>
        <w:t>Presidente</w:t>
      </w:r>
      <w:proofErr w:type="gramEnd"/>
      <w:r w:rsidRPr="00D61E29">
        <w:rPr>
          <w:rFonts w:ascii="Verdana" w:eastAsia="Arial" w:hAnsi="Verdana" w:cs="Arial"/>
          <w:sz w:val="20"/>
          <w:szCs w:val="20"/>
          <w:lang w:eastAsia="es-ES" w:bidi="es-ES"/>
        </w:rPr>
        <w:t xml:space="preserve"> de la República, a las autoridades territoriales allí mencionadas sólo se aplican las restricciones contenidas en el parágrafo del artículo 38”.</w:t>
      </w:r>
      <w:r w:rsidRPr="00D61E29">
        <w:rPr>
          <w:rFonts w:ascii="Verdana" w:eastAsia="Arial" w:hAnsi="Verdana" w:cs="Arial"/>
          <w:sz w:val="20"/>
          <w:szCs w:val="20"/>
          <w:vertAlign w:val="superscript"/>
          <w:lang w:eastAsia="es-ES" w:bidi="es-ES"/>
        </w:rPr>
        <w:footnoteReference w:id="12"/>
      </w:r>
    </w:p>
    <w:p w14:paraId="6E42C420" w14:textId="77777777" w:rsidR="00E30D96" w:rsidRPr="00D61E29" w:rsidRDefault="00E30D96" w:rsidP="00E30D96">
      <w:pPr>
        <w:widowControl w:val="0"/>
        <w:autoSpaceDE w:val="0"/>
        <w:autoSpaceDN w:val="0"/>
        <w:spacing w:after="0" w:line="240" w:lineRule="auto"/>
        <w:ind w:left="709" w:right="709"/>
        <w:jc w:val="both"/>
        <w:rPr>
          <w:rFonts w:ascii="Verdana" w:eastAsia="Arial" w:hAnsi="Verdana" w:cs="Arial"/>
          <w:sz w:val="20"/>
          <w:szCs w:val="20"/>
          <w:lang w:eastAsia="es-ES" w:bidi="es-ES"/>
        </w:rPr>
      </w:pPr>
    </w:p>
    <w:p w14:paraId="126AE53B" w14:textId="77777777" w:rsidR="00E30D96" w:rsidRPr="00B3605D" w:rsidRDefault="00E30D96" w:rsidP="00E30D96">
      <w:pPr>
        <w:tabs>
          <w:tab w:val="left" w:pos="8080"/>
        </w:tabs>
        <w:spacing w:after="0" w:line="276" w:lineRule="auto"/>
        <w:ind w:firstLine="709"/>
        <w:jc w:val="both"/>
        <w:rPr>
          <w:rFonts w:ascii="Verdana" w:hAnsi="Verdana"/>
        </w:rPr>
      </w:pPr>
      <w:r>
        <w:rPr>
          <w:rFonts w:ascii="Verdana" w:eastAsia="Times New Roman" w:hAnsi="Verdana" w:cs="Arial"/>
          <w:lang w:val="es-ES" w:eastAsia="es-ES_tradnl"/>
        </w:rPr>
        <w:t xml:space="preserve">Adicionalmente, en relación con las modificaciones contractuales </w:t>
      </w:r>
      <w:r w:rsidRPr="00B3605D">
        <w:rPr>
          <w:rFonts w:ascii="Verdana" w:eastAsia="Times New Roman" w:hAnsi="Verdana" w:cs="Open Sans"/>
          <w:lang w:eastAsia="es-CO"/>
        </w:rPr>
        <w:t>se resalta el numeral 16.5 de la Circular Externa Única</w:t>
      </w:r>
      <w:r w:rsidRPr="00B3605D">
        <w:rPr>
          <w:rStyle w:val="Refdenotaalpie"/>
          <w:rFonts w:ascii="Verdana" w:eastAsia="Times New Roman" w:hAnsi="Verdana" w:cs="Open Sans"/>
          <w:lang w:eastAsia="es-CO"/>
        </w:rPr>
        <w:footnoteReference w:id="13"/>
      </w:r>
      <w:r w:rsidRPr="00B3605D">
        <w:rPr>
          <w:rFonts w:ascii="Verdana" w:eastAsia="Times New Roman" w:hAnsi="Verdana" w:cs="Open Sans"/>
          <w:lang w:eastAsia="es-CO"/>
        </w:rPr>
        <w:t xml:space="preserve"> de la </w:t>
      </w:r>
      <w:r w:rsidRPr="00B3605D">
        <w:rPr>
          <w:rFonts w:ascii="Verdana" w:hAnsi="Verdana"/>
        </w:rPr>
        <w:t>Agencia Nacional de Contratación Pública -Colombia Compra Eficiente, como sigue:</w:t>
      </w:r>
    </w:p>
    <w:p w14:paraId="29E8C79A" w14:textId="77777777" w:rsidR="00E30D96" w:rsidRPr="00C05384" w:rsidRDefault="00E30D96" w:rsidP="00E30D96">
      <w:pPr>
        <w:spacing w:after="0" w:line="276" w:lineRule="auto"/>
        <w:ind w:left="708" w:right="616"/>
        <w:jc w:val="both"/>
        <w:rPr>
          <w:rFonts w:ascii="Verdana" w:hAnsi="Verdana"/>
        </w:rPr>
      </w:pPr>
    </w:p>
    <w:p w14:paraId="623E1724" w14:textId="77777777" w:rsidR="00E30D96" w:rsidRPr="00B3605D" w:rsidRDefault="00E30D96" w:rsidP="00E30D96">
      <w:pPr>
        <w:spacing w:after="0" w:line="240" w:lineRule="auto"/>
        <w:ind w:left="709" w:right="709"/>
        <w:jc w:val="both"/>
        <w:rPr>
          <w:rFonts w:ascii="Verdana" w:hAnsi="Verdana"/>
          <w:sz w:val="20"/>
          <w:szCs w:val="20"/>
        </w:rPr>
      </w:pPr>
      <w:r w:rsidRPr="00B3605D">
        <w:rPr>
          <w:rFonts w:ascii="Verdana" w:hAnsi="Verdana"/>
          <w:sz w:val="20"/>
          <w:szCs w:val="20"/>
        </w:rPr>
        <w:t xml:space="preserve">La Ley de Garantías no establece restricciones para las prórrogas, modificaciones o adiciones, y la cesión de los contratos suscritos antes del periodo electoral, siempre que tales prórrogas, modificaciones, adiciones y cesiones cumplan los principios de planeación, transparencia y responsabilidad. </w:t>
      </w:r>
    </w:p>
    <w:p w14:paraId="030AA2C3" w14:textId="77777777" w:rsidR="00E30D96" w:rsidRDefault="00E30D96" w:rsidP="00E30D96">
      <w:pPr>
        <w:spacing w:after="0" w:line="240" w:lineRule="auto"/>
        <w:ind w:left="709" w:right="709"/>
        <w:jc w:val="both"/>
        <w:rPr>
          <w:rFonts w:ascii="Verdana" w:hAnsi="Verdana"/>
          <w:sz w:val="20"/>
          <w:szCs w:val="20"/>
        </w:rPr>
      </w:pPr>
      <w:r w:rsidRPr="00B3605D">
        <w:rPr>
          <w:rFonts w:ascii="Verdana" w:hAnsi="Verdana"/>
          <w:sz w:val="20"/>
          <w:szCs w:val="20"/>
        </w:rPr>
        <w:t>En este sentido, las prórrogas, modificaciones o adiciones, y la cesión de los contratos suscritos antes del período de la campaña electoral, pueden realizarse en cualquier tiempo antes o después del comienzo de la aplicación de la Ley de Garantías, siempre y cuando el contrato se encuentre vigente y se observen las demás disposiciones conforme a las cuales deben realizarse dichas actuaciones.</w:t>
      </w:r>
    </w:p>
    <w:p w14:paraId="4A12CEC8" w14:textId="77777777" w:rsidR="00E30D96" w:rsidRPr="00FC54ED" w:rsidRDefault="00E30D96" w:rsidP="00E30D96">
      <w:pPr>
        <w:spacing w:after="0" w:line="240" w:lineRule="auto"/>
        <w:ind w:left="709" w:right="709"/>
        <w:jc w:val="both"/>
        <w:rPr>
          <w:rFonts w:ascii="Verdana" w:eastAsia="Times New Roman" w:hAnsi="Verdana" w:cs="Open Sans"/>
          <w:sz w:val="20"/>
          <w:szCs w:val="20"/>
          <w:lang w:eastAsia="es-CO"/>
        </w:rPr>
      </w:pPr>
    </w:p>
    <w:p w14:paraId="4E93B47C" w14:textId="77777777" w:rsidR="00E30D96" w:rsidRDefault="00E30D96" w:rsidP="00E30D96">
      <w:pPr>
        <w:spacing w:after="120" w:line="276" w:lineRule="auto"/>
        <w:ind w:firstLine="708"/>
        <w:jc w:val="both"/>
        <w:rPr>
          <w:rFonts w:ascii="Verdana" w:eastAsia="Times New Roman" w:hAnsi="Verdana" w:cs="Arial"/>
          <w:bCs/>
          <w:lang w:val="es-MX" w:eastAsia="es-CO"/>
        </w:rPr>
      </w:pPr>
      <w:r w:rsidRPr="00B3605D">
        <w:rPr>
          <w:rFonts w:ascii="Verdana" w:eastAsia="Arial" w:hAnsi="Verdana" w:cs="Arial"/>
          <w:lang w:val="es-ES" w:eastAsia="es-ES" w:bidi="es-ES"/>
        </w:rPr>
        <w:t xml:space="preserve">En conclusión, </w:t>
      </w:r>
      <w:r w:rsidRPr="00B3605D">
        <w:rPr>
          <w:rFonts w:ascii="Verdana" w:eastAsia="Times New Roman" w:hAnsi="Verdana" w:cs="Arial"/>
          <w:bCs/>
          <w:lang w:val="es-MX" w:eastAsia="es-CO"/>
        </w:rPr>
        <w:t xml:space="preserve">como en otras oportunidades </w:t>
      </w:r>
      <w:r w:rsidRPr="00894384">
        <w:rPr>
          <w:rFonts w:ascii="Verdana" w:eastAsia="Times New Roman" w:hAnsi="Verdana" w:cs="Arial"/>
          <w:bCs/>
          <w:lang w:val="es-MX" w:eastAsia="es-CO"/>
        </w:rPr>
        <w:t>lo ha manifestado esta Agencia, las prórrogas, modificaciones o adiciones de los contratos suscritos antes de la entrada en vigencia de las prohibiciones anotadas, así como la cesión de los mismos, pueden tener lugar en el período de aplicación de la Ley de Garantías, sin que ello haga nugatoria la restricción de la contratación directa y siempre que cumplan</w:t>
      </w:r>
      <w:r>
        <w:rPr>
          <w:rFonts w:ascii="Verdana" w:eastAsia="Times New Roman" w:hAnsi="Verdana" w:cs="Arial"/>
          <w:bCs/>
          <w:lang w:val="es-MX" w:eastAsia="es-CO"/>
        </w:rPr>
        <w:t xml:space="preserve"> las disposiciones que rigen dichas actuaciones así como</w:t>
      </w:r>
      <w:r w:rsidRPr="00894384">
        <w:rPr>
          <w:rFonts w:ascii="Verdana" w:eastAsia="Times New Roman" w:hAnsi="Verdana" w:cs="Arial"/>
          <w:bCs/>
          <w:lang w:val="es-MX" w:eastAsia="es-CO"/>
        </w:rPr>
        <w:t xml:space="preserve"> los principios de planeación, transparencia y responsabilidad. </w:t>
      </w:r>
    </w:p>
    <w:p w14:paraId="137FE41F" w14:textId="77777777" w:rsidR="00E30D96" w:rsidRPr="000717C1" w:rsidRDefault="00E30D96" w:rsidP="00E30D96">
      <w:pPr>
        <w:spacing w:after="120" w:line="276" w:lineRule="auto"/>
        <w:ind w:firstLine="708"/>
        <w:jc w:val="both"/>
        <w:rPr>
          <w:rFonts w:ascii="Verdana" w:eastAsia="Times New Roman" w:hAnsi="Verdana" w:cs="Arial"/>
          <w:lang w:val="es-MX" w:eastAsia="es-CO"/>
        </w:rPr>
      </w:pPr>
      <w:r w:rsidRPr="00947721">
        <w:rPr>
          <w:rFonts w:ascii="Verdana" w:hAnsi="Verdana" w:cs="BCDHEE+Verdana"/>
          <w:color w:val="000000"/>
        </w:rPr>
        <w:t>Fi</w:t>
      </w:r>
      <w:r>
        <w:rPr>
          <w:rFonts w:ascii="Verdana" w:hAnsi="Verdana" w:cs="BCDHEE+Verdana"/>
          <w:color w:val="000000"/>
        </w:rPr>
        <w:t>nalmente</w:t>
      </w:r>
      <w:r w:rsidRPr="00947721">
        <w:rPr>
          <w:rFonts w:ascii="Verdana" w:hAnsi="Verdana" w:cs="BCDHEE+Verdana"/>
          <w:color w:val="000000"/>
        </w:rPr>
        <w:t xml:space="preserve">, sobre las fechas en que aplica la Ley de garantías, se debe tener en cuenta que el Consejo Nacional Electoral mediante Resolución No. 2581 del 5 de marzo de 2025 fijó el calendario electoral para las elecciones al Congreso de la República que serán el 8 de marzo de 2026, en esa medida, de </w:t>
      </w:r>
      <w:r w:rsidRPr="00947721">
        <w:rPr>
          <w:rFonts w:ascii="Verdana" w:hAnsi="Verdana" w:cs="BCDHEE+Verdana"/>
          <w:color w:val="000000"/>
        </w:rPr>
        <w:lastRenderedPageBreak/>
        <w:t xml:space="preserve">acuerdo con el artículo 38 de la Ley 996 de 2005, la restricción iniciaría el 8 de noviembre de 2025, es decir, 4 meses antes de la fecha de las elecciones, y las restricciones que se aplican son que prohíbe a los gobernadores, alcaldes municipales o distritales, secretarios, gerentes y directores de entidades descentralizadas del orden municipal, departamental o distrital celebrar convenios interadministrativos para la ejecución de recursos públicos, ni participar, promover y destinar recursos públicos de las entidades a su cargo, como tampoco de las que participen como miembros de sus juntas directivas, </w:t>
      </w:r>
      <w:r w:rsidRPr="000717C1">
        <w:rPr>
          <w:rFonts w:ascii="Verdana" w:eastAsia="Times New Roman" w:hAnsi="Verdana" w:cs="Arial"/>
          <w:lang w:val="es-MX" w:eastAsia="es-CO"/>
        </w:rPr>
        <w:t xml:space="preserve">en o para reuniones de carácter proselitista. </w:t>
      </w:r>
    </w:p>
    <w:p w14:paraId="2C5F4265" w14:textId="77777777" w:rsidR="00E30D96" w:rsidRPr="00BF374E" w:rsidRDefault="00E30D96" w:rsidP="00E30D96">
      <w:pPr>
        <w:spacing w:after="120" w:line="276" w:lineRule="auto"/>
        <w:ind w:firstLine="708"/>
        <w:jc w:val="both"/>
        <w:rPr>
          <w:rFonts w:ascii="BCDHEE+Verdana" w:hAnsi="BCDHEE+Verdana" w:cs="BCDHEE+Verdana"/>
          <w:color w:val="000000"/>
        </w:rPr>
      </w:pPr>
      <w:r w:rsidRPr="000717C1">
        <w:rPr>
          <w:rFonts w:ascii="Verdana" w:eastAsia="Times New Roman" w:hAnsi="Verdana" w:cs="Arial"/>
          <w:lang w:val="es-MX" w:eastAsia="es-CO"/>
        </w:rPr>
        <w:t>Para las elecciones presidenciales</w:t>
      </w:r>
      <w:r w:rsidRPr="00DE5508">
        <w:rPr>
          <w:rFonts w:ascii="Verdana" w:hAnsi="Verdana" w:cs="BCDHEE+Verdana"/>
          <w:color w:val="000000"/>
        </w:rPr>
        <w:t>, el Consejo Nacional Electoral mediante Resolución No. 2580 del 5 de marzo de 2025 fijó el calendario electoral para las elecciones de Presidente y Vicepresidente de la República en primera vuelta que se celebrarán el 31 de mayo de 2026, por lo que las restricciones a aplicar son las del artículo 33 de la Ley 996 de 2005 que dispone que dentro de los 4 meses anteriores a la elección presidencial, es decir desde el 31 de enero de 2026 y hasta el momento de la celebración de la segunda vuelta, si fuere el caso, queda prohibida la contratación directa por parte de todos los entes del Estado</w:t>
      </w:r>
      <w:r>
        <w:rPr>
          <w:rFonts w:ascii="BCDHEE+Verdana" w:hAnsi="BCDHEE+Verdana" w:cs="BCDHEE+Verdana"/>
          <w:color w:val="000000"/>
        </w:rPr>
        <w:t>.</w:t>
      </w:r>
    </w:p>
    <w:p w14:paraId="5D82DAF5" w14:textId="77777777" w:rsidR="00E30D96" w:rsidRPr="00D40A4B" w:rsidRDefault="00E30D96" w:rsidP="00E30D96">
      <w:pPr>
        <w:widowControl w:val="0"/>
        <w:autoSpaceDE w:val="0"/>
        <w:autoSpaceDN w:val="0"/>
        <w:spacing w:after="0" w:line="276" w:lineRule="auto"/>
        <w:ind w:right="176" w:firstLine="708"/>
        <w:jc w:val="both"/>
        <w:rPr>
          <w:rFonts w:ascii="Verdana" w:hAnsi="Verdana"/>
        </w:rPr>
      </w:pPr>
      <w:r w:rsidRPr="00E61635">
        <w:rPr>
          <w:rFonts w:ascii="Verdana" w:hAnsi="Verdana"/>
        </w:rPr>
        <w:t xml:space="preserve">Dentro de este marco, corresponde a cada </w:t>
      </w:r>
      <w:r w:rsidRPr="005F3B31">
        <w:rPr>
          <w:rFonts w:ascii="Verdana" w:hAnsi="Verdana"/>
        </w:rPr>
        <w:t>entidad pública</w:t>
      </w:r>
      <w:r w:rsidRPr="00E61635">
        <w:rPr>
          <w:rFonts w:ascii="Verdana" w:hAnsi="Verdana"/>
        </w:rPr>
        <w:t>, en ejercicio de su competencia y previa valoración de los elementos fácticos y jurídicos, así como de las disposiciones legales mencionadas,</w:t>
      </w:r>
      <w:r>
        <w:rPr>
          <w:rFonts w:ascii="Verdana" w:hAnsi="Verdana"/>
        </w:rPr>
        <w:t xml:space="preserve"> determinar su gestión contractual durante la aplicación de las restricciones de la Ley de Garantías Electorales. </w:t>
      </w:r>
      <w:r w:rsidRPr="00E61635">
        <w:rPr>
          <w:rFonts w:ascii="Verdana" w:hAnsi="Verdana"/>
        </w:rPr>
        <w:t>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r>
        <w:rPr>
          <w:rFonts w:ascii="Verdana" w:hAnsi="Verdana"/>
          <w:sz w:val="20"/>
          <w:szCs w:val="20"/>
        </w:rPr>
        <w:tab/>
      </w:r>
    </w:p>
    <w:p w14:paraId="0016C0AD" w14:textId="77777777" w:rsidR="00E30D96" w:rsidRPr="00C54887" w:rsidRDefault="00E30D96" w:rsidP="00E30D96">
      <w:pPr>
        <w:widowControl w:val="0"/>
        <w:autoSpaceDE w:val="0"/>
        <w:autoSpaceDN w:val="0"/>
        <w:spacing w:after="0" w:line="276" w:lineRule="auto"/>
        <w:jc w:val="both"/>
        <w:rPr>
          <w:rFonts w:ascii="Verdana" w:hAnsi="Verdana" w:cs="Arial"/>
          <w:lang w:eastAsia="es-ES"/>
        </w:rPr>
      </w:pPr>
    </w:p>
    <w:bookmarkEnd w:id="3"/>
    <w:bookmarkEnd w:id="4"/>
    <w:p w14:paraId="03EA4DE5" w14:textId="77777777" w:rsidR="00E30D96" w:rsidRPr="001F283D" w:rsidRDefault="00E30D96" w:rsidP="00E30D96">
      <w:pPr>
        <w:tabs>
          <w:tab w:val="left" w:pos="142"/>
          <w:tab w:val="left" w:pos="284"/>
        </w:tabs>
        <w:spacing w:after="0" w:line="276" w:lineRule="auto"/>
        <w:rPr>
          <w:rFonts w:ascii="Verdana" w:eastAsia="Century Gothic" w:hAnsi="Verdana" w:cs="Century Gothic"/>
          <w:b/>
          <w:bCs/>
        </w:rPr>
      </w:pPr>
      <w:r>
        <w:rPr>
          <w:rFonts w:ascii="Verdana" w:eastAsia="Century Gothic" w:hAnsi="Verdana" w:cs="Century Gothic"/>
          <w:b/>
          <w:bCs/>
        </w:rPr>
        <w:t xml:space="preserve">4. </w:t>
      </w:r>
      <w:r w:rsidRPr="001F283D">
        <w:rPr>
          <w:rFonts w:ascii="Verdana" w:eastAsia="Century Gothic" w:hAnsi="Verdana" w:cs="Century Gothic"/>
          <w:b/>
          <w:bCs/>
        </w:rPr>
        <w:t>Referencias normativas:</w:t>
      </w:r>
    </w:p>
    <w:bookmarkEnd w:id="5"/>
    <w:p w14:paraId="4EBB01A4" w14:textId="77777777" w:rsidR="00E30D96" w:rsidRPr="00593A5F" w:rsidRDefault="00E30D96" w:rsidP="00E30D96">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E30D96" w:rsidRPr="002407CE" w14:paraId="2A9CE332" w14:textId="77777777" w:rsidTr="00645FE8">
        <w:trPr>
          <w:trHeight w:val="870"/>
          <w:jc w:val="center"/>
        </w:trPr>
        <w:tc>
          <w:tcPr>
            <w:tcW w:w="8647" w:type="dxa"/>
          </w:tcPr>
          <w:p w14:paraId="773AC197" w14:textId="77777777" w:rsidR="00E30D96" w:rsidRPr="00C21522" w:rsidRDefault="00E30D96" w:rsidP="00E30D96">
            <w:pPr>
              <w:widowControl w:val="0"/>
              <w:numPr>
                <w:ilvl w:val="0"/>
                <w:numId w:val="17"/>
              </w:numPr>
              <w:autoSpaceDE w:val="0"/>
              <w:autoSpaceDN w:val="0"/>
              <w:spacing w:line="276" w:lineRule="auto"/>
              <w:jc w:val="both"/>
              <w:rPr>
                <w:rFonts w:ascii="Verdana" w:eastAsia="Arial MT" w:hAnsi="Verdana" w:cs="Arial"/>
                <w:lang w:val="es-ES" w:eastAsia="es-ES" w:bidi="es-ES"/>
              </w:rPr>
            </w:pPr>
            <w:r w:rsidRPr="00C21522">
              <w:rPr>
                <w:rFonts w:ascii="Verdana" w:eastAsia="Arial" w:hAnsi="Verdana" w:cs="Arial"/>
                <w:lang w:eastAsia="es-MX"/>
              </w:rPr>
              <w:t>Ley 715 de 2001. Artículos 11 y 13</w:t>
            </w:r>
            <w:r>
              <w:rPr>
                <w:rFonts w:ascii="Verdana" w:eastAsia="Arial" w:hAnsi="Verdana" w:cs="Arial"/>
                <w:lang w:eastAsia="es-MX"/>
              </w:rPr>
              <w:t>.</w:t>
            </w:r>
          </w:p>
          <w:p w14:paraId="2421C3C1" w14:textId="77777777" w:rsidR="00E30D96" w:rsidRPr="00C21522" w:rsidRDefault="00E30D96" w:rsidP="00E30D96">
            <w:pPr>
              <w:widowControl w:val="0"/>
              <w:numPr>
                <w:ilvl w:val="0"/>
                <w:numId w:val="17"/>
              </w:numPr>
              <w:autoSpaceDE w:val="0"/>
              <w:autoSpaceDN w:val="0"/>
              <w:spacing w:line="276" w:lineRule="auto"/>
              <w:jc w:val="both"/>
              <w:rPr>
                <w:rFonts w:ascii="Verdana" w:eastAsia="Arial MT" w:hAnsi="Verdana" w:cs="Arial"/>
                <w:lang w:val="es-ES" w:eastAsia="es-ES" w:bidi="es-ES"/>
              </w:rPr>
            </w:pPr>
            <w:r w:rsidRPr="00C21522">
              <w:rPr>
                <w:rFonts w:ascii="Verdana" w:eastAsia="Arial MT" w:hAnsi="Verdana" w:cs="Arial"/>
                <w:bCs/>
                <w:lang w:val="es-ES" w:eastAsia="es-ES" w:bidi="es-ES"/>
              </w:rPr>
              <w:t>Ley 996 de 2005. Artículos 33 y 38 parágrafo.</w:t>
            </w:r>
          </w:p>
          <w:p w14:paraId="3E5F8D5E" w14:textId="77777777" w:rsidR="00E30D96" w:rsidRPr="00C21522" w:rsidRDefault="00E30D96" w:rsidP="00E30D96">
            <w:pPr>
              <w:widowControl w:val="0"/>
              <w:numPr>
                <w:ilvl w:val="0"/>
                <w:numId w:val="17"/>
              </w:numPr>
              <w:autoSpaceDE w:val="0"/>
              <w:autoSpaceDN w:val="0"/>
              <w:spacing w:line="276" w:lineRule="auto"/>
              <w:jc w:val="both"/>
              <w:rPr>
                <w:rFonts w:ascii="Verdana" w:eastAsia="Calibri" w:hAnsi="Verdana" w:cs="Arial"/>
                <w:lang w:val="es-ES"/>
              </w:rPr>
            </w:pPr>
            <w:r w:rsidRPr="00C21522">
              <w:rPr>
                <w:rFonts w:ascii="Verdana" w:eastAsia="Calibri" w:hAnsi="Verdana" w:cs="Arial"/>
                <w:lang w:val="pt-BR"/>
              </w:rPr>
              <w:t xml:space="preserve">Corte Constitucional. Sentencia C -1153 de 2005. </w:t>
            </w:r>
            <w:r w:rsidRPr="00C21522">
              <w:rPr>
                <w:rFonts w:ascii="Verdana" w:eastAsia="Calibri" w:hAnsi="Verdana" w:cs="Arial"/>
                <w:lang w:val="es-ES"/>
              </w:rPr>
              <w:t xml:space="preserve">M.P. Marco Gerardo Monroy Cabra. </w:t>
            </w:r>
          </w:p>
          <w:p w14:paraId="72BF2936" w14:textId="77777777" w:rsidR="00E30D96" w:rsidRPr="00AE4108" w:rsidRDefault="00E30D96" w:rsidP="00E30D96">
            <w:pPr>
              <w:widowControl w:val="0"/>
              <w:numPr>
                <w:ilvl w:val="0"/>
                <w:numId w:val="17"/>
              </w:numPr>
              <w:autoSpaceDE w:val="0"/>
              <w:autoSpaceDN w:val="0"/>
              <w:jc w:val="both"/>
              <w:rPr>
                <w:rFonts w:ascii="Verdana" w:hAnsi="Verdana" w:cs="Arial"/>
                <w:color w:val="000000" w:themeColor="text1"/>
              </w:rPr>
            </w:pPr>
            <w:r w:rsidRPr="00C21522">
              <w:rPr>
                <w:rFonts w:ascii="Verdana" w:eastAsia="Arial MT" w:hAnsi="Verdana" w:cs="Arial"/>
                <w:lang w:eastAsia="es-ES" w:bidi="es-ES"/>
              </w:rPr>
              <w:t xml:space="preserve">Consejo de Estado, Sala de Consulta y Servicio Civil de fecha 24 de julio de 2013, Rad. 2166, C. P. Álvaro Namén Vargas.  </w:t>
            </w:r>
          </w:p>
        </w:tc>
      </w:tr>
    </w:tbl>
    <w:p w14:paraId="5FC4C243" w14:textId="77777777" w:rsidR="00E30D96" w:rsidRPr="00277E26" w:rsidRDefault="00E30D96" w:rsidP="00E30D96">
      <w:pPr>
        <w:widowControl w:val="0"/>
        <w:autoSpaceDE w:val="0"/>
        <w:autoSpaceDN w:val="0"/>
        <w:spacing w:after="0" w:line="276" w:lineRule="auto"/>
        <w:jc w:val="both"/>
        <w:rPr>
          <w:rFonts w:ascii="Verdana" w:hAnsi="Verdana" w:cs="Arial"/>
        </w:rPr>
      </w:pPr>
    </w:p>
    <w:p w14:paraId="1A5D8106" w14:textId="77777777" w:rsidR="00E30D96" w:rsidRPr="001F283D" w:rsidRDefault="00E30D96" w:rsidP="00E30D96">
      <w:pPr>
        <w:tabs>
          <w:tab w:val="left" w:pos="142"/>
          <w:tab w:val="left" w:pos="284"/>
        </w:tabs>
        <w:spacing w:after="0" w:line="276" w:lineRule="auto"/>
        <w:jc w:val="both"/>
        <w:rPr>
          <w:rFonts w:ascii="Verdana" w:eastAsia="Century Gothic" w:hAnsi="Verdana" w:cs="Century Gothic"/>
          <w:b/>
          <w:bCs/>
        </w:rPr>
      </w:pPr>
      <w:r>
        <w:rPr>
          <w:rFonts w:ascii="Verdana" w:eastAsia="Century Gothic" w:hAnsi="Verdana" w:cs="Century Gothic"/>
          <w:b/>
          <w:bCs/>
        </w:rPr>
        <w:t xml:space="preserve">5. </w:t>
      </w:r>
      <w:r w:rsidRPr="001F283D">
        <w:rPr>
          <w:rFonts w:ascii="Verdana" w:eastAsia="Century Gothic" w:hAnsi="Verdana" w:cs="Century Gothic"/>
          <w:b/>
          <w:bCs/>
        </w:rPr>
        <w:t>Doctrina de la Agencia Nacional de Contratación Pública:</w:t>
      </w:r>
    </w:p>
    <w:p w14:paraId="102B8040" w14:textId="77777777" w:rsidR="00E30D96" w:rsidRDefault="00E30D96" w:rsidP="00E30D96">
      <w:pPr>
        <w:widowControl w:val="0"/>
        <w:autoSpaceDE w:val="0"/>
        <w:autoSpaceDN w:val="0"/>
        <w:spacing w:after="0" w:line="276" w:lineRule="auto"/>
        <w:jc w:val="both"/>
        <w:rPr>
          <w:rStyle w:val="normaltextrun"/>
          <w:rFonts w:ascii="Verdana" w:hAnsi="Verdana" w:cs="Arial"/>
          <w:shd w:val="clear" w:color="auto" w:fill="FFFFFF"/>
          <w:lang w:val="es-ES"/>
        </w:rPr>
      </w:pPr>
    </w:p>
    <w:p w14:paraId="6FE3CC26" w14:textId="77777777" w:rsidR="00E30D96" w:rsidRPr="001A77B7" w:rsidRDefault="00E30D96" w:rsidP="00E30D96">
      <w:pPr>
        <w:widowControl w:val="0"/>
        <w:autoSpaceDE w:val="0"/>
        <w:autoSpaceDN w:val="0"/>
        <w:spacing w:after="0" w:line="276" w:lineRule="auto"/>
        <w:jc w:val="both"/>
        <w:rPr>
          <w:rFonts w:ascii="Verdana" w:hAnsi="Verdana"/>
          <w:color w:val="FF0000"/>
          <w:shd w:val="clear" w:color="auto" w:fill="FFFFFF"/>
          <w:lang w:val="es-ES"/>
        </w:rPr>
      </w:pPr>
      <w:r w:rsidRPr="00C21522">
        <w:rPr>
          <w:rStyle w:val="normaltextrun"/>
          <w:rFonts w:ascii="Verdana" w:hAnsi="Verdana" w:cs="Arial"/>
          <w:shd w:val="clear" w:color="auto" w:fill="FFFFFF"/>
          <w:lang w:val="es-ES"/>
        </w:rPr>
        <w:t xml:space="preserve">Sobre la aplicación de la Ley de Garantías Electorales, esta Subdirección se ha pronunciado en los conceptos </w:t>
      </w:r>
      <w:r w:rsidRPr="00C21522">
        <w:rPr>
          <w:rFonts w:ascii="Verdana" w:hAnsi="Verdana" w:cs="Arial"/>
          <w:shd w:val="clear" w:color="auto" w:fill="FFFFFF"/>
          <w:lang w:val="es-ES"/>
        </w:rPr>
        <w:t xml:space="preserve">C-636 del 16 de noviembre de 2021, 681 del 7 de diciembre de 2021, C-686 del 21 de diciembre de 2021, C-697 del 3 de enero de 2022, </w:t>
      </w:r>
      <w:r w:rsidRPr="00C21522">
        <w:rPr>
          <w:rStyle w:val="normaltextrun"/>
          <w:rFonts w:ascii="Verdana" w:hAnsi="Verdana" w:cs="Arial"/>
          <w:shd w:val="clear" w:color="auto" w:fill="FFFFFF"/>
          <w:lang w:val="es-ES"/>
        </w:rPr>
        <w:t xml:space="preserve">C-329 del 24 de mayo de 2022, C-255 del 4 de julio de 2023, </w:t>
      </w:r>
      <w:r w:rsidRPr="00C21522">
        <w:rPr>
          <w:rFonts w:ascii="Verdana" w:hAnsi="Verdana" w:cs="Arial"/>
          <w:shd w:val="clear" w:color="auto" w:fill="FFFFFF"/>
          <w:lang w:val="es-ES"/>
        </w:rPr>
        <w:t>C-180 del 21 de marzo de 2025, C-317 del 25 de abril de 2025, C-510 del 4 de junio de 2025, C-856 del 11 de agosto de 2025 y C-1072 del 24 de diciembre de 2025, entre otros.</w:t>
      </w:r>
      <w:r w:rsidRPr="00C21522">
        <w:rPr>
          <w:rStyle w:val="normaltextrun"/>
          <w:rFonts w:ascii="Verdana" w:hAnsi="Verdana" w:cs="Arial"/>
          <w:shd w:val="clear" w:color="auto" w:fill="FFFFFF"/>
          <w:lang w:val="es-ES"/>
        </w:rPr>
        <w:t xml:space="preserve"> Es</w:t>
      </w:r>
      <w:r w:rsidRPr="00C21522">
        <w:rPr>
          <w:rFonts w:ascii="Verdana" w:hAnsi="Verdana"/>
        </w:rPr>
        <w:t>tos y otros conceptos se encuentran disponibles para consulta en el Sistema de relatoría de la Agencia, al cual se puede acceder a través del siguiente enlace:</w:t>
      </w:r>
      <w:r w:rsidRPr="00C21522">
        <w:rPr>
          <w:rStyle w:val="normaltextrun"/>
          <w:rFonts w:ascii="Verdana" w:hAnsi="Verdana" w:cs="Arial"/>
          <w:shd w:val="clear" w:color="auto" w:fill="FFFFFF"/>
          <w:lang w:val="es-ES"/>
        </w:rPr>
        <w:t xml:space="preserve"> </w:t>
      </w:r>
      <w:hyperlink r:id="rId12" w:history="1">
        <w:r w:rsidRPr="00C21522">
          <w:rPr>
            <w:rStyle w:val="Hipervnculo"/>
            <w:rFonts w:ascii="Verdana" w:hAnsi="Verdana" w:cs="Arial"/>
            <w:shd w:val="clear" w:color="auto" w:fill="FFFFFF"/>
            <w:lang w:val="es-ES"/>
          </w:rPr>
          <w:t>https://relatoria.colombiacompra.gov.co/busqueda/conceptos</w:t>
        </w:r>
      </w:hyperlink>
      <w:r w:rsidRPr="00C21522">
        <w:rPr>
          <w:rStyle w:val="normaltextrun"/>
          <w:rFonts w:ascii="Verdana" w:hAnsi="Verdana" w:cs="Arial"/>
          <w:color w:val="FF0000"/>
          <w:shd w:val="clear" w:color="auto" w:fill="FFFFFF"/>
          <w:lang w:val="es-ES"/>
        </w:rPr>
        <w:t xml:space="preserve">. </w:t>
      </w:r>
    </w:p>
    <w:p w14:paraId="111BB0CA" w14:textId="77777777" w:rsidR="00E30D96" w:rsidRPr="00AB5905" w:rsidRDefault="00E30D96" w:rsidP="00E30D96">
      <w:pPr>
        <w:widowControl w:val="0"/>
        <w:autoSpaceDE w:val="0"/>
        <w:autoSpaceDN w:val="0"/>
        <w:spacing w:after="0" w:line="276" w:lineRule="auto"/>
        <w:jc w:val="both"/>
        <w:rPr>
          <w:rFonts w:ascii="Verdana" w:hAnsi="Verdana" w:cs="Arial"/>
          <w:shd w:val="clear" w:color="auto" w:fill="FFFFFF"/>
        </w:rPr>
      </w:pPr>
      <w:r w:rsidRPr="00724A38">
        <w:rPr>
          <w:rStyle w:val="normaltextrun"/>
          <w:rFonts w:ascii="Verdana" w:hAnsi="Verdana" w:cs="Arial"/>
          <w:color w:val="FF0000"/>
          <w:shd w:val="clear" w:color="auto" w:fill="FFFFFF"/>
          <w:lang w:val="es-ES"/>
        </w:rPr>
        <w:t xml:space="preserve"> </w:t>
      </w:r>
    </w:p>
    <w:p w14:paraId="6E59E6E8" w14:textId="77777777" w:rsidR="00E30D96" w:rsidRPr="00237766" w:rsidRDefault="00E30D96" w:rsidP="00E30D96">
      <w:pPr>
        <w:spacing w:after="120" w:line="276" w:lineRule="auto"/>
        <w:jc w:val="both"/>
        <w:rPr>
          <w:rFonts w:ascii="Verdana" w:eastAsia="Calibri" w:hAnsi="Verdana" w:cs="Times New Roman"/>
        </w:rPr>
      </w:pPr>
      <w:r w:rsidRPr="008E4F36">
        <w:rPr>
          <w:rFonts w:ascii="Verdana" w:hAnsi="Verdana"/>
        </w:rPr>
        <w:t xml:space="preserve">Aprovechamos la oportunidad para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 </w:t>
      </w:r>
    </w:p>
    <w:p w14:paraId="09FC54F6" w14:textId="77777777" w:rsidR="00E30D96" w:rsidRPr="008E4F36" w:rsidRDefault="00E30D96" w:rsidP="00E30D96">
      <w:pPr>
        <w:pStyle w:val="Prrafodelista"/>
        <w:numPr>
          <w:ilvl w:val="0"/>
          <w:numId w:val="15"/>
        </w:numPr>
        <w:spacing w:after="0" w:line="276" w:lineRule="auto"/>
        <w:contextualSpacing w:val="0"/>
        <w:jc w:val="both"/>
        <w:rPr>
          <w:rFonts w:ascii="Verdana" w:hAnsi="Verdana"/>
        </w:rPr>
      </w:pPr>
      <w:r w:rsidRPr="008E4F36">
        <w:rPr>
          <w:rFonts w:ascii="Verdana" w:hAnsi="Verdana"/>
        </w:rPr>
        <w:t>Línea nacional gratuita o servicio a la ciudadanía: 01800 0520808</w:t>
      </w:r>
    </w:p>
    <w:p w14:paraId="30540C74" w14:textId="77777777" w:rsidR="00E30D96" w:rsidRPr="008E4F36" w:rsidRDefault="00E30D96" w:rsidP="00E30D96">
      <w:pPr>
        <w:pStyle w:val="Prrafodelista"/>
        <w:numPr>
          <w:ilvl w:val="0"/>
          <w:numId w:val="15"/>
        </w:numPr>
        <w:spacing w:after="0" w:line="276" w:lineRule="auto"/>
        <w:contextualSpacing w:val="0"/>
        <w:jc w:val="both"/>
        <w:rPr>
          <w:rFonts w:ascii="Verdana" w:hAnsi="Verdana"/>
        </w:rPr>
      </w:pPr>
      <w:r w:rsidRPr="008E4F36">
        <w:rPr>
          <w:rFonts w:ascii="Verdana" w:hAnsi="Verdana"/>
        </w:rPr>
        <w:t>Línea en Bogotá (Mesa de servicio): +57 601 7456788</w:t>
      </w:r>
    </w:p>
    <w:p w14:paraId="236E82A1" w14:textId="77777777" w:rsidR="00E30D96" w:rsidRPr="008E4F36" w:rsidRDefault="00E30D96" w:rsidP="00E30D96">
      <w:pPr>
        <w:pStyle w:val="Prrafodelista"/>
        <w:numPr>
          <w:ilvl w:val="0"/>
          <w:numId w:val="15"/>
        </w:numPr>
        <w:spacing w:after="0" w:line="276" w:lineRule="auto"/>
        <w:contextualSpacing w:val="0"/>
        <w:jc w:val="both"/>
        <w:rPr>
          <w:rFonts w:ascii="Verdana" w:hAnsi="Verdana"/>
        </w:rPr>
      </w:pPr>
      <w:r w:rsidRPr="008E4F36">
        <w:rPr>
          <w:rFonts w:ascii="Verdana" w:hAnsi="Verdana"/>
        </w:rPr>
        <w:t>Línea de servicio y atención al ciudadano: +57 601 7956600</w:t>
      </w:r>
    </w:p>
    <w:p w14:paraId="61960EB6" w14:textId="77777777" w:rsidR="00E30D96" w:rsidRPr="008E4F36" w:rsidRDefault="00E30D96" w:rsidP="00E30D96">
      <w:pPr>
        <w:pStyle w:val="Prrafodelista"/>
        <w:numPr>
          <w:ilvl w:val="0"/>
          <w:numId w:val="15"/>
        </w:numPr>
        <w:spacing w:after="0" w:line="276" w:lineRule="auto"/>
        <w:contextualSpacing w:val="0"/>
        <w:jc w:val="both"/>
        <w:rPr>
          <w:rFonts w:ascii="Verdana" w:hAnsi="Verdana"/>
        </w:rPr>
      </w:pPr>
      <w:r w:rsidRPr="008E4F36">
        <w:rPr>
          <w:rFonts w:ascii="Verdana" w:hAnsi="Verdana"/>
        </w:rPr>
        <w:t xml:space="preserve">Página web: </w:t>
      </w:r>
      <w:hyperlink r:id="rId13" w:history="1">
        <w:r w:rsidRPr="008E4F36">
          <w:rPr>
            <w:rStyle w:val="Hipervnculo"/>
            <w:rFonts w:ascii="Verdana" w:hAnsi="Verdana"/>
          </w:rPr>
          <w:t>www.colombiacompra.gov.co</w:t>
        </w:r>
      </w:hyperlink>
    </w:p>
    <w:p w14:paraId="54BF4D1C" w14:textId="77777777" w:rsidR="00E30D96" w:rsidRPr="008E4F36" w:rsidRDefault="00E30D96" w:rsidP="00E30D96">
      <w:pPr>
        <w:spacing w:before="120" w:after="0" w:line="276" w:lineRule="auto"/>
        <w:jc w:val="both"/>
        <w:rPr>
          <w:rFonts w:ascii="Verdana" w:hAnsi="Verdana"/>
        </w:rPr>
      </w:pPr>
      <w:r w:rsidRPr="008E4F36">
        <w:rPr>
          <w:rFonts w:ascii="Verdana" w:hAnsi="Verdana"/>
        </w:rPr>
        <w:t>Por ú</w:t>
      </w:r>
      <w:r>
        <w:rPr>
          <w:rFonts w:ascii="Verdana" w:hAnsi="Verdana"/>
        </w:rPr>
        <w:t>l</w:t>
      </w:r>
      <w:r w:rsidRPr="008E4F36">
        <w:rPr>
          <w:rFonts w:ascii="Verdana" w:hAnsi="Verdana"/>
        </w:rPr>
        <w:t xml:space="preserve">timo, lo invitamos a seguirnos en las redes sociales en las cuales se difunde información institucional: </w:t>
      </w:r>
    </w:p>
    <w:p w14:paraId="49FE01B7" w14:textId="77777777" w:rsidR="00E30D96" w:rsidRPr="008E4F36" w:rsidRDefault="00E30D96" w:rsidP="00E30D96">
      <w:pPr>
        <w:spacing w:after="0" w:line="276" w:lineRule="auto"/>
        <w:jc w:val="both"/>
        <w:rPr>
          <w:rFonts w:ascii="Verdana" w:hAnsi="Verdana"/>
        </w:rPr>
      </w:pPr>
    </w:p>
    <w:p w14:paraId="30949B74" w14:textId="77777777" w:rsidR="00E30D96" w:rsidRPr="008E4F36" w:rsidRDefault="00E30D96" w:rsidP="00E30D96">
      <w:pPr>
        <w:spacing w:after="0" w:line="276" w:lineRule="auto"/>
        <w:jc w:val="both"/>
        <w:rPr>
          <w:rFonts w:ascii="Verdana" w:hAnsi="Verdana"/>
        </w:rPr>
      </w:pPr>
      <w:r w:rsidRPr="008E4F36">
        <w:rPr>
          <w:rFonts w:ascii="Verdana" w:hAnsi="Verdana"/>
        </w:rPr>
        <w:t xml:space="preserve">Twitter: </w:t>
      </w:r>
      <w:r w:rsidRPr="008E4F36">
        <w:rPr>
          <w:rStyle w:val="Hipervnculo"/>
          <w:rFonts w:ascii="Verdana" w:hAnsi="Verdana"/>
        </w:rPr>
        <w:t>@colombiacompra</w:t>
      </w:r>
      <w:r w:rsidRPr="008E4F36">
        <w:rPr>
          <w:rFonts w:ascii="Verdana" w:hAnsi="Verdana"/>
        </w:rPr>
        <w:t xml:space="preserve"> </w:t>
      </w:r>
    </w:p>
    <w:p w14:paraId="501C800A" w14:textId="77777777" w:rsidR="00E30D96" w:rsidRPr="008E4F36" w:rsidRDefault="00E30D96" w:rsidP="00E30D96">
      <w:pPr>
        <w:spacing w:after="0" w:line="276" w:lineRule="auto"/>
        <w:jc w:val="both"/>
        <w:rPr>
          <w:rFonts w:ascii="Verdana" w:hAnsi="Verdana"/>
        </w:rPr>
      </w:pPr>
      <w:r w:rsidRPr="008E4F36">
        <w:rPr>
          <w:rFonts w:ascii="Verdana" w:hAnsi="Verdana"/>
        </w:rPr>
        <w:t xml:space="preserve">Facebook: </w:t>
      </w:r>
      <w:proofErr w:type="spellStart"/>
      <w:r w:rsidRPr="008E4F36">
        <w:rPr>
          <w:rStyle w:val="Hipervnculo"/>
          <w:rFonts w:ascii="Verdana" w:hAnsi="Verdana"/>
        </w:rPr>
        <w:t>ColombiaCompraEficiente</w:t>
      </w:r>
      <w:proofErr w:type="spellEnd"/>
    </w:p>
    <w:p w14:paraId="7068E3BC" w14:textId="77777777" w:rsidR="00E30D96" w:rsidRPr="008E4F36" w:rsidRDefault="00E30D96" w:rsidP="00E30D96">
      <w:pPr>
        <w:spacing w:after="0" w:line="276" w:lineRule="auto"/>
        <w:jc w:val="both"/>
        <w:rPr>
          <w:rFonts w:ascii="Verdana" w:hAnsi="Verdana"/>
        </w:rPr>
      </w:pPr>
      <w:r w:rsidRPr="008E4F36">
        <w:rPr>
          <w:rFonts w:ascii="Verdana" w:hAnsi="Verdana"/>
        </w:rPr>
        <w:t xml:space="preserve">LinkedIn: </w:t>
      </w:r>
      <w:r w:rsidRPr="008E4F36">
        <w:rPr>
          <w:rStyle w:val="Hipervnculo"/>
          <w:rFonts w:ascii="Verdana" w:hAnsi="Verdana"/>
        </w:rPr>
        <w:t>Agencia Nacional de Contratación Pública - Colombia Compra Eficiente</w:t>
      </w:r>
      <w:r w:rsidRPr="008E4F36">
        <w:rPr>
          <w:rFonts w:ascii="Verdana" w:hAnsi="Verdana"/>
        </w:rPr>
        <w:t xml:space="preserve"> Instagram: </w:t>
      </w:r>
      <w:r w:rsidRPr="008E4F36">
        <w:rPr>
          <w:rStyle w:val="Hipervnculo"/>
          <w:rFonts w:ascii="Verdana" w:hAnsi="Verdana"/>
        </w:rPr>
        <w:t>@colombiacompraeficiente_cce</w:t>
      </w:r>
    </w:p>
    <w:p w14:paraId="02F596EA" w14:textId="77777777" w:rsidR="00E30D96" w:rsidRDefault="00E30D96" w:rsidP="00E30D96">
      <w:pPr>
        <w:spacing w:before="120" w:after="0" w:line="276" w:lineRule="auto"/>
        <w:jc w:val="both"/>
        <w:rPr>
          <w:rFonts w:ascii="Verdana" w:hAnsi="Verdana"/>
        </w:rPr>
      </w:pPr>
    </w:p>
    <w:p w14:paraId="22AB4CFA" w14:textId="77777777" w:rsidR="00E30D96" w:rsidRPr="00FB6C33" w:rsidRDefault="00E30D96" w:rsidP="00E30D96">
      <w:pPr>
        <w:spacing w:before="120" w:after="0" w:line="276" w:lineRule="auto"/>
        <w:jc w:val="both"/>
        <w:rPr>
          <w:rFonts w:ascii="Verdana" w:hAnsi="Verdana"/>
        </w:rPr>
      </w:pPr>
      <w:r w:rsidRPr="00FB6C33">
        <w:rPr>
          <w:rFonts w:ascii="Verdana" w:hAnsi="Verdana"/>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20B4CE9E" w14:textId="77777777" w:rsidR="00E30D96" w:rsidRPr="008E4F36" w:rsidRDefault="00E30D96" w:rsidP="00E30D96">
      <w:pPr>
        <w:spacing w:after="0" w:line="276" w:lineRule="auto"/>
        <w:jc w:val="both"/>
        <w:rPr>
          <w:rFonts w:ascii="Verdana" w:eastAsia="Calibri" w:hAnsi="Verdana" w:cs="Times New Roman"/>
        </w:rPr>
      </w:pPr>
    </w:p>
    <w:p w14:paraId="53674BEE" w14:textId="77777777" w:rsidR="00E30D96" w:rsidRDefault="00E30D96" w:rsidP="00E30D96">
      <w:pPr>
        <w:spacing w:after="0" w:line="276" w:lineRule="auto"/>
        <w:jc w:val="both"/>
        <w:rPr>
          <w:rFonts w:ascii="Verdana" w:eastAsia="Calibri" w:hAnsi="Verdana" w:cs="Times New Roman"/>
          <w:noProof/>
          <w:color w:val="EE0000"/>
          <w14:ligatures w14:val="standardContextual"/>
        </w:rPr>
      </w:pPr>
    </w:p>
    <w:p w14:paraId="3CD8BCB5" w14:textId="3B9E2312" w:rsidR="00E30D96" w:rsidRDefault="00E30D96" w:rsidP="00E30D96">
      <w:pPr>
        <w:spacing w:after="0" w:line="276" w:lineRule="auto"/>
        <w:jc w:val="both"/>
        <w:rPr>
          <w:rFonts w:ascii="Verdana" w:eastAsia="Calibri" w:hAnsi="Verdana" w:cs="Times New Roman"/>
        </w:rPr>
      </w:pPr>
      <w:r w:rsidRPr="008E4F36">
        <w:rPr>
          <w:rFonts w:ascii="Verdana" w:eastAsia="Calibri" w:hAnsi="Verdana" w:cs="Times New Roman"/>
        </w:rPr>
        <w:t>Atentamente,</w:t>
      </w:r>
    </w:p>
    <w:p w14:paraId="61CC3E06" w14:textId="77777777" w:rsidR="00E30D96" w:rsidRDefault="00E30D96" w:rsidP="00E30D96">
      <w:pPr>
        <w:spacing w:after="0" w:line="256" w:lineRule="auto"/>
        <w:jc w:val="both"/>
        <w:rPr>
          <w:rFonts w:ascii="Verdana" w:eastAsia="Calibri" w:hAnsi="Verdana" w:cs="Times New Roman"/>
        </w:rPr>
      </w:pPr>
    </w:p>
    <w:bookmarkEnd w:id="1"/>
    <w:bookmarkEnd w:id="2"/>
    <w:p w14:paraId="737456F3" w14:textId="77777777" w:rsidR="00E30D96" w:rsidRDefault="00E30D96" w:rsidP="00E30D96"/>
    <w:p w14:paraId="5138A243" w14:textId="4CA397AB" w:rsidR="00E30D96" w:rsidRDefault="004A75E3" w:rsidP="004A75E3">
      <w:pPr>
        <w:jc w:val="center"/>
      </w:pPr>
      <w:r w:rsidRPr="00A008FD">
        <w:rPr>
          <w:rFonts w:ascii="Verdana" w:eastAsia="Calibri" w:hAnsi="Verdana" w:cs="Arial"/>
          <w:noProof/>
          <w:color w:val="000000"/>
          <w:lang w:eastAsia="es-CO"/>
        </w:rPr>
        <w:drawing>
          <wp:inline distT="0" distB="0" distL="0" distR="0" wp14:anchorId="3AFE4AB2" wp14:editId="2CDCD805">
            <wp:extent cx="2873890" cy="1069242"/>
            <wp:effectExtent l="0" t="0" r="3175" b="0"/>
            <wp:docPr id="191628407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95529" cy="1077293"/>
                    </a:xfrm>
                    <a:prstGeom prst="rect">
                      <a:avLst/>
                    </a:prstGeom>
                    <a:noFill/>
                    <a:ln>
                      <a:noFill/>
                    </a:ln>
                  </pic:spPr>
                </pic:pic>
              </a:graphicData>
            </a:graphic>
          </wp:inline>
        </w:drawing>
      </w:r>
    </w:p>
    <w:p w14:paraId="6E6E41FE" w14:textId="77777777" w:rsidR="007139B6" w:rsidRDefault="007139B6" w:rsidP="00E30D96"/>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E30D96" w:rsidRPr="00860461" w14:paraId="6FFC91A3" w14:textId="77777777" w:rsidTr="00645FE8">
        <w:trPr>
          <w:trHeight w:val="315"/>
        </w:trPr>
        <w:tc>
          <w:tcPr>
            <w:tcW w:w="893" w:type="dxa"/>
            <w:vAlign w:val="center"/>
            <w:hideMark/>
          </w:tcPr>
          <w:p w14:paraId="49A44F86" w14:textId="77777777" w:rsidR="00E30D96" w:rsidRPr="008278B1" w:rsidRDefault="00E30D96" w:rsidP="00645FE8">
            <w:pPr>
              <w:contextualSpacing/>
              <w:rPr>
                <w:rFonts w:ascii="Verdana" w:hAnsi="Verdana" w:cs="Arial"/>
                <w:sz w:val="16"/>
                <w:szCs w:val="16"/>
                <w:lang w:val="es-ES" w:eastAsia="es-ES"/>
              </w:rPr>
            </w:pPr>
            <w:r w:rsidRPr="008278B1">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3F8B9D2C" w14:textId="77777777" w:rsidR="00E30D96" w:rsidRPr="00860461" w:rsidRDefault="00E30D96" w:rsidP="00645FE8">
            <w:pPr>
              <w:rPr>
                <w:rFonts w:ascii="Verdana" w:eastAsia="Times New Roman" w:hAnsi="Verdana" w:cs="Arial"/>
                <w:sz w:val="16"/>
                <w:szCs w:val="16"/>
                <w:lang w:eastAsia="es-ES"/>
              </w:rPr>
            </w:pPr>
            <w:r w:rsidRPr="00860461">
              <w:rPr>
                <w:rFonts w:ascii="Verdana" w:eastAsia="Times New Roman" w:hAnsi="Verdana" w:cs="Arial"/>
                <w:sz w:val="16"/>
                <w:szCs w:val="16"/>
                <w:lang w:eastAsia="es-ES"/>
              </w:rPr>
              <w:t>Oscar David Morelo Pedrozo</w:t>
            </w:r>
          </w:p>
          <w:p w14:paraId="6A19847D" w14:textId="77777777" w:rsidR="00E30D96" w:rsidRPr="00860461" w:rsidRDefault="00E30D96" w:rsidP="00645FE8">
            <w:pPr>
              <w:rPr>
                <w:rFonts w:ascii="Verdana" w:eastAsia="Times New Roman" w:hAnsi="Verdana" w:cs="Arial"/>
                <w:sz w:val="16"/>
                <w:szCs w:val="16"/>
                <w:lang w:eastAsia="es-ES"/>
              </w:rPr>
            </w:pPr>
            <w:r w:rsidRPr="00860461">
              <w:rPr>
                <w:rFonts w:ascii="Verdana" w:eastAsia="Times New Roman" w:hAnsi="Verdana" w:cs="Arial"/>
                <w:sz w:val="16"/>
                <w:szCs w:val="16"/>
                <w:lang w:eastAsia="es-ES"/>
              </w:rPr>
              <w:t>Analista T2 –02 de la Subdirección de Gestión Contractual</w:t>
            </w:r>
          </w:p>
        </w:tc>
      </w:tr>
      <w:tr w:rsidR="00E30D96" w:rsidRPr="0025661F" w14:paraId="33A4290F" w14:textId="77777777" w:rsidTr="00645FE8">
        <w:trPr>
          <w:trHeight w:val="330"/>
        </w:trPr>
        <w:tc>
          <w:tcPr>
            <w:tcW w:w="893" w:type="dxa"/>
            <w:vAlign w:val="center"/>
            <w:hideMark/>
          </w:tcPr>
          <w:p w14:paraId="476C1F70" w14:textId="77777777" w:rsidR="00E30D96" w:rsidRPr="0025661F" w:rsidRDefault="00E30D96" w:rsidP="00645FE8">
            <w:pPr>
              <w:contextualSpacing/>
              <w:rPr>
                <w:rFonts w:ascii="Verdana" w:hAnsi="Verdana" w:cs="Arial"/>
                <w:color w:val="000000" w:themeColor="text1"/>
                <w:sz w:val="16"/>
                <w:szCs w:val="16"/>
                <w:lang w:val="es-ES" w:eastAsia="es-ES"/>
              </w:rPr>
            </w:pPr>
            <w:r w:rsidRPr="0025661F">
              <w:rPr>
                <w:rFonts w:ascii="Verdana" w:hAnsi="Verdana" w:cs="Arial"/>
                <w:color w:val="000000" w:themeColor="text1"/>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19FEE408" w14:textId="352A1BEA" w:rsidR="00E30D96" w:rsidRPr="00B37171" w:rsidRDefault="00E30D96" w:rsidP="00645FE8">
            <w:pPr>
              <w:pStyle w:val="paragraph"/>
              <w:spacing w:before="0" w:beforeAutospacing="0" w:after="0" w:afterAutospacing="0"/>
              <w:contextualSpacing/>
              <w:textAlignment w:val="baseline"/>
              <w:rPr>
                <w:rFonts w:ascii="Verdana" w:hAnsi="Verdana" w:cs="Segoe UI"/>
                <w:color w:val="000000" w:themeColor="text1"/>
                <w:sz w:val="16"/>
                <w:szCs w:val="16"/>
              </w:rPr>
            </w:pPr>
            <w:r>
              <w:rPr>
                <w:rFonts w:ascii="Verdana" w:hAnsi="Verdana" w:cs="Segoe UI"/>
                <w:color w:val="000000" w:themeColor="text1"/>
                <w:sz w:val="16"/>
                <w:szCs w:val="16"/>
              </w:rPr>
              <w:t xml:space="preserve">Adriana Katherine López </w:t>
            </w:r>
            <w:proofErr w:type="spellStart"/>
            <w:r>
              <w:rPr>
                <w:rFonts w:ascii="Verdana" w:hAnsi="Verdana" w:cs="Segoe UI"/>
                <w:color w:val="000000" w:themeColor="text1"/>
                <w:sz w:val="16"/>
                <w:szCs w:val="16"/>
              </w:rPr>
              <w:t>Rodriguez</w:t>
            </w:r>
            <w:proofErr w:type="spellEnd"/>
          </w:p>
          <w:p w14:paraId="627EC04D" w14:textId="77777777" w:rsidR="00E30D96" w:rsidRPr="0025661F" w:rsidRDefault="00E30D96" w:rsidP="00645FE8">
            <w:pPr>
              <w:pStyle w:val="paragraph"/>
              <w:spacing w:before="0" w:beforeAutospacing="0" w:after="0" w:afterAutospacing="0"/>
              <w:contextualSpacing/>
              <w:textAlignment w:val="baseline"/>
              <w:rPr>
                <w:rFonts w:ascii="Verdana" w:hAnsi="Verdana" w:cs="Segoe UI"/>
                <w:color w:val="000000" w:themeColor="text1"/>
                <w:sz w:val="16"/>
                <w:szCs w:val="16"/>
                <w:lang w:val="es-ES"/>
              </w:rPr>
            </w:pPr>
            <w:r>
              <w:rPr>
                <w:rStyle w:val="normaltextrun"/>
                <w:rFonts w:ascii="Verdana" w:hAnsi="Verdana" w:cs="Arial"/>
                <w:color w:val="000000" w:themeColor="text1"/>
                <w:sz w:val="16"/>
                <w:szCs w:val="16"/>
                <w:lang w:val="es-ES"/>
              </w:rPr>
              <w:t>Contratista</w:t>
            </w:r>
            <w:r w:rsidRPr="00115E3D">
              <w:rPr>
                <w:rStyle w:val="normaltextrun"/>
                <w:rFonts w:ascii="Verdana" w:hAnsi="Verdana" w:cs="Arial"/>
                <w:color w:val="000000" w:themeColor="text1"/>
                <w:sz w:val="16"/>
                <w:szCs w:val="16"/>
                <w:lang w:val="es-ES"/>
              </w:rPr>
              <w:t xml:space="preserve"> de la Subdirección de Gestión Contractual</w:t>
            </w:r>
            <w:r w:rsidRPr="00115E3D">
              <w:rPr>
                <w:rStyle w:val="eop"/>
                <w:rFonts w:ascii="Verdana" w:hAnsi="Verdana" w:cs="Arial"/>
                <w:color w:val="000000" w:themeColor="text1"/>
                <w:sz w:val="16"/>
                <w:szCs w:val="16"/>
              </w:rPr>
              <w:t> </w:t>
            </w:r>
          </w:p>
        </w:tc>
      </w:tr>
      <w:tr w:rsidR="00E30D96" w:rsidRPr="008278B1" w14:paraId="05B91F7E" w14:textId="77777777" w:rsidTr="00645FE8">
        <w:trPr>
          <w:trHeight w:val="300"/>
        </w:trPr>
        <w:tc>
          <w:tcPr>
            <w:tcW w:w="893" w:type="dxa"/>
            <w:vAlign w:val="center"/>
          </w:tcPr>
          <w:p w14:paraId="3BC7EB2F" w14:textId="77777777" w:rsidR="00E30D96" w:rsidRPr="008278B1" w:rsidRDefault="00E30D96" w:rsidP="00645FE8">
            <w:pPr>
              <w:contextualSpacing/>
              <w:rPr>
                <w:rFonts w:ascii="Verdana" w:hAnsi="Verdana" w:cs="Arial"/>
                <w:sz w:val="16"/>
                <w:szCs w:val="16"/>
                <w:lang w:val="es-ES" w:eastAsia="es-ES"/>
              </w:rPr>
            </w:pPr>
            <w:r w:rsidRPr="008278B1">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7F962F87" w14:textId="77777777" w:rsidR="00E30D96" w:rsidRPr="008278B1" w:rsidRDefault="00E30D96" w:rsidP="00645FE8">
            <w:pPr>
              <w:contextualSpacing/>
              <w:rPr>
                <w:rFonts w:ascii="Verdana" w:eastAsia="Calibri" w:hAnsi="Verdana" w:cs="Arial"/>
                <w:sz w:val="16"/>
                <w:szCs w:val="16"/>
                <w:lang w:val="es-ES" w:eastAsia="es-ES"/>
              </w:rPr>
            </w:pPr>
            <w:r w:rsidRPr="008278B1">
              <w:rPr>
                <w:rFonts w:ascii="Verdana" w:eastAsia="Calibri" w:hAnsi="Verdana" w:cs="Arial"/>
                <w:sz w:val="16"/>
                <w:szCs w:val="16"/>
                <w:lang w:val="es-ES" w:eastAsia="es-ES"/>
              </w:rPr>
              <w:t>Carolina Quintero Gacharná</w:t>
            </w:r>
          </w:p>
          <w:p w14:paraId="3FAA5CDB" w14:textId="77777777" w:rsidR="00E30D96" w:rsidRPr="008278B1" w:rsidRDefault="00E30D96" w:rsidP="00645FE8">
            <w:pPr>
              <w:contextualSpacing/>
              <w:rPr>
                <w:rFonts w:ascii="Verdana" w:eastAsia="Calibri" w:hAnsi="Verdana" w:cs="Arial"/>
                <w:sz w:val="16"/>
                <w:szCs w:val="16"/>
                <w:lang w:val="es-ES" w:eastAsia="es-ES"/>
              </w:rPr>
            </w:pPr>
            <w:r w:rsidRPr="008278B1">
              <w:rPr>
                <w:rFonts w:ascii="Verdana" w:eastAsia="Calibri" w:hAnsi="Verdana" w:cs="Arial"/>
                <w:sz w:val="16"/>
                <w:szCs w:val="16"/>
                <w:lang w:val="es-ES" w:eastAsia="es-ES"/>
              </w:rPr>
              <w:t>Subdirectora de Gestión Contractual ANCP – CCE</w:t>
            </w:r>
          </w:p>
        </w:tc>
      </w:tr>
    </w:tbl>
    <w:p w14:paraId="29F9E7C3" w14:textId="77777777" w:rsidR="00E30D96" w:rsidRPr="00227361" w:rsidRDefault="00E30D96" w:rsidP="00E30D96">
      <w:pPr>
        <w:spacing w:after="0" w:line="256" w:lineRule="auto"/>
        <w:rPr>
          <w:rFonts w:ascii="Verdana" w:eastAsia="Calibri" w:hAnsi="Verdana" w:cs="Times New Roman"/>
          <w:lang w:val="es-ES"/>
        </w:rPr>
      </w:pPr>
    </w:p>
    <w:p w14:paraId="733CE626" w14:textId="77777777" w:rsidR="00E30D96" w:rsidRPr="008E53E8" w:rsidRDefault="00E30D96" w:rsidP="00E30D96">
      <w:pPr>
        <w:spacing w:after="0"/>
        <w:rPr>
          <w:rFonts w:ascii="Verdana" w:eastAsia="Verdana" w:hAnsi="Verdana" w:cs="Verdana"/>
          <w:lang w:val="es-ES"/>
        </w:rPr>
      </w:pPr>
    </w:p>
    <w:p w14:paraId="0256367F" w14:textId="3CB43930" w:rsidR="00E30D96" w:rsidRPr="004A75E3" w:rsidRDefault="00E30D96" w:rsidP="00E30D96">
      <w:pPr>
        <w:spacing w:after="0" w:line="256" w:lineRule="auto"/>
        <w:rPr>
          <w:rFonts w:ascii="Verdana" w:eastAsia="Calibri" w:hAnsi="Verdana" w:cs="Times New Roman"/>
          <w:lang w:val="es-ES"/>
        </w:rPr>
      </w:pPr>
    </w:p>
    <w:p w14:paraId="40754ED3" w14:textId="77777777" w:rsidR="00E30D96" w:rsidRDefault="00E30D96" w:rsidP="00E30D96">
      <w:pPr>
        <w:spacing w:after="0" w:line="256" w:lineRule="auto"/>
        <w:jc w:val="center"/>
        <w:rPr>
          <w:rFonts w:ascii="Verdana" w:eastAsia="Calibri" w:hAnsi="Verdana" w:cs="Times New Roman"/>
          <w:lang w:val="es-ES"/>
        </w:rPr>
      </w:pPr>
    </w:p>
    <w:p w14:paraId="6F5DC054" w14:textId="77777777" w:rsidR="00E30D96" w:rsidRDefault="00E30D96" w:rsidP="00E30D96">
      <w:pPr>
        <w:spacing w:after="0" w:line="256" w:lineRule="auto"/>
        <w:jc w:val="center"/>
        <w:rPr>
          <w:rFonts w:ascii="Verdana" w:eastAsia="Calibri" w:hAnsi="Verdana" w:cs="Times New Roman"/>
          <w:lang w:val="es-ES"/>
        </w:rPr>
      </w:pPr>
    </w:p>
    <w:p w14:paraId="7AA858E3" w14:textId="77777777" w:rsidR="00E30D96" w:rsidRDefault="00E30D96" w:rsidP="00E30D96">
      <w:pPr>
        <w:spacing w:after="0" w:line="256" w:lineRule="auto"/>
        <w:jc w:val="center"/>
        <w:rPr>
          <w:rFonts w:ascii="Verdana" w:eastAsia="Calibri" w:hAnsi="Verdana" w:cs="Times New Roman"/>
          <w:lang w:val="es-ES"/>
        </w:rPr>
      </w:pPr>
    </w:p>
    <w:p w14:paraId="2766FEC4" w14:textId="77777777" w:rsidR="00E30D96" w:rsidRPr="00CE45C7" w:rsidRDefault="00E30D96" w:rsidP="00E30D96">
      <w:pPr>
        <w:spacing w:after="0" w:line="256" w:lineRule="auto"/>
        <w:jc w:val="center"/>
        <w:rPr>
          <w:rFonts w:ascii="Verdana" w:eastAsia="Calibri" w:hAnsi="Verdana" w:cs="Times New Roman"/>
          <w:lang w:val="es-ES"/>
        </w:rPr>
      </w:pPr>
    </w:p>
    <w:p w14:paraId="35487A3F" w14:textId="77777777" w:rsidR="00E30D96" w:rsidRPr="00CE45C7" w:rsidRDefault="00E30D96" w:rsidP="00E30D96">
      <w:pPr>
        <w:spacing w:after="0"/>
        <w:rPr>
          <w:rFonts w:ascii="Verdana" w:eastAsia="Verdana" w:hAnsi="Verdana" w:cs="Verdana"/>
          <w:lang w:val="es-ES"/>
        </w:rPr>
      </w:pPr>
    </w:p>
    <w:p w14:paraId="3886A2F2" w14:textId="77777777" w:rsidR="00E30D96" w:rsidRPr="002D2F11" w:rsidRDefault="00E30D96" w:rsidP="00E30D96">
      <w:pPr>
        <w:rPr>
          <w:lang w:val="es-ES"/>
        </w:rPr>
      </w:pPr>
    </w:p>
    <w:bookmarkEnd w:id="0"/>
    <w:p w14:paraId="12443EE0" w14:textId="77777777" w:rsidR="00C15139" w:rsidRPr="0024624F" w:rsidRDefault="00C15139" w:rsidP="30821638">
      <w:pPr>
        <w:spacing w:after="0"/>
        <w:rPr>
          <w:rFonts w:ascii="Verdana" w:eastAsia="Verdana" w:hAnsi="Verdana" w:cs="Verdana"/>
        </w:rPr>
      </w:pPr>
    </w:p>
    <w:sectPr w:rsidR="00C15139" w:rsidRPr="0024624F" w:rsidSect="007C0C0F">
      <w:headerReference w:type="default" r:id="rId15"/>
      <w:footerReference w:type="default" r:id="rId16"/>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30CA2" w14:textId="77777777" w:rsidR="001E6E96" w:rsidRDefault="001E6E96" w:rsidP="004A1847">
      <w:pPr>
        <w:spacing w:after="0" w:line="240" w:lineRule="auto"/>
      </w:pPr>
      <w:r>
        <w:separator/>
      </w:r>
    </w:p>
  </w:endnote>
  <w:endnote w:type="continuationSeparator" w:id="0">
    <w:p w14:paraId="1437F80A" w14:textId="77777777" w:rsidR="001E6E96" w:rsidRDefault="001E6E96"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BCDHEE+Verdana">
    <w:altName w:val="Verdana"/>
    <w:panose1 w:val="00000000000000000000"/>
    <w:charset w:val="00"/>
    <w:family w:val="swiss"/>
    <w:notTrueType/>
    <w:pitch w:val="default"/>
    <w:sig w:usb0="00000003" w:usb1="00000000" w:usb2="00000000" w:usb3="00000000" w:csb0="00000001"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C7682" w14:textId="77777777" w:rsidR="001E6E96" w:rsidRDefault="001E6E96" w:rsidP="004A1847">
      <w:pPr>
        <w:spacing w:after="0" w:line="240" w:lineRule="auto"/>
      </w:pPr>
      <w:r>
        <w:separator/>
      </w:r>
    </w:p>
  </w:footnote>
  <w:footnote w:type="continuationSeparator" w:id="0">
    <w:p w14:paraId="41D6B313" w14:textId="77777777" w:rsidR="001E6E96" w:rsidRDefault="001E6E96" w:rsidP="004A1847">
      <w:pPr>
        <w:spacing w:after="0" w:line="240" w:lineRule="auto"/>
      </w:pPr>
      <w:r>
        <w:continuationSeparator/>
      </w:r>
    </w:p>
  </w:footnote>
  <w:footnote w:id="1">
    <w:p w14:paraId="46AA364E" w14:textId="77777777" w:rsidR="00E30D96" w:rsidRPr="00104FCB" w:rsidRDefault="00E30D96" w:rsidP="00E30D96">
      <w:pPr>
        <w:pStyle w:val="Textonotapie"/>
        <w:ind w:firstLine="709"/>
        <w:jc w:val="both"/>
        <w:rPr>
          <w:rFonts w:ascii="Verdana" w:hAnsi="Verdana" w:cs="Arial"/>
          <w:sz w:val="16"/>
          <w:szCs w:val="16"/>
        </w:rPr>
      </w:pPr>
      <w:r w:rsidRPr="00104FCB">
        <w:rPr>
          <w:rStyle w:val="Refdenotaalpie"/>
          <w:rFonts w:ascii="Verdana" w:hAnsi="Verdana" w:cs="Arial"/>
          <w:sz w:val="16"/>
          <w:szCs w:val="16"/>
        </w:rPr>
        <w:footnoteRef/>
      </w:r>
      <w:r w:rsidRPr="00104FCB">
        <w:rPr>
          <w:rFonts w:ascii="Verdana" w:hAnsi="Verdana" w:cs="Arial"/>
          <w:sz w:val="16"/>
          <w:szCs w:val="16"/>
        </w:rPr>
        <w:t xml:space="preserve"> Gaceta del Congreso de la República No. 71 del 2005.</w:t>
      </w:r>
    </w:p>
    <w:p w14:paraId="0AF22D46" w14:textId="77777777" w:rsidR="00E30D96" w:rsidRPr="00104FCB" w:rsidRDefault="00E30D96" w:rsidP="00E30D96">
      <w:pPr>
        <w:pStyle w:val="Textonotapie"/>
        <w:ind w:firstLine="709"/>
        <w:jc w:val="both"/>
        <w:rPr>
          <w:rFonts w:ascii="Verdana" w:hAnsi="Verdana" w:cs="Arial"/>
          <w:sz w:val="16"/>
          <w:szCs w:val="16"/>
        </w:rPr>
      </w:pPr>
    </w:p>
  </w:footnote>
  <w:footnote w:id="2">
    <w:p w14:paraId="07BF8F3B" w14:textId="77777777" w:rsidR="00E30D96" w:rsidRPr="00104FCB" w:rsidRDefault="00E30D96" w:rsidP="00E30D96">
      <w:pPr>
        <w:pStyle w:val="Textonotapie"/>
        <w:ind w:firstLine="709"/>
        <w:jc w:val="both"/>
        <w:rPr>
          <w:rFonts w:ascii="Verdana" w:hAnsi="Verdana" w:cs="Arial"/>
          <w:sz w:val="16"/>
          <w:szCs w:val="16"/>
          <w:lang w:val="pt-BR"/>
        </w:rPr>
      </w:pPr>
      <w:r w:rsidRPr="00104FCB">
        <w:rPr>
          <w:rStyle w:val="Refdenotaalpie"/>
          <w:rFonts w:ascii="Verdana" w:hAnsi="Verdana" w:cs="Arial"/>
          <w:sz w:val="16"/>
          <w:szCs w:val="16"/>
        </w:rPr>
        <w:footnoteRef/>
      </w:r>
      <w:r w:rsidRPr="00104FCB">
        <w:rPr>
          <w:rFonts w:ascii="Verdana" w:hAnsi="Verdana" w:cs="Arial"/>
          <w:sz w:val="16"/>
          <w:szCs w:val="16"/>
          <w:lang w:val="pt-BR"/>
        </w:rPr>
        <w:t xml:space="preserve"> Corte Constitucional, Sentencia C- 1153 de 2005, M.P. Marco Gerardo Monroy Cabra.</w:t>
      </w:r>
    </w:p>
    <w:p w14:paraId="5AE671C5" w14:textId="77777777" w:rsidR="00E30D96" w:rsidRPr="00104FCB" w:rsidRDefault="00E30D96" w:rsidP="00E30D96">
      <w:pPr>
        <w:pStyle w:val="Textonotapie"/>
        <w:ind w:firstLine="709"/>
        <w:jc w:val="both"/>
        <w:rPr>
          <w:rFonts w:ascii="Verdana" w:hAnsi="Verdana" w:cs="Arial"/>
          <w:sz w:val="16"/>
          <w:szCs w:val="16"/>
          <w:lang w:val="pt-BR"/>
        </w:rPr>
      </w:pPr>
    </w:p>
  </w:footnote>
  <w:footnote w:id="3">
    <w:p w14:paraId="55A77A44" w14:textId="77777777" w:rsidR="00E30D96" w:rsidRPr="00104FCB" w:rsidRDefault="00E30D96" w:rsidP="00E30D96">
      <w:pPr>
        <w:pStyle w:val="Textonotapie"/>
        <w:ind w:firstLine="709"/>
        <w:jc w:val="both"/>
        <w:rPr>
          <w:rFonts w:ascii="Verdana" w:hAnsi="Verdana" w:cs="Arial"/>
          <w:sz w:val="16"/>
          <w:szCs w:val="16"/>
          <w:lang w:val="pt-BR"/>
        </w:rPr>
      </w:pPr>
      <w:r w:rsidRPr="00104FCB">
        <w:rPr>
          <w:rStyle w:val="Refdenotaalpie"/>
          <w:rFonts w:ascii="Verdana" w:hAnsi="Verdana" w:cs="Arial"/>
          <w:sz w:val="16"/>
          <w:szCs w:val="16"/>
        </w:rPr>
        <w:footnoteRef/>
      </w:r>
      <w:r w:rsidRPr="00104FCB">
        <w:rPr>
          <w:rFonts w:ascii="Verdana" w:hAnsi="Verdana" w:cs="Arial"/>
          <w:sz w:val="16"/>
          <w:szCs w:val="16"/>
          <w:lang w:val="pt-BR"/>
        </w:rPr>
        <w:t xml:space="preserve"> Corte Constitucional. Sentencias: C-233 de 4 de abril de 2002, expediente: D-3704; C-551 de 9 de julio de 2003, expediente: CRF-001 de 9 de julio de 2003; C-652 de 5 de agosto de 2003, expediente: D-4330; C-353 de 20 de mayo de 2009, expediente: D-7518, C-541 de 30 de junio de 2010, expediente: DD7966; entre otras.</w:t>
      </w:r>
    </w:p>
    <w:p w14:paraId="150A6B88" w14:textId="77777777" w:rsidR="00E30D96" w:rsidRPr="00104FCB" w:rsidRDefault="00E30D96" w:rsidP="00E30D96">
      <w:pPr>
        <w:pStyle w:val="Textonotapie"/>
        <w:ind w:firstLine="709"/>
        <w:jc w:val="both"/>
        <w:rPr>
          <w:rFonts w:ascii="Verdana" w:hAnsi="Verdana" w:cs="Arial"/>
          <w:sz w:val="16"/>
          <w:szCs w:val="16"/>
          <w:lang w:val="pt-BR"/>
        </w:rPr>
      </w:pPr>
    </w:p>
  </w:footnote>
  <w:footnote w:id="4">
    <w:p w14:paraId="4BCBF84D" w14:textId="77777777" w:rsidR="00E30D96" w:rsidRPr="00104FCB" w:rsidRDefault="00E30D96" w:rsidP="00E30D96">
      <w:pPr>
        <w:pStyle w:val="Textonotapie"/>
        <w:ind w:firstLine="709"/>
        <w:jc w:val="both"/>
        <w:rPr>
          <w:rFonts w:ascii="Verdana" w:hAnsi="Verdana" w:cs="Arial"/>
          <w:sz w:val="16"/>
          <w:szCs w:val="16"/>
          <w:lang w:val="es-CO"/>
        </w:rPr>
      </w:pPr>
      <w:r w:rsidRPr="00104FCB">
        <w:rPr>
          <w:rStyle w:val="Refdenotaalpie"/>
          <w:rFonts w:ascii="Verdana" w:hAnsi="Verdana" w:cs="Arial"/>
          <w:sz w:val="16"/>
          <w:szCs w:val="16"/>
        </w:rPr>
        <w:footnoteRef/>
      </w:r>
      <w:r w:rsidRPr="00104FCB">
        <w:rPr>
          <w:rFonts w:ascii="Verdana" w:hAnsi="Verdana" w:cs="Arial"/>
          <w:sz w:val="16"/>
          <w:szCs w:val="16"/>
          <w:lang w:val="es-CO"/>
        </w:rPr>
        <w:t xml:space="preserve"> Consejo de Estado, Sala de lo Contencioso Administrativo, Sección Primera. Sentencia de 3 de marzo de 2005, expediente número 2004-00823-01(PI). Ver también, de la Sección Tercera. Sentencia de 22 de enero de 2002, expediente número 2001-0148-01 y, Sección Tercera. Sentencia de 20 de noviembre de 2001, expediente número 2001-0130-01(PI), entre otras.</w:t>
      </w:r>
    </w:p>
    <w:p w14:paraId="6B018F24" w14:textId="77777777" w:rsidR="00E30D96" w:rsidRPr="00104FCB" w:rsidRDefault="00E30D96" w:rsidP="00E30D96">
      <w:pPr>
        <w:pStyle w:val="Textonotapie"/>
        <w:ind w:firstLine="709"/>
        <w:jc w:val="both"/>
        <w:rPr>
          <w:rFonts w:ascii="Verdana" w:hAnsi="Verdana" w:cs="Arial"/>
          <w:sz w:val="16"/>
          <w:szCs w:val="16"/>
          <w:lang w:val="es-CO"/>
        </w:rPr>
      </w:pPr>
    </w:p>
  </w:footnote>
  <w:footnote w:id="5">
    <w:p w14:paraId="35DD4ADF" w14:textId="77777777" w:rsidR="00E30D96" w:rsidRPr="00104FCB" w:rsidRDefault="00E30D96" w:rsidP="00E30D96">
      <w:pPr>
        <w:pStyle w:val="Textonotapie"/>
        <w:ind w:firstLine="709"/>
        <w:jc w:val="both"/>
        <w:rPr>
          <w:rFonts w:ascii="Verdana" w:hAnsi="Verdana" w:cs="Arial"/>
          <w:sz w:val="16"/>
          <w:szCs w:val="16"/>
        </w:rPr>
      </w:pPr>
      <w:r w:rsidRPr="00104FCB">
        <w:rPr>
          <w:rStyle w:val="Refdenotaalpie"/>
          <w:rFonts w:ascii="Verdana" w:hAnsi="Verdana" w:cs="Arial"/>
          <w:sz w:val="16"/>
          <w:szCs w:val="16"/>
        </w:rPr>
        <w:footnoteRef/>
      </w:r>
      <w:r w:rsidRPr="00104FCB">
        <w:rPr>
          <w:rFonts w:ascii="Verdana" w:hAnsi="Verdana" w:cs="Arial"/>
          <w:sz w:val="16"/>
          <w:szCs w:val="16"/>
        </w:rPr>
        <w:t xml:space="preserve"> Consejo de Estado, Sala de Consulta y Servicio Civil de fecha 24 de julio de 2013, Rad. 2166, C. P. Álvaro Namén Vargas.  </w:t>
      </w:r>
    </w:p>
    <w:p w14:paraId="058E0AFB" w14:textId="77777777" w:rsidR="00E30D96" w:rsidRPr="00104FCB" w:rsidRDefault="00E30D96" w:rsidP="00E30D96">
      <w:pPr>
        <w:pStyle w:val="Textonotapie"/>
        <w:ind w:firstLine="709"/>
        <w:jc w:val="both"/>
        <w:rPr>
          <w:rFonts w:ascii="Verdana" w:hAnsi="Verdana" w:cs="Arial"/>
          <w:sz w:val="16"/>
          <w:szCs w:val="16"/>
        </w:rPr>
      </w:pPr>
    </w:p>
  </w:footnote>
  <w:footnote w:id="6">
    <w:p w14:paraId="3547FAFA" w14:textId="77777777" w:rsidR="00E30D96" w:rsidRPr="00104FCB" w:rsidRDefault="00E30D96" w:rsidP="00E30D96">
      <w:pPr>
        <w:pStyle w:val="Textonotapie"/>
        <w:ind w:firstLine="709"/>
        <w:jc w:val="both"/>
        <w:rPr>
          <w:rFonts w:ascii="Verdana" w:hAnsi="Verdana"/>
          <w:sz w:val="16"/>
          <w:szCs w:val="16"/>
        </w:rPr>
      </w:pPr>
      <w:r w:rsidRPr="00104FCB">
        <w:rPr>
          <w:rStyle w:val="Refdenotaalpie"/>
          <w:rFonts w:ascii="Verdana" w:hAnsi="Verdana"/>
          <w:sz w:val="16"/>
          <w:szCs w:val="16"/>
        </w:rPr>
        <w:footnoteRef/>
      </w:r>
      <w:r w:rsidRPr="00104FCB">
        <w:rPr>
          <w:rFonts w:ascii="Verdana" w:hAnsi="Verdana"/>
          <w:sz w:val="16"/>
          <w:szCs w:val="16"/>
        </w:rPr>
        <w:t xml:space="preserve"> Consejo de Estado. Sala de Consulta y Servicio Civil. Concepto del 08 de mayo de 2018. Exp. 2.382. C.P. Álvaro Namén Vargas.</w:t>
      </w:r>
    </w:p>
    <w:p w14:paraId="257420B7" w14:textId="77777777" w:rsidR="00E30D96" w:rsidRPr="00104FCB" w:rsidRDefault="00E30D96" w:rsidP="00E30D96">
      <w:pPr>
        <w:pStyle w:val="Textonotapie"/>
        <w:ind w:firstLine="709"/>
        <w:jc w:val="both"/>
        <w:rPr>
          <w:rFonts w:ascii="Verdana" w:hAnsi="Verdana"/>
          <w:sz w:val="16"/>
          <w:szCs w:val="16"/>
          <w:lang w:val="es-ES"/>
        </w:rPr>
      </w:pPr>
    </w:p>
  </w:footnote>
  <w:footnote w:id="7">
    <w:p w14:paraId="7317C26D" w14:textId="77777777" w:rsidR="00E30D96" w:rsidRPr="00B96E97" w:rsidRDefault="00E30D96" w:rsidP="00E30D96">
      <w:pPr>
        <w:pStyle w:val="Textonotapie"/>
        <w:ind w:firstLine="708"/>
        <w:jc w:val="both"/>
        <w:rPr>
          <w:rFonts w:ascii="Verdana" w:hAnsi="Verdana"/>
          <w:sz w:val="16"/>
          <w:szCs w:val="16"/>
          <w:lang w:val="es-ES"/>
        </w:rPr>
      </w:pPr>
      <w:r w:rsidRPr="00B96E97">
        <w:rPr>
          <w:rStyle w:val="Refdenotaalpie"/>
          <w:rFonts w:ascii="Verdana" w:hAnsi="Verdana"/>
          <w:sz w:val="16"/>
          <w:szCs w:val="16"/>
        </w:rPr>
        <w:footnoteRef/>
      </w:r>
      <w:r w:rsidRPr="00B96E97">
        <w:rPr>
          <w:rFonts w:ascii="Verdana" w:hAnsi="Verdana"/>
          <w:sz w:val="16"/>
          <w:szCs w:val="16"/>
        </w:rPr>
        <w:t xml:space="preserve"> </w:t>
      </w:r>
      <w:r w:rsidRPr="00B96E97">
        <w:rPr>
          <w:rFonts w:ascii="Verdana" w:hAnsi="Verdana"/>
          <w:sz w:val="16"/>
          <w:szCs w:val="16"/>
          <w:lang w:val="es-ES"/>
        </w:rPr>
        <w:t xml:space="preserve">Ley 60 de 1993 y Ley 715 de 2001. </w:t>
      </w:r>
    </w:p>
    <w:p w14:paraId="718AC768" w14:textId="77777777" w:rsidR="00E30D96" w:rsidRPr="00B96E97" w:rsidRDefault="00E30D96" w:rsidP="00E30D96">
      <w:pPr>
        <w:pStyle w:val="Textonotapie"/>
        <w:jc w:val="both"/>
        <w:rPr>
          <w:rFonts w:ascii="Verdana" w:hAnsi="Verdana"/>
          <w:sz w:val="16"/>
          <w:szCs w:val="16"/>
          <w:lang w:val="es-ES"/>
        </w:rPr>
      </w:pPr>
    </w:p>
  </w:footnote>
  <w:footnote w:id="8">
    <w:p w14:paraId="7410CBB3" w14:textId="77777777" w:rsidR="00E30D96" w:rsidRPr="00104FCB" w:rsidRDefault="00E30D96" w:rsidP="00E30D96">
      <w:pPr>
        <w:pStyle w:val="Textonotapie"/>
        <w:ind w:firstLine="708"/>
        <w:jc w:val="both"/>
        <w:rPr>
          <w:rFonts w:ascii="Verdana" w:hAnsi="Verdana" w:cs="Arial"/>
          <w:color w:val="000000" w:themeColor="text1"/>
          <w:sz w:val="16"/>
          <w:szCs w:val="16"/>
        </w:rPr>
      </w:pPr>
      <w:r w:rsidRPr="00104FCB">
        <w:rPr>
          <w:rStyle w:val="Refdenotaalpie"/>
          <w:rFonts w:ascii="Verdana" w:hAnsi="Verdana" w:cs="Arial"/>
          <w:color w:val="000000" w:themeColor="text1"/>
          <w:sz w:val="16"/>
          <w:szCs w:val="16"/>
        </w:rPr>
        <w:footnoteRef/>
      </w:r>
      <w:r w:rsidRPr="00104FCB">
        <w:rPr>
          <w:rFonts w:ascii="Verdana" w:hAnsi="Verdana" w:cs="Arial"/>
          <w:color w:val="000000" w:themeColor="text1"/>
          <w:sz w:val="16"/>
          <w:szCs w:val="16"/>
        </w:rPr>
        <w:t xml:space="preserve"> “Artículo 11. Fondos De Servicios Educativos. Las instituciones educativas estatales podrán administrar Fondos de Servicios Educativos en los cuales se manejarán los recursos destinados a financiar gastos distintos a los de personal, que faciliten el funcionamiento de la institución”.</w:t>
      </w:r>
    </w:p>
  </w:footnote>
  <w:footnote w:id="9">
    <w:p w14:paraId="43639A06" w14:textId="77777777" w:rsidR="00E30D96" w:rsidRPr="00104FCB" w:rsidRDefault="00E30D96" w:rsidP="00E30D96">
      <w:pPr>
        <w:pStyle w:val="Textonotapie"/>
        <w:ind w:firstLine="708"/>
        <w:jc w:val="both"/>
        <w:rPr>
          <w:rFonts w:ascii="Verdana" w:hAnsi="Verdana" w:cs="Arial"/>
          <w:color w:val="000000" w:themeColor="text1"/>
          <w:sz w:val="16"/>
          <w:szCs w:val="16"/>
        </w:rPr>
      </w:pPr>
    </w:p>
    <w:p w14:paraId="5F18A5BB" w14:textId="77777777" w:rsidR="00E30D96" w:rsidRPr="00104FCB" w:rsidRDefault="00E30D96" w:rsidP="00E30D96">
      <w:pPr>
        <w:pStyle w:val="Textonotapie"/>
        <w:ind w:firstLine="708"/>
        <w:jc w:val="both"/>
        <w:rPr>
          <w:rFonts w:ascii="Verdana" w:hAnsi="Verdana" w:cs="Arial"/>
          <w:color w:val="000000" w:themeColor="text1"/>
          <w:sz w:val="16"/>
          <w:szCs w:val="16"/>
        </w:rPr>
      </w:pPr>
      <w:r w:rsidRPr="00104FCB">
        <w:rPr>
          <w:rStyle w:val="Refdenotaalpie"/>
          <w:rFonts w:ascii="Verdana" w:hAnsi="Verdana" w:cs="Arial"/>
          <w:color w:val="000000" w:themeColor="text1"/>
          <w:sz w:val="16"/>
          <w:szCs w:val="16"/>
        </w:rPr>
        <w:footnoteRef/>
      </w:r>
      <w:r w:rsidRPr="00104FCB">
        <w:rPr>
          <w:rStyle w:val="Refdenotaalpie"/>
          <w:rFonts w:ascii="Verdana" w:hAnsi="Verdana" w:cs="Arial"/>
          <w:color w:val="000000" w:themeColor="text1"/>
          <w:sz w:val="16"/>
          <w:szCs w:val="16"/>
        </w:rPr>
        <w:t xml:space="preserve"> </w:t>
      </w:r>
      <w:r w:rsidRPr="00104FCB">
        <w:rPr>
          <w:rFonts w:ascii="Verdana" w:hAnsi="Verdana" w:cs="Arial"/>
          <w:color w:val="000000" w:themeColor="text1"/>
          <w:sz w:val="16"/>
          <w:szCs w:val="16"/>
        </w:rPr>
        <w:t>Consejo de Estado. Sección Tercera Subsección A. Sentencia del 12 de octubre de 2017. Consejera Ponente: Marta Nubia Velásquez Rico. Radicación número: 68001-23-31-000-2005-03845-01(51.634).</w:t>
      </w:r>
    </w:p>
    <w:p w14:paraId="4F9AD0B2" w14:textId="77777777" w:rsidR="00E30D96" w:rsidRPr="00104FCB" w:rsidRDefault="00E30D96" w:rsidP="00E30D96">
      <w:pPr>
        <w:pStyle w:val="Textonotapie"/>
        <w:ind w:firstLine="708"/>
        <w:jc w:val="both"/>
        <w:rPr>
          <w:rFonts w:ascii="Verdana" w:hAnsi="Verdana" w:cs="Arial"/>
          <w:color w:val="000000" w:themeColor="text1"/>
          <w:sz w:val="16"/>
          <w:szCs w:val="16"/>
        </w:rPr>
      </w:pPr>
    </w:p>
  </w:footnote>
  <w:footnote w:id="10">
    <w:p w14:paraId="01452DBC" w14:textId="77777777" w:rsidR="00E30D96" w:rsidRPr="00104FCB" w:rsidRDefault="00E30D96" w:rsidP="00E30D96">
      <w:pPr>
        <w:pStyle w:val="NormalWeb"/>
        <w:spacing w:before="0" w:beforeAutospacing="0" w:after="0" w:afterAutospacing="0"/>
        <w:ind w:firstLine="708"/>
        <w:jc w:val="both"/>
        <w:rPr>
          <w:rFonts w:ascii="Verdana" w:hAnsi="Verdana" w:cs="Arial"/>
          <w:sz w:val="16"/>
          <w:szCs w:val="16"/>
        </w:rPr>
      </w:pPr>
      <w:r w:rsidRPr="00104FCB">
        <w:rPr>
          <w:rStyle w:val="Refdenotaalpie"/>
          <w:rFonts w:ascii="Verdana" w:hAnsi="Verdana" w:cs="Arial"/>
          <w:sz w:val="16"/>
          <w:szCs w:val="16"/>
        </w:rPr>
        <w:footnoteRef/>
      </w:r>
      <w:r w:rsidRPr="00104FCB">
        <w:rPr>
          <w:rStyle w:val="Refdenotaalpie"/>
          <w:rFonts w:ascii="Verdana" w:hAnsi="Verdana" w:cs="Arial"/>
          <w:sz w:val="16"/>
          <w:szCs w:val="16"/>
        </w:rPr>
        <w:t xml:space="preserve"> </w:t>
      </w:r>
      <w:r w:rsidRPr="00104FCB">
        <w:rPr>
          <w:rFonts w:ascii="Verdana" w:hAnsi="Verdana" w:cs="Arial"/>
          <w:sz w:val="16"/>
          <w:szCs w:val="16"/>
        </w:rPr>
        <w:t>“Artículo 13. Procedimientos de contratación de los fondos de servicios educativos. Todos los actos y contratos que tengan por objeto bienes y obligaciones que hayan de registrarse en la contabilidad de los Fondos de servicios educativos a los que se refiere el artículo anterior, se harán respetando los principios de igualdad, moralidad, imparcialidad y publicidad, aplicados en forma razonable a las circunstancias concretas en las que hayan de celebrarse. Se harán con el propósito fundamental de proteger los derechos de los niños y de los jóvenes, y de conseguir eficacia y celeridad en la atención del servicio educativo, y economía en el uso de los recursos públicos.</w:t>
      </w:r>
    </w:p>
    <w:p w14:paraId="55F83C71" w14:textId="77777777" w:rsidR="00E30D96" w:rsidRPr="00104FCB" w:rsidRDefault="00E30D96" w:rsidP="00E30D96">
      <w:pPr>
        <w:spacing w:after="0" w:line="240" w:lineRule="auto"/>
        <w:ind w:firstLine="708"/>
        <w:jc w:val="both"/>
        <w:rPr>
          <w:rFonts w:ascii="Verdana" w:hAnsi="Verdana" w:cs="Arial"/>
          <w:sz w:val="16"/>
          <w:szCs w:val="16"/>
          <w:lang w:eastAsia="es-CO"/>
        </w:rPr>
      </w:pPr>
      <w:r w:rsidRPr="00104FCB">
        <w:rPr>
          <w:rFonts w:ascii="Verdana" w:hAnsi="Verdana" w:cs="Arial"/>
          <w:sz w:val="16"/>
          <w:szCs w:val="16"/>
          <w:lang w:eastAsia="es-CO"/>
        </w:rPr>
        <w:t xml:space="preserve">“Los actos y contratos de cuantía superior a veinte (20) salarios mínimos mensuales se regirán por las reglas de la contratación estatal, teniendo en cuenta su valor y naturaleza, y las circunstancias en las que se celebren. El Gobierno Nacional podrá indicar los casos en los cuales la cuantía señalada en el presente inciso será menor. </w:t>
      </w:r>
    </w:p>
    <w:p w14:paraId="2F33AF44" w14:textId="77777777" w:rsidR="00E30D96" w:rsidRPr="00104FCB" w:rsidRDefault="00E30D96" w:rsidP="00E30D96">
      <w:pPr>
        <w:spacing w:after="0" w:line="240" w:lineRule="auto"/>
        <w:ind w:firstLine="708"/>
        <w:jc w:val="both"/>
        <w:rPr>
          <w:rFonts w:ascii="Verdana" w:hAnsi="Verdana" w:cs="Arial"/>
          <w:sz w:val="16"/>
          <w:szCs w:val="16"/>
          <w:lang w:eastAsia="es-CO"/>
        </w:rPr>
      </w:pPr>
      <w:r w:rsidRPr="00104FCB">
        <w:rPr>
          <w:rFonts w:ascii="Verdana" w:hAnsi="Verdana" w:cs="Arial"/>
          <w:sz w:val="16"/>
          <w:szCs w:val="16"/>
          <w:lang w:eastAsia="es-CO"/>
        </w:rPr>
        <w:t>“El rector o director celebrará los contratos que hayan de pagarse con cargo a los recursos vinculados a los Fondos, en las condiciones y dentro de los límites que fijen los reglamentos.</w:t>
      </w:r>
    </w:p>
    <w:p w14:paraId="6CD79E70" w14:textId="77777777" w:rsidR="00E30D96" w:rsidRPr="00104FCB" w:rsidRDefault="00E30D96" w:rsidP="00E30D96">
      <w:pPr>
        <w:spacing w:after="0" w:line="240" w:lineRule="auto"/>
        <w:ind w:firstLine="708"/>
        <w:jc w:val="both"/>
        <w:rPr>
          <w:rFonts w:ascii="Verdana" w:hAnsi="Verdana" w:cs="Arial"/>
          <w:sz w:val="16"/>
          <w:szCs w:val="16"/>
          <w:lang w:eastAsia="es-CO"/>
        </w:rPr>
      </w:pPr>
      <w:r w:rsidRPr="00104FCB">
        <w:rPr>
          <w:rFonts w:ascii="Verdana" w:hAnsi="Verdana" w:cs="Arial"/>
          <w:sz w:val="16"/>
          <w:szCs w:val="16"/>
          <w:lang w:eastAsia="es-CO"/>
        </w:rPr>
        <w:t>“</w:t>
      </w:r>
      <w:r w:rsidRPr="00104FCB">
        <w:rPr>
          <w:rFonts w:ascii="Verdana" w:hAnsi="Verdana" w:cs="Arial"/>
          <w:i/>
          <w:iCs/>
          <w:sz w:val="16"/>
          <w:szCs w:val="16"/>
          <w:lang w:eastAsia="es-CO"/>
        </w:rPr>
        <w:t xml:space="preserve">Con estricta sujeción a los principios y propósitos enunciados en el primer inciso de este artículo, y a los reglamentos de esta Ley, el Consejo Directivo de cada establecimiento podrá señalar, con base en la experiencia y en el análisis concreto de las necesidades del establecimiento, </w:t>
      </w:r>
      <w:bookmarkStart w:id="8" w:name="_Hlk61284561"/>
      <w:r w:rsidRPr="00104FCB">
        <w:rPr>
          <w:rFonts w:ascii="Verdana" w:hAnsi="Verdana" w:cs="Arial"/>
          <w:i/>
          <w:iCs/>
          <w:sz w:val="16"/>
          <w:szCs w:val="16"/>
          <w:lang w:eastAsia="es-CO"/>
        </w:rPr>
        <w:t>los trámites, garantías y constancias que deben cumplirse para que el rector o director celebre cualquier acto o contrato que cree, extinga o modifique obligaciones que deban registrarse en el Fondo</w:t>
      </w:r>
      <w:bookmarkEnd w:id="8"/>
      <w:r w:rsidRPr="00104FCB">
        <w:rPr>
          <w:rFonts w:ascii="Verdana" w:hAnsi="Verdana" w:cs="Arial"/>
          <w:i/>
          <w:iCs/>
          <w:sz w:val="16"/>
          <w:szCs w:val="16"/>
          <w:lang w:eastAsia="es-CO"/>
        </w:rPr>
        <w:t>, y cuya cuantía sea inferior a veinte (20) salarios mínimos mensuales. El Consejo puede exigir, además, que ciertos actos o contratos requieran una autorización suya específica</w:t>
      </w:r>
      <w:r w:rsidRPr="00104FCB">
        <w:rPr>
          <w:rFonts w:ascii="Verdana" w:hAnsi="Verdana" w:cs="Arial"/>
          <w:sz w:val="16"/>
          <w:szCs w:val="16"/>
          <w:lang w:eastAsia="es-CO"/>
        </w:rPr>
        <w:t>.</w:t>
      </w:r>
    </w:p>
    <w:p w14:paraId="26E62D9E" w14:textId="77777777" w:rsidR="00E30D96" w:rsidRPr="00104FCB" w:rsidRDefault="00E30D96" w:rsidP="00E30D96">
      <w:pPr>
        <w:spacing w:after="0" w:line="240" w:lineRule="auto"/>
        <w:ind w:firstLine="708"/>
        <w:jc w:val="both"/>
        <w:rPr>
          <w:rFonts w:ascii="Verdana" w:hAnsi="Verdana" w:cs="Arial"/>
          <w:sz w:val="16"/>
          <w:szCs w:val="16"/>
          <w:lang w:eastAsia="es-CO"/>
        </w:rPr>
      </w:pPr>
      <w:r w:rsidRPr="00104FCB">
        <w:rPr>
          <w:rFonts w:ascii="Verdana" w:hAnsi="Verdana" w:cs="Arial"/>
          <w:sz w:val="16"/>
          <w:szCs w:val="16"/>
          <w:lang w:eastAsia="es-CO"/>
        </w:rPr>
        <w:t>[…]” (Énfasis fuera de texto).</w:t>
      </w:r>
    </w:p>
    <w:p w14:paraId="6770D4D9" w14:textId="77777777" w:rsidR="00E30D96" w:rsidRPr="00104FCB" w:rsidRDefault="00E30D96" w:rsidP="00E30D96">
      <w:pPr>
        <w:spacing w:after="0" w:line="240" w:lineRule="auto"/>
        <w:ind w:firstLine="708"/>
        <w:jc w:val="both"/>
        <w:rPr>
          <w:rFonts w:ascii="Verdana" w:hAnsi="Verdana" w:cs="Arial"/>
          <w:sz w:val="16"/>
          <w:szCs w:val="16"/>
          <w:lang w:eastAsia="es-CO"/>
        </w:rPr>
      </w:pPr>
    </w:p>
    <w:p w14:paraId="6EA2697D" w14:textId="77777777" w:rsidR="00E30D96" w:rsidRPr="00104FCB" w:rsidRDefault="00E30D96" w:rsidP="00E30D96">
      <w:pPr>
        <w:pStyle w:val="Textonotapie"/>
        <w:ind w:firstLine="708"/>
        <w:jc w:val="both"/>
        <w:rPr>
          <w:rFonts w:ascii="Verdana" w:hAnsi="Verdana" w:cs="Arial"/>
          <w:color w:val="000000" w:themeColor="text1"/>
          <w:sz w:val="16"/>
          <w:szCs w:val="16"/>
        </w:rPr>
      </w:pPr>
      <w:r w:rsidRPr="00104FCB">
        <w:rPr>
          <w:rFonts w:ascii="Verdana" w:hAnsi="Verdana" w:cs="Arial"/>
          <w:color w:val="000000" w:themeColor="text1"/>
          <w:sz w:val="16"/>
          <w:szCs w:val="16"/>
        </w:rPr>
        <w:t>Decreto 1075 de 2015: “Artículo 2.3.1.6.3.5. Funciones del Consejo Directivo. (…) 6. Reglamentar mediante acuerdo los procedimientos, formalidades y garantías para toda contratación que no supere los veinte (20) salarios mínimos legales mensuales vigentes (SMLMV)”.</w:t>
      </w:r>
    </w:p>
  </w:footnote>
  <w:footnote w:id="11">
    <w:p w14:paraId="67B5C663" w14:textId="77777777" w:rsidR="00E30D96" w:rsidRPr="00104FCB" w:rsidRDefault="00E30D96" w:rsidP="00E30D96">
      <w:pPr>
        <w:pStyle w:val="Textonotapie"/>
        <w:ind w:firstLine="708"/>
        <w:jc w:val="both"/>
        <w:rPr>
          <w:rFonts w:ascii="Verdana" w:hAnsi="Verdana" w:cs="Arial"/>
          <w:sz w:val="16"/>
          <w:szCs w:val="16"/>
        </w:rPr>
      </w:pPr>
      <w:r w:rsidRPr="00104FCB">
        <w:rPr>
          <w:rStyle w:val="Refdenotaalpie"/>
          <w:rFonts w:ascii="Verdana" w:hAnsi="Verdana" w:cs="Arial"/>
          <w:sz w:val="16"/>
          <w:szCs w:val="16"/>
        </w:rPr>
        <w:footnoteRef/>
      </w:r>
      <w:r w:rsidRPr="00104FCB">
        <w:rPr>
          <w:rFonts w:ascii="Verdana" w:hAnsi="Verdana" w:cs="Arial"/>
          <w:sz w:val="16"/>
          <w:szCs w:val="16"/>
        </w:rPr>
        <w:t xml:space="preserve"> CONSEJO DE ESTADO. Sala de Consulta y Servicio Civil. Concepto del 27 de abril de 2006. Rad:1712. C.P. Enrique José Arboleda Perdomo.</w:t>
      </w:r>
    </w:p>
    <w:p w14:paraId="4388A60C" w14:textId="77777777" w:rsidR="00E30D96" w:rsidRPr="00104FCB" w:rsidRDefault="00E30D96" w:rsidP="00E30D96">
      <w:pPr>
        <w:pStyle w:val="Textonotapie"/>
        <w:ind w:firstLine="708"/>
        <w:jc w:val="both"/>
        <w:rPr>
          <w:rFonts w:ascii="Verdana" w:hAnsi="Verdana" w:cs="Arial"/>
          <w:sz w:val="16"/>
          <w:szCs w:val="16"/>
        </w:rPr>
      </w:pPr>
    </w:p>
  </w:footnote>
  <w:footnote w:id="12">
    <w:p w14:paraId="6C56EB48" w14:textId="77777777" w:rsidR="00E30D96" w:rsidRPr="00215EFE" w:rsidRDefault="00E30D96" w:rsidP="00E30D96">
      <w:pPr>
        <w:spacing w:after="0" w:line="240" w:lineRule="auto"/>
        <w:ind w:left="100" w:right="244" w:firstLine="709"/>
        <w:jc w:val="both"/>
        <w:rPr>
          <w:rFonts w:ascii="Verdana" w:hAnsi="Verdana" w:cs="Arial"/>
          <w:sz w:val="14"/>
          <w:szCs w:val="14"/>
        </w:rPr>
      </w:pPr>
      <w:r w:rsidRPr="00215EFE">
        <w:rPr>
          <w:rStyle w:val="Refdenotaalpie"/>
          <w:rFonts w:ascii="Verdana" w:hAnsi="Verdana" w:cs="Arial"/>
          <w:sz w:val="14"/>
          <w:szCs w:val="14"/>
        </w:rPr>
        <w:footnoteRef/>
      </w:r>
      <w:r w:rsidRPr="00215EFE">
        <w:rPr>
          <w:rFonts w:ascii="Verdana" w:hAnsi="Verdana" w:cs="Arial"/>
          <w:sz w:val="14"/>
          <w:szCs w:val="14"/>
        </w:rPr>
        <w:t xml:space="preserve"> Consejo de Estado. Sala de Consulta y Servicio Civil. Concepto del 17 de febrero de 2015. C.P. William Zambrano Cetina. Radicación No. 11001-03-06-000-2015-00164-00(2269).</w:t>
      </w:r>
    </w:p>
    <w:p w14:paraId="5D8D0996" w14:textId="77777777" w:rsidR="00E30D96" w:rsidRPr="00215EFE" w:rsidRDefault="00E30D96" w:rsidP="00E30D96">
      <w:pPr>
        <w:spacing w:after="0" w:line="240" w:lineRule="auto"/>
        <w:ind w:left="100" w:right="244" w:firstLine="709"/>
        <w:jc w:val="both"/>
        <w:rPr>
          <w:rFonts w:ascii="Verdana" w:hAnsi="Verdana" w:cs="Arial"/>
          <w:sz w:val="14"/>
          <w:szCs w:val="14"/>
          <w:lang w:val="es-ES"/>
        </w:rPr>
      </w:pPr>
    </w:p>
  </w:footnote>
  <w:footnote w:id="13">
    <w:p w14:paraId="06B5B702" w14:textId="77777777" w:rsidR="00E30D96" w:rsidRPr="00104FCB" w:rsidRDefault="00E30D96" w:rsidP="00E30D96">
      <w:pPr>
        <w:pStyle w:val="Textonotapie"/>
        <w:ind w:firstLine="709"/>
        <w:jc w:val="both"/>
        <w:rPr>
          <w:rFonts w:ascii="Verdana" w:hAnsi="Verdana"/>
          <w:sz w:val="16"/>
          <w:szCs w:val="16"/>
          <w:lang w:val="es-ES"/>
        </w:rPr>
      </w:pPr>
      <w:r w:rsidRPr="00215EFE">
        <w:rPr>
          <w:rStyle w:val="Refdenotaalpie"/>
          <w:rFonts w:ascii="Verdana" w:hAnsi="Verdana"/>
          <w:sz w:val="14"/>
          <w:szCs w:val="14"/>
        </w:rPr>
        <w:footnoteRef/>
      </w:r>
      <w:r w:rsidRPr="00215EFE">
        <w:rPr>
          <w:rFonts w:ascii="Verdana" w:hAnsi="Verdana"/>
          <w:sz w:val="14"/>
          <w:szCs w:val="14"/>
        </w:rPr>
        <w:t xml:space="preserve"> Agencia Nacional de Contratación Pública -Colombia Compra Eficiente</w:t>
      </w:r>
      <w:r w:rsidRPr="00215EFE">
        <w:rPr>
          <w:rFonts w:ascii="Verdana" w:eastAsia="Times New Roman" w:hAnsi="Verdana" w:cs="Open Sans"/>
          <w:sz w:val="14"/>
          <w:szCs w:val="14"/>
          <w:lang w:eastAsia="es-CO"/>
        </w:rPr>
        <w:t xml:space="preserve">. Circular Externa Única: </w:t>
      </w:r>
      <w:hyperlink r:id="rId1" w:history="1">
        <w:r w:rsidRPr="00215EFE">
          <w:rPr>
            <w:rStyle w:val="Hipervnculo"/>
            <w:rFonts w:ascii="Verdana" w:hAnsi="Verdana"/>
            <w:sz w:val="14"/>
            <w:szCs w:val="14"/>
          </w:rPr>
          <w:t>https://www.colombiacompra.gov.co/wp-content/uploads/2024/08/circular_externa_unica_version_3_vf49-1.pdf</w:t>
        </w:r>
      </w:hyperlink>
      <w:r w:rsidRPr="00215EFE">
        <w:rPr>
          <w:rFonts w:ascii="Verdana" w:hAnsi="Verdana"/>
          <w:sz w:val="14"/>
          <w:szCs w:val="1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1FD1C243" w14:textId="0928F606" w:rsidR="008A446D" w:rsidRPr="00C925AC" w:rsidRDefault="008A446D" w:rsidP="000D5DA7">
    <w:pPr>
      <w:spacing w:after="0" w:line="480" w:lineRule="auto"/>
      <w:rPr>
        <w:rFonts w:ascii="Verdana" w:hAnsi="Verdana"/>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5pt;height:11.7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360"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46AE4259"/>
    <w:multiLevelType w:val="hybridMultilevel"/>
    <w:tmpl w:val="87BCDB0A"/>
    <w:lvl w:ilvl="0" w:tplc="DFE0476C">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4"/>
  </w:num>
  <w:num w:numId="7" w16cid:durableId="1946422806">
    <w:abstractNumId w:val="5"/>
  </w:num>
  <w:num w:numId="8" w16cid:durableId="152644682">
    <w:abstractNumId w:val="13"/>
  </w:num>
  <w:num w:numId="9" w16cid:durableId="1317221377">
    <w:abstractNumId w:val="7"/>
  </w:num>
  <w:num w:numId="10" w16cid:durableId="1471245386">
    <w:abstractNumId w:val="12"/>
  </w:num>
  <w:num w:numId="11" w16cid:durableId="289172385">
    <w:abstractNumId w:val="8"/>
  </w:num>
  <w:num w:numId="12" w16cid:durableId="1470781324">
    <w:abstractNumId w:val="1"/>
  </w:num>
  <w:num w:numId="13" w16cid:durableId="1512908409">
    <w:abstractNumId w:val="3"/>
  </w:num>
  <w:num w:numId="14" w16cid:durableId="895897244">
    <w:abstractNumId w:val="15"/>
  </w:num>
  <w:num w:numId="15" w16cid:durableId="390349800">
    <w:abstractNumId w:val="11"/>
  </w:num>
  <w:num w:numId="16" w16cid:durableId="341274352">
    <w:abstractNumId w:val="0"/>
  </w:num>
  <w:num w:numId="17" w16cid:durableId="679089576">
    <w:abstractNumId w:val="9"/>
  </w:num>
  <w:num w:numId="18" w16cid:durableId="17600561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6486"/>
    <w:rsid w:val="00116940"/>
    <w:rsid w:val="00125105"/>
    <w:rsid w:val="00127233"/>
    <w:rsid w:val="0015699B"/>
    <w:rsid w:val="00161BE7"/>
    <w:rsid w:val="001A33BF"/>
    <w:rsid w:val="001E4177"/>
    <w:rsid w:val="001E6E96"/>
    <w:rsid w:val="001F0B24"/>
    <w:rsid w:val="001F7DC6"/>
    <w:rsid w:val="0022400B"/>
    <w:rsid w:val="00240BF7"/>
    <w:rsid w:val="002421BB"/>
    <w:rsid w:val="0025796E"/>
    <w:rsid w:val="002707A2"/>
    <w:rsid w:val="00273A9E"/>
    <w:rsid w:val="00286849"/>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45762"/>
    <w:rsid w:val="00374F5E"/>
    <w:rsid w:val="00377E3E"/>
    <w:rsid w:val="003A779E"/>
    <w:rsid w:val="003D0F4D"/>
    <w:rsid w:val="003D5B0D"/>
    <w:rsid w:val="003E0499"/>
    <w:rsid w:val="003E4F80"/>
    <w:rsid w:val="003E6439"/>
    <w:rsid w:val="003F3941"/>
    <w:rsid w:val="00406575"/>
    <w:rsid w:val="00414C74"/>
    <w:rsid w:val="00422E8C"/>
    <w:rsid w:val="0042722E"/>
    <w:rsid w:val="0044528D"/>
    <w:rsid w:val="00466E39"/>
    <w:rsid w:val="004A1847"/>
    <w:rsid w:val="004A305D"/>
    <w:rsid w:val="004A75E3"/>
    <w:rsid w:val="004F21C4"/>
    <w:rsid w:val="004F685F"/>
    <w:rsid w:val="005566E8"/>
    <w:rsid w:val="00574867"/>
    <w:rsid w:val="00591460"/>
    <w:rsid w:val="005A65E0"/>
    <w:rsid w:val="005C3777"/>
    <w:rsid w:val="005C5CDC"/>
    <w:rsid w:val="005D476C"/>
    <w:rsid w:val="005E68E7"/>
    <w:rsid w:val="006068FD"/>
    <w:rsid w:val="006200BF"/>
    <w:rsid w:val="006219F8"/>
    <w:rsid w:val="006302F7"/>
    <w:rsid w:val="00646B9F"/>
    <w:rsid w:val="006618D0"/>
    <w:rsid w:val="00665D70"/>
    <w:rsid w:val="00671418"/>
    <w:rsid w:val="006900D9"/>
    <w:rsid w:val="00706C16"/>
    <w:rsid w:val="007139B6"/>
    <w:rsid w:val="007340C3"/>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67F95"/>
    <w:rsid w:val="008843B6"/>
    <w:rsid w:val="00891928"/>
    <w:rsid w:val="008A446D"/>
    <w:rsid w:val="008B25F1"/>
    <w:rsid w:val="008D180B"/>
    <w:rsid w:val="008D2D18"/>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A2873"/>
    <w:rsid w:val="00AB0ADB"/>
    <w:rsid w:val="00B00C0E"/>
    <w:rsid w:val="00B01B1A"/>
    <w:rsid w:val="00B0381D"/>
    <w:rsid w:val="00B14049"/>
    <w:rsid w:val="00B44A47"/>
    <w:rsid w:val="00B72CD3"/>
    <w:rsid w:val="00B72FFF"/>
    <w:rsid w:val="00BB3ABE"/>
    <w:rsid w:val="00BC3D36"/>
    <w:rsid w:val="00BD54A6"/>
    <w:rsid w:val="00BD7F72"/>
    <w:rsid w:val="00BF7425"/>
    <w:rsid w:val="00C04FB3"/>
    <w:rsid w:val="00C11D8B"/>
    <w:rsid w:val="00C15139"/>
    <w:rsid w:val="00C330EB"/>
    <w:rsid w:val="00C50D69"/>
    <w:rsid w:val="00C5365C"/>
    <w:rsid w:val="00C754BE"/>
    <w:rsid w:val="00C76B1C"/>
    <w:rsid w:val="00C925AC"/>
    <w:rsid w:val="00CB6357"/>
    <w:rsid w:val="00CC1B26"/>
    <w:rsid w:val="00D361FD"/>
    <w:rsid w:val="00D423A2"/>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30D96"/>
    <w:rsid w:val="00E50AFE"/>
    <w:rsid w:val="00E75C92"/>
    <w:rsid w:val="00E771DC"/>
    <w:rsid w:val="00E8772A"/>
    <w:rsid w:val="00E90F6B"/>
    <w:rsid w:val="00E92C27"/>
    <w:rsid w:val="00EA0E3D"/>
    <w:rsid w:val="00EC38A7"/>
    <w:rsid w:val="00EE1AA8"/>
    <w:rsid w:val="00F23FEA"/>
    <w:rsid w:val="00F262D2"/>
    <w:rsid w:val="00F31EDC"/>
    <w:rsid w:val="00F462B3"/>
    <w:rsid w:val="00F5664F"/>
    <w:rsid w:val="00F666C4"/>
    <w:rsid w:val="00F76AFC"/>
    <w:rsid w:val="00FA47C0"/>
    <w:rsid w:val="00FB5DD1"/>
    <w:rsid w:val="00FC2B5D"/>
    <w:rsid w:val="00FF1449"/>
    <w:rsid w:val="00FF406D"/>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1"/>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1"/>
    <w:qFormat/>
    <w:locked/>
    <w:rsid w:val="00E30D96"/>
    <w:rPr>
      <w:rFonts w:ascii="Geomanist Light" w:hAnsi="Geomanist Light"/>
      <w:lang w:val="es-ES"/>
    </w:rPr>
  </w:style>
  <w:style w:type="character" w:customStyle="1" w:styleId="NormalWebCar">
    <w:name w:val="Normal (Web) Car"/>
    <w:link w:val="NormalWeb"/>
    <w:uiPriority w:val="99"/>
    <w:locked/>
    <w:rsid w:val="00E30D96"/>
    <w:rPr>
      <w:rFonts w:ascii="Times New Roman" w:eastAsia="Times New Roman" w:hAnsi="Times New Roman" w:cs="Times New Roman"/>
      <w:sz w:val="24"/>
      <w:szCs w:val="24"/>
      <w:lang w:eastAsia="es-CO"/>
    </w:rPr>
  </w:style>
  <w:style w:type="paragraph" w:customStyle="1" w:styleId="Appelnotedebasde">
    <w:name w:val="Appel note de bas de..."/>
    <w:basedOn w:val="Normal"/>
    <w:link w:val="Refdenotaalpie"/>
    <w:uiPriority w:val="99"/>
    <w:rsid w:val="00E30D96"/>
    <w:pPr>
      <w:spacing w:line="240" w:lineRule="exact"/>
    </w:pPr>
    <w:rPr>
      <w:vertAlign w:val="superscript"/>
    </w:rPr>
  </w:style>
  <w:style w:type="character" w:customStyle="1" w:styleId="baj">
    <w:name w:val="b_aj"/>
    <w:basedOn w:val="Fuentedeprrafopredeter"/>
    <w:rsid w:val="00E30D96"/>
  </w:style>
  <w:style w:type="paragraph" w:customStyle="1" w:styleId="p1">
    <w:name w:val="p1"/>
    <w:basedOn w:val="Normal"/>
    <w:rsid w:val="00E30D96"/>
    <w:pPr>
      <w:spacing w:after="0" w:line="240" w:lineRule="auto"/>
    </w:pPr>
    <w:rPr>
      <w:rFonts w:ascii="Verdana" w:eastAsia="Times New Roman" w:hAnsi="Verdana" w:cs="Times New Roman"/>
      <w:color w:val="000000"/>
      <w:sz w:val="17"/>
      <w:szCs w:val="17"/>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olombiacompra.gov.co"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jecutiva@concejo-yopalcasanare.gov.co"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2.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colombiacompra.gov.co/wp-content/uploads/2024/08/circular_externa_unica_version_3_vf49-1.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7986DE-A317-4C96-9BD0-57B2860DCB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137</TotalTime>
  <Pages>18</Pages>
  <Words>5948</Words>
  <Characters>32717</Characters>
  <Application>Microsoft Office Word</Application>
  <DocSecurity>0</DocSecurity>
  <Lines>272</Lines>
  <Paragraphs>77</Paragraphs>
  <ScaleCrop>false</ScaleCrop>
  <Company/>
  <LinksUpToDate>false</LinksUpToDate>
  <CharactersWithSpaces>38588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Andreina Cerpa Muñoz</cp:lastModifiedBy>
  <cp:revision>5</cp:revision>
  <cp:lastPrinted>2023-01-10T21:18:00Z</cp:lastPrinted>
  <dcterms:created xsi:type="dcterms:W3CDTF">2026-08-10T20:16:00Z</dcterms:created>
  <dcterms:modified xsi:type="dcterms:W3CDTF">2026-08-13T19:13:00Z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