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63D16" w14:textId="29C2C4BA" w:rsidR="0061371B" w:rsidRPr="004E2C60" w:rsidRDefault="0061371B" w:rsidP="0061371B">
      <w:pPr>
        <w:tabs>
          <w:tab w:val="left" w:pos="362"/>
        </w:tabs>
        <w:spacing w:after="0"/>
        <w:jc w:val="both"/>
        <w:rPr>
          <w:rFonts w:ascii="Verdana" w:eastAsia="Times New Roman" w:hAnsi="Verdana" w:cs="Arial"/>
          <w:b/>
          <w:bCs/>
          <w:lang w:eastAsia="es-ES"/>
        </w:rPr>
      </w:pPr>
      <w:bookmarkStart w:id="0" w:name="_Hlk143780582"/>
      <w:r w:rsidRPr="004E2C60">
        <w:rPr>
          <w:rFonts w:ascii="Verdana" w:eastAsia="Times New Roman" w:hAnsi="Verdana" w:cs="Arial"/>
          <w:b/>
          <w:bCs/>
          <w:lang w:eastAsia="es-ES"/>
        </w:rPr>
        <w:t xml:space="preserve">COMITÉ EVALUADOR – Regulación </w:t>
      </w:r>
    </w:p>
    <w:p w14:paraId="53C23DF9" w14:textId="77777777" w:rsidR="0061371B" w:rsidRPr="00E04185" w:rsidRDefault="0061371B" w:rsidP="0061371B">
      <w:pPr>
        <w:tabs>
          <w:tab w:val="left" w:pos="362"/>
        </w:tabs>
        <w:spacing w:after="0"/>
        <w:jc w:val="both"/>
        <w:rPr>
          <w:rFonts w:ascii="Verdana" w:eastAsia="Times New Roman" w:hAnsi="Verdana" w:cs="Arial"/>
          <w:b/>
          <w:bCs/>
          <w:sz w:val="20"/>
          <w:szCs w:val="20"/>
          <w:lang w:eastAsia="es-ES"/>
        </w:rPr>
      </w:pPr>
    </w:p>
    <w:p w14:paraId="5DD05026" w14:textId="77777777" w:rsidR="0061371B" w:rsidRPr="00E04185" w:rsidRDefault="0061371B" w:rsidP="0061371B">
      <w:pPr>
        <w:spacing w:after="0" w:line="240" w:lineRule="auto"/>
        <w:jc w:val="both"/>
        <w:rPr>
          <w:rFonts w:ascii="Verdana" w:hAnsi="Verdana" w:cs="Arial"/>
          <w:color w:val="000000" w:themeColor="text1"/>
          <w:sz w:val="20"/>
          <w:szCs w:val="20"/>
          <w:lang w:val="es-ES_tradnl"/>
        </w:rPr>
      </w:pPr>
      <w:r w:rsidRPr="00E04185">
        <w:rPr>
          <w:rFonts w:ascii="Verdana" w:hAnsi="Verdana" w:cs="Arial"/>
          <w:color w:val="000000" w:themeColor="text1"/>
          <w:sz w:val="20"/>
          <w:szCs w:val="20"/>
          <w:lang w:val="es-ES_tradnl"/>
        </w:rPr>
        <w:t xml:space="preserve">[…] el artículo 2.2.1.1.2.2.3 del Decreto 1082 de 2015 establece que </w:t>
      </w:r>
      <w:r>
        <w:rPr>
          <w:rFonts w:ascii="Verdana" w:hAnsi="Verdana" w:cs="Arial"/>
          <w:color w:val="000000" w:themeColor="text1"/>
          <w:sz w:val="20"/>
          <w:szCs w:val="20"/>
          <w:lang w:val="es-ES_tradnl"/>
        </w:rPr>
        <w:t>“</w:t>
      </w:r>
      <w:r w:rsidRPr="00E04185">
        <w:rPr>
          <w:rFonts w:ascii="Verdana" w:hAnsi="Verdana" w:cs="Arial"/>
          <w:color w:val="000000" w:themeColor="text1"/>
          <w:sz w:val="20"/>
          <w:szCs w:val="20"/>
          <w:lang w:val="es-ES_tradnl"/>
        </w:rPr>
        <w:t>La entidad Estatal puede designar un comité evaluador conformado por servidores públicos o por particulares contratados para el efecto, para evaluar las ofertas y las manifestaciones de interés para cada Proceso de Contratación por licitación, selección abreviada y concurso de méritos […]</w:t>
      </w:r>
      <w:r>
        <w:rPr>
          <w:rFonts w:ascii="Verdana" w:hAnsi="Verdana" w:cs="Arial"/>
          <w:color w:val="000000" w:themeColor="text1"/>
          <w:sz w:val="20"/>
          <w:szCs w:val="20"/>
          <w:lang w:val="es-ES_tradnl"/>
        </w:rPr>
        <w:t>”</w:t>
      </w:r>
      <w:r w:rsidRPr="00E04185">
        <w:rPr>
          <w:rFonts w:ascii="Verdana" w:hAnsi="Verdana" w:cs="Arial"/>
          <w:color w:val="000000" w:themeColor="text1"/>
          <w:sz w:val="20"/>
          <w:szCs w:val="20"/>
          <w:lang w:val="es-ES_tradnl"/>
        </w:rPr>
        <w:t xml:space="preserve">. </w:t>
      </w:r>
      <w:r w:rsidRPr="00E04185">
        <w:rPr>
          <w:rFonts w:ascii="Verdana" w:hAnsi="Verdana" w:cs="Arial"/>
          <w:bCs/>
          <w:color w:val="000000" w:themeColor="text1"/>
          <w:sz w:val="20"/>
          <w:szCs w:val="20"/>
        </w:rPr>
        <w:t xml:space="preserve">Como se observa, la norma mencionada permite que las Entidades Estatales sometidas al Estatuto General de Contratación de la Administración Pública, en adelante EGCAP, puedan constituir un comité evaluador de ofertas y de manifestaciones de interés, que podrá estar conformado bien sea por servidores públicos o particulares contratados para tal finalidad o por ambos. </w:t>
      </w:r>
    </w:p>
    <w:p w14:paraId="1B9FA1B7" w14:textId="77777777" w:rsidR="0061371B" w:rsidRDefault="0061371B" w:rsidP="0061371B">
      <w:pPr>
        <w:spacing w:after="0" w:line="240" w:lineRule="auto"/>
        <w:jc w:val="both"/>
        <w:rPr>
          <w:rFonts w:ascii="Arial" w:hAnsi="Arial" w:cs="Arial"/>
          <w:color w:val="000000" w:themeColor="text1"/>
          <w:sz w:val="21"/>
          <w:szCs w:val="21"/>
          <w:lang w:val="es-ES_tradnl"/>
        </w:rPr>
      </w:pPr>
    </w:p>
    <w:p w14:paraId="560BB023" w14:textId="77777777" w:rsidR="0061371B" w:rsidRPr="004E2C60" w:rsidRDefault="0061371B" w:rsidP="0061371B">
      <w:pPr>
        <w:spacing w:after="0" w:line="240" w:lineRule="auto"/>
        <w:jc w:val="both"/>
        <w:rPr>
          <w:rFonts w:ascii="Verdana" w:hAnsi="Verdana" w:cs="Arial"/>
          <w:b/>
          <w:bCs/>
          <w:color w:val="000000" w:themeColor="text1"/>
          <w:lang w:val="es-ES_tradnl"/>
        </w:rPr>
      </w:pPr>
      <w:r w:rsidRPr="004E2C60">
        <w:rPr>
          <w:rFonts w:ascii="Verdana" w:hAnsi="Verdana" w:cs="Arial"/>
          <w:b/>
          <w:bCs/>
          <w:color w:val="000000" w:themeColor="text1"/>
          <w:lang w:val="es-ES_tradnl"/>
        </w:rPr>
        <w:t>COMITÉ EVALUADOR – Designación – Facultad de la entidad estatal</w:t>
      </w:r>
    </w:p>
    <w:p w14:paraId="19711392" w14:textId="77777777" w:rsidR="0061371B" w:rsidRDefault="0061371B" w:rsidP="0061371B">
      <w:pPr>
        <w:spacing w:after="0" w:line="240" w:lineRule="auto"/>
        <w:jc w:val="both"/>
        <w:rPr>
          <w:rFonts w:ascii="Arial" w:hAnsi="Arial" w:cs="Arial"/>
          <w:b/>
          <w:bCs/>
          <w:color w:val="000000" w:themeColor="text1"/>
          <w:lang w:val="es-ES_tradnl"/>
        </w:rPr>
      </w:pPr>
    </w:p>
    <w:p w14:paraId="22088E40" w14:textId="77777777" w:rsidR="0061371B" w:rsidRPr="004F2A48" w:rsidRDefault="0061371B" w:rsidP="0061371B">
      <w:pPr>
        <w:spacing w:after="0" w:line="240" w:lineRule="auto"/>
        <w:jc w:val="both"/>
        <w:rPr>
          <w:rFonts w:ascii="Verdana" w:hAnsi="Verdana" w:cs="Arial"/>
          <w:bCs/>
          <w:color w:val="000000" w:themeColor="text1"/>
          <w:sz w:val="20"/>
          <w:szCs w:val="20"/>
        </w:rPr>
      </w:pPr>
      <w:r w:rsidRPr="004F2A48">
        <w:rPr>
          <w:rFonts w:ascii="Verdana" w:hAnsi="Verdana" w:cs="Arial"/>
          <w:bCs/>
          <w:color w:val="000000" w:themeColor="text1"/>
          <w:sz w:val="20"/>
          <w:szCs w:val="20"/>
        </w:rPr>
        <w:t xml:space="preserve">En ese sentido, respecto de la creación del comité evaluador, debe aclararse, que al establecer la norma el verbo “podrá”, se infiere que las Entidades Estatales de acuerdo con sus funciones y organización interna, así como con la naturaleza y complejidad del contrato que pretendan celebrar, entre otros aspectos, definirán si es o no necesaria la constitución de dicho organismo, ya que, como se observa, esto no acarrea una obligación. </w:t>
      </w:r>
    </w:p>
    <w:p w14:paraId="3D45E84B" w14:textId="77777777" w:rsidR="0061371B" w:rsidRPr="004F2A48" w:rsidRDefault="0061371B" w:rsidP="0061371B">
      <w:pPr>
        <w:spacing w:after="0" w:line="240" w:lineRule="auto"/>
        <w:jc w:val="both"/>
        <w:rPr>
          <w:rFonts w:ascii="Verdana" w:hAnsi="Verdana" w:cs="Arial"/>
          <w:color w:val="000000" w:themeColor="text1"/>
          <w:sz w:val="20"/>
          <w:szCs w:val="20"/>
          <w:lang w:val="es-ES_tradnl"/>
        </w:rPr>
      </w:pPr>
    </w:p>
    <w:p w14:paraId="3DED642E" w14:textId="77777777" w:rsidR="0061371B" w:rsidRPr="00684C5C" w:rsidRDefault="0061371B" w:rsidP="0061371B">
      <w:pPr>
        <w:spacing w:after="0" w:line="240" w:lineRule="auto"/>
        <w:jc w:val="both"/>
        <w:rPr>
          <w:rFonts w:ascii="Verdana" w:eastAsia="Aptos" w:hAnsi="Verdana" w:cs="Times New Roman"/>
          <w:sz w:val="20"/>
          <w:szCs w:val="20"/>
        </w:rPr>
      </w:pPr>
      <w:r w:rsidRPr="004F2A48">
        <w:rPr>
          <w:rFonts w:ascii="Verdana" w:eastAsia="Aptos" w:hAnsi="Verdana" w:cs="Times New Roman"/>
          <w:sz w:val="20"/>
          <w:szCs w:val="20"/>
        </w:rPr>
        <w:t>Ahora bien, es necesario advertir, que el artículo 2.2.1.1.2.2.3 del Decreto 1082 de 2015 mediante el cual se les otorga tal facultad, permite que las Entidades Estatales determinen ciertos elementos en relación con el comité de evaluación que decidan constituir. Por ello, aspectos como el número de miembros, las calidades o profesiones de cada uno, la determinación de los procesos de selección en los cuales dicho comité se conformará, o la definición de factores como la cuantía u objeto contractual para la misma finalidad, entre otros, son aspectos que, en la medida que la norma guarde silencio, le corresponderá a las Entidades definir para cada proceso, en sus respectivos manuales de contratación. Situación esta, que se refleja en la definición de las condiciones que deberían observar las Entidades Estatales</w:t>
      </w:r>
      <w:r w:rsidRPr="00684C5C">
        <w:rPr>
          <w:rFonts w:ascii="Verdana" w:eastAsia="Aptos" w:hAnsi="Verdana" w:cs="Times New Roman"/>
          <w:sz w:val="20"/>
          <w:szCs w:val="20"/>
        </w:rPr>
        <w:t xml:space="preserve"> al momento de asignar las funciones o actividades a desempeñar por parte de los miembros de dichos comités, pues la norma en mención, no se refirió sobre este aspecto, por lo que le corresponderá a la Entidad, según la particularidad del asunto, determinarlo.</w:t>
      </w:r>
    </w:p>
    <w:p w14:paraId="572917DE" w14:textId="77777777" w:rsidR="0061371B" w:rsidRPr="004A6BA2" w:rsidRDefault="0061371B" w:rsidP="0061371B">
      <w:pPr>
        <w:spacing w:after="0" w:line="240" w:lineRule="auto"/>
        <w:jc w:val="both"/>
        <w:rPr>
          <w:rFonts w:ascii="Verdana" w:eastAsia="Aptos" w:hAnsi="Verdana" w:cs="Times New Roman"/>
          <w:b/>
          <w:bCs/>
          <w:sz w:val="20"/>
          <w:szCs w:val="20"/>
          <w:lang w:val="es-ES_tradnl"/>
        </w:rPr>
      </w:pPr>
    </w:p>
    <w:p w14:paraId="5E8593B6" w14:textId="77777777" w:rsidR="0061371B" w:rsidRPr="00541872" w:rsidRDefault="0061371B" w:rsidP="0061371B">
      <w:pPr>
        <w:spacing w:after="0" w:line="240" w:lineRule="auto"/>
        <w:jc w:val="both"/>
        <w:rPr>
          <w:rFonts w:ascii="Verdana" w:eastAsia="Times New Roman" w:hAnsi="Verdana"/>
          <w:b/>
          <w:bCs/>
          <w:lang w:val="es-ES_tradnl" w:eastAsia="es-ES_tradnl"/>
        </w:rPr>
      </w:pPr>
      <w:r w:rsidRPr="00541872">
        <w:rPr>
          <w:rFonts w:ascii="Verdana" w:eastAsia="Times New Roman" w:hAnsi="Verdana"/>
          <w:b/>
          <w:bCs/>
          <w:lang w:val="es-ES_tradnl" w:eastAsia="es-ES_tradnl"/>
        </w:rPr>
        <w:t>COMITÉ EVALUADOR – Funciones – Informe de evaluación – Responsabilidad</w:t>
      </w:r>
    </w:p>
    <w:p w14:paraId="458094D1" w14:textId="77777777" w:rsidR="0061371B" w:rsidRDefault="0061371B" w:rsidP="0061371B">
      <w:pPr>
        <w:spacing w:after="0" w:line="240" w:lineRule="auto"/>
        <w:jc w:val="both"/>
        <w:rPr>
          <w:rFonts w:ascii="Verdana" w:eastAsia="Times New Roman" w:hAnsi="Verdana"/>
          <w:lang w:val="es-ES_tradnl" w:eastAsia="es-ES_tradnl"/>
        </w:rPr>
      </w:pPr>
    </w:p>
    <w:p w14:paraId="70D9FEBF" w14:textId="77777777" w:rsidR="0061371B" w:rsidRPr="00A60C3E" w:rsidRDefault="0061371B" w:rsidP="0061371B">
      <w:pPr>
        <w:spacing w:after="0" w:line="240" w:lineRule="auto"/>
        <w:jc w:val="both"/>
        <w:rPr>
          <w:rFonts w:ascii="Verdana" w:eastAsia="Calibri" w:hAnsi="Verdana" w:cs="Arial"/>
          <w:bCs/>
          <w:color w:val="000000"/>
          <w:sz w:val="20"/>
          <w:szCs w:val="20"/>
        </w:rPr>
      </w:pPr>
      <w:r w:rsidRPr="00541872">
        <w:rPr>
          <w:rFonts w:ascii="Verdana" w:eastAsia="Calibri" w:hAnsi="Verdana" w:cs="Arial"/>
          <w:bCs/>
          <w:color w:val="000000"/>
          <w:sz w:val="20"/>
          <w:szCs w:val="20"/>
        </w:rPr>
        <w:t xml:space="preserve">De esta manera, no puede perderse de vista que la finalidad del comité evaluador, según la norma en comento, es la de evaluar las ofertas y manifestación de interés, así como el ejercer todas las actividades y prerrogativas que se deriven o se hagan necesarias para el cumplimiento de dicha función. La evaluación que realizan se materializa a través de la emisión de un concepto o dictamen o informe, que deberá elaborarse y presentarse tanto al ordenador del gasto, como a los demás interesados en el Proceso de </w:t>
      </w:r>
      <w:r w:rsidRPr="00541872">
        <w:rPr>
          <w:rFonts w:ascii="Verdana" w:eastAsia="Calibri" w:hAnsi="Verdana" w:cs="Arial"/>
          <w:bCs/>
          <w:color w:val="000000"/>
          <w:sz w:val="20"/>
          <w:szCs w:val="20"/>
        </w:rPr>
        <w:lastRenderedPageBreak/>
        <w:t>Contratación bajo las condiciones y plazos previamente definidos por la Entidad Estatal, a través del Sistema Electrónico para la Contratación Pública – SECOP.</w:t>
      </w:r>
    </w:p>
    <w:p w14:paraId="760EEA02" w14:textId="77777777" w:rsidR="0061371B" w:rsidRDefault="0061371B" w:rsidP="0061371B">
      <w:pPr>
        <w:spacing w:after="0" w:line="240" w:lineRule="auto"/>
        <w:jc w:val="both"/>
        <w:rPr>
          <w:rFonts w:ascii="Verdana" w:eastAsia="Calibri" w:hAnsi="Verdana" w:cs="Arial"/>
          <w:color w:val="000000" w:themeColor="text1"/>
          <w:sz w:val="20"/>
          <w:szCs w:val="20"/>
          <w:lang w:val="es-ES_tradnl"/>
        </w:rPr>
      </w:pPr>
    </w:p>
    <w:p w14:paraId="35343C0C" w14:textId="77777777" w:rsidR="0061371B" w:rsidRDefault="0061371B" w:rsidP="0061371B">
      <w:pPr>
        <w:spacing w:after="0" w:line="240" w:lineRule="auto"/>
        <w:jc w:val="both"/>
        <w:rPr>
          <w:rFonts w:ascii="Verdana" w:eastAsia="Calibri" w:hAnsi="Verdana" w:cs="Arial"/>
          <w:color w:val="000000" w:themeColor="text1"/>
          <w:sz w:val="20"/>
          <w:szCs w:val="20"/>
          <w:lang w:val="es-ES"/>
        </w:rPr>
      </w:pPr>
      <w:r w:rsidRPr="315143E6">
        <w:rPr>
          <w:rFonts w:ascii="Verdana" w:eastAsia="Calibri" w:hAnsi="Verdana" w:cs="Arial"/>
          <w:color w:val="000000" w:themeColor="text1"/>
          <w:sz w:val="20"/>
          <w:szCs w:val="20"/>
          <w:lang w:val="es-ES"/>
        </w:rPr>
        <w:t xml:space="preserve">Para emitir el informe de evaluación, el comité debe verificar las propuestas y aplicar el procedimiento, los criterios y los requisitos establecidos en el pliego de condiciones o documento equivalente con el fin de comparar y evaluar de forma objetiva las propuestas presentadas dentro del proceso de selección. En el informe, luego de cotejar y comparar las propuestas recibidas, se hará constar por el comité evaluador el estudio objetivo de las ofertas y los documentos presentados con esta por los proponentes para el cumplimiento de los requisitos habilitantes y de asignación de puntaje, los cuales son evaluados jurídica, técnica, financiera y económicamente. </w:t>
      </w:r>
    </w:p>
    <w:p w14:paraId="2FF072CD" w14:textId="77777777" w:rsidR="0061371B" w:rsidRPr="00A60C3E" w:rsidRDefault="0061371B" w:rsidP="0061371B">
      <w:pPr>
        <w:spacing w:after="0" w:line="240" w:lineRule="auto"/>
        <w:jc w:val="both"/>
        <w:rPr>
          <w:rFonts w:ascii="Verdana" w:eastAsia="Calibri" w:hAnsi="Verdana" w:cs="Arial"/>
          <w:color w:val="000000" w:themeColor="text1"/>
          <w:sz w:val="20"/>
          <w:szCs w:val="20"/>
          <w:lang w:val="es-ES_tradnl"/>
        </w:rPr>
      </w:pPr>
    </w:p>
    <w:p w14:paraId="3670DF2A" w14:textId="77777777" w:rsidR="0061371B" w:rsidRPr="00541872" w:rsidRDefault="0061371B" w:rsidP="0061371B">
      <w:pPr>
        <w:spacing w:after="0" w:line="240" w:lineRule="auto"/>
        <w:jc w:val="both"/>
        <w:rPr>
          <w:rFonts w:ascii="Verdana" w:eastAsia="Calibri" w:hAnsi="Verdana" w:cs="Arial"/>
          <w:b/>
          <w:bCs/>
          <w:sz w:val="20"/>
          <w:szCs w:val="20"/>
          <w:lang w:val="es-ES" w:eastAsia="es-ES"/>
        </w:rPr>
      </w:pPr>
      <w:r w:rsidRPr="00A60C3E">
        <w:rPr>
          <w:rFonts w:ascii="Verdana" w:eastAsia="Calibri" w:hAnsi="Verdana" w:cs="Arial"/>
          <w:color w:val="000000" w:themeColor="text1"/>
          <w:sz w:val="20"/>
          <w:szCs w:val="20"/>
          <w:lang w:val="es-ES_tradnl"/>
        </w:rPr>
        <w:t>Sin embargo, debe enfatizarse que el carácter asesor del comité no exime a sus miembros de las responsabilidades que correspondan, sino que, por el contrario, estos entrarán a responder por las recomendaciones erradas o incorrectamente fundamentadas que emitan, como dispone el citado artículo 2.2.1.1.2.2.3 del Decreto 1082 de 2015</w:t>
      </w:r>
      <w:r>
        <w:rPr>
          <w:rFonts w:ascii="Verdana" w:eastAsia="Calibri" w:hAnsi="Verdana" w:cs="Arial"/>
          <w:color w:val="000000" w:themeColor="text1"/>
          <w:sz w:val="20"/>
          <w:szCs w:val="20"/>
          <w:lang w:val="es-ES_tradnl"/>
        </w:rPr>
        <w:t>.</w:t>
      </w:r>
    </w:p>
    <w:p w14:paraId="232E2D0B" w14:textId="77777777" w:rsidR="0061371B" w:rsidRDefault="0061371B" w:rsidP="0061371B">
      <w:pPr>
        <w:spacing w:after="0" w:line="240" w:lineRule="auto"/>
        <w:rPr>
          <w:rFonts w:ascii="Verdana" w:eastAsia="Calibri" w:hAnsi="Verdana" w:cs="Arial"/>
          <w:b/>
          <w:bCs/>
          <w:lang w:val="es-ES" w:eastAsia="es-ES"/>
        </w:rPr>
      </w:pPr>
    </w:p>
    <w:p w14:paraId="3D82D038" w14:textId="77777777" w:rsidR="0061371B" w:rsidRDefault="0061371B" w:rsidP="0061371B">
      <w:pPr>
        <w:spacing w:after="0" w:line="240" w:lineRule="auto"/>
        <w:rPr>
          <w:rFonts w:ascii="Verdana" w:eastAsia="Geomanist Light" w:hAnsi="Verdana" w:cs="Arial"/>
          <w:color w:val="000000" w:themeColor="text1"/>
        </w:rPr>
      </w:pPr>
    </w:p>
    <w:p w14:paraId="156C5D96" w14:textId="5E7ACA49" w:rsidR="00F87CB5" w:rsidRDefault="00F87CB5">
      <w:pPr>
        <w:rPr>
          <w:rFonts w:ascii="Verdana" w:eastAsia="Verdana" w:hAnsi="Verdana" w:cs="Verdana"/>
        </w:rPr>
      </w:pPr>
    </w:p>
    <w:p w14:paraId="105D1D18" w14:textId="77777777" w:rsidR="0061371B" w:rsidRDefault="0061371B">
      <w:pPr>
        <w:rPr>
          <w:rFonts w:ascii="Verdana" w:eastAsia="Verdana" w:hAnsi="Verdana" w:cs="Verdana"/>
        </w:rPr>
      </w:pPr>
    </w:p>
    <w:p w14:paraId="196D2711" w14:textId="77777777" w:rsidR="0061371B" w:rsidRDefault="0061371B">
      <w:pPr>
        <w:rPr>
          <w:rFonts w:ascii="Verdana" w:eastAsia="Verdana" w:hAnsi="Verdana" w:cs="Verdana"/>
        </w:rPr>
      </w:pPr>
    </w:p>
    <w:p w14:paraId="5A34A712" w14:textId="77777777" w:rsidR="0061371B" w:rsidRDefault="0061371B">
      <w:pPr>
        <w:rPr>
          <w:rFonts w:ascii="Verdana" w:eastAsia="Verdana" w:hAnsi="Verdana" w:cs="Verdana"/>
        </w:rPr>
      </w:pPr>
    </w:p>
    <w:p w14:paraId="0A117714" w14:textId="77777777" w:rsidR="0061371B" w:rsidRDefault="0061371B">
      <w:pPr>
        <w:rPr>
          <w:rFonts w:ascii="Verdana" w:eastAsia="Verdana" w:hAnsi="Verdana" w:cs="Verdana"/>
        </w:rPr>
      </w:pPr>
    </w:p>
    <w:p w14:paraId="599846AB" w14:textId="77777777" w:rsidR="0061371B" w:rsidRDefault="0061371B">
      <w:pPr>
        <w:rPr>
          <w:rFonts w:ascii="Verdana" w:eastAsia="Verdana" w:hAnsi="Verdana" w:cs="Verdana"/>
        </w:rPr>
      </w:pPr>
    </w:p>
    <w:p w14:paraId="2F021BA6" w14:textId="77777777" w:rsidR="0061371B" w:rsidRDefault="0061371B">
      <w:pPr>
        <w:rPr>
          <w:rFonts w:ascii="Verdana" w:eastAsia="Verdana" w:hAnsi="Verdana" w:cs="Verdana"/>
        </w:rPr>
      </w:pPr>
    </w:p>
    <w:p w14:paraId="2B80930E" w14:textId="77777777" w:rsidR="0061371B" w:rsidRDefault="0061371B">
      <w:pPr>
        <w:rPr>
          <w:rFonts w:ascii="Verdana" w:eastAsia="Verdana" w:hAnsi="Verdana" w:cs="Verdana"/>
        </w:rPr>
      </w:pPr>
    </w:p>
    <w:p w14:paraId="6960A6A1" w14:textId="77777777" w:rsidR="0061371B" w:rsidRDefault="0061371B">
      <w:pPr>
        <w:rPr>
          <w:rFonts w:ascii="Verdana" w:eastAsia="Verdana" w:hAnsi="Verdana" w:cs="Verdana"/>
        </w:rPr>
      </w:pPr>
    </w:p>
    <w:p w14:paraId="6944EB75" w14:textId="77777777" w:rsidR="0061371B" w:rsidRDefault="0061371B">
      <w:pPr>
        <w:rPr>
          <w:rFonts w:ascii="Verdana" w:eastAsia="Verdana" w:hAnsi="Verdana" w:cs="Verdana"/>
        </w:rPr>
      </w:pPr>
    </w:p>
    <w:p w14:paraId="580E3ED3" w14:textId="77777777" w:rsidR="0061371B" w:rsidRDefault="0061371B">
      <w:pPr>
        <w:rPr>
          <w:rFonts w:ascii="Verdana" w:eastAsia="Verdana" w:hAnsi="Verdana" w:cs="Verdana"/>
        </w:rPr>
      </w:pPr>
    </w:p>
    <w:p w14:paraId="0047D434" w14:textId="77777777" w:rsidR="0061371B" w:rsidRDefault="0061371B">
      <w:pPr>
        <w:rPr>
          <w:rFonts w:ascii="Verdana" w:eastAsia="Verdana" w:hAnsi="Verdana" w:cs="Verdana"/>
        </w:rPr>
      </w:pPr>
    </w:p>
    <w:p w14:paraId="18E8A088" w14:textId="77777777" w:rsidR="0061371B" w:rsidRDefault="0061371B">
      <w:pPr>
        <w:rPr>
          <w:rFonts w:ascii="Verdana" w:eastAsia="Verdana" w:hAnsi="Verdana" w:cs="Verdana"/>
        </w:rPr>
      </w:pPr>
    </w:p>
    <w:p w14:paraId="077EE278" w14:textId="77777777" w:rsidR="0061371B" w:rsidRDefault="0061371B">
      <w:pPr>
        <w:rPr>
          <w:rFonts w:ascii="Verdana" w:eastAsia="Verdana" w:hAnsi="Verdana" w:cs="Verdana"/>
        </w:rPr>
      </w:pPr>
    </w:p>
    <w:p w14:paraId="1468C46D" w14:textId="19B43086" w:rsidR="00C15139" w:rsidRPr="0024624F" w:rsidRDefault="00887FBC" w:rsidP="30821638">
      <w:pPr>
        <w:spacing w:after="0"/>
        <w:rPr>
          <w:rFonts w:ascii="Verdana" w:eastAsia="Verdana" w:hAnsi="Verdana" w:cs="Verdana"/>
        </w:rPr>
      </w:pPr>
      <w:r w:rsidRPr="00887FBC">
        <w:rPr>
          <w:rFonts w:ascii="Verdana" w:eastAsia="Verdana" w:hAnsi="Verdana" w:cs="Verdana"/>
          <w:noProof/>
        </w:rPr>
        <w:drawing>
          <wp:anchor distT="0" distB="0" distL="114300" distR="114300" simplePos="0" relativeHeight="251661312" behindDoc="1" locked="0" layoutInCell="1" allowOverlap="1" wp14:anchorId="2BC7B3DD" wp14:editId="55230FA9">
            <wp:simplePos x="0" y="0"/>
            <wp:positionH relativeFrom="column">
              <wp:posOffset>3248660</wp:posOffset>
            </wp:positionH>
            <wp:positionV relativeFrom="paragraph">
              <wp:posOffset>1905</wp:posOffset>
            </wp:positionV>
            <wp:extent cx="2209800" cy="746125"/>
            <wp:effectExtent l="0" t="0" r="0" b="0"/>
            <wp:wrapTight wrapText="bothSides">
              <wp:wrapPolygon edited="0">
                <wp:start x="0" y="0"/>
                <wp:lineTo x="0" y="20957"/>
                <wp:lineTo x="21414" y="20957"/>
                <wp:lineTo x="21414" y="0"/>
                <wp:lineTo x="0" y="0"/>
              </wp:wrapPolygon>
            </wp:wrapTight>
            <wp:docPr id="10873335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9800" cy="746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5139" w:rsidRPr="30821638">
        <w:rPr>
          <w:rFonts w:ascii="Verdana" w:eastAsia="Verdana" w:hAnsi="Verdana" w:cs="Verdana"/>
        </w:rPr>
        <w:t xml:space="preserve">Bogotá D.C., </w:t>
      </w:r>
      <w:r>
        <w:rPr>
          <w:rFonts w:ascii="Verdana" w:eastAsia="Verdana" w:hAnsi="Verdana" w:cs="Verdana"/>
        </w:rPr>
        <w:t>04 agosto 2026</w:t>
      </w:r>
      <w:r w:rsidR="00C15139">
        <w:br/>
      </w:r>
      <w:r w:rsidR="00C15139">
        <w:tab/>
      </w:r>
    </w:p>
    <w:p w14:paraId="5F2CD078" w14:textId="08A85E99" w:rsidR="00C15139" w:rsidRDefault="00C15139" w:rsidP="30821638">
      <w:pPr>
        <w:spacing w:after="0"/>
        <w:rPr>
          <w:rFonts w:ascii="Verdana" w:eastAsia="Verdana" w:hAnsi="Verdana" w:cs="Verdana"/>
          <w:lang w:val="es-MX"/>
        </w:rPr>
      </w:pPr>
      <w:r w:rsidRPr="30821638">
        <w:rPr>
          <w:rFonts w:ascii="Verdana" w:eastAsia="Verdana" w:hAnsi="Verdana" w:cs="Verdana"/>
          <w:lang w:val="es-MX"/>
        </w:rPr>
        <w:t>Señor</w:t>
      </w:r>
    </w:p>
    <w:p w14:paraId="6A016551" w14:textId="6DA82565" w:rsidR="00470596" w:rsidRPr="008A666E" w:rsidRDefault="00470596" w:rsidP="30821638">
      <w:pPr>
        <w:spacing w:after="0"/>
        <w:rPr>
          <w:rFonts w:ascii="Verdana" w:eastAsia="Verdana" w:hAnsi="Verdana" w:cs="Verdana"/>
          <w:b/>
          <w:bCs/>
          <w:lang w:val="es-MX"/>
        </w:rPr>
      </w:pPr>
      <w:r w:rsidRPr="008A666E">
        <w:rPr>
          <w:rFonts w:ascii="Verdana" w:eastAsia="Verdana" w:hAnsi="Verdana" w:cs="Verdana"/>
          <w:b/>
          <w:bCs/>
          <w:lang w:val="es-MX"/>
        </w:rPr>
        <w:t>Juan Pablo Bernal Moncada</w:t>
      </w:r>
    </w:p>
    <w:p w14:paraId="747F7B56" w14:textId="72C14527" w:rsidR="00470596" w:rsidRDefault="0073771E" w:rsidP="30821638">
      <w:pPr>
        <w:spacing w:after="0"/>
        <w:rPr>
          <w:rFonts w:ascii="Verdana" w:eastAsia="Verdana" w:hAnsi="Verdana" w:cs="Verdana"/>
          <w:lang w:val="es-MX"/>
        </w:rPr>
      </w:pPr>
      <w:hyperlink r:id="rId11" w:history="1">
        <w:r w:rsidRPr="00686AA8">
          <w:rPr>
            <w:rStyle w:val="Hipervnculo"/>
            <w:rFonts w:ascii="Verdana" w:eastAsia="Verdana" w:hAnsi="Verdana" w:cs="Verdana"/>
            <w:lang w:val="es-MX"/>
          </w:rPr>
          <w:t>Objetor4@gmail.com</w:t>
        </w:r>
      </w:hyperlink>
      <w:r>
        <w:rPr>
          <w:rFonts w:ascii="Verdana" w:eastAsia="Verdana" w:hAnsi="Verdana" w:cs="Verdana"/>
          <w:lang w:val="es-MX"/>
        </w:rPr>
        <w:t xml:space="preserve"> </w:t>
      </w:r>
    </w:p>
    <w:p w14:paraId="62C174AF" w14:textId="4BCD8E0E" w:rsidR="0073771E" w:rsidRDefault="005E14E6" w:rsidP="30821638">
      <w:pPr>
        <w:spacing w:after="0"/>
        <w:rPr>
          <w:rFonts w:ascii="Verdana" w:eastAsia="Verdana" w:hAnsi="Verdana" w:cs="Verdana"/>
          <w:lang w:val="es-MX"/>
        </w:rPr>
      </w:pPr>
      <w:r>
        <w:rPr>
          <w:rFonts w:ascii="Verdana" w:eastAsia="Verdana" w:hAnsi="Verdana" w:cs="Verdana"/>
          <w:lang w:val="es-MX"/>
        </w:rPr>
        <w:t xml:space="preserve">Ciudad </w:t>
      </w:r>
    </w:p>
    <w:p w14:paraId="5DEA731B" w14:textId="77777777" w:rsidR="005E14E6" w:rsidRDefault="005E14E6" w:rsidP="30821638">
      <w:pPr>
        <w:spacing w:after="0"/>
        <w:rPr>
          <w:rFonts w:ascii="Verdana" w:eastAsia="Verdana" w:hAnsi="Verdana" w:cs="Verdana"/>
          <w:lang w:val="es-MX"/>
        </w:rPr>
      </w:pPr>
    </w:p>
    <w:p w14:paraId="175B5EC7" w14:textId="77777777" w:rsidR="005E14E6" w:rsidRDefault="005E14E6" w:rsidP="30821638">
      <w:pPr>
        <w:spacing w:after="0"/>
        <w:rPr>
          <w:rFonts w:ascii="Verdana" w:eastAsia="Verdana" w:hAnsi="Verdana" w:cs="Verdana"/>
          <w:lang w:val="es-MX"/>
        </w:rPr>
      </w:pPr>
    </w:p>
    <w:p w14:paraId="38D40401" w14:textId="77777777" w:rsidR="00A76C1B" w:rsidRPr="00713B63" w:rsidRDefault="00A76C1B" w:rsidP="00A76C1B">
      <w:pPr>
        <w:spacing w:after="0" w:line="240" w:lineRule="auto"/>
        <w:rPr>
          <w:rFonts w:ascii="Verdana" w:eastAsia="Calibri" w:hAnsi="Verdana" w:cs="Arial"/>
          <w:b/>
          <w:bCs/>
          <w:color w:val="000000"/>
          <w:lang w:eastAsia="es-ES_tradnl"/>
        </w:rPr>
      </w:pPr>
    </w:p>
    <w:p w14:paraId="38AA7746" w14:textId="1029D9A5" w:rsidR="00A76C1B" w:rsidRPr="00713B63" w:rsidRDefault="00A76C1B" w:rsidP="00A76C1B">
      <w:pPr>
        <w:spacing w:after="0" w:line="240" w:lineRule="auto"/>
        <w:jc w:val="center"/>
        <w:rPr>
          <w:rFonts w:ascii="Verdana" w:eastAsia="Calibri" w:hAnsi="Verdana" w:cs="Arial"/>
          <w:b/>
          <w:bCs/>
          <w:lang w:eastAsia="es-ES"/>
        </w:rPr>
      </w:pPr>
      <w:r w:rsidRPr="00713B63">
        <w:rPr>
          <w:rFonts w:ascii="Verdana" w:eastAsia="Calibri" w:hAnsi="Verdana" w:cs="Arial"/>
          <w:b/>
          <w:bCs/>
          <w:lang w:eastAsia="es-ES"/>
        </w:rPr>
        <w:t xml:space="preserve">Concepto C – </w:t>
      </w:r>
      <w:r>
        <w:rPr>
          <w:rFonts w:ascii="Verdana" w:eastAsia="Calibri" w:hAnsi="Verdana" w:cs="Arial"/>
          <w:b/>
          <w:bCs/>
          <w:lang w:eastAsia="es-ES"/>
        </w:rPr>
        <w:t>1023</w:t>
      </w:r>
      <w:r w:rsidRPr="00713B63">
        <w:rPr>
          <w:rFonts w:ascii="Verdana" w:eastAsia="Calibri" w:hAnsi="Verdana" w:cs="Arial"/>
          <w:b/>
          <w:bCs/>
          <w:lang w:eastAsia="es-ES"/>
        </w:rPr>
        <w:t xml:space="preserve"> de 2</w:t>
      </w:r>
      <w:r w:rsidR="008A666E">
        <w:rPr>
          <w:rFonts w:ascii="Verdana" w:eastAsia="Calibri" w:hAnsi="Verdana" w:cs="Arial"/>
          <w:b/>
          <w:bCs/>
          <w:lang w:eastAsia="es-ES"/>
        </w:rPr>
        <w:t>026</w:t>
      </w:r>
    </w:p>
    <w:p w14:paraId="7EAE9B42" w14:textId="77777777" w:rsidR="00A76C1B" w:rsidRPr="00713B63" w:rsidRDefault="00A76C1B" w:rsidP="00A76C1B">
      <w:pPr>
        <w:spacing w:after="0" w:line="240" w:lineRule="auto"/>
        <w:rPr>
          <w:rFonts w:ascii="Verdana" w:eastAsia="Calibri" w:hAnsi="Verdana" w:cs="Arial"/>
          <w:b/>
          <w:bCs/>
          <w:color w:val="000000"/>
          <w:lang w:eastAsia="es-ES_tradnl"/>
        </w:rPr>
      </w:pPr>
    </w:p>
    <w:tbl>
      <w:tblPr>
        <w:tblStyle w:val="Tablaconcuadrcula"/>
        <w:tblW w:w="878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A76C1B" w:rsidRPr="00713B63" w14:paraId="24C54418" w14:textId="77777777" w:rsidTr="00C62AB1">
        <w:trPr>
          <w:trHeight w:val="884"/>
        </w:trPr>
        <w:tc>
          <w:tcPr>
            <w:tcW w:w="2689" w:type="dxa"/>
          </w:tcPr>
          <w:p w14:paraId="0B872339" w14:textId="77777777" w:rsidR="00A76C1B" w:rsidRPr="00713B63" w:rsidRDefault="00A76C1B" w:rsidP="00C62AB1">
            <w:pPr>
              <w:jc w:val="both"/>
              <w:rPr>
                <w:rFonts w:ascii="Verdana" w:eastAsia="Calibri" w:hAnsi="Verdana" w:cs="Arial"/>
                <w:color w:val="000000"/>
                <w:lang w:eastAsia="es-ES_tradnl"/>
              </w:rPr>
            </w:pPr>
            <w:r w:rsidRPr="00713B63">
              <w:rPr>
                <w:rFonts w:ascii="Verdana" w:eastAsia="Calibri" w:hAnsi="Verdana" w:cs="Arial"/>
                <w:b/>
                <w:color w:val="000000"/>
                <w:lang w:eastAsia="es-ES_tradnl"/>
              </w:rPr>
              <w:t>Temas:</w:t>
            </w:r>
            <w:r w:rsidRPr="00713B63">
              <w:rPr>
                <w:rFonts w:ascii="Verdana" w:eastAsia="Calibri" w:hAnsi="Verdana" w:cs="Arial"/>
                <w:color w:val="000000"/>
                <w:lang w:eastAsia="es-ES_tradnl"/>
              </w:rPr>
              <w:t xml:space="preserve">                   </w:t>
            </w:r>
          </w:p>
        </w:tc>
        <w:tc>
          <w:tcPr>
            <w:tcW w:w="6100" w:type="dxa"/>
          </w:tcPr>
          <w:p w14:paraId="5A5EF914" w14:textId="77777777" w:rsidR="00A76C1B" w:rsidRPr="00713B63" w:rsidRDefault="00A76C1B" w:rsidP="00C62AB1">
            <w:pPr>
              <w:spacing w:line="276" w:lineRule="auto"/>
              <w:jc w:val="both"/>
              <w:rPr>
                <w:rFonts w:ascii="Verdana" w:eastAsia="Times New Roman" w:hAnsi="Verdana"/>
                <w:shd w:val="clear" w:color="auto" w:fill="FFFFFF"/>
                <w:lang w:eastAsia="es-ES_tradnl"/>
              </w:rPr>
            </w:pPr>
            <w:r w:rsidRPr="00713B63">
              <w:rPr>
                <w:rFonts w:ascii="Verdana" w:eastAsia="Times New Roman" w:hAnsi="Verdana"/>
                <w:lang w:val="es-ES_tradnl" w:eastAsia="es-ES_tradnl"/>
              </w:rPr>
              <w:t xml:space="preserve">COMITÉ EVALUADOR - Regulación / COMITÉ EVALUADOR – Designación - Facultad de la entidad estatal / COMITÉ EVALUADOR – Funciones – Informe de evaluación - Responsabilidad </w:t>
            </w:r>
          </w:p>
          <w:p w14:paraId="08865706" w14:textId="77777777" w:rsidR="00A76C1B" w:rsidRPr="00713B63" w:rsidRDefault="00A76C1B" w:rsidP="00C62AB1">
            <w:pPr>
              <w:jc w:val="both"/>
              <w:rPr>
                <w:rFonts w:ascii="Verdana" w:eastAsia="Calibri" w:hAnsi="Verdana" w:cs="Arial"/>
                <w:lang w:eastAsia="es-ES"/>
              </w:rPr>
            </w:pPr>
          </w:p>
        </w:tc>
      </w:tr>
      <w:tr w:rsidR="00A76C1B" w:rsidRPr="00713B63" w14:paraId="0D0B0CA8" w14:textId="77777777" w:rsidTr="00C62AB1">
        <w:tc>
          <w:tcPr>
            <w:tcW w:w="2689" w:type="dxa"/>
          </w:tcPr>
          <w:p w14:paraId="3ED20810" w14:textId="77777777" w:rsidR="00A76C1B" w:rsidRPr="00713B63" w:rsidRDefault="00A76C1B" w:rsidP="00C62AB1">
            <w:pPr>
              <w:jc w:val="both"/>
              <w:rPr>
                <w:rFonts w:ascii="Verdana" w:eastAsia="Calibri" w:hAnsi="Verdana" w:cs="Arial"/>
                <w:b/>
                <w:lang w:eastAsia="es-ES_tradnl"/>
              </w:rPr>
            </w:pPr>
            <w:r w:rsidRPr="00713B63">
              <w:rPr>
                <w:rFonts w:ascii="Verdana" w:eastAsia="Calibri" w:hAnsi="Verdana" w:cs="Arial"/>
                <w:b/>
                <w:lang w:eastAsia="es-ES_tradnl"/>
              </w:rPr>
              <w:t>Radicación:</w:t>
            </w:r>
            <w:r w:rsidRPr="00713B63">
              <w:rPr>
                <w:rFonts w:ascii="Verdana" w:eastAsia="Calibri" w:hAnsi="Verdana" w:cs="Arial"/>
                <w:lang w:eastAsia="es-ES_tradnl"/>
              </w:rPr>
              <w:t xml:space="preserve">               </w:t>
            </w:r>
          </w:p>
        </w:tc>
        <w:tc>
          <w:tcPr>
            <w:tcW w:w="6100" w:type="dxa"/>
          </w:tcPr>
          <w:p w14:paraId="21B238A8" w14:textId="6C2454FE" w:rsidR="008A666E" w:rsidRPr="008A666E" w:rsidRDefault="00A76C1B" w:rsidP="008A666E">
            <w:pPr>
              <w:jc w:val="both"/>
              <w:rPr>
                <w:rFonts w:ascii="Verdana" w:eastAsia="Calibri" w:hAnsi="Verdana" w:cs="Arial"/>
                <w:lang w:eastAsia="es-ES_tradnl"/>
              </w:rPr>
            </w:pPr>
            <w:r w:rsidRPr="00713B63">
              <w:rPr>
                <w:rFonts w:ascii="Verdana" w:eastAsia="Calibri" w:hAnsi="Verdana" w:cs="Arial"/>
                <w:lang w:eastAsia="es-ES_tradnl"/>
              </w:rPr>
              <w:t xml:space="preserve">Respuesta a la consulta con radicado No. </w:t>
            </w:r>
            <w:r w:rsidR="008A666E">
              <w:rPr>
                <w:rFonts w:ascii="Verdana" w:hAnsi="Verdana" w:cs="Calibri"/>
              </w:rPr>
              <w:t>1_2026_06_26_008633</w:t>
            </w:r>
          </w:p>
          <w:p w14:paraId="1A8C2242" w14:textId="3ED8E0D0" w:rsidR="00A76C1B" w:rsidRPr="00713B63" w:rsidRDefault="00A76C1B" w:rsidP="00C62AB1">
            <w:pPr>
              <w:jc w:val="both"/>
              <w:rPr>
                <w:rFonts w:ascii="Verdana" w:eastAsia="Calibri" w:hAnsi="Verdana" w:cs="Arial"/>
                <w:lang w:eastAsia="es-ES_tradnl"/>
              </w:rPr>
            </w:pPr>
          </w:p>
        </w:tc>
      </w:tr>
    </w:tbl>
    <w:p w14:paraId="7BF131DD" w14:textId="77777777" w:rsidR="00A76C1B" w:rsidRPr="00713B63" w:rsidRDefault="00A76C1B" w:rsidP="00A76C1B">
      <w:pPr>
        <w:spacing w:after="0" w:line="240" w:lineRule="auto"/>
        <w:jc w:val="both"/>
        <w:rPr>
          <w:rFonts w:ascii="Verdana" w:eastAsia="Calibri" w:hAnsi="Verdana" w:cs="Arial"/>
          <w:color w:val="000000"/>
          <w:lang w:eastAsia="es-ES_tradnl"/>
        </w:rPr>
      </w:pPr>
    </w:p>
    <w:p w14:paraId="6F12EB43" w14:textId="77777777" w:rsidR="00A76C1B" w:rsidRPr="00713B63" w:rsidRDefault="00A76C1B" w:rsidP="00A76C1B">
      <w:pPr>
        <w:spacing w:after="0" w:line="240" w:lineRule="auto"/>
        <w:jc w:val="both"/>
        <w:rPr>
          <w:rFonts w:ascii="Verdana" w:eastAsia="Calibri" w:hAnsi="Verdana" w:cs="Arial"/>
          <w:color w:val="000000"/>
          <w:lang w:eastAsia="es-ES_tradnl"/>
        </w:rPr>
      </w:pPr>
    </w:p>
    <w:p w14:paraId="43D84C78" w14:textId="0265A4A9" w:rsidR="00A76C1B" w:rsidRPr="00713B63" w:rsidRDefault="00A76C1B" w:rsidP="00A76C1B">
      <w:pPr>
        <w:spacing w:after="0" w:line="276" w:lineRule="auto"/>
        <w:jc w:val="both"/>
        <w:rPr>
          <w:rFonts w:ascii="Verdana" w:eastAsia="Calibri" w:hAnsi="Verdana" w:cs="Arial"/>
          <w:lang w:eastAsia="es-ES"/>
        </w:rPr>
      </w:pPr>
      <w:r w:rsidRPr="00713B63">
        <w:rPr>
          <w:rFonts w:ascii="Verdana" w:eastAsia="Calibri" w:hAnsi="Verdana" w:cs="Arial"/>
          <w:lang w:eastAsia="es-ES"/>
        </w:rPr>
        <w:t xml:space="preserve">Estimado señor </w:t>
      </w:r>
      <w:r w:rsidR="008A666E">
        <w:rPr>
          <w:rFonts w:ascii="Verdana" w:eastAsia="Calibri" w:hAnsi="Verdana" w:cs="Arial"/>
          <w:lang w:eastAsia="es-ES"/>
        </w:rPr>
        <w:t>Bernal Moncada</w:t>
      </w:r>
      <w:r w:rsidRPr="00713B63">
        <w:rPr>
          <w:rFonts w:ascii="Verdana" w:eastAsia="Calibri" w:hAnsi="Verdana" w:cs="Arial"/>
          <w:lang w:eastAsia="es-ES"/>
        </w:rPr>
        <w:t xml:space="preserve">: </w:t>
      </w:r>
    </w:p>
    <w:p w14:paraId="5BFA7D6B" w14:textId="77777777" w:rsidR="00A76C1B" w:rsidRPr="00713B63" w:rsidRDefault="00A76C1B" w:rsidP="00A76C1B">
      <w:pPr>
        <w:tabs>
          <w:tab w:val="left" w:pos="3768"/>
        </w:tabs>
        <w:spacing w:after="0" w:line="276" w:lineRule="auto"/>
        <w:jc w:val="both"/>
        <w:rPr>
          <w:rFonts w:ascii="Verdana" w:eastAsia="Calibri" w:hAnsi="Verdana" w:cs="Arial"/>
          <w:color w:val="000000" w:themeColor="text1"/>
          <w:lang w:eastAsia="es-ES"/>
        </w:rPr>
      </w:pPr>
      <w:r w:rsidRPr="00713B63">
        <w:rPr>
          <w:rFonts w:ascii="Verdana" w:eastAsia="Calibri" w:hAnsi="Verdana" w:cs="Arial"/>
          <w:color w:val="000000" w:themeColor="text1"/>
          <w:lang w:eastAsia="es-ES"/>
        </w:rPr>
        <w:tab/>
      </w:r>
    </w:p>
    <w:p w14:paraId="33AA6C4E" w14:textId="45B118D3" w:rsidR="00A76C1B" w:rsidRPr="00713B63" w:rsidRDefault="00A76C1B" w:rsidP="00A76C1B">
      <w:pPr>
        <w:spacing w:after="0" w:line="276" w:lineRule="auto"/>
        <w:jc w:val="both"/>
        <w:rPr>
          <w:rFonts w:ascii="Verdana" w:eastAsia="Calibri" w:hAnsi="Verdana" w:cs="Arial"/>
          <w:color w:val="000000" w:themeColor="text1"/>
          <w:lang w:eastAsia="es-ES"/>
        </w:rPr>
      </w:pPr>
      <w:r w:rsidRPr="00713B63">
        <w:rPr>
          <w:rFonts w:ascii="Verdana" w:eastAsia="Calibri" w:hAnsi="Verdana" w:cs="Arial"/>
          <w:color w:val="000000" w:themeColor="text1"/>
          <w:lang w:eastAsia="es-ES"/>
        </w:rPr>
        <w:t>En ejercicio de la competencia otorgada por los artículos 3, numeral 5º, y 11, numeral 8º, del Decreto Ley 4170 de 2011,</w:t>
      </w:r>
      <w:r w:rsidRPr="00713B63">
        <w:rPr>
          <w:rFonts w:ascii="Verdana" w:eastAsia="Arial MT" w:hAnsi="Verdana" w:cs="Arial MT"/>
          <w:lang w:eastAsia="es-ES"/>
        </w:rPr>
        <w:t xml:space="preserve"> </w:t>
      </w:r>
      <w:r w:rsidRPr="00713B63">
        <w:rPr>
          <w:rFonts w:ascii="Verdana" w:hAnsi="Verdana" w:cs="Arial"/>
        </w:rPr>
        <w:t xml:space="preserve">así como lo establecido en la Resolución 469 de 2025 expedida por esta Entidad, </w:t>
      </w:r>
      <w:r w:rsidRPr="00713B63">
        <w:rPr>
          <w:rFonts w:ascii="Verdana" w:eastAsia="Calibri" w:hAnsi="Verdana" w:cs="Arial"/>
          <w:color w:val="000000" w:themeColor="text1"/>
          <w:lang w:eastAsia="es-ES"/>
        </w:rPr>
        <w:t xml:space="preserve">la Agencia Nacional de Contratación Pública – Colombia Compra Eficiente responde su solicitud de concepto del </w:t>
      </w:r>
      <w:r w:rsidR="008A666E">
        <w:rPr>
          <w:rFonts w:ascii="Verdana" w:eastAsia="Calibri" w:hAnsi="Verdana" w:cs="Arial"/>
          <w:color w:val="000000" w:themeColor="text1"/>
          <w:lang w:eastAsia="es-ES"/>
        </w:rPr>
        <w:t>26</w:t>
      </w:r>
      <w:r w:rsidRPr="00713B63">
        <w:rPr>
          <w:rFonts w:ascii="Verdana" w:eastAsia="Calibri" w:hAnsi="Verdana" w:cs="Arial"/>
          <w:color w:val="000000" w:themeColor="text1"/>
          <w:lang w:eastAsia="es-ES"/>
        </w:rPr>
        <w:t xml:space="preserve"> de ju</w:t>
      </w:r>
      <w:r w:rsidR="008A666E">
        <w:rPr>
          <w:rFonts w:ascii="Verdana" w:eastAsia="Calibri" w:hAnsi="Verdana" w:cs="Arial"/>
          <w:color w:val="000000" w:themeColor="text1"/>
          <w:lang w:eastAsia="es-ES"/>
        </w:rPr>
        <w:t>n</w:t>
      </w:r>
      <w:r w:rsidRPr="00713B63">
        <w:rPr>
          <w:rFonts w:ascii="Verdana" w:eastAsia="Calibri" w:hAnsi="Verdana" w:cs="Arial"/>
          <w:color w:val="000000" w:themeColor="text1"/>
          <w:lang w:eastAsia="es-ES"/>
        </w:rPr>
        <w:t>io de 202</w:t>
      </w:r>
      <w:r w:rsidR="008A666E">
        <w:rPr>
          <w:rFonts w:ascii="Verdana" w:eastAsia="Calibri" w:hAnsi="Verdana" w:cs="Arial"/>
          <w:color w:val="000000" w:themeColor="text1"/>
          <w:lang w:eastAsia="es-ES"/>
        </w:rPr>
        <w:t>6</w:t>
      </w:r>
      <w:r w:rsidRPr="00713B63">
        <w:rPr>
          <w:rFonts w:ascii="Verdana" w:eastAsia="Calibri" w:hAnsi="Verdana" w:cs="Arial"/>
          <w:color w:val="000000" w:themeColor="text1"/>
          <w:lang w:eastAsia="es-ES"/>
        </w:rPr>
        <w:t>,</w:t>
      </w:r>
      <w:r w:rsidRPr="00713B63">
        <w:rPr>
          <w:rFonts w:ascii="Verdana" w:eastAsia="Calibri" w:hAnsi="Verdana" w:cs="Arial"/>
          <w:lang w:eastAsia="es-ES"/>
        </w:rPr>
        <w:t xml:space="preserve"> en la cual consulta sobre lo siguiente:</w:t>
      </w:r>
      <w:r w:rsidRPr="00713B63">
        <w:rPr>
          <w:rFonts w:ascii="Verdana" w:eastAsia="Calibri" w:hAnsi="Verdana" w:cs="Arial"/>
          <w:i/>
          <w:iCs/>
          <w:lang w:eastAsia="es-ES"/>
        </w:rPr>
        <w:t xml:space="preserve"> </w:t>
      </w:r>
      <w:bookmarkStart w:id="1" w:name="_Hlk95313578"/>
    </w:p>
    <w:p w14:paraId="2C09BE89" w14:textId="77777777" w:rsidR="00A76C1B" w:rsidRPr="00713B63" w:rsidRDefault="00A76C1B" w:rsidP="00A76C1B">
      <w:pPr>
        <w:spacing w:after="0" w:line="276" w:lineRule="auto"/>
        <w:jc w:val="both"/>
        <w:rPr>
          <w:rFonts w:ascii="Verdana" w:eastAsia="Calibri" w:hAnsi="Verdana" w:cs="Arial"/>
          <w:i/>
          <w:iCs/>
          <w:lang w:eastAsia="es-ES"/>
        </w:rPr>
      </w:pPr>
    </w:p>
    <w:bookmarkEnd w:id="1"/>
    <w:p w14:paraId="7F445C2D" w14:textId="7E0A268F" w:rsidR="0083313F" w:rsidRDefault="008A666E" w:rsidP="00C05089">
      <w:pPr>
        <w:spacing w:after="0" w:line="240" w:lineRule="auto"/>
        <w:ind w:left="709" w:right="709"/>
        <w:jc w:val="both"/>
        <w:rPr>
          <w:rFonts w:ascii="Verdana" w:eastAsia="Arial" w:hAnsi="Verdana" w:cs="Arial"/>
          <w:iCs/>
          <w:color w:val="000000"/>
          <w:sz w:val="21"/>
          <w:szCs w:val="21"/>
        </w:rPr>
      </w:pPr>
      <w:r>
        <w:rPr>
          <w:rFonts w:ascii="Verdana" w:eastAsia="Arial" w:hAnsi="Verdana" w:cs="Arial"/>
          <w:iCs/>
          <w:color w:val="000000"/>
          <w:sz w:val="21"/>
          <w:szCs w:val="21"/>
        </w:rPr>
        <w:t>“1. En atención al Artículo 2.2.1.1.</w:t>
      </w:r>
      <w:r w:rsidR="00234467">
        <w:rPr>
          <w:rFonts w:ascii="Verdana" w:eastAsia="Arial" w:hAnsi="Verdana" w:cs="Arial"/>
          <w:iCs/>
          <w:color w:val="000000"/>
          <w:sz w:val="21"/>
          <w:szCs w:val="21"/>
        </w:rPr>
        <w:t>2.2.3 del Decreto 1082 de 2015, el integrante del comité evaluador que verifica requisitos jurídicos</w:t>
      </w:r>
      <w:r w:rsidR="00C05089">
        <w:rPr>
          <w:rFonts w:ascii="Verdana" w:eastAsia="Arial" w:hAnsi="Verdana" w:cs="Arial"/>
          <w:iCs/>
          <w:color w:val="000000"/>
          <w:sz w:val="21"/>
          <w:szCs w:val="21"/>
        </w:rPr>
        <w:t xml:space="preserve">, ¿está facultado para evaluar requisitos habilitantes financieros sin que el acto </w:t>
      </w:r>
      <w:r w:rsidR="001F2B1E">
        <w:rPr>
          <w:rFonts w:ascii="Verdana" w:eastAsia="Arial" w:hAnsi="Verdana" w:cs="Arial"/>
          <w:iCs/>
          <w:color w:val="000000"/>
          <w:sz w:val="21"/>
          <w:szCs w:val="21"/>
        </w:rPr>
        <w:t xml:space="preserve">administrativo de designación como evaluador así lo contemple? </w:t>
      </w:r>
    </w:p>
    <w:p w14:paraId="5E0E9705" w14:textId="77777777" w:rsidR="001F2B1E" w:rsidRDefault="001F2B1E" w:rsidP="00C05089">
      <w:pPr>
        <w:spacing w:after="0" w:line="240" w:lineRule="auto"/>
        <w:ind w:left="709" w:right="709"/>
        <w:jc w:val="both"/>
        <w:rPr>
          <w:rFonts w:ascii="Verdana" w:eastAsia="Arial" w:hAnsi="Verdana" w:cs="Arial"/>
          <w:iCs/>
          <w:color w:val="000000"/>
          <w:sz w:val="21"/>
          <w:szCs w:val="21"/>
        </w:rPr>
      </w:pPr>
    </w:p>
    <w:p w14:paraId="3F961658" w14:textId="107DA524" w:rsidR="001F2B1E" w:rsidRDefault="001F2B1E" w:rsidP="00C05089">
      <w:pPr>
        <w:spacing w:after="0" w:line="240" w:lineRule="auto"/>
        <w:ind w:left="709" w:right="709"/>
        <w:jc w:val="both"/>
        <w:rPr>
          <w:rFonts w:ascii="Verdana" w:eastAsia="Arial" w:hAnsi="Verdana" w:cs="Arial"/>
          <w:iCs/>
          <w:color w:val="000000"/>
          <w:sz w:val="21"/>
          <w:szCs w:val="21"/>
        </w:rPr>
      </w:pPr>
      <w:r>
        <w:rPr>
          <w:rFonts w:ascii="Verdana" w:eastAsia="Arial" w:hAnsi="Verdana" w:cs="Arial"/>
          <w:iCs/>
          <w:color w:val="000000"/>
          <w:sz w:val="21"/>
          <w:szCs w:val="21"/>
        </w:rPr>
        <w:t>2. En atención al Artículo 2.2.1.1.2.2.3 del Decreto 1082 de 2015, el integrante del comité evaluador que verifica requisitos jurídicos, ¿está facultado para evaluar</w:t>
      </w:r>
      <w:r w:rsidR="0078742A">
        <w:rPr>
          <w:rFonts w:ascii="Verdana" w:eastAsia="Arial" w:hAnsi="Verdana" w:cs="Arial"/>
          <w:iCs/>
          <w:color w:val="000000"/>
          <w:sz w:val="21"/>
          <w:szCs w:val="21"/>
        </w:rPr>
        <w:t xml:space="preserve"> requisitos habilitantes organizaciones sin que el acto administrativo de designación así lo contemple?</w:t>
      </w:r>
    </w:p>
    <w:p w14:paraId="739C3D26" w14:textId="77777777" w:rsidR="0078742A" w:rsidRDefault="0078742A" w:rsidP="00C05089">
      <w:pPr>
        <w:spacing w:after="0" w:line="240" w:lineRule="auto"/>
        <w:ind w:left="709" w:right="709"/>
        <w:jc w:val="both"/>
        <w:rPr>
          <w:rFonts w:ascii="Verdana" w:eastAsia="Arial" w:hAnsi="Verdana" w:cs="Arial"/>
          <w:iCs/>
          <w:color w:val="000000"/>
          <w:sz w:val="21"/>
          <w:szCs w:val="21"/>
        </w:rPr>
      </w:pPr>
    </w:p>
    <w:p w14:paraId="56078F5B" w14:textId="1B0E6CFC" w:rsidR="0078742A" w:rsidRDefault="007D61B5" w:rsidP="00C05089">
      <w:pPr>
        <w:spacing w:after="0" w:line="240" w:lineRule="auto"/>
        <w:ind w:left="709" w:right="709"/>
        <w:jc w:val="both"/>
        <w:rPr>
          <w:rFonts w:ascii="Verdana" w:eastAsia="Arial" w:hAnsi="Verdana" w:cs="Arial"/>
          <w:iCs/>
          <w:color w:val="000000"/>
          <w:sz w:val="21"/>
          <w:szCs w:val="21"/>
        </w:rPr>
      </w:pPr>
      <w:r>
        <w:rPr>
          <w:rFonts w:ascii="Verdana" w:eastAsia="Arial" w:hAnsi="Verdana" w:cs="Arial"/>
          <w:iCs/>
          <w:color w:val="000000"/>
          <w:sz w:val="21"/>
          <w:szCs w:val="21"/>
        </w:rPr>
        <w:t xml:space="preserve">3. En atención al Artículo 2.2.1.1.2.2.3 del Decreto 1082 de 2015, el integrante del comité evaluador </w:t>
      </w:r>
      <w:r w:rsidR="007D10E2">
        <w:rPr>
          <w:rFonts w:ascii="Verdana" w:eastAsia="Arial" w:hAnsi="Verdana" w:cs="Arial"/>
          <w:iCs/>
          <w:color w:val="000000"/>
          <w:sz w:val="21"/>
          <w:szCs w:val="21"/>
        </w:rPr>
        <w:t>que verifica requisitos habilitantes jurídicos ¿está facultado para evaluar la habilitación en materia de capacidad residual sin que el acto administrativo como evaluador así lo contemple?” (SIC).</w:t>
      </w:r>
    </w:p>
    <w:p w14:paraId="7288F9EF" w14:textId="77777777" w:rsidR="007D10E2" w:rsidRDefault="007D10E2" w:rsidP="00C05089">
      <w:pPr>
        <w:spacing w:after="0" w:line="240" w:lineRule="auto"/>
        <w:ind w:left="709" w:right="709"/>
        <w:jc w:val="both"/>
        <w:rPr>
          <w:rFonts w:ascii="Verdana" w:eastAsia="Arial" w:hAnsi="Verdana" w:cs="Arial"/>
          <w:iCs/>
          <w:color w:val="000000"/>
          <w:sz w:val="21"/>
          <w:szCs w:val="21"/>
        </w:rPr>
      </w:pPr>
    </w:p>
    <w:p w14:paraId="6D4BDA7B" w14:textId="77777777" w:rsidR="002A4316" w:rsidRPr="00713B63" w:rsidRDefault="002A4316" w:rsidP="009B46D8">
      <w:pPr>
        <w:spacing w:after="120" w:line="276" w:lineRule="auto"/>
        <w:ind w:firstLine="709"/>
        <w:jc w:val="both"/>
        <w:rPr>
          <w:rFonts w:ascii="Verdana" w:eastAsia="Calibri" w:hAnsi="Verdana" w:cs="Arial"/>
          <w:color w:val="000000"/>
          <w:lang w:eastAsia="es-ES"/>
        </w:rPr>
      </w:pPr>
      <w:r w:rsidRPr="00713B63">
        <w:rPr>
          <w:rFonts w:ascii="Verdana" w:eastAsia="Calibri" w:hAnsi="Verdana" w:cs="Arial"/>
          <w:color w:val="000000"/>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713B63">
        <w:rPr>
          <w:rFonts w:ascii="Verdana" w:eastAsia="Calibri" w:hAnsi="Verdana" w:cs="Arial"/>
          <w:color w:val="000000"/>
          <w:szCs w:val="24"/>
          <w:lang w:eastAsia="es-ES_tradnl"/>
        </w:rPr>
        <w:tab/>
      </w:r>
    </w:p>
    <w:p w14:paraId="1209A024" w14:textId="77777777" w:rsidR="002A4316" w:rsidRDefault="002A4316" w:rsidP="009B46D8">
      <w:pPr>
        <w:spacing w:after="120" w:line="276" w:lineRule="auto"/>
        <w:ind w:firstLine="709"/>
        <w:jc w:val="both"/>
        <w:rPr>
          <w:rFonts w:ascii="Verdana" w:eastAsia="Calibri" w:hAnsi="Verdana" w:cs="Arial"/>
          <w:color w:val="000000"/>
          <w:lang w:eastAsia="es-ES"/>
        </w:rPr>
      </w:pPr>
      <w:r w:rsidRPr="00713B63">
        <w:rPr>
          <w:rFonts w:ascii="Verdana" w:eastAsia="Calibri" w:hAnsi="Verdana" w:cs="Arial"/>
          <w:color w:val="000000"/>
          <w:lang w:eastAsia="es-ES"/>
        </w:rPr>
        <w:t>Conforme lo expuesto, en aras de satisfacer el derecho fundamental de petición se resolverá su consulta dentro de los límites de la referida competencia consultiva, esto es, haciendo abstracción de las circunstancias particulares y concretas mencionadas en las preguntas de la petición, pero haciendo unas consideraciones sobre las normas generales relacionadas con los</w:t>
      </w:r>
      <w:r w:rsidRPr="00713B63">
        <w:rPr>
          <w:rFonts w:ascii="Verdana" w:eastAsia="Calibri" w:hAnsi="Verdana" w:cs="Arial"/>
          <w:color w:val="7030A0"/>
          <w:lang w:eastAsia="es-ES"/>
        </w:rPr>
        <w:t xml:space="preserve"> </w:t>
      </w:r>
      <w:r w:rsidRPr="00713B63">
        <w:rPr>
          <w:rFonts w:ascii="Verdana" w:eastAsia="Calibri" w:hAnsi="Verdana" w:cs="Arial"/>
          <w:color w:val="000000"/>
          <w:lang w:eastAsia="es-ES"/>
        </w:rPr>
        <w:t>problemas</w:t>
      </w:r>
      <w:r w:rsidRPr="00713B63">
        <w:rPr>
          <w:rFonts w:ascii="Verdana" w:eastAsia="Calibri" w:hAnsi="Verdana" w:cs="Arial"/>
          <w:color w:val="7030A0"/>
          <w:lang w:eastAsia="es-ES"/>
        </w:rPr>
        <w:t xml:space="preserve"> </w:t>
      </w:r>
      <w:r w:rsidRPr="00713B63">
        <w:rPr>
          <w:rFonts w:ascii="Verdana" w:eastAsia="Calibri" w:hAnsi="Verdana" w:cs="Arial"/>
          <w:color w:val="000000"/>
          <w:lang w:eastAsia="es-ES"/>
        </w:rPr>
        <w:t>jurídicos</w:t>
      </w:r>
      <w:r w:rsidRPr="00713B63">
        <w:rPr>
          <w:rFonts w:ascii="Verdana" w:eastAsia="Calibri" w:hAnsi="Verdana" w:cs="Arial"/>
          <w:color w:val="7030A0"/>
          <w:lang w:eastAsia="es-ES"/>
        </w:rPr>
        <w:t xml:space="preserve"> </w:t>
      </w:r>
      <w:r w:rsidRPr="00713B63">
        <w:rPr>
          <w:rFonts w:ascii="Verdana" w:eastAsia="Calibri" w:hAnsi="Verdana" w:cs="Arial"/>
          <w:color w:val="000000"/>
          <w:lang w:eastAsia="es-ES"/>
        </w:rPr>
        <w:t xml:space="preserve">de su consulta. </w:t>
      </w:r>
    </w:p>
    <w:p w14:paraId="06DA9450" w14:textId="77777777" w:rsidR="002A4316" w:rsidRDefault="002A4316" w:rsidP="002A4316">
      <w:pPr>
        <w:spacing w:after="120" w:line="276" w:lineRule="auto"/>
        <w:jc w:val="both"/>
        <w:rPr>
          <w:rFonts w:ascii="Verdana" w:eastAsia="Calibri" w:hAnsi="Verdana" w:cs="Arial"/>
          <w:color w:val="000000"/>
          <w:lang w:eastAsia="es-ES"/>
        </w:rPr>
      </w:pPr>
    </w:p>
    <w:p w14:paraId="79AD6696" w14:textId="669D96F6" w:rsidR="002A4316" w:rsidRDefault="002A4316" w:rsidP="002A4316">
      <w:pPr>
        <w:spacing w:after="120" w:line="276" w:lineRule="auto"/>
        <w:jc w:val="both"/>
        <w:rPr>
          <w:rFonts w:ascii="Verdana" w:eastAsia="Calibri" w:hAnsi="Verdana" w:cs="Arial"/>
          <w:b/>
          <w:bCs/>
          <w:color w:val="000000"/>
          <w:lang w:eastAsia="es-ES"/>
        </w:rPr>
      </w:pPr>
      <w:r w:rsidRPr="002A4316">
        <w:rPr>
          <w:rFonts w:ascii="Verdana" w:eastAsia="Calibri" w:hAnsi="Verdana" w:cs="Arial"/>
          <w:b/>
          <w:bCs/>
          <w:color w:val="000000"/>
          <w:lang w:eastAsia="es-ES"/>
        </w:rPr>
        <w:t xml:space="preserve">1. Problema planteado: </w:t>
      </w:r>
    </w:p>
    <w:p w14:paraId="7D5F79A8" w14:textId="7C4F4BA9" w:rsidR="00C159A7" w:rsidRPr="00713B63" w:rsidRDefault="00C159A7" w:rsidP="00C159A7">
      <w:pPr>
        <w:spacing w:after="0" w:line="276" w:lineRule="auto"/>
        <w:jc w:val="both"/>
        <w:rPr>
          <w:rFonts w:ascii="Verdana" w:eastAsia="Century Gothic" w:hAnsi="Verdana" w:cs="Century Gothic"/>
        </w:rPr>
      </w:pPr>
      <w:r w:rsidRPr="00713B63">
        <w:rPr>
          <w:rFonts w:ascii="Verdana" w:eastAsia="Century Gothic" w:hAnsi="Verdana" w:cs="Century Gothic"/>
        </w:rPr>
        <w:t xml:space="preserve">De acuerdo con el contenido de su solicitud, esta Agencia resolverá el siguiente problema jurídico: ¿Cuál es </w:t>
      </w:r>
      <w:r w:rsidR="00CE11C3">
        <w:rPr>
          <w:rFonts w:ascii="Verdana" w:eastAsia="Century Gothic" w:hAnsi="Verdana" w:cs="Century Gothic"/>
        </w:rPr>
        <w:t xml:space="preserve">el alcance de </w:t>
      </w:r>
      <w:r w:rsidRPr="00713B63">
        <w:rPr>
          <w:rFonts w:ascii="Verdana" w:eastAsia="Century Gothic" w:hAnsi="Verdana" w:cs="Century Gothic"/>
        </w:rPr>
        <w:t>la regulación y el funcionamiento del comité evaluador?</w:t>
      </w:r>
    </w:p>
    <w:p w14:paraId="3117804E" w14:textId="14B8B6A9" w:rsidR="002A4316" w:rsidRDefault="002A4316" w:rsidP="002A4316">
      <w:pPr>
        <w:spacing w:after="120" w:line="276" w:lineRule="auto"/>
        <w:jc w:val="both"/>
        <w:rPr>
          <w:rFonts w:ascii="Verdana" w:eastAsia="Calibri" w:hAnsi="Verdana" w:cs="Arial"/>
          <w:b/>
          <w:bCs/>
          <w:color w:val="000000"/>
          <w:lang w:eastAsia="es-ES"/>
        </w:rPr>
      </w:pPr>
    </w:p>
    <w:p w14:paraId="0D860B50" w14:textId="6DC809A8" w:rsidR="003F2224" w:rsidRDefault="003F2224" w:rsidP="002A4316">
      <w:pPr>
        <w:spacing w:after="120" w:line="276" w:lineRule="auto"/>
        <w:jc w:val="both"/>
        <w:rPr>
          <w:rFonts w:ascii="Verdana" w:eastAsia="Calibri" w:hAnsi="Verdana" w:cs="Arial"/>
          <w:b/>
          <w:bCs/>
          <w:color w:val="000000"/>
          <w:lang w:eastAsia="es-ES"/>
        </w:rPr>
      </w:pPr>
      <w:r>
        <w:rPr>
          <w:rFonts w:ascii="Verdana" w:eastAsia="Calibri" w:hAnsi="Verdana" w:cs="Arial"/>
          <w:b/>
          <w:bCs/>
          <w:color w:val="000000"/>
          <w:lang w:eastAsia="es-ES"/>
        </w:rPr>
        <w:t xml:space="preserve">2. Respuesta: </w:t>
      </w:r>
    </w:p>
    <w:p w14:paraId="6A3CDF3E" w14:textId="77777777" w:rsidR="00F25692" w:rsidRPr="00713B63" w:rsidRDefault="00F25692" w:rsidP="009B46D8">
      <w:pPr>
        <w:pBdr>
          <w:top w:val="single" w:sz="4" w:space="1" w:color="auto"/>
          <w:left w:val="single" w:sz="4" w:space="4" w:color="auto"/>
          <w:bottom w:val="single" w:sz="4" w:space="1" w:color="auto"/>
          <w:right w:val="single" w:sz="4" w:space="4" w:color="auto"/>
        </w:pBdr>
        <w:spacing w:after="120" w:line="276" w:lineRule="auto"/>
        <w:jc w:val="both"/>
        <w:rPr>
          <w:rFonts w:ascii="Verdana" w:eastAsia="Calibri" w:hAnsi="Verdana" w:cs="Arial"/>
          <w:bCs/>
          <w:color w:val="000000"/>
        </w:rPr>
      </w:pPr>
      <w:r w:rsidRPr="00713B63">
        <w:rPr>
          <w:rFonts w:ascii="Verdana" w:hAnsi="Verdana" w:cs="Arial"/>
        </w:rPr>
        <w:t>De conformidad con lo establecido en el</w:t>
      </w:r>
      <w:r w:rsidRPr="00713B63">
        <w:rPr>
          <w:rFonts w:ascii="Verdana" w:eastAsia="Calibri" w:hAnsi="Verdana" w:cs="Arial"/>
          <w:bCs/>
          <w:color w:val="000000"/>
        </w:rPr>
        <w:t xml:space="preserve"> artículo 2.2.1.1.2.2.3 del Decreto 1082 de 2015, las Entidades Estatales sometidas al Estatuto General de Contratación de la Administración Pública, en adelante EGCAP, puedan constituir un comité evaluador de ofertas y de manifestaciones de interés, que podrá estar conformado bien sea por servidores públicos o particulares contratados para tal finalidad o por ambos. En ese sentido, respecto de la creación del comité evaluador, debe aclararse, que al establecer la norma el verbo “podrá”, se infiere que las Entidades Estatales de acuerdo con sus funciones y organización interna, así como con la naturaleza y complejidad del contrato que pretendan celebrar, entre otros aspectos, definirán si es o no necesaria la constitución de dicho organismo, ya que, como se observa, esto no acarrea una obligación. </w:t>
      </w:r>
    </w:p>
    <w:p w14:paraId="3C4D372C" w14:textId="77777777" w:rsidR="00F25692" w:rsidRPr="00713B63" w:rsidRDefault="00F25692" w:rsidP="009B46D8">
      <w:pPr>
        <w:pBdr>
          <w:top w:val="single" w:sz="4" w:space="1" w:color="auto"/>
          <w:left w:val="single" w:sz="4" w:space="4" w:color="auto"/>
          <w:bottom w:val="single" w:sz="4" w:space="1" w:color="auto"/>
          <w:right w:val="single" w:sz="4" w:space="4" w:color="auto"/>
        </w:pBdr>
        <w:spacing w:after="120" w:line="276" w:lineRule="auto"/>
        <w:ind w:firstLine="708"/>
        <w:jc w:val="both"/>
        <w:rPr>
          <w:rFonts w:ascii="Verdana" w:eastAsia="Calibri" w:hAnsi="Verdana" w:cs="Arial"/>
          <w:bCs/>
          <w:color w:val="000000"/>
        </w:rPr>
      </w:pPr>
      <w:r w:rsidRPr="00713B63">
        <w:rPr>
          <w:rFonts w:ascii="Verdana" w:eastAsia="Calibri" w:hAnsi="Verdana" w:cs="Arial"/>
          <w:bCs/>
          <w:color w:val="000000"/>
        </w:rPr>
        <w:t>De igual manera, debe precisarse que dicha norma permite que las Entidades Estatales determinen ciertos elementos en relación con el comité de evaluación que decidan constituir. Por ello, aspectos como el número de miembros, las calidades o profesiones de cada uno, la determinación de los procesos de selección en los cuales dicho comité se conformará, o la definición de factores como la cuantía u objeto contractual para la misma finalidad, entre otros, son aspectos que, en la medida que la norma guarde silencio, le corresponderá a las Entidades definir para cada proceso, en sus respectivos manuales de contratación. Situación esta, que se refleja en la definición de las condiciones que deberían observar las Entidades Estatales al momento de asignar las funciones o actividades a desempeñar por parte de los miembros de dichos comités, pues la norma en mención, no se refirió sobre este aspecto, por lo que le corresponderá a la Entidad, según la particularidad del asunto, determinarlo.</w:t>
      </w:r>
    </w:p>
    <w:p w14:paraId="36DE0195" w14:textId="794A712B" w:rsidR="003F2224" w:rsidRDefault="00F25692" w:rsidP="009B46D8">
      <w:pPr>
        <w:pBdr>
          <w:top w:val="single" w:sz="4" w:space="1" w:color="auto"/>
          <w:left w:val="single" w:sz="4" w:space="4" w:color="auto"/>
          <w:bottom w:val="single" w:sz="4" w:space="1" w:color="auto"/>
          <w:right w:val="single" w:sz="4" w:space="4" w:color="auto"/>
        </w:pBdr>
        <w:spacing w:after="120" w:line="276" w:lineRule="auto"/>
        <w:jc w:val="both"/>
        <w:rPr>
          <w:rFonts w:ascii="Verdana" w:eastAsia="Calibri" w:hAnsi="Verdana" w:cs="Arial"/>
          <w:b/>
          <w:bCs/>
          <w:color w:val="000000"/>
          <w:lang w:eastAsia="es-ES"/>
        </w:rPr>
      </w:pPr>
      <w:r w:rsidRPr="00713B63">
        <w:rPr>
          <w:rFonts w:ascii="Verdana" w:eastAsia="Calibri" w:hAnsi="Verdana" w:cs="Arial"/>
          <w:bCs/>
          <w:color w:val="000000"/>
        </w:rPr>
        <w:t>Así las cosas, la Administración debe asegurarse de contar con profesionales cuya experiencia y conocimientos permitan un análisis riguroso del cumplimiento de los criterios habilitantes y ponderables establecidos en el pliego de condiciones. De esta manera, las calidades y requisitos específicos que deben cumplir los integrantes del comité evaluador variarán según lo establecido por cada entidad, en función del tipo y complejidad del proceso de contratación y demás aspectos que determine la entidad, incorporando funcionarios o contratistas de diversas áreas del conocimiento relevantes para el análisis técnico, jurídico, económico o administrativo del proceso. De este modo, las entidades tienen la facultad y responsabilidad de definir las condiciones de los miembros que integren el comité evaluador y la forma en la que se cumplirán las funciones designadas.</w:t>
      </w:r>
    </w:p>
    <w:p w14:paraId="67155BE5" w14:textId="77777777" w:rsidR="003F2224" w:rsidRPr="009B46D8" w:rsidRDefault="003F2224" w:rsidP="002A4316">
      <w:pPr>
        <w:spacing w:after="120" w:line="276" w:lineRule="auto"/>
        <w:jc w:val="both"/>
        <w:rPr>
          <w:rFonts w:ascii="Verdana" w:eastAsia="Calibri" w:hAnsi="Verdana" w:cs="Arial"/>
          <w:b/>
          <w:bCs/>
          <w:color w:val="000000"/>
          <w:lang w:eastAsia="es-ES"/>
        </w:rPr>
      </w:pPr>
    </w:p>
    <w:p w14:paraId="7C50734F" w14:textId="07AE2957" w:rsidR="002A4316" w:rsidRPr="009B46D8" w:rsidRDefault="00887022" w:rsidP="002A4316">
      <w:pPr>
        <w:spacing w:after="120" w:line="276" w:lineRule="auto"/>
        <w:jc w:val="both"/>
        <w:rPr>
          <w:rFonts w:ascii="Verdana" w:eastAsia="Calibri" w:hAnsi="Verdana" w:cs="Arial"/>
          <w:b/>
          <w:bCs/>
          <w:color w:val="000000"/>
          <w:lang w:eastAsia="es-ES"/>
        </w:rPr>
      </w:pPr>
      <w:r w:rsidRPr="009B46D8">
        <w:rPr>
          <w:rFonts w:ascii="Verdana" w:eastAsia="Calibri" w:hAnsi="Verdana" w:cs="Arial"/>
          <w:b/>
          <w:bCs/>
          <w:color w:val="000000"/>
          <w:lang w:eastAsia="es-ES"/>
        </w:rPr>
        <w:t xml:space="preserve">3. Razones de la respuesta: </w:t>
      </w:r>
    </w:p>
    <w:p w14:paraId="449D8D91" w14:textId="3C9D7C4F" w:rsidR="00B621AC" w:rsidRPr="00713B63" w:rsidRDefault="00B621AC" w:rsidP="009B46D8">
      <w:pPr>
        <w:spacing w:after="0" w:line="276" w:lineRule="auto"/>
        <w:jc w:val="both"/>
        <w:rPr>
          <w:rFonts w:ascii="Verdana" w:eastAsia="Calibri" w:hAnsi="Verdana" w:cs="Arial"/>
        </w:rPr>
      </w:pPr>
      <w:r w:rsidRPr="00713B63">
        <w:rPr>
          <w:rFonts w:ascii="Verdana" w:eastAsia="Calibri" w:hAnsi="Verdana" w:cs="Arial"/>
        </w:rPr>
        <w:t>Lo anterior se sustenta en las siguientes consideraciones:</w:t>
      </w:r>
    </w:p>
    <w:p w14:paraId="6B4CC053" w14:textId="77777777" w:rsidR="00B621AC" w:rsidRPr="00713B63" w:rsidRDefault="00B621AC" w:rsidP="00B621AC">
      <w:pPr>
        <w:spacing w:after="0" w:line="276" w:lineRule="auto"/>
        <w:jc w:val="both"/>
        <w:rPr>
          <w:rFonts w:ascii="Verdana" w:eastAsia="Calibri" w:hAnsi="Verdana" w:cs="Arial"/>
          <w:color w:val="000000" w:themeColor="text1"/>
          <w:lang w:val="es-ES_tradnl"/>
        </w:rPr>
      </w:pPr>
    </w:p>
    <w:p w14:paraId="7A7B2962" w14:textId="77777777" w:rsidR="00B621AC" w:rsidRPr="00713B63" w:rsidRDefault="00B621AC" w:rsidP="009B46D8">
      <w:pPr>
        <w:spacing w:after="120" w:line="276" w:lineRule="auto"/>
        <w:ind w:firstLine="709"/>
        <w:jc w:val="both"/>
        <w:rPr>
          <w:rFonts w:ascii="Verdana" w:eastAsia="Calibri" w:hAnsi="Verdana" w:cs="Arial"/>
          <w:bCs/>
          <w:color w:val="000000"/>
        </w:rPr>
      </w:pPr>
      <w:r w:rsidRPr="00713B63">
        <w:rPr>
          <w:rFonts w:ascii="Verdana" w:eastAsia="Calibri" w:hAnsi="Verdana" w:cs="Arial"/>
          <w:color w:val="000000" w:themeColor="text1"/>
          <w:lang w:val="es-ES_tradnl"/>
        </w:rPr>
        <w:t xml:space="preserve">En la medida que la actividad contractual del Estado resulta ser un asunto complejo y que implica la confluencia de distintas disciplinas y especialidades, el ordenamiento normativo colombiano ha otorgado </w:t>
      </w:r>
      <w:r w:rsidRPr="00713B63">
        <w:rPr>
          <w:rFonts w:ascii="Verdana" w:eastAsia="Calibri" w:hAnsi="Verdana" w:cs="Arial"/>
          <w:bCs/>
          <w:color w:val="000000"/>
        </w:rPr>
        <w:t>la facultad para que los entes públicos constituyan los denominados comités evaluadores o comités de evaluación, como organismos encargados, en ciertos y predeterminados casos, de la evaluación de las ofertas presentadas. Es así como el artículo 2.2.1.1.2.2.3 del Decreto 1082 de 2015 establece que “La entidad Estatal puede designar un comité evaluador conformado por servidores públicos o por particulares contratados para el efecto, para evaluar las ofertas y las manifestaciones de interés para cada Proceso de Contratación por licitación, selección abreviada y concurso de méritos […]”.</w:t>
      </w:r>
    </w:p>
    <w:p w14:paraId="61EF90E8" w14:textId="77777777" w:rsidR="00B621AC" w:rsidRPr="00713B63" w:rsidRDefault="00B621AC" w:rsidP="009B46D8">
      <w:pPr>
        <w:spacing w:after="120" w:line="276" w:lineRule="auto"/>
        <w:ind w:firstLine="709"/>
        <w:jc w:val="both"/>
        <w:rPr>
          <w:rFonts w:ascii="Verdana" w:eastAsia="Calibri" w:hAnsi="Verdana" w:cs="Arial"/>
          <w:bCs/>
          <w:color w:val="000000"/>
        </w:rPr>
      </w:pPr>
      <w:r w:rsidRPr="00713B63">
        <w:rPr>
          <w:rFonts w:ascii="Verdana" w:eastAsia="Calibri" w:hAnsi="Verdana" w:cs="Arial"/>
          <w:bCs/>
          <w:color w:val="000000"/>
        </w:rPr>
        <w:t>Como se observa, la norma mencionada permite que las Entidades Estatales sometidas al Estatuto General de Contratación de la Administración Pública, en adelante EGCAP, puedan constituir un comité evaluador de ofertas y de manifestaciones de interés</w:t>
      </w:r>
      <w:r w:rsidRPr="00713B63">
        <w:rPr>
          <w:rFonts w:ascii="Verdana" w:eastAsia="Calibri" w:hAnsi="Verdana" w:cs="Arial"/>
          <w:bCs/>
          <w:color w:val="000000"/>
          <w:vertAlign w:val="superscript"/>
        </w:rPr>
        <w:footnoteReference w:id="1"/>
      </w:r>
      <w:r w:rsidRPr="00713B63">
        <w:rPr>
          <w:rFonts w:ascii="Verdana" w:eastAsia="Calibri" w:hAnsi="Verdana" w:cs="Arial"/>
          <w:bCs/>
          <w:color w:val="000000"/>
        </w:rPr>
        <w:t xml:space="preserve">, que podrá estar conformado bien sea por servidores públicos o particulares contratados para tal finalidad o por ambos. En ese sentido, respecto de la creación del comité evaluador, debe aclararse, que al establecer la norma el verbo “podrá”, se infiere que las Entidades Estatales de acuerdo con sus funciones y organización interna, así como con la naturaleza y complejidad del contrato que pretendan celebrar, entre otros aspectos, definirán si es o no necesaria la constitución de dicho organismo, ya que, como se observa, esto no acarrea una obligación. </w:t>
      </w:r>
    </w:p>
    <w:p w14:paraId="3E96FB4F" w14:textId="77777777" w:rsidR="00B621AC" w:rsidRPr="00713B63" w:rsidRDefault="00B621AC" w:rsidP="009B46D8">
      <w:pPr>
        <w:spacing w:after="120" w:line="276" w:lineRule="auto"/>
        <w:ind w:firstLine="709"/>
        <w:jc w:val="both"/>
        <w:rPr>
          <w:rFonts w:ascii="Verdana" w:eastAsia="Calibri" w:hAnsi="Verdana" w:cs="Arial"/>
          <w:bCs/>
          <w:color w:val="000000"/>
        </w:rPr>
      </w:pPr>
      <w:r w:rsidRPr="00713B63">
        <w:rPr>
          <w:rFonts w:ascii="Verdana" w:eastAsia="Calibri" w:hAnsi="Verdana" w:cs="Arial"/>
          <w:bCs/>
          <w:color w:val="000000"/>
        </w:rPr>
        <w:t>Ahora bien, es necesario advertir, que el artículo 2.2.1.1.2.2.3 del Decreto 1082 de 2015 mediante el cual se les otorga tal facultad, permite que las Entidades Estatales determinen ciertos elementos en relación con el comité de evaluación que decidan constituir. Por ello, aspectos como el número de miembros, las calidades o profesiones de cada uno, la determinación de los procesos de selección en los cuales dicho comité se conformará, o la definición de factores como la cuantía u objeto contractual para la misma finalidad, entre otros, son aspectos que, en la medida que la norma guarde silencio, le corresponderá a las Entidades definir para cada proceso, en sus respectivos manuales de contratación. Situación esta, que se refleja en la definición de las condiciones que deberían observar las Entidades Estatales al momento de asignar las funciones o actividades a desempeñar por parte de los miembros de dichos comités, pues la norma en mención, no se refirió sobre este aspecto, por lo que le corresponderá a la Entidad, según la particularidad del asunto, determinarlo.</w:t>
      </w:r>
    </w:p>
    <w:p w14:paraId="4133D62C" w14:textId="77777777" w:rsidR="00B621AC" w:rsidRPr="00713B63" w:rsidRDefault="00B621AC" w:rsidP="009B46D8">
      <w:pPr>
        <w:spacing w:after="120" w:line="276" w:lineRule="auto"/>
        <w:ind w:firstLine="709"/>
        <w:jc w:val="both"/>
        <w:rPr>
          <w:rFonts w:ascii="Verdana" w:eastAsia="Calibri" w:hAnsi="Verdana" w:cs="Arial"/>
          <w:bCs/>
          <w:color w:val="000000"/>
        </w:rPr>
      </w:pPr>
      <w:r w:rsidRPr="00713B63">
        <w:rPr>
          <w:rFonts w:ascii="Verdana" w:eastAsia="Calibri" w:hAnsi="Verdana" w:cs="Arial"/>
          <w:bCs/>
          <w:color w:val="000000"/>
        </w:rPr>
        <w:t>Sobre el particular, la Sala de Consulta y Servicio Civil del Consejo de Estado ha considerado que la realización de la evaluación y la elaboración del informe correspondiente por parte de los comités es una de las actividades desconcentradas a las que alude el parágrafo del artículo 21 de la Ley 1150 de 2007</w:t>
      </w:r>
      <w:r w:rsidRPr="00713B63">
        <w:rPr>
          <w:rFonts w:ascii="Verdana" w:eastAsia="Calibri" w:hAnsi="Verdana" w:cs="Arial"/>
          <w:bCs/>
          <w:color w:val="000000"/>
          <w:vertAlign w:val="superscript"/>
        </w:rPr>
        <w:footnoteReference w:id="2"/>
      </w:r>
      <w:r w:rsidRPr="00713B63">
        <w:rPr>
          <w:rFonts w:ascii="Verdana" w:eastAsia="Calibri" w:hAnsi="Verdana" w:cs="Arial"/>
          <w:bCs/>
          <w:color w:val="000000"/>
        </w:rPr>
        <w:t xml:space="preserve">. La norma citada dispone que “[…] se entiende por desconcentración la distribución adecuada del trabajo que realiza el jefe o representante legal de la entidad, sin que ello implique autonomía administrativa en su ejercicio […]”.  </w:t>
      </w:r>
    </w:p>
    <w:p w14:paraId="7CAC32F8" w14:textId="77777777" w:rsidR="00B621AC" w:rsidRPr="00713B63" w:rsidRDefault="00B621AC" w:rsidP="009B46D8">
      <w:pPr>
        <w:spacing w:after="120" w:line="276" w:lineRule="auto"/>
        <w:ind w:firstLine="709"/>
        <w:jc w:val="both"/>
        <w:rPr>
          <w:rFonts w:ascii="Verdana" w:eastAsia="Calibri" w:hAnsi="Verdana" w:cs="Arial"/>
          <w:bCs/>
          <w:color w:val="000000"/>
        </w:rPr>
      </w:pPr>
      <w:r w:rsidRPr="00713B63">
        <w:rPr>
          <w:rFonts w:ascii="Verdana" w:eastAsia="Calibri" w:hAnsi="Verdana" w:cs="Arial"/>
          <w:bCs/>
          <w:color w:val="000000"/>
        </w:rPr>
        <w:t>De esta manera, no puede perderse de vista que la finalidad del comité evaluador, según la norma en comento, es la de evaluar las ofertas y manifestación de interés, así como el ejercer todas las actividades y prerrogativas que se deriven o se hagan necesarias para el cumplimiento de dicha función. La evaluación que realizan se materializa a través de la emisión de un concepto o dictamen o informe, que deberá elaborarse y presentarse tanto al ordenador del gasto, como a los demás interesados en el Proceso de Contratación bajo las condiciones y plazos previamente definidos por la Entidad Estatal, a través del Sistema Electrónico para la Contratación Pública – SECOP.</w:t>
      </w:r>
    </w:p>
    <w:p w14:paraId="752C3DE4" w14:textId="77777777" w:rsidR="00B621AC" w:rsidRPr="00713B63" w:rsidRDefault="00B621AC" w:rsidP="009B46D8">
      <w:pPr>
        <w:spacing w:after="120" w:line="276" w:lineRule="auto"/>
        <w:ind w:firstLine="709"/>
        <w:jc w:val="both"/>
        <w:rPr>
          <w:rFonts w:ascii="Verdana" w:eastAsia="Calibri" w:hAnsi="Verdana" w:cs="Arial"/>
          <w:color w:val="000000" w:themeColor="text1"/>
          <w:lang w:val="es-ES"/>
        </w:rPr>
      </w:pPr>
      <w:r w:rsidRPr="3E72AA8F">
        <w:rPr>
          <w:rFonts w:ascii="Verdana" w:eastAsia="Calibri" w:hAnsi="Verdana" w:cs="Arial"/>
          <w:color w:val="000000" w:themeColor="text1"/>
          <w:lang w:val="es-ES"/>
        </w:rPr>
        <w:t xml:space="preserve">Para emitir el informe de evaluación, el comité debe verificar las propuestas y aplicar el procedimiento, los criterios y los requisitos establecidos en el pliego de condiciones o documento equivalente con el fin de comparar y evaluar de forma objetiva las propuestas presentadas dentro del proceso de selección. En el informe, luego de cotejar y comparar las propuestas recibidas, se hará constar por el comité evaluador el estudio objetivo de las ofertas y los documentos presentados con esta por los proponentes para el cumplimiento de los requisitos habilitantes y de asignación de puntaje, los cuales son evaluados jurídica, técnica, financiera y económicamente. </w:t>
      </w:r>
    </w:p>
    <w:p w14:paraId="3D4F3FF3" w14:textId="77777777" w:rsidR="00B621AC" w:rsidRPr="00713B63" w:rsidRDefault="00B621AC" w:rsidP="009B46D8">
      <w:pPr>
        <w:spacing w:after="120" w:line="276" w:lineRule="auto"/>
        <w:ind w:firstLine="709"/>
        <w:jc w:val="both"/>
        <w:rPr>
          <w:rFonts w:ascii="Verdana" w:eastAsia="Calibri" w:hAnsi="Verdana" w:cs="Arial"/>
          <w:color w:val="000000" w:themeColor="text1"/>
          <w:lang w:val="es-ES"/>
        </w:rPr>
      </w:pPr>
      <w:r w:rsidRPr="3E72AA8F">
        <w:rPr>
          <w:rFonts w:ascii="Verdana" w:eastAsia="Calibri" w:hAnsi="Verdana" w:cs="Arial"/>
          <w:color w:val="000000" w:themeColor="text1"/>
          <w:lang w:val="es-ES"/>
        </w:rPr>
        <w:t xml:space="preserve">Los resultados del informe de evaluación se concretan en una serie de recomendaciones al ordenador del gasto de la entidad estatal, tales como: </w:t>
      </w:r>
      <w:r w:rsidRPr="3E72AA8F">
        <w:rPr>
          <w:rFonts w:ascii="Verdana" w:eastAsia="Calibri" w:hAnsi="Verdana" w:cs="Arial"/>
          <w:i/>
          <w:color w:val="000000" w:themeColor="text1"/>
          <w:lang w:val="es-ES"/>
        </w:rPr>
        <w:t>i)</w:t>
      </w:r>
      <w:r w:rsidRPr="3E72AA8F">
        <w:rPr>
          <w:rFonts w:ascii="Verdana" w:eastAsia="Calibri" w:hAnsi="Verdana" w:cs="Arial"/>
          <w:color w:val="000000" w:themeColor="text1"/>
          <w:lang w:val="es-ES"/>
        </w:rPr>
        <w:t xml:space="preserve"> solicitar aclaraciones o explicaciones que consideren pertinentes; </w:t>
      </w:r>
      <w:r w:rsidRPr="3E72AA8F">
        <w:rPr>
          <w:rFonts w:ascii="Verdana" w:eastAsia="Calibri" w:hAnsi="Verdana" w:cs="Arial"/>
          <w:i/>
          <w:color w:val="000000" w:themeColor="text1"/>
          <w:lang w:val="es-ES"/>
        </w:rPr>
        <w:t>ii)</w:t>
      </w:r>
      <w:r w:rsidRPr="3E72AA8F">
        <w:rPr>
          <w:rFonts w:ascii="Verdana" w:eastAsia="Calibri" w:hAnsi="Verdana" w:cs="Arial"/>
          <w:color w:val="000000" w:themeColor="text1"/>
          <w:lang w:val="es-ES"/>
        </w:rPr>
        <w:t xml:space="preserve"> subsanar requisitos que no otorguen puntajes; </w:t>
      </w:r>
      <w:r w:rsidRPr="3E72AA8F">
        <w:rPr>
          <w:rFonts w:ascii="Verdana" w:eastAsia="Calibri" w:hAnsi="Verdana" w:cs="Arial"/>
          <w:i/>
          <w:color w:val="000000" w:themeColor="text1"/>
          <w:lang w:val="es-ES"/>
        </w:rPr>
        <w:t>iii)</w:t>
      </w:r>
      <w:r w:rsidRPr="3E72AA8F">
        <w:rPr>
          <w:rFonts w:ascii="Verdana" w:eastAsia="Calibri" w:hAnsi="Verdana" w:cs="Arial"/>
          <w:color w:val="000000" w:themeColor="text1"/>
          <w:lang w:val="es-ES"/>
        </w:rPr>
        <w:t xml:space="preserve"> rechazar propuestas que no cumplen la acreditación de requisitos y no sean susceptibles de subsanación; </w:t>
      </w:r>
      <w:proofErr w:type="spellStart"/>
      <w:r w:rsidRPr="3E72AA8F">
        <w:rPr>
          <w:rFonts w:ascii="Verdana" w:eastAsia="Calibri" w:hAnsi="Verdana" w:cs="Arial"/>
          <w:i/>
          <w:color w:val="000000" w:themeColor="text1"/>
          <w:lang w:val="es-ES"/>
        </w:rPr>
        <w:t>iv</w:t>
      </w:r>
      <w:proofErr w:type="spellEnd"/>
      <w:r w:rsidRPr="3E72AA8F">
        <w:rPr>
          <w:rFonts w:ascii="Verdana" w:eastAsia="Calibri" w:hAnsi="Verdana" w:cs="Arial"/>
          <w:i/>
          <w:color w:val="000000" w:themeColor="text1"/>
          <w:lang w:val="es-ES"/>
        </w:rPr>
        <w:t>)</w:t>
      </w:r>
      <w:r w:rsidRPr="3E72AA8F">
        <w:rPr>
          <w:rFonts w:ascii="Verdana" w:eastAsia="Calibri" w:hAnsi="Verdana" w:cs="Arial"/>
          <w:color w:val="000000" w:themeColor="text1"/>
          <w:lang w:val="es-ES"/>
        </w:rPr>
        <w:t xml:space="preserve"> no habilitar propuestas hasta que no se demuestre el cabal cumplimiento de los requisitos habilitantes o habilitar aquellas que sí cumplen con tales requisitos habilitantes; v) asignar puntajes para establecer el orden de elegibilidad; y vi) adjudicación del proceso de contratación a un proponente. Igualmente, el comité evaluador recibe, analiza y responde las observaciones presentadas por los oferentes al informe de evaluación, luego del traslado que realiza la entidad para que se surta su contradicción y en el evento de que sea necesario modificar el informe.</w:t>
      </w:r>
    </w:p>
    <w:p w14:paraId="24552B50" w14:textId="77777777" w:rsidR="00B621AC" w:rsidRPr="00713B63" w:rsidRDefault="00B621AC" w:rsidP="009B46D8">
      <w:pPr>
        <w:spacing w:after="120" w:line="276" w:lineRule="auto"/>
        <w:ind w:firstLine="709"/>
        <w:jc w:val="both"/>
        <w:rPr>
          <w:rFonts w:ascii="Verdana" w:eastAsia="Calibri" w:hAnsi="Verdana" w:cs="Arial"/>
          <w:color w:val="000000" w:themeColor="text1"/>
          <w:lang w:val="es-ES_tradnl"/>
        </w:rPr>
      </w:pPr>
      <w:r w:rsidRPr="00713B63">
        <w:rPr>
          <w:rFonts w:ascii="Verdana" w:eastAsia="Calibri" w:hAnsi="Verdana" w:cs="Arial"/>
          <w:color w:val="000000" w:themeColor="text1"/>
          <w:lang w:val="es-ES_tradnl"/>
        </w:rPr>
        <w:t xml:space="preserve">En consecuencia, el comité evaluador en su calidad de órgano asesor tiene una función importante en el proceso de selección del contratista. Por tanto, se convierte en una valiosa instancia para cumplir el principio de transparencia y el deber de selección objetiva, porque le permite a la Administración cumplir con los fines de la contratación estatal y preservar los derechos de los proponentes que resulten favorecidos o no con la adjudicación. </w:t>
      </w:r>
    </w:p>
    <w:p w14:paraId="726B7453" w14:textId="77777777" w:rsidR="00B621AC" w:rsidRPr="00713B63" w:rsidRDefault="00B621AC" w:rsidP="009B46D8">
      <w:pPr>
        <w:spacing w:after="120" w:line="276" w:lineRule="auto"/>
        <w:ind w:firstLine="709"/>
        <w:jc w:val="both"/>
        <w:rPr>
          <w:rFonts w:ascii="Verdana" w:eastAsia="Calibri" w:hAnsi="Verdana" w:cs="Arial"/>
          <w:color w:val="000000" w:themeColor="text1"/>
          <w:lang w:val="es-ES_tradnl"/>
        </w:rPr>
      </w:pPr>
      <w:r w:rsidRPr="00713B63">
        <w:rPr>
          <w:rFonts w:ascii="Verdana" w:eastAsia="Calibri" w:hAnsi="Verdana" w:cs="Arial"/>
          <w:color w:val="000000" w:themeColor="text1"/>
          <w:lang w:val="es-ES_tradnl"/>
        </w:rPr>
        <w:t>No obstante, el comité evaluador en el informe de evaluación tan solo recomienda, pero no decide ni adjudica, toda vez que estas facultades la ley las reserva al jefe o representante legal de la entidad y ordenador del gasto. En efecto, como lo ha señalado en forma pacífica y reiterada el Consejo de Estado, este documento es un acto de trámite, preparatorio y no definitivo, puesto que no contiene una decisión de fondo, función que corresponde únicamente al ordenador del gasto, razón por la cual no lo vincula</w:t>
      </w:r>
      <w:r w:rsidRPr="00713B63">
        <w:rPr>
          <w:rFonts w:ascii="Verdana" w:eastAsia="Calibri" w:hAnsi="Verdana" w:cs="Arial"/>
          <w:color w:val="000000" w:themeColor="text1"/>
          <w:vertAlign w:val="superscript"/>
          <w:lang w:val="es-ES_tradnl"/>
        </w:rPr>
        <w:footnoteReference w:id="3"/>
      </w:r>
      <w:r w:rsidRPr="00713B63">
        <w:rPr>
          <w:rFonts w:ascii="Verdana" w:eastAsia="Calibri" w:hAnsi="Verdana" w:cs="Arial"/>
          <w:color w:val="000000" w:themeColor="text1"/>
          <w:lang w:val="es-ES_tradnl"/>
        </w:rPr>
        <w:t>. Es así como el artículo 2.2.1.1.2.2.3 del Decreto 1082 de 2015 permite que la Entidad Estatal a través del ordenador del gasto se separare del concepto emitido por el comité evaluador y no acoja sus recomendaciones, en cuyo caso deberá justificar completa y correctamente su decisión.</w:t>
      </w:r>
    </w:p>
    <w:p w14:paraId="1F5A934F" w14:textId="77777777" w:rsidR="00B621AC" w:rsidRPr="00713B63" w:rsidRDefault="00B621AC" w:rsidP="009B46D8">
      <w:pPr>
        <w:spacing w:after="120" w:line="276" w:lineRule="auto"/>
        <w:ind w:firstLine="709"/>
        <w:jc w:val="both"/>
        <w:rPr>
          <w:rFonts w:ascii="Verdana" w:eastAsia="Calibri" w:hAnsi="Verdana" w:cs="Arial"/>
          <w:color w:val="000000" w:themeColor="text1"/>
          <w:lang w:val="es-ES_tradnl"/>
        </w:rPr>
      </w:pPr>
      <w:r w:rsidRPr="00713B63">
        <w:rPr>
          <w:rFonts w:ascii="Verdana" w:eastAsia="Calibri" w:hAnsi="Verdana" w:cs="Arial"/>
          <w:color w:val="000000" w:themeColor="text1"/>
          <w:lang w:val="es-ES_tradnl"/>
        </w:rPr>
        <w:t>En relación con el carácter no vinculante del concepto o dictamen emitido por el comité evaluador, el Consejo de Estado ha considerado que el informe por parte de los comités asesores no es obligatorio para el órgano competente al momento de adjudicar “y, por el contrario, éste puede separarse y resolver en sentido diferente por encontrar errores que afecten los resultados en él consignados, aun cuando debe exponer razonadamente la motivación del apartamiento, con el fin de que la decisión no adolezca de nulidad por insuficiencia de motivación, tal y como lo ha manifestado de tiempo atrás la jurisprudencia”</w:t>
      </w:r>
      <w:r w:rsidRPr="00713B63">
        <w:rPr>
          <w:rFonts w:ascii="Verdana" w:eastAsia="Calibri" w:hAnsi="Verdana" w:cs="Arial"/>
          <w:color w:val="000000" w:themeColor="text1"/>
          <w:vertAlign w:val="superscript"/>
          <w:lang w:val="es-ES_tradnl"/>
        </w:rPr>
        <w:footnoteReference w:id="4"/>
      </w:r>
      <w:r w:rsidRPr="00713B63">
        <w:rPr>
          <w:rFonts w:ascii="Verdana" w:eastAsia="Calibri" w:hAnsi="Verdana" w:cs="Arial"/>
          <w:color w:val="000000" w:themeColor="text1"/>
          <w:lang w:val="es-ES_tradnl"/>
        </w:rPr>
        <w:t xml:space="preserve">. </w:t>
      </w:r>
    </w:p>
    <w:p w14:paraId="70D1FA9D" w14:textId="77777777" w:rsidR="00B621AC" w:rsidRPr="00713B63" w:rsidRDefault="00B621AC" w:rsidP="009B46D8">
      <w:pPr>
        <w:spacing w:after="120" w:line="276" w:lineRule="auto"/>
        <w:ind w:firstLine="709"/>
        <w:jc w:val="both"/>
        <w:rPr>
          <w:rFonts w:ascii="Verdana" w:eastAsia="Calibri" w:hAnsi="Verdana" w:cs="Arial"/>
          <w:color w:val="000000" w:themeColor="text1"/>
          <w:lang w:val="es-ES_tradnl"/>
        </w:rPr>
      </w:pPr>
      <w:r w:rsidRPr="00713B63">
        <w:rPr>
          <w:rFonts w:ascii="Verdana" w:eastAsia="Calibri" w:hAnsi="Verdana" w:cs="Arial"/>
          <w:color w:val="000000" w:themeColor="text1"/>
          <w:lang w:val="es-ES_tradnl"/>
        </w:rPr>
        <w:t>En otras palabras, la existencia de un comité evaluador no significa que el representante legal quede despojado de la competencia para decidir, bien sea amparándose en las recomendaciones de aquel o apartándose de ellas c</w:t>
      </w:r>
      <w:proofErr w:type="spellStart"/>
      <w:r w:rsidRPr="00713B63">
        <w:rPr>
          <w:rFonts w:ascii="Verdana" w:eastAsia="Calibri" w:hAnsi="Verdana" w:cs="Arial"/>
          <w:color w:val="000000" w:themeColor="text1"/>
        </w:rPr>
        <w:t>uando</w:t>
      </w:r>
      <w:proofErr w:type="spellEnd"/>
      <w:r w:rsidRPr="00713B63">
        <w:rPr>
          <w:rFonts w:ascii="Verdana" w:eastAsia="Calibri" w:hAnsi="Verdana" w:cs="Arial"/>
          <w:color w:val="000000" w:themeColor="text1"/>
        </w:rPr>
        <w:t xml:space="preserve"> considere que éstos no acataron los principios que rigen la contratación estatal y las condiciones definidas en los pliegos de condiciones</w:t>
      </w:r>
      <w:r w:rsidRPr="00713B63">
        <w:rPr>
          <w:rFonts w:ascii="Verdana" w:eastAsia="Calibri" w:hAnsi="Verdana" w:cs="Arial"/>
          <w:color w:val="000000" w:themeColor="text1"/>
          <w:lang w:val="es-ES_tradnl"/>
        </w:rPr>
        <w:t xml:space="preserve">. En ese sentido, el comité evaluador cumple una labor meramente asesora del funcionario o funcionarios encargados de tomar la decisión final frente a la adjudicación del contrato, rechazo de ofertas o declaratoria de desierta, teniendo en cuenta, entre otros aspectos, que de acuerdo al numeral 5 del artículo 26 de la Ley 80 de 1993, la responsabilidad en la dirección y manejo de la actividad contractual y de los procesos de selección estará en cabeza del jefe o representante de la entidad, “[…] quien no podrá trasladarla […] a los comités asesores”. </w:t>
      </w:r>
    </w:p>
    <w:p w14:paraId="42884CB9" w14:textId="77777777" w:rsidR="00B621AC" w:rsidRPr="00713B63" w:rsidRDefault="00B621AC" w:rsidP="009B46D8">
      <w:pPr>
        <w:spacing w:after="120" w:line="276" w:lineRule="auto"/>
        <w:ind w:firstLine="709"/>
        <w:jc w:val="both"/>
        <w:rPr>
          <w:rFonts w:ascii="Verdana" w:eastAsia="Calibri" w:hAnsi="Verdana" w:cs="Arial"/>
          <w:color w:val="000000" w:themeColor="text1"/>
          <w:lang w:val="es-ES_tradnl"/>
        </w:rPr>
      </w:pPr>
      <w:r w:rsidRPr="00713B63">
        <w:rPr>
          <w:rFonts w:ascii="Verdana" w:eastAsia="Calibri" w:hAnsi="Verdana" w:cs="Arial"/>
          <w:color w:val="000000" w:themeColor="text1"/>
          <w:lang w:val="es-ES_tradnl"/>
        </w:rPr>
        <w:t>Sin embargo, debe enfatizarse que el carácter asesor del comité no exime a sus miembros de las responsabilidades que correspondan, sino que, por el contrario, estos entrarán a responder por las recomendaciones erradas o incorrectamente fundamentadas que emitan, como dispone el citado artículo 2.2.1.1.2.2.3 del Decreto 1082 de 2015</w:t>
      </w:r>
      <w:r w:rsidRPr="00713B63">
        <w:rPr>
          <w:rFonts w:ascii="Verdana" w:eastAsia="Calibri" w:hAnsi="Verdana" w:cs="Arial"/>
          <w:color w:val="000000" w:themeColor="text1"/>
          <w:vertAlign w:val="superscript"/>
          <w:lang w:val="es-ES_tradnl"/>
        </w:rPr>
        <w:footnoteReference w:id="5"/>
      </w:r>
      <w:r w:rsidRPr="00713B63">
        <w:rPr>
          <w:rFonts w:ascii="Verdana" w:eastAsia="Calibri" w:hAnsi="Verdana" w:cs="Arial"/>
          <w:color w:val="000000" w:themeColor="text1"/>
          <w:lang w:val="es-ES_tradnl"/>
        </w:rPr>
        <w:t>. Finalmente, el carácter asesor y la calidad de servidores públicos o contratistas del Estado que pueden ostentar sus miembros no evita que unos y otros deban cumplir con el régimen de inhabilidades, incompatibilidades y de conflictos de interés previsto en la Constitución Política y las normas legales, como bien lo determina el inciso segundo del artículo 2.2.1.1.2.2.3. del Decreto 1082 de 2015.</w:t>
      </w:r>
    </w:p>
    <w:p w14:paraId="01F4406F" w14:textId="77777777" w:rsidR="00B621AC" w:rsidRPr="00713B63" w:rsidRDefault="00B621AC" w:rsidP="009B46D8">
      <w:pPr>
        <w:spacing w:after="120" w:line="276" w:lineRule="auto"/>
        <w:ind w:firstLine="709"/>
        <w:jc w:val="both"/>
        <w:rPr>
          <w:rFonts w:ascii="Verdana" w:eastAsia="Calibri" w:hAnsi="Verdana" w:cs="Arial"/>
          <w:bCs/>
          <w:color w:val="000000"/>
        </w:rPr>
      </w:pPr>
      <w:r w:rsidRPr="00713B63">
        <w:rPr>
          <w:rFonts w:ascii="Verdana" w:eastAsia="Calibri" w:hAnsi="Verdana" w:cs="Arial"/>
          <w:bCs/>
          <w:color w:val="000000"/>
        </w:rPr>
        <w:t xml:space="preserve">En síntesis, las entidades podrán designar </w:t>
      </w:r>
      <w:r w:rsidRPr="00713B63">
        <w:rPr>
          <w:rFonts w:ascii="Verdana" w:eastAsia="Calibri" w:hAnsi="Verdana" w:cs="Arial"/>
          <w:lang w:val="es-ES"/>
        </w:rPr>
        <w:t>un comité evaluador de ofertas y de manifestaciones de interés para los procesos de contratación, que podrá estar conformado por un grupo interdisciplinario bien sea de servidores públicos o particulares contratados para tal finalidad o por una combinación de ambos, y sus funciones pueden variar según el tipo de proceso</w:t>
      </w:r>
      <w:r w:rsidRPr="00713B63">
        <w:rPr>
          <w:rFonts w:ascii="Verdana" w:eastAsia="Calibri" w:hAnsi="Verdana" w:cs="Arial"/>
          <w:bCs/>
          <w:color w:val="000000"/>
        </w:rPr>
        <w:t xml:space="preserve">, los pliegos de condiciones y lo previsto en los Manuales de Contratación de cada entidad. </w:t>
      </w:r>
    </w:p>
    <w:p w14:paraId="12589308" w14:textId="77777777" w:rsidR="00B621AC" w:rsidRPr="00713B63" w:rsidRDefault="00B621AC" w:rsidP="009B46D8">
      <w:pPr>
        <w:spacing w:after="120" w:line="276" w:lineRule="auto"/>
        <w:ind w:firstLine="709"/>
        <w:jc w:val="both"/>
        <w:rPr>
          <w:rFonts w:ascii="Verdana" w:eastAsia="Calibri" w:hAnsi="Verdana" w:cs="Arial"/>
          <w:bCs/>
          <w:color w:val="000000"/>
        </w:rPr>
      </w:pPr>
      <w:r w:rsidRPr="00713B63">
        <w:rPr>
          <w:rFonts w:ascii="Verdana" w:eastAsia="Calibri" w:hAnsi="Verdana" w:cs="Arial"/>
          <w:bCs/>
          <w:color w:val="000000"/>
        </w:rPr>
        <w:t>En consecuencia, corresponderá a cada entidad estatal, de acuerdo con su autonomía administrativa, determinar en su Manual de Contratación los requisitos que deben cumplir los integrantes del comité evaluador así como las funciones específicas que se asignan a cada integrante que conforma el comité evaluador y sus responsabilidades. Adicionalmente, el alcance de dichas funciones</w:t>
      </w:r>
      <w:r>
        <w:rPr>
          <w:rFonts w:ascii="Verdana" w:eastAsia="Calibri" w:hAnsi="Verdana" w:cs="Arial"/>
          <w:bCs/>
          <w:color w:val="000000"/>
        </w:rPr>
        <w:t xml:space="preserve"> y responsabilidades</w:t>
      </w:r>
      <w:r w:rsidRPr="00713B63">
        <w:rPr>
          <w:rFonts w:ascii="Verdana" w:eastAsia="Calibri" w:hAnsi="Verdana" w:cs="Arial"/>
          <w:bCs/>
          <w:color w:val="000000"/>
        </w:rPr>
        <w:t xml:space="preserve"> también dependerá de lo que se establezca expresamente en los pliegos de condiciones del proceso de selección, los cuales son la norma particular que rige cada proceso de contratación. Esta definición, tanto en el manual como en los pliegos, permitirá establecer con claridad el nivel de análisis y el conocimiento particular que debe realizar el comité respecto del cumplimiento de los requisitos del proceso de contratación. </w:t>
      </w:r>
    </w:p>
    <w:p w14:paraId="6B0D4FEE" w14:textId="77777777" w:rsidR="00B621AC" w:rsidRPr="00713B63" w:rsidRDefault="00B621AC" w:rsidP="009B46D8">
      <w:pPr>
        <w:spacing w:after="120" w:line="276" w:lineRule="auto"/>
        <w:ind w:firstLine="709"/>
        <w:jc w:val="both"/>
        <w:rPr>
          <w:rFonts w:ascii="Verdana" w:eastAsia="Calibri" w:hAnsi="Verdana" w:cs="Arial"/>
          <w:bCs/>
          <w:color w:val="000000"/>
        </w:rPr>
      </w:pPr>
      <w:r w:rsidRPr="00713B63">
        <w:rPr>
          <w:rFonts w:ascii="Verdana" w:eastAsia="Calibri" w:hAnsi="Verdana" w:cs="Arial"/>
          <w:bCs/>
          <w:color w:val="000000"/>
        </w:rPr>
        <w:t xml:space="preserve">Así las cosas, la Administración debe asegurarse de contar con profesionales cuya experiencia y conocimientos permitan un análisis riguroso del cumplimiento de los criterios habilitantes y ponderables establecidos en el pliego de condiciones. De esta manera, las calidades y requisitos específicos que deben cumplir los integrantes del comité evaluador variarán según lo establecido por cada entidad, en función del tipo y complejidad del proceso de contratación y demás aspectos que determine la entidad, incorporando funcionarios o contratistas de diversas áreas del conocimiento relevantes para el análisis técnico, jurídico, económico o administrativo del proceso. De este modo, las entidades tienen la facultad y responsabilidad de definir las condiciones de los miembros que integren el comité evaluador y la forma en la que se cumplirán las funciones designadas. </w:t>
      </w:r>
    </w:p>
    <w:p w14:paraId="78C04CE0" w14:textId="77777777" w:rsidR="00B621AC" w:rsidRPr="00713B63" w:rsidRDefault="00B621AC" w:rsidP="009B46D8">
      <w:pPr>
        <w:spacing w:after="120" w:line="276" w:lineRule="auto"/>
        <w:ind w:firstLine="709"/>
        <w:jc w:val="both"/>
        <w:rPr>
          <w:rFonts w:ascii="Verdana" w:eastAsia="Calibri" w:hAnsi="Verdana" w:cs="Arial"/>
          <w:bCs/>
          <w:color w:val="000000"/>
        </w:rPr>
      </w:pPr>
      <w:r w:rsidRPr="00713B63">
        <w:rPr>
          <w:rFonts w:ascii="Verdana" w:eastAsia="Calibri" w:hAnsi="Verdana" w:cs="Arial"/>
          <w:bCs/>
          <w:color w:val="000000"/>
        </w:rPr>
        <w:t xml:space="preserve">Finalmente, debe advertirse que el análisis en torno a un proceso de contratación especifico debe ser realizado por quienes tengan interés en ello. De esta forma, las afirmaciones aquí realizadas no pueden ser interpretadas como juicios de valor sobre circunstancias concretas relacionadas con los hechos que motivan la consulta. Por lo anterior, previo concepto de sus asesores, la solución de situaciones particulares corresponderá a los interesados de adoptar la decisión y, en caso de conflicto, a las autoridades judiciales, fiscales y disciplinarias. </w:t>
      </w:r>
    </w:p>
    <w:p w14:paraId="0452317A" w14:textId="77777777" w:rsidR="00B621AC" w:rsidRPr="00713B63" w:rsidRDefault="00B621AC" w:rsidP="009B46D8">
      <w:pPr>
        <w:spacing w:after="120" w:line="276" w:lineRule="auto"/>
        <w:ind w:firstLine="709"/>
        <w:jc w:val="both"/>
        <w:rPr>
          <w:rFonts w:ascii="Verdana" w:eastAsia="Calibri" w:hAnsi="Verdana" w:cs="Arial"/>
          <w:bCs/>
          <w:color w:val="000000"/>
        </w:rPr>
      </w:pPr>
      <w:r w:rsidRPr="00713B63">
        <w:rPr>
          <w:rFonts w:ascii="Verdana" w:eastAsia="Calibri" w:hAnsi="Verdana" w:cs="Arial"/>
          <w:bCs/>
          <w:color w:val="000000"/>
        </w:rPr>
        <w:t xml:space="preserve">En ese sentido, al tratarse de un análisis que debe realizarse en un procedimiento contractual específico,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 </w:t>
      </w:r>
    </w:p>
    <w:p w14:paraId="307087B6" w14:textId="77777777" w:rsidR="00B621AC" w:rsidRDefault="00B621AC" w:rsidP="00B621AC">
      <w:pPr>
        <w:tabs>
          <w:tab w:val="left" w:pos="142"/>
          <w:tab w:val="left" w:pos="284"/>
        </w:tabs>
        <w:spacing w:after="0" w:line="276" w:lineRule="auto"/>
        <w:jc w:val="both"/>
        <w:rPr>
          <w:rFonts w:ascii="Verdana" w:eastAsia="Arial" w:hAnsi="Verdana" w:cs="Arial"/>
          <w:lang w:val="es-ES"/>
        </w:rPr>
      </w:pPr>
    </w:p>
    <w:p w14:paraId="31BCFC43" w14:textId="6A978FE4" w:rsidR="00B621AC" w:rsidRPr="00713B63" w:rsidRDefault="00B621AC" w:rsidP="00B621AC">
      <w:pPr>
        <w:tabs>
          <w:tab w:val="left" w:pos="142"/>
          <w:tab w:val="left" w:pos="284"/>
        </w:tabs>
        <w:spacing w:after="0" w:line="276" w:lineRule="auto"/>
        <w:jc w:val="both"/>
        <w:rPr>
          <w:rFonts w:ascii="Verdana" w:eastAsia="Century Gothic" w:hAnsi="Verdana" w:cs="Century Gothic"/>
          <w:b/>
          <w:bCs/>
        </w:rPr>
      </w:pPr>
      <w:r w:rsidRPr="00B621AC">
        <w:rPr>
          <w:rFonts w:ascii="Verdana" w:eastAsia="Arial" w:hAnsi="Verdana" w:cs="Arial"/>
          <w:b/>
          <w:bCs/>
          <w:lang w:val="es-ES"/>
        </w:rPr>
        <w:t>4</w:t>
      </w:r>
      <w:r>
        <w:rPr>
          <w:rFonts w:ascii="Verdana" w:eastAsia="Arial" w:hAnsi="Verdana" w:cs="Arial"/>
          <w:lang w:val="es-ES"/>
        </w:rPr>
        <w:t xml:space="preserve">. </w:t>
      </w:r>
      <w:r w:rsidRPr="00713B63">
        <w:rPr>
          <w:rFonts w:ascii="Verdana" w:eastAsia="Century Gothic" w:hAnsi="Verdana" w:cs="Century Gothic"/>
          <w:b/>
          <w:bCs/>
        </w:rPr>
        <w:t>Referencias normativas y jurisprudenciales:</w:t>
      </w:r>
    </w:p>
    <w:p w14:paraId="3A2673ED" w14:textId="77777777" w:rsidR="00B621AC" w:rsidRPr="00713B63" w:rsidRDefault="00B621AC" w:rsidP="00B621AC">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B621AC" w:rsidRPr="00713B63" w14:paraId="13B100E1" w14:textId="77777777" w:rsidTr="009359D5">
        <w:trPr>
          <w:trHeight w:val="410"/>
          <w:jc w:val="center"/>
        </w:trPr>
        <w:tc>
          <w:tcPr>
            <w:tcW w:w="8647" w:type="dxa"/>
          </w:tcPr>
          <w:p w14:paraId="703A1FEA" w14:textId="77777777" w:rsidR="00B621AC" w:rsidRPr="00713B63" w:rsidRDefault="00B621AC" w:rsidP="00B621AC">
            <w:pPr>
              <w:widowControl w:val="0"/>
              <w:numPr>
                <w:ilvl w:val="0"/>
                <w:numId w:val="17"/>
              </w:numPr>
              <w:autoSpaceDE w:val="0"/>
              <w:autoSpaceDN w:val="0"/>
              <w:ind w:left="460" w:hanging="284"/>
              <w:contextualSpacing/>
              <w:jc w:val="both"/>
              <w:rPr>
                <w:rFonts w:ascii="Verdana" w:hAnsi="Verdana" w:cs="Arial"/>
                <w:lang w:val="es-MX"/>
              </w:rPr>
            </w:pPr>
            <w:r w:rsidRPr="00713B63">
              <w:rPr>
                <w:rFonts w:ascii="Verdana" w:hAnsi="Verdana" w:cs="Arial"/>
                <w:lang w:val="es-MX"/>
              </w:rPr>
              <w:t>Decreto 1082 de 2015, artículo 2.2.1.1.2.2.3</w:t>
            </w:r>
          </w:p>
          <w:p w14:paraId="00E74587" w14:textId="77777777" w:rsidR="00B621AC" w:rsidRPr="00713B63" w:rsidRDefault="00B621AC" w:rsidP="00B621AC">
            <w:pPr>
              <w:numPr>
                <w:ilvl w:val="0"/>
                <w:numId w:val="17"/>
              </w:numPr>
              <w:spacing w:line="276" w:lineRule="auto"/>
              <w:ind w:left="460" w:hanging="284"/>
              <w:contextualSpacing/>
              <w:jc w:val="both"/>
              <w:rPr>
                <w:rFonts w:ascii="Verdana" w:hAnsi="Verdana" w:cs="Arial"/>
                <w:lang w:val="es-ES"/>
              </w:rPr>
            </w:pPr>
            <w:r w:rsidRPr="00713B63">
              <w:rPr>
                <w:rFonts w:ascii="Verdana" w:hAnsi="Verdana" w:cs="Arial"/>
              </w:rPr>
              <w:t>Consejo de Estado. Sala de Consulta y Servicio Civil. Concepto del 6 de diciembre de 2007. Exp. 1871. C.P.: Luis Fernando Álvarez Jaramillo</w:t>
            </w:r>
          </w:p>
          <w:p w14:paraId="436306B6" w14:textId="77777777" w:rsidR="00B621AC" w:rsidRPr="00713B63" w:rsidRDefault="00B621AC" w:rsidP="00B621AC">
            <w:pPr>
              <w:numPr>
                <w:ilvl w:val="0"/>
                <w:numId w:val="17"/>
              </w:numPr>
              <w:spacing w:line="276" w:lineRule="auto"/>
              <w:ind w:left="460" w:hanging="284"/>
              <w:contextualSpacing/>
              <w:jc w:val="both"/>
              <w:rPr>
                <w:rFonts w:ascii="Verdana" w:hAnsi="Verdana" w:cs="Arial"/>
                <w:lang w:val="es-ES"/>
              </w:rPr>
            </w:pPr>
            <w:r w:rsidRPr="00713B63">
              <w:rPr>
                <w:rFonts w:ascii="Verdana" w:hAnsi="Verdana" w:cs="Arial"/>
                <w:lang w:val="es-ES_tradnl"/>
              </w:rPr>
              <w:t>Consejo de Estado. Sección Tercera. Sentencia de 1 de abril de 2016, Exp. 47145 C.P. Jaime Orlando Santofimio Gamboa</w:t>
            </w:r>
          </w:p>
          <w:p w14:paraId="49055693" w14:textId="77777777" w:rsidR="00B621AC" w:rsidRPr="00713B63" w:rsidRDefault="00B621AC" w:rsidP="00B621AC">
            <w:pPr>
              <w:numPr>
                <w:ilvl w:val="0"/>
                <w:numId w:val="17"/>
              </w:numPr>
              <w:spacing w:line="276" w:lineRule="auto"/>
              <w:ind w:left="460" w:hanging="284"/>
              <w:contextualSpacing/>
              <w:jc w:val="both"/>
              <w:rPr>
                <w:rFonts w:ascii="Verdana" w:hAnsi="Verdana" w:cs="Arial"/>
                <w:lang w:val="es-ES"/>
              </w:rPr>
            </w:pPr>
            <w:r w:rsidRPr="00713B63">
              <w:rPr>
                <w:rFonts w:ascii="Verdana" w:hAnsi="Verdana" w:cs="Arial"/>
                <w:color w:val="000000" w:themeColor="text1"/>
                <w:lang w:val="es-ES_tradnl"/>
              </w:rPr>
              <w:t>Consejo de Estado. Sección Tercera</w:t>
            </w:r>
            <w:r w:rsidRPr="00713B63">
              <w:rPr>
                <w:rFonts w:ascii="Verdana" w:hAnsi="Verdana" w:cs="Arial"/>
              </w:rPr>
              <w:t xml:space="preserve">. Sentencia de 28 de mayo de 2012, Exp. 22089. C.P. Ruth Stella Correa Palacio. </w:t>
            </w:r>
          </w:p>
          <w:p w14:paraId="6CD71E44" w14:textId="77777777" w:rsidR="00B621AC" w:rsidRPr="00713B63" w:rsidRDefault="00B621AC" w:rsidP="00B621AC">
            <w:pPr>
              <w:numPr>
                <w:ilvl w:val="0"/>
                <w:numId w:val="17"/>
              </w:numPr>
              <w:spacing w:line="276" w:lineRule="auto"/>
              <w:ind w:left="460" w:hanging="284"/>
              <w:contextualSpacing/>
              <w:jc w:val="both"/>
              <w:rPr>
                <w:rFonts w:ascii="Verdana" w:hAnsi="Verdana" w:cs="Arial"/>
                <w:lang w:val="es-ES"/>
              </w:rPr>
            </w:pPr>
            <w:r w:rsidRPr="00713B63">
              <w:rPr>
                <w:rFonts w:ascii="Verdana" w:hAnsi="Verdana" w:cs="Arial"/>
              </w:rPr>
              <w:t>Consejo de Estado. Sección Tercera. Sentencia de 29 de julio de 2013, Exp. 24311. C.P. Ramiro De Jesús Pazos.</w:t>
            </w:r>
          </w:p>
        </w:tc>
      </w:tr>
    </w:tbl>
    <w:p w14:paraId="087B7A0E" w14:textId="77777777" w:rsidR="00B621AC" w:rsidRPr="00713B63" w:rsidRDefault="00B621AC" w:rsidP="00B621AC">
      <w:pPr>
        <w:widowControl w:val="0"/>
        <w:autoSpaceDE w:val="0"/>
        <w:autoSpaceDN w:val="0"/>
        <w:spacing w:after="0" w:line="276" w:lineRule="auto"/>
        <w:jc w:val="both"/>
        <w:rPr>
          <w:rFonts w:ascii="Verdana" w:hAnsi="Verdana" w:cs="Arial"/>
        </w:rPr>
      </w:pPr>
    </w:p>
    <w:p w14:paraId="0406150D" w14:textId="0BFED814" w:rsidR="00B621AC" w:rsidRPr="00713B63" w:rsidRDefault="00B621AC" w:rsidP="00B621AC">
      <w:pPr>
        <w:tabs>
          <w:tab w:val="left" w:pos="142"/>
          <w:tab w:val="left" w:pos="284"/>
        </w:tabs>
        <w:spacing w:after="0" w:line="276" w:lineRule="auto"/>
        <w:jc w:val="both"/>
        <w:rPr>
          <w:rFonts w:ascii="Verdana" w:eastAsia="Century Gothic" w:hAnsi="Verdana" w:cs="Century Gothic"/>
          <w:b/>
          <w:bCs/>
        </w:rPr>
      </w:pPr>
      <w:r>
        <w:rPr>
          <w:rFonts w:ascii="Verdana" w:eastAsia="Century Gothic" w:hAnsi="Verdana" w:cs="Century Gothic"/>
          <w:b/>
          <w:bCs/>
        </w:rPr>
        <w:t xml:space="preserve">5. </w:t>
      </w:r>
      <w:r w:rsidRPr="00713B63">
        <w:rPr>
          <w:rFonts w:ascii="Verdana" w:eastAsia="Century Gothic" w:hAnsi="Verdana" w:cs="Century Gothic"/>
          <w:b/>
          <w:bCs/>
        </w:rPr>
        <w:t>Doctrina de la Agencia Nacional de Contratación Pública:</w:t>
      </w:r>
    </w:p>
    <w:p w14:paraId="78623C68" w14:textId="77777777" w:rsidR="00B621AC" w:rsidRPr="00713B63" w:rsidRDefault="00B621AC" w:rsidP="00B621AC">
      <w:pPr>
        <w:widowControl w:val="0"/>
        <w:autoSpaceDE w:val="0"/>
        <w:autoSpaceDN w:val="0"/>
        <w:spacing w:after="0" w:line="276" w:lineRule="auto"/>
        <w:jc w:val="both"/>
        <w:rPr>
          <w:rFonts w:ascii="Verdana" w:hAnsi="Verdana" w:cs="Arial"/>
        </w:rPr>
      </w:pPr>
    </w:p>
    <w:p w14:paraId="6BB453D2" w14:textId="77777777" w:rsidR="00B621AC" w:rsidRDefault="00B621AC" w:rsidP="00B621AC">
      <w:pPr>
        <w:widowControl w:val="0"/>
        <w:autoSpaceDE w:val="0"/>
        <w:autoSpaceDN w:val="0"/>
        <w:spacing w:after="120" w:line="276" w:lineRule="auto"/>
        <w:jc w:val="both"/>
        <w:rPr>
          <w:rFonts w:ascii="Verdana" w:hAnsi="Verdana" w:cs="Arial"/>
          <w:shd w:val="clear" w:color="auto" w:fill="FFFFFF"/>
        </w:rPr>
      </w:pPr>
      <w:r w:rsidRPr="00713B63">
        <w:rPr>
          <w:rFonts w:ascii="Verdana" w:eastAsia="Aptos" w:hAnsi="Verdana" w:cs="Arial"/>
          <w:shd w:val="clear" w:color="auto" w:fill="FFFFFF"/>
          <w:lang w:val="es-ES"/>
        </w:rPr>
        <w:t xml:space="preserve">Sobre </w:t>
      </w:r>
      <w:r w:rsidRPr="00713B63">
        <w:rPr>
          <w:rFonts w:ascii="Verdana" w:eastAsia="Aptos" w:hAnsi="Verdana" w:cs="Arial"/>
          <w:shd w:val="clear" w:color="auto" w:fill="FFFFFF"/>
        </w:rPr>
        <w:t>los comités de evaluación de las ofertas</w:t>
      </w:r>
      <w:r w:rsidRPr="00713B63">
        <w:rPr>
          <w:rFonts w:ascii="Verdana" w:eastAsia="Aptos" w:hAnsi="Verdana" w:cs="Arial"/>
          <w:shd w:val="clear" w:color="auto" w:fill="FFFFFF"/>
          <w:lang w:val="es-ES"/>
        </w:rPr>
        <w:t xml:space="preserve">, esta Subdirección se ha referido en los Conceptos </w:t>
      </w:r>
      <w:r w:rsidRPr="00713B63">
        <w:rPr>
          <w:rFonts w:ascii="Verdana" w:eastAsia="Calibri" w:hAnsi="Verdana" w:cs="Arial"/>
          <w:lang w:val="es-ES_tradnl" w:eastAsia="es-MX"/>
        </w:rPr>
        <w:t>C-128 del 3 de marzo de 2020, C-522 del 1 de octubre de 2021, C-063 de 17 de abril 2024, C-602 del 9 de octubre de 2024</w:t>
      </w:r>
      <w:r w:rsidRPr="00713B63">
        <w:rPr>
          <w:rFonts w:ascii="Verdana" w:eastAsia="Aptos" w:hAnsi="Verdana" w:cs="Arial"/>
          <w:shd w:val="clear" w:color="auto" w:fill="FFFFFF"/>
          <w:lang w:val="es-ES"/>
        </w:rPr>
        <w:t>, C-343 del 24 de abril de 2025, C-755 del 23 de julio de 2025, entre otros</w:t>
      </w:r>
      <w:r w:rsidRPr="00713B63">
        <w:rPr>
          <w:rFonts w:ascii="Verdana" w:eastAsia="Calibri" w:hAnsi="Verdana" w:cs="Arial"/>
          <w:lang w:val="es-ES" w:eastAsia="es-ES_tradnl"/>
        </w:rPr>
        <w:t xml:space="preserve">. </w:t>
      </w:r>
      <w:r w:rsidRPr="00713B63">
        <w:rPr>
          <w:rFonts w:ascii="Verdana" w:hAnsi="Verdana" w:cs="Arial"/>
          <w:shd w:val="clear" w:color="auto" w:fill="FFFFFF"/>
        </w:rPr>
        <w:t>Es</w:t>
      </w:r>
      <w:r w:rsidRPr="00713B63">
        <w:rPr>
          <w:rFonts w:ascii="Verdana" w:hAnsi="Verdana"/>
        </w:rPr>
        <w:t>tos conceptos se encuentran disponibles para consulta en el Sistema de relatoría de la Agencia, al cual se puede acceder a través del siguiente enlace:</w:t>
      </w:r>
      <w:r w:rsidRPr="00713B63">
        <w:rPr>
          <w:rFonts w:ascii="Verdana" w:hAnsi="Verdana" w:cs="Arial"/>
          <w:shd w:val="clear" w:color="auto" w:fill="FFFFFF"/>
        </w:rPr>
        <w:t xml:space="preserve"> </w:t>
      </w:r>
      <w:hyperlink r:id="rId12" w:history="1">
        <w:r w:rsidRPr="00713B63">
          <w:rPr>
            <w:rFonts w:ascii="Verdana" w:hAnsi="Verdana" w:cs="Arial"/>
            <w:color w:val="0000FF"/>
            <w:u w:val="single"/>
            <w:shd w:val="clear" w:color="auto" w:fill="FFFFFF"/>
          </w:rPr>
          <w:t>https://relatoria.colombiacompra.gov.co/</w:t>
        </w:r>
      </w:hyperlink>
      <w:r w:rsidRPr="00713B63">
        <w:rPr>
          <w:rFonts w:ascii="Verdana" w:hAnsi="Verdana" w:cs="Arial"/>
          <w:shd w:val="clear" w:color="auto" w:fill="FFFFFF"/>
        </w:rPr>
        <w:t xml:space="preserve"> </w:t>
      </w:r>
    </w:p>
    <w:p w14:paraId="7C2C1474" w14:textId="77777777" w:rsidR="00B621AC" w:rsidRDefault="00B621AC" w:rsidP="00B621AC">
      <w:pPr>
        <w:widowControl w:val="0"/>
        <w:autoSpaceDE w:val="0"/>
        <w:autoSpaceDN w:val="0"/>
        <w:spacing w:after="120" w:line="276" w:lineRule="auto"/>
        <w:jc w:val="both"/>
        <w:rPr>
          <w:rFonts w:ascii="Verdana" w:hAnsi="Verdana" w:cs="Arial"/>
          <w:shd w:val="clear" w:color="auto" w:fill="FFFFFF"/>
        </w:rPr>
      </w:pPr>
    </w:p>
    <w:p w14:paraId="4EE33090" w14:textId="77777777" w:rsidR="004F2F89" w:rsidRPr="009A385A" w:rsidRDefault="004F2F89" w:rsidP="004F2F89">
      <w:pPr>
        <w:spacing w:after="0" w:line="276" w:lineRule="auto"/>
        <w:jc w:val="both"/>
        <w:rPr>
          <w:rFonts w:ascii="Verdana" w:hAnsi="Verdana"/>
        </w:rPr>
      </w:pPr>
      <w:r w:rsidRPr="009A385A">
        <w:rPr>
          <w:rFonts w:ascii="Verdana" w:hAnsi="Verdana"/>
        </w:rPr>
        <w:t xml:space="preserve">La sostenibilidad no es una opción, es una </w:t>
      </w:r>
      <w:r>
        <w:rPr>
          <w:rFonts w:ascii="Verdana" w:hAnsi="Verdana"/>
        </w:rPr>
        <w:t>obligación</w:t>
      </w:r>
      <w:r w:rsidRPr="009A385A">
        <w:rPr>
          <w:rFonts w:ascii="Verdana" w:hAnsi="Verdana"/>
        </w:rPr>
        <w:t xml:space="preserve">. Por ello, la Agencia Nacional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3" w:tgtFrame="_new" w:history="1">
        <w:r w:rsidRPr="009A385A">
          <w:rPr>
            <w:rStyle w:val="Hipervnculo"/>
            <w:rFonts w:ascii="Verdana" w:hAnsi="Verdana"/>
          </w:rPr>
          <w:t>https://formacionvirtual.colombiacompra.gov.co/mod/page/view.php?id=3718</w:t>
        </w:r>
      </w:hyperlink>
    </w:p>
    <w:p w14:paraId="7CCAF407" w14:textId="77777777" w:rsidR="004F2F89" w:rsidRDefault="004F2F89" w:rsidP="004F2F89">
      <w:pPr>
        <w:spacing w:after="0" w:line="276" w:lineRule="auto"/>
        <w:jc w:val="both"/>
        <w:rPr>
          <w:rFonts w:ascii="Verdana" w:hAnsi="Verdana"/>
        </w:rPr>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 xml:space="preserve">da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9A385A">
        <w:rPr>
          <w:rFonts w:ascii="Verdana" w:hAnsi="Verdana"/>
          <w:b/>
          <w:bCs/>
        </w:rPr>
        <w:t>Resoluciones 539, 540, 541, 952 y 953 de 2025</w:t>
      </w:r>
      <w:r w:rsidRPr="00635F16">
        <w:rPr>
          <w:rFonts w:ascii="Verdana" w:hAnsi="Verdana"/>
        </w:rPr>
        <w:t xml:space="preserve">, </w:t>
      </w:r>
      <w:r w:rsidRPr="009A385A">
        <w:rPr>
          <w:rFonts w:ascii="Verdana" w:hAnsi="Verdana"/>
          <w:b/>
          <w:bCs/>
        </w:rPr>
        <w:t>mediante las cuales adopt</w:t>
      </w:r>
      <w:r>
        <w:rPr>
          <w:rFonts w:ascii="Verdana" w:hAnsi="Verdana"/>
          <w:b/>
          <w:bCs/>
        </w:rPr>
        <w:t>ó</w:t>
      </w:r>
      <w:r w:rsidRPr="009A385A">
        <w:rPr>
          <w:rFonts w:ascii="Verdana" w:hAnsi="Verdana"/>
          <w:b/>
          <w:bCs/>
        </w:rPr>
        <w:t xml:space="preserve"> Documentos Tipo</w:t>
      </w:r>
      <w:r w:rsidRPr="00635F16">
        <w:rPr>
          <w:rFonts w:ascii="Verdana" w:hAnsi="Verdana"/>
        </w:rPr>
        <w:t xml:space="preserve"> para</w:t>
      </w:r>
      <w:r>
        <w:rPr>
          <w:rFonts w:ascii="Verdana" w:hAnsi="Verdana"/>
        </w:rPr>
        <w:t xml:space="preserve"> las modalidades de selección </w:t>
      </w:r>
      <w:r w:rsidRPr="007D7084">
        <w:rPr>
          <w:rFonts w:ascii="Verdana" w:hAnsi="Verdana"/>
        </w:rPr>
        <w:t>de</w:t>
      </w:r>
      <w:r w:rsidRPr="009A385A">
        <w:rPr>
          <w:rFonts w:ascii="Verdana" w:hAnsi="Verdana"/>
          <w:b/>
          <w:bCs/>
        </w:rPr>
        <w:t xml:space="preserve"> licitación pública (versión 2), selección abreviada de menor cuantía, mínima cuantía, consultoría e interventoría</w:t>
      </w:r>
      <w:r w:rsidRPr="00635F16">
        <w:rPr>
          <w:rFonts w:ascii="Verdana" w:hAnsi="Verdana"/>
        </w:rPr>
        <w:t>, promoviendo procesos más transparentes, eficientes  competitivos</w:t>
      </w:r>
      <w:r>
        <w:rPr>
          <w:rFonts w:ascii="Verdana" w:hAnsi="Verdana"/>
        </w:rPr>
        <w:t xml:space="preserve"> y sostenibles</w:t>
      </w:r>
      <w:r w:rsidRPr="00635F16">
        <w:rPr>
          <w:rFonts w:ascii="Verdana" w:hAnsi="Verdana"/>
        </w:rPr>
        <w:t xml:space="preserve"> en sectores estratégicos como educación, salud, cultura, recreación</w:t>
      </w:r>
      <w:r>
        <w:rPr>
          <w:rFonts w:ascii="Verdana" w:hAnsi="Verdana"/>
        </w:rPr>
        <w:t xml:space="preserve">, </w:t>
      </w:r>
      <w:r w:rsidRPr="00635F16">
        <w:rPr>
          <w:rFonts w:ascii="Verdana" w:hAnsi="Verdana"/>
        </w:rPr>
        <w:t xml:space="preserve">deporte, institucional y vivienda. Consulta y descarga los documentos aquí: </w:t>
      </w:r>
      <w:hyperlink r:id="rId14" w:tgtFrame="_new" w:history="1">
        <w:r w:rsidRPr="00635F16">
          <w:rPr>
            <w:rStyle w:val="Hipervnculo"/>
            <w:rFonts w:ascii="Verdana" w:hAnsi="Verdana"/>
          </w:rPr>
          <w:t>https://www.colombiacompra.gov.co/normativa-y-relatoria/documentos-tipo</w:t>
        </w:r>
      </w:hyperlink>
    </w:p>
    <w:p w14:paraId="1100AA14" w14:textId="77777777" w:rsidR="004F2F89" w:rsidRPr="00C25CDD" w:rsidRDefault="004F2F89" w:rsidP="004F2F89">
      <w:pPr>
        <w:spacing w:after="0" w:line="276" w:lineRule="auto"/>
        <w:jc w:val="both"/>
        <w:rPr>
          <w:rFonts w:ascii="Verdana" w:hAnsi="Verdana"/>
        </w:rPr>
      </w:pPr>
    </w:p>
    <w:p w14:paraId="61898CB7" w14:textId="77777777" w:rsidR="004F2F89" w:rsidRDefault="004F2F89" w:rsidP="004F2F89">
      <w:pPr>
        <w:spacing w:after="0" w:line="276" w:lineRule="auto"/>
        <w:jc w:val="both"/>
        <w:rPr>
          <w:rFonts w:ascii="Verdana" w:hAnsi="Verdana"/>
        </w:rPr>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797327">
        <w:rPr>
          <w:rFonts w:ascii="Verdana" w:hAnsi="Verdana"/>
        </w:rPr>
        <w:t>Además se incluye</w:t>
      </w:r>
      <w:r>
        <w:rPr>
          <w:rFonts w:ascii="Verdana" w:hAnsi="Verdana"/>
        </w:rPr>
        <w:t>ron</w:t>
      </w:r>
      <w:r w:rsidRPr="00797327">
        <w:rPr>
          <w:rFonts w:ascii="Verdana" w:hAnsi="Verdana"/>
        </w:rPr>
        <w:t xml:space="preserve"> lineamientos que orientan la implementación de los criterios ambientales y sociales incluidos en los documentos tipo: </w:t>
      </w:r>
      <w:r w:rsidRPr="009A385A">
        <w:rPr>
          <w:rFonts w:ascii="Verdana" w:hAnsi="Verdana"/>
        </w:rPr>
        <w:t>Consulta la guía aquí:</w:t>
      </w:r>
      <w:r w:rsidRPr="009A385A">
        <w:rPr>
          <w:rFonts w:ascii="Verdana" w:hAnsi="Verdana"/>
        </w:rPr>
        <w:br/>
      </w:r>
      <w:hyperlink r:id="rId15" w:tgtFrame="_new" w:history="1">
        <w:r w:rsidRPr="009A385A">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74E8454F" w14:textId="77777777" w:rsidR="004F2F89" w:rsidRPr="00605E0D" w:rsidRDefault="004F2F89" w:rsidP="004F2F89">
      <w:pPr>
        <w:spacing w:after="0" w:line="276" w:lineRule="auto"/>
        <w:jc w:val="both"/>
        <w:rPr>
          <w:rFonts w:ascii="Verdana" w:hAnsi="Verdana"/>
        </w:rPr>
      </w:pPr>
      <w:r w:rsidRPr="00284526">
        <w:rPr>
          <w:rFonts w:ascii="Verdana" w:hAnsi="Verdana" w:cs="Arial"/>
          <w:shd w:val="clear" w:color="auto" w:fill="FFFFFF"/>
        </w:rPr>
        <w:t xml:space="preserve">Por último, lo invitamos a seguirnos en las redes sociales en las cuales se difunde información institucional: </w:t>
      </w:r>
    </w:p>
    <w:p w14:paraId="0DB7D912" w14:textId="77777777" w:rsidR="004F2F89" w:rsidRPr="00284526" w:rsidRDefault="004F2F89" w:rsidP="004F2F89">
      <w:pPr>
        <w:spacing w:after="0" w:line="276" w:lineRule="auto"/>
        <w:jc w:val="both"/>
        <w:rPr>
          <w:rFonts w:ascii="Verdana" w:hAnsi="Verdana" w:cs="Arial"/>
          <w:shd w:val="clear" w:color="auto" w:fill="FFFFFF"/>
        </w:rPr>
      </w:pPr>
    </w:p>
    <w:p w14:paraId="610F3445" w14:textId="77777777" w:rsidR="004F2F89" w:rsidRPr="00284526" w:rsidRDefault="004F2F89" w:rsidP="004F2F89">
      <w:pPr>
        <w:spacing w:after="0" w:line="276" w:lineRule="auto"/>
        <w:jc w:val="both"/>
        <w:rPr>
          <w:rFonts w:ascii="Verdana" w:hAnsi="Verdana" w:cs="Arial"/>
          <w:shd w:val="clear" w:color="auto" w:fill="FFFFFF"/>
        </w:rPr>
      </w:pPr>
      <w:r w:rsidRPr="00284526">
        <w:rPr>
          <w:rFonts w:ascii="Verdana" w:hAnsi="Verdana" w:cs="Arial"/>
          <w:shd w:val="clear" w:color="auto" w:fill="FFFFFF"/>
        </w:rPr>
        <w:t xml:space="preserve">Twitter: </w:t>
      </w:r>
      <w:r w:rsidRPr="00284526">
        <w:rPr>
          <w:rStyle w:val="Hipervnculo"/>
          <w:rFonts w:ascii="Verdana" w:hAnsi="Verdana"/>
          <w:lang w:val="es-ES"/>
        </w:rPr>
        <w:t xml:space="preserve">@colombiacompra </w:t>
      </w:r>
    </w:p>
    <w:p w14:paraId="1F5525C4" w14:textId="77777777" w:rsidR="004F2F89" w:rsidRPr="00284526" w:rsidRDefault="004F2F89" w:rsidP="004F2F89">
      <w:pPr>
        <w:spacing w:after="0" w:line="276" w:lineRule="auto"/>
        <w:jc w:val="both"/>
        <w:rPr>
          <w:rFonts w:ascii="Verdana" w:hAnsi="Verdana" w:cs="Arial"/>
          <w:shd w:val="clear" w:color="auto" w:fill="FFFFFF"/>
        </w:rPr>
      </w:pPr>
      <w:r w:rsidRPr="00284526">
        <w:rPr>
          <w:rFonts w:ascii="Verdana" w:hAnsi="Verdana" w:cs="Arial"/>
          <w:shd w:val="clear" w:color="auto" w:fill="FFFFFF"/>
        </w:rPr>
        <w:t>Facebook:</w:t>
      </w:r>
      <w:r w:rsidRPr="00284526">
        <w:rPr>
          <w:rStyle w:val="Hipervnculo"/>
          <w:rFonts w:ascii="Verdana" w:hAnsi="Verdana"/>
          <w:color w:val="auto"/>
          <w:lang w:val="es-ES"/>
        </w:rPr>
        <w:t xml:space="preserve"> </w:t>
      </w:r>
      <w:proofErr w:type="spellStart"/>
      <w:r w:rsidRPr="00284526">
        <w:rPr>
          <w:rStyle w:val="Hipervnculo"/>
          <w:rFonts w:ascii="Verdana" w:hAnsi="Verdana"/>
          <w:lang w:val="es-ES"/>
        </w:rPr>
        <w:t>ColombiaCompraEficiente</w:t>
      </w:r>
      <w:proofErr w:type="spellEnd"/>
    </w:p>
    <w:p w14:paraId="20969CDB" w14:textId="77777777" w:rsidR="004F2F89" w:rsidRPr="00284526" w:rsidRDefault="004F2F89" w:rsidP="004F2F89">
      <w:pPr>
        <w:spacing w:after="0" w:line="276" w:lineRule="auto"/>
        <w:jc w:val="both"/>
        <w:rPr>
          <w:rFonts w:ascii="Verdana" w:hAnsi="Verdana" w:cs="Arial"/>
          <w:color w:val="0000FF"/>
          <w:shd w:val="clear" w:color="auto" w:fill="FFFFFF"/>
        </w:rPr>
      </w:pPr>
      <w:r w:rsidRPr="00284526">
        <w:rPr>
          <w:rFonts w:ascii="Verdana" w:hAnsi="Verdana" w:cs="Arial"/>
          <w:shd w:val="clear" w:color="auto" w:fill="FFFFFF"/>
        </w:rPr>
        <w:t xml:space="preserve">LinkedIn: </w:t>
      </w:r>
      <w:r w:rsidRPr="00284526">
        <w:rPr>
          <w:rStyle w:val="Hipervnculo"/>
          <w:rFonts w:ascii="Verdana" w:hAnsi="Verdana"/>
          <w:lang w:val="es-ES"/>
        </w:rPr>
        <w:t>Agencia Nacional de Contratación Pública - Colombia Compra Eficiente</w:t>
      </w:r>
      <w:r w:rsidRPr="00284526">
        <w:rPr>
          <w:rFonts w:ascii="Verdana" w:hAnsi="Verdana" w:cs="Arial"/>
          <w:color w:val="0000FF"/>
          <w:shd w:val="clear" w:color="auto" w:fill="FFFFFF"/>
        </w:rPr>
        <w:t xml:space="preserve"> </w:t>
      </w:r>
    </w:p>
    <w:p w14:paraId="4D0C506E" w14:textId="77777777" w:rsidR="004F2F89" w:rsidRPr="00284526" w:rsidRDefault="004F2F89" w:rsidP="004F2F89">
      <w:pPr>
        <w:spacing w:after="0" w:line="276" w:lineRule="auto"/>
        <w:jc w:val="both"/>
        <w:rPr>
          <w:rFonts w:ascii="Verdana" w:hAnsi="Verdana" w:cs="Arial"/>
          <w:shd w:val="clear" w:color="auto" w:fill="FFFFFF"/>
        </w:rPr>
      </w:pPr>
      <w:r w:rsidRPr="00284526">
        <w:rPr>
          <w:rFonts w:ascii="Verdana" w:hAnsi="Verdana" w:cs="Arial"/>
          <w:shd w:val="clear" w:color="auto" w:fill="FFFFFF"/>
        </w:rPr>
        <w:t xml:space="preserve">Instagram: </w:t>
      </w:r>
      <w:r w:rsidRPr="00284526">
        <w:rPr>
          <w:rStyle w:val="Hipervnculo"/>
          <w:rFonts w:ascii="Verdana" w:hAnsi="Verdana"/>
          <w:lang w:val="es-ES"/>
        </w:rPr>
        <w:t>@colombiacompraeficiente_cce</w:t>
      </w:r>
    </w:p>
    <w:p w14:paraId="6C7661C0" w14:textId="77777777" w:rsidR="004F2F89" w:rsidRPr="00284526" w:rsidRDefault="004F2F89" w:rsidP="004F2F89">
      <w:pPr>
        <w:widowControl w:val="0"/>
        <w:autoSpaceDE w:val="0"/>
        <w:autoSpaceDN w:val="0"/>
        <w:spacing w:after="0" w:line="276" w:lineRule="auto"/>
        <w:jc w:val="both"/>
        <w:rPr>
          <w:rFonts w:ascii="Verdana" w:hAnsi="Verdana" w:cs="Arial"/>
          <w:lang w:val="es-ES"/>
        </w:rPr>
      </w:pPr>
    </w:p>
    <w:p w14:paraId="14910222" w14:textId="77777777" w:rsidR="004F2F89" w:rsidRPr="00284526" w:rsidRDefault="004F2F89" w:rsidP="004F2F89">
      <w:pPr>
        <w:widowControl w:val="0"/>
        <w:autoSpaceDE w:val="0"/>
        <w:autoSpaceDN w:val="0"/>
        <w:spacing w:after="0" w:line="276" w:lineRule="auto"/>
        <w:jc w:val="both"/>
        <w:rPr>
          <w:rFonts w:ascii="Verdana" w:hAnsi="Verdana" w:cs="Arial"/>
          <w:lang w:val="es-ES"/>
        </w:rPr>
      </w:pPr>
      <w:r w:rsidRPr="00284526">
        <w:rPr>
          <w:rFonts w:ascii="Verdana"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1A0B7DBD" w14:textId="77777777" w:rsidR="004F2F89" w:rsidRPr="00116940" w:rsidRDefault="004F2F89" w:rsidP="004F2F89">
      <w:pPr>
        <w:spacing w:after="0" w:line="276" w:lineRule="auto"/>
        <w:jc w:val="both"/>
        <w:rPr>
          <w:rFonts w:ascii="Verdana" w:eastAsia="Verdana" w:hAnsi="Verdana" w:cs="Verdana"/>
        </w:rPr>
      </w:pPr>
    </w:p>
    <w:p w14:paraId="45E375A8" w14:textId="77777777" w:rsidR="004F2F89" w:rsidRPr="00116940" w:rsidRDefault="004F2F89" w:rsidP="004F2F89">
      <w:pPr>
        <w:spacing w:after="0" w:line="276" w:lineRule="auto"/>
        <w:rPr>
          <w:rFonts w:ascii="Verdana" w:eastAsia="Verdana" w:hAnsi="Verdana" w:cs="Verdana"/>
        </w:rPr>
      </w:pPr>
      <w:r w:rsidRPr="30821638">
        <w:rPr>
          <w:rFonts w:ascii="Verdana" w:eastAsia="Verdana" w:hAnsi="Verdana" w:cs="Verdana"/>
        </w:rPr>
        <w:t>Evalúa el servicio que ofrece la Agencia por el canal de atención de PQRSD en el siguiente enlace</w:t>
      </w:r>
      <w:r w:rsidRPr="00C25CDD">
        <w:rPr>
          <w:rFonts w:ascii="Verdana" w:eastAsia="Verdana" w:hAnsi="Verdana" w:cs="Verdana"/>
        </w:rPr>
        <w:t>:</w:t>
      </w:r>
      <w:r>
        <w:rPr>
          <w:rFonts w:ascii="Verdana" w:eastAsia="Verdana" w:hAnsi="Verdana" w:cs="Verdana"/>
        </w:rPr>
        <w:t xml:space="preserve"> </w:t>
      </w:r>
      <w:hyperlink r:id="rId16" w:history="1">
        <w:r w:rsidRPr="00C25CDD">
          <w:rPr>
            <w:rStyle w:val="Hipervnculo"/>
            <w:rFonts w:ascii="Verdana" w:eastAsia="Verdana" w:hAnsi="Verdana" w:cs="Verdana"/>
          </w:rPr>
          <w:t>https://forms.office.com/r/pPHyWVs2SZ</w:t>
        </w:r>
      </w:hyperlink>
      <w:r w:rsidRPr="30821638">
        <w:rPr>
          <w:rFonts w:ascii="Verdana" w:eastAsia="Verdana" w:hAnsi="Verdana" w:cs="Verdana"/>
        </w:rPr>
        <w:t xml:space="preserve"> .¡Ayúdanos a mejorar porque el compromiso es de todos!</w:t>
      </w:r>
    </w:p>
    <w:p w14:paraId="42257823" w14:textId="6866B1B6" w:rsidR="004F2F89" w:rsidRDefault="004F2F89" w:rsidP="004F2F89">
      <w:pPr>
        <w:widowControl w:val="0"/>
        <w:autoSpaceDE w:val="0"/>
        <w:autoSpaceDN w:val="0"/>
        <w:spacing w:after="120" w:line="276" w:lineRule="auto"/>
        <w:ind w:firstLine="709"/>
        <w:jc w:val="both"/>
        <w:rPr>
          <w:rFonts w:ascii="Verdana" w:eastAsia="Aptos" w:hAnsi="Verdana" w:cs="Times New Roman"/>
          <w:color w:val="000000" w:themeColor="text1"/>
          <w:kern w:val="2"/>
          <w14:ligatures w14:val="standardContextual"/>
        </w:rPr>
      </w:pPr>
    </w:p>
    <w:p w14:paraId="327EA2D8" w14:textId="5E1542F8" w:rsidR="004F2F89" w:rsidRPr="00C42171" w:rsidRDefault="004F2F89" w:rsidP="004F2F89">
      <w:pPr>
        <w:widowControl w:val="0"/>
        <w:autoSpaceDE w:val="0"/>
        <w:autoSpaceDN w:val="0"/>
        <w:spacing w:after="120" w:line="276" w:lineRule="auto"/>
        <w:jc w:val="both"/>
        <w:rPr>
          <w:rFonts w:ascii="Verdana" w:eastAsia="Aptos" w:hAnsi="Verdana" w:cs="Times New Roman"/>
          <w:color w:val="000000" w:themeColor="text1"/>
          <w:kern w:val="2"/>
          <w14:ligatures w14:val="standardContextual"/>
        </w:rPr>
      </w:pPr>
      <w:r>
        <w:rPr>
          <w:rFonts w:ascii="Verdana" w:hAnsi="Verdana" w:cs="Arial"/>
          <w:shd w:val="clear" w:color="auto" w:fill="FFFFFF"/>
        </w:rPr>
        <w:t xml:space="preserve">Cordialmente, </w:t>
      </w:r>
    </w:p>
    <w:p w14:paraId="3F3A00ED" w14:textId="6D7CD7AF" w:rsidR="004F2F89" w:rsidRDefault="00887FBC" w:rsidP="004F2F89">
      <w:pPr>
        <w:spacing w:after="0" w:line="276" w:lineRule="auto"/>
        <w:ind w:firstLine="709"/>
        <w:jc w:val="both"/>
        <w:rPr>
          <w:rFonts w:ascii="Verdana" w:eastAsia="Verdana" w:hAnsi="Verdana" w:cs="Verdana"/>
          <w:lang w:val="es-MX"/>
        </w:rPr>
      </w:pPr>
      <w:r w:rsidRPr="004D5C25">
        <w:rPr>
          <w:rFonts w:ascii="Century Gothic" w:hAnsi="Century Gothic"/>
          <w:noProof/>
        </w:rPr>
        <w:drawing>
          <wp:anchor distT="0" distB="0" distL="114300" distR="114300" simplePos="0" relativeHeight="251662336" behindDoc="1" locked="0" layoutInCell="1" allowOverlap="1" wp14:anchorId="6DA93845" wp14:editId="573F52BA">
            <wp:simplePos x="0" y="0"/>
            <wp:positionH relativeFrom="column">
              <wp:posOffset>925674</wp:posOffset>
            </wp:positionH>
            <wp:positionV relativeFrom="paragraph">
              <wp:posOffset>46290</wp:posOffset>
            </wp:positionV>
            <wp:extent cx="3705225" cy="1082040"/>
            <wp:effectExtent l="0" t="0" r="9525" b="3810"/>
            <wp:wrapTight wrapText="bothSides">
              <wp:wrapPolygon edited="0">
                <wp:start x="0" y="0"/>
                <wp:lineTo x="0" y="21296"/>
                <wp:lineTo x="21544" y="21296"/>
                <wp:lineTo x="21544" y="0"/>
                <wp:lineTo x="0" y="0"/>
              </wp:wrapPolygon>
            </wp:wrapTight>
            <wp:docPr id="182274004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40040" name="Imagen 1" descr="Texto&#10;&#10;Descripción generada automáticamente"/>
                    <pic:cNvPicPr/>
                  </pic:nvPicPr>
                  <pic:blipFill>
                    <a:blip r:embed="rId17">
                      <a:extLst>
                        <a:ext uri="{28A0092B-C50C-407E-A947-70E740481C1C}">
                          <a14:useLocalDpi xmlns:a14="http://schemas.microsoft.com/office/drawing/2010/main" val="0"/>
                        </a:ext>
                      </a:extLst>
                    </a:blip>
                    <a:stretch>
                      <a:fillRect/>
                    </a:stretch>
                  </pic:blipFill>
                  <pic:spPr>
                    <a:xfrm>
                      <a:off x="0" y="0"/>
                      <a:ext cx="3705225" cy="1082040"/>
                    </a:xfrm>
                    <a:prstGeom prst="rect">
                      <a:avLst/>
                    </a:prstGeom>
                  </pic:spPr>
                </pic:pic>
              </a:graphicData>
            </a:graphic>
            <wp14:sizeRelV relativeFrom="margin">
              <wp14:pctHeight>0</wp14:pctHeight>
            </wp14:sizeRelV>
          </wp:anchor>
        </w:drawing>
      </w:r>
    </w:p>
    <w:p w14:paraId="2F425060" w14:textId="4F1B82FC" w:rsidR="004F2F89" w:rsidRDefault="004F2F89" w:rsidP="004F2F89">
      <w:pPr>
        <w:spacing w:after="0" w:line="276" w:lineRule="auto"/>
        <w:jc w:val="both"/>
        <w:rPr>
          <w:rFonts w:ascii="Verdana" w:eastAsia="Century Gothic" w:hAnsi="Verdana" w:cs="Century Gothic"/>
        </w:rPr>
      </w:pPr>
    </w:p>
    <w:p w14:paraId="1E124945" w14:textId="77777777" w:rsidR="004F2F89" w:rsidRDefault="004F2F89" w:rsidP="004F2F89">
      <w:pPr>
        <w:spacing w:after="0" w:line="276" w:lineRule="auto"/>
        <w:jc w:val="both"/>
        <w:rPr>
          <w:rFonts w:ascii="Verdana" w:eastAsia="Century Gothic" w:hAnsi="Verdana" w:cs="Century Gothic"/>
        </w:rPr>
      </w:pPr>
    </w:p>
    <w:p w14:paraId="3E91A01A" w14:textId="77777777" w:rsidR="004F2F89" w:rsidRDefault="004F2F89" w:rsidP="004F2F89">
      <w:pPr>
        <w:spacing w:after="0" w:line="276" w:lineRule="auto"/>
        <w:jc w:val="both"/>
        <w:rPr>
          <w:rFonts w:ascii="Verdana" w:eastAsia="Century Gothic" w:hAnsi="Verdana" w:cs="Century Gothic"/>
        </w:rPr>
      </w:pPr>
    </w:p>
    <w:p w14:paraId="73B7DC96" w14:textId="77777777" w:rsidR="004F2F89" w:rsidRDefault="004F2F89" w:rsidP="004F2F89">
      <w:pPr>
        <w:spacing w:after="0" w:line="276" w:lineRule="auto"/>
        <w:jc w:val="both"/>
        <w:rPr>
          <w:rFonts w:ascii="Verdana" w:eastAsia="Century Gothic" w:hAnsi="Verdana" w:cs="Century Gothic"/>
        </w:rPr>
      </w:pPr>
    </w:p>
    <w:p w14:paraId="6F9649D8" w14:textId="77777777" w:rsidR="004F2F89" w:rsidRDefault="004F2F89" w:rsidP="004F2F89">
      <w:pPr>
        <w:spacing w:after="120" w:line="276" w:lineRule="auto"/>
        <w:contextualSpacing/>
        <w:jc w:val="both"/>
        <w:rPr>
          <w:rFonts w:ascii="Verdana" w:eastAsia="Aptos" w:hAnsi="Verdana" w:cs="Arial"/>
          <w:shd w:val="clear" w:color="auto" w:fill="FFFFFF"/>
          <w:lang w:val="es-ES"/>
        </w:rPr>
      </w:pPr>
    </w:p>
    <w:tbl>
      <w:tblPr>
        <w:tblStyle w:val="Tablaconcuadrcula"/>
        <w:tblW w:w="63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436"/>
      </w:tblGrid>
      <w:tr w:rsidR="004F2F89" w:rsidRPr="004C0111" w14:paraId="77F2618B" w14:textId="77777777" w:rsidTr="009359D5">
        <w:trPr>
          <w:trHeight w:val="622"/>
        </w:trPr>
        <w:tc>
          <w:tcPr>
            <w:tcW w:w="893" w:type="dxa"/>
            <w:vAlign w:val="center"/>
            <w:hideMark/>
          </w:tcPr>
          <w:p w14:paraId="739BDE46" w14:textId="77777777" w:rsidR="004F2F89" w:rsidRPr="004C0111" w:rsidRDefault="004F2F89" w:rsidP="009359D5">
            <w:pPr>
              <w:rPr>
                <w:rFonts w:ascii="Verdana" w:eastAsia="Calibri" w:hAnsi="Verdana" w:cs="Arial"/>
                <w:sz w:val="16"/>
                <w:szCs w:val="16"/>
                <w:lang w:val="es-ES_tradnl"/>
              </w:rPr>
            </w:pPr>
            <w:r w:rsidRPr="004C0111">
              <w:rPr>
                <w:rFonts w:ascii="Verdana" w:eastAsia="Calibri" w:hAnsi="Verdana" w:cs="Arial"/>
                <w:sz w:val="16"/>
                <w:szCs w:val="16"/>
                <w:lang w:val="es-ES_tradnl"/>
              </w:rPr>
              <w:t>Elaboró:</w:t>
            </w:r>
          </w:p>
        </w:tc>
        <w:tc>
          <w:tcPr>
            <w:tcW w:w="5436" w:type="dxa"/>
            <w:tcBorders>
              <w:top w:val="nil"/>
              <w:left w:val="nil"/>
              <w:bottom w:val="dotted" w:sz="4" w:space="0" w:color="7F7F7F" w:themeColor="text1" w:themeTint="80"/>
              <w:right w:val="nil"/>
            </w:tcBorders>
            <w:vAlign w:val="center"/>
            <w:hideMark/>
          </w:tcPr>
          <w:tbl>
            <w:tblPr>
              <w:tblW w:w="509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91"/>
            </w:tblGrid>
            <w:tr w:rsidR="004F2F89" w:rsidRPr="004C0111" w14:paraId="19ADC920" w14:textId="77777777" w:rsidTr="009359D5">
              <w:trPr>
                <w:trHeight w:val="45"/>
              </w:trPr>
              <w:tc>
                <w:tcPr>
                  <w:tcW w:w="5091" w:type="dxa"/>
                  <w:tcBorders>
                    <w:top w:val="dotted" w:sz="6" w:space="0" w:color="7F7F7F" w:themeColor="text1" w:themeTint="80"/>
                    <w:left w:val="nil"/>
                    <w:bottom w:val="dotted" w:sz="6" w:space="0" w:color="7F7F7F" w:themeColor="text1" w:themeTint="80"/>
                    <w:right w:val="nil"/>
                  </w:tcBorders>
                  <w:vAlign w:val="center"/>
                  <w:hideMark/>
                </w:tcPr>
                <w:p w14:paraId="3DAB188B" w14:textId="77777777" w:rsidR="004F2F89" w:rsidRPr="004C0111" w:rsidRDefault="004F2F89" w:rsidP="009359D5">
                  <w:pPr>
                    <w:spacing w:after="0" w:line="240" w:lineRule="auto"/>
                    <w:rPr>
                      <w:rFonts w:ascii="Verdana" w:eastAsia="Times New Roman" w:hAnsi="Verdana" w:cs="Arial"/>
                      <w:sz w:val="16"/>
                      <w:szCs w:val="16"/>
                      <w:lang w:val="es-ES" w:eastAsia="es-ES"/>
                    </w:rPr>
                  </w:pPr>
                  <w:r w:rsidRPr="731A4B47">
                    <w:rPr>
                      <w:rFonts w:ascii="Verdana" w:eastAsia="Times New Roman" w:hAnsi="Verdana" w:cs="Arial"/>
                      <w:sz w:val="16"/>
                      <w:szCs w:val="16"/>
                      <w:lang w:val="es-ES" w:eastAsia="es-ES"/>
                    </w:rPr>
                    <w:t>Kelmis Yirama Brugés Alvarado</w:t>
                  </w:r>
                </w:p>
                <w:p w14:paraId="67D962BD" w14:textId="77777777" w:rsidR="004F2F89" w:rsidRPr="004C0111" w:rsidRDefault="004F2F89" w:rsidP="009359D5">
                  <w:pPr>
                    <w:spacing w:after="0" w:line="240" w:lineRule="auto"/>
                    <w:rPr>
                      <w:rFonts w:ascii="Verdana" w:eastAsia="Times New Roman" w:hAnsi="Verdana" w:cs="Arial"/>
                      <w:sz w:val="16"/>
                      <w:szCs w:val="16"/>
                      <w:lang w:val="es-MX" w:eastAsia="es-CO"/>
                    </w:rPr>
                  </w:pPr>
                  <w:r w:rsidRPr="004C0111">
                    <w:rPr>
                      <w:rFonts w:ascii="Verdana" w:eastAsia="Times New Roman" w:hAnsi="Verdana" w:cs="Arial"/>
                      <w:sz w:val="16"/>
                      <w:szCs w:val="16"/>
                      <w:lang w:eastAsia="es-ES"/>
                    </w:rPr>
                    <w:t>Analista T2-</w:t>
                  </w:r>
                  <w:r>
                    <w:rPr>
                      <w:rFonts w:ascii="Verdana" w:eastAsia="Times New Roman" w:hAnsi="Verdana" w:cs="Arial"/>
                      <w:sz w:val="16"/>
                      <w:szCs w:val="16"/>
                      <w:lang w:eastAsia="es-ES"/>
                    </w:rPr>
                    <w:t>04</w:t>
                  </w:r>
                  <w:r w:rsidRPr="004C0111">
                    <w:rPr>
                      <w:rFonts w:ascii="Verdana" w:eastAsia="Times New Roman" w:hAnsi="Verdana" w:cs="Arial"/>
                      <w:sz w:val="16"/>
                      <w:szCs w:val="16"/>
                      <w:lang w:eastAsia="es-ES"/>
                    </w:rPr>
                    <w:t xml:space="preserve"> de la Subdirección de Gestión Contractual</w:t>
                  </w:r>
                </w:p>
              </w:tc>
            </w:tr>
          </w:tbl>
          <w:p w14:paraId="3B0989A5" w14:textId="77777777" w:rsidR="004F2F89" w:rsidRPr="004C0111" w:rsidRDefault="004F2F89" w:rsidP="009359D5">
            <w:pPr>
              <w:rPr>
                <w:rFonts w:ascii="Verdana" w:eastAsia="Calibri" w:hAnsi="Verdana" w:cs="Arial"/>
                <w:sz w:val="16"/>
                <w:szCs w:val="16"/>
                <w:lang w:val="es-MX"/>
              </w:rPr>
            </w:pPr>
          </w:p>
        </w:tc>
      </w:tr>
      <w:tr w:rsidR="004F2F89" w:rsidRPr="004C0111" w14:paraId="41B01A31" w14:textId="77777777" w:rsidTr="009359D5">
        <w:trPr>
          <w:trHeight w:val="330"/>
        </w:trPr>
        <w:tc>
          <w:tcPr>
            <w:tcW w:w="893" w:type="dxa"/>
            <w:vAlign w:val="center"/>
            <w:hideMark/>
          </w:tcPr>
          <w:p w14:paraId="28951333" w14:textId="77777777" w:rsidR="004F2F89" w:rsidRPr="004C0111" w:rsidRDefault="004F2F89" w:rsidP="009359D5">
            <w:pPr>
              <w:rPr>
                <w:rFonts w:ascii="Verdana" w:eastAsia="Calibri" w:hAnsi="Verdana" w:cs="Arial"/>
                <w:sz w:val="16"/>
                <w:szCs w:val="16"/>
                <w:lang w:val="es-ES_tradnl"/>
              </w:rPr>
            </w:pPr>
            <w:r w:rsidRPr="004C0111">
              <w:rPr>
                <w:rFonts w:ascii="Verdana" w:eastAsia="Calibri" w:hAnsi="Verdana" w:cs="Arial"/>
                <w:sz w:val="16"/>
                <w:szCs w:val="16"/>
                <w:lang w:val="es-ES_tradnl"/>
              </w:rPr>
              <w:t>Revisó:</w:t>
            </w:r>
          </w:p>
        </w:tc>
        <w:tc>
          <w:tcPr>
            <w:tcW w:w="5436" w:type="dxa"/>
            <w:tcBorders>
              <w:top w:val="dotted" w:sz="4" w:space="0" w:color="7F7F7F" w:themeColor="text1" w:themeTint="80"/>
              <w:left w:val="nil"/>
              <w:bottom w:val="dotted" w:sz="4" w:space="0" w:color="7F7F7F" w:themeColor="text1" w:themeTint="80"/>
              <w:right w:val="nil"/>
            </w:tcBorders>
            <w:vAlign w:val="center"/>
            <w:hideMark/>
          </w:tcPr>
          <w:p w14:paraId="7A0E4F2F" w14:textId="73132C47" w:rsidR="004F2F89" w:rsidRPr="004C0111" w:rsidRDefault="004F2F89" w:rsidP="009359D5">
            <w:pPr>
              <w:textAlignment w:val="baseline"/>
              <w:rPr>
                <w:rFonts w:ascii="Verdana" w:eastAsia="Times New Roman" w:hAnsi="Verdana" w:cs="Arial"/>
                <w:sz w:val="16"/>
                <w:szCs w:val="16"/>
                <w:lang w:eastAsia="es-CO"/>
              </w:rPr>
            </w:pPr>
            <w:r>
              <w:rPr>
                <w:rFonts w:ascii="Verdana" w:eastAsia="Times New Roman" w:hAnsi="Verdana" w:cs="Arial"/>
                <w:sz w:val="16"/>
                <w:szCs w:val="16"/>
                <w:lang w:eastAsia="es-CO"/>
              </w:rPr>
              <w:t>Juan David Cárdenas Cabezas</w:t>
            </w:r>
          </w:p>
          <w:p w14:paraId="1200BF1B" w14:textId="53DC63F9" w:rsidR="004F2F89" w:rsidRPr="004C0111" w:rsidRDefault="004F2F89" w:rsidP="009359D5">
            <w:pPr>
              <w:textAlignment w:val="baseline"/>
              <w:rPr>
                <w:rFonts w:ascii="Verdana" w:eastAsia="Times New Roman" w:hAnsi="Verdana" w:cs="Arial"/>
                <w:sz w:val="16"/>
                <w:szCs w:val="16"/>
                <w:lang w:val="es-MX" w:eastAsia="es-CO"/>
              </w:rPr>
            </w:pPr>
            <w:r>
              <w:rPr>
                <w:rFonts w:ascii="Verdana" w:eastAsia="Times New Roman" w:hAnsi="Verdana" w:cs="Arial"/>
                <w:sz w:val="16"/>
                <w:szCs w:val="16"/>
                <w:lang w:eastAsia="es-CO"/>
              </w:rPr>
              <w:t xml:space="preserve">Contratista </w:t>
            </w:r>
            <w:r w:rsidRPr="004C0111">
              <w:rPr>
                <w:rFonts w:ascii="Verdana" w:eastAsia="Times New Roman" w:hAnsi="Verdana" w:cs="Arial"/>
                <w:sz w:val="16"/>
                <w:szCs w:val="16"/>
                <w:lang w:eastAsia="es-CO"/>
              </w:rPr>
              <w:t>de la Subdirección de Gestión Contractual</w:t>
            </w:r>
          </w:p>
        </w:tc>
      </w:tr>
      <w:tr w:rsidR="004F2F89" w:rsidRPr="004C0111" w14:paraId="18B0CF72" w14:textId="77777777" w:rsidTr="009359D5">
        <w:trPr>
          <w:trHeight w:val="77"/>
        </w:trPr>
        <w:tc>
          <w:tcPr>
            <w:tcW w:w="893" w:type="dxa"/>
            <w:vAlign w:val="center"/>
          </w:tcPr>
          <w:p w14:paraId="1BE9AA29" w14:textId="77777777" w:rsidR="004F2F89" w:rsidRPr="004C0111" w:rsidRDefault="004F2F89" w:rsidP="009359D5">
            <w:pPr>
              <w:rPr>
                <w:rFonts w:ascii="Verdana" w:eastAsia="Calibri" w:hAnsi="Verdana" w:cs="Arial"/>
                <w:sz w:val="16"/>
                <w:szCs w:val="16"/>
                <w:lang w:val="es-ES_tradnl"/>
              </w:rPr>
            </w:pPr>
            <w:r w:rsidRPr="004C0111">
              <w:rPr>
                <w:rFonts w:ascii="Verdana" w:eastAsia="Calibri" w:hAnsi="Verdana" w:cs="Arial"/>
                <w:sz w:val="16"/>
                <w:szCs w:val="16"/>
                <w:lang w:val="es-ES_tradnl"/>
              </w:rPr>
              <w:t>Aprobó:</w:t>
            </w:r>
          </w:p>
        </w:tc>
        <w:tc>
          <w:tcPr>
            <w:tcW w:w="5436" w:type="dxa"/>
            <w:tcBorders>
              <w:top w:val="dotted" w:sz="4" w:space="0" w:color="7F7F7F" w:themeColor="text1" w:themeTint="80"/>
              <w:left w:val="nil"/>
              <w:bottom w:val="dotted" w:sz="4" w:space="0" w:color="7F7F7F" w:themeColor="text1" w:themeTint="80"/>
              <w:right w:val="nil"/>
            </w:tcBorders>
            <w:vAlign w:val="center"/>
          </w:tcPr>
          <w:p w14:paraId="6E31B0FF" w14:textId="77777777" w:rsidR="004F2F89" w:rsidRPr="002F2853" w:rsidRDefault="004F2F89" w:rsidP="009359D5">
            <w:pPr>
              <w:rPr>
                <w:rFonts w:ascii="Verdana" w:eastAsia="Times New Roman" w:hAnsi="Verdana" w:cs="Arial"/>
                <w:sz w:val="16"/>
                <w:szCs w:val="16"/>
                <w:lang w:eastAsia="es-ES"/>
              </w:rPr>
            </w:pPr>
            <w:r w:rsidRPr="002F2853">
              <w:rPr>
                <w:rFonts w:ascii="Verdana" w:eastAsia="Times New Roman" w:hAnsi="Verdana" w:cs="Arial"/>
                <w:sz w:val="16"/>
                <w:szCs w:val="16"/>
                <w:lang w:eastAsia="es-ES"/>
              </w:rPr>
              <w:t>Carolina Quintero Gacharná</w:t>
            </w:r>
          </w:p>
          <w:p w14:paraId="03601922" w14:textId="77777777" w:rsidR="004F2F89" w:rsidRPr="004C0111" w:rsidRDefault="004F2F89" w:rsidP="009359D5">
            <w:pPr>
              <w:rPr>
                <w:rFonts w:ascii="Verdana" w:eastAsia="Calibri" w:hAnsi="Verdana" w:cs="Arial"/>
                <w:sz w:val="16"/>
                <w:szCs w:val="16"/>
                <w:lang w:val="es-ES_tradnl"/>
              </w:rPr>
            </w:pPr>
            <w:r w:rsidRPr="002F2853">
              <w:rPr>
                <w:rFonts w:ascii="Verdana" w:eastAsia="Times New Roman" w:hAnsi="Verdana" w:cs="Arial"/>
                <w:sz w:val="16"/>
                <w:szCs w:val="16"/>
                <w:lang w:eastAsia="es-ES"/>
              </w:rPr>
              <w:t>Subdirectora de Gestión Contractual ANCP – CCE</w:t>
            </w:r>
          </w:p>
        </w:tc>
      </w:tr>
    </w:tbl>
    <w:p w14:paraId="1006A388" w14:textId="77777777" w:rsidR="00C15139" w:rsidRPr="000E2B93" w:rsidRDefault="00C15139" w:rsidP="30821638">
      <w:pPr>
        <w:spacing w:after="0" w:line="240" w:lineRule="auto"/>
        <w:jc w:val="both"/>
        <w:textAlignment w:val="baseline"/>
        <w:rPr>
          <w:rFonts w:ascii="Verdana" w:eastAsia="Verdana" w:hAnsi="Verdana" w:cs="Verdana"/>
          <w:lang w:eastAsia="es-CO"/>
        </w:rPr>
      </w:pPr>
    </w:p>
    <w:p w14:paraId="69BC4D14" w14:textId="3D1CA2EE"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C15139" w:rsidRPr="000E2B93"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45985" w14:textId="77777777" w:rsidR="000F481E" w:rsidRDefault="000F481E" w:rsidP="004A1847">
      <w:pPr>
        <w:spacing w:after="0" w:line="240" w:lineRule="auto"/>
      </w:pPr>
      <w:r>
        <w:separator/>
      </w:r>
    </w:p>
  </w:endnote>
  <w:endnote w:type="continuationSeparator" w:id="0">
    <w:p w14:paraId="2923EB6C" w14:textId="77777777" w:rsidR="000F481E" w:rsidRDefault="000F481E"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charset w:val="00"/>
    <w:family w:val="auto"/>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MT">
    <w:altName w:val="Arial"/>
    <w:charset w:val="00"/>
    <w:family w:val="auto"/>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Times New Roman">
    <w:altName w:val="Times New Roman"/>
    <w:panose1 w:val="00000000000000000000"/>
    <w:charset w:val="00"/>
    <w:family w:val="roman"/>
    <w:notTrueType/>
    <w:pitch w:val="default"/>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50082" w14:textId="77777777" w:rsidR="000F481E" w:rsidRDefault="000F481E" w:rsidP="004A1847">
      <w:pPr>
        <w:spacing w:after="0" w:line="240" w:lineRule="auto"/>
      </w:pPr>
      <w:r>
        <w:separator/>
      </w:r>
    </w:p>
  </w:footnote>
  <w:footnote w:type="continuationSeparator" w:id="0">
    <w:p w14:paraId="45EE8C9D" w14:textId="77777777" w:rsidR="000F481E" w:rsidRDefault="000F481E" w:rsidP="004A1847">
      <w:pPr>
        <w:spacing w:after="0" w:line="240" w:lineRule="auto"/>
      </w:pPr>
      <w:r>
        <w:continuationSeparator/>
      </w:r>
    </w:p>
  </w:footnote>
  <w:footnote w:id="1">
    <w:p w14:paraId="00008AD1" w14:textId="77777777" w:rsidR="00B621AC" w:rsidRPr="00551FAF" w:rsidRDefault="00B621AC" w:rsidP="00B621AC">
      <w:pPr>
        <w:pStyle w:val="Textonotapie"/>
        <w:ind w:firstLine="709"/>
        <w:jc w:val="both"/>
        <w:rPr>
          <w:rFonts w:ascii="Verdana" w:hAnsi="Verdana" w:cs="Arial"/>
          <w:sz w:val="16"/>
          <w:szCs w:val="16"/>
          <w:lang w:val="es-ES"/>
        </w:rPr>
      </w:pPr>
      <w:r w:rsidRPr="00551FAF">
        <w:rPr>
          <w:rStyle w:val="Refdenotaalpie"/>
          <w:rFonts w:ascii="Verdana" w:hAnsi="Verdana" w:cs="Arial"/>
          <w:sz w:val="16"/>
          <w:szCs w:val="16"/>
        </w:rPr>
        <w:footnoteRef/>
      </w:r>
      <w:r w:rsidRPr="00551FAF">
        <w:rPr>
          <w:rFonts w:ascii="Verdana" w:hAnsi="Verdana" w:cs="Arial"/>
          <w:sz w:val="16"/>
          <w:szCs w:val="16"/>
        </w:rPr>
        <w:t xml:space="preserve"> </w:t>
      </w:r>
      <w:r w:rsidRPr="00551FAF">
        <w:rPr>
          <w:rFonts w:ascii="Verdana" w:hAnsi="Verdana" w:cs="Arial"/>
          <w:sz w:val="16"/>
          <w:szCs w:val="16"/>
          <w:lang w:val="es-ES"/>
        </w:rPr>
        <w:t xml:space="preserve">Recuérdese que las denominadas </w:t>
      </w:r>
      <w:r>
        <w:rPr>
          <w:rFonts w:ascii="Verdana" w:hAnsi="Verdana" w:cs="Arial"/>
          <w:sz w:val="16"/>
          <w:szCs w:val="16"/>
          <w:lang w:val="es-ES"/>
        </w:rPr>
        <w:t>“</w:t>
      </w:r>
      <w:r w:rsidRPr="00551FAF">
        <w:rPr>
          <w:rFonts w:ascii="Verdana" w:hAnsi="Verdana" w:cs="Arial"/>
          <w:sz w:val="16"/>
          <w:szCs w:val="16"/>
          <w:lang w:val="es-ES"/>
        </w:rPr>
        <w:t>manifestaciones de interés</w:t>
      </w:r>
      <w:r>
        <w:rPr>
          <w:rFonts w:ascii="Verdana" w:hAnsi="Verdana" w:cs="Arial"/>
          <w:sz w:val="16"/>
          <w:szCs w:val="16"/>
          <w:lang w:val="es-ES"/>
        </w:rPr>
        <w:t>”</w:t>
      </w:r>
      <w:r w:rsidRPr="00551FAF">
        <w:rPr>
          <w:rFonts w:ascii="Verdana" w:hAnsi="Verdana" w:cs="Arial"/>
          <w:sz w:val="16"/>
          <w:szCs w:val="16"/>
          <w:lang w:val="es-ES"/>
        </w:rPr>
        <w:t xml:space="preserve"> corresponden a la modalidad de selección de contratistas del Concurso de Méritos con Precalificación, regulado, entre otros, en los artículos 2.2.1.2.2.1.3.3. y siguientes del Decreto 1082 de 2015. </w:t>
      </w:r>
    </w:p>
    <w:p w14:paraId="2FDA1A37" w14:textId="77777777" w:rsidR="00B621AC" w:rsidRPr="00551FAF" w:rsidRDefault="00B621AC" w:rsidP="00B621AC">
      <w:pPr>
        <w:pStyle w:val="Textonotapie"/>
        <w:ind w:firstLine="709"/>
        <w:jc w:val="both"/>
        <w:rPr>
          <w:rFonts w:ascii="Verdana" w:hAnsi="Verdana" w:cs="Arial"/>
          <w:sz w:val="16"/>
          <w:szCs w:val="16"/>
          <w:lang w:val="es-ES"/>
        </w:rPr>
      </w:pPr>
    </w:p>
  </w:footnote>
  <w:footnote w:id="2">
    <w:p w14:paraId="5D2C82DA" w14:textId="77777777" w:rsidR="00B621AC" w:rsidRPr="00551FAF" w:rsidRDefault="00B621AC" w:rsidP="00B621AC">
      <w:pPr>
        <w:pStyle w:val="Textonotapie"/>
        <w:ind w:firstLine="709"/>
        <w:jc w:val="both"/>
        <w:rPr>
          <w:rFonts w:ascii="Verdana" w:hAnsi="Verdana" w:cs="Arial"/>
          <w:color w:val="000000" w:themeColor="text1"/>
          <w:sz w:val="16"/>
          <w:szCs w:val="16"/>
          <w:lang w:val="es-ES"/>
        </w:rPr>
      </w:pPr>
      <w:r w:rsidRPr="00551FAF">
        <w:rPr>
          <w:rStyle w:val="Refdenotaalpie"/>
          <w:rFonts w:ascii="Verdana" w:hAnsi="Verdana" w:cs="Arial"/>
          <w:color w:val="000000" w:themeColor="text1"/>
          <w:sz w:val="16"/>
          <w:szCs w:val="16"/>
        </w:rPr>
        <w:footnoteRef/>
      </w:r>
      <w:r w:rsidRPr="00551FAF">
        <w:rPr>
          <w:rFonts w:ascii="Verdana" w:hAnsi="Verdana" w:cs="Arial"/>
          <w:color w:val="000000" w:themeColor="text1"/>
          <w:sz w:val="16"/>
          <w:szCs w:val="16"/>
        </w:rPr>
        <w:t xml:space="preserve"> </w:t>
      </w:r>
      <w:r w:rsidRPr="00551FAF">
        <w:rPr>
          <w:rFonts w:ascii="Verdana" w:hAnsi="Verdana" w:cs="Arial"/>
          <w:color w:val="000000" w:themeColor="text1"/>
          <w:sz w:val="16"/>
          <w:szCs w:val="16"/>
          <w:lang w:val="es-ES"/>
        </w:rPr>
        <w:t>Consejo de Estado. Sala de Consulta y Servicio Civil. Concepto del 6 de diciembre de 2007. Exp. 1871. C.P.: Luis Fernando Álvarez Jaramillo.</w:t>
      </w:r>
    </w:p>
    <w:p w14:paraId="0FA4C8C7" w14:textId="77777777" w:rsidR="00B621AC" w:rsidRPr="00551FAF" w:rsidRDefault="00B621AC" w:rsidP="00B621AC">
      <w:pPr>
        <w:pStyle w:val="Textonotapie"/>
        <w:ind w:firstLine="709"/>
        <w:jc w:val="both"/>
        <w:rPr>
          <w:rFonts w:ascii="Verdana" w:hAnsi="Verdana" w:cs="Arial"/>
          <w:color w:val="000000" w:themeColor="text1"/>
          <w:sz w:val="16"/>
          <w:szCs w:val="16"/>
          <w:lang w:val="es-ES"/>
        </w:rPr>
      </w:pPr>
    </w:p>
  </w:footnote>
  <w:footnote w:id="3">
    <w:p w14:paraId="3FB73D21" w14:textId="77777777" w:rsidR="00B621AC" w:rsidRPr="00551FAF" w:rsidRDefault="00B621AC" w:rsidP="00B621AC">
      <w:pPr>
        <w:spacing w:line="240" w:lineRule="auto"/>
        <w:ind w:firstLine="709"/>
        <w:jc w:val="both"/>
        <w:rPr>
          <w:rFonts w:ascii="Verdana" w:eastAsia="Calibri,Times New Roman" w:hAnsi="Verdana" w:cs="Arial"/>
          <w:i/>
          <w:iCs/>
          <w:sz w:val="16"/>
          <w:szCs w:val="16"/>
          <w:lang w:val="es-ES"/>
        </w:rPr>
      </w:pPr>
      <w:r w:rsidRPr="00551FAF">
        <w:rPr>
          <w:rStyle w:val="Refdenotaalpie"/>
          <w:rFonts w:ascii="Verdana" w:hAnsi="Verdana" w:cs="Arial"/>
          <w:sz w:val="16"/>
          <w:szCs w:val="16"/>
        </w:rPr>
        <w:footnoteRef/>
      </w:r>
      <w:r w:rsidRPr="00551FAF">
        <w:rPr>
          <w:rFonts w:ascii="Verdana" w:hAnsi="Verdana" w:cs="Arial"/>
          <w:sz w:val="16"/>
          <w:szCs w:val="16"/>
        </w:rPr>
        <w:t xml:space="preserve"> </w:t>
      </w:r>
      <w:r>
        <w:rPr>
          <w:rFonts w:ascii="Verdana" w:hAnsi="Verdana" w:cs="Arial"/>
          <w:color w:val="000000" w:themeColor="text1"/>
          <w:sz w:val="16"/>
          <w:szCs w:val="16"/>
          <w:lang w:val="es-ES_tradnl"/>
        </w:rPr>
        <w:t>“</w:t>
      </w:r>
      <w:r w:rsidRPr="00551FAF">
        <w:rPr>
          <w:rFonts w:ascii="Verdana" w:eastAsia="Calibri,Times New Roman" w:hAnsi="Verdana" w:cs="Arial"/>
          <w:sz w:val="16"/>
          <w:szCs w:val="16"/>
          <w:lang w:val="es-ES"/>
        </w:rPr>
        <w:t>[E]l informe de evaluación y calificación de las propuestas se constituye en un acto de trámite, pues no consolida una situación jurídica en favor del proponente y tampoco pone fin al proceso de selección respectiva, siendo entonces el acto de adjudicación el acto definitivo, pues por medio de éste se consolida la nueva situación jurídica en favor del proponente y pone fin al respectivo proceso de selección.</w:t>
      </w:r>
      <w:r>
        <w:rPr>
          <w:rFonts w:ascii="Verdana" w:hAnsi="Verdana" w:cs="Arial"/>
          <w:color w:val="000000" w:themeColor="text1"/>
          <w:sz w:val="16"/>
          <w:szCs w:val="16"/>
          <w:lang w:val="es-ES_tradnl"/>
        </w:rPr>
        <w:t>”</w:t>
      </w:r>
      <w:r w:rsidRPr="00551FAF">
        <w:rPr>
          <w:rFonts w:ascii="Verdana" w:hAnsi="Verdana" w:cs="Arial"/>
          <w:color w:val="000000" w:themeColor="text1"/>
          <w:sz w:val="16"/>
          <w:szCs w:val="16"/>
          <w:lang w:val="es-ES_tradnl"/>
        </w:rPr>
        <w:t xml:space="preserve"> (Consejo de Estado. Sección Tercera. Sentencia de 1 de abril de 2016, Exp. 47145 C.P. Jaime Orlando Santofimio Gamboa).</w:t>
      </w:r>
    </w:p>
  </w:footnote>
  <w:footnote w:id="4">
    <w:p w14:paraId="73B0F5B9" w14:textId="77777777" w:rsidR="00B621AC" w:rsidRPr="00551FAF" w:rsidRDefault="00B621AC" w:rsidP="00B621AC">
      <w:pPr>
        <w:pStyle w:val="Textonotapie"/>
        <w:ind w:firstLine="709"/>
        <w:jc w:val="both"/>
        <w:rPr>
          <w:rFonts w:ascii="Verdana" w:eastAsia="Calibri" w:hAnsi="Verdana" w:cs="Arial"/>
          <w:sz w:val="16"/>
          <w:szCs w:val="16"/>
          <w:lang w:val="es-CO"/>
        </w:rPr>
      </w:pPr>
      <w:r w:rsidRPr="00551FAF">
        <w:rPr>
          <w:rStyle w:val="Refdenotaalpie"/>
          <w:rFonts w:ascii="Verdana" w:hAnsi="Verdana" w:cs="Arial"/>
          <w:sz w:val="16"/>
          <w:szCs w:val="16"/>
        </w:rPr>
        <w:footnoteRef/>
      </w:r>
      <w:r w:rsidRPr="00551FAF">
        <w:rPr>
          <w:rFonts w:ascii="Verdana" w:hAnsi="Verdana" w:cs="Arial"/>
          <w:sz w:val="16"/>
          <w:szCs w:val="16"/>
        </w:rPr>
        <w:t xml:space="preserve"> </w:t>
      </w:r>
      <w:r w:rsidRPr="00551FAF">
        <w:rPr>
          <w:rFonts w:ascii="Verdana" w:hAnsi="Verdana" w:cs="Arial"/>
          <w:color w:val="000000" w:themeColor="text1"/>
          <w:sz w:val="16"/>
          <w:szCs w:val="16"/>
          <w:lang w:val="es-ES_tradnl"/>
        </w:rPr>
        <w:t>Consejo de Estado. Sección Tercera</w:t>
      </w:r>
      <w:r w:rsidRPr="00551FAF">
        <w:rPr>
          <w:rFonts w:ascii="Verdana" w:hAnsi="Verdana" w:cs="Arial"/>
          <w:sz w:val="16"/>
          <w:szCs w:val="16"/>
        </w:rPr>
        <w:t xml:space="preserve">. Sentencia de 28 de mayo de 2012, Exp. 22089. C.P. Ruth Stella Correa Palacio. </w:t>
      </w:r>
      <w:r>
        <w:rPr>
          <w:rFonts w:ascii="Verdana" w:hAnsi="Verdana" w:cs="Arial"/>
          <w:color w:val="000000" w:themeColor="text1"/>
          <w:sz w:val="16"/>
          <w:szCs w:val="16"/>
          <w:lang w:val="es-ES_tradnl"/>
        </w:rPr>
        <w:t>“</w:t>
      </w:r>
      <w:r w:rsidRPr="00551FAF">
        <w:rPr>
          <w:rFonts w:ascii="Verdana" w:hAnsi="Verdana" w:cs="Arial"/>
          <w:sz w:val="16"/>
          <w:szCs w:val="16"/>
        </w:rPr>
        <w:t>[L]os comités o cuerpos técnicos a quienes se encarga la evaluación de las propuestas para la adjudicación de la licitación pública, a pesar de ser “de una importancia excepcional...no es obligatorio para el funcionario u organismo que adjudica, a menos que el ordenamiento así lo imponga”. En igual sentido indicó que “los cuerpos asesores deben ser oídos, pero sus puntos de vista son simplemente ilustrativos”, ya que la elección de la oferta más ventajosa debe ser efectuada por el órgano competente</w:t>
      </w:r>
      <w:r>
        <w:rPr>
          <w:rFonts w:ascii="Verdana" w:hAnsi="Verdana" w:cs="Arial"/>
          <w:color w:val="000000" w:themeColor="text1"/>
          <w:sz w:val="16"/>
          <w:szCs w:val="16"/>
          <w:lang w:val="es-ES_tradnl"/>
        </w:rPr>
        <w:t>”</w:t>
      </w:r>
      <w:r w:rsidRPr="00551FAF">
        <w:rPr>
          <w:rFonts w:ascii="Verdana" w:hAnsi="Verdana" w:cs="Arial"/>
          <w:sz w:val="16"/>
          <w:szCs w:val="16"/>
        </w:rPr>
        <w:t>. Consejo de Estado. Sección Tercera. (Sentencia de 29 de julio de 2013, Exp. 24311. C.P. Ramiro De Jesús Pazos).</w:t>
      </w:r>
    </w:p>
  </w:footnote>
  <w:footnote w:id="5">
    <w:p w14:paraId="66CFB922" w14:textId="77777777" w:rsidR="00B621AC" w:rsidRPr="00551FAF" w:rsidRDefault="00B621AC" w:rsidP="00B621AC">
      <w:pPr>
        <w:pStyle w:val="Textonotapie"/>
        <w:ind w:firstLine="709"/>
        <w:jc w:val="both"/>
        <w:rPr>
          <w:rFonts w:ascii="Verdana" w:hAnsi="Verdana"/>
          <w:sz w:val="16"/>
          <w:szCs w:val="16"/>
          <w:lang w:val="es-CO"/>
        </w:rPr>
      </w:pPr>
      <w:r w:rsidRPr="00551FAF">
        <w:rPr>
          <w:rStyle w:val="Refdenotaalpie"/>
          <w:rFonts w:ascii="Verdana" w:hAnsi="Verdana"/>
          <w:sz w:val="16"/>
          <w:szCs w:val="16"/>
        </w:rPr>
        <w:footnoteRef/>
      </w:r>
      <w:r w:rsidRPr="00551FAF">
        <w:rPr>
          <w:rFonts w:ascii="Verdana" w:hAnsi="Verdana"/>
          <w:sz w:val="16"/>
          <w:szCs w:val="16"/>
        </w:rPr>
        <w:t xml:space="preserve"> </w:t>
      </w:r>
      <w:r w:rsidRPr="00551FAF">
        <w:rPr>
          <w:rFonts w:ascii="Verdana" w:hAnsi="Verdana"/>
          <w:sz w:val="16"/>
          <w:szCs w:val="16"/>
          <w:lang w:val="es-CO"/>
        </w:rPr>
        <w:t> “El carácter asesor del comité no lo exime de la responsabilidad del ejercicio de la labor encomendada”.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5pt;height:12.25pt" o:bullet="t">
        <v:imagedata r:id="rId1" o:title="mso1B13"/>
      </v:shape>
    </w:pict>
  </w:numPicBullet>
  <w:abstractNum w:abstractNumId="0" w15:restartNumberingAfterBreak="0">
    <w:nsid w:val="01C06310"/>
    <w:multiLevelType w:val="multilevel"/>
    <w:tmpl w:val="47FE4C7E"/>
    <w:lvl w:ilvl="0">
      <w:start w:val="1"/>
      <w:numFmt w:val="upperRoman"/>
      <w:lvlText w:val="%1."/>
      <w:lvlJc w:val="righ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C23291E"/>
    <w:multiLevelType w:val="hybridMultilevel"/>
    <w:tmpl w:val="352C3E0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2"/>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6"/>
  </w:num>
  <w:num w:numId="8" w16cid:durableId="152644682">
    <w:abstractNumId w:val="12"/>
  </w:num>
  <w:num w:numId="9" w16cid:durableId="1317221377">
    <w:abstractNumId w:val="8"/>
  </w:num>
  <w:num w:numId="10" w16cid:durableId="1471245386">
    <w:abstractNumId w:val="11"/>
  </w:num>
  <w:num w:numId="11" w16cid:durableId="289172385">
    <w:abstractNumId w:val="9"/>
  </w:num>
  <w:num w:numId="12" w16cid:durableId="1470781324">
    <w:abstractNumId w:val="1"/>
  </w:num>
  <w:num w:numId="13" w16cid:durableId="1512908409">
    <w:abstractNumId w:val="4"/>
  </w:num>
  <w:num w:numId="14" w16cid:durableId="895897244">
    <w:abstractNumId w:val="14"/>
  </w:num>
  <w:num w:numId="15" w16cid:durableId="390349800">
    <w:abstractNumId w:val="10"/>
  </w:num>
  <w:num w:numId="16" w16cid:durableId="1330140246">
    <w:abstractNumId w:val="0"/>
  </w:num>
  <w:num w:numId="17" w16cid:durableId="16017233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7282"/>
    <w:rsid w:val="00013F14"/>
    <w:rsid w:val="00016F78"/>
    <w:rsid w:val="00043B22"/>
    <w:rsid w:val="00046945"/>
    <w:rsid w:val="00061B2A"/>
    <w:rsid w:val="00082362"/>
    <w:rsid w:val="000A683E"/>
    <w:rsid w:val="000B19B9"/>
    <w:rsid w:val="000D0334"/>
    <w:rsid w:val="000D5DA7"/>
    <w:rsid w:val="000F481E"/>
    <w:rsid w:val="000F6486"/>
    <w:rsid w:val="00116940"/>
    <w:rsid w:val="00125105"/>
    <w:rsid w:val="00127233"/>
    <w:rsid w:val="0015699B"/>
    <w:rsid w:val="001A33BF"/>
    <w:rsid w:val="001E2A59"/>
    <w:rsid w:val="001E4177"/>
    <w:rsid w:val="001F0B24"/>
    <w:rsid w:val="001F2B1E"/>
    <w:rsid w:val="001F7DC6"/>
    <w:rsid w:val="0022400B"/>
    <w:rsid w:val="00234467"/>
    <w:rsid w:val="002421BB"/>
    <w:rsid w:val="0025796E"/>
    <w:rsid w:val="002707A2"/>
    <w:rsid w:val="002951A0"/>
    <w:rsid w:val="002962BC"/>
    <w:rsid w:val="002A093D"/>
    <w:rsid w:val="002A0DD0"/>
    <w:rsid w:val="002A4316"/>
    <w:rsid w:val="002A49AC"/>
    <w:rsid w:val="002A64FD"/>
    <w:rsid w:val="002C7A84"/>
    <w:rsid w:val="002E2BF8"/>
    <w:rsid w:val="002E4FD9"/>
    <w:rsid w:val="0030657A"/>
    <w:rsid w:val="00322A85"/>
    <w:rsid w:val="00324168"/>
    <w:rsid w:val="00330834"/>
    <w:rsid w:val="003448F4"/>
    <w:rsid w:val="00374F5E"/>
    <w:rsid w:val="00377E3E"/>
    <w:rsid w:val="003A779E"/>
    <w:rsid w:val="003D0F4D"/>
    <w:rsid w:val="003D5B0D"/>
    <w:rsid w:val="003E0499"/>
    <w:rsid w:val="003E4F80"/>
    <w:rsid w:val="003E6439"/>
    <w:rsid w:val="003F2224"/>
    <w:rsid w:val="003F3941"/>
    <w:rsid w:val="00406575"/>
    <w:rsid w:val="00414C74"/>
    <w:rsid w:val="0042722E"/>
    <w:rsid w:val="0044528D"/>
    <w:rsid w:val="00466E39"/>
    <w:rsid w:val="00470596"/>
    <w:rsid w:val="004948AF"/>
    <w:rsid w:val="004A1847"/>
    <w:rsid w:val="004A305D"/>
    <w:rsid w:val="004F21C4"/>
    <w:rsid w:val="004F2F89"/>
    <w:rsid w:val="004F685F"/>
    <w:rsid w:val="005566E8"/>
    <w:rsid w:val="005609AA"/>
    <w:rsid w:val="00574867"/>
    <w:rsid w:val="00591460"/>
    <w:rsid w:val="005A65E0"/>
    <w:rsid w:val="005C1E20"/>
    <w:rsid w:val="005C3777"/>
    <w:rsid w:val="005C5CDC"/>
    <w:rsid w:val="005C60A2"/>
    <w:rsid w:val="005D476C"/>
    <w:rsid w:val="005E14E6"/>
    <w:rsid w:val="0061371B"/>
    <w:rsid w:val="006200BF"/>
    <w:rsid w:val="006219F8"/>
    <w:rsid w:val="006302F7"/>
    <w:rsid w:val="00646B9F"/>
    <w:rsid w:val="00665D70"/>
    <w:rsid w:val="006900D9"/>
    <w:rsid w:val="00706C16"/>
    <w:rsid w:val="007340C3"/>
    <w:rsid w:val="0073771E"/>
    <w:rsid w:val="0075235A"/>
    <w:rsid w:val="00756841"/>
    <w:rsid w:val="007649AB"/>
    <w:rsid w:val="00771D0C"/>
    <w:rsid w:val="007833AC"/>
    <w:rsid w:val="0078742A"/>
    <w:rsid w:val="007B268C"/>
    <w:rsid w:val="007B7171"/>
    <w:rsid w:val="007C0C0F"/>
    <w:rsid w:val="007C3DC2"/>
    <w:rsid w:val="007D10E2"/>
    <w:rsid w:val="007D61B5"/>
    <w:rsid w:val="007E5497"/>
    <w:rsid w:val="00806F5F"/>
    <w:rsid w:val="00820278"/>
    <w:rsid w:val="008258C9"/>
    <w:rsid w:val="0083313F"/>
    <w:rsid w:val="00844AE9"/>
    <w:rsid w:val="00867F95"/>
    <w:rsid w:val="008729DB"/>
    <w:rsid w:val="008843B6"/>
    <w:rsid w:val="00887022"/>
    <w:rsid w:val="00887FBC"/>
    <w:rsid w:val="00891928"/>
    <w:rsid w:val="008A446D"/>
    <w:rsid w:val="008A666E"/>
    <w:rsid w:val="008B25F1"/>
    <w:rsid w:val="008D180B"/>
    <w:rsid w:val="008F0EA7"/>
    <w:rsid w:val="00923EEF"/>
    <w:rsid w:val="009419F9"/>
    <w:rsid w:val="0095685E"/>
    <w:rsid w:val="00961B09"/>
    <w:rsid w:val="00962624"/>
    <w:rsid w:val="00965334"/>
    <w:rsid w:val="0097093E"/>
    <w:rsid w:val="009A0DFA"/>
    <w:rsid w:val="009A1C6F"/>
    <w:rsid w:val="009B2D26"/>
    <w:rsid w:val="009B46D8"/>
    <w:rsid w:val="009C71FA"/>
    <w:rsid w:val="009C72E7"/>
    <w:rsid w:val="009C7F7E"/>
    <w:rsid w:val="009D3058"/>
    <w:rsid w:val="009D5C96"/>
    <w:rsid w:val="009F3A13"/>
    <w:rsid w:val="00A122D3"/>
    <w:rsid w:val="00A14468"/>
    <w:rsid w:val="00A17F13"/>
    <w:rsid w:val="00A20739"/>
    <w:rsid w:val="00A23AF9"/>
    <w:rsid w:val="00A33C78"/>
    <w:rsid w:val="00A76C1B"/>
    <w:rsid w:val="00AB0ADB"/>
    <w:rsid w:val="00B00C0E"/>
    <w:rsid w:val="00B01B1A"/>
    <w:rsid w:val="00B0381D"/>
    <w:rsid w:val="00B44A47"/>
    <w:rsid w:val="00B621AC"/>
    <w:rsid w:val="00B72CD3"/>
    <w:rsid w:val="00B72FFF"/>
    <w:rsid w:val="00BC3D36"/>
    <w:rsid w:val="00BD54A6"/>
    <w:rsid w:val="00BD7F72"/>
    <w:rsid w:val="00BF34F3"/>
    <w:rsid w:val="00BF7425"/>
    <w:rsid w:val="00C04FB3"/>
    <w:rsid w:val="00C05089"/>
    <w:rsid w:val="00C11D8B"/>
    <w:rsid w:val="00C15139"/>
    <w:rsid w:val="00C159A7"/>
    <w:rsid w:val="00C330EB"/>
    <w:rsid w:val="00C50D69"/>
    <w:rsid w:val="00C5365C"/>
    <w:rsid w:val="00C754BE"/>
    <w:rsid w:val="00C76B1C"/>
    <w:rsid w:val="00C925AC"/>
    <w:rsid w:val="00CB6357"/>
    <w:rsid w:val="00CC1B26"/>
    <w:rsid w:val="00CE11C3"/>
    <w:rsid w:val="00D361FD"/>
    <w:rsid w:val="00D400DF"/>
    <w:rsid w:val="00D423A2"/>
    <w:rsid w:val="00D44E26"/>
    <w:rsid w:val="00D520D8"/>
    <w:rsid w:val="00D63AC2"/>
    <w:rsid w:val="00D7383B"/>
    <w:rsid w:val="00D7788A"/>
    <w:rsid w:val="00DA231B"/>
    <w:rsid w:val="00DC39FC"/>
    <w:rsid w:val="00DF5254"/>
    <w:rsid w:val="00E02524"/>
    <w:rsid w:val="00E03ED5"/>
    <w:rsid w:val="00E16408"/>
    <w:rsid w:val="00E20894"/>
    <w:rsid w:val="00E245AB"/>
    <w:rsid w:val="00E2764C"/>
    <w:rsid w:val="00E27F2E"/>
    <w:rsid w:val="00E50AFE"/>
    <w:rsid w:val="00E57634"/>
    <w:rsid w:val="00E647AD"/>
    <w:rsid w:val="00E65367"/>
    <w:rsid w:val="00E75C92"/>
    <w:rsid w:val="00E771DC"/>
    <w:rsid w:val="00E8772A"/>
    <w:rsid w:val="00E90F6B"/>
    <w:rsid w:val="00E92C27"/>
    <w:rsid w:val="00EA0E3D"/>
    <w:rsid w:val="00EC38A7"/>
    <w:rsid w:val="00EE1AA8"/>
    <w:rsid w:val="00F23FEA"/>
    <w:rsid w:val="00F25692"/>
    <w:rsid w:val="00F31EDC"/>
    <w:rsid w:val="00F462B3"/>
    <w:rsid w:val="00F5664F"/>
    <w:rsid w:val="00F666C4"/>
    <w:rsid w:val="00F76AFC"/>
    <w:rsid w:val="00F87CB5"/>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B621AC"/>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99406990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relatoria.colombiacompra.gov.co/"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forms.office.com/r/pPHyWVs2SZ"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bjetor4@gmail.com"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10" Type="http://schemas.openxmlformats.org/officeDocument/2006/relationships/image" Target="media/image2.emf"/><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D766E28-B9F6-4D85-A21F-2209816C5A46}"/>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TotalTime>
  <Pages>13</Pages>
  <Words>4222</Words>
  <Characters>23223</Characters>
  <Application>Microsoft Office Word</Application>
  <DocSecurity>0</DocSecurity>
  <Lines>193</Lines>
  <Paragraphs>54</Paragraphs>
  <ScaleCrop>false</ScaleCrop>
  <Company/>
  <LinksUpToDate>false</LinksUpToDate>
  <CharactersWithSpaces>27391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Kelmis Yimara Bruges Alvarado</cp:lastModifiedBy>
  <cp:revision>2</cp:revision>
  <cp:lastPrinted>2023-01-10T21:18:00Z</cp:lastPrinted>
  <dcterms:created xsi:type="dcterms:W3CDTF">2026-08-13T20:42:00Z</dcterms:created>
  <dcterms:modified xsi:type="dcterms:W3CDTF">2026-08-13T20:42:00Z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