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D15EB" w14:textId="77777777" w:rsidR="00A05B9F" w:rsidRPr="008211E7" w:rsidRDefault="00A05B9F" w:rsidP="00A05B9F">
      <w:pPr>
        <w:spacing w:after="0" w:line="240" w:lineRule="auto"/>
        <w:jc w:val="both"/>
        <w:rPr>
          <w:rFonts w:ascii="Verdana" w:hAnsi="Verdana" w:cs="Arial"/>
          <w:b/>
          <w:lang w:val="es-ES_tradnl" w:eastAsia="es-ES"/>
        </w:rPr>
      </w:pPr>
      <w:r w:rsidRPr="008211E7">
        <w:rPr>
          <w:rFonts w:ascii="Verdana" w:hAnsi="Verdana" w:cs="Arial"/>
          <w:b/>
          <w:lang w:val="es-ES_tradnl" w:eastAsia="es-ES"/>
        </w:rPr>
        <w:t xml:space="preserve">LIQUIDACIÓN DEL CONTRATO – Definición – Objetivo </w:t>
      </w:r>
    </w:p>
    <w:p w14:paraId="4B4ECE15" w14:textId="77777777" w:rsidR="00A05B9F" w:rsidRPr="008211E7" w:rsidRDefault="00A05B9F" w:rsidP="00A05B9F">
      <w:pPr>
        <w:spacing w:after="0" w:line="240" w:lineRule="auto"/>
        <w:jc w:val="both"/>
        <w:rPr>
          <w:rFonts w:ascii="Verdana" w:hAnsi="Verdana" w:cs="Arial"/>
          <w:b/>
          <w:sz w:val="20"/>
          <w:szCs w:val="20"/>
          <w:lang w:val="es-ES_tradnl" w:eastAsia="es-ES"/>
        </w:rPr>
      </w:pPr>
    </w:p>
    <w:p w14:paraId="2944E342" w14:textId="77777777" w:rsidR="00A05B9F" w:rsidRPr="008211E7" w:rsidRDefault="6532707F" w:rsidP="60E13626">
      <w:pPr>
        <w:spacing w:after="0" w:line="240" w:lineRule="auto"/>
        <w:jc w:val="both"/>
        <w:rPr>
          <w:rFonts w:ascii="Verdana" w:hAnsi="Verdana" w:cs="Arial"/>
          <w:sz w:val="20"/>
          <w:szCs w:val="20"/>
          <w:lang w:val="es-ES"/>
        </w:rPr>
      </w:pPr>
      <w:r w:rsidRPr="60E13626">
        <w:rPr>
          <w:rFonts w:ascii="Verdana" w:hAnsi="Verdana" w:cs="Arial"/>
          <w:sz w:val="20"/>
          <w:szCs w:val="20"/>
          <w:lang w:val="es-ES"/>
        </w:rPr>
        <w:t xml:space="preserve">La liquidación del contrato estatal es el ajuste de cuentas en el cual se realiza un balance económico, técnico y jurídico del negocio. Así lo manifestó el Consejo de Estado en la sentencia del 20 de octubre de 2014, en la que consideró, por un lado, que </w:t>
      </w:r>
      <w:r w:rsidRPr="60E13626">
        <w:rPr>
          <w:rFonts w:ascii="Verdana" w:hAnsi="Verdana" w:cs="Arial"/>
          <w:i/>
          <w:iCs/>
          <w:sz w:val="20"/>
          <w:szCs w:val="20"/>
          <w:lang w:val="es-ES"/>
        </w:rPr>
        <w:t>liquidar</w:t>
      </w:r>
      <w:r w:rsidRPr="60E13626">
        <w:rPr>
          <w:rFonts w:ascii="Verdana" w:hAnsi="Verdana" w:cs="Arial"/>
          <w:sz w:val="20"/>
          <w:szCs w:val="20"/>
          <w:lang w:val="es-ES"/>
        </w:rPr>
        <w:t xml:space="preserve"> supone un ajuste en relación con las cuentas y el estado de cumplimiento del contrato estatal y, por otro, que la </w:t>
      </w:r>
      <w:r w:rsidRPr="60E13626">
        <w:rPr>
          <w:rFonts w:ascii="Verdana" w:hAnsi="Verdana" w:cs="Arial"/>
          <w:i/>
          <w:iCs/>
          <w:sz w:val="20"/>
          <w:szCs w:val="20"/>
          <w:lang w:val="es-ES"/>
        </w:rPr>
        <w:t>liquidación</w:t>
      </w:r>
      <w:r w:rsidRPr="60E13626">
        <w:rPr>
          <w:rFonts w:ascii="Verdana" w:hAnsi="Verdana" w:cs="Arial"/>
          <w:sz w:val="20"/>
          <w:szCs w:val="20"/>
          <w:lang w:val="es-ES"/>
        </w:rPr>
        <w:t xml:space="preserve"> debe incluir el análisis de las condiciones de calidad y oportunidad en la entrega de los bienes, obras o servicios, así como el balance económico y el comportamiento financiero del negocio.</w:t>
      </w:r>
    </w:p>
    <w:p w14:paraId="52CF1678" w14:textId="77777777" w:rsidR="00A05B9F" w:rsidRPr="008211E7" w:rsidRDefault="00A05B9F" w:rsidP="00A05B9F">
      <w:pPr>
        <w:spacing w:after="0" w:line="240" w:lineRule="auto"/>
        <w:jc w:val="both"/>
        <w:rPr>
          <w:rFonts w:ascii="Verdana" w:hAnsi="Verdana" w:cs="Arial"/>
          <w:sz w:val="20"/>
          <w:szCs w:val="20"/>
          <w:lang w:val="es-ES_tradnl" w:eastAsia="es-ES"/>
        </w:rPr>
      </w:pPr>
    </w:p>
    <w:p w14:paraId="6D9DDBF9" w14:textId="77777777" w:rsidR="00A05B9F" w:rsidRPr="008211E7" w:rsidRDefault="00A05B9F" w:rsidP="00A05B9F">
      <w:pPr>
        <w:spacing w:after="0" w:line="240" w:lineRule="auto"/>
        <w:jc w:val="both"/>
        <w:rPr>
          <w:rFonts w:ascii="Verdana" w:hAnsi="Verdana" w:cs="Arial"/>
          <w:b/>
          <w:lang w:val="es-ES_tradnl" w:eastAsia="es-ES"/>
        </w:rPr>
      </w:pPr>
      <w:r w:rsidRPr="008211E7">
        <w:rPr>
          <w:rFonts w:ascii="Verdana" w:hAnsi="Verdana" w:cs="Arial"/>
          <w:b/>
          <w:lang w:val="es-ES_tradnl" w:eastAsia="es-ES"/>
        </w:rPr>
        <w:t>LIQUIDACIÓN DEL CONTRATO – Normativa –</w:t>
      </w:r>
      <w:r>
        <w:rPr>
          <w:rFonts w:ascii="Verdana" w:hAnsi="Verdana" w:cs="Arial"/>
          <w:b/>
          <w:lang w:val="es-ES_tradnl" w:eastAsia="es-ES"/>
        </w:rPr>
        <w:t xml:space="preserve"> Tracto sucesivo </w:t>
      </w:r>
    </w:p>
    <w:p w14:paraId="5C0CCC40" w14:textId="77777777" w:rsidR="00A05B9F" w:rsidRPr="008211E7" w:rsidRDefault="00A05B9F" w:rsidP="00A05B9F">
      <w:pPr>
        <w:spacing w:after="0" w:line="240" w:lineRule="auto"/>
        <w:jc w:val="both"/>
        <w:rPr>
          <w:rFonts w:ascii="Verdana" w:hAnsi="Verdana" w:cs="Arial"/>
          <w:sz w:val="20"/>
          <w:szCs w:val="20"/>
          <w:lang w:val="es-ES_tradnl" w:eastAsia="es-ES"/>
        </w:rPr>
      </w:pPr>
    </w:p>
    <w:p w14:paraId="7204A98F" w14:textId="77777777" w:rsidR="00A05B9F" w:rsidRPr="008211E7" w:rsidRDefault="00A05B9F" w:rsidP="00A05B9F">
      <w:pPr>
        <w:spacing w:after="0" w:line="240" w:lineRule="auto"/>
        <w:jc w:val="both"/>
        <w:rPr>
          <w:rFonts w:ascii="Verdana" w:hAnsi="Verdana" w:cs="Arial"/>
          <w:sz w:val="20"/>
          <w:szCs w:val="20"/>
          <w:lang w:val="es-ES_tradnl" w:eastAsia="es-ES"/>
        </w:rPr>
      </w:pPr>
      <w:r w:rsidRPr="008211E7">
        <w:rPr>
          <w:rFonts w:ascii="Verdana" w:hAnsi="Verdana" w:cs="Arial"/>
          <w:sz w:val="20"/>
          <w:szCs w:val="20"/>
          <w:lang w:val="es-ES_tradnl" w:eastAsia="es-ES"/>
        </w:rPr>
        <w:t xml:space="preserve">Las disposiciones legales que regulan la etapa de liquidación de los contratos estatales son: el artículo 60 de la Ley 80 de 1993, modificado por el artículo 217 del Decreto 019 de 2012, y el artículo 11 de la Ley 1150 de 2007. El primero de estos artículos se refiere al alcance sustantivo de la liquidación, mientras que el segundo contiene reglas procedimentales para su realización. De acuerdo con el artículo 60 de la Ley 80 de 1993, los contratos de tracto sucesivo, aquellos cuyo cumplimiento o ejecución se prolongue en el tiempo y los demás que lo requieran </w:t>
      </w:r>
      <w:r>
        <w:rPr>
          <w:rFonts w:ascii="Verdana" w:hAnsi="Verdana" w:cs="Arial"/>
          <w:sz w:val="20"/>
          <w:szCs w:val="20"/>
          <w:lang w:val="es-ES_tradnl" w:eastAsia="es-ES"/>
        </w:rPr>
        <w:t>“</w:t>
      </w:r>
      <w:r w:rsidRPr="008211E7">
        <w:rPr>
          <w:rFonts w:ascii="Verdana" w:hAnsi="Verdana" w:cs="Arial"/>
          <w:sz w:val="20"/>
          <w:szCs w:val="20"/>
          <w:lang w:val="es-ES_tradnl" w:eastAsia="es-ES"/>
        </w:rPr>
        <w:t>serán objeto de liquidación</w:t>
      </w:r>
      <w:r>
        <w:rPr>
          <w:rFonts w:ascii="Verdana" w:hAnsi="Verdana" w:cs="Arial"/>
          <w:sz w:val="20"/>
          <w:szCs w:val="20"/>
          <w:lang w:val="es-ES_tradnl" w:eastAsia="es-ES"/>
        </w:rPr>
        <w:t>”</w:t>
      </w:r>
      <w:r w:rsidRPr="008211E7">
        <w:rPr>
          <w:rFonts w:ascii="Verdana" w:hAnsi="Verdana" w:cs="Arial"/>
          <w:sz w:val="20"/>
          <w:szCs w:val="20"/>
          <w:lang w:val="es-ES_tradnl" w:eastAsia="es-ES"/>
        </w:rPr>
        <w:t>. El mismo artículo prescribe que no será obligatoria la liquidación en los contratos de prestación de servicios profesionales y de apoyo a la gestión. El artículo 11 de la Ley 1150 de 2007 contiene las reglas de tipo procedimental para liquidar los contratos estatales, […].</w:t>
      </w:r>
    </w:p>
    <w:p w14:paraId="37E9CBE2" w14:textId="77777777" w:rsidR="00A05B9F" w:rsidRPr="008211E7" w:rsidRDefault="00A05B9F" w:rsidP="00A05B9F">
      <w:pPr>
        <w:spacing w:after="0" w:line="240" w:lineRule="auto"/>
        <w:jc w:val="both"/>
        <w:rPr>
          <w:rFonts w:ascii="Verdana" w:hAnsi="Verdana" w:cs="Arial"/>
          <w:b/>
          <w:sz w:val="20"/>
          <w:szCs w:val="20"/>
          <w:lang w:val="es-ES_tradnl" w:eastAsia="es-ES"/>
        </w:rPr>
      </w:pPr>
    </w:p>
    <w:p w14:paraId="1F3F7D89" w14:textId="77777777" w:rsidR="00A05B9F" w:rsidRPr="008211E7" w:rsidRDefault="00A05B9F" w:rsidP="00A05B9F">
      <w:pPr>
        <w:spacing w:after="0" w:line="240" w:lineRule="auto"/>
        <w:jc w:val="both"/>
        <w:rPr>
          <w:rFonts w:ascii="Verdana" w:hAnsi="Verdana" w:cs="Arial"/>
          <w:b/>
          <w:lang w:val="es-ES_tradnl" w:eastAsia="es-ES"/>
        </w:rPr>
      </w:pPr>
      <w:r w:rsidRPr="008211E7">
        <w:rPr>
          <w:rFonts w:ascii="Verdana" w:hAnsi="Verdana" w:cs="Arial"/>
          <w:b/>
          <w:lang w:val="es-ES_tradnl" w:eastAsia="es-ES"/>
        </w:rPr>
        <w:t>LIQUIDACIÓN DEL CONTRATO – Tipos – Bilateral – Unilateral – Judicial</w:t>
      </w:r>
    </w:p>
    <w:p w14:paraId="61BFC1D7" w14:textId="77777777" w:rsidR="00A05B9F" w:rsidRPr="008211E7" w:rsidRDefault="00A05B9F" w:rsidP="00A05B9F">
      <w:pPr>
        <w:spacing w:after="0" w:line="240" w:lineRule="auto"/>
        <w:jc w:val="both"/>
        <w:rPr>
          <w:rFonts w:ascii="Verdana" w:hAnsi="Verdana" w:cs="Arial"/>
          <w:b/>
          <w:sz w:val="20"/>
          <w:szCs w:val="20"/>
          <w:lang w:val="es-ES_tradnl" w:eastAsia="es-ES"/>
        </w:rPr>
      </w:pPr>
    </w:p>
    <w:p w14:paraId="147C437A" w14:textId="77777777" w:rsidR="00A05B9F" w:rsidRPr="008211E7" w:rsidRDefault="00A05B9F" w:rsidP="00A05B9F">
      <w:pPr>
        <w:spacing w:after="0" w:line="240" w:lineRule="auto"/>
        <w:jc w:val="both"/>
        <w:rPr>
          <w:rFonts w:ascii="Verdana" w:hAnsi="Verdana" w:cs="Arial"/>
          <w:sz w:val="20"/>
          <w:szCs w:val="20"/>
          <w:lang w:val="es-ES" w:eastAsia="es-ES"/>
        </w:rPr>
      </w:pPr>
      <w:r w:rsidRPr="5DB319DC">
        <w:rPr>
          <w:rFonts w:ascii="Verdana" w:hAnsi="Verdana" w:cs="Arial"/>
          <w:sz w:val="20"/>
          <w:szCs w:val="20"/>
          <w:lang w:val="es-ES" w:eastAsia="es-ES"/>
        </w:rPr>
        <w:t>En suma, de acuerdo con el artículo 11 de la Ley 1150 de 2007, existen tres tipos de liquidación: i) bilateral, ii) unilateral y iii) judicial. En términos generales, la primera, que puede ser total o parcial, debe hacerse en el término que estipulen las partes o, en su defecto, dentro del término supletivo de cuatro meses. La segunda se debe practicar dentro de los dos meses siguientes al vencimiento del término que acuerden las partes, o ante el silencio de estas, luego de los cuatro meses para realizar la liquidación bilateral, sin que esta se efectúe. Finalmente, la tercera la realiza la Jurisdicción de lo Contencioso Administrativo o un tribunal de arbitramento dentro de un proceso judicial de controversias contractuales, y puede darse con ocasión de una demanda del interesado solicitando dicha liquidación. Para ello, existe un plazo máximo de 2 años contados a partir de los dos meses establecidos en la Ley para realizar la liquidación unilateral.</w:t>
      </w:r>
    </w:p>
    <w:p w14:paraId="7E356826" w14:textId="77777777" w:rsidR="00A05B9F" w:rsidRPr="004A23CD" w:rsidRDefault="00A05B9F" w:rsidP="00A05B9F">
      <w:pPr>
        <w:spacing w:after="0" w:line="240" w:lineRule="auto"/>
        <w:jc w:val="both"/>
        <w:rPr>
          <w:rFonts w:ascii="Verdana" w:eastAsia="Calibri" w:hAnsi="Verdana" w:cs="Arial"/>
          <w:b/>
          <w:sz w:val="20"/>
          <w:szCs w:val="20"/>
        </w:rPr>
      </w:pPr>
    </w:p>
    <w:p w14:paraId="61E968EC" w14:textId="77777777" w:rsidR="00A05B9F" w:rsidRPr="004A23CD" w:rsidRDefault="00A05B9F" w:rsidP="00A05B9F">
      <w:pPr>
        <w:tabs>
          <w:tab w:val="left" w:pos="3374"/>
        </w:tabs>
        <w:spacing w:after="0" w:line="240" w:lineRule="auto"/>
        <w:jc w:val="both"/>
        <w:rPr>
          <w:rFonts w:ascii="Verdana" w:eastAsia="Calibri" w:hAnsi="Verdana" w:cs="Arial"/>
          <w:b/>
          <w:bCs/>
        </w:rPr>
      </w:pPr>
      <w:r w:rsidRPr="004A23CD">
        <w:rPr>
          <w:rFonts w:ascii="Verdana" w:eastAsia="Calibri" w:hAnsi="Verdana" w:cs="Arial"/>
          <w:b/>
          <w:bCs/>
        </w:rPr>
        <w:t xml:space="preserve">EJECUCIÓN DEL CONTRATO ‒ Contrato estatal – Cierre del expediente contractual – Acto de trámite – Constancia </w:t>
      </w:r>
    </w:p>
    <w:p w14:paraId="526B0DF5" w14:textId="77777777" w:rsidR="00A05B9F" w:rsidRPr="004A23CD" w:rsidRDefault="00A05B9F" w:rsidP="00A05B9F">
      <w:pPr>
        <w:tabs>
          <w:tab w:val="left" w:pos="3374"/>
        </w:tabs>
        <w:spacing w:after="0" w:line="240" w:lineRule="auto"/>
        <w:jc w:val="both"/>
        <w:rPr>
          <w:rFonts w:ascii="Verdana" w:eastAsia="Calibri" w:hAnsi="Verdana" w:cs="Arial"/>
          <w:b/>
          <w:bCs/>
          <w:sz w:val="20"/>
          <w:szCs w:val="20"/>
        </w:rPr>
      </w:pPr>
    </w:p>
    <w:p w14:paraId="7003633E" w14:textId="77777777" w:rsidR="00A05B9F" w:rsidRPr="004A23CD" w:rsidRDefault="00A05B9F" w:rsidP="00A05B9F">
      <w:pPr>
        <w:tabs>
          <w:tab w:val="left" w:pos="3374"/>
        </w:tabs>
        <w:spacing w:after="0" w:line="240" w:lineRule="auto"/>
        <w:jc w:val="both"/>
        <w:rPr>
          <w:rFonts w:ascii="Verdana" w:eastAsia="Calibri" w:hAnsi="Verdana" w:cs="Arial"/>
          <w:sz w:val="20"/>
          <w:szCs w:val="20"/>
        </w:rPr>
      </w:pPr>
      <w:r w:rsidRPr="004A23CD">
        <w:rPr>
          <w:rFonts w:ascii="Verdana" w:eastAsia="Calibri" w:hAnsi="Verdana" w:cs="Arial"/>
          <w:sz w:val="20"/>
          <w:szCs w:val="20"/>
        </w:rPr>
        <w:t xml:space="preserve">De acuerdo con el artículo 2.2.1.1.2.4.3 del Decreto 1082 de 2015, </w:t>
      </w:r>
      <w:r w:rsidRPr="004A23CD">
        <w:rPr>
          <w:rFonts w:ascii="Verdana" w:eastAsia="Calibri" w:hAnsi="Verdana" w:cs="Arial"/>
          <w:i/>
          <w:iCs/>
          <w:sz w:val="20"/>
          <w:szCs w:val="20"/>
        </w:rPr>
        <w:t>el cierre del expediente</w:t>
      </w:r>
      <w:r w:rsidRPr="004A23CD">
        <w:rPr>
          <w:rFonts w:ascii="Verdana" w:eastAsia="Calibri" w:hAnsi="Verdana" w:cs="Arial"/>
          <w:sz w:val="20"/>
          <w:szCs w:val="20"/>
        </w:rPr>
        <w:t xml:space="preserve"> es un acto de trámite que realiza la entidad estatal cuando han vencido, por un lado, las garantías de calidad, estabilidad y mantenimiento, o por el otro, cuando se establecieron condiciones de disposición final o recuperación ambiental de las obras o </w:t>
      </w:r>
      <w:r w:rsidRPr="004A23CD">
        <w:rPr>
          <w:rFonts w:ascii="Verdana" w:eastAsia="Calibri" w:hAnsi="Verdana" w:cs="Arial"/>
          <w:sz w:val="20"/>
          <w:szCs w:val="20"/>
        </w:rPr>
        <w:lastRenderedPageBreak/>
        <w:t>bienes. Se trata de una constancia administrativa que culmina las actuaciones contractuales.</w:t>
      </w:r>
    </w:p>
    <w:p w14:paraId="4D03294C" w14:textId="77777777" w:rsidR="00A05B9F" w:rsidRPr="004A23CD" w:rsidRDefault="00A05B9F" w:rsidP="00A05B9F">
      <w:pPr>
        <w:tabs>
          <w:tab w:val="left" w:pos="3374"/>
        </w:tabs>
        <w:spacing w:after="0" w:line="240" w:lineRule="auto"/>
        <w:jc w:val="both"/>
        <w:rPr>
          <w:rFonts w:ascii="Verdana" w:eastAsia="Calibri" w:hAnsi="Verdana" w:cs="Arial"/>
          <w:sz w:val="20"/>
          <w:szCs w:val="20"/>
        </w:rPr>
      </w:pPr>
    </w:p>
    <w:p w14:paraId="0D54387B" w14:textId="0EF426B7" w:rsidR="00A05B9F" w:rsidRPr="004A23CD" w:rsidRDefault="00A05B9F" w:rsidP="00A05B9F">
      <w:pPr>
        <w:tabs>
          <w:tab w:val="left" w:pos="3374"/>
        </w:tabs>
        <w:spacing w:after="0" w:line="240" w:lineRule="auto"/>
        <w:rPr>
          <w:rFonts w:ascii="Verdana" w:eastAsia="Calibri" w:hAnsi="Verdana" w:cs="Arial"/>
          <w:b/>
          <w:bCs/>
        </w:rPr>
      </w:pPr>
      <w:r w:rsidRPr="004A23CD">
        <w:rPr>
          <w:rFonts w:ascii="Verdana" w:eastAsia="Calibri" w:hAnsi="Verdana" w:cs="Arial"/>
          <w:b/>
          <w:bCs/>
        </w:rPr>
        <w:t xml:space="preserve">CIERRE DEL EXPEDIENTE CONTRACTUAL </w:t>
      </w:r>
      <w:r w:rsidR="00627498" w:rsidRPr="004A23CD">
        <w:rPr>
          <w:rFonts w:ascii="Verdana" w:eastAsia="Calibri" w:hAnsi="Verdana" w:cs="Arial"/>
          <w:b/>
          <w:bCs/>
        </w:rPr>
        <w:t>– Requisitos</w:t>
      </w:r>
      <w:r w:rsidRPr="004A23CD">
        <w:rPr>
          <w:rFonts w:ascii="Verdana" w:eastAsia="Calibri" w:hAnsi="Verdana" w:cs="Arial"/>
          <w:b/>
          <w:bCs/>
        </w:rPr>
        <w:t xml:space="preserve"> – Procedencia</w:t>
      </w:r>
    </w:p>
    <w:p w14:paraId="7307816D" w14:textId="77777777" w:rsidR="00A05B9F" w:rsidRPr="004A23CD" w:rsidRDefault="00A05B9F" w:rsidP="00A05B9F">
      <w:pPr>
        <w:tabs>
          <w:tab w:val="left" w:pos="3374"/>
        </w:tabs>
        <w:spacing w:after="0" w:line="240" w:lineRule="auto"/>
        <w:rPr>
          <w:rFonts w:ascii="Verdana" w:eastAsia="Calibri" w:hAnsi="Verdana" w:cs="Arial"/>
          <w:b/>
          <w:bCs/>
          <w:sz w:val="20"/>
          <w:szCs w:val="20"/>
        </w:rPr>
      </w:pPr>
    </w:p>
    <w:p w14:paraId="01FD1C07" w14:textId="77777777" w:rsidR="00A05B9F" w:rsidRPr="004A23CD" w:rsidRDefault="00A05B9F" w:rsidP="00A05B9F">
      <w:pPr>
        <w:tabs>
          <w:tab w:val="left" w:pos="3374"/>
        </w:tabs>
        <w:spacing w:after="0" w:line="240" w:lineRule="auto"/>
        <w:jc w:val="both"/>
        <w:rPr>
          <w:rFonts w:ascii="Verdana" w:eastAsia="Calibri" w:hAnsi="Verdana" w:cs="Arial"/>
          <w:sz w:val="20"/>
          <w:szCs w:val="20"/>
        </w:rPr>
      </w:pPr>
      <w:r w:rsidRPr="004A23CD">
        <w:rPr>
          <w:rFonts w:ascii="Verdana" w:eastAsia="Calibri" w:hAnsi="Verdana" w:cs="Arial"/>
          <w:sz w:val="20"/>
          <w:szCs w:val="20"/>
        </w:rPr>
        <w:t>En consecuencia, lo que resulta relevante para determinar si a la entidad le asiste o no el deber de hacer el cierre del expediente contractual, de acuerdo con la norma citada, consiste en determinar si se exigieron o no garantías de calidad, estabilidad o mantenimiento, o si la entidad estableció condiciones de disposición final o recuperación de las obras o bienes objeto del contrato. De no ser así, no es obligatorio que la entidad haga un cierre del expediente contractual.</w:t>
      </w:r>
    </w:p>
    <w:p w14:paraId="6628DB88" w14:textId="77777777" w:rsidR="00A05B9F" w:rsidRPr="004A23CD" w:rsidRDefault="00A05B9F" w:rsidP="00A05B9F">
      <w:pPr>
        <w:tabs>
          <w:tab w:val="left" w:pos="3374"/>
        </w:tabs>
        <w:spacing w:after="0" w:line="240" w:lineRule="auto"/>
        <w:jc w:val="both"/>
        <w:rPr>
          <w:rFonts w:ascii="Verdana" w:eastAsia="Calibri" w:hAnsi="Verdana" w:cs="Arial"/>
          <w:sz w:val="20"/>
          <w:szCs w:val="20"/>
        </w:rPr>
      </w:pPr>
    </w:p>
    <w:p w14:paraId="487AE9F1" w14:textId="77777777" w:rsidR="00A05B9F" w:rsidRPr="004A23CD" w:rsidRDefault="00A05B9F" w:rsidP="00A05B9F">
      <w:pPr>
        <w:tabs>
          <w:tab w:val="left" w:pos="3374"/>
        </w:tabs>
        <w:spacing w:after="0" w:line="240" w:lineRule="auto"/>
        <w:jc w:val="both"/>
        <w:rPr>
          <w:rFonts w:ascii="Verdana" w:eastAsia="Calibri" w:hAnsi="Verdana" w:cs="Arial"/>
          <w:sz w:val="20"/>
          <w:szCs w:val="20"/>
        </w:rPr>
      </w:pPr>
      <w:r w:rsidRPr="004A23CD">
        <w:rPr>
          <w:rFonts w:ascii="Verdana" w:eastAsia="Calibri" w:hAnsi="Verdana" w:cs="Arial"/>
          <w:sz w:val="20"/>
          <w:szCs w:val="20"/>
        </w:rPr>
        <w:t>La norma, como se dijo previamente, establece que el cierre del expediente debe llevarse a cabo únicamente en dos eventos: i) cuando la administración establece condiciones de disposición final o recuperación ambiental de las obras o bienes; o ii) una vez vencidos los términos de las garantías de calidad, estabilidad y mantenimiento. En consecuencia, resulta irrelevante que el contrato tenga garantías diferentes a las previstas en el artículo 2.2.1.1.2.4.3 del Decreto 1082 de 2015, así las mismas se encuentren vigentes, pues, se insiste, la entidad únicamente deberá hacer el cierre del expediente cuando se vencen los términos de las garantías referidas en el mencionado artículo 2.2.1.1.2.4.3.</w:t>
      </w:r>
    </w:p>
    <w:p w14:paraId="2E6DA4DC" w14:textId="77777777" w:rsidR="00A05B9F" w:rsidRPr="004A23CD" w:rsidRDefault="00A05B9F" w:rsidP="00A05B9F">
      <w:pPr>
        <w:tabs>
          <w:tab w:val="left" w:pos="3374"/>
        </w:tabs>
        <w:spacing w:after="0" w:line="240" w:lineRule="auto"/>
        <w:rPr>
          <w:rFonts w:ascii="Verdana" w:eastAsia="Calibri" w:hAnsi="Verdana" w:cs="Arial"/>
          <w:sz w:val="20"/>
          <w:szCs w:val="20"/>
        </w:rPr>
      </w:pPr>
    </w:p>
    <w:p w14:paraId="3F5A4B63" w14:textId="77777777" w:rsidR="00A05B9F" w:rsidRPr="004A23CD" w:rsidRDefault="00A05B9F" w:rsidP="00A05B9F">
      <w:pPr>
        <w:tabs>
          <w:tab w:val="left" w:pos="3374"/>
        </w:tabs>
        <w:spacing w:after="0" w:line="240" w:lineRule="auto"/>
        <w:jc w:val="both"/>
        <w:rPr>
          <w:rFonts w:ascii="Verdana" w:eastAsia="Calibri" w:hAnsi="Verdana" w:cs="Arial"/>
          <w:b/>
          <w:bCs/>
        </w:rPr>
      </w:pPr>
      <w:r w:rsidRPr="004A23CD">
        <w:rPr>
          <w:rFonts w:ascii="Verdana" w:eastAsia="Calibri" w:hAnsi="Verdana" w:cs="Arial"/>
          <w:b/>
          <w:bCs/>
        </w:rPr>
        <w:t>CIERRE DEL EXPEDIENTE CONTRACTUAL – Obligatoriedad – Liquidación – Garantías – Buena práctica contractual</w:t>
      </w:r>
    </w:p>
    <w:p w14:paraId="060AE90A" w14:textId="77777777" w:rsidR="00A05B9F" w:rsidRPr="004A23CD" w:rsidRDefault="00A05B9F" w:rsidP="00A05B9F">
      <w:pPr>
        <w:tabs>
          <w:tab w:val="left" w:pos="3374"/>
        </w:tabs>
        <w:spacing w:after="0" w:line="240" w:lineRule="auto"/>
        <w:rPr>
          <w:rFonts w:ascii="Verdana" w:eastAsia="Calibri" w:hAnsi="Verdana" w:cs="Arial"/>
          <w:sz w:val="20"/>
          <w:szCs w:val="20"/>
        </w:rPr>
      </w:pPr>
    </w:p>
    <w:p w14:paraId="6B9AD077" w14:textId="77777777" w:rsidR="00A05B9F" w:rsidRPr="004A23CD" w:rsidRDefault="00A05B9F" w:rsidP="00A05B9F">
      <w:pPr>
        <w:tabs>
          <w:tab w:val="left" w:pos="3374"/>
        </w:tabs>
        <w:spacing w:after="0" w:line="240" w:lineRule="auto"/>
        <w:jc w:val="both"/>
        <w:rPr>
          <w:rFonts w:ascii="Verdana" w:eastAsia="Calibri" w:hAnsi="Verdana" w:cs="Arial"/>
          <w:sz w:val="20"/>
          <w:szCs w:val="20"/>
        </w:rPr>
      </w:pPr>
      <w:r w:rsidRPr="004A23CD">
        <w:rPr>
          <w:rFonts w:ascii="Verdana" w:eastAsia="Calibri" w:hAnsi="Verdana" w:cs="Arial"/>
          <w:sz w:val="20"/>
          <w:szCs w:val="20"/>
        </w:rPr>
        <w:t>De acuerdo con el artículo 2.2.1.1.2.4.3 del Decreto 1082 de 2015, y reiterando la postura de unificación acogida por esta Agencia en el Concepto CU–028 de 2020</w:t>
      </w:r>
      <w:r w:rsidRPr="004A23CD">
        <w:rPr>
          <w:rFonts w:ascii="Verdana" w:hAnsi="Verdana" w:cs="Arial"/>
          <w:sz w:val="20"/>
          <w:szCs w:val="20"/>
        </w:rPr>
        <w:t xml:space="preserve">, </w:t>
      </w:r>
      <w:r w:rsidRPr="004A23CD">
        <w:rPr>
          <w:rFonts w:ascii="Verdana" w:eastAsia="Calibri" w:hAnsi="Verdana" w:cs="Arial"/>
          <w:sz w:val="20"/>
          <w:szCs w:val="20"/>
        </w:rPr>
        <w:t xml:space="preserve">el cierre del expediente del proceso de contratación es un acto de trámite obligatorio en los contratos estatales en los que se hayan pactado garantías de calidad, estabilidad o mantenimiento, o cuando la entidad establezca condiciones de disposición final o recuperación ambiental de las obras o bienes contratados. Una vez cumplidas tales condiciones se deberá realizar el acto de trámite correspondiente, dejando constancia del cierre del expediente contractual. </w:t>
      </w:r>
    </w:p>
    <w:p w14:paraId="2D3C4909" w14:textId="77777777" w:rsidR="00A05B9F" w:rsidRPr="004A23CD" w:rsidRDefault="00A05B9F" w:rsidP="00A05B9F">
      <w:pPr>
        <w:tabs>
          <w:tab w:val="left" w:pos="3374"/>
        </w:tabs>
        <w:spacing w:after="0" w:line="240" w:lineRule="auto"/>
        <w:jc w:val="both"/>
        <w:rPr>
          <w:rFonts w:ascii="Verdana" w:eastAsia="Calibri" w:hAnsi="Verdana" w:cs="Arial"/>
          <w:sz w:val="20"/>
          <w:szCs w:val="20"/>
        </w:rPr>
      </w:pPr>
    </w:p>
    <w:p w14:paraId="7CCAB602" w14:textId="77777777" w:rsidR="00A05B9F" w:rsidRPr="004A23CD" w:rsidRDefault="00A05B9F" w:rsidP="00A05B9F">
      <w:pPr>
        <w:tabs>
          <w:tab w:val="left" w:pos="3374"/>
        </w:tabs>
        <w:spacing w:after="0" w:line="240" w:lineRule="auto"/>
        <w:jc w:val="both"/>
        <w:rPr>
          <w:rFonts w:ascii="Verdana" w:eastAsia="Calibri" w:hAnsi="Verdana" w:cs="Arial"/>
          <w:sz w:val="20"/>
          <w:szCs w:val="20"/>
        </w:rPr>
      </w:pPr>
      <w:r w:rsidRPr="004A23CD">
        <w:rPr>
          <w:rFonts w:ascii="Verdana" w:eastAsia="Calibri" w:hAnsi="Verdana" w:cs="Arial"/>
          <w:sz w:val="20"/>
          <w:szCs w:val="20"/>
        </w:rPr>
        <w:t>Cabe resaltar que, el deber cerrar el expediente cuando vencen las garantías, procede de manera obligatoria, únicamente cuando se vencen las garantías aludidas por el artículo 2.2.1.1.2.4.3 del Decreto 1082 de 2015, esto es, las de calidad, estabilidad y mantenimiento. Sin embargo, si una vez vencidas estas siguen vigentes otras garantías como, por ejemplo, la de pago de salarios y prestaciones sociales, nada obsta para que la entidad proceda a realizar el cierre dejando constancia de este hecho, como una buena práctica contractual. Lo anterior, sin perjuicio que, como se señaló en las consideraciones, la constancia del cierre del expediente también es posible realizarla en eventos distintos a los establecidos en el artículo 2.2.1.1.2.4.3 del Decreto 1082 de 2015, pese a que no sea obligatoria.</w:t>
      </w:r>
    </w:p>
    <w:p w14:paraId="07B55F78" w14:textId="77777777" w:rsidR="00A05B9F" w:rsidRPr="002C0402" w:rsidRDefault="00A05B9F" w:rsidP="00A05B9F">
      <w:pPr>
        <w:spacing w:after="0" w:line="240" w:lineRule="auto"/>
        <w:jc w:val="both"/>
        <w:textAlignment w:val="baseline"/>
        <w:rPr>
          <w:rFonts w:ascii="Verdana" w:hAnsi="Verdana" w:cs="Arial"/>
          <w:bCs/>
          <w:sz w:val="20"/>
          <w:szCs w:val="20"/>
          <w:lang w:val="es-ES_tradnl" w:eastAsia="es-CO"/>
        </w:rPr>
      </w:pPr>
      <w:r w:rsidRPr="002C0402">
        <w:rPr>
          <w:rFonts w:ascii="Verdana" w:hAnsi="Verdana" w:cs="Arial"/>
          <w:bCs/>
          <w:sz w:val="20"/>
          <w:szCs w:val="20"/>
          <w:lang w:val="es-ES_tradnl" w:eastAsia="es-CO"/>
        </w:rPr>
        <w:t xml:space="preserve">  </w:t>
      </w:r>
    </w:p>
    <w:p w14:paraId="541C3212" w14:textId="77777777" w:rsidR="00A05B9F" w:rsidRDefault="00A05B9F" w:rsidP="00A05B9F">
      <w:pPr>
        <w:spacing w:after="0" w:line="240" w:lineRule="auto"/>
        <w:rPr>
          <w:rFonts w:ascii="Verdana" w:eastAsia="Calibri" w:hAnsi="Verdana" w:cs="Arial"/>
          <w:b/>
          <w:color w:val="000000" w:themeColor="text1"/>
          <w:lang w:val="es-ES"/>
        </w:rPr>
      </w:pPr>
    </w:p>
    <w:p w14:paraId="58B9AE36" w14:textId="39065408" w:rsidR="00A05B9F" w:rsidRPr="00593A5F" w:rsidRDefault="00A05B9F" w:rsidP="00A05B9F">
      <w:pPr>
        <w:spacing w:after="0" w:line="240" w:lineRule="auto"/>
        <w:rPr>
          <w:rFonts w:ascii="Verdana" w:eastAsia="Geomanist Light" w:hAnsi="Verdana" w:cs="Arial"/>
          <w:color w:val="201F1E"/>
          <w:lang w:val="es-MX"/>
        </w:rPr>
      </w:pPr>
      <w:r w:rsidRPr="00593A5F">
        <w:rPr>
          <w:rFonts w:ascii="Verdana" w:eastAsia="Geomanist Light" w:hAnsi="Verdana" w:cs="Arial"/>
          <w:color w:val="000000" w:themeColor="text1"/>
          <w:lang w:val="es-MX"/>
        </w:rPr>
        <w:lastRenderedPageBreak/>
        <w:t>Bogotá D.C.,</w:t>
      </w:r>
      <w:r w:rsidR="000B4EA7">
        <w:rPr>
          <w:rFonts w:ascii="Verdana" w:eastAsia="Geomanist Light" w:hAnsi="Verdana" w:cs="Arial"/>
          <w:color w:val="000000" w:themeColor="text1"/>
          <w:lang w:val="es-MX"/>
        </w:rPr>
        <w:t xml:space="preserve"> 10 de agosto de 2026 </w:t>
      </w:r>
    </w:p>
    <w:p w14:paraId="665D2701" w14:textId="6FFF4A28" w:rsidR="00A05B9F" w:rsidRDefault="000B4EA7" w:rsidP="000B4EA7">
      <w:pPr>
        <w:spacing w:after="0" w:line="240" w:lineRule="auto"/>
        <w:jc w:val="right"/>
        <w:rPr>
          <w:rFonts w:ascii="Verdana" w:eastAsia="Calibri" w:hAnsi="Verdana" w:cs="Arial"/>
          <w:color w:val="000000"/>
          <w:lang w:val="es-ES"/>
        </w:rPr>
      </w:pPr>
      <w:r w:rsidRPr="000B4EA7">
        <w:rPr>
          <w:rFonts w:ascii="Verdana" w:eastAsia="Calibri" w:hAnsi="Verdana" w:cs="Arial"/>
          <w:noProof/>
          <w:color w:val="000000"/>
          <w:lang w:val="es-ES"/>
        </w:rPr>
        <w:drawing>
          <wp:anchor distT="0" distB="0" distL="114300" distR="114300" simplePos="0" relativeHeight="251658240" behindDoc="0" locked="0" layoutInCell="1" allowOverlap="1" wp14:anchorId="7264C734" wp14:editId="068F3F45">
            <wp:simplePos x="0" y="0"/>
            <wp:positionH relativeFrom="column">
              <wp:posOffset>3248025</wp:posOffset>
            </wp:positionH>
            <wp:positionV relativeFrom="paragraph">
              <wp:posOffset>-2540</wp:posOffset>
            </wp:positionV>
            <wp:extent cx="2362200" cy="944880"/>
            <wp:effectExtent l="0" t="0" r="0" b="7620"/>
            <wp:wrapSquare wrapText="bothSides"/>
            <wp:docPr id="19975214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2200" cy="944880"/>
                    </a:xfrm>
                    <a:prstGeom prst="rect">
                      <a:avLst/>
                    </a:prstGeom>
                    <a:noFill/>
                    <a:ln>
                      <a:noFill/>
                    </a:ln>
                  </pic:spPr>
                </pic:pic>
              </a:graphicData>
            </a:graphic>
          </wp:anchor>
        </w:drawing>
      </w:r>
    </w:p>
    <w:p w14:paraId="1EAE45F4" w14:textId="77777777" w:rsidR="00A05B9F" w:rsidRPr="00593A5F" w:rsidRDefault="00A05B9F" w:rsidP="00A05B9F">
      <w:pPr>
        <w:spacing w:after="0" w:line="240" w:lineRule="auto"/>
        <w:jc w:val="both"/>
        <w:rPr>
          <w:rFonts w:ascii="Verdana" w:eastAsia="Calibri" w:hAnsi="Verdana" w:cs="Arial"/>
          <w:color w:val="000000"/>
          <w:lang w:val="es-ES"/>
        </w:rPr>
      </w:pPr>
    </w:p>
    <w:p w14:paraId="1EBE6D65" w14:textId="77777777" w:rsidR="00A05B9F" w:rsidRDefault="00A05B9F" w:rsidP="00A05B9F">
      <w:pPr>
        <w:spacing w:after="0" w:line="240" w:lineRule="auto"/>
        <w:jc w:val="both"/>
        <w:rPr>
          <w:rFonts w:ascii="Verdana" w:eastAsia="Calibri" w:hAnsi="Verdana" w:cs="Arial"/>
          <w:lang w:val="es-ES" w:eastAsia="es-ES"/>
        </w:rPr>
      </w:pPr>
      <w:r>
        <w:rPr>
          <w:rFonts w:ascii="Verdana" w:eastAsia="Calibri" w:hAnsi="Verdana" w:cs="Arial"/>
          <w:lang w:val="es-ES" w:eastAsia="es-ES"/>
        </w:rPr>
        <w:t>Señora</w:t>
      </w:r>
    </w:p>
    <w:p w14:paraId="0A7787AC" w14:textId="77777777" w:rsidR="00A05B9F" w:rsidRPr="007829FE" w:rsidRDefault="00A05B9F" w:rsidP="00A05B9F">
      <w:pPr>
        <w:spacing w:after="0" w:line="240" w:lineRule="auto"/>
        <w:jc w:val="both"/>
        <w:rPr>
          <w:rFonts w:ascii="Verdana" w:eastAsia="Calibri" w:hAnsi="Verdana" w:cs="Arial"/>
          <w:b/>
          <w:bCs/>
          <w:lang w:val="es-ES" w:eastAsia="es-ES"/>
        </w:rPr>
      </w:pPr>
      <w:r w:rsidRPr="007829FE">
        <w:rPr>
          <w:rFonts w:ascii="Verdana" w:eastAsia="Calibri" w:hAnsi="Verdana" w:cs="Arial"/>
          <w:b/>
          <w:bCs/>
          <w:lang w:eastAsia="es-ES"/>
        </w:rPr>
        <w:t>Zulay Cuan Echavarría</w:t>
      </w:r>
    </w:p>
    <w:p w14:paraId="269C8C01" w14:textId="77777777" w:rsidR="00A05B9F" w:rsidRPr="00311319" w:rsidRDefault="00A05B9F" w:rsidP="00A05B9F">
      <w:pPr>
        <w:spacing w:after="0" w:line="240" w:lineRule="auto"/>
        <w:rPr>
          <w:rFonts w:ascii="Verdana" w:eastAsia="Calibri" w:hAnsi="Verdana" w:cs="Arial"/>
          <w:bCs/>
          <w:lang w:val="es-ES_tradnl" w:eastAsia="es-ES_tradnl"/>
        </w:rPr>
      </w:pPr>
      <w:hyperlink r:id="rId11" w:history="1">
        <w:r w:rsidRPr="00311319">
          <w:rPr>
            <w:rStyle w:val="Hipervnculo"/>
            <w:rFonts w:ascii="Verdana" w:eastAsia="Calibri" w:hAnsi="Verdana" w:cs="Arial"/>
            <w:bCs/>
            <w:lang w:val="es-ES_tradnl" w:eastAsia="es-ES_tradnl"/>
          </w:rPr>
          <w:t>zulay.cuan@aerocivil.gov.co</w:t>
        </w:r>
      </w:hyperlink>
      <w:r w:rsidRPr="00311319">
        <w:rPr>
          <w:rFonts w:ascii="Verdana" w:eastAsia="Calibri" w:hAnsi="Verdana" w:cs="Arial"/>
          <w:bCs/>
          <w:lang w:val="es-ES_tradnl" w:eastAsia="es-ES_tradnl"/>
        </w:rPr>
        <w:t xml:space="preserve"> </w:t>
      </w:r>
    </w:p>
    <w:p w14:paraId="5EB3D6E1" w14:textId="77777777" w:rsidR="00A05B9F" w:rsidRDefault="00A05B9F" w:rsidP="00A05B9F">
      <w:pPr>
        <w:spacing w:after="0" w:line="240" w:lineRule="auto"/>
        <w:rPr>
          <w:rFonts w:ascii="Verdana" w:eastAsia="Calibri" w:hAnsi="Verdana" w:cs="Arial"/>
          <w:lang w:val="es-ES" w:eastAsia="es-ES"/>
        </w:rPr>
      </w:pPr>
      <w:r w:rsidRPr="00593A5F">
        <w:rPr>
          <w:rFonts w:ascii="Verdana" w:eastAsia="Geomanist Light" w:hAnsi="Verdana" w:cs="Arial"/>
          <w:color w:val="000000" w:themeColor="text1"/>
          <w:lang w:val="es-MX"/>
        </w:rPr>
        <w:t>Bogotá D.C.</w:t>
      </w:r>
      <w:r>
        <w:rPr>
          <w:rFonts w:ascii="Verdana" w:eastAsia="Calibri" w:hAnsi="Verdana" w:cs="Arial"/>
          <w:lang w:val="es-ES" w:eastAsia="es-ES"/>
        </w:rPr>
        <w:t xml:space="preserve"> </w:t>
      </w:r>
    </w:p>
    <w:p w14:paraId="344771BF" w14:textId="77777777" w:rsidR="00A05B9F" w:rsidRPr="00593A5F" w:rsidRDefault="00A05B9F" w:rsidP="00A05B9F">
      <w:pPr>
        <w:spacing w:after="0" w:line="240" w:lineRule="auto"/>
        <w:rPr>
          <w:rFonts w:ascii="Verdana" w:eastAsia="Calibri" w:hAnsi="Verdana" w:cs="Arial"/>
          <w:b/>
          <w:bCs/>
          <w:color w:val="000000"/>
          <w:lang w:val="es-ES_tradnl" w:eastAsia="es-ES_tradnl"/>
        </w:rPr>
      </w:pPr>
    </w:p>
    <w:p w14:paraId="33E37777" w14:textId="77777777" w:rsidR="00A05B9F" w:rsidRPr="00593A5F" w:rsidRDefault="00A05B9F" w:rsidP="00A05B9F">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A05B9F" w:rsidRPr="00593A5F" w14:paraId="6A9072C9" w14:textId="77777777" w:rsidTr="00C671FE">
        <w:trPr>
          <w:trHeight w:val="884"/>
        </w:trPr>
        <w:tc>
          <w:tcPr>
            <w:tcW w:w="2689" w:type="dxa"/>
          </w:tcPr>
          <w:p w14:paraId="386AEA38" w14:textId="77777777" w:rsidR="00A05B9F" w:rsidRPr="00C00976" w:rsidRDefault="00A05B9F" w:rsidP="00C671FE">
            <w:pPr>
              <w:jc w:val="both"/>
              <w:rPr>
                <w:rFonts w:ascii="Verdana" w:eastAsia="Calibri" w:hAnsi="Verdana" w:cs="Arial"/>
                <w:b/>
                <w:bCs/>
                <w:color w:val="7030A0"/>
                <w:lang w:val="es-ES_tradnl" w:eastAsia="es-ES_tradnl"/>
              </w:rPr>
            </w:pPr>
          </w:p>
        </w:tc>
        <w:tc>
          <w:tcPr>
            <w:tcW w:w="6100" w:type="dxa"/>
          </w:tcPr>
          <w:p w14:paraId="78A845F3" w14:textId="6DC92B2F" w:rsidR="00A05B9F" w:rsidRPr="00C00976" w:rsidRDefault="00A05B9F" w:rsidP="00C671FE">
            <w:pPr>
              <w:jc w:val="both"/>
              <w:rPr>
                <w:rFonts w:ascii="Verdana" w:eastAsia="Calibri" w:hAnsi="Verdana" w:cs="Arial"/>
                <w:b/>
                <w:bCs/>
                <w:color w:val="7030A0"/>
                <w:lang w:val="es-ES" w:eastAsia="es-ES"/>
              </w:rPr>
            </w:pPr>
            <w:r w:rsidRPr="008E6AD9">
              <w:rPr>
                <w:rFonts w:ascii="Verdana" w:eastAsia="Calibri" w:hAnsi="Verdana" w:cs="Arial"/>
                <w:b/>
                <w:bCs/>
                <w:lang w:val="es-ES" w:eastAsia="es-ES"/>
              </w:rPr>
              <w:t>Concepto C</w:t>
            </w:r>
            <w:r w:rsidR="00E32CE1">
              <w:rPr>
                <w:rFonts w:ascii="Verdana" w:eastAsia="Calibri" w:hAnsi="Verdana" w:cs="Arial"/>
                <w:b/>
                <w:bCs/>
                <w:lang w:val="es-ES" w:eastAsia="es-ES"/>
              </w:rPr>
              <w:t>-</w:t>
            </w:r>
            <w:r>
              <w:rPr>
                <w:rFonts w:ascii="Verdana" w:eastAsia="Calibri" w:hAnsi="Verdana" w:cs="Arial"/>
                <w:b/>
                <w:bCs/>
                <w:lang w:val="es-ES" w:eastAsia="es-ES"/>
              </w:rPr>
              <w:t xml:space="preserve">1024 </w:t>
            </w:r>
            <w:r w:rsidRPr="008E6AD9">
              <w:rPr>
                <w:rFonts w:ascii="Verdana" w:eastAsia="Calibri" w:hAnsi="Verdana" w:cs="Arial"/>
                <w:b/>
                <w:bCs/>
                <w:lang w:val="es-ES" w:eastAsia="es-ES"/>
              </w:rPr>
              <w:t>de 202</w:t>
            </w:r>
            <w:r>
              <w:rPr>
                <w:rFonts w:ascii="Verdana" w:eastAsia="Calibri" w:hAnsi="Verdana" w:cs="Arial"/>
                <w:b/>
                <w:bCs/>
                <w:lang w:val="es-ES" w:eastAsia="es-ES"/>
              </w:rPr>
              <w:t>6</w:t>
            </w:r>
          </w:p>
        </w:tc>
      </w:tr>
      <w:tr w:rsidR="00A05B9F" w:rsidRPr="00593A5F" w14:paraId="79425483" w14:textId="77777777" w:rsidTr="00C671FE">
        <w:trPr>
          <w:trHeight w:val="884"/>
        </w:trPr>
        <w:tc>
          <w:tcPr>
            <w:tcW w:w="2689" w:type="dxa"/>
          </w:tcPr>
          <w:p w14:paraId="42907E6F" w14:textId="77777777" w:rsidR="00A05B9F" w:rsidRPr="00593A5F" w:rsidRDefault="00A05B9F" w:rsidP="00C671FE">
            <w:pPr>
              <w:jc w:val="both"/>
              <w:rPr>
                <w:rFonts w:ascii="Verdana" w:eastAsia="Calibri" w:hAnsi="Verdana" w:cs="Arial"/>
                <w:color w:val="000000"/>
                <w:lang w:val="es-ES_tradnl" w:eastAsia="es-ES_tradnl"/>
              </w:rPr>
            </w:pPr>
            <w:r w:rsidRPr="00593A5F">
              <w:rPr>
                <w:rFonts w:ascii="Verdana" w:eastAsia="Calibri" w:hAnsi="Verdana" w:cs="Arial"/>
                <w:b/>
                <w:color w:val="000000"/>
                <w:lang w:val="es-ES_tradnl" w:eastAsia="es-ES_tradnl"/>
              </w:rPr>
              <w:t>Temas:</w:t>
            </w:r>
            <w:r w:rsidRPr="00593A5F">
              <w:rPr>
                <w:rFonts w:ascii="Verdana" w:eastAsia="Calibri" w:hAnsi="Verdana" w:cs="Arial"/>
                <w:color w:val="000000"/>
                <w:lang w:val="es-ES_tradnl" w:eastAsia="es-ES_tradnl"/>
              </w:rPr>
              <w:t xml:space="preserve">                   </w:t>
            </w:r>
          </w:p>
        </w:tc>
        <w:tc>
          <w:tcPr>
            <w:tcW w:w="6100" w:type="dxa"/>
          </w:tcPr>
          <w:p w14:paraId="3C4F3401" w14:textId="77777777" w:rsidR="00A05B9F" w:rsidRPr="0011600D" w:rsidRDefault="00A05B9F" w:rsidP="005F3068">
            <w:pPr>
              <w:spacing w:line="276" w:lineRule="auto"/>
              <w:jc w:val="both"/>
              <w:rPr>
                <w:rFonts w:ascii="Verdana" w:hAnsi="Verdana" w:cs="Arial"/>
                <w:b/>
                <w:lang w:val="es-ES_tradnl" w:eastAsia="es-ES"/>
              </w:rPr>
            </w:pPr>
            <w:r w:rsidRPr="00AB1FEA">
              <w:rPr>
                <w:rFonts w:ascii="Verdana" w:eastAsia="Calibri" w:hAnsi="Verdana" w:cs="Arial"/>
                <w:lang w:val="es-ES" w:eastAsia="es-ES"/>
              </w:rPr>
              <w:t>LIQUIDACIÓN DEL CONTRATO – Definición – Objetivo / LIQUIDACIÓN DEL CONTRATO – Normativa</w:t>
            </w:r>
            <w:r>
              <w:rPr>
                <w:rFonts w:ascii="Verdana" w:eastAsia="Calibri" w:hAnsi="Verdana" w:cs="Arial"/>
                <w:lang w:val="es-ES" w:eastAsia="es-ES"/>
              </w:rPr>
              <w:t xml:space="preserve"> </w:t>
            </w:r>
            <w:r w:rsidRPr="008211E7">
              <w:rPr>
                <w:rFonts w:ascii="Verdana" w:hAnsi="Verdana" w:cs="Arial"/>
                <w:b/>
                <w:lang w:val="es-ES_tradnl" w:eastAsia="es-ES"/>
              </w:rPr>
              <w:t>–</w:t>
            </w:r>
            <w:r>
              <w:rPr>
                <w:rFonts w:ascii="Verdana" w:hAnsi="Verdana" w:cs="Arial"/>
                <w:b/>
                <w:lang w:val="es-ES_tradnl" w:eastAsia="es-ES"/>
              </w:rPr>
              <w:t xml:space="preserve"> </w:t>
            </w:r>
            <w:r w:rsidRPr="0011600D">
              <w:rPr>
                <w:rFonts w:ascii="Verdana" w:hAnsi="Verdana" w:cs="Arial"/>
                <w:bCs/>
                <w:lang w:val="es-ES_tradnl" w:eastAsia="es-ES"/>
              </w:rPr>
              <w:t xml:space="preserve">Tracto </w:t>
            </w:r>
            <w:r w:rsidRPr="006D10BE">
              <w:rPr>
                <w:rFonts w:ascii="Verdana" w:hAnsi="Verdana" w:cs="Arial"/>
                <w:bCs/>
                <w:lang w:val="es-ES_tradnl" w:eastAsia="es-ES"/>
              </w:rPr>
              <w:t>sucesivo</w:t>
            </w:r>
            <w:r>
              <w:rPr>
                <w:rFonts w:ascii="Verdana" w:hAnsi="Verdana" w:cs="Arial"/>
                <w:b/>
                <w:lang w:val="es-ES_tradnl" w:eastAsia="es-ES"/>
              </w:rPr>
              <w:t xml:space="preserve"> </w:t>
            </w:r>
            <w:r w:rsidRPr="00AB1FEA">
              <w:rPr>
                <w:rFonts w:ascii="Verdana" w:eastAsia="Calibri" w:hAnsi="Verdana" w:cs="Arial"/>
                <w:lang w:val="es-ES" w:eastAsia="es-ES"/>
              </w:rPr>
              <w:t>/ LIQUIDACIÓN DEL CONTRATO – Tipos – Bilateral – Unilateral – Judicial</w:t>
            </w:r>
            <w:r>
              <w:rPr>
                <w:rFonts w:ascii="Verdana" w:eastAsia="Calibri" w:hAnsi="Verdana" w:cs="Arial"/>
                <w:lang w:val="es-ES" w:eastAsia="es-ES"/>
              </w:rPr>
              <w:t xml:space="preserve"> / </w:t>
            </w:r>
            <w:r w:rsidRPr="004A23CD">
              <w:rPr>
                <w:rFonts w:ascii="Verdana" w:eastAsia="Calibri" w:hAnsi="Verdana" w:cs="Arial"/>
                <w:lang w:val="es-ES" w:eastAsia="es-ES"/>
              </w:rPr>
              <w:t>EJECUCIÓN DEL CONTRATO ‒ Contrato estatal – Cierre del expediente contractual – Acto de trámite – Constancia / CIERRE DEL EXPEDIENTE CONTRACTUAL – Requisitos – Procedencia / CIERRE DEL EXPEDIENTE CONTRACTUAL – Obligatoriedad – Liquidación – Garantías – Buena práctica contractual</w:t>
            </w:r>
            <w:r w:rsidRPr="009673B4">
              <w:rPr>
                <w:rFonts w:ascii="Verdana" w:eastAsia="Calibri" w:hAnsi="Verdana" w:cs="Arial"/>
                <w:lang w:val="es-ES" w:eastAsia="es-ES"/>
              </w:rPr>
              <w:t xml:space="preserve">  </w:t>
            </w:r>
            <w:r w:rsidRPr="00B24DBE">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p>
          <w:p w14:paraId="458ACF5F" w14:textId="77777777" w:rsidR="00A05B9F" w:rsidRPr="00593A5F" w:rsidRDefault="00A05B9F" w:rsidP="00C671FE">
            <w:pPr>
              <w:spacing w:line="276" w:lineRule="auto"/>
              <w:jc w:val="both"/>
              <w:rPr>
                <w:rFonts w:ascii="Verdana" w:eastAsia="Calibri" w:hAnsi="Verdana" w:cs="Arial"/>
                <w:lang w:val="es-ES" w:eastAsia="es-ES"/>
              </w:rPr>
            </w:pPr>
            <w:r w:rsidRPr="00A11406">
              <w:rPr>
                <w:rFonts w:ascii="Verdana" w:eastAsia="Calibri" w:hAnsi="Verdana" w:cs="Arial"/>
                <w:lang w:val="es-ES" w:eastAsia="es-ES"/>
              </w:rPr>
              <w:t xml:space="preserve"> </w:t>
            </w:r>
            <w:r w:rsidRPr="00D1484F">
              <w:rPr>
                <w:rFonts w:ascii="Verdana" w:eastAsia="Calibri" w:hAnsi="Verdana" w:cs="Arial"/>
                <w:lang w:val="es-ES" w:eastAsia="es-ES"/>
              </w:rPr>
              <w:t xml:space="preserve"> </w:t>
            </w:r>
          </w:p>
        </w:tc>
      </w:tr>
      <w:tr w:rsidR="00A05B9F" w:rsidRPr="008E6AD9" w14:paraId="16628872" w14:textId="77777777" w:rsidTr="00C671FE">
        <w:tc>
          <w:tcPr>
            <w:tcW w:w="2689" w:type="dxa"/>
          </w:tcPr>
          <w:p w14:paraId="00B1201A" w14:textId="77777777" w:rsidR="00A05B9F" w:rsidRPr="008E6AD9" w:rsidRDefault="00A05B9F" w:rsidP="00C671FE">
            <w:pPr>
              <w:jc w:val="both"/>
              <w:rPr>
                <w:rFonts w:ascii="Verdana" w:eastAsia="Calibri" w:hAnsi="Verdana" w:cs="Arial"/>
                <w:b/>
                <w:lang w:val="es-ES_tradnl" w:eastAsia="es-ES_tradnl"/>
              </w:rPr>
            </w:pPr>
            <w:r w:rsidRPr="008E6AD9">
              <w:rPr>
                <w:rFonts w:ascii="Verdana" w:eastAsia="Calibri" w:hAnsi="Verdana" w:cs="Arial"/>
                <w:b/>
                <w:lang w:val="es-ES_tradnl" w:eastAsia="es-ES_tradnl"/>
              </w:rPr>
              <w:t>Radicación:</w:t>
            </w:r>
            <w:r w:rsidRPr="008E6AD9">
              <w:rPr>
                <w:rFonts w:ascii="Verdana" w:eastAsia="Calibri" w:hAnsi="Verdana" w:cs="Arial"/>
                <w:lang w:val="es-ES_tradnl" w:eastAsia="es-ES_tradnl"/>
              </w:rPr>
              <w:t xml:space="preserve">               </w:t>
            </w:r>
          </w:p>
        </w:tc>
        <w:tc>
          <w:tcPr>
            <w:tcW w:w="6100" w:type="dxa"/>
          </w:tcPr>
          <w:p w14:paraId="26293853" w14:textId="77777777" w:rsidR="00A05B9F" w:rsidRPr="00B92340" w:rsidRDefault="00A05B9F" w:rsidP="00C671FE">
            <w:pPr>
              <w:spacing w:line="276" w:lineRule="auto"/>
              <w:jc w:val="both"/>
              <w:rPr>
                <w:rFonts w:ascii="Verdana" w:eastAsia="Calibri" w:hAnsi="Verdana" w:cs="Arial"/>
                <w:lang w:val="es-ES_tradnl" w:eastAsia="es-ES_tradnl"/>
              </w:rPr>
            </w:pPr>
            <w:r w:rsidRPr="008E6AD9">
              <w:rPr>
                <w:rFonts w:ascii="Verdana" w:eastAsia="Calibri" w:hAnsi="Verdana" w:cs="Arial"/>
                <w:lang w:val="es-ES_tradnl" w:eastAsia="es-ES_tradnl"/>
              </w:rPr>
              <w:t xml:space="preserve">Respuesta a </w:t>
            </w:r>
            <w:r>
              <w:rPr>
                <w:rFonts w:ascii="Verdana" w:eastAsia="Calibri" w:hAnsi="Verdana" w:cs="Arial"/>
                <w:lang w:val="es-ES_tradnl" w:eastAsia="es-ES_tradnl"/>
              </w:rPr>
              <w:t xml:space="preserve">la </w:t>
            </w:r>
            <w:r w:rsidRPr="008E6AD9">
              <w:rPr>
                <w:rFonts w:ascii="Verdana" w:eastAsia="Calibri" w:hAnsi="Verdana" w:cs="Arial"/>
                <w:lang w:val="es-ES_tradnl" w:eastAsia="es-ES_tradnl"/>
              </w:rPr>
              <w:t>consulta con radicado No.</w:t>
            </w:r>
            <w:r>
              <w:rPr>
                <w:rFonts w:ascii="Verdana" w:eastAsia="Calibri" w:hAnsi="Verdana" w:cs="Arial"/>
                <w:lang w:val="es-ES_tradnl" w:eastAsia="es-ES_tradnl"/>
              </w:rPr>
              <w:t xml:space="preserve"> </w:t>
            </w:r>
            <w:r w:rsidRPr="00484365">
              <w:rPr>
                <w:rFonts w:ascii="Verdana" w:eastAsia="Calibri" w:hAnsi="Verdana" w:cs="Arial"/>
                <w:lang w:val="es-ES_tradnl" w:eastAsia="es-ES_tradnl"/>
              </w:rPr>
              <w:t>1_2026_06_25_008541</w:t>
            </w:r>
          </w:p>
        </w:tc>
      </w:tr>
    </w:tbl>
    <w:p w14:paraId="5D19368C" w14:textId="77777777" w:rsidR="00A05B9F" w:rsidRPr="00593A5F" w:rsidRDefault="00A05B9F" w:rsidP="00A05B9F">
      <w:pPr>
        <w:spacing w:after="0" w:line="240" w:lineRule="auto"/>
        <w:jc w:val="both"/>
        <w:rPr>
          <w:rFonts w:ascii="Verdana" w:eastAsia="Calibri" w:hAnsi="Verdana" w:cs="Arial"/>
          <w:color w:val="000000"/>
          <w:lang w:val="es-ES_tradnl" w:eastAsia="es-ES_tradnl"/>
        </w:rPr>
      </w:pPr>
    </w:p>
    <w:p w14:paraId="2B4E72BD" w14:textId="77777777" w:rsidR="00A05B9F" w:rsidRPr="00593A5F" w:rsidRDefault="00A05B9F" w:rsidP="00A05B9F">
      <w:pPr>
        <w:spacing w:after="0" w:line="240" w:lineRule="auto"/>
        <w:jc w:val="both"/>
        <w:rPr>
          <w:rFonts w:ascii="Verdana" w:eastAsia="Calibri" w:hAnsi="Verdana" w:cs="Arial"/>
          <w:color w:val="000000"/>
          <w:lang w:val="es-ES_tradnl" w:eastAsia="es-ES_tradnl"/>
        </w:rPr>
      </w:pPr>
    </w:p>
    <w:p w14:paraId="7B947E98" w14:textId="77777777" w:rsidR="00A05B9F" w:rsidRPr="008E6AD9" w:rsidRDefault="00A05B9F" w:rsidP="00A05B9F">
      <w:pPr>
        <w:spacing w:after="0" w:line="276" w:lineRule="auto"/>
        <w:jc w:val="both"/>
        <w:rPr>
          <w:rFonts w:ascii="Verdana" w:eastAsia="Calibri" w:hAnsi="Verdana" w:cs="Arial"/>
          <w:lang w:val="es-ES" w:eastAsia="es-ES"/>
        </w:rPr>
      </w:pPr>
      <w:r w:rsidRPr="008E6AD9">
        <w:rPr>
          <w:rFonts w:ascii="Verdana" w:eastAsia="Calibri" w:hAnsi="Verdana" w:cs="Arial"/>
          <w:lang w:val="es-ES" w:eastAsia="es-ES"/>
        </w:rPr>
        <w:t>Estimad</w:t>
      </w:r>
      <w:r>
        <w:rPr>
          <w:rFonts w:ascii="Verdana" w:eastAsia="Calibri" w:hAnsi="Verdana" w:cs="Arial"/>
          <w:lang w:val="es-ES" w:eastAsia="es-ES"/>
        </w:rPr>
        <w:t>a</w:t>
      </w:r>
      <w:r w:rsidRPr="008E6AD9">
        <w:rPr>
          <w:rFonts w:ascii="Verdana" w:eastAsia="Calibri" w:hAnsi="Verdana" w:cs="Arial"/>
          <w:lang w:val="es-ES" w:eastAsia="es-ES"/>
        </w:rPr>
        <w:t xml:space="preserve"> </w:t>
      </w:r>
      <w:r>
        <w:rPr>
          <w:rFonts w:ascii="Verdana" w:eastAsia="Calibri" w:hAnsi="Verdana" w:cs="Arial"/>
          <w:lang w:val="es-ES" w:eastAsia="es-ES"/>
        </w:rPr>
        <w:t>señora Cuan</w:t>
      </w:r>
      <w:r w:rsidRPr="008E6AD9">
        <w:rPr>
          <w:rFonts w:ascii="Verdana" w:eastAsia="Calibri" w:hAnsi="Verdana" w:cs="Arial"/>
          <w:lang w:val="es-ES" w:eastAsia="es-ES"/>
        </w:rPr>
        <w:t xml:space="preserve">: </w:t>
      </w:r>
    </w:p>
    <w:p w14:paraId="0AC9876E" w14:textId="77777777" w:rsidR="00A05B9F" w:rsidRDefault="00A05B9F" w:rsidP="00A05B9F">
      <w:pPr>
        <w:tabs>
          <w:tab w:val="left" w:pos="3768"/>
        </w:tabs>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ab/>
      </w:r>
    </w:p>
    <w:p w14:paraId="705D4453" w14:textId="77777777" w:rsidR="00A05B9F" w:rsidRPr="00593A5F" w:rsidRDefault="00A05B9F" w:rsidP="00A05B9F">
      <w:pPr>
        <w:spacing w:after="0" w:line="276" w:lineRule="auto"/>
        <w:jc w:val="both"/>
        <w:rPr>
          <w:rFonts w:ascii="Verdana" w:eastAsia="Calibri" w:hAnsi="Verdana" w:cs="Arial"/>
          <w:color w:val="7030A0"/>
          <w:lang w:val="es-ES" w:eastAsia="es-ES"/>
        </w:rPr>
      </w:pPr>
      <w:r w:rsidRPr="00593A5F">
        <w:rPr>
          <w:rFonts w:ascii="Verdana" w:eastAsia="Calibri" w:hAnsi="Verdana" w:cs="Arial"/>
          <w:color w:val="000000" w:themeColor="text1"/>
          <w:lang w:val="es-ES" w:eastAsia="es-ES"/>
        </w:rPr>
        <w:t>En ejercicio de la competencia otorgada por los artículos 3, numeral 5º, y 11, numeral 8º, del Decreto Ley 4170 de 2011,</w:t>
      </w:r>
      <w:r w:rsidRPr="00593A5F">
        <w:rPr>
          <w:rFonts w:ascii="Verdana" w:eastAsia="Arial MT" w:hAnsi="Verdana" w:cs="Arial MT"/>
          <w:lang w:val="es-ES" w:eastAsia="es-ES"/>
        </w:rPr>
        <w:t xml:space="preserve"> </w:t>
      </w:r>
      <w:r w:rsidRPr="003B6F24">
        <w:rPr>
          <w:rFonts w:ascii="Verdana" w:hAnsi="Verdana" w:cs="Arial"/>
        </w:rPr>
        <w:t>así como lo establecido en el artículo 4 de la Resolución 469 de 2025 expedida por esta Entidad</w:t>
      </w:r>
      <w:r w:rsidRPr="00593A5F">
        <w:rPr>
          <w:rFonts w:ascii="Verdana" w:hAnsi="Verdana" w:cs="Arial"/>
        </w:rPr>
        <w:t xml:space="preserve">, </w:t>
      </w:r>
      <w:r w:rsidRPr="00593A5F">
        <w:rPr>
          <w:rFonts w:ascii="Verdana" w:eastAsia="Calibri" w:hAnsi="Verdana" w:cs="Arial"/>
          <w:color w:val="000000" w:themeColor="text1"/>
          <w:lang w:val="es-ES" w:eastAsia="es-ES"/>
        </w:rPr>
        <w:t>la Agencia Nacional de Contratación Pública – Colombia Compra Eficiente responde su solicitud de</w:t>
      </w:r>
      <w:r>
        <w:rPr>
          <w:rFonts w:ascii="Verdana" w:eastAsia="Calibri" w:hAnsi="Verdana" w:cs="Arial"/>
          <w:color w:val="000000" w:themeColor="text1"/>
          <w:lang w:val="es-ES" w:eastAsia="es-ES"/>
        </w:rPr>
        <w:t xml:space="preserve"> consulta de </w:t>
      </w:r>
      <w:r w:rsidRPr="008E6AD9">
        <w:rPr>
          <w:rFonts w:ascii="Verdana" w:eastAsia="Calibri" w:hAnsi="Verdana" w:cs="Arial"/>
          <w:lang w:val="es-ES" w:eastAsia="es-ES"/>
        </w:rPr>
        <w:t>fecha</w:t>
      </w:r>
      <w:r>
        <w:rPr>
          <w:rFonts w:ascii="Verdana" w:eastAsia="Calibri" w:hAnsi="Verdana" w:cs="Arial"/>
          <w:lang w:val="es-ES" w:eastAsia="es-ES"/>
        </w:rPr>
        <w:t xml:space="preserve"> 25 de junio de 2026, donde solicita conceptuar sobre los siguientes aspectos</w:t>
      </w:r>
      <w:r w:rsidRPr="008E6AD9">
        <w:rPr>
          <w:rFonts w:ascii="Verdana" w:eastAsia="Calibri" w:hAnsi="Verdana" w:cs="Arial"/>
          <w:lang w:val="es-ES" w:eastAsia="es-ES"/>
        </w:rPr>
        <w:t xml:space="preserve">: </w:t>
      </w:r>
    </w:p>
    <w:p w14:paraId="45131B4A" w14:textId="77777777" w:rsidR="00A05B9F" w:rsidRPr="00272A7B" w:rsidRDefault="00A05B9F" w:rsidP="00A05B9F">
      <w:pPr>
        <w:pStyle w:val="Prrafodelista"/>
        <w:tabs>
          <w:tab w:val="left" w:pos="142"/>
          <w:tab w:val="left" w:pos="284"/>
        </w:tabs>
        <w:spacing w:after="0" w:line="276" w:lineRule="auto"/>
        <w:ind w:left="0"/>
        <w:jc w:val="both"/>
        <w:rPr>
          <w:rFonts w:ascii="Verdana" w:eastAsia="Century Gothic" w:hAnsi="Verdana" w:cs="Century Gothic"/>
          <w:b/>
          <w:bCs/>
        </w:rPr>
      </w:pPr>
    </w:p>
    <w:p w14:paraId="090AB888" w14:textId="77777777" w:rsidR="00A05B9F" w:rsidRDefault="00A05B9F" w:rsidP="00A05B9F">
      <w:pPr>
        <w:spacing w:after="0" w:line="240" w:lineRule="auto"/>
        <w:ind w:left="709" w:right="709"/>
        <w:jc w:val="both"/>
        <w:rPr>
          <w:rFonts w:ascii="Verdana" w:eastAsia="Century Gothic" w:hAnsi="Verdana" w:cs="Century Gothic"/>
          <w:sz w:val="20"/>
          <w:szCs w:val="20"/>
        </w:rPr>
      </w:pPr>
      <w:bookmarkStart w:id="0" w:name="_Hlk95313578"/>
      <w:r w:rsidRPr="001904AF">
        <w:rPr>
          <w:rFonts w:ascii="Verdana" w:eastAsia="Century Gothic" w:hAnsi="Verdana" w:cs="Century Gothic"/>
          <w:sz w:val="20"/>
          <w:szCs w:val="20"/>
          <w:lang w:val="es-ES"/>
        </w:rPr>
        <w:t>“</w:t>
      </w:r>
      <w:bookmarkEnd w:id="0"/>
      <w:r>
        <w:rPr>
          <w:rFonts w:ascii="Verdana" w:eastAsia="Century Gothic" w:hAnsi="Verdana" w:cs="Century Gothic"/>
          <w:sz w:val="20"/>
          <w:szCs w:val="20"/>
          <w:lang w:val="es-ES"/>
        </w:rPr>
        <w:t>C</w:t>
      </w:r>
      <w:r w:rsidRPr="006A0383">
        <w:rPr>
          <w:rFonts w:ascii="Verdana" w:eastAsia="Century Gothic" w:hAnsi="Verdana" w:cs="Century Gothic"/>
          <w:sz w:val="20"/>
          <w:szCs w:val="20"/>
        </w:rPr>
        <w:t xml:space="preserve">ONTRATOS DE SEGUROS </w:t>
      </w:r>
    </w:p>
    <w:p w14:paraId="7B55FA4A" w14:textId="77777777" w:rsidR="00A05B9F" w:rsidRDefault="00A05B9F" w:rsidP="00A05B9F">
      <w:pPr>
        <w:spacing w:after="0" w:line="240" w:lineRule="auto"/>
        <w:ind w:left="709" w:right="709"/>
        <w:jc w:val="both"/>
        <w:rPr>
          <w:rFonts w:ascii="Verdana" w:eastAsia="Century Gothic" w:hAnsi="Verdana" w:cs="Century Gothic"/>
          <w:sz w:val="20"/>
          <w:szCs w:val="20"/>
        </w:rPr>
      </w:pPr>
    </w:p>
    <w:p w14:paraId="2C6FF4A0" w14:textId="77777777" w:rsidR="00A05B9F" w:rsidRDefault="00A05B9F" w:rsidP="00A05B9F">
      <w:pPr>
        <w:spacing w:after="0" w:line="240" w:lineRule="auto"/>
        <w:ind w:left="709" w:right="709"/>
        <w:jc w:val="both"/>
        <w:rPr>
          <w:rFonts w:ascii="Verdana" w:eastAsia="Century Gothic" w:hAnsi="Verdana" w:cs="Century Gothic"/>
          <w:sz w:val="20"/>
          <w:szCs w:val="20"/>
        </w:rPr>
      </w:pPr>
      <w:r w:rsidRPr="006A0383">
        <w:rPr>
          <w:rFonts w:ascii="Verdana" w:eastAsia="Century Gothic" w:hAnsi="Verdana" w:cs="Century Gothic"/>
          <w:sz w:val="20"/>
          <w:szCs w:val="20"/>
        </w:rPr>
        <w:lastRenderedPageBreak/>
        <w:t xml:space="preserve">1. ¿Los contratos de seguros, adelantados por la Entidades Públicas, deben ser liquidados? </w:t>
      </w:r>
    </w:p>
    <w:p w14:paraId="5E086ED2" w14:textId="77777777" w:rsidR="00A05B9F" w:rsidRDefault="00A05B9F" w:rsidP="00A05B9F">
      <w:pPr>
        <w:spacing w:after="0" w:line="240" w:lineRule="auto"/>
        <w:ind w:left="709" w:right="709"/>
        <w:jc w:val="both"/>
        <w:rPr>
          <w:rFonts w:ascii="Verdana" w:eastAsia="Century Gothic" w:hAnsi="Verdana" w:cs="Century Gothic"/>
          <w:sz w:val="20"/>
          <w:szCs w:val="20"/>
        </w:rPr>
      </w:pPr>
      <w:r w:rsidRPr="006A0383">
        <w:rPr>
          <w:rFonts w:ascii="Verdana" w:eastAsia="Century Gothic" w:hAnsi="Verdana" w:cs="Century Gothic"/>
          <w:sz w:val="20"/>
          <w:szCs w:val="20"/>
        </w:rPr>
        <w:t xml:space="preserve">2. De ser así ¿Existen aspectos específicos a evaluar para adelantar la liquidación de dichos contratos? </w:t>
      </w:r>
    </w:p>
    <w:p w14:paraId="0490602F" w14:textId="77777777" w:rsidR="00A05B9F" w:rsidRDefault="00A05B9F" w:rsidP="00A05B9F">
      <w:pPr>
        <w:spacing w:after="0" w:line="240" w:lineRule="auto"/>
        <w:ind w:left="709" w:right="709"/>
        <w:jc w:val="both"/>
        <w:rPr>
          <w:rFonts w:ascii="Verdana" w:eastAsia="Century Gothic" w:hAnsi="Verdana" w:cs="Century Gothic"/>
          <w:sz w:val="20"/>
          <w:szCs w:val="20"/>
        </w:rPr>
      </w:pPr>
      <w:r w:rsidRPr="006A0383">
        <w:rPr>
          <w:rFonts w:ascii="Verdana" w:eastAsia="Century Gothic" w:hAnsi="Verdana" w:cs="Century Gothic"/>
          <w:sz w:val="20"/>
          <w:szCs w:val="20"/>
        </w:rPr>
        <w:t xml:space="preserve">3. En los contratos de seguros ¿Cuáles son los criterios para realizar el cierre de expediente? </w:t>
      </w:r>
    </w:p>
    <w:p w14:paraId="31C6A226" w14:textId="77777777" w:rsidR="00A05B9F" w:rsidRDefault="00A05B9F" w:rsidP="00A05B9F">
      <w:pPr>
        <w:spacing w:after="0" w:line="240" w:lineRule="auto"/>
        <w:ind w:left="709" w:right="709"/>
        <w:jc w:val="both"/>
        <w:rPr>
          <w:rFonts w:ascii="Verdana" w:eastAsia="Century Gothic" w:hAnsi="Verdana" w:cs="Century Gothic"/>
          <w:sz w:val="20"/>
          <w:szCs w:val="20"/>
        </w:rPr>
      </w:pPr>
      <w:r w:rsidRPr="006A0383">
        <w:rPr>
          <w:rFonts w:ascii="Verdana" w:eastAsia="Century Gothic" w:hAnsi="Verdana" w:cs="Century Gothic"/>
          <w:sz w:val="20"/>
          <w:szCs w:val="20"/>
        </w:rPr>
        <w:t xml:space="preserve">4. Si aplica la liquidación y la entidad contratante ha perdido competencia para ello, ¿Cuál es el procedimiento para subsanar esta situación? </w:t>
      </w:r>
    </w:p>
    <w:p w14:paraId="2C4752B0" w14:textId="77777777" w:rsidR="00A05B9F" w:rsidRDefault="00A05B9F" w:rsidP="00A05B9F">
      <w:pPr>
        <w:spacing w:after="0" w:line="240" w:lineRule="auto"/>
        <w:ind w:left="709" w:right="709"/>
        <w:jc w:val="both"/>
        <w:rPr>
          <w:rFonts w:ascii="Verdana" w:eastAsia="Century Gothic" w:hAnsi="Verdana" w:cs="Century Gothic"/>
          <w:sz w:val="20"/>
          <w:szCs w:val="20"/>
        </w:rPr>
      </w:pPr>
      <w:r w:rsidRPr="006A0383">
        <w:rPr>
          <w:rFonts w:ascii="Verdana" w:eastAsia="Century Gothic" w:hAnsi="Verdana" w:cs="Century Gothic"/>
          <w:sz w:val="20"/>
          <w:szCs w:val="20"/>
        </w:rPr>
        <w:t xml:space="preserve">5. ¿Si existen reclamaciones en curso, que involucran procesos judiciales ajenos a la operación de la Entidad contratante, en espera de sentencia o fallo, es posible realizar el cierre del expediente contractual? o ¿La Entidad debe esperar a que los procesos judiciales concluyan para hacer el correspondiente cierre? </w:t>
      </w:r>
    </w:p>
    <w:p w14:paraId="473BFD55" w14:textId="77777777" w:rsidR="00A05B9F" w:rsidRDefault="00A05B9F" w:rsidP="00A05B9F">
      <w:pPr>
        <w:spacing w:after="0" w:line="240" w:lineRule="auto"/>
        <w:ind w:left="709" w:right="709"/>
        <w:jc w:val="both"/>
        <w:rPr>
          <w:rFonts w:ascii="Verdana" w:eastAsia="Century Gothic" w:hAnsi="Verdana" w:cs="Century Gothic"/>
          <w:sz w:val="20"/>
          <w:szCs w:val="20"/>
        </w:rPr>
      </w:pPr>
    </w:p>
    <w:p w14:paraId="63728616" w14:textId="77777777" w:rsidR="00A05B9F" w:rsidRDefault="00A05B9F" w:rsidP="00A05B9F">
      <w:pPr>
        <w:spacing w:after="0" w:line="240" w:lineRule="auto"/>
        <w:ind w:left="709" w:right="709"/>
        <w:jc w:val="both"/>
        <w:rPr>
          <w:rFonts w:ascii="Verdana" w:eastAsia="Century Gothic" w:hAnsi="Verdana" w:cs="Century Gothic"/>
          <w:sz w:val="20"/>
          <w:szCs w:val="20"/>
        </w:rPr>
      </w:pPr>
      <w:r w:rsidRPr="006A0383">
        <w:rPr>
          <w:rFonts w:ascii="Verdana" w:eastAsia="Century Gothic" w:hAnsi="Verdana" w:cs="Century Gothic"/>
          <w:sz w:val="20"/>
          <w:szCs w:val="20"/>
        </w:rPr>
        <w:t>CONTRATOS DE CORRETAJE O INTERMEDIACIÓN DE SEGUROS</w:t>
      </w:r>
    </w:p>
    <w:p w14:paraId="3B8EDC86" w14:textId="77777777" w:rsidR="00A05B9F" w:rsidRDefault="00A05B9F" w:rsidP="00A05B9F">
      <w:pPr>
        <w:spacing w:after="0" w:line="240" w:lineRule="auto"/>
        <w:ind w:left="709" w:right="709"/>
        <w:jc w:val="both"/>
        <w:rPr>
          <w:rFonts w:ascii="Verdana" w:eastAsia="Century Gothic" w:hAnsi="Verdana" w:cs="Century Gothic"/>
          <w:sz w:val="20"/>
          <w:szCs w:val="20"/>
        </w:rPr>
      </w:pPr>
    </w:p>
    <w:p w14:paraId="72AED50C" w14:textId="77777777" w:rsidR="00A05B9F" w:rsidRDefault="00A05B9F" w:rsidP="00A05B9F">
      <w:pPr>
        <w:spacing w:after="0" w:line="240" w:lineRule="auto"/>
        <w:ind w:left="709" w:right="709"/>
        <w:jc w:val="both"/>
        <w:rPr>
          <w:rFonts w:ascii="Verdana" w:eastAsia="Century Gothic" w:hAnsi="Verdana" w:cs="Century Gothic"/>
          <w:sz w:val="20"/>
          <w:szCs w:val="20"/>
        </w:rPr>
      </w:pPr>
      <w:r w:rsidRPr="006A0383">
        <w:rPr>
          <w:rFonts w:ascii="Verdana" w:eastAsia="Century Gothic" w:hAnsi="Verdana" w:cs="Century Gothic"/>
          <w:sz w:val="20"/>
          <w:szCs w:val="20"/>
        </w:rPr>
        <w:t xml:space="preserve"> l. ¿Los contratos de corretaje de seguros, adelantados por la Entidades Públicas, deben ser liquidados? </w:t>
      </w:r>
    </w:p>
    <w:p w14:paraId="38301B6E" w14:textId="77777777" w:rsidR="00A05B9F" w:rsidRDefault="00A05B9F" w:rsidP="00A05B9F">
      <w:pPr>
        <w:spacing w:after="0" w:line="240" w:lineRule="auto"/>
        <w:ind w:left="709" w:right="709"/>
        <w:jc w:val="both"/>
        <w:rPr>
          <w:rFonts w:ascii="Verdana" w:eastAsia="Century Gothic" w:hAnsi="Verdana" w:cs="Century Gothic"/>
          <w:sz w:val="20"/>
          <w:szCs w:val="20"/>
        </w:rPr>
      </w:pPr>
      <w:r w:rsidRPr="006A0383">
        <w:rPr>
          <w:rFonts w:ascii="Verdana" w:eastAsia="Century Gothic" w:hAnsi="Verdana" w:cs="Century Gothic"/>
          <w:sz w:val="20"/>
          <w:szCs w:val="20"/>
        </w:rPr>
        <w:t xml:space="preserve">2. De ser así ¿Existen aspectos específicos a evaluar para adelantar la liquidación de dichos contratos? </w:t>
      </w:r>
    </w:p>
    <w:p w14:paraId="28991E5C" w14:textId="77777777" w:rsidR="00A05B9F" w:rsidRDefault="00A05B9F" w:rsidP="00A05B9F">
      <w:pPr>
        <w:spacing w:after="0" w:line="240" w:lineRule="auto"/>
        <w:ind w:left="709" w:right="709"/>
        <w:jc w:val="both"/>
        <w:rPr>
          <w:rFonts w:ascii="Verdana" w:eastAsia="Century Gothic" w:hAnsi="Verdana" w:cs="Century Gothic"/>
          <w:sz w:val="20"/>
          <w:szCs w:val="20"/>
        </w:rPr>
      </w:pPr>
      <w:r w:rsidRPr="006A0383">
        <w:rPr>
          <w:rFonts w:ascii="Verdana" w:eastAsia="Century Gothic" w:hAnsi="Verdana" w:cs="Century Gothic"/>
          <w:sz w:val="20"/>
          <w:szCs w:val="20"/>
        </w:rPr>
        <w:t xml:space="preserve">3. En estos contratos ¿Cuáles son los criterios para realizar el cierre de expediente? </w:t>
      </w:r>
    </w:p>
    <w:p w14:paraId="152E6945" w14:textId="77777777" w:rsidR="00A05B9F" w:rsidRDefault="00A05B9F" w:rsidP="00A05B9F">
      <w:pPr>
        <w:spacing w:after="0" w:line="240" w:lineRule="auto"/>
        <w:ind w:left="709" w:right="709"/>
        <w:jc w:val="both"/>
        <w:rPr>
          <w:rFonts w:ascii="Verdana" w:eastAsia="Century Gothic" w:hAnsi="Verdana" w:cs="Century Gothic"/>
          <w:sz w:val="20"/>
          <w:szCs w:val="20"/>
        </w:rPr>
      </w:pPr>
      <w:r w:rsidRPr="006A0383">
        <w:rPr>
          <w:rFonts w:ascii="Verdana" w:eastAsia="Century Gothic" w:hAnsi="Verdana" w:cs="Century Gothic"/>
          <w:sz w:val="20"/>
          <w:szCs w:val="20"/>
        </w:rPr>
        <w:t xml:space="preserve">4. Si aplica la liquidación y la entidad contratante ha perdido competencia para ello, ¿Cuál es el procedimiento para subsanar esta situación? </w:t>
      </w:r>
    </w:p>
    <w:p w14:paraId="3089383C" w14:textId="77777777" w:rsidR="00A05B9F" w:rsidRPr="006A0383" w:rsidRDefault="00A05B9F" w:rsidP="00A05B9F">
      <w:pPr>
        <w:spacing w:after="0" w:line="240" w:lineRule="auto"/>
        <w:ind w:left="709" w:right="709"/>
        <w:jc w:val="both"/>
        <w:rPr>
          <w:rFonts w:ascii="Verdana" w:eastAsia="Century Gothic" w:hAnsi="Verdana" w:cs="Century Gothic"/>
          <w:sz w:val="20"/>
          <w:szCs w:val="20"/>
        </w:rPr>
      </w:pPr>
      <w:r w:rsidRPr="006A0383">
        <w:rPr>
          <w:rFonts w:ascii="Verdana" w:eastAsia="Century Gothic" w:hAnsi="Verdana" w:cs="Century Gothic"/>
          <w:sz w:val="20"/>
          <w:szCs w:val="20"/>
        </w:rPr>
        <w:t>5. Si existen reclamaciones en curso con la Aseguradora, aun cuando el contrato de corretaje se haya terminado, ¿es necesario esperar a concluir el trámite de los siniestros en su totalidad para proceder a la liquidación y/o cierre del contrato de intermediación</w:t>
      </w:r>
      <w:r w:rsidRPr="00904703">
        <w:rPr>
          <w:rFonts w:ascii="Verdana" w:eastAsia="Century Gothic" w:hAnsi="Verdana" w:cs="Century Gothic"/>
          <w:sz w:val="20"/>
          <w:szCs w:val="20"/>
          <w:lang w:val="es-ES"/>
        </w:rPr>
        <w:t>?</w:t>
      </w:r>
      <w:r>
        <w:rPr>
          <w:rFonts w:ascii="Verdana" w:eastAsia="Century Gothic" w:hAnsi="Verdana" w:cs="Century Gothic"/>
          <w:sz w:val="20"/>
          <w:szCs w:val="20"/>
          <w:lang w:val="es-ES"/>
        </w:rPr>
        <w:t>”.</w:t>
      </w:r>
    </w:p>
    <w:p w14:paraId="1B3F2A2B" w14:textId="77777777" w:rsidR="00A05B9F" w:rsidRDefault="00A05B9F" w:rsidP="00A05B9F">
      <w:pPr>
        <w:spacing w:after="0" w:line="276" w:lineRule="auto"/>
        <w:ind w:firstLine="709"/>
        <w:jc w:val="both"/>
        <w:rPr>
          <w:rFonts w:ascii="Verdana" w:eastAsia="Calibri" w:hAnsi="Verdana" w:cs="Arial"/>
          <w:color w:val="000000"/>
          <w:lang w:val="es-ES" w:eastAsia="es-ES"/>
        </w:rPr>
      </w:pPr>
    </w:p>
    <w:p w14:paraId="61417B53" w14:textId="77777777" w:rsidR="00A05B9F" w:rsidRPr="00A652FF" w:rsidRDefault="00A05B9F" w:rsidP="00A05B9F">
      <w:pPr>
        <w:spacing w:after="120" w:line="276" w:lineRule="auto"/>
        <w:ind w:firstLine="709"/>
        <w:jc w:val="both"/>
        <w:rPr>
          <w:rFonts w:ascii="Verdana" w:eastAsia="Calibri" w:hAnsi="Verdana" w:cs="Arial"/>
          <w:color w:val="000000"/>
          <w:lang w:val="es-ES" w:eastAsia="es-ES"/>
        </w:rPr>
      </w:pPr>
      <w:r>
        <w:rPr>
          <w:rFonts w:ascii="Verdana" w:eastAsia="Calibri" w:hAnsi="Verdana" w:cs="Arial"/>
          <w:color w:val="000000"/>
          <w:lang w:val="es-ES" w:eastAsia="es-ES"/>
        </w:rPr>
        <w:t>De manera preliminar</w:t>
      </w:r>
      <w:r w:rsidRPr="00593A5F">
        <w:rPr>
          <w:rFonts w:ascii="Verdana" w:eastAsia="Calibri" w:hAnsi="Verdana" w:cs="Arial"/>
          <w:color w:val="000000"/>
          <w:lang w:val="es-ES" w:eastAsia="es-ES"/>
        </w:rPr>
        <w:t>, resulta necesario acotar que esta entidad s</w:t>
      </w:r>
      <w:r>
        <w:rPr>
          <w:rFonts w:ascii="Verdana" w:eastAsia="Calibri" w:hAnsi="Verdana" w:cs="Arial"/>
          <w:color w:val="000000"/>
          <w:lang w:val="es-ES" w:eastAsia="es-ES"/>
        </w:rPr>
        <w:t>ó</w:t>
      </w:r>
      <w:r w:rsidRPr="00593A5F">
        <w:rPr>
          <w:rFonts w:ascii="Verdana" w:eastAsia="Calibri" w:hAnsi="Verdana" w:cs="Arial"/>
          <w:color w:val="000000"/>
          <w:lang w:val="es-ES" w:eastAsia="es-ES"/>
        </w:rPr>
        <w:t xml:space="preserve">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w:t>
      </w:r>
      <w:r>
        <w:rPr>
          <w:rFonts w:ascii="Verdana" w:eastAsia="Calibri" w:hAnsi="Verdana" w:cs="Arial"/>
          <w:color w:val="000000"/>
          <w:lang w:val="es-ES" w:eastAsia="es-ES"/>
        </w:rPr>
        <w:t>concretos</w:t>
      </w:r>
      <w:r w:rsidRPr="00593A5F">
        <w:rPr>
          <w:rFonts w:ascii="Verdana" w:eastAsia="Calibri" w:hAnsi="Verdana" w:cs="Arial"/>
          <w:color w:val="000000"/>
          <w:lang w:val="es-ES" w:eastAsia="es-ES"/>
        </w:rPr>
        <w:t xml:space="preserve">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93A5F">
        <w:rPr>
          <w:rFonts w:ascii="Verdana" w:eastAsia="Calibri" w:hAnsi="Verdana" w:cs="Arial"/>
          <w:color w:val="000000"/>
          <w:szCs w:val="24"/>
          <w:lang w:val="es-ES_tradnl" w:eastAsia="es-ES_tradnl"/>
        </w:rPr>
        <w:tab/>
      </w:r>
    </w:p>
    <w:p w14:paraId="282518D6" w14:textId="77777777" w:rsidR="00A05B9F" w:rsidRDefault="00A05B9F" w:rsidP="00A05B9F">
      <w:pPr>
        <w:spacing w:after="0" w:line="276" w:lineRule="auto"/>
        <w:ind w:firstLine="709"/>
        <w:jc w:val="both"/>
        <w:rPr>
          <w:rFonts w:ascii="Verdana" w:eastAsia="Calibri" w:hAnsi="Verdana" w:cs="Arial"/>
          <w:color w:val="000000"/>
          <w:lang w:val="es-ES" w:eastAsia="es-ES"/>
        </w:rPr>
      </w:pPr>
      <w:r w:rsidRPr="00593A5F">
        <w:rPr>
          <w:rFonts w:ascii="Verdana" w:eastAsia="Calibri" w:hAnsi="Verdana" w:cs="Arial"/>
          <w:color w:val="000000"/>
          <w:lang w:val="es-ES" w:eastAsia="es-ES"/>
        </w:rPr>
        <w:lastRenderedPageBreak/>
        <w:t>Conforme lo expuesto, en aras de satisfacer el derecho fundamental de petición se resolverá su consulta dentro de los límites de la referida competencia consultiva, esto es, haciendo abstracción de la</w:t>
      </w:r>
      <w:r>
        <w:rPr>
          <w:rFonts w:ascii="Verdana" w:eastAsia="Calibri" w:hAnsi="Verdana" w:cs="Arial"/>
          <w:color w:val="000000"/>
          <w:lang w:val="es-ES" w:eastAsia="es-ES"/>
        </w:rPr>
        <w:t>s circunstancias</w:t>
      </w:r>
      <w:r w:rsidRPr="00593A5F">
        <w:rPr>
          <w:rFonts w:ascii="Verdana" w:eastAsia="Calibri" w:hAnsi="Verdana" w:cs="Arial"/>
          <w:color w:val="000000"/>
          <w:lang w:val="es-ES" w:eastAsia="es-ES"/>
        </w:rPr>
        <w:t xml:space="preserve"> </w:t>
      </w:r>
      <w:r>
        <w:rPr>
          <w:rFonts w:ascii="Verdana" w:eastAsia="Calibri" w:hAnsi="Verdana" w:cs="Arial"/>
          <w:color w:val="000000"/>
          <w:lang w:val="es-ES" w:eastAsia="es-ES"/>
        </w:rPr>
        <w:t>específicas que la hayan motivado</w:t>
      </w:r>
      <w:r w:rsidRPr="00593A5F">
        <w:rPr>
          <w:rFonts w:ascii="Verdana" w:eastAsia="Calibri" w:hAnsi="Verdana" w:cs="Arial"/>
          <w:color w:val="000000"/>
          <w:lang w:val="es-ES" w:eastAsia="es-ES"/>
        </w:rPr>
        <w:t xml:space="preserve">, pero haciendo unas consideraciones sobre las normas generales relacionadas con </w:t>
      </w:r>
      <w:r>
        <w:rPr>
          <w:rFonts w:ascii="Verdana" w:eastAsia="Calibri" w:hAnsi="Verdana" w:cs="Arial"/>
          <w:color w:val="000000"/>
          <w:lang w:val="es-ES" w:eastAsia="es-ES"/>
        </w:rPr>
        <w:t>el</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problema</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jurídico</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de su</w:t>
      </w:r>
      <w:r w:rsidRPr="00593A5F">
        <w:rPr>
          <w:rFonts w:ascii="Verdana" w:eastAsia="Calibri" w:hAnsi="Verdana" w:cs="Arial"/>
          <w:color w:val="000000"/>
          <w:lang w:val="es-ES" w:eastAsia="es-ES"/>
        </w:rPr>
        <w:t xml:space="preserve"> consulta.</w:t>
      </w:r>
      <w:r>
        <w:rPr>
          <w:rFonts w:ascii="Verdana" w:eastAsia="Calibri" w:hAnsi="Verdana" w:cs="Arial"/>
          <w:color w:val="000000"/>
          <w:lang w:val="es-ES" w:eastAsia="es-ES"/>
        </w:rPr>
        <w:t xml:space="preserve"> </w:t>
      </w:r>
      <w:r w:rsidRPr="00593A5F">
        <w:rPr>
          <w:rFonts w:ascii="Verdana" w:eastAsia="Calibri" w:hAnsi="Verdana" w:cs="Arial"/>
          <w:color w:val="000000"/>
          <w:lang w:val="es-ES" w:eastAsia="es-ES"/>
        </w:rPr>
        <w:t xml:space="preserve"> </w:t>
      </w:r>
    </w:p>
    <w:p w14:paraId="3236A2FC" w14:textId="77777777" w:rsidR="00A05B9F" w:rsidRPr="00593A5F" w:rsidRDefault="00A05B9F" w:rsidP="00A05B9F">
      <w:pPr>
        <w:spacing w:after="0" w:line="276" w:lineRule="auto"/>
        <w:ind w:firstLine="709"/>
        <w:jc w:val="both"/>
        <w:rPr>
          <w:rFonts w:ascii="Verdana" w:eastAsia="Calibri" w:hAnsi="Verdana" w:cs="Arial"/>
          <w:color w:val="000000"/>
          <w:lang w:val="es-ES" w:eastAsia="es-ES"/>
        </w:rPr>
      </w:pPr>
    </w:p>
    <w:p w14:paraId="75175DD5" w14:textId="77777777" w:rsidR="00A05B9F" w:rsidRPr="00593A5F" w:rsidRDefault="00A05B9F" w:rsidP="00A05B9F">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593A5F">
        <w:rPr>
          <w:rFonts w:ascii="Verdana" w:eastAsia="Century Gothic" w:hAnsi="Verdana" w:cs="Century Gothic"/>
          <w:b/>
          <w:bCs/>
        </w:rPr>
        <w:t>Problema planteado:</w:t>
      </w:r>
    </w:p>
    <w:p w14:paraId="1C77AEBD" w14:textId="77777777" w:rsidR="00A05B9F" w:rsidRPr="00593A5F" w:rsidRDefault="00A05B9F" w:rsidP="00A05B9F">
      <w:pPr>
        <w:tabs>
          <w:tab w:val="left" w:pos="426"/>
        </w:tabs>
        <w:spacing w:after="0" w:line="276" w:lineRule="auto"/>
        <w:jc w:val="both"/>
        <w:rPr>
          <w:rFonts w:ascii="Verdana" w:eastAsia="Century Gothic" w:hAnsi="Verdana" w:cs="Century Gothic"/>
          <w:lang w:val="es-ES"/>
        </w:rPr>
      </w:pPr>
    </w:p>
    <w:p w14:paraId="367753F7" w14:textId="77777777" w:rsidR="00A05B9F" w:rsidRPr="00593A5F" w:rsidRDefault="00A05B9F" w:rsidP="00A05B9F">
      <w:pPr>
        <w:spacing w:after="0" w:line="276" w:lineRule="auto"/>
        <w:jc w:val="both"/>
        <w:rPr>
          <w:rFonts w:ascii="Verdana" w:eastAsia="Century Gothic" w:hAnsi="Verdana" w:cs="Century Gothic"/>
        </w:rPr>
      </w:pPr>
      <w:r w:rsidRPr="00906BE9">
        <w:rPr>
          <w:rFonts w:ascii="Verdana" w:eastAsia="Century Gothic" w:hAnsi="Verdana" w:cs="Century Gothic"/>
        </w:rPr>
        <w:t xml:space="preserve">De acuerdo con el contenido de su solicitud, esta Agencia resolverá </w:t>
      </w:r>
      <w:r>
        <w:rPr>
          <w:rFonts w:ascii="Verdana" w:eastAsia="Century Gothic" w:hAnsi="Verdana" w:cs="Century Gothic"/>
        </w:rPr>
        <w:t>los</w:t>
      </w:r>
      <w:r w:rsidRPr="00906BE9">
        <w:rPr>
          <w:rFonts w:ascii="Verdana" w:eastAsia="Century Gothic" w:hAnsi="Verdana" w:cs="Century Gothic"/>
        </w:rPr>
        <w:t xml:space="preserve"> siguiente</w:t>
      </w:r>
      <w:r>
        <w:rPr>
          <w:rFonts w:ascii="Verdana" w:eastAsia="Century Gothic" w:hAnsi="Verdana" w:cs="Century Gothic"/>
        </w:rPr>
        <w:t xml:space="preserve">s </w:t>
      </w:r>
      <w:r w:rsidRPr="00906BE9">
        <w:rPr>
          <w:rFonts w:ascii="Verdana" w:eastAsia="Century Gothic" w:hAnsi="Verdana" w:cs="Century Gothic"/>
        </w:rPr>
        <w:t>problema</w:t>
      </w:r>
      <w:r>
        <w:rPr>
          <w:rFonts w:ascii="Verdana" w:eastAsia="Century Gothic" w:hAnsi="Verdana" w:cs="Century Gothic"/>
        </w:rPr>
        <w:t>s</w:t>
      </w:r>
      <w:r w:rsidRPr="00906BE9">
        <w:rPr>
          <w:rFonts w:ascii="Verdana" w:eastAsia="Century Gothic" w:hAnsi="Verdana" w:cs="Century Gothic"/>
        </w:rPr>
        <w:t xml:space="preserve"> jurídico</w:t>
      </w:r>
      <w:r>
        <w:rPr>
          <w:rFonts w:ascii="Verdana" w:eastAsia="Century Gothic" w:hAnsi="Verdana" w:cs="Century Gothic"/>
        </w:rPr>
        <w:t>s</w:t>
      </w:r>
      <w:r w:rsidRPr="00906BE9">
        <w:rPr>
          <w:rFonts w:ascii="Verdana" w:eastAsia="Century Gothic" w:hAnsi="Verdana" w:cs="Century Gothic"/>
        </w:rPr>
        <w:t>:</w:t>
      </w:r>
      <w:r>
        <w:rPr>
          <w:rFonts w:ascii="Verdana" w:eastAsia="Century Gothic" w:hAnsi="Verdana" w:cs="Century Gothic"/>
        </w:rPr>
        <w:t xml:space="preserve"> i) </w:t>
      </w:r>
      <w:r w:rsidRPr="00EE5E8E">
        <w:rPr>
          <w:rFonts w:ascii="Verdana" w:eastAsia="Century Gothic" w:hAnsi="Verdana" w:cs="Century Gothic"/>
        </w:rPr>
        <w:t xml:space="preserve">¿Es obligatoria la liquidación </w:t>
      </w:r>
      <w:r>
        <w:rPr>
          <w:rFonts w:ascii="Verdana" w:eastAsia="Century Gothic" w:hAnsi="Verdana" w:cs="Century Gothic"/>
        </w:rPr>
        <w:t>de</w:t>
      </w:r>
      <w:r w:rsidRPr="00EE5E8E">
        <w:rPr>
          <w:rFonts w:ascii="Verdana" w:eastAsia="Century Gothic" w:hAnsi="Verdana" w:cs="Century Gothic"/>
        </w:rPr>
        <w:t xml:space="preserve"> los contratos de</w:t>
      </w:r>
      <w:r>
        <w:rPr>
          <w:rFonts w:ascii="Verdana" w:eastAsia="Century Gothic" w:hAnsi="Verdana" w:cs="Century Gothic"/>
        </w:rPr>
        <w:t xml:space="preserve"> seguros y contratos de</w:t>
      </w:r>
      <w:r w:rsidRPr="00EE5E8E">
        <w:rPr>
          <w:rFonts w:ascii="Verdana" w:eastAsia="Century Gothic" w:hAnsi="Verdana" w:cs="Century Gothic"/>
        </w:rPr>
        <w:t xml:space="preserve"> corretaje, en los términos señalados en el artículo 60 de la Ley 80 de 1993, modificado por el artículo 217 del Decreto Ley 19 de 2012</w:t>
      </w:r>
      <w:r>
        <w:rPr>
          <w:rFonts w:ascii="Verdana" w:eastAsia="Century Gothic" w:hAnsi="Verdana" w:cs="Century Gothic"/>
        </w:rPr>
        <w:t>?, ii) ¿Pueden liquidarse los contratos después de vencidos los plazos establecidos</w:t>
      </w:r>
      <w:r w:rsidRPr="0058516C">
        <w:rPr>
          <w:rFonts w:ascii="Verdana" w:eastAsia="Times New Roman" w:hAnsi="Verdana" w:cs="Arial"/>
          <w:color w:val="000000"/>
          <w:bdr w:val="none" w:sz="0" w:space="0" w:color="auto" w:frame="1"/>
          <w:shd w:val="clear" w:color="auto" w:fill="FFFFFF"/>
          <w:lang w:val="es-ES" w:eastAsia="es-ES"/>
        </w:rPr>
        <w:t xml:space="preserve"> </w:t>
      </w:r>
      <w:r w:rsidRPr="64F094BD">
        <w:rPr>
          <w:rFonts w:ascii="Verdana" w:eastAsia="Times New Roman" w:hAnsi="Verdana" w:cs="Arial"/>
          <w:color w:val="000000"/>
          <w:bdr w:val="none" w:sz="0" w:space="0" w:color="auto" w:frame="1"/>
          <w:shd w:val="clear" w:color="auto" w:fill="FFFFFF"/>
          <w:lang w:val="es-ES" w:eastAsia="es-ES"/>
        </w:rPr>
        <w:t>el artículo 11 de la Ley 1150 de 2007</w:t>
      </w:r>
      <w:r>
        <w:rPr>
          <w:rFonts w:ascii="Verdana" w:eastAsia="Century Gothic" w:hAnsi="Verdana" w:cs="Century Gothic"/>
        </w:rPr>
        <w:t xml:space="preserve">?, y iii) </w:t>
      </w:r>
      <w:r w:rsidRPr="00C81B74">
        <w:rPr>
          <w:rFonts w:ascii="Verdana" w:eastAsia="Century Gothic" w:hAnsi="Verdana" w:cs="Century Gothic"/>
        </w:rPr>
        <w:t xml:space="preserve">¿Cuáles son los criterios para realizar el cierre de expediente? </w:t>
      </w:r>
      <w:r>
        <w:rPr>
          <w:rFonts w:ascii="Verdana" w:eastAsia="Century Gothic" w:hAnsi="Verdana" w:cs="Century Gothic"/>
        </w:rPr>
        <w:t xml:space="preserve"> </w:t>
      </w:r>
    </w:p>
    <w:p w14:paraId="1ADCF343" w14:textId="77777777" w:rsidR="00A05B9F" w:rsidRPr="004B140F" w:rsidRDefault="00A05B9F" w:rsidP="00A05B9F">
      <w:pPr>
        <w:spacing w:after="0" w:line="276" w:lineRule="auto"/>
        <w:jc w:val="both"/>
        <w:rPr>
          <w:rFonts w:ascii="Verdana" w:eastAsia="Calibri" w:hAnsi="Verdana" w:cs="Arial"/>
          <w:color w:val="7030A0"/>
        </w:rPr>
      </w:pPr>
    </w:p>
    <w:p w14:paraId="296D2496" w14:textId="77777777" w:rsidR="00A05B9F" w:rsidRPr="00593A5F" w:rsidRDefault="00A05B9F" w:rsidP="00A05B9F">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Respuesta:</w:t>
      </w:r>
    </w:p>
    <w:p w14:paraId="5B2160C3" w14:textId="77777777" w:rsidR="00A05B9F" w:rsidRPr="00593A5F" w:rsidRDefault="00A05B9F" w:rsidP="00A05B9F">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A05B9F" w:rsidRPr="00593A5F" w14:paraId="55379197" w14:textId="77777777" w:rsidTr="00C671FE">
        <w:trPr>
          <w:jc w:val="center"/>
        </w:trPr>
        <w:tc>
          <w:tcPr>
            <w:tcW w:w="8828" w:type="dxa"/>
          </w:tcPr>
          <w:p w14:paraId="2A8A039D" w14:textId="77777777" w:rsidR="00A05B9F" w:rsidRDefault="00A05B9F" w:rsidP="00C671FE">
            <w:pPr>
              <w:spacing w:after="120" w:line="276" w:lineRule="auto"/>
              <w:jc w:val="both"/>
              <w:rPr>
                <w:rFonts w:ascii="Verdana" w:eastAsia="Calibri" w:hAnsi="Verdana" w:cs="Arial"/>
                <w:color w:val="000000"/>
                <w:lang w:val="es-ES_tradnl"/>
              </w:rPr>
            </w:pPr>
            <w:bookmarkStart w:id="1" w:name="_Hlk171694685"/>
            <w:r>
              <w:rPr>
                <w:rFonts w:ascii="Verdana" w:eastAsia="Calibri" w:hAnsi="Verdana" w:cs="Arial"/>
                <w:bCs/>
                <w:color w:val="000000" w:themeColor="text1"/>
              </w:rPr>
              <w:t>i. D</w:t>
            </w:r>
            <w:r w:rsidRPr="00FB5FC4">
              <w:rPr>
                <w:rFonts w:ascii="Verdana" w:eastAsia="Calibri" w:hAnsi="Verdana" w:cs="Arial"/>
                <w:color w:val="000000"/>
                <w:lang w:val="es-ES_tradnl"/>
              </w:rPr>
              <w:t>e acuerdo con el artículo 60 de la Ley 80 de 1993, los contratos de tracto sucesivo, aquellos cuyo cumplimiento o ejecución se prolongue en el tiempo y los demás que lo requieran “</w:t>
            </w:r>
            <w:r w:rsidRPr="00D71733">
              <w:rPr>
                <w:rFonts w:ascii="Verdana" w:eastAsia="Calibri" w:hAnsi="Verdana" w:cs="Arial"/>
                <w:color w:val="000000"/>
                <w:lang w:val="es-ES_tradnl"/>
              </w:rPr>
              <w:t>serán objeto de liquidación</w:t>
            </w:r>
            <w:r w:rsidRPr="00FB5FC4">
              <w:rPr>
                <w:rFonts w:ascii="Verdana" w:eastAsia="Calibri" w:hAnsi="Verdana" w:cs="Arial"/>
                <w:color w:val="000000"/>
                <w:lang w:val="es-ES_tradnl"/>
              </w:rPr>
              <w:t xml:space="preserve">”. El mismo artículo prescribe que no será obligatoria la liquidación en los contratos de prestación de servicios profesionales y de apoyo a la gestión. Adicionalmente, en los contratos las entidades estatales deben definir la oportunidad y forma de recibir el objeto contratado y, en cada caso, si un contrato requiere o no de liquidación, con arreglo a criterios tales como la naturaleza, objeto y plazo del contrato, así como la probabilidad de que puedan surgir diferencias durante la ejecución del contrato; sin perjuicio de que, como se indicó, todos los contratos estatales de </w:t>
            </w:r>
            <w:r w:rsidRPr="00FB5FC4">
              <w:rPr>
                <w:rFonts w:ascii="Verdana" w:eastAsia="Calibri" w:hAnsi="Verdana" w:cs="Arial"/>
                <w:i/>
                <w:iCs/>
                <w:color w:val="000000"/>
                <w:lang w:val="es-ES_tradnl"/>
              </w:rPr>
              <w:t>tracto sucesivo</w:t>
            </w:r>
            <w:r w:rsidRPr="00FB5FC4">
              <w:rPr>
                <w:rFonts w:ascii="Verdana" w:eastAsia="Calibri" w:hAnsi="Verdana" w:cs="Arial"/>
                <w:color w:val="000000"/>
                <w:lang w:val="es-ES_tradnl"/>
              </w:rPr>
              <w:t xml:space="preserve"> o aquellos cuya ejecución se prolongue en el tiempo siempre deban liquidarse, convirtiéndose en estos contratos en una cláusula de la naturaleza, conforme a la clasificación prevista en el Código Civil.</w:t>
            </w:r>
            <w:r>
              <w:rPr>
                <w:rFonts w:ascii="Verdana" w:eastAsia="Calibri" w:hAnsi="Verdana" w:cs="Arial"/>
                <w:color w:val="000000"/>
                <w:lang w:val="es-ES_tradnl"/>
              </w:rPr>
              <w:t xml:space="preserve"> </w:t>
            </w:r>
          </w:p>
          <w:p w14:paraId="0BB971A9" w14:textId="77777777" w:rsidR="00A05B9F" w:rsidRDefault="00A05B9F" w:rsidP="00C671FE">
            <w:pPr>
              <w:spacing w:after="120" w:line="276" w:lineRule="auto"/>
              <w:ind w:firstLine="743"/>
              <w:jc w:val="both"/>
              <w:rPr>
                <w:rFonts w:ascii="Verdana" w:eastAsia="Times New Roman" w:hAnsi="Verdana" w:cs="Arial"/>
                <w:color w:val="000000" w:themeColor="text1"/>
                <w:lang w:val="es-ES_tradnl" w:eastAsia="es-ES"/>
              </w:rPr>
            </w:pPr>
            <w:r>
              <w:rPr>
                <w:rFonts w:ascii="Verdana" w:eastAsia="Calibri" w:hAnsi="Verdana" w:cs="Arial"/>
                <w:color w:val="000000"/>
                <w:lang w:val="es-ES_tradnl"/>
              </w:rPr>
              <w:t xml:space="preserve">De conformidad con lo anterior, </w:t>
            </w:r>
            <w:r w:rsidRPr="00C27E2E">
              <w:rPr>
                <w:rFonts w:ascii="Verdana" w:eastAsia="Times New Roman" w:hAnsi="Verdana" w:cs="Arial"/>
                <w:color w:val="000000" w:themeColor="text1"/>
                <w:lang w:val="es-ES_tradnl" w:eastAsia="es-ES"/>
              </w:rPr>
              <w:t>atendiendo al primer problema jurídico</w:t>
            </w:r>
            <w:r>
              <w:rPr>
                <w:rFonts w:ascii="Verdana" w:eastAsia="Times New Roman" w:hAnsi="Verdana" w:cs="Arial"/>
                <w:color w:val="000000" w:themeColor="text1"/>
                <w:lang w:val="es-ES_tradnl" w:eastAsia="es-ES"/>
              </w:rPr>
              <w:t>, es posible concluir que tanto los contratos de seguro como los</w:t>
            </w:r>
            <w:r w:rsidRPr="00C27E2E">
              <w:rPr>
                <w:rFonts w:ascii="Verdana" w:eastAsia="Times New Roman" w:hAnsi="Verdana" w:cs="Arial"/>
                <w:color w:val="000000" w:themeColor="text1"/>
                <w:lang w:val="es-ES_tradnl" w:eastAsia="es-ES"/>
              </w:rPr>
              <w:t xml:space="preserve"> contrato</w:t>
            </w:r>
            <w:r>
              <w:rPr>
                <w:rFonts w:ascii="Verdana" w:eastAsia="Times New Roman" w:hAnsi="Verdana" w:cs="Arial"/>
                <w:color w:val="000000" w:themeColor="text1"/>
                <w:lang w:val="es-ES_tradnl" w:eastAsia="es-ES"/>
              </w:rPr>
              <w:t>s</w:t>
            </w:r>
            <w:r w:rsidRPr="00C27E2E">
              <w:rPr>
                <w:rFonts w:ascii="Verdana" w:eastAsia="Times New Roman" w:hAnsi="Verdana" w:cs="Arial"/>
                <w:color w:val="000000" w:themeColor="text1"/>
                <w:lang w:val="es-ES_tradnl" w:eastAsia="es-ES"/>
              </w:rPr>
              <w:t xml:space="preserve"> de corretaje </w:t>
            </w:r>
            <w:r>
              <w:rPr>
                <w:rFonts w:ascii="Verdana" w:eastAsia="Times New Roman" w:hAnsi="Verdana" w:cs="Arial"/>
                <w:color w:val="000000" w:themeColor="text1"/>
                <w:lang w:val="es-ES_tradnl" w:eastAsia="es-ES"/>
              </w:rPr>
              <w:t xml:space="preserve">celebrados por una entidad estatal deberán ser liquidados, en la </w:t>
            </w:r>
            <w:r>
              <w:rPr>
                <w:rFonts w:ascii="Verdana" w:eastAsia="Times New Roman" w:hAnsi="Verdana" w:cs="Arial"/>
                <w:color w:val="000000" w:themeColor="text1"/>
                <w:lang w:val="es-ES_tradnl" w:eastAsia="es-ES"/>
              </w:rPr>
              <w:lastRenderedPageBreak/>
              <w:t xml:space="preserve">medida que se cumplen con el presupuesto establecido en el artículo 60 de </w:t>
            </w:r>
            <w:r w:rsidRPr="00FB5FC4">
              <w:rPr>
                <w:rFonts w:ascii="Verdana" w:eastAsia="Calibri" w:hAnsi="Verdana" w:cs="Arial"/>
                <w:color w:val="000000"/>
                <w:lang w:val="es-ES_tradnl"/>
              </w:rPr>
              <w:t>la Ley 80 de 1993</w:t>
            </w:r>
            <w:r>
              <w:rPr>
                <w:rFonts w:ascii="Verdana" w:eastAsia="Times New Roman" w:hAnsi="Verdana" w:cs="Arial"/>
                <w:color w:val="000000" w:themeColor="text1"/>
                <w:lang w:val="es-ES_tradnl" w:eastAsia="es-ES"/>
              </w:rPr>
              <w:t xml:space="preserve"> al tratarse de contratos de naturaleza de </w:t>
            </w:r>
            <w:r w:rsidRPr="007D31ED">
              <w:rPr>
                <w:rFonts w:ascii="Verdana" w:eastAsia="Times New Roman" w:hAnsi="Verdana" w:cs="Arial"/>
                <w:i/>
                <w:iCs/>
                <w:color w:val="000000" w:themeColor="text1"/>
                <w:lang w:val="es-ES_tradnl" w:eastAsia="es-ES"/>
              </w:rPr>
              <w:t>tracto sucesivo</w:t>
            </w:r>
            <w:r>
              <w:rPr>
                <w:rFonts w:ascii="Verdana" w:eastAsia="Times New Roman" w:hAnsi="Verdana" w:cs="Arial"/>
                <w:color w:val="000000" w:themeColor="text1"/>
                <w:lang w:val="es-ES_tradnl" w:eastAsia="es-ES"/>
              </w:rPr>
              <w:t>.</w:t>
            </w:r>
          </w:p>
          <w:p w14:paraId="644A08C7" w14:textId="77777777" w:rsidR="00A05B9F" w:rsidRPr="00361DDE" w:rsidRDefault="00A05B9F" w:rsidP="00C671FE">
            <w:pPr>
              <w:spacing w:after="120" w:line="276" w:lineRule="auto"/>
              <w:ind w:firstLine="743"/>
              <w:jc w:val="both"/>
              <w:rPr>
                <w:rFonts w:ascii="Verdana" w:eastAsia="Calibri" w:hAnsi="Verdana" w:cs="Arial"/>
                <w:color w:val="000000"/>
                <w:lang w:val="es-ES_tradnl"/>
              </w:rPr>
            </w:pPr>
            <w:r>
              <w:rPr>
                <w:rFonts w:ascii="Verdana" w:hAnsi="Verdana" w:cs="Arial"/>
                <w:color w:val="000000" w:themeColor="text1"/>
                <w:lang w:val="es-ES_tradnl"/>
              </w:rPr>
              <w:t xml:space="preserve">Para efectos del contenido acta de liquidación, la “Guía para la liquidación de los Procesos de Contratación” expedida por la Agencia, recomienda que </w:t>
            </w:r>
            <w:r w:rsidRPr="00677442">
              <w:rPr>
                <w:rFonts w:ascii="Verdana" w:hAnsi="Verdana" w:cs="Arial"/>
                <w:color w:val="000000" w:themeColor="text1"/>
              </w:rPr>
              <w:t>debe constar el balance técnico y económico de las obligaciones a cargo de las partes, es decir, el análisis detallado de las condiciones de calidad y oportunidad en la entrega de los bienes, obras o servicios y el balance económico que dará cuenta del comportamiento financiero del negocio</w:t>
            </w:r>
            <w:r>
              <w:rPr>
                <w:rFonts w:ascii="Verdana" w:hAnsi="Verdana" w:cs="Arial"/>
                <w:color w:val="000000" w:themeColor="text1"/>
              </w:rPr>
              <w:t xml:space="preserve">, </w:t>
            </w:r>
            <w:r w:rsidRPr="00923B68">
              <w:rPr>
                <w:rFonts w:ascii="Verdana" w:hAnsi="Verdana" w:cs="Arial"/>
                <w:color w:val="000000" w:themeColor="text1"/>
              </w:rPr>
              <w:t>recursos recibidos, pagos efectuados, estado del crédito o de la deuda de cada parte, entre otros detalles mínimos y necesarios para dar por concluido un contrato. Así mismo, deben constar en el acto de liquidación los derechos a cargo o a favor de las partes resultantes de la ejecución del contrato. La liquidación puede indicar el estado de cumplimiento de las obligaciones y también incluir obligaciones que surgen para las partes con ocasión de su suscripción</w:t>
            </w:r>
          </w:p>
          <w:p w14:paraId="073FB6D4" w14:textId="77777777" w:rsidR="00A05B9F" w:rsidRDefault="00A05B9F" w:rsidP="00C671FE">
            <w:pPr>
              <w:tabs>
                <w:tab w:val="left" w:pos="709"/>
              </w:tabs>
              <w:spacing w:after="120" w:line="276" w:lineRule="auto"/>
              <w:jc w:val="both"/>
              <w:rPr>
                <w:rFonts w:ascii="Verdana" w:eastAsia="Times New Roman" w:hAnsi="Verdana" w:cs="Arial"/>
                <w:color w:val="000000"/>
                <w:bdr w:val="none" w:sz="0" w:space="0" w:color="auto" w:frame="1"/>
                <w:shd w:val="clear" w:color="auto" w:fill="FFFFFF"/>
                <w:lang w:val="es-ES" w:eastAsia="es-ES"/>
              </w:rPr>
            </w:pPr>
            <w:r>
              <w:rPr>
                <w:rFonts w:ascii="Verdana" w:eastAsia="Calibri" w:hAnsi="Verdana" w:cs="Arial"/>
                <w:bCs/>
                <w:color w:val="000000" w:themeColor="text1"/>
              </w:rPr>
              <w:t>ii. D</w:t>
            </w:r>
            <w:r w:rsidRPr="64F094BD">
              <w:rPr>
                <w:rFonts w:ascii="Verdana" w:eastAsia="Times New Roman" w:hAnsi="Verdana" w:cs="Arial"/>
                <w:color w:val="000000"/>
                <w:bdr w:val="none" w:sz="0" w:space="0" w:color="auto" w:frame="1"/>
                <w:shd w:val="clear" w:color="auto" w:fill="FFFFFF"/>
                <w:lang w:val="es-ES" w:eastAsia="es-ES"/>
              </w:rPr>
              <w:t>e acuerdo con el artículo 11 de la Ley 1150 de 2007, existen tres (3) tipos de liquidación: i) bilateral, ii) unilateral y iii) judicial. En términos generales, la primera, que puede ser total o parcial, debe hacerse en el término que estipulen las partes o, en su defecto, dentro del término supletivo de cuatro (4) meses. La segunda se debe practicar dentro de los dos (2) meses siguientes al vencimiento del término que acuerden las partes, o ante el silencio de estas, luego de los cuatro (4) meses para realizar la liquidación bilateral, sin que esta se efectúe. Finalmente, la tercera la realiza la Jurisdicción de lo Contencioso Administrativo o un tribunal de arbitramento dentro de un proceso judicial de controversias contractuales, y puede darse con ocasión de una demanda del interesado solicitando dicha liquidación. Para ello, existe un plazo máximo de dos (2) años contados a partir de los dos meses establecidos en la Ley para realizar la liquidación unilateral.</w:t>
            </w:r>
          </w:p>
          <w:p w14:paraId="32559226" w14:textId="77777777" w:rsidR="00A05B9F" w:rsidRDefault="00A05B9F" w:rsidP="00C671FE">
            <w:pPr>
              <w:spacing w:after="120" w:line="276" w:lineRule="auto"/>
              <w:ind w:firstLine="743"/>
              <w:jc w:val="both"/>
              <w:rPr>
                <w:rFonts w:ascii="Verdana" w:eastAsia="Times New Roman" w:hAnsi="Verdana" w:cs="Arial"/>
                <w:color w:val="000000" w:themeColor="text1"/>
                <w:lang w:eastAsia="es-CO"/>
              </w:rPr>
            </w:pPr>
            <w:r w:rsidRPr="00882C9A">
              <w:rPr>
                <w:rFonts w:ascii="Verdana" w:eastAsia="Times New Roman" w:hAnsi="Verdana" w:cs="Arial"/>
                <w:color w:val="000000" w:themeColor="text1"/>
                <w:lang w:eastAsia="es-CO"/>
              </w:rPr>
              <w:t xml:space="preserve">Así las cosas, </w:t>
            </w:r>
            <w:r>
              <w:rPr>
                <w:rFonts w:ascii="Verdana" w:eastAsia="Times New Roman" w:hAnsi="Verdana" w:cs="Arial"/>
                <w:color w:val="000000" w:themeColor="text1"/>
                <w:lang w:eastAsia="es-CO"/>
              </w:rPr>
              <w:t xml:space="preserve">de cara a la consulta planteada, se precisa que </w:t>
            </w:r>
            <w:r w:rsidRPr="00882C9A">
              <w:rPr>
                <w:rFonts w:ascii="Verdana" w:eastAsia="Times New Roman" w:hAnsi="Verdana" w:cs="Arial"/>
                <w:color w:val="000000" w:themeColor="text1"/>
                <w:lang w:eastAsia="es-CO"/>
              </w:rPr>
              <w:t>posterior a los términos referenciados en el párrafo precedente sin que se hubiese liquidado el contrato, ésta no podrá adelantarse dado que los plazos referidos son perentorios. Esto significa que con su vencimiento fenece la oportunidad de efectuarla ante la pérdida de competencia de la entidad para realizar el balance final del acuerdo de voluntades pactado</w:t>
            </w:r>
            <w:r>
              <w:rPr>
                <w:rFonts w:ascii="Verdana" w:eastAsia="Times New Roman" w:hAnsi="Verdana" w:cs="Arial"/>
                <w:color w:val="000000" w:themeColor="text1"/>
                <w:lang w:eastAsia="es-CO"/>
              </w:rPr>
              <w:t>.</w:t>
            </w:r>
          </w:p>
          <w:p w14:paraId="17D478F3" w14:textId="77777777" w:rsidR="00A05B9F" w:rsidRDefault="00A05B9F" w:rsidP="00C671FE">
            <w:pPr>
              <w:spacing w:after="120" w:line="276" w:lineRule="auto"/>
              <w:ind w:firstLine="743"/>
              <w:jc w:val="both"/>
              <w:rPr>
                <w:rFonts w:ascii="Verdana" w:eastAsia="Calibri" w:hAnsi="Verdana" w:cs="Arial"/>
                <w:color w:val="000000"/>
                <w:lang w:val="es-ES" w:eastAsia="es-ES"/>
              </w:rPr>
            </w:pPr>
            <w:r>
              <w:rPr>
                <w:rFonts w:ascii="Verdana" w:eastAsia="Calibri" w:hAnsi="Verdana" w:cs="Arial"/>
                <w:color w:val="000000"/>
                <w:lang w:val="es-ES" w:eastAsia="es-ES"/>
              </w:rPr>
              <w:lastRenderedPageBreak/>
              <w:t xml:space="preserve">Cualquier liquidación efectuada después de la caducidad del medio de control implica la pérdida de competencia temporal, por lo que está viciada de nulidad y no es subsanable. En este caso, el plazo correspondiente se rige por el </w:t>
            </w:r>
            <w:r w:rsidRPr="00E8503C">
              <w:rPr>
                <w:rFonts w:ascii="Verdana" w:eastAsia="Calibri" w:hAnsi="Verdana" w:cs="Arial"/>
                <w:color w:val="000000"/>
                <w:lang w:val="es-ES" w:eastAsia="es-ES"/>
              </w:rPr>
              <w:t>ap</w:t>
            </w:r>
            <w:r>
              <w:rPr>
                <w:rFonts w:ascii="Verdana" w:eastAsia="Calibri" w:hAnsi="Verdana" w:cs="Arial"/>
                <w:color w:val="000000"/>
                <w:lang w:val="es-ES" w:eastAsia="es-ES"/>
              </w:rPr>
              <w:t>artado</w:t>
            </w:r>
            <w:r w:rsidRPr="00E8503C">
              <w:rPr>
                <w:rFonts w:ascii="Verdana" w:eastAsia="Calibri" w:hAnsi="Verdana" w:cs="Arial"/>
                <w:color w:val="000000"/>
                <w:lang w:val="es-ES" w:eastAsia="es-ES"/>
              </w:rPr>
              <w:t xml:space="preserve"> </w:t>
            </w:r>
            <w:r>
              <w:rPr>
                <w:rFonts w:ascii="Verdana" w:eastAsia="Calibri" w:hAnsi="Verdana" w:cs="Arial"/>
                <w:color w:val="000000"/>
                <w:lang w:val="es-ES" w:eastAsia="es-ES"/>
              </w:rPr>
              <w:t xml:space="preserve">v </w:t>
            </w:r>
            <w:r w:rsidRPr="00E8503C">
              <w:rPr>
                <w:rFonts w:ascii="Verdana" w:eastAsia="Calibri" w:hAnsi="Verdana" w:cs="Arial"/>
                <w:color w:val="000000"/>
                <w:lang w:val="es-ES" w:eastAsia="es-ES"/>
              </w:rPr>
              <w:t xml:space="preserve">del literal </w:t>
            </w:r>
            <w:r>
              <w:rPr>
                <w:rFonts w:ascii="Verdana" w:eastAsia="Calibri" w:hAnsi="Verdana" w:cs="Arial"/>
                <w:color w:val="000000"/>
                <w:lang w:val="es-ES" w:eastAsia="es-ES"/>
              </w:rPr>
              <w:t>j)</w:t>
            </w:r>
            <w:r w:rsidRPr="00E8503C">
              <w:rPr>
                <w:rFonts w:ascii="Verdana" w:eastAsia="Calibri" w:hAnsi="Verdana" w:cs="Arial"/>
                <w:color w:val="000000"/>
                <w:lang w:val="es-ES" w:eastAsia="es-ES"/>
              </w:rPr>
              <w:t xml:space="preserve"> del numeral 2 del artículo 164 del CPACA</w:t>
            </w:r>
            <w:r>
              <w:rPr>
                <w:rFonts w:ascii="Verdana" w:eastAsia="Calibri" w:hAnsi="Verdana" w:cs="Arial"/>
                <w:color w:val="000000"/>
                <w:lang w:val="es-ES" w:eastAsia="es-ES"/>
              </w:rPr>
              <w:t>, de manera que e</w:t>
            </w:r>
            <w:r w:rsidRPr="00E8503C">
              <w:rPr>
                <w:rFonts w:ascii="Verdana" w:eastAsia="Calibri" w:hAnsi="Verdana" w:cs="Arial"/>
                <w:color w:val="000000"/>
                <w:lang w:val="es-ES" w:eastAsia="es-ES"/>
              </w:rPr>
              <w:t>n los</w:t>
            </w:r>
            <w:r>
              <w:rPr>
                <w:rFonts w:ascii="Verdana" w:eastAsia="Calibri" w:hAnsi="Verdana" w:cs="Arial"/>
                <w:color w:val="000000"/>
                <w:lang w:val="es-ES" w:eastAsia="es-ES"/>
              </w:rPr>
              <w:t xml:space="preserve"> contratos</w:t>
            </w:r>
            <w:r w:rsidRPr="00E8503C">
              <w:rPr>
                <w:rFonts w:ascii="Verdana" w:eastAsia="Calibri" w:hAnsi="Verdana" w:cs="Arial"/>
                <w:color w:val="000000"/>
                <w:lang w:val="es-ES" w:eastAsia="es-ES"/>
              </w:rPr>
              <w:t xml:space="preserve"> que requieran de liquidación y esta no se logre por mutuo acuerdo o no se practique por la administración unilateralmente</w:t>
            </w:r>
            <w:r>
              <w:rPr>
                <w:rFonts w:ascii="Verdana" w:eastAsia="Calibri" w:hAnsi="Verdana" w:cs="Arial"/>
                <w:color w:val="000000"/>
                <w:lang w:val="es-ES" w:eastAsia="es-ES"/>
              </w:rPr>
              <w:t>, la caducidad se presenta dentro de los dos (2) años siguientes al vencimiento de ambos.</w:t>
            </w:r>
          </w:p>
          <w:p w14:paraId="4D30BE25" w14:textId="77777777" w:rsidR="00A05B9F" w:rsidRDefault="00A05B9F" w:rsidP="00C671FE">
            <w:pPr>
              <w:spacing w:after="120" w:line="276" w:lineRule="auto"/>
              <w:ind w:firstLine="743"/>
              <w:jc w:val="both"/>
              <w:rPr>
                <w:rFonts w:ascii="Verdana" w:eastAsia="Calibri" w:hAnsi="Verdana" w:cs="Arial"/>
                <w:color w:val="000000"/>
                <w:lang w:val="es-ES" w:eastAsia="es-ES"/>
              </w:rPr>
            </w:pPr>
            <w:r w:rsidRPr="002E329A">
              <w:rPr>
                <w:rFonts w:ascii="Verdana" w:eastAsia="Calibri" w:hAnsi="Verdana" w:cs="Arial"/>
                <w:color w:val="000000"/>
                <w:lang w:val="es-ES" w:eastAsia="es-ES"/>
              </w:rPr>
              <w:t xml:space="preserve">En este sentido, independientemente de las situaciones que puedan suscitarse con ocasión de las reclamaciones formuladas a la aseguradora en desarrollo del contrato de seguro o de aquellas que se presenten en el marco del contrato de corretaje de seguros, la liquidación del respectivo contrato debe efectuarse dentro de los plazos previstos en la ley. Ello </w:t>
            </w:r>
            <w:r>
              <w:rPr>
                <w:rFonts w:ascii="Verdana" w:eastAsia="Calibri" w:hAnsi="Verdana" w:cs="Arial"/>
                <w:color w:val="000000"/>
                <w:lang w:val="es-ES" w:eastAsia="es-ES"/>
              </w:rPr>
              <w:t>por cuanto dichos términos</w:t>
            </w:r>
            <w:r w:rsidRPr="002E329A">
              <w:rPr>
                <w:rFonts w:ascii="Verdana" w:eastAsia="Calibri" w:hAnsi="Verdana" w:cs="Arial"/>
                <w:color w:val="000000"/>
                <w:lang w:val="es-ES" w:eastAsia="es-ES"/>
              </w:rPr>
              <w:t xml:space="preserve"> tienen carácter perentorio y buscan garantizar el cierre oportuno de la relación contractual, </w:t>
            </w:r>
            <w:r>
              <w:rPr>
                <w:rFonts w:ascii="Verdana" w:eastAsia="Calibri" w:hAnsi="Verdana" w:cs="Arial"/>
                <w:color w:val="000000"/>
                <w:lang w:val="es-ES" w:eastAsia="es-ES"/>
              </w:rPr>
              <w:t xml:space="preserve">determinando </w:t>
            </w:r>
            <w:r w:rsidRPr="002E329A">
              <w:rPr>
                <w:rFonts w:ascii="Verdana" w:eastAsia="Calibri" w:hAnsi="Verdana" w:cs="Arial"/>
                <w:color w:val="000000"/>
                <w:lang w:val="es-ES" w:eastAsia="es-ES"/>
              </w:rPr>
              <w:t>el estado final de las obligaciones recíprocas, los saldos a favor o en contra y los aspectos pendientes de ejecución. En consecuencia, la existencia de reclamaciones o de actuaciones derivadas de tales contratos no suspende ni prorroga</w:t>
            </w:r>
            <w:r>
              <w:rPr>
                <w:rFonts w:ascii="Verdana" w:eastAsia="Calibri" w:hAnsi="Verdana" w:cs="Arial"/>
                <w:color w:val="000000"/>
                <w:lang w:val="es-ES" w:eastAsia="es-ES"/>
              </w:rPr>
              <w:t xml:space="preserve"> </w:t>
            </w:r>
            <w:r w:rsidRPr="002E329A">
              <w:rPr>
                <w:rFonts w:ascii="Verdana" w:eastAsia="Calibri" w:hAnsi="Verdana" w:cs="Arial"/>
                <w:color w:val="000000"/>
                <w:lang w:val="es-ES" w:eastAsia="es-ES"/>
              </w:rPr>
              <w:t>el deber de adelantar la liquidación dentro de los términos legalmente establecidos, sin perjuicio de que las partes dejen constancia de las situaciones que permanezcan pendientes</w:t>
            </w:r>
            <w:r>
              <w:rPr>
                <w:rFonts w:ascii="Verdana" w:eastAsia="Calibri" w:hAnsi="Verdana" w:cs="Arial"/>
                <w:color w:val="000000"/>
                <w:lang w:val="es-ES" w:eastAsia="es-ES"/>
              </w:rPr>
              <w:t xml:space="preserve">. </w:t>
            </w:r>
          </w:p>
          <w:p w14:paraId="61FB704D" w14:textId="77777777" w:rsidR="00A05B9F" w:rsidRDefault="00A05B9F" w:rsidP="00C671FE">
            <w:pPr>
              <w:spacing w:after="120" w:line="276" w:lineRule="auto"/>
              <w:jc w:val="both"/>
              <w:rPr>
                <w:rFonts w:ascii="Verdana" w:eastAsia="Calibri" w:hAnsi="Verdana" w:cs="Arial"/>
                <w:bCs/>
                <w:color w:val="000000" w:themeColor="text1"/>
                <w:lang w:val="es-ES_tradnl"/>
              </w:rPr>
            </w:pPr>
            <w:r>
              <w:rPr>
                <w:rFonts w:ascii="Verdana" w:eastAsia="Calibri" w:hAnsi="Verdana" w:cs="Arial"/>
                <w:lang w:val="es-ES"/>
              </w:rPr>
              <w:t xml:space="preserve">iii. De conformidad con el artículo </w:t>
            </w:r>
            <w:r w:rsidRPr="004A403F">
              <w:rPr>
                <w:rFonts w:ascii="Verdana" w:eastAsia="Calibri" w:hAnsi="Verdana" w:cs="Arial"/>
                <w:lang w:val="es-ES"/>
              </w:rPr>
              <w:t>2.2.1.1.2.4.3</w:t>
            </w:r>
            <w:r>
              <w:rPr>
                <w:rFonts w:ascii="Verdana" w:eastAsia="Calibri" w:hAnsi="Verdana" w:cs="Arial"/>
                <w:lang w:val="es-ES"/>
              </w:rPr>
              <w:t xml:space="preserve"> del Decreto 1082 de 2015, </w:t>
            </w:r>
            <w:r w:rsidRPr="009A60F7">
              <w:rPr>
                <w:rFonts w:ascii="Verdana" w:hAnsi="Verdana" w:cs="Arial"/>
              </w:rPr>
              <w:t>el cierre del expediente del proceso de contratación es obligatorio cuando el contrato estatal exige las garantías de calidad, estabilidad o mantenimiento, o cuando la entidad establezca condiciones de disposición final o recuperación ambiental de las obras o bienes contratados. Una vez cumplidas tales condiciones surge el deber de dejar constancia del correspondiente acto de cierre del expediente contractual, ya sea que el contrato se hubiere liquidado o no.</w:t>
            </w:r>
            <w:r>
              <w:rPr>
                <w:rFonts w:ascii="Verdana" w:eastAsia="Calibri" w:hAnsi="Verdana" w:cs="Arial"/>
                <w:bCs/>
                <w:color w:val="000000" w:themeColor="text1"/>
                <w:lang w:val="es-ES_tradnl"/>
              </w:rPr>
              <w:t xml:space="preserve"> Para la acreditación de las circunstancias mencionadas en el Decreto Único Reglamentario del Sector Administrativo de Planeación Nacional, las actuaciones y soportes documentales necesarios para el cierre serán las que se definan en los instructivos internos de las entidades estatales de acuerdo con su manual de contratación. </w:t>
            </w:r>
          </w:p>
          <w:p w14:paraId="0610122B" w14:textId="77777777" w:rsidR="00A05B9F" w:rsidRDefault="00A05B9F" w:rsidP="00C671FE">
            <w:pPr>
              <w:spacing w:after="120" w:line="276" w:lineRule="auto"/>
              <w:ind w:firstLine="708"/>
              <w:jc w:val="both"/>
              <w:rPr>
                <w:rFonts w:ascii="Verdana" w:hAnsi="Verdana" w:cs="Arial"/>
              </w:rPr>
            </w:pPr>
            <w:r w:rsidRPr="001D6F6E">
              <w:rPr>
                <w:rFonts w:ascii="Verdana" w:hAnsi="Verdana" w:cs="Arial"/>
              </w:rPr>
              <w:t xml:space="preserve">En consecuencia, lo que resulta relevante para determinar si a la entidad le asiste o no el deber de hacer el cierre del expediente contractual, de acuerdo con la norma citada, consiste en determinar si se exigieron o no garantías de </w:t>
            </w:r>
            <w:r w:rsidRPr="001D6F6E">
              <w:rPr>
                <w:rFonts w:ascii="Verdana" w:hAnsi="Verdana" w:cs="Arial"/>
              </w:rPr>
              <w:lastRenderedPageBreak/>
              <w:t>calidad, estabilidad o mantenimiento, o si la entidad estableció condiciones de disposición final o recuperación de las obras o bienes objeto del contrato. De no ser así, no es obligatorio que la entidad haga un cierre del expediente contractual.</w:t>
            </w:r>
          </w:p>
          <w:p w14:paraId="3195A715" w14:textId="77777777" w:rsidR="00A05B9F" w:rsidRPr="00897400" w:rsidRDefault="00A05B9F" w:rsidP="00C671FE">
            <w:pPr>
              <w:spacing w:after="120" w:line="276" w:lineRule="auto"/>
              <w:ind w:firstLine="708"/>
              <w:jc w:val="both"/>
              <w:rPr>
                <w:rFonts w:ascii="Verdana" w:hAnsi="Verdana" w:cs="Arial"/>
              </w:rPr>
            </w:pPr>
            <w:r w:rsidRPr="001D6F6E">
              <w:rPr>
                <w:rFonts w:ascii="Verdana" w:hAnsi="Verdana" w:cs="Arial"/>
              </w:rPr>
              <w:t>La norma, como se dijo previamente, establece que el cierre del expediente debe llevarse a cabo únicamente en dos eventos: i) cuando la administración establece condiciones de disposición final o recuperación ambiental de las obras o bienes; o ii) una vez vencidos los términos de las garantías de calidad, estabilidad y mantenimiento. En consecuencia, resulta irrelevante que el contrato tenga garantías diferentes a las previstas en el artículo 2.2.1.1.2.4.3 del Decreto 1082 de 2015, así las mismas se encuentren vigentes, pues, se insiste, la entidad únicamente deberá hacer el cierre del expediente cuando se vencen los términos de las garantías referidas en el mencionado artículo 2.2.1.1.2.4.3.</w:t>
            </w:r>
          </w:p>
        </w:tc>
      </w:tr>
    </w:tbl>
    <w:p w14:paraId="4FD93A33" w14:textId="77777777" w:rsidR="00A05B9F" w:rsidRPr="00593A5F" w:rsidRDefault="00A05B9F" w:rsidP="00A05B9F">
      <w:pPr>
        <w:tabs>
          <w:tab w:val="left" w:pos="142"/>
          <w:tab w:val="left" w:pos="284"/>
        </w:tabs>
        <w:spacing w:after="0" w:line="276" w:lineRule="auto"/>
        <w:jc w:val="both"/>
        <w:rPr>
          <w:rFonts w:ascii="Verdana" w:eastAsia="Century Gothic" w:hAnsi="Verdana" w:cs="Century Gothic"/>
          <w:b/>
          <w:bCs/>
          <w:lang w:val="es-ES"/>
        </w:rPr>
      </w:pPr>
    </w:p>
    <w:bookmarkEnd w:id="1"/>
    <w:p w14:paraId="5B9AA964" w14:textId="77777777" w:rsidR="00A05B9F" w:rsidRPr="00593A5F" w:rsidRDefault="00A05B9F" w:rsidP="00A05B9F">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Razones de la respuesta:</w:t>
      </w:r>
    </w:p>
    <w:p w14:paraId="57614CA0" w14:textId="77777777" w:rsidR="00A05B9F" w:rsidRPr="00593A5F" w:rsidRDefault="00A05B9F" w:rsidP="00A05B9F">
      <w:pPr>
        <w:spacing w:after="0" w:line="276" w:lineRule="auto"/>
        <w:jc w:val="both"/>
        <w:rPr>
          <w:rFonts w:ascii="Verdana" w:eastAsia="Calibri" w:hAnsi="Verdana" w:cs="Arial"/>
          <w:color w:val="7030A0"/>
          <w:lang w:val="es-ES"/>
        </w:rPr>
      </w:pPr>
    </w:p>
    <w:p w14:paraId="4AC57429" w14:textId="77777777" w:rsidR="00A05B9F" w:rsidRDefault="00A05B9F" w:rsidP="00A05B9F">
      <w:pPr>
        <w:spacing w:after="0" w:line="276" w:lineRule="auto"/>
        <w:jc w:val="both"/>
        <w:rPr>
          <w:rFonts w:ascii="Verdana" w:eastAsia="Calibri" w:hAnsi="Verdana" w:cs="Arial"/>
          <w:lang w:val="es-ES"/>
        </w:rPr>
      </w:pPr>
      <w:r w:rsidRPr="00B96799">
        <w:rPr>
          <w:rFonts w:ascii="Verdana" w:eastAsia="Calibri" w:hAnsi="Verdana" w:cs="Arial"/>
          <w:lang w:val="es-ES"/>
        </w:rPr>
        <w:t>Lo anterior se sustenta en las siguientes consideraciones:</w:t>
      </w:r>
    </w:p>
    <w:p w14:paraId="1406212A" w14:textId="77777777" w:rsidR="00A05B9F" w:rsidRPr="00415608" w:rsidRDefault="00A05B9F" w:rsidP="00A05B9F">
      <w:pPr>
        <w:spacing w:after="0" w:line="276" w:lineRule="auto"/>
        <w:jc w:val="both"/>
        <w:rPr>
          <w:rFonts w:ascii="Verdana" w:eastAsia="Calibri" w:hAnsi="Verdana" w:cs="Arial"/>
          <w:lang w:val="es-ES"/>
        </w:rPr>
      </w:pPr>
    </w:p>
    <w:p w14:paraId="4A32FAAF" w14:textId="77777777" w:rsidR="00A05B9F" w:rsidRPr="00FB5FC4" w:rsidRDefault="00A05B9F" w:rsidP="00A05B9F">
      <w:pPr>
        <w:spacing w:after="0" w:line="276" w:lineRule="auto"/>
        <w:jc w:val="both"/>
        <w:rPr>
          <w:rFonts w:ascii="Verdana" w:eastAsia="Calibri" w:hAnsi="Verdana" w:cs="Arial"/>
          <w:color w:val="000000"/>
          <w:lang w:val="es-ES_tradnl"/>
        </w:rPr>
      </w:pPr>
      <w:r>
        <w:rPr>
          <w:rFonts w:ascii="Verdana" w:eastAsia="Calibri" w:hAnsi="Verdana" w:cs="Arial"/>
          <w:color w:val="000000"/>
          <w:lang w:val="es-ES_tradnl"/>
        </w:rPr>
        <w:t xml:space="preserve">i. </w:t>
      </w:r>
      <w:r w:rsidRPr="00FB5FC4">
        <w:rPr>
          <w:rFonts w:ascii="Verdana" w:eastAsia="Calibri" w:hAnsi="Verdana" w:cs="Arial"/>
          <w:color w:val="000000"/>
          <w:lang w:val="es-ES_tradnl"/>
        </w:rPr>
        <w:t>La liquidación es el momento en el cual, una vez concluido el contrato estatal, las partes cruzan cuentas respecto de sus obligaciones</w:t>
      </w:r>
      <w:r>
        <w:rPr>
          <w:rFonts w:ascii="Verdana" w:eastAsia="Calibri" w:hAnsi="Verdana" w:cs="Arial"/>
          <w:color w:val="000000"/>
          <w:lang w:val="es-ES_tradnl"/>
        </w:rPr>
        <w:t>.</w:t>
      </w:r>
      <w:r w:rsidRPr="00FB5FC4">
        <w:rPr>
          <w:rFonts w:ascii="Verdana" w:eastAsia="Calibri" w:hAnsi="Verdana" w:cs="Arial"/>
          <w:color w:val="000000"/>
          <w:lang w:val="es-ES_tradnl"/>
        </w:rPr>
        <w:t xml:space="preserve"> </w:t>
      </w:r>
      <w:r>
        <w:rPr>
          <w:rFonts w:ascii="Verdana" w:eastAsia="Calibri" w:hAnsi="Verdana" w:cs="Arial"/>
          <w:color w:val="000000"/>
          <w:lang w:val="es-ES_tradnl"/>
        </w:rPr>
        <w:t>P</w:t>
      </w:r>
      <w:r w:rsidRPr="00FB5FC4">
        <w:rPr>
          <w:rFonts w:ascii="Verdana" w:eastAsia="Calibri" w:hAnsi="Verdana" w:cs="Arial"/>
          <w:color w:val="000000"/>
          <w:lang w:val="es-ES_tradnl"/>
        </w:rPr>
        <w:t xml:space="preserve">or tanto, su objetivo es determinar si pueden declararse a paz y salvo mutuo o si, por el contrario, existen aún obligaciones por cumplir, para acordar la forma en que deben ser </w:t>
      </w:r>
      <w:r>
        <w:rPr>
          <w:rFonts w:ascii="Verdana" w:eastAsia="Calibri" w:hAnsi="Verdana" w:cs="Arial"/>
          <w:color w:val="000000"/>
          <w:lang w:val="es-ES_tradnl"/>
        </w:rPr>
        <w:t>finalizadas</w:t>
      </w:r>
      <w:r w:rsidRPr="00FB5FC4">
        <w:rPr>
          <w:rFonts w:ascii="Verdana" w:eastAsia="Calibri" w:hAnsi="Verdana" w:cs="Arial"/>
          <w:color w:val="000000"/>
          <w:vertAlign w:val="superscript"/>
          <w:lang w:val="es-ES_tradnl"/>
        </w:rPr>
        <w:footnoteReference w:id="1"/>
      </w:r>
      <w:r w:rsidRPr="00FB5FC4">
        <w:rPr>
          <w:rFonts w:ascii="Verdana" w:eastAsia="Calibri" w:hAnsi="Verdana" w:cs="Arial"/>
          <w:color w:val="000000"/>
          <w:lang w:val="es-ES_tradnl"/>
        </w:rPr>
        <w:t>. En armonía con lo anterior, la doctrina ha definido la liquidación de la siguiente manera:</w:t>
      </w:r>
    </w:p>
    <w:p w14:paraId="20C7EEC8" w14:textId="77777777" w:rsidR="00A05B9F" w:rsidRPr="00FB5FC4" w:rsidRDefault="00A05B9F" w:rsidP="00A05B9F">
      <w:pPr>
        <w:spacing w:after="0" w:line="276" w:lineRule="auto"/>
        <w:jc w:val="both"/>
        <w:rPr>
          <w:rFonts w:ascii="Verdana" w:eastAsia="Calibri" w:hAnsi="Verdana" w:cs="Arial"/>
          <w:color w:val="000000"/>
          <w:lang w:val="es-ES_tradnl"/>
        </w:rPr>
      </w:pPr>
    </w:p>
    <w:p w14:paraId="31203504" w14:textId="77777777" w:rsidR="00A05B9F" w:rsidRPr="00A71E32" w:rsidRDefault="00A05B9F" w:rsidP="00A05B9F">
      <w:pPr>
        <w:spacing w:after="0" w:line="240" w:lineRule="auto"/>
        <w:ind w:left="709" w:right="758"/>
        <w:jc w:val="both"/>
        <w:rPr>
          <w:rFonts w:ascii="Verdana" w:eastAsia="Calibri" w:hAnsi="Verdana" w:cs="Arial"/>
          <w:sz w:val="20"/>
          <w:szCs w:val="20"/>
          <w:lang w:val="es-MX"/>
        </w:rPr>
      </w:pPr>
      <w:r w:rsidRPr="00A71E32">
        <w:rPr>
          <w:rFonts w:ascii="Verdana" w:eastAsia="Calibri" w:hAnsi="Verdana" w:cs="Arial"/>
          <w:i/>
          <w:iCs/>
          <w:color w:val="000000"/>
          <w:sz w:val="20"/>
          <w:szCs w:val="20"/>
          <w:lang w:val="es-ES_tradnl"/>
        </w:rPr>
        <w:t>“</w:t>
      </w:r>
      <w:r w:rsidRPr="00A71E32">
        <w:rPr>
          <w:rFonts w:ascii="Verdana" w:eastAsia="Calibri" w:hAnsi="Verdana" w:cs="Arial"/>
          <w:sz w:val="20"/>
          <w:szCs w:val="20"/>
          <w:lang w:val="es-MX"/>
        </w:rPr>
        <w:t xml:space="preserve">[…] la liquidación del contrato estatal corresponde al arreglo o ajuste económico, técnico y jurídico al que se llega de forma bilateral (por las partes del negocio), unilateralmente (por la administración), por el juez o por el árbitro, según el caso, para determinar el estado final de la relación contractual, no solo en cuento al cumplimiento del objeto acordado y al </w:t>
      </w:r>
      <w:r w:rsidRPr="00A71E32">
        <w:rPr>
          <w:rFonts w:ascii="Verdana" w:eastAsia="Calibri" w:hAnsi="Verdana" w:cs="Arial"/>
          <w:sz w:val="20"/>
          <w:szCs w:val="20"/>
          <w:lang w:val="es-MX"/>
        </w:rPr>
        <w:lastRenderedPageBreak/>
        <w:t>recibo a satisfacción de los productos contratados (bienes y servicios), sino, además, para definir la situación en la que quedan los contratantes, luego de la ejecución del contrato, en el sentido de disponer cuánto se adeudan, de qué manera y en qué plazos se han de efectuar los pagos pendientes y las condiciones para el establecimiento del respectivo paz y salvo. En otras palabras, la liquidación es el acto jurídico bilateral, administrativo o judicial, en el que se plasma y formaliza la situación financiera y jurídica de las partes, al término de la relación contractual (aspecto subjetivo) y el grado de cumplimiento del objeto contratado (aspecto objetivo); de ahí que pueda hablarse, en términos amplios, de un doble contenido, que debe estar presente en toda liquidación. En efecto, el corte de cuentas realizado en ella tiene un doble alcance: (i) hacer un balance definitivo del negocio, en sus aspectos técnicos, financieros y jurídicos (aspecto objetivo o material) y ii) definir la situación jurídica de las partes, estableciendo si pueden constituirse o no a paz y salvo; lo que exige, en la práctica, que los negociantes dialoguen e intenten ponerse de acuerdo (aspecto subjetivo)”</w:t>
      </w:r>
      <w:r w:rsidRPr="00A71E32">
        <w:rPr>
          <w:rFonts w:ascii="Verdana" w:eastAsia="Calibri" w:hAnsi="Verdana" w:cs="Arial"/>
          <w:sz w:val="20"/>
          <w:szCs w:val="20"/>
          <w:vertAlign w:val="superscript"/>
          <w:lang w:val="es-MX"/>
        </w:rPr>
        <w:footnoteReference w:id="2"/>
      </w:r>
      <w:r w:rsidRPr="00A71E32">
        <w:rPr>
          <w:rFonts w:ascii="Verdana" w:eastAsia="Calibri" w:hAnsi="Verdana" w:cs="Arial"/>
          <w:sz w:val="20"/>
          <w:szCs w:val="20"/>
          <w:lang w:val="es-MX"/>
        </w:rPr>
        <w:t>.</w:t>
      </w:r>
    </w:p>
    <w:p w14:paraId="3B9EA36F" w14:textId="77777777" w:rsidR="00A05B9F" w:rsidRPr="00FB5FC4" w:rsidRDefault="00A05B9F" w:rsidP="00A05B9F">
      <w:pPr>
        <w:spacing w:after="0" w:line="276" w:lineRule="auto"/>
        <w:jc w:val="both"/>
        <w:rPr>
          <w:rFonts w:ascii="Verdana" w:eastAsia="Calibri" w:hAnsi="Verdana" w:cs="Arial"/>
          <w:color w:val="000000"/>
          <w:lang w:val="es-ES_tradnl"/>
        </w:rPr>
      </w:pPr>
    </w:p>
    <w:p w14:paraId="4FF0B004" w14:textId="77777777" w:rsidR="00A05B9F" w:rsidRPr="00FB5FC4" w:rsidRDefault="00A05B9F" w:rsidP="00A05B9F">
      <w:pPr>
        <w:spacing w:after="120" w:line="276" w:lineRule="auto"/>
        <w:ind w:firstLine="709"/>
        <w:jc w:val="both"/>
        <w:rPr>
          <w:rFonts w:ascii="Verdana" w:eastAsia="Times New Roman" w:hAnsi="Verdana" w:cs="Arial"/>
          <w:color w:val="000000"/>
          <w:sz w:val="21"/>
          <w:szCs w:val="21"/>
          <w:lang w:val="es-ES_tradnl" w:eastAsia="es-ES_tradnl"/>
        </w:rPr>
      </w:pPr>
      <w:r>
        <w:rPr>
          <w:rFonts w:ascii="Verdana" w:eastAsia="Times New Roman" w:hAnsi="Verdana" w:cs="Arial"/>
          <w:color w:val="000000"/>
          <w:szCs w:val="24"/>
          <w:lang w:val="es-ES_tradnl" w:eastAsia="es-ES_tradnl"/>
        </w:rPr>
        <w:t>S</w:t>
      </w:r>
      <w:r w:rsidRPr="00FB5FC4">
        <w:rPr>
          <w:rFonts w:ascii="Verdana" w:eastAsia="Times New Roman" w:hAnsi="Verdana" w:cs="Arial"/>
          <w:color w:val="000000"/>
          <w:szCs w:val="24"/>
          <w:lang w:val="es-ES_tradnl" w:eastAsia="es-ES_tradnl"/>
        </w:rPr>
        <w:t xml:space="preserve">egún la jurisprudencia, la liquidación es el ajuste de cuentas donde las partes hacen un balance económico, técnico y jurídico del cumplimiento de las obligaciones que tienen a su cargo. Así lo manifestó el Consejo de Estado en la </w:t>
      </w:r>
      <w:r>
        <w:rPr>
          <w:rFonts w:ascii="Verdana" w:eastAsia="Times New Roman" w:hAnsi="Verdana" w:cs="Arial"/>
          <w:color w:val="000000"/>
          <w:szCs w:val="24"/>
          <w:lang w:val="es-ES_tradnl" w:eastAsia="es-ES_tradnl"/>
        </w:rPr>
        <w:t>S</w:t>
      </w:r>
      <w:r w:rsidRPr="00FB5FC4">
        <w:rPr>
          <w:rFonts w:ascii="Verdana" w:eastAsia="Times New Roman" w:hAnsi="Verdana" w:cs="Arial"/>
          <w:color w:val="000000"/>
          <w:szCs w:val="24"/>
          <w:lang w:val="es-ES_tradnl" w:eastAsia="es-ES_tradnl"/>
        </w:rPr>
        <w:t xml:space="preserve">entencia del 20 de octubre de 2014, en la que consideró, por un lado, que </w:t>
      </w:r>
      <w:r w:rsidRPr="00FB5FC4">
        <w:rPr>
          <w:rFonts w:ascii="Verdana" w:eastAsia="Times New Roman" w:hAnsi="Verdana" w:cs="Arial"/>
          <w:i/>
          <w:iCs/>
          <w:color w:val="000000"/>
          <w:szCs w:val="24"/>
          <w:lang w:val="es-ES_tradnl" w:eastAsia="es-ES_tradnl"/>
        </w:rPr>
        <w:t>liquidar</w:t>
      </w:r>
      <w:r w:rsidRPr="00FB5FC4">
        <w:rPr>
          <w:rFonts w:ascii="Verdana" w:eastAsia="Times New Roman" w:hAnsi="Verdana" w:cs="Arial"/>
          <w:color w:val="000000"/>
          <w:szCs w:val="24"/>
          <w:lang w:val="es-ES_tradnl" w:eastAsia="es-ES_tradnl"/>
        </w:rPr>
        <w:t xml:space="preserve"> supone un ajuste en relación con las cuentas y el estado de cumplimiento del contrato estatal y, por el otro, que la </w:t>
      </w:r>
      <w:r w:rsidRPr="00FB5FC4">
        <w:rPr>
          <w:rFonts w:ascii="Verdana" w:eastAsia="Times New Roman" w:hAnsi="Verdana" w:cs="Arial"/>
          <w:i/>
          <w:iCs/>
          <w:color w:val="000000"/>
          <w:szCs w:val="24"/>
          <w:lang w:val="es-ES_tradnl" w:eastAsia="es-ES_tradnl"/>
        </w:rPr>
        <w:t>liquidación</w:t>
      </w:r>
      <w:r w:rsidRPr="00FB5FC4">
        <w:rPr>
          <w:rFonts w:ascii="Verdana" w:eastAsia="Times New Roman" w:hAnsi="Verdana" w:cs="Arial"/>
          <w:color w:val="000000"/>
          <w:szCs w:val="24"/>
          <w:lang w:val="es-ES_tradnl" w:eastAsia="es-ES_tradnl"/>
        </w:rPr>
        <w:t xml:space="preserve"> debe incluir el análisis de las condiciones de calidad y oportunidad en la entrega de los bienes, obras o servicios, así como el balance económico y el comportamiento financiero del negocio</w:t>
      </w:r>
      <w:r w:rsidRPr="00FB5FC4">
        <w:rPr>
          <w:rFonts w:ascii="Verdana" w:eastAsia="Times New Roman" w:hAnsi="Verdana" w:cs="Arial"/>
          <w:color w:val="000000"/>
          <w:szCs w:val="24"/>
          <w:vertAlign w:val="superscript"/>
          <w:lang w:val="es-ES_tradnl" w:eastAsia="es-ES_tradnl"/>
        </w:rPr>
        <w:footnoteReference w:id="3"/>
      </w:r>
      <w:r w:rsidRPr="00FB5FC4">
        <w:rPr>
          <w:rFonts w:ascii="Verdana" w:eastAsia="Times New Roman" w:hAnsi="Verdana" w:cs="Arial"/>
          <w:color w:val="000000"/>
          <w:szCs w:val="24"/>
          <w:lang w:val="es-ES_tradnl" w:eastAsia="es-ES_tradnl"/>
        </w:rPr>
        <w:t xml:space="preserve">. </w:t>
      </w:r>
    </w:p>
    <w:p w14:paraId="5F9D695C" w14:textId="77777777" w:rsidR="00A05B9F" w:rsidRPr="00FB5FC4" w:rsidRDefault="00A05B9F" w:rsidP="00A05B9F">
      <w:pPr>
        <w:spacing w:after="0" w:line="276" w:lineRule="auto"/>
        <w:ind w:firstLine="709"/>
        <w:jc w:val="both"/>
        <w:rPr>
          <w:rFonts w:ascii="Verdana" w:eastAsia="Calibri" w:hAnsi="Verdana" w:cs="Arial"/>
          <w:color w:val="000000"/>
          <w:lang w:val="es-ES_tradnl"/>
        </w:rPr>
      </w:pPr>
      <w:r w:rsidRPr="00B90154">
        <w:rPr>
          <w:rFonts w:ascii="Verdana" w:eastAsia="Calibri" w:hAnsi="Verdana" w:cs="Arial"/>
          <w:color w:val="000000"/>
          <w:lang w:val="es-ES_tradnl"/>
        </w:rPr>
        <w:t>Para las entidades sometidas al EGCAP</w:t>
      </w:r>
      <w:r>
        <w:rPr>
          <w:rFonts w:ascii="Verdana" w:eastAsia="Calibri" w:hAnsi="Verdana" w:cs="Arial"/>
          <w:color w:val="000000"/>
          <w:lang w:val="es-ES_tradnl"/>
        </w:rPr>
        <w:t>, l</w:t>
      </w:r>
      <w:r w:rsidRPr="00FB5FC4">
        <w:rPr>
          <w:rFonts w:ascii="Verdana" w:eastAsia="Calibri" w:hAnsi="Verdana" w:cs="Arial"/>
          <w:color w:val="000000"/>
          <w:lang w:val="es-ES_tradnl"/>
        </w:rPr>
        <w:t xml:space="preserve">as disposiciones legales que regulan la etapa de liquidación de los contratos estatales son el artículo 60 de la Ley 80 de 1993, modificado por el artículo 217 del Decreto </w:t>
      </w:r>
      <w:r>
        <w:rPr>
          <w:rFonts w:ascii="Verdana" w:eastAsia="Calibri" w:hAnsi="Verdana" w:cs="Arial"/>
          <w:color w:val="000000"/>
          <w:lang w:val="es-ES_tradnl"/>
        </w:rPr>
        <w:t xml:space="preserve">Ley </w:t>
      </w:r>
      <w:r w:rsidRPr="00FB5FC4">
        <w:rPr>
          <w:rFonts w:ascii="Verdana" w:eastAsia="Calibri" w:hAnsi="Verdana" w:cs="Arial"/>
          <w:color w:val="000000"/>
          <w:lang w:val="es-ES_tradnl"/>
        </w:rPr>
        <w:t xml:space="preserve">019 de 2012, y el artículo 11 de la Ley 1150 de 2007. El primero de estos artículos se refiere al alcance sustantivo de la liquidación y los contratos en que procede, mientras </w:t>
      </w:r>
      <w:r w:rsidRPr="00FB5FC4">
        <w:rPr>
          <w:rFonts w:ascii="Verdana" w:eastAsia="Calibri" w:hAnsi="Verdana" w:cs="Arial"/>
          <w:color w:val="000000"/>
          <w:lang w:val="es-ES_tradnl"/>
        </w:rPr>
        <w:lastRenderedPageBreak/>
        <w:t>que el segundo contiene reglas procedimentales para su realización. En relación con el artículo 60 referido, la doctrina ha indicado que:</w:t>
      </w:r>
    </w:p>
    <w:p w14:paraId="34DFDB72" w14:textId="77777777" w:rsidR="00A05B9F" w:rsidRPr="00D71733" w:rsidRDefault="00A05B9F" w:rsidP="00A05B9F">
      <w:pPr>
        <w:spacing w:after="0" w:line="276" w:lineRule="auto"/>
        <w:ind w:firstLine="708"/>
        <w:jc w:val="both"/>
        <w:rPr>
          <w:rFonts w:ascii="Verdana" w:eastAsia="Calibri" w:hAnsi="Verdana" w:cs="Arial"/>
          <w:lang w:val="es-ES"/>
        </w:rPr>
      </w:pPr>
    </w:p>
    <w:p w14:paraId="0AF262E8" w14:textId="77777777" w:rsidR="00A05B9F" w:rsidRPr="00A71E32" w:rsidRDefault="00A05B9F" w:rsidP="00A05B9F">
      <w:pPr>
        <w:spacing w:after="0" w:line="240" w:lineRule="auto"/>
        <w:ind w:left="709" w:right="758"/>
        <w:jc w:val="both"/>
        <w:rPr>
          <w:rFonts w:ascii="Verdana" w:eastAsia="Calibri" w:hAnsi="Verdana" w:cs="Arial"/>
          <w:sz w:val="20"/>
          <w:szCs w:val="20"/>
          <w:lang w:val="es-MX"/>
        </w:rPr>
      </w:pPr>
      <w:r w:rsidRPr="00A71E32">
        <w:rPr>
          <w:rFonts w:ascii="Verdana" w:eastAsia="Calibri" w:hAnsi="Verdana" w:cs="Arial"/>
          <w:sz w:val="20"/>
          <w:szCs w:val="20"/>
          <w:lang w:val="es-ES"/>
        </w:rPr>
        <w:t>“</w:t>
      </w:r>
      <w:r w:rsidRPr="00A71E32">
        <w:rPr>
          <w:rFonts w:ascii="Verdana" w:eastAsia="Calibri" w:hAnsi="Verdana" w:cs="Arial"/>
          <w:sz w:val="20"/>
          <w:szCs w:val="20"/>
          <w:lang w:val="es-MX"/>
        </w:rPr>
        <w:t xml:space="preserve">La ley 80 de 1993 […] dispuso en el artículo 60 que serían objeto de liquidación todos los contratos de tracto sucesivo, entendiendo por estos los de ejecución y cumplimiento prolongados en el tiempo, así como los demás que lo requieran –que son generalmente aquellos de ejecución instantánea en los que la misma se ha extendido temporalmente–, etapa en la cual las partes debían acordar los ajustes, revisiones y reconocimientos a que hubiera lugar, y que el contenido de la misma debía reflejar </w:t>
      </w:r>
      <w:r>
        <w:rPr>
          <w:rFonts w:ascii="Verdana" w:eastAsia="Calibri" w:hAnsi="Verdana" w:cs="Arial"/>
          <w:sz w:val="20"/>
          <w:szCs w:val="20"/>
          <w:lang w:val="es-MX"/>
        </w:rPr>
        <w:t>‘</w:t>
      </w:r>
      <w:r w:rsidRPr="00A71E32">
        <w:rPr>
          <w:rFonts w:ascii="Verdana" w:eastAsia="Calibri" w:hAnsi="Verdana" w:cs="Arial"/>
          <w:sz w:val="20"/>
          <w:szCs w:val="20"/>
          <w:lang w:val="es-MX"/>
        </w:rPr>
        <w:t>los acuerdos, conciliaciones y transacciones a que llegaren las partes para poner fin a las divergencias presentadas y poder declararse a paz y salvo</w:t>
      </w:r>
      <w:r>
        <w:rPr>
          <w:rFonts w:ascii="Verdana" w:eastAsia="Calibri" w:hAnsi="Verdana" w:cs="Arial"/>
          <w:sz w:val="20"/>
          <w:szCs w:val="20"/>
          <w:lang w:val="es-MX"/>
        </w:rPr>
        <w:t>’</w:t>
      </w:r>
      <w:r w:rsidRPr="00A71E32">
        <w:rPr>
          <w:rFonts w:ascii="Verdana" w:eastAsia="Calibri" w:hAnsi="Verdana" w:cs="Arial"/>
          <w:sz w:val="20"/>
          <w:szCs w:val="20"/>
          <w:lang w:val="es-MX"/>
        </w:rPr>
        <w:t>”</w:t>
      </w:r>
      <w:r w:rsidRPr="00A71E32">
        <w:rPr>
          <w:rFonts w:ascii="Verdana" w:eastAsia="Calibri" w:hAnsi="Verdana" w:cs="Arial"/>
          <w:sz w:val="20"/>
          <w:szCs w:val="20"/>
          <w:vertAlign w:val="superscript"/>
          <w:lang w:val="es-MX"/>
        </w:rPr>
        <w:footnoteReference w:id="4"/>
      </w:r>
      <w:r w:rsidRPr="00A71E32">
        <w:rPr>
          <w:rFonts w:ascii="Verdana" w:eastAsia="Calibri" w:hAnsi="Verdana" w:cs="Arial"/>
          <w:sz w:val="20"/>
          <w:szCs w:val="20"/>
          <w:lang w:val="es-MX"/>
        </w:rPr>
        <w:t>.</w:t>
      </w:r>
    </w:p>
    <w:p w14:paraId="0FC9247E" w14:textId="77777777" w:rsidR="00A05B9F" w:rsidRPr="00D71733" w:rsidRDefault="00A05B9F" w:rsidP="00A05B9F">
      <w:pPr>
        <w:spacing w:after="0" w:line="276" w:lineRule="auto"/>
        <w:ind w:left="709" w:right="758"/>
        <w:jc w:val="both"/>
        <w:rPr>
          <w:rFonts w:ascii="Verdana" w:eastAsia="Calibri" w:hAnsi="Verdana" w:cs="Arial"/>
          <w:lang w:val="es-ES"/>
        </w:rPr>
      </w:pPr>
    </w:p>
    <w:p w14:paraId="3289B0D1" w14:textId="77777777" w:rsidR="00A05B9F" w:rsidRDefault="00A05B9F" w:rsidP="00A05B9F">
      <w:pPr>
        <w:spacing w:after="120" w:line="276" w:lineRule="auto"/>
        <w:ind w:firstLine="708"/>
        <w:jc w:val="both"/>
        <w:rPr>
          <w:rFonts w:ascii="Verdana" w:eastAsia="Calibri" w:hAnsi="Verdana" w:cs="Arial"/>
          <w:color w:val="000000"/>
          <w:lang w:val="es-ES_tradnl"/>
        </w:rPr>
      </w:pPr>
      <w:r w:rsidRPr="00FB5FC4">
        <w:rPr>
          <w:rFonts w:ascii="Verdana" w:eastAsia="Calibri" w:hAnsi="Verdana" w:cs="Arial"/>
          <w:color w:val="000000"/>
          <w:lang w:val="es-ES_tradnl"/>
        </w:rPr>
        <w:t>Así las cosas, de acuerdo con el artículo 60 de la Ley 80 de 1993, los contratos de tracto sucesivo, aquellos cuyo cumplimiento o ejecución se prolongue en el tiempo y los demás que lo requieran “</w:t>
      </w:r>
      <w:r w:rsidRPr="00D71733">
        <w:rPr>
          <w:rFonts w:ascii="Verdana" w:eastAsia="Calibri" w:hAnsi="Verdana" w:cs="Arial"/>
          <w:color w:val="000000"/>
          <w:lang w:val="es-ES_tradnl"/>
        </w:rPr>
        <w:t>serán objeto de liquidación</w:t>
      </w:r>
      <w:r w:rsidRPr="00FB5FC4">
        <w:rPr>
          <w:rFonts w:ascii="Verdana" w:eastAsia="Calibri" w:hAnsi="Verdana" w:cs="Arial"/>
          <w:color w:val="000000"/>
          <w:lang w:val="es-ES_tradnl"/>
        </w:rPr>
        <w:t>”. El mismo artículo prescribe que no será obligatoria la liquidación en los contratos de prestación de servicios profesionales y de apoyo a la gestión. Adicionalmente, en los contratos las entidades estatales deben definir la oportunidad y forma de recibir el objeto contratado y, en cada caso, si un contrato requiere o no de liquidación, con arreglo a criterios tales como la naturaleza, objeto y plazo del contrato</w:t>
      </w:r>
      <w:r w:rsidRPr="00FB5FC4">
        <w:rPr>
          <w:rFonts w:ascii="Verdana" w:eastAsia="Calibri" w:hAnsi="Verdana" w:cs="Arial"/>
          <w:color w:val="000000"/>
          <w:vertAlign w:val="superscript"/>
          <w:lang w:val="es-ES_tradnl"/>
        </w:rPr>
        <w:footnoteReference w:id="5"/>
      </w:r>
      <w:r w:rsidRPr="00FB5FC4">
        <w:rPr>
          <w:rFonts w:ascii="Verdana" w:eastAsia="Calibri" w:hAnsi="Verdana" w:cs="Arial"/>
          <w:color w:val="000000"/>
          <w:lang w:val="es-ES_tradnl"/>
        </w:rPr>
        <w:t xml:space="preserve">, así como la probabilidad de que puedan surgir diferencias durante la ejecución del contrato; sin perjuicio de que, como se indicó, todos los contratos estatales de </w:t>
      </w:r>
      <w:r w:rsidRPr="00FB5FC4">
        <w:rPr>
          <w:rFonts w:ascii="Verdana" w:eastAsia="Calibri" w:hAnsi="Verdana" w:cs="Arial"/>
          <w:i/>
          <w:iCs/>
          <w:color w:val="000000"/>
          <w:lang w:val="es-ES_tradnl"/>
        </w:rPr>
        <w:t>tracto sucesivo</w:t>
      </w:r>
      <w:r w:rsidRPr="00FB5FC4">
        <w:rPr>
          <w:rFonts w:ascii="Verdana" w:eastAsia="Calibri" w:hAnsi="Verdana" w:cs="Arial"/>
          <w:color w:val="000000"/>
          <w:lang w:val="es-ES_tradnl"/>
        </w:rPr>
        <w:t xml:space="preserve"> o aquellos cuya ejecución se prolongue en el tiempo siempre deban liquidarse, convirtiéndose en estos contratos en una cláusula de la naturaleza, conforme a la clasificación prevista en el Código Civil.</w:t>
      </w:r>
      <w:bookmarkStart w:id="2" w:name="_Hlk174625259"/>
    </w:p>
    <w:p w14:paraId="675120DC" w14:textId="77777777" w:rsidR="00A05B9F" w:rsidRPr="00B14759" w:rsidRDefault="00A05B9F" w:rsidP="00A05B9F">
      <w:pPr>
        <w:spacing w:after="120" w:line="276" w:lineRule="auto"/>
        <w:ind w:firstLine="708"/>
        <w:jc w:val="both"/>
        <w:rPr>
          <w:rFonts w:ascii="Verdana" w:eastAsia="Times New Roman" w:hAnsi="Verdana" w:cs="Arial"/>
          <w:color w:val="000000" w:themeColor="text1"/>
          <w:lang w:val="es-ES_tradnl" w:eastAsia="es-ES"/>
        </w:rPr>
      </w:pPr>
      <w:r>
        <w:rPr>
          <w:rFonts w:ascii="Verdana" w:eastAsia="Calibri" w:hAnsi="Verdana" w:cs="Arial"/>
          <w:color w:val="000000"/>
          <w:lang w:val="es-ES_tradnl"/>
        </w:rPr>
        <w:t xml:space="preserve">De acuerdo con lo anterior, </w:t>
      </w:r>
      <w:r w:rsidRPr="00C27E2E">
        <w:rPr>
          <w:rFonts w:ascii="Verdana" w:eastAsia="Times New Roman" w:hAnsi="Verdana" w:cs="Arial"/>
          <w:color w:val="000000" w:themeColor="text1"/>
          <w:lang w:val="es-ES_tradnl" w:eastAsia="es-ES"/>
        </w:rPr>
        <w:t>atendiendo al primer problema jurídico</w:t>
      </w:r>
      <w:r>
        <w:rPr>
          <w:rFonts w:ascii="Verdana" w:eastAsia="Times New Roman" w:hAnsi="Verdana" w:cs="Arial"/>
          <w:color w:val="000000" w:themeColor="text1"/>
          <w:lang w:val="es-ES_tradnl" w:eastAsia="es-ES"/>
        </w:rPr>
        <w:t>, es posible concluir que tanto los contratos de seguro como los</w:t>
      </w:r>
      <w:r w:rsidRPr="00C27E2E">
        <w:rPr>
          <w:rFonts w:ascii="Verdana" w:eastAsia="Times New Roman" w:hAnsi="Verdana" w:cs="Arial"/>
          <w:color w:val="000000" w:themeColor="text1"/>
          <w:lang w:val="es-ES_tradnl" w:eastAsia="es-ES"/>
        </w:rPr>
        <w:t xml:space="preserve"> contrato</w:t>
      </w:r>
      <w:r>
        <w:rPr>
          <w:rFonts w:ascii="Verdana" w:eastAsia="Times New Roman" w:hAnsi="Verdana" w:cs="Arial"/>
          <w:color w:val="000000" w:themeColor="text1"/>
          <w:lang w:val="es-ES_tradnl" w:eastAsia="es-ES"/>
        </w:rPr>
        <w:t>s</w:t>
      </w:r>
      <w:r w:rsidRPr="00C27E2E">
        <w:rPr>
          <w:rFonts w:ascii="Verdana" w:eastAsia="Times New Roman" w:hAnsi="Verdana" w:cs="Arial"/>
          <w:color w:val="000000" w:themeColor="text1"/>
          <w:lang w:val="es-ES_tradnl" w:eastAsia="es-ES"/>
        </w:rPr>
        <w:t xml:space="preserve"> de corretaje </w:t>
      </w:r>
      <w:r>
        <w:rPr>
          <w:rFonts w:ascii="Verdana" w:eastAsia="Times New Roman" w:hAnsi="Verdana" w:cs="Arial"/>
          <w:color w:val="000000" w:themeColor="text1"/>
          <w:lang w:val="es-ES_tradnl" w:eastAsia="es-ES"/>
        </w:rPr>
        <w:t xml:space="preserve">celebrados por una entidad estatal deberán ser liquidados, en la medida que se cumplen con el presupuesto establecido en el artículo 60 de </w:t>
      </w:r>
      <w:r w:rsidRPr="00FB5FC4">
        <w:rPr>
          <w:rFonts w:ascii="Verdana" w:eastAsia="Calibri" w:hAnsi="Verdana" w:cs="Arial"/>
          <w:color w:val="000000"/>
          <w:lang w:val="es-ES_tradnl"/>
        </w:rPr>
        <w:t>la Ley 80 de 1993</w:t>
      </w:r>
      <w:r>
        <w:rPr>
          <w:rFonts w:ascii="Verdana" w:eastAsia="Times New Roman" w:hAnsi="Verdana" w:cs="Arial"/>
          <w:color w:val="000000" w:themeColor="text1"/>
          <w:lang w:val="es-ES_tradnl" w:eastAsia="es-ES"/>
        </w:rPr>
        <w:t xml:space="preserve"> al tratarse de contratos de naturaleza de </w:t>
      </w:r>
      <w:r w:rsidRPr="007D31ED">
        <w:rPr>
          <w:rFonts w:ascii="Verdana" w:eastAsia="Times New Roman" w:hAnsi="Verdana" w:cs="Arial"/>
          <w:i/>
          <w:iCs/>
          <w:color w:val="000000" w:themeColor="text1"/>
          <w:lang w:val="es-ES_tradnl" w:eastAsia="es-ES"/>
        </w:rPr>
        <w:t>tracto sucesivo</w:t>
      </w:r>
      <w:r>
        <w:rPr>
          <w:rFonts w:ascii="Verdana" w:eastAsia="Times New Roman" w:hAnsi="Verdana" w:cs="Arial"/>
          <w:color w:val="000000" w:themeColor="text1"/>
          <w:lang w:val="es-ES_tradnl" w:eastAsia="es-ES"/>
        </w:rPr>
        <w:t xml:space="preserve">. En efecto, de conformidad con el </w:t>
      </w:r>
      <w:r>
        <w:rPr>
          <w:rFonts w:ascii="Verdana" w:eastAsia="Calibri" w:hAnsi="Verdana"/>
          <w:color w:val="000000" w:themeColor="text1"/>
          <w:lang w:val="es-ES"/>
        </w:rPr>
        <w:t>artículo 1036 del Código de Comercio: “</w:t>
      </w:r>
      <w:r>
        <w:rPr>
          <w:rFonts w:ascii="Verdana" w:eastAsia="Calibri" w:hAnsi="Verdana"/>
          <w:color w:val="000000" w:themeColor="text1"/>
        </w:rPr>
        <w:t xml:space="preserve">El seguro es un contrato consensual, bilateral, oneroso, aleatorio y de </w:t>
      </w:r>
      <w:r w:rsidRPr="00F87EBC">
        <w:rPr>
          <w:rFonts w:ascii="Verdana" w:eastAsia="Calibri" w:hAnsi="Verdana"/>
          <w:i/>
          <w:iCs/>
          <w:color w:val="000000" w:themeColor="text1"/>
        </w:rPr>
        <w:t>ejecución sucesiva”,</w:t>
      </w:r>
      <w:r>
        <w:rPr>
          <w:rFonts w:ascii="Verdana" w:eastAsia="Calibri" w:hAnsi="Verdana"/>
          <w:color w:val="000000" w:themeColor="text1"/>
        </w:rPr>
        <w:t xml:space="preserve"> </w:t>
      </w:r>
      <w:r>
        <w:rPr>
          <w:rFonts w:ascii="Verdana" w:eastAsia="Calibri" w:hAnsi="Verdana"/>
          <w:color w:val="000000" w:themeColor="text1"/>
        </w:rPr>
        <w:lastRenderedPageBreak/>
        <w:t>cuyas partes son: i) el asegurador, esto es, la persona jurídica que asume los riesgos y que está autorizada para ello y ii) el tomador, esto es, la persona que obrando por cuenta propia o ajena traslada los riesgos, de conformidad con el artículo 1037 del Código de Comercio</w:t>
      </w:r>
      <w:r>
        <w:rPr>
          <w:rFonts w:ascii="Verdana" w:eastAsia="Calibri" w:hAnsi="Verdana"/>
          <w:color w:val="000000" w:themeColor="text1"/>
          <w:vertAlign w:val="superscript"/>
        </w:rPr>
        <w:footnoteReference w:id="6"/>
      </w:r>
      <w:r>
        <w:rPr>
          <w:rFonts w:ascii="Verdana" w:eastAsia="Calibri" w:hAnsi="Verdana"/>
          <w:color w:val="000000" w:themeColor="text1"/>
        </w:rPr>
        <w:t xml:space="preserve">. En torno al contrato de seguro que tiene la calidad de estatal, el Consejo de Estado ha expresado: </w:t>
      </w:r>
    </w:p>
    <w:p w14:paraId="2E667715" w14:textId="77777777" w:rsidR="00A05B9F" w:rsidRDefault="00A05B9F" w:rsidP="00A05B9F">
      <w:pPr>
        <w:spacing w:after="0" w:line="276" w:lineRule="auto"/>
        <w:ind w:firstLine="708"/>
        <w:jc w:val="both"/>
        <w:rPr>
          <w:rFonts w:ascii="Verdana" w:eastAsia="Calibri" w:hAnsi="Verdana"/>
          <w:color w:val="000000" w:themeColor="text1"/>
        </w:rPr>
      </w:pPr>
    </w:p>
    <w:p w14:paraId="2BF32E55" w14:textId="77777777" w:rsidR="00A05B9F" w:rsidRDefault="00A05B9F" w:rsidP="00A05B9F">
      <w:pPr>
        <w:spacing w:after="0" w:line="240" w:lineRule="auto"/>
        <w:ind w:left="709" w:right="709"/>
        <w:jc w:val="both"/>
        <w:rPr>
          <w:rFonts w:ascii="Verdana" w:eastAsia="Calibri" w:hAnsi="Verdana" w:cs="Arial"/>
          <w:color w:val="000000"/>
          <w:sz w:val="20"/>
          <w:szCs w:val="20"/>
          <w:lang w:eastAsia="es-ES_tradnl"/>
        </w:rPr>
      </w:pPr>
      <w:r>
        <w:rPr>
          <w:rFonts w:ascii="Verdana" w:eastAsia="Calibri" w:hAnsi="Verdana" w:cs="Arial"/>
          <w:color w:val="000000"/>
          <w:sz w:val="20"/>
          <w:szCs w:val="20"/>
          <w:lang w:val="es-ES" w:eastAsia="es-ES_tradnl"/>
        </w:rPr>
        <w:t xml:space="preserve">19. </w:t>
      </w:r>
      <w:r>
        <w:rPr>
          <w:rFonts w:ascii="Verdana" w:eastAsia="Calibri" w:hAnsi="Verdana" w:cs="Arial"/>
          <w:color w:val="000000"/>
          <w:sz w:val="20"/>
          <w:szCs w:val="20"/>
          <w:lang w:eastAsia="es-ES_tradnl"/>
        </w:rPr>
        <w:t>En relación con el contrato de seguro, se observa que se refieren al mismo (normas de la Ley 80 antes de la reforma de la Ley 1150 de 2007): El artículo 14, para establecer que en él se prescindirá de la utilización de las cláusulas o estipulaciones excepcionales; el literal c, num. 1º del artículo 24, que dispone que no es necesaria la licitación pública en los contratos interadministrativos, salvo en los de seguro y el numeral 19 del artículo 25, de acuerdo con el cual, no son obligatorias las garantías en los contratos de seguro.</w:t>
      </w:r>
    </w:p>
    <w:p w14:paraId="2B453438" w14:textId="77777777" w:rsidR="00A05B9F" w:rsidRDefault="00A05B9F" w:rsidP="00A05B9F">
      <w:pPr>
        <w:spacing w:after="0" w:line="240" w:lineRule="auto"/>
        <w:ind w:left="709" w:right="709"/>
        <w:jc w:val="both"/>
        <w:rPr>
          <w:rFonts w:ascii="Verdana" w:eastAsia="Calibri" w:hAnsi="Verdana" w:cs="Arial"/>
          <w:color w:val="000000"/>
          <w:sz w:val="20"/>
          <w:szCs w:val="20"/>
          <w:lang w:eastAsia="es-ES_tradnl"/>
        </w:rPr>
      </w:pPr>
    </w:p>
    <w:p w14:paraId="18F10ACF" w14:textId="77777777" w:rsidR="00A05B9F" w:rsidRDefault="00A05B9F" w:rsidP="00A05B9F">
      <w:pPr>
        <w:spacing w:after="0" w:line="240" w:lineRule="auto"/>
        <w:ind w:left="709" w:right="709"/>
        <w:jc w:val="both"/>
        <w:rPr>
          <w:rFonts w:ascii="Verdana" w:eastAsia="Calibri" w:hAnsi="Verdana" w:cs="Arial"/>
          <w:color w:val="000000"/>
          <w:sz w:val="20"/>
          <w:szCs w:val="20"/>
          <w:lang w:eastAsia="es-ES_tradnl"/>
        </w:rPr>
      </w:pPr>
      <w:r>
        <w:rPr>
          <w:rFonts w:ascii="Verdana" w:eastAsia="Calibri" w:hAnsi="Verdana" w:cs="Arial"/>
          <w:color w:val="000000"/>
          <w:sz w:val="20"/>
          <w:szCs w:val="20"/>
          <w:lang w:eastAsia="es-ES_tradnl"/>
        </w:rPr>
        <w:t>20. Aparte de las anteriores disposiciones, el estatuto de contratación de la administración pública no se refiere de manera específica al contrato de seguros tomado por las entidades estatales para la protección de sus recursos y bienes, lo que significa que resulta aplicable la regulación que de dicho contrato contiene el Código de Comercio.</w:t>
      </w:r>
    </w:p>
    <w:p w14:paraId="72385F18" w14:textId="77777777" w:rsidR="00A05B9F" w:rsidRDefault="00A05B9F" w:rsidP="00A05B9F">
      <w:pPr>
        <w:spacing w:after="0" w:line="240" w:lineRule="auto"/>
        <w:ind w:left="709" w:right="709"/>
        <w:jc w:val="both"/>
        <w:rPr>
          <w:rFonts w:ascii="Verdana" w:eastAsia="Calibri" w:hAnsi="Verdana" w:cs="Arial"/>
          <w:color w:val="000000"/>
          <w:sz w:val="20"/>
          <w:szCs w:val="20"/>
          <w:lang w:eastAsia="es-ES_tradnl"/>
        </w:rPr>
      </w:pPr>
    </w:p>
    <w:p w14:paraId="77A508E3" w14:textId="77777777" w:rsidR="00A05B9F" w:rsidRDefault="00A05B9F" w:rsidP="00A05B9F">
      <w:pPr>
        <w:spacing w:after="0" w:line="240" w:lineRule="auto"/>
        <w:ind w:left="709" w:right="709"/>
        <w:jc w:val="both"/>
        <w:rPr>
          <w:rFonts w:ascii="Verdana" w:eastAsia="Calibri" w:hAnsi="Verdana" w:cs="Arial"/>
          <w:iCs/>
          <w:color w:val="000000"/>
          <w:sz w:val="20"/>
          <w:szCs w:val="20"/>
          <w:lang w:eastAsia="es-ES_tradnl"/>
        </w:rPr>
      </w:pPr>
      <w:r>
        <w:rPr>
          <w:rFonts w:ascii="Verdana" w:eastAsia="Calibri" w:hAnsi="Verdana" w:cs="Arial"/>
          <w:color w:val="000000"/>
          <w:sz w:val="20"/>
          <w:szCs w:val="20"/>
          <w:lang w:eastAsia="es-ES_tradnl"/>
        </w:rPr>
        <w:t xml:space="preserve">21. El artículo 1036 del referido código establece que el contrato de seguro es consensual, bilateral, oneroso, aleatorio y de ejecución sucesiva. En relación con la característica de consensual, se recuerda que anteriormente el contrato de seguro regulado en el Código de Comercio era solemne, en la medida en que su perfeccionamiento sólo se daba mediante la expedición de la respectiva póliza de seguro; no obstante, el artículo 1º de la Ley 389 de 1997 modificó el artículo 1036 del código, para definir dicho contrato como consensual, lo que significa que, en la actualidad, </w:t>
      </w:r>
      <w:r w:rsidRPr="00321306">
        <w:rPr>
          <w:rFonts w:ascii="Verdana" w:eastAsia="Calibri" w:hAnsi="Verdana" w:cs="Arial"/>
          <w:color w:val="000000"/>
          <w:sz w:val="20"/>
          <w:szCs w:val="20"/>
          <w:lang w:eastAsia="es-ES_tradnl"/>
        </w:rPr>
        <w:t>“(…) el contrato se forma con la simple aceptación de la propuesta por parte del destinatario, independientemente de que se expida o no la póliza y que, en consecuencia, al fijarse la fecha de vigencia de la misma habrá de tenerse en cuenta.</w:t>
      </w:r>
      <w:r w:rsidRPr="00321306">
        <w:rPr>
          <w:rFonts w:ascii="Arial" w:hAnsi="Arial" w:cs="Arial"/>
          <w:sz w:val="20"/>
          <w:szCs w:val="20"/>
        </w:rPr>
        <w:t xml:space="preserve"> </w:t>
      </w:r>
      <w:r w:rsidRPr="00321306">
        <w:rPr>
          <w:rFonts w:ascii="Verdana" w:eastAsia="Calibri" w:hAnsi="Verdana" w:cs="Arial"/>
          <w:color w:val="000000"/>
          <w:sz w:val="20"/>
          <w:szCs w:val="20"/>
          <w:lang w:eastAsia="es-ES_tradnl"/>
        </w:rPr>
        <w:t>como punto de partida de la vigencia, el de la mencionada aceptación de la propuesta, salvo que se pacte otra cosa”,</w:t>
      </w:r>
      <w:r>
        <w:rPr>
          <w:rFonts w:ascii="Verdana" w:eastAsia="Calibri" w:hAnsi="Verdana" w:cs="Arial"/>
          <w:i/>
          <w:iCs/>
          <w:color w:val="000000"/>
          <w:sz w:val="20"/>
          <w:szCs w:val="20"/>
          <w:lang w:eastAsia="es-ES_tradnl"/>
        </w:rPr>
        <w:t xml:space="preserve"> </w:t>
      </w:r>
      <w:r>
        <w:rPr>
          <w:rFonts w:ascii="Verdana" w:eastAsia="Calibri" w:hAnsi="Verdana" w:cs="Arial"/>
          <w:iCs/>
          <w:color w:val="000000"/>
          <w:sz w:val="20"/>
          <w:szCs w:val="20"/>
          <w:lang w:eastAsia="es-ES_tradnl"/>
        </w:rPr>
        <w:t xml:space="preserve">y para la acreditación de la existencia del contrato de seguro, el artículo 1046 del C. de Co. –modificado por el artículo 3 de la Ley 389 de 1997-, establece que el mismo se probará por escrito o por confesión y que con fines exclusivamente probatorios, el asegurador está obligado a entregar en su original, al tomador, dentro de los 15 días </w:t>
      </w:r>
      <w:r>
        <w:rPr>
          <w:rFonts w:ascii="Verdana" w:eastAsia="Calibri" w:hAnsi="Verdana" w:cs="Arial"/>
          <w:iCs/>
          <w:color w:val="000000"/>
          <w:sz w:val="20"/>
          <w:szCs w:val="20"/>
          <w:lang w:eastAsia="es-ES_tradnl"/>
        </w:rPr>
        <w:lastRenderedPageBreak/>
        <w:t>siguientes a la fecha de su celebración, el documento contentivo del contrato de seguro, denominado póliza.</w:t>
      </w:r>
    </w:p>
    <w:p w14:paraId="1152DF55" w14:textId="77777777" w:rsidR="00A05B9F" w:rsidRDefault="00A05B9F" w:rsidP="00A05B9F">
      <w:pPr>
        <w:spacing w:after="0" w:line="240" w:lineRule="auto"/>
        <w:ind w:left="709" w:right="709"/>
        <w:jc w:val="both"/>
        <w:rPr>
          <w:rFonts w:ascii="Verdana" w:eastAsia="Calibri" w:hAnsi="Verdana" w:cs="Arial"/>
          <w:iCs/>
          <w:color w:val="000000"/>
          <w:sz w:val="20"/>
          <w:szCs w:val="20"/>
          <w:lang w:eastAsia="es-ES_tradnl"/>
        </w:rPr>
      </w:pPr>
    </w:p>
    <w:p w14:paraId="334E84E4" w14:textId="77777777" w:rsidR="00A05B9F" w:rsidRDefault="00A05B9F" w:rsidP="00A05B9F">
      <w:pPr>
        <w:spacing w:after="0" w:line="240" w:lineRule="auto"/>
        <w:ind w:left="709" w:right="709"/>
        <w:jc w:val="both"/>
        <w:rPr>
          <w:rFonts w:ascii="Verdana" w:eastAsia="Calibri" w:hAnsi="Verdana" w:cs="Arial"/>
          <w:iCs/>
          <w:color w:val="000000"/>
          <w:sz w:val="21"/>
          <w:szCs w:val="21"/>
          <w:lang w:eastAsia="es-ES_tradnl"/>
        </w:rPr>
      </w:pPr>
      <w:r>
        <w:rPr>
          <w:rFonts w:ascii="Verdana" w:eastAsia="Calibri" w:hAnsi="Verdana" w:cs="Arial"/>
          <w:iCs/>
          <w:color w:val="000000"/>
          <w:sz w:val="20"/>
          <w:szCs w:val="20"/>
          <w:lang w:eastAsia="es-ES_tradnl"/>
        </w:rPr>
        <w:t xml:space="preserve">22. No obstante lo anterior, debe tenerse en cuenta que, cuando es una entidad pública de las que se someten a las disposiciones de la Ley 80 de 1993 la que celebra un negocio jurídico de esta naturaleza en calidad de tomadora, el mismo corresponde a un contrato estatal, razón por la cual de conformidad con lo dispuesto por sus artículos 39 y 41, debe constar por escrito y esta formalidad constituye un requisito </w:t>
      </w:r>
      <w:r>
        <w:rPr>
          <w:rFonts w:ascii="Verdana" w:eastAsia="Calibri" w:hAnsi="Verdana" w:cs="Arial"/>
          <w:i/>
          <w:iCs/>
          <w:color w:val="000000"/>
          <w:sz w:val="20"/>
          <w:szCs w:val="20"/>
          <w:lang w:eastAsia="es-ES_tradnl"/>
        </w:rPr>
        <w:t>ad substantiam actus</w:t>
      </w:r>
      <w:r>
        <w:rPr>
          <w:rFonts w:ascii="Verdana" w:eastAsia="Calibri" w:hAnsi="Verdana" w:cs="Arial"/>
          <w:iCs/>
          <w:color w:val="000000"/>
          <w:sz w:val="20"/>
          <w:szCs w:val="20"/>
          <w:lang w:eastAsia="es-ES_tradnl"/>
        </w:rPr>
        <w:t>, puesto que de ella depende el perfeccionamiento del respectivo contrato</w:t>
      </w:r>
      <w:r>
        <w:rPr>
          <w:rFonts w:ascii="Verdana" w:eastAsia="Calibri" w:hAnsi="Verdana" w:cs="Arial"/>
          <w:iCs/>
          <w:color w:val="000000"/>
          <w:sz w:val="20"/>
          <w:szCs w:val="20"/>
          <w:vertAlign w:val="superscript"/>
          <w:lang w:eastAsia="es-ES_tradnl"/>
        </w:rPr>
        <w:footnoteReference w:id="7"/>
      </w:r>
      <w:r>
        <w:rPr>
          <w:rFonts w:ascii="Verdana" w:eastAsia="Calibri" w:hAnsi="Verdana" w:cs="Arial"/>
          <w:iCs/>
          <w:color w:val="000000"/>
          <w:sz w:val="20"/>
          <w:szCs w:val="20"/>
          <w:lang w:eastAsia="es-ES_tradnl"/>
        </w:rPr>
        <w:t>. (énfasis dentro del texto).</w:t>
      </w:r>
      <w:r>
        <w:rPr>
          <w:rFonts w:ascii="Verdana" w:eastAsia="Calibri" w:hAnsi="Verdana" w:cs="Arial"/>
          <w:iCs/>
          <w:color w:val="000000"/>
          <w:sz w:val="21"/>
          <w:szCs w:val="21"/>
          <w:lang w:eastAsia="es-ES_tradnl"/>
        </w:rPr>
        <w:t xml:space="preserve"> </w:t>
      </w:r>
    </w:p>
    <w:p w14:paraId="664CDD77" w14:textId="77777777" w:rsidR="00A05B9F" w:rsidRDefault="00A05B9F" w:rsidP="00A05B9F">
      <w:pPr>
        <w:spacing w:after="120" w:line="276" w:lineRule="auto"/>
        <w:jc w:val="both"/>
        <w:rPr>
          <w:rFonts w:ascii="Verdana" w:eastAsia="Times New Roman" w:hAnsi="Verdana" w:cs="Arial"/>
          <w:color w:val="000000" w:themeColor="text1"/>
          <w:lang w:val="es-ES_tradnl" w:eastAsia="es-ES"/>
        </w:rPr>
      </w:pPr>
    </w:p>
    <w:p w14:paraId="2DD918BD" w14:textId="77777777" w:rsidR="00A05B9F" w:rsidRDefault="00A05B9F" w:rsidP="00A05B9F">
      <w:pPr>
        <w:spacing w:after="120" w:line="276" w:lineRule="auto"/>
        <w:ind w:firstLine="708"/>
        <w:jc w:val="both"/>
        <w:rPr>
          <w:rFonts w:ascii="Verdana" w:eastAsia="Times New Roman" w:hAnsi="Verdana" w:cs="Arial"/>
          <w:color w:val="000000" w:themeColor="text1"/>
          <w:lang w:val="es-ES_tradnl" w:eastAsia="es-ES"/>
        </w:rPr>
      </w:pPr>
      <w:r w:rsidRPr="003974CD">
        <w:rPr>
          <w:rFonts w:ascii="Verdana" w:eastAsia="Times New Roman" w:hAnsi="Verdana" w:cs="Arial"/>
          <w:color w:val="000000" w:themeColor="text1"/>
          <w:lang w:val="es-ES_tradnl" w:eastAsia="es-ES"/>
        </w:rPr>
        <w:t>En este sentido, dado que el EGCAP no regula de manera específica el contrato de seguro celebrado por las entidades estatales para la protección de sus bienes y recursos, este se rige por las disposiciones especiales previstas en el Código de Comercio, sin perjuicio de la aplicación de aquellas normas del EGCAP que resultan procedentes en atención a la naturaleza pública de la entidad contratante</w:t>
      </w:r>
      <w:r>
        <w:rPr>
          <w:rFonts w:ascii="Verdana" w:eastAsia="Times New Roman" w:hAnsi="Verdana" w:cs="Arial"/>
          <w:color w:val="000000" w:themeColor="text1"/>
          <w:lang w:val="es-ES_tradnl" w:eastAsia="es-ES"/>
        </w:rPr>
        <w:t>, como</w:t>
      </w:r>
      <w:r w:rsidRPr="003974CD">
        <w:rPr>
          <w:rFonts w:ascii="Verdana" w:eastAsia="Times New Roman" w:hAnsi="Verdana" w:cs="Arial"/>
          <w:color w:val="000000" w:themeColor="text1"/>
          <w:lang w:val="es-ES_tradnl" w:eastAsia="es-ES"/>
        </w:rPr>
        <w:t xml:space="preserve"> es el caso de las disposiciones relativas a la liquidación del contrato, prevista en el artículo 60 de la Ley 80 de 1993.</w:t>
      </w:r>
      <w:r>
        <w:rPr>
          <w:rFonts w:ascii="Verdana" w:eastAsia="Times New Roman" w:hAnsi="Verdana" w:cs="Arial"/>
          <w:color w:val="000000" w:themeColor="text1"/>
          <w:lang w:val="es-ES_tradnl" w:eastAsia="es-ES"/>
        </w:rPr>
        <w:t xml:space="preserve">  </w:t>
      </w:r>
    </w:p>
    <w:p w14:paraId="7C96E3D2" w14:textId="77777777" w:rsidR="00A05B9F" w:rsidRDefault="00A05B9F" w:rsidP="00A05B9F">
      <w:pPr>
        <w:spacing w:after="120" w:line="276" w:lineRule="auto"/>
        <w:ind w:firstLine="708"/>
        <w:jc w:val="both"/>
        <w:rPr>
          <w:rFonts w:ascii="Verdana" w:hAnsi="Verdana" w:cs="Arial"/>
          <w:color w:val="000000" w:themeColor="text1"/>
          <w:lang w:val="es-ES_tradnl"/>
        </w:rPr>
      </w:pPr>
      <w:r>
        <w:rPr>
          <w:rFonts w:ascii="Verdana" w:eastAsia="Times New Roman" w:hAnsi="Verdana" w:cs="Arial"/>
          <w:color w:val="000000" w:themeColor="text1"/>
          <w:lang w:val="es-ES_tradnl" w:eastAsia="es-ES"/>
        </w:rPr>
        <w:t xml:space="preserve">Por su parte, </w:t>
      </w:r>
      <w:r w:rsidRPr="00EE5E8E">
        <w:rPr>
          <w:rFonts w:ascii="Verdana" w:hAnsi="Verdana" w:cs="Arial"/>
          <w:color w:val="000000" w:themeColor="text1"/>
        </w:rPr>
        <w:t xml:space="preserve">el contrato de corretaje de seguros está previsto en la sección segunda del título </w:t>
      </w:r>
      <w:r w:rsidRPr="00EE5E8E">
        <w:rPr>
          <w:rFonts w:ascii="Verdana" w:hAnsi="Verdana" w:cs="Arial"/>
          <w:color w:val="000000" w:themeColor="text1"/>
          <w:lang w:val="es-ES_tradnl"/>
        </w:rPr>
        <w:t>XIV del Código de Comercio, que en su artículo 1347 establece que: “</w:t>
      </w:r>
      <w:r w:rsidRPr="00EE5E8E">
        <w:rPr>
          <w:rFonts w:ascii="Verdana" w:hAnsi="Verdana" w:cs="Arial"/>
          <w:color w:val="000000" w:themeColor="text1"/>
        </w:rPr>
        <w:t xml:space="preserve">Son corredores de seguros las empresas constituidas o que se constituyan como sociedades comerciales, colectivas o de responsabilidad limitada, cuyo objeto social sea exclusivamente ofrecer seguros, promover su celebración y obtener su renovación a título de intermediarios entre el asegurado y el asegurador”. Esta </w:t>
      </w:r>
      <w:r w:rsidRPr="00EE5E8E">
        <w:rPr>
          <w:rFonts w:ascii="Verdana" w:hAnsi="Verdana" w:cs="Arial"/>
          <w:color w:val="000000" w:themeColor="text1"/>
          <w:lang w:val="es-ES_tradnl"/>
        </w:rPr>
        <w:t>misma definición se encuentra en el artículo 40 del Estatuto Orgánico del Sistema Financiero</w:t>
      </w:r>
      <w:r w:rsidRPr="00EE5E8E">
        <w:rPr>
          <w:rFonts w:ascii="Verdana" w:hAnsi="Verdana"/>
          <w:vertAlign w:val="superscript"/>
          <w:lang w:val="es-ES_tradnl"/>
        </w:rPr>
        <w:footnoteReference w:id="8"/>
      </w:r>
      <w:r w:rsidRPr="00EE5E8E">
        <w:rPr>
          <w:rFonts w:ascii="Verdana" w:hAnsi="Verdana" w:cs="Arial"/>
          <w:color w:val="000000" w:themeColor="text1"/>
          <w:lang w:val="es-ES_tradnl"/>
        </w:rPr>
        <w:t>.</w:t>
      </w:r>
    </w:p>
    <w:p w14:paraId="43AEF556" w14:textId="77777777" w:rsidR="00A05B9F" w:rsidRPr="00F8673A" w:rsidRDefault="00A05B9F" w:rsidP="00A05B9F">
      <w:pPr>
        <w:spacing w:after="120" w:line="276" w:lineRule="auto"/>
        <w:ind w:firstLine="708"/>
        <w:jc w:val="both"/>
        <w:rPr>
          <w:rFonts w:ascii="Verdana" w:hAnsi="Verdana" w:cs="Arial"/>
          <w:color w:val="000000" w:themeColor="text1"/>
          <w:lang w:val="es-ES_tradnl"/>
        </w:rPr>
      </w:pPr>
      <w:r w:rsidRPr="00F8673A">
        <w:rPr>
          <w:rFonts w:ascii="Verdana" w:hAnsi="Verdana" w:cs="Arial"/>
          <w:color w:val="000000" w:themeColor="text1"/>
          <w:lang w:val="es-ES_tradnl"/>
        </w:rPr>
        <w:lastRenderedPageBreak/>
        <w:t xml:space="preserve">El contrato de corretaje de seguros es un contrato típico de carácter comercial, el cual supone la celebración de varios contratos entre el corredor y el asegurador y el tomador de seguros. Al respecto la jurisprudencia sostiene: </w:t>
      </w:r>
    </w:p>
    <w:p w14:paraId="2A06BC6F" w14:textId="77777777" w:rsidR="00A05B9F" w:rsidRPr="00EE5E8E" w:rsidRDefault="00A05B9F" w:rsidP="00A05B9F">
      <w:pPr>
        <w:spacing w:after="0" w:line="276" w:lineRule="auto"/>
        <w:jc w:val="both"/>
        <w:rPr>
          <w:rFonts w:ascii="Verdana" w:hAnsi="Verdana" w:cs="Arial"/>
          <w:color w:val="000000" w:themeColor="text1"/>
          <w:lang w:val="es-ES_tradnl"/>
        </w:rPr>
      </w:pPr>
    </w:p>
    <w:p w14:paraId="5F77C025" w14:textId="77777777" w:rsidR="00A05B9F" w:rsidRPr="00EE5E8E" w:rsidRDefault="00A05B9F" w:rsidP="00A05B9F">
      <w:pPr>
        <w:spacing w:after="0" w:line="240" w:lineRule="auto"/>
        <w:ind w:left="709" w:right="709"/>
        <w:jc w:val="both"/>
        <w:rPr>
          <w:rFonts w:ascii="Verdana" w:hAnsi="Verdana" w:cs="Arial"/>
          <w:color w:val="000000" w:themeColor="text1"/>
          <w:sz w:val="20"/>
          <w:szCs w:val="20"/>
          <w:lang w:val="es-ES"/>
        </w:rPr>
      </w:pPr>
      <w:r w:rsidRPr="00EE5E8E">
        <w:rPr>
          <w:rFonts w:ascii="Verdana" w:hAnsi="Verdana" w:cs="Arial"/>
          <w:color w:val="000000" w:themeColor="text1"/>
          <w:sz w:val="20"/>
          <w:szCs w:val="20"/>
          <w:lang w:val="es-ES"/>
        </w:rPr>
        <w:t>[E]s evidente que la actuación del corredor de seguros supone la celebración previa de sendos contratos por parte de éste con el asegurador y el tomador del seguro, y si bien éste último, en la práctica, no está obligado, en ningún caso, a pagarle el valor de la comisión, sí adquiere otra serie de obligaciones en relación con él, como lo es la de poner a su disposición oportunamente la información que requiera para el cabal ejercicio de sus funciones. A su vez, los corredores pueden comprometer su responsabilidad ante el tomador, por no cumplir debidamente y de buena fe la labor de intermediación</w:t>
      </w:r>
      <w:r w:rsidRPr="00EE5E8E">
        <w:rPr>
          <w:rFonts w:ascii="Verdana" w:hAnsi="Verdana" w:cs="Arial"/>
          <w:color w:val="000000" w:themeColor="text1"/>
          <w:sz w:val="20"/>
          <w:szCs w:val="20"/>
          <w:vertAlign w:val="superscript"/>
          <w:lang w:val="es-ES"/>
        </w:rPr>
        <w:footnoteReference w:id="9"/>
      </w:r>
      <w:r w:rsidRPr="00EE5E8E">
        <w:rPr>
          <w:rFonts w:ascii="Verdana" w:hAnsi="Verdana" w:cs="Arial"/>
          <w:color w:val="000000" w:themeColor="text1"/>
          <w:sz w:val="20"/>
          <w:szCs w:val="20"/>
          <w:lang w:val="es-ES"/>
        </w:rPr>
        <w:t>.</w:t>
      </w:r>
    </w:p>
    <w:p w14:paraId="101332C5" w14:textId="77777777" w:rsidR="00A05B9F" w:rsidRPr="00EE5E8E" w:rsidRDefault="00A05B9F" w:rsidP="00A05B9F">
      <w:pPr>
        <w:spacing w:after="0" w:line="276" w:lineRule="auto"/>
        <w:ind w:left="709" w:right="709"/>
        <w:jc w:val="both"/>
        <w:rPr>
          <w:rFonts w:ascii="Verdana" w:hAnsi="Verdana" w:cs="Arial"/>
          <w:color w:val="000000" w:themeColor="text1"/>
          <w:sz w:val="20"/>
          <w:szCs w:val="20"/>
          <w:lang w:val="es-ES"/>
        </w:rPr>
      </w:pPr>
    </w:p>
    <w:p w14:paraId="4B8F758D" w14:textId="77777777" w:rsidR="00A05B9F" w:rsidRPr="00F8673A" w:rsidRDefault="6532707F" w:rsidP="60E13626">
      <w:pPr>
        <w:spacing w:after="0" w:line="276" w:lineRule="auto"/>
        <w:ind w:firstLine="709"/>
        <w:jc w:val="both"/>
        <w:rPr>
          <w:rFonts w:ascii="Verdana" w:hAnsi="Verdana" w:cs="Arial"/>
          <w:color w:val="000000" w:themeColor="text1"/>
          <w:lang w:val="es-ES"/>
        </w:rPr>
      </w:pPr>
      <w:r w:rsidRPr="60E13626">
        <w:rPr>
          <w:rFonts w:ascii="Verdana" w:hAnsi="Verdana" w:cs="Arial"/>
          <w:color w:val="000000" w:themeColor="text1"/>
          <w:lang w:val="es-ES"/>
        </w:rPr>
        <w:t xml:space="preserve">La jurisprudencia de la Sección Tercera del Consejo de Estado ha precisado que el contrato de corretaje es autónomo y puede sobrevivir sin perjuicio de la no celebración del contrato de seguro, además, que el objeto de la intermediación del corredor es el ofrecimiento de seguros, la promoción de su celebración y la obtención de la renovación de </w:t>
      </w:r>
      <w:proofErr w:type="gramStart"/>
      <w:r w:rsidRPr="60E13626">
        <w:rPr>
          <w:rFonts w:ascii="Verdana" w:hAnsi="Verdana" w:cs="Arial"/>
          <w:color w:val="000000" w:themeColor="text1"/>
          <w:lang w:val="es-ES"/>
        </w:rPr>
        <w:t>los mismos</w:t>
      </w:r>
      <w:proofErr w:type="gramEnd"/>
      <w:r w:rsidRPr="60E13626">
        <w:rPr>
          <w:rFonts w:ascii="Verdana" w:hAnsi="Verdana" w:cs="Arial"/>
          <w:color w:val="000000" w:themeColor="text1"/>
          <w:lang w:val="es-ES"/>
        </w:rPr>
        <w:t>. En efecto, esta Corporación ha señalado que:</w:t>
      </w:r>
    </w:p>
    <w:p w14:paraId="599D6EB9" w14:textId="77777777" w:rsidR="00A05B9F" w:rsidRPr="00EE5E8E" w:rsidRDefault="00A05B9F" w:rsidP="00A05B9F">
      <w:pPr>
        <w:spacing w:after="0" w:line="276" w:lineRule="auto"/>
        <w:ind w:firstLine="708"/>
        <w:jc w:val="both"/>
        <w:rPr>
          <w:rFonts w:ascii="Verdana" w:hAnsi="Verdana" w:cs="Arial"/>
          <w:color w:val="000000" w:themeColor="text1"/>
          <w:sz w:val="21"/>
          <w:szCs w:val="21"/>
          <w:lang w:val="es-ES"/>
        </w:rPr>
      </w:pPr>
      <w:r w:rsidRPr="00EE5E8E">
        <w:rPr>
          <w:rFonts w:ascii="Verdana" w:hAnsi="Verdana" w:cs="Arial"/>
          <w:color w:val="000000" w:themeColor="text1"/>
          <w:sz w:val="21"/>
          <w:szCs w:val="21"/>
          <w:lang w:val="es-ES"/>
        </w:rPr>
        <w:t xml:space="preserve"> </w:t>
      </w:r>
    </w:p>
    <w:p w14:paraId="07AD9A82" w14:textId="77777777" w:rsidR="00A05B9F" w:rsidRPr="00EE5E8E" w:rsidRDefault="00A05B9F" w:rsidP="00A05B9F">
      <w:pPr>
        <w:spacing w:after="0" w:line="240" w:lineRule="auto"/>
        <w:ind w:left="709" w:right="709"/>
        <w:jc w:val="both"/>
        <w:rPr>
          <w:rFonts w:ascii="Verdana" w:hAnsi="Verdana" w:cs="Arial"/>
          <w:color w:val="000000" w:themeColor="text1"/>
          <w:sz w:val="20"/>
          <w:szCs w:val="20"/>
          <w:lang w:val="es-ES"/>
        </w:rPr>
      </w:pPr>
      <w:r>
        <w:rPr>
          <w:rFonts w:ascii="Verdana" w:hAnsi="Verdana" w:cs="Arial"/>
          <w:color w:val="000000" w:themeColor="text1"/>
          <w:sz w:val="20"/>
          <w:szCs w:val="20"/>
          <w:lang w:val="es-ES"/>
        </w:rPr>
        <w:t>“</w:t>
      </w:r>
      <w:r w:rsidRPr="00EE5E8E">
        <w:rPr>
          <w:rFonts w:ascii="Verdana" w:hAnsi="Verdana" w:cs="Arial"/>
          <w:color w:val="000000" w:themeColor="text1"/>
          <w:sz w:val="20"/>
          <w:szCs w:val="20"/>
          <w:lang w:val="es-ES"/>
        </w:rPr>
        <w:t xml:space="preserve">[E]l objeto de la intermediación del corredor será el ofrecimiento de seguros, la promoción de su celebración y la obtención de la renovación de </w:t>
      </w:r>
      <w:proofErr w:type="gramStart"/>
      <w:r w:rsidRPr="00EE5E8E">
        <w:rPr>
          <w:rFonts w:ascii="Verdana" w:hAnsi="Verdana" w:cs="Arial"/>
          <w:color w:val="000000" w:themeColor="text1"/>
          <w:sz w:val="20"/>
          <w:szCs w:val="20"/>
          <w:lang w:val="es-ES"/>
        </w:rPr>
        <w:t>los mismos</w:t>
      </w:r>
      <w:proofErr w:type="gramEnd"/>
      <w:r w:rsidRPr="00EE5E8E">
        <w:rPr>
          <w:rFonts w:ascii="Verdana" w:hAnsi="Verdana" w:cs="Arial"/>
          <w:color w:val="000000" w:themeColor="text1"/>
          <w:sz w:val="20"/>
          <w:szCs w:val="20"/>
          <w:lang w:val="es-ES"/>
        </w:rPr>
        <w:t>, y se entenderá cumplido siempre que éste último realice sus obligaciones a cabalidad, independientemente de que el respectivo contrato de seguro se celebre.  En efecto, la circunstancia de que sólo cuando esto sucede tiene el corredor derecho a recibir la comisión, según lo dispuesto en el artículo 1341 del C. de Co.,  no puede dar lugar a obtener una conclusión diferente; el corredor de seguros celebra los contratos de intermediación con el tomador y con el asegurador, adquiriendo obligaciones que cumple, en el primer caso, de manera gratuita, y en el segundo, a cambio de una comisión aleatoria, esto es, condicionada a la celebración del contrato de seguro objeto de la intermediación</w:t>
      </w:r>
      <w:r>
        <w:rPr>
          <w:rFonts w:ascii="Verdana" w:hAnsi="Verdana" w:cs="Arial"/>
          <w:color w:val="000000" w:themeColor="text1"/>
          <w:sz w:val="20"/>
          <w:szCs w:val="20"/>
          <w:lang w:val="es-ES"/>
        </w:rPr>
        <w:t>”</w:t>
      </w:r>
      <w:r w:rsidRPr="00EE5E8E">
        <w:rPr>
          <w:rFonts w:ascii="Verdana" w:hAnsi="Verdana" w:cs="Arial"/>
          <w:color w:val="000000" w:themeColor="text1"/>
          <w:sz w:val="20"/>
          <w:szCs w:val="20"/>
          <w:lang w:val="es-ES"/>
        </w:rPr>
        <w:t>.</w:t>
      </w:r>
    </w:p>
    <w:p w14:paraId="2A0D24E6" w14:textId="77777777" w:rsidR="00A05B9F" w:rsidRPr="00EE5E8E" w:rsidRDefault="00A05B9F" w:rsidP="00A05B9F">
      <w:pPr>
        <w:spacing w:after="0" w:line="276" w:lineRule="auto"/>
        <w:ind w:left="709" w:right="709"/>
        <w:jc w:val="both"/>
        <w:rPr>
          <w:rFonts w:ascii="Verdana" w:hAnsi="Verdana" w:cs="Arial"/>
          <w:color w:val="000000" w:themeColor="text1"/>
          <w:lang w:val="es-ES"/>
        </w:rPr>
      </w:pPr>
    </w:p>
    <w:p w14:paraId="554D63D2" w14:textId="77777777" w:rsidR="00A05B9F" w:rsidRDefault="00A05B9F" w:rsidP="00A05B9F">
      <w:pPr>
        <w:spacing w:after="120" w:line="276" w:lineRule="auto"/>
        <w:ind w:firstLine="709"/>
        <w:jc w:val="both"/>
        <w:rPr>
          <w:rFonts w:ascii="Verdana" w:hAnsi="Verdana" w:cs="Arial"/>
          <w:color w:val="000000" w:themeColor="text1"/>
          <w:lang w:val="es-ES_tradnl"/>
        </w:rPr>
      </w:pPr>
      <w:r w:rsidRPr="00F8673A">
        <w:rPr>
          <w:rFonts w:ascii="Verdana" w:hAnsi="Verdana" w:cs="Arial"/>
          <w:color w:val="000000" w:themeColor="text1"/>
          <w:lang w:val="es-ES_tradnl"/>
        </w:rPr>
        <w:t xml:space="preserve">A partir de lo anterior, </w:t>
      </w:r>
      <w:bookmarkStart w:id="3" w:name="_Hlk174633953"/>
      <w:r w:rsidRPr="00F8673A">
        <w:rPr>
          <w:rFonts w:ascii="Verdana" w:hAnsi="Verdana" w:cs="Arial"/>
          <w:color w:val="000000" w:themeColor="text1"/>
          <w:lang w:val="es-ES_tradnl"/>
        </w:rPr>
        <w:t>se puede concluir que el contrato de corretaje de seguros, además de ser autónomo, tiene la característica de contrato de tracto sucesivo</w:t>
      </w:r>
      <w:bookmarkEnd w:id="3"/>
      <w:r w:rsidRPr="00F8673A">
        <w:rPr>
          <w:rFonts w:ascii="Verdana" w:hAnsi="Verdana" w:cs="Arial"/>
          <w:color w:val="000000" w:themeColor="text1"/>
          <w:lang w:val="es-ES_tradnl"/>
        </w:rPr>
        <w:t xml:space="preserve"> – circunstancia que determina la obligación ser liquidados–, porque: “la </w:t>
      </w:r>
      <w:r w:rsidRPr="00F8673A">
        <w:rPr>
          <w:rFonts w:ascii="Verdana" w:hAnsi="Verdana" w:cs="Arial"/>
          <w:color w:val="000000" w:themeColor="text1"/>
          <w:lang w:val="es-ES_tradnl"/>
        </w:rPr>
        <w:lastRenderedPageBreak/>
        <w:t>labor de intermediación se extiende, por lo general, a la etapa de ejecución del contrato celebrado entre el asegurador y el tomador, en la cual pueden presentarse situaciones que requieran la realización de diversos trámites, especialmente cuando el riesgo se realiza o hay necesidad de efectuar ajustes al contrato de seguro. Finalmente, la intervención del corredor en la etapa posterior a la celebración de este último resulta muy importante para efectos de obtener su renovación, tarea que, como se ha visto, constituye uno de los objetivos específicos de la intermediación”</w:t>
      </w:r>
      <w:r w:rsidRPr="00EE5E8E">
        <w:rPr>
          <w:vertAlign w:val="superscript"/>
          <w:lang w:val="es-ES_tradnl"/>
        </w:rPr>
        <w:footnoteReference w:id="10"/>
      </w:r>
      <w:r w:rsidRPr="00F8673A">
        <w:rPr>
          <w:rFonts w:ascii="Verdana" w:hAnsi="Verdana" w:cs="Arial"/>
          <w:color w:val="000000" w:themeColor="text1"/>
          <w:lang w:val="es-ES_tradnl"/>
        </w:rPr>
        <w:t>.</w:t>
      </w:r>
    </w:p>
    <w:p w14:paraId="14FB4815" w14:textId="77777777" w:rsidR="00A05B9F" w:rsidRDefault="00A05B9F" w:rsidP="00A05B9F">
      <w:pPr>
        <w:spacing w:after="120" w:line="276" w:lineRule="auto"/>
        <w:ind w:firstLine="709"/>
        <w:jc w:val="both"/>
        <w:rPr>
          <w:rFonts w:ascii="Verdana" w:hAnsi="Verdana" w:cs="Arial"/>
          <w:color w:val="000000" w:themeColor="text1"/>
        </w:rPr>
      </w:pPr>
      <w:r>
        <w:rPr>
          <w:rFonts w:ascii="Verdana" w:hAnsi="Verdana" w:cs="Arial"/>
          <w:color w:val="000000" w:themeColor="text1"/>
          <w:lang w:val="es-ES_tradnl"/>
        </w:rPr>
        <w:t xml:space="preserve">Para efectos del contenido acta de liquidación, la “Guía para la liquidación de los Procesos de Contratación” expedida por la Agencia, recomienda que </w:t>
      </w:r>
      <w:r w:rsidRPr="00677442">
        <w:rPr>
          <w:rFonts w:ascii="Verdana" w:hAnsi="Verdana" w:cs="Arial"/>
          <w:color w:val="000000" w:themeColor="text1"/>
        </w:rPr>
        <w:t>debe constar el balance técnico y económico de las obligaciones a cargo de las partes, es decir, el análisis detallado de las condiciones de calidad y oportunidad en la entrega de los bienes, obras o servicios y el balance económico que dará cuenta del comportamiento financiero del negocio</w:t>
      </w:r>
      <w:r>
        <w:rPr>
          <w:rFonts w:ascii="Verdana" w:hAnsi="Verdana" w:cs="Arial"/>
          <w:color w:val="000000" w:themeColor="text1"/>
        </w:rPr>
        <w:t xml:space="preserve">, </w:t>
      </w:r>
      <w:r w:rsidRPr="00923B68">
        <w:rPr>
          <w:rFonts w:ascii="Verdana" w:hAnsi="Verdana" w:cs="Arial"/>
          <w:color w:val="000000" w:themeColor="text1"/>
        </w:rPr>
        <w:t>recursos recibidos, pagos efectuados, estado del crédito o de la deuda de cada parte, entre otros detalles mínimos y necesarios para dar por concluido un contrato. Así mismo, deben constar en el acto de liquidación los derechos a cargo o a favor de las partes resultantes de la ejecución del contrato. La liquidación puede indicar el estado de cumplimiento de las obligaciones y también incluir obligaciones que surgen para las partes con ocasión de su suscripción.</w:t>
      </w:r>
    </w:p>
    <w:bookmarkEnd w:id="2"/>
    <w:p w14:paraId="07090A79" w14:textId="77777777" w:rsidR="00A05B9F" w:rsidRPr="00FB5FC4" w:rsidRDefault="00A05B9F" w:rsidP="00A05B9F">
      <w:pPr>
        <w:spacing w:after="120" w:line="276" w:lineRule="auto"/>
        <w:jc w:val="both"/>
        <w:rPr>
          <w:rFonts w:ascii="Verdana" w:eastAsia="Calibri" w:hAnsi="Verdana" w:cs="Arial"/>
          <w:color w:val="000000"/>
          <w:lang w:val="es-ES"/>
        </w:rPr>
      </w:pPr>
      <w:r>
        <w:rPr>
          <w:rFonts w:ascii="Verdana" w:eastAsia="Calibri" w:hAnsi="Verdana" w:cs="Arial"/>
          <w:color w:val="000000"/>
          <w:lang w:val="es-ES"/>
        </w:rPr>
        <w:t>ii. Ahora bien, para efectos de dar respuesta al segundo problema jurídico</w:t>
      </w:r>
      <w:r w:rsidRPr="64F094BD">
        <w:rPr>
          <w:rFonts w:ascii="Verdana" w:eastAsia="Calibri" w:hAnsi="Verdana" w:cs="Arial"/>
          <w:color w:val="000000"/>
          <w:lang w:val="es-ES"/>
        </w:rPr>
        <w:t xml:space="preserve">, </w:t>
      </w:r>
      <w:r>
        <w:rPr>
          <w:rFonts w:ascii="Verdana" w:eastAsia="Calibri" w:hAnsi="Verdana" w:cs="Arial"/>
          <w:color w:val="000000"/>
          <w:lang w:val="es-ES"/>
        </w:rPr>
        <w:t xml:space="preserve">debe precisarse que </w:t>
      </w:r>
      <w:r w:rsidRPr="64F094BD">
        <w:rPr>
          <w:rFonts w:ascii="Verdana" w:eastAsia="Calibri" w:hAnsi="Verdana" w:cs="Arial"/>
          <w:color w:val="000000"/>
          <w:lang w:val="es-ES"/>
        </w:rPr>
        <w:t>el artículo 11 de la Ley 1150 de 2007 contiene las reglas de tipo procedimental para liquidar los contratos estatales, las cuales se pasan a explicar</w:t>
      </w:r>
      <w:r w:rsidRPr="64F094BD">
        <w:rPr>
          <w:rFonts w:ascii="Verdana" w:eastAsia="Calibri" w:hAnsi="Verdana" w:cs="Arial"/>
          <w:color w:val="000000" w:themeColor="text1"/>
          <w:vertAlign w:val="superscript"/>
          <w:lang w:val="es-ES"/>
        </w:rPr>
        <w:footnoteReference w:id="11"/>
      </w:r>
      <w:r w:rsidRPr="64F094BD">
        <w:rPr>
          <w:rFonts w:ascii="Verdana" w:eastAsia="Calibri" w:hAnsi="Verdana" w:cs="Arial"/>
          <w:color w:val="000000"/>
          <w:lang w:val="es-ES"/>
        </w:rPr>
        <w:t xml:space="preserve">. En primer lugar, en ejercicio de la autonomía de la voluntad y de </w:t>
      </w:r>
      <w:r w:rsidRPr="64F094BD">
        <w:rPr>
          <w:rFonts w:ascii="Verdana" w:eastAsia="Calibri" w:hAnsi="Verdana" w:cs="Arial"/>
          <w:color w:val="000000"/>
          <w:lang w:val="es-ES"/>
        </w:rPr>
        <w:lastRenderedPageBreak/>
        <w:t>conformidad con los criterios de la naturaleza, objeto y plazo del contrato, la entidad puede definir en el pliego de condiciones o en el contrato el plazo para efectuar la liquidación de mutuo acuerdo. En ausencia de pacto contractual, el artículo 11 de la Ley 1150 de 2007 prevé un término supletivo de 4 meses contados desde: i) el vencimiento del plazo previsto para la ejecución del contrato; ii) la expedición del acto administrativo que ordene la terminación del contrato; o, iii) la fecha del acuerdo que disponga la terminación del contrato.</w:t>
      </w:r>
    </w:p>
    <w:p w14:paraId="00E38A52" w14:textId="77777777" w:rsidR="00A05B9F" w:rsidRPr="004B5D6E" w:rsidRDefault="00A05B9F" w:rsidP="00A05B9F">
      <w:pPr>
        <w:spacing w:after="120" w:line="276" w:lineRule="auto"/>
        <w:ind w:firstLine="709"/>
        <w:jc w:val="both"/>
        <w:rPr>
          <w:rFonts w:ascii="Verdana" w:eastAsia="Times New Roman" w:hAnsi="Verdana" w:cs="Arial"/>
          <w:lang w:val="es-ES_tradnl" w:eastAsia="es-ES_tradnl"/>
        </w:rPr>
      </w:pPr>
      <w:r w:rsidRPr="00FB5FC4">
        <w:rPr>
          <w:rFonts w:ascii="Verdana" w:eastAsia="Times New Roman" w:hAnsi="Verdana" w:cs="Arial"/>
          <w:szCs w:val="24"/>
          <w:lang w:val="es-ES_tradnl" w:eastAsia="es-ES_tradnl"/>
        </w:rPr>
        <w:t xml:space="preserve">El </w:t>
      </w:r>
      <w:r w:rsidRPr="004B5D6E">
        <w:rPr>
          <w:rFonts w:ascii="Verdana" w:eastAsia="Times New Roman" w:hAnsi="Verdana" w:cs="Arial"/>
          <w:szCs w:val="24"/>
          <w:lang w:val="es-ES_tradnl" w:eastAsia="es-ES_tradnl"/>
        </w:rPr>
        <w:t>artículo 11 de la Ley 1150 de 2007 señala que la liquidación de mutuo acuerdo deberá realizar dentro del plazo previsto en “</w:t>
      </w:r>
      <w:r w:rsidRPr="004B5D6E">
        <w:rPr>
          <w:rFonts w:ascii="Verdana" w:eastAsia="Times New Roman" w:hAnsi="Verdana" w:cs="Arial"/>
          <w:lang w:val="es-ES_tradnl" w:eastAsia="es-ES_tradnl"/>
        </w:rPr>
        <w:t>los pliegos de condiciones o sus equivalentes, o dentro del que acuerden las partes para el efecto”. Para dilucidar a qué se refiere la norma con “equivalentes” resulta necesario tener presente que el pliego de condiciones es un documento contentivo de las reglas aplicables a un determinado proceso de selección, que “</w:t>
      </w:r>
      <w:r w:rsidRPr="004B5D6E">
        <w:rPr>
          <w:rFonts w:ascii="Verdana" w:eastAsia="Times New Roman" w:hAnsi="Verdana" w:cs="Arial"/>
          <w:szCs w:val="24"/>
          <w:lang w:val="es-ES_tradnl" w:eastAsia="es-ES_tradnl"/>
        </w:rPr>
        <w:t>materializa los principios de planeación contractual y de trasparencia, comoquiera que su adecuada formulación permite o garantiza la selección objetiva del contratista de acuerdo con los parámetros de calificación correspondientes para cada tipo de procedimiento [y que</w:t>
      </w:r>
      <w:r w:rsidRPr="004B5D6E">
        <w:rPr>
          <w:rFonts w:ascii="Verdana" w:eastAsia="Times New Roman" w:hAnsi="Verdana" w:cs="Arial"/>
          <w:lang w:val="es-ES_tradnl" w:eastAsia="es-ES_tradnl"/>
        </w:rPr>
        <w:t>] constituye la ley tanto del procedimiento administrativo de selección del contratista, como del contrato a</w:t>
      </w:r>
      <w:r w:rsidRPr="004B5D6E">
        <w:rPr>
          <w:rFonts w:ascii="Verdana" w:eastAsia="Times New Roman" w:hAnsi="Verdana" w:cs="Arial"/>
          <w:spacing w:val="-7"/>
          <w:lang w:val="es-ES_tradnl" w:eastAsia="es-ES_tradnl"/>
        </w:rPr>
        <w:t xml:space="preserve"> </w:t>
      </w:r>
      <w:r w:rsidRPr="004B5D6E">
        <w:rPr>
          <w:rFonts w:ascii="Verdana" w:eastAsia="Times New Roman" w:hAnsi="Verdana" w:cs="Arial"/>
          <w:lang w:val="es-ES_tradnl" w:eastAsia="es-ES_tradnl"/>
        </w:rPr>
        <w:t>celebrar”</w:t>
      </w:r>
      <w:r w:rsidRPr="004B5D6E">
        <w:rPr>
          <w:rFonts w:ascii="Verdana" w:eastAsia="Times New Roman" w:hAnsi="Verdana" w:cs="Arial"/>
          <w:vertAlign w:val="superscript"/>
          <w:lang w:val="es-ES_tradnl" w:eastAsia="es-ES_tradnl"/>
        </w:rPr>
        <w:footnoteReference w:id="12"/>
      </w:r>
      <w:r w:rsidRPr="004B5D6E">
        <w:rPr>
          <w:rFonts w:ascii="Verdana" w:eastAsia="Times New Roman" w:hAnsi="Verdana" w:cs="Arial"/>
          <w:lang w:val="es-ES_tradnl" w:eastAsia="es-ES_tradnl"/>
        </w:rPr>
        <w:t>. A partir de tales características debe determinarse la equivalencia de un documento con un pliego de condiciones, la cual se puede ejemplificar claramente con la invitación a participar en los procesos de mínima cuantía</w:t>
      </w:r>
      <w:r w:rsidRPr="004B5D6E">
        <w:rPr>
          <w:rFonts w:ascii="Verdana" w:eastAsia="Times New Roman" w:hAnsi="Verdana" w:cs="Arial"/>
          <w:vertAlign w:val="superscript"/>
          <w:lang w:val="es-ES_tradnl" w:eastAsia="es-ES_tradnl"/>
        </w:rPr>
        <w:footnoteReference w:id="13"/>
      </w:r>
      <w:r w:rsidRPr="004B5D6E">
        <w:rPr>
          <w:rFonts w:ascii="Verdana" w:eastAsia="Times New Roman" w:hAnsi="Verdana" w:cs="Arial"/>
          <w:lang w:val="es-ES_tradnl" w:eastAsia="es-ES_tradnl"/>
        </w:rPr>
        <w:t xml:space="preserve">, documento dentro del cual la entidad contratante debe fijar las reglas aplicables al procedimiento de selección, cumpliendo con la función del pliego de condiciones. En tal sentido, es un documento “equivalente” del mismo en los términos del artículo 11 </w:t>
      </w:r>
      <w:r w:rsidRPr="00A71E32">
        <w:rPr>
          <w:rFonts w:ascii="Verdana" w:eastAsia="Times New Roman" w:hAnsi="Verdana" w:cs="Arial"/>
          <w:i/>
          <w:iCs/>
          <w:lang w:val="es-ES_tradnl" w:eastAsia="es-ES_tradnl"/>
        </w:rPr>
        <w:t>ibidem</w:t>
      </w:r>
      <w:r w:rsidRPr="004B5D6E">
        <w:rPr>
          <w:rFonts w:ascii="Verdana" w:eastAsia="Times New Roman" w:hAnsi="Verdana" w:cs="Arial"/>
          <w:lang w:val="es-ES_tradnl" w:eastAsia="es-ES_tradnl"/>
        </w:rPr>
        <w:t xml:space="preserve">, dentro del cual es viable establecer el plazo para la liquidación de mutuo acuerdo. </w:t>
      </w:r>
    </w:p>
    <w:p w14:paraId="343E0E68" w14:textId="77777777" w:rsidR="00A05B9F" w:rsidRPr="00FB5FC4" w:rsidRDefault="00A05B9F" w:rsidP="00A05B9F">
      <w:pPr>
        <w:spacing w:after="120" w:line="276" w:lineRule="auto"/>
        <w:ind w:firstLine="709"/>
        <w:jc w:val="both"/>
        <w:rPr>
          <w:rFonts w:ascii="Verdana" w:eastAsia="Times New Roman" w:hAnsi="Verdana" w:cs="Arial"/>
          <w:lang w:val="es-ES_tradnl" w:eastAsia="es-ES_tradnl"/>
        </w:rPr>
      </w:pPr>
      <w:r w:rsidRPr="00FB5FC4">
        <w:rPr>
          <w:rFonts w:ascii="Verdana" w:eastAsia="Times New Roman" w:hAnsi="Verdana" w:cs="Arial"/>
          <w:lang w:val="es-ES_tradnl" w:eastAsia="es-ES_tradnl"/>
        </w:rPr>
        <w:lastRenderedPageBreak/>
        <w:t>De otra parte, cuando el artículo 11 de la Ley 1150 de 2007 hace referencia al término que “</w:t>
      </w:r>
      <w:r w:rsidRPr="004B5D6E">
        <w:rPr>
          <w:rFonts w:ascii="Verdana" w:eastAsia="Times New Roman" w:hAnsi="Verdana" w:cs="Arial"/>
          <w:lang w:val="es-ES_tradnl" w:eastAsia="es-ES_tradnl"/>
        </w:rPr>
        <w:t>acuerden las partes</w:t>
      </w:r>
      <w:r w:rsidRPr="00FB5FC4">
        <w:rPr>
          <w:rFonts w:ascii="Verdana" w:eastAsia="Times New Roman" w:hAnsi="Verdana" w:cs="Arial"/>
          <w:lang w:val="es-ES_tradnl" w:eastAsia="es-ES_tradnl"/>
        </w:rPr>
        <w:t xml:space="preserve">” para efectos de la liquidación de mutuo acuerdo, claramente, está habilitando a las partes para que, en ejercicio de la autonomía de la voluntad que les asiste, prevean, de común acuerdo, un plazo para la liquidación bilateral, el cual, en principio, debe estar recogido en el contrato, al ser este el acto jurídico bilateral en el que se consigna originalmente la voluntad de las partes. Sin embargo, cabe la posibilidad de que en el contrato inicialmente suscrito no se haya previsto un acuerdo para la liquidación bilateral. Este hecho no impide que, en el marco de la ejecución del contrato, las partes acuerden fijar el referido plazo; acuerdo que, en tanto significa una alteración de las reglas que orientan la relación contractual, </w:t>
      </w:r>
      <w:r>
        <w:rPr>
          <w:rFonts w:ascii="Verdana" w:eastAsia="Times New Roman" w:hAnsi="Verdana" w:cs="Arial"/>
          <w:lang w:val="es-ES_tradnl" w:eastAsia="es-ES_tradnl"/>
        </w:rPr>
        <w:t>implica</w:t>
      </w:r>
      <w:r w:rsidRPr="00FB5FC4">
        <w:rPr>
          <w:rFonts w:ascii="Verdana" w:eastAsia="Times New Roman" w:hAnsi="Verdana" w:cs="Arial"/>
          <w:lang w:val="es-ES_tradnl" w:eastAsia="es-ES_tradnl"/>
        </w:rPr>
        <w:t xml:space="preserve"> una modificación del contrato. Por tal razón, su celebración debe cumplir con los requisitos del negocio jurídico, ameritando la concurrencia de capacidad jurídica de los agentes, un consentimiento libre de vicios, un objeto y causa lícita, así como la </w:t>
      </w:r>
      <w:r>
        <w:rPr>
          <w:rFonts w:ascii="Verdana" w:eastAsia="Times New Roman" w:hAnsi="Verdana" w:cs="Arial"/>
          <w:lang w:val="es-ES_tradnl" w:eastAsia="es-ES_tradnl"/>
        </w:rPr>
        <w:t>formalidad escrita</w:t>
      </w:r>
      <w:r w:rsidRPr="00FB5FC4">
        <w:rPr>
          <w:rFonts w:ascii="Verdana" w:eastAsia="Times New Roman" w:hAnsi="Verdana" w:cs="Arial"/>
          <w:lang w:val="es-ES_tradnl" w:eastAsia="es-ES_tradnl"/>
        </w:rPr>
        <w:t xml:space="preserve"> requerida en materia de contratación estatal</w:t>
      </w:r>
      <w:r w:rsidRPr="00FB5FC4">
        <w:rPr>
          <w:rFonts w:ascii="Verdana" w:eastAsia="Times New Roman" w:hAnsi="Verdana" w:cs="Arial"/>
          <w:vertAlign w:val="superscript"/>
          <w:lang w:val="es-ES_tradnl" w:eastAsia="es-ES_tradnl"/>
        </w:rPr>
        <w:footnoteReference w:id="14"/>
      </w:r>
      <w:r w:rsidRPr="00FB5FC4">
        <w:rPr>
          <w:rFonts w:ascii="Verdana" w:eastAsia="Times New Roman" w:hAnsi="Verdana" w:cs="Arial"/>
          <w:lang w:val="es-ES_tradnl" w:eastAsia="es-ES_tradnl"/>
        </w:rPr>
        <w:t xml:space="preserve">. </w:t>
      </w:r>
    </w:p>
    <w:p w14:paraId="4BBB8279" w14:textId="77777777" w:rsidR="00A05B9F" w:rsidRPr="00FB5FC4" w:rsidRDefault="00A05B9F" w:rsidP="00A05B9F">
      <w:pPr>
        <w:spacing w:after="120" w:line="276" w:lineRule="auto"/>
        <w:ind w:firstLine="709"/>
        <w:jc w:val="both"/>
        <w:rPr>
          <w:rFonts w:ascii="Verdana" w:eastAsia="Calibri" w:hAnsi="Verdana" w:cs="Arial"/>
          <w:lang w:val="es-ES_tradnl"/>
        </w:rPr>
      </w:pPr>
      <w:r w:rsidRPr="00FB5FC4">
        <w:rPr>
          <w:rFonts w:ascii="Verdana" w:eastAsia="Calibri" w:hAnsi="Verdana" w:cs="Arial"/>
          <w:lang w:val="es-ES_tradnl"/>
        </w:rPr>
        <w:t xml:space="preserve">Ahora bien, el término de 4 meses previsto en el artículo 11 de la Ley 1150 de 2007, dado su carácter supletivo, solo resulta aplicable ante la ausencia de regulación de este en el pliego de condiciones –documento equivalente– o acuerdo entre las partes en torno al plazo de liquidación bilateral. Por lo tanto, las partes, en desarrollo de la autonomía de la voluntad que les asiste, están habilitadas para pactar un término diferente, el cual puede ser inferior o incluso superior al plazo supletivo, ante la ausencia de una prohibición normativa al respecto, y ante la existencia, en cambio, de habilitación legal. Sobre este punto, no debe perderse de vista que las actuaciones contractuales regidas por el Estatuto General de Contratación de la Administración pública se encuentran </w:t>
      </w:r>
      <w:r w:rsidRPr="00FB5FC4">
        <w:rPr>
          <w:rFonts w:ascii="Verdana" w:eastAsia="Calibri" w:hAnsi="Verdana" w:cs="Arial"/>
          <w:lang w:val="es-ES_tradnl"/>
        </w:rPr>
        <w:lastRenderedPageBreak/>
        <w:t>sometidas a los principios de la función administrativa</w:t>
      </w:r>
      <w:r w:rsidRPr="00FB5FC4">
        <w:rPr>
          <w:rFonts w:ascii="Verdana" w:eastAsia="Calibri" w:hAnsi="Verdana" w:cs="Arial"/>
          <w:vertAlign w:val="superscript"/>
          <w:lang w:val="es-ES_tradnl"/>
        </w:rPr>
        <w:footnoteReference w:id="15"/>
      </w:r>
      <w:r w:rsidRPr="00FB5FC4">
        <w:rPr>
          <w:rFonts w:ascii="Verdana" w:eastAsia="Calibri" w:hAnsi="Verdana" w:cs="Arial"/>
          <w:lang w:val="es-ES_tradnl"/>
        </w:rPr>
        <w:t>, lo cual implica que las mismas se desarrollen en procura de la economía y la celeridad</w:t>
      </w:r>
      <w:r w:rsidRPr="00FB5FC4">
        <w:rPr>
          <w:rFonts w:ascii="Verdana" w:eastAsia="Calibri" w:hAnsi="Verdana" w:cs="Arial"/>
          <w:vertAlign w:val="superscript"/>
          <w:lang w:val="es-ES_tradnl"/>
        </w:rPr>
        <w:footnoteReference w:id="16"/>
      </w:r>
      <w:r w:rsidRPr="00FB5FC4">
        <w:rPr>
          <w:rFonts w:ascii="Verdana" w:eastAsia="Calibri" w:hAnsi="Verdana" w:cs="Arial"/>
          <w:lang w:val="es-ES_tradnl"/>
        </w:rPr>
        <w:t>. Esto significa que, en ejercicio de la facultad que les asiste para fijar el plazo para la liquidación bilateral, las partes deben actuar en garantía de estos principios, por lo que el término que se acuerde debe fija</w:t>
      </w:r>
      <w:r>
        <w:rPr>
          <w:rFonts w:ascii="Verdana" w:eastAsia="Calibri" w:hAnsi="Verdana" w:cs="Arial"/>
          <w:lang w:val="es-ES_tradnl"/>
        </w:rPr>
        <w:t>rse</w:t>
      </w:r>
      <w:r w:rsidRPr="00FB5FC4">
        <w:rPr>
          <w:rFonts w:ascii="Verdana" w:eastAsia="Calibri" w:hAnsi="Verdana" w:cs="Arial"/>
          <w:lang w:val="es-ES_tradnl"/>
        </w:rPr>
        <w:t xml:space="preserve"> de manera razonable.</w:t>
      </w:r>
    </w:p>
    <w:p w14:paraId="7389475D" w14:textId="77777777" w:rsidR="00A05B9F" w:rsidRPr="00FB5FC4" w:rsidRDefault="00A05B9F" w:rsidP="00A05B9F">
      <w:pPr>
        <w:spacing w:after="120" w:line="276" w:lineRule="auto"/>
        <w:ind w:firstLine="709"/>
        <w:jc w:val="both"/>
        <w:rPr>
          <w:rFonts w:ascii="Verdana" w:eastAsia="Calibri" w:hAnsi="Verdana" w:cs="Arial"/>
          <w:color w:val="000000"/>
          <w:lang w:val="es-ES_tradnl"/>
        </w:rPr>
      </w:pPr>
      <w:r w:rsidRPr="00FB5FC4">
        <w:rPr>
          <w:rFonts w:ascii="Verdana" w:eastAsia="Calibri" w:hAnsi="Verdana" w:cs="Arial"/>
          <w:color w:val="000000"/>
          <w:lang w:val="es-ES_tradnl"/>
        </w:rPr>
        <w:t>Durante este término, el contratista puede solicitar que se adelante el trámite de liquidación. Sin embargo, es responsabilidad de la entidad estatal convocarlo para adelantar la liquidación de común acuerdo o notificarlo para que se presente a realizarla</w:t>
      </w:r>
      <w:r w:rsidRPr="00FB5FC4">
        <w:rPr>
          <w:rFonts w:ascii="Verdana" w:eastAsia="Calibri" w:hAnsi="Verdana" w:cs="Arial"/>
          <w:color w:val="000000"/>
          <w:vertAlign w:val="superscript"/>
          <w:lang w:val="es-ES_tradnl"/>
        </w:rPr>
        <w:footnoteReference w:id="17"/>
      </w:r>
      <w:r w:rsidRPr="00FB5FC4">
        <w:rPr>
          <w:rFonts w:ascii="Verdana" w:eastAsia="Calibri" w:hAnsi="Verdana" w:cs="Arial"/>
          <w:color w:val="000000"/>
          <w:lang w:val="es-ES_tradnl"/>
        </w:rPr>
        <w:t>, de manera que el contrato pueda ser liquidado bilateralmente, bien sea en el plazo previsto en el pliego de condiciones, el acordado por las partes, o el supletivo de cuatro meses señalado en la ley, según corresponda. Esta liquidación bilateral puede ser total o parcial</w:t>
      </w:r>
      <w:r w:rsidRPr="00FB5FC4">
        <w:rPr>
          <w:rFonts w:ascii="Verdana" w:eastAsia="Calibri" w:hAnsi="Verdana" w:cs="Arial"/>
          <w:iCs/>
          <w:color w:val="000000"/>
          <w:vertAlign w:val="superscript"/>
          <w:lang w:val="es-ES_tradnl"/>
        </w:rPr>
        <w:footnoteReference w:id="18"/>
      </w:r>
      <w:r w:rsidRPr="00FB5FC4">
        <w:rPr>
          <w:rFonts w:ascii="Verdana" w:eastAsia="Calibri" w:hAnsi="Verdana" w:cs="Arial"/>
          <w:color w:val="000000"/>
          <w:lang w:val="es-ES_tradnl"/>
        </w:rPr>
        <w:t xml:space="preserve">, y </w:t>
      </w:r>
      <w:r w:rsidRPr="00FB5FC4">
        <w:rPr>
          <w:rFonts w:ascii="Verdana" w:eastAsia="Calibri" w:hAnsi="Verdana" w:cs="Arial"/>
          <w:iCs/>
          <w:color w:val="000000"/>
          <w:lang w:val="es-ES_tradnl"/>
        </w:rPr>
        <w:t>el documento que la contiene presta mérito ejecutivo, siempre que se satisfagan los elementos para considerarlo como tal</w:t>
      </w:r>
      <w:r w:rsidRPr="00FB5FC4">
        <w:rPr>
          <w:rFonts w:ascii="Verdana" w:eastAsia="Calibri" w:hAnsi="Verdana" w:cs="Arial"/>
          <w:color w:val="000000"/>
          <w:lang w:val="es-ES_tradnl"/>
        </w:rPr>
        <w:t>.</w:t>
      </w:r>
    </w:p>
    <w:p w14:paraId="7483B66A" w14:textId="77777777" w:rsidR="00A05B9F" w:rsidRPr="00FB5FC4" w:rsidRDefault="00A05B9F" w:rsidP="00A05B9F">
      <w:pPr>
        <w:spacing w:after="0" w:line="276" w:lineRule="auto"/>
        <w:ind w:firstLine="705"/>
        <w:jc w:val="both"/>
        <w:rPr>
          <w:rFonts w:ascii="Verdana" w:eastAsia="Times New Roman" w:hAnsi="Verdana" w:cs="Arial"/>
          <w:color w:val="000000"/>
          <w:lang w:eastAsia="es-ES_tradnl"/>
        </w:rPr>
      </w:pPr>
      <w:r w:rsidRPr="00FB5FC4">
        <w:rPr>
          <w:rFonts w:ascii="Verdana" w:eastAsia="Times New Roman" w:hAnsi="Verdana" w:cs="Arial"/>
          <w:color w:val="000000"/>
          <w:bdr w:val="none" w:sz="0" w:space="0" w:color="auto" w:frame="1"/>
          <w:shd w:val="clear" w:color="auto" w:fill="FFFFFF"/>
          <w:lang w:val="es-ES" w:eastAsia="es-ES_tradnl"/>
        </w:rPr>
        <w:t xml:space="preserve">Si no es posible efectuar la liquidación de manera bilateral, el ordenamiento jurídico prevé una facultad, de carácter subsidiario, para que la Entidad Estatal realice la liquidación unilateralmente. En relación con este aspecto, la </w:t>
      </w:r>
      <w:r w:rsidRPr="00FB5FC4">
        <w:rPr>
          <w:rFonts w:ascii="Verdana" w:eastAsia="Times New Roman" w:hAnsi="Verdana" w:cs="Arial"/>
          <w:color w:val="000000"/>
          <w:bdr w:val="none" w:sz="0" w:space="0" w:color="auto" w:frame="1"/>
          <w:shd w:val="clear" w:color="auto" w:fill="FFFFFF"/>
          <w:lang w:val="es-MX" w:eastAsia="es-ES_tradnl"/>
        </w:rPr>
        <w:t xml:space="preserve">Sala de Consulta y Servicio Civil del </w:t>
      </w:r>
      <w:r w:rsidRPr="00FB5FC4">
        <w:rPr>
          <w:rFonts w:ascii="Verdana" w:eastAsia="Times New Roman" w:hAnsi="Verdana" w:cs="Arial"/>
          <w:color w:val="000000"/>
          <w:bdr w:val="none" w:sz="0" w:space="0" w:color="auto" w:frame="1"/>
          <w:shd w:val="clear" w:color="auto" w:fill="FFFFFF"/>
          <w:lang w:val="es-ES" w:eastAsia="es-ES_tradnl"/>
        </w:rPr>
        <w:t>Consejo de Estado</w:t>
      </w:r>
      <w:r w:rsidRPr="00FB5FC4">
        <w:rPr>
          <w:rFonts w:ascii="Verdana" w:eastAsia="Times New Roman" w:hAnsi="Verdana" w:cs="Arial"/>
          <w:color w:val="000000"/>
          <w:bdr w:val="none" w:sz="0" w:space="0" w:color="auto" w:frame="1"/>
          <w:shd w:val="clear" w:color="auto" w:fill="FFFFFF"/>
          <w:lang w:val="es-MX" w:eastAsia="es-ES_tradnl"/>
        </w:rPr>
        <w:t>, en concepto del 28 de junio de 2016, manifestó que:  </w:t>
      </w:r>
    </w:p>
    <w:p w14:paraId="7BF9F59E" w14:textId="77777777" w:rsidR="00A05B9F" w:rsidRPr="00FB5FC4" w:rsidRDefault="00A05B9F" w:rsidP="00A05B9F">
      <w:pPr>
        <w:spacing w:after="0" w:line="276" w:lineRule="auto"/>
        <w:ind w:left="705" w:right="750"/>
        <w:jc w:val="both"/>
        <w:rPr>
          <w:rFonts w:ascii="Verdana" w:eastAsia="Times New Roman" w:hAnsi="Verdana" w:cs="Arial"/>
          <w:color w:val="000000"/>
          <w:lang w:eastAsia="es-ES_tradnl"/>
        </w:rPr>
      </w:pPr>
    </w:p>
    <w:p w14:paraId="3F50AB01" w14:textId="77777777" w:rsidR="00A05B9F" w:rsidRPr="00A71E32" w:rsidRDefault="00A05B9F" w:rsidP="00A05B9F">
      <w:pPr>
        <w:spacing w:after="0" w:line="240" w:lineRule="auto"/>
        <w:ind w:left="705" w:right="750"/>
        <w:jc w:val="both"/>
        <w:rPr>
          <w:rFonts w:ascii="Verdana" w:eastAsia="Times New Roman" w:hAnsi="Verdana" w:cs="Arial"/>
          <w:color w:val="000000"/>
          <w:sz w:val="20"/>
          <w:szCs w:val="20"/>
          <w:lang w:eastAsia="es-ES_tradnl"/>
        </w:rPr>
      </w:pPr>
      <w:r w:rsidRPr="00A71E32">
        <w:rPr>
          <w:rFonts w:ascii="Verdana" w:eastAsia="Times New Roman" w:hAnsi="Verdana" w:cs="Arial"/>
          <w:i/>
          <w:iCs/>
          <w:sz w:val="20"/>
          <w:szCs w:val="20"/>
          <w:lang w:val="es-ES_tradnl" w:eastAsia="es-ES_tradnl"/>
        </w:rPr>
        <w:t>“</w:t>
      </w:r>
      <w:r w:rsidRPr="00A71E32">
        <w:rPr>
          <w:rFonts w:ascii="Verdana" w:eastAsia="Calibri" w:hAnsi="Verdana" w:cs="Arial"/>
          <w:color w:val="000000"/>
          <w:sz w:val="20"/>
          <w:szCs w:val="20"/>
          <w:lang w:val="es-ES" w:eastAsia="es-ES_tradnl"/>
        </w:rPr>
        <w:t>[</w:t>
      </w:r>
      <w:r w:rsidRPr="00A71E32">
        <w:rPr>
          <w:rFonts w:ascii="Verdana" w:eastAsia="Times New Roman" w:hAnsi="Verdana" w:cs="Arial"/>
          <w:color w:val="000000"/>
          <w:sz w:val="20"/>
          <w:szCs w:val="20"/>
          <w:bdr w:val="none" w:sz="0" w:space="0" w:color="auto" w:frame="1"/>
          <w:shd w:val="clear" w:color="auto" w:fill="FFFFFF"/>
          <w:lang w:eastAsia="es-ES_tradnl"/>
        </w:rPr>
        <w:t xml:space="preserve">…] </w:t>
      </w:r>
      <w:r w:rsidRPr="00A71E32">
        <w:rPr>
          <w:rFonts w:ascii="Verdana" w:eastAsia="Times New Roman" w:hAnsi="Verdana" w:cs="Arial"/>
          <w:color w:val="000000"/>
          <w:sz w:val="20"/>
          <w:szCs w:val="20"/>
          <w:bdr w:val="none" w:sz="0" w:space="0" w:color="auto" w:frame="1"/>
          <w:shd w:val="clear" w:color="auto" w:fill="FFFFFF"/>
          <w:lang w:val="es-ES" w:eastAsia="es-ES_tradnl"/>
        </w:rPr>
        <w:t xml:space="preserve">se debe tener en cuenta que la liquidación unilateral es subsidiaria o supletoria frente a la bilateral, dado que el contratista tiene derecho a acordar la liquidación, debidamente reconocido por el ordenamiento jurídico. Para tal efecto, el contratista debe ser convocado o citado por la </w:t>
      </w:r>
      <w:r w:rsidRPr="00A71E32">
        <w:rPr>
          <w:rFonts w:ascii="Verdana" w:eastAsia="Times New Roman" w:hAnsi="Verdana" w:cs="Arial"/>
          <w:color w:val="000000"/>
          <w:sz w:val="20"/>
          <w:szCs w:val="20"/>
          <w:bdr w:val="none" w:sz="0" w:space="0" w:color="auto" w:frame="1"/>
          <w:shd w:val="clear" w:color="auto" w:fill="FFFFFF"/>
          <w:lang w:val="es-ES" w:eastAsia="es-ES_tradnl"/>
        </w:rPr>
        <w:lastRenderedPageBreak/>
        <w:t>entidad contratante con el fin de intentar la liquidación bilateral, puesto que en el supuesto caso de que no sea así, la (.liquidación unilateral posterior que llegase a practicar la administración resultaría inválida, dado que no tendría competencia material para hacerla y por cuanto su adopción con tal omisión vulneraría el derecho del contratista al debido proceso y sus corolarios de defensa y contradicción y, además, configuraría un abuso de poder”</w:t>
      </w:r>
      <w:r w:rsidRPr="00A71E32">
        <w:rPr>
          <w:rFonts w:ascii="Verdana" w:eastAsia="Times New Roman" w:hAnsi="Verdana" w:cs="Arial"/>
          <w:color w:val="000000"/>
          <w:sz w:val="20"/>
          <w:szCs w:val="20"/>
          <w:bdr w:val="none" w:sz="0" w:space="0" w:color="auto" w:frame="1"/>
          <w:shd w:val="clear" w:color="auto" w:fill="FFFFFF"/>
          <w:vertAlign w:val="superscript"/>
          <w:lang w:val="es-MX" w:eastAsia="es-ES_tradnl"/>
        </w:rPr>
        <w:footnoteReference w:id="19"/>
      </w:r>
      <w:r w:rsidRPr="00A71E32">
        <w:rPr>
          <w:rFonts w:ascii="Verdana" w:eastAsia="Times New Roman" w:hAnsi="Verdana" w:cs="Arial"/>
          <w:color w:val="000000"/>
          <w:sz w:val="20"/>
          <w:szCs w:val="20"/>
          <w:bdr w:val="none" w:sz="0" w:space="0" w:color="auto" w:frame="1"/>
          <w:shd w:val="clear" w:color="auto" w:fill="FFFFFF"/>
          <w:lang w:val="es-ES" w:eastAsia="es-ES_tradnl"/>
        </w:rPr>
        <w:t>. </w:t>
      </w:r>
      <w:r w:rsidRPr="00A71E32">
        <w:rPr>
          <w:rFonts w:ascii="Verdana" w:eastAsia="Times New Roman" w:hAnsi="Verdana" w:cs="Arial"/>
          <w:color w:val="000000"/>
          <w:sz w:val="20"/>
          <w:szCs w:val="20"/>
          <w:bdr w:val="none" w:sz="0" w:space="0" w:color="auto" w:frame="1"/>
          <w:shd w:val="clear" w:color="auto" w:fill="FFFFFF"/>
          <w:lang w:eastAsia="es-ES_tradnl"/>
        </w:rPr>
        <w:t>  </w:t>
      </w:r>
    </w:p>
    <w:p w14:paraId="14BD21E7" w14:textId="77777777" w:rsidR="00A05B9F" w:rsidRPr="00FB5FC4" w:rsidRDefault="00A05B9F" w:rsidP="00A05B9F">
      <w:pPr>
        <w:spacing w:after="0" w:line="276" w:lineRule="auto"/>
        <w:ind w:left="705" w:right="750"/>
        <w:jc w:val="both"/>
        <w:rPr>
          <w:rFonts w:ascii="Verdana" w:eastAsia="Times New Roman" w:hAnsi="Verdana" w:cs="Arial"/>
          <w:color w:val="000000"/>
          <w:lang w:eastAsia="es-ES_tradnl"/>
        </w:rPr>
      </w:pPr>
    </w:p>
    <w:p w14:paraId="36CA5AE8" w14:textId="77777777" w:rsidR="00A05B9F" w:rsidRPr="00FB5FC4" w:rsidRDefault="00A05B9F" w:rsidP="00A05B9F">
      <w:pPr>
        <w:spacing w:after="120" w:line="276" w:lineRule="auto"/>
        <w:ind w:firstLine="705"/>
        <w:jc w:val="both"/>
        <w:rPr>
          <w:rFonts w:ascii="Verdana" w:eastAsia="Times New Roman" w:hAnsi="Verdana" w:cs="Arial"/>
          <w:color w:val="000000"/>
          <w:lang w:eastAsia="es-ES_tradnl"/>
        </w:rPr>
      </w:pPr>
      <w:bookmarkStart w:id="11" w:name="_Hlk141851266"/>
      <w:r w:rsidRPr="00FB5FC4">
        <w:rPr>
          <w:rFonts w:ascii="Verdana" w:eastAsia="Times New Roman" w:hAnsi="Verdana" w:cs="Arial"/>
          <w:color w:val="000000"/>
          <w:bdr w:val="none" w:sz="0" w:space="0" w:color="auto" w:frame="1"/>
          <w:shd w:val="clear" w:color="auto" w:fill="FFFFFF"/>
          <w:lang w:val="es-ES" w:eastAsia="es-ES_tradnl"/>
        </w:rPr>
        <w:t>Si no se logra la liquidación bilateral del contrato, la entidad estatal tiene la facultad de liquidarlo unilateralmente dentro del término de 2 meses contados a partir del vencimiento del plazo que acuerden las partes para liquidar bilateralmente o, ante el silencio de estas, del vencimiento de los 4 meses supletivo establecido por la ley. </w:t>
      </w:r>
    </w:p>
    <w:p w14:paraId="0C0E54C5" w14:textId="77777777" w:rsidR="00A05B9F" w:rsidRPr="00FB5FC4" w:rsidRDefault="00A05B9F" w:rsidP="00A05B9F">
      <w:pPr>
        <w:spacing w:after="0" w:line="276" w:lineRule="auto"/>
        <w:ind w:firstLine="705"/>
        <w:jc w:val="both"/>
        <w:rPr>
          <w:rFonts w:ascii="Verdana" w:eastAsia="Times New Roman" w:hAnsi="Verdana" w:cs="Arial"/>
          <w:color w:val="000000"/>
          <w:bdr w:val="none" w:sz="0" w:space="0" w:color="auto" w:frame="1"/>
          <w:shd w:val="clear" w:color="auto" w:fill="FFFFFF"/>
          <w:lang w:eastAsia="es-ES_tradnl"/>
        </w:rPr>
      </w:pPr>
      <w:r w:rsidRPr="00FB5FC4">
        <w:rPr>
          <w:rFonts w:ascii="Verdana" w:eastAsia="Times New Roman" w:hAnsi="Verdana" w:cs="Arial"/>
          <w:color w:val="000000"/>
          <w:bdr w:val="none" w:sz="0" w:space="0" w:color="auto" w:frame="1"/>
          <w:shd w:val="clear" w:color="auto" w:fill="FFFFFF"/>
          <w:lang w:val="es-ES" w:eastAsia="es-ES_tradnl"/>
        </w:rPr>
        <w:t xml:space="preserve">Finalmente, transcurridos estos meses, la liquidación podrá ser realizada en cualquier tiempo dentro de los dos años siguientes al vencimiento del término referido, de mutuo acuerdo o unilateralmente, salvo que el contratista haya presentado la demanda con la cual pretenda la liquidación judicial del contrato. De esta manera, durante estos dos años la liquidación podrá hacerse de mutuo acuerdo, unilateralmente por la entidad, o podrá ser solicitada judicialmente por el interesado. </w:t>
      </w:r>
      <w:bookmarkEnd w:id="11"/>
      <w:r w:rsidRPr="00FB5FC4">
        <w:rPr>
          <w:rFonts w:ascii="Verdana" w:eastAsia="Times New Roman" w:hAnsi="Verdana" w:cs="Arial"/>
          <w:color w:val="000000"/>
          <w:bdr w:val="none" w:sz="0" w:space="0" w:color="auto" w:frame="1"/>
          <w:shd w:val="clear" w:color="auto" w:fill="FFFFFF"/>
          <w:lang w:val="es-ES" w:eastAsia="es-ES_tradnl"/>
        </w:rPr>
        <w:t xml:space="preserve">En este sentido, en decisión de unificación de la </w:t>
      </w:r>
      <w:r w:rsidRPr="00FB5FC4">
        <w:rPr>
          <w:rFonts w:ascii="Verdana" w:eastAsia="Times New Roman" w:hAnsi="Verdana" w:cs="Arial"/>
          <w:color w:val="000000"/>
          <w:bdr w:val="none" w:sz="0" w:space="0" w:color="auto" w:frame="1"/>
          <w:shd w:val="clear" w:color="auto" w:fill="FFFFFF"/>
          <w:lang w:val="es-MX" w:eastAsia="es-ES_tradnl"/>
        </w:rPr>
        <w:t>Sección Tercera</w:t>
      </w:r>
      <w:r w:rsidRPr="00FB5FC4">
        <w:rPr>
          <w:rFonts w:ascii="Verdana" w:eastAsia="Times New Roman" w:hAnsi="Verdana" w:cs="Arial"/>
          <w:color w:val="000000"/>
          <w:bdr w:val="none" w:sz="0" w:space="0" w:color="auto" w:frame="1"/>
          <w:shd w:val="clear" w:color="auto" w:fill="FFFFFF"/>
          <w:lang w:val="es-ES" w:eastAsia="es-ES_tradnl"/>
        </w:rPr>
        <w:t xml:space="preserve"> del Consejo de Estado del</w:t>
      </w:r>
      <w:r w:rsidRPr="00FB5FC4">
        <w:rPr>
          <w:rFonts w:ascii="Verdana" w:eastAsia="Times New Roman" w:hAnsi="Verdana" w:cs="Arial"/>
          <w:color w:val="000000"/>
          <w:bdr w:val="none" w:sz="0" w:space="0" w:color="auto" w:frame="1"/>
          <w:shd w:val="clear" w:color="auto" w:fill="FFFFFF"/>
          <w:lang w:val="es-MX" w:eastAsia="es-ES_tradnl"/>
        </w:rPr>
        <w:t> </w:t>
      </w:r>
      <w:r w:rsidRPr="00FB5FC4">
        <w:rPr>
          <w:rFonts w:ascii="Verdana" w:eastAsia="Times New Roman" w:hAnsi="Verdana" w:cs="Arial"/>
          <w:color w:val="000000"/>
          <w:bdr w:val="none" w:sz="0" w:space="0" w:color="auto" w:frame="1"/>
          <w:shd w:val="clear" w:color="auto" w:fill="FFFFFF"/>
          <w:lang w:eastAsia="es-ES_tradnl"/>
        </w:rPr>
        <w:t>1 de agosto de 2019, se expresó: </w:t>
      </w:r>
    </w:p>
    <w:p w14:paraId="1CD6BEEB" w14:textId="77777777" w:rsidR="00A05B9F" w:rsidRPr="00FB5FC4" w:rsidRDefault="00A05B9F" w:rsidP="00A05B9F">
      <w:pPr>
        <w:spacing w:after="0" w:line="276" w:lineRule="auto"/>
        <w:ind w:firstLine="705"/>
        <w:jc w:val="both"/>
        <w:rPr>
          <w:rFonts w:ascii="Verdana" w:eastAsia="Times New Roman" w:hAnsi="Verdana" w:cs="Arial"/>
          <w:color w:val="000000"/>
          <w:lang w:eastAsia="es-ES_tradnl"/>
        </w:rPr>
      </w:pPr>
    </w:p>
    <w:p w14:paraId="7566FD6F" w14:textId="77777777" w:rsidR="00A05B9F" w:rsidRPr="00A71E32" w:rsidRDefault="00A05B9F" w:rsidP="00A05B9F">
      <w:pPr>
        <w:spacing w:after="0" w:line="240" w:lineRule="auto"/>
        <w:ind w:left="705" w:right="750"/>
        <w:jc w:val="both"/>
        <w:rPr>
          <w:rFonts w:ascii="Verdana" w:eastAsia="Times New Roman" w:hAnsi="Verdana" w:cs="Arial"/>
          <w:color w:val="000000"/>
          <w:sz w:val="20"/>
          <w:szCs w:val="20"/>
          <w:lang w:eastAsia="es-ES_tradnl"/>
        </w:rPr>
      </w:pPr>
      <w:r w:rsidRPr="00A71E32">
        <w:rPr>
          <w:rFonts w:ascii="Verdana" w:eastAsia="Times New Roman" w:hAnsi="Verdana" w:cs="Arial"/>
          <w:sz w:val="20"/>
          <w:szCs w:val="20"/>
          <w:lang w:val="es-ES_tradnl" w:eastAsia="es-ES_tradnl"/>
        </w:rPr>
        <w:t>“</w:t>
      </w:r>
      <w:r w:rsidRPr="00A71E32">
        <w:rPr>
          <w:rFonts w:ascii="Verdana" w:eastAsia="Times New Roman" w:hAnsi="Verdana" w:cs="Arial"/>
          <w:color w:val="000000"/>
          <w:sz w:val="20"/>
          <w:szCs w:val="20"/>
          <w:bdr w:val="none" w:sz="0" w:space="0" w:color="auto" w:frame="1"/>
          <w:shd w:val="clear" w:color="auto" w:fill="FFFFFF"/>
          <w:lang w:val="es-ES" w:eastAsia="es-ES_tradnl"/>
        </w:rPr>
        <w:t>Como pudo apreciarse, este precepto legal permite que la liquidación bilateral se acuerde después del vencimiento del término pactado en el contrato o previsto en los documentos antepuestos, o, del término supletorio que para la concertación de la liquidación establece la ley, e  incluso, después de haber pasado los dos meses subsiguientes a dicho vencimiento sin que la administración lo hubiera liquidado unilateralmente, bajo condición de que el acuerdo liquidatorio se logre dentro del lapso de dos años contados a partir del vencimiento del término legalmente conocido para la liquidación unilateral, pues ese es el lapso que el ordenamiento ha fijado para el ejercicio oportuno de la acción</w:t>
      </w:r>
      <w:r w:rsidRPr="00A71E32">
        <w:rPr>
          <w:rFonts w:ascii="Verdana" w:eastAsia="Times New Roman" w:hAnsi="Verdana" w:cs="Arial"/>
          <w:sz w:val="20"/>
          <w:szCs w:val="20"/>
          <w:lang w:val="es-ES_tradnl" w:eastAsia="es-ES_tradnl"/>
        </w:rPr>
        <w:t>”</w:t>
      </w:r>
      <w:r w:rsidRPr="00A71E32">
        <w:rPr>
          <w:rFonts w:ascii="Verdana" w:eastAsia="Times New Roman" w:hAnsi="Verdana" w:cs="Arial"/>
          <w:color w:val="000000"/>
          <w:sz w:val="20"/>
          <w:szCs w:val="20"/>
          <w:bdr w:val="none" w:sz="0" w:space="0" w:color="auto" w:frame="1"/>
          <w:shd w:val="clear" w:color="auto" w:fill="FFFFFF"/>
          <w:vertAlign w:val="superscript"/>
          <w:lang w:eastAsia="es-ES_tradnl"/>
        </w:rPr>
        <w:t xml:space="preserve"> </w:t>
      </w:r>
      <w:r w:rsidRPr="00A71E32">
        <w:rPr>
          <w:rFonts w:ascii="Verdana" w:eastAsia="Times New Roman" w:hAnsi="Verdana" w:cs="Arial"/>
          <w:color w:val="000000"/>
          <w:sz w:val="20"/>
          <w:szCs w:val="20"/>
          <w:bdr w:val="none" w:sz="0" w:space="0" w:color="auto" w:frame="1"/>
          <w:shd w:val="clear" w:color="auto" w:fill="FFFFFF"/>
          <w:vertAlign w:val="superscript"/>
          <w:lang w:eastAsia="es-ES_tradnl"/>
        </w:rPr>
        <w:footnoteReference w:id="20"/>
      </w:r>
      <w:r w:rsidRPr="00A71E32">
        <w:rPr>
          <w:rFonts w:ascii="Verdana" w:eastAsia="Times New Roman" w:hAnsi="Verdana" w:cs="Arial"/>
          <w:sz w:val="20"/>
          <w:szCs w:val="20"/>
          <w:lang w:val="es-ES_tradnl" w:eastAsia="es-ES_tradnl"/>
        </w:rPr>
        <w:t>.</w:t>
      </w:r>
      <w:r w:rsidRPr="00A71E32">
        <w:rPr>
          <w:rFonts w:ascii="Verdana" w:eastAsia="Times New Roman" w:hAnsi="Verdana" w:cs="Arial"/>
          <w:color w:val="000000"/>
          <w:sz w:val="20"/>
          <w:szCs w:val="20"/>
          <w:bdr w:val="none" w:sz="0" w:space="0" w:color="auto" w:frame="1"/>
          <w:shd w:val="clear" w:color="auto" w:fill="FFFFFF"/>
          <w:lang w:val="es-ES" w:eastAsia="es-ES_tradnl"/>
        </w:rPr>
        <w:t> </w:t>
      </w:r>
    </w:p>
    <w:p w14:paraId="0B1570C8" w14:textId="77777777" w:rsidR="00A05B9F" w:rsidRPr="00FB5FC4" w:rsidRDefault="00A05B9F" w:rsidP="00A05B9F">
      <w:pPr>
        <w:spacing w:after="0" w:line="276" w:lineRule="auto"/>
        <w:ind w:firstLine="708"/>
        <w:jc w:val="both"/>
        <w:rPr>
          <w:rFonts w:ascii="Verdana" w:eastAsia="Times New Roman" w:hAnsi="Verdana" w:cs="Arial"/>
          <w:color w:val="000000"/>
          <w:lang w:eastAsia="es-ES_tradnl"/>
        </w:rPr>
      </w:pPr>
    </w:p>
    <w:p w14:paraId="50945A09" w14:textId="77777777" w:rsidR="00A05B9F" w:rsidRDefault="00A05B9F" w:rsidP="00A05B9F">
      <w:pPr>
        <w:tabs>
          <w:tab w:val="left" w:pos="709"/>
        </w:tabs>
        <w:spacing w:after="120" w:line="276" w:lineRule="auto"/>
        <w:jc w:val="both"/>
        <w:rPr>
          <w:rFonts w:ascii="Verdana" w:eastAsia="Times New Roman" w:hAnsi="Verdana" w:cs="Arial"/>
          <w:color w:val="000000"/>
          <w:bdr w:val="none" w:sz="0" w:space="0" w:color="auto" w:frame="1"/>
          <w:shd w:val="clear" w:color="auto" w:fill="FFFFFF"/>
          <w:lang w:eastAsia="es-ES_tradnl"/>
        </w:rPr>
      </w:pPr>
      <w:r>
        <w:rPr>
          <w:rFonts w:ascii="Verdana" w:eastAsia="Times New Roman" w:hAnsi="Verdana" w:cs="Arial"/>
          <w:color w:val="000000"/>
          <w:bdr w:val="none" w:sz="0" w:space="0" w:color="auto" w:frame="1"/>
          <w:shd w:val="clear" w:color="auto" w:fill="FFFFFF"/>
          <w:lang w:eastAsia="es-ES_tradnl"/>
        </w:rPr>
        <w:tab/>
      </w:r>
      <w:r w:rsidRPr="00FB5FC4">
        <w:rPr>
          <w:rFonts w:ascii="Verdana" w:eastAsia="Times New Roman" w:hAnsi="Verdana" w:cs="Arial"/>
          <w:color w:val="000000"/>
          <w:bdr w:val="none" w:sz="0" w:space="0" w:color="auto" w:frame="1"/>
          <w:shd w:val="clear" w:color="auto" w:fill="FFFFFF"/>
          <w:lang w:eastAsia="es-ES_tradnl"/>
        </w:rPr>
        <w:t>A su turno</w:t>
      </w:r>
      <w:r>
        <w:rPr>
          <w:rFonts w:ascii="Verdana" w:eastAsia="Times New Roman" w:hAnsi="Verdana" w:cs="Arial"/>
          <w:color w:val="000000"/>
          <w:bdr w:val="none" w:sz="0" w:space="0" w:color="auto" w:frame="1"/>
          <w:shd w:val="clear" w:color="auto" w:fill="FFFFFF"/>
          <w:lang w:eastAsia="es-ES_tradnl"/>
        </w:rPr>
        <w:t xml:space="preserve">, la liquidación judicial hace parte de una de las pretensiones que admite el medio de control de controversias contractuales. Al respecto, el artículo 141 de la Ley 1437 de 2011 dispone que “[…] </w:t>
      </w:r>
      <w:r w:rsidRPr="00F915F3">
        <w:rPr>
          <w:rFonts w:ascii="Verdana" w:eastAsia="Times New Roman" w:hAnsi="Verdana" w:cs="Arial"/>
          <w:color w:val="000000"/>
          <w:bdr w:val="none" w:sz="0" w:space="0" w:color="auto" w:frame="1"/>
          <w:shd w:val="clear" w:color="auto" w:fill="FFFFFF"/>
          <w:lang w:eastAsia="es-ES_tradnl"/>
        </w:rPr>
        <w:t xml:space="preserve">el interesado podrá </w:t>
      </w:r>
      <w:bookmarkStart w:id="12" w:name="_Hlk172560769"/>
      <w:r w:rsidRPr="00F915F3">
        <w:rPr>
          <w:rFonts w:ascii="Verdana" w:eastAsia="Times New Roman" w:hAnsi="Verdana" w:cs="Arial"/>
          <w:color w:val="000000"/>
          <w:bdr w:val="none" w:sz="0" w:space="0" w:color="auto" w:frame="1"/>
          <w:shd w:val="clear" w:color="auto" w:fill="FFFFFF"/>
          <w:lang w:eastAsia="es-ES_tradnl"/>
        </w:rPr>
        <w:lastRenderedPageBreak/>
        <w:t>solicitar la liquidación judicial</w:t>
      </w:r>
      <w:bookmarkEnd w:id="12"/>
      <w:r w:rsidRPr="00F915F3">
        <w:rPr>
          <w:rFonts w:ascii="Verdana" w:eastAsia="Times New Roman" w:hAnsi="Verdana" w:cs="Arial"/>
          <w:color w:val="000000"/>
          <w:bdr w:val="none" w:sz="0" w:space="0" w:color="auto" w:frame="1"/>
          <w:shd w:val="clear" w:color="auto" w:fill="FFFFFF"/>
          <w:lang w:eastAsia="es-ES_tradnl"/>
        </w:rPr>
        <w:t xml:space="preserve"> del contrato cuando esta no se haya logrado de mutuo acuerdo y la entidad estatal no lo haya liquidado unilateralmente dentro de los dos (2) meses siguientes al vencimiento del plazo convenido para liquidar de mutuo acuerdo o, en su defecto, del término establecido por la ley</w:t>
      </w:r>
      <w:r>
        <w:rPr>
          <w:rFonts w:ascii="Verdana" w:eastAsia="Times New Roman" w:hAnsi="Verdana" w:cs="Arial"/>
          <w:color w:val="000000"/>
          <w:bdr w:val="none" w:sz="0" w:space="0" w:color="auto" w:frame="1"/>
          <w:shd w:val="clear" w:color="auto" w:fill="FFFFFF"/>
          <w:lang w:eastAsia="es-ES_tradnl"/>
        </w:rPr>
        <w:t>”</w:t>
      </w:r>
      <w:r w:rsidRPr="00F915F3">
        <w:rPr>
          <w:rFonts w:ascii="Verdana" w:eastAsia="Times New Roman" w:hAnsi="Verdana" w:cs="Arial"/>
          <w:color w:val="000000"/>
          <w:bdr w:val="none" w:sz="0" w:space="0" w:color="auto" w:frame="1"/>
          <w:shd w:val="clear" w:color="auto" w:fill="FFFFFF"/>
          <w:lang w:eastAsia="es-ES_tradnl"/>
        </w:rPr>
        <w:t>.</w:t>
      </w:r>
      <w:r>
        <w:rPr>
          <w:rFonts w:ascii="Verdana" w:eastAsia="Times New Roman" w:hAnsi="Verdana" w:cs="Arial"/>
          <w:color w:val="000000"/>
          <w:bdr w:val="none" w:sz="0" w:space="0" w:color="auto" w:frame="1"/>
          <w:shd w:val="clear" w:color="auto" w:fill="FFFFFF"/>
          <w:lang w:eastAsia="es-ES_tradnl"/>
        </w:rPr>
        <w:t xml:space="preserve"> Bajo esta perspectiva, para la entidad cesa la facultad de liquidar bilateral o unilateralmente, ya que el tema pasa de la administración a la jurisdicción.</w:t>
      </w:r>
    </w:p>
    <w:p w14:paraId="664ED9A4" w14:textId="77777777" w:rsidR="00A05B9F" w:rsidRDefault="00A05B9F" w:rsidP="00A05B9F">
      <w:pPr>
        <w:tabs>
          <w:tab w:val="left" w:pos="709"/>
        </w:tabs>
        <w:spacing w:after="120" w:line="276" w:lineRule="auto"/>
        <w:jc w:val="both"/>
        <w:rPr>
          <w:rFonts w:ascii="Verdana" w:eastAsia="Times New Roman" w:hAnsi="Verdana" w:cs="Arial"/>
          <w:color w:val="000000"/>
          <w:bdr w:val="none" w:sz="0" w:space="0" w:color="auto" w:frame="1"/>
          <w:shd w:val="clear" w:color="auto" w:fill="FFFFFF"/>
          <w:lang w:val="es-ES" w:eastAsia="es-ES"/>
        </w:rPr>
      </w:pPr>
      <w:r>
        <w:rPr>
          <w:rFonts w:ascii="Verdana" w:eastAsia="Times New Roman" w:hAnsi="Verdana" w:cs="Arial"/>
          <w:color w:val="000000"/>
          <w:bdr w:val="none" w:sz="0" w:space="0" w:color="auto" w:frame="1"/>
          <w:shd w:val="clear" w:color="auto" w:fill="FFFFFF"/>
          <w:lang w:eastAsia="es-ES_tradnl"/>
        </w:rPr>
        <w:tab/>
      </w:r>
      <w:r w:rsidRPr="64F094BD">
        <w:rPr>
          <w:rFonts w:ascii="Verdana" w:eastAsia="Times New Roman" w:hAnsi="Verdana" w:cs="Arial"/>
          <w:color w:val="000000"/>
          <w:bdr w:val="none" w:sz="0" w:space="0" w:color="auto" w:frame="1"/>
          <w:shd w:val="clear" w:color="auto" w:fill="FFFFFF"/>
          <w:lang w:val="es-ES" w:eastAsia="es-ES"/>
        </w:rPr>
        <w:t>En suma, de acuerdo con el artículo 11 de la Ley 1150 de 2007, existen tres (3) tipos de liquidación: i) bilateral, ii) unilateral y iii) judicial. En términos generales, la primera, que puede ser total o parcial, debe hacerse en el término que estipulen las partes o, en su defecto, dentro del término supletivo de cuatro (4) meses. La segunda se debe practicar dentro de los dos (2) meses siguientes al vencimiento del término que acuerden las partes, o ante el silencio de estas, luego de los cuatro (4) meses para realizar la liquidación bilateral, sin que esta se efectúe. Finalmente, la tercera la realiza la Jurisdicción de lo Contencioso Administrativo o un tribunal de arbitramento dentro de un proceso judicial de controversias contractuales, y puede darse con ocasión de una demanda del interesado solicitando dicha liquidación. Para ello, existe un plazo máximo de dos (2) años contados a partir de los dos meses establecidos en la Ley para realizar la liquidación unilateral.</w:t>
      </w:r>
    </w:p>
    <w:p w14:paraId="7A0068A1" w14:textId="77777777" w:rsidR="00A05B9F" w:rsidRPr="00882C9A" w:rsidRDefault="00A05B9F" w:rsidP="00A05B9F">
      <w:pPr>
        <w:spacing w:after="0" w:line="276" w:lineRule="auto"/>
        <w:ind w:firstLine="708"/>
        <w:jc w:val="both"/>
        <w:rPr>
          <w:rFonts w:ascii="Verdana" w:eastAsia="Times New Roman" w:hAnsi="Verdana" w:cs="Arial"/>
          <w:color w:val="000000" w:themeColor="text1"/>
          <w:lang w:eastAsia="es-CO"/>
        </w:rPr>
      </w:pPr>
      <w:r w:rsidRPr="00882C9A">
        <w:rPr>
          <w:rFonts w:ascii="Verdana" w:eastAsia="Times New Roman" w:hAnsi="Verdana" w:cs="Arial"/>
          <w:color w:val="000000" w:themeColor="text1"/>
          <w:lang w:eastAsia="es-CO"/>
        </w:rPr>
        <w:t xml:space="preserve">Así las cosas, </w:t>
      </w:r>
      <w:r>
        <w:rPr>
          <w:rFonts w:ascii="Verdana" w:eastAsia="Times New Roman" w:hAnsi="Verdana" w:cs="Arial"/>
          <w:color w:val="000000" w:themeColor="text1"/>
          <w:lang w:eastAsia="es-CO"/>
        </w:rPr>
        <w:t xml:space="preserve">de cara a la consulta planteada, se precisa que </w:t>
      </w:r>
      <w:r w:rsidRPr="00882C9A">
        <w:rPr>
          <w:rFonts w:ascii="Verdana" w:eastAsia="Times New Roman" w:hAnsi="Verdana" w:cs="Arial"/>
          <w:color w:val="000000" w:themeColor="text1"/>
          <w:lang w:eastAsia="es-CO"/>
        </w:rPr>
        <w:t>posterior a los términos referenciados en el párrafo precedente sin que se hubiese liquidado el contrato, ésta no podrá adelantarse dado que los plazos referidos son perentorios. Esto significa que con su vencimiento fenece la oportunidad de efectuarla ante la pérdida de competencia de la entidad para realizar el balance final del acuerdo de voluntades pactado. Esta Subdirección, en el Concepto 4201913000006142 de 7 de octubre de 2019, señaló que con la caducidad del medio de control de controversias contractuales las entidades pierden la competencia para liquidar el contrato, ya que el fenómeno procesal constituía la preclusión de la oportunidad para reclamar las sumas de dinero adeudadas por las partes. Asimismo, la doctrina señala que:</w:t>
      </w:r>
    </w:p>
    <w:p w14:paraId="7CBAD295" w14:textId="77777777" w:rsidR="00A05B9F" w:rsidRPr="00882C9A" w:rsidRDefault="00A05B9F" w:rsidP="00A05B9F">
      <w:pPr>
        <w:spacing w:after="0" w:line="276" w:lineRule="auto"/>
        <w:jc w:val="both"/>
        <w:rPr>
          <w:rFonts w:ascii="Verdana" w:eastAsia="Times New Roman" w:hAnsi="Verdana" w:cs="Arial"/>
          <w:color w:val="000000" w:themeColor="text1"/>
          <w:lang w:eastAsia="es-CO"/>
        </w:rPr>
      </w:pPr>
    </w:p>
    <w:p w14:paraId="262DA620" w14:textId="77777777" w:rsidR="00A05B9F" w:rsidRPr="00882C9A" w:rsidRDefault="00A05B9F" w:rsidP="00A05B9F">
      <w:pPr>
        <w:spacing w:after="0" w:line="240" w:lineRule="auto"/>
        <w:ind w:left="709" w:right="709"/>
        <w:jc w:val="both"/>
        <w:rPr>
          <w:rFonts w:ascii="Verdana" w:eastAsia="Times New Roman" w:hAnsi="Verdana" w:cs="Arial"/>
          <w:color w:val="000000" w:themeColor="text1"/>
          <w:sz w:val="20"/>
          <w:szCs w:val="20"/>
          <w:lang w:eastAsia="es-CO"/>
        </w:rPr>
      </w:pPr>
      <w:r w:rsidRPr="00882C9A">
        <w:rPr>
          <w:rFonts w:ascii="Verdana" w:eastAsia="Times New Roman" w:hAnsi="Verdana" w:cs="Arial"/>
          <w:color w:val="000000" w:themeColor="text1"/>
          <w:sz w:val="20"/>
          <w:szCs w:val="20"/>
          <w:lang w:eastAsia="es-CO"/>
        </w:rPr>
        <w:t xml:space="preserve">“Suele argüirse, en la práctica, que es factible efectuar la liquidación del contrato, así haya operado la caducidad de la acción, con base en la existencia de una obligación natural, que fundamentaría pagarle al contratista lo que se le debe. Sin embargo, se trata de una posición equivocada, pues si bien el artículo 1527 del Código Civil establece que las obligaciones naturales son ‘las que no confieren derecho para exigir su </w:t>
      </w:r>
      <w:r w:rsidRPr="00882C9A">
        <w:rPr>
          <w:rFonts w:ascii="Verdana" w:eastAsia="Times New Roman" w:hAnsi="Verdana" w:cs="Arial"/>
          <w:color w:val="000000" w:themeColor="text1"/>
          <w:sz w:val="20"/>
          <w:szCs w:val="20"/>
          <w:lang w:eastAsia="es-CO"/>
        </w:rPr>
        <w:lastRenderedPageBreak/>
        <w:t>cumplimiento, pero que cumplidas autorizan para retener lo que se ha dado o pagado, en razón de ellas’, los servidores públicos no puede reconocer acreencias inexigibles, sino cuentan con la competencia expresa para hacerlo, pues estaría desbordando el marco de sus atribuciones constitucionales, legales y reglamentarias. Además, del concepto mismo de obligación natural no se deduce la consagración de la competencia para liquidar el contrato estatal, luego de expirado el término de caducidad del medio de control de controversias contractuales”</w:t>
      </w:r>
      <w:r w:rsidRPr="00882C9A">
        <w:rPr>
          <w:rStyle w:val="Refdenotaalpie"/>
          <w:rFonts w:ascii="Verdana" w:eastAsia="Times New Roman" w:hAnsi="Verdana" w:cs="Arial"/>
          <w:color w:val="000000" w:themeColor="text1"/>
          <w:sz w:val="20"/>
          <w:szCs w:val="20"/>
          <w:lang w:eastAsia="es-CO"/>
        </w:rPr>
        <w:footnoteReference w:id="21"/>
      </w:r>
      <w:r w:rsidRPr="00882C9A">
        <w:rPr>
          <w:rFonts w:ascii="Verdana" w:eastAsia="Times New Roman" w:hAnsi="Verdana" w:cs="Arial"/>
          <w:color w:val="000000" w:themeColor="text1"/>
          <w:sz w:val="20"/>
          <w:szCs w:val="20"/>
          <w:lang w:eastAsia="es-CO"/>
        </w:rPr>
        <w:t xml:space="preserve">.   </w:t>
      </w:r>
    </w:p>
    <w:p w14:paraId="404AE72D" w14:textId="77777777" w:rsidR="00A05B9F" w:rsidRPr="00882C9A" w:rsidRDefault="00A05B9F" w:rsidP="00A05B9F">
      <w:pPr>
        <w:tabs>
          <w:tab w:val="left" w:pos="709"/>
        </w:tabs>
        <w:spacing w:after="0" w:line="276" w:lineRule="auto"/>
        <w:jc w:val="both"/>
        <w:rPr>
          <w:rFonts w:ascii="Verdana" w:eastAsia="Times New Roman" w:hAnsi="Verdana" w:cs="Arial"/>
          <w:color w:val="000000"/>
          <w:bdr w:val="none" w:sz="0" w:space="0" w:color="auto" w:frame="1"/>
          <w:shd w:val="clear" w:color="auto" w:fill="FFFFFF"/>
          <w:lang w:eastAsia="es-ES_tradnl"/>
        </w:rPr>
      </w:pPr>
    </w:p>
    <w:p w14:paraId="1493831D" w14:textId="77777777" w:rsidR="00A05B9F" w:rsidRDefault="00A05B9F" w:rsidP="00A05B9F">
      <w:pPr>
        <w:tabs>
          <w:tab w:val="left" w:pos="709"/>
        </w:tabs>
        <w:spacing w:after="120" w:line="276" w:lineRule="auto"/>
        <w:jc w:val="both"/>
        <w:rPr>
          <w:rFonts w:ascii="Verdana" w:eastAsia="Calibri" w:hAnsi="Verdana" w:cs="Arial"/>
          <w:color w:val="000000"/>
          <w:lang w:val="es-ES" w:eastAsia="es-ES"/>
        </w:rPr>
      </w:pPr>
      <w:r>
        <w:rPr>
          <w:rFonts w:ascii="Verdana" w:eastAsia="Times New Roman" w:hAnsi="Verdana" w:cs="Arial"/>
          <w:color w:val="000000"/>
          <w:bdr w:val="none" w:sz="0" w:space="0" w:color="auto" w:frame="1"/>
          <w:shd w:val="clear" w:color="auto" w:fill="FFFFFF"/>
          <w:lang w:eastAsia="es-ES_tradnl"/>
        </w:rPr>
        <w:tab/>
      </w:r>
      <w:r>
        <w:rPr>
          <w:rFonts w:ascii="Verdana" w:eastAsia="Calibri" w:hAnsi="Verdana" w:cs="Arial"/>
          <w:color w:val="000000"/>
          <w:lang w:val="es-ES" w:eastAsia="es-ES"/>
        </w:rPr>
        <w:t xml:space="preserve">En consecuencia, </w:t>
      </w:r>
      <w:r w:rsidRPr="00851576">
        <w:rPr>
          <w:rFonts w:ascii="Verdana" w:eastAsia="Calibri" w:hAnsi="Verdana" w:cs="Arial"/>
          <w:color w:val="000000"/>
          <w:lang w:val="es-ES" w:eastAsia="es-ES"/>
        </w:rPr>
        <w:t xml:space="preserve">dentro de los límites previstos en el </w:t>
      </w:r>
      <w:r>
        <w:rPr>
          <w:rFonts w:ascii="Verdana" w:eastAsia="Calibri" w:hAnsi="Verdana" w:cs="Arial"/>
          <w:color w:val="000000"/>
          <w:lang w:val="es-ES" w:eastAsia="es-ES"/>
        </w:rPr>
        <w:t xml:space="preserve">literal j) del </w:t>
      </w:r>
      <w:r w:rsidRPr="00851576">
        <w:rPr>
          <w:rFonts w:ascii="Verdana" w:eastAsia="Calibri" w:hAnsi="Verdana" w:cs="Arial"/>
          <w:color w:val="000000"/>
          <w:lang w:val="es-ES" w:eastAsia="es-ES"/>
        </w:rPr>
        <w:t>artículo 164</w:t>
      </w:r>
      <w:r>
        <w:rPr>
          <w:rFonts w:ascii="Verdana" w:eastAsia="Calibri" w:hAnsi="Verdana" w:cs="Arial"/>
          <w:color w:val="000000"/>
          <w:lang w:val="es-ES" w:eastAsia="es-ES"/>
        </w:rPr>
        <w:t>.2</w:t>
      </w:r>
      <w:r w:rsidRPr="00851576">
        <w:rPr>
          <w:rFonts w:ascii="Verdana" w:eastAsia="Calibri" w:hAnsi="Verdana" w:cs="Arial"/>
          <w:color w:val="000000"/>
          <w:lang w:val="es-ES" w:eastAsia="es-ES"/>
        </w:rPr>
        <w:t xml:space="preserve"> de la Ley 1437 de 2011</w:t>
      </w:r>
      <w:r>
        <w:rPr>
          <w:rFonts w:ascii="Verdana" w:eastAsia="Calibri" w:hAnsi="Verdana" w:cs="Arial"/>
          <w:color w:val="000000"/>
          <w:lang w:val="es-ES" w:eastAsia="es-ES"/>
        </w:rPr>
        <w:t xml:space="preserve">, es posible liquidar bilateral o unilateralmente siempre que no haya caducado medio de control de controversias contractuales. Lo anterior, aunque haya pasado el término previsto en los documentos del proceso o el supletivo de cuatro (4) meses –tratándose de la liquidación bilateral–, así como el plazo de dos (2) meses –tratándose de la liquidación unilateral–. </w:t>
      </w:r>
    </w:p>
    <w:p w14:paraId="7A19BA3C" w14:textId="77777777" w:rsidR="00A05B9F" w:rsidRDefault="00A05B9F" w:rsidP="00A05B9F">
      <w:pPr>
        <w:spacing w:after="120" w:line="276" w:lineRule="auto"/>
        <w:ind w:firstLine="733"/>
        <w:jc w:val="both"/>
        <w:rPr>
          <w:rFonts w:ascii="Verdana" w:eastAsia="Calibri" w:hAnsi="Verdana" w:cs="Arial"/>
          <w:color w:val="000000"/>
          <w:lang w:val="es-ES" w:eastAsia="es-ES"/>
        </w:rPr>
      </w:pPr>
      <w:r>
        <w:rPr>
          <w:rFonts w:ascii="Verdana" w:eastAsia="Calibri" w:hAnsi="Verdana" w:cs="Arial"/>
          <w:color w:val="000000"/>
          <w:lang w:val="es-ES" w:eastAsia="es-ES"/>
        </w:rPr>
        <w:t xml:space="preserve">Cualquier liquidación efectuada después de la caducidad del medio de control implica la pérdida de competencia temporal, por lo que está viciada de nulidad. En este caso, el plazo correspondiente se rige por el </w:t>
      </w:r>
      <w:r w:rsidRPr="00E8503C">
        <w:rPr>
          <w:rFonts w:ascii="Verdana" w:eastAsia="Calibri" w:hAnsi="Verdana" w:cs="Arial"/>
          <w:color w:val="000000"/>
          <w:lang w:val="es-ES" w:eastAsia="es-ES"/>
        </w:rPr>
        <w:t>ap</w:t>
      </w:r>
      <w:r>
        <w:rPr>
          <w:rFonts w:ascii="Verdana" w:eastAsia="Calibri" w:hAnsi="Verdana" w:cs="Arial"/>
          <w:color w:val="000000"/>
          <w:lang w:val="es-ES" w:eastAsia="es-ES"/>
        </w:rPr>
        <w:t>artado</w:t>
      </w:r>
      <w:r w:rsidRPr="00E8503C">
        <w:rPr>
          <w:rFonts w:ascii="Verdana" w:eastAsia="Calibri" w:hAnsi="Verdana" w:cs="Arial"/>
          <w:color w:val="000000"/>
          <w:lang w:val="es-ES" w:eastAsia="es-ES"/>
        </w:rPr>
        <w:t xml:space="preserve"> </w:t>
      </w:r>
      <w:r>
        <w:rPr>
          <w:rFonts w:ascii="Verdana" w:eastAsia="Calibri" w:hAnsi="Verdana" w:cs="Arial"/>
          <w:color w:val="000000"/>
          <w:lang w:val="es-ES" w:eastAsia="es-ES"/>
        </w:rPr>
        <w:t xml:space="preserve">v </w:t>
      </w:r>
      <w:r w:rsidRPr="00E8503C">
        <w:rPr>
          <w:rFonts w:ascii="Verdana" w:eastAsia="Calibri" w:hAnsi="Verdana" w:cs="Arial"/>
          <w:color w:val="000000"/>
          <w:lang w:val="es-ES" w:eastAsia="es-ES"/>
        </w:rPr>
        <w:t xml:space="preserve">del literal </w:t>
      </w:r>
      <w:r>
        <w:rPr>
          <w:rFonts w:ascii="Verdana" w:eastAsia="Calibri" w:hAnsi="Verdana" w:cs="Arial"/>
          <w:color w:val="000000"/>
          <w:lang w:val="es-ES" w:eastAsia="es-ES"/>
        </w:rPr>
        <w:t>j)</w:t>
      </w:r>
      <w:r w:rsidRPr="00E8503C">
        <w:rPr>
          <w:rFonts w:ascii="Verdana" w:eastAsia="Calibri" w:hAnsi="Verdana" w:cs="Arial"/>
          <w:color w:val="000000"/>
          <w:lang w:val="es-ES" w:eastAsia="es-ES"/>
        </w:rPr>
        <w:t xml:space="preserve"> del numeral 2 del artículo 164 del CPACA</w:t>
      </w:r>
      <w:r>
        <w:rPr>
          <w:rFonts w:ascii="Verdana" w:eastAsia="Calibri" w:hAnsi="Verdana" w:cs="Arial"/>
          <w:color w:val="000000"/>
          <w:lang w:val="es-ES" w:eastAsia="es-ES"/>
        </w:rPr>
        <w:t>, de manera que e</w:t>
      </w:r>
      <w:r w:rsidRPr="00E8503C">
        <w:rPr>
          <w:rFonts w:ascii="Verdana" w:eastAsia="Calibri" w:hAnsi="Verdana" w:cs="Arial"/>
          <w:color w:val="000000"/>
          <w:lang w:val="es-ES" w:eastAsia="es-ES"/>
        </w:rPr>
        <w:t>n los</w:t>
      </w:r>
      <w:r>
        <w:rPr>
          <w:rFonts w:ascii="Verdana" w:eastAsia="Calibri" w:hAnsi="Verdana" w:cs="Arial"/>
          <w:color w:val="000000"/>
          <w:lang w:val="es-ES" w:eastAsia="es-ES"/>
        </w:rPr>
        <w:t xml:space="preserve"> contratos</w:t>
      </w:r>
      <w:r w:rsidRPr="00E8503C">
        <w:rPr>
          <w:rFonts w:ascii="Verdana" w:eastAsia="Calibri" w:hAnsi="Verdana" w:cs="Arial"/>
          <w:color w:val="000000"/>
          <w:lang w:val="es-ES" w:eastAsia="es-ES"/>
        </w:rPr>
        <w:t xml:space="preserve"> que requieran de liquidación y esta no se logre por mutuo acuerdo o no se practique por la administración unilateralmente</w:t>
      </w:r>
      <w:r>
        <w:rPr>
          <w:rFonts w:ascii="Verdana" w:eastAsia="Calibri" w:hAnsi="Verdana" w:cs="Arial"/>
          <w:color w:val="000000"/>
          <w:lang w:val="es-ES" w:eastAsia="es-ES"/>
        </w:rPr>
        <w:t>, la caducidad se presenta dentro de los dos (2) años siguientes al vencimiento de ambos.</w:t>
      </w:r>
    </w:p>
    <w:p w14:paraId="480A93AC" w14:textId="77777777" w:rsidR="00A05B9F" w:rsidRDefault="00A05B9F" w:rsidP="00A05B9F">
      <w:pPr>
        <w:spacing w:after="120" w:line="276" w:lineRule="auto"/>
        <w:ind w:firstLine="733"/>
        <w:jc w:val="both"/>
        <w:rPr>
          <w:rFonts w:ascii="Verdana" w:eastAsia="Calibri" w:hAnsi="Verdana" w:cs="Arial"/>
          <w:color w:val="000000"/>
          <w:lang w:val="es-ES" w:eastAsia="es-ES"/>
        </w:rPr>
      </w:pPr>
      <w:r w:rsidRPr="002E329A">
        <w:rPr>
          <w:rFonts w:ascii="Verdana" w:eastAsia="Calibri" w:hAnsi="Verdana" w:cs="Arial"/>
          <w:color w:val="000000"/>
          <w:lang w:val="es-ES" w:eastAsia="es-ES"/>
        </w:rPr>
        <w:t xml:space="preserve">En este sentido, independientemente de las situaciones que puedan suscitarse con ocasión de las reclamaciones formuladas a la aseguradora en desarrollo del contrato de seguro o de aquellas que se presenten en el marco del contrato de corretaje de seguros, la liquidación del respectivo contrato debe efectuarse dentro de los plazos previstos en la ley. Ello </w:t>
      </w:r>
      <w:r>
        <w:rPr>
          <w:rFonts w:ascii="Verdana" w:eastAsia="Calibri" w:hAnsi="Verdana" w:cs="Arial"/>
          <w:color w:val="000000"/>
          <w:lang w:val="es-ES" w:eastAsia="es-ES"/>
        </w:rPr>
        <w:t>por cuanto dichos términos</w:t>
      </w:r>
      <w:r w:rsidRPr="002E329A">
        <w:rPr>
          <w:rFonts w:ascii="Verdana" w:eastAsia="Calibri" w:hAnsi="Verdana" w:cs="Arial"/>
          <w:color w:val="000000"/>
          <w:lang w:val="es-ES" w:eastAsia="es-ES"/>
        </w:rPr>
        <w:t xml:space="preserve"> tienen carácter perentorio y buscan garantizar el cierre oportuno de la relación contractual, </w:t>
      </w:r>
      <w:r>
        <w:rPr>
          <w:rFonts w:ascii="Verdana" w:eastAsia="Calibri" w:hAnsi="Verdana" w:cs="Arial"/>
          <w:color w:val="000000"/>
          <w:lang w:val="es-ES" w:eastAsia="es-ES"/>
        </w:rPr>
        <w:t xml:space="preserve">determinando </w:t>
      </w:r>
      <w:r w:rsidRPr="002E329A">
        <w:rPr>
          <w:rFonts w:ascii="Verdana" w:eastAsia="Calibri" w:hAnsi="Verdana" w:cs="Arial"/>
          <w:color w:val="000000"/>
          <w:lang w:val="es-ES" w:eastAsia="es-ES"/>
        </w:rPr>
        <w:t>el estado final de las obligaciones recíprocas, los saldos a favor o en contra y los aspectos pendientes de ejecución. En consecuencia, la existencia de reclamaciones o de actuaciones derivadas de tales contratos no suspende ni prorroga,</w:t>
      </w:r>
      <w:r>
        <w:rPr>
          <w:rFonts w:ascii="Verdana" w:eastAsia="Calibri" w:hAnsi="Verdana" w:cs="Arial"/>
          <w:color w:val="000000"/>
          <w:lang w:val="es-ES" w:eastAsia="es-ES"/>
        </w:rPr>
        <w:t xml:space="preserve"> </w:t>
      </w:r>
      <w:r w:rsidRPr="002E329A">
        <w:rPr>
          <w:rFonts w:ascii="Verdana" w:eastAsia="Calibri" w:hAnsi="Verdana" w:cs="Arial"/>
          <w:color w:val="000000"/>
          <w:lang w:val="es-ES" w:eastAsia="es-ES"/>
        </w:rPr>
        <w:t>el deber de adelantar la liquidación dentro de los términos legalmente establecidos, sin perjuicio de que las partes dejen constancia de las situaciones que permanezcan pendientes</w:t>
      </w:r>
      <w:r>
        <w:rPr>
          <w:rFonts w:ascii="Verdana" w:eastAsia="Calibri" w:hAnsi="Verdana" w:cs="Arial"/>
          <w:color w:val="000000"/>
          <w:lang w:val="es-ES" w:eastAsia="es-ES"/>
        </w:rPr>
        <w:t xml:space="preserve">. </w:t>
      </w:r>
    </w:p>
    <w:p w14:paraId="58CFFB55" w14:textId="77777777" w:rsidR="00A05B9F" w:rsidRPr="001D6F6E" w:rsidRDefault="00A05B9F" w:rsidP="00A05B9F">
      <w:pPr>
        <w:spacing w:after="0" w:line="276" w:lineRule="auto"/>
        <w:jc w:val="both"/>
        <w:rPr>
          <w:rFonts w:ascii="Verdana" w:hAnsi="Verdana" w:cs="Arial"/>
        </w:rPr>
      </w:pPr>
      <w:r>
        <w:rPr>
          <w:rFonts w:ascii="Verdana" w:eastAsia="Calibri" w:hAnsi="Verdana" w:cs="Arial"/>
          <w:color w:val="000000"/>
          <w:lang w:val="es-ES" w:eastAsia="es-ES"/>
        </w:rPr>
        <w:lastRenderedPageBreak/>
        <w:t>iii. E</w:t>
      </w:r>
      <w:r w:rsidRPr="001D6F6E">
        <w:rPr>
          <w:rFonts w:ascii="Verdana" w:eastAsia="Calibri" w:hAnsi="Verdana" w:cs="Arial"/>
          <w:color w:val="000000"/>
          <w:lang w:val="es-ES" w:eastAsia="es-ES"/>
        </w:rPr>
        <w:t xml:space="preserve">l artículo 2.2.1.1.2.4.3 del Decreto 1082 de 2015 establece la obligación constancia del cierre del proceso de contratación. Éste corresponde a un </w:t>
      </w:r>
      <w:r w:rsidRPr="004F612A">
        <w:rPr>
          <w:rFonts w:ascii="Verdana" w:hAnsi="Verdana" w:cs="Arial"/>
          <w:i/>
          <w:iCs/>
        </w:rPr>
        <w:t>acto de trámite</w:t>
      </w:r>
      <w:r w:rsidRPr="001D6F6E">
        <w:rPr>
          <w:rFonts w:ascii="Verdana" w:hAnsi="Verdana" w:cs="Arial"/>
        </w:rPr>
        <w:t xml:space="preserve"> que realiza la entidad estatal cuando han vencido, por un lado, las garantías de calidad, estabilidad y mantenimiento o, por el otro, cuando se establecieron condiciones de disposición final o recuperación ambiental de las obras o bienes. Se trata de una constancia administrativa que culmina las actuaciones contractuales</w:t>
      </w:r>
      <w:r w:rsidRPr="001D6F6E">
        <w:rPr>
          <w:rStyle w:val="Refdenotaalpie"/>
          <w:rFonts w:ascii="Verdana" w:hAnsi="Verdana" w:cs="Arial"/>
        </w:rPr>
        <w:footnoteReference w:id="22"/>
      </w:r>
      <w:r w:rsidRPr="001D6F6E">
        <w:rPr>
          <w:rFonts w:ascii="Verdana" w:hAnsi="Verdana" w:cs="Arial"/>
        </w:rPr>
        <w:t>. Al negar una demanda de nulidad interpuesta contra dicha norma</w:t>
      </w:r>
      <w:r w:rsidRPr="001D6F6E">
        <w:rPr>
          <w:rStyle w:val="Refdenotaalpie"/>
          <w:rFonts w:ascii="Verdana" w:hAnsi="Verdana" w:cs="Arial"/>
        </w:rPr>
        <w:footnoteReference w:id="23"/>
      </w:r>
      <w:r w:rsidRPr="001D6F6E">
        <w:rPr>
          <w:rFonts w:ascii="Verdana" w:hAnsi="Verdana" w:cs="Arial"/>
        </w:rPr>
        <w:t xml:space="preserve">, la Sección Tercera del Consejo de Estado resaltó que </w:t>
      </w:r>
      <w:r>
        <w:rPr>
          <w:rFonts w:ascii="Verdana" w:hAnsi="Verdana" w:cs="Arial"/>
        </w:rPr>
        <w:t>“</w:t>
      </w:r>
      <w:r w:rsidRPr="001D6F6E">
        <w:rPr>
          <w:rFonts w:ascii="Verdana" w:hAnsi="Verdana" w:cs="Arial"/>
        </w:rPr>
        <w:t>una norma como la demandada, que impone el deber de dejar constancia del cierre de un expediente contractual, constituye una disposición de correcta y debida organización y administración de una carpeta de la Entidad pública en la esfera intraorgánica –pues opera al interior de la Administración, sin imponer obligaciones o cargas a particulares o contratistas–</w:t>
      </w:r>
      <w:r>
        <w:rPr>
          <w:rFonts w:ascii="Verdana" w:hAnsi="Verdana" w:cs="Arial"/>
        </w:rPr>
        <w:t>”</w:t>
      </w:r>
      <w:r w:rsidRPr="001D6F6E">
        <w:rPr>
          <w:rStyle w:val="Refdenotaalpie"/>
          <w:rFonts w:ascii="Verdana" w:hAnsi="Verdana" w:cs="Arial"/>
        </w:rPr>
        <w:footnoteReference w:id="24"/>
      </w:r>
      <w:r w:rsidRPr="001D6F6E">
        <w:rPr>
          <w:rFonts w:ascii="Verdana" w:hAnsi="Verdana" w:cs="Arial"/>
        </w:rPr>
        <w:t>. La norma objeto de análisis dispone lo siguiente:</w:t>
      </w:r>
    </w:p>
    <w:p w14:paraId="3DE9E184" w14:textId="77777777" w:rsidR="00A05B9F" w:rsidRPr="001D6F6E" w:rsidRDefault="00A05B9F" w:rsidP="00A05B9F">
      <w:pPr>
        <w:spacing w:after="0" w:line="276" w:lineRule="auto"/>
        <w:jc w:val="both"/>
        <w:rPr>
          <w:rFonts w:ascii="Verdana" w:hAnsi="Verdana" w:cs="Arial"/>
        </w:rPr>
      </w:pPr>
    </w:p>
    <w:p w14:paraId="507D6589" w14:textId="77777777" w:rsidR="00A05B9F" w:rsidRPr="001D6F6E" w:rsidRDefault="00A05B9F" w:rsidP="00A05B9F">
      <w:pPr>
        <w:spacing w:after="0" w:line="240" w:lineRule="auto"/>
        <w:ind w:left="709" w:right="709"/>
        <w:jc w:val="both"/>
        <w:rPr>
          <w:rFonts w:ascii="Verdana" w:hAnsi="Verdana" w:cs="Arial"/>
          <w:sz w:val="20"/>
          <w:szCs w:val="20"/>
        </w:rPr>
      </w:pPr>
      <w:r w:rsidRPr="001D6F6E">
        <w:rPr>
          <w:rFonts w:ascii="Verdana" w:hAnsi="Verdana" w:cs="Arial"/>
          <w:sz w:val="20"/>
          <w:szCs w:val="20"/>
        </w:rPr>
        <w:t>“Artículo 2.2.1.1.2.4.3. Obligaciones posteriores a la liquidación. Vencidos los términos de las garantías de calidad, estabilidad y mantenimiento, o las condiciones de disposición final o recuperación ambiental de las obras o bienes, la Entidad Estatal debe dejar constancia del cierre del expediente del Proceso de Contratación”.</w:t>
      </w:r>
    </w:p>
    <w:p w14:paraId="75AD17C7" w14:textId="77777777" w:rsidR="00A05B9F" w:rsidRPr="001D6F6E" w:rsidRDefault="00A05B9F" w:rsidP="00A05B9F">
      <w:pPr>
        <w:spacing w:after="0" w:line="276" w:lineRule="auto"/>
        <w:ind w:firstLine="567"/>
        <w:jc w:val="both"/>
        <w:rPr>
          <w:rFonts w:ascii="Verdana" w:hAnsi="Verdana" w:cs="Arial"/>
        </w:rPr>
      </w:pPr>
    </w:p>
    <w:p w14:paraId="0C76136C" w14:textId="77777777" w:rsidR="00A05B9F" w:rsidRPr="001D6F6E" w:rsidRDefault="00A05B9F" w:rsidP="00A05B9F">
      <w:pPr>
        <w:spacing w:after="120" w:line="276" w:lineRule="auto"/>
        <w:ind w:firstLine="708"/>
        <w:jc w:val="both"/>
        <w:rPr>
          <w:rFonts w:ascii="Verdana" w:hAnsi="Verdana" w:cs="Arial"/>
        </w:rPr>
      </w:pPr>
      <w:r w:rsidRPr="001D6F6E">
        <w:rPr>
          <w:rFonts w:ascii="Verdana" w:hAnsi="Verdana" w:cs="Arial"/>
        </w:rPr>
        <w:t xml:space="preserve">La norma transcrita no hace referencia a las modalidades de selección de contratistas. De forma general y abstracta establece las </w:t>
      </w:r>
      <w:r>
        <w:rPr>
          <w:rFonts w:ascii="Verdana" w:hAnsi="Verdana" w:cs="Arial"/>
        </w:rPr>
        <w:t>“</w:t>
      </w:r>
      <w:r w:rsidRPr="001D6F6E">
        <w:rPr>
          <w:rFonts w:ascii="Verdana" w:hAnsi="Verdana" w:cs="Arial"/>
        </w:rPr>
        <w:t>obligaciones posteriores a la liquidación</w:t>
      </w:r>
      <w:r>
        <w:rPr>
          <w:rFonts w:ascii="Verdana" w:hAnsi="Verdana" w:cs="Arial"/>
        </w:rPr>
        <w:t>”</w:t>
      </w:r>
      <w:r w:rsidRPr="001D6F6E">
        <w:rPr>
          <w:rFonts w:ascii="Verdana" w:hAnsi="Verdana" w:cs="Arial"/>
        </w:rPr>
        <w:t xml:space="preserve">, dentro del Título 1, sobre contratación estatal, Capítulo 1, relacionado con el Sistema de Compras y Contratación Pública, </w:t>
      </w:r>
      <w:r w:rsidRPr="001D6F6E">
        <w:rPr>
          <w:rFonts w:ascii="Verdana" w:hAnsi="Verdana" w:cs="Arial"/>
        </w:rPr>
        <w:lastRenderedPageBreak/>
        <w:t>Sección 2, relativa a la Estructura y Documentos del Proceso de Contratación, Subsección 4, que regula únicamente lo atinente a la ejecución del contrato.</w:t>
      </w:r>
    </w:p>
    <w:p w14:paraId="28D3DFE4" w14:textId="77777777" w:rsidR="00A05B9F" w:rsidRPr="001D6F6E" w:rsidRDefault="00A05B9F" w:rsidP="00A05B9F">
      <w:pPr>
        <w:spacing w:after="120" w:line="276" w:lineRule="auto"/>
        <w:ind w:firstLine="708"/>
        <w:jc w:val="both"/>
        <w:rPr>
          <w:rFonts w:ascii="Verdana" w:hAnsi="Verdana" w:cs="Arial"/>
        </w:rPr>
      </w:pPr>
      <w:r w:rsidRPr="001D6F6E">
        <w:rPr>
          <w:rFonts w:ascii="Verdana" w:hAnsi="Verdana" w:cs="Arial"/>
        </w:rPr>
        <w:t xml:space="preserve">Es cierto que la disposición se refiere genéricamente al </w:t>
      </w:r>
      <w:r>
        <w:rPr>
          <w:rFonts w:ascii="Verdana" w:hAnsi="Verdana" w:cs="Arial"/>
        </w:rPr>
        <w:t>“</w:t>
      </w:r>
      <w:r w:rsidRPr="001D6F6E">
        <w:rPr>
          <w:rFonts w:ascii="Verdana" w:hAnsi="Verdana" w:cs="Arial"/>
        </w:rPr>
        <w:t>debe dejar constancia del cierre del expediente del Proceso de Contratación Proceso de Contratación</w:t>
      </w:r>
      <w:r>
        <w:rPr>
          <w:rFonts w:ascii="Verdana" w:hAnsi="Verdana" w:cs="Arial"/>
        </w:rPr>
        <w:t>”</w:t>
      </w:r>
      <w:r w:rsidRPr="001D6F6E">
        <w:rPr>
          <w:rFonts w:ascii="Verdana" w:hAnsi="Verdana" w:cs="Arial"/>
        </w:rPr>
        <w:t xml:space="preserve">. Sin embargo, también lo es que, según las definiciones contenidas en el artículo 2.2.1.1.1.3.1 del Decreto 1082 de 2015, el Proceso de Contratación es el </w:t>
      </w:r>
      <w:r>
        <w:rPr>
          <w:rFonts w:ascii="Verdana" w:hAnsi="Verdana" w:cs="Arial"/>
        </w:rPr>
        <w:t>“</w:t>
      </w:r>
      <w:r w:rsidRPr="001D6F6E">
        <w:rPr>
          <w:rFonts w:ascii="Verdana" w:hAnsi="Verdana" w:cs="Arial"/>
        </w:rPr>
        <w:t>Conjunto de actos y actividades, y su secuencia, adelantadas por la Entidad Estatal desde la planeación hasta el vencimiento de las garantías de calidad, estabilidad y mantenimiento, o las condiciones de disposición final o recuperación ambiental de las obras o bienes o el vencimiento del plazo, lo que ocurra más tarde</w:t>
      </w:r>
      <w:r>
        <w:rPr>
          <w:rFonts w:ascii="Verdana" w:hAnsi="Verdana" w:cs="Arial"/>
        </w:rPr>
        <w:t>”</w:t>
      </w:r>
      <w:r w:rsidRPr="001D6F6E">
        <w:rPr>
          <w:rFonts w:ascii="Verdana" w:hAnsi="Verdana" w:cs="Arial"/>
        </w:rPr>
        <w:t>. Nótese que el enunciado tampoco hace referencia a las modalidades de selección de contratistas en que resulta aplicable. Incluso, se menciona la fase de planeación contractual, etapa relevante en todas las modalidades de selección. Del ámbito de aplicación del artículo referido tampoco es posible concluir que el deber de cerrar el expediente se circunscriba a alguna modalidad o tipología contractual concreta.</w:t>
      </w:r>
    </w:p>
    <w:p w14:paraId="6340F682" w14:textId="77777777" w:rsidR="00A05B9F" w:rsidRPr="001D6F6E" w:rsidRDefault="00A05B9F" w:rsidP="00A05B9F">
      <w:pPr>
        <w:spacing w:after="120" w:line="276" w:lineRule="auto"/>
        <w:ind w:firstLine="708"/>
        <w:jc w:val="both"/>
        <w:rPr>
          <w:rFonts w:ascii="Verdana" w:hAnsi="Verdana" w:cs="Arial"/>
        </w:rPr>
      </w:pPr>
      <w:r w:rsidRPr="001D6F6E">
        <w:rPr>
          <w:rFonts w:ascii="Verdana" w:hAnsi="Verdana" w:cs="Arial"/>
        </w:rPr>
        <w:t>En consecuencia, lo que resulta relevante para determinar si a la entidad le asiste o no el deber de hacer el cierre del expediente contractual, de acuerdo con la norma citada, consiste en determinar si se exigieron o no garantías de calidad, estabilidad o mantenimiento, o si la entidad estableció condiciones de disposición final o recuperación de las obras o bienes objeto del contrato. De no ser así, no es obligatorio que la entidad haga un cierre del expediente contractual.</w:t>
      </w:r>
    </w:p>
    <w:p w14:paraId="4E3DBA68" w14:textId="77777777" w:rsidR="00A05B9F" w:rsidRPr="001D6F6E" w:rsidRDefault="00A05B9F" w:rsidP="00A05B9F">
      <w:pPr>
        <w:spacing w:after="120" w:line="276" w:lineRule="auto"/>
        <w:ind w:firstLine="708"/>
        <w:jc w:val="both"/>
        <w:rPr>
          <w:rFonts w:ascii="Verdana" w:hAnsi="Verdana" w:cs="Arial"/>
        </w:rPr>
      </w:pPr>
      <w:r w:rsidRPr="001D6F6E">
        <w:rPr>
          <w:rFonts w:ascii="Verdana" w:hAnsi="Verdana" w:cs="Arial"/>
        </w:rPr>
        <w:t>La norma, como se dijo previamente, establece que el cierre del expediente debe llevarse a cabo únicamente en dos eventos: i) cuando la administración establece condiciones de disposición final o recuperación ambiental de las obras o bienes; o ii) una vez vencidos los términos de las garantías de calidad, estabilidad y mantenimiento. En consecuencia, resulta irrelevante que el contrato tenga garantías diferentes a las previstas en el artículo 2.2.1.1.2.4.3 del Decreto 1082 de 2015, así las mismas se encuentren vigentes, pues, se insiste, la entidad únicamente deberá hacer el cierre del expediente cuando se vencen los términos de las garantías referidas en el mencionado artículo 2.2.1.1.2.4.3.</w:t>
      </w:r>
    </w:p>
    <w:p w14:paraId="3125182D" w14:textId="77777777" w:rsidR="00A05B9F" w:rsidRDefault="00A05B9F" w:rsidP="00A05B9F">
      <w:pPr>
        <w:spacing w:after="120" w:line="276" w:lineRule="auto"/>
        <w:ind w:firstLine="709"/>
        <w:jc w:val="both"/>
        <w:rPr>
          <w:rFonts w:ascii="Verdana" w:hAnsi="Verdana" w:cs="Times New Roman"/>
          <w:szCs w:val="24"/>
          <w:lang w:eastAsia="es-CO"/>
        </w:rPr>
      </w:pPr>
      <w:r w:rsidRPr="001D6F6E">
        <w:rPr>
          <w:rFonts w:ascii="Verdana" w:hAnsi="Verdana" w:cs="Arial"/>
        </w:rPr>
        <w:t xml:space="preserve">Esta Subdirección había considerado que el deber de dejar constancia del cierre del expediente debía hacerse extensivo a los contratos en los que se </w:t>
      </w:r>
      <w:r w:rsidRPr="001D6F6E">
        <w:rPr>
          <w:rFonts w:ascii="Verdana" w:hAnsi="Verdana" w:cs="Arial"/>
        </w:rPr>
        <w:lastRenderedPageBreak/>
        <w:t xml:space="preserve">pactaron las garantías que regula el artículo 2.2.1.2.3.1.7 y que no están referidas en el artículo </w:t>
      </w:r>
      <w:r w:rsidRPr="004F612A">
        <w:rPr>
          <w:rFonts w:ascii="Verdana" w:hAnsi="Verdana" w:cs="Arial"/>
          <w:i/>
          <w:iCs/>
        </w:rPr>
        <w:t>sub examine</w:t>
      </w:r>
      <w:r w:rsidRPr="001D6F6E">
        <w:rPr>
          <w:rFonts w:ascii="Verdana" w:hAnsi="Verdana" w:cs="Arial"/>
        </w:rPr>
        <w:t xml:space="preserve"> –2.2.1.1.2.4.3–, como es el caso de la que cubre el buen manejo y la correcta inversión del anticipo o la que ampara la devolución del pago anticipado. En su momento se entendió configurado un vacío normativo, y con fundamento en esto se dijo que el cierre del expediente contractual no podía realizarse sino estaban vencidas todas las garantías del contrato, en ese caso específico la garantía que amparaba el pago de salarios, prestaciones sociales legales e indemnizaciones laborales.</w:t>
      </w:r>
      <w:r w:rsidRPr="001D6F6E">
        <w:rPr>
          <w:rFonts w:ascii="Verdana" w:hAnsi="Verdana" w:cs="Times New Roman"/>
          <w:szCs w:val="24"/>
          <w:lang w:eastAsia="es-CO"/>
        </w:rPr>
        <w:t xml:space="preserve"> </w:t>
      </w:r>
    </w:p>
    <w:p w14:paraId="771D3B81" w14:textId="77777777" w:rsidR="00A05B9F" w:rsidRPr="001D6F6E" w:rsidRDefault="00A05B9F" w:rsidP="00A05B9F">
      <w:pPr>
        <w:spacing w:after="0" w:line="276" w:lineRule="auto"/>
        <w:ind w:firstLine="709"/>
        <w:jc w:val="both"/>
        <w:rPr>
          <w:rFonts w:ascii="Verdana" w:hAnsi="Verdana" w:cs="Arial"/>
        </w:rPr>
      </w:pPr>
      <w:r w:rsidRPr="001D6F6E">
        <w:rPr>
          <w:rFonts w:ascii="Verdana" w:hAnsi="Verdana" w:cs="Arial"/>
        </w:rPr>
        <w:t xml:space="preserve">Sin embargo, dicha tesis fue revaluada por esta Subdirección en el Concepto CU-028 del 25 de febrero de 2020, en la medida que la interpretación literal y sistemática de la norma descarta el vacío normativo aludido en dicha ocasión, </w:t>
      </w:r>
      <w:r>
        <w:rPr>
          <w:rFonts w:ascii="Verdana" w:hAnsi="Verdana" w:cs="Arial"/>
        </w:rPr>
        <w:t>ya que la disposición</w:t>
      </w:r>
      <w:r w:rsidRPr="001D6F6E">
        <w:rPr>
          <w:rFonts w:ascii="Verdana" w:hAnsi="Verdana" w:cs="Arial"/>
        </w:rPr>
        <w:t xml:space="preserve"> señala expresamente unas condiciones a las que está sometido el cierre del expediente. En efecto:</w:t>
      </w:r>
    </w:p>
    <w:p w14:paraId="3780B6CE" w14:textId="77777777" w:rsidR="00A05B9F" w:rsidRPr="004A403F" w:rsidRDefault="00A05B9F" w:rsidP="00A05B9F">
      <w:pPr>
        <w:spacing w:after="0" w:line="276" w:lineRule="auto"/>
        <w:ind w:firstLine="709"/>
        <w:jc w:val="both"/>
        <w:rPr>
          <w:rFonts w:ascii="Verdana" w:hAnsi="Verdana" w:cs="Times New Roman"/>
          <w:lang w:eastAsia="es-CO"/>
        </w:rPr>
      </w:pPr>
    </w:p>
    <w:p w14:paraId="5FF1C8E3" w14:textId="77777777" w:rsidR="00A05B9F" w:rsidRPr="001D6F6E" w:rsidRDefault="00A05B9F" w:rsidP="00A05B9F">
      <w:pPr>
        <w:spacing w:after="120" w:line="240" w:lineRule="auto"/>
        <w:ind w:left="709" w:right="709"/>
        <w:jc w:val="both"/>
        <w:rPr>
          <w:rFonts w:ascii="Verdana" w:hAnsi="Verdana" w:cs="Arial"/>
          <w:sz w:val="20"/>
          <w:szCs w:val="20"/>
        </w:rPr>
      </w:pPr>
      <w:r w:rsidRPr="001D6F6E">
        <w:rPr>
          <w:rFonts w:ascii="Verdana" w:hAnsi="Verdana" w:cs="Arial"/>
          <w:sz w:val="20"/>
          <w:szCs w:val="20"/>
        </w:rPr>
        <w:t xml:space="preserve">“[…] una interpretación literal y sistemática de la disposición da cuenta de una tesis contraria a la que se expuso antes, esto es, que el cierre del expediente únicamente debe realizarse en dos eventos: i) cuando la administración establece condiciones de disposición final o recuperación ambiental de las obras o bienes; o ii) una vez vencidos los términos de las garantías de calidad, estabilidad y </w:t>
      </w:r>
      <w:proofErr w:type="gramStart"/>
      <w:r w:rsidRPr="001D6F6E">
        <w:rPr>
          <w:rFonts w:ascii="Verdana" w:hAnsi="Verdana" w:cs="Arial"/>
          <w:sz w:val="20"/>
          <w:szCs w:val="20"/>
        </w:rPr>
        <w:t xml:space="preserve">mantenimiento  </w:t>
      </w:r>
      <w:r w:rsidRPr="001D6F6E">
        <w:rPr>
          <w:rFonts w:ascii="Arial" w:hAnsi="Arial" w:cs="Arial"/>
          <w:sz w:val="20"/>
          <w:szCs w:val="20"/>
        </w:rPr>
        <w:t>̶</w:t>
      </w:r>
      <w:proofErr w:type="gramEnd"/>
      <w:r w:rsidRPr="001D6F6E">
        <w:rPr>
          <w:rFonts w:ascii="Verdana" w:hAnsi="Verdana" w:cs="Arial"/>
          <w:sz w:val="20"/>
          <w:szCs w:val="20"/>
        </w:rPr>
        <w:t xml:space="preserve"> solo estas </w:t>
      </w:r>
      <w:proofErr w:type="gramStart"/>
      <w:r w:rsidRPr="001D6F6E">
        <w:rPr>
          <w:rFonts w:ascii="Arial" w:hAnsi="Arial" w:cs="Arial"/>
          <w:sz w:val="20"/>
          <w:szCs w:val="20"/>
        </w:rPr>
        <w:t>̶</w:t>
      </w:r>
      <w:r w:rsidRPr="001D6F6E">
        <w:rPr>
          <w:rFonts w:ascii="Verdana" w:hAnsi="Verdana" w:cs="Arial"/>
          <w:sz w:val="20"/>
          <w:szCs w:val="20"/>
        </w:rPr>
        <w:t xml:space="preserve"> .</w:t>
      </w:r>
      <w:proofErr w:type="gramEnd"/>
    </w:p>
    <w:p w14:paraId="59B49450" w14:textId="77777777" w:rsidR="00A05B9F" w:rsidRPr="001D6F6E" w:rsidRDefault="00A05B9F" w:rsidP="00A05B9F">
      <w:pPr>
        <w:spacing w:after="120" w:line="240" w:lineRule="auto"/>
        <w:ind w:left="709" w:right="709"/>
        <w:jc w:val="both"/>
        <w:rPr>
          <w:rFonts w:ascii="Verdana" w:hAnsi="Verdana" w:cs="Arial"/>
          <w:sz w:val="20"/>
          <w:szCs w:val="20"/>
        </w:rPr>
      </w:pPr>
      <w:r w:rsidRPr="001D6F6E">
        <w:rPr>
          <w:rFonts w:ascii="Verdana" w:hAnsi="Verdana" w:cs="Arial"/>
          <w:sz w:val="20"/>
          <w:szCs w:val="20"/>
        </w:rPr>
        <w:t>La norma bajo estudio no tiene un vacío normativo. La decisión de limitar el deber de dejar constancia del cierre del expediente a unas garantías en concreto no puede ser asumida como una omisión, ya que se trata, precisamente, de eso: de una decisión de la autoridad competente para expedir la norma, en ejercicio de las competencias que le otorga el numeral 11 del artículo 189 de la Constitución.</w:t>
      </w:r>
    </w:p>
    <w:p w14:paraId="7FAAB7D2" w14:textId="77777777" w:rsidR="00A05B9F" w:rsidRPr="001D6F6E" w:rsidRDefault="00A05B9F" w:rsidP="00A05B9F">
      <w:pPr>
        <w:spacing w:after="120" w:line="240" w:lineRule="auto"/>
        <w:ind w:left="709" w:right="709"/>
        <w:jc w:val="both"/>
        <w:rPr>
          <w:rFonts w:ascii="Verdana" w:hAnsi="Verdana" w:cs="Arial"/>
          <w:sz w:val="20"/>
          <w:szCs w:val="20"/>
        </w:rPr>
      </w:pPr>
      <w:r w:rsidRPr="001D6F6E">
        <w:rPr>
          <w:rFonts w:ascii="Verdana" w:hAnsi="Verdana" w:cs="Arial"/>
          <w:sz w:val="20"/>
          <w:szCs w:val="20"/>
        </w:rPr>
        <w:t xml:space="preserve">Si la intención era que se aplicara a otros supuestos fácticos, la norma hubiera hecho la remisión expresa a las disposiciones que regulan las garantías contractuales, esto es, a la Sección 3 del Capítulo 2 del Decreto 1082 de 2015; hubiera remitido a uno o varios artículos de esa Sección 3; se hubiera redactado la norma de forma genérica y sin circunscribirla a unas garantías en específico; o simplemente se hubieran incorporado al texto expresiones como ‘entre otras’ o </w:t>
      </w:r>
      <w:r>
        <w:rPr>
          <w:rFonts w:ascii="Verdana" w:hAnsi="Verdana" w:cs="Arial"/>
          <w:sz w:val="20"/>
          <w:szCs w:val="20"/>
        </w:rPr>
        <w:t>“</w:t>
      </w:r>
      <w:r w:rsidRPr="001D6F6E">
        <w:rPr>
          <w:rFonts w:ascii="Verdana" w:hAnsi="Verdana" w:cs="Arial"/>
          <w:sz w:val="20"/>
          <w:szCs w:val="20"/>
        </w:rPr>
        <w:t>cualquier otra</w:t>
      </w:r>
      <w:r>
        <w:rPr>
          <w:rFonts w:ascii="Verdana" w:hAnsi="Verdana" w:cs="Arial"/>
          <w:sz w:val="20"/>
          <w:szCs w:val="20"/>
        </w:rPr>
        <w:t>”</w:t>
      </w:r>
      <w:r w:rsidRPr="001D6F6E">
        <w:rPr>
          <w:rFonts w:ascii="Verdana" w:hAnsi="Verdana" w:cs="Arial"/>
          <w:sz w:val="20"/>
          <w:szCs w:val="20"/>
        </w:rPr>
        <w:t>, haciendo referencia a las garantías contractuales frente a las que aplica el deber de dejar constancia del cierre del expediente contractual.</w:t>
      </w:r>
    </w:p>
    <w:p w14:paraId="535AEFAB" w14:textId="77777777" w:rsidR="00A05B9F" w:rsidRPr="001D6F6E" w:rsidRDefault="00A05B9F" w:rsidP="00A05B9F">
      <w:pPr>
        <w:spacing w:after="0" w:line="240" w:lineRule="auto"/>
        <w:ind w:left="709" w:right="709"/>
        <w:jc w:val="both"/>
        <w:rPr>
          <w:rFonts w:ascii="Verdana" w:hAnsi="Verdana" w:cs="Arial"/>
          <w:sz w:val="20"/>
          <w:szCs w:val="20"/>
        </w:rPr>
      </w:pPr>
      <w:r w:rsidRPr="001D6F6E">
        <w:rPr>
          <w:rFonts w:ascii="Verdana" w:hAnsi="Verdana" w:cs="Arial"/>
          <w:sz w:val="20"/>
          <w:szCs w:val="20"/>
        </w:rPr>
        <w:t xml:space="preserve">No puede perderse de vista que el artículo 2.2.1.1.2.4.3. regula una etapa del proceso contractual, es decir, se trata de una norma que, por su naturaleza procedimental, debe ser interpretada a la luz de los principios generales del derecho, particularmente del principio de legalidad, en virtud del cual son inalterables las formalidades establecidas en los </w:t>
      </w:r>
      <w:r w:rsidRPr="001D6F6E">
        <w:rPr>
          <w:rFonts w:ascii="Verdana" w:hAnsi="Verdana" w:cs="Arial"/>
          <w:sz w:val="20"/>
          <w:szCs w:val="20"/>
        </w:rPr>
        <w:lastRenderedPageBreak/>
        <w:t>procedimientos, en este caso, las formas establecidas para cada etapa del procedimiento contractual. No es posible extender el deber de dejar constancia en el expediente contractual a supuestos no contemplados en dicho artículo, sin modificar una etapa del proceso contractual y, con esto, fustigar el principio de legalidad”</w:t>
      </w:r>
      <w:r w:rsidRPr="001D6F6E">
        <w:rPr>
          <w:rStyle w:val="Refdenotaalpie"/>
          <w:rFonts w:ascii="Verdana" w:hAnsi="Verdana" w:cs="Arial"/>
          <w:sz w:val="20"/>
          <w:szCs w:val="20"/>
        </w:rPr>
        <w:footnoteReference w:id="25"/>
      </w:r>
      <w:r w:rsidRPr="001D6F6E">
        <w:rPr>
          <w:rFonts w:ascii="Verdana" w:hAnsi="Verdana" w:cs="Arial"/>
          <w:sz w:val="20"/>
          <w:szCs w:val="20"/>
        </w:rPr>
        <w:t>.</w:t>
      </w:r>
      <w:r w:rsidRPr="001D6F6E">
        <w:rPr>
          <w:rFonts w:ascii="Verdana" w:hAnsi="Verdana" w:cs="Times New Roman"/>
          <w:sz w:val="20"/>
          <w:szCs w:val="20"/>
          <w:lang w:eastAsia="es-CO"/>
        </w:rPr>
        <w:t xml:space="preserve"> </w:t>
      </w:r>
    </w:p>
    <w:p w14:paraId="62A9610A" w14:textId="77777777" w:rsidR="00A05B9F" w:rsidRPr="004A403F" w:rsidRDefault="00A05B9F" w:rsidP="00A05B9F">
      <w:pPr>
        <w:spacing w:after="0" w:line="276" w:lineRule="auto"/>
        <w:ind w:firstLine="567"/>
        <w:jc w:val="both"/>
        <w:rPr>
          <w:rFonts w:ascii="Verdana" w:hAnsi="Verdana" w:cs="Arial"/>
        </w:rPr>
      </w:pPr>
      <w:r>
        <w:rPr>
          <w:rFonts w:ascii="Verdana" w:hAnsi="Verdana" w:cs="Arial"/>
          <w:sz w:val="20"/>
          <w:szCs w:val="20"/>
        </w:rPr>
        <w:tab/>
      </w:r>
    </w:p>
    <w:p w14:paraId="16FCA862" w14:textId="77777777" w:rsidR="00A05B9F" w:rsidRPr="001D6F6E" w:rsidRDefault="00A05B9F" w:rsidP="00A05B9F">
      <w:pPr>
        <w:spacing w:after="120" w:line="276" w:lineRule="auto"/>
        <w:ind w:firstLine="708"/>
        <w:jc w:val="both"/>
        <w:rPr>
          <w:rFonts w:ascii="Verdana" w:hAnsi="Verdana" w:cs="Arial"/>
        </w:rPr>
      </w:pPr>
      <w:r w:rsidRPr="001D6F6E">
        <w:rPr>
          <w:rFonts w:ascii="Verdana" w:hAnsi="Verdana" w:cs="Arial"/>
        </w:rPr>
        <w:t xml:space="preserve">De acuerdo con </w:t>
      </w:r>
      <w:r>
        <w:rPr>
          <w:rFonts w:ascii="Verdana" w:hAnsi="Verdana" w:cs="Arial"/>
        </w:rPr>
        <w:t>esta explicación</w:t>
      </w:r>
      <w:r w:rsidRPr="001D6F6E">
        <w:rPr>
          <w:rFonts w:ascii="Verdana" w:hAnsi="Verdana" w:cs="Arial"/>
        </w:rPr>
        <w:t>, si el contrato no incluye ninguna de las garantías referidas en el artículo 2.2.1.1.2.4.3 del Decreto 1082 de 2015, o no se establecieron condiciones de disposición final o recuperación ambiental de las obras o bienes, la entidad no tiene la obligación de dejar constancia del cierre del expediente contractual. En armonía con lo anterior, si el contrato incluye varias garantías, el deber solo surgirá ante el vencimiento de las que se refiere el artículo 2.2.1.1.2.4.3, con independencia del término de vigencia de las demás. En ese sentido, vencidas las garantías de calidad, estabilidad y mantenimiento, deberá realizarse el cierre del expediente, aunque sigan vigentes otras garantías como, por ejemplo, la de pago de salarios, prestaciones sociales legales e indemnizaciones laborales.</w:t>
      </w:r>
    </w:p>
    <w:p w14:paraId="75D472B8" w14:textId="77777777" w:rsidR="00A05B9F" w:rsidRPr="001D6F6E" w:rsidRDefault="00A05B9F" w:rsidP="00A05B9F">
      <w:pPr>
        <w:spacing w:after="120" w:line="276" w:lineRule="auto"/>
        <w:ind w:firstLine="708"/>
        <w:jc w:val="both"/>
        <w:rPr>
          <w:rFonts w:ascii="Verdana" w:hAnsi="Verdana" w:cs="Arial"/>
        </w:rPr>
      </w:pPr>
      <w:r w:rsidRPr="001D6F6E">
        <w:rPr>
          <w:rFonts w:ascii="Verdana" w:hAnsi="Verdana" w:cs="Arial"/>
        </w:rPr>
        <w:t xml:space="preserve">De otra parte, en el referido concepto de unificación también se aclaró que </w:t>
      </w:r>
      <w:r>
        <w:rPr>
          <w:rFonts w:ascii="Verdana" w:hAnsi="Verdana" w:cs="Arial"/>
        </w:rPr>
        <w:t>“</w:t>
      </w:r>
      <w:r w:rsidRPr="001D6F6E">
        <w:rPr>
          <w:rFonts w:ascii="Verdana" w:hAnsi="Verdana" w:cs="Arial"/>
        </w:rPr>
        <w:t>no existe norma que prohíba que la entidad haga el cierre del expediente contractual en aquellos eventos en los que no esté obligada</w:t>
      </w:r>
      <w:r>
        <w:rPr>
          <w:rFonts w:ascii="Verdana" w:hAnsi="Verdana" w:cs="Arial"/>
        </w:rPr>
        <w:t>”</w:t>
      </w:r>
      <w:r w:rsidRPr="001D6F6E">
        <w:rPr>
          <w:rStyle w:val="Refdenotaalpie"/>
          <w:rFonts w:ascii="Verdana" w:hAnsi="Verdana" w:cs="Arial"/>
        </w:rPr>
        <w:footnoteReference w:id="26"/>
      </w:r>
      <w:r w:rsidRPr="001D6F6E">
        <w:rPr>
          <w:rFonts w:ascii="Verdana" w:hAnsi="Verdana" w:cs="Arial"/>
        </w:rPr>
        <w:t>. En ese sentido, además de dar cuenta de una correcta y debida organización y administración, puede considerarse útil para dejar constancia del vencimiento de las garantías del contrato y la condición de los bienes y obras desde la perspectiva ambiental, o del punto final de la actuación contractual, dependiendo esto último de si el contrato fue liquidado o no en el momento de dejar la constancia de cierre del expediente. En este sentido, la constancia del cierre del expediente, también es posible realizarla en eventos distintos a los establecidos en el artículo 2.2.1.1.2.4.3 del Decreto 1082 de 2015, pese a que no sea obligatoria.</w:t>
      </w:r>
    </w:p>
    <w:p w14:paraId="7241E2BE" w14:textId="77777777" w:rsidR="00A05B9F" w:rsidRPr="009A60F7" w:rsidRDefault="00A05B9F" w:rsidP="00A05B9F">
      <w:pPr>
        <w:spacing w:after="0" w:line="276" w:lineRule="auto"/>
        <w:ind w:firstLine="708"/>
        <w:jc w:val="both"/>
        <w:rPr>
          <w:rFonts w:ascii="Verdana" w:hAnsi="Verdana" w:cs="Arial"/>
        </w:rPr>
      </w:pPr>
      <w:r w:rsidRPr="001D6F6E">
        <w:rPr>
          <w:rFonts w:ascii="Verdana" w:hAnsi="Verdana" w:cs="Arial"/>
        </w:rPr>
        <w:t>En el Concepto CU-028 de 2020, esta Agencia también se manifestó respecto de la obligación de realizar el cierre del expediente contractual, en relación con el estado del contrato en cuanto a su liquidación. Sobre el particular se determinó, de acuerdo con los Conceptos de 28 de junio de 2016</w:t>
      </w:r>
      <w:r w:rsidRPr="001D6F6E">
        <w:rPr>
          <w:rStyle w:val="Refdenotaalpie"/>
          <w:rFonts w:ascii="Verdana" w:hAnsi="Verdana" w:cs="Arial"/>
        </w:rPr>
        <w:footnoteReference w:id="27"/>
      </w:r>
      <w:r w:rsidRPr="001D6F6E">
        <w:rPr>
          <w:rFonts w:ascii="Verdana" w:hAnsi="Verdana" w:cs="Arial"/>
        </w:rPr>
        <w:t xml:space="preserve"> y de 8 de </w:t>
      </w:r>
      <w:r w:rsidRPr="001D6F6E">
        <w:rPr>
          <w:rFonts w:ascii="Verdana" w:hAnsi="Verdana" w:cs="Arial"/>
        </w:rPr>
        <w:lastRenderedPageBreak/>
        <w:t>marzo de 2017</w:t>
      </w:r>
      <w:r w:rsidRPr="001D6F6E">
        <w:rPr>
          <w:rStyle w:val="Refdenotaalpie"/>
          <w:rFonts w:ascii="Verdana" w:hAnsi="Verdana" w:cs="Arial"/>
        </w:rPr>
        <w:footnoteReference w:id="28"/>
      </w:r>
      <w:r w:rsidRPr="001D6F6E">
        <w:rPr>
          <w:rFonts w:ascii="Verdana" w:hAnsi="Verdana" w:cs="Times New Roman"/>
          <w:szCs w:val="24"/>
          <w:lang w:eastAsia="es-CO"/>
        </w:rPr>
        <w:t xml:space="preserve"> </w:t>
      </w:r>
      <w:r w:rsidRPr="001D6F6E">
        <w:rPr>
          <w:rFonts w:ascii="Verdana" w:hAnsi="Verdana" w:cs="Arial"/>
        </w:rPr>
        <w:t xml:space="preserve">expedidos por la Sala de Consulta y Servicio Civil del Consejo de Estado, que la obligación del cierre del expediente contractual no está condicionada al hecho de que el contrato se hubiere liquidado o no, ya que si bien ello es una información que debería constar en dicho documento, ocurrido el vencimiento de las garantías aludidas por el artículo 2.2.1.1.2.4.3 del Decreto 1082 de 2015, o las condiciones de disposición final o recuperación ambiental de las obras o bienes, surge el deber de cerrar el expediente, </w:t>
      </w:r>
      <w:r w:rsidRPr="009A60F7">
        <w:rPr>
          <w:rFonts w:ascii="Verdana" w:hAnsi="Verdana" w:cs="Arial"/>
        </w:rPr>
        <w:t>independientemente de si para ese entonces el contrato se encuentra o no liquidado. Al respecto, en el Concepto de Unificación de esta Agencia se señaló:</w:t>
      </w:r>
    </w:p>
    <w:p w14:paraId="64A4946C" w14:textId="77777777" w:rsidR="00A05B9F" w:rsidRPr="009A60F7" w:rsidRDefault="00A05B9F" w:rsidP="00A05B9F">
      <w:pPr>
        <w:spacing w:after="0" w:line="276" w:lineRule="auto"/>
        <w:ind w:firstLine="567"/>
        <w:jc w:val="both"/>
        <w:rPr>
          <w:rFonts w:ascii="Verdana" w:hAnsi="Verdana" w:cs="Arial"/>
        </w:rPr>
      </w:pPr>
    </w:p>
    <w:p w14:paraId="18DEE7C0" w14:textId="77777777" w:rsidR="00A05B9F" w:rsidRPr="009A60F7" w:rsidRDefault="00A05B9F" w:rsidP="00A05B9F">
      <w:pPr>
        <w:tabs>
          <w:tab w:val="left" w:pos="8647"/>
        </w:tabs>
        <w:spacing w:after="120" w:line="240" w:lineRule="auto"/>
        <w:ind w:left="709" w:right="709"/>
        <w:jc w:val="both"/>
        <w:rPr>
          <w:rFonts w:ascii="Verdana" w:hAnsi="Verdana" w:cs="Arial"/>
          <w:sz w:val="20"/>
          <w:szCs w:val="20"/>
        </w:rPr>
      </w:pPr>
      <w:r w:rsidRPr="009A60F7">
        <w:rPr>
          <w:rFonts w:ascii="Verdana" w:hAnsi="Verdana" w:cs="Arial"/>
          <w:sz w:val="20"/>
          <w:szCs w:val="20"/>
        </w:rPr>
        <w:t>“Colombia Compra Eficiente comparte que el cierre del expediente contractual puede darse, incluso, si el contrato no ha sido liquidado, claro está, siempre que se hubiera configurado alguno de los supuestos del artículo 2.2.1.1.2.4.3. del Decreto 1082 de 2015, esto es: i) cuando la administración establece condiciones de disposición final o recuperación ambiental de las obras o bienes; o ii) una vez vencidos los términos de las garantías de calidad, estabilidad y mantenimiento ─solo estas─. Sin embargo, considera que los argumentos transcritos le imponen el deber de hacer algunas precisiones sobre la liquidación del contrato y su relación con el artículo 2.2.1.1.2.4.3. del Decreto 1082 de 2015.</w:t>
      </w:r>
    </w:p>
    <w:p w14:paraId="3A6D7589" w14:textId="77777777" w:rsidR="00A05B9F" w:rsidRPr="009A60F7" w:rsidRDefault="00A05B9F" w:rsidP="00A05B9F">
      <w:pPr>
        <w:tabs>
          <w:tab w:val="left" w:pos="8647"/>
        </w:tabs>
        <w:spacing w:after="0" w:line="240" w:lineRule="auto"/>
        <w:ind w:left="709" w:right="709"/>
        <w:jc w:val="both"/>
        <w:rPr>
          <w:rFonts w:ascii="Verdana" w:hAnsi="Verdana" w:cs="Times New Roman"/>
          <w:sz w:val="20"/>
          <w:szCs w:val="20"/>
          <w:lang w:eastAsia="es-CO"/>
        </w:rPr>
      </w:pPr>
      <w:r w:rsidRPr="009A60F7">
        <w:rPr>
          <w:rFonts w:ascii="Verdana" w:hAnsi="Verdana" w:cs="Arial"/>
          <w:sz w:val="20"/>
          <w:szCs w:val="20"/>
        </w:rPr>
        <w:t xml:space="preserve">En los conceptos citados no se distingue entre los contratos en los que las entidades están obligadas a dejar constancia del cierre del expediente </w:t>
      </w:r>
      <w:r w:rsidRPr="009A60F7">
        <w:rPr>
          <w:rFonts w:ascii="Verdana" w:hAnsi="Verdana" w:cs="Arial"/>
          <w:sz w:val="20"/>
          <w:szCs w:val="20"/>
        </w:rPr>
        <w:lastRenderedPageBreak/>
        <w:t>contractual, y aquellos en los que no lo está. Por no distinguirse, se supone que la liquidación del contrato es el factor determinante para establecer el deber legal de hacer el cierre del contrato, cuando no es así, pues, se reitera, eso ocurre en los eventos referidos en la norma en estudio. El estado de la liquidación del contrato sólo es relevante para establecer el contenido de la constancia de cierre del expediente, de tal forma que si el contrato ya se liquidó se deberá dejar constancia del vencimiento de las garantías del contrato y la condición de los bienes y obras desde la perspectiva ambiental, pero si no se ha liquidado de lo que se debe dejar constancia es del punto final de la actuación contractual. Sin embargo, la liquidación no determina el deber de dejar constancia del cierre del expediente, como lo sugiere la Sala de Consulta y Servicio Civil del Consejo de Estado. Este deber, como se explicó, sólo depende de la configuración de los dos supuestos del artículo 2.2.1.1.2.4.3”</w:t>
      </w:r>
      <w:r w:rsidRPr="009A60F7">
        <w:rPr>
          <w:rStyle w:val="Refdenotaalpie"/>
          <w:rFonts w:ascii="Verdana" w:hAnsi="Verdana" w:cs="Arial"/>
          <w:sz w:val="20"/>
          <w:szCs w:val="20"/>
        </w:rPr>
        <w:footnoteReference w:id="29"/>
      </w:r>
      <w:r w:rsidRPr="009A60F7">
        <w:rPr>
          <w:rFonts w:ascii="Verdana" w:hAnsi="Verdana" w:cs="Arial"/>
          <w:sz w:val="20"/>
          <w:szCs w:val="20"/>
        </w:rPr>
        <w:t>.</w:t>
      </w:r>
      <w:r w:rsidRPr="009A60F7">
        <w:rPr>
          <w:rFonts w:ascii="Verdana" w:hAnsi="Verdana" w:cs="Times New Roman"/>
          <w:sz w:val="20"/>
          <w:szCs w:val="20"/>
          <w:lang w:eastAsia="es-CO"/>
        </w:rPr>
        <w:t xml:space="preserve"> </w:t>
      </w:r>
    </w:p>
    <w:p w14:paraId="1442D8DF" w14:textId="77777777" w:rsidR="00A05B9F" w:rsidRPr="009A60F7" w:rsidRDefault="00A05B9F" w:rsidP="00A05B9F">
      <w:pPr>
        <w:tabs>
          <w:tab w:val="left" w:pos="8647"/>
        </w:tabs>
        <w:spacing w:after="0" w:line="240" w:lineRule="auto"/>
        <w:ind w:left="709" w:right="851"/>
        <w:jc w:val="both"/>
        <w:rPr>
          <w:rFonts w:ascii="Verdana" w:hAnsi="Verdana" w:cs="Arial"/>
        </w:rPr>
      </w:pPr>
    </w:p>
    <w:p w14:paraId="63869D27" w14:textId="77777777" w:rsidR="00A05B9F" w:rsidRPr="009A60F7" w:rsidRDefault="00A05B9F" w:rsidP="00A05B9F">
      <w:pPr>
        <w:tabs>
          <w:tab w:val="left" w:pos="709"/>
        </w:tabs>
        <w:spacing w:after="0" w:line="276" w:lineRule="auto"/>
        <w:jc w:val="both"/>
        <w:rPr>
          <w:rFonts w:ascii="Verdana" w:eastAsia="Calibri" w:hAnsi="Verdana" w:cs="Arial"/>
          <w:color w:val="000000"/>
          <w:lang w:val="es-ES" w:eastAsia="es-ES"/>
        </w:rPr>
      </w:pPr>
      <w:r w:rsidRPr="009A60F7">
        <w:rPr>
          <w:rFonts w:ascii="Verdana" w:hAnsi="Verdana" w:cs="Arial"/>
        </w:rPr>
        <w:tab/>
        <w:t>En conclusión, el cierre del expediente del proceso de contratación es obligatorio cuando el contrato estatal exige las garantías de calidad, estabilidad o mantenimiento, o cuando la entidad establezca condiciones de disposición final o recuperación ambiental de las obras o bienes contratados. Una vez cumplidas tales condiciones surge el deber de dejar constancia del correspondiente acto de cierre del expediente contractual, ya sea que el contrato se hubiere liquidado o no.</w:t>
      </w:r>
      <w:r>
        <w:rPr>
          <w:rFonts w:ascii="Verdana" w:hAnsi="Verdana" w:cs="Arial"/>
        </w:rPr>
        <w:t xml:space="preserve"> </w:t>
      </w:r>
      <w:r>
        <w:rPr>
          <w:rFonts w:ascii="Verdana" w:eastAsia="Calibri" w:hAnsi="Verdana" w:cs="Arial"/>
          <w:bCs/>
          <w:color w:val="000000" w:themeColor="text1"/>
          <w:lang w:val="es-ES_tradnl"/>
        </w:rPr>
        <w:t>Para la acreditación de las circunstancias mencionadas en el Decreto Único Reglamentario del Sector Administrativo de Planeación Nacional, las actuaciones y soportes documentales necesarios para el cierre serán las que se definan en los instructivos internos de las entidades estatales de acuerdo con su manual de contratación</w:t>
      </w:r>
      <w:r>
        <w:rPr>
          <w:rStyle w:val="Refdenotaalpie"/>
          <w:rFonts w:ascii="Verdana" w:eastAsia="Calibri" w:hAnsi="Verdana" w:cs="Arial"/>
          <w:bCs/>
          <w:color w:val="000000" w:themeColor="text1"/>
          <w:lang w:val="es-ES_tradnl"/>
        </w:rPr>
        <w:footnoteReference w:id="30"/>
      </w:r>
      <w:r>
        <w:rPr>
          <w:rFonts w:ascii="Verdana" w:eastAsia="Calibri" w:hAnsi="Verdana" w:cs="Arial"/>
          <w:bCs/>
          <w:color w:val="000000" w:themeColor="text1"/>
          <w:lang w:val="es-ES_tradnl"/>
        </w:rPr>
        <w:t>.</w:t>
      </w:r>
    </w:p>
    <w:p w14:paraId="3E47DF93" w14:textId="77777777" w:rsidR="00A05B9F" w:rsidRPr="00933B3D" w:rsidRDefault="00A05B9F" w:rsidP="00A05B9F">
      <w:pPr>
        <w:spacing w:after="0" w:line="276" w:lineRule="auto"/>
        <w:jc w:val="both"/>
        <w:rPr>
          <w:rFonts w:ascii="Verdana" w:hAnsi="Verdana" w:cs="Arial"/>
        </w:rPr>
      </w:pPr>
    </w:p>
    <w:p w14:paraId="6658CE49" w14:textId="77777777" w:rsidR="00A05B9F" w:rsidRPr="00A05118" w:rsidRDefault="00A05B9F" w:rsidP="00A05B9F">
      <w:pPr>
        <w:tabs>
          <w:tab w:val="left" w:pos="709"/>
        </w:tabs>
        <w:spacing w:after="180" w:line="276" w:lineRule="auto"/>
        <w:jc w:val="both"/>
        <w:rPr>
          <w:rFonts w:ascii="Verdana" w:hAnsi="Verdana" w:cs="Arial"/>
          <w:color w:val="000000" w:themeColor="text1"/>
          <w:lang w:val="es-ES"/>
        </w:rPr>
      </w:pPr>
      <w:r>
        <w:rPr>
          <w:rFonts w:ascii="Verdana" w:eastAsia="Calibri" w:hAnsi="Verdana" w:cs="Arial"/>
          <w:bCs/>
          <w:color w:val="000000" w:themeColor="text1"/>
        </w:rPr>
        <w:lastRenderedPageBreak/>
        <w:t>iv.</w:t>
      </w:r>
      <w:r>
        <w:rPr>
          <w:rFonts w:ascii="Verdana" w:hAnsi="Verdana" w:cs="Arial"/>
          <w:color w:val="000000" w:themeColor="text1"/>
          <w:lang w:val="es-ES"/>
        </w:rPr>
        <w:t xml:space="preserve"> </w:t>
      </w:r>
      <w:r w:rsidRPr="00A47393">
        <w:rPr>
          <w:rFonts w:ascii="Verdana" w:eastAsia="Calibri" w:hAnsi="Verdana" w:cs="Arial"/>
          <w:bCs/>
          <w:color w:val="000000" w:themeColor="text1"/>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77EEB616" w14:textId="77777777" w:rsidR="00A05B9F" w:rsidRPr="00185EE9" w:rsidRDefault="00A05B9F" w:rsidP="00A05B9F">
      <w:pPr>
        <w:tabs>
          <w:tab w:val="left" w:pos="709"/>
        </w:tabs>
        <w:spacing w:after="0" w:line="276" w:lineRule="auto"/>
        <w:jc w:val="both"/>
        <w:rPr>
          <w:rFonts w:ascii="Verdana" w:eastAsia="Calibri" w:hAnsi="Verdana" w:cs="Arial"/>
          <w:bCs/>
          <w:color w:val="000000" w:themeColor="text1"/>
        </w:rPr>
      </w:pPr>
      <w:r>
        <w:rPr>
          <w:rFonts w:ascii="Verdana" w:eastAsia="Calibri" w:hAnsi="Verdana" w:cs="Arial"/>
          <w:bCs/>
          <w:color w:val="000000" w:themeColor="text1"/>
        </w:rPr>
        <w:tab/>
      </w:r>
      <w:r w:rsidRPr="00A47393">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r w:rsidRPr="00185EE9">
        <w:rPr>
          <w:rFonts w:ascii="Verdana" w:eastAsia="Calibri" w:hAnsi="Verdana" w:cs="Arial"/>
          <w:bCs/>
          <w:color w:val="000000" w:themeColor="text1"/>
        </w:rPr>
        <w:t xml:space="preserve"> </w:t>
      </w:r>
    </w:p>
    <w:p w14:paraId="1BCC5597" w14:textId="77777777" w:rsidR="00A05B9F" w:rsidRPr="00182C89" w:rsidRDefault="00A05B9F" w:rsidP="00A05B9F">
      <w:pPr>
        <w:tabs>
          <w:tab w:val="left" w:pos="709"/>
        </w:tabs>
        <w:spacing w:after="0" w:line="276" w:lineRule="auto"/>
        <w:jc w:val="both"/>
        <w:rPr>
          <w:rFonts w:ascii="Verdana" w:eastAsia="Calibri" w:hAnsi="Verdana" w:cs="Arial"/>
          <w:color w:val="000000" w:themeColor="text1"/>
        </w:rPr>
      </w:pPr>
    </w:p>
    <w:p w14:paraId="08FC5567" w14:textId="77777777" w:rsidR="00A05B9F" w:rsidRPr="00593A5F" w:rsidRDefault="00A05B9F" w:rsidP="00A05B9F">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Referencias normativas:</w:t>
      </w:r>
    </w:p>
    <w:p w14:paraId="53651833" w14:textId="77777777" w:rsidR="00A05B9F" w:rsidRPr="00593A5F" w:rsidRDefault="00A05B9F" w:rsidP="00A05B9F">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A05B9F" w:rsidRPr="002407CE" w14:paraId="2FA39B1F" w14:textId="77777777" w:rsidTr="00C671FE">
        <w:trPr>
          <w:trHeight w:val="56"/>
          <w:jc w:val="center"/>
        </w:trPr>
        <w:tc>
          <w:tcPr>
            <w:tcW w:w="8647" w:type="dxa"/>
          </w:tcPr>
          <w:p w14:paraId="685E36D0" w14:textId="77777777" w:rsidR="00A05B9F" w:rsidRPr="00B954AE" w:rsidRDefault="00A05B9F" w:rsidP="00C671FE">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sidRPr="00C95374">
              <w:rPr>
                <w:rFonts w:ascii="Verdana" w:hAnsi="Verdana" w:cs="Arial"/>
              </w:rPr>
              <w:t>Ley 80 de 1993, artículo 60.</w:t>
            </w:r>
          </w:p>
          <w:p w14:paraId="0169C50C" w14:textId="77777777" w:rsidR="00A05B9F" w:rsidRPr="00B954AE" w:rsidRDefault="00A05B9F" w:rsidP="00C671FE">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sidRPr="00C95374">
              <w:rPr>
                <w:rFonts w:ascii="Verdana" w:hAnsi="Verdana" w:cs="Arial"/>
              </w:rPr>
              <w:t>Ley 1150 de 2007, artículo 11.</w:t>
            </w:r>
          </w:p>
          <w:p w14:paraId="51B91E06" w14:textId="77777777" w:rsidR="00A05B9F" w:rsidRDefault="00A05B9F" w:rsidP="00C671FE">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sidRPr="00C95374">
              <w:rPr>
                <w:rFonts w:ascii="Verdana" w:hAnsi="Verdana" w:cs="Arial"/>
              </w:rPr>
              <w:t xml:space="preserve">Ley 1437 de 2011, artículos 141 y 164. </w:t>
            </w:r>
          </w:p>
          <w:p w14:paraId="45C19CA7" w14:textId="77777777" w:rsidR="00A05B9F" w:rsidRPr="00B87E7A" w:rsidRDefault="00A05B9F" w:rsidP="00C671FE">
            <w:pPr>
              <w:pStyle w:val="Prrafodelista"/>
              <w:widowControl w:val="0"/>
              <w:numPr>
                <w:ilvl w:val="0"/>
                <w:numId w:val="17"/>
              </w:numPr>
              <w:autoSpaceDE w:val="0"/>
              <w:autoSpaceDN w:val="0"/>
              <w:spacing w:line="276" w:lineRule="auto"/>
              <w:ind w:left="714" w:hanging="357"/>
              <w:contextualSpacing w:val="0"/>
              <w:jc w:val="both"/>
              <w:rPr>
                <w:rFonts w:ascii="Verdana" w:hAnsi="Verdana" w:cs="Arial"/>
              </w:rPr>
            </w:pPr>
            <w:r>
              <w:rPr>
                <w:rFonts w:ascii="Verdana" w:hAnsi="Verdana" w:cs="Arial"/>
              </w:rPr>
              <w:t xml:space="preserve">Decreto 1082 de 2015, artículos </w:t>
            </w:r>
            <w:r w:rsidRPr="001D6F6E">
              <w:rPr>
                <w:rFonts w:ascii="Verdana" w:hAnsi="Verdana" w:cs="Arial"/>
              </w:rPr>
              <w:t>2.2.1.1.1.3.1</w:t>
            </w:r>
            <w:r>
              <w:rPr>
                <w:rFonts w:ascii="Verdana" w:hAnsi="Verdana" w:cs="Arial"/>
              </w:rPr>
              <w:t xml:space="preserve">, </w:t>
            </w:r>
            <w:r w:rsidRPr="001D6F6E">
              <w:rPr>
                <w:rFonts w:ascii="Verdana" w:eastAsia="Calibri" w:hAnsi="Verdana" w:cs="Arial"/>
                <w:color w:val="000000"/>
                <w:lang w:eastAsia="es-ES"/>
              </w:rPr>
              <w:t>2.2.1.1.2.4.3</w:t>
            </w:r>
            <w:r>
              <w:rPr>
                <w:rFonts w:ascii="Verdana" w:eastAsia="Calibri" w:hAnsi="Verdana" w:cs="Arial"/>
                <w:color w:val="000000"/>
                <w:lang w:eastAsia="es-ES"/>
              </w:rPr>
              <w:t xml:space="preserve"> y </w:t>
            </w:r>
            <w:r w:rsidRPr="001D6F6E">
              <w:rPr>
                <w:rFonts w:ascii="Verdana" w:hAnsi="Verdana" w:cs="Arial"/>
              </w:rPr>
              <w:t>2.2.1.2.3.1.7</w:t>
            </w:r>
            <w:r>
              <w:rPr>
                <w:rFonts w:ascii="Verdana" w:hAnsi="Verdana" w:cs="Arial"/>
              </w:rPr>
              <w:t xml:space="preserve">. </w:t>
            </w:r>
          </w:p>
        </w:tc>
      </w:tr>
    </w:tbl>
    <w:p w14:paraId="3282AFAE" w14:textId="77777777" w:rsidR="00A05B9F" w:rsidRPr="002407CE" w:rsidRDefault="00A05B9F" w:rsidP="00A05B9F">
      <w:pPr>
        <w:widowControl w:val="0"/>
        <w:autoSpaceDE w:val="0"/>
        <w:autoSpaceDN w:val="0"/>
        <w:spacing w:after="0" w:line="276" w:lineRule="auto"/>
        <w:jc w:val="both"/>
        <w:rPr>
          <w:rFonts w:ascii="Verdana" w:hAnsi="Verdana" w:cs="Arial"/>
        </w:rPr>
      </w:pPr>
    </w:p>
    <w:p w14:paraId="5A9A819F" w14:textId="77777777" w:rsidR="00A05B9F" w:rsidRPr="00593A5F" w:rsidRDefault="00A05B9F" w:rsidP="00A05B9F">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t>Doctrina de la Agencia Nacional de Contratación Pública</w:t>
      </w:r>
      <w:r w:rsidRPr="00593A5F">
        <w:rPr>
          <w:rFonts w:ascii="Verdana" w:eastAsia="Century Gothic" w:hAnsi="Verdana" w:cs="Century Gothic"/>
          <w:b/>
          <w:bCs/>
        </w:rPr>
        <w:t>:</w:t>
      </w:r>
    </w:p>
    <w:p w14:paraId="746BA1AD" w14:textId="77777777" w:rsidR="00A05B9F" w:rsidRPr="00593A5F" w:rsidRDefault="00A05B9F" w:rsidP="00A05B9F">
      <w:pPr>
        <w:widowControl w:val="0"/>
        <w:autoSpaceDE w:val="0"/>
        <w:autoSpaceDN w:val="0"/>
        <w:spacing w:after="0" w:line="276" w:lineRule="auto"/>
        <w:jc w:val="both"/>
        <w:rPr>
          <w:rFonts w:ascii="Verdana" w:hAnsi="Verdana" w:cs="Arial"/>
        </w:rPr>
      </w:pPr>
    </w:p>
    <w:p w14:paraId="60265FC8" w14:textId="77777777" w:rsidR="00A05B9F" w:rsidRPr="00ED0098" w:rsidRDefault="00A05B9F" w:rsidP="00A05B9F">
      <w:pPr>
        <w:widowControl w:val="0"/>
        <w:autoSpaceDE w:val="0"/>
        <w:autoSpaceDN w:val="0"/>
        <w:spacing w:after="0" w:line="276" w:lineRule="auto"/>
        <w:jc w:val="both"/>
        <w:rPr>
          <w:rStyle w:val="normaltextrun"/>
          <w:rFonts w:ascii="Verdana" w:hAnsi="Verdana" w:cs="Arial"/>
          <w:shd w:val="clear" w:color="auto" w:fill="FFFFFF"/>
        </w:rPr>
      </w:pPr>
      <w:r w:rsidRPr="000E4CD6">
        <w:rPr>
          <w:rStyle w:val="normaltextrun"/>
          <w:rFonts w:ascii="Verdana" w:hAnsi="Verdana" w:cs="Arial"/>
          <w:shd w:val="clear" w:color="auto" w:fill="FFFFFF"/>
          <w:lang w:val="es-ES_tradnl"/>
        </w:rPr>
        <w:t xml:space="preserve">Esta Subdirección se ha pronunciado sobre la liquidación en los Conceptos 4201912000004908 del 27 de septiembre de 2019, CU-028 de 25 de febrero de 2020, C-221 de 21 de abril de 2020, C-078 del 17 de marzo de 2021, C-220 del 18 de mayo de 2021, C-444 del 23 de julio de 2021, C-747 del 8 de noviembre </w:t>
      </w:r>
      <w:r w:rsidRPr="000E4CD6">
        <w:rPr>
          <w:rStyle w:val="normaltextrun"/>
          <w:rFonts w:ascii="Verdana" w:hAnsi="Verdana" w:cs="Arial"/>
          <w:shd w:val="clear" w:color="auto" w:fill="FFFFFF"/>
          <w:lang w:val="es-ES_tradnl"/>
        </w:rPr>
        <w:lastRenderedPageBreak/>
        <w:t>de 2022, C-739 de del 29 de noviembre de 2022, C- 176 de 3 de mayo de 2023, C-158 del 6 de junio de 2023, C-326 del 15 de agosto de 2024</w:t>
      </w:r>
      <w:r>
        <w:rPr>
          <w:rStyle w:val="normaltextrun"/>
          <w:rFonts w:ascii="Verdana" w:hAnsi="Verdana" w:cs="Arial"/>
          <w:shd w:val="clear" w:color="auto" w:fill="FFFFFF"/>
          <w:lang w:val="es-ES_tradnl"/>
        </w:rPr>
        <w:t>,</w:t>
      </w:r>
      <w:r w:rsidRPr="000E4CD6">
        <w:rPr>
          <w:rStyle w:val="normaltextrun"/>
          <w:rFonts w:ascii="Verdana" w:hAnsi="Verdana" w:cs="Arial"/>
          <w:shd w:val="clear" w:color="auto" w:fill="FFFFFF"/>
          <w:lang w:val="es-ES_tradnl"/>
        </w:rPr>
        <w:t xml:space="preserve"> C-568 del 18 de octubre de 2024</w:t>
      </w:r>
      <w:r>
        <w:rPr>
          <w:rStyle w:val="normaltextrun"/>
          <w:rFonts w:ascii="Verdana" w:hAnsi="Verdana" w:cs="Arial"/>
          <w:shd w:val="clear" w:color="auto" w:fill="FFFFFF"/>
          <w:lang w:val="es-ES_tradnl"/>
        </w:rPr>
        <w:t>, C-968 del 16 de diciembre de 2024 y C-1685 del 1˚ de diciembre de 2025</w:t>
      </w:r>
      <w:r>
        <w:rPr>
          <w:rFonts w:ascii="Verdana" w:eastAsia="Calibri" w:hAnsi="Verdana" w:cs="Arial"/>
          <w:shd w:val="clear" w:color="auto" w:fill="FFFFFF"/>
        </w:rPr>
        <w:t>.</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Estos y otros conceptos se encuentran disponibles para consulta en el Sistema de relatoría de la Agencia</w:t>
      </w:r>
      <w:r w:rsidRPr="00A1554D">
        <w:rPr>
          <w:rFonts w:ascii="Verdana" w:hAnsi="Verdana"/>
        </w:rPr>
        <w:t>, al cual puede acceder</w:t>
      </w:r>
      <w:r>
        <w:rPr>
          <w:rFonts w:ascii="Verdana" w:hAnsi="Verdana"/>
        </w:rPr>
        <w:t>se</w:t>
      </w:r>
      <w:r w:rsidRPr="00A1554D">
        <w:rPr>
          <w:rFonts w:ascii="Verdana" w:hAnsi="Verdana"/>
        </w:rPr>
        <w:t xml:space="preserve"> a través del siguiente enlace:</w:t>
      </w:r>
      <w:r>
        <w:rPr>
          <w:rFonts w:ascii="Verdana" w:hAnsi="Verdana" w:cs="Arial"/>
          <w:shd w:val="clear" w:color="auto" w:fill="FFFFFF"/>
        </w:rPr>
        <w:t xml:space="preserve"> </w:t>
      </w:r>
      <w:hyperlink r:id="rId12" w:history="1">
        <w:r w:rsidRPr="00186F77">
          <w:rPr>
            <w:rStyle w:val="Hipervnculo"/>
            <w:rFonts w:ascii="Verdana" w:hAnsi="Verdana" w:cs="Arial"/>
            <w:shd w:val="clear" w:color="auto" w:fill="FFFFFF"/>
          </w:rPr>
          <w:t>https://relatoria.colombiacompra.gov.co/busqueda/conceptos</w:t>
        </w:r>
      </w:hyperlink>
      <w:r>
        <w:rPr>
          <w:rStyle w:val="normaltextrun"/>
          <w:rFonts w:ascii="Verdana" w:hAnsi="Verdana" w:cs="Arial"/>
          <w:shd w:val="clear" w:color="auto" w:fill="FFFFFF"/>
        </w:rPr>
        <w:t>.</w:t>
      </w:r>
      <w:r w:rsidRPr="008D0AB0">
        <w:rPr>
          <w:rStyle w:val="normaltextrun"/>
          <w:rFonts w:ascii="Verdana" w:hAnsi="Verdana" w:cs="Arial"/>
          <w:shd w:val="clear" w:color="auto" w:fill="FFFFFF"/>
        </w:rPr>
        <w:t xml:space="preserve"> </w:t>
      </w:r>
      <w:r>
        <w:rPr>
          <w:rStyle w:val="normaltextrun"/>
          <w:rFonts w:ascii="Verdana" w:hAnsi="Verdana" w:cs="Arial"/>
          <w:color w:val="FF0000"/>
          <w:shd w:val="clear" w:color="auto" w:fill="FFFFFF"/>
          <w:lang w:val="es-ES"/>
        </w:rPr>
        <w:t xml:space="preserve"> </w:t>
      </w:r>
    </w:p>
    <w:p w14:paraId="3B357843" w14:textId="77777777" w:rsidR="00A05B9F" w:rsidRPr="00096788" w:rsidRDefault="00A05B9F" w:rsidP="00A05B9F">
      <w:pPr>
        <w:widowControl w:val="0"/>
        <w:autoSpaceDE w:val="0"/>
        <w:autoSpaceDN w:val="0"/>
        <w:spacing w:after="0" w:line="276" w:lineRule="auto"/>
        <w:jc w:val="both"/>
        <w:rPr>
          <w:rFonts w:ascii="Verdana" w:hAnsi="Verdana" w:cs="Arial"/>
          <w:color w:val="000000" w:themeColor="text1"/>
          <w:shd w:val="clear" w:color="auto" w:fill="FFFFFF"/>
        </w:rPr>
      </w:pPr>
    </w:p>
    <w:p w14:paraId="0D537ECE" w14:textId="77777777" w:rsidR="00A05B9F" w:rsidRDefault="00A05B9F" w:rsidP="00A05B9F">
      <w:pPr>
        <w:spacing w:after="0"/>
        <w:jc w:val="both"/>
      </w:pPr>
      <w:r w:rsidRPr="009A385A">
        <w:rPr>
          <w:rFonts w:ascii="Verdana" w:hAnsi="Verdana"/>
        </w:rPr>
        <w:t xml:space="preserve">La sostenibilidad no es una opción, es una </w:t>
      </w:r>
      <w:r>
        <w:rPr>
          <w:rFonts w:ascii="Verdana" w:hAnsi="Verdana"/>
        </w:rPr>
        <w:t>obligación</w:t>
      </w:r>
      <w:r w:rsidRPr="009A385A">
        <w:rPr>
          <w:rFonts w:ascii="Verdana" w:hAnsi="Verdana"/>
        </w:rPr>
        <w:t xml:space="preserve">. Por ello,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3" w:tgtFrame="_new" w:history="1">
        <w:r w:rsidRPr="009A385A">
          <w:rPr>
            <w:rStyle w:val="Hipervnculo"/>
            <w:rFonts w:ascii="Verdana" w:hAnsi="Verdana"/>
          </w:rPr>
          <w:t>https://formacionvirtual.colombiacompra.gov.co/mod/page/view.php?id=3718</w:t>
        </w:r>
      </w:hyperlink>
    </w:p>
    <w:p w14:paraId="57345DDB" w14:textId="77777777" w:rsidR="00A05B9F" w:rsidRPr="009A385A" w:rsidRDefault="00A05B9F" w:rsidP="00A05B9F">
      <w:pPr>
        <w:spacing w:after="0"/>
        <w:jc w:val="both"/>
        <w:rPr>
          <w:rFonts w:ascii="Verdana" w:hAnsi="Verdana"/>
        </w:rPr>
      </w:pPr>
    </w:p>
    <w:p w14:paraId="0F017D2B" w14:textId="77777777" w:rsidR="00A05B9F" w:rsidRDefault="00A05B9F" w:rsidP="00A05B9F">
      <w:pPr>
        <w:spacing w:after="0"/>
        <w:jc w:val="both"/>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 xml:space="preserve">da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9A385A">
        <w:rPr>
          <w:rFonts w:ascii="Verdana" w:hAnsi="Verdana"/>
          <w:b/>
          <w:bCs/>
        </w:rPr>
        <w:t>Resoluciones 539, 540, 541, 952 y 953 de 2025</w:t>
      </w:r>
      <w:r w:rsidRPr="00635F16">
        <w:rPr>
          <w:rFonts w:ascii="Verdana" w:hAnsi="Verdana"/>
        </w:rPr>
        <w:t xml:space="preserve">, </w:t>
      </w:r>
      <w:r w:rsidRPr="009A385A">
        <w:rPr>
          <w:rFonts w:ascii="Verdana" w:hAnsi="Verdana"/>
          <w:b/>
          <w:bCs/>
        </w:rPr>
        <w:t>mediante las cuales adopt</w:t>
      </w:r>
      <w:r>
        <w:rPr>
          <w:rFonts w:ascii="Verdana" w:hAnsi="Verdana"/>
          <w:b/>
          <w:bCs/>
        </w:rPr>
        <w:t>ó</w:t>
      </w:r>
      <w:r w:rsidRPr="009A385A">
        <w:rPr>
          <w:rFonts w:ascii="Verdana" w:hAnsi="Verdana"/>
          <w:b/>
          <w:bCs/>
        </w:rPr>
        <w:t xml:space="preserve"> Documentos Tipo</w:t>
      </w:r>
      <w:r w:rsidRPr="00635F16">
        <w:rPr>
          <w:rFonts w:ascii="Verdana" w:hAnsi="Verdana"/>
        </w:rPr>
        <w:t xml:space="preserve"> para</w:t>
      </w:r>
      <w:r>
        <w:rPr>
          <w:rFonts w:ascii="Verdana" w:hAnsi="Verdana"/>
        </w:rPr>
        <w:t xml:space="preserve"> las modalidades de selección </w:t>
      </w:r>
      <w:r w:rsidRPr="007D7084">
        <w:rPr>
          <w:rFonts w:ascii="Verdana" w:hAnsi="Verdana"/>
        </w:rPr>
        <w:t>de</w:t>
      </w:r>
      <w:r w:rsidRPr="009A385A">
        <w:rPr>
          <w:rFonts w:ascii="Verdana" w:hAnsi="Verdana"/>
          <w:b/>
          <w:bCs/>
        </w:rPr>
        <w:t xml:space="preserve"> licitación pública (versión 2), selección abreviada de menor cuantía, mínima cuantía, consultoría e interventoría</w:t>
      </w:r>
      <w:r w:rsidRPr="00635F16">
        <w:rPr>
          <w:rFonts w:ascii="Verdana" w:hAnsi="Verdana"/>
        </w:rPr>
        <w:t>, promoviendo procesos más transparentes, eficientes  competitivos</w:t>
      </w:r>
      <w:r>
        <w:rPr>
          <w:rFonts w:ascii="Verdana" w:hAnsi="Verdana"/>
        </w:rPr>
        <w:t xml:space="preserve"> y sostenibles</w:t>
      </w:r>
      <w:r w:rsidRPr="00635F16">
        <w:rPr>
          <w:rFonts w:ascii="Verdana" w:hAnsi="Verdana"/>
        </w:rPr>
        <w:t xml:space="preserve"> en sectores estratégicos como educación, salud, cultura, recreación</w:t>
      </w:r>
      <w:r>
        <w:rPr>
          <w:rFonts w:ascii="Verdana" w:hAnsi="Verdana"/>
        </w:rPr>
        <w:t xml:space="preserve">, </w:t>
      </w:r>
      <w:r w:rsidRPr="00635F16">
        <w:rPr>
          <w:rFonts w:ascii="Verdana" w:hAnsi="Verdana"/>
        </w:rPr>
        <w:t xml:space="preserve">deporte, institucional y vivienda. Consulta y descarga los documentos aquí: </w:t>
      </w:r>
      <w:hyperlink r:id="rId14" w:tgtFrame="_new" w:history="1">
        <w:r w:rsidRPr="00635F16">
          <w:rPr>
            <w:rStyle w:val="Hipervnculo"/>
            <w:rFonts w:ascii="Verdana" w:hAnsi="Verdana"/>
          </w:rPr>
          <w:t>https://www.colombiacompra.gov.co/normativa-y-relatoria/documentos-tipo</w:t>
        </w:r>
      </w:hyperlink>
    </w:p>
    <w:p w14:paraId="472B8F98" w14:textId="77777777" w:rsidR="00A05B9F" w:rsidRDefault="00A05B9F" w:rsidP="00A05B9F">
      <w:pPr>
        <w:spacing w:after="0"/>
        <w:jc w:val="both"/>
        <w:rPr>
          <w:rFonts w:ascii="Verdana" w:hAnsi="Verdana"/>
        </w:rPr>
      </w:pPr>
    </w:p>
    <w:p w14:paraId="6D30A42A" w14:textId="77777777" w:rsidR="00A05B9F" w:rsidRPr="008E1CD7" w:rsidRDefault="00A05B9F" w:rsidP="00A05B9F">
      <w:pPr>
        <w:spacing w:after="0"/>
        <w:jc w:val="both"/>
        <w:rPr>
          <w:rFonts w:ascii="Verdana" w:hAnsi="Verdana"/>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797327">
        <w:rPr>
          <w:rFonts w:ascii="Verdana" w:hAnsi="Verdana"/>
        </w:rPr>
        <w:t>Además se incluye</w:t>
      </w:r>
      <w:r>
        <w:rPr>
          <w:rFonts w:ascii="Verdana" w:hAnsi="Verdana"/>
        </w:rPr>
        <w:t>ron</w:t>
      </w:r>
      <w:r w:rsidRPr="00797327">
        <w:rPr>
          <w:rFonts w:ascii="Verdana" w:hAnsi="Verdana"/>
        </w:rPr>
        <w:t xml:space="preserve"> lineamientos que orientan la implementación de los criterios ambientales y sociales incluidos en los documentos tipo: </w:t>
      </w:r>
      <w:r w:rsidRPr="009A385A">
        <w:rPr>
          <w:rFonts w:ascii="Verdana" w:hAnsi="Verdana"/>
        </w:rPr>
        <w:t>Consulta la guía aquí:</w:t>
      </w:r>
      <w:r w:rsidRPr="009A385A">
        <w:rPr>
          <w:rFonts w:ascii="Verdana" w:hAnsi="Verdana"/>
        </w:rPr>
        <w:br/>
      </w:r>
      <w:hyperlink r:id="rId15" w:tgtFrame="_new" w:history="1">
        <w:r w:rsidRPr="009A385A">
          <w:rPr>
            <w:rStyle w:val="Hipervnculo"/>
            <w:rFonts w:ascii="Verdana" w:hAnsi="Verdana"/>
          </w:rPr>
          <w:t>https://www.colombiacompra.gov.co/archivos/manual/guia-para-la-</w:t>
        </w:r>
        <w:r w:rsidRPr="009A385A">
          <w:rPr>
            <w:rStyle w:val="Hipervnculo"/>
            <w:rFonts w:ascii="Verdana" w:hAnsi="Verdana"/>
          </w:rPr>
          <w:lastRenderedPageBreak/>
          <w:t>comprension-e-implementacion-de-los-documentos-tipo-de-obra-publica-de-infraestructura-de-transporte-bajo-las-diferentes-modalidades-de-contratacion-vigentes</w:t>
        </w:r>
      </w:hyperlink>
    </w:p>
    <w:p w14:paraId="7E16D950" w14:textId="77777777" w:rsidR="00A05B9F" w:rsidRDefault="00A05B9F" w:rsidP="00A05B9F">
      <w:pPr>
        <w:shd w:val="clear" w:color="auto" w:fill="FFFFFF"/>
        <w:spacing w:after="0" w:line="276" w:lineRule="auto"/>
        <w:jc w:val="both"/>
        <w:rPr>
          <w:rFonts w:ascii="Verdana" w:hAnsi="Verdana"/>
          <w:color w:val="000000"/>
          <w:u w:val="single"/>
        </w:rPr>
      </w:pPr>
    </w:p>
    <w:p w14:paraId="4D9BCE38" w14:textId="77777777" w:rsidR="00A05B9F" w:rsidRPr="00116940" w:rsidRDefault="00A05B9F" w:rsidP="00A05B9F">
      <w:pPr>
        <w:spacing w:after="0"/>
        <w:jc w:val="both"/>
        <w:rPr>
          <w:rFonts w:ascii="Verdana" w:hAnsi="Verdana"/>
        </w:rPr>
      </w:pPr>
      <w:r>
        <w:rPr>
          <w:rFonts w:ascii="Verdana" w:hAnsi="Verdana"/>
        </w:rPr>
        <w:t>A</w:t>
      </w:r>
      <w:r w:rsidRPr="00E02524">
        <w:rPr>
          <w:rFonts w:ascii="Verdana" w:hAnsi="Verdana"/>
        </w:rPr>
        <w:t xml:space="preserve">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atención: </w:t>
      </w:r>
    </w:p>
    <w:p w14:paraId="6D43136E" w14:textId="77777777" w:rsidR="00A05B9F" w:rsidRPr="00116940" w:rsidRDefault="00A05B9F" w:rsidP="00A05B9F">
      <w:pPr>
        <w:spacing w:after="0"/>
        <w:jc w:val="both"/>
        <w:rPr>
          <w:rFonts w:ascii="Verdana" w:hAnsi="Verdana"/>
        </w:rPr>
      </w:pPr>
    </w:p>
    <w:p w14:paraId="414D620A" w14:textId="77777777" w:rsidR="00A05B9F" w:rsidRPr="00116940" w:rsidRDefault="00A05B9F" w:rsidP="00A05B9F">
      <w:pPr>
        <w:pStyle w:val="Prrafodelista"/>
        <w:numPr>
          <w:ilvl w:val="0"/>
          <w:numId w:val="15"/>
        </w:numPr>
        <w:spacing w:after="0" w:line="240" w:lineRule="auto"/>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50B6F5DE" w14:textId="77777777" w:rsidR="00A05B9F" w:rsidRPr="00116940" w:rsidRDefault="00A05B9F" w:rsidP="00A05B9F">
      <w:pPr>
        <w:pStyle w:val="Prrafodelista"/>
        <w:numPr>
          <w:ilvl w:val="0"/>
          <w:numId w:val="15"/>
        </w:numPr>
        <w:spacing w:after="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proofErr w:type="gramStart"/>
      <w:r w:rsidRPr="00116940">
        <w:rPr>
          <w:rFonts w:ascii="Verdana" w:eastAsia="Verdana" w:hAnsi="Verdana" w:cs="Verdana"/>
          <w:lang w:val="es-MX"/>
        </w:rPr>
        <w:t>):</w:t>
      </w:r>
      <w:r w:rsidRPr="00116940">
        <w:rPr>
          <w:rStyle w:val="Hipervnculo"/>
          <w:rFonts w:ascii="Verdana" w:hAnsi="Verdana"/>
        </w:rPr>
        <w:t>+</w:t>
      </w:r>
      <w:proofErr w:type="gramEnd"/>
      <w:r w:rsidRPr="00116940">
        <w:rPr>
          <w:rStyle w:val="Hipervnculo"/>
          <w:rFonts w:ascii="Verdana" w:hAnsi="Verdana"/>
        </w:rPr>
        <w:t>57 601 7456788</w:t>
      </w:r>
    </w:p>
    <w:p w14:paraId="1603367E" w14:textId="77777777" w:rsidR="00A05B9F" w:rsidRPr="00116940" w:rsidRDefault="00A05B9F" w:rsidP="00A05B9F">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6">
        <w:r w:rsidRPr="00116940">
          <w:rPr>
            <w:rStyle w:val="Hipervnculo"/>
            <w:rFonts w:ascii="Verdana" w:eastAsia="Verdana" w:hAnsi="Verdana" w:cs="Verdana"/>
            <w:lang w:val="es-MX"/>
          </w:rPr>
          <w:t>ventanilladeradicacion@colombiacompra.gov.co</w:t>
        </w:r>
      </w:hyperlink>
    </w:p>
    <w:p w14:paraId="144E4862" w14:textId="77777777" w:rsidR="00A05B9F" w:rsidRPr="00116940" w:rsidRDefault="00A05B9F" w:rsidP="00A05B9F">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7">
        <w:r w:rsidRPr="00116940">
          <w:rPr>
            <w:rStyle w:val="Hipervnculo"/>
            <w:rFonts w:ascii="Verdana" w:eastAsia="Verdana" w:hAnsi="Verdana" w:cs="Verdana"/>
            <w:lang w:val="es-MX"/>
          </w:rPr>
          <w:t>https://www.colombiacompra.gov.co/pqrsd/informacion-importante-antes-de-formular-una-pqrsd</w:t>
        </w:r>
      </w:hyperlink>
    </w:p>
    <w:p w14:paraId="1A3B8B74" w14:textId="77777777" w:rsidR="00A05B9F" w:rsidRPr="00116940" w:rsidRDefault="00A05B9F" w:rsidP="00A05B9F">
      <w:pPr>
        <w:spacing w:after="0" w:line="240" w:lineRule="auto"/>
        <w:ind w:left="720"/>
        <w:jc w:val="both"/>
        <w:rPr>
          <w:rFonts w:ascii="Verdana" w:hAnsi="Verdana"/>
        </w:rPr>
      </w:pPr>
    </w:p>
    <w:p w14:paraId="7961AF4A" w14:textId="77777777" w:rsidR="00A05B9F" w:rsidRPr="00116940" w:rsidRDefault="00A05B9F" w:rsidP="00A05B9F">
      <w:pPr>
        <w:spacing w:after="0" w:line="240" w:lineRule="auto"/>
        <w:rPr>
          <w:rFonts w:ascii="Verdana" w:hAnsi="Verdana"/>
        </w:rPr>
      </w:pPr>
      <w:r w:rsidRPr="00116940">
        <w:rPr>
          <w:rFonts w:ascii="Verdana" w:hAnsi="Verdana"/>
        </w:rPr>
        <w:t xml:space="preserve">Evalúa el servicio que ofrece la Agencia por el canal de atención de PQRSD en el siguiente </w:t>
      </w:r>
      <w:proofErr w:type="gramStart"/>
      <w:r w:rsidRPr="00116940">
        <w:rPr>
          <w:rFonts w:ascii="Verdana" w:hAnsi="Verdana"/>
        </w:rPr>
        <w:t>enlace :</w:t>
      </w:r>
      <w:proofErr w:type="gramEnd"/>
      <w:hyperlink r:id="rId18" w:tgtFrame="_blank" w:tooltip="https://forms.office.com/r/pphywvs2sz" w:history="1">
        <w:r w:rsidRPr="00116940">
          <w:rPr>
            <w:rStyle w:val="Hipervnculo"/>
            <w:rFonts w:ascii="Verdana" w:hAnsi="Verdana"/>
          </w:rPr>
          <w:t>https://forms.office.com/r/pPHyWVs2SZ</w:t>
        </w:r>
      </w:hyperlink>
      <w:r w:rsidRPr="00116940">
        <w:rPr>
          <w:rFonts w:ascii="Verdana" w:hAnsi="Verdana"/>
        </w:rPr>
        <w:t xml:space="preserve"> .¡Ayúdanos a mejorar porque el compromiso es de todos!</w:t>
      </w:r>
    </w:p>
    <w:p w14:paraId="338E9508" w14:textId="77777777" w:rsidR="00A05B9F" w:rsidRPr="00116940" w:rsidRDefault="00A05B9F" w:rsidP="00A05B9F">
      <w:pPr>
        <w:spacing w:after="0" w:line="240" w:lineRule="auto"/>
        <w:rPr>
          <w:rFonts w:ascii="Verdana" w:hAnsi="Verdana"/>
        </w:rPr>
      </w:pPr>
    </w:p>
    <w:p w14:paraId="7FF82427" w14:textId="77777777" w:rsidR="00A05B9F" w:rsidRPr="00116940" w:rsidRDefault="00A05B9F" w:rsidP="00A05B9F">
      <w:pPr>
        <w:spacing w:after="0" w:line="240"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6D8FDA9C" w14:textId="77777777" w:rsidR="00A05B9F" w:rsidRPr="00116940" w:rsidRDefault="00A05B9F" w:rsidP="00A05B9F">
      <w:pPr>
        <w:spacing w:after="0" w:line="240" w:lineRule="auto"/>
        <w:jc w:val="both"/>
        <w:rPr>
          <w:rFonts w:ascii="Verdana" w:hAnsi="Verdana"/>
        </w:rPr>
      </w:pPr>
    </w:p>
    <w:p w14:paraId="42C288FC" w14:textId="77777777" w:rsidR="00A05B9F" w:rsidRPr="00116940" w:rsidRDefault="00A05B9F" w:rsidP="00A05B9F">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3C0DFE31" w14:textId="77777777" w:rsidR="00A05B9F" w:rsidRPr="00116940" w:rsidRDefault="00A05B9F" w:rsidP="00A05B9F">
      <w:pPr>
        <w:spacing w:after="0" w:line="240" w:lineRule="auto"/>
        <w:jc w:val="both"/>
        <w:rPr>
          <w:rFonts w:ascii="Verdana" w:hAnsi="Verdana"/>
        </w:rPr>
      </w:pPr>
      <w:r w:rsidRPr="00116940">
        <w:rPr>
          <w:rFonts w:ascii="Verdana" w:hAnsi="Verdana"/>
        </w:rPr>
        <w:t xml:space="preserve">Facebook: </w:t>
      </w:r>
      <w:r w:rsidRPr="00116940">
        <w:rPr>
          <w:rStyle w:val="Hipervnculo"/>
          <w:rFonts w:ascii="Verdana" w:hAnsi="Verdana"/>
        </w:rPr>
        <w:t>ColombiaCompraEficiente</w:t>
      </w:r>
    </w:p>
    <w:p w14:paraId="7FDD850C" w14:textId="77777777" w:rsidR="00A05B9F" w:rsidRPr="00116940" w:rsidRDefault="00A05B9F" w:rsidP="00A05B9F">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70462919" w14:textId="77777777" w:rsidR="00A05B9F" w:rsidRPr="009C4035" w:rsidRDefault="00A05B9F" w:rsidP="00A05B9F">
      <w:pPr>
        <w:widowControl w:val="0"/>
        <w:autoSpaceDE w:val="0"/>
        <w:autoSpaceDN w:val="0"/>
        <w:spacing w:after="120" w:line="276" w:lineRule="auto"/>
        <w:jc w:val="both"/>
        <w:rPr>
          <w:rFonts w:ascii="Verdana" w:hAnsi="Verdana" w:cs="Arial"/>
          <w:color w:val="FF0000"/>
          <w:shd w:val="clear" w:color="auto" w:fill="FFFFFF"/>
          <w:lang w:val="es-ES_tradnl"/>
        </w:rPr>
      </w:pPr>
      <w:r w:rsidRPr="004A73EC">
        <w:rPr>
          <w:rStyle w:val="normaltextrun"/>
          <w:rFonts w:ascii="Verdana" w:hAnsi="Verdana" w:cs="Arial"/>
          <w:color w:val="FF0000"/>
          <w:shd w:val="clear" w:color="auto" w:fill="FFFFFF"/>
          <w:lang w:val="es-ES_tradnl"/>
        </w:rPr>
        <w:t xml:space="preserve">        </w:t>
      </w:r>
    </w:p>
    <w:p w14:paraId="4EA39B24" w14:textId="77777777" w:rsidR="00A05B9F" w:rsidRPr="00593A5F" w:rsidRDefault="00A05B9F" w:rsidP="00A05B9F">
      <w:pPr>
        <w:widowControl w:val="0"/>
        <w:autoSpaceDE w:val="0"/>
        <w:autoSpaceDN w:val="0"/>
        <w:spacing w:after="0" w:line="276" w:lineRule="auto"/>
        <w:jc w:val="both"/>
        <w:rPr>
          <w:rFonts w:ascii="Verdana" w:hAnsi="Verdana" w:cs="Arial"/>
          <w:lang w:val="es-ES_tradnl"/>
        </w:rPr>
      </w:pPr>
      <w:r w:rsidRPr="00593A5F">
        <w:rPr>
          <w:rFonts w:ascii="Verdana" w:hAnsi="Verdana" w:cs="Arial"/>
        </w:rPr>
        <w:t xml:space="preserve">Este concepto tiene el alcance previsto en el artículo 28 del Código de Procedimiento Administrativo y de lo Contencioso Administrativo </w:t>
      </w:r>
      <w:r w:rsidRPr="00593A5F">
        <w:rPr>
          <w:rFonts w:ascii="Verdana" w:hAnsi="Verdana" w:cs="Arial"/>
          <w:lang w:val="es-ES_tradnl"/>
        </w:rPr>
        <w:t>y las expresiones aquí utilizadas con mayúscula inicial deben ser entendidas con el significado que les otorga el artículo 2.2.1.1.1.3.1. del Decreto 1082 de 2015.</w:t>
      </w:r>
    </w:p>
    <w:p w14:paraId="7583A60B" w14:textId="77777777" w:rsidR="00A05B9F" w:rsidRPr="00593A5F" w:rsidRDefault="00A05B9F" w:rsidP="00A05B9F">
      <w:pPr>
        <w:widowControl w:val="0"/>
        <w:autoSpaceDE w:val="0"/>
        <w:autoSpaceDN w:val="0"/>
        <w:spacing w:after="0" w:line="276" w:lineRule="auto"/>
        <w:jc w:val="both"/>
        <w:rPr>
          <w:rFonts w:ascii="Verdana" w:hAnsi="Verdana" w:cs="Arial"/>
        </w:rPr>
      </w:pPr>
    </w:p>
    <w:p w14:paraId="5685D866" w14:textId="77777777" w:rsidR="00A05B9F" w:rsidRPr="00593A5F" w:rsidRDefault="00A05B9F" w:rsidP="00A05B9F">
      <w:pPr>
        <w:spacing w:after="0" w:line="240" w:lineRule="auto"/>
        <w:rPr>
          <w:rFonts w:ascii="Verdana" w:hAnsi="Verdana" w:cs="Arial"/>
          <w:lang w:eastAsia="es-CO"/>
        </w:rPr>
      </w:pPr>
      <w:r w:rsidRPr="00593A5F">
        <w:rPr>
          <w:rFonts w:ascii="Verdana" w:eastAsia="Times New Roman" w:hAnsi="Verdana" w:cs="Arial"/>
          <w:lang w:eastAsia="es-CO"/>
        </w:rPr>
        <w:t>Atentamente,</w:t>
      </w:r>
      <w:r w:rsidRPr="00593A5F">
        <w:rPr>
          <w:rFonts w:ascii="Verdana" w:hAnsi="Verdana" w:cs="Arial"/>
          <w:lang w:eastAsia="es-CO"/>
        </w:rPr>
        <w:t xml:space="preserve"> </w:t>
      </w:r>
    </w:p>
    <w:p w14:paraId="67CBAA2D" w14:textId="47F9859C" w:rsidR="00A05B9F" w:rsidRPr="00A27102" w:rsidRDefault="00B264EE" w:rsidP="00A05B9F">
      <w:pPr>
        <w:spacing w:line="276" w:lineRule="auto"/>
        <w:jc w:val="center"/>
        <w:rPr>
          <w:rFonts w:ascii="Verdana" w:hAnsi="Verdana" w:cs="Arial"/>
          <w:color w:val="000000"/>
          <w:lang w:val="es-ES_tradnl" w:eastAsia="es-CO"/>
        </w:rPr>
      </w:pPr>
      <w:r>
        <w:rPr>
          <w:noProof/>
        </w:rPr>
        <w:lastRenderedPageBreak/>
        <w:drawing>
          <wp:inline distT="0" distB="0" distL="0" distR="0" wp14:anchorId="4A87994C" wp14:editId="4F10DA77">
            <wp:extent cx="3771900" cy="1318260"/>
            <wp:effectExtent l="0" t="0" r="0" b="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19"/>
                    <a:stretch>
                      <a:fillRect/>
                    </a:stretch>
                  </pic:blipFill>
                  <pic:spPr>
                    <a:xfrm>
                      <a:off x="0" y="0"/>
                      <a:ext cx="3771900" cy="1318260"/>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A05B9F" w:rsidRPr="00AA633E" w14:paraId="582B85EE" w14:textId="77777777" w:rsidTr="00C671FE">
        <w:trPr>
          <w:trHeight w:val="315"/>
        </w:trPr>
        <w:tc>
          <w:tcPr>
            <w:tcW w:w="893" w:type="dxa"/>
            <w:vAlign w:val="center"/>
            <w:hideMark/>
          </w:tcPr>
          <w:p w14:paraId="0B4C7A7C" w14:textId="77777777" w:rsidR="00A05B9F" w:rsidRPr="00AA633E" w:rsidRDefault="00A05B9F" w:rsidP="00C671FE">
            <w:pPr>
              <w:contextualSpacing/>
              <w:rPr>
                <w:rFonts w:ascii="Verdana" w:hAnsi="Verdana" w:cs="Arial"/>
                <w:sz w:val="16"/>
                <w:szCs w:val="16"/>
                <w:lang w:eastAsia="es-ES"/>
              </w:rPr>
            </w:pPr>
            <w:r w:rsidRPr="00AA633E">
              <w:rPr>
                <w:rFonts w:ascii="Verdana" w:hAnsi="Verdana" w:cs="Arial"/>
                <w:sz w:val="16"/>
                <w:szCs w:val="16"/>
                <w:lang w:eastAsia="es-ES"/>
              </w:rPr>
              <w:t>Elaboró:</w:t>
            </w:r>
          </w:p>
        </w:tc>
        <w:tc>
          <w:tcPr>
            <w:tcW w:w="5628" w:type="dxa"/>
            <w:tcBorders>
              <w:top w:val="nil"/>
              <w:left w:val="nil"/>
              <w:bottom w:val="dotted" w:sz="4" w:space="0" w:color="7F7F7F" w:themeColor="text1" w:themeTint="80"/>
              <w:right w:val="nil"/>
            </w:tcBorders>
            <w:vAlign w:val="center"/>
            <w:hideMark/>
          </w:tcPr>
          <w:p w14:paraId="10039D60" w14:textId="77777777" w:rsidR="00A05B9F" w:rsidRPr="00AA633E" w:rsidRDefault="00A05B9F" w:rsidP="00C671FE">
            <w:pPr>
              <w:contextualSpacing/>
              <w:rPr>
                <w:rFonts w:ascii="Verdana" w:hAnsi="Verdana"/>
                <w:sz w:val="16"/>
                <w:szCs w:val="16"/>
              </w:rPr>
            </w:pPr>
            <w:r w:rsidRPr="00AA633E">
              <w:rPr>
                <w:rFonts w:ascii="Verdana" w:hAnsi="Verdana"/>
                <w:sz w:val="16"/>
                <w:szCs w:val="16"/>
              </w:rPr>
              <w:t>Tatiana Baquero Iguarán</w:t>
            </w:r>
          </w:p>
          <w:p w14:paraId="75B9136F" w14:textId="77777777" w:rsidR="00A05B9F" w:rsidRPr="00AA633E" w:rsidRDefault="00A05B9F" w:rsidP="00C671FE">
            <w:pPr>
              <w:contextualSpacing/>
              <w:rPr>
                <w:rFonts w:ascii="Verdana" w:eastAsia="Arial" w:hAnsi="Verdana" w:cs="Arial"/>
                <w:sz w:val="16"/>
                <w:szCs w:val="16"/>
              </w:rPr>
            </w:pPr>
            <w:r w:rsidRPr="00AA633E">
              <w:rPr>
                <w:rFonts w:ascii="Verdana" w:hAnsi="Verdana"/>
                <w:sz w:val="16"/>
                <w:szCs w:val="16"/>
              </w:rPr>
              <w:t>Contratista de la Subdirección de Gestión Contractual</w:t>
            </w:r>
          </w:p>
        </w:tc>
      </w:tr>
      <w:tr w:rsidR="00A05B9F" w:rsidRPr="00AA633E" w14:paraId="01B8D568" w14:textId="77777777" w:rsidTr="00C671FE">
        <w:trPr>
          <w:trHeight w:val="330"/>
        </w:trPr>
        <w:tc>
          <w:tcPr>
            <w:tcW w:w="893" w:type="dxa"/>
            <w:vAlign w:val="center"/>
            <w:hideMark/>
          </w:tcPr>
          <w:p w14:paraId="18BDD800" w14:textId="77777777" w:rsidR="00A05B9F" w:rsidRPr="00AA633E" w:rsidRDefault="00A05B9F" w:rsidP="00C671FE">
            <w:pPr>
              <w:contextualSpacing/>
              <w:rPr>
                <w:rFonts w:ascii="Verdana" w:hAnsi="Verdana" w:cs="Arial"/>
                <w:sz w:val="16"/>
                <w:szCs w:val="16"/>
                <w:lang w:eastAsia="es-ES"/>
              </w:rPr>
            </w:pPr>
            <w:r w:rsidRPr="00AA633E">
              <w:rPr>
                <w:rFonts w:ascii="Verdana" w:hAnsi="Verdana" w:cs="Arial"/>
                <w:sz w:val="16"/>
                <w:szCs w:val="16"/>
                <w:lang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461437FD" w14:textId="77777777" w:rsidR="00A05B9F" w:rsidRPr="00AA633E" w:rsidRDefault="00A05B9F" w:rsidP="00C671FE">
            <w:pPr>
              <w:spacing w:before="100" w:beforeAutospacing="1" w:afterAutospacing="1"/>
              <w:contextualSpacing/>
              <w:textAlignment w:val="baseline"/>
              <w:rPr>
                <w:rFonts w:ascii="Verdana" w:eastAsia="Times New Roman" w:hAnsi="Verdana" w:cs="Arial"/>
                <w:sz w:val="16"/>
                <w:szCs w:val="16"/>
                <w:lang w:val="es-ES" w:eastAsia="es-ES_tradnl"/>
              </w:rPr>
            </w:pPr>
            <w:r w:rsidRPr="00AA633E">
              <w:rPr>
                <w:rFonts w:ascii="Verdana" w:eastAsia="Times New Roman" w:hAnsi="Verdana" w:cs="Arial"/>
                <w:sz w:val="16"/>
                <w:szCs w:val="16"/>
                <w:lang w:val="es-ES" w:eastAsia="es-ES_tradnl"/>
              </w:rPr>
              <w:t>Diana Lucía Saavedra Castañeda</w:t>
            </w:r>
          </w:p>
          <w:p w14:paraId="10B4C366" w14:textId="77777777" w:rsidR="00A05B9F" w:rsidRPr="00AA633E" w:rsidRDefault="00A05B9F" w:rsidP="00C671FE">
            <w:pPr>
              <w:spacing w:before="100" w:beforeAutospacing="1" w:afterAutospacing="1"/>
              <w:contextualSpacing/>
              <w:textAlignment w:val="baseline"/>
              <w:rPr>
                <w:rFonts w:ascii="Verdana" w:eastAsia="Times New Roman" w:hAnsi="Verdana" w:cs="Arial"/>
                <w:sz w:val="16"/>
                <w:szCs w:val="16"/>
                <w:lang w:eastAsia="es-ES_tradnl"/>
              </w:rPr>
            </w:pPr>
            <w:r w:rsidRPr="00AA633E">
              <w:rPr>
                <w:rFonts w:ascii="Verdana" w:eastAsia="Times New Roman" w:hAnsi="Verdana" w:cs="Arial"/>
                <w:sz w:val="16"/>
                <w:szCs w:val="16"/>
                <w:lang w:val="es-ES" w:eastAsia="es-ES_tradnl"/>
              </w:rPr>
              <w:t>Contratista de la Subdirección de Gestión Contractual</w:t>
            </w:r>
            <w:r w:rsidRPr="00AA633E">
              <w:rPr>
                <w:rFonts w:ascii="Verdana" w:eastAsia="Times New Roman" w:hAnsi="Verdana" w:cs="Arial"/>
                <w:sz w:val="16"/>
                <w:szCs w:val="16"/>
                <w:lang w:eastAsia="es-ES_tradnl"/>
              </w:rPr>
              <w:t xml:space="preserve"> </w:t>
            </w:r>
          </w:p>
        </w:tc>
      </w:tr>
      <w:tr w:rsidR="00A05B9F" w:rsidRPr="00AA633E" w14:paraId="037C3941" w14:textId="77777777" w:rsidTr="00C671FE">
        <w:trPr>
          <w:trHeight w:val="300"/>
        </w:trPr>
        <w:tc>
          <w:tcPr>
            <w:tcW w:w="893" w:type="dxa"/>
            <w:vAlign w:val="center"/>
          </w:tcPr>
          <w:p w14:paraId="2ADFB6D9" w14:textId="77777777" w:rsidR="00A05B9F" w:rsidRPr="00AA633E" w:rsidRDefault="00A05B9F" w:rsidP="00C671FE">
            <w:pPr>
              <w:contextualSpacing/>
              <w:rPr>
                <w:rFonts w:ascii="Verdana" w:hAnsi="Verdana" w:cs="Arial"/>
                <w:sz w:val="16"/>
                <w:szCs w:val="16"/>
                <w:lang w:eastAsia="es-ES"/>
              </w:rPr>
            </w:pPr>
            <w:r w:rsidRPr="00AA633E">
              <w:rPr>
                <w:rFonts w:ascii="Verdana" w:hAnsi="Verdana" w:cs="Arial"/>
                <w:sz w:val="16"/>
                <w:szCs w:val="16"/>
                <w:lang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637661EC" w14:textId="77777777" w:rsidR="00A05B9F" w:rsidRPr="00AA633E" w:rsidRDefault="00A05B9F" w:rsidP="00C671FE">
            <w:pPr>
              <w:contextualSpacing/>
              <w:rPr>
                <w:rFonts w:ascii="Verdana" w:eastAsia="Calibri" w:hAnsi="Verdana" w:cs="Arial"/>
                <w:sz w:val="16"/>
                <w:szCs w:val="16"/>
                <w:lang w:eastAsia="es-ES"/>
              </w:rPr>
            </w:pPr>
            <w:r w:rsidRPr="00AA633E">
              <w:rPr>
                <w:rFonts w:ascii="Verdana" w:eastAsia="Calibri" w:hAnsi="Verdana" w:cs="Arial"/>
                <w:sz w:val="16"/>
                <w:szCs w:val="16"/>
                <w:lang w:eastAsia="es-ES"/>
              </w:rPr>
              <w:t>Carolina Quintero Gacharná</w:t>
            </w:r>
          </w:p>
          <w:p w14:paraId="4F978954" w14:textId="77777777" w:rsidR="00A05B9F" w:rsidRPr="00AA633E" w:rsidRDefault="00A05B9F" w:rsidP="00C671FE">
            <w:pPr>
              <w:contextualSpacing/>
              <w:rPr>
                <w:rFonts w:ascii="Verdana" w:eastAsia="Calibri" w:hAnsi="Verdana" w:cs="Arial"/>
                <w:sz w:val="16"/>
                <w:szCs w:val="16"/>
                <w:lang w:eastAsia="es-ES"/>
              </w:rPr>
            </w:pPr>
            <w:r w:rsidRPr="00AA633E">
              <w:rPr>
                <w:rFonts w:ascii="Verdana" w:eastAsia="Calibri" w:hAnsi="Verdana" w:cs="Arial"/>
                <w:sz w:val="16"/>
                <w:szCs w:val="16"/>
                <w:lang w:eastAsia="es-ES"/>
              </w:rPr>
              <w:t>Subdirectora de Gestión Contractual ANCP – CCE</w:t>
            </w:r>
          </w:p>
        </w:tc>
      </w:tr>
    </w:tbl>
    <w:p w14:paraId="4FAD2F01" w14:textId="77777777" w:rsidR="00A05B9F" w:rsidRDefault="00A05B9F" w:rsidP="00A05B9F">
      <w:pPr>
        <w:spacing w:after="0" w:line="240" w:lineRule="auto"/>
        <w:textAlignment w:val="baseline"/>
        <w:rPr>
          <w:rFonts w:ascii="Verdana" w:eastAsia="Verdana" w:hAnsi="Verdana" w:cs="Verdana"/>
          <w:lang w:eastAsia="es-CO"/>
        </w:rPr>
      </w:pPr>
    </w:p>
    <w:p w14:paraId="41F122A3" w14:textId="77777777" w:rsidR="00A05B9F" w:rsidRPr="000E2B93" w:rsidRDefault="00A05B9F" w:rsidP="00A05B9F">
      <w:pPr>
        <w:spacing w:after="0" w:line="240" w:lineRule="auto"/>
        <w:jc w:val="both"/>
        <w:textAlignment w:val="baseline"/>
        <w:rPr>
          <w:rFonts w:ascii="Verdana" w:eastAsia="Verdana" w:hAnsi="Verdana" w:cs="Verdana"/>
          <w:lang w:eastAsia="es-CO"/>
        </w:rPr>
      </w:pPr>
    </w:p>
    <w:p w14:paraId="5ACAA8EC" w14:textId="2058D7EB" w:rsidR="00A05B9F" w:rsidRPr="000E2B93" w:rsidRDefault="00A05B9F" w:rsidP="00A05B9F">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p>
    <w:p w14:paraId="2BBF3A2E" w14:textId="77777777" w:rsidR="00A05B9F" w:rsidRPr="0015699B" w:rsidRDefault="00A05B9F" w:rsidP="00A05B9F">
      <w:pPr>
        <w:spacing w:after="0" w:line="240" w:lineRule="auto"/>
        <w:jc w:val="both"/>
        <w:textAlignment w:val="baseline"/>
        <w:rPr>
          <w:rFonts w:ascii="Verdana" w:eastAsia="Verdana" w:hAnsi="Verdana" w:cs="Verdana"/>
          <w:lang w:eastAsia="es-CO"/>
        </w:rPr>
      </w:pPr>
    </w:p>
    <w:p w14:paraId="6227C562" w14:textId="77777777" w:rsidR="00A05B9F" w:rsidRDefault="00A05B9F" w:rsidP="00A05B9F"/>
    <w:p w14:paraId="2ACC362A" w14:textId="77777777" w:rsidR="00A05B9F" w:rsidRPr="00FD3679" w:rsidRDefault="00A05B9F" w:rsidP="00A05B9F"/>
    <w:p w14:paraId="6689AA1B" w14:textId="77777777" w:rsidR="00421F16" w:rsidRPr="00A05B9F" w:rsidRDefault="00421F16" w:rsidP="00A05B9F"/>
    <w:sectPr w:rsidR="00421F16" w:rsidRPr="00A05B9F"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09A3D" w14:textId="77777777" w:rsidR="00701EF7" w:rsidRDefault="00701EF7" w:rsidP="004A1847">
      <w:pPr>
        <w:spacing w:after="0" w:line="240" w:lineRule="auto"/>
      </w:pPr>
      <w:r>
        <w:separator/>
      </w:r>
    </w:p>
  </w:endnote>
  <w:endnote w:type="continuationSeparator" w:id="0">
    <w:p w14:paraId="3D347CE7" w14:textId="77777777" w:rsidR="00701EF7" w:rsidRDefault="00701EF7"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altName w:val="Century Gothic"/>
    <w:panose1 w:val="020B05020202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4DA9F" w14:textId="77777777" w:rsidR="00701EF7" w:rsidRDefault="00701EF7" w:rsidP="004A1847">
      <w:pPr>
        <w:spacing w:after="0" w:line="240" w:lineRule="auto"/>
      </w:pPr>
      <w:r>
        <w:separator/>
      </w:r>
    </w:p>
  </w:footnote>
  <w:footnote w:type="continuationSeparator" w:id="0">
    <w:p w14:paraId="4D319E03" w14:textId="77777777" w:rsidR="00701EF7" w:rsidRDefault="00701EF7" w:rsidP="004A1847">
      <w:pPr>
        <w:spacing w:after="0" w:line="240" w:lineRule="auto"/>
      </w:pPr>
      <w:r>
        <w:continuationSeparator/>
      </w:r>
    </w:p>
  </w:footnote>
  <w:footnote w:id="1">
    <w:p w14:paraId="1B9F68D7" w14:textId="77777777" w:rsidR="00A05B9F" w:rsidRPr="00224A89" w:rsidRDefault="00A05B9F" w:rsidP="00A05B9F">
      <w:pPr>
        <w:pStyle w:val="Textonotapie"/>
        <w:ind w:firstLine="708"/>
        <w:jc w:val="both"/>
        <w:rPr>
          <w:rFonts w:ascii="Verdana" w:hAnsi="Verdana" w:cs="Arial"/>
          <w:color w:val="000000"/>
          <w:sz w:val="16"/>
          <w:szCs w:val="16"/>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“La última formalidad que deben cumplir los contratos de la Administración dentro del marco jurídico de la contratación estatal se refiere a la liquidación, definida, en principio, como un negocio jurídico bilateral cuyo objeto es la realización del corte de cuentas entre las partes contratantes, en el cual queda establecida la relación directa entre las prestaciones ejecutaras, el valor cobrado por las mismas y su cancelación por parte del deudor de estas, sin perjuicio de los descuentos económicos a que haya lugar con motivo de la aplicación de estipulaciones contractuales específicas</w:t>
      </w:r>
      <w:r w:rsidRPr="00224A89">
        <w:rPr>
          <w:rFonts w:ascii="Verdana" w:hAnsi="Verdana" w:cs="Arial"/>
          <w:color w:val="000000"/>
          <w:sz w:val="16"/>
          <w:szCs w:val="16"/>
          <w:shd w:val="clear" w:color="auto" w:fill="FFFFFF"/>
        </w:rPr>
        <w:t>” (</w:t>
      </w:r>
      <w:r w:rsidRPr="00224A89">
        <w:rPr>
          <w:rFonts w:ascii="Verdana" w:hAnsi="Verdana" w:cs="Arial"/>
          <w:color w:val="000000"/>
          <w:sz w:val="16"/>
          <w:szCs w:val="16"/>
        </w:rPr>
        <w:t>EXPOSITO, Juan Carlos. Forma y contenido del contrato estatal. Bogotá: Universidad Externado de Colombia, p. 89 y 90).</w:t>
      </w:r>
    </w:p>
  </w:footnote>
  <w:footnote w:id="2">
    <w:p w14:paraId="4D85C065" w14:textId="77777777" w:rsidR="00A05B9F" w:rsidRPr="00224A89" w:rsidRDefault="00A05B9F" w:rsidP="00A05B9F">
      <w:pPr>
        <w:pStyle w:val="Textonotapie"/>
        <w:ind w:firstLine="708"/>
        <w:jc w:val="both"/>
        <w:rPr>
          <w:rFonts w:ascii="Verdana" w:hAnsi="Verdana" w:cs="Arial"/>
          <w:color w:val="000000"/>
          <w:sz w:val="16"/>
          <w:szCs w:val="16"/>
          <w:lang w:val="es-CO"/>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DÍAZ DÍEZ, Cristian Andrés. La liquidación. Serie: Las Cláusulas del Contrato Estatal. Medellín: Librería Jurídica Sánchez y Centro de Estudios de Derecho Administrativo –CEDA–, 2013. pp. 53-54.</w:t>
      </w:r>
    </w:p>
  </w:footnote>
  <w:footnote w:id="3">
    <w:p w14:paraId="1F32B6B0" w14:textId="77777777" w:rsidR="00A05B9F" w:rsidRPr="00224A89" w:rsidRDefault="00A05B9F" w:rsidP="00A05B9F">
      <w:pPr>
        <w:spacing w:after="0"/>
        <w:ind w:firstLine="708"/>
        <w:jc w:val="both"/>
        <w:rPr>
          <w:rFonts w:ascii="Verdana" w:hAnsi="Verdana" w:cs="Arial"/>
          <w:color w:val="000000"/>
          <w:sz w:val="16"/>
          <w:szCs w:val="16"/>
          <w:lang w:val="es-ES"/>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Consejo de Estado. Sección Tercera. Subsección C. 20 de octubre de 2014, M.P: Enrique Gil Botero. Exp. 27.777. Allí se dijo: “[…] liquidar supone un ajuste expreso y claro sobre las cuentas y el estado de cumplimiento de un contrato, de tal manera que conste el balance tanto técnico como económico de las obligaciones que estuvieron a cargo de las partes. En cuanto a lo primero, la liquidación debe incluir un análisis detallado de las condiciones de calidad y oportunidad en la entrega de los bienes, obras o servicios, y el balance económico dará cuenta del comportamiento financiero del negocio: recursos recibidos, pagos efectuados, estado del crédito o de la deuda de cada parte, entre otros detalles mínimos y necesarios para finiquitar una relación jurídica contractual”.</w:t>
      </w:r>
    </w:p>
  </w:footnote>
  <w:footnote w:id="4">
    <w:p w14:paraId="7797492A" w14:textId="77777777" w:rsidR="00A05B9F" w:rsidRPr="00224A89" w:rsidRDefault="00A05B9F" w:rsidP="00A05B9F">
      <w:pPr>
        <w:pStyle w:val="Textonotapie"/>
        <w:ind w:firstLine="708"/>
        <w:jc w:val="both"/>
        <w:rPr>
          <w:rFonts w:ascii="Verdana" w:hAnsi="Verdana" w:cs="Arial"/>
          <w:color w:val="000000"/>
          <w:sz w:val="16"/>
          <w:szCs w:val="16"/>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EXPÓSITO VÉLEZ, Juan Carlos. Forma y contenido del contrato estatal, p. 90.</w:t>
      </w:r>
    </w:p>
  </w:footnote>
  <w:footnote w:id="5">
    <w:p w14:paraId="01DEB830" w14:textId="77777777" w:rsidR="00A05B9F" w:rsidRPr="00224A89" w:rsidRDefault="00A05B9F" w:rsidP="00A05B9F">
      <w:pPr>
        <w:pStyle w:val="Textonotapie"/>
        <w:ind w:firstLine="708"/>
        <w:jc w:val="both"/>
        <w:rPr>
          <w:rFonts w:ascii="Verdana" w:hAnsi="Verdana" w:cs="Arial"/>
          <w:color w:val="000000"/>
          <w:sz w:val="16"/>
          <w:szCs w:val="16"/>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CONSEJO DE ESTADO, Sala de Consulta y Servicio Civil. Radicado No. 1453. Concepto de 6 de agosto de 2003. MP. Augusto Trejos.</w:t>
      </w:r>
    </w:p>
  </w:footnote>
  <w:footnote w:id="6">
    <w:p w14:paraId="584CBA84" w14:textId="77777777" w:rsidR="00A05B9F" w:rsidRDefault="00A05B9F" w:rsidP="00A05B9F">
      <w:pPr>
        <w:spacing w:after="0" w:line="240" w:lineRule="auto"/>
        <w:ind w:firstLine="709"/>
        <w:jc w:val="both"/>
        <w:rPr>
          <w:rFonts w:ascii="Verdana" w:eastAsia="Calibri" w:hAnsi="Verdana"/>
          <w:color w:val="000000" w:themeColor="text1"/>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eastAsia="Calibri" w:hAnsi="Verdana"/>
          <w:bCs/>
          <w:color w:val="000000" w:themeColor="text1"/>
          <w:sz w:val="16"/>
          <w:szCs w:val="16"/>
        </w:rPr>
        <w:t>Artículo 1037.</w:t>
      </w:r>
      <w:r>
        <w:rPr>
          <w:rFonts w:ascii="Verdana" w:eastAsia="Calibri" w:hAnsi="Verdana"/>
          <w:color w:val="000000" w:themeColor="text1"/>
          <w:sz w:val="16"/>
          <w:szCs w:val="16"/>
        </w:rPr>
        <w:t> PARTES EN EL CONTRATO DE SEGURO. Son partes del contrato de seguro: </w:t>
      </w:r>
    </w:p>
    <w:p w14:paraId="129C32D3" w14:textId="77777777" w:rsidR="00A05B9F" w:rsidRDefault="00A05B9F" w:rsidP="00A05B9F">
      <w:pPr>
        <w:spacing w:after="0" w:line="240" w:lineRule="auto"/>
        <w:ind w:firstLine="709"/>
        <w:jc w:val="both"/>
        <w:rPr>
          <w:rFonts w:ascii="Verdana" w:eastAsia="Calibri" w:hAnsi="Verdana"/>
          <w:color w:val="000000" w:themeColor="text1"/>
          <w:sz w:val="16"/>
          <w:szCs w:val="16"/>
        </w:rPr>
      </w:pPr>
      <w:r>
        <w:rPr>
          <w:rFonts w:ascii="Verdana" w:eastAsia="Calibri" w:hAnsi="Verdana"/>
          <w:color w:val="000000" w:themeColor="text1"/>
          <w:sz w:val="16"/>
          <w:szCs w:val="16"/>
        </w:rPr>
        <w:t>1) El asegurador, o sea la persona jurídica que asume los riesgos, debidamente autorizada para ello con arreglo a las leyes y reglamentos, y </w:t>
      </w:r>
    </w:p>
    <w:p w14:paraId="0D567D1B" w14:textId="77777777" w:rsidR="00A05B9F" w:rsidRDefault="00A05B9F" w:rsidP="00A05B9F">
      <w:pPr>
        <w:spacing w:after="0" w:line="240" w:lineRule="auto"/>
        <w:ind w:firstLine="709"/>
        <w:jc w:val="both"/>
        <w:rPr>
          <w:rFonts w:ascii="Verdana" w:eastAsia="Calibri" w:hAnsi="Verdana"/>
          <w:color w:val="000000" w:themeColor="text1"/>
          <w:sz w:val="16"/>
          <w:szCs w:val="16"/>
        </w:rPr>
      </w:pPr>
      <w:r>
        <w:rPr>
          <w:rFonts w:ascii="Verdana" w:eastAsia="Calibri" w:hAnsi="Verdana"/>
          <w:color w:val="000000" w:themeColor="text1"/>
          <w:sz w:val="16"/>
          <w:szCs w:val="16"/>
        </w:rPr>
        <w:t>2) El tomador, o sea la persona que, obrando por cuenta propia o ajena, traslada los riesgos. </w:t>
      </w:r>
    </w:p>
    <w:p w14:paraId="4A0A2DFB" w14:textId="77777777" w:rsidR="00A05B9F" w:rsidRDefault="00A05B9F" w:rsidP="00A05B9F">
      <w:pPr>
        <w:pStyle w:val="Textonotapie"/>
        <w:jc w:val="both"/>
        <w:rPr>
          <w:rFonts w:ascii="Verdana" w:hAnsi="Verdana"/>
          <w:sz w:val="16"/>
          <w:szCs w:val="16"/>
          <w:lang w:val="es-CO"/>
        </w:rPr>
      </w:pPr>
    </w:p>
  </w:footnote>
  <w:footnote w:id="7">
    <w:p w14:paraId="0392C05E" w14:textId="77777777" w:rsidR="00A05B9F" w:rsidRDefault="00A05B9F" w:rsidP="00A05B9F">
      <w:pPr>
        <w:pStyle w:val="Textonotapie"/>
        <w:ind w:firstLine="708"/>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Consejo de Estado. Sección Tercera, Subsección B. Sentencia del 19 de junio de 2013. M.P. Danilo Rojas Betancourth. Exp. 25.472.</w:t>
      </w:r>
    </w:p>
  </w:footnote>
  <w:footnote w:id="8">
    <w:p w14:paraId="2FEA82E2" w14:textId="77777777" w:rsidR="00A05B9F" w:rsidRDefault="00A05B9F" w:rsidP="00A05B9F">
      <w:pPr>
        <w:pStyle w:val="Textonotapie"/>
        <w:ind w:firstLine="709"/>
        <w:jc w:val="both"/>
        <w:rPr>
          <w:rFonts w:ascii="Verdana" w:hAnsi="Verdana" w:cs="Arial"/>
          <w:color w:val="000000" w:themeColor="text1"/>
          <w:sz w:val="18"/>
          <w:szCs w:val="18"/>
          <w:lang w:val="es-ES_tradnl"/>
        </w:rPr>
      </w:pPr>
      <w:r w:rsidRPr="005E49DA">
        <w:rPr>
          <w:rStyle w:val="Refdenotaalpie"/>
          <w:rFonts w:ascii="Verdana" w:hAnsi="Verdana" w:cs="Arial"/>
          <w:sz w:val="18"/>
          <w:szCs w:val="18"/>
        </w:rPr>
        <w:footnoteRef/>
      </w:r>
      <w:r w:rsidRPr="005E49DA">
        <w:rPr>
          <w:rFonts w:ascii="Verdana" w:hAnsi="Verdana" w:cs="Arial"/>
          <w:sz w:val="18"/>
          <w:szCs w:val="18"/>
        </w:rPr>
        <w:t xml:space="preserve"> </w:t>
      </w:r>
      <w:r>
        <w:rPr>
          <w:rFonts w:ascii="Verdana" w:hAnsi="Verdana" w:cs="Arial"/>
          <w:color w:val="000000" w:themeColor="text1"/>
          <w:sz w:val="18"/>
          <w:szCs w:val="18"/>
          <w:lang w:val="es-ES_tradnl"/>
        </w:rPr>
        <w:t>“</w:t>
      </w:r>
      <w:r w:rsidRPr="005E49DA">
        <w:rPr>
          <w:rFonts w:ascii="Verdana" w:hAnsi="Verdana" w:cs="Arial"/>
          <w:bCs/>
          <w:iCs/>
          <w:sz w:val="18"/>
          <w:szCs w:val="18"/>
        </w:rPr>
        <w:t>Artículo 40.- Sociedades Corredoras de seguros. 1. Definición. De acuerdo con el artículo 1347 del Código de Comercio, son corredores de seguros las empresas constituidas o que se constituyan como sociedades comerciales, colectivas o de responsabilidad limitada, cuyo objeto social sea exclusivamente ofrecer seguros, promover su celebración y obtener su renovación a título de intermediarios entre el asegurado y el asegurador</w:t>
      </w:r>
      <w:r>
        <w:rPr>
          <w:rFonts w:ascii="Verdana" w:hAnsi="Verdana" w:cs="Arial"/>
          <w:color w:val="000000" w:themeColor="text1"/>
          <w:sz w:val="18"/>
          <w:szCs w:val="18"/>
          <w:lang w:val="es-ES_tradnl"/>
        </w:rPr>
        <w:t xml:space="preserve">”. </w:t>
      </w:r>
    </w:p>
    <w:p w14:paraId="52ABDC6F" w14:textId="77777777" w:rsidR="00A05B9F" w:rsidRPr="005E49DA" w:rsidRDefault="00A05B9F" w:rsidP="00A05B9F">
      <w:pPr>
        <w:pStyle w:val="Textonotapie"/>
        <w:ind w:firstLine="709"/>
        <w:jc w:val="both"/>
        <w:rPr>
          <w:rFonts w:ascii="Verdana" w:hAnsi="Verdana" w:cs="Arial"/>
          <w:color w:val="000000" w:themeColor="text1"/>
          <w:sz w:val="18"/>
          <w:szCs w:val="18"/>
          <w:lang w:val="es-ES_tradnl"/>
        </w:rPr>
      </w:pPr>
    </w:p>
    <w:p w14:paraId="26348157" w14:textId="77777777" w:rsidR="00A05B9F" w:rsidRPr="005E49DA" w:rsidRDefault="00A05B9F" w:rsidP="00A05B9F">
      <w:pPr>
        <w:pStyle w:val="Textonotapie"/>
        <w:ind w:firstLine="708"/>
        <w:jc w:val="both"/>
        <w:rPr>
          <w:rFonts w:ascii="Verdana" w:hAnsi="Verdana" w:cs="Arial"/>
          <w:sz w:val="18"/>
          <w:szCs w:val="18"/>
        </w:rPr>
      </w:pPr>
      <w:r w:rsidRPr="005E49DA">
        <w:rPr>
          <w:rFonts w:ascii="Verdana" w:hAnsi="Verdana" w:cs="Arial"/>
          <w:sz w:val="18"/>
          <w:szCs w:val="18"/>
        </w:rPr>
        <w:t xml:space="preserve">El artículo 101 de la Ley 510 de 1999 modificó esta disposición, al establecer que los corredores de seguros deben constituirse como sociedades anónimas e indicar dentro de su denominación las palabras “corredor de seguros” o “corredores de seguros”, las que serán de uso exclusivo de tales sociedades.  Esta ley fijó un plazo de seis meses, a partir de su </w:t>
      </w:r>
      <w:proofErr w:type="gramStart"/>
      <w:r w:rsidRPr="005E49DA">
        <w:rPr>
          <w:rFonts w:ascii="Verdana" w:hAnsi="Verdana" w:cs="Arial"/>
          <w:sz w:val="18"/>
          <w:szCs w:val="18"/>
        </w:rPr>
        <w:t>entrada en vigencia</w:t>
      </w:r>
      <w:proofErr w:type="gramEnd"/>
      <w:r w:rsidRPr="005E49DA">
        <w:rPr>
          <w:rFonts w:ascii="Verdana" w:hAnsi="Verdana" w:cs="Arial"/>
          <w:sz w:val="18"/>
          <w:szCs w:val="18"/>
        </w:rPr>
        <w:t>, para que las empresas corredoras de seguros acreditaran su transformación en sociedades anónimas.</w:t>
      </w:r>
    </w:p>
    <w:p w14:paraId="4752B97A" w14:textId="77777777" w:rsidR="00A05B9F" w:rsidRPr="005E49DA" w:rsidRDefault="00A05B9F" w:rsidP="00A05B9F">
      <w:pPr>
        <w:pStyle w:val="Textonotapie"/>
        <w:jc w:val="both"/>
        <w:rPr>
          <w:rFonts w:ascii="Verdana" w:hAnsi="Verdana" w:cs="Arial"/>
          <w:sz w:val="18"/>
          <w:szCs w:val="18"/>
        </w:rPr>
      </w:pPr>
    </w:p>
  </w:footnote>
  <w:footnote w:id="9">
    <w:p w14:paraId="4BA2531D" w14:textId="77777777" w:rsidR="00A05B9F" w:rsidRPr="005E49DA" w:rsidRDefault="00A05B9F" w:rsidP="00A05B9F">
      <w:pPr>
        <w:pStyle w:val="Textonotapie"/>
        <w:ind w:firstLine="708"/>
        <w:jc w:val="both"/>
        <w:rPr>
          <w:rFonts w:ascii="Verdana" w:hAnsi="Verdana" w:cs="Arial"/>
          <w:sz w:val="18"/>
          <w:szCs w:val="18"/>
        </w:rPr>
      </w:pPr>
      <w:r w:rsidRPr="005E49DA">
        <w:rPr>
          <w:rStyle w:val="Refdenotaalpie"/>
          <w:rFonts w:ascii="Verdana" w:hAnsi="Verdana" w:cs="Arial"/>
          <w:sz w:val="18"/>
          <w:szCs w:val="18"/>
        </w:rPr>
        <w:footnoteRef/>
      </w:r>
      <w:r w:rsidRPr="005E49DA">
        <w:rPr>
          <w:rFonts w:ascii="Verdana" w:hAnsi="Verdana" w:cs="Arial"/>
          <w:sz w:val="18"/>
          <w:szCs w:val="18"/>
        </w:rPr>
        <w:t xml:space="preserve"> Consejo de Estado</w:t>
      </w:r>
      <w:r>
        <w:rPr>
          <w:rFonts w:ascii="Verdana" w:hAnsi="Verdana" w:cs="Arial"/>
          <w:sz w:val="18"/>
          <w:szCs w:val="18"/>
        </w:rPr>
        <w:t>.</w:t>
      </w:r>
      <w:r w:rsidRPr="005E49DA">
        <w:rPr>
          <w:rFonts w:ascii="Verdana" w:hAnsi="Verdana" w:cs="Arial"/>
          <w:sz w:val="18"/>
          <w:szCs w:val="18"/>
        </w:rPr>
        <w:t xml:space="preserve"> Sección Tercera. Sentencia del 22 de marzo de 2001. M.P. Alier Eduardo Hernández Enríquez. Rad. </w:t>
      </w:r>
      <w:r w:rsidRPr="005E49DA">
        <w:rPr>
          <w:rFonts w:ascii="Verdana" w:hAnsi="Verdana" w:cs="Arial"/>
          <w:sz w:val="18"/>
          <w:szCs w:val="18"/>
          <w:lang w:val="es-ES"/>
        </w:rPr>
        <w:t>11001-03-26-000-1994-9840-01(9840)</w:t>
      </w:r>
      <w:r>
        <w:rPr>
          <w:rFonts w:ascii="Verdana" w:hAnsi="Verdana" w:cs="Arial"/>
          <w:sz w:val="18"/>
          <w:szCs w:val="18"/>
          <w:lang w:val="es-ES"/>
        </w:rPr>
        <w:t>.</w:t>
      </w:r>
    </w:p>
  </w:footnote>
  <w:footnote w:id="10">
    <w:p w14:paraId="2D5B588D" w14:textId="77777777" w:rsidR="00A05B9F" w:rsidRDefault="00A05B9F" w:rsidP="00A05B9F">
      <w:pPr>
        <w:pStyle w:val="Textonotapie"/>
        <w:ind w:firstLine="708"/>
        <w:jc w:val="both"/>
        <w:rPr>
          <w:rFonts w:ascii="Verdana" w:hAnsi="Verdana" w:cs="Arial"/>
          <w:sz w:val="18"/>
          <w:szCs w:val="18"/>
        </w:rPr>
      </w:pPr>
      <w:r w:rsidRPr="005E49DA">
        <w:rPr>
          <w:rStyle w:val="Refdenotaalpie"/>
          <w:rFonts w:ascii="Verdana" w:hAnsi="Verdana" w:cs="Arial"/>
          <w:sz w:val="18"/>
          <w:szCs w:val="18"/>
        </w:rPr>
        <w:footnoteRef/>
      </w:r>
      <w:r w:rsidRPr="005E49DA">
        <w:rPr>
          <w:rFonts w:ascii="Verdana" w:hAnsi="Verdana" w:cs="Arial"/>
          <w:sz w:val="18"/>
          <w:szCs w:val="18"/>
        </w:rPr>
        <w:t xml:space="preserve"> Ídem. </w:t>
      </w:r>
    </w:p>
    <w:p w14:paraId="2460EAF9" w14:textId="77777777" w:rsidR="00A05B9F" w:rsidRPr="005E49DA" w:rsidRDefault="00A05B9F" w:rsidP="00A05B9F">
      <w:pPr>
        <w:pStyle w:val="Textonotapie"/>
        <w:ind w:firstLine="708"/>
        <w:jc w:val="both"/>
        <w:rPr>
          <w:rFonts w:ascii="Verdana" w:hAnsi="Verdana" w:cs="Arial"/>
          <w:sz w:val="18"/>
          <w:szCs w:val="18"/>
        </w:rPr>
      </w:pPr>
    </w:p>
  </w:footnote>
  <w:footnote w:id="11">
    <w:p w14:paraId="35230C74" w14:textId="77777777" w:rsidR="00A05B9F" w:rsidRPr="00224A89" w:rsidRDefault="00A05B9F" w:rsidP="00A05B9F">
      <w:pPr>
        <w:pStyle w:val="Textonotapie"/>
        <w:ind w:firstLine="708"/>
        <w:jc w:val="both"/>
        <w:rPr>
          <w:rFonts w:ascii="Verdana" w:hAnsi="Verdana" w:cs="Arial"/>
          <w:color w:val="000000"/>
          <w:sz w:val="16"/>
          <w:szCs w:val="16"/>
          <w:lang w:val="es-ES"/>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w:t>
      </w:r>
      <w:r w:rsidRPr="00224A89">
        <w:rPr>
          <w:rFonts w:ascii="Verdana" w:hAnsi="Verdana" w:cs="Arial"/>
          <w:color w:val="000000"/>
          <w:sz w:val="16"/>
          <w:szCs w:val="16"/>
          <w:lang w:val="es-ES"/>
        </w:rPr>
        <w:t>El artículo 11 de la Ley 1150 de 2007 prescribe: “Artículo 11. Del plazo para la liquidación de los contratos. La liquidación de los contratos se hará de mutuo acuerdo dentro del término fijado en los pliegos de condiciones o sus equivalentes, o dentro del que acuerden las partes para el efecto. De no existir tal término, la liquidación se realizará dentro de los cuatro (4) meses siguientes a la expiración del término previsto para la ejecución del contrato o a la expedición del acto administrativo que ordene la terminación, o a la fecha del acuerdo que la disponga.</w:t>
      </w:r>
    </w:p>
    <w:p w14:paraId="1CA1883F" w14:textId="77777777" w:rsidR="00A05B9F" w:rsidRPr="00224A89" w:rsidRDefault="00A05B9F" w:rsidP="00A05B9F">
      <w:pPr>
        <w:pStyle w:val="Textonotapie"/>
        <w:ind w:firstLine="708"/>
        <w:jc w:val="both"/>
        <w:rPr>
          <w:rFonts w:ascii="Verdana" w:hAnsi="Verdana" w:cs="Arial"/>
          <w:color w:val="000000"/>
          <w:sz w:val="16"/>
          <w:szCs w:val="16"/>
          <w:lang w:val="es-ES"/>
        </w:rPr>
      </w:pPr>
      <w:r w:rsidRPr="00224A89">
        <w:rPr>
          <w:rFonts w:ascii="Verdana" w:hAnsi="Verdana" w:cs="Arial"/>
          <w:color w:val="000000"/>
          <w:sz w:val="16"/>
          <w:szCs w:val="16"/>
          <w:lang w:val="es-ES"/>
        </w:rPr>
        <w:t>En aquellos casos en que el contratista no se presente a la liquidación previa notificación o convocatoria que le haga la entidad, o las partes no lleguen a un acuerdo sobre su contenido, la entidad tendrá la facultad de liquidar en forma unilateral dentro de los dos (2) meses siguientes, de conformidad con lo dispuesto en el artículo 136 del C. C. A.</w:t>
      </w:r>
    </w:p>
    <w:p w14:paraId="7BF4A503" w14:textId="77777777" w:rsidR="00A05B9F" w:rsidRPr="00224A89" w:rsidRDefault="00A05B9F" w:rsidP="00A05B9F">
      <w:pPr>
        <w:pStyle w:val="Textonotapie"/>
        <w:ind w:firstLine="708"/>
        <w:jc w:val="both"/>
        <w:rPr>
          <w:rFonts w:ascii="Verdana" w:hAnsi="Verdana" w:cs="Arial"/>
          <w:color w:val="000000"/>
          <w:sz w:val="16"/>
          <w:szCs w:val="16"/>
          <w:lang w:val="es-ES"/>
        </w:rPr>
      </w:pPr>
      <w:r w:rsidRPr="00224A89">
        <w:rPr>
          <w:rFonts w:ascii="Verdana" w:hAnsi="Verdana" w:cs="Arial"/>
          <w:color w:val="000000"/>
          <w:sz w:val="16"/>
          <w:szCs w:val="16"/>
          <w:lang w:val="es-ES"/>
        </w:rPr>
        <w:t>Si vencido el plazo anteriormente establecido no se ha realizado la liquidación, la misma podrá ser realizada en cualquier tiempo dentro de los dos años siguientes al vencimiento del término a que se refieren los incisos anteriores, de mutuo acuerdo o unilateralmente, sin perjuicio de lo previsto en el artículo 136 del C. C. A.</w:t>
      </w:r>
    </w:p>
    <w:p w14:paraId="736B52E8" w14:textId="77777777" w:rsidR="00A05B9F" w:rsidRPr="00224A89" w:rsidRDefault="00A05B9F" w:rsidP="00A05B9F">
      <w:pPr>
        <w:pStyle w:val="Textonotapie"/>
        <w:ind w:firstLine="708"/>
        <w:jc w:val="both"/>
        <w:rPr>
          <w:rFonts w:ascii="Verdana" w:hAnsi="Verdana" w:cs="Arial"/>
          <w:color w:val="000000"/>
          <w:sz w:val="16"/>
          <w:szCs w:val="16"/>
          <w:lang w:val="es-ES"/>
        </w:rPr>
      </w:pPr>
      <w:r w:rsidRPr="00224A89">
        <w:rPr>
          <w:rFonts w:ascii="Verdana" w:hAnsi="Verdana" w:cs="Arial"/>
          <w:color w:val="000000"/>
          <w:sz w:val="16"/>
          <w:szCs w:val="16"/>
          <w:lang w:val="es-ES"/>
        </w:rPr>
        <w:t>Los contratistas tendrán derecho a efectuar salvedades a la liquidación por mutuo acuerdo, y en este evento la liquidación unilateral solo procederá en relación con los aspectos que no hayan sido objeto de acuerdo”.</w:t>
      </w:r>
    </w:p>
  </w:footnote>
  <w:footnote w:id="12">
    <w:p w14:paraId="775880FE" w14:textId="77777777" w:rsidR="00A05B9F" w:rsidRPr="00224A89" w:rsidRDefault="00A05B9F" w:rsidP="00A05B9F">
      <w:pPr>
        <w:pStyle w:val="Textonotapie"/>
        <w:ind w:firstLine="709"/>
        <w:jc w:val="both"/>
        <w:rPr>
          <w:rFonts w:ascii="Verdana" w:hAnsi="Verdana" w:cs="Arial"/>
          <w:color w:val="000000"/>
          <w:sz w:val="16"/>
          <w:szCs w:val="16"/>
          <w:lang w:val="es-CO"/>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CONSEJO DE ESTADO, Sección Tercera, Subsección C, Sentencia del 24 de julio de 2013, radicado No. 25.642, </w:t>
      </w:r>
      <w:proofErr w:type="gramStart"/>
      <w:r w:rsidRPr="00224A89">
        <w:rPr>
          <w:rFonts w:ascii="Verdana" w:hAnsi="Verdana" w:cs="Arial"/>
          <w:color w:val="000000"/>
          <w:sz w:val="16"/>
          <w:szCs w:val="16"/>
        </w:rPr>
        <w:t>Consejero</w:t>
      </w:r>
      <w:proofErr w:type="gramEnd"/>
      <w:r w:rsidRPr="00224A89">
        <w:rPr>
          <w:rFonts w:ascii="Verdana" w:hAnsi="Verdana" w:cs="Arial"/>
          <w:color w:val="000000"/>
          <w:sz w:val="16"/>
          <w:szCs w:val="16"/>
        </w:rPr>
        <w:t xml:space="preserve"> Ponente Enrique Gil Botero.</w:t>
      </w:r>
    </w:p>
  </w:footnote>
  <w:footnote w:id="13">
    <w:p w14:paraId="19599413" w14:textId="77777777" w:rsidR="00A05B9F" w:rsidRPr="00224A89" w:rsidRDefault="00A05B9F" w:rsidP="00A05B9F">
      <w:pPr>
        <w:pStyle w:val="NormalWeb"/>
        <w:spacing w:before="0" w:beforeAutospacing="0" w:after="0" w:afterAutospacing="0"/>
        <w:ind w:firstLine="709"/>
        <w:jc w:val="both"/>
        <w:rPr>
          <w:rFonts w:ascii="Verdana" w:hAnsi="Verdana" w:cs="Arial"/>
          <w:color w:val="000000"/>
          <w:sz w:val="16"/>
          <w:szCs w:val="16"/>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Decreto 1082 de 2015 “</w:t>
      </w:r>
      <w:r w:rsidRPr="00224A89">
        <w:rPr>
          <w:rStyle w:val="Fuerte"/>
          <w:rFonts w:ascii="Verdana" w:hAnsi="Verdana" w:cs="Arial"/>
          <w:b w:val="0"/>
          <w:bCs w:val="0"/>
          <w:color w:val="000000"/>
          <w:sz w:val="16"/>
          <w:szCs w:val="16"/>
        </w:rPr>
        <w:t>Artículo 2.2.1.2.1.5.2. </w:t>
      </w:r>
      <w:r w:rsidRPr="00224A89">
        <w:rPr>
          <w:rStyle w:val="nfasis"/>
          <w:rFonts w:ascii="Verdana" w:eastAsia="MS Mincho" w:hAnsi="Verdana" w:cs="Arial"/>
          <w:color w:val="000000"/>
          <w:sz w:val="16"/>
          <w:szCs w:val="16"/>
        </w:rPr>
        <w:t>Procedimiento para la contratación de mínima cuantía. </w:t>
      </w:r>
      <w:r w:rsidRPr="00224A89">
        <w:rPr>
          <w:rFonts w:ascii="Verdana" w:hAnsi="Verdana" w:cs="Arial"/>
          <w:color w:val="000000"/>
          <w:sz w:val="16"/>
          <w:szCs w:val="16"/>
        </w:rPr>
        <w:t>Las siguientes reglas son aplicables a la contratación cuyo valor no excede del 10% de la menor cuantía de la Entidad Estatal, independientemente de su objeto: </w:t>
      </w:r>
    </w:p>
    <w:p w14:paraId="1C9263DD" w14:textId="77777777" w:rsidR="00A05B9F" w:rsidRPr="00224A89" w:rsidRDefault="00A05B9F" w:rsidP="00A05B9F">
      <w:pPr>
        <w:pStyle w:val="NormalWeb"/>
        <w:spacing w:before="0" w:beforeAutospacing="0" w:after="0" w:afterAutospacing="0"/>
        <w:jc w:val="both"/>
        <w:rPr>
          <w:rFonts w:ascii="Verdana" w:hAnsi="Verdana" w:cs="Arial"/>
          <w:color w:val="000000"/>
          <w:sz w:val="16"/>
          <w:szCs w:val="16"/>
        </w:rPr>
      </w:pPr>
      <w:r w:rsidRPr="00224A89">
        <w:rPr>
          <w:rFonts w:ascii="Verdana" w:hAnsi="Verdana" w:cs="Arial"/>
          <w:color w:val="000000"/>
          <w:sz w:val="16"/>
          <w:szCs w:val="16"/>
        </w:rPr>
        <w:t>  </w:t>
      </w:r>
      <w:r w:rsidRPr="00224A89">
        <w:rPr>
          <w:rFonts w:ascii="Verdana" w:hAnsi="Verdana" w:cs="Arial"/>
          <w:color w:val="000000"/>
          <w:sz w:val="16"/>
          <w:szCs w:val="16"/>
        </w:rPr>
        <w:tab/>
        <w:t>1. La Entidad Estatal debe señalar en la invitación a participar en procesos de mínima cuantía la información a la que se refieren los numerales 2, 3 y 4 del artículo anterior, y la forma como el interesado debe acreditar su capacidad jurídica y la experiencia mínima, si se exige esta última, y el cumplimiento de las condiciones técnicas exigidas […]”. </w:t>
      </w:r>
    </w:p>
  </w:footnote>
  <w:footnote w:id="14">
    <w:p w14:paraId="370DC949" w14:textId="77777777" w:rsidR="00A05B9F" w:rsidRPr="00224A89" w:rsidRDefault="00A05B9F" w:rsidP="00A05B9F">
      <w:pPr>
        <w:pStyle w:val="NormalWeb"/>
        <w:spacing w:before="0" w:beforeAutospacing="0" w:after="0" w:afterAutospacing="0"/>
        <w:ind w:firstLine="720"/>
        <w:jc w:val="both"/>
        <w:rPr>
          <w:rFonts w:ascii="Verdana" w:hAnsi="Verdana" w:cs="Arial"/>
          <w:color w:val="000000"/>
          <w:sz w:val="16"/>
          <w:szCs w:val="16"/>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Ley 80 de 1993 “</w:t>
      </w:r>
      <w:r w:rsidRPr="00224A89">
        <w:rPr>
          <w:rStyle w:val="Fuerte"/>
          <w:rFonts w:ascii="Verdana" w:hAnsi="Verdana" w:cs="Arial"/>
          <w:b w:val="0"/>
          <w:bCs w:val="0"/>
          <w:color w:val="000000"/>
          <w:sz w:val="16"/>
          <w:szCs w:val="16"/>
        </w:rPr>
        <w:t>Articulo 39. De la forma del contrato estatal. </w:t>
      </w:r>
      <w:r w:rsidRPr="00224A89">
        <w:rPr>
          <w:rFonts w:ascii="Verdana" w:hAnsi="Verdana" w:cs="Arial"/>
          <w:color w:val="000000"/>
          <w:sz w:val="16"/>
          <w:szCs w:val="16"/>
        </w:rPr>
        <w:t>Los contratos que celebren las entidades estatales constarán por escrito y no requerirán ser elevados a escritura pública, con excepción de aquellos que impliquen mutación del dominio o imposición de gravámenes y servidumbres sobre bienes inmuebles y, en general, aquellos que conforme a las normas legales vigentes deban cumplir con dicha formalidad. </w:t>
      </w:r>
    </w:p>
    <w:p w14:paraId="26EFD19C" w14:textId="77777777" w:rsidR="00A05B9F" w:rsidRPr="00224A89" w:rsidRDefault="00A05B9F" w:rsidP="00A05B9F">
      <w:pPr>
        <w:pStyle w:val="NormalWeb"/>
        <w:spacing w:before="0" w:beforeAutospacing="0" w:after="0" w:afterAutospacing="0"/>
        <w:jc w:val="both"/>
        <w:rPr>
          <w:rFonts w:ascii="Verdana" w:hAnsi="Verdana" w:cs="Arial"/>
          <w:color w:val="000000"/>
          <w:sz w:val="16"/>
          <w:szCs w:val="16"/>
        </w:rPr>
      </w:pPr>
      <w:r w:rsidRPr="00224A89">
        <w:rPr>
          <w:rFonts w:ascii="Verdana" w:hAnsi="Verdana" w:cs="Arial"/>
          <w:color w:val="000000"/>
          <w:sz w:val="16"/>
          <w:szCs w:val="16"/>
        </w:rPr>
        <w:t>  </w:t>
      </w:r>
      <w:r w:rsidRPr="00224A89">
        <w:rPr>
          <w:rFonts w:ascii="Verdana" w:hAnsi="Verdana" w:cs="Arial"/>
          <w:color w:val="000000"/>
          <w:sz w:val="16"/>
          <w:szCs w:val="16"/>
        </w:rPr>
        <w:tab/>
        <w:t>[…]</w:t>
      </w:r>
      <w:bookmarkStart w:id="4" w:name="ver_1790147"/>
      <w:bookmarkStart w:id="5" w:name="ver_30220791"/>
      <w:bookmarkStart w:id="6" w:name="ver_1790148"/>
      <w:bookmarkEnd w:id="4"/>
      <w:bookmarkEnd w:id="5"/>
    </w:p>
    <w:p w14:paraId="59490A36" w14:textId="77777777" w:rsidR="00A05B9F" w:rsidRPr="00224A89" w:rsidRDefault="00A05B9F" w:rsidP="00A05B9F">
      <w:pPr>
        <w:pStyle w:val="NormalWeb"/>
        <w:spacing w:before="0" w:beforeAutospacing="0" w:after="0" w:afterAutospacing="0"/>
        <w:ind w:firstLine="720"/>
        <w:jc w:val="both"/>
        <w:rPr>
          <w:rFonts w:ascii="Verdana" w:hAnsi="Verdana" w:cs="Arial"/>
          <w:color w:val="000000"/>
          <w:sz w:val="16"/>
          <w:szCs w:val="16"/>
        </w:rPr>
      </w:pPr>
      <w:r w:rsidRPr="00224A89">
        <w:rPr>
          <w:rStyle w:val="Fuerte"/>
          <w:rFonts w:ascii="Verdana" w:hAnsi="Verdana" w:cs="Arial"/>
          <w:b w:val="0"/>
          <w:bCs w:val="0"/>
          <w:color w:val="000000"/>
          <w:sz w:val="16"/>
          <w:szCs w:val="16"/>
        </w:rPr>
        <w:t>Artículo 40. Del contenido del contrato estatal.</w:t>
      </w:r>
      <w:r w:rsidRPr="00224A89">
        <w:rPr>
          <w:rFonts w:ascii="Verdana" w:hAnsi="Verdana" w:cs="Arial"/>
          <w:color w:val="000000"/>
          <w:sz w:val="16"/>
          <w:szCs w:val="16"/>
        </w:rPr>
        <w:t xml:space="preserve"> Las estipulaciones de los contratos serán las </w:t>
      </w:r>
      <w:proofErr w:type="gramStart"/>
      <w:r w:rsidRPr="00224A89">
        <w:rPr>
          <w:rFonts w:ascii="Verdana" w:hAnsi="Verdana" w:cs="Arial"/>
          <w:color w:val="000000"/>
          <w:sz w:val="16"/>
          <w:szCs w:val="16"/>
        </w:rPr>
        <w:t>que</w:t>
      </w:r>
      <w:proofErr w:type="gramEnd"/>
      <w:r w:rsidRPr="00224A89">
        <w:rPr>
          <w:rFonts w:ascii="Verdana" w:hAnsi="Verdana" w:cs="Arial"/>
          <w:color w:val="000000"/>
          <w:sz w:val="16"/>
          <w:szCs w:val="16"/>
        </w:rPr>
        <w:t xml:space="preserve"> de acuerdo con las normas civiles, comerciales y las previstas en esta ley, correspondan a su esencia y naturaleza. </w:t>
      </w:r>
    </w:p>
    <w:p w14:paraId="6219B0D4" w14:textId="77777777" w:rsidR="00A05B9F" w:rsidRPr="00224A89" w:rsidRDefault="00A05B9F" w:rsidP="00A05B9F">
      <w:pPr>
        <w:pStyle w:val="NormalWeb"/>
        <w:spacing w:before="0" w:beforeAutospacing="0" w:after="0" w:afterAutospacing="0"/>
        <w:ind w:firstLine="720"/>
        <w:jc w:val="both"/>
        <w:rPr>
          <w:rFonts w:ascii="Verdana" w:hAnsi="Verdana" w:cs="Arial"/>
          <w:color w:val="000000"/>
          <w:sz w:val="16"/>
          <w:szCs w:val="16"/>
        </w:rPr>
      </w:pPr>
      <w:r w:rsidRPr="00224A89">
        <w:rPr>
          <w:rFonts w:ascii="Verdana" w:hAnsi="Verdana" w:cs="Arial"/>
          <w:color w:val="000000"/>
          <w:sz w:val="16"/>
          <w:szCs w:val="16"/>
        </w:rPr>
        <w:t>Las entidades podrán celebrar los contratos y acuerdos que permitan la autonomía de la voluntad y requieran el cumplimiento de los fines estatales. </w:t>
      </w:r>
    </w:p>
    <w:p w14:paraId="0EA18E7C" w14:textId="77777777" w:rsidR="00A05B9F" w:rsidRPr="00224A89" w:rsidRDefault="00A05B9F" w:rsidP="00A05B9F">
      <w:pPr>
        <w:pStyle w:val="NormalWeb"/>
        <w:spacing w:before="0" w:beforeAutospacing="0" w:after="0" w:afterAutospacing="0"/>
        <w:jc w:val="both"/>
        <w:rPr>
          <w:rFonts w:ascii="Verdana" w:hAnsi="Verdana" w:cs="Arial"/>
          <w:color w:val="000000"/>
          <w:sz w:val="16"/>
          <w:szCs w:val="16"/>
        </w:rPr>
      </w:pPr>
      <w:r w:rsidRPr="00224A89">
        <w:rPr>
          <w:rFonts w:ascii="Verdana" w:hAnsi="Verdana" w:cs="Arial"/>
          <w:color w:val="000000"/>
          <w:sz w:val="16"/>
          <w:szCs w:val="16"/>
        </w:rPr>
        <w:t>  </w:t>
      </w:r>
      <w:r w:rsidRPr="00224A89">
        <w:rPr>
          <w:rFonts w:ascii="Verdana" w:hAnsi="Verdana" w:cs="Arial"/>
          <w:color w:val="000000"/>
          <w:sz w:val="16"/>
          <w:szCs w:val="16"/>
        </w:rPr>
        <w:tab/>
        <w:t>[…]  </w:t>
      </w:r>
    </w:p>
    <w:p w14:paraId="66E3D9E0" w14:textId="77777777" w:rsidR="00A05B9F" w:rsidRPr="00224A89" w:rsidRDefault="00A05B9F" w:rsidP="00A05B9F">
      <w:pPr>
        <w:pStyle w:val="NormalWeb"/>
        <w:spacing w:before="0" w:beforeAutospacing="0" w:after="0" w:afterAutospacing="0"/>
        <w:ind w:firstLine="720"/>
        <w:jc w:val="both"/>
        <w:rPr>
          <w:rFonts w:ascii="Verdana" w:hAnsi="Verdana" w:cs="Arial"/>
          <w:color w:val="000000"/>
          <w:sz w:val="16"/>
          <w:szCs w:val="16"/>
        </w:rPr>
      </w:pPr>
      <w:bookmarkStart w:id="7" w:name="ver_30161420"/>
      <w:bookmarkStart w:id="8" w:name="ver_1790149"/>
      <w:bookmarkStart w:id="9" w:name="ver_30161408"/>
      <w:bookmarkStart w:id="10" w:name="ver_30161443"/>
      <w:bookmarkEnd w:id="6"/>
      <w:bookmarkEnd w:id="7"/>
      <w:bookmarkEnd w:id="8"/>
      <w:bookmarkEnd w:id="9"/>
      <w:bookmarkEnd w:id="10"/>
      <w:r w:rsidRPr="00224A89">
        <w:rPr>
          <w:rStyle w:val="Fuerte"/>
          <w:rFonts w:ascii="Verdana" w:hAnsi="Verdana" w:cs="Arial"/>
          <w:b w:val="0"/>
          <w:bCs w:val="0"/>
          <w:color w:val="000000"/>
          <w:sz w:val="16"/>
          <w:szCs w:val="16"/>
        </w:rPr>
        <w:t>Artículo 41. Del perfeccionamiento del contrato.</w:t>
      </w:r>
      <w:r w:rsidRPr="00224A89">
        <w:rPr>
          <w:rFonts w:ascii="Verdana" w:hAnsi="Verdana" w:cs="Arial"/>
          <w:color w:val="000000"/>
          <w:sz w:val="16"/>
          <w:szCs w:val="16"/>
        </w:rPr>
        <w:t> Los contratos del Estado se perfeccionan cuando se logre acuerdo sobre el objeto y la contraprestación y éste se eleve a escrito […]”.</w:t>
      </w:r>
    </w:p>
  </w:footnote>
  <w:footnote w:id="15">
    <w:p w14:paraId="4E2A545F" w14:textId="77777777" w:rsidR="00A05B9F" w:rsidRPr="00224A89" w:rsidRDefault="00A05B9F" w:rsidP="00A05B9F">
      <w:pPr>
        <w:pStyle w:val="Textonotapie"/>
        <w:ind w:firstLine="709"/>
        <w:jc w:val="both"/>
        <w:rPr>
          <w:rFonts w:ascii="Verdana" w:hAnsi="Verdana" w:cs="Arial"/>
          <w:color w:val="000000"/>
          <w:sz w:val="16"/>
          <w:szCs w:val="16"/>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Ley 80 de 1993 “</w:t>
      </w:r>
      <w:r w:rsidRPr="00224A89">
        <w:rPr>
          <w:rStyle w:val="Fuerte"/>
          <w:rFonts w:ascii="Verdana" w:hAnsi="Verdana" w:cs="Arial"/>
          <w:b w:val="0"/>
          <w:bCs w:val="0"/>
          <w:color w:val="000000"/>
          <w:sz w:val="16"/>
          <w:szCs w:val="16"/>
        </w:rPr>
        <w:t>Artículo 77. De la normatividad aplicable en las actuaciones administrativas.</w:t>
      </w:r>
      <w:r w:rsidRPr="00224A89">
        <w:rPr>
          <w:rFonts w:ascii="Verdana" w:hAnsi="Verdana" w:cs="Arial"/>
          <w:color w:val="000000"/>
          <w:sz w:val="16"/>
          <w:szCs w:val="16"/>
        </w:rPr>
        <w:t xml:space="preserve"> En cuanto sean compatibles con la finalidad y los principios de esta ley, las normas que rigen los procedimientos y actuaciones en la función </w:t>
      </w:r>
      <w:proofErr w:type="gramStart"/>
      <w:r w:rsidRPr="00224A89">
        <w:rPr>
          <w:rFonts w:ascii="Verdana" w:hAnsi="Verdana" w:cs="Arial"/>
          <w:color w:val="000000"/>
          <w:sz w:val="16"/>
          <w:szCs w:val="16"/>
        </w:rPr>
        <w:t>administrativa,</w:t>
      </w:r>
      <w:proofErr w:type="gramEnd"/>
      <w:r w:rsidRPr="00224A89">
        <w:rPr>
          <w:rFonts w:ascii="Verdana" w:hAnsi="Verdana" w:cs="Arial"/>
          <w:color w:val="000000"/>
          <w:sz w:val="16"/>
          <w:szCs w:val="16"/>
        </w:rPr>
        <w:t xml:space="preserve"> serán aplicables en las actuaciones contractuales. A falta de estas, regirán las disposiciones del Código de Procedimiento Civil […]”. </w:t>
      </w:r>
    </w:p>
  </w:footnote>
  <w:footnote w:id="16">
    <w:p w14:paraId="48F38CDD" w14:textId="77777777" w:rsidR="00A05B9F" w:rsidRPr="00224A89" w:rsidRDefault="00A05B9F" w:rsidP="00A05B9F">
      <w:pPr>
        <w:pStyle w:val="NormalWeb"/>
        <w:spacing w:before="0" w:beforeAutospacing="0" w:after="0" w:afterAutospacing="0"/>
        <w:ind w:firstLine="709"/>
        <w:jc w:val="both"/>
        <w:rPr>
          <w:rFonts w:ascii="Verdana" w:hAnsi="Verdana" w:cs="Arial"/>
          <w:color w:val="000000"/>
          <w:sz w:val="16"/>
          <w:szCs w:val="16"/>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Ley 80 de 1993 “</w:t>
      </w:r>
      <w:r w:rsidRPr="00224A89">
        <w:rPr>
          <w:rStyle w:val="Fuerte"/>
          <w:rFonts w:ascii="Verdana" w:hAnsi="Verdana" w:cs="Arial"/>
          <w:b w:val="0"/>
          <w:bCs w:val="0"/>
          <w:color w:val="000000"/>
          <w:sz w:val="16"/>
          <w:szCs w:val="16"/>
        </w:rPr>
        <w:t>Artículo 25. Del principio de economía.</w:t>
      </w:r>
      <w:r w:rsidRPr="00224A89">
        <w:rPr>
          <w:rFonts w:ascii="Verdana" w:hAnsi="Verdana" w:cs="Arial"/>
          <w:color w:val="000000"/>
          <w:sz w:val="16"/>
          <w:szCs w:val="16"/>
        </w:rPr>
        <w:t> En virtud de este principio: </w:t>
      </w:r>
    </w:p>
    <w:p w14:paraId="426FD7A5" w14:textId="77777777" w:rsidR="00A05B9F" w:rsidRPr="00224A89" w:rsidRDefault="00A05B9F" w:rsidP="00A05B9F">
      <w:pPr>
        <w:pStyle w:val="NormalWeb"/>
        <w:spacing w:before="0" w:beforeAutospacing="0" w:after="0" w:afterAutospacing="0"/>
        <w:ind w:firstLine="709"/>
        <w:jc w:val="both"/>
        <w:rPr>
          <w:rFonts w:ascii="Verdana" w:hAnsi="Verdana" w:cs="Arial"/>
          <w:color w:val="000000"/>
          <w:sz w:val="16"/>
          <w:szCs w:val="16"/>
        </w:rPr>
      </w:pPr>
      <w:r w:rsidRPr="00224A89">
        <w:rPr>
          <w:rFonts w:ascii="Verdana" w:hAnsi="Verdana" w:cs="Arial"/>
          <w:color w:val="000000"/>
          <w:sz w:val="16"/>
          <w:szCs w:val="16"/>
        </w:rPr>
        <w:t>[…]</w:t>
      </w:r>
    </w:p>
    <w:p w14:paraId="57B0BB38" w14:textId="77777777" w:rsidR="00A05B9F" w:rsidRPr="00224A89" w:rsidRDefault="00A05B9F" w:rsidP="00A05B9F">
      <w:pPr>
        <w:pStyle w:val="NormalWeb"/>
        <w:spacing w:before="0" w:beforeAutospacing="0" w:after="0" w:afterAutospacing="0"/>
        <w:ind w:firstLine="709"/>
        <w:jc w:val="both"/>
        <w:rPr>
          <w:rFonts w:ascii="Verdana" w:hAnsi="Verdana" w:cs="Arial"/>
          <w:color w:val="000000"/>
          <w:sz w:val="16"/>
          <w:szCs w:val="16"/>
        </w:rPr>
      </w:pPr>
      <w:r w:rsidRPr="00224A89">
        <w:rPr>
          <w:rFonts w:ascii="Verdana" w:hAnsi="Verdana" w:cs="Arial"/>
          <w:color w:val="000000"/>
          <w:sz w:val="16"/>
          <w:szCs w:val="16"/>
        </w:rPr>
        <w:t>4o. Los trámites se adelantarán con austeridad de tiempo, medios y gastos y se impedirán las dilaciones y los retardos en la ejecución del contrato. </w:t>
      </w:r>
    </w:p>
    <w:p w14:paraId="320B2ADC" w14:textId="77777777" w:rsidR="00A05B9F" w:rsidRPr="00224A89" w:rsidRDefault="00A05B9F" w:rsidP="00A05B9F">
      <w:pPr>
        <w:pStyle w:val="NormalWeb"/>
        <w:spacing w:before="0" w:beforeAutospacing="0" w:after="0" w:afterAutospacing="0"/>
        <w:jc w:val="both"/>
        <w:rPr>
          <w:rFonts w:ascii="Verdana" w:hAnsi="Verdana" w:cs="Arial"/>
          <w:color w:val="000000"/>
          <w:sz w:val="16"/>
          <w:szCs w:val="16"/>
        </w:rPr>
      </w:pPr>
      <w:r w:rsidRPr="00224A89">
        <w:rPr>
          <w:rFonts w:ascii="Verdana" w:hAnsi="Verdana" w:cs="Arial"/>
          <w:color w:val="000000"/>
          <w:sz w:val="16"/>
          <w:szCs w:val="16"/>
        </w:rPr>
        <w:t>  </w:t>
      </w:r>
      <w:r w:rsidRPr="00224A89">
        <w:rPr>
          <w:rFonts w:ascii="Verdana" w:hAnsi="Verdana" w:cs="Arial"/>
          <w:color w:val="000000"/>
          <w:sz w:val="16"/>
          <w:szCs w:val="16"/>
        </w:rPr>
        <w:tab/>
        <w:t>5o. Se adoptarán procedimientos que garanticen la pronta solución de las diferencias y controversias que con motivo de la celebración y ejecución del contrato se presenten […]”.</w:t>
      </w:r>
    </w:p>
  </w:footnote>
  <w:footnote w:id="17">
    <w:p w14:paraId="717819C1" w14:textId="77777777" w:rsidR="00A05B9F" w:rsidRPr="00224A89" w:rsidRDefault="00A05B9F" w:rsidP="00A05B9F">
      <w:pPr>
        <w:pStyle w:val="Textonotapie"/>
        <w:ind w:firstLine="708"/>
        <w:jc w:val="both"/>
        <w:rPr>
          <w:rFonts w:ascii="Verdana" w:hAnsi="Verdana" w:cs="Arial"/>
          <w:color w:val="000000"/>
          <w:sz w:val="16"/>
          <w:szCs w:val="16"/>
          <w:lang w:val="es-ES"/>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COLOMBIA COMPRA EFICIENTE. Guía para la Liquidación de los Procesos de Contratación. página 5, disponible en: </w:t>
      </w:r>
      <w:hyperlink r:id="rId1" w:history="1">
        <w:r w:rsidRPr="00224A89">
          <w:rPr>
            <w:rStyle w:val="Hipervnculo"/>
            <w:rFonts w:ascii="Verdana" w:hAnsi="Verdana" w:cs="Arial"/>
            <w:sz w:val="16"/>
            <w:szCs w:val="16"/>
          </w:rPr>
          <w:t xml:space="preserve">https://www.colombiacompra.gov.co/sites/cce_public/files/cce_documents/cce_guia_liquidacion_procesos.pdf  </w:t>
        </w:r>
      </w:hyperlink>
    </w:p>
  </w:footnote>
  <w:footnote w:id="18">
    <w:p w14:paraId="2780E72B" w14:textId="77777777" w:rsidR="00A05B9F" w:rsidRPr="00224A89" w:rsidRDefault="00A05B9F" w:rsidP="00A05B9F">
      <w:pPr>
        <w:pStyle w:val="Textonotapie"/>
        <w:ind w:firstLine="708"/>
        <w:jc w:val="both"/>
        <w:rPr>
          <w:rFonts w:ascii="Verdana" w:hAnsi="Verdana" w:cs="Arial"/>
          <w:color w:val="000000"/>
          <w:sz w:val="16"/>
          <w:szCs w:val="16"/>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Conviene recordar que es válida la liquidación bilateral parcial, debido a que las partes no logran ponerse de acuerdo en todos los asuntos referentes al contrato. En este evento, se debe hacer uso de las glosas o salvedades, y únicamente sobre tal glosa o salvedad girará el debate judicial que se da con ocasión de la demanda en ejercicio del medio de control de controversias contractuales.</w:t>
      </w:r>
    </w:p>
  </w:footnote>
  <w:footnote w:id="19">
    <w:p w14:paraId="17311F63" w14:textId="77777777" w:rsidR="00A05B9F" w:rsidRPr="00224A89" w:rsidRDefault="00A05B9F" w:rsidP="00A05B9F">
      <w:pPr>
        <w:pStyle w:val="Textonotapie"/>
        <w:ind w:firstLine="708"/>
        <w:jc w:val="both"/>
        <w:rPr>
          <w:rFonts w:ascii="Verdana" w:hAnsi="Verdana" w:cs="Arial"/>
          <w:color w:val="000000"/>
          <w:sz w:val="16"/>
          <w:szCs w:val="16"/>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CONSEJO DE ESTADO. Sala de Consulta y Servicio Civil. Concepto de 28 de </w:t>
      </w:r>
      <w:proofErr w:type="gramStart"/>
      <w:r w:rsidRPr="00224A89">
        <w:rPr>
          <w:rFonts w:ascii="Verdana" w:hAnsi="Verdana" w:cs="Arial"/>
          <w:color w:val="000000"/>
          <w:sz w:val="16"/>
          <w:szCs w:val="16"/>
        </w:rPr>
        <w:t>Junio</w:t>
      </w:r>
      <w:proofErr w:type="gramEnd"/>
      <w:r w:rsidRPr="00224A89">
        <w:rPr>
          <w:rFonts w:ascii="Verdana" w:hAnsi="Verdana" w:cs="Arial"/>
          <w:color w:val="000000"/>
          <w:sz w:val="16"/>
          <w:szCs w:val="16"/>
        </w:rPr>
        <w:t xml:space="preserve"> de 2016. Radicación: 2253. C.P. Álvaro Namén Vargas. </w:t>
      </w:r>
    </w:p>
  </w:footnote>
  <w:footnote w:id="20">
    <w:p w14:paraId="528DC65F" w14:textId="77777777" w:rsidR="00A05B9F" w:rsidRPr="00224A89" w:rsidRDefault="00A05B9F" w:rsidP="00A05B9F">
      <w:pPr>
        <w:pStyle w:val="Textonotapie"/>
        <w:ind w:firstLine="708"/>
        <w:jc w:val="both"/>
        <w:rPr>
          <w:rFonts w:ascii="Verdana" w:hAnsi="Verdana"/>
          <w:color w:val="000000"/>
          <w:sz w:val="16"/>
          <w:szCs w:val="16"/>
          <w:lang w:val="es-ES"/>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CONSEJO DE ESTADO. Sección Tercera. </w:t>
      </w:r>
      <w:r w:rsidRPr="00224A89">
        <w:rPr>
          <w:rFonts w:ascii="Verdana" w:hAnsi="Verdana" w:cs="Arial"/>
          <w:color w:val="000000"/>
          <w:sz w:val="16"/>
          <w:szCs w:val="16"/>
          <w:lang w:val="es-CO"/>
        </w:rPr>
        <w:t xml:space="preserve">Sala Plena. Auto del 1 de agosto de 2019. </w:t>
      </w:r>
      <w:r w:rsidRPr="00224A89">
        <w:rPr>
          <w:rFonts w:ascii="Verdana" w:hAnsi="Verdana" w:cs="Arial"/>
          <w:color w:val="000000"/>
          <w:sz w:val="16"/>
          <w:szCs w:val="16"/>
        </w:rPr>
        <w:t xml:space="preserve">Exp. 62009. C.P. Jaime Enrique Rodríguez Navas. </w:t>
      </w:r>
      <w:r w:rsidRPr="00224A89">
        <w:rPr>
          <w:rFonts w:ascii="Verdana" w:hAnsi="Verdana"/>
          <w:color w:val="000000"/>
          <w:sz w:val="16"/>
          <w:szCs w:val="16"/>
          <w:lang w:val="es-ES"/>
        </w:rPr>
        <w:t xml:space="preserve"> </w:t>
      </w:r>
    </w:p>
  </w:footnote>
  <w:footnote w:id="21">
    <w:p w14:paraId="24000733" w14:textId="77777777" w:rsidR="00A05B9F" w:rsidRPr="00224A89" w:rsidRDefault="00A05B9F" w:rsidP="00A05B9F">
      <w:pPr>
        <w:pStyle w:val="Textonotapie"/>
        <w:ind w:firstLine="708"/>
        <w:jc w:val="both"/>
        <w:rPr>
          <w:rFonts w:ascii="Verdana" w:hAnsi="Verdana" w:cs="Arial"/>
          <w:sz w:val="16"/>
          <w:szCs w:val="16"/>
        </w:rPr>
      </w:pPr>
      <w:r w:rsidRPr="00224A89">
        <w:rPr>
          <w:rStyle w:val="Refdenotaalpie"/>
          <w:rFonts w:ascii="Verdana" w:hAnsi="Verdana" w:cs="Arial"/>
          <w:sz w:val="16"/>
          <w:szCs w:val="16"/>
        </w:rPr>
        <w:footnoteRef/>
      </w:r>
      <w:r w:rsidRPr="00224A89">
        <w:rPr>
          <w:rFonts w:ascii="Verdana" w:hAnsi="Verdana" w:cs="Arial"/>
          <w:sz w:val="16"/>
          <w:szCs w:val="16"/>
        </w:rPr>
        <w:t xml:space="preserve"> DÍAZ DÍEZ, La liquidación… Op. cit., pp. 255-256.</w:t>
      </w:r>
    </w:p>
  </w:footnote>
  <w:footnote w:id="22">
    <w:p w14:paraId="3020FD74" w14:textId="77777777" w:rsidR="00A05B9F" w:rsidRPr="00224A89" w:rsidRDefault="00A05B9F" w:rsidP="00A05B9F">
      <w:pPr>
        <w:spacing w:after="0"/>
        <w:ind w:firstLine="708"/>
        <w:jc w:val="both"/>
        <w:rPr>
          <w:rFonts w:ascii="Verdana" w:hAnsi="Verdana" w:cs="Arial"/>
          <w:color w:val="000000" w:themeColor="text1"/>
          <w:sz w:val="16"/>
          <w:szCs w:val="16"/>
          <w:lang w:val="es-MX"/>
        </w:rPr>
      </w:pPr>
      <w:r w:rsidRPr="00224A89">
        <w:rPr>
          <w:rFonts w:ascii="Verdana" w:hAnsi="Verdana" w:cs="Arial"/>
          <w:color w:val="000000" w:themeColor="text1"/>
          <w:sz w:val="16"/>
          <w:szCs w:val="16"/>
          <w:vertAlign w:val="superscript"/>
        </w:rPr>
        <w:footnoteRef/>
      </w:r>
      <w:r w:rsidRPr="00224A89">
        <w:rPr>
          <w:rFonts w:ascii="Verdana" w:hAnsi="Verdana" w:cs="Arial"/>
          <w:color w:val="000000" w:themeColor="text1"/>
          <w:sz w:val="16"/>
          <w:szCs w:val="16"/>
        </w:rPr>
        <w:t xml:space="preserve"> La Sala de Consulta y Servicio Civil del Consejo de Estado, en concepto del 8 de marzo de 2017, radicado No. 2.298, y con ponencia del Consejero Édgar González, manifestó respecto del trámite del cierre del expediente del Proceso de Contratación que: </w:t>
      </w:r>
      <w:r>
        <w:rPr>
          <w:rFonts w:ascii="Verdana" w:hAnsi="Verdana" w:cs="Arial"/>
          <w:color w:val="000000" w:themeColor="text1"/>
          <w:sz w:val="16"/>
          <w:szCs w:val="16"/>
        </w:rPr>
        <w:t>“</w:t>
      </w:r>
      <w:r w:rsidRPr="00224A89">
        <w:rPr>
          <w:rFonts w:ascii="Verdana" w:hAnsi="Verdana" w:cs="Arial"/>
          <w:color w:val="000000" w:themeColor="text1"/>
          <w:sz w:val="16"/>
          <w:szCs w:val="16"/>
        </w:rPr>
        <w:t>[…] procede cuando se ha efectuado la liquidación del contrato, a efectos de dejar las constancias sobre el vencimiento de las garantías y la condición de los bienes y obras desde la perspectiva ambiental, y también en los casos en los cuales no se haya efectuado dicha liquidación, a efectos de dejar constancia sobre el punto final de la actuación contractual</w:t>
      </w:r>
      <w:r>
        <w:rPr>
          <w:rFonts w:ascii="Verdana" w:hAnsi="Verdana" w:cs="Arial"/>
          <w:color w:val="000000" w:themeColor="text1"/>
          <w:sz w:val="16"/>
          <w:szCs w:val="16"/>
        </w:rPr>
        <w:t>”</w:t>
      </w:r>
      <w:r w:rsidRPr="00224A89">
        <w:rPr>
          <w:rFonts w:ascii="Verdana" w:hAnsi="Verdana" w:cs="Arial"/>
          <w:color w:val="000000" w:themeColor="text1"/>
          <w:sz w:val="16"/>
          <w:szCs w:val="16"/>
        </w:rPr>
        <w:t>.</w:t>
      </w:r>
    </w:p>
  </w:footnote>
  <w:footnote w:id="23">
    <w:p w14:paraId="7CA82161" w14:textId="77777777" w:rsidR="00A05B9F" w:rsidRPr="00224A89" w:rsidRDefault="00A05B9F" w:rsidP="00A05B9F">
      <w:pPr>
        <w:pStyle w:val="Textonotapie"/>
        <w:ind w:firstLine="708"/>
        <w:jc w:val="both"/>
        <w:rPr>
          <w:rFonts w:ascii="Verdana" w:hAnsi="Verdana" w:cs="Arial"/>
          <w:color w:val="000000" w:themeColor="text1"/>
          <w:sz w:val="16"/>
          <w:szCs w:val="16"/>
        </w:rPr>
      </w:pPr>
      <w:r w:rsidRPr="00224A89">
        <w:rPr>
          <w:rStyle w:val="Refdenotaalpie"/>
          <w:rFonts w:ascii="Verdana" w:hAnsi="Verdana" w:cs="Arial"/>
          <w:color w:val="000000" w:themeColor="text1"/>
          <w:sz w:val="16"/>
          <w:szCs w:val="16"/>
        </w:rPr>
        <w:footnoteRef/>
      </w:r>
      <w:r w:rsidRPr="00224A89">
        <w:rPr>
          <w:rFonts w:ascii="Verdana" w:hAnsi="Verdana" w:cs="Arial"/>
          <w:color w:val="000000" w:themeColor="text1"/>
          <w:sz w:val="16"/>
          <w:szCs w:val="16"/>
        </w:rPr>
        <w:t xml:space="preserve"> En términos generales, se concluyó: </w:t>
      </w:r>
      <w:r>
        <w:rPr>
          <w:rFonts w:ascii="Verdana" w:hAnsi="Verdana" w:cs="Arial"/>
          <w:color w:val="000000" w:themeColor="text1"/>
          <w:sz w:val="16"/>
          <w:szCs w:val="16"/>
        </w:rPr>
        <w:t>“</w:t>
      </w:r>
      <w:r w:rsidRPr="00224A89">
        <w:rPr>
          <w:rFonts w:ascii="Verdana" w:hAnsi="Verdana" w:cs="Arial"/>
          <w:color w:val="000000" w:themeColor="text1"/>
          <w:sz w:val="16"/>
          <w:szCs w:val="16"/>
        </w:rPr>
        <w:t>[…]</w:t>
      </w:r>
      <w:r>
        <w:rPr>
          <w:rFonts w:ascii="Verdana" w:hAnsi="Verdana" w:cs="Arial"/>
          <w:color w:val="000000" w:themeColor="text1"/>
          <w:sz w:val="16"/>
          <w:szCs w:val="16"/>
        </w:rPr>
        <w:t xml:space="preserve"> </w:t>
      </w:r>
      <w:r w:rsidRPr="00224A89">
        <w:rPr>
          <w:rFonts w:ascii="Verdana" w:hAnsi="Verdana" w:cs="Arial"/>
          <w:color w:val="000000" w:themeColor="text1"/>
          <w:sz w:val="16"/>
          <w:szCs w:val="16"/>
        </w:rPr>
        <w:t>8.4.- En el caso concreto se concluyó que el precepto reglamentario no desconocía, trasgredía o modificaba el inciso cuarto del artículo 60 de la Ley 80 de 1993. Se determinó que la exigencia establecida en el artículo demandado se dirige únicamente a la Administración, no compromete o afecta situaciones jurídicas de terceros ajenos a la Administración e implica el deber de dejar constancia o atestiguar una situación o estado de cosas ocurrido en el iter posterior a la liquidación.</w:t>
      </w:r>
    </w:p>
    <w:p w14:paraId="59158910" w14:textId="77777777" w:rsidR="00A05B9F" w:rsidRPr="00224A89" w:rsidRDefault="00A05B9F" w:rsidP="00A05B9F">
      <w:pPr>
        <w:pStyle w:val="Textonotapie"/>
        <w:ind w:firstLine="708"/>
        <w:jc w:val="both"/>
        <w:rPr>
          <w:rFonts w:ascii="Verdana" w:hAnsi="Verdana" w:cs="Arial"/>
          <w:color w:val="000000" w:themeColor="text1"/>
          <w:sz w:val="16"/>
          <w:szCs w:val="16"/>
        </w:rPr>
      </w:pPr>
      <w:r w:rsidRPr="00224A89">
        <w:rPr>
          <w:rFonts w:ascii="Verdana" w:hAnsi="Verdana" w:cs="Arial"/>
          <w:color w:val="000000" w:themeColor="text1"/>
          <w:sz w:val="16"/>
          <w:szCs w:val="16"/>
        </w:rPr>
        <w:t>[…]</w:t>
      </w:r>
    </w:p>
    <w:p w14:paraId="2A380A59" w14:textId="77777777" w:rsidR="00A05B9F" w:rsidRPr="00224A89" w:rsidRDefault="00A05B9F" w:rsidP="00A05B9F">
      <w:pPr>
        <w:pStyle w:val="Textonotapie"/>
        <w:ind w:firstLine="708"/>
        <w:jc w:val="both"/>
        <w:rPr>
          <w:rFonts w:ascii="Verdana" w:hAnsi="Verdana" w:cs="Arial"/>
          <w:color w:val="000000" w:themeColor="text1"/>
          <w:sz w:val="16"/>
          <w:szCs w:val="16"/>
        </w:rPr>
      </w:pPr>
      <w:r w:rsidRPr="00224A89">
        <w:rPr>
          <w:rFonts w:ascii="Verdana" w:hAnsi="Verdana" w:cs="Arial"/>
          <w:color w:val="000000" w:themeColor="text1"/>
          <w:sz w:val="16"/>
          <w:szCs w:val="16"/>
        </w:rPr>
        <w:t>8.5.- Concluyó la Sala que la norma enjuiciada comprendía una regulación propia de la esfera intraorgánica que, inclusive, no demandaba regulación expresa, y no afectaba, alteraba o modificaba ninguna cuestión propia de la etapa liquidatoria. En consecuencia, no se encontró probado un exceso de competencia del Gobierno Nacional en el sub judice</w:t>
      </w:r>
      <w:r>
        <w:rPr>
          <w:rFonts w:ascii="Verdana" w:hAnsi="Verdana" w:cs="Arial"/>
          <w:color w:val="000000" w:themeColor="text1"/>
          <w:sz w:val="16"/>
          <w:szCs w:val="16"/>
        </w:rPr>
        <w:t>”.</w:t>
      </w:r>
    </w:p>
  </w:footnote>
  <w:footnote w:id="24">
    <w:p w14:paraId="42F1C283" w14:textId="77777777" w:rsidR="00A05B9F" w:rsidRPr="00224A89" w:rsidRDefault="00A05B9F" w:rsidP="00A05B9F">
      <w:pPr>
        <w:pStyle w:val="Textonotapie"/>
        <w:ind w:firstLine="708"/>
        <w:jc w:val="both"/>
        <w:rPr>
          <w:rFonts w:ascii="Verdana" w:hAnsi="Verdana" w:cs="Arial"/>
          <w:color w:val="000000" w:themeColor="text1"/>
          <w:sz w:val="16"/>
          <w:szCs w:val="16"/>
          <w:lang w:val="es-ES"/>
        </w:rPr>
      </w:pPr>
      <w:r w:rsidRPr="00224A89">
        <w:rPr>
          <w:rStyle w:val="Refdenotaalpie"/>
          <w:rFonts w:ascii="Verdana" w:hAnsi="Verdana" w:cs="Arial"/>
          <w:color w:val="000000" w:themeColor="text1"/>
          <w:sz w:val="16"/>
          <w:szCs w:val="16"/>
        </w:rPr>
        <w:footnoteRef/>
      </w:r>
      <w:r w:rsidRPr="00224A89">
        <w:rPr>
          <w:rFonts w:ascii="Verdana" w:hAnsi="Verdana" w:cs="Arial"/>
          <w:color w:val="000000" w:themeColor="text1"/>
          <w:sz w:val="16"/>
          <w:szCs w:val="16"/>
        </w:rPr>
        <w:t xml:space="preserve"> Consejo de Estado. Sección Tercera. Subsección C. Radicado No. 11001-03-26-000-2015-00165-00. Número interno 55.813. M.P. Jaime Orlando Santofimio Gamboa. Sentencia del 10 de octubre de 2016.</w:t>
      </w:r>
    </w:p>
  </w:footnote>
  <w:footnote w:id="25">
    <w:p w14:paraId="4FBFEEAF" w14:textId="77777777" w:rsidR="00A05B9F" w:rsidRPr="004F612A" w:rsidRDefault="00A05B9F" w:rsidP="00A05B9F">
      <w:pPr>
        <w:pStyle w:val="Textonotapie"/>
        <w:ind w:firstLine="708"/>
        <w:jc w:val="both"/>
        <w:rPr>
          <w:rFonts w:ascii="Verdana" w:hAnsi="Verdana" w:cs="Arial"/>
          <w:sz w:val="16"/>
          <w:szCs w:val="16"/>
        </w:rPr>
      </w:pPr>
      <w:r w:rsidRPr="00224A89">
        <w:rPr>
          <w:rStyle w:val="Refdenotaalpie"/>
          <w:rFonts w:ascii="Verdana" w:hAnsi="Verdana" w:cs="Arial"/>
          <w:sz w:val="16"/>
          <w:szCs w:val="16"/>
        </w:rPr>
        <w:footnoteRef/>
      </w:r>
      <w:r w:rsidRPr="00224A89">
        <w:rPr>
          <w:rFonts w:ascii="Verdana" w:hAnsi="Verdana" w:cs="Arial"/>
          <w:sz w:val="16"/>
          <w:szCs w:val="16"/>
        </w:rPr>
        <w:t xml:space="preserve"> Agencia Nacional de Contratación Pública – Colombia Compra Eficiente. Concepto CU-028 del 25 de febrero de 2020. Radicado de entrada No. 4202013000000460. Radicado de salida No. 2202013000001282.</w:t>
      </w:r>
    </w:p>
  </w:footnote>
  <w:footnote w:id="26">
    <w:p w14:paraId="11349A46" w14:textId="77777777" w:rsidR="00A05B9F" w:rsidRPr="001D6F6E" w:rsidRDefault="00A05B9F" w:rsidP="00A05B9F">
      <w:pPr>
        <w:pStyle w:val="Textonotapie"/>
        <w:ind w:firstLine="708"/>
        <w:jc w:val="both"/>
        <w:rPr>
          <w:rFonts w:ascii="Verdana" w:hAnsi="Verdana" w:cs="Arial"/>
          <w:sz w:val="16"/>
          <w:szCs w:val="16"/>
        </w:rPr>
      </w:pPr>
      <w:r w:rsidRPr="00224A89">
        <w:rPr>
          <w:rStyle w:val="Refdenotaalpie"/>
          <w:rFonts w:ascii="Verdana" w:hAnsi="Verdana" w:cs="Arial"/>
          <w:sz w:val="16"/>
          <w:szCs w:val="16"/>
        </w:rPr>
        <w:footnoteRef/>
      </w:r>
      <w:r w:rsidRPr="00224A89">
        <w:rPr>
          <w:rFonts w:ascii="Verdana" w:hAnsi="Verdana" w:cs="Arial"/>
          <w:sz w:val="16"/>
          <w:szCs w:val="16"/>
        </w:rPr>
        <w:t xml:space="preserve"> </w:t>
      </w:r>
      <w:r w:rsidRPr="00224A89">
        <w:rPr>
          <w:rFonts w:ascii="Verdana" w:hAnsi="Verdana" w:cs="Arial"/>
          <w:i/>
          <w:iCs/>
          <w:sz w:val="16"/>
          <w:szCs w:val="16"/>
        </w:rPr>
        <w:t>Ibídem</w:t>
      </w:r>
      <w:r w:rsidRPr="00224A89">
        <w:rPr>
          <w:rFonts w:ascii="Verdana" w:hAnsi="Verdana" w:cs="Arial"/>
          <w:sz w:val="16"/>
          <w:szCs w:val="16"/>
        </w:rPr>
        <w:t>.</w:t>
      </w:r>
    </w:p>
  </w:footnote>
  <w:footnote w:id="27">
    <w:p w14:paraId="2A0F3C15" w14:textId="77777777" w:rsidR="00A05B9F" w:rsidRPr="001D6F6E" w:rsidRDefault="00A05B9F" w:rsidP="00A05B9F">
      <w:pPr>
        <w:pStyle w:val="Textonotapie"/>
        <w:ind w:firstLine="708"/>
        <w:jc w:val="both"/>
        <w:rPr>
          <w:rFonts w:ascii="Verdana" w:hAnsi="Verdana" w:cs="Arial"/>
          <w:bCs/>
          <w:sz w:val="16"/>
          <w:szCs w:val="16"/>
        </w:rPr>
      </w:pPr>
      <w:r w:rsidRPr="00224A89">
        <w:rPr>
          <w:rStyle w:val="Refdenotaalpie"/>
          <w:rFonts w:ascii="Verdana" w:hAnsi="Verdana" w:cs="Arial"/>
          <w:sz w:val="16"/>
          <w:szCs w:val="16"/>
        </w:rPr>
        <w:footnoteRef/>
      </w:r>
      <w:r w:rsidRPr="00224A89">
        <w:rPr>
          <w:rFonts w:ascii="Verdana" w:hAnsi="Verdana" w:cs="Arial"/>
          <w:sz w:val="16"/>
          <w:szCs w:val="16"/>
        </w:rPr>
        <w:t xml:space="preserve"> En este concepto se manifestó </w:t>
      </w:r>
      <w:r>
        <w:rPr>
          <w:rFonts w:ascii="Verdana" w:hAnsi="Verdana" w:cs="Arial"/>
          <w:sz w:val="16"/>
          <w:szCs w:val="16"/>
        </w:rPr>
        <w:t>“</w:t>
      </w:r>
      <w:r w:rsidRPr="00224A89">
        <w:rPr>
          <w:rFonts w:ascii="Verdana" w:hAnsi="Verdana" w:cs="Arial"/>
          <w:sz w:val="16"/>
          <w:szCs w:val="16"/>
        </w:rPr>
        <w:t xml:space="preserve">De acuerdo con los principios y disposiciones constitucionales, legales y reglamentarias citadas, la Sala considera que las entidades deben </w:t>
      </w:r>
      <w:proofErr w:type="gramStart"/>
      <w:r w:rsidRPr="00224A89">
        <w:rPr>
          <w:rFonts w:ascii="Verdana" w:hAnsi="Verdana" w:cs="Arial"/>
          <w:sz w:val="16"/>
          <w:szCs w:val="16"/>
        </w:rPr>
        <w:t>proceder a hacer</w:t>
      </w:r>
      <w:proofErr w:type="gramEnd"/>
      <w:r w:rsidRPr="00224A89">
        <w:rPr>
          <w:rFonts w:ascii="Verdana" w:hAnsi="Verdana" w:cs="Arial"/>
          <w:sz w:val="16"/>
          <w:szCs w:val="16"/>
        </w:rPr>
        <w:t xml:space="preserve"> el cierre del expediente del proceso de contratación incluso en aquellos casos en los cuales no se haya efectuado la liquidación del contrato, para efectos de establecer dentro de la entidad estatal el estado final de los contratos celebrados. Se trata de un trámite interno en el que, al menos, se haga un recuento del contenido del proceso de contratación surtido y que consta en el expediente, se relacione y compare lo ejecutado con lo pagado y se verifique el cumplimiento de las obligaciones posteriores a la finalización de la ejecución del contrato (garantías de estabilidad de la obra, calidad del bien o servicio suministrado, provisión de repuestos y accesorios, pago de salarios, prestaciones e indemnizaciones, a la responsabilidad civil o las condiciones de disposición final o recuperación ambiental de las obras o bienes), con el fin de proceder con el cierre y archivo del expediente y otros trámites a que haya lugar</w:t>
      </w:r>
      <w:r>
        <w:rPr>
          <w:rFonts w:ascii="Verdana" w:hAnsi="Verdana" w:cs="Arial"/>
          <w:sz w:val="16"/>
          <w:szCs w:val="16"/>
        </w:rPr>
        <w:t>”</w:t>
      </w:r>
      <w:r w:rsidRPr="00224A89">
        <w:rPr>
          <w:rFonts w:ascii="Verdana" w:hAnsi="Verdana" w:cs="Arial"/>
          <w:sz w:val="16"/>
          <w:szCs w:val="16"/>
        </w:rPr>
        <w:t xml:space="preserve"> (Consejo de Estado. Sala de Consulta y Servicio Civil. Concepto </w:t>
      </w:r>
      <w:r w:rsidRPr="00224A89">
        <w:rPr>
          <w:rFonts w:ascii="Verdana" w:hAnsi="Verdana" w:cs="Arial"/>
          <w:bCs/>
          <w:sz w:val="16"/>
          <w:szCs w:val="16"/>
        </w:rPr>
        <w:t xml:space="preserve">del 28 de junio de 2016. Radicado No. 2253. C.P. Álvaro Namén Vargas). </w:t>
      </w:r>
    </w:p>
  </w:footnote>
  <w:footnote w:id="28">
    <w:p w14:paraId="2580C480" w14:textId="77777777" w:rsidR="00A05B9F" w:rsidRPr="00224A89" w:rsidRDefault="00A05B9F" w:rsidP="00A05B9F">
      <w:pPr>
        <w:pStyle w:val="Textonotapie"/>
        <w:ind w:firstLine="708"/>
        <w:jc w:val="both"/>
        <w:rPr>
          <w:rFonts w:ascii="Verdana" w:hAnsi="Verdana" w:cs="Arial"/>
          <w:color w:val="000000" w:themeColor="text1"/>
          <w:sz w:val="16"/>
          <w:szCs w:val="16"/>
        </w:rPr>
      </w:pPr>
      <w:r w:rsidRPr="00224A89">
        <w:rPr>
          <w:rStyle w:val="Refdenotaalpie"/>
          <w:rFonts w:ascii="Verdana" w:hAnsi="Verdana" w:cs="Arial"/>
          <w:color w:val="000000" w:themeColor="text1"/>
          <w:sz w:val="16"/>
          <w:szCs w:val="16"/>
        </w:rPr>
        <w:footnoteRef/>
      </w:r>
      <w:r w:rsidRPr="00224A89">
        <w:rPr>
          <w:rFonts w:ascii="Verdana" w:hAnsi="Verdana" w:cs="Arial"/>
          <w:color w:val="000000" w:themeColor="text1"/>
          <w:sz w:val="16"/>
          <w:szCs w:val="16"/>
        </w:rPr>
        <w:t xml:space="preserve"> En esta ocasión, en relación el cierre del expediente contractual, la sala consultiva del Consejo de Estado expresó: </w:t>
      </w:r>
      <w:r>
        <w:rPr>
          <w:rFonts w:ascii="Verdana" w:hAnsi="Verdana" w:cs="Arial"/>
          <w:color w:val="000000" w:themeColor="text1"/>
          <w:sz w:val="16"/>
          <w:szCs w:val="16"/>
        </w:rPr>
        <w:t>“</w:t>
      </w:r>
      <w:r w:rsidRPr="00224A89">
        <w:rPr>
          <w:rFonts w:ascii="Verdana" w:hAnsi="Verdana" w:cs="Arial"/>
          <w:color w:val="000000" w:themeColor="text1"/>
          <w:sz w:val="16"/>
          <w:szCs w:val="16"/>
        </w:rPr>
        <w:t>Una interpretación sistemática y finalista de la norma, permite concluir que el trámite del cierre del expediente del proceso de contratación procede cuando se ha efectuado la liquidación del contrato, a efectos de dejar las constancias sobre el vencimiento de las garantías y la condición de los bienes y obras desde la perspectiva ambiental, y también en los casos en los cuales no se haya efectuado dicha liquidación, a efectos de dejar constancia sobre el punto final de la actuación contractual.</w:t>
      </w:r>
    </w:p>
    <w:p w14:paraId="57FF384B" w14:textId="77777777" w:rsidR="00A05B9F" w:rsidRPr="00224A89" w:rsidRDefault="00A05B9F" w:rsidP="00A05B9F">
      <w:pPr>
        <w:pStyle w:val="Textonotapie"/>
        <w:ind w:firstLine="708"/>
        <w:jc w:val="both"/>
        <w:rPr>
          <w:rFonts w:ascii="Verdana" w:hAnsi="Verdana" w:cs="Arial"/>
          <w:color w:val="000000" w:themeColor="text1"/>
          <w:sz w:val="16"/>
          <w:szCs w:val="16"/>
        </w:rPr>
      </w:pPr>
      <w:r>
        <w:rPr>
          <w:rFonts w:ascii="Verdana" w:hAnsi="Verdana" w:cs="Arial"/>
          <w:color w:val="000000" w:themeColor="text1"/>
          <w:sz w:val="16"/>
          <w:szCs w:val="16"/>
        </w:rPr>
        <w:t>L</w:t>
      </w:r>
      <w:r w:rsidRPr="00224A89">
        <w:rPr>
          <w:rFonts w:ascii="Verdana" w:hAnsi="Verdana" w:cs="Arial"/>
          <w:color w:val="000000" w:themeColor="text1"/>
          <w:sz w:val="16"/>
          <w:szCs w:val="16"/>
        </w:rPr>
        <w:t>as entidades pueden y deben proceder al cierre y archivo del expediente del proceso de contratación, en los términos citados, incluso en aquellos casos en los cuales no se haya efectuado la liquidación del contrato, como un tipo de constancia, que en forma alguna puede constituirse en una liquidación extemporánea del contrato o revivir términos que ya precluyeron, pues cualquier acto en este sentido estaría afectado de nulidad.</w:t>
      </w:r>
    </w:p>
    <w:p w14:paraId="751F6E42" w14:textId="77777777" w:rsidR="00A05B9F" w:rsidRPr="00224A89" w:rsidRDefault="00A05B9F" w:rsidP="00A05B9F">
      <w:pPr>
        <w:pStyle w:val="Textonotapie"/>
        <w:ind w:firstLine="708"/>
        <w:jc w:val="both"/>
        <w:rPr>
          <w:rFonts w:ascii="Verdana" w:hAnsi="Verdana" w:cs="Arial"/>
          <w:color w:val="000000" w:themeColor="text1"/>
          <w:sz w:val="16"/>
          <w:szCs w:val="16"/>
          <w:lang w:val="es-ES"/>
        </w:rPr>
      </w:pPr>
      <w:r w:rsidRPr="00224A89">
        <w:rPr>
          <w:rFonts w:ascii="Verdana" w:hAnsi="Verdana" w:cs="Arial"/>
          <w:color w:val="000000" w:themeColor="text1"/>
          <w:sz w:val="16"/>
          <w:szCs w:val="16"/>
        </w:rPr>
        <w:t>En efecto, el archivo del expediente debe entenderse como una actuación interna y de trámite, que no comporta la expedición de un acto administrativo de carácter contractual, en el que se puedan determinar las obligaciones a cargo de cada una de las partes; acto para cuya expedición no existiría competencia de la entidad dada su extemporaneidad</w:t>
      </w:r>
      <w:r>
        <w:rPr>
          <w:rFonts w:ascii="Verdana" w:hAnsi="Verdana" w:cs="Arial"/>
          <w:color w:val="000000" w:themeColor="text1"/>
          <w:sz w:val="16"/>
          <w:szCs w:val="16"/>
        </w:rPr>
        <w:t>”</w:t>
      </w:r>
      <w:r w:rsidRPr="00224A89">
        <w:rPr>
          <w:rFonts w:ascii="Verdana" w:hAnsi="Verdana" w:cs="Arial"/>
          <w:color w:val="000000" w:themeColor="text1"/>
          <w:sz w:val="16"/>
          <w:szCs w:val="16"/>
        </w:rPr>
        <w:t xml:space="preserve">. (Consejo de Estado. Sala de Consulta y Servicio Civil. Concepto del 8 de marzo de 2017. Radicado No. 2298. </w:t>
      </w:r>
      <w:r w:rsidRPr="00224A89">
        <w:rPr>
          <w:rFonts w:ascii="Verdana" w:hAnsi="Verdana" w:cs="Arial"/>
          <w:color w:val="000000" w:themeColor="text1"/>
          <w:sz w:val="16"/>
          <w:szCs w:val="16"/>
          <w:lang w:val="es-ES"/>
        </w:rPr>
        <w:t>C.P. Consejo de Estado. Sala de Consulta y Servicio Civil. M.P. Edgar González López).</w:t>
      </w:r>
    </w:p>
  </w:footnote>
  <w:footnote w:id="29">
    <w:p w14:paraId="51D5D216" w14:textId="77777777" w:rsidR="00A05B9F" w:rsidRPr="00224A89" w:rsidRDefault="00A05B9F" w:rsidP="00A05B9F">
      <w:pPr>
        <w:pStyle w:val="Textonotapie"/>
        <w:ind w:firstLine="708"/>
        <w:jc w:val="both"/>
        <w:rPr>
          <w:rFonts w:ascii="Verdana" w:hAnsi="Verdana" w:cs="Arial"/>
          <w:sz w:val="16"/>
          <w:szCs w:val="16"/>
          <w:lang w:val="es-CO"/>
        </w:rPr>
      </w:pPr>
      <w:r w:rsidRPr="00224A89">
        <w:rPr>
          <w:rStyle w:val="Refdenotaalpie"/>
          <w:rFonts w:ascii="Verdana" w:hAnsi="Verdana" w:cs="Arial"/>
          <w:sz w:val="16"/>
          <w:szCs w:val="16"/>
        </w:rPr>
        <w:footnoteRef/>
      </w:r>
      <w:r w:rsidRPr="00224A89">
        <w:rPr>
          <w:rFonts w:ascii="Verdana" w:hAnsi="Verdana" w:cs="Arial"/>
          <w:sz w:val="16"/>
          <w:szCs w:val="16"/>
        </w:rPr>
        <w:t xml:space="preserve"> Agencia Nacional de Contratación Pública – Colombia Compra Eficiente. Concepto CU-028 del 25 de febrero de 2020. Radicado de entrada No. 4202013000000460. Radicado de salida No. 2202013000001282.</w:t>
      </w:r>
    </w:p>
  </w:footnote>
  <w:footnote w:id="30">
    <w:p w14:paraId="12E9766E" w14:textId="77777777" w:rsidR="00A05B9F" w:rsidRPr="00773856" w:rsidRDefault="00A05B9F" w:rsidP="00A05B9F">
      <w:pPr>
        <w:pStyle w:val="Textonotapie"/>
        <w:ind w:firstLine="708"/>
        <w:jc w:val="both"/>
        <w:rPr>
          <w:rFonts w:ascii="Verdana" w:hAnsi="Verdana"/>
          <w:bCs/>
          <w:sz w:val="16"/>
          <w:szCs w:val="16"/>
          <w:lang w:val="es-ES_tradnl"/>
        </w:rPr>
      </w:pPr>
      <w:r w:rsidRPr="00CE714B">
        <w:rPr>
          <w:rStyle w:val="Refdenotaalpie"/>
          <w:rFonts w:ascii="Verdana" w:hAnsi="Verdana"/>
          <w:sz w:val="16"/>
          <w:szCs w:val="16"/>
        </w:rPr>
        <w:footnoteRef/>
      </w:r>
      <w:r w:rsidRPr="00CE714B">
        <w:rPr>
          <w:rFonts w:ascii="Verdana" w:hAnsi="Verdana"/>
          <w:sz w:val="16"/>
          <w:szCs w:val="16"/>
        </w:rPr>
        <w:t xml:space="preserve"> </w:t>
      </w:r>
      <w:r>
        <w:rPr>
          <w:rFonts w:ascii="Verdana" w:hAnsi="Verdana"/>
          <w:sz w:val="16"/>
          <w:szCs w:val="16"/>
        </w:rPr>
        <w:t>Como se explicó en el Concepto C-1224 del 25 de septiembre de 2025, “</w:t>
      </w:r>
      <w:r w:rsidRPr="00773856">
        <w:rPr>
          <w:rFonts w:ascii="Verdana" w:hAnsi="Verdana"/>
          <w:bCs/>
          <w:sz w:val="16"/>
          <w:szCs w:val="16"/>
          <w:lang w:val="es-ES_tradnl"/>
        </w:rPr>
        <w:t xml:space="preserve">Si bien los manuales de contratación tienen una connotación especial en las </w:t>
      </w:r>
      <w:r w:rsidRPr="00773856">
        <w:rPr>
          <w:rFonts w:ascii="Verdana" w:hAnsi="Verdana"/>
          <w:bCs/>
          <w:i/>
          <w:iCs/>
          <w:sz w:val="16"/>
          <w:szCs w:val="16"/>
          <w:lang w:val="es-ES_tradnl"/>
        </w:rPr>
        <w:t>entidades de régimen exceptuado</w:t>
      </w:r>
      <w:r>
        <w:rPr>
          <w:rFonts w:ascii="Verdana" w:hAnsi="Verdana"/>
          <w:bCs/>
          <w:sz w:val="16"/>
          <w:szCs w:val="16"/>
          <w:lang w:val="es-ES_tradnl"/>
        </w:rPr>
        <w:t xml:space="preserve"> […]</w:t>
      </w:r>
      <w:r w:rsidRPr="00773856">
        <w:rPr>
          <w:rFonts w:ascii="Verdana" w:hAnsi="Verdana"/>
          <w:bCs/>
          <w:sz w:val="16"/>
          <w:szCs w:val="16"/>
          <w:lang w:val="es-ES_tradnl"/>
        </w:rPr>
        <w:t xml:space="preserve">, también juegan un rol relevante para las </w:t>
      </w:r>
      <w:r w:rsidRPr="00773856">
        <w:rPr>
          <w:rFonts w:ascii="Verdana" w:hAnsi="Verdana"/>
          <w:bCs/>
          <w:i/>
          <w:iCs/>
          <w:sz w:val="16"/>
          <w:szCs w:val="16"/>
          <w:lang w:val="es-ES_tradnl"/>
        </w:rPr>
        <w:t>entidades sometidas a la Ley 80 de 1993</w:t>
      </w:r>
      <w:r w:rsidRPr="00773856">
        <w:rPr>
          <w:rFonts w:ascii="Verdana" w:hAnsi="Verdana"/>
          <w:bCs/>
          <w:sz w:val="16"/>
          <w:szCs w:val="16"/>
          <w:lang w:val="es-ES_tradnl"/>
        </w:rPr>
        <w:t>. En este último caso, aunque gran parte de los aspectos relacionados con la gestión contractual se encuentran en el EGCAP y en decretos que lo desarrollan, dichos manuales establecen flujogramas en la estructuración de los procesos; asignan responsabilidades específicas en la proyección, revisión y aprobación de los documentos; unifican y estandarizan trámites internos; fijan directrices respecto a la gestión de los procesos y la ejecución de los contratos; entre otros.</w:t>
      </w:r>
    </w:p>
    <w:p w14:paraId="217104AC" w14:textId="77777777" w:rsidR="00A05B9F" w:rsidRPr="00773856" w:rsidRDefault="00A05B9F" w:rsidP="00A05B9F">
      <w:pPr>
        <w:pStyle w:val="Textonotapie"/>
        <w:ind w:firstLine="708"/>
        <w:jc w:val="both"/>
        <w:rPr>
          <w:rFonts w:ascii="Verdana" w:hAnsi="Verdana"/>
          <w:bCs/>
          <w:sz w:val="16"/>
          <w:szCs w:val="16"/>
          <w:lang w:val="es-ES_tradnl"/>
        </w:rPr>
      </w:pPr>
      <w:r w:rsidRPr="00773856">
        <w:rPr>
          <w:rFonts w:ascii="Verdana" w:hAnsi="Verdana"/>
          <w:bCs/>
          <w:sz w:val="16"/>
          <w:szCs w:val="16"/>
          <w:lang w:val="es-ES_tradnl"/>
        </w:rPr>
        <w:t xml:space="preserve">Al estar subordinados a la ley y al reglamento, los manuales de contratación de las </w:t>
      </w:r>
      <w:r w:rsidRPr="00773856">
        <w:rPr>
          <w:rFonts w:ascii="Verdana" w:hAnsi="Verdana"/>
          <w:bCs/>
          <w:i/>
          <w:iCs/>
          <w:sz w:val="16"/>
          <w:szCs w:val="16"/>
          <w:lang w:val="es-ES_tradnl"/>
        </w:rPr>
        <w:t>entidades sometidas a la Ley 80 de 1993</w:t>
      </w:r>
      <w:r w:rsidRPr="00773856">
        <w:rPr>
          <w:rFonts w:ascii="Verdana" w:hAnsi="Verdana"/>
          <w:bCs/>
          <w:sz w:val="16"/>
          <w:szCs w:val="16"/>
          <w:lang w:val="es-ES_tradnl"/>
        </w:rPr>
        <w:t xml:space="preserve"> no pueden modificar aspectos como </w:t>
      </w:r>
      <w:r w:rsidRPr="00773856">
        <w:rPr>
          <w:rFonts w:ascii="Verdana" w:hAnsi="Verdana"/>
          <w:sz w:val="16"/>
          <w:szCs w:val="16"/>
          <w:lang w:val="es-CO"/>
        </w:rPr>
        <w:t>la capacidad jurídica –inhabilidades, incompatibilidades, consorcios y uniones temporales y registro único de proponentes–, la competencia para contratar, las reglas de selección objetiva –procedimientos de selección–, el régimen de perfeccionamiento del contrato, así como algunos aspectos de ejecución contractual –manejo del riesgo, cláusulas exorbitantes, tipologías contractuales y garantías–. Sin embargo, siempre que estén en consonancia con las normas de carácter superior, pueden regular aspectos operativos de la gestión de procesos y contratos al interior de la entidad</w:t>
      </w:r>
      <w:r>
        <w:rPr>
          <w:rFonts w:ascii="Verdana" w:hAnsi="Verdana"/>
          <w:sz w:val="16"/>
          <w:szCs w:val="16"/>
          <w:lang w:val="es-CO"/>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1C06310"/>
    <w:multiLevelType w:val="multilevel"/>
    <w:tmpl w:val="87E6E8BC"/>
    <w:lvl w:ilvl="0">
      <w:start w:val="1"/>
      <w:numFmt w:val="decimal"/>
      <w:lvlText w:val="%1."/>
      <w:lvlJc w:val="lef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49033D85"/>
    <w:multiLevelType w:val="hybridMultilevel"/>
    <w:tmpl w:val="8DFEC17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4"/>
  </w:num>
  <w:num w:numId="7" w16cid:durableId="1946422806">
    <w:abstractNumId w:val="5"/>
  </w:num>
  <w:num w:numId="8" w16cid:durableId="152644682">
    <w:abstractNumId w:val="13"/>
  </w:num>
  <w:num w:numId="9" w16cid:durableId="1317221377">
    <w:abstractNumId w:val="7"/>
  </w:num>
  <w:num w:numId="10" w16cid:durableId="1471245386">
    <w:abstractNumId w:val="12"/>
  </w:num>
  <w:num w:numId="11" w16cid:durableId="289172385">
    <w:abstractNumId w:val="8"/>
  </w:num>
  <w:num w:numId="12" w16cid:durableId="1470781324">
    <w:abstractNumId w:val="1"/>
  </w:num>
  <w:num w:numId="13" w16cid:durableId="1512908409">
    <w:abstractNumId w:val="3"/>
  </w:num>
  <w:num w:numId="14" w16cid:durableId="895897244">
    <w:abstractNumId w:val="15"/>
  </w:num>
  <w:num w:numId="15" w16cid:durableId="390349800">
    <w:abstractNumId w:val="11"/>
  </w:num>
  <w:num w:numId="16" w16cid:durableId="1330140246">
    <w:abstractNumId w:val="0"/>
  </w:num>
  <w:num w:numId="17" w16cid:durableId="679089576">
    <w:abstractNumId w:val="9"/>
  </w:num>
  <w:num w:numId="18" w16cid:durableId="11720630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01E4"/>
    <w:rsid w:val="000140A0"/>
    <w:rsid w:val="00015C39"/>
    <w:rsid w:val="00016F78"/>
    <w:rsid w:val="00046945"/>
    <w:rsid w:val="00061B2A"/>
    <w:rsid w:val="000767F1"/>
    <w:rsid w:val="00082362"/>
    <w:rsid w:val="000923C4"/>
    <w:rsid w:val="000A683E"/>
    <w:rsid w:val="000B19B9"/>
    <w:rsid w:val="000B38DC"/>
    <w:rsid w:val="000B4EA7"/>
    <w:rsid w:val="000D0334"/>
    <w:rsid w:val="000D261E"/>
    <w:rsid w:val="000D5DA7"/>
    <w:rsid w:val="000F6486"/>
    <w:rsid w:val="0010527B"/>
    <w:rsid w:val="0011600D"/>
    <w:rsid w:val="00116940"/>
    <w:rsid w:val="0012034E"/>
    <w:rsid w:val="001227F0"/>
    <w:rsid w:val="00124722"/>
    <w:rsid w:val="00125105"/>
    <w:rsid w:val="00127233"/>
    <w:rsid w:val="0015699B"/>
    <w:rsid w:val="00174A7B"/>
    <w:rsid w:val="001764F0"/>
    <w:rsid w:val="001773A9"/>
    <w:rsid w:val="001A33BF"/>
    <w:rsid w:val="001C7169"/>
    <w:rsid w:val="001D0CF8"/>
    <w:rsid w:val="001E4177"/>
    <w:rsid w:val="001F0B24"/>
    <w:rsid w:val="001F34C4"/>
    <w:rsid w:val="001F7DC6"/>
    <w:rsid w:val="0022400B"/>
    <w:rsid w:val="00227656"/>
    <w:rsid w:val="00230BB0"/>
    <w:rsid w:val="00231BBF"/>
    <w:rsid w:val="002421BB"/>
    <w:rsid w:val="0025796E"/>
    <w:rsid w:val="002707A2"/>
    <w:rsid w:val="002951A0"/>
    <w:rsid w:val="002962BC"/>
    <w:rsid w:val="002A093D"/>
    <w:rsid w:val="002A0DD0"/>
    <w:rsid w:val="002A49AC"/>
    <w:rsid w:val="002A64FD"/>
    <w:rsid w:val="002C01FF"/>
    <w:rsid w:val="002C7A84"/>
    <w:rsid w:val="002D6569"/>
    <w:rsid w:val="002E2BF8"/>
    <w:rsid w:val="002E329A"/>
    <w:rsid w:val="002E4FD9"/>
    <w:rsid w:val="002F5EDA"/>
    <w:rsid w:val="0030657A"/>
    <w:rsid w:val="00311319"/>
    <w:rsid w:val="00316C96"/>
    <w:rsid w:val="00321306"/>
    <w:rsid w:val="00322A85"/>
    <w:rsid w:val="00324168"/>
    <w:rsid w:val="00330834"/>
    <w:rsid w:val="003448F4"/>
    <w:rsid w:val="00361DDE"/>
    <w:rsid w:val="00374F5E"/>
    <w:rsid w:val="00377E3E"/>
    <w:rsid w:val="003810BE"/>
    <w:rsid w:val="0039458D"/>
    <w:rsid w:val="003974CD"/>
    <w:rsid w:val="003A779E"/>
    <w:rsid w:val="003B5E61"/>
    <w:rsid w:val="003B638B"/>
    <w:rsid w:val="003C6B35"/>
    <w:rsid w:val="003D0F4D"/>
    <w:rsid w:val="003D5B0D"/>
    <w:rsid w:val="003E0499"/>
    <w:rsid w:val="003E4F80"/>
    <w:rsid w:val="003E6439"/>
    <w:rsid w:val="003F3941"/>
    <w:rsid w:val="00406305"/>
    <w:rsid w:val="00406575"/>
    <w:rsid w:val="00414C74"/>
    <w:rsid w:val="00421F16"/>
    <w:rsid w:val="0042722E"/>
    <w:rsid w:val="0044190D"/>
    <w:rsid w:val="0044528D"/>
    <w:rsid w:val="00450518"/>
    <w:rsid w:val="00466E39"/>
    <w:rsid w:val="00484365"/>
    <w:rsid w:val="004875A7"/>
    <w:rsid w:val="004A1847"/>
    <w:rsid w:val="004A305D"/>
    <w:rsid w:val="004D4C1D"/>
    <w:rsid w:val="004F21C4"/>
    <w:rsid w:val="004F685F"/>
    <w:rsid w:val="00512555"/>
    <w:rsid w:val="00545DB5"/>
    <w:rsid w:val="00547153"/>
    <w:rsid w:val="005566E8"/>
    <w:rsid w:val="00564D1B"/>
    <w:rsid w:val="00574867"/>
    <w:rsid w:val="0058516C"/>
    <w:rsid w:val="00591460"/>
    <w:rsid w:val="005A65E0"/>
    <w:rsid w:val="005C3777"/>
    <w:rsid w:val="005C5CDC"/>
    <w:rsid w:val="005D43A6"/>
    <w:rsid w:val="005D476C"/>
    <w:rsid w:val="005F3068"/>
    <w:rsid w:val="00606777"/>
    <w:rsid w:val="00615D01"/>
    <w:rsid w:val="006200BF"/>
    <w:rsid w:val="006219F8"/>
    <w:rsid w:val="00627498"/>
    <w:rsid w:val="006302F7"/>
    <w:rsid w:val="0064435C"/>
    <w:rsid w:val="00646B9F"/>
    <w:rsid w:val="00655924"/>
    <w:rsid w:val="00665D70"/>
    <w:rsid w:val="00677442"/>
    <w:rsid w:val="006900D9"/>
    <w:rsid w:val="006A0383"/>
    <w:rsid w:val="006B2552"/>
    <w:rsid w:val="006B7305"/>
    <w:rsid w:val="006C495E"/>
    <w:rsid w:val="006D10BE"/>
    <w:rsid w:val="00701EF7"/>
    <w:rsid w:val="007039DC"/>
    <w:rsid w:val="00706C16"/>
    <w:rsid w:val="007170E4"/>
    <w:rsid w:val="007340C3"/>
    <w:rsid w:val="007435FA"/>
    <w:rsid w:val="00746376"/>
    <w:rsid w:val="0075235A"/>
    <w:rsid w:val="00756841"/>
    <w:rsid w:val="007649AB"/>
    <w:rsid w:val="00771D0C"/>
    <w:rsid w:val="007829FE"/>
    <w:rsid w:val="007833AC"/>
    <w:rsid w:val="007A53B6"/>
    <w:rsid w:val="007B268C"/>
    <w:rsid w:val="007B7171"/>
    <w:rsid w:val="007C0C0F"/>
    <w:rsid w:val="007C3DC2"/>
    <w:rsid w:val="007D0A1E"/>
    <w:rsid w:val="007D31ED"/>
    <w:rsid w:val="007D350D"/>
    <w:rsid w:val="007E2348"/>
    <w:rsid w:val="007E5497"/>
    <w:rsid w:val="00806F5F"/>
    <w:rsid w:val="00820278"/>
    <w:rsid w:val="008258C9"/>
    <w:rsid w:val="00835AFA"/>
    <w:rsid w:val="00844AE9"/>
    <w:rsid w:val="00867F95"/>
    <w:rsid w:val="00882783"/>
    <w:rsid w:val="008843B6"/>
    <w:rsid w:val="00885981"/>
    <w:rsid w:val="00890200"/>
    <w:rsid w:val="00891928"/>
    <w:rsid w:val="00897400"/>
    <w:rsid w:val="008A446D"/>
    <w:rsid w:val="008B14E1"/>
    <w:rsid w:val="008B25F1"/>
    <w:rsid w:val="008B3868"/>
    <w:rsid w:val="008C06A7"/>
    <w:rsid w:val="008D180B"/>
    <w:rsid w:val="008E7CCE"/>
    <w:rsid w:val="008F0EA7"/>
    <w:rsid w:val="00917C5C"/>
    <w:rsid w:val="00923B68"/>
    <w:rsid w:val="00923EEF"/>
    <w:rsid w:val="00924CB3"/>
    <w:rsid w:val="0092510A"/>
    <w:rsid w:val="009363F8"/>
    <w:rsid w:val="00940C61"/>
    <w:rsid w:val="009419F9"/>
    <w:rsid w:val="00942BA1"/>
    <w:rsid w:val="00943A96"/>
    <w:rsid w:val="0095685E"/>
    <w:rsid w:val="00961B09"/>
    <w:rsid w:val="00965334"/>
    <w:rsid w:val="0097093E"/>
    <w:rsid w:val="009941B5"/>
    <w:rsid w:val="009A0DFA"/>
    <w:rsid w:val="009A1C6F"/>
    <w:rsid w:val="009A6BA2"/>
    <w:rsid w:val="009B2D26"/>
    <w:rsid w:val="009C71FA"/>
    <w:rsid w:val="009C72E7"/>
    <w:rsid w:val="009C7F7E"/>
    <w:rsid w:val="009D3058"/>
    <w:rsid w:val="009F3A13"/>
    <w:rsid w:val="00A02758"/>
    <w:rsid w:val="00A05B9F"/>
    <w:rsid w:val="00A122D3"/>
    <w:rsid w:val="00A14468"/>
    <w:rsid w:val="00A17F13"/>
    <w:rsid w:val="00A20739"/>
    <w:rsid w:val="00A21B10"/>
    <w:rsid w:val="00A23AF9"/>
    <w:rsid w:val="00A27868"/>
    <w:rsid w:val="00A33C78"/>
    <w:rsid w:val="00A5241E"/>
    <w:rsid w:val="00A60295"/>
    <w:rsid w:val="00A94FFF"/>
    <w:rsid w:val="00AA16D2"/>
    <w:rsid w:val="00AB0ADB"/>
    <w:rsid w:val="00AD5640"/>
    <w:rsid w:val="00AE27D4"/>
    <w:rsid w:val="00B00C0E"/>
    <w:rsid w:val="00B01B1A"/>
    <w:rsid w:val="00B0381D"/>
    <w:rsid w:val="00B03CA6"/>
    <w:rsid w:val="00B069F9"/>
    <w:rsid w:val="00B14759"/>
    <w:rsid w:val="00B264EE"/>
    <w:rsid w:val="00B30504"/>
    <w:rsid w:val="00B44A47"/>
    <w:rsid w:val="00B72CD3"/>
    <w:rsid w:val="00B72FFF"/>
    <w:rsid w:val="00B81134"/>
    <w:rsid w:val="00B90154"/>
    <w:rsid w:val="00B914E5"/>
    <w:rsid w:val="00BC3D36"/>
    <w:rsid w:val="00BD54A6"/>
    <w:rsid w:val="00BD7F72"/>
    <w:rsid w:val="00BF7425"/>
    <w:rsid w:val="00C0210C"/>
    <w:rsid w:val="00C03269"/>
    <w:rsid w:val="00C04FB3"/>
    <w:rsid w:val="00C11D8B"/>
    <w:rsid w:val="00C15139"/>
    <w:rsid w:val="00C257FB"/>
    <w:rsid w:val="00C27E2E"/>
    <w:rsid w:val="00C31C9F"/>
    <w:rsid w:val="00C330EB"/>
    <w:rsid w:val="00C50D69"/>
    <w:rsid w:val="00C5365C"/>
    <w:rsid w:val="00C754BE"/>
    <w:rsid w:val="00C76B1C"/>
    <w:rsid w:val="00C81B74"/>
    <w:rsid w:val="00C90217"/>
    <w:rsid w:val="00C925AC"/>
    <w:rsid w:val="00CA1BC3"/>
    <w:rsid w:val="00CA5F84"/>
    <w:rsid w:val="00CB6357"/>
    <w:rsid w:val="00CB70E3"/>
    <w:rsid w:val="00CC1B26"/>
    <w:rsid w:val="00CC29A1"/>
    <w:rsid w:val="00CE3A9F"/>
    <w:rsid w:val="00D27DB7"/>
    <w:rsid w:val="00D33565"/>
    <w:rsid w:val="00D361FD"/>
    <w:rsid w:val="00D423A2"/>
    <w:rsid w:val="00D44E26"/>
    <w:rsid w:val="00D520D8"/>
    <w:rsid w:val="00D63AC2"/>
    <w:rsid w:val="00D7383B"/>
    <w:rsid w:val="00D73E58"/>
    <w:rsid w:val="00D7788A"/>
    <w:rsid w:val="00D9109E"/>
    <w:rsid w:val="00DA231B"/>
    <w:rsid w:val="00DC39FC"/>
    <w:rsid w:val="00DD40A9"/>
    <w:rsid w:val="00DE666F"/>
    <w:rsid w:val="00DF5254"/>
    <w:rsid w:val="00E02524"/>
    <w:rsid w:val="00E03F02"/>
    <w:rsid w:val="00E16408"/>
    <w:rsid w:val="00E20894"/>
    <w:rsid w:val="00E245AB"/>
    <w:rsid w:val="00E2764C"/>
    <w:rsid w:val="00E27F2E"/>
    <w:rsid w:val="00E32CE1"/>
    <w:rsid w:val="00E376AB"/>
    <w:rsid w:val="00E45292"/>
    <w:rsid w:val="00E472CD"/>
    <w:rsid w:val="00E47977"/>
    <w:rsid w:val="00E50AFE"/>
    <w:rsid w:val="00E53F3F"/>
    <w:rsid w:val="00E75C92"/>
    <w:rsid w:val="00E771DC"/>
    <w:rsid w:val="00E825BB"/>
    <w:rsid w:val="00E8772A"/>
    <w:rsid w:val="00E90F6B"/>
    <w:rsid w:val="00E92C27"/>
    <w:rsid w:val="00E95579"/>
    <w:rsid w:val="00EA0E3D"/>
    <w:rsid w:val="00EA6769"/>
    <w:rsid w:val="00EC38A7"/>
    <w:rsid w:val="00ED61A7"/>
    <w:rsid w:val="00EE1AA8"/>
    <w:rsid w:val="00F0004A"/>
    <w:rsid w:val="00F14C41"/>
    <w:rsid w:val="00F20B47"/>
    <w:rsid w:val="00F23FEA"/>
    <w:rsid w:val="00F31EDC"/>
    <w:rsid w:val="00F33790"/>
    <w:rsid w:val="00F37F09"/>
    <w:rsid w:val="00F43932"/>
    <w:rsid w:val="00F462B3"/>
    <w:rsid w:val="00F54241"/>
    <w:rsid w:val="00F5664F"/>
    <w:rsid w:val="00F666C4"/>
    <w:rsid w:val="00F76AFC"/>
    <w:rsid w:val="00F8673A"/>
    <w:rsid w:val="00F87EBC"/>
    <w:rsid w:val="00F922E6"/>
    <w:rsid w:val="00FA47C0"/>
    <w:rsid w:val="00FB25D0"/>
    <w:rsid w:val="00FB2F69"/>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0E13626"/>
    <w:rsid w:val="64790C76"/>
    <w:rsid w:val="64F094BD"/>
    <w:rsid w:val="6532707F"/>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EC57EFD0-E99F-1146-BCE7-8BE335BE2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2F5EDA"/>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2F5EDA"/>
    <w:rPr>
      <w:rFonts w:ascii="Geomanist Light" w:hAnsi="Geomanist Light"/>
      <w:lang w:val="es-ES"/>
    </w:rPr>
  </w:style>
  <w:style w:type="character" w:customStyle="1" w:styleId="s15">
    <w:name w:val="s15"/>
    <w:basedOn w:val="Fuentedeprrafopredeter"/>
    <w:rsid w:val="002F5EDA"/>
  </w:style>
  <w:style w:type="character" w:customStyle="1" w:styleId="NormalWebCar">
    <w:name w:val="Normal (Web) Car"/>
    <w:link w:val="NormalWeb"/>
    <w:uiPriority w:val="99"/>
    <w:rsid w:val="002F5EDA"/>
    <w:rPr>
      <w:rFonts w:ascii="Times New Roman" w:eastAsia="Times New Roman" w:hAnsi="Times New Roman" w:cs="Times New Roman"/>
      <w:sz w:val="24"/>
      <w:szCs w:val="24"/>
      <w:lang w:eastAsia="es-CO"/>
    </w:rPr>
  </w:style>
  <w:style w:type="character" w:styleId="Fuerte">
    <w:name w:val="Strong"/>
    <w:basedOn w:val="Fuentedeprrafopredeter"/>
    <w:uiPriority w:val="22"/>
    <w:qFormat/>
    <w:rsid w:val="002F5EDA"/>
    <w:rPr>
      <w:b/>
      <w:bCs/>
    </w:rPr>
  </w:style>
  <w:style w:type="character" w:styleId="nfasis">
    <w:name w:val="Emphasis"/>
    <w:basedOn w:val="Fuentedeprrafopredeter"/>
    <w:uiPriority w:val="20"/>
    <w:qFormat/>
    <w:rsid w:val="002F5E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hyperlink" Target="https://forms.office.com/r/pPHyWVs2SZ"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yperlink" Target="https://www.colombiacompra.gov.co/pqrsd/informacion-importante-antes-de-formular-una-pqrsd" TargetMode="External"/><Relationship Id="rId2" Type="http://schemas.openxmlformats.org/officeDocument/2006/relationships/customXml" Target="../customXml/item2.xml"/><Relationship Id="rId16" Type="http://schemas.openxmlformats.org/officeDocument/2006/relationships/hyperlink" Target="mailto:ventanilladeradicacion@colombiacompra.gov.c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zulay.cuan@aerocivil.gov.co"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cceficiente.sharepoint.com/sites/SGDEA/TRD_254/EXPEDIENTE_1668/DOCUMENTO_407171/DOCUMENTO_407171.docx"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028395EA-B186-4B64-806F-FC9D8CB688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8</TotalTime>
  <Pages>30</Pages>
  <Words>9934</Words>
  <Characters>54641</Characters>
  <Application>Microsoft Office Word</Application>
  <DocSecurity>0</DocSecurity>
  <Lines>455</Lines>
  <Paragraphs>128</Paragraphs>
  <ScaleCrop>false</ScaleCrop>
  <Company/>
  <LinksUpToDate>false</LinksUpToDate>
  <CharactersWithSpaces>64447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2</cp:revision>
  <cp:lastPrinted>2023-01-10T18:18:00Z</cp:lastPrinted>
  <dcterms:created xsi:type="dcterms:W3CDTF">2026-08-12T14:02:00Z</dcterms:created>
  <dcterms:modified xsi:type="dcterms:W3CDTF">2026-08-12T14:02:00Z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