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10E9D" w14:textId="77777777" w:rsidR="004A0841" w:rsidRPr="004A0841" w:rsidRDefault="004A0841" w:rsidP="00751DE8">
      <w:pPr>
        <w:spacing w:after="0" w:line="240" w:lineRule="auto"/>
        <w:jc w:val="both"/>
        <w:rPr>
          <w:rFonts w:ascii="Verdana" w:hAnsi="Verdana" w:cs="Arial"/>
          <w:b/>
          <w:bCs/>
          <w:color w:val="000000"/>
          <w:lang w:val="es-ES"/>
        </w:rPr>
      </w:pPr>
      <w:bookmarkStart w:id="0" w:name="_Hlk143780582"/>
      <w:r w:rsidRPr="004A0841">
        <w:rPr>
          <w:rFonts w:ascii="Verdana" w:hAnsi="Verdana" w:cs="Arial"/>
          <w:b/>
          <w:bCs/>
          <w:color w:val="000000"/>
          <w:lang w:val="es-ES"/>
        </w:rPr>
        <w:t>PRECIOS UNITARIOS – APU – AIU</w:t>
      </w:r>
    </w:p>
    <w:p w14:paraId="6969DB0D" w14:textId="53DA3756" w:rsidR="004A0841" w:rsidRDefault="004A0841" w:rsidP="00751DE8">
      <w:pPr>
        <w:spacing w:after="0" w:line="240" w:lineRule="auto"/>
        <w:jc w:val="both"/>
        <w:rPr>
          <w:rFonts w:ascii="Verdana" w:hAnsi="Verdana" w:cs="Arial"/>
          <w:b/>
          <w:bCs/>
          <w:color w:val="000000"/>
          <w:lang w:val="es-ES"/>
        </w:rPr>
      </w:pPr>
    </w:p>
    <w:p w14:paraId="7589B1C9" w14:textId="35964FC2" w:rsidR="004A0841" w:rsidRPr="004A0841" w:rsidRDefault="004A0841" w:rsidP="00751DE8">
      <w:pPr>
        <w:spacing w:after="0" w:line="240" w:lineRule="auto"/>
        <w:jc w:val="both"/>
        <w:rPr>
          <w:rFonts w:ascii="Verdana" w:hAnsi="Verdana" w:cs="Arial"/>
          <w:bCs/>
          <w:color w:val="000000"/>
          <w:sz w:val="20"/>
          <w:lang w:val="es-ES"/>
        </w:rPr>
      </w:pPr>
      <w:r>
        <w:rPr>
          <w:rFonts w:ascii="Verdana" w:hAnsi="Verdana" w:cs="Arial"/>
          <w:bCs/>
          <w:color w:val="000000"/>
          <w:sz w:val="20"/>
          <w:lang w:val="es-ES"/>
        </w:rPr>
        <w:t>[…] en los contratos cuyo precio se estructura a partir del sistema de precios unitarios, ha hecho parte de la práctica de los negocios que el contratante le solicite al potencial contratista que separe en su propuesta los costos directos –es decir, los que están directamente implicados en la ejecución del objeto–, de los costos indirectos –que equivalen a los rubros que no tienen que ver de manera inmediata con la ejecución de las actividades contractuales, pero que integran también el precio, bien porque constituyen erogaciones administrativas o contingentes para el contratista o bien porque se dirigen a salvaguardar su ganancia–. En tal sentido, mientras que los costos directos se evidencian en el análisis de precios unitarios –APU–, como la sumatoria de los valores de los ítems según su unidad de medida, los costos indirectos se suelen abreviar en las variables que integran el acrónimo AIU –Administración, Imprevistos y Utilidad–.</w:t>
      </w:r>
    </w:p>
    <w:p w14:paraId="6AB8008A" w14:textId="77777777" w:rsidR="004A0841" w:rsidRDefault="004A0841" w:rsidP="00751DE8">
      <w:pPr>
        <w:spacing w:after="0" w:line="240" w:lineRule="auto"/>
        <w:jc w:val="both"/>
        <w:rPr>
          <w:rFonts w:ascii="Verdana" w:hAnsi="Verdana" w:cs="Arial"/>
          <w:b/>
          <w:bCs/>
          <w:color w:val="000000"/>
          <w:lang w:val="es-ES"/>
        </w:rPr>
      </w:pPr>
    </w:p>
    <w:p w14:paraId="2FF9B022" w14:textId="77777777" w:rsidR="004A0841" w:rsidRPr="004A0841" w:rsidRDefault="004A0841" w:rsidP="00751DE8">
      <w:pPr>
        <w:spacing w:after="0" w:line="240" w:lineRule="auto"/>
        <w:jc w:val="both"/>
        <w:rPr>
          <w:rFonts w:ascii="Verdana" w:hAnsi="Verdana" w:cs="Arial"/>
          <w:b/>
          <w:bCs/>
          <w:color w:val="000000"/>
          <w:lang w:val="es-ES"/>
        </w:rPr>
      </w:pPr>
      <w:r w:rsidRPr="004A0841">
        <w:rPr>
          <w:rFonts w:ascii="Verdana" w:hAnsi="Verdana" w:cs="Arial"/>
          <w:b/>
          <w:bCs/>
          <w:color w:val="000000"/>
          <w:lang w:val="es-ES"/>
        </w:rPr>
        <w:t>AIU – Tipología contractual – Mantenimiento de bienes inmuebles – Viabilidad</w:t>
      </w:r>
    </w:p>
    <w:p w14:paraId="18E6E7D0" w14:textId="77777777" w:rsidR="004A0841" w:rsidRDefault="004A0841" w:rsidP="00751DE8">
      <w:pPr>
        <w:spacing w:after="0" w:line="240" w:lineRule="auto"/>
        <w:jc w:val="both"/>
        <w:rPr>
          <w:rFonts w:ascii="Verdana" w:hAnsi="Verdana" w:cs="Arial"/>
          <w:b/>
          <w:bCs/>
          <w:color w:val="000000"/>
          <w:lang w:val="es-ES"/>
        </w:rPr>
      </w:pPr>
    </w:p>
    <w:p w14:paraId="6D57D9C5" w14:textId="77777777" w:rsidR="004A0841" w:rsidRPr="004A0841" w:rsidRDefault="004A0841" w:rsidP="00751DE8">
      <w:pPr>
        <w:spacing w:after="0" w:line="240" w:lineRule="auto"/>
        <w:jc w:val="both"/>
        <w:rPr>
          <w:rFonts w:ascii="Verdana" w:hAnsi="Verdana" w:cs="Arial"/>
          <w:bCs/>
          <w:color w:val="000000"/>
          <w:sz w:val="20"/>
          <w:lang w:val="es-ES"/>
        </w:rPr>
      </w:pPr>
      <w:r>
        <w:rPr>
          <w:rFonts w:ascii="Verdana" w:hAnsi="Verdana" w:cs="Arial"/>
          <w:bCs/>
          <w:color w:val="000000"/>
          <w:sz w:val="20"/>
          <w:lang w:val="es-ES"/>
        </w:rPr>
        <w:t>Ni el sistema de precios unitarios –como metodología de estipulación del valor contractual–, ni el concepto de AIU, ni mucho menos la forma de calcularlo –es decir, su porcentaje–, son aspectos regulados en el conjunto de las disposiciones legales y reglamentarias que integran la normativa contractual del Estado. Por consiguiente, no hay a priori tipologías contractuales en las que la ley o el reglamento establezcan que se debe utilizar el AIU, ni tampoco tipologías en las que se prohíba hacerlo. De ahí que resulte jurídicamente viable estructurar bajo este esquema el presupuesto de contratos cuyo objeto consista en el mantenimiento de zonas verdes y la conservación de áreas de reserva natural –que, para las entidades sometidas al Estatuto General de Contratación de la Administración Pública, corresponden al contrato de obra en los términos del numeral 1 del artículo 32 de la Ley 80 de 1993, en cuanto suponen la realización de trabajos materiales sobre bienes inmuebles–, siempre que tal decisión sea el resultado de los estudios previos y, en especial, del análisis del sector, en cumplimiento del principio de planeación.</w:t>
      </w:r>
    </w:p>
    <w:p w14:paraId="5E4A5825" w14:textId="77777777" w:rsidR="004A0841" w:rsidRDefault="004A0841" w:rsidP="00751DE8">
      <w:pPr>
        <w:spacing w:after="0" w:line="240" w:lineRule="auto"/>
        <w:jc w:val="both"/>
        <w:rPr>
          <w:rFonts w:ascii="Verdana" w:hAnsi="Verdana" w:cs="Arial"/>
          <w:b/>
          <w:bCs/>
          <w:color w:val="000000"/>
          <w:lang w:val="es-ES"/>
        </w:rPr>
      </w:pPr>
    </w:p>
    <w:p w14:paraId="65246DC3" w14:textId="77777777" w:rsidR="004A0841" w:rsidRPr="004A0841" w:rsidRDefault="004A0841" w:rsidP="00751DE8">
      <w:pPr>
        <w:spacing w:after="0" w:line="240" w:lineRule="auto"/>
        <w:jc w:val="both"/>
        <w:rPr>
          <w:rFonts w:ascii="Verdana" w:hAnsi="Verdana" w:cs="Arial"/>
          <w:b/>
          <w:bCs/>
          <w:color w:val="000000"/>
          <w:lang w:val="es-ES"/>
        </w:rPr>
      </w:pPr>
      <w:r w:rsidRPr="004A0841">
        <w:rPr>
          <w:rFonts w:ascii="Verdana" w:hAnsi="Verdana" w:cs="Arial"/>
          <w:b/>
          <w:bCs/>
          <w:color w:val="000000"/>
          <w:lang w:val="es-ES"/>
        </w:rPr>
        <w:t>AIU – Régimen especial – Autonomía – Discrecionalidad</w:t>
      </w:r>
    </w:p>
    <w:p w14:paraId="4193C860" w14:textId="77777777" w:rsidR="004A0841" w:rsidRDefault="004A0841" w:rsidP="00751DE8">
      <w:pPr>
        <w:spacing w:after="0" w:line="240" w:lineRule="auto"/>
        <w:jc w:val="both"/>
        <w:rPr>
          <w:rFonts w:ascii="Verdana" w:hAnsi="Verdana" w:cs="Arial"/>
          <w:b/>
          <w:bCs/>
          <w:color w:val="000000"/>
          <w:lang w:val="es-ES"/>
        </w:rPr>
      </w:pPr>
    </w:p>
    <w:p w14:paraId="5D7AF259" w14:textId="77777777" w:rsidR="004A0841" w:rsidRPr="004A0841" w:rsidRDefault="004A0841" w:rsidP="00751DE8">
      <w:pPr>
        <w:spacing w:after="0" w:line="240" w:lineRule="auto"/>
        <w:jc w:val="both"/>
        <w:rPr>
          <w:rFonts w:ascii="Verdana" w:hAnsi="Verdana" w:cs="Arial"/>
          <w:bCs/>
          <w:color w:val="000000"/>
          <w:sz w:val="20"/>
          <w:lang w:val="es-ES"/>
        </w:rPr>
      </w:pPr>
      <w:r>
        <w:rPr>
          <w:rFonts w:ascii="Verdana" w:hAnsi="Verdana" w:cs="Arial"/>
          <w:bCs/>
          <w:color w:val="000000"/>
          <w:sz w:val="20"/>
          <w:lang w:val="es-ES"/>
        </w:rPr>
        <w:t xml:space="preserve">Tanto las entidades sometidas al Estatuto General de Contratación de la Administración Pública, como las excluidas de este –es decir, las que tienen un régimen especial, entre ellas las empresas industriales y comerciales del Estado que desarrollan actividades en competencia o en mercados regulados– gozan de autonomía para configurar el precio y para establecer el sistema de pago más apropiado para satisfacer los fines de la contratación, respetando los límites previstos en el ordenamiento. En tal perspectiva, cuentan con discrecionalidad para establecer en el pliego de condiciones o en su documento equivalente, así como en el contrato, el sistema de precios unitarios y la figura del AIU; modelo que es más pertinente para los contratos de tracto sucesivo. Lo </w:t>
      </w:r>
      <w:r>
        <w:rPr>
          <w:rFonts w:ascii="Verdana" w:hAnsi="Verdana" w:cs="Arial"/>
          <w:bCs/>
          <w:color w:val="000000"/>
          <w:sz w:val="20"/>
          <w:lang w:val="es-ES"/>
        </w:rPr>
        <w:lastRenderedPageBreak/>
        <w:t>anterior sin perjuicio del deber de acatar los principios de la función administrativa y de la gestión fiscal consagrados en los artículos 209 y 267 de la Constitución Política.</w:t>
      </w:r>
    </w:p>
    <w:p w14:paraId="50B03A9D" w14:textId="77777777" w:rsidR="004A0841" w:rsidRDefault="004A0841" w:rsidP="00751DE8">
      <w:pPr>
        <w:spacing w:after="0" w:line="240" w:lineRule="auto"/>
        <w:jc w:val="both"/>
        <w:rPr>
          <w:rFonts w:ascii="Verdana" w:hAnsi="Verdana" w:cs="Arial"/>
          <w:b/>
          <w:bCs/>
          <w:color w:val="000000"/>
          <w:lang w:val="es-ES"/>
        </w:rPr>
      </w:pPr>
    </w:p>
    <w:p w14:paraId="13C583A9" w14:textId="77777777" w:rsidR="004A0841" w:rsidRPr="004A0841" w:rsidRDefault="004A0841" w:rsidP="00751DE8">
      <w:pPr>
        <w:spacing w:after="0" w:line="240" w:lineRule="auto"/>
        <w:jc w:val="both"/>
        <w:rPr>
          <w:rFonts w:ascii="Verdana" w:hAnsi="Verdana" w:cs="Arial"/>
          <w:b/>
          <w:bCs/>
          <w:color w:val="000000"/>
          <w:lang w:val="es-ES"/>
        </w:rPr>
      </w:pPr>
      <w:r w:rsidRPr="004A0841">
        <w:rPr>
          <w:rFonts w:ascii="Verdana" w:hAnsi="Verdana" w:cs="Arial"/>
          <w:b/>
          <w:bCs/>
          <w:color w:val="000000"/>
          <w:lang w:val="es-ES"/>
        </w:rPr>
        <w:t>AIU – Componentes – Determinación – Desagregación parcial</w:t>
      </w:r>
    </w:p>
    <w:p w14:paraId="1B58B015" w14:textId="77777777" w:rsidR="004A0841" w:rsidRDefault="004A0841" w:rsidP="00751DE8">
      <w:pPr>
        <w:spacing w:after="0" w:line="240" w:lineRule="auto"/>
        <w:jc w:val="both"/>
        <w:rPr>
          <w:rFonts w:ascii="Verdana" w:hAnsi="Verdana" w:cs="Arial"/>
          <w:b/>
          <w:bCs/>
          <w:color w:val="000000"/>
          <w:lang w:val="es-ES"/>
        </w:rPr>
      </w:pPr>
    </w:p>
    <w:p w14:paraId="3467C642" w14:textId="77777777" w:rsidR="004A0841" w:rsidRPr="004A0841" w:rsidRDefault="004A0841" w:rsidP="00751DE8">
      <w:pPr>
        <w:spacing w:after="0" w:line="240" w:lineRule="auto"/>
        <w:jc w:val="both"/>
        <w:rPr>
          <w:rFonts w:ascii="Verdana" w:hAnsi="Verdana" w:cs="Arial"/>
          <w:bCs/>
          <w:color w:val="000000"/>
          <w:sz w:val="20"/>
          <w:lang w:val="es-ES"/>
        </w:rPr>
      </w:pPr>
      <w:r>
        <w:rPr>
          <w:rFonts w:ascii="Verdana" w:hAnsi="Verdana" w:cs="Arial"/>
          <w:bCs/>
          <w:color w:val="000000"/>
          <w:sz w:val="20"/>
          <w:lang w:val="es-ES"/>
        </w:rPr>
        <w:t>Teniendo en cuenta que ni el concepto de AIU ni la forma de calcularlo son aspectos que cuenten con una regulación normativa en materia contractual del Estado, la determinación de los componentes del AIU dependerá del análisis particular que realice la entidad en relación con el presupuesto estimado del valor de la ejecución del contrato que, a su vez, sirve de guía para que los proponentes formulen sus ofertas. En consecuencia, no existe norma que imponga desagregar simultáneamente los tres componentes, de modo que la entidad puede discriminar únicamente un porcentaje de Administración destinado a cubrir costos indirectos de gestión y supervisión. Con todo, la ausencia de desagregación no implica la desaparición de los conceptos no discriminados: como el contrato estatal es oneroso y conmutativo, y en tanto los particulares que colaboran con las entidades estatales tienen derecho a obtener utilidades en los términos del artículo 3 de la Ley 80 de 1993, el beneficio económico del contratista y las contingencias propias del álea normal quedan incorporados en los precios ofertados.</w:t>
      </w:r>
    </w:p>
    <w:p w14:paraId="0C2DA766" w14:textId="77777777" w:rsidR="004A0841" w:rsidRDefault="004A0841" w:rsidP="00751DE8">
      <w:pPr>
        <w:spacing w:after="0" w:line="240" w:lineRule="auto"/>
        <w:jc w:val="both"/>
        <w:rPr>
          <w:rFonts w:ascii="Verdana" w:hAnsi="Verdana" w:cs="Arial"/>
          <w:b/>
          <w:bCs/>
          <w:color w:val="000000"/>
          <w:lang w:val="es-ES"/>
        </w:rPr>
      </w:pPr>
    </w:p>
    <w:p w14:paraId="654D08A1" w14:textId="77777777" w:rsidR="004A0841" w:rsidRDefault="004A0841" w:rsidP="00751DE8">
      <w:pPr>
        <w:spacing w:after="0" w:line="240" w:lineRule="auto"/>
        <w:jc w:val="both"/>
        <w:rPr>
          <w:rFonts w:ascii="Verdana" w:hAnsi="Verdana" w:cs="Arial"/>
          <w:b/>
          <w:bCs/>
          <w:color w:val="000000"/>
          <w:lang w:val="es-ES"/>
        </w:rPr>
      </w:pPr>
    </w:p>
    <w:p w14:paraId="1E9DD769" w14:textId="77777777" w:rsidR="00073C51" w:rsidRDefault="00073C51" w:rsidP="00751DE8">
      <w:pPr>
        <w:spacing w:after="0" w:line="240" w:lineRule="auto"/>
        <w:jc w:val="both"/>
        <w:rPr>
          <w:rFonts w:ascii="Verdana" w:hAnsi="Verdana" w:cs="Arial"/>
          <w:b/>
          <w:bCs/>
          <w:color w:val="000000"/>
          <w:lang w:val="es-ES"/>
        </w:rPr>
      </w:pPr>
    </w:p>
    <w:p w14:paraId="2A7BA654" w14:textId="77777777" w:rsidR="00073C51" w:rsidRDefault="00073C51" w:rsidP="00751DE8">
      <w:pPr>
        <w:spacing w:after="0" w:line="240" w:lineRule="auto"/>
        <w:jc w:val="both"/>
        <w:rPr>
          <w:rFonts w:ascii="Verdana" w:hAnsi="Verdana" w:cs="Arial"/>
          <w:b/>
          <w:bCs/>
          <w:color w:val="000000"/>
          <w:lang w:val="es-ES"/>
        </w:rPr>
      </w:pPr>
    </w:p>
    <w:p w14:paraId="35AA5C9D" w14:textId="77777777" w:rsidR="00073C51" w:rsidRDefault="00073C51" w:rsidP="00751DE8">
      <w:pPr>
        <w:spacing w:after="0" w:line="240" w:lineRule="auto"/>
        <w:jc w:val="both"/>
        <w:rPr>
          <w:rFonts w:ascii="Verdana" w:hAnsi="Verdana" w:cs="Arial"/>
          <w:b/>
          <w:bCs/>
          <w:color w:val="000000"/>
          <w:lang w:val="es-ES"/>
        </w:rPr>
      </w:pPr>
    </w:p>
    <w:p w14:paraId="6B16F640" w14:textId="77777777" w:rsidR="00073C51" w:rsidRDefault="00073C51" w:rsidP="00751DE8">
      <w:pPr>
        <w:spacing w:after="0" w:line="240" w:lineRule="auto"/>
        <w:jc w:val="both"/>
        <w:rPr>
          <w:rFonts w:ascii="Verdana" w:hAnsi="Verdana" w:cs="Arial"/>
          <w:b/>
          <w:bCs/>
          <w:color w:val="000000"/>
          <w:lang w:val="es-ES"/>
        </w:rPr>
      </w:pPr>
    </w:p>
    <w:p w14:paraId="5D9089D6" w14:textId="77777777" w:rsidR="00073C51" w:rsidRDefault="00073C51" w:rsidP="00751DE8">
      <w:pPr>
        <w:spacing w:after="0" w:line="240" w:lineRule="auto"/>
        <w:jc w:val="both"/>
        <w:rPr>
          <w:rFonts w:ascii="Verdana" w:hAnsi="Verdana" w:cs="Arial"/>
          <w:b/>
          <w:bCs/>
          <w:color w:val="000000"/>
          <w:lang w:val="es-ES"/>
        </w:rPr>
      </w:pPr>
    </w:p>
    <w:p w14:paraId="0B442FC8" w14:textId="77777777" w:rsidR="00073C51" w:rsidRDefault="00073C51" w:rsidP="00751DE8">
      <w:pPr>
        <w:spacing w:after="0" w:line="240" w:lineRule="auto"/>
        <w:jc w:val="both"/>
        <w:rPr>
          <w:rFonts w:ascii="Verdana" w:hAnsi="Verdana" w:cs="Arial"/>
          <w:b/>
          <w:bCs/>
          <w:color w:val="000000"/>
          <w:lang w:val="es-ES"/>
        </w:rPr>
      </w:pPr>
    </w:p>
    <w:p w14:paraId="11AC3220" w14:textId="77777777" w:rsidR="00073C51" w:rsidRDefault="00073C51" w:rsidP="00751DE8">
      <w:pPr>
        <w:spacing w:after="0" w:line="240" w:lineRule="auto"/>
        <w:jc w:val="both"/>
        <w:rPr>
          <w:rFonts w:ascii="Verdana" w:hAnsi="Verdana" w:cs="Arial"/>
          <w:b/>
          <w:bCs/>
          <w:color w:val="000000"/>
          <w:lang w:val="es-ES"/>
        </w:rPr>
      </w:pPr>
    </w:p>
    <w:p w14:paraId="5C17B170" w14:textId="77777777" w:rsidR="00073C51" w:rsidRDefault="00073C51" w:rsidP="00751DE8">
      <w:pPr>
        <w:spacing w:after="0" w:line="240" w:lineRule="auto"/>
        <w:jc w:val="both"/>
        <w:rPr>
          <w:rFonts w:ascii="Verdana" w:hAnsi="Verdana" w:cs="Arial"/>
          <w:b/>
          <w:bCs/>
          <w:color w:val="000000"/>
          <w:lang w:val="es-ES"/>
        </w:rPr>
      </w:pPr>
    </w:p>
    <w:p w14:paraId="39513C06" w14:textId="77777777" w:rsidR="00073C51" w:rsidRDefault="00073C51" w:rsidP="00751DE8">
      <w:pPr>
        <w:spacing w:after="0" w:line="240" w:lineRule="auto"/>
        <w:jc w:val="both"/>
        <w:rPr>
          <w:rFonts w:ascii="Verdana" w:hAnsi="Verdana" w:cs="Arial"/>
          <w:b/>
          <w:bCs/>
          <w:color w:val="000000"/>
          <w:lang w:val="es-ES"/>
        </w:rPr>
      </w:pPr>
    </w:p>
    <w:p w14:paraId="33D4D934" w14:textId="77777777" w:rsidR="00073C51" w:rsidRDefault="00073C51" w:rsidP="00751DE8">
      <w:pPr>
        <w:spacing w:after="0" w:line="240" w:lineRule="auto"/>
        <w:jc w:val="both"/>
        <w:rPr>
          <w:rFonts w:ascii="Verdana" w:hAnsi="Verdana" w:cs="Arial"/>
          <w:b/>
          <w:bCs/>
          <w:color w:val="000000"/>
          <w:lang w:val="es-ES"/>
        </w:rPr>
      </w:pPr>
    </w:p>
    <w:p w14:paraId="13C4CEE0" w14:textId="77777777" w:rsidR="00E1449C" w:rsidRDefault="00E1449C" w:rsidP="00662087">
      <w:pPr>
        <w:spacing w:after="0" w:line="240" w:lineRule="auto"/>
        <w:rPr>
          <w:rFonts w:ascii="Verdana" w:eastAsia="Verdana" w:hAnsi="Verdana" w:cs="Verdana"/>
        </w:rPr>
      </w:pPr>
    </w:p>
    <w:p w14:paraId="5D3428EB" w14:textId="77777777" w:rsidR="00E1449C" w:rsidRDefault="00E1449C" w:rsidP="00662087">
      <w:pPr>
        <w:spacing w:after="0" w:line="240" w:lineRule="auto"/>
        <w:rPr>
          <w:rFonts w:ascii="Verdana" w:eastAsia="Verdana" w:hAnsi="Verdana" w:cs="Verdana"/>
        </w:rPr>
      </w:pPr>
    </w:p>
    <w:p w14:paraId="25D18993" w14:textId="77777777" w:rsidR="00E1449C" w:rsidRDefault="00E1449C" w:rsidP="00662087">
      <w:pPr>
        <w:spacing w:after="0" w:line="240" w:lineRule="auto"/>
        <w:rPr>
          <w:rFonts w:ascii="Verdana" w:eastAsia="Verdana" w:hAnsi="Verdana" w:cs="Verdana"/>
        </w:rPr>
      </w:pPr>
    </w:p>
    <w:p w14:paraId="3AB55987" w14:textId="77777777" w:rsidR="00E1449C" w:rsidRDefault="00E1449C" w:rsidP="00662087">
      <w:pPr>
        <w:spacing w:after="0" w:line="240" w:lineRule="auto"/>
        <w:rPr>
          <w:rFonts w:ascii="Verdana" w:eastAsia="Verdana" w:hAnsi="Verdana" w:cs="Verdana"/>
        </w:rPr>
      </w:pPr>
    </w:p>
    <w:p w14:paraId="43034099" w14:textId="77777777" w:rsidR="00E1449C" w:rsidRDefault="00E1449C" w:rsidP="00662087">
      <w:pPr>
        <w:spacing w:after="0" w:line="240" w:lineRule="auto"/>
        <w:rPr>
          <w:rFonts w:ascii="Verdana" w:eastAsia="Verdana" w:hAnsi="Verdana" w:cs="Verdana"/>
        </w:rPr>
      </w:pPr>
    </w:p>
    <w:p w14:paraId="0BC6BCA6" w14:textId="77777777" w:rsidR="00E1449C" w:rsidRDefault="00E1449C" w:rsidP="00662087">
      <w:pPr>
        <w:spacing w:after="0" w:line="240" w:lineRule="auto"/>
        <w:rPr>
          <w:rFonts w:ascii="Verdana" w:eastAsia="Verdana" w:hAnsi="Verdana" w:cs="Verdana"/>
        </w:rPr>
      </w:pPr>
    </w:p>
    <w:p w14:paraId="4944B8A3" w14:textId="77777777" w:rsidR="00E1449C" w:rsidRDefault="00E1449C" w:rsidP="00662087">
      <w:pPr>
        <w:spacing w:after="0" w:line="240" w:lineRule="auto"/>
        <w:rPr>
          <w:rFonts w:ascii="Verdana" w:eastAsia="Verdana" w:hAnsi="Verdana" w:cs="Verdana"/>
        </w:rPr>
      </w:pPr>
    </w:p>
    <w:p w14:paraId="09CAFAF4" w14:textId="77777777" w:rsidR="00E1449C" w:rsidRDefault="00E1449C" w:rsidP="00662087">
      <w:pPr>
        <w:spacing w:after="0" w:line="240" w:lineRule="auto"/>
        <w:rPr>
          <w:rFonts w:ascii="Verdana" w:eastAsia="Verdana" w:hAnsi="Verdana" w:cs="Verdana"/>
        </w:rPr>
      </w:pPr>
    </w:p>
    <w:p w14:paraId="5CAED231" w14:textId="77777777" w:rsidR="00E1449C" w:rsidRDefault="00E1449C" w:rsidP="00662087">
      <w:pPr>
        <w:spacing w:after="0" w:line="240" w:lineRule="auto"/>
        <w:rPr>
          <w:rFonts w:ascii="Verdana" w:eastAsia="Verdana" w:hAnsi="Verdana" w:cs="Verdana"/>
        </w:rPr>
      </w:pPr>
    </w:p>
    <w:p w14:paraId="75085481" w14:textId="77777777" w:rsidR="00E1449C" w:rsidRDefault="00E1449C" w:rsidP="00662087">
      <w:pPr>
        <w:spacing w:after="0" w:line="240" w:lineRule="auto"/>
        <w:rPr>
          <w:rFonts w:ascii="Verdana" w:eastAsia="Verdana" w:hAnsi="Verdana" w:cs="Verdana"/>
        </w:rPr>
      </w:pPr>
    </w:p>
    <w:p w14:paraId="6E9C3B00" w14:textId="37D04207" w:rsidR="00751DE8" w:rsidRDefault="00751DE8" w:rsidP="00662087">
      <w:pPr>
        <w:spacing w:after="0" w:line="240" w:lineRule="auto"/>
        <w:rPr>
          <w:rFonts w:ascii="Verdana" w:eastAsia="Verdana" w:hAnsi="Verdana" w:cs="Verdana"/>
        </w:rPr>
      </w:pPr>
    </w:p>
    <w:p w14:paraId="14518312" w14:textId="6A0E0BBD" w:rsidR="00DC1EFB" w:rsidRDefault="00532128" w:rsidP="00662087">
      <w:pPr>
        <w:spacing w:after="0" w:line="240" w:lineRule="auto"/>
        <w:rPr>
          <w:rFonts w:ascii="Verdana" w:eastAsia="Verdana" w:hAnsi="Verdana" w:cs="Verdana"/>
        </w:rPr>
      </w:pPr>
      <w:r w:rsidRPr="00532128">
        <w:rPr>
          <w:rFonts w:ascii="Verdana" w:eastAsia="Verdana" w:hAnsi="Verdana" w:cs="Verdana"/>
        </w:rPr>
        <w:lastRenderedPageBreak/>
        <w:t>Bogotá D.C., 05 Agosto 202</w:t>
      </w:r>
      <w:r>
        <w:rPr>
          <w:rFonts w:ascii="Verdana" w:eastAsia="Verdana" w:hAnsi="Verdana" w:cs="Verdana"/>
        </w:rPr>
        <w:t>6</w:t>
      </w:r>
    </w:p>
    <w:p w14:paraId="17D0D082" w14:textId="7C146C92" w:rsidR="00DC1EFB" w:rsidRDefault="00DC1EFB" w:rsidP="00532128">
      <w:pPr>
        <w:spacing w:after="0" w:line="240" w:lineRule="auto"/>
        <w:jc w:val="right"/>
        <w:rPr>
          <w:rFonts w:ascii="Verdana" w:hAnsi="Verdana"/>
        </w:rPr>
      </w:pPr>
    </w:p>
    <w:p w14:paraId="16C81B3D" w14:textId="36962868" w:rsidR="00662087" w:rsidRPr="002B4BE9" w:rsidRDefault="002C2DF5" w:rsidP="00662087">
      <w:pPr>
        <w:spacing w:after="0" w:line="240" w:lineRule="auto"/>
        <w:rPr>
          <w:rFonts w:ascii="Verdana" w:hAnsi="Verdana"/>
        </w:rPr>
      </w:pPr>
      <w:r w:rsidRPr="00532128">
        <w:rPr>
          <w:rFonts w:ascii="Verdana" w:hAnsi="Verdana"/>
          <w:noProof/>
        </w:rPr>
        <w:drawing>
          <wp:anchor distT="0" distB="0" distL="114300" distR="114300" simplePos="0" relativeHeight="251658240" behindDoc="0" locked="0" layoutInCell="1" allowOverlap="1" wp14:anchorId="0850D0D5" wp14:editId="5DA96979">
            <wp:simplePos x="0" y="0"/>
            <wp:positionH relativeFrom="margin">
              <wp:posOffset>3515360</wp:posOffset>
            </wp:positionH>
            <wp:positionV relativeFrom="paragraph">
              <wp:posOffset>99060</wp:posOffset>
            </wp:positionV>
            <wp:extent cx="2088515" cy="850265"/>
            <wp:effectExtent l="0" t="0" r="6985" b="6985"/>
            <wp:wrapSquare wrapText="bothSides"/>
            <wp:docPr id="12598274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827431" name=""/>
                    <pic:cNvPicPr/>
                  </pic:nvPicPr>
                  <pic:blipFill rotWithShape="1">
                    <a:blip r:embed="rId11">
                      <a:extLst>
                        <a:ext uri="{28A0092B-C50C-407E-A947-70E740481C1C}">
                          <a14:useLocalDpi xmlns:a14="http://schemas.microsoft.com/office/drawing/2010/main" val="0"/>
                        </a:ext>
                      </a:extLst>
                    </a:blip>
                    <a:srcRect l="3139" t="6361" b="8441"/>
                    <a:stretch>
                      <a:fillRect/>
                    </a:stretch>
                  </pic:blipFill>
                  <pic:spPr bwMode="auto">
                    <a:xfrm>
                      <a:off x="0" y="0"/>
                      <a:ext cx="2088515" cy="850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C9B09B" w14:textId="04ADD06A" w:rsidR="00662087" w:rsidRPr="00524422" w:rsidRDefault="00662087" w:rsidP="00662087">
      <w:pPr>
        <w:spacing w:after="0" w:line="240" w:lineRule="auto"/>
        <w:rPr>
          <w:rFonts w:ascii="Verdana" w:eastAsia="Calibri" w:hAnsi="Verdana" w:cs="Times New Roman"/>
          <w:lang w:val="es-MX"/>
        </w:rPr>
      </w:pPr>
      <w:r w:rsidRPr="00524422">
        <w:rPr>
          <w:rFonts w:ascii="Verdana" w:eastAsia="Calibri" w:hAnsi="Verdana" w:cs="Times New Roman"/>
          <w:lang w:val="es-MX"/>
        </w:rPr>
        <w:t>Señor</w:t>
      </w:r>
    </w:p>
    <w:p w14:paraId="7588DBAF" w14:textId="4C7FE305" w:rsidR="00662087" w:rsidRPr="00524422" w:rsidRDefault="003E4915" w:rsidP="00662087">
      <w:pPr>
        <w:spacing w:after="0" w:line="240" w:lineRule="auto"/>
        <w:rPr>
          <w:rFonts w:ascii="Verdana" w:eastAsia="Calibri" w:hAnsi="Verdana" w:cs="Times New Roman"/>
          <w:b/>
        </w:rPr>
      </w:pPr>
      <w:r>
        <w:rPr>
          <w:rFonts w:ascii="Verdana" w:eastAsia="Calibri" w:hAnsi="Verdana" w:cs="Times New Roman"/>
          <w:b/>
        </w:rPr>
        <w:t>YONATHAN ARNOLDO BLANDÓN CASTAÑO</w:t>
      </w:r>
    </w:p>
    <w:p w14:paraId="1E60BD51" w14:textId="2521CC5F" w:rsidR="00662087" w:rsidRPr="00524422" w:rsidRDefault="00211A12" w:rsidP="00CD7FA1">
      <w:pPr>
        <w:spacing w:after="0" w:line="240" w:lineRule="auto"/>
        <w:rPr>
          <w:rFonts w:ascii="Verdana" w:hAnsi="Verdana"/>
        </w:rPr>
      </w:pPr>
      <w:r>
        <w:rPr>
          <w:rFonts w:ascii="Verdana" w:hAnsi="Verdana"/>
        </w:rPr>
        <w:t>Representante Legal – Nauf Soluciones S.A.S.</w:t>
      </w:r>
    </w:p>
    <w:p w14:paraId="004B7FE8" w14:textId="3661EC5C" w:rsidR="00662087" w:rsidRPr="00524422" w:rsidRDefault="00211A12" w:rsidP="00662087">
      <w:pPr>
        <w:spacing w:after="0" w:line="240" w:lineRule="auto"/>
        <w:rPr>
          <w:rFonts w:ascii="Verdana" w:eastAsia="Calibri" w:hAnsi="Verdana" w:cs="Times New Roman"/>
          <w:bCs/>
        </w:rPr>
      </w:pPr>
      <w:r>
        <w:rPr>
          <w:rFonts w:ascii="Verdana" w:eastAsia="Calibri" w:hAnsi="Verdana" w:cs="Times New Roman"/>
          <w:bCs/>
        </w:rPr>
        <w:t>yonathanblandon97@gmail.com</w:t>
      </w:r>
    </w:p>
    <w:p w14:paraId="5750F5E2" w14:textId="77777777" w:rsidR="00662087" w:rsidRPr="00524422" w:rsidRDefault="00211A12" w:rsidP="00662087">
      <w:pPr>
        <w:spacing w:after="0" w:line="240" w:lineRule="auto"/>
        <w:rPr>
          <w:rFonts w:ascii="Verdana" w:eastAsia="Calibri" w:hAnsi="Verdana" w:cs="Times New Roman"/>
          <w:bCs/>
        </w:rPr>
      </w:pPr>
      <w:r>
        <w:rPr>
          <w:rFonts w:ascii="Verdana" w:eastAsia="Calibri" w:hAnsi="Verdana" w:cs="Times New Roman"/>
          <w:bCs/>
        </w:rPr>
        <w:t>Manizales, Caldas</w:t>
      </w:r>
    </w:p>
    <w:p w14:paraId="6B769296" w14:textId="77777777" w:rsidR="00662087" w:rsidRPr="002B4BE9" w:rsidRDefault="00662087" w:rsidP="00662087">
      <w:pPr>
        <w:spacing w:after="0" w:line="240" w:lineRule="auto"/>
        <w:rPr>
          <w:rFonts w:ascii="Verdana" w:eastAsia="Calibri" w:hAnsi="Verdana" w:cs="Times New Roman"/>
        </w:rPr>
      </w:pPr>
    </w:p>
    <w:p w14:paraId="3EE2843F" w14:textId="77777777" w:rsidR="00662087" w:rsidRPr="002B4BE9" w:rsidRDefault="00662087" w:rsidP="00662087">
      <w:pPr>
        <w:spacing w:after="0" w:line="240" w:lineRule="auto"/>
        <w:rPr>
          <w:rFonts w:ascii="Verdana" w:eastAsia="Calibri" w:hAnsi="Verdana" w:cs="Times New Roman"/>
        </w:rPr>
      </w:pPr>
    </w:p>
    <w:p w14:paraId="12F84193" w14:textId="038FF444" w:rsidR="00662087" w:rsidRPr="002B4BE9" w:rsidRDefault="00662087" w:rsidP="00662087">
      <w:pPr>
        <w:spacing w:after="0" w:line="240" w:lineRule="auto"/>
        <w:rPr>
          <w:rFonts w:ascii="Verdana" w:eastAsia="Calibri" w:hAnsi="Verdana" w:cs="Times New Roman"/>
          <w:b/>
          <w:bCs/>
          <w:lang w:val="es-ES"/>
        </w:rPr>
      </w:pPr>
      <w:r w:rsidRPr="002B4BE9">
        <w:rPr>
          <w:rFonts w:ascii="Verdana" w:eastAsia="Calibri" w:hAnsi="Verdana" w:cs="Times New Roman"/>
          <w:b/>
          <w:bCs/>
          <w:lang w:val="es-ES"/>
        </w:rPr>
        <w:t xml:space="preserve">                                    Concepto C</w:t>
      </w:r>
      <w:r w:rsidR="002C2DF5">
        <w:rPr>
          <w:rFonts w:ascii="Verdana" w:eastAsia="Calibri" w:hAnsi="Verdana" w:cs="Times New Roman"/>
          <w:b/>
          <w:bCs/>
          <w:lang w:val="es-ES"/>
        </w:rPr>
        <w:t>-</w:t>
      </w:r>
      <w:r w:rsidR="00073C51" w:rsidRPr="00073C51">
        <w:rPr>
          <w:rFonts w:ascii="Verdana" w:eastAsia="Calibri" w:hAnsi="Verdana" w:cs="Times New Roman"/>
          <w:b/>
          <w:bCs/>
          <w:lang w:val="es-ES"/>
        </w:rPr>
        <w:t>1025</w:t>
      </w:r>
      <w:r w:rsidR="00073C51">
        <w:rPr>
          <w:rFonts w:ascii="Verdana" w:eastAsia="Calibri" w:hAnsi="Verdana" w:cs="Times New Roman"/>
          <w:b/>
          <w:bCs/>
          <w:lang w:val="es-ES"/>
        </w:rPr>
        <w:t xml:space="preserve"> </w:t>
      </w:r>
      <w:r w:rsidRPr="002B4BE9">
        <w:rPr>
          <w:rFonts w:ascii="Verdana" w:eastAsia="Calibri" w:hAnsi="Verdana" w:cs="Times New Roman"/>
          <w:b/>
          <w:bCs/>
          <w:lang w:val="es-ES"/>
        </w:rPr>
        <w:t>de 2026</w:t>
      </w:r>
    </w:p>
    <w:p w14:paraId="58F87254" w14:textId="77777777" w:rsidR="00662087" w:rsidRPr="002B4BE9" w:rsidRDefault="00662087" w:rsidP="00662087">
      <w:pPr>
        <w:spacing w:after="0" w:line="240" w:lineRule="auto"/>
        <w:rPr>
          <w:rFonts w:ascii="Verdana" w:eastAsia="Calibri" w:hAnsi="Verdana" w:cs="Times New Roman"/>
          <w:lang w:val="es-ES_tradnl"/>
        </w:rPr>
      </w:pPr>
    </w:p>
    <w:tbl>
      <w:tblPr>
        <w:tblStyle w:val="Tablaconcuadrcula11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662087" w:rsidRPr="002B4BE9" w14:paraId="4CBECE47" w14:textId="77777777" w:rsidTr="002A4618">
        <w:trPr>
          <w:trHeight w:val="645"/>
        </w:trPr>
        <w:tc>
          <w:tcPr>
            <w:tcW w:w="2685" w:type="dxa"/>
            <w:hideMark/>
          </w:tcPr>
          <w:p w14:paraId="4E46D6C2" w14:textId="77777777" w:rsidR="00662087" w:rsidRPr="00403388" w:rsidRDefault="00662087" w:rsidP="002A4618">
            <w:pPr>
              <w:rPr>
                <w:rFonts w:ascii="Verdana" w:hAnsi="Verdana"/>
                <w:b/>
                <w:bCs/>
                <w:lang w:val="es-ES_tradnl"/>
              </w:rPr>
            </w:pPr>
            <w:r w:rsidRPr="00403388">
              <w:rPr>
                <w:rFonts w:ascii="Verdana" w:hAnsi="Verdana"/>
                <w:b/>
                <w:bCs/>
                <w:lang w:val="es-ES_tradnl"/>
              </w:rPr>
              <w:t xml:space="preserve">Temas:                  </w:t>
            </w:r>
          </w:p>
        </w:tc>
        <w:tc>
          <w:tcPr>
            <w:tcW w:w="6241" w:type="dxa"/>
            <w:hideMark/>
          </w:tcPr>
          <w:p w14:paraId="0EA9ACF1" w14:textId="764320F1" w:rsidR="00662087" w:rsidRDefault="00662087" w:rsidP="002A4618">
            <w:pPr>
              <w:spacing w:line="276" w:lineRule="auto"/>
              <w:jc w:val="both"/>
              <w:rPr>
                <w:rFonts w:ascii="Verdana" w:hAnsi="Verdana" w:cs="Arial"/>
                <w:bCs/>
                <w:color w:val="000000"/>
                <w:lang w:val="es-ES"/>
              </w:rPr>
            </w:pPr>
            <w:r w:rsidRPr="001B49B3">
              <w:rPr>
                <w:rFonts w:ascii="Verdana" w:hAnsi="Verdana" w:cs="Arial"/>
                <w:bCs/>
                <w:color w:val="000000"/>
                <w:lang w:val="es-ES"/>
              </w:rPr>
              <w:t xml:space="preserve">PRECIOS UNITARIOS – APU – AIU / AIU – Tipología contractual – Mantenimiento de bienes inmuebles – Viabilidad / AIU – Régimen especial – Autonomía – Discrecionalidad / AIU – Componentes – Determinación – Desagregación parcial </w:t>
            </w:r>
          </w:p>
          <w:p w14:paraId="39CF5A57" w14:textId="6B79BC72" w:rsidR="00560B99" w:rsidRPr="00403388" w:rsidRDefault="00560B99" w:rsidP="002A4618">
            <w:pPr>
              <w:spacing w:line="276" w:lineRule="auto"/>
              <w:jc w:val="both"/>
              <w:rPr>
                <w:rFonts w:ascii="Verdana" w:hAnsi="Verdana" w:cs="Arial"/>
                <w:lang w:val="es-ES" w:eastAsia="es-ES"/>
              </w:rPr>
            </w:pPr>
          </w:p>
          <w:p w14:paraId="1E5C5293" w14:textId="77777777" w:rsidR="00662087" w:rsidRPr="00403388" w:rsidRDefault="00662087" w:rsidP="002A4618">
            <w:pPr>
              <w:snapToGrid w:val="0"/>
              <w:spacing w:line="276" w:lineRule="auto"/>
              <w:jc w:val="both"/>
              <w:rPr>
                <w:rFonts w:ascii="Verdana" w:hAnsi="Verdana" w:cs="Arial"/>
                <w:bCs/>
                <w:lang w:val="es-ES" w:eastAsia="es-ES"/>
              </w:rPr>
            </w:pPr>
          </w:p>
        </w:tc>
        <w:tc>
          <w:tcPr>
            <w:tcW w:w="6237" w:type="dxa"/>
          </w:tcPr>
          <w:p w14:paraId="56D88DA5" w14:textId="77777777" w:rsidR="00662087" w:rsidRPr="002B4BE9" w:rsidRDefault="00662087" w:rsidP="002A4618">
            <w:pPr>
              <w:rPr>
                <w:rFonts w:ascii="Verdana" w:hAnsi="Verdana"/>
                <w:lang w:val="es-ES"/>
              </w:rPr>
            </w:pPr>
          </w:p>
        </w:tc>
      </w:tr>
      <w:tr w:rsidR="00662087" w:rsidRPr="002B4BE9" w14:paraId="7F9C4229" w14:textId="77777777" w:rsidTr="002A4618">
        <w:tc>
          <w:tcPr>
            <w:tcW w:w="2685" w:type="dxa"/>
          </w:tcPr>
          <w:p w14:paraId="4EFC63BE" w14:textId="77777777" w:rsidR="00662087" w:rsidRPr="002B4BE9" w:rsidRDefault="00662087" w:rsidP="002A4618">
            <w:pPr>
              <w:rPr>
                <w:rFonts w:ascii="Verdana" w:hAnsi="Verdana"/>
                <w:b/>
                <w:bCs/>
                <w:lang w:val="es-ES_tradnl"/>
              </w:rPr>
            </w:pPr>
          </w:p>
          <w:p w14:paraId="438B43B8" w14:textId="77777777" w:rsidR="00662087" w:rsidRPr="00995618" w:rsidRDefault="00662087" w:rsidP="002A4618">
            <w:pPr>
              <w:rPr>
                <w:rFonts w:ascii="Verdana" w:hAnsi="Verdana"/>
                <w:b/>
                <w:bCs/>
                <w:lang w:val="es-ES_tradnl"/>
              </w:rPr>
            </w:pPr>
            <w:r w:rsidRPr="002B4BE9">
              <w:rPr>
                <w:rFonts w:ascii="Verdana" w:hAnsi="Verdana"/>
                <w:b/>
                <w:bCs/>
                <w:lang w:val="es-ES_tradnl"/>
              </w:rPr>
              <w:t xml:space="preserve">Radicación:               </w:t>
            </w:r>
          </w:p>
        </w:tc>
        <w:tc>
          <w:tcPr>
            <w:tcW w:w="6241" w:type="dxa"/>
          </w:tcPr>
          <w:p w14:paraId="772B0513" w14:textId="77777777" w:rsidR="00560B99" w:rsidRDefault="00560B99" w:rsidP="002A4618">
            <w:pPr>
              <w:spacing w:line="276" w:lineRule="auto"/>
              <w:jc w:val="both"/>
              <w:rPr>
                <w:rFonts w:ascii="Verdana" w:hAnsi="Verdana"/>
                <w:lang w:val="es-ES_tradnl"/>
              </w:rPr>
            </w:pPr>
          </w:p>
          <w:p w14:paraId="409AA33A" w14:textId="71F5A0E9" w:rsidR="00662087" w:rsidRDefault="00662087" w:rsidP="002A4618">
            <w:pPr>
              <w:spacing w:line="276" w:lineRule="auto"/>
              <w:jc w:val="both"/>
              <w:rPr>
                <w:rFonts w:ascii="Verdana" w:hAnsi="Verdana"/>
                <w:lang w:val="es-ES_tradnl"/>
              </w:rPr>
            </w:pPr>
            <w:r w:rsidRPr="002B4BE9">
              <w:rPr>
                <w:rFonts w:ascii="Verdana" w:hAnsi="Verdana"/>
                <w:lang w:val="es-ES_tradnl"/>
              </w:rPr>
              <w:t>Respuesta a consulta con radicado 1_2026_06_24_008468</w:t>
            </w:r>
          </w:p>
          <w:p w14:paraId="26930A0F" w14:textId="77777777" w:rsidR="00560B99" w:rsidRDefault="00560B99" w:rsidP="002A4618">
            <w:pPr>
              <w:spacing w:line="276" w:lineRule="auto"/>
              <w:jc w:val="both"/>
              <w:rPr>
                <w:rFonts w:ascii="Verdana" w:hAnsi="Verdana"/>
                <w:lang w:val="es-ES_tradnl"/>
              </w:rPr>
            </w:pPr>
          </w:p>
          <w:p w14:paraId="4E0EC95C" w14:textId="58210759" w:rsidR="00560B99" w:rsidRPr="002B4BE9" w:rsidRDefault="00560B99" w:rsidP="002A4618">
            <w:pPr>
              <w:spacing w:line="276" w:lineRule="auto"/>
              <w:jc w:val="both"/>
              <w:rPr>
                <w:rFonts w:ascii="Verdana" w:hAnsi="Verdana"/>
                <w:lang w:val="es-ES_tradnl"/>
              </w:rPr>
            </w:pPr>
          </w:p>
        </w:tc>
        <w:tc>
          <w:tcPr>
            <w:tcW w:w="6237" w:type="dxa"/>
          </w:tcPr>
          <w:p w14:paraId="50023446" w14:textId="77777777" w:rsidR="00662087" w:rsidRPr="002B4BE9" w:rsidRDefault="00662087" w:rsidP="002A4618">
            <w:pPr>
              <w:rPr>
                <w:rFonts w:ascii="Verdana" w:hAnsi="Verdana"/>
              </w:rPr>
            </w:pPr>
          </w:p>
        </w:tc>
      </w:tr>
    </w:tbl>
    <w:p w14:paraId="28A30BD8" w14:textId="68AA28D8" w:rsidR="00662087" w:rsidRPr="009037F6" w:rsidRDefault="00662087" w:rsidP="00662087">
      <w:pPr>
        <w:spacing w:after="0" w:line="256" w:lineRule="auto"/>
        <w:rPr>
          <w:rFonts w:ascii="Verdana" w:eastAsia="Calibri" w:hAnsi="Verdana" w:cs="Times New Roman"/>
          <w:lang w:val="es-ES"/>
        </w:rPr>
      </w:pPr>
      <w:r>
        <w:rPr>
          <w:rFonts w:ascii="Verdana" w:eastAsia="Calibri" w:hAnsi="Verdana" w:cs="Times New Roman"/>
          <w:lang w:val="es-ES"/>
        </w:rPr>
        <w:t>Estimado señor Blandón:</w:t>
      </w:r>
    </w:p>
    <w:p w14:paraId="120A1525" w14:textId="77777777" w:rsidR="00662087" w:rsidRPr="009037F6" w:rsidRDefault="00662087" w:rsidP="00662087">
      <w:pPr>
        <w:spacing w:after="0" w:line="276" w:lineRule="auto"/>
        <w:rPr>
          <w:rFonts w:ascii="Verdana" w:eastAsia="Calibri" w:hAnsi="Verdana" w:cs="Times New Roman"/>
          <w:lang w:val="es-ES"/>
        </w:rPr>
      </w:pPr>
    </w:p>
    <w:p w14:paraId="37FDACAF" w14:textId="3219DBD9" w:rsidR="003A26B0" w:rsidRDefault="00662087" w:rsidP="003A26B0">
      <w:pPr>
        <w:spacing w:after="120" w:line="276" w:lineRule="auto"/>
        <w:jc w:val="both"/>
        <w:rPr>
          <w:rFonts w:ascii="Verdana" w:eastAsia="Calibri" w:hAnsi="Verdana" w:cs="Times New Roman"/>
          <w:bCs/>
          <w:lang w:val="es-ES" w:bidi="es-ES"/>
        </w:rPr>
      </w:pPr>
      <w:r w:rsidRPr="009037F6">
        <w:rPr>
          <w:rFonts w:ascii="Verdana" w:eastAsia="Calibri" w:hAnsi="Verdana" w:cs="Times New Roman"/>
          <w:bCs/>
          <w:lang w:bidi="es-ES"/>
        </w:rPr>
        <w:t>La Agencia Nacional de Contratación Pública – Colombia Compra Eficiente –, en ejercicio de las competencias otorgadas por los Decretos 4170 de 2011 y 1822 de 2019 y de conformidad con las modalidades del derecho de petición contempladas en la Ley 1755 de 2015, así como lo establecido en la Resolución N° 469 del 2025 expedida por esta Agencia, responde su solicitud de consulta del 24 de junio de 2026, en la cual manifiesta:</w:t>
      </w:r>
    </w:p>
    <w:p w14:paraId="23DFA514" w14:textId="77777777" w:rsidR="005648EC" w:rsidRDefault="00662087" w:rsidP="005648EC">
      <w:pPr>
        <w:tabs>
          <w:tab w:val="left" w:pos="709"/>
        </w:tabs>
        <w:spacing w:after="120" w:line="240" w:lineRule="auto"/>
        <w:ind w:left="709" w:right="709"/>
        <w:jc w:val="both"/>
        <w:rPr>
          <w:rFonts w:ascii="Verdana" w:hAnsi="Verdana" w:cs="Arial"/>
          <w:sz w:val="21"/>
          <w:szCs w:val="21"/>
          <w:lang w:val="es-ES" w:eastAsia="es-ES"/>
        </w:rPr>
      </w:pPr>
      <w:r w:rsidRPr="00294ADE">
        <w:rPr>
          <w:rFonts w:ascii="Verdana" w:hAnsi="Verdana" w:cs="Arial"/>
          <w:sz w:val="21"/>
          <w:szCs w:val="21"/>
          <w:lang w:val="es-ES" w:eastAsia="es-ES"/>
        </w:rPr>
        <w:t>“Asunto: Consulta técnica sobre la aplicabilidad del esquema AIU y base gravable especial de IVA en contratos de mantenimiento de zonas verdes y reservas naturales.</w:t>
      </w:r>
    </w:p>
    <w:p w14:paraId="27D9DE58" w14:textId="208B87A6" w:rsidR="00662087" w:rsidRPr="00294ADE" w:rsidRDefault="005648EC" w:rsidP="005648EC">
      <w:pPr>
        <w:tabs>
          <w:tab w:val="left" w:pos="709"/>
        </w:tabs>
        <w:spacing w:after="120" w:line="240" w:lineRule="auto"/>
        <w:ind w:left="709" w:right="709"/>
        <w:jc w:val="both"/>
        <w:rPr>
          <w:rFonts w:ascii="Verdana" w:hAnsi="Verdana" w:cs="Arial"/>
          <w:sz w:val="21"/>
          <w:szCs w:val="21"/>
          <w:lang w:val="es-ES" w:eastAsia="es-ES"/>
        </w:rPr>
      </w:pPr>
      <w:r w:rsidRPr="005648EC">
        <w:rPr>
          <w:rFonts w:ascii="Verdana" w:hAnsi="Verdana" w:cs="Arial"/>
          <w:sz w:val="21"/>
          <w:szCs w:val="21"/>
          <w:lang w:val="es-ES" w:eastAsia="es-ES"/>
        </w:rPr>
        <w:t xml:space="preserve">Me dirijo a ustedes con el fin de solicitar un concepto técnico y orientación respecto a la estructura de costos en los procesos de contratación estatal. Actualmente, una EMPRESA INDUSTRIAL Y COMERCIAL DEL ESTADO (RÉGIMEN ESPECIAL DE CONTRATACIÓN) </w:t>
      </w:r>
      <w:r w:rsidRPr="005648EC">
        <w:rPr>
          <w:rFonts w:ascii="Verdana" w:hAnsi="Verdana" w:cs="Arial"/>
          <w:sz w:val="21"/>
          <w:szCs w:val="21"/>
          <w:lang w:val="es-ES" w:eastAsia="es-ES"/>
        </w:rPr>
        <w:lastRenderedPageBreak/>
        <w:t>se encuentra en la estructuración de un proceso cuyo objeto es el ‘Mantenimiento integral de zonas verdes y conservación de áreas de reserva natural’. Dicha actividad requiere la disposición de personal operativo (jardineros y operarios forestales), maquinaria especializada, insumos químicos y orgánicos, y una logística administrativa compleja para la disposición de residuos vegetales. Teniendo en cuenta lo anterior, me permito elevar las siguientes consultas:</w:t>
      </w:r>
    </w:p>
    <w:p w14:paraId="57F5C06F" w14:textId="77777777" w:rsidR="005648EC" w:rsidRDefault="00662087" w:rsidP="005648EC">
      <w:pPr>
        <w:tabs>
          <w:tab w:val="left" w:pos="709"/>
        </w:tabs>
        <w:spacing w:after="120" w:line="240" w:lineRule="auto"/>
        <w:ind w:left="709" w:right="709"/>
        <w:jc w:val="both"/>
        <w:rPr>
          <w:rFonts w:ascii="Verdana" w:hAnsi="Verdana" w:cs="Arial"/>
          <w:sz w:val="21"/>
          <w:szCs w:val="21"/>
          <w:lang w:val="es-ES" w:eastAsia="es-ES"/>
        </w:rPr>
      </w:pPr>
      <w:r w:rsidRPr="00294ADE">
        <w:rPr>
          <w:rFonts w:ascii="Verdana" w:hAnsi="Verdana" w:cs="Arial"/>
          <w:sz w:val="21"/>
          <w:szCs w:val="21"/>
          <w:lang w:val="es-ES" w:eastAsia="es-ES"/>
        </w:rPr>
        <w:t>1. Viabilidad del AIU: ¿Es jurídicamente viable que en un proceso de mantenimiento de zonas verdes y reservas naturales se establezca el presupuesto bajo el esquema de AIU (Administración, Imprevistos y Utilidad)?</w:t>
      </w:r>
    </w:p>
    <w:p w14:paraId="09E43A4B" w14:textId="77777777" w:rsidR="005648EC" w:rsidRDefault="00662087" w:rsidP="005648EC">
      <w:pPr>
        <w:tabs>
          <w:tab w:val="left" w:pos="709"/>
        </w:tabs>
        <w:spacing w:after="120" w:line="240" w:lineRule="auto"/>
        <w:ind w:left="709" w:right="709"/>
        <w:jc w:val="both"/>
        <w:rPr>
          <w:rFonts w:ascii="Verdana" w:hAnsi="Verdana" w:cs="Arial"/>
          <w:sz w:val="21"/>
          <w:szCs w:val="21"/>
          <w:lang w:val="es-ES" w:eastAsia="es-ES"/>
        </w:rPr>
      </w:pPr>
      <w:r w:rsidRPr="00294ADE">
        <w:rPr>
          <w:rFonts w:ascii="Verdana" w:hAnsi="Verdana" w:cs="Arial"/>
          <w:sz w:val="21"/>
          <w:szCs w:val="21"/>
          <w:lang w:val="es-ES" w:eastAsia="es-ES"/>
        </w:rPr>
        <w:t>2. Base Gravable Especial: Considerando que las labores de mantenimiento de zonas verdes implican la limpieza y conservación de áreas externas de bienes inmuebles, ¿podría este servicio clasificarse dentro de los ‘servicios integrales de aseo y conservación’ a los que se refiere el Artículo 462-1 del Estatuto Tributario, permitiendo así que el IVA se calcule únicamente sobre la base del AIU?</w:t>
      </w:r>
    </w:p>
    <w:p w14:paraId="139D0C2A" w14:textId="77777777" w:rsidR="005648EC" w:rsidRDefault="00662087" w:rsidP="005648EC">
      <w:pPr>
        <w:tabs>
          <w:tab w:val="left" w:pos="709"/>
        </w:tabs>
        <w:spacing w:after="120" w:line="240" w:lineRule="auto"/>
        <w:ind w:left="709" w:right="709"/>
        <w:jc w:val="both"/>
        <w:rPr>
          <w:rFonts w:ascii="Verdana" w:hAnsi="Verdana" w:cs="Arial"/>
          <w:sz w:val="21"/>
          <w:szCs w:val="21"/>
          <w:lang w:val="es-ES" w:eastAsia="es-ES"/>
        </w:rPr>
      </w:pPr>
      <w:r w:rsidRPr="00294ADE">
        <w:rPr>
          <w:rFonts w:ascii="Verdana" w:hAnsi="Verdana" w:cs="Arial"/>
          <w:sz w:val="21"/>
          <w:szCs w:val="21"/>
          <w:lang w:val="es-ES" w:eastAsia="es-ES"/>
        </w:rPr>
        <w:t>3. Alternativa de Administración Simple: En caso de que su despacho considere que para este objeto específico no es aplicable el esquema de AIU bajo el Artículo 462-1 del Estatuto Tributario, ¿es viable para la entidad contratante estructurar el presupuesto desglosando únicamente un porcentaje de Administración (destinado a cubrir costos indirectos de gestión y supervisión), sin incluir los componentes de Imprevistos y Utilidad, y aplicando el IVA del 19% sobre el valor total facturado? ¿Constituye esto una práctica válida de transparencia presupuestal en la contratación estatal?”.</w:t>
      </w:r>
    </w:p>
    <w:p w14:paraId="6C33AEC2" w14:textId="77777777" w:rsidR="00662087" w:rsidRPr="009037F6" w:rsidRDefault="00662087" w:rsidP="00662087">
      <w:pPr>
        <w:spacing w:after="120" w:line="276" w:lineRule="auto"/>
        <w:ind w:firstLine="709"/>
        <w:jc w:val="both"/>
        <w:rPr>
          <w:rFonts w:ascii="Verdana" w:eastAsia="Calibri" w:hAnsi="Verdana" w:cs="Times New Roman"/>
          <w:lang w:val="es-ES"/>
        </w:rPr>
      </w:pPr>
      <w:r w:rsidRPr="009037F6">
        <w:rPr>
          <w:rFonts w:ascii="Verdana" w:eastAsia="Calibri" w:hAnsi="Verdana" w:cs="Times New Roman"/>
          <w:lang w:val="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w:t>
      </w:r>
      <w:r w:rsidRPr="009037F6">
        <w:rPr>
          <w:rFonts w:ascii="Verdana" w:eastAsia="Calibri" w:hAnsi="Verdana" w:cs="Times New Roman"/>
          <w:lang w:val="es-ES"/>
        </w:rPr>
        <w:lastRenderedPageBreak/>
        <w:t>determinar grados de responsabilidad por las actuaciones de los diferentes participes del sistema de compra pública.</w:t>
      </w:r>
    </w:p>
    <w:p w14:paraId="15C42BAF" w14:textId="1DFA62A4" w:rsidR="00662087" w:rsidRPr="009037F6" w:rsidRDefault="00662087" w:rsidP="00662087">
      <w:pPr>
        <w:spacing w:after="0" w:line="276" w:lineRule="auto"/>
        <w:ind w:firstLine="708"/>
        <w:jc w:val="both"/>
        <w:rPr>
          <w:rFonts w:ascii="Verdana" w:eastAsia="Calibri" w:hAnsi="Verdana" w:cs="Times New Roman"/>
          <w:lang w:val="es-ES"/>
        </w:rPr>
      </w:pPr>
      <w:r w:rsidRPr="009037F6">
        <w:rPr>
          <w:rFonts w:ascii="Verdana" w:eastAsia="Calibri" w:hAnsi="Verdana" w:cs="Times New Roman"/>
          <w:lang w:val="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w:t>
      </w:r>
    </w:p>
    <w:p w14:paraId="21CC9EEF" w14:textId="77777777" w:rsidR="00662087" w:rsidRPr="009037F6" w:rsidRDefault="00662087" w:rsidP="00662087">
      <w:pPr>
        <w:spacing w:after="0" w:line="276" w:lineRule="auto"/>
        <w:rPr>
          <w:rFonts w:ascii="Verdana" w:eastAsia="Calibri" w:hAnsi="Verdana" w:cs="Times New Roman"/>
          <w:lang w:val="es-ES"/>
        </w:rPr>
      </w:pPr>
    </w:p>
    <w:p w14:paraId="41F9FFCE" w14:textId="1ADE50EE" w:rsidR="00662087" w:rsidRPr="009037F6" w:rsidRDefault="00662087" w:rsidP="00662087">
      <w:pPr>
        <w:numPr>
          <w:ilvl w:val="0"/>
          <w:numId w:val="16"/>
        </w:numPr>
        <w:spacing w:after="0" w:line="276" w:lineRule="auto"/>
        <w:rPr>
          <w:rFonts w:ascii="Verdana" w:eastAsia="Calibri" w:hAnsi="Verdana" w:cs="Times New Roman"/>
          <w:b/>
          <w:bCs/>
          <w:lang w:val="es-ES"/>
        </w:rPr>
      </w:pPr>
      <w:r w:rsidRPr="009037F6">
        <w:rPr>
          <w:rFonts w:ascii="Verdana" w:eastAsia="Calibri" w:hAnsi="Verdana" w:cs="Times New Roman"/>
          <w:b/>
          <w:bCs/>
          <w:lang w:val="es-ES"/>
        </w:rPr>
        <w:t>Problemas planteados:</w:t>
      </w:r>
    </w:p>
    <w:p w14:paraId="2ED75888" w14:textId="77777777" w:rsidR="00662087" w:rsidRPr="009037F6" w:rsidRDefault="00662087" w:rsidP="00662087">
      <w:pPr>
        <w:spacing w:after="0" w:line="276" w:lineRule="auto"/>
        <w:rPr>
          <w:rFonts w:ascii="Verdana" w:eastAsia="Calibri" w:hAnsi="Verdana" w:cs="Times New Roman"/>
        </w:rPr>
      </w:pPr>
    </w:p>
    <w:p w14:paraId="166C12F4" w14:textId="433DA2BD" w:rsidR="00662087" w:rsidRPr="00D1210B" w:rsidRDefault="00662087" w:rsidP="00662087">
      <w:pPr>
        <w:spacing w:after="0" w:line="276" w:lineRule="auto"/>
        <w:jc w:val="both"/>
        <w:rPr>
          <w:rFonts w:ascii="Verdana" w:eastAsia="Calibri" w:hAnsi="Verdana" w:cs="Times New Roman"/>
        </w:rPr>
      </w:pPr>
      <w:r w:rsidRPr="009037F6">
        <w:rPr>
          <w:rFonts w:ascii="Verdana" w:eastAsia="Calibri" w:hAnsi="Verdana" w:cs="Times New Roman"/>
        </w:rPr>
        <w:t>De acuerdo con el contenido de su solicitud, y dentro de los límites de competencia antes señalados, la Agencia procede a resolver los siguientes problemas jurídicos: i) ¿Es jurídicamente viable que una entidad estatal estructure el presupuesto oficial y el precio de un contrato cuyo objeto sea el mantenimiento de zonas verdes y la conservación de áreas de reserva natural bajo el esquema de Administración, Imprevistos y Utilidad –AIU–?, y ii) ¿Puede la entidad estatal desglosar el precio del contrato incluyendo únicamente un porcentaje de Administración, sin discriminar los componentes de Imprevistos y Utilidad?</w:t>
      </w:r>
    </w:p>
    <w:p w14:paraId="4B1FE14C" w14:textId="77777777" w:rsidR="00662087" w:rsidRPr="00E27EDD" w:rsidRDefault="00662087" w:rsidP="00662087">
      <w:pPr>
        <w:spacing w:after="0" w:line="276" w:lineRule="auto"/>
        <w:jc w:val="both"/>
        <w:rPr>
          <w:rFonts w:ascii="Verdana" w:eastAsia="Calibri" w:hAnsi="Verdana" w:cs="Times New Roman"/>
          <w:i/>
          <w:iCs/>
        </w:rPr>
      </w:pPr>
    </w:p>
    <w:p w14:paraId="21130577" w14:textId="5DD37AE6" w:rsidR="00662087" w:rsidRPr="009037F6" w:rsidRDefault="00662087" w:rsidP="00662087">
      <w:pPr>
        <w:numPr>
          <w:ilvl w:val="0"/>
          <w:numId w:val="16"/>
        </w:numPr>
        <w:spacing w:after="0" w:line="276" w:lineRule="auto"/>
        <w:rPr>
          <w:rFonts w:ascii="Verdana" w:eastAsia="Calibri" w:hAnsi="Verdana" w:cs="Times New Roman"/>
          <w:b/>
          <w:bCs/>
          <w:lang w:val="es-ES"/>
        </w:rPr>
      </w:pPr>
      <w:r w:rsidRPr="009037F6">
        <w:rPr>
          <w:rFonts w:ascii="Verdana" w:eastAsia="Calibri" w:hAnsi="Verdana" w:cs="Times New Roman"/>
          <w:b/>
          <w:bCs/>
          <w:lang w:val="es-ES"/>
        </w:rPr>
        <w:t>Respuestas:</w:t>
      </w:r>
    </w:p>
    <w:p w14:paraId="71C56C70" w14:textId="77777777" w:rsidR="00662087" w:rsidRPr="009037F6" w:rsidRDefault="00662087" w:rsidP="00662087">
      <w:pPr>
        <w:spacing w:after="0" w:line="276" w:lineRule="auto"/>
        <w:rPr>
          <w:rFonts w:ascii="Verdana" w:eastAsia="Calibri" w:hAnsi="Verdana" w:cs="Times New Roman"/>
          <w:b/>
          <w:bCs/>
          <w:lang w:val="es-ES"/>
        </w:rPr>
      </w:pPr>
    </w:p>
    <w:tbl>
      <w:tblPr>
        <w:tblStyle w:val="Tablaconcuadrcula11"/>
        <w:tblW w:w="878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784"/>
      </w:tblGrid>
      <w:tr w:rsidR="00662087" w:rsidRPr="009037F6" w14:paraId="40D4442E" w14:textId="77777777" w:rsidTr="002A4618">
        <w:trPr>
          <w:trHeight w:val="345"/>
          <w:jc w:val="center"/>
        </w:trPr>
        <w:tc>
          <w:tcPr>
            <w:tcW w:w="8784" w:type="dxa"/>
            <w:tcBorders>
              <w:bottom w:val="single" w:sz="4" w:space="0" w:color="auto"/>
            </w:tcBorders>
          </w:tcPr>
          <w:p w14:paraId="76D7E9E2" w14:textId="11209EF9" w:rsidR="008A2B6F" w:rsidRPr="004F3256" w:rsidRDefault="008A2B6F" w:rsidP="00560B99">
            <w:pPr>
              <w:spacing w:after="120" w:line="276" w:lineRule="auto"/>
              <w:ind w:firstLine="597"/>
              <w:jc w:val="both"/>
              <w:rPr>
                <w:rFonts w:ascii="Verdana" w:hAnsi="Verdana" w:cs="Arial"/>
                <w:lang w:val="es-ES" w:eastAsia="es-ES"/>
              </w:rPr>
            </w:pPr>
            <w:r w:rsidRPr="004F3256">
              <w:rPr>
                <w:rFonts w:ascii="Verdana" w:eastAsia="Times New Roman" w:hAnsi="Verdana" w:cs="Arial"/>
                <w:color w:val="000000" w:themeColor="text1"/>
                <w:lang w:val="es-ES" w:eastAsia="es-ES"/>
              </w:rPr>
              <w:t xml:space="preserve">i) El AIU es una metodología de estipulación del precio de origen consuetudinario que no cuenta con regulación en el Estatuto General de Contratación de la Administración Pública ni en sus decretos reglamentarios. Por ello, no existen a priori tipologías contractuales en las que la ley o el reglamento impongan su utilización, ni tampoco tipologías en las que se prohíba emplearlo. En consecuencia, resulta jurídicamente viable que el presupuesto de un proceso cuyo objeto sea el mantenimiento de zonas verdes y la conservación de áreas de reserva natural se estructure bajo el esquema de AIU, siempre que dicha decisión sea el resultado de los estudios previos y, en especial, del análisis del sector, en cumplimiento del principio de planeación. Tanto las entidades sometidas al Estatuto General de Contratación de la Administración Pública como las excluidas de este –entre ellas las </w:t>
            </w:r>
            <w:r w:rsidRPr="004F3256">
              <w:rPr>
                <w:rFonts w:ascii="Verdana" w:eastAsia="Times New Roman" w:hAnsi="Verdana" w:cs="Arial"/>
                <w:color w:val="000000" w:themeColor="text1"/>
                <w:lang w:val="es-ES" w:eastAsia="es-ES"/>
              </w:rPr>
              <w:lastRenderedPageBreak/>
              <w:t>empresas industriales y comerciales del Estado que desarrollan su actividad en competencia con el sector privado o público, o en mercados regulados– gozan de autonomía para configurar el precio y para establecer el sistema de pago más apropiado para satisfacer los fines de la contratación, respetando los límites previstos en el ordenamiento y los principios de la función administrativa y de la gestión fiscal previstos en los artículos 209 y 267 de la Constitución Política.</w:t>
            </w:r>
          </w:p>
          <w:p w14:paraId="65CE752D" w14:textId="77777777" w:rsidR="00560B99" w:rsidRDefault="008A2B6F" w:rsidP="00560B99">
            <w:pPr>
              <w:spacing w:after="120" w:line="276" w:lineRule="auto"/>
              <w:ind w:firstLine="739"/>
              <w:jc w:val="both"/>
              <w:rPr>
                <w:rFonts w:ascii="Verdana" w:eastAsia="Times New Roman" w:hAnsi="Verdana" w:cs="Arial"/>
                <w:color w:val="000000" w:themeColor="text1"/>
                <w:lang w:val="es-ES" w:eastAsia="es-ES"/>
              </w:rPr>
            </w:pPr>
            <w:r w:rsidRPr="004F3256">
              <w:rPr>
                <w:rFonts w:ascii="Verdana" w:eastAsia="Times New Roman" w:hAnsi="Verdana" w:cs="Arial"/>
                <w:color w:val="000000" w:themeColor="text1"/>
                <w:lang w:val="es-ES" w:eastAsia="es-ES"/>
              </w:rPr>
              <w:t>ii) Como ni el concepto de AIU ni la forma de calcularlo cuentan con regulación normativa en materia contractual del Estado, la determinación de sus componentes depende del análisis particular que realice la entidad respecto del presupuesto estimado del valor de ejecución del contrato. Por tanto, ninguna disposición impide que la entidad estructure el presupuesto discriminando únicamente un porcentaje de Administración destinado a cubrir costos indirectos de gestión y supervisión. Con todo, deben advertirse tres precisiones: a) la ausencia de desagregación no implica la desaparición de los conceptos no discriminados, pues, siendo el contrato estatal oneroso y conmutativo, y teniendo los particulares que colaboran con las entidades estatales derecho a obtener utilidades conforme al artículo 3 de la Ley 80 de 1993, el beneficio económico del contratista y las contingencias quedan incorporados en los precios ofertados; b) la decisión sobre el esquema de desagregación debe obedecer a un juicioso análisis de oportunidad y conveniencia, soportado en los estudios previos, y no puede traducirse en la fijación de un presupuesto que desconozca las condiciones reales del mercado, en detrimento de los principios de planeación, economía y responsabilidad; y c) la denominación que las partes den a los componentes del precio no determina por sí misma el tratamiento tributario de la operación, materia cuya interpretación corresponde de manera privativa a la Dirección de Impuestos y Aduanas Nacionales.</w:t>
            </w:r>
          </w:p>
          <w:p w14:paraId="12CD635B" w14:textId="01744D84" w:rsidR="00560B99" w:rsidRPr="00560B99" w:rsidRDefault="00560B99" w:rsidP="00560B99">
            <w:pPr>
              <w:spacing w:after="120" w:line="276" w:lineRule="auto"/>
              <w:ind w:left="30" w:firstLine="709"/>
              <w:jc w:val="both"/>
              <w:rPr>
                <w:rFonts w:ascii="Verdana" w:eastAsia="Times New Roman" w:hAnsi="Verdana" w:cs="Arial"/>
                <w:color w:val="000000" w:themeColor="text1"/>
                <w:lang w:val="es-ES" w:eastAsia="es-ES"/>
              </w:rPr>
            </w:pPr>
            <w:r w:rsidRPr="009037F6">
              <w:rPr>
                <w:rFonts w:ascii="Verdana" w:hAnsi="Verdana" w:cs="Arial"/>
                <w:lang w:val="es-ES" w:eastAsia="es-ES"/>
              </w:rPr>
              <w:t xml:space="preserve">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w:t>
            </w:r>
            <w:r w:rsidRPr="009037F6">
              <w:rPr>
                <w:rFonts w:ascii="Verdana" w:hAnsi="Verdana" w:cs="Arial"/>
                <w:lang w:val="es-ES" w:eastAsia="es-ES"/>
              </w:rPr>
              <w:lastRenderedPageBreak/>
              <w:t>de adelantar su gestión contractual, sin que sea atribución de Colombia Compra Efi</w:t>
            </w:r>
            <w:r>
              <w:rPr>
                <w:rFonts w:ascii="Verdana" w:hAnsi="Verdana" w:cs="Arial"/>
                <w:lang w:val="es-ES" w:eastAsia="es-ES"/>
              </w:rPr>
              <w:t>ciente validar sus actuaciones.</w:t>
            </w:r>
          </w:p>
        </w:tc>
      </w:tr>
    </w:tbl>
    <w:p w14:paraId="2A48818A" w14:textId="77777777" w:rsidR="00662087" w:rsidRPr="00B57A1B" w:rsidRDefault="00662087" w:rsidP="00662087">
      <w:pPr>
        <w:spacing w:after="0" w:line="276" w:lineRule="auto"/>
        <w:jc w:val="both"/>
        <w:rPr>
          <w:rFonts w:ascii="Verdana" w:eastAsia="Calibri" w:hAnsi="Verdana" w:cs="Arial"/>
          <w:bCs/>
          <w:color w:val="000000" w:themeColor="text1"/>
        </w:rPr>
      </w:pPr>
      <w:bookmarkStart w:id="1" w:name="_Hlk78820161"/>
      <w:bookmarkStart w:id="2" w:name="_Hlk37703813"/>
    </w:p>
    <w:p w14:paraId="3A9E4308" w14:textId="54A59D65" w:rsidR="00662087" w:rsidRPr="00B57A1B" w:rsidRDefault="00662087" w:rsidP="00662087">
      <w:pPr>
        <w:numPr>
          <w:ilvl w:val="0"/>
          <w:numId w:val="16"/>
        </w:numPr>
        <w:tabs>
          <w:tab w:val="left" w:pos="2268"/>
        </w:tabs>
        <w:spacing w:after="0" w:line="276" w:lineRule="auto"/>
        <w:rPr>
          <w:rFonts w:ascii="Verdana" w:eastAsia="Calibri" w:hAnsi="Verdana" w:cs="Times New Roman"/>
          <w:b/>
          <w:bCs/>
          <w:lang w:val="es-ES"/>
        </w:rPr>
      </w:pPr>
      <w:r w:rsidRPr="00B57A1B">
        <w:rPr>
          <w:rFonts w:ascii="Verdana" w:eastAsia="Calibri" w:hAnsi="Verdana" w:cs="Times New Roman"/>
          <w:b/>
          <w:bCs/>
          <w:lang w:val="es-ES"/>
        </w:rPr>
        <w:t>Razones de las respuestas:</w:t>
      </w:r>
    </w:p>
    <w:p w14:paraId="647E50B6" w14:textId="77777777" w:rsidR="00662087" w:rsidRPr="003C0ED7" w:rsidRDefault="00662087" w:rsidP="00662087">
      <w:pPr>
        <w:spacing w:after="0" w:line="276" w:lineRule="auto"/>
        <w:jc w:val="both"/>
        <w:rPr>
          <w:rFonts w:ascii="Verdana" w:eastAsia="Calibri" w:hAnsi="Verdana" w:cs="Arial"/>
          <w:lang w:val="es-ES"/>
        </w:rPr>
      </w:pPr>
    </w:p>
    <w:p w14:paraId="5CEB48E8" w14:textId="77777777" w:rsidR="00662087" w:rsidRPr="00A0389A" w:rsidRDefault="00662087" w:rsidP="00662087">
      <w:pPr>
        <w:spacing w:after="0" w:line="276" w:lineRule="auto"/>
        <w:jc w:val="both"/>
        <w:rPr>
          <w:rFonts w:ascii="Verdana" w:eastAsia="Calibri" w:hAnsi="Verdana" w:cs="Arial"/>
          <w:lang w:val="es-ES"/>
        </w:rPr>
      </w:pPr>
      <w:r w:rsidRPr="00A0389A">
        <w:rPr>
          <w:rFonts w:ascii="Verdana" w:eastAsia="Calibri" w:hAnsi="Verdana" w:cs="Arial"/>
          <w:lang w:val="es-ES"/>
        </w:rPr>
        <w:t>Lo anterior se sustenta en las siguientes consideraciones:</w:t>
      </w:r>
    </w:p>
    <w:p w14:paraId="4958D09C" w14:textId="77777777" w:rsidR="00662087" w:rsidRPr="00A0389A" w:rsidRDefault="00662087" w:rsidP="00662087">
      <w:pPr>
        <w:spacing w:after="0" w:line="276" w:lineRule="auto"/>
        <w:jc w:val="both"/>
        <w:rPr>
          <w:rFonts w:ascii="Verdana" w:eastAsia="Calibri" w:hAnsi="Verdana" w:cs="Arial"/>
          <w:color w:val="000000" w:themeColor="text1"/>
        </w:rPr>
      </w:pPr>
    </w:p>
    <w:p w14:paraId="6F47D2D3" w14:textId="2E642AB5" w:rsidR="00662087" w:rsidRPr="00A0389A" w:rsidRDefault="00867E8A" w:rsidP="00662087">
      <w:pPr>
        <w:spacing w:after="0" w:line="276" w:lineRule="auto"/>
        <w:jc w:val="both"/>
        <w:rPr>
          <w:rFonts w:ascii="Verdana" w:hAnsi="Verdana" w:cs="Arial"/>
          <w:bCs/>
          <w:szCs w:val="24"/>
          <w:lang w:val="es-ES_tradnl" w:eastAsia="es-ES_tradnl"/>
        </w:rPr>
      </w:pPr>
      <w:r>
        <w:rPr>
          <w:rFonts w:ascii="Verdana" w:hAnsi="Verdana" w:cs="Arial"/>
          <w:bCs/>
          <w:szCs w:val="24"/>
          <w:lang w:val="es-ES_tradnl" w:eastAsia="es-ES_tradnl"/>
        </w:rPr>
        <w:t xml:space="preserve">i) </w:t>
      </w:r>
      <w:r w:rsidR="00662087" w:rsidRPr="00A0389A">
        <w:rPr>
          <w:rFonts w:ascii="Verdana" w:hAnsi="Verdana" w:cs="Arial"/>
          <w:bCs/>
          <w:szCs w:val="24"/>
          <w:lang w:val="es-ES_tradnl" w:eastAsia="es-ES_tradnl"/>
        </w:rPr>
        <w:t>Como es sabido, uno de los elementos más comunes en los contratos estatales es el precio, también conocido como valor. Aunque no todo contrato lo incluye –pues también existen negocios gratuitos– lo usual es que los contratos estatales se perfeccionen como onerosos y, la mayoría de las veces, como conmutativos. Adicionalmente, el precio suele ser el elemento más importante para el contratista, porque equivale a la remuneración que la entidad contratante le pagará por la ejecución del objeto contractual.</w:t>
      </w:r>
    </w:p>
    <w:p w14:paraId="316FE6E8" w14:textId="77777777" w:rsidR="00662087" w:rsidRPr="00A0389A" w:rsidRDefault="00662087" w:rsidP="00662087">
      <w:pPr>
        <w:spacing w:before="120" w:after="0" w:line="276" w:lineRule="auto"/>
        <w:ind w:firstLine="709"/>
        <w:jc w:val="both"/>
        <w:rPr>
          <w:rFonts w:ascii="Verdana" w:hAnsi="Verdana" w:cs="Arial"/>
          <w:lang w:val="es-ES" w:eastAsia="es-ES"/>
        </w:rPr>
      </w:pPr>
      <w:r w:rsidRPr="00A0389A">
        <w:rPr>
          <w:rFonts w:ascii="Verdana" w:hAnsi="Verdana" w:cs="Arial"/>
          <w:lang w:val="es-ES" w:eastAsia="es-ES"/>
        </w:rPr>
        <w:t>Desde la etapa de planeación, en la fase precontractual, las entidades estatales deben calcular el presupuesto oficial, mediante la realización del análisis del sector –que incluye el estudio del mercado– y definir la metodología con la cual estructurarán el precio del contrato. Dicho de otro modo, hace parte de los estudios previos la definición del esquema que la Administración usará para estipular el precio. Tal metodología generalmente depende del tipo de contrato, pues hay algunas modalidades más comunes en los de obra pública; otras más utilizadas en los de prestación de servicios y otras más indicadas para los de concesión, por mencionar algunos ejemplos</w:t>
      </w:r>
      <w:r w:rsidRPr="00A0389A">
        <w:rPr>
          <w:rFonts w:ascii="Verdana" w:hAnsi="Verdana" w:cs="Arial"/>
          <w:vertAlign w:val="superscript"/>
          <w:lang w:val="es-ES" w:eastAsia="es-ES"/>
        </w:rPr>
        <w:footnoteReference w:id="1"/>
      </w:r>
      <w:r w:rsidRPr="00A0389A">
        <w:rPr>
          <w:rFonts w:ascii="Verdana" w:hAnsi="Verdana" w:cs="Arial"/>
          <w:lang w:val="es-ES" w:eastAsia="es-ES"/>
        </w:rPr>
        <w:t xml:space="preserve">. No hay, pues, una sola </w:t>
      </w:r>
      <w:r w:rsidRPr="00A0389A">
        <w:rPr>
          <w:rFonts w:ascii="Verdana" w:hAnsi="Verdana" w:cs="Arial"/>
          <w:lang w:val="es-ES" w:eastAsia="es-ES"/>
        </w:rPr>
        <w:lastRenderedPageBreak/>
        <w:t>metodología para pactar el precio y, en gran medida, la manera de hacerlo ha obedecido a la costumbre mercantil y a la influencia de disciplinas técnicas, como la ingeniería o la administración de empresas, en la contratación estatal. Dentro de tales esquemas de establecimiento del precio pueden citarse, entre otros: i) los precios unitarios –calculados de acuerdo con las unidades que componen el objeto del contrato–, ii) el precio global –que equivale al monto total, sin discriminar unidades–, y iii) la administración delegada de recursos –en la que se distinguen los costos de inversión de los honorarios del administrador–.</w:t>
      </w:r>
    </w:p>
    <w:p w14:paraId="2CFA2EAB" w14:textId="77777777" w:rsidR="00662087" w:rsidRPr="00A0389A" w:rsidRDefault="00662087" w:rsidP="00662087">
      <w:pPr>
        <w:spacing w:before="120" w:after="0" w:line="276" w:lineRule="auto"/>
        <w:ind w:firstLine="709"/>
        <w:jc w:val="both"/>
        <w:rPr>
          <w:rFonts w:ascii="Verdana" w:hAnsi="Verdana" w:cs="Arial"/>
          <w:lang w:val="es-ES" w:eastAsia="es-ES"/>
        </w:rPr>
      </w:pPr>
      <w:r w:rsidRPr="00A0389A">
        <w:rPr>
          <w:rFonts w:ascii="Verdana" w:hAnsi="Verdana" w:cs="Arial"/>
          <w:lang w:val="es-ES" w:eastAsia="es-ES"/>
        </w:rPr>
        <w:t xml:space="preserve">Pues bien, en los contratos cuyo precio se estructura a partir del sistema de precios unitarios, ha hecho parte de la práctica de los negocios que el contratante le solicite al potencial contratista que separe en su propuesta los </w:t>
      </w:r>
      <w:r w:rsidRPr="00A0389A">
        <w:rPr>
          <w:rFonts w:ascii="Verdana" w:hAnsi="Verdana" w:cs="Arial"/>
          <w:i/>
          <w:iCs/>
          <w:lang w:val="es-ES" w:eastAsia="es-ES"/>
        </w:rPr>
        <w:t>costos directos</w:t>
      </w:r>
      <w:r w:rsidRPr="00A0389A">
        <w:rPr>
          <w:rFonts w:ascii="Verdana" w:hAnsi="Verdana" w:cs="Arial"/>
          <w:lang w:val="es-ES" w:eastAsia="es-ES"/>
        </w:rPr>
        <w:t xml:space="preserve"> –es decir, los que están directamente implicados en la ejecución del objeto–, de los </w:t>
      </w:r>
      <w:r w:rsidRPr="00A0389A">
        <w:rPr>
          <w:rFonts w:ascii="Verdana" w:hAnsi="Verdana" w:cs="Arial"/>
          <w:i/>
          <w:iCs/>
          <w:lang w:val="es-ES" w:eastAsia="es-ES"/>
        </w:rPr>
        <w:t>costos indirectos</w:t>
      </w:r>
      <w:r w:rsidRPr="00A0389A">
        <w:rPr>
          <w:rFonts w:ascii="Verdana" w:hAnsi="Verdana" w:cs="Arial"/>
          <w:lang w:val="es-ES" w:eastAsia="es-ES"/>
        </w:rPr>
        <w:t xml:space="preserve"> –que equivalen a los rubros que no tienen que ver de manera inmediata con la ejecución de las actividades contractuales, pero que integran también el precio, bien porque constituyen erogaciones administrativas o contingentes para el contratista o bien porque se dirigen a salvaguardar su ganancia–. En tal sentido, mientras que los </w:t>
      </w:r>
      <w:r w:rsidRPr="00A0389A">
        <w:rPr>
          <w:rFonts w:ascii="Verdana" w:hAnsi="Verdana" w:cs="Arial"/>
          <w:i/>
          <w:iCs/>
          <w:lang w:val="es-ES" w:eastAsia="es-ES"/>
        </w:rPr>
        <w:t>costos directos</w:t>
      </w:r>
      <w:r w:rsidRPr="00A0389A">
        <w:rPr>
          <w:rFonts w:ascii="Verdana" w:hAnsi="Verdana" w:cs="Arial"/>
          <w:lang w:val="es-ES" w:eastAsia="es-ES"/>
        </w:rPr>
        <w:t xml:space="preserve"> se evidencian en el análisis de precios unitarios –APU–, como la sumatoria de los valores de los </w:t>
      </w:r>
      <w:r w:rsidRPr="00A0389A">
        <w:rPr>
          <w:rFonts w:ascii="Verdana" w:hAnsi="Verdana" w:cs="Arial"/>
          <w:i/>
          <w:iCs/>
          <w:lang w:val="es-ES" w:eastAsia="es-ES"/>
        </w:rPr>
        <w:t>ítems</w:t>
      </w:r>
      <w:r w:rsidRPr="00A0389A">
        <w:rPr>
          <w:rFonts w:ascii="Verdana" w:hAnsi="Verdana" w:cs="Arial"/>
          <w:lang w:val="es-ES" w:eastAsia="es-ES"/>
        </w:rPr>
        <w:t xml:space="preserve"> según su unidad de medida, los </w:t>
      </w:r>
      <w:r w:rsidRPr="00A0389A">
        <w:rPr>
          <w:rFonts w:ascii="Verdana" w:hAnsi="Verdana" w:cs="Arial"/>
          <w:i/>
          <w:iCs/>
          <w:lang w:val="es-ES" w:eastAsia="es-ES"/>
        </w:rPr>
        <w:t>costos indirectos</w:t>
      </w:r>
      <w:r w:rsidRPr="00A0389A">
        <w:rPr>
          <w:rFonts w:ascii="Verdana" w:hAnsi="Verdana" w:cs="Arial"/>
          <w:lang w:val="es-ES" w:eastAsia="es-ES"/>
        </w:rPr>
        <w:t xml:space="preserve"> se suelen abreviar en las variables que integran el acrónimo AIU –Administración, Imprevistos y Utilidad–. </w:t>
      </w:r>
    </w:p>
    <w:p w14:paraId="14DD2E8A" w14:textId="77777777" w:rsidR="00662087" w:rsidRPr="00A0389A" w:rsidRDefault="00662087" w:rsidP="00662087">
      <w:pPr>
        <w:spacing w:before="120" w:after="0" w:line="276" w:lineRule="auto"/>
        <w:ind w:firstLine="709"/>
        <w:jc w:val="both"/>
        <w:rPr>
          <w:rFonts w:ascii="Verdana" w:hAnsi="Verdana" w:cs="Arial"/>
          <w:bCs/>
          <w:szCs w:val="24"/>
          <w:lang w:eastAsia="es-ES_tradnl"/>
        </w:rPr>
      </w:pPr>
      <w:r w:rsidRPr="00A0389A">
        <w:rPr>
          <w:rFonts w:ascii="Verdana" w:hAnsi="Verdana" w:cs="Arial"/>
          <w:bCs/>
          <w:szCs w:val="24"/>
          <w:lang w:val="es-ES" w:eastAsia="es-ES_tradnl"/>
        </w:rPr>
        <w:t>L</w:t>
      </w:r>
      <w:r w:rsidRPr="00A0389A">
        <w:rPr>
          <w:rFonts w:ascii="Verdana" w:hAnsi="Verdana" w:cs="Arial"/>
          <w:bCs/>
          <w:szCs w:val="24"/>
          <w:lang w:val="es-ES_tradnl" w:eastAsia="es-ES_tradnl"/>
        </w:rPr>
        <w:t xml:space="preserve">a jurisprudencia ha señalado que “[…] </w:t>
      </w:r>
      <w:r w:rsidRPr="00A0389A">
        <w:rPr>
          <w:rFonts w:ascii="Verdana" w:hAnsi="Verdana" w:cs="Arial"/>
          <w:bCs/>
          <w:szCs w:val="24"/>
          <w:lang w:eastAsia="es-ES_tradnl"/>
        </w:rPr>
        <w:t>en la conformación de dichos precios unitarios, se tienen en cuenta todos los gastos que se requieren para realizar la unidad de medida respectiva –el metro lineal, el metro cúbico, el metro cuadrado, etc.-. Y lo que comúnmente se denomina análisis de precios unitarios, corresponde a la descomposición de los mismos para determinar los costos que los conforman: la maquinaria que se utilizará, calculando el valor por el tiempo que se requiera; la mano de obra, teniendo en cuenta el costo hora-hombre, y cuántas personas se requieren para la ejecución de esa unidad de medida; la cantidad de los materiales necesarios, etc.</w:t>
      </w:r>
      <w:r w:rsidRPr="00A0389A">
        <w:rPr>
          <w:rFonts w:ascii="Verdana" w:hAnsi="Verdana" w:cs="Arial"/>
          <w:bCs/>
          <w:szCs w:val="24"/>
          <w:lang w:val="es-ES_tradnl" w:eastAsia="es-ES_tradnl"/>
        </w:rPr>
        <w:t>”</w:t>
      </w:r>
      <w:r w:rsidRPr="00A0389A">
        <w:rPr>
          <w:rFonts w:ascii="Verdana" w:hAnsi="Verdana" w:cs="Arial"/>
          <w:bCs/>
          <w:szCs w:val="24"/>
          <w:vertAlign w:val="superscript"/>
          <w:lang w:val="es-ES_tradnl" w:eastAsia="es-ES_tradnl"/>
        </w:rPr>
        <w:footnoteReference w:id="2"/>
      </w:r>
      <w:r w:rsidRPr="00A0389A">
        <w:rPr>
          <w:rFonts w:ascii="Verdana" w:hAnsi="Verdana" w:cs="Arial"/>
          <w:bCs/>
          <w:szCs w:val="24"/>
          <w:lang w:eastAsia="es-ES_tradnl"/>
        </w:rPr>
        <w:t xml:space="preserve">. En concordancia, la </w:t>
      </w:r>
      <w:r w:rsidRPr="00A0389A">
        <w:rPr>
          <w:rFonts w:ascii="Verdana" w:hAnsi="Verdana" w:cs="Arial"/>
          <w:bCs/>
          <w:szCs w:val="24"/>
          <w:lang w:eastAsia="es-ES_tradnl"/>
        </w:rPr>
        <w:lastRenderedPageBreak/>
        <w:t>doctrina explica que en la estructuración de los precios unitarios se tendrán en cuenta todos los costos directos necesarios para la ejecución del objeto contractual que se multiplicará por al AIU, lo que determina el valor unitario:</w:t>
      </w:r>
    </w:p>
    <w:p w14:paraId="044F2480" w14:textId="77777777" w:rsidR="00662087" w:rsidRPr="00A0389A" w:rsidRDefault="00662087" w:rsidP="00662087">
      <w:pPr>
        <w:spacing w:after="0" w:line="276" w:lineRule="auto"/>
        <w:ind w:firstLine="709"/>
        <w:jc w:val="both"/>
        <w:rPr>
          <w:rFonts w:ascii="Verdana" w:hAnsi="Verdana" w:cs="Arial"/>
          <w:bCs/>
          <w:szCs w:val="24"/>
          <w:lang w:eastAsia="es-ES_tradnl"/>
        </w:rPr>
      </w:pPr>
    </w:p>
    <w:p w14:paraId="6B37F719" w14:textId="77777777" w:rsidR="00662087" w:rsidRPr="00A0389A" w:rsidRDefault="00662087" w:rsidP="00662087">
      <w:pPr>
        <w:tabs>
          <w:tab w:val="left" w:pos="709"/>
        </w:tabs>
        <w:spacing w:after="120" w:line="240" w:lineRule="auto"/>
        <w:ind w:left="709" w:right="709"/>
        <w:jc w:val="both"/>
        <w:rPr>
          <w:rFonts w:ascii="Verdana" w:hAnsi="Verdana" w:cs="Arial"/>
          <w:sz w:val="21"/>
          <w:szCs w:val="21"/>
          <w:lang w:val="es-ES" w:eastAsia="es-ES"/>
        </w:rPr>
      </w:pPr>
      <w:r w:rsidRPr="00A0389A">
        <w:rPr>
          <w:rFonts w:ascii="Verdana" w:hAnsi="Verdana" w:cs="Arial"/>
          <w:sz w:val="21"/>
          <w:szCs w:val="21"/>
          <w:lang w:val="es-ES" w:eastAsia="es-ES"/>
        </w:rPr>
        <w:t>“Cada uno de los valores unitarios resultan de un análisis de los componentes requeridos para su elaboración, estudio que se denomina comúnmente ‘análisis de precios unitarios’. Así, se examinará, por ejemplo, que para la construcción de un metro cuadrado de muro se requieren 50 ladrillos, que tienen un valor de $50.000; 15 kilos de cemento, que tienen un valor de $5.000; 30 kilos de arena, que tienen un valor de $500; 5 litros de agua, que tienen un valor de 100, y la mano de obra que tiene un valor de $5.000. La sumatoria de cada uno de estos insumos básicos arroja el costo directo que debe cancelar el contratista para la construcción de un metro de muro.</w:t>
      </w:r>
    </w:p>
    <w:p w14:paraId="5D0F678D" w14:textId="77777777" w:rsidR="00662087" w:rsidRPr="00A0389A" w:rsidRDefault="00662087" w:rsidP="00662087">
      <w:pPr>
        <w:tabs>
          <w:tab w:val="left" w:pos="709"/>
        </w:tabs>
        <w:spacing w:after="0" w:line="240" w:lineRule="auto"/>
        <w:ind w:left="709" w:right="709"/>
        <w:jc w:val="both"/>
        <w:rPr>
          <w:rFonts w:ascii="Verdana" w:hAnsi="Verdana" w:cs="Arial"/>
          <w:sz w:val="21"/>
          <w:szCs w:val="21"/>
          <w:lang w:val="es-ES_tradnl" w:eastAsia="es-ES_tradnl"/>
        </w:rPr>
      </w:pPr>
      <w:r w:rsidRPr="00A0389A">
        <w:rPr>
          <w:rFonts w:ascii="Verdana" w:hAnsi="Verdana" w:cs="Arial"/>
          <w:sz w:val="21"/>
          <w:szCs w:val="21"/>
          <w:lang w:val="es-ES_tradnl" w:eastAsia="es-ES_tradnl"/>
        </w:rPr>
        <w:t>El costo directo se multiplica por el AIU, es decir, por los gastos de administración, que incluye los gastos de personal que dirige la obra; los gastos de imprevistos, que pretende cubrir imprevistos y la utilidad. El resultado de la multiplicación anterior determina el valor unitario que deberá cancelar la entidad estatal. Dentro del valor unitario, entonces, están incorporados la totalidad de los gastos en los que incurre el contratista y la utilidad que espera recibir”</w:t>
      </w:r>
      <w:r w:rsidRPr="00A0389A">
        <w:rPr>
          <w:rFonts w:ascii="Verdana" w:hAnsi="Verdana" w:cs="Arial"/>
          <w:sz w:val="21"/>
          <w:szCs w:val="21"/>
          <w:vertAlign w:val="superscript"/>
          <w:lang w:val="es-ES_tradnl" w:eastAsia="es-ES_tradnl"/>
        </w:rPr>
        <w:footnoteReference w:id="3"/>
      </w:r>
      <w:r w:rsidRPr="00A0389A">
        <w:rPr>
          <w:rFonts w:ascii="Verdana" w:hAnsi="Verdana" w:cs="Arial"/>
          <w:sz w:val="21"/>
          <w:szCs w:val="21"/>
          <w:lang w:val="es-ES_tradnl" w:eastAsia="es-ES_tradnl"/>
        </w:rPr>
        <w:t xml:space="preserve">. </w:t>
      </w:r>
    </w:p>
    <w:p w14:paraId="33047499" w14:textId="77777777" w:rsidR="00662087" w:rsidRPr="00A0389A" w:rsidRDefault="00662087" w:rsidP="00662087">
      <w:pPr>
        <w:tabs>
          <w:tab w:val="left" w:pos="709"/>
        </w:tabs>
        <w:spacing w:after="0" w:line="276" w:lineRule="auto"/>
        <w:ind w:left="709" w:right="760"/>
        <w:jc w:val="both"/>
        <w:rPr>
          <w:rFonts w:ascii="Verdana" w:hAnsi="Verdana" w:cs="Arial"/>
          <w:szCs w:val="24"/>
          <w:lang w:val="es-ES_tradnl" w:eastAsia="es-ES_tradnl"/>
        </w:rPr>
      </w:pPr>
    </w:p>
    <w:p w14:paraId="4CF9EC65" w14:textId="77777777" w:rsidR="00662087" w:rsidRPr="00A0389A" w:rsidRDefault="00662087" w:rsidP="00662087">
      <w:pPr>
        <w:spacing w:after="0" w:line="276" w:lineRule="auto"/>
        <w:ind w:firstLine="709"/>
        <w:jc w:val="both"/>
        <w:rPr>
          <w:rFonts w:ascii="Verdana" w:hAnsi="Verdana" w:cs="Arial"/>
          <w:szCs w:val="24"/>
          <w:lang w:val="es-ES_tradnl" w:eastAsia="es-ES_tradnl"/>
        </w:rPr>
      </w:pPr>
      <w:r w:rsidRPr="00A0389A">
        <w:rPr>
          <w:rFonts w:ascii="Verdana" w:hAnsi="Verdana" w:cs="Arial"/>
          <w:szCs w:val="24"/>
          <w:lang w:val="es-ES_tradnl" w:eastAsia="es-ES_tradnl"/>
        </w:rPr>
        <w:t xml:space="preserve">Por su parte, de acuerdo con la Sección Tercera del Consejo de Estado, el AIU, concepto de común utilización en los contratos de tracto sucesivo –entre ellos, los contratos de obra– no cuenta con una definición normativa, pero hay elementos que permiten precisar su alcance, así: </w:t>
      </w:r>
    </w:p>
    <w:p w14:paraId="2AEEBE3A" w14:textId="77777777" w:rsidR="00662087" w:rsidRPr="00A0389A" w:rsidRDefault="00662087" w:rsidP="00662087">
      <w:pPr>
        <w:spacing w:after="0" w:line="276" w:lineRule="auto"/>
        <w:ind w:firstLine="709"/>
        <w:jc w:val="both"/>
        <w:rPr>
          <w:rFonts w:ascii="Verdana" w:hAnsi="Verdana" w:cs="Arial"/>
          <w:szCs w:val="24"/>
          <w:lang w:val="es-ES_tradnl" w:eastAsia="es-ES_tradnl"/>
        </w:rPr>
      </w:pPr>
    </w:p>
    <w:p w14:paraId="24048140" w14:textId="77777777" w:rsidR="00662087" w:rsidRPr="00A0389A" w:rsidRDefault="00662087" w:rsidP="00662087">
      <w:pPr>
        <w:tabs>
          <w:tab w:val="left" w:pos="709"/>
        </w:tabs>
        <w:spacing w:after="120" w:line="240" w:lineRule="auto"/>
        <w:ind w:left="709" w:right="709"/>
        <w:jc w:val="both"/>
        <w:rPr>
          <w:rFonts w:ascii="Verdana" w:hAnsi="Verdana" w:cs="Arial"/>
          <w:sz w:val="21"/>
          <w:szCs w:val="21"/>
          <w:lang w:val="es-ES_tradnl" w:eastAsia="es-ES_tradnl"/>
        </w:rPr>
      </w:pPr>
      <w:r w:rsidRPr="00A0389A">
        <w:rPr>
          <w:rFonts w:ascii="Verdana" w:hAnsi="Verdana" w:cs="Arial"/>
          <w:sz w:val="21"/>
          <w:szCs w:val="21"/>
          <w:lang w:val="es-ES_tradnl" w:eastAsia="es-ES_tradnl"/>
        </w:rPr>
        <w:t xml:space="preserve">“[…] el AIU propuesto para el contrato, corresponde a: </w:t>
      </w:r>
    </w:p>
    <w:p w14:paraId="5BDF4758" w14:textId="77777777" w:rsidR="00662087" w:rsidRPr="00A0389A" w:rsidRDefault="00662087" w:rsidP="00662087">
      <w:pPr>
        <w:tabs>
          <w:tab w:val="left" w:pos="709"/>
        </w:tabs>
        <w:spacing w:after="120" w:line="240" w:lineRule="auto"/>
        <w:ind w:left="709" w:right="709"/>
        <w:jc w:val="both"/>
        <w:rPr>
          <w:rFonts w:ascii="Verdana" w:hAnsi="Verdana" w:cs="Arial"/>
          <w:sz w:val="21"/>
          <w:szCs w:val="21"/>
          <w:lang w:val="es-ES_tradnl" w:eastAsia="es-ES_tradnl"/>
        </w:rPr>
      </w:pPr>
      <w:r w:rsidRPr="00A0389A">
        <w:rPr>
          <w:rFonts w:ascii="Verdana" w:hAnsi="Verdana" w:cs="Arial"/>
          <w:sz w:val="21"/>
          <w:szCs w:val="21"/>
          <w:lang w:val="es-ES_tradnl" w:eastAsia="es-ES_tradnl"/>
        </w:rPr>
        <w:t xml:space="preserve">i) los costos de administración o costos indirectos para la operación del contrato, tales como los gastos de disponibilidad de la organización del contratista, esto es: A; </w:t>
      </w:r>
    </w:p>
    <w:p w14:paraId="1FC0E5AB" w14:textId="77777777" w:rsidR="00662087" w:rsidRPr="00A0389A" w:rsidRDefault="00662087" w:rsidP="00662087">
      <w:pPr>
        <w:tabs>
          <w:tab w:val="left" w:pos="709"/>
        </w:tabs>
        <w:spacing w:after="120" w:line="240" w:lineRule="auto"/>
        <w:ind w:left="709" w:right="709"/>
        <w:jc w:val="both"/>
        <w:rPr>
          <w:rFonts w:ascii="Verdana" w:hAnsi="Verdana" w:cs="Arial"/>
          <w:sz w:val="21"/>
          <w:szCs w:val="21"/>
          <w:lang w:val="es-ES" w:eastAsia="es-ES"/>
        </w:rPr>
      </w:pPr>
      <w:r w:rsidRPr="00A0389A">
        <w:rPr>
          <w:rFonts w:ascii="Verdana" w:hAnsi="Verdana" w:cs="Arial"/>
          <w:sz w:val="21"/>
          <w:szCs w:val="21"/>
          <w:lang w:val="es-ES" w:eastAsia="es-ES"/>
        </w:rPr>
        <w:t xml:space="preserve">ii) los imprevistos, que es el porcentaje destinado a cubrir los gastos con los que no se contaba y que se presenten durante la ejecución del contrato, esto es, el álea normal del contrato: I; </w:t>
      </w:r>
    </w:p>
    <w:p w14:paraId="46379DC6" w14:textId="77777777" w:rsidR="00662087" w:rsidRPr="00A0389A" w:rsidRDefault="00662087" w:rsidP="00662087">
      <w:pPr>
        <w:tabs>
          <w:tab w:val="left" w:pos="709"/>
        </w:tabs>
        <w:spacing w:after="120" w:line="240" w:lineRule="auto"/>
        <w:ind w:left="709" w:right="709"/>
        <w:jc w:val="both"/>
        <w:rPr>
          <w:rFonts w:ascii="Verdana" w:hAnsi="Verdana" w:cs="Arial"/>
          <w:sz w:val="21"/>
          <w:szCs w:val="21"/>
          <w:lang w:val="es-ES" w:eastAsia="es-ES"/>
        </w:rPr>
      </w:pPr>
      <w:r w:rsidRPr="00A0389A">
        <w:rPr>
          <w:rFonts w:ascii="Verdana" w:hAnsi="Verdana" w:cs="Arial"/>
          <w:sz w:val="21"/>
          <w:szCs w:val="21"/>
          <w:lang w:val="es-ES" w:eastAsia="es-ES"/>
        </w:rPr>
        <w:lastRenderedPageBreak/>
        <w:t xml:space="preserve">iii) la utilidad o el beneficio económico que pretende percibir el contratista por la ejecución del contrato, esto es: U. </w:t>
      </w:r>
    </w:p>
    <w:p w14:paraId="5EAC87CD" w14:textId="77777777" w:rsidR="00662087" w:rsidRPr="00A0389A" w:rsidRDefault="00662087" w:rsidP="00662087">
      <w:pPr>
        <w:tabs>
          <w:tab w:val="left" w:pos="709"/>
        </w:tabs>
        <w:spacing w:after="0" w:line="240" w:lineRule="auto"/>
        <w:ind w:left="709" w:right="709"/>
        <w:jc w:val="both"/>
        <w:rPr>
          <w:rFonts w:ascii="Verdana" w:hAnsi="Verdana" w:cs="Arial"/>
          <w:sz w:val="21"/>
          <w:szCs w:val="21"/>
          <w:lang w:val="es-ES_tradnl" w:eastAsia="es-ES_tradnl"/>
        </w:rPr>
      </w:pPr>
      <w:r w:rsidRPr="00A0389A">
        <w:rPr>
          <w:rFonts w:ascii="Verdana" w:hAnsi="Verdana" w:cs="Arial"/>
          <w:sz w:val="21"/>
          <w:szCs w:val="21"/>
          <w:lang w:val="es-ES_tradnl" w:eastAsia="es-ES_tradnl"/>
        </w:rPr>
        <w:t>Ahora, teniendo en cuenta que no existe ninguna reglamentación que establezca porcentajes mínimos o máximos para determinar el A.I.U., cada empresa o comerciante de acuerdo con su infraestructura, experiencia, las condiciones del mercado, la naturaleza del contrato a celebrar, entre otros factores, establece su estructura de costos conforme a la cual se compromete a ejecutar cabalmente un contrato en el caso de que le sea adjudicado”</w:t>
      </w:r>
      <w:r w:rsidRPr="00A0389A">
        <w:rPr>
          <w:rFonts w:ascii="Verdana" w:hAnsi="Verdana" w:cs="Arial"/>
          <w:sz w:val="21"/>
          <w:szCs w:val="21"/>
          <w:vertAlign w:val="superscript"/>
          <w:lang w:val="es-ES_tradnl" w:eastAsia="es-ES_tradnl"/>
        </w:rPr>
        <w:footnoteReference w:id="4"/>
      </w:r>
      <w:r w:rsidRPr="00A0389A">
        <w:rPr>
          <w:rFonts w:ascii="Verdana" w:hAnsi="Verdana" w:cs="Arial"/>
          <w:sz w:val="21"/>
          <w:szCs w:val="21"/>
          <w:lang w:val="es-ES_tradnl" w:eastAsia="es-ES_tradnl"/>
        </w:rPr>
        <w:t>.</w:t>
      </w:r>
    </w:p>
    <w:p w14:paraId="1BE29945" w14:textId="77777777" w:rsidR="00662087" w:rsidRPr="00A0389A" w:rsidRDefault="00662087" w:rsidP="00662087">
      <w:pPr>
        <w:tabs>
          <w:tab w:val="left" w:pos="709"/>
        </w:tabs>
        <w:spacing w:after="0" w:line="276" w:lineRule="auto"/>
        <w:ind w:left="709" w:right="760"/>
        <w:jc w:val="both"/>
        <w:rPr>
          <w:rFonts w:ascii="Verdana" w:hAnsi="Verdana" w:cs="Arial"/>
          <w:szCs w:val="24"/>
          <w:lang w:val="es-ES_tradnl" w:eastAsia="es-ES_tradnl"/>
        </w:rPr>
      </w:pPr>
    </w:p>
    <w:p w14:paraId="5F1E9EB7" w14:textId="77777777" w:rsidR="00662087" w:rsidRPr="00A0389A" w:rsidRDefault="00662087" w:rsidP="00662087">
      <w:pPr>
        <w:spacing w:after="120" w:line="276" w:lineRule="auto"/>
        <w:ind w:firstLine="709"/>
        <w:jc w:val="both"/>
        <w:rPr>
          <w:rFonts w:ascii="Verdana" w:hAnsi="Verdana" w:cs="Arial"/>
          <w:lang w:val="es-ES" w:eastAsia="es-ES"/>
        </w:rPr>
      </w:pPr>
      <w:r w:rsidRPr="00A0389A">
        <w:rPr>
          <w:rFonts w:ascii="Verdana" w:hAnsi="Verdana" w:cs="Arial"/>
          <w:lang w:val="es-ES" w:eastAsia="es-ES"/>
        </w:rPr>
        <w:t>A su turno, la Sala de Consulta y Servicio Civil del Consejo de Estado sostuvo en concepto del 5 de septiembre de 2018</w:t>
      </w:r>
      <w:r w:rsidRPr="00A0389A">
        <w:rPr>
          <w:rFonts w:ascii="Verdana" w:hAnsi="Verdana" w:cs="Arial"/>
          <w:vertAlign w:val="superscript"/>
          <w:lang w:val="es-ES" w:eastAsia="es-ES"/>
        </w:rPr>
        <w:footnoteReference w:id="5"/>
      </w:r>
      <w:r w:rsidRPr="00A0389A">
        <w:rPr>
          <w:rFonts w:ascii="Verdana" w:hAnsi="Verdana" w:cs="Arial"/>
          <w:lang w:val="es-ES" w:eastAsia="es-ES"/>
        </w:rPr>
        <w:t xml:space="preserve"> que “el concepto del A.I.U. comprende la Administración (costos indirectos) imprevistos y utilidades, y en algunos contratos este valor aparece cuantificado en forma independiente al valor de la obra y como un porcentaje de la misma</w:t>
      </w:r>
      <w:r w:rsidRPr="00A0389A">
        <w:rPr>
          <w:rFonts w:ascii="Verdana" w:hAnsi="Verdana" w:cs="Arial"/>
          <w:vertAlign w:val="superscript"/>
          <w:lang w:val="es-ES" w:eastAsia="es-ES"/>
        </w:rPr>
        <w:footnoteReference w:id="6"/>
      </w:r>
      <w:r w:rsidRPr="00A0389A">
        <w:rPr>
          <w:rFonts w:ascii="Verdana" w:hAnsi="Verdana" w:cs="Arial"/>
          <w:lang w:val="es-ES" w:eastAsia="es-ES"/>
        </w:rPr>
        <w:t>, sin perjuicio que en otros contratos este valor no aparezca discriminado y se incorpore en el valor de los precios unitarios”</w:t>
      </w:r>
      <w:r w:rsidRPr="00A0389A">
        <w:rPr>
          <w:rFonts w:ascii="Verdana" w:hAnsi="Verdana" w:cs="Arial"/>
          <w:vertAlign w:val="superscript"/>
          <w:lang w:val="es-ES" w:eastAsia="es-ES"/>
        </w:rPr>
        <w:footnoteReference w:id="7"/>
      </w:r>
      <w:r w:rsidRPr="00A0389A">
        <w:rPr>
          <w:rFonts w:ascii="Verdana" w:hAnsi="Verdana" w:cs="Arial"/>
          <w:lang w:val="es-ES" w:eastAsia="es-ES"/>
        </w:rPr>
        <w:t xml:space="preserve">. </w:t>
      </w:r>
    </w:p>
    <w:p w14:paraId="34BBCA97" w14:textId="77777777" w:rsidR="00662087" w:rsidRPr="00A0389A" w:rsidRDefault="00662087" w:rsidP="00662087">
      <w:pPr>
        <w:spacing w:after="120" w:line="276" w:lineRule="auto"/>
        <w:ind w:firstLine="709"/>
        <w:jc w:val="both"/>
        <w:rPr>
          <w:rFonts w:ascii="Verdana" w:hAnsi="Verdana" w:cs="Arial"/>
          <w:bCs/>
          <w:szCs w:val="24"/>
          <w:lang w:val="es-ES_tradnl" w:eastAsia="es-ES_tradnl"/>
        </w:rPr>
      </w:pPr>
      <w:r w:rsidRPr="00A0389A">
        <w:rPr>
          <w:rFonts w:ascii="Verdana" w:hAnsi="Verdana" w:cs="Arial"/>
          <w:bCs/>
          <w:szCs w:val="24"/>
          <w:lang w:val="es-ES_tradnl" w:eastAsia="es-ES_tradnl"/>
        </w:rPr>
        <w:t xml:space="preserve">Así pues, ni el sistema de precios unitarios –como metodología de estipulación del valor contractual–, ni el concepto de AIU, ni mucho menos la forma de calcularlo –es decir, su porcentaje–, son aspectos regulados en el conjunto de las disposiciones legales y reglamentarias que integran la normativa contractual del Estado: “La justificación de esta manera de cotizar el precio procede, incluso, de la formación universitaria que reciben los ingenieros, a quienes les enseñan esta metodología para elaborar las ofertas. En fin, lo que </w:t>
      </w:r>
      <w:r w:rsidRPr="00A0389A">
        <w:rPr>
          <w:rFonts w:ascii="Verdana" w:hAnsi="Verdana" w:cs="Arial"/>
          <w:bCs/>
          <w:szCs w:val="24"/>
          <w:lang w:val="es-ES_tradnl" w:eastAsia="es-ES_tradnl"/>
        </w:rPr>
        <w:lastRenderedPageBreak/>
        <w:t>se quiere indicar con estos comentarios es que la necesidad de presentar una propuesta desglosando en forma intensa su precio no procede de la ley, ni del reglamento, sino de la costumbre, […]”</w:t>
      </w:r>
      <w:r w:rsidRPr="00A0389A">
        <w:rPr>
          <w:rFonts w:ascii="Verdana" w:hAnsi="Verdana" w:cs="Arial"/>
          <w:bCs/>
          <w:szCs w:val="24"/>
          <w:vertAlign w:val="superscript"/>
          <w:lang w:val="es-ES_tradnl" w:eastAsia="es-ES_tradnl"/>
        </w:rPr>
        <w:footnoteReference w:id="8"/>
      </w:r>
      <w:r w:rsidRPr="00A0389A">
        <w:rPr>
          <w:rFonts w:ascii="Verdana" w:hAnsi="Verdana" w:cs="Arial"/>
          <w:bCs/>
          <w:szCs w:val="24"/>
          <w:lang w:val="es-ES_tradnl" w:eastAsia="es-ES_tradnl"/>
        </w:rPr>
        <w:t xml:space="preserve">. De otro lado, quien define el valor de cada </w:t>
      </w:r>
      <w:r w:rsidRPr="00A0389A">
        <w:rPr>
          <w:rFonts w:ascii="Verdana" w:hAnsi="Verdana" w:cs="Arial"/>
          <w:bCs/>
          <w:i/>
          <w:iCs/>
          <w:szCs w:val="24"/>
          <w:lang w:val="es-ES_tradnl" w:eastAsia="es-ES_tradnl"/>
        </w:rPr>
        <w:t>letra</w:t>
      </w:r>
      <w:r w:rsidRPr="00A0389A">
        <w:rPr>
          <w:rFonts w:ascii="Verdana" w:hAnsi="Verdana" w:cs="Arial"/>
          <w:bCs/>
          <w:szCs w:val="24"/>
          <w:lang w:val="es-ES_tradnl" w:eastAsia="es-ES_tradnl"/>
        </w:rPr>
        <w:t xml:space="preserve"> –AIU– es el proponente, pues goza de libertad empresarial para </w:t>
      </w:r>
      <w:r w:rsidRPr="000B0D04">
        <w:rPr>
          <w:rFonts w:ascii="Verdana" w:hAnsi="Verdana" w:cs="Arial"/>
          <w:bCs/>
          <w:szCs w:val="24"/>
          <w:lang w:val="es-ES_tradnl" w:eastAsia="es-ES_tradnl"/>
        </w:rPr>
        <w:t>hacerlo en la elaboración de su oferta</w:t>
      </w:r>
      <w:r w:rsidRPr="000B0D04">
        <w:rPr>
          <w:rFonts w:ascii="Verdana" w:hAnsi="Verdana" w:cs="Arial"/>
          <w:bCs/>
          <w:szCs w:val="24"/>
          <w:vertAlign w:val="superscript"/>
          <w:lang w:val="es-ES_tradnl" w:eastAsia="es-ES_tradnl"/>
        </w:rPr>
        <w:footnoteReference w:id="9"/>
      </w:r>
      <w:r w:rsidRPr="000B0D04">
        <w:rPr>
          <w:rFonts w:ascii="Verdana" w:hAnsi="Verdana" w:cs="Arial"/>
          <w:bCs/>
          <w:szCs w:val="24"/>
          <w:lang w:val="es-ES_tradnl" w:eastAsia="es-ES_tradnl"/>
        </w:rPr>
        <w:t>.</w:t>
      </w:r>
    </w:p>
    <w:p w14:paraId="2357E337" w14:textId="77777777" w:rsidR="00662087" w:rsidRPr="00A0389A" w:rsidRDefault="00662087" w:rsidP="00662087">
      <w:pPr>
        <w:spacing w:after="120" w:line="276" w:lineRule="auto"/>
        <w:ind w:firstLine="709"/>
        <w:jc w:val="both"/>
        <w:rPr>
          <w:rFonts w:ascii="Verdana" w:hAnsi="Verdana" w:cs="Arial"/>
          <w:bCs/>
          <w:szCs w:val="24"/>
          <w:lang w:val="es-ES_tradnl" w:eastAsia="es-ES_tradnl"/>
        </w:rPr>
      </w:pPr>
      <w:r w:rsidRPr="00A0389A">
        <w:rPr>
          <w:rFonts w:ascii="Verdana" w:hAnsi="Verdana" w:cs="Arial"/>
          <w:bCs/>
          <w:szCs w:val="24"/>
          <w:lang w:val="es-ES_tradnl" w:eastAsia="es-ES_tradnl"/>
        </w:rPr>
        <w:t xml:space="preserve">De este modo, </w:t>
      </w:r>
      <w:r w:rsidRPr="00A0389A">
        <w:rPr>
          <w:rFonts w:ascii="Verdana" w:hAnsi="Verdana" w:cs="Arial"/>
          <w:lang w:eastAsia="es-ES"/>
        </w:rPr>
        <w:t>el AIU, como metodología de pacto del precio que provien</w:t>
      </w:r>
      <w:r>
        <w:rPr>
          <w:rFonts w:ascii="Verdana" w:hAnsi="Verdana" w:cs="Arial"/>
          <w:lang w:eastAsia="es-ES"/>
        </w:rPr>
        <w:t xml:space="preserve">e de la costumbre mercantil, </w:t>
      </w:r>
      <w:r w:rsidRPr="00A0389A">
        <w:rPr>
          <w:rFonts w:ascii="Verdana" w:hAnsi="Verdana" w:cs="Arial"/>
          <w:lang w:eastAsia="es-ES"/>
        </w:rPr>
        <w:t>puede utilizar</w:t>
      </w:r>
      <w:r>
        <w:rPr>
          <w:rFonts w:ascii="Verdana" w:hAnsi="Verdana" w:cs="Arial"/>
          <w:lang w:eastAsia="es-ES"/>
        </w:rPr>
        <w:t>se</w:t>
      </w:r>
      <w:r w:rsidRPr="00A0389A">
        <w:rPr>
          <w:rFonts w:ascii="Verdana" w:hAnsi="Verdana" w:cs="Arial"/>
          <w:lang w:eastAsia="es-ES"/>
        </w:rPr>
        <w:t xml:space="preserve"> en principio en cualquier tipología contractual, aunque lo más común es que se use en los contratos de tracto sucesivo, especialmente</w:t>
      </w:r>
      <w:r>
        <w:rPr>
          <w:rFonts w:ascii="Verdana" w:hAnsi="Verdana" w:cs="Arial"/>
          <w:lang w:eastAsia="es-ES"/>
        </w:rPr>
        <w:t>,</w:t>
      </w:r>
      <w:r w:rsidRPr="00A0389A">
        <w:rPr>
          <w:rFonts w:ascii="Verdana" w:hAnsi="Verdana" w:cs="Arial"/>
          <w:lang w:eastAsia="es-ES"/>
        </w:rPr>
        <w:t xml:space="preserve"> en los que se distinguen los precios unitarios.</w:t>
      </w:r>
      <w:r w:rsidRPr="00A0389A">
        <w:rPr>
          <w:rFonts w:ascii="Verdana" w:hAnsi="Verdana" w:cs="Arial"/>
          <w:bCs/>
          <w:szCs w:val="24"/>
          <w:lang w:val="es-ES_tradnl" w:eastAsia="es-ES_tradnl"/>
        </w:rPr>
        <w:t xml:space="preserve"> </w:t>
      </w:r>
      <w:r w:rsidRPr="00A0389A">
        <w:rPr>
          <w:rFonts w:ascii="Verdana" w:hAnsi="Verdana" w:cs="Arial"/>
          <w:lang w:eastAsia="es-ES"/>
        </w:rPr>
        <w:t>La determinación de este sistema de estipulación del valor debe ser el resultad</w:t>
      </w:r>
      <w:r>
        <w:rPr>
          <w:rFonts w:ascii="Verdana" w:hAnsi="Verdana" w:cs="Arial"/>
          <w:lang w:eastAsia="es-ES"/>
        </w:rPr>
        <w:t xml:space="preserve">o de los estudios previos, y en especial, </w:t>
      </w:r>
      <w:r w:rsidRPr="00A0389A">
        <w:rPr>
          <w:rFonts w:ascii="Verdana" w:hAnsi="Verdana" w:cs="Arial"/>
          <w:lang w:eastAsia="es-ES"/>
        </w:rPr>
        <w:t xml:space="preserve">del análisis del sector. Solo a partir de tales estudios la entidad estatal podrá concluir si es oportuno y conveniente establecer que el precio del contrato y, por tanto, la propuesta del oferente, se deberá establecer distinguiendo los costos directos respecto de los costos indirectos; estos últimos representados en el AIU. </w:t>
      </w:r>
    </w:p>
    <w:p w14:paraId="7DB47F15" w14:textId="77777777" w:rsidR="00662087" w:rsidRPr="00A0389A" w:rsidRDefault="00662087" w:rsidP="00662087">
      <w:pPr>
        <w:spacing w:after="120" w:line="276" w:lineRule="auto"/>
        <w:ind w:firstLine="743"/>
        <w:jc w:val="both"/>
        <w:rPr>
          <w:rFonts w:ascii="Verdana" w:hAnsi="Verdana" w:cs="Arial"/>
          <w:lang w:eastAsia="es-ES"/>
        </w:rPr>
      </w:pPr>
      <w:r w:rsidRPr="00A0389A">
        <w:rPr>
          <w:rFonts w:ascii="Verdana" w:hAnsi="Verdana" w:cs="Arial"/>
          <w:lang w:eastAsia="es-ES"/>
        </w:rPr>
        <w:t xml:space="preserve">En consecuencia, </w:t>
      </w:r>
      <w:bookmarkStart w:id="3" w:name="_Hlk191240669"/>
      <w:r w:rsidRPr="00A0389A">
        <w:rPr>
          <w:rFonts w:ascii="Verdana" w:hAnsi="Verdana" w:cs="Arial"/>
          <w:lang w:eastAsia="es-ES"/>
        </w:rPr>
        <w:t xml:space="preserve">no hay </w:t>
      </w:r>
      <w:r w:rsidRPr="0063731E">
        <w:rPr>
          <w:rFonts w:ascii="Verdana" w:hAnsi="Verdana" w:cs="Arial"/>
          <w:i/>
          <w:iCs/>
          <w:lang w:eastAsia="es-ES"/>
        </w:rPr>
        <w:t>a priori</w:t>
      </w:r>
      <w:r w:rsidRPr="00A0389A">
        <w:rPr>
          <w:rFonts w:ascii="Verdana" w:hAnsi="Verdana" w:cs="Arial"/>
          <w:lang w:eastAsia="es-ES"/>
        </w:rPr>
        <w:t xml:space="preserve"> tipologías contractuales en las que la ley o el reglamento establezcan que se debe utilizar el AIU, así como tampoco hay una determinación única y específica de la forma en la que el AIU debe ser establecido en contratos que involucra diferentes tipos de actividades como sería la ejecución de obra y la prestación de servicios conexos, ya que tal decisión obedece a lo que resulte más conveniente a la entidad estatal, en cumplimiento del principio de planeación. </w:t>
      </w:r>
    </w:p>
    <w:p w14:paraId="107C3B1F" w14:textId="77777777" w:rsidR="00662087" w:rsidRPr="00A0389A" w:rsidRDefault="00662087" w:rsidP="00662087">
      <w:pPr>
        <w:snapToGrid w:val="0"/>
        <w:spacing w:after="120" w:line="276" w:lineRule="auto"/>
        <w:ind w:firstLine="743"/>
        <w:jc w:val="both"/>
        <w:rPr>
          <w:rFonts w:ascii="Verdana" w:hAnsi="Verdana" w:cs="Arial"/>
          <w:lang w:eastAsia="es-ES"/>
        </w:rPr>
      </w:pPr>
      <w:r w:rsidRPr="00A0389A">
        <w:rPr>
          <w:rFonts w:ascii="Verdana" w:hAnsi="Verdana" w:cs="Arial"/>
          <w:bCs/>
          <w:szCs w:val="24"/>
          <w:lang w:val="es-ES_tradnl" w:eastAsia="es-ES_tradnl"/>
        </w:rPr>
        <w:t xml:space="preserve">En este contexto, si </w:t>
      </w:r>
      <w:r w:rsidRPr="00A0389A">
        <w:rPr>
          <w:rFonts w:ascii="Verdana" w:hAnsi="Verdana" w:cs="Arial"/>
          <w:lang w:eastAsia="es-ES"/>
        </w:rPr>
        <w:t xml:space="preserve">con base en los estudios del sector la entidad estatal estableció la necesidad de estructurar el valor bajo el sistema de precios unitarios y con el desglose del AIU, independientemente que el contrato de obra involucre actividades conexas de prestación de servicios, el precio se debería pagar con base en el valor de los costos directos incrementados por el porcentaje del AIU, en relación con todas las actividades calculadas bajo este sistema. En otras palabras, cuando el valor en el contrato de obra se estructuró utilizando el sistema de AIU para todas las actividades incluidas, sin hacer distinción entre </w:t>
      </w:r>
      <w:r w:rsidRPr="00A0389A">
        <w:rPr>
          <w:rFonts w:ascii="Verdana" w:hAnsi="Verdana" w:cs="Arial"/>
          <w:lang w:eastAsia="es-ES"/>
        </w:rPr>
        <w:lastRenderedPageBreak/>
        <w:t>los diferentes tipos de actividades, el pago del AIU debe aplicarse a todas las actividades del contrato, a menos que se haya acordado lo contrario.</w:t>
      </w:r>
    </w:p>
    <w:bookmarkEnd w:id="3"/>
    <w:p w14:paraId="08F4DCB9" w14:textId="77777777" w:rsidR="00662087" w:rsidRPr="00A0389A" w:rsidRDefault="00662087" w:rsidP="00662087">
      <w:pPr>
        <w:snapToGrid w:val="0"/>
        <w:spacing w:after="120" w:line="276" w:lineRule="auto"/>
        <w:ind w:firstLine="743"/>
        <w:jc w:val="both"/>
        <w:rPr>
          <w:rFonts w:ascii="Verdana" w:hAnsi="Verdana" w:cs="Arial"/>
          <w:bCs/>
          <w:szCs w:val="24"/>
          <w:lang w:val="es-ES_tradnl" w:eastAsia="es-ES_tradnl"/>
        </w:rPr>
      </w:pPr>
      <w:r w:rsidRPr="00A0389A">
        <w:rPr>
          <w:rFonts w:ascii="Verdana" w:hAnsi="Verdana" w:cs="Arial"/>
          <w:lang w:eastAsia="es-ES"/>
        </w:rPr>
        <w:t xml:space="preserve">Ahora bien, </w:t>
      </w:r>
      <w:r w:rsidRPr="00A0389A">
        <w:rPr>
          <w:rFonts w:ascii="Verdana" w:hAnsi="Verdana" w:cs="Arial"/>
          <w:bCs/>
          <w:szCs w:val="24"/>
          <w:lang w:val="es-ES_tradnl" w:eastAsia="es-ES_tradnl"/>
        </w:rPr>
        <w:t xml:space="preserve">nada obstaría para que las partes le dieran otros efectos particulares a la forma en que pagan el precio estructurado con AIU. Por ejemplo, podrían incluir cláusulas o reglas bajo las cuales se estableciera que el valor de alguno o de todos los componentes de la </w:t>
      </w:r>
      <w:r w:rsidRPr="00A0389A">
        <w:rPr>
          <w:rFonts w:ascii="Verdana" w:hAnsi="Verdana" w:cs="Arial"/>
          <w:bCs/>
          <w:i/>
          <w:iCs/>
          <w:szCs w:val="24"/>
          <w:lang w:val="es-ES_tradnl" w:eastAsia="es-ES_tradnl"/>
        </w:rPr>
        <w:t>Administración</w:t>
      </w:r>
      <w:r w:rsidRPr="00A0389A">
        <w:rPr>
          <w:rFonts w:ascii="Verdana" w:hAnsi="Verdana" w:cs="Arial"/>
          <w:bCs/>
          <w:szCs w:val="24"/>
          <w:lang w:val="es-ES_tradnl" w:eastAsia="es-ES_tradnl"/>
        </w:rPr>
        <w:t xml:space="preserve"> o los </w:t>
      </w:r>
      <w:r w:rsidRPr="00A0389A">
        <w:rPr>
          <w:rFonts w:ascii="Verdana" w:hAnsi="Verdana" w:cs="Arial"/>
          <w:bCs/>
          <w:i/>
          <w:iCs/>
          <w:szCs w:val="24"/>
          <w:lang w:val="es-ES_tradnl" w:eastAsia="es-ES_tradnl"/>
        </w:rPr>
        <w:t>Imprevistos</w:t>
      </w:r>
      <w:r w:rsidRPr="00A0389A">
        <w:rPr>
          <w:rFonts w:ascii="Verdana" w:hAnsi="Verdana" w:cs="Arial"/>
          <w:bCs/>
          <w:szCs w:val="24"/>
          <w:lang w:val="es-ES_tradnl" w:eastAsia="es-ES_tradnl"/>
        </w:rPr>
        <w:t xml:space="preserve"> sólo se pagan si el contratista demuestra que incurrió en algunas situaciones específicas y bajo el monto que este logre demostrar.</w:t>
      </w:r>
    </w:p>
    <w:p w14:paraId="34C44B1F" w14:textId="77777777" w:rsidR="00662087" w:rsidRPr="00A0389A" w:rsidRDefault="00662087" w:rsidP="00662087">
      <w:pPr>
        <w:snapToGrid w:val="0"/>
        <w:spacing w:after="120" w:line="276" w:lineRule="auto"/>
        <w:ind w:firstLine="601"/>
        <w:jc w:val="both"/>
        <w:rPr>
          <w:rFonts w:ascii="Verdana" w:hAnsi="Verdana" w:cs="Arial"/>
          <w:lang w:val="es-ES" w:eastAsia="es-ES"/>
        </w:rPr>
      </w:pPr>
      <w:r w:rsidRPr="00A0389A">
        <w:rPr>
          <w:rFonts w:ascii="Verdana" w:hAnsi="Verdana" w:cs="Arial"/>
          <w:lang w:eastAsia="es-ES"/>
        </w:rPr>
        <w:t xml:space="preserve">Sin embargo, </w:t>
      </w:r>
      <w:r w:rsidRPr="00A0389A">
        <w:rPr>
          <w:rFonts w:ascii="Verdana" w:hAnsi="Verdana" w:cs="Arial"/>
          <w:lang w:val="es-ES" w:eastAsia="es-ES"/>
        </w:rPr>
        <w:t xml:space="preserve">una regulación como la anterior no es la que suele emplearse en los contratos estatales. Lo usual, que se advierte en la práctica de las Entidades Estatales, es que acuden al AIU con la finalidad de establecer un precio más estable, de manera que el valor del contrato consistirá en lo que resulte de afectar los costos directos por el porcentaje, en principio, invariable del AIU, de manera que al valor de los costos directos se le sume el AIU. </w:t>
      </w:r>
    </w:p>
    <w:p w14:paraId="6982BAA7" w14:textId="77777777" w:rsidR="00662087" w:rsidRPr="00A0389A" w:rsidRDefault="00662087" w:rsidP="00662087">
      <w:pPr>
        <w:snapToGrid w:val="0"/>
        <w:spacing w:after="120" w:line="276" w:lineRule="auto"/>
        <w:ind w:firstLine="601"/>
        <w:jc w:val="both"/>
        <w:rPr>
          <w:rFonts w:ascii="Verdana" w:eastAsia="Calibri" w:hAnsi="Verdana" w:cs="Arial"/>
          <w:bCs/>
          <w:szCs w:val="24"/>
          <w:lang w:val="es-ES_tradnl" w:eastAsia="es-ES_tradnl"/>
        </w:rPr>
      </w:pPr>
      <w:r w:rsidRPr="00A0389A">
        <w:rPr>
          <w:rFonts w:ascii="Verdana" w:eastAsia="Calibri" w:hAnsi="Verdana" w:cs="Arial"/>
          <w:bCs/>
          <w:szCs w:val="24"/>
          <w:lang w:val="es-ES_tradnl" w:eastAsia="es-ES_tradnl"/>
        </w:rPr>
        <w:t xml:space="preserve">En este sentido, cuando las Entidades Estatales incluyen esta forma de desglosar el precio, en los últimos términos indicados, al realizar el estudio de mercado elaboran un presupuesto estimado del valor de la ejecución del contrato. Dicho presupuesto estimado incluye los costos genéricos </w:t>
      </w:r>
      <w:r w:rsidRPr="00A0389A">
        <w:rPr>
          <w:rFonts w:ascii="Verdana" w:eastAsia="Calibri" w:hAnsi="Verdana" w:cs="Arial"/>
          <w:bCs/>
          <w:i/>
          <w:iCs/>
          <w:szCs w:val="24"/>
          <w:lang w:val="es-ES_tradnl" w:eastAsia="es-ES_tradnl"/>
        </w:rPr>
        <w:t xml:space="preserve">indirectos </w:t>
      </w:r>
      <w:r w:rsidRPr="00A0389A">
        <w:rPr>
          <w:rFonts w:ascii="Verdana" w:eastAsia="Calibri" w:hAnsi="Verdana" w:cs="Arial"/>
          <w:bCs/>
          <w:szCs w:val="24"/>
          <w:lang w:val="es-ES_tradnl" w:eastAsia="es-ES_tradnl"/>
        </w:rPr>
        <w:t xml:space="preserve">en que incurren los contratistas, entre ellos, los de la </w:t>
      </w:r>
      <w:r w:rsidRPr="00A0389A">
        <w:rPr>
          <w:rFonts w:ascii="Verdana" w:eastAsia="Calibri" w:hAnsi="Verdana" w:cs="Arial"/>
          <w:bCs/>
          <w:i/>
          <w:iCs/>
          <w:szCs w:val="24"/>
          <w:lang w:val="es-ES_tradnl" w:eastAsia="es-ES_tradnl"/>
        </w:rPr>
        <w:t xml:space="preserve">Administración </w:t>
      </w:r>
      <w:r w:rsidRPr="00A0389A">
        <w:rPr>
          <w:rFonts w:ascii="Verdana" w:eastAsia="Calibri" w:hAnsi="Verdana" w:cs="Arial"/>
          <w:lang w:val="es-ES_tradnl" w:eastAsia="es-ES"/>
        </w:rPr>
        <w:t>y</w:t>
      </w:r>
      <w:r w:rsidRPr="00A0389A">
        <w:rPr>
          <w:rFonts w:ascii="Verdana" w:eastAsia="Calibri" w:hAnsi="Verdana" w:cs="Arial"/>
          <w:lang w:val="es-ES" w:eastAsia="es-ES"/>
        </w:rPr>
        <w:t xml:space="preserve"> lo</w:t>
      </w:r>
      <w:r w:rsidRPr="00A0389A">
        <w:rPr>
          <w:rFonts w:ascii="Verdana" w:eastAsia="Calibri" w:hAnsi="Verdana" w:cs="Arial"/>
          <w:i/>
          <w:iCs/>
          <w:lang w:val="es-ES" w:eastAsia="es-ES"/>
        </w:rPr>
        <w:t>s Imprevistos</w:t>
      </w:r>
      <w:r w:rsidRPr="00A0389A">
        <w:rPr>
          <w:rFonts w:ascii="Verdana" w:eastAsia="Calibri" w:hAnsi="Verdana" w:cs="Arial"/>
          <w:bCs/>
          <w:szCs w:val="24"/>
          <w:lang w:val="es-ES_tradnl" w:eastAsia="es-ES_tradnl"/>
        </w:rPr>
        <w:t>, para efectos de definir el porcentaje con el que calculan el presupuesto, pese a que el monto de estos componentes varía ostensiblemente de un proponente a otro, pues su valor real depende de circunstancias particulares de los oferentes</w:t>
      </w:r>
      <w:r w:rsidRPr="00A0389A">
        <w:rPr>
          <w:rFonts w:ascii="Verdana" w:eastAsia="Calibri" w:hAnsi="Verdana" w:cs="Times New Roman"/>
          <w:vertAlign w:val="superscript"/>
          <w:lang w:val="es-ES" w:eastAsia="es-ES_tradnl"/>
        </w:rPr>
        <w:footnoteReference w:id="10"/>
      </w:r>
      <w:r w:rsidRPr="00A0389A">
        <w:rPr>
          <w:rFonts w:ascii="Verdana" w:eastAsia="Calibri" w:hAnsi="Verdana" w:cs="Arial"/>
          <w:bCs/>
          <w:szCs w:val="24"/>
          <w:lang w:val="es-ES_tradnl" w:eastAsia="es-ES_tradnl"/>
        </w:rPr>
        <w:t xml:space="preserve">. </w:t>
      </w:r>
    </w:p>
    <w:p w14:paraId="573F8311" w14:textId="77777777" w:rsidR="00662087" w:rsidRPr="00A0389A" w:rsidRDefault="00662087" w:rsidP="00662087">
      <w:pPr>
        <w:snapToGrid w:val="0"/>
        <w:spacing w:after="120" w:line="276" w:lineRule="auto"/>
        <w:ind w:firstLine="601"/>
        <w:jc w:val="both"/>
        <w:rPr>
          <w:rFonts w:ascii="Verdana" w:eastAsia="Calibri" w:hAnsi="Verdana" w:cs="Arial"/>
          <w:bCs/>
          <w:szCs w:val="24"/>
          <w:lang w:val="es-ES_tradnl" w:eastAsia="es-ES_tradnl"/>
        </w:rPr>
      </w:pPr>
      <w:r w:rsidRPr="00A0389A">
        <w:rPr>
          <w:rFonts w:ascii="Verdana" w:eastAsia="Calibri" w:hAnsi="Verdana" w:cs="Arial"/>
          <w:lang w:eastAsia="es-ES"/>
        </w:rPr>
        <w:t xml:space="preserve">Así las cosas, las partes asumen los riesgos inherentes a esta forma de pactar el precio, entendiendo aceptados los aleas normales que se presenten en la ejecución del contrato, de manera que, aunque el contratista incurra en mayores costos de los ítems incluidos en la </w:t>
      </w:r>
      <w:r w:rsidRPr="00A0389A">
        <w:rPr>
          <w:rFonts w:ascii="Verdana" w:eastAsia="Calibri" w:hAnsi="Verdana" w:cs="Arial"/>
          <w:i/>
          <w:iCs/>
          <w:lang w:eastAsia="es-ES"/>
        </w:rPr>
        <w:t>Administración</w:t>
      </w:r>
      <w:r w:rsidRPr="00A0389A">
        <w:rPr>
          <w:rFonts w:ascii="Verdana" w:eastAsia="Calibri" w:hAnsi="Verdana" w:cs="Arial"/>
          <w:lang w:eastAsia="es-ES"/>
        </w:rPr>
        <w:t xml:space="preserve"> o en más gastos de </w:t>
      </w:r>
      <w:r w:rsidRPr="00A0389A">
        <w:rPr>
          <w:rFonts w:ascii="Verdana" w:eastAsia="Calibri" w:hAnsi="Verdana" w:cs="Arial"/>
          <w:i/>
          <w:iCs/>
          <w:lang w:eastAsia="es-ES"/>
        </w:rPr>
        <w:lastRenderedPageBreak/>
        <w:t>Imprevistos</w:t>
      </w:r>
      <w:r w:rsidRPr="00A0389A">
        <w:rPr>
          <w:rFonts w:ascii="Verdana" w:eastAsia="Calibri" w:hAnsi="Verdana" w:cs="Arial"/>
          <w:lang w:eastAsia="es-ES"/>
        </w:rPr>
        <w:t xml:space="preserve"> al presentar su oferta, o que estos disminuyan, aparezcan algunos nuevos o desaparezcan algunos de ellos, el valor se mantenga invariable</w:t>
      </w:r>
    </w:p>
    <w:p w14:paraId="3A93FA51" w14:textId="77777777" w:rsidR="00662087" w:rsidRDefault="00662087" w:rsidP="00662087">
      <w:pPr>
        <w:snapToGrid w:val="0"/>
        <w:spacing w:after="120" w:line="276" w:lineRule="auto"/>
        <w:ind w:firstLine="601"/>
        <w:jc w:val="both"/>
        <w:rPr>
          <w:rFonts w:ascii="Verdana" w:eastAsia="Calibri" w:hAnsi="Verdana" w:cs="Arial"/>
          <w:lang w:val="es-ES" w:eastAsia="es-ES"/>
        </w:rPr>
      </w:pPr>
      <w:r w:rsidRPr="00A0389A">
        <w:rPr>
          <w:rFonts w:ascii="Verdana" w:eastAsia="Calibri" w:hAnsi="Verdana" w:cs="Arial"/>
          <w:lang w:val="es-ES" w:eastAsia="es-ES"/>
        </w:rPr>
        <w:t xml:space="preserve">De manera que las entidades calculan un valor estimado que, a su vez, sirve de guía para que los proponentes formulen sus ofertas, pero bajo la premisa de que pagarán un porcentaje fijo incluido por los interesados en sus propuestas, dado lo variable que resulta este valor, y lo complejo y gravoso de realizar un seguimiento minucioso a los costos en que incurren los contratistas por este componente en particular. Además, que estos podrían ser mayores a los inicialmente pactados con el contratista, de manera que la fijación de un porcentaje fijo y estable también puede resultar favorable a la entidad estatal, pues su contraparte no le podrá exigir un monto superior, bajo el argumento de que incurrió en costos o gastos adicionales asociados al componente </w:t>
      </w:r>
      <w:r w:rsidRPr="00A0389A">
        <w:rPr>
          <w:rFonts w:ascii="Verdana" w:eastAsia="Calibri" w:hAnsi="Verdana" w:cs="Arial"/>
          <w:i/>
          <w:iCs/>
          <w:lang w:val="es-ES" w:eastAsia="es-ES"/>
        </w:rPr>
        <w:t>Administración</w:t>
      </w:r>
      <w:r w:rsidRPr="00A0389A">
        <w:rPr>
          <w:rFonts w:ascii="Verdana" w:eastAsia="Calibri" w:hAnsi="Verdana" w:cs="Arial"/>
          <w:lang w:val="es-ES" w:eastAsia="es-ES"/>
        </w:rPr>
        <w:t xml:space="preserve"> o de </w:t>
      </w:r>
      <w:r w:rsidRPr="00A0389A">
        <w:rPr>
          <w:rFonts w:ascii="Verdana" w:eastAsia="Calibri" w:hAnsi="Verdana" w:cs="Arial"/>
          <w:i/>
          <w:iCs/>
          <w:lang w:val="es-ES" w:eastAsia="es-ES"/>
        </w:rPr>
        <w:t>Imprevistos</w:t>
      </w:r>
      <w:r w:rsidRPr="00A0389A">
        <w:rPr>
          <w:rFonts w:ascii="Verdana" w:eastAsia="Calibri" w:hAnsi="Verdana" w:cs="Times New Roman"/>
          <w:vertAlign w:val="superscript"/>
          <w:lang w:val="es-ES" w:eastAsia="es-ES"/>
        </w:rPr>
        <w:footnoteReference w:id="11"/>
      </w:r>
      <w:r w:rsidRPr="00A0389A">
        <w:rPr>
          <w:rFonts w:ascii="Verdana" w:eastAsia="Calibri" w:hAnsi="Verdana" w:cs="Arial"/>
          <w:lang w:val="es-ES" w:eastAsia="es-ES"/>
        </w:rPr>
        <w:t>.</w:t>
      </w:r>
    </w:p>
    <w:p w14:paraId="2BE25E2D" w14:textId="77777777" w:rsidR="00E05E98" w:rsidRDefault="00E05E98" w:rsidP="00E05E98">
      <w:pPr>
        <w:spacing w:before="120" w:after="0" w:line="276" w:lineRule="auto"/>
        <w:ind w:firstLine="708"/>
        <w:jc w:val="both"/>
        <w:rPr>
          <w:rFonts w:ascii="Verdana" w:hAnsi="Verdana" w:cs="Arial"/>
          <w:lang w:val="es-ES" w:eastAsia="es-ES"/>
        </w:rPr>
      </w:pPr>
      <w:r w:rsidRPr="00371A1F">
        <w:rPr>
          <w:rFonts w:ascii="Verdana" w:hAnsi="Verdana" w:cs="Arial"/>
          <w:lang w:val="es-ES" w:eastAsia="es-ES"/>
        </w:rPr>
        <w:t xml:space="preserve">Tratándose de los </w:t>
      </w:r>
      <w:r w:rsidRPr="00371A1F">
        <w:rPr>
          <w:rFonts w:ascii="Verdana" w:hAnsi="Verdana" w:cs="Arial"/>
          <w:i/>
          <w:iCs/>
          <w:lang w:val="es-ES" w:eastAsia="es-ES"/>
        </w:rPr>
        <w:t>imprevistos</w:t>
      </w:r>
      <w:r w:rsidRPr="00371A1F">
        <w:rPr>
          <w:rFonts w:ascii="Verdana" w:hAnsi="Verdana" w:cs="Arial"/>
          <w:lang w:val="es-ES" w:eastAsia="es-ES"/>
        </w:rPr>
        <w:t xml:space="preserve">, </w:t>
      </w:r>
      <w:r>
        <w:rPr>
          <w:rFonts w:ascii="Verdana" w:hAnsi="Verdana" w:cs="Arial"/>
          <w:lang w:val="es-ES" w:eastAsia="es-ES"/>
        </w:rPr>
        <w:t>éstos constituyen</w:t>
      </w:r>
      <w:r w:rsidRPr="00494109">
        <w:rPr>
          <w:rFonts w:ascii="Verdana" w:hAnsi="Verdana" w:cs="Arial"/>
          <w:lang w:val="es-ES" w:eastAsia="es-ES"/>
        </w:rPr>
        <w:t xml:space="preserve"> una partida destinada a cubrir gastos no contemplados expresamente en la oferta, pero que suelen presentarse durante la ejecución normal del proyecto</w:t>
      </w:r>
      <w:r>
        <w:rPr>
          <w:rFonts w:ascii="Verdana" w:hAnsi="Verdana" w:cs="Arial"/>
          <w:lang w:val="es-ES" w:eastAsia="es-ES"/>
        </w:rPr>
        <w:t xml:space="preserve">. </w:t>
      </w:r>
      <w:r w:rsidRPr="00494109">
        <w:rPr>
          <w:rFonts w:ascii="Verdana" w:hAnsi="Verdana" w:cs="Arial"/>
          <w:lang w:val="es-ES" w:eastAsia="es-ES"/>
        </w:rPr>
        <w:t xml:space="preserve">Se trata de costos adicionales inherentes al desarrollo ordinario </w:t>
      </w:r>
      <w:r>
        <w:rPr>
          <w:rFonts w:ascii="Verdana" w:hAnsi="Verdana" w:cs="Arial"/>
          <w:lang w:val="es-ES" w:eastAsia="es-ES"/>
        </w:rPr>
        <w:t>de la actividad contratada,</w:t>
      </w:r>
      <w:r w:rsidRPr="00494109">
        <w:rPr>
          <w:rFonts w:ascii="Verdana" w:hAnsi="Verdana" w:cs="Arial"/>
          <w:lang w:val="es-ES" w:eastAsia="es-ES"/>
        </w:rPr>
        <w:t xml:space="preserve"> cuya ocurrencia </w:t>
      </w:r>
      <w:r>
        <w:rPr>
          <w:rFonts w:ascii="Verdana" w:hAnsi="Verdana" w:cs="Arial"/>
          <w:lang w:val="es-ES" w:eastAsia="es-ES"/>
        </w:rPr>
        <w:t xml:space="preserve">–por ser parte del alea normal del negocio– </w:t>
      </w:r>
      <w:r w:rsidRPr="00494109">
        <w:rPr>
          <w:rFonts w:ascii="Verdana" w:hAnsi="Verdana" w:cs="Arial"/>
          <w:lang w:val="es-ES" w:eastAsia="es-ES"/>
        </w:rPr>
        <w:t xml:space="preserve">es posible y esperada, aunque </w:t>
      </w:r>
      <w:r>
        <w:rPr>
          <w:rFonts w:ascii="Verdana" w:hAnsi="Verdana" w:cs="Arial"/>
          <w:lang w:val="es-ES" w:eastAsia="es-ES"/>
        </w:rPr>
        <w:t>sea incierto tanto el momento en que se causa</w:t>
      </w:r>
      <w:r w:rsidRPr="00494109">
        <w:rPr>
          <w:rFonts w:ascii="Verdana" w:hAnsi="Verdana" w:cs="Arial"/>
          <w:lang w:val="es-ES" w:eastAsia="es-ES"/>
        </w:rPr>
        <w:t xml:space="preserve"> </w:t>
      </w:r>
      <w:r>
        <w:rPr>
          <w:rFonts w:ascii="Verdana" w:hAnsi="Verdana" w:cs="Arial"/>
          <w:lang w:val="es-ES" w:eastAsia="es-ES"/>
        </w:rPr>
        <w:t>como su</w:t>
      </w:r>
      <w:r w:rsidRPr="00494109">
        <w:rPr>
          <w:rFonts w:ascii="Verdana" w:hAnsi="Verdana" w:cs="Arial"/>
          <w:lang w:val="es-ES" w:eastAsia="es-ES"/>
        </w:rPr>
        <w:t xml:space="preserve"> cuantía</w:t>
      </w:r>
      <w:r>
        <w:rPr>
          <w:rFonts w:ascii="Verdana" w:hAnsi="Verdana" w:cs="Arial"/>
          <w:lang w:val="es-ES" w:eastAsia="es-ES"/>
        </w:rPr>
        <w:t xml:space="preserve">. Para la doctrina, “[…] </w:t>
      </w:r>
      <w:r w:rsidRPr="00BB09DB">
        <w:rPr>
          <w:rFonts w:ascii="Verdana" w:hAnsi="Verdana" w:cs="Arial"/>
          <w:lang w:val="es-ES" w:eastAsia="es-ES"/>
        </w:rPr>
        <w:t>es el caso de la sobre remuneración que se paga al personal; la adquisición de materiales a un precio mayor al calculado; el pago de conceptos o experticios técnicos necesarios para evaluar una tarea o trabajo no previsto; la reparación de maquinaria; el alquiler de equipos que no se habían contemplado</w:t>
      </w:r>
      <w:r>
        <w:rPr>
          <w:rFonts w:ascii="Verdana" w:hAnsi="Verdana" w:cs="Arial"/>
          <w:lang w:val="es-ES" w:eastAsia="es-ES"/>
        </w:rPr>
        <w:t>, entre otros […]”</w:t>
      </w:r>
      <w:r>
        <w:rPr>
          <w:rStyle w:val="Refdenotaalpie"/>
          <w:rFonts w:ascii="Verdana" w:hAnsi="Verdana" w:cs="Arial"/>
          <w:lang w:val="es-ES" w:eastAsia="es-ES"/>
        </w:rPr>
        <w:footnoteReference w:id="12"/>
      </w:r>
      <w:r>
        <w:rPr>
          <w:rFonts w:ascii="Verdana" w:hAnsi="Verdana" w:cs="Arial"/>
          <w:lang w:val="es-ES" w:eastAsia="es-ES"/>
        </w:rPr>
        <w:t>.</w:t>
      </w:r>
    </w:p>
    <w:p w14:paraId="2643A923" w14:textId="77777777" w:rsidR="00E05E98" w:rsidRDefault="00E05E98" w:rsidP="00E05E98">
      <w:pPr>
        <w:spacing w:before="120" w:after="0" w:line="276" w:lineRule="auto"/>
        <w:ind w:firstLine="708"/>
        <w:jc w:val="both"/>
        <w:rPr>
          <w:rFonts w:ascii="Verdana" w:hAnsi="Verdana" w:cs="Arial"/>
          <w:lang w:eastAsia="es-ES"/>
        </w:rPr>
      </w:pPr>
      <w:r w:rsidRPr="1A02DAE0">
        <w:rPr>
          <w:rFonts w:ascii="Verdana" w:hAnsi="Verdana" w:cs="Arial"/>
          <w:lang w:eastAsia="es-ES"/>
        </w:rPr>
        <w:t xml:space="preserve">Estos imprevistos son diferentes a las situaciones que corresponden a contingencias extraordinarias, imprevisibles y no controlables por las partes –como los desastres naturales, por ejemplo– que generan un impacto grave y exceden la ejecución ordinaria del contrato. Es decir, “[…] la I como parte del </w:t>
      </w:r>
      <w:r w:rsidRPr="1A02DAE0">
        <w:rPr>
          <w:rFonts w:ascii="Verdana" w:hAnsi="Verdana" w:cs="Arial"/>
          <w:lang w:eastAsia="es-ES"/>
        </w:rPr>
        <w:lastRenderedPageBreak/>
        <w:t>precio no debe confundirse con los riesgos del contrato que conducen al desequilibrio financiero, porque mientras aquélla se refiere a la parte de los gastos extraordinarios que se presentan en el día a día de una obra, pero que son ‘normales’ en su desarrollo; éstos aluden a las contingencias que exceden la ejecución ordinaria del contrato y la capacidad de soportarlas […]”</w:t>
      </w:r>
      <w:r w:rsidRPr="1A02DAE0">
        <w:rPr>
          <w:rStyle w:val="Refdenotaalpie"/>
          <w:rFonts w:ascii="Verdana" w:hAnsi="Verdana" w:cs="Arial"/>
          <w:lang w:eastAsia="es-ES"/>
        </w:rPr>
        <w:footnoteReference w:id="13"/>
      </w:r>
      <w:r w:rsidRPr="1A02DAE0">
        <w:rPr>
          <w:rFonts w:ascii="Verdana" w:hAnsi="Verdana" w:cs="Arial"/>
          <w:lang w:eastAsia="es-ES"/>
        </w:rPr>
        <w:t>. Mientras los primeros integran el precio y forman parte del riesgo normal asumido por el contratista, los segundos pueden dar lugar restablecimiento de la ecuación económica, ya que su asignación no siempre es clara y puede requerir decisión judicial para determinar quién debe asumir su costo</w:t>
      </w:r>
      <w:r w:rsidRPr="1A02DAE0">
        <w:rPr>
          <w:rStyle w:val="Refdenotaalpie"/>
          <w:rFonts w:ascii="Verdana" w:hAnsi="Verdana" w:cs="Arial"/>
          <w:lang w:eastAsia="es-ES"/>
        </w:rPr>
        <w:footnoteReference w:id="14"/>
      </w:r>
      <w:r w:rsidRPr="1A02DAE0">
        <w:rPr>
          <w:rFonts w:ascii="Verdana" w:hAnsi="Verdana" w:cs="Arial"/>
          <w:lang w:eastAsia="es-ES"/>
        </w:rPr>
        <w:t xml:space="preserve">. </w:t>
      </w:r>
    </w:p>
    <w:p w14:paraId="0CBC58F4" w14:textId="77777777" w:rsidR="00E05E98" w:rsidRPr="00371A1F" w:rsidRDefault="00E05E98" w:rsidP="00E05E98">
      <w:pPr>
        <w:spacing w:before="120" w:after="0" w:line="276" w:lineRule="auto"/>
        <w:ind w:firstLine="708"/>
        <w:jc w:val="both"/>
        <w:rPr>
          <w:rFonts w:ascii="Verdana" w:hAnsi="Verdana" w:cs="Arial"/>
          <w:lang w:val="es-ES" w:eastAsia="es-ES"/>
        </w:rPr>
      </w:pPr>
      <w:r>
        <w:rPr>
          <w:rFonts w:ascii="Verdana" w:hAnsi="Verdana" w:cs="Arial"/>
          <w:lang w:val="es-ES" w:eastAsia="es-ES"/>
        </w:rPr>
        <w:t xml:space="preserve">Asimismo, </w:t>
      </w:r>
      <w:r w:rsidRPr="00371A1F">
        <w:rPr>
          <w:rFonts w:ascii="Verdana" w:hAnsi="Verdana" w:cs="Arial"/>
          <w:lang w:val="es-ES" w:eastAsia="es-ES"/>
        </w:rPr>
        <w:t>es necesario tener en cuenta que la Contraloría General de la República replanteó las conclusiones de los Conceptos OJ-0043 y 0J-0075 de 2019, así como del Concepto OJ-130 de 2020. Si bien en ellos sostenía que “[…] los imprevistos no forman parte de la utilidad del contratista, razón por la cual las entidades públicas, al momento de liquidar los contratos deberán analizar las condiciones de ejecución de los mismos y con base en éstas, determinar si se concretaron o no los riesgos imprevisibles a los que estaba destinado dicho rubro y de ser así en qué proporción fue afectado”, dicha tesis cambió a partir del Concepto OJ-083 de 2022 reiterado en el Concepto OJ 093 de la misma anualidad. Así, la Contraloría General de la República estima que:</w:t>
      </w:r>
    </w:p>
    <w:p w14:paraId="30AD516F" w14:textId="77777777" w:rsidR="00E05E98" w:rsidRPr="00371A1F" w:rsidRDefault="00E05E98" w:rsidP="00E05E98">
      <w:pPr>
        <w:spacing w:after="0" w:line="276" w:lineRule="auto"/>
        <w:ind w:firstLine="708"/>
        <w:jc w:val="both"/>
        <w:rPr>
          <w:rFonts w:ascii="Verdana" w:hAnsi="Verdana" w:cs="Arial"/>
          <w:lang w:val="es-ES" w:eastAsia="es-ES"/>
        </w:rPr>
      </w:pPr>
    </w:p>
    <w:p w14:paraId="0419E7C8" w14:textId="77777777" w:rsidR="00E05E98" w:rsidRPr="00BC4483" w:rsidRDefault="00E05E98" w:rsidP="00E05E98">
      <w:pPr>
        <w:spacing w:after="0" w:line="240" w:lineRule="auto"/>
        <w:ind w:left="709" w:right="709"/>
        <w:jc w:val="both"/>
        <w:rPr>
          <w:rFonts w:ascii="Verdana" w:hAnsi="Verdana" w:cs="Arial"/>
          <w:sz w:val="20"/>
          <w:szCs w:val="20"/>
          <w:lang w:val="es-ES" w:eastAsia="es-ES"/>
        </w:rPr>
      </w:pPr>
      <w:r w:rsidRPr="00BC4483">
        <w:rPr>
          <w:rFonts w:ascii="Verdana" w:hAnsi="Verdana" w:cs="Arial"/>
          <w:sz w:val="20"/>
          <w:szCs w:val="20"/>
          <w:lang w:val="es-ES" w:eastAsia="es-ES"/>
        </w:rPr>
        <w:t>“Cuando las entidades públicas deciden incluir en el valor de los contratos los costos de administración imprevistos y utilidad, A.I.U. tienen autonomía para pactar las condiciones para su reconocimiento y pago. En ejercicio de dicha autonomía, las entidades pueden decidir que no se exigirá al contratista que rinda cuentas sobre la partida de imprevistos o que lo haga, en determinadas condiciones.</w:t>
      </w:r>
    </w:p>
    <w:p w14:paraId="70DD9452" w14:textId="77777777" w:rsidR="00E05E98" w:rsidRPr="00BC4483" w:rsidRDefault="00E05E98" w:rsidP="00E05E98">
      <w:pPr>
        <w:spacing w:after="0" w:line="240" w:lineRule="auto"/>
        <w:ind w:left="709" w:right="709"/>
        <w:jc w:val="both"/>
        <w:rPr>
          <w:rFonts w:ascii="Verdana" w:hAnsi="Verdana" w:cs="Arial"/>
          <w:sz w:val="20"/>
          <w:szCs w:val="20"/>
          <w:lang w:val="es-ES" w:eastAsia="es-ES"/>
        </w:rPr>
      </w:pPr>
      <w:r w:rsidRPr="00BC4483">
        <w:rPr>
          <w:rFonts w:ascii="Verdana" w:hAnsi="Verdana" w:cs="Arial"/>
          <w:sz w:val="20"/>
          <w:szCs w:val="20"/>
          <w:lang w:val="es-ES" w:eastAsia="es-ES"/>
        </w:rPr>
        <w:t>[…]</w:t>
      </w:r>
    </w:p>
    <w:p w14:paraId="7F8FF9DF" w14:textId="77777777" w:rsidR="00E05E98" w:rsidRPr="00BC4483" w:rsidRDefault="00E05E98" w:rsidP="00E05E98">
      <w:pPr>
        <w:spacing w:before="120" w:after="0" w:line="240" w:lineRule="auto"/>
        <w:ind w:left="709" w:right="709"/>
        <w:jc w:val="both"/>
        <w:rPr>
          <w:rFonts w:ascii="Verdana" w:hAnsi="Verdana" w:cs="Arial"/>
          <w:sz w:val="20"/>
          <w:szCs w:val="20"/>
          <w:lang w:val="es-ES" w:eastAsia="es-ES"/>
        </w:rPr>
      </w:pPr>
      <w:r w:rsidRPr="00BC4483">
        <w:rPr>
          <w:rFonts w:ascii="Verdana" w:hAnsi="Verdana" w:cs="Arial"/>
          <w:sz w:val="20"/>
          <w:szCs w:val="20"/>
          <w:lang w:val="es-ES" w:eastAsia="es-ES"/>
        </w:rPr>
        <w:t xml:space="preserve">La obligación del contratista de demostrar si ocurrieron hechos que impacta la partida de imprevistos, dependerá de las condiciones que fueron fijadas en cada caso en el respectivo pliego de condiciones y en el contrato. </w:t>
      </w:r>
    </w:p>
    <w:p w14:paraId="5171CDC8" w14:textId="77777777" w:rsidR="00E05E98" w:rsidRPr="00315F83" w:rsidRDefault="00E05E98" w:rsidP="00E05E98">
      <w:pPr>
        <w:spacing w:before="120" w:after="0" w:line="240" w:lineRule="auto"/>
        <w:ind w:left="709" w:right="709"/>
        <w:jc w:val="both"/>
        <w:rPr>
          <w:rFonts w:ascii="Verdana" w:hAnsi="Verdana" w:cs="Arial"/>
          <w:sz w:val="21"/>
          <w:szCs w:val="21"/>
          <w:lang w:val="es-ES" w:eastAsia="es-ES"/>
        </w:rPr>
      </w:pPr>
      <w:r w:rsidRPr="00BC4483">
        <w:rPr>
          <w:rFonts w:ascii="Verdana" w:hAnsi="Verdana" w:cs="Arial"/>
          <w:sz w:val="20"/>
          <w:szCs w:val="20"/>
          <w:lang w:val="es-ES" w:eastAsia="es-ES"/>
        </w:rPr>
        <w:t xml:space="preserve">Las entidades contratantes deben determinar, en cada caso, según las condiciones que fueron definida para el reconocimiento y pago del A.I.U. </w:t>
      </w:r>
      <w:r w:rsidRPr="00BC4483">
        <w:rPr>
          <w:rFonts w:ascii="Verdana" w:hAnsi="Verdana" w:cs="Arial"/>
          <w:sz w:val="20"/>
          <w:szCs w:val="20"/>
          <w:lang w:val="es-ES" w:eastAsia="es-ES"/>
        </w:rPr>
        <w:lastRenderedPageBreak/>
        <w:t>si el pago de la partida de imprevistos debe corresponder al porcentaje fijado en la oferta económica para ello”.</w:t>
      </w:r>
    </w:p>
    <w:p w14:paraId="15F04F8B" w14:textId="77777777" w:rsidR="00E05E98" w:rsidRDefault="00E05E98" w:rsidP="00E05E98">
      <w:pPr>
        <w:spacing w:after="0" w:line="276" w:lineRule="auto"/>
        <w:jc w:val="both"/>
        <w:rPr>
          <w:rFonts w:ascii="Verdana" w:hAnsi="Verdana" w:cs="Arial"/>
          <w:lang w:val="es-ES" w:eastAsia="es-ES"/>
        </w:rPr>
      </w:pPr>
    </w:p>
    <w:p w14:paraId="3F2851D3" w14:textId="77777777" w:rsidR="00E05E98" w:rsidRDefault="00E05E98" w:rsidP="00E05E98">
      <w:pPr>
        <w:spacing w:after="120" w:line="276" w:lineRule="auto"/>
        <w:ind w:firstLine="709"/>
        <w:jc w:val="both"/>
        <w:rPr>
          <w:rFonts w:ascii="Verdana" w:hAnsi="Verdana" w:cs="Arial"/>
          <w:lang w:val="es-ES" w:eastAsia="es-ES"/>
        </w:rPr>
      </w:pPr>
      <w:r>
        <w:rPr>
          <w:rFonts w:ascii="Verdana" w:hAnsi="Verdana" w:cs="Arial"/>
          <w:lang w:val="es-ES" w:eastAsia="es-ES"/>
        </w:rPr>
        <w:t>Sin embargo, la Contraloría</w:t>
      </w:r>
      <w:r w:rsidRPr="00722538">
        <w:rPr>
          <w:rFonts w:ascii="Verdana" w:hAnsi="Verdana" w:cs="Arial"/>
          <w:lang w:val="es-ES" w:eastAsia="es-ES"/>
        </w:rPr>
        <w:t xml:space="preserve"> </w:t>
      </w:r>
      <w:r>
        <w:rPr>
          <w:rFonts w:ascii="Verdana" w:hAnsi="Verdana" w:cs="Arial"/>
          <w:lang w:val="es-ES" w:eastAsia="es-ES"/>
        </w:rPr>
        <w:t>retoma la línea inicial</w:t>
      </w:r>
      <w:r w:rsidRPr="006474CD">
        <w:rPr>
          <w:rFonts w:ascii="Verdana" w:hAnsi="Verdana" w:cs="Arial"/>
          <w:lang w:val="es-ES" w:eastAsia="es-ES"/>
        </w:rPr>
        <w:t xml:space="preserve"> </w:t>
      </w:r>
      <w:r>
        <w:rPr>
          <w:rFonts w:ascii="Verdana" w:hAnsi="Verdana" w:cs="Arial"/>
          <w:lang w:val="es-ES" w:eastAsia="es-ES"/>
        </w:rPr>
        <w:t>en e</w:t>
      </w:r>
      <w:r w:rsidRPr="00722538">
        <w:rPr>
          <w:rFonts w:ascii="Verdana" w:hAnsi="Verdana" w:cs="Arial"/>
          <w:lang w:val="es-ES" w:eastAsia="es-ES"/>
        </w:rPr>
        <w:t xml:space="preserve">l </w:t>
      </w:r>
      <w:r>
        <w:rPr>
          <w:rFonts w:ascii="Verdana" w:hAnsi="Verdana" w:cs="Arial"/>
          <w:lang w:val="es-ES" w:eastAsia="es-ES"/>
        </w:rPr>
        <w:t>C</w:t>
      </w:r>
      <w:r w:rsidRPr="00722538">
        <w:rPr>
          <w:rFonts w:ascii="Verdana" w:hAnsi="Verdana" w:cs="Arial"/>
          <w:lang w:val="es-ES" w:eastAsia="es-ES"/>
        </w:rPr>
        <w:t>oncepto CGR-OJ-139 de 2025</w:t>
      </w:r>
      <w:r>
        <w:rPr>
          <w:rFonts w:ascii="Verdana" w:hAnsi="Verdana" w:cs="Arial"/>
          <w:lang w:val="es-ES" w:eastAsia="es-ES"/>
        </w:rPr>
        <w:t xml:space="preserve">, por lo que </w:t>
      </w:r>
      <w:r w:rsidRPr="006474CD">
        <w:rPr>
          <w:rFonts w:ascii="Verdana" w:hAnsi="Verdana" w:cs="Arial"/>
          <w:lang w:val="es-ES" w:eastAsia="es-ES"/>
        </w:rPr>
        <w:t>privilegia la demostración de</w:t>
      </w:r>
      <w:r>
        <w:rPr>
          <w:rFonts w:ascii="Verdana" w:hAnsi="Verdana" w:cs="Arial"/>
          <w:lang w:val="es-ES" w:eastAsia="es-ES"/>
        </w:rPr>
        <w:t xml:space="preserve"> </w:t>
      </w:r>
      <w:r w:rsidRPr="006474CD">
        <w:rPr>
          <w:rFonts w:ascii="Verdana" w:hAnsi="Verdana" w:cs="Arial"/>
          <w:lang w:val="es-ES" w:eastAsia="es-ES"/>
        </w:rPr>
        <w:t>l</w:t>
      </w:r>
      <w:r>
        <w:rPr>
          <w:rFonts w:ascii="Verdana" w:hAnsi="Verdana" w:cs="Arial"/>
          <w:lang w:val="es-ES" w:eastAsia="es-ES"/>
        </w:rPr>
        <w:t>os</w:t>
      </w:r>
      <w:r w:rsidRPr="006474CD">
        <w:rPr>
          <w:rFonts w:ascii="Verdana" w:hAnsi="Verdana" w:cs="Arial"/>
          <w:lang w:val="es-ES" w:eastAsia="es-ES"/>
        </w:rPr>
        <w:t xml:space="preserve"> imprevisto</w:t>
      </w:r>
      <w:r>
        <w:rPr>
          <w:rFonts w:ascii="Verdana" w:hAnsi="Verdana" w:cs="Arial"/>
          <w:lang w:val="es-ES" w:eastAsia="es-ES"/>
        </w:rPr>
        <w:t>s</w:t>
      </w:r>
      <w:r w:rsidRPr="006474CD">
        <w:rPr>
          <w:rFonts w:ascii="Verdana" w:hAnsi="Verdana" w:cs="Arial"/>
          <w:lang w:val="es-ES" w:eastAsia="es-ES"/>
        </w:rPr>
        <w:t xml:space="preserve"> como condición para su pago.</w:t>
      </w:r>
      <w:r>
        <w:rPr>
          <w:rFonts w:ascii="Verdana" w:hAnsi="Verdana" w:cs="Arial"/>
          <w:lang w:val="es-ES" w:eastAsia="es-ES"/>
        </w:rPr>
        <w:t xml:space="preserve"> Para estos efectos, estima que “[…] </w:t>
      </w:r>
      <w:r w:rsidRPr="005E5163">
        <w:rPr>
          <w:rFonts w:ascii="Verdana" w:hAnsi="Verdana" w:cs="Arial"/>
          <w:lang w:val="es-ES" w:eastAsia="es-ES"/>
        </w:rPr>
        <w:t>al ser</w:t>
      </w:r>
      <w:r>
        <w:rPr>
          <w:rFonts w:ascii="Verdana" w:hAnsi="Verdana" w:cs="Arial"/>
          <w:lang w:val="es-ES" w:eastAsia="es-ES"/>
        </w:rPr>
        <w:t xml:space="preserve"> </w:t>
      </w:r>
      <w:r w:rsidRPr="005E5163">
        <w:rPr>
          <w:rFonts w:ascii="Verdana" w:hAnsi="Verdana" w:cs="Arial"/>
          <w:lang w:val="es-ES" w:eastAsia="es-ES"/>
        </w:rPr>
        <w:t>independiente y cumplir una función diferente, el componente de Imprevistos, s</w:t>
      </w:r>
      <w:r>
        <w:rPr>
          <w:rFonts w:ascii="Verdana" w:hAnsi="Verdana" w:cs="Arial"/>
          <w:lang w:val="es-ES" w:eastAsia="es-ES"/>
        </w:rPr>
        <w:t>í</w:t>
      </w:r>
      <w:r w:rsidRPr="005E5163">
        <w:rPr>
          <w:rFonts w:ascii="Verdana" w:hAnsi="Verdana" w:cs="Arial"/>
          <w:lang w:val="es-ES" w:eastAsia="es-ES"/>
        </w:rPr>
        <w:t xml:space="preserve"> debe</w:t>
      </w:r>
      <w:r>
        <w:rPr>
          <w:rFonts w:ascii="Verdana" w:hAnsi="Verdana" w:cs="Arial"/>
          <w:lang w:val="es-ES" w:eastAsia="es-ES"/>
        </w:rPr>
        <w:t xml:space="preserve"> </w:t>
      </w:r>
      <w:r w:rsidRPr="005E5163">
        <w:rPr>
          <w:rFonts w:ascii="Verdana" w:hAnsi="Verdana" w:cs="Arial"/>
          <w:lang w:val="es-ES" w:eastAsia="es-ES"/>
        </w:rPr>
        <w:t>ser demostrado, puesto que, la apropiación del mismo, sin justificación técnica, fáctica</w:t>
      </w:r>
      <w:r>
        <w:rPr>
          <w:rFonts w:ascii="Verdana" w:hAnsi="Verdana" w:cs="Arial"/>
          <w:lang w:val="es-ES" w:eastAsia="es-ES"/>
        </w:rPr>
        <w:t xml:space="preserve"> </w:t>
      </w:r>
      <w:r w:rsidRPr="005E5163">
        <w:rPr>
          <w:rFonts w:ascii="Verdana" w:hAnsi="Verdana" w:cs="Arial"/>
          <w:lang w:val="es-ES" w:eastAsia="es-ES"/>
        </w:rPr>
        <w:t>o contractual, iría en contra de los principios de buena fe y equidad en la contratación</w:t>
      </w:r>
      <w:r>
        <w:rPr>
          <w:rFonts w:ascii="Verdana" w:hAnsi="Verdana" w:cs="Arial"/>
          <w:lang w:val="es-ES" w:eastAsia="es-ES"/>
        </w:rPr>
        <w:t xml:space="preserve"> </w:t>
      </w:r>
      <w:r w:rsidRPr="005E5163">
        <w:rPr>
          <w:rFonts w:ascii="Verdana" w:hAnsi="Verdana" w:cs="Arial"/>
          <w:lang w:val="es-ES" w:eastAsia="es-ES"/>
        </w:rPr>
        <w:t>estatal</w:t>
      </w:r>
      <w:r>
        <w:rPr>
          <w:rFonts w:ascii="Verdana" w:hAnsi="Verdana" w:cs="Arial"/>
          <w:lang w:val="es-ES" w:eastAsia="es-ES"/>
        </w:rPr>
        <w:t xml:space="preserve"> […]”</w:t>
      </w:r>
      <w:r w:rsidRPr="005E5163">
        <w:rPr>
          <w:rFonts w:ascii="Verdana" w:hAnsi="Verdana" w:cs="Arial"/>
          <w:lang w:val="es-ES" w:eastAsia="es-ES"/>
        </w:rPr>
        <w:t>.</w:t>
      </w:r>
      <w:r>
        <w:rPr>
          <w:rFonts w:ascii="Verdana" w:hAnsi="Verdana" w:cs="Arial"/>
          <w:lang w:val="es-ES" w:eastAsia="es-ES"/>
        </w:rPr>
        <w:t xml:space="preserve"> </w:t>
      </w:r>
    </w:p>
    <w:p w14:paraId="08D7ECB0" w14:textId="77777777" w:rsidR="00E05E98" w:rsidRDefault="00E05E98" w:rsidP="00E05E98">
      <w:pPr>
        <w:spacing w:after="0" w:line="276" w:lineRule="auto"/>
        <w:ind w:firstLine="709"/>
        <w:jc w:val="both"/>
        <w:rPr>
          <w:rFonts w:ascii="Verdana" w:hAnsi="Verdana" w:cs="Arial"/>
          <w:lang w:val="es-ES" w:eastAsia="es-ES"/>
        </w:rPr>
      </w:pPr>
      <w:r>
        <w:rPr>
          <w:rFonts w:ascii="Verdana" w:hAnsi="Verdana" w:cs="Arial"/>
          <w:lang w:val="es-ES" w:eastAsia="es-ES"/>
        </w:rPr>
        <w:t>Pese a que la postura del órgano de control ha sido cambiante y no se encuentra unificada</w:t>
      </w:r>
      <w:r w:rsidRPr="008335E8">
        <w:rPr>
          <w:rFonts w:ascii="Verdana" w:hAnsi="Verdana" w:cs="Arial"/>
          <w:lang w:val="es-ES" w:eastAsia="es-ES"/>
        </w:rPr>
        <w:t xml:space="preserve">, </w:t>
      </w:r>
      <w:r>
        <w:rPr>
          <w:rFonts w:ascii="Verdana" w:hAnsi="Verdana" w:cs="Arial"/>
          <w:lang w:val="es-ES" w:eastAsia="es-ES"/>
        </w:rPr>
        <w:t xml:space="preserve">Colombia Compra Eficiente considera que </w:t>
      </w:r>
      <w:r w:rsidRPr="008335E8">
        <w:rPr>
          <w:rFonts w:ascii="Verdana" w:hAnsi="Verdana" w:cs="Arial"/>
          <w:lang w:val="es-ES" w:eastAsia="es-ES"/>
        </w:rPr>
        <w:t>las entidades cuentan con discrecionalidad para establecer en el pliego de condiciones o en su documento equivalente, así como en el contrato, el sistema de precios unitarios y la figura del AIU. De este modo, teniendo en cuenta el concepto de AIU, ni la forma de calcularlo son aspectos que cuenten con una regulación normativa en materia contractual del Estado, la determinación de los componentes del AIU dependerá del análisis particular que realice la entidad en relación con el presupuesto estimado del valor de la ejecución del contrato que, a su vez, sirve de guía para que los proponentes formulen sus ofertas.</w:t>
      </w:r>
    </w:p>
    <w:p w14:paraId="59F6D8C8" w14:textId="77777777" w:rsidR="00662087" w:rsidRDefault="00662087" w:rsidP="00662087">
      <w:pPr>
        <w:spacing w:before="120" w:after="0" w:line="276" w:lineRule="auto"/>
        <w:ind w:firstLine="709"/>
        <w:jc w:val="both"/>
        <w:rPr>
          <w:rFonts w:ascii="Verdana" w:hAnsi="Verdana" w:cs="Arial"/>
          <w:lang w:val="es-ES" w:eastAsia="es-ES"/>
        </w:rPr>
      </w:pPr>
      <w:r w:rsidRPr="001F5DD0">
        <w:rPr>
          <w:rFonts w:ascii="Verdana" w:hAnsi="Verdana" w:cs="Arial"/>
          <w:lang w:val="es-ES" w:eastAsia="es-ES"/>
        </w:rPr>
        <w:t xml:space="preserve">En consecuencia, tanto las entidades sometidas al Estatuto General de Contratación de la Administración Pública, como las excluidas de este –es decir, las que tienen un régimen especial– gozan de autonomía para configurar el precio y para establecer el sistema de pago más apropiado para satisfacer los fines de la contratación, respetando los límites previstos en el ordenamiento. En tal perspectiva, cuentan con discrecionalidad para establecer en el pliego de condiciones o en su documento equivalente, así como en el contrato, el sistema de precios unitarios y la figura del AIU; modelo que, como se indicó, es más pertinente para los contratos de tracto sucesivo, como el de obra. </w:t>
      </w:r>
    </w:p>
    <w:p w14:paraId="2D0299CB" w14:textId="77777777" w:rsidR="00B107DB" w:rsidRDefault="00B107DB" w:rsidP="00B107DB">
      <w:pPr>
        <w:spacing w:before="120" w:after="0" w:line="276" w:lineRule="auto"/>
        <w:ind w:firstLine="709"/>
        <w:jc w:val="both"/>
        <w:rPr>
          <w:rFonts w:ascii="Verdana" w:hAnsi="Verdana" w:cs="Arial"/>
          <w:lang w:val="es-ES" w:eastAsia="es-ES"/>
        </w:rPr>
      </w:pPr>
      <w:r>
        <w:rPr>
          <w:rFonts w:ascii="Verdana" w:hAnsi="Verdana" w:cs="Arial"/>
          <w:lang w:val="es-ES" w:eastAsia="es-ES"/>
        </w:rPr>
        <w:t xml:space="preserve">Al no existir valores fijos de referencia regulados en la ley o el reglamento, </w:t>
      </w:r>
      <w:r w:rsidRPr="00104C20">
        <w:rPr>
          <w:rFonts w:ascii="Verdana" w:hAnsi="Verdana" w:cs="Arial"/>
          <w:lang w:val="es-ES" w:eastAsia="es-ES"/>
        </w:rPr>
        <w:t xml:space="preserve">la decisión de incluir el AIU, al igual que la metodología de delimitación de sus variables –ítems y porcentajes– debe obedecer a un juicioso análisis de oportunidad y conveniencia, que consulte las reglas de la experiencia, así como los aspectos particulares de cada negocio. Lo anterior en armonía con la garantía de los principios de la función administrativa y de la gestión fiscal, dentro de los </w:t>
      </w:r>
      <w:r w:rsidRPr="00104C20">
        <w:rPr>
          <w:rFonts w:ascii="Verdana" w:hAnsi="Verdana" w:cs="Arial"/>
          <w:lang w:val="es-ES" w:eastAsia="es-ES"/>
        </w:rPr>
        <w:lastRenderedPageBreak/>
        <w:t>cuales se halla el principio de economía, postulado que exige la optimización de los recursos públicos.</w:t>
      </w:r>
    </w:p>
    <w:p w14:paraId="00C823E5" w14:textId="77777777" w:rsidR="00B107DB" w:rsidRDefault="00B107DB" w:rsidP="00B107DB">
      <w:pPr>
        <w:spacing w:before="120" w:after="0" w:line="276" w:lineRule="auto"/>
        <w:ind w:firstLine="709"/>
        <w:jc w:val="both"/>
        <w:rPr>
          <w:rFonts w:ascii="Verdana" w:hAnsi="Verdana" w:cs="Arial"/>
          <w:lang w:val="es-ES" w:eastAsia="es-ES"/>
        </w:rPr>
      </w:pPr>
      <w:r>
        <w:rPr>
          <w:rFonts w:ascii="Verdana" w:hAnsi="Verdana" w:cs="Arial"/>
          <w:lang w:val="es-ES" w:eastAsia="es-ES"/>
        </w:rPr>
        <w:t>Ahora bien, en cuanto a la tipología contractual, conviene recordar que el numeral 1 del artículo 32 de la Ley 80 de 1993 define como contratos de obra “los que celebren las entidades estatales para la construcción, mantenimiento, instalación y, en general, para la realización de cualquier otro trabajo material sobre bienes inmuebles, cualquiera que sea la modalidad de ejecución y pago”. De este modo, las actividades de mantenimiento y conservación que recaen sobre bienes inmuebles –como las zonas verdes y las áreas de reserva natural– se encuentran comprendidas, para las entidades sometidas al Estatuto General de Contratación de la Administración Pública, dentro de dicha tipología, que es precisamente aquella en la que con mayor frecuencia se emplea el esquema de AIU por tratarse de un contrato de tracto sucesivo estructurado con precios unitarios. Con todo, y como se expuso, la tipificación del contrato no es determinante para la procedencia del AIU, comoquiera que este puede utilizarse, en principio, en cualquier tipología contractual.</w:t>
      </w:r>
    </w:p>
    <w:p w14:paraId="1915BEF7" w14:textId="77777777" w:rsidR="00B107DB" w:rsidRDefault="00B107DB" w:rsidP="00B107DB">
      <w:pPr>
        <w:spacing w:before="120" w:after="0" w:line="276" w:lineRule="auto"/>
        <w:ind w:firstLine="709"/>
        <w:jc w:val="both"/>
        <w:rPr>
          <w:rFonts w:ascii="Verdana" w:hAnsi="Verdana" w:cs="Arial"/>
          <w:lang w:val="es-ES" w:eastAsia="es-ES"/>
        </w:rPr>
      </w:pPr>
      <w:r>
        <w:rPr>
          <w:rFonts w:ascii="Verdana" w:hAnsi="Verdana" w:cs="Arial"/>
          <w:lang w:val="es-ES" w:eastAsia="es-ES"/>
        </w:rPr>
        <w:t>De otra parte, respecto de las entidades que cuentan con un régimen especial de contratación, debe señalarse que los actos y contratos de las empresas industriales y comerciales del Estado se sujetan, por regla general, a las disposiciones del derecho privado, según los artículos 85 y 93 de la Ley 489 de 1998, y que, conforme al artículo 14 de la Ley 1150 de 2007 –modificado por el artículo 93 de la Ley 1474 de 2011–, aquellas que desarrollen su actividad en competencia con el sector privado o público, nacional o internacional, o en mercados regulados, no están sujetas al Estatuto General de Contratación de la Administración Pública. No obstante, dicha exclusión no las releva del deber de aplicar los principios de la función administrativa y de la gestión fiscal de que tratan los artículos 209 y 267 de la Constitución Política, ni del régimen de inhabilidades e incompatibilidades. Por consiguiente, la definición del esquema de precio –incluido el AIU– en estas entidades se rige por su manual de contratación y por las reglas que ellas mismas definan en sus documentos del proceso, dentro de los límites anotados.</w:t>
      </w:r>
    </w:p>
    <w:p w14:paraId="724BDB1A" w14:textId="77777777" w:rsidR="00B107DB" w:rsidRDefault="00B107DB" w:rsidP="00B107DB">
      <w:pPr>
        <w:spacing w:before="120" w:after="0" w:line="276" w:lineRule="auto"/>
        <w:ind w:firstLine="709"/>
        <w:jc w:val="both"/>
        <w:rPr>
          <w:rFonts w:ascii="Verdana" w:hAnsi="Verdana" w:cs="Arial"/>
          <w:lang w:val="es-ES" w:eastAsia="es-ES"/>
        </w:rPr>
      </w:pPr>
      <w:r>
        <w:rPr>
          <w:rFonts w:ascii="Verdana" w:hAnsi="Verdana" w:cs="Arial"/>
          <w:lang w:val="es-ES" w:eastAsia="es-ES"/>
        </w:rPr>
        <w:t xml:space="preserve">Finalmente, en lo que atañe al interrogante sobre si el desglose exclusivo del componente de Administración constituye “una práctica válida de transparencia presupuestal”, es preciso señalar que la transparencia en la </w:t>
      </w:r>
      <w:r>
        <w:rPr>
          <w:rFonts w:ascii="Verdana" w:hAnsi="Verdana" w:cs="Arial"/>
          <w:lang w:val="es-ES" w:eastAsia="es-ES"/>
        </w:rPr>
        <w:lastRenderedPageBreak/>
        <w:t>estructuración del presupuesto oficial no depende del número de componentes que se discriminen, sino de que el valor estimado del contrato se soporte en el análisis del sector y en el estudio del mercado, y de que las reglas de estipulación y pago del precio consten de manera clara, completa y objetiva en los documentos del proceso y en el contrato, de forma que los interesados puedan formular sus ofertas en condiciones de igualdad. Ello es consecuencia de los deberes de planeación, selección objetiva y publicidad, así como de los principios de transparencia, economía y responsabilidad previstos en los artículos 23 a 26 de la Ley 80 de 1993 y en los artículos 2.2.1.1.1.6.1 y 2.2.1.1.2.1.1 del Decreto 1082 de 2015.</w:t>
      </w:r>
    </w:p>
    <w:p w14:paraId="632163D3" w14:textId="77777777" w:rsidR="00B107DB" w:rsidRDefault="00B107DB" w:rsidP="00B107DB">
      <w:pPr>
        <w:spacing w:before="120" w:after="0" w:line="276" w:lineRule="auto"/>
        <w:ind w:firstLine="709"/>
        <w:jc w:val="both"/>
        <w:rPr>
          <w:rFonts w:ascii="Verdana" w:hAnsi="Verdana" w:cs="Arial"/>
          <w:lang w:val="es-ES" w:eastAsia="es-ES"/>
        </w:rPr>
      </w:pPr>
      <w:r>
        <w:rPr>
          <w:rFonts w:ascii="Verdana" w:hAnsi="Verdana" w:cs="Arial"/>
          <w:lang w:val="es-ES" w:eastAsia="es-ES"/>
        </w:rPr>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51E5C8F8" w14:textId="77777777" w:rsidR="00B107DB" w:rsidRDefault="00B107DB" w:rsidP="00B107DB">
      <w:pPr>
        <w:spacing w:before="120" w:after="0" w:line="276" w:lineRule="auto"/>
        <w:ind w:firstLine="709"/>
        <w:jc w:val="both"/>
        <w:rPr>
          <w:rFonts w:ascii="Verdana" w:hAnsi="Verdana" w:cs="Arial"/>
          <w:lang w:val="es-ES" w:eastAsia="es-ES"/>
        </w:rPr>
      </w:pPr>
    </w:p>
    <w:bookmarkEnd w:id="1"/>
    <w:bookmarkEnd w:id="2"/>
    <w:p w14:paraId="77A49C7E" w14:textId="77777777" w:rsidR="00662087" w:rsidRPr="009037F6" w:rsidRDefault="00662087" w:rsidP="00662087">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9037F6">
        <w:rPr>
          <w:rFonts w:ascii="Verdana" w:eastAsia="Century Gothic" w:hAnsi="Verdana" w:cs="Century Gothic"/>
          <w:b/>
          <w:bCs/>
          <w:lang w:val="es-ES"/>
        </w:rPr>
        <w:t xml:space="preserve">Referencias normativas, jurisprudenciales y otras fuentes </w:t>
      </w:r>
    </w:p>
    <w:p w14:paraId="01149207" w14:textId="77777777" w:rsidR="00662087" w:rsidRPr="009037F6" w:rsidRDefault="00662087" w:rsidP="00662087">
      <w:pPr>
        <w:widowControl w:val="0"/>
        <w:autoSpaceDE w:val="0"/>
        <w:autoSpaceDN w:val="0"/>
        <w:spacing w:after="0" w:line="276" w:lineRule="auto"/>
        <w:jc w:val="both"/>
        <w:rPr>
          <w:rFonts w:ascii="Verdana" w:hAnsi="Verdana" w:cs="Arial"/>
        </w:rPr>
      </w:pPr>
    </w:p>
    <w:tbl>
      <w:tblPr>
        <w:tblStyle w:val="Tablaconcuadrcula11"/>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662087" w:rsidRPr="009037F6" w14:paraId="0AF6BB4A" w14:textId="77777777" w:rsidTr="002A4618">
        <w:trPr>
          <w:trHeight w:val="487"/>
          <w:jc w:val="center"/>
        </w:trPr>
        <w:tc>
          <w:tcPr>
            <w:tcW w:w="8647" w:type="dxa"/>
          </w:tcPr>
          <w:p w14:paraId="0D32BA96" w14:textId="2AF8F9C8" w:rsidR="00662087" w:rsidRDefault="00662087" w:rsidP="002A4618">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Constitución Política, artículos 209, 267 y 338.</w:t>
            </w:r>
          </w:p>
          <w:p w14:paraId="12FF82FA" w14:textId="77777777" w:rsidR="00662087" w:rsidRDefault="00662087" w:rsidP="002A4618">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Ley 80 de 1993, artículos 3, 13, 23, 24, 25, 26, 27, 32 (numeral 1) y 40.</w:t>
            </w:r>
          </w:p>
          <w:p w14:paraId="6F5064D1" w14:textId="77777777" w:rsidR="00662087" w:rsidRDefault="00662087" w:rsidP="002A4618">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Ley 489 de 1998, artículos 85 y 93.</w:t>
            </w:r>
          </w:p>
          <w:p w14:paraId="7A38A85F" w14:textId="77777777" w:rsidR="00662087" w:rsidRDefault="00662087" w:rsidP="002A4618">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Ley 1150 de 2007, artículos 4, 13 y 14 –este último modificado por el artículo 93 de la Ley 1474 de 2011–.</w:t>
            </w:r>
          </w:p>
          <w:p w14:paraId="6AA04DDA" w14:textId="77777777" w:rsidR="00662087" w:rsidRDefault="00662087" w:rsidP="002A4618">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Ley 1755 de 2015.</w:t>
            </w:r>
          </w:p>
          <w:p w14:paraId="22D7A274" w14:textId="77777777" w:rsidR="00662087" w:rsidRDefault="00662087" w:rsidP="002A4618">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Decreto Ley 4170 de 2011, artículos 3 (numeral 5) y 11 (numeral 8).</w:t>
            </w:r>
          </w:p>
          <w:p w14:paraId="457FF217" w14:textId="77777777" w:rsidR="00662087" w:rsidRDefault="00662087" w:rsidP="002A4618">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Decreto 1082 de 2015, artículos 2.2.1.1.1.3.1, 2.2.1.1.1.6.1, 2.2.1.1.2.1.1, 2.2.1.1.2.1.3 y 2.2.1.2.1.1.2.</w:t>
            </w:r>
          </w:p>
          <w:p w14:paraId="58772DCD" w14:textId="77777777" w:rsidR="00662087" w:rsidRDefault="00662087" w:rsidP="002A4618">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lastRenderedPageBreak/>
              <w:t>Decreto 624 de 1989 –Estatuto Tributario–, artículos 447 y 462-1 (referencia).</w:t>
            </w:r>
          </w:p>
          <w:p w14:paraId="6F24FC51" w14:textId="77777777" w:rsidR="00662087" w:rsidRDefault="00662087" w:rsidP="002A4618">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Decreto 1625 de 2016, artículo 1.3.1.7.9 (referencia).</w:t>
            </w:r>
          </w:p>
          <w:p w14:paraId="78F0B060" w14:textId="77777777" w:rsidR="00662087" w:rsidRDefault="00662087" w:rsidP="002A4618">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Código Civil, artículo 1602.</w:t>
            </w:r>
          </w:p>
          <w:p w14:paraId="44AB43F1" w14:textId="77777777" w:rsidR="00662087" w:rsidRDefault="00662087" w:rsidP="002A4618">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CONSEJO DE ESTADO. Sección Tercera. Sentencia del 28 de agosto de 2003. Radicado: 17.554. C.P. Ramiro Saavedra Becerra.</w:t>
            </w:r>
          </w:p>
          <w:p w14:paraId="795A5222" w14:textId="77777777" w:rsidR="00662087" w:rsidRDefault="00662087" w:rsidP="002A4618">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CONSEJO DE ESTADO. Sección Tercera. Subsección B. Sentencia del 14 de octubre de 2011. Exp. 20811. C.P. Ruth Stella Correa Palacio.</w:t>
            </w:r>
          </w:p>
          <w:p w14:paraId="190DDD89" w14:textId="77777777" w:rsidR="00662087" w:rsidRDefault="00662087" w:rsidP="002A4618">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CONSEJO DE ESTADO. Sección Tercera. Subsección B. Sentencia del 29 de febrero de 2012. Exp. 16371. C.P. Danilo Rojas Betancourth.</w:t>
            </w:r>
          </w:p>
          <w:p w14:paraId="43F89BEC" w14:textId="77777777" w:rsidR="00662087" w:rsidRDefault="00662087" w:rsidP="002A4618">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CONSEJO DE ESTADO. Sala de Consulta y Servicio Civil. Concepto del 5 de septiembre de 2018.</w:t>
            </w:r>
          </w:p>
          <w:p w14:paraId="33828DB1" w14:textId="77777777" w:rsidR="00662087" w:rsidRDefault="00662087" w:rsidP="002A4618">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DIAN. Concepto 010467 int. 1162 del 12 de diciembre de 2024; Concepto 003524 int. 415 del 25 de marzo de 2025; Oficio 901024 int. 388 del 2 de abril de 2020; Oficio 004761 del 26 de febrero de 2019 (referencia).</w:t>
            </w:r>
          </w:p>
        </w:tc>
      </w:tr>
    </w:tbl>
    <w:p w14:paraId="367BB743" w14:textId="77777777" w:rsidR="00662087" w:rsidRPr="009037F6" w:rsidRDefault="00662087" w:rsidP="00662087">
      <w:pPr>
        <w:widowControl w:val="0"/>
        <w:autoSpaceDE w:val="0"/>
        <w:autoSpaceDN w:val="0"/>
        <w:spacing w:after="0" w:line="276" w:lineRule="auto"/>
        <w:jc w:val="both"/>
        <w:rPr>
          <w:rFonts w:ascii="Verdana" w:hAnsi="Verdana" w:cs="Arial"/>
        </w:rPr>
      </w:pPr>
    </w:p>
    <w:p w14:paraId="433253B7" w14:textId="77777777" w:rsidR="00662087" w:rsidRPr="009037F6" w:rsidRDefault="00662087" w:rsidP="00662087">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9037F6">
        <w:rPr>
          <w:rFonts w:ascii="Verdana" w:eastAsia="Century Gothic" w:hAnsi="Verdana" w:cs="Century Gothic"/>
          <w:b/>
          <w:bCs/>
          <w:lang w:val="es-ES"/>
        </w:rPr>
        <w:t>Doctrina de la Agencia Nacional de Contratación Pública:</w:t>
      </w:r>
    </w:p>
    <w:p w14:paraId="7CC26D2B" w14:textId="77777777" w:rsidR="00662087" w:rsidRPr="009037F6" w:rsidRDefault="00662087" w:rsidP="00662087">
      <w:pPr>
        <w:widowControl w:val="0"/>
        <w:autoSpaceDE w:val="0"/>
        <w:autoSpaceDN w:val="0"/>
        <w:spacing w:after="0" w:line="276" w:lineRule="auto"/>
        <w:jc w:val="both"/>
        <w:rPr>
          <w:rFonts w:ascii="Verdana" w:hAnsi="Verdana" w:cs="Arial"/>
        </w:rPr>
      </w:pPr>
    </w:p>
    <w:p w14:paraId="76A80A54" w14:textId="7646AFF0" w:rsidR="001B24C7" w:rsidRDefault="00662087" w:rsidP="00662087">
      <w:pPr>
        <w:widowControl w:val="0"/>
        <w:autoSpaceDE w:val="0"/>
        <w:autoSpaceDN w:val="0"/>
        <w:spacing w:after="0" w:line="276" w:lineRule="auto"/>
        <w:jc w:val="both"/>
        <w:rPr>
          <w:rStyle w:val="normaltextrun"/>
          <w:rFonts w:ascii="Verdana" w:hAnsi="Verdana" w:cs="Arial"/>
          <w:shd w:val="clear" w:color="auto" w:fill="FFFFFF"/>
        </w:rPr>
      </w:pPr>
      <w:r>
        <w:rPr>
          <w:rFonts w:ascii="Verdana" w:hAnsi="Verdana" w:cs="Arial"/>
          <w:shd w:val="clear" w:color="auto" w:fill="FFFFFF"/>
        </w:rPr>
        <w:t xml:space="preserve">Esta Subdirección se ha pronunciado en varias ocasiones sobre el AIU en los Conceptos 4201714000005136 del 14 de noviembre de 2017; 4201714000006401 del 23 de noviembre de 2017; 4201813000004155 del 9 de mayo de 2018; 4201814000008069 del 27 de septiembre de 2018; 4201814000007383 del 18 de octubre de 2018; 4201912000004214 del 26 de junio de 2019; 4201912000006455 y 4201912000006463 del 19 de septiembre de 2019; 4201912000007375 del 28 de octubre de 2019; 4201912000007092 del 29 de noviembre de 2019; C–037 del 28 de enero de 2020; C-191 del 16 de marzo de 2020; C-211 del 8 de abril de 2020; C-714 del 9 de diciembre de 2020; C-059 del 10 de marzo de 2021; C-613 del 6 de octubre de 2022; C-716 del 15 de noviembre de 2022; C-802 del 23 de noviembre de 2022; C-854 del 9 de diciembre de 2022; C-914 del 27 de diciembre de 2022; C-401 del 27 de septiembre de 2023; C-455 del 18 de septiembre de 2024; C-065 del 27 de </w:t>
      </w:r>
      <w:r>
        <w:rPr>
          <w:rFonts w:ascii="Verdana" w:hAnsi="Verdana" w:cs="Arial"/>
          <w:shd w:val="clear" w:color="auto" w:fill="FFFFFF"/>
        </w:rPr>
        <w:lastRenderedPageBreak/>
        <w:t>febrero de 2025; C-248 del 3 de abril de 2025; C-460 del 18 de junio de 2025; C-180 del 24 de febrero de 2026; C-148 del 10 de marzo de 2026; C-445 del 9 de abril de 2026 y C-1003 de 2026, entre otros.</w:t>
      </w:r>
    </w:p>
    <w:p w14:paraId="6AFEEB25" w14:textId="77777777" w:rsidR="001B24C7" w:rsidRDefault="001B24C7" w:rsidP="00662087">
      <w:pPr>
        <w:widowControl w:val="0"/>
        <w:autoSpaceDE w:val="0"/>
        <w:autoSpaceDN w:val="0"/>
        <w:spacing w:after="0" w:line="276" w:lineRule="auto"/>
        <w:jc w:val="both"/>
        <w:rPr>
          <w:rStyle w:val="normaltextrun"/>
          <w:rFonts w:ascii="Verdana" w:hAnsi="Verdana" w:cs="Arial"/>
          <w:shd w:val="clear" w:color="auto" w:fill="FFFFFF"/>
        </w:rPr>
      </w:pPr>
    </w:p>
    <w:p w14:paraId="49E2F4B8" w14:textId="46A3C892" w:rsidR="00662087" w:rsidRPr="00AD7D5F" w:rsidRDefault="001B24C7" w:rsidP="00662087">
      <w:pPr>
        <w:widowControl w:val="0"/>
        <w:autoSpaceDE w:val="0"/>
        <w:autoSpaceDN w:val="0"/>
        <w:spacing w:after="0" w:line="276" w:lineRule="auto"/>
        <w:jc w:val="both"/>
        <w:rPr>
          <w:rFonts w:ascii="Verdana" w:eastAsia="Calibri" w:hAnsi="Verdana" w:cs="Arial"/>
          <w:lang w:val="es-ES"/>
        </w:rPr>
      </w:pPr>
      <w:r>
        <w:rPr>
          <w:rStyle w:val="normaltextrun"/>
          <w:rFonts w:ascii="Verdana" w:hAnsi="Verdana" w:cs="Arial"/>
          <w:shd w:val="clear" w:color="auto" w:fill="FFFFFF"/>
        </w:rPr>
        <w:t>También se ha pronunciado sobre el régimen contractual de las entidades excluidas del Estatuto General de Contratación de la Administración Pública en los Conceptos C-700 del 20 de noviembre de 2024, C-155 de 2025, C-476 y C-477 de 2025 y C-1410 de 2025, y sobre el equilibrio económico del contrato estatal en los Conceptos C-938 del 27 de diciembre de 2022, C-774 del 20 de noviembre de 2024, C-565 del 10 de junio de 2025, C-1029 del 31 de julio de 2025, C-1035 del 8 de septiembre de 2025, C-1429 del 21 de octubre de 2025 y C-352 del 13 de marzo de 2026. 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22D3187A" w14:textId="36FDCF13" w:rsidR="00662087" w:rsidRPr="009037F6" w:rsidRDefault="00662087" w:rsidP="00662087">
      <w:pPr>
        <w:spacing w:after="0" w:line="256" w:lineRule="auto"/>
        <w:jc w:val="both"/>
        <w:rPr>
          <w:rFonts w:ascii="Verdana" w:eastAsia="Calibri" w:hAnsi="Verdana" w:cs="Times New Roman"/>
        </w:rPr>
      </w:pPr>
      <w:hyperlink r:id="rId12" w:history="1">
        <w:r w:rsidRPr="009037F6">
          <w:rPr>
            <w:rFonts w:ascii="Verdana" w:eastAsia="Calibri" w:hAnsi="Verdana" w:cs="Times New Roman"/>
            <w:color w:val="0000FF"/>
            <w:u w:val="single"/>
            <w:lang w:val="es-ES"/>
          </w:rPr>
          <w:t>https://relatoria.colombiacompra.gov.co/busqueda/conceptos</w:t>
        </w:r>
      </w:hyperlink>
    </w:p>
    <w:p w14:paraId="175ECDCD" w14:textId="77777777" w:rsidR="00662087" w:rsidRPr="009037F6" w:rsidRDefault="00662087" w:rsidP="00662087">
      <w:pPr>
        <w:spacing w:after="0"/>
        <w:jc w:val="both"/>
        <w:rPr>
          <w:rFonts w:ascii="Verdana" w:hAnsi="Verdana"/>
        </w:rPr>
      </w:pPr>
    </w:p>
    <w:p w14:paraId="2B09DDE8" w14:textId="77777777" w:rsidR="00662087" w:rsidRDefault="00662087" w:rsidP="00662087">
      <w:pPr>
        <w:spacing w:after="0"/>
        <w:jc w:val="both"/>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3" w:tgtFrame="_new" w:history="1">
        <w:r w:rsidRPr="009A385A">
          <w:rPr>
            <w:rStyle w:val="Hipervnculo"/>
            <w:rFonts w:ascii="Verdana" w:hAnsi="Verdana"/>
          </w:rPr>
          <w:t>https://formacionvirtual.colombiacompra.gov.co/mod/page/view.php?id=3718</w:t>
        </w:r>
      </w:hyperlink>
    </w:p>
    <w:p w14:paraId="3492DC1B" w14:textId="77777777" w:rsidR="00662087" w:rsidRPr="009A385A" w:rsidRDefault="00662087" w:rsidP="00662087">
      <w:pPr>
        <w:spacing w:after="0"/>
        <w:jc w:val="both"/>
        <w:rPr>
          <w:rFonts w:ascii="Verdana" w:hAnsi="Verdana"/>
        </w:rPr>
      </w:pPr>
    </w:p>
    <w:p w14:paraId="0112D4F3" w14:textId="77777777" w:rsidR="00662087" w:rsidRDefault="00662087" w:rsidP="00662087">
      <w:pPr>
        <w:spacing w:after="0"/>
        <w:jc w:val="both"/>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4" w:tgtFrame="_new" w:history="1">
        <w:r w:rsidRPr="00635F16">
          <w:rPr>
            <w:rStyle w:val="Hipervnculo"/>
            <w:rFonts w:ascii="Verdana" w:hAnsi="Verdana"/>
          </w:rPr>
          <w:t>https://www.colombiacompra.gov.co/normativa-y-relatoria/documentos-tipo</w:t>
        </w:r>
      </w:hyperlink>
    </w:p>
    <w:p w14:paraId="4A801949" w14:textId="77777777" w:rsidR="00662087" w:rsidRDefault="00662087" w:rsidP="00662087">
      <w:pPr>
        <w:spacing w:after="0"/>
        <w:jc w:val="both"/>
        <w:rPr>
          <w:rFonts w:ascii="Verdana" w:hAnsi="Verdana"/>
        </w:rPr>
      </w:pPr>
    </w:p>
    <w:p w14:paraId="2F56E967" w14:textId="77777777" w:rsidR="00662087" w:rsidRPr="008E1CD7" w:rsidRDefault="00662087" w:rsidP="00662087">
      <w:pPr>
        <w:spacing w:after="0"/>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5"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3444D83B" w14:textId="77777777" w:rsidR="00662087" w:rsidRDefault="00662087" w:rsidP="00662087">
      <w:pPr>
        <w:shd w:val="clear" w:color="auto" w:fill="FFFFFF"/>
        <w:spacing w:after="0" w:line="276" w:lineRule="auto"/>
        <w:jc w:val="both"/>
        <w:rPr>
          <w:rFonts w:ascii="Verdana" w:hAnsi="Verdana"/>
          <w:color w:val="000000"/>
          <w:u w:val="single"/>
        </w:rPr>
      </w:pPr>
    </w:p>
    <w:p w14:paraId="502811AB" w14:textId="77777777" w:rsidR="00662087" w:rsidRPr="0038088D" w:rsidRDefault="00662087" w:rsidP="00662087">
      <w:pPr>
        <w:spacing w:after="0"/>
        <w:jc w:val="both"/>
        <w:rPr>
          <w:rFonts w:ascii="Verdana" w:hAnsi="Verdana"/>
        </w:rPr>
      </w:pPr>
      <w:r>
        <w:rPr>
          <w:rFonts w:ascii="Verdana" w:hAnsi="Verdana"/>
        </w:rPr>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w:t>
      </w:r>
      <w:r w:rsidRPr="0038088D">
        <w:rPr>
          <w:rFonts w:ascii="Verdana" w:hAnsi="Verdana"/>
        </w:rPr>
        <w:t xml:space="preserve">atención: </w:t>
      </w:r>
    </w:p>
    <w:p w14:paraId="2C3ABCD7" w14:textId="77777777" w:rsidR="00662087" w:rsidRPr="0038088D" w:rsidRDefault="00662087" w:rsidP="00662087">
      <w:pPr>
        <w:spacing w:after="0"/>
        <w:jc w:val="both"/>
        <w:rPr>
          <w:rFonts w:ascii="Verdana" w:hAnsi="Verdana"/>
        </w:rPr>
      </w:pPr>
    </w:p>
    <w:p w14:paraId="646B5746" w14:textId="77777777" w:rsidR="00662087" w:rsidRPr="0038088D" w:rsidRDefault="00662087" w:rsidP="00662087">
      <w:pPr>
        <w:pStyle w:val="Prrafodelista"/>
        <w:numPr>
          <w:ilvl w:val="0"/>
          <w:numId w:val="15"/>
        </w:numPr>
        <w:spacing w:after="0" w:line="240" w:lineRule="auto"/>
        <w:jc w:val="both"/>
        <w:rPr>
          <w:rFonts w:ascii="Verdana" w:eastAsia="Verdana" w:hAnsi="Verdana" w:cs="Verdana"/>
          <w:color w:val="4472C4" w:themeColor="accent1"/>
          <w:u w:val="single"/>
        </w:rPr>
      </w:pPr>
      <w:r w:rsidRPr="0038088D">
        <w:rPr>
          <w:rFonts w:ascii="Verdana" w:eastAsia="Verdana" w:hAnsi="Verdana" w:cs="Verdana"/>
        </w:rPr>
        <w:t xml:space="preserve">Línea nacional gratuita o servicio a la ciudadanía (Mesa de servicio): </w:t>
      </w:r>
      <w:r w:rsidRPr="0038088D">
        <w:rPr>
          <w:rStyle w:val="Hipervnculo"/>
          <w:rFonts w:ascii="Verdana" w:hAnsi="Verdana"/>
        </w:rPr>
        <w:t>01800 0520808</w:t>
      </w:r>
    </w:p>
    <w:p w14:paraId="05000A1A" w14:textId="77777777" w:rsidR="00662087" w:rsidRPr="0038088D" w:rsidRDefault="00662087" w:rsidP="00662087">
      <w:pPr>
        <w:pStyle w:val="Prrafodelista"/>
        <w:numPr>
          <w:ilvl w:val="0"/>
          <w:numId w:val="15"/>
        </w:numPr>
        <w:spacing w:after="0"/>
        <w:rPr>
          <w:rFonts w:ascii="Verdana" w:eastAsia="Verdana" w:hAnsi="Verdana" w:cs="Verdana"/>
          <w:color w:val="4472C4" w:themeColor="accent1"/>
          <w:u w:val="single"/>
        </w:rPr>
      </w:pPr>
      <w:r w:rsidRPr="0038088D">
        <w:rPr>
          <w:rFonts w:ascii="Verdana" w:eastAsia="Verdana" w:hAnsi="Verdana" w:cs="Verdana"/>
        </w:rPr>
        <w:t>Línea en Bogotá (Mesa de servicio):</w:t>
      </w:r>
      <w:r w:rsidRPr="0038088D">
        <w:rPr>
          <w:rStyle w:val="Hipervnculo"/>
          <w:rFonts w:ascii="Verdana" w:hAnsi="Verdana"/>
        </w:rPr>
        <w:t>+57 601 7456788</w:t>
      </w:r>
    </w:p>
    <w:p w14:paraId="6D90299C" w14:textId="77777777" w:rsidR="00662087" w:rsidRPr="0038088D" w:rsidRDefault="00662087" w:rsidP="00662087">
      <w:pPr>
        <w:pStyle w:val="Prrafodelista"/>
        <w:numPr>
          <w:ilvl w:val="0"/>
          <w:numId w:val="15"/>
        </w:numPr>
        <w:spacing w:after="0"/>
        <w:rPr>
          <w:rFonts w:ascii="Verdana" w:eastAsia="Verdana" w:hAnsi="Verdana" w:cs="Verdana"/>
          <w:color w:val="0000FF"/>
          <w:u w:val="single"/>
        </w:rPr>
      </w:pPr>
      <w:r w:rsidRPr="0038088D">
        <w:rPr>
          <w:rFonts w:ascii="Verdana" w:eastAsia="Verdana" w:hAnsi="Verdana" w:cs="Verdana"/>
        </w:rPr>
        <w:t xml:space="preserve">Correo de radicación de correspondencia: </w:t>
      </w:r>
      <w:hyperlink r:id="rId16">
        <w:r w:rsidRPr="0038088D">
          <w:rPr>
            <w:rStyle w:val="Hipervnculo"/>
            <w:rFonts w:ascii="Verdana" w:eastAsia="Verdana" w:hAnsi="Verdana" w:cs="Verdana"/>
          </w:rPr>
          <w:t>ventanilladeradicacion@colombiacompra.gov.co</w:t>
        </w:r>
      </w:hyperlink>
    </w:p>
    <w:p w14:paraId="4E993F48" w14:textId="77777777" w:rsidR="00662087" w:rsidRPr="0038088D" w:rsidRDefault="00662087" w:rsidP="00662087">
      <w:pPr>
        <w:pStyle w:val="Prrafodelista"/>
        <w:numPr>
          <w:ilvl w:val="0"/>
          <w:numId w:val="15"/>
        </w:numPr>
        <w:spacing w:after="0"/>
        <w:rPr>
          <w:rFonts w:ascii="Verdana" w:eastAsia="Verdana" w:hAnsi="Verdana" w:cs="Verdana"/>
          <w:color w:val="0000FF"/>
          <w:u w:val="single"/>
        </w:rPr>
      </w:pPr>
      <w:r w:rsidRPr="0038088D">
        <w:rPr>
          <w:rFonts w:ascii="Verdana" w:eastAsia="Verdana" w:hAnsi="Verdana" w:cs="Verdana"/>
        </w:rPr>
        <w:t>Formulario web para</w:t>
      </w:r>
      <w:r w:rsidRPr="0038088D">
        <w:rPr>
          <w:rFonts w:ascii="Verdana" w:eastAsia="Verdana" w:hAnsi="Verdana" w:cs="Verdana"/>
          <w:lang w:val="es"/>
        </w:rPr>
        <w:t xml:space="preserve"> PQRSD: </w:t>
      </w:r>
      <w:hyperlink r:id="rId17">
        <w:r w:rsidRPr="0038088D">
          <w:rPr>
            <w:rStyle w:val="Hipervnculo"/>
            <w:rFonts w:ascii="Verdana" w:eastAsia="Verdana" w:hAnsi="Verdana" w:cs="Verdana"/>
          </w:rPr>
          <w:t>https://www.colombiacompra.gov.co/pqrsd/informacion-importante-antes-de-formular-una-pqrsd</w:t>
        </w:r>
      </w:hyperlink>
    </w:p>
    <w:p w14:paraId="681D7F80" w14:textId="77777777" w:rsidR="00662087" w:rsidRPr="0038088D" w:rsidRDefault="00662087" w:rsidP="00662087">
      <w:pPr>
        <w:spacing w:after="0" w:line="240" w:lineRule="auto"/>
        <w:ind w:left="720"/>
        <w:jc w:val="both"/>
        <w:rPr>
          <w:rFonts w:ascii="Verdana" w:hAnsi="Verdana"/>
        </w:rPr>
      </w:pPr>
    </w:p>
    <w:p w14:paraId="4EB1433E" w14:textId="77777777" w:rsidR="00662087" w:rsidRPr="0038088D" w:rsidRDefault="00662087" w:rsidP="00662087">
      <w:pPr>
        <w:spacing w:after="0" w:line="240" w:lineRule="auto"/>
        <w:rPr>
          <w:rFonts w:ascii="Verdana" w:hAnsi="Verdana"/>
        </w:rPr>
      </w:pPr>
      <w:r w:rsidRPr="0038088D">
        <w:rPr>
          <w:rFonts w:ascii="Verdana" w:hAnsi="Verdana"/>
        </w:rPr>
        <w:t>Evalúa el servicio que ofrece la Agencia por el canal de atención de PQRSD en el siguiente enlace :</w:t>
      </w:r>
      <w:hyperlink r:id="rId18" w:tgtFrame="_blank" w:tooltip="https://forms.office.com/r/pphywvs2sz" w:history="1">
        <w:r w:rsidRPr="0038088D">
          <w:rPr>
            <w:rStyle w:val="Hipervnculo"/>
            <w:rFonts w:ascii="Verdana" w:hAnsi="Verdana"/>
          </w:rPr>
          <w:t>https://forms.office.com/r/pPHyWVs2SZ</w:t>
        </w:r>
      </w:hyperlink>
      <w:r w:rsidRPr="0038088D">
        <w:rPr>
          <w:rFonts w:ascii="Verdana" w:hAnsi="Verdana"/>
        </w:rPr>
        <w:t xml:space="preserve"> .¡Ayúdanos a mejorar porque el compromiso es de todos!</w:t>
      </w:r>
    </w:p>
    <w:p w14:paraId="016D7107" w14:textId="77777777" w:rsidR="00662087" w:rsidRPr="0038088D" w:rsidRDefault="00662087" w:rsidP="00662087">
      <w:pPr>
        <w:spacing w:after="0" w:line="240" w:lineRule="auto"/>
        <w:rPr>
          <w:rFonts w:ascii="Verdana" w:hAnsi="Verdana"/>
        </w:rPr>
      </w:pPr>
    </w:p>
    <w:p w14:paraId="5E95C24D" w14:textId="77777777" w:rsidR="00662087" w:rsidRPr="0038088D" w:rsidRDefault="00662087" w:rsidP="00662087">
      <w:pPr>
        <w:spacing w:after="0" w:line="240" w:lineRule="auto"/>
        <w:jc w:val="both"/>
        <w:rPr>
          <w:rFonts w:ascii="Verdana" w:hAnsi="Verdana"/>
        </w:rPr>
      </w:pPr>
      <w:r w:rsidRPr="0038088D">
        <w:rPr>
          <w:rFonts w:ascii="Verdana" w:hAnsi="Verdana"/>
        </w:rPr>
        <w:t xml:space="preserve">Por último, lo invitamos a seguirnos en las redes sociales en las cuales se difunde información institucional: </w:t>
      </w:r>
    </w:p>
    <w:p w14:paraId="324BFCFC" w14:textId="77777777" w:rsidR="00662087" w:rsidRPr="00116940" w:rsidRDefault="00662087" w:rsidP="00662087">
      <w:pPr>
        <w:spacing w:after="0" w:line="240" w:lineRule="auto"/>
        <w:jc w:val="both"/>
        <w:rPr>
          <w:rFonts w:ascii="Verdana" w:hAnsi="Verdana"/>
        </w:rPr>
      </w:pPr>
    </w:p>
    <w:p w14:paraId="28351BE7" w14:textId="77777777" w:rsidR="00662087" w:rsidRPr="00116940" w:rsidRDefault="00662087" w:rsidP="00662087">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187C23EB" w14:textId="77777777" w:rsidR="00662087" w:rsidRPr="00116940" w:rsidRDefault="00662087" w:rsidP="00662087">
      <w:pPr>
        <w:spacing w:after="0" w:line="240" w:lineRule="auto"/>
        <w:jc w:val="both"/>
        <w:rPr>
          <w:rFonts w:ascii="Verdana" w:hAnsi="Verdana"/>
        </w:rPr>
      </w:pPr>
      <w:r w:rsidRPr="00116940">
        <w:rPr>
          <w:rFonts w:ascii="Verdana" w:hAnsi="Verdana"/>
        </w:rPr>
        <w:t xml:space="preserve">Facebook: </w:t>
      </w:r>
      <w:r w:rsidRPr="00116940">
        <w:rPr>
          <w:rStyle w:val="Hipervnculo"/>
          <w:rFonts w:ascii="Verdana" w:hAnsi="Verdana"/>
        </w:rPr>
        <w:t>ColombiaCompraEficiente</w:t>
      </w:r>
    </w:p>
    <w:p w14:paraId="6D7AAE48" w14:textId="77777777" w:rsidR="00662087" w:rsidRPr="00E22E6E" w:rsidRDefault="00662087" w:rsidP="00662087">
      <w:pPr>
        <w:spacing w:after="0" w:line="240" w:lineRule="auto"/>
        <w:jc w:val="both"/>
        <w:rPr>
          <w:rFonts w:ascii="Verdana" w:hAnsi="Verdana"/>
        </w:rPr>
      </w:pPr>
      <w:r w:rsidRPr="00116940">
        <w:rPr>
          <w:rFonts w:ascii="Verdana" w:hAnsi="Verdana"/>
        </w:rPr>
        <w:lastRenderedPageBreak/>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167CFE0A" w14:textId="77777777" w:rsidR="00662087" w:rsidRPr="009C4035" w:rsidRDefault="00662087" w:rsidP="00662087">
      <w:pPr>
        <w:shd w:val="clear" w:color="auto" w:fill="FFFFFF"/>
        <w:spacing w:after="0" w:line="276" w:lineRule="auto"/>
        <w:jc w:val="both"/>
        <w:rPr>
          <w:rFonts w:ascii="Verdana" w:hAnsi="Verdana" w:cs="Arial"/>
          <w:color w:val="FF0000"/>
          <w:shd w:val="clear" w:color="auto" w:fill="FFFFFF"/>
          <w:lang w:val="es-ES_tradnl"/>
        </w:rPr>
      </w:pPr>
      <w:r w:rsidRPr="004A73EC">
        <w:rPr>
          <w:rFonts w:ascii="Verdana" w:hAnsi="Verdana" w:cs="Arial"/>
          <w:color w:val="000000" w:themeColor="text1"/>
          <w:shd w:val="clear" w:color="auto" w:fill="FFFFFF"/>
          <w:lang w:val="es-ES_tradnl"/>
        </w:rPr>
        <w:t xml:space="preserve"> </w:t>
      </w:r>
      <w:r w:rsidRPr="004A73EC">
        <w:rPr>
          <w:rStyle w:val="normaltextrun"/>
          <w:rFonts w:ascii="Verdana" w:hAnsi="Verdana" w:cs="Arial"/>
          <w:color w:val="FF0000"/>
          <w:shd w:val="clear" w:color="auto" w:fill="FFFFFF"/>
          <w:lang w:val="es-ES_tradnl"/>
        </w:rPr>
        <w:t xml:space="preserve">        </w:t>
      </w:r>
    </w:p>
    <w:p w14:paraId="542A7F1A" w14:textId="77777777" w:rsidR="00662087" w:rsidRPr="00593A5F" w:rsidRDefault="00662087" w:rsidP="00662087">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r>
        <w:rPr>
          <w:rFonts w:ascii="Verdana" w:hAnsi="Verdana" w:cs="Arial"/>
          <w:lang w:val="es-ES_tradnl"/>
        </w:rPr>
        <w:t xml:space="preserve"> </w:t>
      </w:r>
    </w:p>
    <w:p w14:paraId="7D5AEE7F" w14:textId="77777777" w:rsidR="00662087" w:rsidRDefault="00662087" w:rsidP="00662087">
      <w:pPr>
        <w:widowControl w:val="0"/>
        <w:autoSpaceDE w:val="0"/>
        <w:autoSpaceDN w:val="0"/>
        <w:spacing w:after="0" w:line="276" w:lineRule="auto"/>
        <w:jc w:val="both"/>
        <w:rPr>
          <w:rFonts w:ascii="Verdana" w:hAnsi="Verdana" w:cs="Arial"/>
        </w:rPr>
      </w:pPr>
    </w:p>
    <w:p w14:paraId="4F074BFF" w14:textId="77777777" w:rsidR="008D539F" w:rsidRPr="008D539F" w:rsidRDefault="008D539F" w:rsidP="008D539F">
      <w:pPr>
        <w:spacing w:after="0" w:line="276" w:lineRule="auto"/>
        <w:rPr>
          <w:rFonts w:ascii="Verdana" w:eastAsia="Calibri" w:hAnsi="Verdana" w:cs="Arial"/>
          <w:lang w:val="es-ES" w:eastAsia="es-CO"/>
        </w:rPr>
      </w:pPr>
      <w:r w:rsidRPr="008D539F">
        <w:rPr>
          <w:rFonts w:ascii="Verdana" w:eastAsia="Times New Roman" w:hAnsi="Verdana" w:cs="Arial"/>
          <w:lang w:val="es-ES" w:eastAsia="es-CO"/>
        </w:rPr>
        <w:t>Atentamente,</w:t>
      </w:r>
      <w:r w:rsidRPr="008D539F">
        <w:rPr>
          <w:rFonts w:ascii="Verdana" w:eastAsia="Calibri" w:hAnsi="Verdana" w:cs="Arial"/>
          <w:lang w:val="es-ES" w:eastAsia="es-CO"/>
        </w:rPr>
        <w:t xml:space="preserve"> </w:t>
      </w:r>
    </w:p>
    <w:p w14:paraId="65FB497B" w14:textId="77777777" w:rsidR="008D539F" w:rsidRPr="008D539F" w:rsidRDefault="008D539F" w:rsidP="008D539F">
      <w:pPr>
        <w:spacing w:after="0" w:line="276" w:lineRule="auto"/>
        <w:rPr>
          <w:rFonts w:ascii="Verdana" w:eastAsia="Calibri" w:hAnsi="Verdana" w:cs="Times New Roman"/>
          <w:noProof/>
          <w:color w:val="ED7D31" w:themeColor="accent2"/>
        </w:rPr>
      </w:pPr>
    </w:p>
    <w:p w14:paraId="743ED756" w14:textId="77777777" w:rsidR="008D539F" w:rsidRPr="008D539F" w:rsidRDefault="008D539F" w:rsidP="008D539F">
      <w:pPr>
        <w:spacing w:after="0" w:line="276" w:lineRule="auto"/>
        <w:jc w:val="both"/>
        <w:rPr>
          <w:rFonts w:ascii="Verdana" w:eastAsia="Times New Roman" w:hAnsi="Verdana" w:cs="Segoe UI"/>
          <w:lang w:eastAsia="es-CO"/>
        </w:rPr>
      </w:pPr>
    </w:p>
    <w:p w14:paraId="0979D9A7" w14:textId="3721A56E" w:rsidR="008D539F" w:rsidRDefault="008D539F" w:rsidP="008D539F">
      <w:pPr>
        <w:spacing w:after="0" w:line="254" w:lineRule="auto"/>
        <w:jc w:val="center"/>
        <w:rPr>
          <w:rFonts w:ascii="Verdana" w:eastAsia="Times New Roman" w:hAnsi="Verdana" w:cs="Arial"/>
          <w:lang w:eastAsia="es-ES"/>
        </w:rPr>
      </w:pPr>
    </w:p>
    <w:p w14:paraId="7A897D22" w14:textId="77777777" w:rsidR="00532128" w:rsidRDefault="00532128" w:rsidP="008D539F">
      <w:pPr>
        <w:spacing w:after="0" w:line="254" w:lineRule="auto"/>
        <w:jc w:val="center"/>
        <w:rPr>
          <w:rFonts w:ascii="Verdana" w:eastAsia="Times New Roman" w:hAnsi="Verdana" w:cs="Arial"/>
          <w:lang w:eastAsia="es-ES"/>
        </w:rPr>
      </w:pPr>
    </w:p>
    <w:p w14:paraId="1FEE0E00" w14:textId="7663F7B7" w:rsidR="00532128" w:rsidRPr="008D539F" w:rsidRDefault="00532128" w:rsidP="008D539F">
      <w:pPr>
        <w:spacing w:after="0" w:line="254" w:lineRule="auto"/>
        <w:jc w:val="center"/>
        <w:rPr>
          <w:rFonts w:ascii="Verdana" w:eastAsia="Times New Roman" w:hAnsi="Verdana" w:cs="Arial"/>
          <w:lang w:eastAsia="es-ES"/>
        </w:rPr>
      </w:pPr>
      <w:r>
        <w:rPr>
          <w:noProof/>
        </w:rPr>
        <w:drawing>
          <wp:inline distT="0" distB="0" distL="0" distR="0" wp14:anchorId="74230EA7" wp14:editId="7FF62183">
            <wp:extent cx="3104515" cy="1336040"/>
            <wp:effectExtent l="0" t="0" r="0" b="0"/>
            <wp:docPr id="9034402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04515" cy="1336040"/>
                    </a:xfrm>
                    <a:prstGeom prst="rect">
                      <a:avLst/>
                    </a:prstGeom>
                    <a:noFill/>
                    <a:ln>
                      <a:noFill/>
                    </a:ln>
                  </pic:spPr>
                </pic:pic>
              </a:graphicData>
            </a:graphic>
          </wp:inline>
        </w:drawing>
      </w:r>
    </w:p>
    <w:p w14:paraId="229FA254" w14:textId="77777777" w:rsidR="008D539F" w:rsidRPr="008D539F" w:rsidRDefault="008D539F" w:rsidP="008D539F">
      <w:pPr>
        <w:spacing w:after="0" w:line="240" w:lineRule="auto"/>
        <w:jc w:val="center"/>
        <w:rPr>
          <w:rFonts w:ascii="Verdana" w:eastAsia="Times New Roman" w:hAnsi="Verdana" w:cs="Arial"/>
          <w:lang w:eastAsia="es-ES"/>
        </w:rPr>
      </w:pPr>
    </w:p>
    <w:tbl>
      <w:tblPr>
        <w:tblW w:w="6570" w:type="dxa"/>
        <w:tblInd w:w="1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3"/>
        <w:gridCol w:w="5837"/>
      </w:tblGrid>
      <w:tr w:rsidR="008D539F" w:rsidRPr="008D539F" w14:paraId="27276D5F" w14:textId="77777777">
        <w:trPr>
          <w:trHeight w:val="322"/>
        </w:trPr>
        <w:tc>
          <w:tcPr>
            <w:tcW w:w="733" w:type="dxa"/>
            <w:tcBorders>
              <w:top w:val="nil"/>
              <w:left w:val="nil"/>
              <w:bottom w:val="nil"/>
              <w:right w:val="nil"/>
            </w:tcBorders>
            <w:vAlign w:val="center"/>
            <w:hideMark/>
          </w:tcPr>
          <w:p w14:paraId="61232F01" w14:textId="77777777" w:rsidR="008D539F" w:rsidRPr="008D539F" w:rsidRDefault="008D539F" w:rsidP="008D539F">
            <w:pPr>
              <w:spacing w:after="0" w:line="240" w:lineRule="auto"/>
              <w:textAlignment w:val="baseline"/>
              <w:rPr>
                <w:rFonts w:ascii="Verdana" w:eastAsia="Times New Roman" w:hAnsi="Verdana" w:cs="Times New Roman"/>
                <w:sz w:val="16"/>
                <w:szCs w:val="16"/>
                <w:lang w:eastAsia="es-CO"/>
              </w:rPr>
            </w:pPr>
            <w:r w:rsidRPr="008D539F">
              <w:rPr>
                <w:rFonts w:ascii="Verdana" w:eastAsia="Times New Roman" w:hAnsi="Verdana" w:cs="Times New Roman"/>
                <w:sz w:val="16"/>
                <w:szCs w:val="16"/>
                <w:lang w:val="es-MX" w:eastAsia="es-CO"/>
              </w:rPr>
              <w:t>Elaboró:         </w:t>
            </w:r>
            <w:r w:rsidRPr="008D539F">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06161028" w14:textId="77777777" w:rsidR="001D4C4A" w:rsidRDefault="001D4C4A" w:rsidP="008D539F">
            <w:pPr>
              <w:spacing w:after="0" w:line="254" w:lineRule="auto"/>
              <w:rPr>
                <w:rFonts w:ascii="Verdana" w:eastAsia="Times New Roman" w:hAnsi="Verdana" w:cs="Arial"/>
                <w:sz w:val="16"/>
                <w:szCs w:val="16"/>
                <w:lang w:val="es-ES_tradnl" w:eastAsia="es-ES"/>
              </w:rPr>
            </w:pPr>
            <w:r>
              <w:rPr>
                <w:rFonts w:ascii="Verdana" w:eastAsia="Times New Roman" w:hAnsi="Verdana" w:cs="Arial"/>
                <w:sz w:val="16"/>
                <w:szCs w:val="16"/>
                <w:lang w:val="es-ES_tradnl" w:eastAsia="es-ES"/>
              </w:rPr>
              <w:t>Camilo J Martínez Martínez</w:t>
            </w:r>
          </w:p>
          <w:p w14:paraId="1DCF25F0" w14:textId="1CC3295A" w:rsidR="008D539F" w:rsidRPr="008D539F" w:rsidRDefault="008D539F" w:rsidP="008D539F">
            <w:pPr>
              <w:spacing w:after="0" w:line="254" w:lineRule="auto"/>
              <w:rPr>
                <w:rFonts w:ascii="Verdana" w:eastAsia="Times New Roman" w:hAnsi="Verdana" w:cs="Arial"/>
                <w:sz w:val="16"/>
                <w:szCs w:val="16"/>
                <w:lang w:val="es-ES_tradnl" w:eastAsia="es-ES"/>
              </w:rPr>
            </w:pPr>
            <w:r w:rsidRPr="008D539F">
              <w:rPr>
                <w:rFonts w:ascii="Verdana" w:eastAsia="Times New Roman" w:hAnsi="Verdana" w:cs="Arial"/>
                <w:sz w:val="16"/>
                <w:szCs w:val="16"/>
                <w:lang w:val="es-ES_tradnl" w:eastAsia="es-ES"/>
              </w:rPr>
              <w:t>Contratista de la Subdirección de Gestión Contractual</w:t>
            </w:r>
          </w:p>
        </w:tc>
      </w:tr>
      <w:tr w:rsidR="008D539F" w:rsidRPr="008D539F" w14:paraId="70EDCEEF" w14:textId="77777777">
        <w:trPr>
          <w:trHeight w:val="322"/>
        </w:trPr>
        <w:tc>
          <w:tcPr>
            <w:tcW w:w="733" w:type="dxa"/>
            <w:tcBorders>
              <w:top w:val="nil"/>
              <w:left w:val="nil"/>
              <w:bottom w:val="nil"/>
              <w:right w:val="nil"/>
            </w:tcBorders>
            <w:vAlign w:val="center"/>
            <w:hideMark/>
          </w:tcPr>
          <w:p w14:paraId="2E9B8E4F" w14:textId="77777777" w:rsidR="008D539F" w:rsidRPr="008D539F" w:rsidRDefault="008D539F" w:rsidP="008D539F">
            <w:pPr>
              <w:spacing w:after="0" w:line="240" w:lineRule="auto"/>
              <w:textAlignment w:val="baseline"/>
              <w:rPr>
                <w:rFonts w:ascii="Verdana" w:eastAsia="Times New Roman" w:hAnsi="Verdana" w:cs="Times New Roman"/>
                <w:sz w:val="16"/>
                <w:szCs w:val="16"/>
                <w:lang w:eastAsia="es-CO"/>
              </w:rPr>
            </w:pPr>
            <w:r w:rsidRPr="008D539F">
              <w:rPr>
                <w:rFonts w:ascii="Verdana" w:eastAsia="Times New Roman" w:hAnsi="Verdana" w:cs="Times New Roman"/>
                <w:sz w:val="16"/>
                <w:szCs w:val="16"/>
                <w:lang w:val="es-MX" w:eastAsia="es-CO"/>
              </w:rPr>
              <w:t>Revisó:</w:t>
            </w:r>
            <w:r w:rsidRPr="008D539F">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547E5C02" w14:textId="77777777" w:rsidR="001D4C4A" w:rsidRDefault="001D4C4A" w:rsidP="008D539F">
            <w:pPr>
              <w:spacing w:after="0" w:line="240" w:lineRule="auto"/>
              <w:textAlignment w:val="baseline"/>
              <w:rPr>
                <w:rFonts w:ascii="Verdana" w:eastAsia="Times New Roman" w:hAnsi="Verdana" w:cs="Times New Roman"/>
                <w:sz w:val="16"/>
                <w:szCs w:val="16"/>
                <w:lang w:eastAsia="es-CO"/>
              </w:rPr>
            </w:pPr>
            <w:r>
              <w:rPr>
                <w:rFonts w:ascii="Verdana" w:eastAsia="Times New Roman" w:hAnsi="Verdana" w:cs="Times New Roman"/>
                <w:sz w:val="16"/>
                <w:szCs w:val="16"/>
                <w:lang w:eastAsia="es-CO"/>
              </w:rPr>
              <w:t>Diana Saavedra</w:t>
            </w:r>
          </w:p>
          <w:p w14:paraId="20AF3A67" w14:textId="1A47EDE6" w:rsidR="008D539F" w:rsidRPr="008D539F" w:rsidRDefault="005746D5" w:rsidP="008D539F">
            <w:pPr>
              <w:spacing w:after="0" w:line="240" w:lineRule="auto"/>
              <w:textAlignment w:val="baseline"/>
              <w:rPr>
                <w:rFonts w:ascii="Verdana" w:eastAsia="Times New Roman" w:hAnsi="Verdana" w:cs="Times New Roman"/>
                <w:sz w:val="16"/>
                <w:szCs w:val="16"/>
                <w:lang w:eastAsia="es-CO"/>
              </w:rPr>
            </w:pPr>
            <w:r>
              <w:rPr>
                <w:rFonts w:ascii="Verdana" w:eastAsia="Times New Roman" w:hAnsi="Verdana" w:cs="Times New Roman"/>
                <w:sz w:val="16"/>
                <w:szCs w:val="16"/>
                <w:lang w:eastAsia="es-CO"/>
              </w:rPr>
              <w:t>Contratista de la Subdirección de Gestión Contractual</w:t>
            </w:r>
          </w:p>
        </w:tc>
      </w:tr>
      <w:tr w:rsidR="008D539F" w:rsidRPr="008D539F" w14:paraId="72670CA9" w14:textId="77777777">
        <w:trPr>
          <w:trHeight w:val="307"/>
        </w:trPr>
        <w:tc>
          <w:tcPr>
            <w:tcW w:w="733" w:type="dxa"/>
            <w:tcBorders>
              <w:top w:val="nil"/>
              <w:left w:val="nil"/>
              <w:bottom w:val="nil"/>
              <w:right w:val="nil"/>
            </w:tcBorders>
            <w:vAlign w:val="center"/>
            <w:hideMark/>
          </w:tcPr>
          <w:p w14:paraId="6E28AB85" w14:textId="77777777" w:rsidR="008D539F" w:rsidRPr="008D539F" w:rsidRDefault="008D539F" w:rsidP="008D539F">
            <w:pPr>
              <w:spacing w:after="0" w:line="240" w:lineRule="auto"/>
              <w:textAlignment w:val="baseline"/>
              <w:rPr>
                <w:rFonts w:ascii="Verdana" w:eastAsia="Times New Roman" w:hAnsi="Verdana" w:cs="Times New Roman"/>
                <w:sz w:val="16"/>
                <w:szCs w:val="16"/>
                <w:lang w:eastAsia="es-CO"/>
              </w:rPr>
            </w:pPr>
            <w:r w:rsidRPr="008D539F">
              <w:rPr>
                <w:rFonts w:ascii="Verdana" w:eastAsia="Times New Roman" w:hAnsi="Verdana" w:cs="Times New Roman"/>
                <w:sz w:val="16"/>
                <w:szCs w:val="16"/>
                <w:lang w:val="es-MX" w:eastAsia="es-CO"/>
              </w:rPr>
              <w:t>Aprobó:</w:t>
            </w:r>
            <w:r w:rsidRPr="008D539F">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29490188" w14:textId="77777777" w:rsidR="008D539F" w:rsidRPr="008D539F" w:rsidRDefault="008D539F" w:rsidP="008D539F">
            <w:pPr>
              <w:spacing w:after="0" w:line="254" w:lineRule="auto"/>
              <w:rPr>
                <w:rFonts w:ascii="Verdana" w:eastAsia="Times New Roman" w:hAnsi="Verdana" w:cs="Arial"/>
                <w:sz w:val="16"/>
                <w:szCs w:val="16"/>
                <w:lang w:eastAsia="es-ES"/>
              </w:rPr>
            </w:pPr>
            <w:r w:rsidRPr="008D539F">
              <w:rPr>
                <w:rFonts w:ascii="Verdana" w:eastAsia="Times New Roman" w:hAnsi="Verdana" w:cs="Arial"/>
                <w:sz w:val="16"/>
                <w:szCs w:val="16"/>
                <w:lang w:eastAsia="es-ES"/>
              </w:rPr>
              <w:t>Carolina Quintero Gacharná</w:t>
            </w:r>
          </w:p>
          <w:p w14:paraId="70CC8DC1" w14:textId="77777777" w:rsidR="008D539F" w:rsidRPr="008D539F" w:rsidRDefault="008D539F" w:rsidP="008D539F">
            <w:pPr>
              <w:spacing w:after="0" w:line="254" w:lineRule="auto"/>
              <w:rPr>
                <w:rFonts w:ascii="Verdana" w:eastAsia="Times New Roman" w:hAnsi="Verdana" w:cs="Arial"/>
                <w:sz w:val="16"/>
                <w:szCs w:val="16"/>
                <w:lang w:eastAsia="es-ES"/>
              </w:rPr>
            </w:pPr>
            <w:r w:rsidRPr="008D539F">
              <w:rPr>
                <w:rFonts w:ascii="Verdana" w:eastAsia="Times New Roman" w:hAnsi="Verdana" w:cs="Arial"/>
                <w:sz w:val="16"/>
                <w:szCs w:val="16"/>
                <w:lang w:eastAsia="es-ES"/>
              </w:rPr>
              <w:t>Subdirectora de Gestión Contractual ANCP – CCE</w:t>
            </w:r>
          </w:p>
        </w:tc>
      </w:tr>
    </w:tbl>
    <w:p w14:paraId="765DB0CB" w14:textId="77777777" w:rsidR="008D539F" w:rsidRPr="008D539F" w:rsidRDefault="008D539F" w:rsidP="008D539F">
      <w:pPr>
        <w:autoSpaceDE w:val="0"/>
        <w:autoSpaceDN w:val="0"/>
        <w:adjustRightInd w:val="0"/>
        <w:spacing w:after="0" w:line="276" w:lineRule="auto"/>
        <w:jc w:val="center"/>
        <w:rPr>
          <w:rFonts w:ascii="Verdana" w:eastAsia="Calibri" w:hAnsi="Verdana" w:cs="Arial"/>
        </w:rPr>
      </w:pPr>
    </w:p>
    <w:bookmarkEnd w:id="0"/>
    <w:p w14:paraId="09A9C901" w14:textId="3E750956" w:rsidR="008D539F" w:rsidRPr="00593A5F" w:rsidRDefault="008D539F" w:rsidP="00662087">
      <w:pPr>
        <w:widowControl w:val="0"/>
        <w:autoSpaceDE w:val="0"/>
        <w:autoSpaceDN w:val="0"/>
        <w:spacing w:after="0" w:line="276" w:lineRule="auto"/>
        <w:jc w:val="both"/>
        <w:rPr>
          <w:rFonts w:ascii="Verdana" w:hAnsi="Verdana" w:cs="Arial"/>
        </w:rPr>
      </w:pPr>
    </w:p>
    <w:sectPr w:rsidR="008D539F" w:rsidRPr="00593A5F"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AA5DA" w14:textId="77777777" w:rsidR="00FF6036" w:rsidRDefault="00FF6036" w:rsidP="004A1847">
      <w:pPr>
        <w:spacing w:after="0" w:line="240" w:lineRule="auto"/>
      </w:pPr>
      <w:r>
        <w:separator/>
      </w:r>
    </w:p>
  </w:endnote>
  <w:endnote w:type="continuationSeparator" w:id="0">
    <w:p w14:paraId="7CDE1FC1" w14:textId="77777777" w:rsidR="00FF6036" w:rsidRDefault="00FF6036"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3332A8" w:rsidRDefault="003332A8">
    <w:pPr>
      <w:pStyle w:val="Piedepgina"/>
    </w:pPr>
  </w:p>
  <w:p w14:paraId="594D6D9F" w14:textId="2FA85F4B" w:rsidR="003332A8" w:rsidRPr="00174B77" w:rsidRDefault="003332A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sidR="00751DE8" w:rsidRPr="00751DE8">
      <w:rPr>
        <w:rFonts w:ascii="Verdana" w:eastAsiaTheme="minorEastAsia" w:hAnsi="Verdana"/>
        <w:b/>
        <w:bCs/>
        <w:noProof/>
        <w:sz w:val="16"/>
        <w:szCs w:val="16"/>
      </w:rPr>
      <w:t>19</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3332A8" w:rsidRDefault="003332A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3332A8" w:rsidRPr="00E41027" w:rsidRDefault="003332A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46D7CAE9" w:rsidR="003332A8" w:rsidRDefault="003332A8">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Pr="004A305D">
      <w:rPr>
        <w:rFonts w:ascii="Century Gothic" w:eastAsia="Geo" w:hAnsi="Century Gothic" w:cs="Geo"/>
        <w:b/>
        <w:color w:val="000000"/>
        <w:sz w:val="16"/>
        <w:szCs w:val="16"/>
        <w:lang w:eastAsia="es-CO"/>
      </w:rPr>
      <w:t xml:space="preserve">Código: </w:t>
    </w:r>
    <w:r w:rsidRPr="004A305D">
      <w:rPr>
        <w:rFonts w:ascii="Century Gothic" w:eastAsia="Geo" w:hAnsi="Century Gothic" w:cs="Geo"/>
        <w:bCs/>
        <w:color w:val="000000"/>
        <w:sz w:val="16"/>
        <w:szCs w:val="16"/>
        <w:lang w:eastAsia="es-CO"/>
      </w:rPr>
      <w:t>CCE-</w:t>
    </w:r>
    <w:r>
      <w:rPr>
        <w:rFonts w:ascii="Century Gothic" w:eastAsia="Geo" w:hAnsi="Century Gothic" w:cs="Geo"/>
        <w:bCs/>
        <w:color w:val="000000"/>
        <w:sz w:val="16"/>
        <w:szCs w:val="16"/>
        <w:lang w:eastAsia="es-CO"/>
      </w:rPr>
      <w:t>REC</w:t>
    </w:r>
    <w:r w:rsidRPr="004A305D">
      <w:rPr>
        <w:rFonts w:ascii="Century Gothic" w:eastAsia="Geo" w:hAnsi="Century Gothic" w:cs="Geo"/>
        <w:bCs/>
        <w:color w:val="000000"/>
        <w:sz w:val="16"/>
        <w:szCs w:val="16"/>
        <w:lang w:eastAsia="es-CO"/>
      </w:rPr>
      <w:t>-FM-</w:t>
    </w:r>
    <w:r>
      <w:rPr>
        <w:rFonts w:ascii="Century Gothic" w:eastAsia="Geo" w:hAnsi="Century Gothic" w:cs="Geo"/>
        <w:bCs/>
        <w:color w:val="000000"/>
        <w:sz w:val="16"/>
        <w:szCs w:val="16"/>
        <w:lang w:eastAsia="es-CO"/>
      </w:rPr>
      <w:t xml:space="preserve">17 </w:t>
    </w:r>
    <w:r w:rsidRPr="004A305D">
      <w:rPr>
        <w:rFonts w:ascii="Century Gothic" w:eastAsia="Geo" w:hAnsi="Century Gothic" w:cs="Geo"/>
        <w:b/>
        <w:color w:val="000000"/>
        <w:sz w:val="16"/>
        <w:szCs w:val="16"/>
        <w:lang w:eastAsia="es-CO"/>
      </w:rPr>
      <w:t>V</w:t>
    </w:r>
    <w:r w:rsidRPr="004A305D">
      <w:rPr>
        <w:rFonts w:ascii="Century Gothic" w:eastAsia="Arial Nova" w:hAnsi="Century Gothic" w:cs="Arial Nova"/>
        <w:b/>
        <w:color w:val="000000"/>
        <w:sz w:val="16"/>
        <w:szCs w:val="16"/>
        <w:lang w:eastAsia="es-CO"/>
      </w:rPr>
      <w:t xml:space="preserve">: </w:t>
    </w:r>
    <w:r w:rsidRPr="004A305D">
      <w:rPr>
        <w:rFonts w:ascii="Century Gothic" w:eastAsia="Geo" w:hAnsi="Century Gothic" w:cs="Geo"/>
        <w:sz w:val="16"/>
        <w:szCs w:val="16"/>
        <w:lang w:eastAsia="es-CO"/>
      </w:rPr>
      <w:t>0</w:t>
    </w:r>
    <w:r>
      <w:rPr>
        <w:rFonts w:ascii="Century Gothic" w:eastAsia="Geo" w:hAnsi="Century Gothic" w:cs="Geo"/>
        <w:sz w:val="16"/>
        <w:szCs w:val="16"/>
        <w:lang w:eastAsia="es-CO"/>
      </w:rPr>
      <w:t>3</w:t>
    </w:r>
    <w:r w:rsidRPr="004A305D">
      <w:rPr>
        <w:rFonts w:ascii="Century Gothic" w:eastAsia="Geo" w:hAnsi="Century Gothic" w:cs="Geo"/>
        <w:sz w:val="16"/>
        <w:szCs w:val="16"/>
        <w:lang w:eastAsia="es-CO"/>
      </w:rPr>
      <w:t xml:space="preserve"> </w:t>
    </w:r>
    <w:r>
      <w:rPr>
        <w:rFonts w:ascii="Century Gothic" w:eastAsia="Geo" w:hAnsi="Century Gothic" w:cs="Geo"/>
        <w:sz w:val="16"/>
        <w:szCs w:val="16"/>
        <w:lang w:eastAsia="es-CO"/>
      </w:rPr>
      <w:t>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0AE0F" w14:textId="77777777" w:rsidR="00FF6036" w:rsidRDefault="00FF6036" w:rsidP="004A1847">
      <w:pPr>
        <w:spacing w:after="0" w:line="240" w:lineRule="auto"/>
      </w:pPr>
      <w:r>
        <w:separator/>
      </w:r>
    </w:p>
  </w:footnote>
  <w:footnote w:type="continuationSeparator" w:id="0">
    <w:p w14:paraId="256F288C" w14:textId="77777777" w:rsidR="00FF6036" w:rsidRDefault="00FF6036" w:rsidP="004A1847">
      <w:pPr>
        <w:spacing w:after="0" w:line="240" w:lineRule="auto"/>
      </w:pPr>
      <w:r>
        <w:continuationSeparator/>
      </w:r>
    </w:p>
  </w:footnote>
  <w:footnote w:id="1">
    <w:p w14:paraId="4627EE9E" w14:textId="77777777" w:rsidR="00662087" w:rsidRPr="000959A8" w:rsidRDefault="00662087" w:rsidP="00662087">
      <w:pPr>
        <w:pStyle w:val="Textonotapie"/>
        <w:ind w:firstLine="709"/>
        <w:jc w:val="both"/>
        <w:rPr>
          <w:rFonts w:ascii="Verdana" w:eastAsia="Calibri" w:hAnsi="Verdana" w:cs="Arial"/>
          <w:sz w:val="16"/>
          <w:szCs w:val="16"/>
          <w:lang w:val="es-ES_tradnl" w:eastAsia="es-ES_tradnl"/>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“La manera como las ofertas presentan el precio varía demasiado, incluso por razón de la costumbre que se impone en determinados negocios. Por ejemplo, tratándose de la compraventa, del suministro o la prestación de servicios profesionales –entre otros contratos, que de hecho son la mayoría– el valor que se ofrece no se desglosa para revelar al destinatario su estructura de costos. El proponente se limita a establecer una cifra por la que está dispuesto a asumir ciertas obligaciones, pero el comprador desconoce cómo se compone internamente, es decir, no sabe –ni usualmente le interesa conocerlo– qué parte del valor corresponde a gastos de mano de obra, de transporte, de energía, cuál es la utilidad esperada, entre otros conceptos. En estos casos se limita a conocer con claridad absoluta cuánto le costará el bien o el servicio, porque es lo que pagará.</w:t>
      </w:r>
    </w:p>
    <w:p w14:paraId="04F9EB5F" w14:textId="77777777" w:rsidR="00662087" w:rsidRDefault="00662087" w:rsidP="00662087">
      <w:pPr>
        <w:pStyle w:val="Textonotapie"/>
        <w:ind w:firstLine="709"/>
        <w:jc w:val="both"/>
        <w:rPr>
          <w:rFonts w:ascii="Verdana" w:eastAsia="Calibri" w:hAnsi="Verdana" w:cs="Arial"/>
          <w:sz w:val="16"/>
          <w:szCs w:val="16"/>
          <w:lang w:val="es-ES_tradnl" w:eastAsia="es-ES_tradnl"/>
        </w:rPr>
      </w:pPr>
      <w:r w:rsidRPr="000959A8">
        <w:rPr>
          <w:rFonts w:ascii="Verdana" w:eastAsia="Calibri" w:hAnsi="Verdana" w:cs="Arial"/>
          <w:sz w:val="16"/>
          <w:szCs w:val="16"/>
          <w:lang w:val="es-ES_tradnl" w:eastAsia="es-ES_tradnl"/>
        </w:rPr>
        <w:t>Sin embargo, en otros negocios, como la obra pública, la concesión y la consultoría, el Estado está acostumbrado a que se desglosen intensamente los costos, exigiendo no sólo el precio total sino una distinción entre los costos directos y los costos indirectos. Los primeros son los gastos imprescindibles para ejecutar la obra, entre los que se encuentra: la adquisición de materiales, insumos y suministros, la inversión en equipos, el pago de la mano de obra de las cuadrillas de trabajadores obreros y otros gastos afines –representados en los ítems que componen el contrato–. Los costos indirectos aluden a los gastos que también son necesarios para la obra, pero que no hacen parte de los elementos mismos con los que se construye, es decir, se trata de los costos de administración de la obra, los imprevistos que se presentan durante su ejecución y la utilidad esperada” (MARÍN CORTÉS, Fabián. El precio. Serie: Las cláusulas del contrato estatal. Medellín: Librería Jurídica Sánchez y Centro de Estudios de Derecho Administrativo –CEDA–, 2012. pp. 63-64).</w:t>
      </w:r>
    </w:p>
    <w:p w14:paraId="21BC31C6" w14:textId="77777777" w:rsidR="00515A4E" w:rsidRPr="000959A8" w:rsidRDefault="00515A4E" w:rsidP="00662087">
      <w:pPr>
        <w:pStyle w:val="Textonotapie"/>
        <w:ind w:firstLine="709"/>
        <w:jc w:val="both"/>
        <w:rPr>
          <w:rFonts w:ascii="Verdana" w:hAnsi="Verdana" w:cs="Arial"/>
          <w:sz w:val="16"/>
          <w:szCs w:val="16"/>
          <w:lang w:val="es-ES"/>
        </w:rPr>
      </w:pPr>
    </w:p>
  </w:footnote>
  <w:footnote w:id="2">
    <w:p w14:paraId="02C74DB8" w14:textId="77777777" w:rsidR="00662087" w:rsidRDefault="00662087" w:rsidP="00662087">
      <w:pPr>
        <w:pStyle w:val="Textonotapie"/>
        <w:ind w:firstLine="708"/>
        <w:jc w:val="both"/>
        <w:rPr>
          <w:rFonts w:ascii="Verdana" w:eastAsia="Calibri" w:hAnsi="Verdana" w:cs="Arial"/>
          <w:sz w:val="16"/>
          <w:szCs w:val="16"/>
          <w:lang w:val="es-ES_tradnl" w:eastAsia="es-ES_tradnl"/>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CONSEJO DE ESTADO. Sección Tercera. Subsección B. Sentencia del 29 de febrero de 2012. Exp. 16371, C.P. Danilo Rojas Betancourth.</w:t>
      </w:r>
    </w:p>
    <w:p w14:paraId="0CB5CF99" w14:textId="77777777" w:rsidR="00515A4E" w:rsidRPr="000959A8" w:rsidRDefault="00515A4E" w:rsidP="00662087">
      <w:pPr>
        <w:pStyle w:val="Textonotapie"/>
        <w:ind w:firstLine="708"/>
        <w:jc w:val="both"/>
        <w:rPr>
          <w:rFonts w:ascii="Verdana" w:hAnsi="Verdana" w:cs="Arial"/>
          <w:sz w:val="16"/>
          <w:szCs w:val="16"/>
        </w:rPr>
      </w:pPr>
    </w:p>
  </w:footnote>
  <w:footnote w:id="3">
    <w:p w14:paraId="32FD33C8" w14:textId="77777777" w:rsidR="00662087" w:rsidRDefault="00662087" w:rsidP="00662087">
      <w:pPr>
        <w:pStyle w:val="Textonotapie"/>
        <w:ind w:firstLine="709"/>
        <w:jc w:val="both"/>
        <w:rPr>
          <w:rFonts w:ascii="Verdana" w:eastAsia="Calibri" w:hAnsi="Verdana" w:cs="Arial"/>
          <w:sz w:val="16"/>
          <w:szCs w:val="16"/>
          <w:lang w:val="es-ES_tradnl" w:eastAsia="es-ES_tradnl"/>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PINO RICCI, Jorge. El régimen jurídico de los contratos estatales. Universidad Externado de Colombia. Bogotá, 2005. pp. 416.</w:t>
      </w:r>
    </w:p>
    <w:p w14:paraId="645CAD6F" w14:textId="77777777" w:rsidR="00515A4E" w:rsidRPr="000959A8" w:rsidRDefault="00515A4E" w:rsidP="00662087">
      <w:pPr>
        <w:pStyle w:val="Textonotapie"/>
        <w:ind w:firstLine="709"/>
        <w:jc w:val="both"/>
        <w:rPr>
          <w:rFonts w:ascii="Verdana" w:hAnsi="Verdana" w:cs="Arial"/>
          <w:sz w:val="16"/>
          <w:szCs w:val="16"/>
          <w:lang w:val="es-CO"/>
        </w:rPr>
      </w:pPr>
    </w:p>
  </w:footnote>
  <w:footnote w:id="4">
    <w:p w14:paraId="36B85261" w14:textId="77777777" w:rsidR="00662087" w:rsidRDefault="00662087" w:rsidP="00662087">
      <w:pPr>
        <w:pStyle w:val="Textonotapie"/>
        <w:ind w:firstLine="708"/>
        <w:jc w:val="both"/>
        <w:rPr>
          <w:rFonts w:ascii="Verdana" w:eastAsia="Calibri" w:hAnsi="Verdana" w:cs="Arial"/>
          <w:sz w:val="16"/>
          <w:szCs w:val="16"/>
          <w:lang w:val="es-ES_tradnl" w:eastAsia="es-ES_tradnl"/>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CONSEJO DE ESTADO. Sección Tercera. Subsección B. Sentencia del 14 de octubre de 2011. Exp. 20811, C.P. Ruth Stella Correa Palacio.</w:t>
      </w:r>
    </w:p>
    <w:p w14:paraId="3D2EC10F" w14:textId="77777777" w:rsidR="00515A4E" w:rsidRPr="000959A8" w:rsidRDefault="00515A4E" w:rsidP="00662087">
      <w:pPr>
        <w:pStyle w:val="Textonotapie"/>
        <w:ind w:firstLine="708"/>
        <w:jc w:val="both"/>
        <w:rPr>
          <w:rFonts w:ascii="Verdana" w:hAnsi="Verdana" w:cs="Arial"/>
          <w:sz w:val="16"/>
          <w:szCs w:val="16"/>
        </w:rPr>
      </w:pPr>
    </w:p>
  </w:footnote>
  <w:footnote w:id="5">
    <w:p w14:paraId="583D3219" w14:textId="77777777" w:rsidR="00662087" w:rsidRDefault="00662087" w:rsidP="00662087">
      <w:pPr>
        <w:pStyle w:val="Textonotapie"/>
        <w:ind w:firstLine="708"/>
        <w:jc w:val="both"/>
        <w:rPr>
          <w:rFonts w:ascii="Verdana" w:eastAsia="Calibri" w:hAnsi="Verdana" w:cs="Arial"/>
          <w:sz w:val="16"/>
          <w:szCs w:val="16"/>
          <w:lang w:val="es-ES_tradnl" w:eastAsia="es-ES_tradnl"/>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CONSEJO DE ESTADO. Sala de Consulta y Servicio Civil. Concepto del 5 de septiembre de 2018, radicado No. 11001-03-06-000-2018-00124-00 C.P. Édgar González López.</w:t>
      </w:r>
    </w:p>
    <w:p w14:paraId="39BBEF38" w14:textId="77777777" w:rsidR="00515A4E" w:rsidRPr="000959A8" w:rsidRDefault="00515A4E" w:rsidP="00662087">
      <w:pPr>
        <w:pStyle w:val="Textonotapie"/>
        <w:ind w:firstLine="708"/>
        <w:jc w:val="both"/>
        <w:rPr>
          <w:rFonts w:ascii="Verdana" w:hAnsi="Verdana" w:cs="Arial"/>
          <w:sz w:val="16"/>
          <w:szCs w:val="16"/>
        </w:rPr>
      </w:pPr>
    </w:p>
  </w:footnote>
  <w:footnote w:id="6">
    <w:p w14:paraId="3EB7C146" w14:textId="77777777" w:rsidR="00662087" w:rsidRDefault="00662087" w:rsidP="00662087">
      <w:pPr>
        <w:pStyle w:val="Textonotapie"/>
        <w:ind w:firstLine="708"/>
        <w:jc w:val="both"/>
        <w:rPr>
          <w:rFonts w:ascii="Verdana" w:eastAsia="Calibri" w:hAnsi="Verdana" w:cs="Arial"/>
          <w:sz w:val="16"/>
          <w:szCs w:val="16"/>
          <w:lang w:val="es-ES_tradnl" w:eastAsia="es-ES_tradnl"/>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“Los costos indirectos incorporados en el A, corresponden como regla general a gastos de la oficina central, honorarios del director de obra, y de personal especializado. Generalmente estos costos pueden estar compartidos con los diversos contratos de obra que en forma simultánea esté ejecutando el contratista. Un ejemplo corresponde a los costos de la oficina central, y de los asesores de proyectos”.</w:t>
      </w:r>
    </w:p>
    <w:p w14:paraId="7F121D75" w14:textId="77777777" w:rsidR="00515A4E" w:rsidRPr="000959A8" w:rsidRDefault="00515A4E" w:rsidP="00662087">
      <w:pPr>
        <w:pStyle w:val="Textonotapie"/>
        <w:ind w:firstLine="708"/>
        <w:jc w:val="both"/>
        <w:rPr>
          <w:rFonts w:ascii="Verdana" w:hAnsi="Verdana" w:cs="Arial"/>
          <w:sz w:val="16"/>
          <w:szCs w:val="16"/>
        </w:rPr>
      </w:pPr>
    </w:p>
  </w:footnote>
  <w:footnote w:id="7">
    <w:p w14:paraId="2A7E6C41" w14:textId="77777777" w:rsidR="00662087" w:rsidRDefault="00662087" w:rsidP="00662087">
      <w:pPr>
        <w:pStyle w:val="Textonotapie"/>
        <w:ind w:firstLine="708"/>
        <w:jc w:val="both"/>
        <w:rPr>
          <w:rFonts w:ascii="Verdana" w:hAnsi="Verdana" w:cs="Arial"/>
          <w:sz w:val="16"/>
          <w:szCs w:val="16"/>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 la utilidad es el beneficio económico que pretende percibir el contratista por la ejecución del contrato y por costos de administración se han tenido como tales los que constituyen costos indirectos para la operación del contrato, tales como los gastos de disponibilidad de la organización del contratista; el porcentaje para imprevistos, como su nombre lo indica, está destinado a cubrir los gastos con los que no se contaba y que se presenten durante la ejecución del contrato” (Consejo de Estado. Sección Tercera. Consejero Ponente: Ramiro Saavedra Becerra. Sentencia del 28 de agosto de 2003. Radicado: 17.554).</w:t>
      </w:r>
      <w:r w:rsidRPr="000959A8">
        <w:rPr>
          <w:rFonts w:ascii="Verdana" w:hAnsi="Verdana" w:cs="Arial"/>
          <w:sz w:val="16"/>
          <w:szCs w:val="16"/>
        </w:rPr>
        <w:t xml:space="preserve"> </w:t>
      </w:r>
    </w:p>
    <w:p w14:paraId="43D4ECBA" w14:textId="77777777" w:rsidR="00515A4E" w:rsidRPr="000959A8" w:rsidRDefault="00515A4E" w:rsidP="00662087">
      <w:pPr>
        <w:pStyle w:val="Textonotapie"/>
        <w:ind w:firstLine="708"/>
        <w:jc w:val="both"/>
        <w:rPr>
          <w:rFonts w:ascii="Verdana" w:hAnsi="Verdana" w:cs="Arial"/>
          <w:sz w:val="16"/>
          <w:szCs w:val="16"/>
        </w:rPr>
      </w:pPr>
    </w:p>
  </w:footnote>
  <w:footnote w:id="8">
    <w:p w14:paraId="4F0BBA93" w14:textId="77777777" w:rsidR="00662087" w:rsidRDefault="00662087" w:rsidP="00662087">
      <w:pPr>
        <w:pStyle w:val="Textonotapie"/>
        <w:ind w:firstLine="709"/>
        <w:jc w:val="both"/>
        <w:rPr>
          <w:rFonts w:ascii="Verdana" w:eastAsia="Calibri" w:hAnsi="Verdana" w:cs="Arial"/>
          <w:sz w:val="16"/>
          <w:szCs w:val="16"/>
          <w:lang w:val="es-ES_tradnl" w:eastAsia="es-ES_tradnl"/>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MARÍN, Op. Cit., pp. 64-65.</w:t>
      </w:r>
    </w:p>
    <w:p w14:paraId="39BC9EDC" w14:textId="77777777" w:rsidR="00515A4E" w:rsidRPr="000959A8" w:rsidRDefault="00515A4E" w:rsidP="00662087">
      <w:pPr>
        <w:pStyle w:val="Textonotapie"/>
        <w:ind w:firstLine="709"/>
        <w:jc w:val="both"/>
        <w:rPr>
          <w:rFonts w:ascii="Verdana" w:eastAsia="Calibri" w:hAnsi="Verdana" w:cs="Arial"/>
          <w:sz w:val="16"/>
          <w:szCs w:val="16"/>
          <w:lang w:val="es-ES_tradnl" w:eastAsia="es-ES_tradnl"/>
        </w:rPr>
      </w:pPr>
    </w:p>
  </w:footnote>
  <w:footnote w:id="9">
    <w:p w14:paraId="100185C0" w14:textId="77777777" w:rsidR="00662087" w:rsidRDefault="00662087" w:rsidP="00662087">
      <w:pPr>
        <w:pStyle w:val="Textonotapie"/>
        <w:ind w:firstLine="709"/>
        <w:jc w:val="both"/>
        <w:rPr>
          <w:rFonts w:ascii="Verdana" w:eastAsia="Calibri" w:hAnsi="Verdana" w:cs="Arial"/>
          <w:sz w:val="16"/>
          <w:szCs w:val="16"/>
          <w:lang w:val="es-ES_tradnl" w:eastAsia="es-ES_tradnl"/>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Ibíd., p. 66.</w:t>
      </w:r>
    </w:p>
    <w:p w14:paraId="4C11C01A" w14:textId="77777777" w:rsidR="00452650" w:rsidRPr="000959A8" w:rsidRDefault="00452650" w:rsidP="00662087">
      <w:pPr>
        <w:pStyle w:val="Textonotapie"/>
        <w:ind w:firstLine="709"/>
        <w:jc w:val="both"/>
        <w:rPr>
          <w:rFonts w:ascii="Verdana" w:hAnsi="Verdana" w:cs="Arial"/>
          <w:sz w:val="16"/>
          <w:szCs w:val="16"/>
          <w:lang w:val="es-ES"/>
        </w:rPr>
      </w:pPr>
    </w:p>
  </w:footnote>
  <w:footnote w:id="10">
    <w:p w14:paraId="2574E341" w14:textId="77777777" w:rsidR="00662087" w:rsidRDefault="00662087" w:rsidP="00662087">
      <w:pPr>
        <w:pStyle w:val="Textonotapie"/>
        <w:ind w:firstLine="708"/>
        <w:jc w:val="both"/>
        <w:rPr>
          <w:rFonts w:ascii="Verdana" w:eastAsia="Calibri" w:hAnsi="Verdana" w:cs="Arial"/>
          <w:sz w:val="16"/>
          <w:szCs w:val="16"/>
          <w:lang w:val="es-ES_tradnl" w:eastAsia="es-ES_tradnl"/>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“Que el porcentaje sea superior o inferior, o que para una empresa sea mayor o menor que para otra, depende de muchas razones, por ejemplo: del personal que se requiera en la obra –unas empresas emplean más o menos que otras–; de la magnitud del trabajo; de las cargas administrativas que cada empresa tienen –pensionados, convenciones colectivas y otros; del tamaño de la misma –mientras más grande es la A tiende a ser mayor; del costo de los campamentos; del transporte del personal; del sitio de las obras –si la empresa tiene un domicilio en el lugar del trabajo su A tiende a ser menor, y si se encuentra en otra ciudad tiende a subir, por ejemplo porque el salario de los ingenieros se incrementa por los viáticos–”. (Ibíd, p. 76)</w:t>
      </w:r>
    </w:p>
    <w:p w14:paraId="7A5A758B" w14:textId="77777777" w:rsidR="00134724" w:rsidRPr="000959A8" w:rsidRDefault="00134724" w:rsidP="00662087">
      <w:pPr>
        <w:pStyle w:val="Textonotapie"/>
        <w:ind w:firstLine="708"/>
        <w:jc w:val="both"/>
        <w:rPr>
          <w:rFonts w:ascii="Verdana" w:eastAsia="Calibri" w:hAnsi="Verdana" w:cs="Arial"/>
          <w:sz w:val="16"/>
          <w:szCs w:val="16"/>
          <w:lang w:val="es-ES_tradnl" w:eastAsia="es-ES_tradnl"/>
        </w:rPr>
      </w:pPr>
    </w:p>
  </w:footnote>
  <w:footnote w:id="11">
    <w:p w14:paraId="103EF98D" w14:textId="77777777" w:rsidR="00662087" w:rsidRDefault="00662087" w:rsidP="00662087">
      <w:pPr>
        <w:pStyle w:val="Textonotapie"/>
        <w:ind w:firstLine="708"/>
        <w:jc w:val="both"/>
        <w:rPr>
          <w:rFonts w:ascii="Verdana" w:eastAsia="Calibri" w:hAnsi="Verdana" w:cs="Arial"/>
          <w:sz w:val="16"/>
          <w:szCs w:val="16"/>
          <w:lang w:val="es-ES_tradnl" w:eastAsia="es-ES_tradnl"/>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Lo anterior, sin perjuicio de las fórmulas de reajuste que se establezcan en el contrato y lo establecido en el artículo 27 de la Ley 80 de 1993. En tal sentido, en los casos de desequilibrio económico, porque los costos indirectos en los que incurre el contratista exceden el alea normal, es decir, le causan una afectación grave de su economía, podría exigirle a la entidad que le pague más de lo que se estipuló en la A o en la I, siendo esta una circunstancia extraordinaria.</w:t>
      </w:r>
    </w:p>
    <w:p w14:paraId="1D11CB3A" w14:textId="77777777" w:rsidR="00134724" w:rsidRPr="000959A8" w:rsidRDefault="00134724" w:rsidP="00662087">
      <w:pPr>
        <w:pStyle w:val="Textonotapie"/>
        <w:ind w:firstLine="708"/>
        <w:jc w:val="both"/>
        <w:rPr>
          <w:rFonts w:ascii="Verdana" w:hAnsi="Verdana" w:cs="Arial"/>
          <w:sz w:val="16"/>
          <w:szCs w:val="16"/>
        </w:rPr>
      </w:pPr>
    </w:p>
  </w:footnote>
  <w:footnote w:id="12">
    <w:p w14:paraId="5E9FD807" w14:textId="77777777" w:rsidR="00E05E98" w:rsidRDefault="00E05E98" w:rsidP="00E05E98">
      <w:pPr>
        <w:pStyle w:val="Textonotapie"/>
        <w:ind w:firstLine="708"/>
        <w:rPr>
          <w:rFonts w:ascii="Verdana" w:hAnsi="Verdana"/>
          <w:sz w:val="16"/>
          <w:szCs w:val="16"/>
        </w:rPr>
      </w:pPr>
      <w:r w:rsidRPr="00364005">
        <w:rPr>
          <w:rStyle w:val="Refdenotaalpie"/>
          <w:rFonts w:ascii="Verdana" w:hAnsi="Verdana"/>
          <w:sz w:val="16"/>
          <w:szCs w:val="16"/>
        </w:rPr>
        <w:footnoteRef/>
      </w:r>
      <w:r w:rsidRPr="00364005">
        <w:rPr>
          <w:rFonts w:ascii="Verdana" w:hAnsi="Verdana"/>
          <w:sz w:val="16"/>
          <w:szCs w:val="16"/>
        </w:rPr>
        <w:t xml:space="preserve"> MARÍN, Op. Cit., p. 70.</w:t>
      </w:r>
    </w:p>
    <w:p w14:paraId="45AFBC1B" w14:textId="77777777" w:rsidR="000B0D04" w:rsidRPr="00364005" w:rsidRDefault="000B0D04" w:rsidP="00E05E98">
      <w:pPr>
        <w:pStyle w:val="Textonotapie"/>
        <w:ind w:firstLine="708"/>
        <w:rPr>
          <w:rFonts w:ascii="Verdana" w:hAnsi="Verdana"/>
          <w:sz w:val="16"/>
          <w:szCs w:val="16"/>
          <w:lang w:val="es-CO"/>
        </w:rPr>
      </w:pPr>
    </w:p>
  </w:footnote>
  <w:footnote w:id="13">
    <w:p w14:paraId="352F784F" w14:textId="77777777" w:rsidR="00E05E98" w:rsidRDefault="00E05E98" w:rsidP="00E05E98">
      <w:pPr>
        <w:pStyle w:val="Textonotapie"/>
        <w:ind w:firstLine="708"/>
        <w:jc w:val="both"/>
        <w:rPr>
          <w:rFonts w:ascii="Verdana" w:eastAsia="Calibri" w:hAnsi="Verdana" w:cs="Arial"/>
          <w:sz w:val="16"/>
          <w:szCs w:val="16"/>
          <w:lang w:val="es-ES_tradnl" w:eastAsia="es-ES_tradnl"/>
        </w:rPr>
      </w:pPr>
      <w:r w:rsidRPr="00364005">
        <w:rPr>
          <w:rStyle w:val="Refdenotaalpie"/>
          <w:rFonts w:ascii="Verdana" w:hAnsi="Verdana"/>
          <w:sz w:val="16"/>
          <w:szCs w:val="16"/>
        </w:rPr>
        <w:footnoteRef/>
      </w:r>
      <w:r w:rsidRPr="00364005">
        <w:rPr>
          <w:rFonts w:ascii="Verdana" w:hAnsi="Verdana"/>
          <w:sz w:val="16"/>
          <w:szCs w:val="16"/>
        </w:rPr>
        <w:t xml:space="preserve"> </w:t>
      </w:r>
      <w:r w:rsidRPr="00364005">
        <w:rPr>
          <w:rFonts w:ascii="Verdana" w:eastAsia="Calibri" w:hAnsi="Verdana" w:cs="Arial"/>
          <w:sz w:val="16"/>
          <w:szCs w:val="16"/>
          <w:lang w:val="es-ES_tradnl" w:eastAsia="es-ES_tradnl"/>
        </w:rPr>
        <w:t>Ibíd., p. 68.</w:t>
      </w:r>
    </w:p>
    <w:p w14:paraId="2DC4B21F" w14:textId="77777777" w:rsidR="00BA4084" w:rsidRPr="00364005" w:rsidRDefault="00BA4084" w:rsidP="00E05E98">
      <w:pPr>
        <w:pStyle w:val="Textonotapie"/>
        <w:ind w:firstLine="708"/>
        <w:jc w:val="both"/>
        <w:rPr>
          <w:rFonts w:ascii="Verdana" w:hAnsi="Verdana"/>
          <w:sz w:val="16"/>
          <w:szCs w:val="16"/>
          <w:lang w:val="es-CO"/>
        </w:rPr>
      </w:pPr>
    </w:p>
  </w:footnote>
  <w:footnote w:id="14">
    <w:p w14:paraId="79273A86" w14:textId="77777777" w:rsidR="00E05E98" w:rsidRDefault="00E05E98" w:rsidP="00E05E98">
      <w:pPr>
        <w:pStyle w:val="Textonotapie"/>
        <w:ind w:firstLine="708"/>
        <w:jc w:val="both"/>
        <w:rPr>
          <w:rFonts w:ascii="Verdana" w:eastAsia="Calibri" w:hAnsi="Verdana" w:cs="Arial"/>
          <w:sz w:val="16"/>
          <w:szCs w:val="16"/>
          <w:lang w:val="en-US" w:eastAsia="es-ES_tradnl"/>
        </w:rPr>
      </w:pPr>
      <w:r w:rsidRPr="00364005">
        <w:rPr>
          <w:rStyle w:val="Refdenotaalpie"/>
          <w:rFonts w:ascii="Verdana" w:hAnsi="Verdana"/>
          <w:sz w:val="16"/>
          <w:szCs w:val="16"/>
        </w:rPr>
        <w:footnoteRef/>
      </w:r>
      <w:r w:rsidRPr="00E05E98">
        <w:rPr>
          <w:rFonts w:ascii="Verdana" w:hAnsi="Verdana"/>
          <w:sz w:val="16"/>
          <w:szCs w:val="16"/>
          <w:lang w:val="en-US"/>
        </w:rPr>
        <w:t xml:space="preserve"> </w:t>
      </w:r>
      <w:r w:rsidRPr="00E05E98">
        <w:rPr>
          <w:rFonts w:ascii="Verdana" w:eastAsia="Calibri" w:hAnsi="Verdana" w:cs="Arial"/>
          <w:sz w:val="16"/>
          <w:szCs w:val="16"/>
          <w:lang w:val="en-US" w:eastAsia="es-ES_tradnl"/>
        </w:rPr>
        <w:t>Ibíd., p. 71.</w:t>
      </w:r>
    </w:p>
    <w:p w14:paraId="7C81AEBD" w14:textId="77777777" w:rsidR="00BA4084" w:rsidRPr="00E05E98" w:rsidRDefault="00BA4084" w:rsidP="00E05E98">
      <w:pPr>
        <w:pStyle w:val="Textonotapie"/>
        <w:ind w:firstLine="708"/>
        <w:jc w:val="both"/>
        <w:rPr>
          <w:rFonts w:ascii="Verdana" w:hAnsi="Verdana"/>
          <w:sz w:val="16"/>
          <w:szCs w:val="16"/>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3332A8" w:rsidRDefault="003332A8" w:rsidP="00844AE9">
    <w:pPr>
      <w:pStyle w:val="Encabezado"/>
      <w:spacing w:line="120" w:lineRule="auto"/>
    </w:pPr>
    <w:r>
      <w:rPr>
        <w:rFonts w:ascii="Geomanist Bold" w:hAnsi="Geomanist Bold"/>
        <w:b/>
        <w:bCs/>
        <w:noProof/>
        <w:color w:val="002060"/>
        <w:sz w:val="24"/>
        <w:szCs w:val="24"/>
        <w:lang w:val="en-US"/>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lang w:val="en-US"/>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3332A8" w:rsidRDefault="003332A8">
    <w:pPr>
      <w:pStyle w:val="Encabezado"/>
    </w:pPr>
  </w:p>
  <w:p w14:paraId="5E18350A" w14:textId="705F7B76" w:rsidR="003332A8" w:rsidRPr="004A305D" w:rsidRDefault="003332A8" w:rsidP="00B01B1A">
    <w:pPr>
      <w:spacing w:after="0" w:line="120" w:lineRule="auto"/>
      <w:rPr>
        <w:rFonts w:ascii="Century Gothic" w:eastAsia="Geo" w:hAnsi="Century Gothic" w:cs="Geo"/>
        <w:sz w:val="16"/>
        <w:szCs w:val="16"/>
        <w:lang w:eastAsia="es-CO"/>
      </w:rPr>
    </w:pPr>
  </w:p>
  <w:p w14:paraId="211B7F5D" w14:textId="77777777" w:rsidR="003332A8" w:rsidRDefault="003332A8" w:rsidP="00844AE9">
    <w:pPr>
      <w:spacing w:after="0" w:line="240" w:lineRule="auto"/>
      <w:rPr>
        <w:rFonts w:ascii="Verdana" w:hAnsi="Verdana"/>
        <w:sz w:val="24"/>
        <w:szCs w:val="24"/>
      </w:rPr>
    </w:pPr>
  </w:p>
  <w:p w14:paraId="5A0054B1" w14:textId="77777777" w:rsidR="003332A8" w:rsidRPr="00C925AC" w:rsidRDefault="003332A8" w:rsidP="00844AE9">
    <w:pPr>
      <w:spacing w:after="0" w:line="240" w:lineRule="auto"/>
      <w:rPr>
        <w:rFonts w:ascii="Verdana" w:hAnsi="Verdana"/>
        <w:sz w:val="24"/>
        <w:szCs w:val="24"/>
      </w:rPr>
    </w:pPr>
  </w:p>
  <w:p w14:paraId="1FD1C243" w14:textId="37C5500A" w:rsidR="003332A8" w:rsidRPr="00C925AC" w:rsidRDefault="003332A8"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10.6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A36B19"/>
    <w:multiLevelType w:val="hybridMultilevel"/>
    <w:tmpl w:val="261425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04262F7"/>
    <w:multiLevelType w:val="hybridMultilevel"/>
    <w:tmpl w:val="9BDCE9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9549AB"/>
    <w:multiLevelType w:val="hybridMultilevel"/>
    <w:tmpl w:val="DEF623AC"/>
    <w:lvl w:ilvl="0" w:tplc="04090017">
      <w:start w:val="1"/>
      <w:numFmt w:val="lowerLetter"/>
      <w:lvlText w:val="%1)"/>
      <w:lvlJc w:val="left"/>
      <w:pPr>
        <w:ind w:left="2204" w:hanging="36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5"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5425A2"/>
    <w:multiLevelType w:val="hybridMultilevel"/>
    <w:tmpl w:val="405C6ADC"/>
    <w:lvl w:ilvl="0" w:tplc="E4762024">
      <w:start w:val="1"/>
      <w:numFmt w:val="upperRoman"/>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FEF29CA"/>
    <w:multiLevelType w:val="hybridMultilevel"/>
    <w:tmpl w:val="151400D2"/>
    <w:lvl w:ilvl="0" w:tplc="7C509E50">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8"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5"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353CA8"/>
    <w:multiLevelType w:val="hybridMultilevel"/>
    <w:tmpl w:val="8556CC82"/>
    <w:lvl w:ilvl="0" w:tplc="147AD612">
      <w:start w:val="1"/>
      <w:numFmt w:val="decimal"/>
      <w:lvlText w:val="%1."/>
      <w:lvlJc w:val="left"/>
      <w:pPr>
        <w:ind w:left="1065" w:hanging="360"/>
      </w:pPr>
      <w:rPr>
        <w:rFonts w:ascii="Arial" w:hAnsi="Arial" w:cs="Arial" w:hint="default"/>
        <w:b w:val="0"/>
        <w:bCs/>
        <w:sz w:val="22"/>
        <w:szCs w:val="22"/>
      </w:rPr>
    </w:lvl>
    <w:lvl w:ilvl="1" w:tplc="240A0019" w:tentative="1">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abstractNum w:abstractNumId="18"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0C755D"/>
    <w:multiLevelType w:val="hybridMultilevel"/>
    <w:tmpl w:val="EEC215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976DE6"/>
    <w:multiLevelType w:val="hybridMultilevel"/>
    <w:tmpl w:val="C144C02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CA48279"/>
    <w:multiLevelType w:val="hybridMultilevel"/>
    <w:tmpl w:val="61658A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42839426">
    <w:abstractNumId w:val="10"/>
  </w:num>
  <w:num w:numId="2" w16cid:durableId="575671387">
    <w:abstractNumId w:val="2"/>
  </w:num>
  <w:num w:numId="3" w16cid:durableId="478959013">
    <w:abstractNumId w:val="8"/>
  </w:num>
  <w:num w:numId="4" w16cid:durableId="1145660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4566880">
    <w:abstractNumId w:val="2"/>
  </w:num>
  <w:num w:numId="6" w16cid:durableId="699085116">
    <w:abstractNumId w:val="18"/>
  </w:num>
  <w:num w:numId="7" w16cid:durableId="1974751856">
    <w:abstractNumId w:val="9"/>
  </w:num>
  <w:num w:numId="8" w16cid:durableId="1524243295">
    <w:abstractNumId w:val="16"/>
  </w:num>
  <w:num w:numId="9" w16cid:durableId="1693993010">
    <w:abstractNumId w:val="11"/>
  </w:num>
  <w:num w:numId="10" w16cid:durableId="756638953">
    <w:abstractNumId w:val="15"/>
  </w:num>
  <w:num w:numId="11" w16cid:durableId="1511916912">
    <w:abstractNumId w:val="12"/>
  </w:num>
  <w:num w:numId="12" w16cid:durableId="1733693583">
    <w:abstractNumId w:val="0"/>
  </w:num>
  <w:num w:numId="13" w16cid:durableId="2044207265">
    <w:abstractNumId w:val="5"/>
  </w:num>
  <w:num w:numId="14" w16cid:durableId="1715882887">
    <w:abstractNumId w:val="19"/>
  </w:num>
  <w:num w:numId="15" w16cid:durableId="368184482">
    <w:abstractNumId w:val="14"/>
  </w:num>
  <w:num w:numId="16" w16cid:durableId="986013926">
    <w:abstractNumId w:val="6"/>
  </w:num>
  <w:num w:numId="17" w16cid:durableId="173233579">
    <w:abstractNumId w:val="13"/>
  </w:num>
  <w:num w:numId="18" w16cid:durableId="1762485312">
    <w:abstractNumId w:val="22"/>
  </w:num>
  <w:num w:numId="19" w16cid:durableId="390540605">
    <w:abstractNumId w:val="21"/>
  </w:num>
  <w:num w:numId="20" w16cid:durableId="1630667266">
    <w:abstractNumId w:val="1"/>
  </w:num>
  <w:num w:numId="21" w16cid:durableId="686448761">
    <w:abstractNumId w:val="4"/>
  </w:num>
  <w:num w:numId="22" w16cid:durableId="1933010044">
    <w:abstractNumId w:val="7"/>
  </w:num>
  <w:num w:numId="23" w16cid:durableId="1621455384">
    <w:abstractNumId w:val="3"/>
  </w:num>
  <w:num w:numId="24" w16cid:durableId="1864779819">
    <w:abstractNumId w:val="20"/>
  </w:num>
  <w:num w:numId="25" w16cid:durableId="11690623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847"/>
    <w:rsid w:val="00005660"/>
    <w:rsid w:val="000063E0"/>
    <w:rsid w:val="0001083E"/>
    <w:rsid w:val="000134D5"/>
    <w:rsid w:val="00016F78"/>
    <w:rsid w:val="00030B1D"/>
    <w:rsid w:val="000353BD"/>
    <w:rsid w:val="000401ED"/>
    <w:rsid w:val="000468A1"/>
    <w:rsid w:val="00046945"/>
    <w:rsid w:val="00061B2A"/>
    <w:rsid w:val="000711CF"/>
    <w:rsid w:val="00073C51"/>
    <w:rsid w:val="00076D52"/>
    <w:rsid w:val="00080B1D"/>
    <w:rsid w:val="00082362"/>
    <w:rsid w:val="00085031"/>
    <w:rsid w:val="000866ED"/>
    <w:rsid w:val="00087566"/>
    <w:rsid w:val="0009079C"/>
    <w:rsid w:val="000A1514"/>
    <w:rsid w:val="000A1642"/>
    <w:rsid w:val="000A66E5"/>
    <w:rsid w:val="000A683E"/>
    <w:rsid w:val="000B0D04"/>
    <w:rsid w:val="000B0FAA"/>
    <w:rsid w:val="000B19B9"/>
    <w:rsid w:val="000B27F0"/>
    <w:rsid w:val="000C013D"/>
    <w:rsid w:val="000C5A9E"/>
    <w:rsid w:val="000D0334"/>
    <w:rsid w:val="000D1DC8"/>
    <w:rsid w:val="000D4734"/>
    <w:rsid w:val="000D5DA7"/>
    <w:rsid w:val="000E6E2C"/>
    <w:rsid w:val="000F01E9"/>
    <w:rsid w:val="000F078F"/>
    <w:rsid w:val="000F3444"/>
    <w:rsid w:val="000F3E03"/>
    <w:rsid w:val="000F512E"/>
    <w:rsid w:val="000F6486"/>
    <w:rsid w:val="000F7FD4"/>
    <w:rsid w:val="00105C57"/>
    <w:rsid w:val="00105E1D"/>
    <w:rsid w:val="001161CA"/>
    <w:rsid w:val="001168F2"/>
    <w:rsid w:val="00116940"/>
    <w:rsid w:val="00125105"/>
    <w:rsid w:val="00127233"/>
    <w:rsid w:val="001328F3"/>
    <w:rsid w:val="00134724"/>
    <w:rsid w:val="001428DC"/>
    <w:rsid w:val="00151D59"/>
    <w:rsid w:val="001521B3"/>
    <w:rsid w:val="0015699B"/>
    <w:rsid w:val="00165609"/>
    <w:rsid w:val="00171640"/>
    <w:rsid w:val="00174D6E"/>
    <w:rsid w:val="00180954"/>
    <w:rsid w:val="0018679F"/>
    <w:rsid w:val="0019045D"/>
    <w:rsid w:val="00192805"/>
    <w:rsid w:val="0019787F"/>
    <w:rsid w:val="001A33BF"/>
    <w:rsid w:val="001A35A7"/>
    <w:rsid w:val="001A5968"/>
    <w:rsid w:val="001B24C7"/>
    <w:rsid w:val="001B49B3"/>
    <w:rsid w:val="001C1EB2"/>
    <w:rsid w:val="001C5AE4"/>
    <w:rsid w:val="001C61B3"/>
    <w:rsid w:val="001D02CC"/>
    <w:rsid w:val="001D16E0"/>
    <w:rsid w:val="001D4C4A"/>
    <w:rsid w:val="001D64AE"/>
    <w:rsid w:val="001E2E05"/>
    <w:rsid w:val="001E4177"/>
    <w:rsid w:val="001F0B24"/>
    <w:rsid w:val="001F5903"/>
    <w:rsid w:val="001F5DD0"/>
    <w:rsid w:val="001F7DC6"/>
    <w:rsid w:val="002022E0"/>
    <w:rsid w:val="00207466"/>
    <w:rsid w:val="00211A12"/>
    <w:rsid w:val="00211E12"/>
    <w:rsid w:val="00212AD1"/>
    <w:rsid w:val="00216E4C"/>
    <w:rsid w:val="00217FCA"/>
    <w:rsid w:val="002209DE"/>
    <w:rsid w:val="0022400B"/>
    <w:rsid w:val="0023515D"/>
    <w:rsid w:val="0024014C"/>
    <w:rsid w:val="002421BB"/>
    <w:rsid w:val="00242F3E"/>
    <w:rsid w:val="00253436"/>
    <w:rsid w:val="002543AD"/>
    <w:rsid w:val="0025796E"/>
    <w:rsid w:val="0026018C"/>
    <w:rsid w:val="00261EDF"/>
    <w:rsid w:val="0026324D"/>
    <w:rsid w:val="00265065"/>
    <w:rsid w:val="0026579C"/>
    <w:rsid w:val="002707A2"/>
    <w:rsid w:val="00275482"/>
    <w:rsid w:val="00277C07"/>
    <w:rsid w:val="0028778F"/>
    <w:rsid w:val="00291AD4"/>
    <w:rsid w:val="00294ADE"/>
    <w:rsid w:val="002951A0"/>
    <w:rsid w:val="002962BC"/>
    <w:rsid w:val="002975A4"/>
    <w:rsid w:val="002A093D"/>
    <w:rsid w:val="002A0DD0"/>
    <w:rsid w:val="002A49AC"/>
    <w:rsid w:val="002A64FD"/>
    <w:rsid w:val="002B730F"/>
    <w:rsid w:val="002C2DF5"/>
    <w:rsid w:val="002C7A84"/>
    <w:rsid w:val="002E05EF"/>
    <w:rsid w:val="002E2BF8"/>
    <w:rsid w:val="002E4FD9"/>
    <w:rsid w:val="002F0847"/>
    <w:rsid w:val="002F2B42"/>
    <w:rsid w:val="0030657A"/>
    <w:rsid w:val="00311FF5"/>
    <w:rsid w:val="003136DC"/>
    <w:rsid w:val="003156BF"/>
    <w:rsid w:val="00316053"/>
    <w:rsid w:val="00322A85"/>
    <w:rsid w:val="00322C00"/>
    <w:rsid w:val="00322D77"/>
    <w:rsid w:val="00324168"/>
    <w:rsid w:val="00330834"/>
    <w:rsid w:val="003332A8"/>
    <w:rsid w:val="003448F4"/>
    <w:rsid w:val="003475FC"/>
    <w:rsid w:val="00351F93"/>
    <w:rsid w:val="0037228E"/>
    <w:rsid w:val="00374F5E"/>
    <w:rsid w:val="003769E1"/>
    <w:rsid w:val="00377E3E"/>
    <w:rsid w:val="00381BAB"/>
    <w:rsid w:val="003878B3"/>
    <w:rsid w:val="003A26B0"/>
    <w:rsid w:val="003A779E"/>
    <w:rsid w:val="003B0DFC"/>
    <w:rsid w:val="003C0ED7"/>
    <w:rsid w:val="003D0F4D"/>
    <w:rsid w:val="003D3FF4"/>
    <w:rsid w:val="003D494E"/>
    <w:rsid w:val="003D5B0D"/>
    <w:rsid w:val="003E0499"/>
    <w:rsid w:val="003E4915"/>
    <w:rsid w:val="003E4C37"/>
    <w:rsid w:val="003E4F80"/>
    <w:rsid w:val="003E6439"/>
    <w:rsid w:val="003F18C5"/>
    <w:rsid w:val="003F1FD8"/>
    <w:rsid w:val="003F3941"/>
    <w:rsid w:val="00403388"/>
    <w:rsid w:val="00403EFA"/>
    <w:rsid w:val="0040494E"/>
    <w:rsid w:val="00406575"/>
    <w:rsid w:val="004140B3"/>
    <w:rsid w:val="00414C74"/>
    <w:rsid w:val="00416706"/>
    <w:rsid w:val="0042722E"/>
    <w:rsid w:val="0044528D"/>
    <w:rsid w:val="00451137"/>
    <w:rsid w:val="00452650"/>
    <w:rsid w:val="004555EA"/>
    <w:rsid w:val="004576CF"/>
    <w:rsid w:val="0045785F"/>
    <w:rsid w:val="00464ACB"/>
    <w:rsid w:val="00466E39"/>
    <w:rsid w:val="004768AE"/>
    <w:rsid w:val="00484E40"/>
    <w:rsid w:val="0048787A"/>
    <w:rsid w:val="00492A06"/>
    <w:rsid w:val="00492C4A"/>
    <w:rsid w:val="00494F04"/>
    <w:rsid w:val="004A0841"/>
    <w:rsid w:val="004A0A0B"/>
    <w:rsid w:val="004A0E5C"/>
    <w:rsid w:val="004A1847"/>
    <w:rsid w:val="004A305D"/>
    <w:rsid w:val="004B3DAC"/>
    <w:rsid w:val="004B5C63"/>
    <w:rsid w:val="004B73B9"/>
    <w:rsid w:val="004C0DBB"/>
    <w:rsid w:val="004D2B6F"/>
    <w:rsid w:val="004E2B92"/>
    <w:rsid w:val="004F21C4"/>
    <w:rsid w:val="004F685F"/>
    <w:rsid w:val="005000A1"/>
    <w:rsid w:val="00503361"/>
    <w:rsid w:val="005062AF"/>
    <w:rsid w:val="00510130"/>
    <w:rsid w:val="00513BF7"/>
    <w:rsid w:val="00515A4E"/>
    <w:rsid w:val="00515F6A"/>
    <w:rsid w:val="00517955"/>
    <w:rsid w:val="005229DB"/>
    <w:rsid w:val="00524422"/>
    <w:rsid w:val="00532128"/>
    <w:rsid w:val="00534886"/>
    <w:rsid w:val="005365D9"/>
    <w:rsid w:val="00536A0E"/>
    <w:rsid w:val="0055262A"/>
    <w:rsid w:val="00553040"/>
    <w:rsid w:val="005566E8"/>
    <w:rsid w:val="00560892"/>
    <w:rsid w:val="00560B99"/>
    <w:rsid w:val="005648EC"/>
    <w:rsid w:val="00570B00"/>
    <w:rsid w:val="00572622"/>
    <w:rsid w:val="00573280"/>
    <w:rsid w:val="005746D5"/>
    <w:rsid w:val="00574867"/>
    <w:rsid w:val="00591460"/>
    <w:rsid w:val="00592C94"/>
    <w:rsid w:val="005A2CAB"/>
    <w:rsid w:val="005A4AF9"/>
    <w:rsid w:val="005A5114"/>
    <w:rsid w:val="005A52A7"/>
    <w:rsid w:val="005A57A5"/>
    <w:rsid w:val="005A65E0"/>
    <w:rsid w:val="005C0881"/>
    <w:rsid w:val="005C3777"/>
    <w:rsid w:val="005C5CDC"/>
    <w:rsid w:val="005D2566"/>
    <w:rsid w:val="005D476C"/>
    <w:rsid w:val="005D7628"/>
    <w:rsid w:val="005F20A4"/>
    <w:rsid w:val="00600D92"/>
    <w:rsid w:val="00603C5B"/>
    <w:rsid w:val="00611CE6"/>
    <w:rsid w:val="006137E1"/>
    <w:rsid w:val="00615105"/>
    <w:rsid w:val="00617200"/>
    <w:rsid w:val="00617E91"/>
    <w:rsid w:val="006200BF"/>
    <w:rsid w:val="0062143E"/>
    <w:rsid w:val="006219F8"/>
    <w:rsid w:val="00624A89"/>
    <w:rsid w:val="00624EEC"/>
    <w:rsid w:val="006302F7"/>
    <w:rsid w:val="00637E69"/>
    <w:rsid w:val="00640441"/>
    <w:rsid w:val="00646B9F"/>
    <w:rsid w:val="00646F24"/>
    <w:rsid w:val="006547C3"/>
    <w:rsid w:val="00660C46"/>
    <w:rsid w:val="00662087"/>
    <w:rsid w:val="00663A04"/>
    <w:rsid w:val="00665D70"/>
    <w:rsid w:val="00672499"/>
    <w:rsid w:val="00684F67"/>
    <w:rsid w:val="0068758B"/>
    <w:rsid w:val="006900D9"/>
    <w:rsid w:val="00696960"/>
    <w:rsid w:val="0069741A"/>
    <w:rsid w:val="006A2BE4"/>
    <w:rsid w:val="006A6BF4"/>
    <w:rsid w:val="006B4707"/>
    <w:rsid w:val="006C159E"/>
    <w:rsid w:val="006C38A9"/>
    <w:rsid w:val="006D13BA"/>
    <w:rsid w:val="006D1D21"/>
    <w:rsid w:val="006D2B34"/>
    <w:rsid w:val="006D591D"/>
    <w:rsid w:val="006D64EE"/>
    <w:rsid w:val="006E3854"/>
    <w:rsid w:val="006F2238"/>
    <w:rsid w:val="006F4199"/>
    <w:rsid w:val="007009D7"/>
    <w:rsid w:val="007025D7"/>
    <w:rsid w:val="00706C16"/>
    <w:rsid w:val="0071557C"/>
    <w:rsid w:val="00720597"/>
    <w:rsid w:val="00722A5A"/>
    <w:rsid w:val="00723639"/>
    <w:rsid w:val="00731F30"/>
    <w:rsid w:val="00733C96"/>
    <w:rsid w:val="007340C3"/>
    <w:rsid w:val="007344B2"/>
    <w:rsid w:val="007345D5"/>
    <w:rsid w:val="0073510E"/>
    <w:rsid w:val="00741631"/>
    <w:rsid w:val="007458D3"/>
    <w:rsid w:val="00751DE8"/>
    <w:rsid w:val="0075235A"/>
    <w:rsid w:val="00752CDB"/>
    <w:rsid w:val="0075557D"/>
    <w:rsid w:val="00756841"/>
    <w:rsid w:val="007649AB"/>
    <w:rsid w:val="0076653D"/>
    <w:rsid w:val="00771AEF"/>
    <w:rsid w:val="00771D0C"/>
    <w:rsid w:val="00782ED2"/>
    <w:rsid w:val="007833AC"/>
    <w:rsid w:val="007853FB"/>
    <w:rsid w:val="00795086"/>
    <w:rsid w:val="007A037B"/>
    <w:rsid w:val="007A1830"/>
    <w:rsid w:val="007A2615"/>
    <w:rsid w:val="007B268C"/>
    <w:rsid w:val="007B7171"/>
    <w:rsid w:val="007C0C0F"/>
    <w:rsid w:val="007C3DC2"/>
    <w:rsid w:val="007C4353"/>
    <w:rsid w:val="007D3058"/>
    <w:rsid w:val="007D4B12"/>
    <w:rsid w:val="007E43AC"/>
    <w:rsid w:val="007E5497"/>
    <w:rsid w:val="00803584"/>
    <w:rsid w:val="00806F5F"/>
    <w:rsid w:val="008103F6"/>
    <w:rsid w:val="00820278"/>
    <w:rsid w:val="00820488"/>
    <w:rsid w:val="0082071A"/>
    <w:rsid w:val="008258C9"/>
    <w:rsid w:val="00830893"/>
    <w:rsid w:val="00833286"/>
    <w:rsid w:val="00836232"/>
    <w:rsid w:val="00841E29"/>
    <w:rsid w:val="008440A2"/>
    <w:rsid w:val="00844AE9"/>
    <w:rsid w:val="00845EF6"/>
    <w:rsid w:val="0085545E"/>
    <w:rsid w:val="00857CF9"/>
    <w:rsid w:val="00867E8A"/>
    <w:rsid w:val="00867F95"/>
    <w:rsid w:val="00871AAC"/>
    <w:rsid w:val="00875356"/>
    <w:rsid w:val="008753FD"/>
    <w:rsid w:val="00876B28"/>
    <w:rsid w:val="008843B6"/>
    <w:rsid w:val="00886410"/>
    <w:rsid w:val="00891928"/>
    <w:rsid w:val="00891A0E"/>
    <w:rsid w:val="008A2B6F"/>
    <w:rsid w:val="008A3BF4"/>
    <w:rsid w:val="008A446D"/>
    <w:rsid w:val="008B0D0F"/>
    <w:rsid w:val="008B25F1"/>
    <w:rsid w:val="008C11FD"/>
    <w:rsid w:val="008C4DD5"/>
    <w:rsid w:val="008C517A"/>
    <w:rsid w:val="008C6AE5"/>
    <w:rsid w:val="008C7B44"/>
    <w:rsid w:val="008D1660"/>
    <w:rsid w:val="008D180B"/>
    <w:rsid w:val="008D1C25"/>
    <w:rsid w:val="008D539F"/>
    <w:rsid w:val="008F0EA7"/>
    <w:rsid w:val="008F17DC"/>
    <w:rsid w:val="008F4334"/>
    <w:rsid w:val="008F553F"/>
    <w:rsid w:val="008F5838"/>
    <w:rsid w:val="008F6705"/>
    <w:rsid w:val="00901213"/>
    <w:rsid w:val="009026A9"/>
    <w:rsid w:val="009037F6"/>
    <w:rsid w:val="00904F32"/>
    <w:rsid w:val="0091143C"/>
    <w:rsid w:val="00917048"/>
    <w:rsid w:val="00920817"/>
    <w:rsid w:val="00922205"/>
    <w:rsid w:val="00923EEF"/>
    <w:rsid w:val="00926956"/>
    <w:rsid w:val="00933E3F"/>
    <w:rsid w:val="009378E3"/>
    <w:rsid w:val="009419F9"/>
    <w:rsid w:val="009450F4"/>
    <w:rsid w:val="0094710A"/>
    <w:rsid w:val="0094744A"/>
    <w:rsid w:val="009500D5"/>
    <w:rsid w:val="0095685E"/>
    <w:rsid w:val="00961B09"/>
    <w:rsid w:val="00963E12"/>
    <w:rsid w:val="00964321"/>
    <w:rsid w:val="00965334"/>
    <w:rsid w:val="0097093E"/>
    <w:rsid w:val="00971CAE"/>
    <w:rsid w:val="009722DE"/>
    <w:rsid w:val="00982C25"/>
    <w:rsid w:val="00984DB3"/>
    <w:rsid w:val="00992E19"/>
    <w:rsid w:val="00997AFF"/>
    <w:rsid w:val="009A0486"/>
    <w:rsid w:val="009A0DFA"/>
    <w:rsid w:val="009A3A4C"/>
    <w:rsid w:val="009B200B"/>
    <w:rsid w:val="009B28B9"/>
    <w:rsid w:val="009B2D26"/>
    <w:rsid w:val="009B4B7C"/>
    <w:rsid w:val="009C71FA"/>
    <w:rsid w:val="009C72E7"/>
    <w:rsid w:val="009C7F7E"/>
    <w:rsid w:val="009D10AE"/>
    <w:rsid w:val="009D23F2"/>
    <w:rsid w:val="009D3058"/>
    <w:rsid w:val="009E1F28"/>
    <w:rsid w:val="009E6924"/>
    <w:rsid w:val="009E7AED"/>
    <w:rsid w:val="009F3A13"/>
    <w:rsid w:val="009F4B67"/>
    <w:rsid w:val="009F7A6E"/>
    <w:rsid w:val="00A0334B"/>
    <w:rsid w:val="00A0526C"/>
    <w:rsid w:val="00A05BC5"/>
    <w:rsid w:val="00A06E95"/>
    <w:rsid w:val="00A076A6"/>
    <w:rsid w:val="00A122D3"/>
    <w:rsid w:val="00A14468"/>
    <w:rsid w:val="00A17F13"/>
    <w:rsid w:val="00A20739"/>
    <w:rsid w:val="00A23AF9"/>
    <w:rsid w:val="00A31A76"/>
    <w:rsid w:val="00A32D67"/>
    <w:rsid w:val="00A33C78"/>
    <w:rsid w:val="00A53338"/>
    <w:rsid w:val="00A53EB1"/>
    <w:rsid w:val="00A54DC9"/>
    <w:rsid w:val="00A61436"/>
    <w:rsid w:val="00A73F45"/>
    <w:rsid w:val="00A8776C"/>
    <w:rsid w:val="00AA1511"/>
    <w:rsid w:val="00AA1E47"/>
    <w:rsid w:val="00AB0ADB"/>
    <w:rsid w:val="00AB436E"/>
    <w:rsid w:val="00AD173A"/>
    <w:rsid w:val="00AD6FC3"/>
    <w:rsid w:val="00AD7D5F"/>
    <w:rsid w:val="00AE0641"/>
    <w:rsid w:val="00AE1F6E"/>
    <w:rsid w:val="00AE3513"/>
    <w:rsid w:val="00AE5023"/>
    <w:rsid w:val="00AE5DD2"/>
    <w:rsid w:val="00AF5A10"/>
    <w:rsid w:val="00B00C0E"/>
    <w:rsid w:val="00B01B1A"/>
    <w:rsid w:val="00B04DA1"/>
    <w:rsid w:val="00B107DB"/>
    <w:rsid w:val="00B11075"/>
    <w:rsid w:val="00B206B6"/>
    <w:rsid w:val="00B234CF"/>
    <w:rsid w:val="00B35656"/>
    <w:rsid w:val="00B35DDD"/>
    <w:rsid w:val="00B37EB5"/>
    <w:rsid w:val="00B44A47"/>
    <w:rsid w:val="00B54271"/>
    <w:rsid w:val="00B5550F"/>
    <w:rsid w:val="00B6149C"/>
    <w:rsid w:val="00B63FC5"/>
    <w:rsid w:val="00B64484"/>
    <w:rsid w:val="00B71FD5"/>
    <w:rsid w:val="00B72CD3"/>
    <w:rsid w:val="00B72FFF"/>
    <w:rsid w:val="00B74092"/>
    <w:rsid w:val="00B74CF7"/>
    <w:rsid w:val="00B759AB"/>
    <w:rsid w:val="00B95DAC"/>
    <w:rsid w:val="00BA2EB9"/>
    <w:rsid w:val="00BA4084"/>
    <w:rsid w:val="00BA703D"/>
    <w:rsid w:val="00BC330F"/>
    <w:rsid w:val="00BC3D36"/>
    <w:rsid w:val="00BC5D42"/>
    <w:rsid w:val="00BC70CB"/>
    <w:rsid w:val="00BD13AC"/>
    <w:rsid w:val="00BD54A6"/>
    <w:rsid w:val="00BD7F72"/>
    <w:rsid w:val="00BF056C"/>
    <w:rsid w:val="00BF112D"/>
    <w:rsid w:val="00BF3B66"/>
    <w:rsid w:val="00BF5C08"/>
    <w:rsid w:val="00BF7425"/>
    <w:rsid w:val="00C04FB3"/>
    <w:rsid w:val="00C11D8B"/>
    <w:rsid w:val="00C1215D"/>
    <w:rsid w:val="00C1350D"/>
    <w:rsid w:val="00C2359C"/>
    <w:rsid w:val="00C251B0"/>
    <w:rsid w:val="00C330EB"/>
    <w:rsid w:val="00C33F4F"/>
    <w:rsid w:val="00C4112A"/>
    <w:rsid w:val="00C419DF"/>
    <w:rsid w:val="00C45A56"/>
    <w:rsid w:val="00C50D69"/>
    <w:rsid w:val="00C5365C"/>
    <w:rsid w:val="00C619D4"/>
    <w:rsid w:val="00C61D93"/>
    <w:rsid w:val="00C738EE"/>
    <w:rsid w:val="00C7520B"/>
    <w:rsid w:val="00C754BE"/>
    <w:rsid w:val="00C76B1C"/>
    <w:rsid w:val="00C82667"/>
    <w:rsid w:val="00C866CE"/>
    <w:rsid w:val="00C90C96"/>
    <w:rsid w:val="00C925AC"/>
    <w:rsid w:val="00C94828"/>
    <w:rsid w:val="00C963BE"/>
    <w:rsid w:val="00C96B64"/>
    <w:rsid w:val="00CA2858"/>
    <w:rsid w:val="00CB02F1"/>
    <w:rsid w:val="00CB4CE6"/>
    <w:rsid w:val="00CB6357"/>
    <w:rsid w:val="00CB6FF3"/>
    <w:rsid w:val="00CC1B26"/>
    <w:rsid w:val="00CC2F6F"/>
    <w:rsid w:val="00CD47CD"/>
    <w:rsid w:val="00CD4C85"/>
    <w:rsid w:val="00CD4D52"/>
    <w:rsid w:val="00CD7FA1"/>
    <w:rsid w:val="00CE3C1C"/>
    <w:rsid w:val="00CE4026"/>
    <w:rsid w:val="00D05ED6"/>
    <w:rsid w:val="00D06146"/>
    <w:rsid w:val="00D0699E"/>
    <w:rsid w:val="00D1210B"/>
    <w:rsid w:val="00D222C0"/>
    <w:rsid w:val="00D22D2B"/>
    <w:rsid w:val="00D334DD"/>
    <w:rsid w:val="00D34EA3"/>
    <w:rsid w:val="00D361FD"/>
    <w:rsid w:val="00D423A2"/>
    <w:rsid w:val="00D44E26"/>
    <w:rsid w:val="00D51A5D"/>
    <w:rsid w:val="00D520D8"/>
    <w:rsid w:val="00D532D4"/>
    <w:rsid w:val="00D552A0"/>
    <w:rsid w:val="00D56F8A"/>
    <w:rsid w:val="00D62B9C"/>
    <w:rsid w:val="00D63AC2"/>
    <w:rsid w:val="00D64111"/>
    <w:rsid w:val="00D64AFC"/>
    <w:rsid w:val="00D72D0B"/>
    <w:rsid w:val="00D7383B"/>
    <w:rsid w:val="00D73DBD"/>
    <w:rsid w:val="00D7541C"/>
    <w:rsid w:val="00D76E7C"/>
    <w:rsid w:val="00D7788A"/>
    <w:rsid w:val="00D82A30"/>
    <w:rsid w:val="00D85F06"/>
    <w:rsid w:val="00D936A2"/>
    <w:rsid w:val="00DA1F04"/>
    <w:rsid w:val="00DA231B"/>
    <w:rsid w:val="00DB13F4"/>
    <w:rsid w:val="00DB55DA"/>
    <w:rsid w:val="00DB6DDE"/>
    <w:rsid w:val="00DC1EFB"/>
    <w:rsid w:val="00DC39FC"/>
    <w:rsid w:val="00DC7CCB"/>
    <w:rsid w:val="00DE0870"/>
    <w:rsid w:val="00DE18D0"/>
    <w:rsid w:val="00DE6EC3"/>
    <w:rsid w:val="00DE7692"/>
    <w:rsid w:val="00DF5254"/>
    <w:rsid w:val="00E02524"/>
    <w:rsid w:val="00E05E98"/>
    <w:rsid w:val="00E1159D"/>
    <w:rsid w:val="00E1449C"/>
    <w:rsid w:val="00E1451E"/>
    <w:rsid w:val="00E16408"/>
    <w:rsid w:val="00E20894"/>
    <w:rsid w:val="00E22DC2"/>
    <w:rsid w:val="00E23233"/>
    <w:rsid w:val="00E245AB"/>
    <w:rsid w:val="00E27341"/>
    <w:rsid w:val="00E2764C"/>
    <w:rsid w:val="00E27EDD"/>
    <w:rsid w:val="00E27F2E"/>
    <w:rsid w:val="00E306D6"/>
    <w:rsid w:val="00E31225"/>
    <w:rsid w:val="00E501E7"/>
    <w:rsid w:val="00E50AFE"/>
    <w:rsid w:val="00E523D5"/>
    <w:rsid w:val="00E57176"/>
    <w:rsid w:val="00E577E2"/>
    <w:rsid w:val="00E615C4"/>
    <w:rsid w:val="00E71E1B"/>
    <w:rsid w:val="00E75C92"/>
    <w:rsid w:val="00E771DC"/>
    <w:rsid w:val="00E8772A"/>
    <w:rsid w:val="00E90C80"/>
    <w:rsid w:val="00E90F6B"/>
    <w:rsid w:val="00E91AED"/>
    <w:rsid w:val="00E92C27"/>
    <w:rsid w:val="00E96B5C"/>
    <w:rsid w:val="00EA0E3D"/>
    <w:rsid w:val="00EA0EC9"/>
    <w:rsid w:val="00EA0FBD"/>
    <w:rsid w:val="00EA2DC0"/>
    <w:rsid w:val="00EA426C"/>
    <w:rsid w:val="00EA677F"/>
    <w:rsid w:val="00EB224C"/>
    <w:rsid w:val="00EB7BC0"/>
    <w:rsid w:val="00EC006D"/>
    <w:rsid w:val="00EC0844"/>
    <w:rsid w:val="00EC297F"/>
    <w:rsid w:val="00EC38A7"/>
    <w:rsid w:val="00ED44D6"/>
    <w:rsid w:val="00ED4980"/>
    <w:rsid w:val="00ED5120"/>
    <w:rsid w:val="00EE0E1C"/>
    <w:rsid w:val="00EE1AA8"/>
    <w:rsid w:val="00EE265D"/>
    <w:rsid w:val="00EE3D99"/>
    <w:rsid w:val="00EF1D4F"/>
    <w:rsid w:val="00EF4E4B"/>
    <w:rsid w:val="00EF4E7D"/>
    <w:rsid w:val="00EF5E13"/>
    <w:rsid w:val="00EF647F"/>
    <w:rsid w:val="00F03314"/>
    <w:rsid w:val="00F0580C"/>
    <w:rsid w:val="00F23FEA"/>
    <w:rsid w:val="00F27B7B"/>
    <w:rsid w:val="00F3172F"/>
    <w:rsid w:val="00F31EDC"/>
    <w:rsid w:val="00F34294"/>
    <w:rsid w:val="00F3642F"/>
    <w:rsid w:val="00F462B3"/>
    <w:rsid w:val="00F5664F"/>
    <w:rsid w:val="00F602E0"/>
    <w:rsid w:val="00F666C4"/>
    <w:rsid w:val="00F76AFC"/>
    <w:rsid w:val="00F81BF0"/>
    <w:rsid w:val="00F825DA"/>
    <w:rsid w:val="00F82E88"/>
    <w:rsid w:val="00F85CEC"/>
    <w:rsid w:val="00F86E11"/>
    <w:rsid w:val="00F86E3E"/>
    <w:rsid w:val="00F957A9"/>
    <w:rsid w:val="00F95C74"/>
    <w:rsid w:val="00FA1B40"/>
    <w:rsid w:val="00FA47C0"/>
    <w:rsid w:val="00FA5FFD"/>
    <w:rsid w:val="00FB33A2"/>
    <w:rsid w:val="00FB5DD1"/>
    <w:rsid w:val="00FC2B5D"/>
    <w:rsid w:val="00FD1DDC"/>
    <w:rsid w:val="00FD2D1F"/>
    <w:rsid w:val="00FD3AD2"/>
    <w:rsid w:val="00FD4AD8"/>
    <w:rsid w:val="00FD59D3"/>
    <w:rsid w:val="00FF1449"/>
    <w:rsid w:val="00FF227D"/>
    <w:rsid w:val="00FF6036"/>
    <w:rsid w:val="00FF7963"/>
    <w:rsid w:val="09908A09"/>
    <w:rsid w:val="19A2EC2C"/>
    <w:rsid w:val="2859CA1B"/>
    <w:rsid w:val="69614A15"/>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58568B41-9065-4DE9-BFEA-A2F366019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08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customStyle="1" w:styleId="Mencinsinresolver1">
    <w:name w:val="Mención sin resolver1"/>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7A18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7A1830"/>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73F45"/>
    <w:rPr>
      <w:rFonts w:ascii="Geomanist Light" w:hAnsi="Geomanist Light"/>
      <w:lang w:val="es-ES"/>
    </w:rPr>
  </w:style>
  <w:style w:type="paragraph" w:styleId="Textodeglobo">
    <w:name w:val="Balloon Text"/>
    <w:basedOn w:val="Normal"/>
    <w:link w:val="TextodegloboCar"/>
    <w:uiPriority w:val="99"/>
    <w:semiHidden/>
    <w:unhideWhenUsed/>
    <w:rsid w:val="00076D5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6D52"/>
    <w:rPr>
      <w:rFonts w:ascii="Segoe UI" w:hAnsi="Segoe UI" w:cs="Segoe UI"/>
      <w:sz w:val="18"/>
      <w:szCs w:val="18"/>
    </w:rPr>
  </w:style>
  <w:style w:type="table" w:customStyle="1" w:styleId="Tablaconcuadrcula11">
    <w:name w:val="Tabla con cuadrícula11"/>
    <w:basedOn w:val="Tablanormal"/>
    <w:next w:val="Tablaconcuadrcula"/>
    <w:uiPriority w:val="59"/>
    <w:qFormat/>
    <w:rsid w:val="00903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qFormat/>
    <w:rsid w:val="009037F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DB13F4"/>
    <w:rPr>
      <w:color w:val="605E5C"/>
      <w:shd w:val="clear" w:color="auto" w:fill="E1DFDD"/>
    </w:rPr>
  </w:style>
  <w:style w:type="paragraph" w:styleId="Textoindependiente">
    <w:name w:val="Body Text"/>
    <w:basedOn w:val="Normal"/>
    <w:link w:val="TextoindependienteCar"/>
    <w:uiPriority w:val="1"/>
    <w:unhideWhenUsed/>
    <w:qFormat/>
    <w:rsid w:val="00B234CF"/>
    <w:pPr>
      <w:spacing w:after="120"/>
    </w:pPr>
  </w:style>
  <w:style w:type="character" w:customStyle="1" w:styleId="TextoindependienteCar">
    <w:name w:val="Texto independiente Car"/>
    <w:basedOn w:val="Fuentedeprrafopredeter"/>
    <w:link w:val="Textoindependiente"/>
    <w:uiPriority w:val="1"/>
    <w:rsid w:val="00B234CF"/>
  </w:style>
  <w:style w:type="character" w:styleId="Mencinsinresolver">
    <w:name w:val="Unresolved Mention"/>
    <w:basedOn w:val="Fuentedeprrafopredeter"/>
    <w:uiPriority w:val="99"/>
    <w:semiHidden/>
    <w:unhideWhenUsed/>
    <w:rsid w:val="00BF112D"/>
    <w:rPr>
      <w:color w:val="605E5C"/>
      <w:shd w:val="clear" w:color="auto" w:fill="E1DFDD"/>
    </w:rPr>
  </w:style>
  <w:style w:type="character" w:customStyle="1" w:styleId="s15">
    <w:name w:val="s15"/>
    <w:basedOn w:val="Fuentedeprrafopredeter"/>
    <w:rsid w:val="00922205"/>
  </w:style>
  <w:style w:type="character" w:customStyle="1" w:styleId="NormalWebCar">
    <w:name w:val="Normal (Web) Car"/>
    <w:link w:val="NormalWeb"/>
    <w:uiPriority w:val="99"/>
    <w:rsid w:val="003D3FF4"/>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740">
      <w:bodyDiv w:val="1"/>
      <w:marLeft w:val="0"/>
      <w:marRight w:val="0"/>
      <w:marTop w:val="0"/>
      <w:marBottom w:val="0"/>
      <w:divBdr>
        <w:top w:val="none" w:sz="0" w:space="0" w:color="auto"/>
        <w:left w:val="none" w:sz="0" w:space="0" w:color="auto"/>
        <w:bottom w:val="none" w:sz="0" w:space="0" w:color="auto"/>
        <w:right w:val="none" w:sz="0" w:space="0" w:color="auto"/>
      </w:divBdr>
      <w:divsChild>
        <w:div w:id="258880311">
          <w:marLeft w:val="0"/>
          <w:marRight w:val="0"/>
          <w:marTop w:val="0"/>
          <w:marBottom w:val="0"/>
          <w:divBdr>
            <w:top w:val="none" w:sz="0" w:space="0" w:color="auto"/>
            <w:left w:val="none" w:sz="0" w:space="0" w:color="auto"/>
            <w:bottom w:val="none" w:sz="0" w:space="0" w:color="auto"/>
            <w:right w:val="none" w:sz="0" w:space="0" w:color="auto"/>
          </w:divBdr>
          <w:divsChild>
            <w:div w:id="1294941058">
              <w:marLeft w:val="0"/>
              <w:marRight w:val="0"/>
              <w:marTop w:val="0"/>
              <w:marBottom w:val="0"/>
              <w:divBdr>
                <w:top w:val="none" w:sz="0" w:space="0" w:color="auto"/>
                <w:left w:val="none" w:sz="0" w:space="0" w:color="auto"/>
                <w:bottom w:val="none" w:sz="0" w:space="0" w:color="auto"/>
                <w:right w:val="none" w:sz="0" w:space="0" w:color="auto"/>
              </w:divBdr>
              <w:divsChild>
                <w:div w:id="337932334">
                  <w:marLeft w:val="0"/>
                  <w:marRight w:val="0"/>
                  <w:marTop w:val="0"/>
                  <w:marBottom w:val="0"/>
                  <w:divBdr>
                    <w:top w:val="none" w:sz="0" w:space="0" w:color="auto"/>
                    <w:left w:val="none" w:sz="0" w:space="0" w:color="auto"/>
                    <w:bottom w:val="none" w:sz="0" w:space="0" w:color="auto"/>
                    <w:right w:val="none" w:sz="0" w:space="0" w:color="auto"/>
                  </w:divBdr>
                  <w:divsChild>
                    <w:div w:id="90846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659191">
          <w:marLeft w:val="0"/>
          <w:marRight w:val="0"/>
          <w:marTop w:val="0"/>
          <w:marBottom w:val="0"/>
          <w:divBdr>
            <w:top w:val="none" w:sz="0" w:space="0" w:color="auto"/>
            <w:left w:val="none" w:sz="0" w:space="0" w:color="auto"/>
            <w:bottom w:val="none" w:sz="0" w:space="0" w:color="auto"/>
            <w:right w:val="none" w:sz="0" w:space="0" w:color="auto"/>
          </w:divBdr>
        </w:div>
      </w:divsChild>
    </w:div>
    <w:div w:id="10496905">
      <w:bodyDiv w:val="1"/>
      <w:marLeft w:val="0"/>
      <w:marRight w:val="0"/>
      <w:marTop w:val="0"/>
      <w:marBottom w:val="0"/>
      <w:divBdr>
        <w:top w:val="none" w:sz="0" w:space="0" w:color="auto"/>
        <w:left w:val="none" w:sz="0" w:space="0" w:color="auto"/>
        <w:bottom w:val="none" w:sz="0" w:space="0" w:color="auto"/>
        <w:right w:val="none" w:sz="0" w:space="0" w:color="auto"/>
      </w:divBdr>
    </w:div>
    <w:div w:id="298808619">
      <w:bodyDiv w:val="1"/>
      <w:marLeft w:val="0"/>
      <w:marRight w:val="0"/>
      <w:marTop w:val="0"/>
      <w:marBottom w:val="0"/>
      <w:divBdr>
        <w:top w:val="none" w:sz="0" w:space="0" w:color="auto"/>
        <w:left w:val="none" w:sz="0" w:space="0" w:color="auto"/>
        <w:bottom w:val="none" w:sz="0" w:space="0" w:color="auto"/>
        <w:right w:val="none" w:sz="0" w:space="0" w:color="auto"/>
      </w:divBdr>
    </w:div>
    <w:div w:id="474102498">
      <w:bodyDiv w:val="1"/>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624190896">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842011055">
      <w:bodyDiv w:val="1"/>
      <w:marLeft w:val="0"/>
      <w:marRight w:val="0"/>
      <w:marTop w:val="0"/>
      <w:marBottom w:val="0"/>
      <w:divBdr>
        <w:top w:val="none" w:sz="0" w:space="0" w:color="auto"/>
        <w:left w:val="none" w:sz="0" w:space="0" w:color="auto"/>
        <w:bottom w:val="none" w:sz="0" w:space="0" w:color="auto"/>
        <w:right w:val="none" w:sz="0" w:space="0" w:color="auto"/>
      </w:divBdr>
    </w:div>
    <w:div w:id="914365341">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1808545951">
      <w:bodyDiv w:val="1"/>
      <w:marLeft w:val="0"/>
      <w:marRight w:val="0"/>
      <w:marTop w:val="0"/>
      <w:marBottom w:val="0"/>
      <w:divBdr>
        <w:top w:val="none" w:sz="0" w:space="0" w:color="auto"/>
        <w:left w:val="none" w:sz="0" w:space="0" w:color="auto"/>
        <w:bottom w:val="none" w:sz="0" w:space="0" w:color="auto"/>
        <w:right w:val="none" w:sz="0" w:space="0" w:color="auto"/>
      </w:divBdr>
    </w:div>
    <w:div w:id="1898738708">
      <w:bodyDiv w:val="1"/>
      <w:marLeft w:val="0"/>
      <w:marRight w:val="0"/>
      <w:marTop w:val="0"/>
      <w:marBottom w:val="0"/>
      <w:divBdr>
        <w:top w:val="none" w:sz="0" w:space="0" w:color="auto"/>
        <w:left w:val="none" w:sz="0" w:space="0" w:color="auto"/>
        <w:bottom w:val="none" w:sz="0" w:space="0" w:color="auto"/>
        <w:right w:val="none" w:sz="0" w:space="0" w:color="auto"/>
      </w:divBdr>
    </w:div>
    <w:div w:id="2127960310">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acionvirtual.colombiacompra.gov.co/mod/page/view.php?id=3718" TargetMode="External"/><Relationship Id="rId18"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https://www.colombiacompra.gov.co/pqrsd/informacion-importante-antes-de-formular-una-pqrsd" TargetMode="External"/><Relationship Id="rId2" Type="http://schemas.openxmlformats.org/officeDocument/2006/relationships/customXml" Target="../customXml/item2.xml"/><Relationship Id="rId16" Type="http://schemas.openxmlformats.org/officeDocument/2006/relationships/hyperlink" Target="mailto:ventanilladeradicacion@colombiacompra.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lombiacompra.gov.co/normativa-y-relatoria/documentos-tip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_Flow_SignoffStatus xmlns="9d85dbaf-23eb-4e57-a637-93dcacc8b1a1" xsi:nil="true"/>
  </documentManagement>
</p:properties>
</file>

<file path=customXml/itemProps1.xml><?xml version="1.0" encoding="utf-8"?>
<ds:datastoreItem xmlns:ds="http://schemas.openxmlformats.org/officeDocument/2006/customXml" ds:itemID="{90C319D1-6F87-4601-A8E9-DF150CBA86FB}">
  <ds:schemaRefs>
    <ds:schemaRef ds:uri="http://schemas.openxmlformats.org/officeDocument/2006/bibliography"/>
  </ds:schemaRefs>
</ds:datastoreItem>
</file>

<file path=customXml/itemProps2.xml><?xml version="1.0" encoding="utf-8"?>
<ds:datastoreItem xmlns:ds="http://schemas.openxmlformats.org/officeDocument/2006/customXml" ds:itemID="{717AEECD-F7FA-4C5D-9002-6CF481A0E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4.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6677</Words>
  <Characters>36728</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5</cp:revision>
  <cp:lastPrinted>2023-01-10T21:18:00Z</cp:lastPrinted>
  <dcterms:created xsi:type="dcterms:W3CDTF">2026-07-31T02:58:00Z</dcterms:created>
  <dcterms:modified xsi:type="dcterms:W3CDTF">2026-08-26T13:49:00Z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