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74A9" w14:textId="1E3F0DBA" w:rsidR="00344775" w:rsidRPr="00045068" w:rsidRDefault="00344775" w:rsidP="00B21020">
      <w:pPr>
        <w:spacing w:line="240" w:lineRule="auto"/>
        <w:jc w:val="both"/>
        <w:rPr>
          <w:rFonts w:ascii="Verdana" w:eastAsia="Calibri" w:hAnsi="Verdana" w:cs="Arial"/>
          <w:b/>
          <w:bCs/>
          <w:lang w:eastAsia="es-ES"/>
        </w:rPr>
      </w:pPr>
      <w:bookmarkStart w:id="0" w:name="_Hlk143780582"/>
      <w:r w:rsidRPr="00045068">
        <w:rPr>
          <w:rFonts w:ascii="Verdana" w:eastAsia="Calibri" w:hAnsi="Verdana" w:cs="Arial"/>
          <w:b/>
          <w:bCs/>
          <w:lang w:eastAsia="es-ES"/>
        </w:rPr>
        <w:t>ADMINISTRACIÓN DELEGADA DE RECURSOS – Noción – Definición – Naturaleza jurídica – Mandato con o sin representación – Administración y pago – Por cuenta y riesgo del contratante</w:t>
      </w:r>
    </w:p>
    <w:p w14:paraId="4924F240" w14:textId="77777777" w:rsidR="00226B20" w:rsidRPr="00226B20" w:rsidRDefault="00226B20" w:rsidP="00B21020">
      <w:pPr>
        <w:spacing w:after="120" w:line="240" w:lineRule="auto"/>
        <w:jc w:val="both"/>
        <w:rPr>
          <w:rFonts w:ascii="Verdana" w:hAnsi="Verdana" w:cs="Arial"/>
          <w:bCs/>
          <w:sz w:val="20"/>
          <w:szCs w:val="20"/>
          <w:lang w:eastAsia="es-ES" w:bidi="es-ES"/>
        </w:rPr>
      </w:pPr>
      <w:r w:rsidRPr="00226B20">
        <w:rPr>
          <w:rFonts w:ascii="Verdana" w:hAnsi="Verdana" w:cs="Arial"/>
          <w:bCs/>
          <w:sz w:val="20"/>
          <w:szCs w:val="20"/>
          <w:lang w:eastAsia="es-ES" w:bidi="es-ES"/>
        </w:rPr>
        <w:t>[</w:t>
      </w:r>
      <w:r w:rsidRPr="00226B20">
        <w:rPr>
          <w:rFonts w:ascii="Verdana" w:hAnsi="Verdana" w:cs="Arial"/>
          <w:bCs/>
          <w:sz w:val="20"/>
          <w:szCs w:val="20"/>
          <w:lang w:eastAsia="es-ES" w:bidi="es-ES"/>
        </w:rPr>
        <w:t>…</w:t>
      </w:r>
      <w:r w:rsidRPr="00226B20">
        <w:rPr>
          <w:rFonts w:ascii="Verdana" w:hAnsi="Verdana" w:cs="Arial"/>
          <w:bCs/>
          <w:sz w:val="20"/>
          <w:szCs w:val="20"/>
          <w:lang w:eastAsia="es-ES" w:bidi="es-ES"/>
        </w:rPr>
        <w:t>]</w:t>
      </w:r>
    </w:p>
    <w:p w14:paraId="18F796EA" w14:textId="77777777" w:rsidR="009E5612" w:rsidRPr="00226B20" w:rsidRDefault="00A4653C" w:rsidP="00B21020">
      <w:pPr>
        <w:spacing w:after="120" w:line="240" w:lineRule="auto"/>
        <w:jc w:val="both"/>
        <w:rPr>
          <w:rFonts w:ascii="Verdana" w:hAnsi="Verdana" w:cs="Arial"/>
          <w:bCs/>
          <w:sz w:val="20"/>
          <w:szCs w:val="20"/>
          <w:lang w:eastAsia="es-ES" w:bidi="es-ES"/>
        </w:rPr>
      </w:pPr>
      <w:r w:rsidRPr="00226B20">
        <w:rPr>
          <w:rFonts w:ascii="Verdana" w:hAnsi="Verdana" w:cs="Arial"/>
          <w:bCs/>
          <w:sz w:val="20"/>
          <w:szCs w:val="20"/>
          <w:lang w:val="es-ES_tradnl" w:eastAsia="es-ES" w:bidi="es-ES"/>
        </w:rPr>
        <w:t>Tal como lo ha conceptuado anteriormente esta Agencia</w:t>
      </w:r>
      <w:r w:rsidRPr="00226B20">
        <w:rPr>
          <w:rFonts w:ascii="Verdana" w:eastAsia="Calibri" w:hAnsi="Verdana" w:cs="Arial"/>
          <w:color w:val="000000" w:themeColor="text1"/>
          <w:sz w:val="20"/>
          <w:szCs w:val="20"/>
          <w:lang w:val="es-ES_tradnl"/>
        </w:rPr>
        <w:t>, l</w:t>
      </w:r>
      <w:r w:rsidRPr="00226B20">
        <w:rPr>
          <w:rFonts w:ascii="Verdana" w:eastAsia="Calibri" w:hAnsi="Verdana" w:cs="Arial"/>
          <w:color w:val="000000" w:themeColor="text1"/>
          <w:sz w:val="20"/>
          <w:szCs w:val="20"/>
          <w:lang w:val="es-ES"/>
        </w:rPr>
        <w:t xml:space="preserve">a “administración delegada” se ha entendido, por lo menos, de dos maneras: i) como un mandato, es decir, como un negocio jurídico mediante el cual el contratista actúa en nombre y representación de la entidad contratante, y en contraprestación, la parte contratante delegante paga el costo real del objeto del contrato, adicionando un porcentaje por concepto de administración y utilidad del contratista; o </w:t>
      </w:r>
      <w:proofErr w:type="spellStart"/>
      <w:r w:rsidRPr="00226B20">
        <w:rPr>
          <w:rFonts w:ascii="Verdana" w:eastAsia="Calibri" w:hAnsi="Verdana" w:cs="Arial"/>
          <w:color w:val="000000" w:themeColor="text1"/>
          <w:sz w:val="20"/>
          <w:szCs w:val="20"/>
          <w:lang w:val="es-ES"/>
        </w:rPr>
        <w:t>ii</w:t>
      </w:r>
      <w:proofErr w:type="spellEnd"/>
      <w:r w:rsidRPr="00226B20">
        <w:rPr>
          <w:rFonts w:ascii="Verdana" w:eastAsia="Calibri" w:hAnsi="Verdana" w:cs="Arial"/>
          <w:color w:val="000000" w:themeColor="text1"/>
          <w:sz w:val="20"/>
          <w:szCs w:val="20"/>
          <w:lang w:val="es-ES"/>
        </w:rPr>
        <w:t xml:space="preserve">) como una modalidad de administración y pago, no necesariamente asociada al mandato. </w:t>
      </w:r>
      <w:r w:rsidR="009E5612" w:rsidRPr="00226B20">
        <w:rPr>
          <w:rFonts w:ascii="Verdana" w:hAnsi="Verdana" w:cs="Arial"/>
          <w:bCs/>
          <w:sz w:val="20"/>
          <w:szCs w:val="20"/>
          <w:lang w:eastAsia="es-ES" w:bidi="es-ES"/>
        </w:rPr>
        <w:t>[…]</w:t>
      </w:r>
    </w:p>
    <w:p w14:paraId="08F00D48" w14:textId="77777777" w:rsidR="009E5612" w:rsidRDefault="009E5612" w:rsidP="00B21020">
      <w:pPr>
        <w:spacing w:line="240" w:lineRule="auto"/>
        <w:jc w:val="both"/>
        <w:rPr>
          <w:rFonts w:ascii="Verdana" w:eastAsia="Calibri" w:hAnsi="Verdana" w:cs="Arial"/>
          <w:b/>
          <w:bCs/>
          <w:lang w:eastAsia="es-ES"/>
        </w:rPr>
      </w:pPr>
    </w:p>
    <w:p w14:paraId="555F2A6A" w14:textId="5BAFF8FE" w:rsidR="00344775" w:rsidRPr="00045068" w:rsidRDefault="00344775" w:rsidP="00B21020">
      <w:pPr>
        <w:spacing w:line="240" w:lineRule="auto"/>
        <w:jc w:val="both"/>
        <w:rPr>
          <w:rFonts w:ascii="Verdana" w:eastAsia="Calibri" w:hAnsi="Verdana" w:cs="Arial"/>
          <w:b/>
          <w:bCs/>
          <w:lang w:eastAsia="es-ES"/>
        </w:rPr>
      </w:pPr>
      <w:r w:rsidRPr="00045068">
        <w:rPr>
          <w:rFonts w:ascii="Verdana" w:eastAsia="Calibri" w:hAnsi="Verdana" w:cs="Arial"/>
          <w:b/>
          <w:bCs/>
          <w:lang w:eastAsia="es-ES"/>
        </w:rPr>
        <w:t>VALOR DEL CONTRATO – Administración delegada – Recursos entregados en administración – Honorarios o comisión – Integración de ambos componentes</w:t>
      </w:r>
    </w:p>
    <w:p w14:paraId="7C3A30EF" w14:textId="77777777" w:rsidR="009E5612" w:rsidRPr="00226B20" w:rsidRDefault="009E5612" w:rsidP="00B21020">
      <w:pPr>
        <w:spacing w:after="120" w:line="240" w:lineRule="auto"/>
        <w:jc w:val="both"/>
        <w:rPr>
          <w:rFonts w:ascii="Verdana" w:hAnsi="Verdana" w:cs="Arial"/>
          <w:bCs/>
          <w:sz w:val="20"/>
          <w:szCs w:val="20"/>
          <w:lang w:eastAsia="es-ES" w:bidi="es-ES"/>
        </w:rPr>
      </w:pPr>
      <w:r w:rsidRPr="00226B20">
        <w:rPr>
          <w:rFonts w:ascii="Verdana" w:hAnsi="Verdana" w:cs="Arial"/>
          <w:bCs/>
          <w:sz w:val="20"/>
          <w:szCs w:val="20"/>
          <w:lang w:eastAsia="es-ES" w:bidi="es-ES"/>
        </w:rPr>
        <w:t>[…]</w:t>
      </w:r>
    </w:p>
    <w:p w14:paraId="62E2CD18" w14:textId="77777777" w:rsidR="009E5612" w:rsidRPr="00226B20" w:rsidRDefault="009E5612" w:rsidP="00B21020">
      <w:pPr>
        <w:spacing w:after="120" w:line="240" w:lineRule="auto"/>
        <w:jc w:val="both"/>
        <w:rPr>
          <w:rFonts w:ascii="Verdana" w:hAnsi="Verdana" w:cs="Arial"/>
          <w:bCs/>
          <w:sz w:val="20"/>
          <w:szCs w:val="20"/>
          <w:lang w:eastAsia="es-ES" w:bidi="es-ES"/>
        </w:rPr>
      </w:pPr>
      <w:r w:rsidRPr="009E5612">
        <w:rPr>
          <w:rFonts w:ascii="Verdana" w:hAnsi="Verdana" w:cs="Arial"/>
          <w:bCs/>
          <w:sz w:val="20"/>
          <w:szCs w:val="20"/>
          <w:lang w:eastAsia="es-ES" w:bidi="es-ES"/>
        </w:rPr>
        <w:t>Ese valor, tratándose de administración delegada, no se agota en los honorarios o comisión del administrador, sino que comprende también los recursos públicos entregados para su administración y ejecución. Como lo reitera la jurisprudencia recogida en este concepto, el contratista "recibe como valor del contrato los recursos de inversión o entregados en administración y los honorarios", de manera que ambos componentes conforman la magnitud del negocio y, por consiguiente, la base sobre la cual se establece la modalidad de selección. La mínima cuantía, procedente conforme al artículo 94 de la Ley 1474 de 2011 cuando el valor a contratar no excede del diez por ciento (10%) de la menor cuantía de la entidad, solo resulta viable si ese valor total no supera dicho tope, aun cuando los honorarios, considerados aisladamente, no lo hagan.</w:t>
      </w:r>
      <w:r>
        <w:rPr>
          <w:rFonts w:ascii="Verdana" w:hAnsi="Verdana" w:cs="Arial"/>
          <w:bCs/>
          <w:sz w:val="20"/>
          <w:szCs w:val="20"/>
          <w:lang w:eastAsia="es-ES" w:bidi="es-ES"/>
        </w:rPr>
        <w:t xml:space="preserve"> </w:t>
      </w:r>
      <w:r w:rsidRPr="00226B20">
        <w:rPr>
          <w:rFonts w:ascii="Verdana" w:hAnsi="Verdana" w:cs="Arial"/>
          <w:bCs/>
          <w:sz w:val="20"/>
          <w:szCs w:val="20"/>
          <w:lang w:eastAsia="es-ES" w:bidi="es-ES"/>
        </w:rPr>
        <w:t>[…]</w:t>
      </w:r>
    </w:p>
    <w:p w14:paraId="09A7F353" w14:textId="4F23C5C9" w:rsidR="00344775" w:rsidRPr="00045068" w:rsidRDefault="00344775" w:rsidP="00B21020">
      <w:pPr>
        <w:spacing w:line="240" w:lineRule="auto"/>
        <w:jc w:val="both"/>
        <w:rPr>
          <w:rFonts w:ascii="Verdana" w:eastAsia="Calibri" w:hAnsi="Verdana" w:cs="Arial"/>
          <w:b/>
          <w:bCs/>
          <w:lang w:eastAsia="es-ES"/>
        </w:rPr>
      </w:pPr>
      <w:r w:rsidRPr="00045068">
        <w:rPr>
          <w:rFonts w:ascii="Verdana" w:eastAsia="Calibri" w:hAnsi="Verdana" w:cs="Arial"/>
          <w:b/>
          <w:bCs/>
          <w:lang w:eastAsia="es-ES"/>
        </w:rPr>
        <w:t>MODALIDADES DE SELECCIÓN – Determinación reglada – Valor del contrato como criterio – Mínima cuantía – Artículo 94 de la Ley 1474 de 2011</w:t>
      </w:r>
    </w:p>
    <w:p w14:paraId="7591665B" w14:textId="77777777" w:rsidR="0020773F" w:rsidRPr="00226B20" w:rsidRDefault="0020773F" w:rsidP="00B21020">
      <w:pPr>
        <w:spacing w:after="120" w:line="240" w:lineRule="auto"/>
        <w:jc w:val="both"/>
        <w:rPr>
          <w:rFonts w:ascii="Verdana" w:hAnsi="Verdana" w:cs="Arial"/>
          <w:bCs/>
          <w:sz w:val="20"/>
          <w:szCs w:val="20"/>
          <w:lang w:eastAsia="es-ES" w:bidi="es-ES"/>
        </w:rPr>
      </w:pPr>
      <w:r w:rsidRPr="00226B20">
        <w:rPr>
          <w:rFonts w:ascii="Verdana" w:hAnsi="Verdana" w:cs="Arial"/>
          <w:bCs/>
          <w:sz w:val="20"/>
          <w:szCs w:val="20"/>
          <w:lang w:eastAsia="es-ES" w:bidi="es-ES"/>
        </w:rPr>
        <w:t>[…]</w:t>
      </w:r>
    </w:p>
    <w:p w14:paraId="1C95D201" w14:textId="77777777" w:rsidR="0020773F" w:rsidRPr="00226B20" w:rsidRDefault="0044775C" w:rsidP="00B21020">
      <w:pPr>
        <w:spacing w:after="120" w:line="240" w:lineRule="auto"/>
        <w:jc w:val="both"/>
        <w:rPr>
          <w:rFonts w:ascii="Verdana" w:hAnsi="Verdana" w:cs="Arial"/>
          <w:bCs/>
          <w:sz w:val="20"/>
          <w:szCs w:val="20"/>
          <w:lang w:eastAsia="es-ES" w:bidi="es-ES"/>
        </w:rPr>
      </w:pPr>
      <w:r w:rsidRPr="0020773F">
        <w:rPr>
          <w:rFonts w:ascii="Verdana" w:eastAsia="Arial" w:hAnsi="Verdana" w:cs="Arial"/>
          <w:sz w:val="20"/>
          <w:szCs w:val="20"/>
        </w:rPr>
        <w:t xml:space="preserve">Por último, en cuanto a la modalidad de selección adecuada y pertinente para la escogencia del contratista, </w:t>
      </w:r>
      <w:r w:rsidRPr="0020773F">
        <w:rPr>
          <w:rFonts w:ascii="Verdana" w:eastAsia="Arial" w:hAnsi="Verdana" w:cs="Arial"/>
          <w:sz w:val="20"/>
          <w:szCs w:val="20"/>
          <w:lang w:val="es-ES"/>
        </w:rPr>
        <w:t xml:space="preserve">es oportuno indicar que </w:t>
      </w:r>
      <w:r w:rsidRPr="0020773F">
        <w:rPr>
          <w:rFonts w:ascii="Verdana" w:eastAsia="Calibri" w:hAnsi="Verdana" w:cs="Arial"/>
          <w:sz w:val="20"/>
          <w:szCs w:val="20"/>
          <w:lang w:val="es-ES"/>
        </w:rPr>
        <w:t xml:space="preserve">la contratación pública comprende, entre otros aspectos, la toma de decisiones del gasto que las entidades realizan para la ejecución de los recursos públicos asignados mediante la adquisición de bienes, obras o servicios que satisfacen sus necesidades. Para las adquisiciones, las entidades estructuran procedimientos de contratación mediante las modalidades de selección previamente definidas en el Estatuto General de Contratación de la Administración Pública </w:t>
      </w:r>
      <w:r w:rsidRPr="0020773F">
        <w:rPr>
          <w:rFonts w:ascii="Verdana" w:eastAsiaTheme="minorEastAsia" w:hAnsi="Verdana" w:cs="Arial"/>
          <w:sz w:val="20"/>
          <w:szCs w:val="20"/>
          <w:lang w:val="es-ES" w:eastAsia="es-CO"/>
        </w:rPr>
        <w:t>–en adelante EGCAP–</w:t>
      </w:r>
      <w:r w:rsidRPr="0020773F">
        <w:rPr>
          <w:rFonts w:ascii="Verdana" w:eastAsia="Calibri" w:hAnsi="Verdana" w:cs="Arial"/>
          <w:sz w:val="20"/>
          <w:szCs w:val="20"/>
          <w:lang w:val="es-ES"/>
        </w:rPr>
        <w:t xml:space="preserve">. En esta medida, conforme el artículo 29 de la Constitución </w:t>
      </w:r>
      <w:r w:rsidRPr="0020773F">
        <w:rPr>
          <w:rFonts w:ascii="Verdana" w:eastAsia="Calibri" w:hAnsi="Verdana" w:cs="Arial"/>
          <w:sz w:val="20"/>
          <w:szCs w:val="20"/>
          <w:lang w:val="es-ES"/>
        </w:rPr>
        <w:lastRenderedPageBreak/>
        <w:t>Política, los procesos de selección son una manifestación de la legalidad de las formas de cada proceso en sede administrativa</w:t>
      </w:r>
      <w:r w:rsidR="0020773F">
        <w:rPr>
          <w:rFonts w:ascii="Verdana" w:eastAsia="Calibri" w:hAnsi="Verdana" w:cs="Arial"/>
          <w:sz w:val="20"/>
          <w:szCs w:val="20"/>
          <w:lang w:val="es-ES"/>
        </w:rPr>
        <w:t xml:space="preserve">. </w:t>
      </w:r>
      <w:r w:rsidR="0020773F" w:rsidRPr="00226B20">
        <w:rPr>
          <w:rFonts w:ascii="Verdana" w:hAnsi="Verdana" w:cs="Arial"/>
          <w:bCs/>
          <w:sz w:val="20"/>
          <w:szCs w:val="20"/>
          <w:lang w:eastAsia="es-ES" w:bidi="es-ES"/>
        </w:rPr>
        <w:t>[…]</w:t>
      </w:r>
    </w:p>
    <w:p w14:paraId="0BF14D69" w14:textId="043A8B6B" w:rsidR="00344775" w:rsidRPr="00045068" w:rsidRDefault="00344775" w:rsidP="00B21020">
      <w:pPr>
        <w:spacing w:line="240" w:lineRule="auto"/>
        <w:jc w:val="both"/>
        <w:rPr>
          <w:rFonts w:ascii="Verdana" w:eastAsia="Calibri" w:hAnsi="Verdana" w:cs="Arial"/>
          <w:b/>
          <w:bCs/>
          <w:lang w:eastAsia="es-ES"/>
        </w:rPr>
      </w:pPr>
      <w:r w:rsidRPr="00045068">
        <w:rPr>
          <w:rFonts w:ascii="Verdana" w:eastAsia="Calibri" w:hAnsi="Verdana" w:cs="Arial"/>
          <w:b/>
          <w:bCs/>
          <w:lang w:eastAsia="es-ES"/>
        </w:rPr>
        <w:t>DEBER DE PLANEACIÓN – Selección objetiva – Determinación y justificación de la modalidad – Estudios previos</w:t>
      </w:r>
    </w:p>
    <w:p w14:paraId="0FD48FF2" w14:textId="77777777" w:rsidR="00B81515" w:rsidRDefault="00B81515" w:rsidP="00B21020">
      <w:pPr>
        <w:spacing w:after="120" w:line="240" w:lineRule="auto"/>
        <w:ind w:right="49"/>
        <w:jc w:val="both"/>
        <w:rPr>
          <w:rFonts w:ascii="Verdana" w:hAnsi="Verdana" w:cs="Arial"/>
          <w:bCs/>
          <w:sz w:val="20"/>
          <w:szCs w:val="20"/>
          <w:lang w:eastAsia="es-ES" w:bidi="es-ES"/>
        </w:rPr>
      </w:pPr>
      <w:r w:rsidRPr="00226B20">
        <w:rPr>
          <w:rFonts w:ascii="Verdana" w:hAnsi="Verdana" w:cs="Arial"/>
          <w:bCs/>
          <w:sz w:val="20"/>
          <w:szCs w:val="20"/>
          <w:lang w:eastAsia="es-ES" w:bidi="es-ES"/>
        </w:rPr>
        <w:t>[…]</w:t>
      </w:r>
    </w:p>
    <w:p w14:paraId="2943CAC7" w14:textId="0E68069F" w:rsidR="00344775" w:rsidRDefault="00B81515" w:rsidP="00B21020">
      <w:pPr>
        <w:spacing w:after="120" w:line="240" w:lineRule="auto"/>
        <w:ind w:right="49"/>
        <w:jc w:val="both"/>
        <w:rPr>
          <w:rFonts w:ascii="Verdana" w:eastAsia="Calibri" w:hAnsi="Verdana" w:cs="Arial"/>
          <w:lang w:eastAsia="es-ES"/>
        </w:rPr>
      </w:pPr>
      <w:r w:rsidRPr="00B81515">
        <w:rPr>
          <w:rFonts w:ascii="Verdana" w:eastAsia="Calibri" w:hAnsi="Verdana" w:cs="Arial"/>
          <w:sz w:val="20"/>
          <w:szCs w:val="20"/>
        </w:rPr>
        <w:t>La Corte Constitucional ha precisado que las modalidades de selección constituyen desarrollos reglados del principio de selección objetiva, adoptados dentro de la libertad de configuración del legislador, y que las modalidades simplificadas —como la mínima cuantía— no relevan a la entidad de observar los principios de transparencia, economía y selección objetiva</w:t>
      </w:r>
      <w:r w:rsidRPr="00B81515">
        <w:rPr>
          <w:rStyle w:val="Refdenotaalpie"/>
          <w:rFonts w:ascii="Verdana" w:eastAsia="Calibri" w:hAnsi="Verdana" w:cs="Arial"/>
          <w:sz w:val="20"/>
          <w:szCs w:val="20"/>
        </w:rPr>
        <w:footnoteReference w:id="1"/>
      </w:r>
      <w:r w:rsidRPr="00B81515">
        <w:rPr>
          <w:rFonts w:ascii="Verdana" w:eastAsia="Calibri" w:hAnsi="Verdana" w:cs="Arial"/>
          <w:sz w:val="20"/>
          <w:szCs w:val="20"/>
        </w:rPr>
        <w:t>. De allí que apartarse de la modalidad que corresponde según el valor del proceso no constituya una simple inobservancia de forma, sino el desconocimiento de reglas de orden público que desarrollan mandatos constitucionales.</w:t>
      </w:r>
      <w:r w:rsidRPr="00B81515">
        <w:rPr>
          <w:rFonts w:ascii="Verdana" w:hAnsi="Verdana" w:cs="Arial"/>
          <w:bCs/>
          <w:sz w:val="20"/>
          <w:szCs w:val="20"/>
          <w:lang w:eastAsia="es-ES" w:bidi="es-ES"/>
        </w:rPr>
        <w:t xml:space="preserve"> </w:t>
      </w:r>
      <w:r w:rsidRPr="00226B20">
        <w:rPr>
          <w:rFonts w:ascii="Verdana" w:hAnsi="Verdana" w:cs="Arial"/>
          <w:bCs/>
          <w:sz w:val="20"/>
          <w:szCs w:val="20"/>
          <w:lang w:eastAsia="es-ES" w:bidi="es-ES"/>
        </w:rPr>
        <w:t>[…]</w:t>
      </w:r>
    </w:p>
    <w:p w14:paraId="5453350B" w14:textId="43337CB4" w:rsidR="00344775" w:rsidRPr="00045068" w:rsidRDefault="00344775" w:rsidP="00B21020">
      <w:pPr>
        <w:spacing w:line="240" w:lineRule="auto"/>
        <w:jc w:val="both"/>
        <w:rPr>
          <w:rFonts w:ascii="Verdana" w:eastAsia="Calibri" w:hAnsi="Verdana" w:cs="Arial"/>
          <w:b/>
          <w:bCs/>
          <w:lang w:val="es-ES_tradnl" w:eastAsia="es-ES"/>
        </w:rPr>
      </w:pPr>
      <w:r w:rsidRPr="00045068">
        <w:rPr>
          <w:rFonts w:ascii="Verdana" w:eastAsia="Calibri" w:hAnsi="Verdana" w:cs="Arial"/>
          <w:b/>
          <w:bCs/>
          <w:lang w:eastAsia="es-ES"/>
        </w:rPr>
        <w:t xml:space="preserve">INDEBIDA ESTRUCTURACIÓN DEL PROCESO – Fraccionamiento – Elusión de la modalidad de selección – Vicio de ilegalidad – Trascendencia del vicio – Responsabilidades </w:t>
      </w:r>
    </w:p>
    <w:p w14:paraId="7DD180A0" w14:textId="77777777" w:rsidR="00EA1A7A" w:rsidRDefault="00EA1A7A" w:rsidP="00B21020">
      <w:pPr>
        <w:spacing w:after="0" w:line="240" w:lineRule="auto"/>
        <w:jc w:val="both"/>
        <w:rPr>
          <w:rFonts w:ascii="Verdana" w:hAnsi="Verdana" w:cs="Arial"/>
          <w:bCs/>
          <w:sz w:val="20"/>
          <w:szCs w:val="20"/>
          <w:lang w:eastAsia="es-ES" w:bidi="es-ES"/>
        </w:rPr>
      </w:pPr>
      <w:r w:rsidRPr="00226B20">
        <w:rPr>
          <w:rFonts w:ascii="Verdana" w:hAnsi="Verdana" w:cs="Arial"/>
          <w:bCs/>
          <w:sz w:val="20"/>
          <w:szCs w:val="20"/>
          <w:lang w:eastAsia="es-ES" w:bidi="es-ES"/>
        </w:rPr>
        <w:t>[…]</w:t>
      </w:r>
    </w:p>
    <w:p w14:paraId="0B22706B" w14:textId="0DE86D26" w:rsidR="00344775" w:rsidRPr="00EA1A7A" w:rsidRDefault="00EA1A7A" w:rsidP="00B21020">
      <w:pPr>
        <w:spacing w:after="0" w:line="240" w:lineRule="auto"/>
        <w:jc w:val="both"/>
        <w:rPr>
          <w:rFonts w:ascii="Verdana" w:eastAsia="Geomanist Light" w:hAnsi="Verdana" w:cs="Arial"/>
          <w:color w:val="000000" w:themeColor="text1"/>
          <w:sz w:val="20"/>
          <w:szCs w:val="20"/>
        </w:rPr>
      </w:pPr>
      <w:r w:rsidRPr="00EA1A7A">
        <w:rPr>
          <w:rFonts w:ascii="Verdana" w:hAnsi="Verdana"/>
          <w:sz w:val="20"/>
          <w:szCs w:val="20"/>
        </w:rPr>
        <w:t>Tratándose de administración delegada, ese valor comprende los recursos entregados en administración y los honorarios; atender solo a estos últimos para encuadrar el contrato en la mínima cuantía —cuando el valor total supera su umbral— desatiende los deberes de planeación y de selección objetiva de los artículos 2 y 5 de la Ley 1150 de 2007 y la carga de justificar la modalidad sobre el valor estimado, prevista en el artículo 2.2.1.1.2.1.1 del Decreto 1082 de 2015. Una estructuración semejante, según se expuso, puede configurar un fraccionamiento o una elusión de la modalidad que legalmente correspondería</w:t>
      </w:r>
      <w:r>
        <w:rPr>
          <w:rFonts w:ascii="Verdana" w:hAnsi="Verdana"/>
          <w:sz w:val="20"/>
          <w:szCs w:val="20"/>
        </w:rPr>
        <w:t xml:space="preserve">. </w:t>
      </w:r>
      <w:r w:rsidRPr="00226B20">
        <w:rPr>
          <w:rFonts w:ascii="Verdana" w:hAnsi="Verdana" w:cs="Arial"/>
          <w:bCs/>
          <w:sz w:val="20"/>
          <w:szCs w:val="20"/>
          <w:lang w:eastAsia="es-ES" w:bidi="es-ES"/>
        </w:rPr>
        <w:t>[…]</w:t>
      </w:r>
    </w:p>
    <w:p w14:paraId="73B37DEC" w14:textId="77777777" w:rsidR="00344775" w:rsidRPr="00EA1A7A" w:rsidRDefault="00344775" w:rsidP="00FF70D2">
      <w:pPr>
        <w:spacing w:after="0" w:line="240" w:lineRule="auto"/>
        <w:rPr>
          <w:rFonts w:ascii="Verdana" w:eastAsia="Geomanist Light" w:hAnsi="Verdana" w:cs="Arial"/>
          <w:color w:val="000000" w:themeColor="text1"/>
          <w:sz w:val="20"/>
          <w:szCs w:val="20"/>
        </w:rPr>
      </w:pPr>
    </w:p>
    <w:p w14:paraId="476D9ADE" w14:textId="77777777" w:rsidR="00344775" w:rsidRDefault="00344775" w:rsidP="00FF70D2">
      <w:pPr>
        <w:spacing w:after="0" w:line="240" w:lineRule="auto"/>
        <w:rPr>
          <w:rFonts w:ascii="Verdana" w:eastAsia="Geomanist Light" w:hAnsi="Verdana" w:cs="Arial"/>
          <w:color w:val="000000" w:themeColor="text1"/>
        </w:rPr>
      </w:pPr>
    </w:p>
    <w:p w14:paraId="3AE8E801" w14:textId="77777777" w:rsidR="00344775" w:rsidRDefault="00344775" w:rsidP="00FF70D2">
      <w:pPr>
        <w:spacing w:after="0" w:line="240" w:lineRule="auto"/>
        <w:rPr>
          <w:rFonts w:ascii="Verdana" w:eastAsia="Geomanist Light" w:hAnsi="Verdana" w:cs="Arial"/>
          <w:color w:val="000000" w:themeColor="text1"/>
        </w:rPr>
      </w:pPr>
    </w:p>
    <w:p w14:paraId="25F44718" w14:textId="77777777" w:rsidR="00344775" w:rsidRDefault="00344775" w:rsidP="00FF70D2">
      <w:pPr>
        <w:spacing w:after="0" w:line="240" w:lineRule="auto"/>
        <w:rPr>
          <w:rFonts w:ascii="Verdana" w:eastAsia="Geomanist Light" w:hAnsi="Verdana" w:cs="Arial"/>
          <w:color w:val="000000" w:themeColor="text1"/>
        </w:rPr>
      </w:pPr>
    </w:p>
    <w:p w14:paraId="05D43E23" w14:textId="77777777" w:rsidR="00EA1A7A" w:rsidRDefault="00EA1A7A" w:rsidP="00FF70D2">
      <w:pPr>
        <w:spacing w:after="0" w:line="240" w:lineRule="auto"/>
        <w:rPr>
          <w:rFonts w:ascii="Verdana" w:eastAsia="Geomanist Light" w:hAnsi="Verdana" w:cs="Arial"/>
          <w:color w:val="000000" w:themeColor="text1"/>
        </w:rPr>
      </w:pPr>
    </w:p>
    <w:p w14:paraId="54DD334F" w14:textId="77777777" w:rsidR="00B21020" w:rsidRDefault="00B21020" w:rsidP="00FF70D2">
      <w:pPr>
        <w:spacing w:after="0" w:line="240" w:lineRule="auto"/>
        <w:rPr>
          <w:rFonts w:ascii="Verdana" w:eastAsia="Geomanist Light" w:hAnsi="Verdana" w:cs="Arial"/>
          <w:color w:val="000000" w:themeColor="text1"/>
        </w:rPr>
      </w:pPr>
    </w:p>
    <w:p w14:paraId="1A28DF55" w14:textId="77777777" w:rsidR="00B21020" w:rsidRDefault="00B21020" w:rsidP="00FF70D2">
      <w:pPr>
        <w:spacing w:after="0" w:line="240" w:lineRule="auto"/>
        <w:rPr>
          <w:rFonts w:ascii="Verdana" w:eastAsia="Geomanist Light" w:hAnsi="Verdana" w:cs="Arial"/>
          <w:color w:val="000000" w:themeColor="text1"/>
        </w:rPr>
      </w:pPr>
    </w:p>
    <w:p w14:paraId="55FF2A33" w14:textId="77777777" w:rsidR="00B21020" w:rsidRDefault="00B21020" w:rsidP="00FF70D2">
      <w:pPr>
        <w:spacing w:after="0" w:line="240" w:lineRule="auto"/>
        <w:rPr>
          <w:rFonts w:ascii="Verdana" w:eastAsia="Geomanist Light" w:hAnsi="Verdana" w:cs="Arial"/>
          <w:color w:val="000000" w:themeColor="text1"/>
        </w:rPr>
      </w:pPr>
    </w:p>
    <w:p w14:paraId="38B7920A" w14:textId="77777777" w:rsidR="00B21020" w:rsidRDefault="00B21020" w:rsidP="00FF70D2">
      <w:pPr>
        <w:spacing w:after="0" w:line="240" w:lineRule="auto"/>
        <w:rPr>
          <w:rFonts w:ascii="Verdana" w:eastAsia="Geomanist Light" w:hAnsi="Verdana" w:cs="Arial"/>
          <w:color w:val="000000" w:themeColor="text1"/>
        </w:rPr>
      </w:pPr>
    </w:p>
    <w:p w14:paraId="0A71AD6C" w14:textId="77777777" w:rsidR="00B21020" w:rsidRDefault="00B21020" w:rsidP="00FF70D2">
      <w:pPr>
        <w:spacing w:after="0" w:line="240" w:lineRule="auto"/>
        <w:rPr>
          <w:rFonts w:ascii="Verdana" w:eastAsia="Geomanist Light" w:hAnsi="Verdana" w:cs="Arial"/>
          <w:color w:val="000000" w:themeColor="text1"/>
        </w:rPr>
      </w:pPr>
    </w:p>
    <w:p w14:paraId="70854E4A" w14:textId="77777777" w:rsidR="00B21020" w:rsidRDefault="00B21020" w:rsidP="00FF70D2">
      <w:pPr>
        <w:spacing w:after="0" w:line="240" w:lineRule="auto"/>
        <w:rPr>
          <w:rFonts w:ascii="Verdana" w:eastAsia="Geomanist Light" w:hAnsi="Verdana" w:cs="Arial"/>
          <w:color w:val="000000" w:themeColor="text1"/>
        </w:rPr>
      </w:pPr>
    </w:p>
    <w:p w14:paraId="76FCEA77" w14:textId="77777777" w:rsidR="00B21020" w:rsidRDefault="00B21020" w:rsidP="00FF70D2">
      <w:pPr>
        <w:spacing w:after="0" w:line="240" w:lineRule="auto"/>
        <w:rPr>
          <w:rFonts w:ascii="Verdana" w:eastAsia="Geomanist Light" w:hAnsi="Verdana" w:cs="Arial"/>
          <w:color w:val="000000" w:themeColor="text1"/>
        </w:rPr>
      </w:pPr>
    </w:p>
    <w:p w14:paraId="4510A5F7" w14:textId="77777777" w:rsidR="00B21020" w:rsidRDefault="00B21020" w:rsidP="00FF70D2">
      <w:pPr>
        <w:spacing w:after="0" w:line="240" w:lineRule="auto"/>
        <w:rPr>
          <w:rFonts w:ascii="Verdana" w:eastAsia="Geomanist Light" w:hAnsi="Verdana" w:cs="Arial"/>
          <w:color w:val="000000" w:themeColor="text1"/>
        </w:rPr>
      </w:pPr>
    </w:p>
    <w:p w14:paraId="005B3AF3" w14:textId="77777777" w:rsidR="00B21020" w:rsidRDefault="00B21020" w:rsidP="00FF70D2">
      <w:pPr>
        <w:spacing w:after="0" w:line="240" w:lineRule="auto"/>
        <w:rPr>
          <w:rFonts w:ascii="Verdana" w:eastAsia="Geomanist Light" w:hAnsi="Verdana" w:cs="Arial"/>
          <w:color w:val="000000" w:themeColor="text1"/>
        </w:rPr>
      </w:pPr>
    </w:p>
    <w:p w14:paraId="11594966" w14:textId="275830E6" w:rsidR="00FF70D2" w:rsidRPr="00143822" w:rsidRDefault="00FF70D2" w:rsidP="00FF70D2">
      <w:pPr>
        <w:spacing w:after="0" w:line="240" w:lineRule="auto"/>
        <w:rPr>
          <w:rFonts w:ascii="Verdana" w:eastAsia="Geomanist Light" w:hAnsi="Verdana" w:cs="Arial"/>
          <w:color w:val="201F1E"/>
        </w:rPr>
      </w:pPr>
      <w:r w:rsidRPr="00143822">
        <w:rPr>
          <w:rFonts w:ascii="Verdana" w:eastAsia="Geomanist Light" w:hAnsi="Verdana" w:cs="Arial"/>
          <w:color w:val="000000" w:themeColor="text1"/>
        </w:rPr>
        <w:lastRenderedPageBreak/>
        <w:t>Bogotá D.C., </w:t>
      </w:r>
      <w:r w:rsidR="00344775">
        <w:rPr>
          <w:rFonts w:ascii="Verdana" w:hAnsi="Verdana"/>
        </w:rPr>
        <w:t>3 agosto 2026</w:t>
      </w:r>
    </w:p>
    <w:p w14:paraId="296185CE" w14:textId="77777777" w:rsidR="00FF70D2" w:rsidRPr="003C21D8" w:rsidRDefault="00FF70D2" w:rsidP="00FF70D2">
      <w:pPr>
        <w:snapToGrid w:val="0"/>
        <w:spacing w:after="0" w:line="240" w:lineRule="auto"/>
        <w:contextualSpacing/>
        <w:jc w:val="right"/>
        <w:rPr>
          <w:rFonts w:ascii="Verdana" w:eastAsia="Geomanist Light" w:hAnsi="Verdana" w:cs="Arial"/>
          <w:b/>
          <w:bCs/>
          <w:color w:val="000000"/>
          <w:sz w:val="20"/>
          <w:szCs w:val="20"/>
          <w:lang w:val="es-MX"/>
        </w:rPr>
      </w:pPr>
    </w:p>
    <w:p w14:paraId="1D56E8B5" w14:textId="103F58CD" w:rsidR="00FF70D2" w:rsidRPr="002069C6" w:rsidRDefault="00344775" w:rsidP="00FF70D2">
      <w:pPr>
        <w:spacing w:after="0"/>
        <w:rPr>
          <w:rFonts w:ascii="Verdana" w:hAnsi="Verdana"/>
          <w:lang w:val="es-ES"/>
        </w:rPr>
      </w:pPr>
      <w:r w:rsidRPr="00344775">
        <w:rPr>
          <w:rFonts w:ascii="Verdana" w:eastAsia="Calibri" w:hAnsi="Verdana" w:cs="Arial"/>
          <w:noProof/>
          <w:color w:val="000000" w:themeColor="text1"/>
          <w:lang w:val="es-ES" w:eastAsia="es-ES"/>
        </w:rPr>
        <w:drawing>
          <wp:anchor distT="0" distB="0" distL="114300" distR="114300" simplePos="0" relativeHeight="251658240" behindDoc="1" locked="0" layoutInCell="1" allowOverlap="1" wp14:anchorId="440B0D48" wp14:editId="228B8465">
            <wp:simplePos x="0" y="0"/>
            <wp:positionH relativeFrom="column">
              <wp:posOffset>3427974</wp:posOffset>
            </wp:positionH>
            <wp:positionV relativeFrom="paragraph">
              <wp:posOffset>129149</wp:posOffset>
            </wp:positionV>
            <wp:extent cx="2088515" cy="579120"/>
            <wp:effectExtent l="0" t="0" r="6985" b="0"/>
            <wp:wrapTight wrapText="bothSides">
              <wp:wrapPolygon edited="0">
                <wp:start x="0" y="0"/>
                <wp:lineTo x="0" y="20605"/>
                <wp:lineTo x="21475" y="20605"/>
                <wp:lineTo x="21475" y="0"/>
                <wp:lineTo x="0" y="0"/>
              </wp:wrapPolygon>
            </wp:wrapTight>
            <wp:docPr id="1194511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851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CDED1" w14:textId="70BCA629" w:rsidR="00FF70D2" w:rsidRPr="005A758F" w:rsidRDefault="00FF70D2" w:rsidP="00344775">
      <w:pPr>
        <w:spacing w:after="0" w:line="240" w:lineRule="auto"/>
        <w:jc w:val="both"/>
        <w:rPr>
          <w:rFonts w:ascii="Verdana" w:eastAsia="Calibri" w:hAnsi="Verdana" w:cs="Arial"/>
          <w:b/>
          <w:bCs/>
          <w:color w:val="000000" w:themeColor="text1"/>
          <w:lang w:eastAsia="es-ES_tradnl"/>
        </w:rPr>
      </w:pPr>
      <w:r w:rsidRPr="002069C6">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r w:rsidR="00344775" w:rsidRPr="00344775">
        <w:rPr>
          <w:rFonts w:ascii="Verdana" w:eastAsia="Calibri" w:hAnsi="Verdana" w:cs="Arial"/>
          <w:color w:val="000000" w:themeColor="text1"/>
          <w:lang w:val="es-ES" w:eastAsia="es-ES"/>
        </w:rPr>
        <w:t xml:space="preserve"> </w:t>
      </w:r>
      <w:r>
        <w:rPr>
          <w:rFonts w:ascii="Verdana" w:eastAsia="Calibri" w:hAnsi="Verdana" w:cs="Arial"/>
          <w:b/>
          <w:bCs/>
          <w:color w:val="000000" w:themeColor="text1"/>
          <w:lang w:eastAsia="es-ES_tradnl"/>
        </w:rPr>
        <w:t>Tatiana López</w:t>
      </w:r>
    </w:p>
    <w:p w14:paraId="52DCBAC3" w14:textId="77777777" w:rsidR="00FF70D2" w:rsidRPr="000B2ECD" w:rsidRDefault="00FF70D2" w:rsidP="00FF70D2">
      <w:pPr>
        <w:spacing w:after="0" w:line="240" w:lineRule="auto"/>
        <w:rPr>
          <w:rFonts w:ascii="Verdana" w:hAnsi="Verdana"/>
        </w:rPr>
      </w:pPr>
      <w:hyperlink r:id="rId8" w:history="1">
        <w:r w:rsidRPr="000B2ECD">
          <w:rPr>
            <w:rStyle w:val="Hipervnculo"/>
            <w:rFonts w:ascii="Verdana" w:hAnsi="Verdana"/>
          </w:rPr>
          <w:t>tatianaclopez29@gmail.com</w:t>
        </w:r>
      </w:hyperlink>
    </w:p>
    <w:p w14:paraId="78F5A593" w14:textId="77777777" w:rsidR="00FF70D2" w:rsidRPr="005A758F" w:rsidRDefault="00FF70D2" w:rsidP="00FF70D2">
      <w:pPr>
        <w:spacing w:after="0" w:line="240" w:lineRule="auto"/>
        <w:rPr>
          <w:rFonts w:ascii="Verdana" w:eastAsia="Calibri" w:hAnsi="Verdana" w:cs="Arial"/>
          <w:color w:val="000000" w:themeColor="text1"/>
          <w:lang w:eastAsia="es-ES_tradnl"/>
        </w:rPr>
      </w:pPr>
      <w:r>
        <w:rPr>
          <w:rFonts w:ascii="Verdana" w:eastAsia="Calibri" w:hAnsi="Verdana" w:cs="Arial"/>
          <w:color w:val="000000" w:themeColor="text1"/>
          <w:lang w:eastAsia="es-ES_tradnl"/>
        </w:rPr>
        <w:t>Retiro, Antioquia</w:t>
      </w:r>
    </w:p>
    <w:p w14:paraId="02DDF756" w14:textId="77777777" w:rsidR="00FF70D2" w:rsidRPr="002069C6" w:rsidRDefault="00FF70D2" w:rsidP="00FF70D2">
      <w:pPr>
        <w:spacing w:after="0" w:line="240" w:lineRule="auto"/>
        <w:rPr>
          <w:rFonts w:ascii="Verdana" w:eastAsia="Calibri" w:hAnsi="Verdana" w:cs="Arial"/>
          <w:color w:val="000000" w:themeColor="text1"/>
          <w:lang w:eastAsia="es-ES_tradnl"/>
        </w:rPr>
      </w:pPr>
    </w:p>
    <w:p w14:paraId="18664655" w14:textId="77777777" w:rsidR="00FF70D2" w:rsidRPr="002069C6" w:rsidRDefault="00FF70D2" w:rsidP="00FF70D2">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FF70D2" w:rsidRPr="002069C6" w14:paraId="52F530D1" w14:textId="77777777" w:rsidTr="00992AEE">
        <w:trPr>
          <w:gridAfter w:val="1"/>
          <w:wAfter w:w="4179" w:type="dxa"/>
          <w:trHeight w:val="304"/>
        </w:trPr>
        <w:tc>
          <w:tcPr>
            <w:tcW w:w="2689" w:type="dxa"/>
          </w:tcPr>
          <w:p w14:paraId="26A4E52D" w14:textId="77777777" w:rsidR="00FF70D2" w:rsidRPr="002069C6" w:rsidRDefault="00FF70D2" w:rsidP="00992AEE">
            <w:pPr>
              <w:jc w:val="both"/>
              <w:rPr>
                <w:rFonts w:ascii="Verdana" w:eastAsia="Calibri" w:hAnsi="Verdana" w:cs="Arial"/>
                <w:b/>
                <w:bCs/>
                <w:color w:val="000000" w:themeColor="text1"/>
                <w:lang w:val="es-ES" w:eastAsia="es-ES_tradnl"/>
              </w:rPr>
            </w:pPr>
          </w:p>
        </w:tc>
        <w:tc>
          <w:tcPr>
            <w:tcW w:w="6100" w:type="dxa"/>
          </w:tcPr>
          <w:p w14:paraId="1EF8C5F8" w14:textId="77777777" w:rsidR="00FF70D2" w:rsidRDefault="00FF70D2" w:rsidP="00992AEE">
            <w:pPr>
              <w:jc w:val="both"/>
              <w:rPr>
                <w:rFonts w:ascii="Verdana" w:eastAsia="Calibri" w:hAnsi="Verdana" w:cs="Arial"/>
                <w:b/>
                <w:bCs/>
                <w:color w:val="000000" w:themeColor="text1"/>
                <w:lang w:val="es-ES" w:eastAsia="es-ES"/>
              </w:rPr>
            </w:pPr>
          </w:p>
          <w:p w14:paraId="48CF6DAC" w14:textId="77777777" w:rsidR="00FF70D2" w:rsidRPr="002069C6" w:rsidRDefault="00FF70D2" w:rsidP="00992AEE">
            <w:pPr>
              <w:jc w:val="both"/>
              <w:rPr>
                <w:rFonts w:ascii="Verdana" w:eastAsia="Calibri" w:hAnsi="Verdana" w:cs="Arial"/>
                <w:b/>
                <w:bCs/>
                <w:color w:val="000000" w:themeColor="text1"/>
                <w:lang w:val="es-ES" w:eastAsia="es-ES"/>
              </w:rPr>
            </w:pPr>
            <w:r w:rsidRPr="002069C6">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1028</w:t>
            </w:r>
            <w:r w:rsidRPr="002069C6">
              <w:rPr>
                <w:rFonts w:ascii="Verdana" w:eastAsia="Calibri" w:hAnsi="Verdana" w:cs="Arial"/>
                <w:b/>
                <w:bCs/>
                <w:color w:val="000000" w:themeColor="text1"/>
                <w:lang w:val="es-ES" w:eastAsia="es-ES"/>
              </w:rPr>
              <w:t xml:space="preserve"> de 202</w:t>
            </w:r>
            <w:r>
              <w:rPr>
                <w:rFonts w:ascii="Verdana" w:eastAsia="Calibri" w:hAnsi="Verdana" w:cs="Arial"/>
                <w:b/>
                <w:bCs/>
                <w:color w:val="000000" w:themeColor="text1"/>
                <w:lang w:val="es-ES" w:eastAsia="es-ES"/>
              </w:rPr>
              <w:t>6</w:t>
            </w:r>
          </w:p>
          <w:p w14:paraId="58AF2A43" w14:textId="77777777" w:rsidR="00FF70D2" w:rsidRPr="002069C6" w:rsidRDefault="00FF70D2" w:rsidP="00992AEE">
            <w:pPr>
              <w:jc w:val="both"/>
              <w:rPr>
                <w:rFonts w:ascii="Verdana" w:eastAsia="Calibri" w:hAnsi="Verdana" w:cs="Arial"/>
                <w:b/>
                <w:bCs/>
                <w:color w:val="000000" w:themeColor="text1"/>
                <w:lang w:val="es-ES" w:eastAsia="es-ES"/>
              </w:rPr>
            </w:pPr>
          </w:p>
        </w:tc>
      </w:tr>
      <w:tr w:rsidR="00FF70D2" w:rsidRPr="002069C6" w14:paraId="3BA430F8" w14:textId="77777777" w:rsidTr="00992AEE">
        <w:trPr>
          <w:trHeight w:val="884"/>
        </w:trPr>
        <w:tc>
          <w:tcPr>
            <w:tcW w:w="2689" w:type="dxa"/>
          </w:tcPr>
          <w:p w14:paraId="235EB205" w14:textId="77777777" w:rsidR="00FF70D2" w:rsidRPr="002069C6" w:rsidRDefault="00FF70D2" w:rsidP="00992AEE">
            <w:pPr>
              <w:jc w:val="both"/>
              <w:rPr>
                <w:rFonts w:ascii="Verdana" w:eastAsia="Calibri" w:hAnsi="Verdana" w:cs="Arial"/>
                <w:color w:val="000000" w:themeColor="text1"/>
                <w:lang w:val="es-ES" w:eastAsia="es-ES_tradnl"/>
              </w:rPr>
            </w:pPr>
            <w:r w:rsidRPr="002069C6">
              <w:rPr>
                <w:rFonts w:ascii="Verdana" w:eastAsia="Calibri" w:hAnsi="Verdana" w:cs="Arial"/>
                <w:b/>
                <w:color w:val="000000" w:themeColor="text1"/>
                <w:lang w:val="es-ES" w:eastAsia="es-ES_tradnl"/>
              </w:rPr>
              <w:t>Temas:</w:t>
            </w:r>
            <w:r w:rsidRPr="002069C6">
              <w:rPr>
                <w:rFonts w:ascii="Verdana" w:eastAsia="Calibri" w:hAnsi="Verdana" w:cs="Arial"/>
                <w:color w:val="000000" w:themeColor="text1"/>
                <w:lang w:val="es-ES" w:eastAsia="es-ES_tradnl"/>
              </w:rPr>
              <w:t xml:space="preserve">                   </w:t>
            </w:r>
          </w:p>
        </w:tc>
        <w:tc>
          <w:tcPr>
            <w:tcW w:w="6100" w:type="dxa"/>
          </w:tcPr>
          <w:p w14:paraId="02E03978" w14:textId="77777777" w:rsidR="00FF70D2" w:rsidRDefault="00FF70D2" w:rsidP="00992AEE">
            <w:pPr>
              <w:spacing w:line="276" w:lineRule="auto"/>
              <w:jc w:val="both"/>
              <w:rPr>
                <w:rFonts w:ascii="Verdana" w:eastAsia="Calibri" w:hAnsi="Verdana" w:cs="Arial"/>
                <w:lang w:val="es-ES_tradnl" w:eastAsia="es-ES"/>
              </w:rPr>
            </w:pPr>
            <w:r w:rsidRPr="00483895">
              <w:rPr>
                <w:rFonts w:ascii="Verdana" w:eastAsia="Calibri" w:hAnsi="Verdana" w:cs="Arial"/>
                <w:lang w:eastAsia="es-ES"/>
              </w:rPr>
              <w:t xml:space="preserve">ADMINISTRACIÓN DELEGADA DE RECURSOS – Noción – Definición – Naturaleza jurídica – Mandato con o sin representación – Administración y pago – Por cuenta y riesgo del contratante / VALOR DEL CONTRATO – Administración delegada – Recursos entregados en administración – Honorarios o comisión – Integración de ambos componentes / MODALIDADES DE SELECCIÓN – Determinación reglada – Valor del contrato como criterio – Mínima cuantía – Artículo 94 de la Ley 1474 de 2011 / DEBER DE PLANEACIÓN – Selección objetiva – Determinación y justificación de la modalidad – Estudios previos / INDEBIDA ESTRUCTURACIÓN DEL PROCESO – Fraccionamiento – Elusión de la modalidad de selección – Vicio de ilegalidad – Trascendencia del vicio – Responsabilidades </w:t>
            </w:r>
          </w:p>
          <w:p w14:paraId="6F09674A" w14:textId="77777777" w:rsidR="00FF70D2" w:rsidRPr="002069C6" w:rsidRDefault="00FF70D2" w:rsidP="00992AEE">
            <w:pPr>
              <w:spacing w:line="276" w:lineRule="auto"/>
              <w:jc w:val="both"/>
              <w:rPr>
                <w:rFonts w:ascii="Verdana" w:eastAsia="Calibri" w:hAnsi="Verdana" w:cs="Arial"/>
                <w:color w:val="000000" w:themeColor="text1"/>
                <w:lang w:val="es-ES" w:eastAsia="es-ES"/>
              </w:rPr>
            </w:pPr>
          </w:p>
        </w:tc>
        <w:tc>
          <w:tcPr>
            <w:tcW w:w="4179" w:type="dxa"/>
          </w:tcPr>
          <w:p w14:paraId="56CC72A7" w14:textId="77777777" w:rsidR="00FF70D2" w:rsidRPr="002069C6" w:rsidRDefault="00FF70D2" w:rsidP="00992AEE">
            <w:pPr>
              <w:spacing w:line="276" w:lineRule="auto"/>
              <w:jc w:val="both"/>
              <w:rPr>
                <w:rFonts w:ascii="Verdana" w:eastAsia="Calibri" w:hAnsi="Verdana" w:cs="Arial"/>
                <w:b/>
                <w:bCs/>
                <w:color w:val="000000" w:themeColor="text1"/>
                <w:lang w:val="es-ES" w:eastAsia="es-ES"/>
              </w:rPr>
            </w:pPr>
          </w:p>
          <w:p w14:paraId="7C57494E" w14:textId="77777777" w:rsidR="00FF70D2" w:rsidRPr="002069C6" w:rsidRDefault="00FF70D2" w:rsidP="00992AEE">
            <w:pPr>
              <w:rPr>
                <w:rFonts w:ascii="Verdana" w:hAnsi="Verdana"/>
                <w:lang w:val="es-ES"/>
              </w:rPr>
            </w:pPr>
          </w:p>
        </w:tc>
      </w:tr>
      <w:tr w:rsidR="00FF70D2" w:rsidRPr="002069C6" w14:paraId="7651CEB4" w14:textId="77777777" w:rsidTr="00992AEE">
        <w:trPr>
          <w:gridAfter w:val="1"/>
          <w:wAfter w:w="4179" w:type="dxa"/>
          <w:trHeight w:val="360"/>
        </w:trPr>
        <w:tc>
          <w:tcPr>
            <w:tcW w:w="2689" w:type="dxa"/>
          </w:tcPr>
          <w:p w14:paraId="24F768D8" w14:textId="77777777" w:rsidR="00FF70D2" w:rsidRPr="002069C6" w:rsidRDefault="00FF70D2" w:rsidP="00992AEE">
            <w:pPr>
              <w:jc w:val="both"/>
              <w:rPr>
                <w:rFonts w:ascii="Verdana" w:eastAsia="Calibri" w:hAnsi="Verdana" w:cs="Arial"/>
                <w:b/>
                <w:color w:val="000000" w:themeColor="text1"/>
                <w:lang w:val="es-ES" w:eastAsia="es-ES_tradnl"/>
              </w:rPr>
            </w:pPr>
            <w:r w:rsidRPr="002069C6">
              <w:rPr>
                <w:rFonts w:ascii="Verdana" w:eastAsia="Calibri" w:hAnsi="Verdana" w:cs="Arial"/>
                <w:b/>
                <w:color w:val="000000" w:themeColor="text1"/>
                <w:lang w:val="es-ES" w:eastAsia="es-ES_tradnl"/>
              </w:rPr>
              <w:t>Radicación:</w:t>
            </w:r>
            <w:r w:rsidRPr="002069C6">
              <w:rPr>
                <w:rFonts w:ascii="Verdana" w:eastAsia="Calibri" w:hAnsi="Verdana" w:cs="Arial"/>
                <w:color w:val="000000" w:themeColor="text1"/>
                <w:lang w:val="es-ES" w:eastAsia="es-ES_tradnl"/>
              </w:rPr>
              <w:t xml:space="preserve">               </w:t>
            </w:r>
          </w:p>
        </w:tc>
        <w:tc>
          <w:tcPr>
            <w:tcW w:w="6100" w:type="dxa"/>
          </w:tcPr>
          <w:p w14:paraId="427DFCA3" w14:textId="77777777" w:rsidR="00FF70D2" w:rsidRPr="002069C6" w:rsidRDefault="00FF70D2" w:rsidP="00992AEE">
            <w:pPr>
              <w:jc w:val="both"/>
              <w:rPr>
                <w:rFonts w:ascii="Verdana" w:eastAsia="Calibri" w:hAnsi="Verdana" w:cs="Arial"/>
                <w:color w:val="000000" w:themeColor="text1"/>
                <w:lang w:val="es-ES" w:eastAsia="es-ES_tradnl"/>
              </w:rPr>
            </w:pPr>
            <w:r w:rsidRPr="002069C6">
              <w:rPr>
                <w:rFonts w:ascii="Verdana" w:eastAsia="Calibri" w:hAnsi="Verdana" w:cs="Arial"/>
                <w:color w:val="000000" w:themeColor="text1"/>
                <w:lang w:val="es-ES" w:eastAsia="es-ES_tradnl"/>
              </w:rPr>
              <w:t>Respuesta a consulta con radicado No.</w:t>
            </w:r>
            <w:r>
              <w:rPr>
                <w:rFonts w:ascii="Verdana" w:eastAsia="Calibri" w:hAnsi="Verdana" w:cs="Arial"/>
                <w:color w:val="000000" w:themeColor="text1"/>
                <w:lang w:val="es-ES" w:eastAsia="es-ES_tradnl"/>
              </w:rPr>
              <w:t xml:space="preserve"> </w:t>
            </w:r>
            <w:r w:rsidRPr="00C33AC0">
              <w:rPr>
                <w:rFonts w:ascii="Verdana" w:eastAsia="Calibri" w:hAnsi="Verdana" w:cs="Arial"/>
                <w:color w:val="000000" w:themeColor="text1"/>
                <w:lang w:val="es-ES" w:eastAsia="es-ES_tradnl"/>
              </w:rPr>
              <w:t>1_2026_06_26_008586</w:t>
            </w:r>
          </w:p>
        </w:tc>
      </w:tr>
    </w:tbl>
    <w:p w14:paraId="3B73D942" w14:textId="77777777" w:rsidR="00FF70D2" w:rsidRPr="002069C6" w:rsidRDefault="00FF70D2" w:rsidP="00FF70D2">
      <w:pPr>
        <w:spacing w:after="0" w:line="276" w:lineRule="auto"/>
        <w:jc w:val="both"/>
        <w:rPr>
          <w:rFonts w:ascii="Verdana" w:eastAsia="Calibri" w:hAnsi="Verdana" w:cs="Arial"/>
          <w:color w:val="000000" w:themeColor="text1"/>
          <w:lang w:val="es-ES" w:eastAsia="es-ES_tradnl"/>
        </w:rPr>
      </w:pPr>
    </w:p>
    <w:p w14:paraId="66629B35" w14:textId="77777777" w:rsidR="00FF70D2" w:rsidRPr="002069C6" w:rsidRDefault="00FF70D2" w:rsidP="00FF70D2">
      <w:pPr>
        <w:spacing w:after="0" w:line="276" w:lineRule="auto"/>
        <w:jc w:val="both"/>
        <w:rPr>
          <w:rFonts w:ascii="Verdana" w:eastAsia="Calibri" w:hAnsi="Verdana" w:cs="Arial"/>
          <w:color w:val="000000" w:themeColor="text1"/>
          <w:lang w:val="es-ES" w:eastAsia="es-ES_tradnl"/>
        </w:rPr>
      </w:pPr>
    </w:p>
    <w:p w14:paraId="6FE91F1C" w14:textId="77777777" w:rsidR="00FF70D2" w:rsidRPr="002069C6" w:rsidRDefault="00FF70D2" w:rsidP="00FF70D2">
      <w:pPr>
        <w:spacing w:after="0" w:line="276" w:lineRule="auto"/>
        <w:jc w:val="both"/>
        <w:rPr>
          <w:rFonts w:ascii="Verdana" w:eastAsia="Calibri" w:hAnsi="Verdana" w:cs="Arial"/>
          <w:color w:val="000000" w:themeColor="text1"/>
          <w:lang w:val="es-ES" w:eastAsia="es-ES"/>
        </w:rPr>
      </w:pPr>
      <w:r w:rsidRPr="002069C6">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a</w:t>
      </w:r>
      <w:r w:rsidRPr="002069C6">
        <w:rPr>
          <w:rFonts w:ascii="Verdana" w:eastAsia="Calibri" w:hAnsi="Verdana" w:cs="Arial"/>
          <w:color w:val="000000" w:themeColor="text1"/>
          <w:lang w:val="es-ES" w:eastAsia="es-ES"/>
        </w:rPr>
        <w:t xml:space="preserve"> señor</w:t>
      </w:r>
      <w:r>
        <w:rPr>
          <w:rFonts w:ascii="Verdana" w:eastAsia="Calibri" w:hAnsi="Verdana" w:cs="Arial"/>
          <w:color w:val="000000" w:themeColor="text1"/>
          <w:lang w:val="es-ES" w:eastAsia="es-ES"/>
        </w:rPr>
        <w:t>a</w:t>
      </w:r>
      <w:r w:rsidRPr="002069C6">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Tatiana</w:t>
      </w:r>
      <w:r w:rsidRPr="002069C6">
        <w:rPr>
          <w:rFonts w:ascii="Verdana" w:eastAsia="Calibri" w:hAnsi="Verdana" w:cs="Arial"/>
          <w:color w:val="000000" w:themeColor="text1"/>
          <w:lang w:val="es-ES" w:eastAsia="es-ES"/>
        </w:rPr>
        <w:t xml:space="preserve">: </w:t>
      </w:r>
    </w:p>
    <w:p w14:paraId="5D5B73B9" w14:textId="77777777" w:rsidR="00FF70D2" w:rsidRPr="002069C6" w:rsidRDefault="00FF70D2" w:rsidP="00FF70D2">
      <w:pPr>
        <w:tabs>
          <w:tab w:val="left" w:pos="3768"/>
        </w:tabs>
        <w:spacing w:after="0" w:line="276" w:lineRule="auto"/>
        <w:jc w:val="both"/>
        <w:rPr>
          <w:rFonts w:ascii="Verdana" w:eastAsia="Calibri" w:hAnsi="Verdana" w:cs="Arial"/>
          <w:color w:val="000000" w:themeColor="text1"/>
          <w:lang w:val="es-ES" w:eastAsia="es-ES"/>
        </w:rPr>
      </w:pPr>
      <w:r w:rsidRPr="002069C6">
        <w:rPr>
          <w:rFonts w:ascii="Verdana" w:eastAsia="Calibri" w:hAnsi="Verdana" w:cs="Arial"/>
          <w:color w:val="000000" w:themeColor="text1"/>
          <w:lang w:val="es-ES" w:eastAsia="es-ES"/>
        </w:rPr>
        <w:tab/>
      </w:r>
    </w:p>
    <w:p w14:paraId="18737878" w14:textId="77777777" w:rsidR="00FF70D2" w:rsidRDefault="00FF70D2" w:rsidP="00FF70D2">
      <w:pPr>
        <w:spacing w:after="120" w:line="276" w:lineRule="auto"/>
        <w:jc w:val="both"/>
        <w:rPr>
          <w:rFonts w:ascii="Verdana" w:eastAsia="Calibri" w:hAnsi="Verdana" w:cs="Arial"/>
          <w:color w:val="000000" w:themeColor="text1"/>
          <w:lang w:val="es-ES" w:eastAsia="es-ES"/>
        </w:rPr>
      </w:pPr>
      <w:r w:rsidRPr="002069C6">
        <w:rPr>
          <w:rFonts w:ascii="Verdana" w:eastAsia="Calibri" w:hAnsi="Verdana" w:cs="Arial"/>
          <w:color w:val="000000" w:themeColor="text1"/>
          <w:lang w:val="es-ES" w:eastAsia="es-ES"/>
        </w:rPr>
        <w:t>En ejercicio de la competencia otorgada por los artículos 3, numeral 5º, y 11, numeral 8º, del Decreto Ley 4170 de 2011,</w:t>
      </w:r>
      <w:r w:rsidRPr="002069C6">
        <w:rPr>
          <w:rFonts w:ascii="Verdana" w:eastAsia="Arial MT" w:hAnsi="Verdana" w:cs="Arial MT"/>
          <w:color w:val="000000" w:themeColor="text1"/>
          <w:lang w:val="es-ES" w:eastAsia="es-ES"/>
        </w:rPr>
        <w:t xml:space="preserve"> </w:t>
      </w:r>
      <w:r w:rsidRPr="00143822">
        <w:rPr>
          <w:rFonts w:ascii="Verdana" w:hAnsi="Verdana" w:cs="Arial"/>
          <w:lang w:val="es-ES_tradnl"/>
        </w:rPr>
        <w:t>así como lo establecido en</w:t>
      </w:r>
      <w:r w:rsidRPr="00143822">
        <w:rPr>
          <w:rFonts w:ascii="Verdana" w:hAnsi="Verdana" w:cs="Arial"/>
        </w:rPr>
        <w:t xml:space="preserve"> la Resolución 469 de 2025 expedida por esta Entidad</w:t>
      </w:r>
      <w:r w:rsidRPr="002069C6">
        <w:rPr>
          <w:rFonts w:ascii="Verdana" w:hAnsi="Verdana" w:cs="Arial"/>
          <w:color w:val="000000" w:themeColor="text1"/>
          <w:lang w:val="es-ES"/>
        </w:rPr>
        <w:t xml:space="preserve">, la Agencia Nacional de </w:t>
      </w:r>
      <w:r w:rsidRPr="002069C6">
        <w:rPr>
          <w:rFonts w:ascii="Verdana" w:hAnsi="Verdana" w:cs="Arial"/>
          <w:color w:val="000000" w:themeColor="text1"/>
          <w:lang w:val="es-ES"/>
        </w:rPr>
        <w:lastRenderedPageBreak/>
        <w:t xml:space="preserve">Contratación Pública – Colombia Compra Eficiente– responde su solicitud </w:t>
      </w:r>
      <w:r>
        <w:rPr>
          <w:rFonts w:ascii="Verdana" w:hAnsi="Verdana" w:cs="Arial"/>
          <w:color w:val="000000" w:themeColor="text1"/>
          <w:lang w:val="es-ES"/>
        </w:rPr>
        <w:t>de concepto del 26 de junio de 2026</w:t>
      </w:r>
      <w:r w:rsidRPr="002069C6">
        <w:rPr>
          <w:rFonts w:ascii="Verdana" w:hAnsi="Verdana" w:cs="Arial"/>
          <w:color w:val="000000" w:themeColor="text1"/>
          <w:lang w:val="es-ES"/>
        </w:rPr>
        <w:t>, en la cual manifiesta lo siguiente:</w:t>
      </w:r>
      <w:r w:rsidRPr="002069C6">
        <w:rPr>
          <w:rFonts w:ascii="Verdana" w:eastAsia="Calibri" w:hAnsi="Verdana" w:cs="Arial"/>
          <w:color w:val="000000" w:themeColor="text1"/>
          <w:lang w:val="es-ES" w:eastAsia="es-ES"/>
        </w:rPr>
        <w:t xml:space="preserve"> </w:t>
      </w:r>
    </w:p>
    <w:p w14:paraId="20E15B87" w14:textId="77777777" w:rsidR="00FF70D2" w:rsidRPr="00ED5EE1" w:rsidRDefault="00FF70D2" w:rsidP="00FF70D2">
      <w:pPr>
        <w:spacing w:after="0" w:line="240" w:lineRule="auto"/>
        <w:ind w:left="709" w:right="709"/>
        <w:jc w:val="both"/>
        <w:rPr>
          <w:rFonts w:ascii="Verdana" w:eastAsia="Century Gothic" w:hAnsi="Verdana" w:cs="Century Gothic"/>
          <w:i/>
          <w:color w:val="000000" w:themeColor="text1"/>
          <w:sz w:val="20"/>
          <w:szCs w:val="20"/>
        </w:rPr>
      </w:pPr>
      <w:r w:rsidRPr="00ED5EE1">
        <w:rPr>
          <w:rFonts w:ascii="Verdana" w:eastAsia="Century Gothic" w:hAnsi="Verdana" w:cs="Century Gothic"/>
          <w:i/>
          <w:color w:val="000000" w:themeColor="text1"/>
          <w:sz w:val="20"/>
          <w:szCs w:val="20"/>
          <w:lang w:val="es-ES"/>
        </w:rPr>
        <w:t>“</w:t>
      </w:r>
      <w:r>
        <w:rPr>
          <w:rFonts w:ascii="Verdana" w:eastAsia="Century Gothic" w:hAnsi="Verdana" w:cs="Century Gothic"/>
          <w:i/>
          <w:color w:val="000000" w:themeColor="text1"/>
          <w:sz w:val="20"/>
          <w:szCs w:val="20"/>
          <w:lang w:val="es-ES"/>
        </w:rPr>
        <w:t xml:space="preserve">(…) </w:t>
      </w:r>
      <w:r w:rsidRPr="00ED5EE1">
        <w:rPr>
          <w:rFonts w:ascii="Verdana" w:eastAsia="Century Gothic" w:hAnsi="Verdana" w:cs="Century Gothic"/>
          <w:i/>
          <w:color w:val="000000" w:themeColor="text1"/>
          <w:sz w:val="20"/>
          <w:szCs w:val="20"/>
        </w:rPr>
        <w:t>1. ¿Es jurídicamente procedente que una entidad estatal adelante un proceso de mínima cuantía para celebrar un contrato de administración delegada cuando los honorarios o valor reconocido por la administración no superan la mínima cuantía, pero los recursos administrados y ejecutados por el contratista superan ampliamente dicho límite?</w:t>
      </w:r>
    </w:p>
    <w:p w14:paraId="00810BE9" w14:textId="77777777" w:rsidR="00FF70D2" w:rsidRDefault="00FF70D2" w:rsidP="00FF70D2">
      <w:pPr>
        <w:spacing w:after="0" w:line="240" w:lineRule="auto"/>
        <w:ind w:left="709" w:right="709"/>
        <w:jc w:val="both"/>
        <w:rPr>
          <w:rFonts w:ascii="Verdana" w:eastAsia="Century Gothic" w:hAnsi="Verdana" w:cs="Century Gothic"/>
          <w:i/>
          <w:color w:val="000000" w:themeColor="text1"/>
          <w:sz w:val="20"/>
          <w:szCs w:val="20"/>
        </w:rPr>
      </w:pPr>
    </w:p>
    <w:p w14:paraId="71B29028" w14:textId="77777777" w:rsidR="00FF70D2" w:rsidRPr="00ED5EE1" w:rsidRDefault="00FF70D2" w:rsidP="00FF70D2">
      <w:pPr>
        <w:spacing w:after="0" w:line="240" w:lineRule="auto"/>
        <w:ind w:left="709" w:right="709"/>
        <w:jc w:val="both"/>
        <w:rPr>
          <w:rFonts w:ascii="Verdana" w:eastAsia="Century Gothic" w:hAnsi="Verdana" w:cs="Century Gothic"/>
          <w:i/>
          <w:color w:val="000000" w:themeColor="text1"/>
          <w:sz w:val="20"/>
          <w:szCs w:val="20"/>
        </w:rPr>
      </w:pPr>
      <w:r w:rsidRPr="00ED5EE1">
        <w:rPr>
          <w:rFonts w:ascii="Verdana" w:eastAsia="Century Gothic" w:hAnsi="Verdana" w:cs="Century Gothic"/>
          <w:i/>
          <w:color w:val="000000" w:themeColor="text1"/>
          <w:sz w:val="20"/>
          <w:szCs w:val="20"/>
        </w:rPr>
        <w:t>2. Para determinar la modalidad de selección aplicable, ¿debe tenerse en cuenta únicamente el valor de los honorarios o comisión del administrador, o debe considerarse el valor total de los recursos públicos comprometidos en la operación contractual, incluyendo los recursos que serán administrados y ejecutados por el contratista?</w:t>
      </w:r>
    </w:p>
    <w:p w14:paraId="6A51364E" w14:textId="77777777" w:rsidR="00FF70D2" w:rsidRPr="00ED5EE1" w:rsidRDefault="00FF70D2" w:rsidP="00FF70D2">
      <w:pPr>
        <w:spacing w:after="0" w:line="240" w:lineRule="auto"/>
        <w:ind w:left="709" w:right="709"/>
        <w:jc w:val="both"/>
        <w:rPr>
          <w:rFonts w:ascii="Verdana" w:eastAsia="Century Gothic" w:hAnsi="Verdana" w:cs="Century Gothic"/>
          <w:i/>
          <w:color w:val="000000" w:themeColor="text1"/>
          <w:sz w:val="20"/>
          <w:szCs w:val="20"/>
        </w:rPr>
      </w:pPr>
    </w:p>
    <w:p w14:paraId="489D49BE" w14:textId="77777777" w:rsidR="00FF70D2" w:rsidRPr="00ED5EE1" w:rsidRDefault="00FF70D2" w:rsidP="00FF70D2">
      <w:pPr>
        <w:spacing w:after="0" w:line="240" w:lineRule="auto"/>
        <w:ind w:left="709" w:right="709"/>
        <w:jc w:val="both"/>
        <w:rPr>
          <w:rFonts w:ascii="Verdana" w:eastAsia="Century Gothic" w:hAnsi="Verdana" w:cs="Century Gothic"/>
          <w:i/>
          <w:color w:val="000000" w:themeColor="text1"/>
          <w:sz w:val="20"/>
          <w:szCs w:val="20"/>
        </w:rPr>
      </w:pPr>
      <w:r w:rsidRPr="00ED5EE1">
        <w:rPr>
          <w:rFonts w:ascii="Verdana" w:eastAsia="Century Gothic" w:hAnsi="Verdana" w:cs="Century Gothic"/>
          <w:i/>
          <w:color w:val="000000" w:themeColor="text1"/>
          <w:sz w:val="20"/>
          <w:szCs w:val="20"/>
        </w:rPr>
        <w:t xml:space="preserve">3. En un contrato de administración delegada de recursos, cuando el mismo contratista no solo </w:t>
      </w:r>
      <w:proofErr w:type="gramStart"/>
      <w:r w:rsidRPr="00ED5EE1">
        <w:rPr>
          <w:rFonts w:ascii="Verdana" w:eastAsia="Century Gothic" w:hAnsi="Verdana" w:cs="Century Gothic"/>
          <w:i/>
          <w:color w:val="000000" w:themeColor="text1"/>
          <w:sz w:val="20"/>
          <w:szCs w:val="20"/>
        </w:rPr>
        <w:t>administra</w:t>
      </w:r>
      <w:proofErr w:type="gramEnd"/>
      <w:r w:rsidRPr="00ED5EE1">
        <w:rPr>
          <w:rFonts w:ascii="Verdana" w:eastAsia="Century Gothic" w:hAnsi="Verdana" w:cs="Century Gothic"/>
          <w:i/>
          <w:color w:val="000000" w:themeColor="text1"/>
          <w:sz w:val="20"/>
          <w:szCs w:val="20"/>
        </w:rPr>
        <w:t xml:space="preserve"> sino que también ejecuta directamente las actividades financiadas con dichos recursos, ¿puede considerarse que existe una indebida estructuración del proceso contractual si la entidad utiliza la mínima cuantía tomando como referencia únicamente el valor de la administración?</w:t>
      </w:r>
    </w:p>
    <w:p w14:paraId="5522DE15" w14:textId="77777777" w:rsidR="00FF70D2" w:rsidRPr="00ED5EE1" w:rsidRDefault="00FF70D2" w:rsidP="00FF70D2">
      <w:pPr>
        <w:spacing w:after="0" w:line="240" w:lineRule="auto"/>
        <w:ind w:left="709" w:right="709"/>
        <w:jc w:val="both"/>
        <w:rPr>
          <w:rFonts w:ascii="Verdana" w:eastAsia="Century Gothic" w:hAnsi="Verdana" w:cs="Century Gothic"/>
          <w:i/>
          <w:color w:val="000000" w:themeColor="text1"/>
          <w:sz w:val="20"/>
          <w:szCs w:val="20"/>
        </w:rPr>
      </w:pPr>
    </w:p>
    <w:p w14:paraId="35AEA039" w14:textId="77777777" w:rsidR="00FF70D2" w:rsidRPr="00ED5EE1" w:rsidRDefault="00FF70D2" w:rsidP="00FF70D2">
      <w:pPr>
        <w:spacing w:after="0" w:line="240" w:lineRule="auto"/>
        <w:ind w:left="709" w:right="709"/>
        <w:jc w:val="both"/>
        <w:rPr>
          <w:rFonts w:ascii="Verdana" w:eastAsia="Century Gothic" w:hAnsi="Verdana" w:cs="Century Gothic"/>
          <w:color w:val="000000" w:themeColor="text1"/>
          <w:sz w:val="20"/>
          <w:szCs w:val="20"/>
          <w:lang w:val="es-ES"/>
        </w:rPr>
      </w:pPr>
      <w:r w:rsidRPr="00ED5EE1">
        <w:rPr>
          <w:rFonts w:ascii="Verdana" w:eastAsia="Century Gothic" w:hAnsi="Verdana" w:cs="Century Gothic"/>
          <w:i/>
          <w:color w:val="000000" w:themeColor="text1"/>
          <w:sz w:val="20"/>
          <w:szCs w:val="20"/>
        </w:rPr>
        <w:t xml:space="preserve">4. ¿Podría configurarse un riesgo de elusión de la modalidad de selección correspondiente cuando se estructura un contrato como administración delegada por un valor equivalente a la mínima cuantía, pero la operación real implica la ejecución de recursos públicos por una suma muy </w:t>
      </w:r>
      <w:proofErr w:type="gramStart"/>
      <w:r w:rsidRPr="00ED5EE1">
        <w:rPr>
          <w:rFonts w:ascii="Verdana" w:eastAsia="Century Gothic" w:hAnsi="Verdana" w:cs="Century Gothic"/>
          <w:i/>
          <w:color w:val="000000" w:themeColor="text1"/>
          <w:sz w:val="20"/>
          <w:szCs w:val="20"/>
        </w:rPr>
        <w:t>superior?.</w:t>
      </w:r>
      <w:proofErr w:type="gramEnd"/>
      <w:r w:rsidRPr="00ED5EE1">
        <w:rPr>
          <w:rFonts w:ascii="Verdana" w:eastAsia="Century Gothic" w:hAnsi="Verdana" w:cs="Century Gothic"/>
          <w:i/>
          <w:color w:val="000000" w:themeColor="text1"/>
          <w:sz w:val="20"/>
          <w:szCs w:val="20"/>
          <w:lang w:val="es-ES"/>
        </w:rPr>
        <w:t>”</w:t>
      </w:r>
      <w:r w:rsidRPr="00ED5EE1">
        <w:rPr>
          <w:rFonts w:ascii="Verdana" w:eastAsia="Century Gothic" w:hAnsi="Verdana" w:cs="Century Gothic"/>
          <w:color w:val="000000" w:themeColor="text1"/>
          <w:sz w:val="20"/>
          <w:szCs w:val="20"/>
          <w:lang w:val="es-ES"/>
        </w:rPr>
        <w:t xml:space="preserve"> </w:t>
      </w:r>
    </w:p>
    <w:p w14:paraId="07458752" w14:textId="77777777" w:rsidR="00FF70D2" w:rsidRPr="00ED5EE1" w:rsidRDefault="00FF70D2" w:rsidP="00FF70D2">
      <w:pPr>
        <w:spacing w:after="0" w:line="240" w:lineRule="auto"/>
        <w:ind w:left="709" w:right="709"/>
        <w:jc w:val="both"/>
        <w:rPr>
          <w:rFonts w:ascii="Verdana" w:eastAsia="Century Gothic" w:hAnsi="Verdana" w:cs="Century Gothic"/>
          <w:color w:val="000000" w:themeColor="text1"/>
          <w:sz w:val="20"/>
          <w:szCs w:val="20"/>
          <w:lang w:val="es-ES"/>
        </w:rPr>
      </w:pPr>
    </w:p>
    <w:p w14:paraId="11651BC0" w14:textId="77777777" w:rsidR="00FF70D2" w:rsidRPr="002069C6" w:rsidRDefault="00FF70D2" w:rsidP="00FF70D2">
      <w:pPr>
        <w:spacing w:after="0" w:line="276" w:lineRule="auto"/>
        <w:contextualSpacing/>
        <w:jc w:val="both"/>
        <w:rPr>
          <w:rFonts w:ascii="Verdana" w:eastAsia="Calibri" w:hAnsi="Verdana" w:cs="Arial"/>
          <w:color w:val="000000" w:themeColor="text1"/>
          <w:szCs w:val="24"/>
          <w:lang w:val="es-ES" w:eastAsia="es-ES_tradnl"/>
        </w:rPr>
      </w:pPr>
      <w:r>
        <w:rPr>
          <w:rFonts w:ascii="Verdana" w:eastAsia="Calibri" w:hAnsi="Verdana" w:cs="Arial"/>
          <w:color w:val="000000" w:themeColor="text1"/>
          <w:lang w:val="es-ES" w:eastAsia="es-ES"/>
        </w:rPr>
        <w:tab/>
      </w:r>
      <w:r w:rsidRPr="002069C6">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069C6">
        <w:rPr>
          <w:rFonts w:ascii="Verdana" w:eastAsia="Calibri" w:hAnsi="Verdana" w:cs="Arial"/>
          <w:color w:val="000000" w:themeColor="text1"/>
          <w:szCs w:val="24"/>
          <w:lang w:val="es-ES" w:eastAsia="es-ES_tradnl"/>
        </w:rPr>
        <w:tab/>
      </w:r>
    </w:p>
    <w:p w14:paraId="6EE648BF" w14:textId="77777777" w:rsidR="00FF70D2" w:rsidRPr="002069C6" w:rsidRDefault="00FF70D2" w:rsidP="00FF70D2">
      <w:pPr>
        <w:spacing w:before="120" w:after="0" w:line="276" w:lineRule="auto"/>
        <w:ind w:firstLine="709"/>
        <w:jc w:val="both"/>
        <w:rPr>
          <w:rFonts w:ascii="Verdana" w:eastAsia="Calibri" w:hAnsi="Verdana" w:cs="Arial"/>
          <w:color w:val="000000" w:themeColor="text1"/>
          <w:lang w:val="es-ES" w:eastAsia="es-ES"/>
        </w:rPr>
      </w:pPr>
      <w:r w:rsidRPr="002069C6">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w:t>
      </w:r>
      <w:r w:rsidRPr="002069C6">
        <w:rPr>
          <w:rFonts w:ascii="Verdana" w:eastAsia="Calibri" w:hAnsi="Verdana" w:cs="Arial"/>
          <w:color w:val="000000" w:themeColor="text1"/>
          <w:lang w:val="es-ES" w:eastAsia="es-ES"/>
        </w:rPr>
        <w:lastRenderedPageBreak/>
        <w:t xml:space="preserve">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los</w:t>
      </w:r>
      <w:r w:rsidRPr="002069C6">
        <w:rPr>
          <w:rFonts w:ascii="Verdana" w:eastAsia="Calibri" w:hAnsi="Verdana" w:cs="Arial"/>
          <w:color w:val="000000" w:themeColor="text1"/>
          <w:lang w:val="es-ES" w:eastAsia="es-ES"/>
        </w:rPr>
        <w:t xml:space="preserve"> problema</w:t>
      </w:r>
      <w:r>
        <w:rPr>
          <w:rFonts w:ascii="Verdana" w:eastAsia="Calibri" w:hAnsi="Verdana" w:cs="Arial"/>
          <w:color w:val="000000" w:themeColor="text1"/>
          <w:lang w:val="es-ES" w:eastAsia="es-ES"/>
        </w:rPr>
        <w:t>s</w:t>
      </w:r>
      <w:r w:rsidRPr="002069C6">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2069C6">
        <w:rPr>
          <w:rFonts w:ascii="Verdana" w:eastAsia="Calibri" w:hAnsi="Verdana" w:cs="Arial"/>
          <w:color w:val="000000" w:themeColor="text1"/>
          <w:lang w:val="es-ES" w:eastAsia="es-ES"/>
        </w:rPr>
        <w:t xml:space="preserve"> de su consulta. </w:t>
      </w:r>
    </w:p>
    <w:p w14:paraId="1381C9D7" w14:textId="77777777" w:rsidR="00FF70D2" w:rsidRPr="002069C6" w:rsidRDefault="00FF70D2" w:rsidP="00FF70D2">
      <w:pPr>
        <w:spacing w:after="0" w:line="276" w:lineRule="auto"/>
        <w:jc w:val="both"/>
        <w:rPr>
          <w:rFonts w:ascii="Verdana" w:eastAsia="Calibri" w:hAnsi="Verdana" w:cs="Arial"/>
          <w:color w:val="000000" w:themeColor="text1"/>
          <w:lang w:val="es-ES" w:eastAsia="es-ES"/>
        </w:rPr>
      </w:pPr>
    </w:p>
    <w:p w14:paraId="7528F9B8" w14:textId="77777777" w:rsidR="00FF70D2" w:rsidRPr="002069C6" w:rsidRDefault="00FF70D2" w:rsidP="00FF70D2">
      <w:pPr>
        <w:pStyle w:val="Prrafodelista"/>
        <w:numPr>
          <w:ilvl w:val="0"/>
          <w:numId w:val="2"/>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2069C6">
        <w:rPr>
          <w:rFonts w:ascii="Verdana" w:eastAsia="Century Gothic" w:hAnsi="Verdana" w:cs="Century Gothic"/>
          <w:b/>
          <w:bCs/>
          <w:color w:val="000000" w:themeColor="text1"/>
        </w:rPr>
        <w:t>Problema planteado:</w:t>
      </w:r>
    </w:p>
    <w:p w14:paraId="40010606" w14:textId="77777777" w:rsidR="00FF70D2" w:rsidRPr="002069C6" w:rsidRDefault="00FF70D2" w:rsidP="00FF70D2">
      <w:pPr>
        <w:tabs>
          <w:tab w:val="left" w:pos="426"/>
        </w:tabs>
        <w:spacing w:after="0" w:line="276" w:lineRule="auto"/>
        <w:jc w:val="both"/>
        <w:rPr>
          <w:rFonts w:ascii="Verdana" w:eastAsia="Century Gothic" w:hAnsi="Verdana" w:cs="Century Gothic"/>
          <w:color w:val="000000" w:themeColor="text1"/>
          <w:lang w:val="es-ES"/>
        </w:rPr>
      </w:pPr>
    </w:p>
    <w:p w14:paraId="0250E987" w14:textId="77777777" w:rsidR="00FF70D2" w:rsidRPr="00636868" w:rsidRDefault="00FF70D2" w:rsidP="00FF70D2">
      <w:pPr>
        <w:spacing w:after="0" w:line="276" w:lineRule="auto"/>
        <w:jc w:val="both"/>
        <w:rPr>
          <w:rFonts w:ascii="Verdana" w:eastAsia="Century Gothic" w:hAnsi="Verdana" w:cs="Century Gothic"/>
          <w:color w:val="000000" w:themeColor="text1"/>
        </w:rPr>
      </w:pPr>
      <w:r w:rsidRPr="002069C6">
        <w:rPr>
          <w:rFonts w:ascii="Verdana" w:eastAsia="Century Gothic" w:hAnsi="Verdana" w:cs="Century Gothic"/>
          <w:color w:val="000000" w:themeColor="text1"/>
          <w:lang w:val="es-ES"/>
        </w:rPr>
        <w:t xml:space="preserve">De acuerdo con el contenido de su solicitud, esta Agencia resolverá </w:t>
      </w:r>
      <w:r>
        <w:rPr>
          <w:rFonts w:ascii="Verdana" w:eastAsia="Century Gothic" w:hAnsi="Verdana" w:cs="Century Gothic"/>
          <w:color w:val="000000" w:themeColor="text1"/>
          <w:lang w:val="es-ES"/>
        </w:rPr>
        <w:t>los</w:t>
      </w:r>
      <w:r w:rsidRPr="002069C6">
        <w:rPr>
          <w:rFonts w:ascii="Verdana" w:eastAsia="Century Gothic" w:hAnsi="Verdana" w:cs="Century Gothic"/>
          <w:color w:val="000000" w:themeColor="text1"/>
          <w:lang w:val="es-ES"/>
        </w:rPr>
        <w:t xml:space="preserve"> siguiente</w:t>
      </w:r>
      <w:r>
        <w:rPr>
          <w:rFonts w:ascii="Verdana" w:eastAsia="Century Gothic" w:hAnsi="Verdana" w:cs="Century Gothic"/>
          <w:color w:val="000000" w:themeColor="text1"/>
          <w:lang w:val="es-ES"/>
        </w:rPr>
        <w:t>s</w:t>
      </w:r>
      <w:r w:rsidRPr="002069C6">
        <w:rPr>
          <w:rFonts w:ascii="Verdana" w:eastAsia="Century Gothic" w:hAnsi="Verdana" w:cs="Century Gothic"/>
          <w:color w:val="000000" w:themeColor="text1"/>
          <w:lang w:val="es-ES"/>
        </w:rPr>
        <w:t xml:space="preserve"> problema</w:t>
      </w:r>
      <w:r>
        <w:rPr>
          <w:rFonts w:ascii="Verdana" w:eastAsia="Century Gothic" w:hAnsi="Verdana" w:cs="Century Gothic"/>
          <w:color w:val="000000" w:themeColor="text1"/>
          <w:lang w:val="es-ES"/>
        </w:rPr>
        <w:t>s</w:t>
      </w:r>
      <w:r w:rsidRPr="002069C6">
        <w:rPr>
          <w:rFonts w:ascii="Verdana" w:eastAsia="Century Gothic" w:hAnsi="Verdana" w:cs="Century Gothic"/>
          <w:color w:val="000000" w:themeColor="text1"/>
          <w:lang w:val="es-ES"/>
        </w:rPr>
        <w:t xml:space="preserve"> jurídico</w:t>
      </w:r>
      <w:r>
        <w:rPr>
          <w:rFonts w:ascii="Verdana" w:eastAsia="Century Gothic" w:hAnsi="Verdana" w:cs="Century Gothic"/>
          <w:color w:val="000000" w:themeColor="text1"/>
          <w:lang w:val="es-ES"/>
        </w:rPr>
        <w:t>s</w:t>
      </w:r>
      <w:r w:rsidRPr="002069C6">
        <w:rPr>
          <w:rFonts w:ascii="Verdana" w:eastAsia="Century Gothic" w:hAnsi="Verdana" w:cs="Century Gothic"/>
          <w:color w:val="000000" w:themeColor="text1"/>
          <w:lang w:val="es-ES"/>
        </w:rPr>
        <w:t xml:space="preserve">: </w:t>
      </w:r>
      <w:r>
        <w:rPr>
          <w:rFonts w:ascii="Verdana" w:eastAsia="Century Gothic" w:hAnsi="Verdana" w:cs="Century Gothic"/>
          <w:color w:val="000000" w:themeColor="text1"/>
          <w:lang w:val="es-ES"/>
        </w:rPr>
        <w:t>i) ¿</w:t>
      </w:r>
      <w:r w:rsidRPr="00636868">
        <w:rPr>
          <w:rFonts w:ascii="Verdana" w:eastAsia="Century Gothic" w:hAnsi="Verdana" w:cs="Century Gothic"/>
          <w:color w:val="000000" w:themeColor="text1"/>
        </w:rPr>
        <w:t xml:space="preserve">Es jurídicamente procedente celebrar un contrato de administración delegada de recursos mediante la modalidad de selección de mínima cuantía?; </w:t>
      </w:r>
      <w:proofErr w:type="spellStart"/>
      <w:r w:rsidRPr="00636868">
        <w:rPr>
          <w:rFonts w:ascii="Verdana" w:eastAsia="Century Gothic" w:hAnsi="Verdana" w:cs="Century Gothic"/>
          <w:color w:val="000000" w:themeColor="text1"/>
        </w:rPr>
        <w:t>ii</w:t>
      </w:r>
      <w:proofErr w:type="spellEnd"/>
      <w:r w:rsidRPr="00636868">
        <w:rPr>
          <w:rFonts w:ascii="Verdana" w:eastAsia="Century Gothic" w:hAnsi="Verdana" w:cs="Century Gothic"/>
          <w:color w:val="000000" w:themeColor="text1"/>
        </w:rPr>
        <w:t xml:space="preserve">) Para determinar la modalidad de selección, ¿debe atenderse al valor de los honorarios o comisión del administrador, o al valor total de los recursos públicos comprometidos en la operación?; y </w:t>
      </w:r>
      <w:proofErr w:type="spellStart"/>
      <w:r w:rsidRPr="00636868">
        <w:rPr>
          <w:rFonts w:ascii="Verdana" w:eastAsia="Century Gothic" w:hAnsi="Verdana" w:cs="Century Gothic"/>
          <w:color w:val="000000" w:themeColor="text1"/>
        </w:rPr>
        <w:t>iii</w:t>
      </w:r>
      <w:proofErr w:type="spellEnd"/>
      <w:r w:rsidRPr="00636868">
        <w:rPr>
          <w:rFonts w:ascii="Verdana" w:eastAsia="Century Gothic" w:hAnsi="Verdana" w:cs="Century Gothic"/>
          <w:color w:val="000000" w:themeColor="text1"/>
        </w:rPr>
        <w:t>)</w:t>
      </w:r>
      <w:r>
        <w:rPr>
          <w:rFonts w:ascii="Verdana" w:eastAsia="Century Gothic" w:hAnsi="Verdana" w:cs="Century Gothic"/>
          <w:color w:val="000000" w:themeColor="text1"/>
        </w:rPr>
        <w:t xml:space="preserve"> </w:t>
      </w:r>
      <w:r w:rsidRPr="00636868">
        <w:rPr>
          <w:rFonts w:ascii="Verdana" w:eastAsia="Century Gothic" w:hAnsi="Verdana" w:cs="Century Gothic"/>
          <w:color w:val="000000" w:themeColor="text1"/>
        </w:rPr>
        <w:t>¿</w:t>
      </w:r>
      <w:r>
        <w:rPr>
          <w:rFonts w:ascii="Verdana" w:eastAsia="Century Gothic" w:hAnsi="Verdana" w:cs="Century Gothic"/>
          <w:color w:val="000000" w:themeColor="text1"/>
        </w:rPr>
        <w:t>c</w:t>
      </w:r>
      <w:r w:rsidRPr="00636868">
        <w:rPr>
          <w:rFonts w:ascii="Verdana" w:eastAsia="Century Gothic" w:hAnsi="Verdana" w:cs="Century Gothic"/>
          <w:color w:val="000000" w:themeColor="text1"/>
        </w:rPr>
        <w:t>onfigura una indebida estructuración o una elusión de la modalidad de selección estructurar el contrato por el valor de la mínima cuantía atendiendo solo a los honorarios, cuando la operación real implica administrar y ejecutar recursos por una suma muy superior?</w:t>
      </w:r>
    </w:p>
    <w:p w14:paraId="751B8F3F" w14:textId="77777777" w:rsidR="00FF70D2" w:rsidRPr="002069C6" w:rsidRDefault="00FF70D2" w:rsidP="00FF70D2">
      <w:pPr>
        <w:spacing w:after="0" w:line="276" w:lineRule="auto"/>
        <w:jc w:val="both"/>
        <w:rPr>
          <w:rFonts w:ascii="Verdana" w:eastAsia="Century Gothic" w:hAnsi="Verdana" w:cs="Century Gothic"/>
          <w:color w:val="000000" w:themeColor="text1"/>
          <w:lang w:val="es-ES"/>
        </w:rPr>
      </w:pPr>
    </w:p>
    <w:p w14:paraId="3D534E5D" w14:textId="77777777" w:rsidR="00FF70D2" w:rsidRPr="002069C6" w:rsidRDefault="00FF70D2" w:rsidP="00FF70D2">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2069C6">
        <w:rPr>
          <w:rFonts w:ascii="Verdana" w:eastAsia="Century Gothic" w:hAnsi="Verdana" w:cs="Century Gothic"/>
          <w:b/>
          <w:bCs/>
          <w:color w:val="000000" w:themeColor="text1"/>
        </w:rPr>
        <w:t>Respuesta:</w:t>
      </w:r>
    </w:p>
    <w:p w14:paraId="3FF21489" w14:textId="77777777" w:rsidR="00FF70D2" w:rsidRPr="002069C6" w:rsidRDefault="00FF70D2" w:rsidP="00FF70D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F70D2" w:rsidRPr="002069C6" w14:paraId="235E0DFA" w14:textId="77777777" w:rsidTr="00992AEE">
        <w:tc>
          <w:tcPr>
            <w:tcW w:w="8828" w:type="dxa"/>
          </w:tcPr>
          <w:p w14:paraId="450AA1F0" w14:textId="77777777" w:rsidR="00FF70D2" w:rsidRDefault="00FF70D2" w:rsidP="00992AEE">
            <w:pPr>
              <w:spacing w:after="120" w:line="276" w:lineRule="auto"/>
              <w:jc w:val="both"/>
              <w:rPr>
                <w:rFonts w:ascii="Verdana" w:hAnsi="Verdana" w:cs="Arial"/>
                <w:bCs/>
                <w:lang w:eastAsia="es-ES" w:bidi="es-ES"/>
              </w:rPr>
            </w:pPr>
            <w:r>
              <w:rPr>
                <w:rFonts w:ascii="Verdana" w:hAnsi="Verdana" w:cs="Arial"/>
                <w:bCs/>
                <w:lang w:eastAsia="es-ES" w:bidi="es-ES"/>
              </w:rPr>
              <w:t xml:space="preserve">En respuesta a los interrogantes planteados, esta Subdirección debe señalar que: </w:t>
            </w:r>
          </w:p>
          <w:p w14:paraId="43F349AE" w14:textId="77777777" w:rsidR="00FF70D2" w:rsidRPr="000A0861" w:rsidRDefault="00FF70D2" w:rsidP="00992AEE">
            <w:pPr>
              <w:spacing w:after="120" w:line="276" w:lineRule="auto"/>
              <w:jc w:val="both"/>
              <w:rPr>
                <w:rFonts w:ascii="Verdana" w:hAnsi="Verdana" w:cs="Arial"/>
                <w:bCs/>
                <w:lang w:eastAsia="es-ES" w:bidi="es-ES"/>
              </w:rPr>
            </w:pPr>
            <w:r w:rsidRPr="000A0861">
              <w:rPr>
                <w:rFonts w:ascii="Verdana" w:hAnsi="Verdana" w:cs="Arial"/>
                <w:bCs/>
                <w:lang w:eastAsia="es-ES" w:bidi="es-ES"/>
              </w:rPr>
              <w:t>i. La administración delegada de recursos puede celebrarse mediante la modalidad de mínima cuantía. Al amparo de la autonomía de la voluntad y de la remisión que los artículos 13, 32 y 40 de la Ley 80 de 1993 hacen a las normas civiles y comerciales, las entidades estatales están habilitadas para pactar esta forma de administración de recursos, sin que exista una prohibición para adelantar su selección por dicha modalidad. Su procedencia, no obstante, no depende de la naturaleza de la figura, sino del valor del contrato.</w:t>
            </w:r>
          </w:p>
          <w:p w14:paraId="675E7BB7" w14:textId="77777777" w:rsidR="00FF70D2" w:rsidRPr="000A0861" w:rsidRDefault="00FF70D2" w:rsidP="00992AEE">
            <w:pPr>
              <w:spacing w:after="120" w:line="276" w:lineRule="auto"/>
              <w:jc w:val="both"/>
              <w:rPr>
                <w:rFonts w:ascii="Verdana" w:hAnsi="Verdana" w:cs="Arial"/>
                <w:bCs/>
                <w:lang w:eastAsia="es-ES" w:bidi="es-ES"/>
              </w:rPr>
            </w:pPr>
            <w:proofErr w:type="spellStart"/>
            <w:r w:rsidRPr="000A0861">
              <w:rPr>
                <w:rFonts w:ascii="Verdana" w:hAnsi="Verdana" w:cs="Arial"/>
                <w:bCs/>
                <w:lang w:eastAsia="es-ES" w:bidi="es-ES"/>
              </w:rPr>
              <w:t>ii</w:t>
            </w:r>
            <w:proofErr w:type="spellEnd"/>
            <w:r w:rsidRPr="000A0861">
              <w:rPr>
                <w:rFonts w:ascii="Verdana" w:hAnsi="Verdana" w:cs="Arial"/>
                <w:bCs/>
                <w:lang w:eastAsia="es-ES" w:bidi="es-ES"/>
              </w:rPr>
              <w:t xml:space="preserve">. Ese valor, tratándose de administración delegada, no se agota en los honorarios o comisión del administrador, sino que comprende también los recursos públicos entregados para su administración y ejecución. Como lo reitera la jurisprudencia recogida en este concepto, el contratista "recibe como valor del contrato los recursos de inversión o entregados en administración y </w:t>
            </w:r>
            <w:r w:rsidRPr="000A0861">
              <w:rPr>
                <w:rFonts w:ascii="Verdana" w:hAnsi="Verdana" w:cs="Arial"/>
                <w:bCs/>
                <w:lang w:eastAsia="es-ES" w:bidi="es-ES"/>
              </w:rPr>
              <w:lastRenderedPageBreak/>
              <w:t>los honorarios", de manera que ambos componentes conforman la magnitud del negocio y, por consiguiente, la base sobre la cual se establece la modalidad de selección. La mínima cuantía, procedente conforme al artículo 94 de la Ley 1474 de 2011 cuando el valor a contratar no excede del diez por ciento (10%) de la menor cuantía de la entidad, solo resulta viable si ese valor total no supera dicho tope, aun cuando los honorarios, considerados aisladamente, no lo hagan.</w:t>
            </w:r>
          </w:p>
          <w:p w14:paraId="2EBCFDB6" w14:textId="77777777" w:rsidR="00FF70D2" w:rsidRPr="00585660" w:rsidRDefault="00FF70D2" w:rsidP="00992AEE">
            <w:pPr>
              <w:spacing w:after="120" w:line="276" w:lineRule="auto"/>
              <w:jc w:val="both"/>
              <w:rPr>
                <w:rFonts w:ascii="Verdana" w:eastAsia="Arial" w:hAnsi="Verdana" w:cs="Arial"/>
                <w:lang w:val="es-ES"/>
              </w:rPr>
            </w:pPr>
            <w:proofErr w:type="spellStart"/>
            <w:r w:rsidRPr="000A0861">
              <w:rPr>
                <w:rFonts w:ascii="Verdana" w:hAnsi="Verdana" w:cs="Arial"/>
                <w:bCs/>
                <w:lang w:eastAsia="es-ES" w:bidi="es-ES"/>
              </w:rPr>
              <w:t>iii</w:t>
            </w:r>
            <w:proofErr w:type="spellEnd"/>
            <w:r w:rsidRPr="000A0861">
              <w:rPr>
                <w:rFonts w:ascii="Verdana" w:hAnsi="Verdana" w:cs="Arial"/>
                <w:bCs/>
                <w:lang w:eastAsia="es-ES" w:bidi="es-ES"/>
              </w:rPr>
              <w:t xml:space="preserve">. De lo anterior se desprende que atender únicamente a los honorarios para encuadrar el contrato en la mínima cuantía, cuando el valor total de los recursos administrados y ejecutados desborda ese límite, desatiende el deber de planeación y la correcta determinación de la modalidad de selección </w:t>
            </w:r>
            <w:r>
              <w:rPr>
                <w:rFonts w:ascii="Verdana" w:hAnsi="Verdana" w:cs="Arial"/>
                <w:bCs/>
                <w:lang w:eastAsia="es-ES" w:bidi="es-ES"/>
              </w:rPr>
              <w:t>–</w:t>
            </w:r>
            <w:r w:rsidRPr="000A0861">
              <w:rPr>
                <w:rFonts w:ascii="Verdana" w:hAnsi="Verdana" w:cs="Arial"/>
                <w:bCs/>
                <w:lang w:eastAsia="es-ES" w:bidi="es-ES"/>
              </w:rPr>
              <w:t>artículos 2 y 5 de la Ley 1150 de 2007</w:t>
            </w:r>
            <w:r>
              <w:rPr>
                <w:rFonts w:ascii="Verdana" w:hAnsi="Verdana" w:cs="Arial"/>
                <w:bCs/>
                <w:lang w:eastAsia="es-ES" w:bidi="es-ES"/>
              </w:rPr>
              <w:t>–</w:t>
            </w:r>
            <w:r w:rsidRPr="000A0861">
              <w:rPr>
                <w:rFonts w:ascii="Verdana" w:hAnsi="Verdana" w:cs="Arial"/>
                <w:bCs/>
                <w:lang w:eastAsia="es-ES" w:bidi="es-ES"/>
              </w:rPr>
              <w:t>, con mayor razón cuando el mismo contratista, además de administrar, ejecuta directamente las actividades financiadas con dichos recursos. Una estructuración de esa índole puede constituir un fraccionamiento o una elusión de la modalidad de selección que legalmente correspondería. No se trata de un defecto meramente formal, sino de una infracción de normas imperativas y de orden público que rigen la escogencia de la modalidad, con aptitud para afectar la legalidad del procedimiento y la validez del contrato en la medida en que comprometa la concurrencia, la igualdad y la selección objetiva —según el criterio de trascendencia o materialidad del vicio—, y con aptitud, además, para dar lugar a responsabilidades disciplinarias, fiscales o penales según el régimen aplicable al momento de los hechos.</w:t>
            </w:r>
            <w:r>
              <w:rPr>
                <w:rFonts w:ascii="Verdana" w:hAnsi="Verdana" w:cs="Arial"/>
                <w:bCs/>
                <w:lang w:eastAsia="es-ES" w:bidi="es-ES"/>
              </w:rPr>
              <w:t xml:space="preserve"> En todo caso, l</w:t>
            </w:r>
            <w:r w:rsidRPr="000A0861">
              <w:rPr>
                <w:rFonts w:ascii="Verdana" w:hAnsi="Verdana" w:cs="Arial"/>
                <w:bCs/>
                <w:lang w:eastAsia="es-ES" w:bidi="es-ES"/>
              </w:rPr>
              <w:t>a calificación de la irregularidad y de sus consecuencias en el caso concreto no corresponde a esta Agencia, sino al juez del contrato y a las autoridades de control disciplinario, fiscal y penal, según la materia.</w:t>
            </w:r>
          </w:p>
        </w:tc>
      </w:tr>
    </w:tbl>
    <w:p w14:paraId="6A4B0802" w14:textId="77777777" w:rsidR="00FF70D2" w:rsidRPr="002069C6" w:rsidRDefault="00FF70D2" w:rsidP="00FF70D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B7F2CE9" w14:textId="77777777" w:rsidR="00FF70D2" w:rsidRPr="002069C6" w:rsidRDefault="00FF70D2" w:rsidP="00FF70D2">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2069C6">
        <w:rPr>
          <w:rFonts w:ascii="Verdana" w:eastAsia="Century Gothic" w:hAnsi="Verdana" w:cs="Century Gothic"/>
          <w:b/>
          <w:bCs/>
          <w:color w:val="000000" w:themeColor="text1"/>
        </w:rPr>
        <w:t>Razones de la respuesta:</w:t>
      </w:r>
    </w:p>
    <w:p w14:paraId="38EACDF9" w14:textId="77777777" w:rsidR="00FF70D2" w:rsidRPr="002069C6" w:rsidRDefault="00FF70D2" w:rsidP="00FF70D2">
      <w:pPr>
        <w:spacing w:after="0" w:line="276" w:lineRule="auto"/>
        <w:jc w:val="both"/>
        <w:rPr>
          <w:rFonts w:ascii="Verdana" w:eastAsia="Calibri" w:hAnsi="Verdana" w:cs="Arial"/>
          <w:color w:val="000000" w:themeColor="text1"/>
          <w:lang w:val="es-ES"/>
        </w:rPr>
      </w:pPr>
    </w:p>
    <w:p w14:paraId="22EC8F71" w14:textId="77777777" w:rsidR="00FF70D2" w:rsidRPr="002069C6" w:rsidRDefault="00FF70D2" w:rsidP="00FF70D2">
      <w:pPr>
        <w:spacing w:after="0" w:line="276" w:lineRule="auto"/>
        <w:jc w:val="both"/>
        <w:rPr>
          <w:rFonts w:ascii="Verdana" w:eastAsia="Calibri" w:hAnsi="Verdana" w:cs="Arial"/>
          <w:color w:val="000000" w:themeColor="text1"/>
          <w:lang w:val="es-ES"/>
        </w:rPr>
      </w:pPr>
      <w:r w:rsidRPr="002069C6">
        <w:rPr>
          <w:rFonts w:ascii="Verdana" w:eastAsia="Calibri" w:hAnsi="Verdana" w:cs="Arial"/>
          <w:color w:val="000000" w:themeColor="text1"/>
          <w:lang w:val="es-ES"/>
        </w:rPr>
        <w:t xml:space="preserve">Lo anterior se sustenta en las siguientes consideraciones: </w:t>
      </w:r>
    </w:p>
    <w:p w14:paraId="6847AE8D" w14:textId="77777777" w:rsidR="00FF70D2" w:rsidRPr="002069C6" w:rsidRDefault="00FF70D2" w:rsidP="00FF70D2">
      <w:pPr>
        <w:spacing w:after="0" w:line="276" w:lineRule="auto"/>
        <w:jc w:val="both"/>
        <w:rPr>
          <w:rFonts w:ascii="Verdana" w:eastAsia="Calibri" w:hAnsi="Verdana" w:cs="Arial"/>
          <w:lang w:val="es-ES"/>
        </w:rPr>
      </w:pPr>
    </w:p>
    <w:p w14:paraId="21004286" w14:textId="77777777" w:rsidR="00FF70D2" w:rsidRPr="00EF3B23" w:rsidRDefault="00FF70D2" w:rsidP="00FF70D2">
      <w:pPr>
        <w:spacing w:after="120" w:line="276" w:lineRule="auto"/>
        <w:jc w:val="both"/>
        <w:rPr>
          <w:rFonts w:ascii="Verdana" w:eastAsia="Calibri" w:hAnsi="Verdana" w:cs="Arial"/>
          <w:color w:val="000000" w:themeColor="text1"/>
          <w:lang w:val="es-ES"/>
        </w:rPr>
      </w:pPr>
      <w:r>
        <w:rPr>
          <w:rFonts w:ascii="Verdana" w:eastAsia="Calibri" w:hAnsi="Verdana" w:cs="Arial"/>
          <w:color w:val="000000" w:themeColor="text1"/>
          <w:lang w:val="es-ES"/>
        </w:rPr>
        <w:t>E</w:t>
      </w:r>
      <w:r w:rsidRPr="004027CC">
        <w:rPr>
          <w:rFonts w:ascii="Verdana" w:eastAsia="Arial" w:hAnsi="Verdana" w:cs="Arial"/>
          <w:color w:val="000000" w:themeColor="text1"/>
          <w:lang w:val="es-ES_tradnl" w:eastAsia="es-ES_tradnl"/>
        </w:rPr>
        <w:t>l artículo 1º de la Ley 80 de 1993 –EGCAP</w:t>
      </w:r>
      <w:r>
        <w:rPr>
          <w:rFonts w:ascii="Verdana" w:eastAsia="Arial" w:hAnsi="Verdana" w:cs="Arial"/>
          <w:color w:val="000000" w:themeColor="text1"/>
          <w:lang w:val="es-ES_tradnl" w:eastAsia="es-ES_tradnl"/>
        </w:rPr>
        <w:t>-</w:t>
      </w:r>
      <w:r w:rsidRPr="004027CC">
        <w:rPr>
          <w:rFonts w:ascii="Verdana" w:eastAsia="Arial" w:hAnsi="Verdana" w:cs="Arial"/>
          <w:color w:val="000000" w:themeColor="text1"/>
          <w:lang w:val="es-ES_tradnl" w:eastAsia="es-ES_tradnl"/>
        </w:rPr>
        <w:t>, determina que su objetivo es disponer de reglas y principios que rigen los contratos de las entidades estatales</w:t>
      </w:r>
      <w:r>
        <w:rPr>
          <w:rFonts w:ascii="Verdana" w:eastAsia="Arial" w:hAnsi="Verdana" w:cs="Arial"/>
          <w:color w:val="000000" w:themeColor="text1"/>
          <w:lang w:val="es-ES_tradnl" w:eastAsia="es-ES_tradnl"/>
        </w:rPr>
        <w:t>. En</w:t>
      </w:r>
      <w:r w:rsidRPr="004027CC">
        <w:rPr>
          <w:rFonts w:ascii="Verdana" w:eastAsia="Arial" w:hAnsi="Verdana" w:cs="Arial"/>
          <w:color w:val="000000" w:themeColor="text1"/>
          <w:lang w:val="es-ES_tradnl" w:eastAsia="es-ES_tradnl"/>
        </w:rPr>
        <w:t xml:space="preserve"> ese sentido, el artículo 32 </w:t>
      </w:r>
      <w:r w:rsidRPr="004027CC">
        <w:rPr>
          <w:rFonts w:ascii="Verdana" w:eastAsia="Arial" w:hAnsi="Verdana" w:cs="Arial"/>
          <w:i/>
          <w:iCs/>
          <w:color w:val="000000" w:themeColor="text1"/>
          <w:lang w:val="es-ES_tradnl" w:eastAsia="es-ES_tradnl"/>
        </w:rPr>
        <w:t>ibidem</w:t>
      </w:r>
      <w:r w:rsidRPr="004027CC">
        <w:rPr>
          <w:rFonts w:ascii="Verdana" w:eastAsia="Arial" w:hAnsi="Verdana" w:cs="Arial"/>
          <w:color w:val="000000" w:themeColor="text1"/>
          <w:lang w:val="es-ES_tradnl" w:eastAsia="es-ES_tradnl"/>
        </w:rPr>
        <w:t xml:space="preserve"> define los contratos estatales como “todos los actos jurídicos, generadores de obligaciones que celebren las entidades a que </w:t>
      </w:r>
      <w:r w:rsidRPr="004027CC">
        <w:rPr>
          <w:rFonts w:ascii="Verdana" w:eastAsia="Arial" w:hAnsi="Verdana" w:cs="Arial"/>
          <w:color w:val="000000" w:themeColor="text1"/>
          <w:lang w:val="es-ES_tradnl" w:eastAsia="es-ES_tradnl"/>
        </w:rPr>
        <w:lastRenderedPageBreak/>
        <w:t xml:space="preserve">se refiere este estatuto </w:t>
      </w:r>
      <w:r>
        <w:rPr>
          <w:rFonts w:ascii="Verdana" w:eastAsia="Arial" w:hAnsi="Verdana" w:cs="Arial"/>
          <w:color w:val="000000" w:themeColor="text1"/>
          <w:lang w:val="es-ES_tradnl" w:eastAsia="es-ES_tradnl"/>
        </w:rPr>
        <w:t>(</w:t>
      </w:r>
      <w:r w:rsidRPr="004027CC">
        <w:rPr>
          <w:rFonts w:ascii="Verdana" w:eastAsia="Arial" w:hAnsi="Verdana" w:cs="Arial"/>
          <w:color w:val="000000" w:themeColor="text1"/>
          <w:lang w:val="es-ES_tradnl" w:eastAsia="es-ES_tradnl"/>
        </w:rPr>
        <w:t>art. 2</w:t>
      </w:r>
      <w:r>
        <w:rPr>
          <w:rFonts w:ascii="Verdana" w:eastAsia="Arial" w:hAnsi="Verdana" w:cs="Arial"/>
          <w:color w:val="000000" w:themeColor="text1"/>
          <w:lang w:val="es-ES_tradnl" w:eastAsia="es-ES_tradnl"/>
        </w:rPr>
        <w:t>)</w:t>
      </w:r>
      <w:r w:rsidRPr="004027CC">
        <w:rPr>
          <w:rFonts w:ascii="Verdana" w:eastAsia="Arial" w:hAnsi="Verdana" w:cs="Arial"/>
          <w:color w:val="000000" w:themeColor="text1"/>
          <w:lang w:val="es-ES_tradnl" w:eastAsia="es-ES_tradnl"/>
        </w:rPr>
        <w:t xml:space="preserve">, previstos en el derecho privado o en disposiciones especiales, o derivados del ejercicio de la autonomía de la voluntad”. </w:t>
      </w:r>
    </w:p>
    <w:p w14:paraId="2204C65B" w14:textId="77777777" w:rsidR="00FF70D2" w:rsidRPr="002C3DAB" w:rsidRDefault="00FF70D2" w:rsidP="00FF70D2">
      <w:pPr>
        <w:widowControl w:val="0"/>
        <w:autoSpaceDE w:val="0"/>
        <w:autoSpaceDN w:val="0"/>
        <w:spacing w:before="120" w:after="120" w:line="276" w:lineRule="auto"/>
        <w:ind w:firstLine="709"/>
        <w:jc w:val="both"/>
        <w:rPr>
          <w:rFonts w:ascii="Verdana" w:eastAsia="Arial" w:hAnsi="Verdana" w:cs="Arial"/>
          <w:color w:val="000000" w:themeColor="text1"/>
          <w:lang w:val="es-ES_tradnl" w:eastAsia="es-ES_tradnl"/>
        </w:rPr>
      </w:pPr>
      <w:r>
        <w:rPr>
          <w:rFonts w:ascii="Verdana" w:eastAsia="Arial" w:hAnsi="Verdana" w:cs="Arial"/>
          <w:color w:val="000000" w:themeColor="text1"/>
          <w:lang w:val="es-ES_tradnl" w:eastAsia="es-ES_tradnl"/>
        </w:rPr>
        <w:t>En este contexto, e</w:t>
      </w:r>
      <w:r>
        <w:rPr>
          <w:rFonts w:ascii="Verdana" w:hAnsi="Verdana" w:cs="Arial"/>
          <w:bCs/>
        </w:rPr>
        <w:t>l sistema de compras públicas</w:t>
      </w:r>
      <w:r w:rsidRPr="00FB2E1F">
        <w:rPr>
          <w:rFonts w:ascii="Verdana" w:hAnsi="Verdana" w:cs="Arial"/>
          <w:bCs/>
        </w:rPr>
        <w:t xml:space="preserve"> </w:t>
      </w:r>
      <w:r>
        <w:rPr>
          <w:rFonts w:ascii="Verdana" w:hAnsi="Verdana" w:cs="Arial"/>
          <w:bCs/>
        </w:rPr>
        <w:t xml:space="preserve">puede apoyarse </w:t>
      </w:r>
      <w:r w:rsidRPr="00FB2E1F">
        <w:rPr>
          <w:rFonts w:ascii="Verdana" w:hAnsi="Verdana" w:cs="Arial"/>
          <w:bCs/>
        </w:rPr>
        <w:t xml:space="preserve">en normas de derecho civil y comercial. Respecto a las </w:t>
      </w:r>
      <w:r w:rsidRPr="00F6204E">
        <w:rPr>
          <w:rFonts w:ascii="Verdana" w:hAnsi="Verdana" w:cs="Arial"/>
          <w:bCs/>
        </w:rPr>
        <w:t>entidades sometidas a la Ley 80 de 1993</w:t>
      </w:r>
      <w:r w:rsidRPr="00FB2E1F">
        <w:rPr>
          <w:rFonts w:ascii="Verdana" w:hAnsi="Verdana" w:cs="Arial"/>
          <w:bCs/>
        </w:rPr>
        <w:t xml:space="preserve">, el inciso primero del artículo 13 dispone que “Los contratos que celebren las entidades a que se refiere el artículo 2o. del presente estatuto se regirán por las disposiciones comerciales y civiles pertinentes, salvo en las materias particularmente reguladas en esta ley”. </w:t>
      </w:r>
      <w:r>
        <w:rPr>
          <w:rFonts w:ascii="Verdana" w:hAnsi="Verdana" w:cs="Arial"/>
          <w:bCs/>
        </w:rPr>
        <w:t xml:space="preserve">Esta posición </w:t>
      </w:r>
      <w:r w:rsidRPr="00FB2E1F">
        <w:rPr>
          <w:rFonts w:ascii="Verdana" w:hAnsi="Verdana" w:cs="Arial"/>
          <w:bCs/>
        </w:rPr>
        <w:t xml:space="preserve">se reitera en el EGCAP </w:t>
      </w:r>
      <w:r>
        <w:rPr>
          <w:rFonts w:ascii="Verdana" w:hAnsi="Verdana" w:cs="Arial"/>
          <w:bCs/>
        </w:rPr>
        <w:t xml:space="preserve">al señalar </w:t>
      </w:r>
      <w:r w:rsidRPr="00FB2E1F">
        <w:rPr>
          <w:rFonts w:ascii="Verdana" w:hAnsi="Verdana" w:cs="Arial"/>
          <w:bCs/>
        </w:rPr>
        <w:t xml:space="preserve">que “Las estipulaciones de los contratos serán las </w:t>
      </w:r>
      <w:proofErr w:type="gramStart"/>
      <w:r w:rsidRPr="00FB2E1F">
        <w:rPr>
          <w:rFonts w:ascii="Verdana" w:hAnsi="Verdana" w:cs="Arial"/>
          <w:bCs/>
        </w:rPr>
        <w:t>que</w:t>
      </w:r>
      <w:proofErr w:type="gramEnd"/>
      <w:r w:rsidRPr="00FB2E1F">
        <w:rPr>
          <w:rFonts w:ascii="Verdana" w:hAnsi="Verdana" w:cs="Arial"/>
          <w:bCs/>
        </w:rPr>
        <w:t xml:space="preserve"> de acuerdo con las normas civiles, comerciales y las previstas en esta ley, correspondan a su esencia y naturaleza” –art. 40, inciso primero–.</w:t>
      </w:r>
    </w:p>
    <w:p w14:paraId="2C3A42F6" w14:textId="77777777" w:rsidR="00FF70D2" w:rsidRDefault="00FF70D2" w:rsidP="00FF70D2">
      <w:pPr>
        <w:spacing w:after="120" w:line="276" w:lineRule="auto"/>
        <w:ind w:firstLine="709"/>
        <w:jc w:val="both"/>
        <w:rPr>
          <w:rFonts w:ascii="Verdana" w:eastAsia="Calibri" w:hAnsi="Verdana" w:cs="Arial"/>
          <w:lang w:eastAsia="es-ES_tradnl"/>
        </w:rPr>
      </w:pPr>
      <w:r>
        <w:rPr>
          <w:rFonts w:ascii="Verdana" w:eastAsia="Calibri" w:hAnsi="Verdana" w:cs="Arial"/>
          <w:lang w:eastAsia="es-ES"/>
        </w:rPr>
        <w:t xml:space="preserve">De esta manera, </w:t>
      </w:r>
      <w:bookmarkStart w:id="1" w:name="_Hlk121750642"/>
      <w:r w:rsidRPr="004027CC">
        <w:rPr>
          <w:rFonts w:ascii="Verdana" w:eastAsia="Times New Roman" w:hAnsi="Verdana" w:cs="Arial"/>
          <w:color w:val="000000" w:themeColor="text1"/>
          <w:lang w:eastAsia="es-ES_tradnl"/>
        </w:rPr>
        <w:t xml:space="preserve">las </w:t>
      </w:r>
      <w:r w:rsidRPr="004027CC">
        <w:rPr>
          <w:rFonts w:ascii="Verdana" w:eastAsia="Calibri" w:hAnsi="Verdana" w:cs="Arial"/>
          <w:lang w:eastAsia="es-ES_tradnl"/>
        </w:rPr>
        <w:t>entidades estatales regidas por el EGCAP están habilitadas para celebrar los contratos que suelen celebrar los particulares entre sí</w:t>
      </w:r>
      <w:r>
        <w:rPr>
          <w:rFonts w:ascii="Verdana" w:eastAsia="Calibri" w:hAnsi="Verdana" w:cs="Arial"/>
          <w:lang w:eastAsia="es-ES_tradnl"/>
        </w:rPr>
        <w:t>,</w:t>
      </w:r>
      <w:r w:rsidRPr="004027CC">
        <w:rPr>
          <w:rFonts w:ascii="Verdana" w:eastAsia="Calibri" w:hAnsi="Verdana" w:cs="Arial"/>
          <w:lang w:eastAsia="es-ES_tradnl"/>
        </w:rPr>
        <w:t xml:space="preserve"> en</w:t>
      </w:r>
      <w:r>
        <w:rPr>
          <w:rFonts w:ascii="Verdana" w:eastAsia="Calibri" w:hAnsi="Verdana" w:cs="Arial"/>
          <w:lang w:eastAsia="es-ES_tradnl"/>
        </w:rPr>
        <w:t xml:space="preserve"> virtud del </w:t>
      </w:r>
      <w:r w:rsidRPr="000A76FC">
        <w:rPr>
          <w:rFonts w:ascii="Verdana" w:eastAsia="Calibri" w:hAnsi="Verdana" w:cs="Arial"/>
          <w:lang w:eastAsia="es-ES"/>
        </w:rPr>
        <w:t xml:space="preserve">principio de autonomía de la voluntad </w:t>
      </w:r>
      <w:r>
        <w:rPr>
          <w:rFonts w:ascii="Verdana" w:eastAsia="Calibri" w:hAnsi="Verdana" w:cs="Arial"/>
          <w:lang w:eastAsia="es-ES"/>
        </w:rPr>
        <w:t xml:space="preserve">establecido en el </w:t>
      </w:r>
      <w:r w:rsidRPr="000A76FC">
        <w:rPr>
          <w:rFonts w:ascii="Verdana" w:eastAsia="Calibri" w:hAnsi="Verdana" w:cs="Arial"/>
          <w:lang w:eastAsia="es-ES"/>
        </w:rPr>
        <w:t>artículo 1602 del Código Civil</w:t>
      </w:r>
      <w:r w:rsidRPr="004027CC">
        <w:rPr>
          <w:rFonts w:ascii="Verdana" w:eastAsia="Calibri" w:hAnsi="Verdana" w:cs="Arial"/>
          <w:lang w:eastAsia="es-ES_tradnl"/>
        </w:rPr>
        <w:t xml:space="preserve">. En ese sentido, </w:t>
      </w:r>
      <w:bookmarkEnd w:id="1"/>
      <w:r w:rsidRPr="000A76FC">
        <w:rPr>
          <w:rFonts w:ascii="Verdana" w:eastAsia="Calibri" w:hAnsi="Verdana" w:cs="Arial"/>
          <w:lang w:eastAsia="es-ES"/>
        </w:rPr>
        <w:t xml:space="preserve">las entidades podrán </w:t>
      </w:r>
      <w:r>
        <w:rPr>
          <w:rFonts w:ascii="Verdana" w:eastAsia="Calibri" w:hAnsi="Verdana" w:cs="Arial"/>
          <w:lang w:eastAsia="es-ES"/>
        </w:rPr>
        <w:t>pactar</w:t>
      </w:r>
      <w:r w:rsidRPr="000A76FC">
        <w:rPr>
          <w:rFonts w:ascii="Verdana" w:eastAsia="Calibri" w:hAnsi="Verdana" w:cs="Arial"/>
          <w:lang w:eastAsia="es-ES"/>
        </w:rPr>
        <w:t xml:space="preserve"> </w:t>
      </w:r>
      <w:r>
        <w:rPr>
          <w:rFonts w:ascii="Verdana" w:eastAsia="Calibri" w:hAnsi="Verdana" w:cs="Arial"/>
          <w:lang w:eastAsia="es-ES"/>
        </w:rPr>
        <w:t xml:space="preserve">formas de mandato o formas de administración de recursos como </w:t>
      </w:r>
      <w:r w:rsidRPr="000A76FC">
        <w:rPr>
          <w:rFonts w:ascii="Verdana" w:eastAsia="Calibri" w:hAnsi="Verdana" w:cs="Arial"/>
          <w:lang w:eastAsia="es-ES"/>
        </w:rPr>
        <w:t xml:space="preserve">la </w:t>
      </w:r>
      <w:r w:rsidRPr="00EA3FDE">
        <w:rPr>
          <w:rFonts w:ascii="Verdana" w:eastAsia="Calibri" w:hAnsi="Verdana" w:cs="Arial"/>
          <w:i/>
          <w:lang w:eastAsia="es-ES"/>
        </w:rPr>
        <w:t>administración delegada</w:t>
      </w:r>
      <w:r w:rsidRPr="000A76FC">
        <w:rPr>
          <w:rFonts w:ascii="Verdana" w:eastAsia="Calibri" w:hAnsi="Verdana" w:cs="Arial"/>
          <w:lang w:eastAsia="es-ES"/>
        </w:rPr>
        <w:t>,</w:t>
      </w:r>
      <w:r>
        <w:rPr>
          <w:rFonts w:ascii="Verdana" w:eastAsia="Calibri" w:hAnsi="Verdana" w:cs="Arial"/>
          <w:lang w:eastAsia="es-ES"/>
        </w:rPr>
        <w:t xml:space="preserve"> </w:t>
      </w:r>
      <w:r w:rsidRPr="000A76FC">
        <w:rPr>
          <w:rFonts w:ascii="Verdana" w:eastAsia="Calibri" w:hAnsi="Verdana" w:cs="Arial"/>
          <w:lang w:eastAsia="es-ES"/>
        </w:rPr>
        <w:t>teniendo en cuenta la remisión de los</w:t>
      </w:r>
      <w:r>
        <w:rPr>
          <w:rFonts w:ascii="Verdana" w:eastAsia="Calibri" w:hAnsi="Verdana" w:cs="Arial"/>
          <w:lang w:eastAsia="es-ES"/>
        </w:rPr>
        <w:t xml:space="preserve"> artículos</w:t>
      </w:r>
      <w:r w:rsidRPr="000A76FC">
        <w:rPr>
          <w:rFonts w:ascii="Verdana" w:eastAsia="Calibri" w:hAnsi="Verdana" w:cs="Arial"/>
          <w:lang w:eastAsia="es-ES"/>
        </w:rPr>
        <w:t xml:space="preserve"> 13, 32 y 40 de la Ley 80 de 1993 a las normas comerciales y civiles</w:t>
      </w:r>
      <w:r>
        <w:rPr>
          <w:rFonts w:ascii="Verdana" w:eastAsia="Calibri" w:hAnsi="Verdana" w:cs="Arial"/>
          <w:lang w:eastAsia="es-ES"/>
        </w:rPr>
        <w:t xml:space="preserve">. </w:t>
      </w:r>
      <w:r w:rsidRPr="00DD1793">
        <w:rPr>
          <w:rFonts w:ascii="Verdana" w:eastAsia="Calibri" w:hAnsi="Verdana" w:cs="Arial"/>
          <w:lang w:eastAsia="es-ES"/>
        </w:rPr>
        <w:t>En el escenario en que la administración delegada se pacte entre entidades estatales mediante contrato interadministrativo, deberá verificarse, además, que no se configure la excepción del artículo 2, numeral 4, literal c), de la Ley 1150 de 2007, relativa a las entidades que desarrollan actividades en competencia</w:t>
      </w:r>
      <w:r>
        <w:rPr>
          <w:rFonts w:ascii="Verdana" w:eastAsia="Calibri" w:hAnsi="Verdana" w:cs="Arial"/>
          <w:lang w:eastAsia="es-ES"/>
        </w:rPr>
        <w:t>.</w:t>
      </w:r>
    </w:p>
    <w:p w14:paraId="5227B028" w14:textId="77777777" w:rsidR="00FF70D2" w:rsidRPr="003248CC" w:rsidRDefault="00FF70D2" w:rsidP="00FF70D2">
      <w:pPr>
        <w:spacing w:after="120" w:line="276" w:lineRule="auto"/>
        <w:ind w:firstLine="709"/>
        <w:jc w:val="both"/>
        <w:rPr>
          <w:rFonts w:ascii="Verdana" w:eastAsia="Calibri" w:hAnsi="Verdana" w:cs="Arial"/>
          <w:color w:val="000000" w:themeColor="text1"/>
          <w:lang w:val="es-ES"/>
        </w:rPr>
      </w:pPr>
      <w:r>
        <w:rPr>
          <w:rFonts w:ascii="Verdana" w:hAnsi="Verdana" w:cs="Arial"/>
          <w:bCs/>
          <w:lang w:val="es-ES_tradnl" w:eastAsia="es-ES" w:bidi="es-ES"/>
        </w:rPr>
        <w:t>Tal como lo ha conceptuado anteriormente esta Agencia</w:t>
      </w:r>
      <w:r>
        <w:rPr>
          <w:rFonts w:ascii="Verdana" w:eastAsia="Calibri" w:hAnsi="Verdana" w:cs="Arial"/>
          <w:color w:val="000000" w:themeColor="text1"/>
          <w:lang w:val="es-ES_tradnl"/>
        </w:rPr>
        <w:t>, l</w:t>
      </w:r>
      <w:r w:rsidRPr="0591DD88">
        <w:rPr>
          <w:rFonts w:ascii="Verdana" w:eastAsia="Calibri" w:hAnsi="Verdana" w:cs="Arial"/>
          <w:color w:val="000000" w:themeColor="text1"/>
          <w:lang w:val="es-ES"/>
        </w:rPr>
        <w:t xml:space="preserve">a “administración delegada” se ha entendido, por lo menos, de dos maneras: i) como un mandato, es decir, como un negocio jurídico mediante el cual el contratista actúa en nombre y representación de la entidad contratante, y en contraprestación, la parte contratante delegante paga el costo real del objeto del contrato, adicionando un porcentaje por concepto de administración y utilidad del contratista; o </w:t>
      </w:r>
      <w:proofErr w:type="spellStart"/>
      <w:r w:rsidRPr="0591DD88">
        <w:rPr>
          <w:rFonts w:ascii="Verdana" w:eastAsia="Calibri" w:hAnsi="Verdana" w:cs="Arial"/>
          <w:color w:val="000000" w:themeColor="text1"/>
          <w:lang w:val="es-ES"/>
        </w:rPr>
        <w:t>ii</w:t>
      </w:r>
      <w:proofErr w:type="spellEnd"/>
      <w:r w:rsidRPr="0591DD88">
        <w:rPr>
          <w:rFonts w:ascii="Verdana" w:eastAsia="Calibri" w:hAnsi="Verdana" w:cs="Arial"/>
          <w:color w:val="000000" w:themeColor="text1"/>
          <w:lang w:val="es-ES"/>
        </w:rPr>
        <w:t xml:space="preserve">) como una modalidad de administración y pago, no necesariamente asociada al mandato. </w:t>
      </w:r>
    </w:p>
    <w:p w14:paraId="579DD1BC" w14:textId="77777777" w:rsidR="00FF70D2" w:rsidRPr="008C014B" w:rsidRDefault="00FF70D2" w:rsidP="00FF70D2">
      <w:pPr>
        <w:spacing w:after="0" w:line="276" w:lineRule="auto"/>
        <w:ind w:firstLine="709"/>
        <w:jc w:val="both"/>
        <w:rPr>
          <w:rFonts w:ascii="Verdana" w:eastAsia="Calibri" w:hAnsi="Verdana" w:cs="Arial"/>
          <w:color w:val="000000" w:themeColor="text1"/>
          <w:lang w:val="es-ES_tradnl"/>
        </w:rPr>
      </w:pPr>
      <w:r w:rsidRPr="003248CC">
        <w:rPr>
          <w:rFonts w:ascii="Verdana" w:eastAsia="Calibri" w:hAnsi="Verdana" w:cs="Arial"/>
          <w:color w:val="000000" w:themeColor="text1"/>
          <w:lang w:val="es-ES_tradnl"/>
        </w:rPr>
        <w:t xml:space="preserve">Al respecto, el Consejo de Estado se refirió a la administración delegada en el contrato de obra pública así: </w:t>
      </w:r>
    </w:p>
    <w:p w14:paraId="5C840604" w14:textId="77777777" w:rsidR="00FF70D2" w:rsidRPr="008C014B" w:rsidRDefault="00FF70D2" w:rsidP="00FF70D2">
      <w:pPr>
        <w:spacing w:after="0" w:line="276" w:lineRule="auto"/>
        <w:ind w:firstLine="709"/>
        <w:jc w:val="both"/>
        <w:rPr>
          <w:rFonts w:ascii="Verdana" w:eastAsia="Calibri" w:hAnsi="Verdana" w:cs="Arial"/>
          <w:color w:val="000000" w:themeColor="text1"/>
          <w:lang w:val="es-ES_tradnl"/>
        </w:rPr>
      </w:pPr>
    </w:p>
    <w:p w14:paraId="4FE7B6CC" w14:textId="77777777" w:rsidR="00FF70D2" w:rsidRPr="003248CC" w:rsidRDefault="00FF70D2" w:rsidP="00FF70D2">
      <w:pPr>
        <w:spacing w:after="0" w:line="240" w:lineRule="auto"/>
        <w:ind w:left="709" w:right="709"/>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lastRenderedPageBreak/>
        <w:t xml:space="preserve">“El contrato de obra pública por administración delegada no constituye una figura nueva en el derecho colombiano como que de él ya se ocupaba tanto el artículo 85 del decreto 150 de 1976, como los artículos 90 a 100 del decreto 222 de 1983. Este negocio jurídico es entendido como aquel en el que el contratista, por cuenta y riesgo de la entidad pública contratante se encarga de la ejecución del objeto convenido, o lo que es igual, bajo este sistema el contratista actúa a nombre y por cuenta del contratante delegante. </w:t>
      </w:r>
    </w:p>
    <w:p w14:paraId="075C86CE" w14:textId="77777777" w:rsidR="00FF70D2" w:rsidRDefault="00FF70D2" w:rsidP="00FF70D2">
      <w:pPr>
        <w:spacing w:after="0" w:line="240" w:lineRule="auto"/>
        <w:ind w:left="709" w:right="709"/>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t>Bajo este sistema la administración paga el costo real de la obra, más determinado porcentaje como retribución al contratista por concepto de honorarios de administración (en los que se incluyen costos de personal, oficinas, vehículos, desplazamientos etc.) y la utilidad”</w:t>
      </w:r>
      <w:r w:rsidRPr="003248CC">
        <w:rPr>
          <w:rFonts w:ascii="Verdana" w:eastAsia="Calibri" w:hAnsi="Verdana" w:cs="Arial"/>
          <w:color w:val="000000" w:themeColor="text1"/>
          <w:sz w:val="20"/>
          <w:szCs w:val="20"/>
          <w:vertAlign w:val="superscript"/>
          <w:lang w:val="es-ES_tradnl"/>
        </w:rPr>
        <w:footnoteReference w:id="2"/>
      </w:r>
      <w:r w:rsidRPr="003248CC">
        <w:rPr>
          <w:rFonts w:ascii="Verdana" w:eastAsia="Calibri" w:hAnsi="Verdana" w:cs="Arial"/>
          <w:color w:val="000000" w:themeColor="text1"/>
          <w:sz w:val="20"/>
          <w:szCs w:val="20"/>
          <w:lang w:val="es-ES_tradnl"/>
        </w:rPr>
        <w:t xml:space="preserve">. </w:t>
      </w:r>
    </w:p>
    <w:p w14:paraId="03AC4663" w14:textId="77777777" w:rsidR="00FF70D2" w:rsidRDefault="00FF70D2" w:rsidP="00FF70D2">
      <w:pPr>
        <w:spacing w:after="0" w:line="276" w:lineRule="auto"/>
        <w:ind w:right="709"/>
        <w:jc w:val="both"/>
        <w:rPr>
          <w:rFonts w:ascii="Verdana" w:eastAsia="Calibri" w:hAnsi="Verdana" w:cs="Arial"/>
          <w:color w:val="000000" w:themeColor="text1"/>
          <w:sz w:val="20"/>
          <w:szCs w:val="20"/>
          <w:lang w:val="es-ES_tradnl"/>
        </w:rPr>
      </w:pPr>
    </w:p>
    <w:p w14:paraId="0314E443" w14:textId="77777777" w:rsidR="00FF70D2" w:rsidRPr="00392F44" w:rsidRDefault="00FF70D2" w:rsidP="00FF70D2">
      <w:pPr>
        <w:spacing w:after="0" w:line="276" w:lineRule="auto"/>
        <w:ind w:left="708" w:firstLine="1"/>
        <w:jc w:val="both"/>
        <w:rPr>
          <w:rFonts w:ascii="Verdana" w:eastAsia="Calibri" w:hAnsi="Verdana" w:cs="Arial"/>
          <w:color w:val="000000" w:themeColor="text1"/>
          <w:lang w:val="es-ES_tradnl"/>
        </w:rPr>
      </w:pPr>
      <w:r w:rsidRPr="00392F44">
        <w:rPr>
          <w:rFonts w:ascii="Verdana" w:eastAsia="Calibri" w:hAnsi="Verdana" w:cs="Arial"/>
          <w:color w:val="000000" w:themeColor="text1"/>
          <w:lang w:val="es-ES_tradnl"/>
        </w:rPr>
        <w:t>En similar postura, la Sección Tercera del Consejo de Estado</w:t>
      </w:r>
      <w:r w:rsidRPr="00392F44">
        <w:rPr>
          <w:rStyle w:val="Refdenotaalpie"/>
          <w:rFonts w:ascii="Verdana" w:eastAsia="Calibri" w:hAnsi="Verdana" w:cs="Arial"/>
          <w:color w:val="000000" w:themeColor="text1"/>
          <w:lang w:val="es-ES_tradnl"/>
        </w:rPr>
        <w:footnoteReference w:id="3"/>
      </w:r>
      <w:r w:rsidRPr="00392F44">
        <w:rPr>
          <w:rFonts w:ascii="Verdana" w:eastAsia="Calibri" w:hAnsi="Verdana" w:cs="Arial"/>
          <w:color w:val="000000" w:themeColor="text1"/>
          <w:lang w:val="es-ES_tradnl"/>
        </w:rPr>
        <w:t xml:space="preserve"> ha sostenido que </w:t>
      </w:r>
    </w:p>
    <w:p w14:paraId="53859CD4" w14:textId="77777777" w:rsidR="00FF70D2" w:rsidRPr="00756C2A" w:rsidRDefault="00FF70D2" w:rsidP="00FF70D2">
      <w:pPr>
        <w:spacing w:after="0" w:line="276" w:lineRule="auto"/>
        <w:ind w:right="709"/>
        <w:jc w:val="both"/>
        <w:rPr>
          <w:rFonts w:ascii="Verdana" w:eastAsia="Calibri" w:hAnsi="Verdana" w:cs="Arial"/>
          <w:color w:val="000000" w:themeColor="text1"/>
          <w:sz w:val="20"/>
          <w:szCs w:val="20"/>
          <w:lang w:val="es-ES_tradnl"/>
        </w:rPr>
      </w:pPr>
    </w:p>
    <w:p w14:paraId="47DE5D97" w14:textId="77777777" w:rsidR="00FF70D2" w:rsidRPr="002309C7" w:rsidRDefault="00FF70D2" w:rsidP="00FF70D2">
      <w:pPr>
        <w:widowControl w:val="0"/>
        <w:spacing w:after="0" w:line="240" w:lineRule="auto"/>
        <w:ind w:left="709" w:right="709"/>
        <w:jc w:val="both"/>
        <w:rPr>
          <w:rFonts w:ascii="Verdana" w:hAnsi="Verdana"/>
          <w:sz w:val="20"/>
          <w:szCs w:val="20"/>
        </w:rPr>
      </w:pPr>
      <w:r w:rsidRPr="002309C7">
        <w:rPr>
          <w:rFonts w:ascii="Verdana" w:hAnsi="Verdana"/>
          <w:sz w:val="20"/>
          <w:szCs w:val="20"/>
        </w:rPr>
        <w:t>“(…) es entendido como aquel negocio jurídico en el que el contratista, por cuenta y riesgo del contratante, se encarga de la ejecución del objeto del convenio, a cambio de unos honorarios que pueden pactarse en forma de porcentaje sobre el valor de la obra o como precio fijo.</w:t>
      </w:r>
    </w:p>
    <w:p w14:paraId="38B93BE7" w14:textId="77777777" w:rsidR="00FF70D2" w:rsidRPr="002309C7" w:rsidRDefault="00FF70D2" w:rsidP="00FF70D2">
      <w:pPr>
        <w:spacing w:after="0" w:line="240" w:lineRule="auto"/>
        <w:ind w:left="709" w:right="709"/>
        <w:jc w:val="both"/>
        <w:rPr>
          <w:rFonts w:ascii="Verdana" w:hAnsi="Verdana"/>
          <w:bCs/>
          <w:sz w:val="20"/>
          <w:szCs w:val="20"/>
        </w:rPr>
      </w:pPr>
    </w:p>
    <w:p w14:paraId="353BE2C9" w14:textId="77777777" w:rsidR="00FF70D2" w:rsidRPr="002309C7" w:rsidRDefault="00FF70D2" w:rsidP="00FF70D2">
      <w:pPr>
        <w:spacing w:after="0" w:line="240" w:lineRule="auto"/>
        <w:ind w:left="709" w:right="709"/>
        <w:jc w:val="both"/>
        <w:rPr>
          <w:rFonts w:ascii="Verdana" w:hAnsi="Verdana"/>
          <w:bCs/>
          <w:sz w:val="20"/>
          <w:szCs w:val="20"/>
        </w:rPr>
      </w:pPr>
      <w:r w:rsidRPr="002309C7">
        <w:rPr>
          <w:rFonts w:ascii="Verdana" w:hAnsi="Verdana"/>
          <w:bCs/>
          <w:sz w:val="20"/>
          <w:szCs w:val="20"/>
        </w:rPr>
        <w:t>El administrador delegado, tiene como obligación esencial, la de tomar bajo su responsabilidad la dirección técnica de la obra, de conformidad con las cláusulas del respectivo contrato, la cual es de propiedad de la entidad estatal.</w:t>
      </w:r>
    </w:p>
    <w:p w14:paraId="55781900" w14:textId="77777777" w:rsidR="00FF70D2" w:rsidRPr="002309C7" w:rsidRDefault="00FF70D2" w:rsidP="00FF70D2">
      <w:pPr>
        <w:spacing w:after="0" w:line="240" w:lineRule="auto"/>
        <w:ind w:left="709" w:right="709"/>
        <w:jc w:val="both"/>
        <w:rPr>
          <w:rFonts w:ascii="Verdana" w:hAnsi="Verdana"/>
          <w:bCs/>
          <w:sz w:val="20"/>
          <w:szCs w:val="20"/>
        </w:rPr>
      </w:pPr>
    </w:p>
    <w:p w14:paraId="7B6408FC" w14:textId="77777777" w:rsidR="00FF70D2" w:rsidRPr="002309C7" w:rsidRDefault="00FF70D2" w:rsidP="00FF70D2">
      <w:pPr>
        <w:spacing w:after="0" w:line="240" w:lineRule="auto"/>
        <w:ind w:left="709" w:right="709"/>
        <w:jc w:val="both"/>
        <w:rPr>
          <w:rFonts w:ascii="Verdana" w:hAnsi="Verdana"/>
          <w:bCs/>
          <w:sz w:val="20"/>
          <w:szCs w:val="20"/>
        </w:rPr>
      </w:pPr>
      <w:r w:rsidRPr="002309C7">
        <w:rPr>
          <w:rFonts w:ascii="Verdana" w:hAnsi="Verdana"/>
          <w:bCs/>
          <w:sz w:val="20"/>
          <w:szCs w:val="20"/>
        </w:rPr>
        <w:t xml:space="preserve">En el evento de que el administrador delegado celebre subcontratos para efectos de la ejecución del objeto convenido, él será el único responsable de </w:t>
      </w:r>
      <w:proofErr w:type="gramStart"/>
      <w:r w:rsidRPr="002309C7">
        <w:rPr>
          <w:rFonts w:ascii="Verdana" w:hAnsi="Verdana"/>
          <w:bCs/>
          <w:sz w:val="20"/>
          <w:szCs w:val="20"/>
        </w:rPr>
        <w:t>los mismos</w:t>
      </w:r>
      <w:proofErr w:type="gramEnd"/>
      <w:r w:rsidRPr="002309C7">
        <w:rPr>
          <w:rStyle w:val="Refdenotaalpie"/>
          <w:rFonts w:ascii="Verdana" w:hAnsi="Verdana"/>
          <w:bCs/>
          <w:sz w:val="20"/>
          <w:szCs w:val="20"/>
        </w:rPr>
        <w:footnoteReference w:id="4"/>
      </w:r>
      <w:r w:rsidRPr="002309C7">
        <w:rPr>
          <w:rFonts w:ascii="Verdana" w:hAnsi="Verdana"/>
          <w:bCs/>
          <w:sz w:val="20"/>
          <w:szCs w:val="20"/>
        </w:rPr>
        <w:t>”.</w:t>
      </w:r>
    </w:p>
    <w:p w14:paraId="47B9B2A4" w14:textId="77777777" w:rsidR="00FF70D2" w:rsidRPr="002309C7" w:rsidRDefault="00FF70D2" w:rsidP="00FF70D2">
      <w:pPr>
        <w:widowControl w:val="0"/>
        <w:autoSpaceDE w:val="0"/>
        <w:autoSpaceDN w:val="0"/>
        <w:spacing w:after="0" w:line="276" w:lineRule="auto"/>
        <w:ind w:firstLine="709"/>
        <w:jc w:val="both"/>
        <w:rPr>
          <w:rFonts w:ascii="Verdana" w:eastAsia="Arial" w:hAnsi="Verdana" w:cs="Arial"/>
          <w:lang w:val="es-ES"/>
        </w:rPr>
      </w:pPr>
    </w:p>
    <w:p w14:paraId="3A072A99" w14:textId="77777777" w:rsidR="00FF70D2" w:rsidRDefault="00FF70D2" w:rsidP="00FF70D2">
      <w:pPr>
        <w:spacing w:after="0" w:line="276" w:lineRule="auto"/>
        <w:ind w:firstLine="708"/>
        <w:contextualSpacing/>
        <w:jc w:val="both"/>
        <w:rPr>
          <w:rFonts w:ascii="Verdana" w:eastAsia="Calibri" w:hAnsi="Verdana" w:cs="Arial"/>
        </w:rPr>
      </w:pPr>
      <w:r>
        <w:rPr>
          <w:rFonts w:ascii="Verdana" w:eastAsia="Calibri" w:hAnsi="Verdana" w:cs="Arial"/>
        </w:rPr>
        <w:t xml:space="preserve">En este contexto específico, la administración delegada </w:t>
      </w:r>
      <w:r w:rsidRPr="00F972A4">
        <w:rPr>
          <w:rFonts w:ascii="Verdana" w:eastAsia="Calibri" w:hAnsi="Verdana" w:cs="Arial"/>
        </w:rPr>
        <w:t xml:space="preserve">consiste en la modalidad </w:t>
      </w:r>
      <w:r>
        <w:rPr>
          <w:rFonts w:ascii="Verdana" w:eastAsia="Calibri" w:hAnsi="Verdana" w:cs="Arial"/>
        </w:rPr>
        <w:t xml:space="preserve">mediante la cual </w:t>
      </w:r>
      <w:r w:rsidRPr="00F972A4">
        <w:rPr>
          <w:rFonts w:ascii="Verdana" w:eastAsia="Calibri" w:hAnsi="Verdana" w:cs="Arial"/>
        </w:rPr>
        <w:t xml:space="preserve">el contratista recibe unos recursos </w:t>
      </w:r>
      <w:r>
        <w:rPr>
          <w:rFonts w:ascii="Verdana" w:eastAsia="Calibri" w:hAnsi="Verdana" w:cs="Arial"/>
        </w:rPr>
        <w:t xml:space="preserve">en administración que se encuentran </w:t>
      </w:r>
      <w:r w:rsidRPr="00F972A4">
        <w:rPr>
          <w:rFonts w:ascii="Verdana" w:eastAsia="Calibri" w:hAnsi="Verdana" w:cs="Arial"/>
        </w:rPr>
        <w:t>destinados a cubrir los costos de un determinado proyecto</w:t>
      </w:r>
      <w:r>
        <w:rPr>
          <w:rFonts w:ascii="Verdana" w:eastAsia="Calibri" w:hAnsi="Verdana" w:cs="Arial"/>
        </w:rPr>
        <w:t>. Por la ejecución de estas actividades de administración que realiza por cuenta del contratante, el contratista recibe</w:t>
      </w:r>
      <w:r w:rsidRPr="00F972A4">
        <w:rPr>
          <w:rFonts w:ascii="Verdana" w:eastAsia="Calibri" w:hAnsi="Verdana" w:cs="Arial"/>
        </w:rPr>
        <w:t xml:space="preserve"> a título de pago unos honorarios</w:t>
      </w:r>
      <w:r>
        <w:rPr>
          <w:rFonts w:ascii="Verdana" w:eastAsia="Calibri" w:hAnsi="Verdana" w:cs="Arial"/>
        </w:rPr>
        <w:t>.</w:t>
      </w:r>
    </w:p>
    <w:p w14:paraId="3FFA1470" w14:textId="77777777" w:rsidR="00FF70D2" w:rsidRDefault="00FF70D2" w:rsidP="00FF70D2">
      <w:pPr>
        <w:widowControl w:val="0"/>
        <w:autoSpaceDE w:val="0"/>
        <w:autoSpaceDN w:val="0"/>
        <w:spacing w:before="120" w:after="120" w:line="276" w:lineRule="auto"/>
        <w:ind w:firstLine="709"/>
        <w:jc w:val="both"/>
        <w:rPr>
          <w:rFonts w:ascii="Verdana" w:eastAsia="Arial" w:hAnsi="Verdana" w:cs="Arial"/>
          <w:lang w:val="es-ES"/>
        </w:rPr>
      </w:pPr>
      <w:r>
        <w:rPr>
          <w:rFonts w:ascii="Verdana" w:eastAsia="Calibri" w:hAnsi="Verdana" w:cs="Arial"/>
        </w:rPr>
        <w:t xml:space="preserve">La administración delegada puede comprender actividades de administración y gestión de otro tipo de actividades y contratos, con lo cual es </w:t>
      </w:r>
      <w:r>
        <w:rPr>
          <w:rFonts w:ascii="Verdana" w:eastAsia="Calibri" w:hAnsi="Verdana" w:cs="Arial"/>
        </w:rPr>
        <w:lastRenderedPageBreak/>
        <w:t>similar al contrato de mandato. Sobre este aspecto</w:t>
      </w:r>
      <w:r w:rsidRPr="003248CC">
        <w:rPr>
          <w:rFonts w:ascii="Verdana" w:eastAsia="Arial" w:hAnsi="Verdana" w:cs="Arial"/>
          <w:lang w:val="es-ES"/>
        </w:rPr>
        <w:t xml:space="preserve">, la Sección </w:t>
      </w:r>
      <w:r>
        <w:rPr>
          <w:rFonts w:ascii="Verdana" w:eastAsia="Arial" w:hAnsi="Verdana" w:cs="Arial"/>
          <w:lang w:val="es-ES"/>
        </w:rPr>
        <w:t>C</w:t>
      </w:r>
      <w:r w:rsidRPr="003248CC">
        <w:rPr>
          <w:rFonts w:ascii="Verdana" w:eastAsia="Arial" w:hAnsi="Verdana" w:cs="Arial"/>
          <w:lang w:val="es-ES"/>
        </w:rPr>
        <w:t>uarta del Consejo de Estado precisó que la administración delegada reviste de la misma esencia de la relación contractual propia del mandato, en el entendido de que el contratista representa, administra y gestiona el contrato</w:t>
      </w:r>
      <w:r w:rsidRPr="003248CC">
        <w:rPr>
          <w:rFonts w:ascii="Verdana" w:eastAsia="Arial" w:hAnsi="Verdana" w:cs="Arial"/>
          <w:vertAlign w:val="superscript"/>
          <w:lang w:val="es-ES"/>
        </w:rPr>
        <w:footnoteReference w:id="5"/>
      </w:r>
      <w:r w:rsidRPr="003248CC">
        <w:rPr>
          <w:rFonts w:ascii="Verdana" w:eastAsia="Arial" w:hAnsi="Verdana" w:cs="Arial"/>
          <w:lang w:val="es-ES"/>
        </w:rPr>
        <w:t xml:space="preserve">. Por ello, el contratista recibe como valor del contrato los recursos de inversión o entregados en administración y los honorarios, imponiéndosele, en virtud del principio de transparencia, el deber de identificar con claridad cada uno de estos valores y de rendirle cuentas a la entidad contratante, como a los órganos de control, si estos lo solicitan. </w:t>
      </w:r>
    </w:p>
    <w:p w14:paraId="77EED2E4" w14:textId="77777777" w:rsidR="00FF70D2" w:rsidRPr="00A63969" w:rsidRDefault="00FF70D2" w:rsidP="00FF70D2">
      <w:pPr>
        <w:widowControl w:val="0"/>
        <w:autoSpaceDE w:val="0"/>
        <w:autoSpaceDN w:val="0"/>
        <w:spacing w:before="120" w:after="120" w:line="276" w:lineRule="auto"/>
        <w:ind w:firstLine="709"/>
        <w:jc w:val="both"/>
        <w:rPr>
          <w:rFonts w:ascii="Verdana" w:eastAsia="Arial" w:hAnsi="Verdana" w:cs="Arial"/>
          <w:lang w:val="es-ES"/>
        </w:rPr>
      </w:pPr>
      <w:r w:rsidRPr="00A63969">
        <w:rPr>
          <w:rFonts w:ascii="Verdana" w:eastAsia="Arial" w:hAnsi="Verdana" w:cs="Arial"/>
          <w:lang w:val="es-ES"/>
        </w:rPr>
        <w:t>Esta comprensión encuentra respaldo directo en la jurisprudencia de la Sección Tercera del Consejo de Estado, conforme a la cual los dos elementos del precio en el contrato de administración delegada son el costo de las obras o actividades y los honorarios del contratista, de modo que ambos factores, asumidos por la entidad contratante, integran el valor del contrato; lo único que varía es la forma de pago al contratista</w:t>
      </w:r>
      <w:r>
        <w:rPr>
          <w:rStyle w:val="Refdenotaalpie"/>
          <w:rFonts w:ascii="Verdana" w:eastAsia="Arial" w:hAnsi="Verdana" w:cs="Arial"/>
          <w:lang w:val="es-ES"/>
        </w:rPr>
        <w:footnoteReference w:id="6"/>
      </w:r>
      <w:r w:rsidRPr="00A63969">
        <w:rPr>
          <w:rFonts w:ascii="Verdana" w:eastAsia="Arial" w:hAnsi="Verdana" w:cs="Arial"/>
          <w:lang w:val="es-ES"/>
        </w:rPr>
        <w:t>. La magnitud económica del negocio no se identifica, entonces, con la contraprestación que finalmente ingresa al patrimonio del contratista, sino con la totalidad de los recursos públicos comprometidos en la operación.</w:t>
      </w:r>
    </w:p>
    <w:p w14:paraId="201D7C9A" w14:textId="77777777" w:rsidR="00FF70D2" w:rsidRDefault="00FF70D2" w:rsidP="00FF70D2">
      <w:pPr>
        <w:widowControl w:val="0"/>
        <w:autoSpaceDE w:val="0"/>
        <w:autoSpaceDN w:val="0"/>
        <w:spacing w:before="120" w:after="120" w:line="276" w:lineRule="auto"/>
        <w:ind w:firstLine="709"/>
        <w:jc w:val="both"/>
        <w:rPr>
          <w:rFonts w:ascii="Verdana" w:eastAsia="Arial" w:hAnsi="Verdana" w:cs="Arial"/>
          <w:lang w:val="es-ES"/>
        </w:rPr>
      </w:pPr>
      <w:r w:rsidRPr="00A63969">
        <w:rPr>
          <w:rFonts w:ascii="Verdana" w:eastAsia="Arial" w:hAnsi="Verdana" w:cs="Arial"/>
          <w:lang w:val="es-ES"/>
        </w:rPr>
        <w:t>Conviene precisar esta conclusión frente a una objeción previsible. Es cierto que, para ciertos efectos, el ordenamiento atiende únicamente a los honorarios o comisión del administrador; así ocurre, señaladamente, con la base gravable del impuesto sobre las ventas, que en la administración delegada se liquida sobre la remuneración del contratista y no sobre el valor total de la obra</w:t>
      </w:r>
      <w:r>
        <w:rPr>
          <w:rStyle w:val="Refdenotaalpie"/>
          <w:rFonts w:ascii="Verdana" w:eastAsia="Arial" w:hAnsi="Verdana" w:cs="Arial"/>
          <w:lang w:val="es-ES"/>
        </w:rPr>
        <w:footnoteReference w:id="7"/>
      </w:r>
      <w:r w:rsidRPr="00A63969">
        <w:rPr>
          <w:rFonts w:ascii="Verdana" w:eastAsia="Arial" w:hAnsi="Verdana" w:cs="Arial"/>
          <w:lang w:val="es-ES"/>
        </w:rPr>
        <w:t>. No obstante, ese tratamiento responde a la lógica tributaria de gravar el servicio efectivamente prestado y no altera la magnitud del negocio para efectos contractuales. Para determinar la modalidad de selección, lo relevante no es la contraprestación neta del contratista, sino la dimensión económica del proceso de contratación y el volumen de recursos públicos que se comprometen y ejecutan; de ahí que el valor de referencia para encuadrar el proceso comprenda tanto los recursos entregados en administración como los honorarios</w:t>
      </w:r>
      <w:r>
        <w:rPr>
          <w:rFonts w:ascii="Verdana" w:eastAsia="Arial" w:hAnsi="Verdana" w:cs="Arial"/>
          <w:lang w:val="es-ES"/>
        </w:rPr>
        <w:t>.</w:t>
      </w:r>
    </w:p>
    <w:p w14:paraId="2641D885" w14:textId="77777777" w:rsidR="00FF70D2" w:rsidRPr="003248CC" w:rsidRDefault="00FF70D2" w:rsidP="00FF70D2">
      <w:pPr>
        <w:widowControl w:val="0"/>
        <w:autoSpaceDE w:val="0"/>
        <w:autoSpaceDN w:val="0"/>
        <w:spacing w:after="0" w:line="276" w:lineRule="auto"/>
        <w:ind w:firstLine="709"/>
        <w:jc w:val="both"/>
        <w:rPr>
          <w:rFonts w:ascii="Verdana" w:eastAsia="Arial" w:hAnsi="Verdana" w:cs="Arial"/>
          <w:lang w:val="es-ES"/>
        </w:rPr>
      </w:pPr>
      <w:r w:rsidRPr="003248CC">
        <w:rPr>
          <w:rFonts w:ascii="Verdana" w:eastAsia="Arial" w:hAnsi="Verdana" w:cs="Arial"/>
          <w:lang w:val="es-ES"/>
        </w:rPr>
        <w:lastRenderedPageBreak/>
        <w:t>Así lo ha señalado la Sala de Consulta y Servicio Civil del Consejo de Estado:</w:t>
      </w:r>
    </w:p>
    <w:p w14:paraId="471C1F1D" w14:textId="77777777" w:rsidR="00FF70D2" w:rsidRPr="003248CC" w:rsidRDefault="00FF70D2" w:rsidP="00FF70D2">
      <w:pPr>
        <w:spacing w:after="0" w:line="256" w:lineRule="auto"/>
        <w:ind w:left="709" w:right="760"/>
        <w:jc w:val="both"/>
        <w:rPr>
          <w:rFonts w:ascii="Verdana" w:eastAsia="Calibri" w:hAnsi="Verdana" w:cs="Arial"/>
          <w:color w:val="000000" w:themeColor="text1"/>
          <w:sz w:val="21"/>
          <w:szCs w:val="21"/>
          <w:lang w:val="es-ES_tradnl"/>
        </w:rPr>
      </w:pPr>
    </w:p>
    <w:p w14:paraId="1CE2693D" w14:textId="77777777" w:rsidR="00FF70D2" w:rsidRPr="003248CC" w:rsidRDefault="00FF70D2" w:rsidP="00FF70D2">
      <w:pPr>
        <w:spacing w:after="0" w:line="240" w:lineRule="auto"/>
        <w:ind w:left="709" w:right="709"/>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t xml:space="preserve">“Según la jurisprudencia del Consejo de Estado (sección tercera, sentencias de 12 de septiembre de 1994 y 23 de marzo de 1995), el sistema de administración delegada se realiza </w:t>
      </w:r>
      <w:r>
        <w:rPr>
          <w:rFonts w:ascii="Verdana" w:eastAsia="Calibri" w:hAnsi="Verdana" w:cs="Arial"/>
          <w:color w:val="000000" w:themeColor="text1"/>
          <w:sz w:val="20"/>
          <w:szCs w:val="20"/>
          <w:lang w:val="es-ES_tradnl"/>
        </w:rPr>
        <w:t>“</w:t>
      </w:r>
      <w:r w:rsidRPr="003248CC">
        <w:rPr>
          <w:rFonts w:ascii="Verdana" w:eastAsia="Calibri" w:hAnsi="Verdana" w:cs="Arial"/>
          <w:color w:val="000000" w:themeColor="text1"/>
          <w:sz w:val="20"/>
          <w:szCs w:val="20"/>
          <w:lang w:val="es-ES_tradnl"/>
        </w:rPr>
        <w:t>por cuenta y riesgo del contratante</w:t>
      </w:r>
      <w:r>
        <w:rPr>
          <w:rFonts w:ascii="Verdana" w:eastAsia="Calibri" w:hAnsi="Verdana" w:cs="Arial"/>
          <w:color w:val="000000" w:themeColor="text1"/>
          <w:sz w:val="20"/>
          <w:szCs w:val="20"/>
          <w:lang w:val="es-ES_tradnl"/>
        </w:rPr>
        <w:t>”</w:t>
      </w:r>
      <w:r w:rsidRPr="003248CC">
        <w:rPr>
          <w:rFonts w:ascii="Verdana" w:eastAsia="Calibri" w:hAnsi="Verdana" w:cs="Arial"/>
          <w:color w:val="000000" w:themeColor="text1"/>
          <w:sz w:val="20"/>
          <w:szCs w:val="20"/>
          <w:lang w:val="es-ES_tradnl"/>
        </w:rPr>
        <w:t>, por lo cual coloca al contratista en la posición de un representante que no contrae obligaciones a nombre propio sino del contratante, salvo en tratándose de subcontratos, o sea cuando el contratista encomienda la ejecución de parte del objeto del contrato a un tercero, pues en este evento el subcontratista se vincula en forma directa e independiente con el contratista.</w:t>
      </w:r>
    </w:p>
    <w:p w14:paraId="34EC0A80" w14:textId="77777777" w:rsidR="00FF70D2" w:rsidRPr="003248CC" w:rsidRDefault="00FF70D2" w:rsidP="00FF70D2">
      <w:pPr>
        <w:spacing w:after="0" w:line="240" w:lineRule="auto"/>
        <w:ind w:left="709" w:right="709"/>
        <w:jc w:val="both"/>
        <w:rPr>
          <w:rFonts w:ascii="Verdana" w:eastAsia="Calibri" w:hAnsi="Verdana" w:cs="Arial"/>
          <w:color w:val="000000" w:themeColor="text1"/>
          <w:sz w:val="20"/>
          <w:szCs w:val="20"/>
          <w:lang w:val="es-ES_tradnl"/>
        </w:rPr>
      </w:pPr>
    </w:p>
    <w:p w14:paraId="5E5B92F6" w14:textId="77777777" w:rsidR="00FF70D2" w:rsidRPr="003248CC" w:rsidRDefault="00FF70D2" w:rsidP="00FF70D2">
      <w:pPr>
        <w:spacing w:after="0" w:line="240" w:lineRule="auto"/>
        <w:ind w:left="709" w:right="709"/>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t>Se comprende entonces que corresponda a la entidad contratante suministrar los fondos necesarios para el cumplimiento de las funciones u obligaciones del contratista; fondos que el administrador delegado manejará bajo su propia responsabilidad, con la obligación de rendir cuentas a la entidad respectiva y a la Contraloría General de la República. Adicionalmente, también se podrán suministrar al contratista equipos y elementos de propiedad de la entidad contratante”</w:t>
      </w:r>
      <w:r w:rsidRPr="003248CC">
        <w:rPr>
          <w:rFonts w:ascii="Verdana" w:eastAsia="Calibri" w:hAnsi="Verdana" w:cs="Arial"/>
          <w:color w:val="000000" w:themeColor="text1"/>
          <w:sz w:val="20"/>
          <w:szCs w:val="20"/>
          <w:vertAlign w:val="superscript"/>
          <w:lang w:val="es-ES_tradnl"/>
        </w:rPr>
        <w:footnoteReference w:id="8"/>
      </w:r>
      <w:r w:rsidRPr="003248CC">
        <w:rPr>
          <w:rFonts w:ascii="Verdana" w:eastAsia="Calibri" w:hAnsi="Verdana" w:cs="Arial"/>
          <w:color w:val="000000" w:themeColor="text1"/>
          <w:sz w:val="20"/>
          <w:szCs w:val="20"/>
          <w:lang w:val="es-ES_tradnl"/>
        </w:rPr>
        <w:t>.</w:t>
      </w:r>
    </w:p>
    <w:p w14:paraId="7A21C5A0" w14:textId="77777777" w:rsidR="00FF70D2" w:rsidRPr="003248CC" w:rsidRDefault="00FF70D2" w:rsidP="00FF70D2">
      <w:pPr>
        <w:widowControl w:val="0"/>
        <w:autoSpaceDE w:val="0"/>
        <w:autoSpaceDN w:val="0"/>
        <w:spacing w:after="0" w:line="276" w:lineRule="auto"/>
        <w:ind w:firstLine="709"/>
        <w:jc w:val="both"/>
        <w:rPr>
          <w:rFonts w:ascii="Verdana" w:eastAsia="Calibri" w:hAnsi="Verdana" w:cs="Arial"/>
          <w:bCs/>
          <w:color w:val="000000" w:themeColor="text1"/>
          <w:lang w:val="es-ES_tradnl"/>
        </w:rPr>
      </w:pPr>
    </w:p>
    <w:p w14:paraId="7CA7784B" w14:textId="77777777" w:rsidR="00FF70D2" w:rsidRPr="003248CC" w:rsidRDefault="00FF70D2" w:rsidP="00FF70D2">
      <w:pPr>
        <w:widowControl w:val="0"/>
        <w:autoSpaceDE w:val="0"/>
        <w:autoSpaceDN w:val="0"/>
        <w:spacing w:after="120" w:line="276" w:lineRule="auto"/>
        <w:ind w:firstLine="709"/>
        <w:jc w:val="both"/>
        <w:rPr>
          <w:rFonts w:ascii="Verdana" w:eastAsia="Calibri" w:hAnsi="Verdana" w:cs="Arial"/>
          <w:bCs/>
          <w:color w:val="000000" w:themeColor="text1"/>
        </w:rPr>
      </w:pPr>
      <w:r w:rsidRPr="003248CC">
        <w:rPr>
          <w:rFonts w:ascii="Verdana" w:eastAsia="Calibri" w:hAnsi="Verdana" w:cs="Arial"/>
          <w:bCs/>
          <w:color w:val="000000" w:themeColor="text1"/>
          <w:lang w:val="es-ES_tradnl"/>
        </w:rPr>
        <w:t xml:space="preserve">Posteriormente, el Consejo de Estado, en su Sala de </w:t>
      </w:r>
      <w:r>
        <w:rPr>
          <w:rFonts w:ascii="Verdana" w:eastAsia="Calibri" w:hAnsi="Verdana" w:cs="Arial"/>
          <w:bCs/>
          <w:color w:val="000000" w:themeColor="text1"/>
          <w:lang w:val="es-ES_tradnl"/>
        </w:rPr>
        <w:t>C</w:t>
      </w:r>
      <w:r w:rsidRPr="003248CC">
        <w:rPr>
          <w:rFonts w:ascii="Verdana" w:eastAsia="Calibri" w:hAnsi="Verdana" w:cs="Arial"/>
          <w:bCs/>
          <w:color w:val="000000" w:themeColor="text1"/>
          <w:lang w:val="es-ES_tradnl"/>
        </w:rPr>
        <w:t xml:space="preserve">onsulta y </w:t>
      </w:r>
      <w:r>
        <w:rPr>
          <w:rFonts w:ascii="Verdana" w:eastAsia="Calibri" w:hAnsi="Verdana" w:cs="Arial"/>
          <w:bCs/>
          <w:color w:val="000000" w:themeColor="text1"/>
          <w:lang w:val="es-ES_tradnl"/>
        </w:rPr>
        <w:t>S</w:t>
      </w:r>
      <w:r w:rsidRPr="003248CC">
        <w:rPr>
          <w:rFonts w:ascii="Verdana" w:eastAsia="Calibri" w:hAnsi="Verdana" w:cs="Arial"/>
          <w:bCs/>
          <w:color w:val="000000" w:themeColor="text1"/>
          <w:lang w:val="es-ES_tradnl"/>
        </w:rPr>
        <w:t xml:space="preserve">ervicio </w:t>
      </w:r>
      <w:r>
        <w:rPr>
          <w:rFonts w:ascii="Verdana" w:eastAsia="Calibri" w:hAnsi="Verdana" w:cs="Arial"/>
          <w:bCs/>
          <w:color w:val="000000" w:themeColor="text1"/>
          <w:lang w:val="es-ES_tradnl"/>
        </w:rPr>
        <w:t>C</w:t>
      </w:r>
      <w:r w:rsidRPr="003248CC">
        <w:rPr>
          <w:rFonts w:ascii="Verdana" w:eastAsia="Calibri" w:hAnsi="Verdana" w:cs="Arial"/>
          <w:bCs/>
          <w:color w:val="000000" w:themeColor="text1"/>
          <w:lang w:val="es-ES_tradnl"/>
        </w:rPr>
        <w:t>ivil</w:t>
      </w:r>
      <w:r w:rsidRPr="003248CC">
        <w:rPr>
          <w:rFonts w:ascii="Verdana" w:eastAsia="Calibri" w:hAnsi="Verdana" w:cs="Arial"/>
          <w:bCs/>
          <w:color w:val="000000" w:themeColor="text1"/>
          <w:vertAlign w:val="superscript"/>
          <w:lang w:val="es-ES_tradnl"/>
        </w:rPr>
        <w:footnoteReference w:id="9"/>
      </w:r>
      <w:r w:rsidRPr="003248CC">
        <w:rPr>
          <w:rFonts w:ascii="Verdana" w:eastAsia="Calibri" w:hAnsi="Verdana" w:cs="Arial"/>
          <w:bCs/>
          <w:color w:val="000000" w:themeColor="text1"/>
          <w:lang w:val="es-ES_tradnl"/>
        </w:rPr>
        <w:t>, indicó que</w:t>
      </w:r>
      <w:r>
        <w:rPr>
          <w:rFonts w:ascii="Verdana" w:eastAsia="Calibri" w:hAnsi="Verdana" w:cs="Arial"/>
          <w:bCs/>
          <w:color w:val="000000" w:themeColor="text1"/>
          <w:lang w:val="es-ES_tradnl"/>
        </w:rPr>
        <w:t xml:space="preserve"> en</w:t>
      </w:r>
      <w:r w:rsidRPr="003248CC">
        <w:rPr>
          <w:rFonts w:ascii="Verdana" w:eastAsia="Calibri" w:hAnsi="Verdana" w:cs="Arial"/>
          <w:bCs/>
          <w:color w:val="000000" w:themeColor="text1"/>
          <w:lang w:val="es-ES_tradnl"/>
        </w:rPr>
        <w:t xml:space="preserve"> </w:t>
      </w:r>
      <w:r w:rsidRPr="003248CC">
        <w:rPr>
          <w:rFonts w:ascii="Verdana" w:eastAsia="Calibri" w:hAnsi="Verdana" w:cs="Arial"/>
          <w:bCs/>
          <w:color w:val="000000" w:themeColor="text1"/>
        </w:rPr>
        <w:t xml:space="preserve">los contratos de administración delegada, se puede pactar la ejecución de un proyecto en su totalidad, donde la Entidad Estatal mantiene la titularidad de éste y de los dineros destinados para su ejecución, mientras que el contratista sólo los administra y ejecuta a cambio de una contraprestación, que cuando se entrega a título de pago, se desplaza al patrimonio del contratista sin ningún condicionamiento. </w:t>
      </w:r>
    </w:p>
    <w:p w14:paraId="3FBEC81D" w14:textId="77777777" w:rsidR="00FF70D2" w:rsidRPr="003248CC" w:rsidRDefault="00FF70D2" w:rsidP="00FF70D2">
      <w:pPr>
        <w:widowControl w:val="0"/>
        <w:autoSpaceDE w:val="0"/>
        <w:autoSpaceDN w:val="0"/>
        <w:spacing w:after="120" w:line="276" w:lineRule="auto"/>
        <w:ind w:firstLine="709"/>
        <w:jc w:val="both"/>
        <w:rPr>
          <w:rFonts w:ascii="Verdana" w:eastAsia="Arial" w:hAnsi="Verdana" w:cs="Arial"/>
          <w:lang w:val="es-ES"/>
        </w:rPr>
      </w:pPr>
      <w:r w:rsidRPr="003248CC">
        <w:rPr>
          <w:rFonts w:ascii="Verdana" w:eastAsia="Arial" w:hAnsi="Verdana" w:cs="Arial"/>
          <w:lang w:val="es-ES"/>
        </w:rPr>
        <w:t xml:space="preserve">En este contexto, </w:t>
      </w:r>
      <w:r w:rsidRPr="003248CC">
        <w:rPr>
          <w:rFonts w:ascii="Verdana" w:eastAsia="Times New Roman" w:hAnsi="Verdana" w:cs="Arial"/>
          <w:bCs/>
          <w:lang w:val="es-ES" w:eastAsia="es-ES"/>
        </w:rPr>
        <w:t>es preciso citar la sentencia del 20 de noviembre de 2020</w:t>
      </w:r>
      <w:r w:rsidRPr="003248CC">
        <w:rPr>
          <w:rFonts w:ascii="Verdana" w:eastAsia="Times New Roman" w:hAnsi="Verdana" w:cs="Arial"/>
          <w:bCs/>
          <w:vertAlign w:val="superscript"/>
          <w:lang w:val="es-ES" w:eastAsia="es-ES"/>
        </w:rPr>
        <w:footnoteReference w:id="10"/>
      </w:r>
      <w:r w:rsidRPr="003248CC">
        <w:rPr>
          <w:rFonts w:ascii="Verdana" w:eastAsia="Times New Roman" w:hAnsi="Verdana" w:cs="Arial"/>
          <w:bCs/>
          <w:lang w:val="es-ES" w:eastAsia="es-ES"/>
        </w:rPr>
        <w:t>, que reiteró que</w:t>
      </w:r>
      <w:r>
        <w:rPr>
          <w:rFonts w:ascii="Verdana" w:eastAsia="Times New Roman" w:hAnsi="Verdana" w:cs="Arial"/>
          <w:bCs/>
          <w:lang w:val="es-ES" w:eastAsia="es-ES"/>
        </w:rPr>
        <w:t>,</w:t>
      </w:r>
      <w:r w:rsidRPr="003248CC">
        <w:rPr>
          <w:rFonts w:ascii="Verdana" w:eastAsia="Times New Roman" w:hAnsi="Verdana" w:cs="Arial"/>
          <w:bCs/>
          <w:lang w:val="es-ES" w:eastAsia="es-ES"/>
        </w:rPr>
        <w:t xml:space="preserve"> si bien las normas del mandato se integren al contenido del contrato de obra por administración delegada no quiere decir que el contratista obre en nombre y representación del contratante frente a terceros. Sobre el tema, la providencia reiteró que la representación no es un elemento de la esencia de este negocio jurídico, como se deduce del artículo 2.177 del Código Civil, que prescribe que el </w:t>
      </w:r>
      <w:r w:rsidRPr="003248CC">
        <w:rPr>
          <w:rFonts w:ascii="Verdana" w:eastAsia="Calibri" w:hAnsi="Verdana" w:cs="Arial"/>
          <w:lang w:val="es-ES_tradnl" w:eastAsia="es-ES"/>
        </w:rPr>
        <w:t>“</w:t>
      </w:r>
      <w:r w:rsidRPr="003248CC">
        <w:rPr>
          <w:rFonts w:ascii="Verdana" w:eastAsia="Times New Roman" w:hAnsi="Verdana" w:cs="Arial"/>
          <w:bCs/>
          <w:lang w:val="es-ES" w:eastAsia="es-ES"/>
        </w:rPr>
        <w:t xml:space="preserve">mandatario puede, en el ejercicio de su cargo, </w:t>
      </w:r>
      <w:r w:rsidRPr="003248CC">
        <w:rPr>
          <w:rFonts w:ascii="Verdana" w:eastAsia="Times New Roman" w:hAnsi="Verdana" w:cs="Arial"/>
          <w:bCs/>
          <w:lang w:val="es-ES" w:eastAsia="es-ES"/>
        </w:rPr>
        <w:lastRenderedPageBreak/>
        <w:t>contratar a su propio nombre, caso en el cual no obliga respecto de terceros al mandante</w:t>
      </w:r>
      <w:r w:rsidRPr="003248CC">
        <w:rPr>
          <w:rFonts w:ascii="Verdana" w:eastAsia="Calibri" w:hAnsi="Verdana" w:cs="Arial"/>
          <w:lang w:val="es-ES_tradnl" w:eastAsia="es-ES"/>
        </w:rPr>
        <w:t>”</w:t>
      </w:r>
      <w:r w:rsidRPr="003248CC">
        <w:rPr>
          <w:rFonts w:ascii="Verdana" w:eastAsia="Times New Roman" w:hAnsi="Verdana" w:cs="Arial"/>
          <w:bCs/>
          <w:lang w:val="es-ES" w:eastAsia="es-ES"/>
        </w:rPr>
        <w:t xml:space="preserve">. De igual forma, el inciso segundo del artículo 1.262 del Código de Comercio también contempla que </w:t>
      </w:r>
      <w:r w:rsidRPr="003248CC">
        <w:rPr>
          <w:rFonts w:ascii="Verdana" w:eastAsia="Calibri" w:hAnsi="Verdana" w:cs="Arial"/>
          <w:lang w:val="es-ES_tradnl" w:eastAsia="es-ES"/>
        </w:rPr>
        <w:t>“</w:t>
      </w:r>
      <w:r w:rsidRPr="003248CC">
        <w:rPr>
          <w:rFonts w:ascii="Verdana" w:eastAsia="Times New Roman" w:hAnsi="Verdana" w:cs="Arial"/>
          <w:bCs/>
          <w:lang w:val="es-ES" w:eastAsia="es-ES"/>
        </w:rPr>
        <w:t>el mandato [comercial] puede conllevar o no la representación del mandante</w:t>
      </w:r>
      <w:r w:rsidRPr="003248CC">
        <w:rPr>
          <w:rFonts w:ascii="Verdana" w:eastAsia="Calibri" w:hAnsi="Verdana" w:cs="Arial"/>
          <w:lang w:val="es-ES_tradnl" w:eastAsia="es-ES"/>
        </w:rPr>
        <w:t>”</w:t>
      </w:r>
      <w:r w:rsidRPr="003248CC">
        <w:rPr>
          <w:rFonts w:ascii="Verdana" w:eastAsia="Times New Roman" w:hAnsi="Verdana" w:cs="Arial"/>
          <w:bCs/>
          <w:lang w:val="es-ES" w:eastAsia="es-ES"/>
        </w:rPr>
        <w:t xml:space="preserve">. </w:t>
      </w:r>
    </w:p>
    <w:p w14:paraId="150FC58C" w14:textId="77777777" w:rsidR="00FF70D2" w:rsidRPr="003248CC" w:rsidRDefault="00FF70D2" w:rsidP="00FF70D2">
      <w:pPr>
        <w:spacing w:line="276" w:lineRule="auto"/>
        <w:ind w:firstLine="708"/>
        <w:jc w:val="both"/>
        <w:rPr>
          <w:rFonts w:ascii="Verdana" w:eastAsia="Times New Roman" w:hAnsi="Verdana" w:cs="Arial"/>
          <w:bCs/>
          <w:lang w:val="es-ES" w:eastAsia="es-ES"/>
        </w:rPr>
      </w:pPr>
      <w:r w:rsidRPr="003248CC">
        <w:rPr>
          <w:rFonts w:ascii="Verdana" w:eastAsia="Times New Roman" w:hAnsi="Verdana" w:cs="Arial"/>
          <w:bCs/>
          <w:lang w:val="es-ES" w:eastAsia="es-ES"/>
        </w:rPr>
        <w:t>En ese sentido, la providencia en cita indicó que el elemento esencial que se debe observar del contrato de mandato es que el mandatario obra por cuenta del mandante en cumplimiento de su gestión. Esto quiere decir que, los efectos patrimoniales de los actos que ejecute el mandatario en su administración se radican en cabeza del mandante siempre que no se exceda en los límites de su encargo, como se deduce de los artículos 2.186 del Código Civil y 1.266 del Código de Comercio</w:t>
      </w:r>
      <w:r w:rsidRPr="003248CC">
        <w:rPr>
          <w:rFonts w:ascii="Verdana" w:eastAsia="Times New Roman" w:hAnsi="Verdana" w:cs="Arial"/>
          <w:bCs/>
          <w:vertAlign w:val="superscript"/>
          <w:lang w:val="es-ES" w:eastAsia="es-ES"/>
        </w:rPr>
        <w:footnoteReference w:id="11"/>
      </w:r>
      <w:r w:rsidRPr="003248CC">
        <w:rPr>
          <w:rFonts w:ascii="Verdana" w:eastAsia="Times New Roman" w:hAnsi="Verdana" w:cs="Arial"/>
          <w:bCs/>
          <w:lang w:val="es-ES" w:eastAsia="es-ES"/>
        </w:rPr>
        <w:t xml:space="preserve">. </w:t>
      </w:r>
    </w:p>
    <w:p w14:paraId="191A4A81" w14:textId="77777777" w:rsidR="00FF70D2" w:rsidRPr="003248CC" w:rsidRDefault="00FF70D2" w:rsidP="00FF70D2">
      <w:pPr>
        <w:spacing w:after="0" w:line="276" w:lineRule="auto"/>
        <w:ind w:firstLine="708"/>
        <w:jc w:val="both"/>
        <w:rPr>
          <w:rFonts w:ascii="Verdana" w:eastAsia="Times New Roman" w:hAnsi="Verdana" w:cs="Arial"/>
          <w:bCs/>
          <w:lang w:val="es-ES" w:eastAsia="es-ES"/>
        </w:rPr>
      </w:pPr>
      <w:r w:rsidRPr="003248CC">
        <w:rPr>
          <w:rFonts w:ascii="Verdana" w:eastAsia="Times New Roman" w:hAnsi="Verdana" w:cs="Arial"/>
          <w:bCs/>
          <w:lang w:val="es-ES" w:eastAsia="es-ES"/>
        </w:rPr>
        <w:t>Al respecto, la Corte Suprema de Justicia ha dicho que el mandato puede constituir representación o no, y que cuando las partes optan que se ejerza sin representación conlleva que:</w:t>
      </w:r>
    </w:p>
    <w:p w14:paraId="20A8E4A6" w14:textId="77777777" w:rsidR="00FF70D2" w:rsidRPr="003248CC" w:rsidRDefault="00FF70D2" w:rsidP="00FF70D2">
      <w:pPr>
        <w:spacing w:after="0" w:line="276" w:lineRule="auto"/>
        <w:ind w:firstLine="708"/>
        <w:jc w:val="both"/>
        <w:rPr>
          <w:rFonts w:ascii="Verdana" w:eastAsia="Times New Roman" w:hAnsi="Verdana" w:cs="Arial"/>
          <w:bCs/>
          <w:lang w:val="es-ES" w:eastAsia="es-ES"/>
        </w:rPr>
      </w:pPr>
    </w:p>
    <w:p w14:paraId="0A58671C" w14:textId="77777777" w:rsidR="00FF70D2" w:rsidRPr="003248CC" w:rsidRDefault="00FF70D2" w:rsidP="00FF70D2">
      <w:pPr>
        <w:spacing w:after="0" w:line="240" w:lineRule="auto"/>
        <w:ind w:left="709" w:right="709"/>
        <w:jc w:val="both"/>
        <w:rPr>
          <w:rFonts w:ascii="Verdana" w:eastAsia="Times New Roman" w:hAnsi="Verdana" w:cs="Arial"/>
          <w:bCs/>
          <w:sz w:val="20"/>
          <w:szCs w:val="20"/>
          <w:lang w:val="es-ES" w:eastAsia="es-ES"/>
        </w:rPr>
      </w:pPr>
      <w:r w:rsidRPr="003248CC">
        <w:rPr>
          <w:rFonts w:ascii="Verdana" w:eastAsia="Times New Roman" w:hAnsi="Verdana" w:cs="Arial"/>
          <w:bCs/>
          <w:sz w:val="20"/>
          <w:szCs w:val="20"/>
          <w:lang w:val="es-ES" w:eastAsia="es-ES"/>
        </w:rPr>
        <w:t xml:space="preserve"> “entre mandante y terceros no surjan vínculos jurídicos y carezcan, por ende, de legitimación para emprender acciones judiciales entre sí. No obstante, esto no quiere decir que el sustituido se mantenga totalmente al margen de la situación y que los resultados del negocio no lo alcancen: (…) aunque obra frente a terceros en nombre propio, sigue haciéndolo por cuenta ajena, la del mandante, y a riesgo de éste, cual lo define el reseñado artículo 1262 del Código de Comercio, de modo que sobre su patrimonio habrán de recaer, en últimas, los resultados del acto”</w:t>
      </w:r>
      <w:r w:rsidRPr="003248CC">
        <w:rPr>
          <w:rFonts w:ascii="Verdana" w:eastAsia="Times New Roman" w:hAnsi="Verdana" w:cs="Arial"/>
          <w:bCs/>
          <w:sz w:val="20"/>
          <w:szCs w:val="20"/>
          <w:vertAlign w:val="superscript"/>
          <w:lang w:val="es-ES" w:eastAsia="es-ES"/>
        </w:rPr>
        <w:footnoteReference w:id="12"/>
      </w:r>
      <w:r w:rsidRPr="003248CC">
        <w:rPr>
          <w:rFonts w:ascii="Verdana" w:eastAsia="Times New Roman" w:hAnsi="Verdana" w:cs="Arial"/>
          <w:bCs/>
          <w:sz w:val="20"/>
          <w:szCs w:val="20"/>
          <w:lang w:val="es-ES" w:eastAsia="es-ES"/>
        </w:rPr>
        <w:t xml:space="preserve">. </w:t>
      </w:r>
    </w:p>
    <w:p w14:paraId="7C78567D" w14:textId="77777777" w:rsidR="00FF70D2" w:rsidRPr="003248CC" w:rsidRDefault="00FF70D2" w:rsidP="00FF70D2">
      <w:pPr>
        <w:spacing w:after="0" w:line="240" w:lineRule="auto"/>
        <w:ind w:left="709" w:right="709"/>
        <w:jc w:val="both"/>
        <w:rPr>
          <w:rFonts w:ascii="Verdana" w:eastAsia="Times New Roman" w:hAnsi="Verdana" w:cs="Arial"/>
          <w:bCs/>
          <w:sz w:val="20"/>
          <w:szCs w:val="20"/>
          <w:lang w:val="es-ES" w:eastAsia="es-ES"/>
        </w:rPr>
      </w:pPr>
    </w:p>
    <w:p w14:paraId="2F9AF7E4" w14:textId="77777777" w:rsidR="00FF70D2" w:rsidRPr="00756C2A" w:rsidRDefault="00FF70D2" w:rsidP="00FF70D2">
      <w:pPr>
        <w:spacing w:after="120" w:line="276" w:lineRule="auto"/>
        <w:ind w:firstLine="709"/>
        <w:jc w:val="both"/>
        <w:rPr>
          <w:rFonts w:ascii="Verdana" w:eastAsia="Calibri" w:hAnsi="Verdana" w:cs="Arial"/>
        </w:rPr>
      </w:pPr>
      <w:r>
        <w:rPr>
          <w:rFonts w:ascii="Verdana" w:eastAsia="Calibri" w:hAnsi="Verdana" w:cs="Arial"/>
        </w:rPr>
        <w:t xml:space="preserve">La administración delegada asociada al mandato será distinta de aquella que se pacta para la administración o pago, como los casos señalados que no implican un contrato de mandato. </w:t>
      </w:r>
    </w:p>
    <w:p w14:paraId="6724B0AE" w14:textId="77777777" w:rsidR="00FF70D2" w:rsidRPr="003248CC" w:rsidRDefault="00FF70D2" w:rsidP="00FF70D2">
      <w:pPr>
        <w:spacing w:after="0" w:line="276" w:lineRule="auto"/>
        <w:ind w:firstLine="709"/>
        <w:jc w:val="both"/>
        <w:rPr>
          <w:rFonts w:ascii="Verdana" w:eastAsia="Times New Roman" w:hAnsi="Verdana" w:cs="Arial"/>
          <w:lang w:val="es-ES" w:eastAsia="es-CO"/>
        </w:rPr>
      </w:pPr>
      <w:r w:rsidRPr="003248CC">
        <w:rPr>
          <w:rFonts w:ascii="Verdana" w:eastAsia="Times New Roman" w:hAnsi="Verdana" w:cs="Arial"/>
          <w:lang w:val="es-ES" w:eastAsia="es-CO"/>
        </w:rPr>
        <w:t xml:space="preserve">Recientemente, el Consejo de Estado en sentencia del 20 de junio de 2023, reiterando lo expuesto por esta </w:t>
      </w:r>
      <w:r>
        <w:rPr>
          <w:rFonts w:ascii="Verdana" w:eastAsia="Times New Roman" w:hAnsi="Verdana" w:cs="Arial"/>
          <w:lang w:val="es-ES" w:eastAsia="es-CO"/>
        </w:rPr>
        <w:t>C</w:t>
      </w:r>
      <w:r w:rsidRPr="003248CC">
        <w:rPr>
          <w:rFonts w:ascii="Verdana" w:eastAsia="Times New Roman" w:hAnsi="Verdana" w:cs="Arial"/>
          <w:lang w:val="es-ES" w:eastAsia="es-CO"/>
        </w:rPr>
        <w:t xml:space="preserve">orporación frente a la esencia del mandato en la administración delegada, señaló lo siguiente: </w:t>
      </w:r>
    </w:p>
    <w:p w14:paraId="059AEEA9" w14:textId="77777777" w:rsidR="00FF70D2" w:rsidRPr="003248CC" w:rsidRDefault="00FF70D2" w:rsidP="00FF70D2">
      <w:pPr>
        <w:spacing w:after="0" w:line="276" w:lineRule="auto"/>
        <w:ind w:firstLine="709"/>
        <w:jc w:val="both"/>
        <w:rPr>
          <w:rFonts w:ascii="Verdana" w:eastAsia="Times New Roman" w:hAnsi="Verdana" w:cs="Arial"/>
          <w:lang w:val="es-ES" w:eastAsia="es-CO"/>
        </w:rPr>
      </w:pPr>
    </w:p>
    <w:p w14:paraId="23C28F01" w14:textId="77777777" w:rsidR="00FF70D2" w:rsidRDefault="00FF70D2" w:rsidP="00FF70D2">
      <w:pPr>
        <w:spacing w:after="0" w:line="240" w:lineRule="auto"/>
        <w:ind w:left="709" w:right="709"/>
        <w:jc w:val="both"/>
        <w:rPr>
          <w:rFonts w:ascii="Verdana" w:eastAsia="Times New Roman" w:hAnsi="Verdana" w:cs="Arial"/>
          <w:bCs/>
          <w:sz w:val="20"/>
          <w:szCs w:val="20"/>
          <w:lang w:val="es-ES" w:eastAsia="es-ES"/>
        </w:rPr>
      </w:pPr>
      <w:r w:rsidRPr="003248CC">
        <w:rPr>
          <w:rFonts w:ascii="Verdana" w:eastAsia="Times New Roman" w:hAnsi="Verdana" w:cs="Arial"/>
          <w:lang w:val="es-ES" w:eastAsia="es-CO"/>
        </w:rPr>
        <w:lastRenderedPageBreak/>
        <w:t>“</w:t>
      </w:r>
      <w:r w:rsidRPr="003248CC">
        <w:rPr>
          <w:rFonts w:ascii="Verdana" w:eastAsia="Times New Roman" w:hAnsi="Verdana" w:cs="Arial"/>
          <w:bCs/>
          <w:sz w:val="20"/>
          <w:szCs w:val="20"/>
          <w:lang w:val="es-ES" w:eastAsia="es-ES"/>
        </w:rPr>
        <w:t xml:space="preserve">En el contrato de obra por administración delegada, el administrador delegado, se encarga, por cuenta y riesgo del contratante, de la ejecución del objeto convenido, figura que por ende entraña la relación contractual propia del mandato, pues en los términos del artículo 2142 del Código Civil, el contratante “confía la gestión de uno más negocios a otra por cuenta y riesgo de la primera”, y con ocasión de la ejecución del encargo, el mandatario, a su vez y como regla general, contrata en nombre del mandante; no obstante, la regla general antes indicada tiene su excepción, pues tal como es dispuesto por el artículo 2177 </w:t>
      </w:r>
      <w:proofErr w:type="spellStart"/>
      <w:r w:rsidRPr="003248CC">
        <w:rPr>
          <w:rFonts w:ascii="Verdana" w:eastAsia="Times New Roman" w:hAnsi="Verdana" w:cs="Arial"/>
          <w:bCs/>
          <w:sz w:val="20"/>
          <w:szCs w:val="20"/>
          <w:lang w:val="es-ES" w:eastAsia="es-ES"/>
        </w:rPr>
        <w:t>ejusdem</w:t>
      </w:r>
      <w:proofErr w:type="spellEnd"/>
      <w:r w:rsidRPr="003248CC">
        <w:rPr>
          <w:rFonts w:ascii="Verdana" w:eastAsia="Times New Roman" w:hAnsi="Verdana" w:cs="Arial"/>
          <w:bCs/>
          <w:sz w:val="20"/>
          <w:szCs w:val="20"/>
          <w:lang w:val="es-ES" w:eastAsia="es-ES"/>
        </w:rPr>
        <w:t>, el mandatario “puede, en el ejercicio de su cargo, contratar a su propio nombre o al del mandante” y “si contrata a su propio nombre no obliga respecto de terceros al mandante</w:t>
      </w:r>
      <w:r w:rsidRPr="003248CC">
        <w:rPr>
          <w:rFonts w:ascii="Verdana" w:eastAsia="Times New Roman" w:hAnsi="Verdana" w:cs="Arial"/>
          <w:bCs/>
          <w:sz w:val="20"/>
          <w:szCs w:val="20"/>
          <w:vertAlign w:val="superscript"/>
          <w:lang w:val="es-ES" w:eastAsia="es-ES"/>
        </w:rPr>
        <w:footnoteReference w:id="13"/>
      </w:r>
      <w:r w:rsidRPr="003248CC">
        <w:rPr>
          <w:rFonts w:ascii="Verdana" w:eastAsia="Times New Roman" w:hAnsi="Verdana" w:cs="Arial"/>
          <w:bCs/>
          <w:sz w:val="20"/>
          <w:szCs w:val="20"/>
          <w:lang w:val="es-ES" w:eastAsia="es-ES"/>
        </w:rPr>
        <w:t>”</w:t>
      </w:r>
      <w:r>
        <w:rPr>
          <w:rFonts w:ascii="Verdana" w:eastAsia="Times New Roman" w:hAnsi="Verdana" w:cs="Arial"/>
          <w:bCs/>
          <w:sz w:val="20"/>
          <w:szCs w:val="20"/>
          <w:lang w:val="es-ES" w:eastAsia="es-ES"/>
        </w:rPr>
        <w:t>.</w:t>
      </w:r>
    </w:p>
    <w:p w14:paraId="79F4E962" w14:textId="77777777" w:rsidR="00FF70D2" w:rsidRPr="00003029" w:rsidRDefault="00FF70D2" w:rsidP="00FF70D2">
      <w:pPr>
        <w:spacing w:after="0" w:line="276" w:lineRule="auto"/>
        <w:ind w:left="709" w:right="618"/>
        <w:jc w:val="both"/>
        <w:rPr>
          <w:rFonts w:ascii="Verdana" w:eastAsia="Times New Roman" w:hAnsi="Verdana" w:cs="Arial"/>
          <w:bCs/>
          <w:lang w:val="es-ES" w:eastAsia="es-ES"/>
        </w:rPr>
      </w:pPr>
    </w:p>
    <w:p w14:paraId="43AA5481" w14:textId="77777777" w:rsidR="00FF70D2" w:rsidRDefault="00FF70D2" w:rsidP="00FF70D2">
      <w:pPr>
        <w:spacing w:after="120" w:line="276" w:lineRule="auto"/>
        <w:ind w:firstLine="708"/>
        <w:jc w:val="both"/>
        <w:rPr>
          <w:rFonts w:ascii="Verdana" w:eastAsia="Calibri" w:hAnsi="Verdana" w:cs="Arial"/>
        </w:rPr>
      </w:pPr>
      <w:r>
        <w:rPr>
          <w:rFonts w:ascii="Verdana" w:eastAsia="Calibri" w:hAnsi="Verdana" w:cs="Arial"/>
        </w:rPr>
        <w:t xml:space="preserve">Lo anterior evidencia que la ejecución de la administración delegada asociada a un mandato implica que la entidad ejecutora realice todas las actividades necesarias para la ejecución del objeto convenido, por cuenta y riesgo del mandante. Se sigue entonces que la administración delegada puede requerir que el contratista adelante procesos de selección para subcontratar de actividades que sean necesarias para el cumplimiento del objeto del contrato. </w:t>
      </w:r>
      <w:r>
        <w:rPr>
          <w:rFonts w:ascii="Verdana" w:hAnsi="Verdana" w:cs="Arial"/>
          <w:bCs/>
        </w:rPr>
        <w:t xml:space="preserve">En estos casos, la ejecución de actividades de subcontratación en cumplimiento del mandato </w:t>
      </w:r>
      <w:r>
        <w:rPr>
          <w:rFonts w:ascii="Verdana" w:eastAsia="Calibri" w:hAnsi="Verdana" w:cs="Arial"/>
        </w:rPr>
        <w:t>no implica una delegación de funciones en cabeza del mandante.</w:t>
      </w:r>
    </w:p>
    <w:p w14:paraId="7878B519" w14:textId="77777777" w:rsidR="00FF70D2" w:rsidRPr="00842D4D" w:rsidRDefault="00FF70D2" w:rsidP="00FF70D2">
      <w:pPr>
        <w:spacing w:after="120" w:line="276" w:lineRule="auto"/>
        <w:ind w:firstLine="708"/>
        <w:jc w:val="both"/>
        <w:rPr>
          <w:rFonts w:ascii="Verdana" w:eastAsia="Calibri" w:hAnsi="Verdana" w:cs="Arial"/>
        </w:rPr>
      </w:pPr>
      <w:r>
        <w:rPr>
          <w:rFonts w:ascii="Verdana" w:eastAsia="Times New Roman" w:hAnsi="Verdana" w:cs="Arial"/>
          <w:lang w:val="es-ES" w:eastAsia="es-CO"/>
        </w:rPr>
        <w:t xml:space="preserve">En este sentido, el Consejo de Estado ha indicado </w:t>
      </w:r>
      <w:r w:rsidRPr="003248CC">
        <w:rPr>
          <w:rFonts w:ascii="Verdana" w:eastAsia="Times New Roman" w:hAnsi="Verdana" w:cs="Arial"/>
          <w:lang w:val="es-ES" w:eastAsia="es-CO"/>
        </w:rPr>
        <w:t>sobre la subcontratación en el marco de la administración delegada que “</w:t>
      </w:r>
      <w:r w:rsidRPr="003248CC">
        <w:rPr>
          <w:rFonts w:ascii="Verdana" w:eastAsia="Times New Roman" w:hAnsi="Verdana" w:cs="Arial"/>
          <w:lang w:eastAsia="es-CO"/>
        </w:rPr>
        <w:t xml:space="preserve">aunque el administrador delegado tiene como obligación esencial tomar bajo su responsabilidad la dirección técnica de la obra, la cual es de propiedad de la entidad estatal, en el evento de que el administrador delegado celebre subcontratos para efectos de la ejecución del objeto convenido, él será el único responsable de </w:t>
      </w:r>
      <w:proofErr w:type="gramStart"/>
      <w:r w:rsidRPr="003248CC">
        <w:rPr>
          <w:rFonts w:ascii="Verdana" w:eastAsia="Times New Roman" w:hAnsi="Verdana" w:cs="Arial"/>
          <w:lang w:eastAsia="es-CO"/>
        </w:rPr>
        <w:t>los mismos</w:t>
      </w:r>
      <w:proofErr w:type="gramEnd"/>
      <w:r w:rsidRPr="003248CC">
        <w:rPr>
          <w:rFonts w:ascii="Verdana" w:eastAsia="Times New Roman" w:hAnsi="Verdana" w:cs="Arial"/>
          <w:lang w:eastAsia="es-CO"/>
        </w:rPr>
        <w:t>”</w:t>
      </w:r>
      <w:r w:rsidRPr="003248CC">
        <w:rPr>
          <w:rFonts w:ascii="Verdana" w:eastAsia="Times New Roman" w:hAnsi="Verdana" w:cs="Arial"/>
          <w:vertAlign w:val="superscript"/>
          <w:lang w:eastAsia="es-CO"/>
        </w:rPr>
        <w:footnoteReference w:id="14"/>
      </w:r>
      <w:r w:rsidRPr="003248CC">
        <w:rPr>
          <w:rFonts w:ascii="Verdana" w:eastAsia="Times New Roman" w:hAnsi="Verdana" w:cs="Arial"/>
          <w:lang w:eastAsia="es-CO"/>
        </w:rPr>
        <w:t>.</w:t>
      </w:r>
      <w:r w:rsidRPr="003248CC">
        <w:rPr>
          <w:rFonts w:ascii="Verdana" w:hAnsi="Verdana" w:cs="Arial"/>
          <w:lang w:val="es-ES"/>
        </w:rPr>
        <w:t xml:space="preserve"> En este sentido, </w:t>
      </w:r>
      <w:r w:rsidRPr="003248CC">
        <w:rPr>
          <w:rFonts w:ascii="Verdana" w:hAnsi="Verdana" w:cs="Arial"/>
          <w:bCs/>
        </w:rPr>
        <w:t>si bien la administración delegada implica la realización o ejecución de</w:t>
      </w:r>
      <w:r>
        <w:rPr>
          <w:rFonts w:ascii="Verdana" w:hAnsi="Verdana" w:cs="Arial"/>
          <w:bCs/>
        </w:rPr>
        <w:t>l objeto convenido</w:t>
      </w:r>
      <w:r w:rsidRPr="003248CC">
        <w:rPr>
          <w:rFonts w:ascii="Verdana" w:hAnsi="Verdana" w:cs="Arial"/>
          <w:bCs/>
        </w:rPr>
        <w:t xml:space="preserve">, junto con la administración de los </w:t>
      </w:r>
      <w:r>
        <w:rPr>
          <w:rFonts w:ascii="Verdana" w:hAnsi="Verdana" w:cs="Arial"/>
          <w:bCs/>
        </w:rPr>
        <w:t>recursos</w:t>
      </w:r>
      <w:r w:rsidRPr="003248CC">
        <w:rPr>
          <w:rFonts w:ascii="Verdana" w:hAnsi="Verdana" w:cs="Arial"/>
          <w:bCs/>
        </w:rPr>
        <w:t xml:space="preserve">, en caso de que se celebren subcontratos no se genera una relación jurídica entre la entidad contratante y los terceros. </w:t>
      </w:r>
      <w:r>
        <w:rPr>
          <w:rFonts w:ascii="Verdana" w:hAnsi="Verdana" w:cs="Arial"/>
          <w:bCs/>
        </w:rPr>
        <w:t xml:space="preserve"> </w:t>
      </w:r>
    </w:p>
    <w:p w14:paraId="49C870EC" w14:textId="77777777" w:rsidR="00FF70D2" w:rsidRPr="003248CC" w:rsidRDefault="00FF70D2" w:rsidP="00FF70D2">
      <w:pPr>
        <w:spacing w:after="120" w:line="276" w:lineRule="auto"/>
        <w:ind w:firstLine="709"/>
        <w:jc w:val="both"/>
        <w:rPr>
          <w:rFonts w:ascii="Verdana" w:hAnsi="Verdana" w:cs="Arial"/>
          <w:bCs/>
          <w:lang w:val="es-ES_tradnl"/>
        </w:rPr>
      </w:pPr>
      <w:r w:rsidRPr="003248CC">
        <w:rPr>
          <w:rFonts w:ascii="Verdana" w:hAnsi="Verdana" w:cs="Arial"/>
          <w:bCs/>
        </w:rPr>
        <w:t xml:space="preserve">Así pues, teniendo en cuenta que </w:t>
      </w:r>
      <w:r w:rsidRPr="003248CC">
        <w:rPr>
          <w:rFonts w:ascii="Verdana" w:hAnsi="Verdana" w:cs="Arial"/>
          <w:bCs/>
          <w:lang w:val="es-ES_tradnl"/>
        </w:rPr>
        <w:t xml:space="preserve">el artículo 40 de la Ley 80 de 1993 dispuso que podrán incluirse las modalidades, condiciones y, en general, las cláusulas o estipulaciones que las partes consideren necesarias y convenientes, de acuerdo con las normas civiles, comerciales, que correspondan a su esencia </w:t>
      </w:r>
      <w:r w:rsidRPr="003248CC">
        <w:rPr>
          <w:rFonts w:ascii="Verdana" w:hAnsi="Verdana" w:cs="Arial"/>
          <w:bCs/>
          <w:lang w:val="es-ES_tradnl"/>
        </w:rPr>
        <w:lastRenderedPageBreak/>
        <w:t xml:space="preserve">y naturaleza, siempre que no sean contrarias a la Constitución, la ley, el orden público y a los principios y finalidades de esta Ley y a los de la buena administración, las entidades estatales podrán celebrar la administración delegada como forma de mandato, </w:t>
      </w:r>
      <w:r w:rsidRPr="003248CC">
        <w:rPr>
          <w:rFonts w:ascii="Verdana" w:eastAsia="Century Gothic" w:hAnsi="Verdana" w:cs="Century Gothic"/>
          <w:color w:val="000000" w:themeColor="text1"/>
        </w:rPr>
        <w:t xml:space="preserve">por el cual la entidad estatal contratante –mandante– encomienda a la entidad estatal contratista –mandataria– la administración de un proyecto. </w:t>
      </w:r>
    </w:p>
    <w:p w14:paraId="29A0FCDB" w14:textId="77777777" w:rsidR="00FF70D2" w:rsidRDefault="00FF70D2" w:rsidP="00FF70D2">
      <w:pPr>
        <w:spacing w:before="120" w:after="120" w:line="276" w:lineRule="auto"/>
        <w:ind w:firstLine="709"/>
        <w:jc w:val="both"/>
        <w:rPr>
          <w:rFonts w:ascii="Verdana" w:eastAsia="Calibri" w:hAnsi="Verdana" w:cs="Arial"/>
        </w:rPr>
      </w:pPr>
      <w:r>
        <w:rPr>
          <w:rFonts w:ascii="Verdana" w:eastAsia="Calibri" w:hAnsi="Verdana" w:cs="Arial"/>
        </w:rPr>
        <w:t>Adicionalmente, en estos negocios jurídicos el contratista recibe unos recursos en administración que deben estar destinados a cubrir los costos del proyecto y, además, tendrá derecho a recibir una remuneración o pago de honorarios por dicha gestión. Sobre lo primero, es importante resaltar que los fondos que la entidad entregue al contratista son para el cumplimiento de sus funciones y obligaciones, y el administrador delegado deberá manejarlos bajo su propia responsabilidad. En esta labor, deberá rendir cuentas a la entidad y a los entes de control pues se trata de recursos públicos destinados a cumplir con un fin de esta naturaleza. En este sentido, el contratista debe cumplir obligaciones claras frente a la gestión y ejecución de los recursos que le han sido trasladados en administración.</w:t>
      </w:r>
    </w:p>
    <w:p w14:paraId="20111F59" w14:textId="77777777" w:rsidR="00FF70D2" w:rsidRDefault="00FF70D2" w:rsidP="00FF70D2">
      <w:pPr>
        <w:spacing w:after="120" w:line="276" w:lineRule="auto"/>
        <w:ind w:right="49" w:firstLine="708"/>
        <w:jc w:val="both"/>
        <w:rPr>
          <w:rFonts w:ascii="Verdana" w:eastAsia="Calibri" w:hAnsi="Verdana" w:cs="Arial"/>
          <w:lang w:val="es-ES"/>
        </w:rPr>
      </w:pPr>
      <w:r>
        <w:rPr>
          <w:rFonts w:ascii="Verdana" w:eastAsia="Arial" w:hAnsi="Verdana" w:cs="Arial"/>
        </w:rPr>
        <w:t xml:space="preserve">Por último, en cuanto a la modalidad de selección adecuada y pertinente para la escogencia del contratista, </w:t>
      </w:r>
      <w:r>
        <w:rPr>
          <w:rFonts w:ascii="Verdana" w:eastAsia="Arial" w:hAnsi="Verdana" w:cs="Arial"/>
          <w:lang w:val="es-ES"/>
        </w:rPr>
        <w:t xml:space="preserve">es oportuno indicar que </w:t>
      </w:r>
      <w:r>
        <w:rPr>
          <w:rFonts w:ascii="Verdana" w:eastAsia="Calibri" w:hAnsi="Verdana" w:cs="Arial"/>
          <w:lang w:val="es-ES"/>
        </w:rPr>
        <w:t>l</w:t>
      </w:r>
      <w:r w:rsidRPr="002167F7">
        <w:rPr>
          <w:rFonts w:ascii="Verdana" w:eastAsia="Calibri" w:hAnsi="Verdana" w:cs="Arial"/>
          <w:lang w:val="es-ES"/>
        </w:rPr>
        <w:t xml:space="preserve">a contratación pública comprende, entre otros aspectos, la toma de decisiones del gasto que las entidades realizan para la ejecución de los recursos públicos asignados mediante la adquisición de bienes, obras o servicios que satisfacen sus necesidades. Para las adquisiciones, las entidades estructuran procedimientos de contratación mediante las modalidades de selección previamente definidas en el Estatuto General de Contratación de la Administración Pública </w:t>
      </w:r>
      <w:r w:rsidRPr="002167F7">
        <w:rPr>
          <w:rFonts w:ascii="Verdana" w:eastAsiaTheme="minorEastAsia" w:hAnsi="Verdana" w:cs="Arial"/>
          <w:lang w:val="es-ES" w:eastAsia="es-CO"/>
        </w:rPr>
        <w:t>–en adelante EGCAP–</w:t>
      </w:r>
      <w:r w:rsidRPr="002167F7">
        <w:rPr>
          <w:rFonts w:ascii="Verdana" w:eastAsia="Calibri" w:hAnsi="Verdana" w:cs="Arial"/>
          <w:lang w:val="es-ES"/>
        </w:rPr>
        <w:t>. En esta medida, conforme el artículo 29 de la Constitución Política, los procesos de selección son una manifestación de la legalidad de las formas de cada proceso en sede administrativa</w:t>
      </w:r>
      <w:r w:rsidRPr="002167F7">
        <w:rPr>
          <w:rFonts w:ascii="Verdana" w:eastAsia="Calibri" w:hAnsi="Verdana" w:cs="Arial"/>
          <w:vertAlign w:val="superscript"/>
          <w:lang w:val="es-ES"/>
        </w:rPr>
        <w:footnoteReference w:id="15"/>
      </w:r>
      <w:r w:rsidRPr="002167F7">
        <w:rPr>
          <w:rFonts w:ascii="Verdana" w:eastAsia="Calibri" w:hAnsi="Verdana" w:cs="Arial"/>
          <w:lang w:val="es-ES"/>
        </w:rPr>
        <w:t>.</w:t>
      </w:r>
    </w:p>
    <w:p w14:paraId="4BEC5F3D" w14:textId="77777777" w:rsidR="00FF70D2" w:rsidRDefault="00FF70D2" w:rsidP="00FF70D2">
      <w:pPr>
        <w:spacing w:after="120" w:line="276" w:lineRule="auto"/>
        <w:ind w:right="49" w:firstLine="708"/>
        <w:jc w:val="both"/>
        <w:rPr>
          <w:rFonts w:ascii="Verdana" w:eastAsia="Calibri" w:hAnsi="Verdana" w:cs="Arial"/>
          <w:lang w:val="es-ES"/>
        </w:rPr>
      </w:pPr>
      <w:r w:rsidRPr="00327236">
        <w:rPr>
          <w:rFonts w:ascii="Verdana" w:eastAsia="Calibri" w:hAnsi="Verdana" w:cs="Arial"/>
        </w:rPr>
        <w:lastRenderedPageBreak/>
        <w:t>Esta exigencia tiene, además, raigambre constitucional. El artículo 209 de la Constitución somete la función administrativa a los principios de igualdad, moralidad, eficacia, economía e imparcialidad, de los que la selección objetiva es concreción en materia contractual. La Corte Constitucional ha precisado que las modalidades de selección constituyen desarrollos reglados del principio de selección objetiva, adoptados dentro de la libertad de configuración del legislador, y que las modalidades simplificadas —como la mínima cuantía— no relevan a la entidad de observar los principios de transparencia, economía y selección objetiva</w:t>
      </w:r>
      <w:r>
        <w:rPr>
          <w:rStyle w:val="Refdenotaalpie"/>
          <w:rFonts w:ascii="Verdana" w:eastAsia="Calibri" w:hAnsi="Verdana" w:cs="Arial"/>
        </w:rPr>
        <w:footnoteReference w:id="16"/>
      </w:r>
      <w:r w:rsidRPr="00327236">
        <w:rPr>
          <w:rFonts w:ascii="Verdana" w:eastAsia="Calibri" w:hAnsi="Verdana" w:cs="Arial"/>
        </w:rPr>
        <w:t>. De allí que apartarse de la modalidad que corresponde según el valor del proceso no constituya una simple inobservancia de forma, sino el desconocimiento de reglas de orden público que desarrollan mandatos constitucionales.</w:t>
      </w:r>
    </w:p>
    <w:p w14:paraId="460E930F" w14:textId="77777777" w:rsidR="00FF70D2" w:rsidRPr="002167F7" w:rsidRDefault="00FF70D2" w:rsidP="00FF70D2">
      <w:pPr>
        <w:spacing w:before="120" w:after="120" w:line="276" w:lineRule="auto"/>
        <w:ind w:right="177" w:firstLine="708"/>
        <w:jc w:val="both"/>
        <w:rPr>
          <w:rFonts w:ascii="Verdana" w:eastAsiaTheme="minorEastAsia" w:hAnsi="Verdana" w:cs="Arial"/>
          <w:lang w:val="es-ES" w:eastAsia="es-CO"/>
        </w:rPr>
      </w:pPr>
      <w:r>
        <w:rPr>
          <w:rFonts w:ascii="Verdana" w:eastAsia="Calibri" w:hAnsi="Verdana" w:cs="Arial"/>
          <w:lang w:val="es-ES"/>
        </w:rPr>
        <w:t xml:space="preserve">De conformidad con lo anterior, </w:t>
      </w:r>
      <w:r w:rsidRPr="002167F7">
        <w:rPr>
          <w:rFonts w:ascii="Verdana" w:eastAsiaTheme="minorEastAsia" w:hAnsi="Verdana" w:cs="Arial"/>
          <w:lang w:val="es-ES" w:eastAsia="es-CO"/>
        </w:rPr>
        <w:t>con la reforma introducida por la Ley 1474</w:t>
      </w:r>
      <w:r w:rsidRPr="002167F7">
        <w:rPr>
          <w:rFonts w:ascii="Verdana" w:eastAsiaTheme="minorEastAsia" w:hAnsi="Verdana" w:cs="Arial"/>
          <w:spacing w:val="1"/>
          <w:lang w:val="es-ES" w:eastAsia="es-CO"/>
        </w:rPr>
        <w:t xml:space="preserve"> </w:t>
      </w:r>
      <w:r w:rsidRPr="002167F7">
        <w:rPr>
          <w:rFonts w:ascii="Verdana" w:eastAsiaTheme="minorEastAsia" w:hAnsi="Verdana" w:cs="Arial"/>
          <w:lang w:val="es-ES" w:eastAsia="es-CO"/>
        </w:rPr>
        <w:t>de 2011, las modalidades de selección a las que actualmente pueden recurrir las Entidades Estatales para adelantar sus procesos de contratación estatal son: 1) la licitación pública, 2)</w:t>
      </w:r>
      <w:r w:rsidRPr="002167F7">
        <w:rPr>
          <w:rFonts w:ascii="Verdana" w:eastAsiaTheme="minorEastAsia" w:hAnsi="Verdana" w:cs="Arial"/>
          <w:spacing w:val="1"/>
          <w:lang w:val="es-ES" w:eastAsia="es-CO"/>
        </w:rPr>
        <w:t xml:space="preserve"> la </w:t>
      </w:r>
      <w:r w:rsidRPr="002167F7">
        <w:rPr>
          <w:rFonts w:ascii="Verdana" w:eastAsiaTheme="minorEastAsia" w:hAnsi="Verdana" w:cs="Arial"/>
          <w:lang w:val="es-ES" w:eastAsia="es-CO"/>
        </w:rPr>
        <w:t xml:space="preserve">selección abreviada, 3) el concurso de méritos, 4) la mínima cuantía y 5) la contratación directa. </w:t>
      </w:r>
    </w:p>
    <w:p w14:paraId="382C6F81" w14:textId="77777777" w:rsidR="00FF70D2" w:rsidRDefault="00FF70D2" w:rsidP="00FF70D2">
      <w:pPr>
        <w:spacing w:before="120" w:after="120" w:line="276" w:lineRule="auto"/>
        <w:ind w:right="177" w:firstLine="708"/>
        <w:jc w:val="both"/>
        <w:rPr>
          <w:rFonts w:ascii="Verdana" w:eastAsia="Calibri" w:hAnsi="Verdana" w:cs="Arial"/>
          <w:color w:val="000000" w:themeColor="text1"/>
          <w:lang w:val="es-ES"/>
        </w:rPr>
      </w:pPr>
      <w:r w:rsidRPr="002167F7">
        <w:rPr>
          <w:rFonts w:ascii="Verdana" w:eastAsiaTheme="minorEastAsia" w:hAnsi="Verdana" w:cs="Arial"/>
          <w:lang w:val="es-ES" w:eastAsia="es-CO"/>
        </w:rPr>
        <w:t>El Estatuto General de Contratación de la Administración Pública (compuesto principalmente por la Ley 80 de 1993, Ley 1150 de 2007 y el Decreto 1082 de 2015) señala las etapas y requisitos que deben cumplir las entidades para adelantar cada uno de estos procedimientos, incluyendo las circunstancias que los hacen procedentes</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para</w:t>
      </w:r>
      <w:r w:rsidRPr="002167F7">
        <w:rPr>
          <w:rFonts w:ascii="Verdana" w:eastAsiaTheme="minorEastAsia" w:hAnsi="Verdana" w:cs="Arial"/>
          <w:spacing w:val="-5"/>
          <w:lang w:val="es-ES" w:eastAsia="es-CO"/>
        </w:rPr>
        <w:t xml:space="preserve"> </w:t>
      </w:r>
      <w:r w:rsidRPr="002167F7">
        <w:rPr>
          <w:rFonts w:ascii="Verdana" w:eastAsiaTheme="minorEastAsia" w:hAnsi="Verdana" w:cs="Arial"/>
          <w:lang w:val="es-ES" w:eastAsia="es-CO"/>
        </w:rPr>
        <w:t>la</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adquisición</w:t>
      </w:r>
      <w:r w:rsidRPr="002167F7">
        <w:rPr>
          <w:rFonts w:ascii="Verdana" w:eastAsiaTheme="minorEastAsia" w:hAnsi="Verdana" w:cs="Arial"/>
          <w:spacing w:val="-5"/>
          <w:lang w:val="es-ES" w:eastAsia="es-CO"/>
        </w:rPr>
        <w:t xml:space="preserve"> </w:t>
      </w:r>
      <w:r w:rsidRPr="002167F7">
        <w:rPr>
          <w:rFonts w:ascii="Verdana" w:eastAsiaTheme="minorEastAsia" w:hAnsi="Verdana" w:cs="Arial"/>
          <w:lang w:val="es-ES" w:eastAsia="es-CO"/>
        </w:rPr>
        <w:t>de</w:t>
      </w:r>
      <w:r w:rsidRPr="002167F7">
        <w:rPr>
          <w:rFonts w:ascii="Verdana" w:eastAsiaTheme="minorEastAsia" w:hAnsi="Verdana" w:cs="Arial"/>
          <w:spacing w:val="-6"/>
          <w:lang w:val="es-ES" w:eastAsia="es-CO"/>
        </w:rPr>
        <w:t xml:space="preserve"> </w:t>
      </w:r>
      <w:r w:rsidRPr="002167F7">
        <w:rPr>
          <w:rFonts w:ascii="Verdana" w:eastAsiaTheme="minorEastAsia" w:hAnsi="Verdana" w:cs="Arial"/>
          <w:lang w:val="es-ES" w:eastAsia="es-CO"/>
        </w:rPr>
        <w:t>obras,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bienes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y</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servicios. Con base en este marco jurídico,</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cada</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entidad</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es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responsable</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de</w:t>
      </w:r>
      <w:r w:rsidRPr="005C6655">
        <w:rPr>
          <w:rFonts w:ascii="Verdana" w:eastAsiaTheme="minorEastAsia" w:hAnsi="Verdana" w:cs="Arial"/>
          <w:lang w:val="es-ES" w:eastAsia="es-CO"/>
        </w:rPr>
        <w:t xml:space="preserve"> determinar la modalidad de selección adecuada para satisfacer su necesidad y </w:t>
      </w:r>
      <w:r w:rsidRPr="002167F7">
        <w:rPr>
          <w:rFonts w:ascii="Verdana" w:eastAsiaTheme="minorEastAsia" w:hAnsi="Verdana" w:cs="Arial"/>
          <w:lang w:val="es-ES" w:eastAsia="es-CO"/>
        </w:rPr>
        <w:t>estructurar</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sus</w:t>
      </w:r>
      <w:r w:rsidRPr="005C6655">
        <w:rPr>
          <w:rFonts w:ascii="Verdana" w:eastAsiaTheme="minorEastAsia" w:hAnsi="Verdana" w:cs="Arial"/>
          <w:lang w:val="es-ES" w:eastAsia="es-CO"/>
        </w:rPr>
        <w:t xml:space="preserve"> </w:t>
      </w:r>
      <w:r w:rsidRPr="002167F7">
        <w:rPr>
          <w:rFonts w:ascii="Verdana" w:eastAsiaTheme="minorEastAsia" w:hAnsi="Verdana" w:cs="Arial"/>
          <w:lang w:val="es-ES" w:eastAsia="es-CO"/>
        </w:rPr>
        <w:t>procedimientos contractuales en cumplimiento de los principios de la función administrativa, los presupuestales y los de contratación pública.</w:t>
      </w:r>
      <w:r>
        <w:rPr>
          <w:rFonts w:ascii="Verdana" w:eastAsiaTheme="minorEastAsia" w:hAnsi="Verdana" w:cs="Arial"/>
          <w:lang w:val="es-ES" w:eastAsia="es-CO"/>
        </w:rPr>
        <w:t xml:space="preserve"> </w:t>
      </w:r>
    </w:p>
    <w:p w14:paraId="1BBE8587" w14:textId="77777777" w:rsidR="00FF70D2" w:rsidRPr="005C6655" w:rsidRDefault="00FF70D2" w:rsidP="00FF70D2">
      <w:pPr>
        <w:spacing w:before="120" w:after="120" w:line="276" w:lineRule="auto"/>
        <w:ind w:right="177" w:firstLine="708"/>
        <w:jc w:val="both"/>
        <w:rPr>
          <w:rFonts w:ascii="Verdana" w:eastAsiaTheme="minorEastAsia" w:hAnsi="Verdana" w:cs="Arial"/>
          <w:lang w:val="es-ES" w:eastAsia="es-CO"/>
        </w:rPr>
      </w:pPr>
      <w:r w:rsidRPr="002167F7">
        <w:rPr>
          <w:rFonts w:ascii="Verdana" w:eastAsia="Calibri" w:hAnsi="Verdana" w:cs="Arial"/>
          <w:color w:val="000000" w:themeColor="text1"/>
          <w:lang w:val="es-ES"/>
        </w:rPr>
        <w:t xml:space="preserve">Si bien el Estatuto prevé distintas modalidades de selección, competitivas y no competitivas, sujetas a procedimientos distintos, todas deben agotar una etapa precontractual en la que se realiza la planeación del contrato, lo cual se refleja en el análisis del sector económico y en los estudios previos. Durante la etapa de planeación, las entidades deben, entre otras </w:t>
      </w:r>
      <w:r w:rsidRPr="002167F7">
        <w:rPr>
          <w:rFonts w:ascii="Verdana" w:eastAsia="Calibri" w:hAnsi="Verdana" w:cs="Arial"/>
          <w:color w:val="000000" w:themeColor="text1"/>
          <w:lang w:val="es-ES"/>
        </w:rPr>
        <w:lastRenderedPageBreak/>
        <w:t>cosas, determinar la modalidad de selección adecuada para adelantar el proceso de contratación.</w:t>
      </w:r>
    </w:p>
    <w:p w14:paraId="77154177" w14:textId="77777777" w:rsidR="00FF70D2" w:rsidRPr="002167F7" w:rsidRDefault="00FF70D2" w:rsidP="00FF70D2">
      <w:pPr>
        <w:spacing w:before="120" w:after="120" w:line="276" w:lineRule="auto"/>
        <w:ind w:right="177" w:firstLine="708"/>
        <w:jc w:val="both"/>
        <w:rPr>
          <w:rFonts w:ascii="Verdana" w:eastAsia="Calibri" w:hAnsi="Verdana" w:cs="Arial"/>
          <w:bCs/>
          <w:lang w:val="es-ES" w:eastAsia="es-MX"/>
        </w:rPr>
      </w:pPr>
      <w:r w:rsidRPr="002167F7">
        <w:rPr>
          <w:rFonts w:ascii="Verdana" w:eastAsia="Calibri" w:hAnsi="Verdana" w:cs="Arial"/>
          <w:bCs/>
          <w:lang w:val="es-ES" w:eastAsia="es-MX"/>
        </w:rPr>
        <w:t>La planeación contractual es una herramienta de gerencia pública, que exige estructurar el proceso contractual dedicando tiempo y esfuerzos para elaborar estudios previos</w:t>
      </w:r>
      <w:r>
        <w:rPr>
          <w:rFonts w:ascii="Verdana" w:eastAsia="Calibri" w:hAnsi="Verdana" w:cs="Arial"/>
          <w:bCs/>
          <w:lang w:val="es-ES" w:eastAsia="es-MX"/>
        </w:rPr>
        <w:t>;</w:t>
      </w:r>
      <w:r w:rsidRPr="002167F7">
        <w:rPr>
          <w:rFonts w:ascii="Verdana" w:eastAsia="Calibri" w:hAnsi="Verdana" w:cs="Arial"/>
          <w:bCs/>
          <w:lang w:val="es-ES" w:eastAsia="es-MX"/>
        </w:rPr>
        <w:t xml:space="preserve">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057D5FA1" w14:textId="77777777" w:rsidR="00FF70D2" w:rsidRDefault="00FF70D2" w:rsidP="00FF70D2">
      <w:pPr>
        <w:spacing w:before="120" w:after="120" w:line="276" w:lineRule="auto"/>
        <w:ind w:right="177" w:firstLine="708"/>
        <w:jc w:val="both"/>
        <w:rPr>
          <w:rFonts w:ascii="Verdana" w:eastAsia="Times New Roman" w:hAnsi="Verdana" w:cs="Arial"/>
          <w:lang w:val="es-ES" w:eastAsia="es-MX"/>
        </w:rPr>
      </w:pPr>
      <w:r w:rsidRPr="002167F7">
        <w:rPr>
          <w:rFonts w:ascii="Verdana" w:eastAsia="Calibri" w:hAnsi="Verdana" w:cs="Arial"/>
          <w:bCs/>
          <w:lang w:val="es-ES" w:eastAsia="es-ES_tradnl"/>
        </w:rPr>
        <w:t xml:space="preserve">El </w:t>
      </w:r>
      <w:r>
        <w:rPr>
          <w:rFonts w:ascii="Verdana" w:eastAsia="Calibri" w:hAnsi="Verdana" w:cs="Arial"/>
          <w:bCs/>
          <w:lang w:val="es-ES" w:eastAsia="es-ES_tradnl"/>
        </w:rPr>
        <w:t>EGCAP</w:t>
      </w:r>
      <w:r w:rsidRPr="002167F7">
        <w:rPr>
          <w:rFonts w:ascii="Verdana" w:eastAsia="Calibri" w:hAnsi="Verdana" w:cs="Arial"/>
          <w:bCs/>
          <w:lang w:val="es-ES" w:eastAsia="es-ES_tradnl"/>
        </w:rPr>
        <w:t xml:space="preserve"> contiene disposiciones que exigen a las Entidades Estatales el deber de realizar una planeación adecuada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concordancia</w:t>
      </w:r>
      <w:r>
        <w:rPr>
          <w:rFonts w:ascii="Verdana" w:eastAsia="Calibri" w:hAnsi="Verdana" w:cs="Arial"/>
          <w:bCs/>
          <w:lang w:val="es-ES" w:eastAsia="es-ES_tradnl"/>
        </w:rPr>
        <w:t xml:space="preserve"> con lo anterior</w:t>
      </w:r>
      <w:r w:rsidRPr="002167F7">
        <w:rPr>
          <w:rFonts w:ascii="Verdana" w:eastAsia="Calibri" w:hAnsi="Verdana" w:cs="Arial"/>
          <w:bCs/>
          <w:lang w:val="es-ES" w:eastAsia="es-ES_tradnl"/>
        </w:rPr>
        <w:t xml:space="preserve">, </w:t>
      </w:r>
      <w:r w:rsidRPr="002167F7">
        <w:rPr>
          <w:rFonts w:ascii="Verdana" w:eastAsia="Times New Roman" w:hAnsi="Verdana" w:cs="Arial"/>
          <w:lang w:val="es-ES" w:eastAsia="es-MX"/>
        </w:rPr>
        <w:t>el artículo 2.2.1.1.2.1.1 del Decreto 1082 de 2015 señala el contenido mínimo de los estudios y documentos previos, entre el cual se incluye necesariamente la identificación de la modalidad de selección del contratista y su justificación, incluyendo los fundamentos jurídicos.</w:t>
      </w:r>
    </w:p>
    <w:p w14:paraId="35CA5E75" w14:textId="77777777" w:rsidR="00FF70D2" w:rsidRPr="002167F7" w:rsidRDefault="00FF70D2" w:rsidP="00FF70D2">
      <w:pPr>
        <w:spacing w:before="120" w:after="120" w:line="276" w:lineRule="auto"/>
        <w:ind w:right="177" w:firstLine="708"/>
        <w:jc w:val="both"/>
        <w:rPr>
          <w:rFonts w:ascii="Verdana" w:eastAsia="Calibri" w:hAnsi="Verdana" w:cs="Arial"/>
          <w:color w:val="000000" w:themeColor="text1"/>
          <w:lang w:val="es-ES"/>
        </w:rPr>
      </w:pPr>
      <w:r w:rsidRPr="00E20442">
        <w:rPr>
          <w:rFonts w:ascii="Verdana" w:eastAsia="Calibri" w:hAnsi="Verdana" w:cs="Arial"/>
          <w:color w:val="000000" w:themeColor="text1"/>
        </w:rPr>
        <w:t>Para estos efectos, el valor que sirve de referencia es el valor total estimado del proceso —el presupuesto oficial calculado en los estudios previos, integrado por los recursos que se entregarán en administración y por los honorarios—, con independencia de que en la administración delegada el costo definitivo solo se liquide durante la ejecución. La Sala de Consulta y Servicio Civil ha advertido que, en esta figura, la cláusula del valor cumple la función de un cálculo estimado del costo probable</w:t>
      </w:r>
      <w:r>
        <w:rPr>
          <w:rStyle w:val="Refdenotaalpie"/>
          <w:rFonts w:ascii="Verdana" w:eastAsia="Calibri" w:hAnsi="Verdana" w:cs="Arial"/>
          <w:color w:val="000000" w:themeColor="text1"/>
        </w:rPr>
        <w:footnoteReference w:id="17"/>
      </w:r>
      <w:r w:rsidRPr="00E20442">
        <w:rPr>
          <w:rFonts w:ascii="Verdana" w:eastAsia="Calibri" w:hAnsi="Verdana" w:cs="Arial"/>
          <w:color w:val="000000" w:themeColor="text1"/>
        </w:rPr>
        <w:t xml:space="preserve">; por ello, la modalidad de selección se define en la planeación a partir de esa estimación total, y no del monto que resulte finalmente liquidado. Sostener que la referencia es únicamente el valor de los honorarios equivaldría a fijar la modalidad sobre una fracción del </w:t>
      </w:r>
      <w:r w:rsidRPr="00E20442">
        <w:rPr>
          <w:rFonts w:ascii="Verdana" w:eastAsia="Calibri" w:hAnsi="Verdana" w:cs="Arial"/>
          <w:color w:val="000000" w:themeColor="text1"/>
        </w:rPr>
        <w:lastRenderedPageBreak/>
        <w:t>negocio, desatendiendo el volumen real de recursos públicos objeto de administración y ejecución.</w:t>
      </w:r>
    </w:p>
    <w:p w14:paraId="2F968679" w14:textId="77777777" w:rsidR="00FF70D2" w:rsidRDefault="00FF70D2" w:rsidP="00FF70D2">
      <w:pPr>
        <w:spacing w:after="120" w:line="276" w:lineRule="auto"/>
        <w:ind w:right="176" w:firstLine="709"/>
        <w:jc w:val="both"/>
        <w:rPr>
          <w:rFonts w:ascii="Verdana" w:eastAsia="Times New Roman" w:hAnsi="Verdana" w:cs="Arial"/>
          <w:lang w:val="es-ES" w:eastAsia="es-MX"/>
        </w:rPr>
      </w:pPr>
      <w:r w:rsidRPr="002167F7">
        <w:rPr>
          <w:rFonts w:ascii="Verdana" w:eastAsia="Times New Roman" w:hAnsi="Verdana" w:cs="Arial"/>
          <w:lang w:val="es-ES" w:eastAsia="es-MX"/>
        </w:rPr>
        <w:t xml:space="preserve">Al respecto, el artículo 2 de la Ley 1150 de 2007 establece las modalidades de selección aplicables a las entidades sometidas al EGCAP, indicando que la escogencia del contratista se efectuará por regla general bajo la modalidad de licitación pública, con las excepciones que señalan los numerales 2, 3 y 4 de dicho artículo. </w:t>
      </w:r>
      <w:r>
        <w:rPr>
          <w:rFonts w:ascii="Verdana" w:eastAsia="Times New Roman" w:hAnsi="Verdana" w:cs="Arial"/>
          <w:lang w:val="es-ES" w:eastAsia="es-MX"/>
        </w:rPr>
        <w:t>Dicho esto</w:t>
      </w:r>
      <w:r w:rsidRPr="002167F7">
        <w:rPr>
          <w:rFonts w:ascii="Verdana" w:eastAsia="Times New Roman" w:hAnsi="Verdana" w:cs="Arial"/>
          <w:lang w:val="es-ES" w:eastAsia="es-MX"/>
        </w:rPr>
        <w:t>, las Entidades Estatales deben adelantar su</w:t>
      </w:r>
      <w:r>
        <w:rPr>
          <w:rFonts w:ascii="Verdana" w:eastAsia="Times New Roman" w:hAnsi="Verdana" w:cs="Arial"/>
          <w:lang w:val="es-ES" w:eastAsia="es-MX"/>
        </w:rPr>
        <w:t>s</w:t>
      </w:r>
      <w:r w:rsidRPr="002167F7">
        <w:rPr>
          <w:rFonts w:ascii="Verdana" w:eastAsia="Times New Roman" w:hAnsi="Verdana" w:cs="Arial"/>
          <w:lang w:val="es-ES" w:eastAsia="es-MX"/>
        </w:rPr>
        <w:t xml:space="preserve"> procesos de contratación, por regla general, mediante la modalidad de licitación pública. De esta forma, salvo que se configure alguno de los supuestos que la norma establece para que sea procedente un procedimiento distinto, la entidad deberá adelantar su contratación mediante dicha modalidad de selección.</w:t>
      </w:r>
    </w:p>
    <w:p w14:paraId="3CB18CE0" w14:textId="77777777" w:rsidR="00FF70D2" w:rsidRDefault="00FF70D2" w:rsidP="00FF70D2">
      <w:pPr>
        <w:spacing w:after="0" w:line="276" w:lineRule="auto"/>
        <w:ind w:firstLine="709"/>
        <w:jc w:val="both"/>
        <w:rPr>
          <w:rFonts w:ascii="Verdana" w:eastAsia="Arial" w:hAnsi="Verdana" w:cs="Arial"/>
          <w:lang w:val="es-ES"/>
        </w:rPr>
      </w:pPr>
      <w:r>
        <w:rPr>
          <w:rFonts w:ascii="Verdana" w:eastAsia="Calibri" w:hAnsi="Verdana" w:cs="Arial"/>
          <w:lang w:val="es-ES" w:eastAsia="es-MX"/>
        </w:rPr>
        <w:t>En efecto,</w:t>
      </w:r>
      <w:r w:rsidRPr="002167F7">
        <w:rPr>
          <w:rFonts w:ascii="Verdana" w:eastAsia="Calibri" w:hAnsi="Verdana" w:cs="Arial"/>
          <w:lang w:val="es-ES" w:eastAsia="es-MX"/>
        </w:rPr>
        <w:t xml:space="preserve"> </w:t>
      </w:r>
      <w:r w:rsidRPr="002167F7">
        <w:rPr>
          <w:rFonts w:ascii="Verdana" w:eastAsia="Arial" w:hAnsi="Verdana" w:cs="Arial"/>
          <w:lang w:val="es-ES"/>
        </w:rPr>
        <w:t>la licitación pública, la selección abreviada, el concurso de méritos y la mínima cuantía son modalidades de selección competitivas o abiertas a competencia, ya que en ellas tiene lugar la participación de varios proponentes en una fase pública de presentación de ofertas. Esto permite que todas las personas interesadas concurran al proceso en igualdad de condiciones y compitan en el mismo. En contraste, la modalidad de selección de contratación directa no es competitiva, es decir, que no es abierta a los proponentes para que los interesados presenten sus ofertas. En esta, es la entidad la que determina, de forma directa, la persona que puede participar y que será seleccionada.</w:t>
      </w:r>
    </w:p>
    <w:p w14:paraId="02763AB5" w14:textId="77777777" w:rsidR="00FF70D2" w:rsidRPr="002167F7" w:rsidRDefault="00FF70D2" w:rsidP="00FF70D2">
      <w:pPr>
        <w:spacing w:after="0" w:line="240" w:lineRule="auto"/>
        <w:ind w:firstLine="709"/>
        <w:jc w:val="both"/>
        <w:rPr>
          <w:rFonts w:ascii="Verdana" w:eastAsia="Calibri" w:hAnsi="Verdana" w:cs="Arial"/>
          <w:lang w:val="es-ES" w:eastAsia="es-MX"/>
        </w:rPr>
      </w:pPr>
    </w:p>
    <w:p w14:paraId="0CB6D041" w14:textId="77777777" w:rsidR="00FF70D2" w:rsidRDefault="00FF70D2" w:rsidP="00FF70D2">
      <w:pPr>
        <w:spacing w:after="120" w:line="276" w:lineRule="auto"/>
        <w:ind w:firstLine="709"/>
        <w:jc w:val="both"/>
        <w:rPr>
          <w:rFonts w:ascii="Verdana" w:eastAsia="Arial" w:hAnsi="Verdana" w:cs="Arial"/>
          <w:color w:val="000000"/>
          <w:lang w:val="es-ES"/>
        </w:rPr>
      </w:pPr>
      <w:r>
        <w:rPr>
          <w:rFonts w:ascii="Verdana" w:eastAsia="Times New Roman" w:hAnsi="Verdana" w:cs="Arial"/>
          <w:lang w:val="es-ES" w:eastAsia="es-MX"/>
        </w:rPr>
        <w:t>No puede desconocer las entidades estatales que la</w:t>
      </w:r>
      <w:r w:rsidRPr="002167F7">
        <w:rPr>
          <w:rFonts w:ascii="Verdana" w:eastAsia="Times New Roman" w:hAnsi="Verdana" w:cs="Arial"/>
          <w:lang w:val="es-ES" w:eastAsia="es-MX"/>
        </w:rPr>
        <w:t xml:space="preserve"> elección y aplicación de las modalidades de selección </w:t>
      </w:r>
      <w:r>
        <w:rPr>
          <w:rFonts w:ascii="Verdana" w:eastAsia="Times New Roman" w:hAnsi="Verdana" w:cs="Arial"/>
          <w:lang w:val="es-ES" w:eastAsia="es-MX"/>
        </w:rPr>
        <w:t xml:space="preserve">indicadas deben </w:t>
      </w:r>
      <w:proofErr w:type="gramStart"/>
      <w:r>
        <w:rPr>
          <w:rFonts w:ascii="Verdana" w:eastAsia="Times New Roman" w:hAnsi="Verdana" w:cs="Arial"/>
          <w:lang w:val="es-ES" w:eastAsia="es-MX"/>
        </w:rPr>
        <w:t>enmarcarse dentro del</w:t>
      </w:r>
      <w:proofErr w:type="gramEnd"/>
      <w:r>
        <w:rPr>
          <w:rFonts w:ascii="Verdana" w:eastAsia="Times New Roman" w:hAnsi="Verdana" w:cs="Arial"/>
          <w:lang w:val="es-ES" w:eastAsia="es-MX"/>
        </w:rPr>
        <w:t xml:space="preserve"> principio de la</w:t>
      </w:r>
      <w:r w:rsidRPr="002167F7">
        <w:rPr>
          <w:rFonts w:ascii="Verdana" w:eastAsia="Arial" w:hAnsi="Verdana" w:cs="Arial"/>
          <w:color w:val="000000"/>
          <w:lang w:val="es-ES"/>
        </w:rPr>
        <w:t xml:space="preserve"> </w:t>
      </w:r>
      <w:r w:rsidRPr="002167F7">
        <w:rPr>
          <w:rFonts w:ascii="Verdana" w:eastAsia="Arial" w:hAnsi="Verdana" w:cs="Arial"/>
          <w:i/>
          <w:color w:val="000000"/>
          <w:lang w:val="es-ES"/>
        </w:rPr>
        <w:t>selección objetiva</w:t>
      </w:r>
      <w:r w:rsidRPr="002167F7">
        <w:rPr>
          <w:rFonts w:ascii="Verdana" w:eastAsia="Arial" w:hAnsi="Verdana" w:cs="Arial"/>
          <w:color w:val="000000"/>
          <w:lang w:val="es-ES"/>
        </w:rPr>
        <w:t>. Se trata del postulado que exige que la escogencia de la oferta ganadora deba fundamentarse en factores objetivos, de carácter técnico, jurídico y financiero, y no en criterios subjetivos, como el afecto, la amistad, el ánimo de ayuda, el interés personal, etc. Si bien dentro de la historia de la contratación pública en Colombia se vislumbran antecedentes normativos que consagraban dicho principio</w:t>
      </w:r>
      <w:r w:rsidRPr="002167F7">
        <w:rPr>
          <w:rFonts w:ascii="Verdana" w:eastAsia="Arial" w:hAnsi="Verdana" w:cs="Arial"/>
          <w:color w:val="000000"/>
          <w:vertAlign w:val="superscript"/>
          <w:lang w:val="es-ES"/>
        </w:rPr>
        <w:footnoteReference w:id="18"/>
      </w:r>
      <w:r w:rsidRPr="002167F7">
        <w:rPr>
          <w:rFonts w:ascii="Verdana" w:eastAsia="Arial" w:hAnsi="Verdana" w:cs="Arial"/>
          <w:color w:val="000000"/>
          <w:lang w:val="es-ES"/>
        </w:rPr>
        <w:t xml:space="preserve">, en la actualidad la disposición legal que lo </w:t>
      </w:r>
      <w:r w:rsidRPr="002167F7">
        <w:rPr>
          <w:rFonts w:ascii="Verdana" w:eastAsia="Arial" w:hAnsi="Verdana" w:cs="Arial"/>
          <w:color w:val="000000"/>
          <w:lang w:val="es-ES"/>
        </w:rPr>
        <w:lastRenderedPageBreak/>
        <w:t xml:space="preserve">prevé es el artículo 5 de la Ley 1150 de 2007, modificado por el artículo 88 de la Ley 1474 de 2011 y por el artículo 5 de la Ley 1882 de 2018. </w:t>
      </w:r>
    </w:p>
    <w:p w14:paraId="5C5FFE51" w14:textId="77777777" w:rsidR="00FF70D2" w:rsidRPr="002167F7" w:rsidRDefault="00FF70D2" w:rsidP="00FF70D2">
      <w:pPr>
        <w:spacing w:after="120" w:line="276" w:lineRule="auto"/>
        <w:ind w:firstLine="709"/>
        <w:jc w:val="both"/>
        <w:rPr>
          <w:rFonts w:ascii="Verdana" w:eastAsia="Arial" w:hAnsi="Verdana" w:cs="Arial"/>
          <w:color w:val="000000" w:themeColor="text1"/>
          <w:lang w:val="es-ES" w:eastAsia="es-ES_tradnl"/>
        </w:rPr>
      </w:pPr>
      <w:r w:rsidRPr="00D8352E">
        <w:rPr>
          <w:rFonts w:ascii="Verdana" w:eastAsia="Arial" w:hAnsi="Verdana" w:cs="Arial"/>
          <w:color w:val="000000" w:themeColor="text1"/>
          <w:lang w:eastAsia="es-ES_tradnl"/>
        </w:rPr>
        <w:t>El desconocimiento de estas reglas no es inocuo. Esta Agencia ha señalado que fraccionar la unidad natural del objeto —o estructurar el proceso de modo que su valor de referencia no alcance el umbral de la modalidad que legalmente correspondería— con el propósito de eludir el procedimiento de selección más riguroso, acarrea la nulidad absoluta del contrato en los términos de los artículos 44 y 45 de la Ley 80 de 1993</w:t>
      </w:r>
      <w:r>
        <w:rPr>
          <w:rStyle w:val="Refdenotaalpie"/>
          <w:rFonts w:ascii="Verdana" w:eastAsia="Arial" w:hAnsi="Verdana" w:cs="Arial"/>
          <w:color w:val="000000" w:themeColor="text1"/>
          <w:lang w:eastAsia="es-ES_tradnl"/>
        </w:rPr>
        <w:footnoteReference w:id="19"/>
      </w:r>
      <w:r w:rsidRPr="00D8352E">
        <w:rPr>
          <w:rFonts w:ascii="Verdana" w:eastAsia="Arial" w:hAnsi="Verdana" w:cs="Arial"/>
          <w:color w:val="000000" w:themeColor="text1"/>
          <w:lang w:eastAsia="es-ES_tradnl"/>
        </w:rPr>
        <w:t>. En el mismo sentido, el Consejo de Estado ha precisado que cuando la administración, sabiendo ex ante que el valor del contrato impone una modalidad determinada, reduce artificiosamente ese valor para acudir a un procedimiento menos exigente, incurre en una conducta que compromete el principio de transparencia y da lugar a la declaratoria de nulidad absoluta</w:t>
      </w:r>
      <w:r>
        <w:rPr>
          <w:rStyle w:val="Refdenotaalpie"/>
          <w:rFonts w:ascii="Verdana" w:eastAsia="Arial" w:hAnsi="Verdana" w:cs="Arial"/>
          <w:color w:val="000000" w:themeColor="text1"/>
          <w:lang w:eastAsia="es-ES_tradnl"/>
        </w:rPr>
        <w:footnoteReference w:id="20"/>
      </w:r>
      <w:r w:rsidRPr="00D8352E">
        <w:rPr>
          <w:rFonts w:ascii="Verdana" w:eastAsia="Arial" w:hAnsi="Verdana" w:cs="Arial"/>
          <w:color w:val="000000" w:themeColor="text1"/>
          <w:lang w:eastAsia="es-ES_tradnl"/>
        </w:rPr>
        <w:t>. La estructuración de un contrato de administración delegada por el solo valor de los honorarios, cuando los recursos administrados y ejecutados desbordan el umbral de la mínima cuantía, es susceptible de este reproche, con mayor razón cuando el mismo contratista administra y ejecuta directamente las actividades financiadas.</w:t>
      </w:r>
    </w:p>
    <w:p w14:paraId="69AC5CCE" w14:textId="77777777" w:rsidR="00FF70D2" w:rsidRDefault="00FF70D2" w:rsidP="00FF70D2">
      <w:pPr>
        <w:tabs>
          <w:tab w:val="left" w:pos="142"/>
          <w:tab w:val="left" w:pos="426"/>
        </w:tabs>
        <w:spacing w:after="0" w:line="276" w:lineRule="auto"/>
        <w:jc w:val="both"/>
        <w:rPr>
          <w:rFonts w:ascii="Verdana" w:hAnsi="Verdana"/>
          <w:lang w:val="es-ES"/>
        </w:rPr>
      </w:pPr>
      <w:r w:rsidRPr="002167F7">
        <w:rPr>
          <w:rFonts w:ascii="Verdana" w:hAnsi="Verdana"/>
          <w:lang w:val="es-ES"/>
        </w:rPr>
        <w:tab/>
      </w:r>
      <w:r w:rsidRPr="002167F7">
        <w:rPr>
          <w:rFonts w:ascii="Verdana" w:hAnsi="Verdana"/>
          <w:lang w:val="es-ES"/>
        </w:rPr>
        <w:tab/>
      </w:r>
      <w:r w:rsidRPr="002167F7">
        <w:rPr>
          <w:rFonts w:ascii="Verdana" w:hAnsi="Verdana"/>
          <w:lang w:val="es-ES"/>
        </w:rPr>
        <w:tab/>
        <w:t>Conforme lo expuesto, el Estatuto General de Contratación de la Administración Pública establece los criterios y aspectos que deben tener en cuenta las Entidades Estatales para que, como estructurador</w:t>
      </w:r>
      <w:r>
        <w:rPr>
          <w:rFonts w:ascii="Verdana" w:hAnsi="Verdana"/>
          <w:lang w:val="es-ES"/>
        </w:rPr>
        <w:t>a</w:t>
      </w:r>
      <w:r w:rsidRPr="002167F7">
        <w:rPr>
          <w:rFonts w:ascii="Verdana" w:hAnsi="Verdana"/>
          <w:lang w:val="es-ES"/>
        </w:rPr>
        <w:t>s de sus procesos, determinen la modalidad de contratación que mejor se ajuste al interés general y a la satisfacción de su necesidad, en cumplimiento de lo establecido en la normativa. Lo anterior, hace parte del deber de planeación que deben cumplir las Entidades Estatales, por lo que hace parte del análisis que realice</w:t>
      </w:r>
      <w:r>
        <w:rPr>
          <w:rFonts w:ascii="Verdana" w:hAnsi="Verdana"/>
          <w:lang w:val="es-ES"/>
        </w:rPr>
        <w:t>n</w:t>
      </w:r>
      <w:r w:rsidRPr="002167F7">
        <w:rPr>
          <w:rFonts w:ascii="Verdana" w:hAnsi="Verdana"/>
          <w:lang w:val="es-ES"/>
        </w:rPr>
        <w:t xml:space="preserve"> de su necesidad y </w:t>
      </w:r>
      <w:r>
        <w:rPr>
          <w:rFonts w:ascii="Verdana" w:hAnsi="Verdana"/>
          <w:lang w:val="es-ES"/>
        </w:rPr>
        <w:t xml:space="preserve">de </w:t>
      </w:r>
      <w:r w:rsidRPr="002167F7">
        <w:rPr>
          <w:rFonts w:ascii="Verdana" w:hAnsi="Verdana"/>
          <w:lang w:val="es-ES"/>
        </w:rPr>
        <w:t>la mejor forma de satisfacerla durante la etapa precontractual.</w:t>
      </w:r>
    </w:p>
    <w:p w14:paraId="14713144" w14:textId="77777777" w:rsidR="00FF70D2" w:rsidRPr="002167F7" w:rsidRDefault="00FF70D2" w:rsidP="00FF70D2">
      <w:pPr>
        <w:tabs>
          <w:tab w:val="left" w:pos="142"/>
          <w:tab w:val="left" w:pos="426"/>
        </w:tabs>
        <w:spacing w:after="0" w:line="276" w:lineRule="auto"/>
        <w:jc w:val="both"/>
        <w:rPr>
          <w:rFonts w:ascii="Verdana" w:hAnsi="Verdana"/>
          <w:lang w:val="es-ES"/>
        </w:rPr>
      </w:pPr>
      <w:r w:rsidRPr="00F77E8B">
        <w:rPr>
          <w:rFonts w:ascii="Verdana" w:hAnsi="Verdana"/>
        </w:rPr>
        <w:lastRenderedPageBreak/>
        <w:t>En consecuencia, la correcta determinación de la modalidad de selección presupone haber establecido el valor del proceso conforme a la naturaleza del negocio. Tratándose de administración delegada, ese valor comprende los recursos entregados en administración y los honorarios; atender solo a estos últimos para encuadrar el contrato en la mínima cuantía —cuando el valor total supera su umbral— desatiende los deberes de planeación y de selección objetiva de los artículos 2 y 5 de la Ley 1150 de 2007 y la carga de justificar la modalidad sobre el valor estimado, prevista en el artículo 2.2.1.1.2.1.1 del Decreto 1082 de 2015. Una estructuración semejante, según se expuso, puede configurar un fraccionamiento o una elusión de la modalidad que legalmente correspondería.</w:t>
      </w:r>
      <w:r w:rsidRPr="002167F7">
        <w:rPr>
          <w:rFonts w:ascii="Verdana" w:hAnsi="Verdana"/>
          <w:lang w:val="es-ES"/>
        </w:rPr>
        <w:t xml:space="preserve"> </w:t>
      </w:r>
    </w:p>
    <w:p w14:paraId="557BBCCB" w14:textId="77777777" w:rsidR="00FF70D2" w:rsidRDefault="00FF70D2" w:rsidP="00FF70D2">
      <w:pPr>
        <w:spacing w:before="120" w:after="120" w:line="276" w:lineRule="auto"/>
        <w:ind w:firstLine="709"/>
        <w:jc w:val="both"/>
        <w:rPr>
          <w:rFonts w:ascii="Verdana" w:eastAsia="Calibri" w:hAnsi="Verdana" w:cs="Arial"/>
        </w:rPr>
      </w:pPr>
      <w:r w:rsidRPr="002167F7">
        <w:rPr>
          <w:rFonts w:ascii="Verdana" w:hAnsi="Verdana"/>
          <w:lang w:val="es-ES"/>
        </w:rPr>
        <w:t>En suma</w:t>
      </w:r>
      <w:r>
        <w:rPr>
          <w:rFonts w:ascii="Verdana" w:hAnsi="Verdana"/>
          <w:lang w:val="es-ES"/>
        </w:rPr>
        <w:t xml:space="preserve"> y conforme al interrogante que se plantea en esta consulta</w:t>
      </w:r>
      <w:r w:rsidRPr="002167F7">
        <w:rPr>
          <w:rFonts w:ascii="Verdana" w:hAnsi="Verdana"/>
          <w:lang w:val="es-ES"/>
        </w:rPr>
        <w:t xml:space="preserve">, </w:t>
      </w:r>
      <w:r w:rsidRPr="002167F7">
        <w:rPr>
          <w:rFonts w:ascii="Verdana" w:eastAsia="Arial" w:hAnsi="Verdana" w:cs="Arial"/>
          <w:color w:val="000000" w:themeColor="text1"/>
          <w:lang w:val="es-ES"/>
        </w:rPr>
        <w:t xml:space="preserve">es importante advertir que </w:t>
      </w:r>
      <w:r w:rsidRPr="002167F7">
        <w:rPr>
          <w:rFonts w:ascii="Verdana" w:eastAsia="Times New Roman" w:hAnsi="Verdana" w:cs="Arial"/>
          <w:lang w:val="es-ES"/>
        </w:rPr>
        <w:t>compete a cada Entidad Estatal que considere celebrar un contrato específico</w:t>
      </w:r>
      <w:r>
        <w:rPr>
          <w:rFonts w:ascii="Verdana" w:eastAsia="Times New Roman" w:hAnsi="Verdana" w:cs="Arial"/>
          <w:lang w:val="es-ES"/>
        </w:rPr>
        <w:t xml:space="preserve">, </w:t>
      </w:r>
      <w:r w:rsidRPr="002167F7">
        <w:rPr>
          <w:rFonts w:ascii="Verdana" w:eastAsia="Times New Roman" w:hAnsi="Verdana" w:cs="Arial"/>
          <w:lang w:val="es-ES"/>
        </w:rPr>
        <w:t>definir la modalidad de selección adecuada.</w:t>
      </w:r>
    </w:p>
    <w:p w14:paraId="07068F57" w14:textId="77777777" w:rsidR="00FF70D2" w:rsidRDefault="00FF70D2" w:rsidP="00FF70D2">
      <w:pPr>
        <w:spacing w:before="120" w:after="120" w:line="276" w:lineRule="auto"/>
        <w:ind w:firstLine="709"/>
        <w:jc w:val="both"/>
        <w:rPr>
          <w:rFonts w:ascii="Verdana" w:eastAsia="Verdana" w:hAnsi="Verdana" w:cs="Verdana"/>
        </w:rPr>
      </w:pPr>
      <w:r w:rsidRPr="00596A79">
        <w:rPr>
          <w:rFonts w:ascii="Verdana" w:eastAsia="Times New Roman" w:hAnsi="Verdana" w:cs="Arial"/>
          <w:color w:val="000000"/>
          <w:szCs w:val="24"/>
          <w:lang w:val="es-ES_tradnl" w:eastAsia="es-ES_tradnl"/>
        </w:rPr>
        <w:t>Finalmente debe advertirse que el análisis requerido para resolver problemas específicos en torno a</w:t>
      </w:r>
      <w:r>
        <w:rPr>
          <w:rFonts w:ascii="Verdana" w:eastAsia="Times New Roman" w:hAnsi="Verdana" w:cs="Arial"/>
          <w:color w:val="000000"/>
          <w:szCs w:val="24"/>
          <w:lang w:val="es-ES_tradnl" w:eastAsia="es-ES_tradnl"/>
        </w:rPr>
        <w:t>l problema jurídico planteado</w:t>
      </w:r>
      <w:r w:rsidRPr="00596A79">
        <w:rPr>
          <w:rFonts w:ascii="Verdana" w:eastAsia="Times New Roman" w:hAnsi="Verdana" w:cs="Arial"/>
          <w:color w:val="000000"/>
          <w:szCs w:val="24"/>
          <w:lang w:val="es-ES_tradnl" w:eastAsia="es-ES_tradnl"/>
        </w:rPr>
        <w:t xml:space="preserve">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21B5BD0C" w14:textId="77777777" w:rsidR="00FF70D2" w:rsidRPr="00941CF3" w:rsidRDefault="00FF70D2" w:rsidP="00FF70D2">
      <w:pPr>
        <w:spacing w:before="120" w:after="0" w:line="276" w:lineRule="auto"/>
        <w:ind w:firstLine="709"/>
        <w:jc w:val="both"/>
        <w:rPr>
          <w:rFonts w:ascii="Verdana" w:eastAsia="Verdana" w:hAnsi="Verdana" w:cs="Verdana"/>
        </w:rPr>
      </w:pPr>
      <w:r w:rsidRPr="00596A79">
        <w:rPr>
          <w:rFonts w:ascii="Verdana" w:eastAsia="Times New Roman" w:hAnsi="Verdana" w:cs="Arial"/>
          <w:color w:val="000000"/>
          <w:szCs w:val="24"/>
          <w:lang w:val="es-ES_tradnl" w:eastAsia="es-ES_tradn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542230ED" w14:textId="77777777" w:rsidR="00FF70D2" w:rsidRPr="002069C6" w:rsidRDefault="00FF70D2" w:rsidP="00FF70D2">
      <w:pPr>
        <w:spacing w:after="0" w:line="276" w:lineRule="auto"/>
        <w:jc w:val="both"/>
        <w:rPr>
          <w:rFonts w:ascii="Verdana" w:eastAsia="Calibri" w:hAnsi="Verdana" w:cs="Arial"/>
          <w:color w:val="000000" w:themeColor="text1"/>
          <w:lang w:val="es-ES"/>
        </w:rPr>
      </w:pPr>
    </w:p>
    <w:p w14:paraId="3EBBDD72" w14:textId="77777777" w:rsidR="00FF70D2" w:rsidRPr="002069C6" w:rsidRDefault="00FF70D2" w:rsidP="00FF70D2">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2069C6">
        <w:rPr>
          <w:rFonts w:ascii="Verdana" w:eastAsia="Century Gothic" w:hAnsi="Verdana" w:cs="Century Gothic"/>
          <w:b/>
          <w:bCs/>
          <w:color w:val="000000" w:themeColor="text1"/>
        </w:rPr>
        <w:t>Referencias normativas, jurisprudenciales y otras fuentes:</w:t>
      </w:r>
    </w:p>
    <w:p w14:paraId="482B4717" w14:textId="77777777" w:rsidR="00FF70D2" w:rsidRPr="002069C6" w:rsidRDefault="00FF70D2" w:rsidP="00FF70D2">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F70D2" w:rsidRPr="002069C6" w14:paraId="297ED17D" w14:textId="77777777" w:rsidTr="00992AEE">
        <w:trPr>
          <w:trHeight w:val="870"/>
        </w:trPr>
        <w:tc>
          <w:tcPr>
            <w:tcW w:w="8647" w:type="dxa"/>
          </w:tcPr>
          <w:p w14:paraId="3F530DAE"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lastRenderedPageBreak/>
              <w:t>Constitución Política de Colombia. Artículos 29 y 209.</w:t>
            </w:r>
          </w:p>
          <w:p w14:paraId="70409B42"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3248CC">
              <w:rPr>
                <w:rFonts w:ascii="Verdana" w:eastAsia="Calibri" w:hAnsi="Verdana" w:cs="Arial"/>
                <w:lang w:val="es-ES"/>
              </w:rPr>
              <w:t xml:space="preserve">Ley 80 de 1993. </w:t>
            </w:r>
            <w:r w:rsidRPr="00F2512A">
              <w:rPr>
                <w:rFonts w:ascii="Verdana" w:eastAsia="Calibri" w:hAnsi="Verdana" w:cs="Arial"/>
                <w:lang w:val="es-ES"/>
              </w:rPr>
              <w:t>Artículos 1, 2, 13, 24 (numeral 8), 32, 40, 44 y 45.</w:t>
            </w:r>
          </w:p>
          <w:p w14:paraId="79912504"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Ley 1150 de 2007. Artículos 2 y 5.</w:t>
            </w:r>
          </w:p>
          <w:p w14:paraId="5045F5F9"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Ley 1474 de 2011. Artículos 88 y 94.</w:t>
            </w:r>
          </w:p>
          <w:p w14:paraId="26FA4479"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Ley 1882 de 2018. Artículo 5.</w:t>
            </w:r>
          </w:p>
          <w:p w14:paraId="6A21A8D3"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Código Civil. Artículos 1602, 2142, 2177 y 2186.</w:t>
            </w:r>
          </w:p>
          <w:p w14:paraId="2856A2CF"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Código de Comercio. Artículos 1262 y 1266.</w:t>
            </w:r>
          </w:p>
          <w:p w14:paraId="1EB0B837" w14:textId="77777777" w:rsidR="00FF70D2" w:rsidRPr="00F2512A"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Decreto 1082 de 2015. Artículos 2.2.1.1.1.3.1 y 2.2.1.1.2.1.1.</w:t>
            </w:r>
          </w:p>
          <w:p w14:paraId="7C97E7B9" w14:textId="77777777" w:rsidR="00FF70D2" w:rsidRPr="00C732D1"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sidRPr="00F2512A">
              <w:rPr>
                <w:rFonts w:ascii="Verdana" w:eastAsia="Calibri" w:hAnsi="Verdana" w:cs="Arial"/>
                <w:lang w:val="es-ES"/>
              </w:rPr>
              <w:t xml:space="preserve">Decreto 1372 de 1992. Artículo </w:t>
            </w:r>
            <w:proofErr w:type="gramStart"/>
            <w:r w:rsidRPr="00F2512A">
              <w:rPr>
                <w:rFonts w:ascii="Verdana" w:eastAsia="Calibri" w:hAnsi="Verdana" w:cs="Arial"/>
                <w:lang w:val="es-ES"/>
              </w:rPr>
              <w:t>3.°</w:t>
            </w:r>
            <w:proofErr w:type="gramEnd"/>
            <w:r w:rsidRPr="00F2512A">
              <w:rPr>
                <w:rFonts w:ascii="Verdana" w:eastAsia="Calibri" w:hAnsi="Verdana" w:cs="Arial"/>
                <w:lang w:val="es-ES"/>
              </w:rPr>
              <w:t xml:space="preserve"> (compilado en el artículo 1.3.1.7.9 del Decreto 1625 de 2016).</w:t>
            </w:r>
          </w:p>
          <w:p w14:paraId="6AA1AAED" w14:textId="77777777" w:rsidR="00FF70D2" w:rsidRPr="00C732D1"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Pr>
                <w:rFonts w:ascii="Verdana" w:eastAsia="Calibri" w:hAnsi="Verdana" w:cs="Arial"/>
              </w:rPr>
              <w:t xml:space="preserve">CORTE CONSTITUCIONAL. </w:t>
            </w:r>
            <w:r w:rsidRPr="00F2512A">
              <w:rPr>
                <w:rFonts w:ascii="Verdana" w:eastAsia="Calibri" w:hAnsi="Verdana" w:cs="Arial"/>
              </w:rPr>
              <w:t>Sentencia C-713 del 7 de octubre de 2009. M.P.: María Victoria Calle Correa.</w:t>
            </w:r>
          </w:p>
          <w:p w14:paraId="572736B7" w14:textId="77777777" w:rsidR="00FF70D2" w:rsidRPr="00C732D1"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Pr>
                <w:rFonts w:ascii="Verdana" w:eastAsia="Calibri" w:hAnsi="Verdana" w:cs="Arial"/>
                <w:lang w:val="es-ES"/>
              </w:rPr>
              <w:t xml:space="preserve">CORTE SUPREMA DE JUSTICIA. </w:t>
            </w:r>
            <w:r w:rsidRPr="00F2512A">
              <w:rPr>
                <w:rFonts w:ascii="Verdana" w:eastAsia="Calibri" w:hAnsi="Verdana" w:cs="Arial"/>
              </w:rPr>
              <w:t xml:space="preserve">Sala de Casación Civil. Sentencia del 17 de abril de 2007. </w:t>
            </w:r>
            <w:proofErr w:type="spellStart"/>
            <w:r w:rsidRPr="00F2512A">
              <w:rPr>
                <w:rFonts w:ascii="Verdana" w:eastAsia="Calibri" w:hAnsi="Verdana" w:cs="Arial"/>
              </w:rPr>
              <w:t>Exp</w:t>
            </w:r>
            <w:proofErr w:type="spellEnd"/>
            <w:r w:rsidRPr="00F2512A">
              <w:rPr>
                <w:rFonts w:ascii="Verdana" w:eastAsia="Calibri" w:hAnsi="Verdana" w:cs="Arial"/>
              </w:rPr>
              <w:t>. 00645. M.P.: Pedro Octavio Munar Cadena.</w:t>
            </w:r>
          </w:p>
          <w:p w14:paraId="166AE48C"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Sala de Consulta y Servicio Civil. Concepto del 7 de febrero de 1997. Rad. 934. C.P.: Javier Henao Hidrón.</w:t>
            </w:r>
          </w:p>
          <w:p w14:paraId="1DCE8F13"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Sala de Consulta y Servicio Civil. Concepto 2298 del 8 de marzo de 2017. C.P.: Édgar González López.</w:t>
            </w:r>
          </w:p>
          <w:p w14:paraId="185398EE" w14:textId="77777777" w:rsidR="00FF70D2" w:rsidRPr="00C732D1"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it-CH"/>
              </w:rPr>
            </w:pPr>
            <w:r>
              <w:rPr>
                <w:rFonts w:ascii="Verdana" w:eastAsia="Calibri" w:hAnsi="Verdana" w:cs="Arial"/>
              </w:rPr>
              <w:t xml:space="preserve">CONSEJO DE ESTADO. </w:t>
            </w:r>
            <w:r w:rsidRPr="00FB0B9B">
              <w:rPr>
                <w:rFonts w:ascii="Verdana" w:eastAsia="Calibri" w:hAnsi="Verdana" w:cs="Arial"/>
              </w:rPr>
              <w:t xml:space="preserve">Sección Tercera. Sentencia del 6 de junio de 2007. </w:t>
            </w:r>
            <w:r w:rsidRPr="00C732D1">
              <w:rPr>
                <w:rFonts w:ascii="Verdana" w:eastAsia="Calibri" w:hAnsi="Verdana" w:cs="Arial"/>
                <w:lang w:val="it-CH"/>
              </w:rPr>
              <w:t>Rad. 25000-23-26-000-1996-02482-01 (17253). C.P.: Ruth Stella Correa Palacio.</w:t>
            </w:r>
          </w:p>
          <w:p w14:paraId="5A1EB1CF"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 xml:space="preserve">Sección Tercera, Subsección C. Sentencia del 31 de enero de 2011. Rad. 25000-23-26-000-1995-0867-01 (17767). C.P.: Olga Mélida Valle de </w:t>
            </w:r>
            <w:proofErr w:type="spellStart"/>
            <w:r w:rsidRPr="00FB0B9B">
              <w:rPr>
                <w:rFonts w:ascii="Verdana" w:eastAsia="Calibri" w:hAnsi="Verdana" w:cs="Arial"/>
              </w:rPr>
              <w:t>De</w:t>
            </w:r>
            <w:proofErr w:type="spellEnd"/>
            <w:r w:rsidRPr="00FB0B9B">
              <w:rPr>
                <w:rFonts w:ascii="Verdana" w:eastAsia="Calibri" w:hAnsi="Verdana" w:cs="Arial"/>
              </w:rPr>
              <w:t xml:space="preserve"> la Hoz.</w:t>
            </w:r>
          </w:p>
          <w:p w14:paraId="669839C0" w14:textId="77777777" w:rsidR="00FF70D2" w:rsidRPr="00C732D1"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it-CH"/>
              </w:rPr>
            </w:pPr>
            <w:r>
              <w:rPr>
                <w:rFonts w:ascii="Verdana" w:eastAsia="Calibri" w:hAnsi="Verdana" w:cs="Arial"/>
              </w:rPr>
              <w:t xml:space="preserve">CONSEJO DE ESTADO. </w:t>
            </w:r>
            <w:r w:rsidRPr="00FB0B9B">
              <w:rPr>
                <w:rFonts w:ascii="Verdana" w:eastAsia="Calibri" w:hAnsi="Verdana" w:cs="Arial"/>
              </w:rPr>
              <w:t xml:space="preserve">Sección Tercera. Sentencia del 3 de agosto de 2017. </w:t>
            </w:r>
            <w:r w:rsidRPr="00C732D1">
              <w:rPr>
                <w:rFonts w:ascii="Verdana" w:eastAsia="Calibri" w:hAnsi="Verdana" w:cs="Arial"/>
                <w:lang w:val="it-CH"/>
              </w:rPr>
              <w:t>Rad. 05001-23-31-000-1999-03876-01 (39113). C.P.: Stella Conto Díaz del Castillo.</w:t>
            </w:r>
          </w:p>
          <w:p w14:paraId="78EC55A3"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 xml:space="preserve">Sección Tercera, Subsección A. Sentencia del 1 de octubre de 2018. </w:t>
            </w:r>
            <w:proofErr w:type="spellStart"/>
            <w:r w:rsidRPr="00FB0B9B">
              <w:rPr>
                <w:rFonts w:ascii="Verdana" w:eastAsia="Calibri" w:hAnsi="Verdana" w:cs="Arial"/>
              </w:rPr>
              <w:t>Exp</w:t>
            </w:r>
            <w:proofErr w:type="spellEnd"/>
            <w:r w:rsidRPr="00FB0B9B">
              <w:rPr>
                <w:rFonts w:ascii="Verdana" w:eastAsia="Calibri" w:hAnsi="Verdana" w:cs="Arial"/>
              </w:rPr>
              <w:t>. 57897. C.P.: Marta Nubia Velásquez Rico.</w:t>
            </w:r>
          </w:p>
          <w:p w14:paraId="1D9E34B8"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lastRenderedPageBreak/>
              <w:t xml:space="preserve">CONSEJO DE ESTADO. </w:t>
            </w:r>
            <w:r w:rsidRPr="00FB0B9B">
              <w:rPr>
                <w:rFonts w:ascii="Verdana" w:eastAsia="Calibri" w:hAnsi="Verdana" w:cs="Arial"/>
              </w:rPr>
              <w:t xml:space="preserve">Sección Tercera, Subsección A. Sentencia del 20 de noviembre de 2020. </w:t>
            </w:r>
            <w:proofErr w:type="spellStart"/>
            <w:r w:rsidRPr="00FB0B9B">
              <w:rPr>
                <w:rFonts w:ascii="Verdana" w:eastAsia="Calibri" w:hAnsi="Verdana" w:cs="Arial"/>
              </w:rPr>
              <w:t>Exp</w:t>
            </w:r>
            <w:proofErr w:type="spellEnd"/>
            <w:r w:rsidRPr="00FB0B9B">
              <w:rPr>
                <w:rFonts w:ascii="Verdana" w:eastAsia="Calibri" w:hAnsi="Verdana" w:cs="Arial"/>
              </w:rPr>
              <w:t>. 47201. C.P.: José Roberto Sáchica Méndez.</w:t>
            </w:r>
          </w:p>
          <w:p w14:paraId="59593CE7"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 xml:space="preserve">Sección Tercera. Sentencia del 20 de junio de 2023. </w:t>
            </w:r>
            <w:proofErr w:type="spellStart"/>
            <w:r w:rsidRPr="00FB0B9B">
              <w:rPr>
                <w:rFonts w:ascii="Verdana" w:eastAsia="Calibri" w:hAnsi="Verdana" w:cs="Arial"/>
              </w:rPr>
              <w:t>Exp</w:t>
            </w:r>
            <w:proofErr w:type="spellEnd"/>
            <w:r w:rsidRPr="00FB0B9B">
              <w:rPr>
                <w:rFonts w:ascii="Verdana" w:eastAsia="Calibri" w:hAnsi="Verdana" w:cs="Arial"/>
              </w:rPr>
              <w:t>. 61174. C.P.: José Roberto Sáchica Méndez.</w:t>
            </w:r>
          </w:p>
          <w:p w14:paraId="4F823D63" w14:textId="77777777" w:rsidR="00FF70D2" w:rsidRPr="00FB0B9B"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rPr>
            </w:pPr>
            <w:r>
              <w:rPr>
                <w:rFonts w:ascii="Verdana" w:eastAsia="Calibri" w:hAnsi="Verdana" w:cs="Arial"/>
              </w:rPr>
              <w:t xml:space="preserve">CONSEJO DE ESTADO. </w:t>
            </w:r>
            <w:r w:rsidRPr="00FB0B9B">
              <w:rPr>
                <w:rFonts w:ascii="Verdana" w:eastAsia="Calibri" w:hAnsi="Verdana" w:cs="Arial"/>
              </w:rPr>
              <w:t xml:space="preserve">Sección Cuarta. Sentencia del 16 de septiembre de 2010. </w:t>
            </w:r>
            <w:proofErr w:type="spellStart"/>
            <w:r w:rsidRPr="00FB0B9B">
              <w:rPr>
                <w:rFonts w:ascii="Verdana" w:eastAsia="Calibri" w:hAnsi="Verdana" w:cs="Arial"/>
              </w:rPr>
              <w:t>Exp</w:t>
            </w:r>
            <w:proofErr w:type="spellEnd"/>
            <w:r w:rsidRPr="00FB0B9B">
              <w:rPr>
                <w:rFonts w:ascii="Verdana" w:eastAsia="Calibri" w:hAnsi="Verdana" w:cs="Arial"/>
              </w:rPr>
              <w:t>. 16605. C.P.: Carmen Teresa Ortiz de Rodríguez.</w:t>
            </w:r>
          </w:p>
          <w:p w14:paraId="5279E624" w14:textId="77777777" w:rsidR="00FF70D2" w:rsidRPr="00A34EBF" w:rsidRDefault="00FF70D2" w:rsidP="00FF70D2">
            <w:pPr>
              <w:widowControl w:val="0"/>
              <w:numPr>
                <w:ilvl w:val="0"/>
                <w:numId w:val="3"/>
              </w:numPr>
              <w:autoSpaceDE w:val="0"/>
              <w:autoSpaceDN w:val="0"/>
              <w:spacing w:after="120" w:line="276" w:lineRule="auto"/>
              <w:ind w:left="714" w:hanging="357"/>
              <w:jc w:val="both"/>
              <w:rPr>
                <w:rFonts w:ascii="Verdana" w:eastAsia="Calibri" w:hAnsi="Verdana" w:cs="Arial"/>
                <w:lang w:val="es-ES"/>
              </w:rPr>
            </w:pPr>
            <w:r>
              <w:rPr>
                <w:rFonts w:ascii="Verdana" w:eastAsia="Calibri" w:hAnsi="Verdana" w:cs="Arial"/>
              </w:rPr>
              <w:t xml:space="preserve">CONSEJO DE ESTADO. </w:t>
            </w:r>
            <w:r w:rsidRPr="00FB0B9B">
              <w:rPr>
                <w:rFonts w:ascii="Verdana" w:eastAsia="Calibri" w:hAnsi="Verdana" w:cs="Arial"/>
              </w:rPr>
              <w:t xml:space="preserve">Sección Cuarta. Sentencia del 15 de octubre de 2021. </w:t>
            </w:r>
            <w:proofErr w:type="spellStart"/>
            <w:r w:rsidRPr="00FB0B9B">
              <w:rPr>
                <w:rFonts w:ascii="Verdana" w:eastAsia="Calibri" w:hAnsi="Verdana" w:cs="Arial"/>
              </w:rPr>
              <w:t>Exp</w:t>
            </w:r>
            <w:proofErr w:type="spellEnd"/>
            <w:r w:rsidRPr="00FB0B9B">
              <w:rPr>
                <w:rFonts w:ascii="Verdana" w:eastAsia="Calibri" w:hAnsi="Verdana" w:cs="Arial"/>
              </w:rPr>
              <w:t>. 24376. C.P.: Myriam Stella Gutiérrez Argüello.</w:t>
            </w:r>
          </w:p>
        </w:tc>
      </w:tr>
    </w:tbl>
    <w:p w14:paraId="01377D29" w14:textId="77777777" w:rsidR="00FF70D2" w:rsidRPr="002069C6" w:rsidRDefault="00FF70D2" w:rsidP="00FF70D2">
      <w:pPr>
        <w:widowControl w:val="0"/>
        <w:autoSpaceDE w:val="0"/>
        <w:autoSpaceDN w:val="0"/>
        <w:spacing w:after="0" w:line="276" w:lineRule="auto"/>
        <w:jc w:val="both"/>
        <w:rPr>
          <w:rFonts w:ascii="Verdana" w:hAnsi="Verdana" w:cs="Arial"/>
          <w:color w:val="000000" w:themeColor="text1"/>
          <w:lang w:val="es-ES"/>
        </w:rPr>
      </w:pPr>
    </w:p>
    <w:p w14:paraId="48C92BB7" w14:textId="77777777" w:rsidR="00FF70D2" w:rsidRPr="002069C6" w:rsidRDefault="00FF70D2" w:rsidP="00FF70D2">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2069C6">
        <w:rPr>
          <w:rFonts w:ascii="Verdana" w:eastAsia="Century Gothic" w:hAnsi="Verdana" w:cs="Century Gothic"/>
          <w:b/>
          <w:bCs/>
          <w:color w:val="000000" w:themeColor="text1"/>
        </w:rPr>
        <w:t>Doctrina de la Agencia Nacional de Contratación Pública:</w:t>
      </w:r>
    </w:p>
    <w:p w14:paraId="689EF08F" w14:textId="77777777" w:rsidR="00FF70D2" w:rsidRDefault="00FF70D2" w:rsidP="00FF70D2">
      <w:pPr>
        <w:widowControl w:val="0"/>
        <w:autoSpaceDE w:val="0"/>
        <w:autoSpaceDN w:val="0"/>
        <w:spacing w:after="0" w:line="276" w:lineRule="auto"/>
        <w:jc w:val="both"/>
        <w:rPr>
          <w:rFonts w:ascii="Verdana" w:hAnsi="Verdana" w:cs="Arial"/>
          <w:color w:val="000000" w:themeColor="text1"/>
          <w:lang w:val="es-ES"/>
        </w:rPr>
      </w:pPr>
    </w:p>
    <w:p w14:paraId="347F8487" w14:textId="77777777" w:rsidR="00FF70D2" w:rsidRDefault="00FF70D2" w:rsidP="00FF70D2">
      <w:pPr>
        <w:widowControl w:val="0"/>
        <w:autoSpaceDE w:val="0"/>
        <w:autoSpaceDN w:val="0"/>
        <w:spacing w:after="0" w:line="276" w:lineRule="auto"/>
        <w:jc w:val="both"/>
        <w:rPr>
          <w:rFonts w:ascii="Verdana" w:hAnsi="Verdana" w:cs="Arial"/>
          <w:color w:val="000000" w:themeColor="text1"/>
          <w:lang w:val="es-ES"/>
        </w:rPr>
      </w:pPr>
      <w:r w:rsidRPr="002932BF">
        <w:rPr>
          <w:rFonts w:ascii="Verdana" w:hAnsi="Verdana" w:cs="Arial"/>
          <w:color w:val="000000" w:themeColor="text1"/>
          <w:lang w:val="es-ES"/>
        </w:rPr>
        <w:t>Sobre contratos cuyo objeto se contempla la administración delegada de recursos esta entidad se ha pronunciado en los conceptos C-593 de del 9 de octubre de 2020, C-691 del 27 de noviembre de 2020, C-173 del 23 de abril de 2021, C-021 de 24 de febrero de 2023, C-160 de 2023, C-911 del 31 de diciembre de 2024</w:t>
      </w:r>
      <w:r>
        <w:rPr>
          <w:rFonts w:ascii="Verdana" w:hAnsi="Verdana" w:cs="Arial"/>
          <w:color w:val="000000" w:themeColor="text1"/>
          <w:lang w:val="es-ES"/>
        </w:rPr>
        <w:t xml:space="preserve">, </w:t>
      </w:r>
      <w:r w:rsidRPr="002932BF">
        <w:rPr>
          <w:rFonts w:ascii="Verdana" w:hAnsi="Verdana" w:cs="Arial"/>
          <w:color w:val="000000" w:themeColor="text1"/>
          <w:lang w:val="es-ES"/>
        </w:rPr>
        <w:t>C-134 del 24 de febrero de 2025</w:t>
      </w:r>
      <w:r>
        <w:rPr>
          <w:rFonts w:ascii="Verdana" w:hAnsi="Verdana" w:cs="Arial"/>
          <w:color w:val="000000" w:themeColor="text1"/>
          <w:lang w:val="es-ES"/>
        </w:rPr>
        <w:t>, C-228 del 27 de marzo de 2025, C-1051 del 9 de septiembre de 2025, C-1152 del 23 de septiembre de 2025, C-1446 del 13 de noviembre de 2025, y C-1718 del 22 de diciembre de 2025</w:t>
      </w:r>
      <w:r w:rsidRPr="002932BF">
        <w:rPr>
          <w:rFonts w:ascii="Verdana" w:hAnsi="Verdana" w:cs="Arial"/>
          <w:color w:val="000000" w:themeColor="text1"/>
          <w:lang w:val="es-ES"/>
        </w:rPr>
        <w:t xml:space="preserve">. Estos y otros conceptos se encuentran disponibles para consulta en el Sistema de relatoría de la Agencia, al cual se puede acceder a través del siguiente enlace: </w:t>
      </w:r>
      <w:hyperlink r:id="rId9" w:history="1">
        <w:r w:rsidRPr="00AE6022">
          <w:rPr>
            <w:rStyle w:val="Hipervnculo"/>
            <w:rFonts w:ascii="Verdana" w:hAnsi="Verdana" w:cs="Arial"/>
            <w:lang w:val="es-ES"/>
          </w:rPr>
          <w:t>https://relatoria.colombiacompra.gov.co/busqueda/conceptos</w:t>
        </w:r>
      </w:hyperlink>
      <w:r>
        <w:rPr>
          <w:rFonts w:ascii="Verdana" w:hAnsi="Verdana" w:cs="Arial"/>
          <w:color w:val="000000" w:themeColor="text1"/>
          <w:lang w:val="es-ES"/>
        </w:rPr>
        <w:t xml:space="preserve"> </w:t>
      </w:r>
      <w:r w:rsidRPr="002932BF">
        <w:rPr>
          <w:rFonts w:ascii="Verdana" w:hAnsi="Verdana" w:cs="Arial"/>
          <w:color w:val="000000" w:themeColor="text1"/>
          <w:lang w:val="es-ES"/>
        </w:rPr>
        <w:t xml:space="preserve">   </w:t>
      </w:r>
    </w:p>
    <w:p w14:paraId="1B0BFC12" w14:textId="77777777" w:rsidR="00FF70D2" w:rsidRDefault="00FF70D2" w:rsidP="00FF70D2">
      <w:pPr>
        <w:widowControl w:val="0"/>
        <w:autoSpaceDE w:val="0"/>
        <w:autoSpaceDN w:val="0"/>
        <w:spacing w:after="0" w:line="276" w:lineRule="auto"/>
        <w:jc w:val="both"/>
        <w:rPr>
          <w:rFonts w:ascii="Verdana" w:hAnsi="Verdana" w:cs="Arial"/>
          <w:color w:val="000000" w:themeColor="text1"/>
          <w:lang w:val="es-ES"/>
        </w:rPr>
      </w:pPr>
    </w:p>
    <w:p w14:paraId="35D20DE4" w14:textId="77777777" w:rsidR="00FF70D2" w:rsidRDefault="00FF70D2" w:rsidP="00FF70D2">
      <w:pPr>
        <w:spacing w:line="276" w:lineRule="auto"/>
        <w:jc w:val="both"/>
        <w:rPr>
          <w:rFonts w:ascii="Verdana" w:hAnsi="Verdana"/>
        </w:rPr>
      </w:pPr>
      <w:r w:rsidRPr="00652F7B">
        <w:rPr>
          <w:rFonts w:ascii="Verdana" w:hAnsi="Verdana"/>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Guía para la Exigencia y Constitución de Garantías en los Procesos de Contratación,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0" w:history="1">
        <w:r w:rsidRPr="00FA6720">
          <w:rPr>
            <w:rStyle w:val="Hipervnculo"/>
            <w:rFonts w:ascii="Verdana" w:hAnsi="Verdana"/>
          </w:rPr>
          <w:t>https://www.colombiacompra.gov.co/archivos/manual/guia-de-garantias-en-procesos-de-contratacion</w:t>
        </w:r>
      </w:hyperlink>
    </w:p>
    <w:p w14:paraId="566BA504" w14:textId="77777777" w:rsidR="00FF70D2" w:rsidRDefault="00FF70D2" w:rsidP="00FF70D2">
      <w:pPr>
        <w:spacing w:line="276" w:lineRule="auto"/>
        <w:jc w:val="both"/>
        <w:rPr>
          <w:rFonts w:ascii="Verdana" w:hAnsi="Verdana"/>
        </w:rPr>
      </w:pPr>
      <w:r w:rsidRPr="00652F7B">
        <w:rPr>
          <w:rFonts w:ascii="Verdana" w:hAnsi="Verdana"/>
        </w:rPr>
        <w:lastRenderedPageBreak/>
        <w:t xml:space="preserve">De otro lado, te contamos que el Decreto 287 del 19 de marzo de 2026 sustituyó los artículos 2.2.1.2.4.2.6., 2.2.1.2.4.2.7. y 2.2.1.2.4.2.8. del Decreto 1082 de 2015 y estructuró el Sistema Integral de Preferencias en favor de las personas con discapacidad, en cumplimiento del artículo 13 de la Ley Estatutaria 1618 de 2013. Para orientar su aplicación, esta Agencia expidió la Circular Externa 003 del 12 de mayo de 2026, en la que precisa quiénes son los beneficiarios, las cinco medidas que integran el sistema y su obligatoriedad según la modalidad de selección, y el régimen de transición aplicable a los procesos en curso. Consúltala aquí: </w:t>
      </w:r>
      <w:hyperlink r:id="rId11" w:history="1">
        <w:r w:rsidRPr="00FA6720">
          <w:rPr>
            <w:rStyle w:val="Hipervnculo"/>
            <w:rFonts w:ascii="Verdana" w:hAnsi="Verdana"/>
          </w:rPr>
          <w:t>https://www.colombiacompra.gov.co/archivos/circular/circular-externa-003-de-2026</w:t>
        </w:r>
      </w:hyperlink>
    </w:p>
    <w:p w14:paraId="7AA66556" w14:textId="77777777" w:rsidR="00FF70D2" w:rsidRDefault="00FF70D2" w:rsidP="00FF70D2">
      <w:pPr>
        <w:spacing w:line="276" w:lineRule="auto"/>
        <w:jc w:val="both"/>
        <w:rPr>
          <w:rFonts w:ascii="Verdana" w:hAnsi="Verdana"/>
        </w:rPr>
      </w:pPr>
      <w:r w:rsidRPr="00652F7B">
        <w:rPr>
          <w:rFonts w:ascii="Verdana" w:hAnsi="Verdana"/>
        </w:rPr>
        <w:t xml:space="preserve">Recuerda también que la información sobre sanciones e inhabilidades solo cumple su función preventiva si llega oportunamente a los registros públicos. Sobre este deber, esta Agencia expidió la Circular Externa 002 del 5 de mayo de 2026,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2" w:history="1">
        <w:r w:rsidRPr="00FA6720">
          <w:rPr>
            <w:rStyle w:val="Hipervnculo"/>
            <w:rFonts w:ascii="Verdana" w:hAnsi="Verdana"/>
          </w:rPr>
          <w:t>https://www.colombiacompra.gov.co/archivos/circular/circular-externa-002-de-2026</w:t>
        </w:r>
      </w:hyperlink>
    </w:p>
    <w:p w14:paraId="5C8AA11B" w14:textId="77777777" w:rsidR="00FF70D2" w:rsidRDefault="00FF70D2" w:rsidP="00FF70D2">
      <w:pPr>
        <w:spacing w:after="0" w:line="276" w:lineRule="auto"/>
        <w:jc w:val="both"/>
        <w:rPr>
          <w:rFonts w:ascii="Verdana" w:hAnsi="Verdana"/>
        </w:rPr>
      </w:pPr>
      <w:r w:rsidRPr="00652F7B">
        <w:rPr>
          <w:rFonts w:ascii="Verdana" w:hAnsi="Verdana"/>
        </w:rPr>
        <w:t xml:space="preserve">Finalmente, si quieres seguir de cerca la actividad de la Agencia, la tercera edición de 2026 del Radar de la Compra Pública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3" w:history="1">
        <w:r w:rsidRPr="00FA6720">
          <w:rPr>
            <w:rStyle w:val="Hipervnculo"/>
            <w:rFonts w:ascii="Verdana" w:hAnsi="Verdana"/>
          </w:rPr>
          <w:t>https://www.colombiacompra.gov.co/archivos/boletin/boletin-edicion-n-3-de-2026-radar-de-la-compra-publica</w:t>
        </w:r>
      </w:hyperlink>
    </w:p>
    <w:p w14:paraId="4D53753B" w14:textId="77777777" w:rsidR="00FF70D2" w:rsidRDefault="00FF70D2" w:rsidP="00FF70D2">
      <w:pPr>
        <w:spacing w:after="0" w:line="276" w:lineRule="auto"/>
        <w:jc w:val="both"/>
      </w:pPr>
    </w:p>
    <w:p w14:paraId="15C52BE8" w14:textId="77777777" w:rsidR="00FF70D2" w:rsidRPr="00FF007A" w:rsidRDefault="00FF70D2" w:rsidP="00FF70D2">
      <w:pPr>
        <w:spacing w:after="120" w:line="276" w:lineRule="auto"/>
        <w:jc w:val="both"/>
        <w:rPr>
          <w:rFonts w:ascii="Verdana" w:eastAsia="Calibri" w:hAnsi="Verdana" w:cs="Times New Roman"/>
        </w:rPr>
      </w:pPr>
      <w:r w:rsidRPr="00FF007A">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w:t>
      </w:r>
      <w:r w:rsidRPr="00FF007A">
        <w:rPr>
          <w:rFonts w:ascii="Verdana" w:hAnsi="Verdana"/>
        </w:rPr>
        <w:lastRenderedPageBreak/>
        <w:t xml:space="preserve">requiera en el marco de nuestras funciones a través de nuestros diferentes canales de atención: </w:t>
      </w:r>
    </w:p>
    <w:p w14:paraId="48322418" w14:textId="77777777" w:rsidR="00FF70D2" w:rsidRPr="00FF007A" w:rsidRDefault="00FF70D2" w:rsidP="00FF70D2">
      <w:pPr>
        <w:pStyle w:val="Prrafodelista"/>
        <w:numPr>
          <w:ilvl w:val="0"/>
          <w:numId w:val="1"/>
        </w:numPr>
        <w:spacing w:after="0" w:line="276" w:lineRule="auto"/>
        <w:contextualSpacing w:val="0"/>
        <w:jc w:val="both"/>
        <w:rPr>
          <w:rFonts w:ascii="Verdana" w:hAnsi="Verdana"/>
        </w:rPr>
      </w:pPr>
      <w:r w:rsidRPr="00FF007A">
        <w:rPr>
          <w:rFonts w:ascii="Verdana" w:hAnsi="Verdana"/>
        </w:rPr>
        <w:t>Línea nacional gratuita o servicio a la ciudadanía: 01800 0520808</w:t>
      </w:r>
    </w:p>
    <w:p w14:paraId="469F8B21" w14:textId="77777777" w:rsidR="00FF70D2" w:rsidRPr="00FF007A" w:rsidRDefault="00FF70D2" w:rsidP="00FF70D2">
      <w:pPr>
        <w:pStyle w:val="Prrafodelista"/>
        <w:numPr>
          <w:ilvl w:val="0"/>
          <w:numId w:val="1"/>
        </w:numPr>
        <w:spacing w:after="0" w:line="276" w:lineRule="auto"/>
        <w:contextualSpacing w:val="0"/>
        <w:jc w:val="both"/>
        <w:rPr>
          <w:rFonts w:ascii="Verdana" w:hAnsi="Verdana"/>
        </w:rPr>
      </w:pPr>
      <w:r w:rsidRPr="00FF007A">
        <w:rPr>
          <w:rFonts w:ascii="Verdana" w:hAnsi="Verdana"/>
        </w:rPr>
        <w:t>Línea en Bogotá (Mesa de servicio): +57 601 7456788</w:t>
      </w:r>
    </w:p>
    <w:p w14:paraId="71A945BB" w14:textId="77777777" w:rsidR="00FF70D2" w:rsidRPr="00FF007A" w:rsidRDefault="00FF70D2" w:rsidP="00FF70D2">
      <w:pPr>
        <w:pStyle w:val="Prrafodelista"/>
        <w:numPr>
          <w:ilvl w:val="0"/>
          <w:numId w:val="1"/>
        </w:numPr>
        <w:spacing w:after="0" w:line="276" w:lineRule="auto"/>
        <w:contextualSpacing w:val="0"/>
        <w:jc w:val="both"/>
        <w:rPr>
          <w:rFonts w:ascii="Verdana" w:hAnsi="Verdana"/>
        </w:rPr>
      </w:pPr>
      <w:r w:rsidRPr="00FF007A">
        <w:rPr>
          <w:rFonts w:ascii="Verdana" w:hAnsi="Verdana"/>
        </w:rPr>
        <w:t>Línea de servicio y atención al ciudadano: +57 601 7956600</w:t>
      </w:r>
    </w:p>
    <w:p w14:paraId="05E5017C" w14:textId="77777777" w:rsidR="00FF70D2" w:rsidRPr="00FF007A" w:rsidRDefault="00FF70D2" w:rsidP="00FF70D2">
      <w:pPr>
        <w:pStyle w:val="Prrafodelista"/>
        <w:numPr>
          <w:ilvl w:val="0"/>
          <w:numId w:val="1"/>
        </w:numPr>
        <w:spacing w:after="0" w:line="276" w:lineRule="auto"/>
        <w:contextualSpacing w:val="0"/>
        <w:jc w:val="both"/>
        <w:rPr>
          <w:rFonts w:ascii="Verdana" w:hAnsi="Verdana"/>
        </w:rPr>
      </w:pPr>
      <w:r w:rsidRPr="00FF007A">
        <w:rPr>
          <w:rFonts w:ascii="Verdana" w:hAnsi="Verdana"/>
        </w:rPr>
        <w:t xml:space="preserve">Página web: </w:t>
      </w:r>
      <w:hyperlink r:id="rId14" w:history="1">
        <w:r w:rsidRPr="00FF007A">
          <w:rPr>
            <w:rStyle w:val="Hipervnculo"/>
            <w:rFonts w:ascii="Verdana" w:hAnsi="Verdana"/>
          </w:rPr>
          <w:t>www.colombiacompra.gov.co</w:t>
        </w:r>
      </w:hyperlink>
    </w:p>
    <w:p w14:paraId="3D76B0EA" w14:textId="77777777" w:rsidR="00FF70D2" w:rsidRDefault="00FF70D2" w:rsidP="00FF70D2">
      <w:pPr>
        <w:spacing w:after="0" w:line="276" w:lineRule="auto"/>
        <w:jc w:val="both"/>
      </w:pPr>
    </w:p>
    <w:p w14:paraId="0D6DC3B3" w14:textId="77777777" w:rsidR="00FF70D2" w:rsidRPr="00924699" w:rsidRDefault="00FF70D2" w:rsidP="00FF70D2">
      <w:pPr>
        <w:spacing w:after="0" w:line="276" w:lineRule="auto"/>
        <w:jc w:val="both"/>
        <w:rPr>
          <w:rFonts w:ascii="Calibri" w:eastAsia="Calibri" w:hAnsi="Calibri" w:cs="Times New Roman"/>
        </w:rPr>
      </w:pPr>
      <w:r w:rsidRPr="00924699">
        <w:rPr>
          <w:rFonts w:ascii="Verdana" w:eastAsia="Calibri" w:hAnsi="Verdana" w:cs="Times New Roman"/>
        </w:rPr>
        <w:t xml:space="preserve">Por último, lo invitamos a seguirnos en las redes sociales en las cuales se difunde información institucional: </w:t>
      </w:r>
    </w:p>
    <w:p w14:paraId="46F95077" w14:textId="77777777" w:rsidR="00FF70D2" w:rsidRPr="00924699" w:rsidRDefault="00FF70D2" w:rsidP="00FF70D2">
      <w:pPr>
        <w:spacing w:after="0" w:line="276" w:lineRule="auto"/>
        <w:jc w:val="both"/>
        <w:rPr>
          <w:rFonts w:ascii="Verdana" w:eastAsia="Calibri" w:hAnsi="Verdana" w:cs="Times New Roman"/>
        </w:rPr>
      </w:pPr>
    </w:p>
    <w:p w14:paraId="6590C609" w14:textId="77777777" w:rsidR="00FF70D2" w:rsidRPr="00924699" w:rsidRDefault="00FF70D2" w:rsidP="00FF70D2">
      <w:pPr>
        <w:spacing w:after="0" w:line="276" w:lineRule="auto"/>
        <w:jc w:val="both"/>
        <w:rPr>
          <w:rFonts w:ascii="Verdana" w:eastAsia="Calibri" w:hAnsi="Verdana" w:cs="Times New Roman"/>
        </w:rPr>
      </w:pPr>
      <w:r w:rsidRPr="00924699">
        <w:rPr>
          <w:rFonts w:ascii="Verdana" w:eastAsia="Calibri" w:hAnsi="Verdana" w:cs="Times New Roman"/>
        </w:rPr>
        <w:t xml:space="preserve">Twitter: </w:t>
      </w:r>
      <w:r w:rsidRPr="00924699">
        <w:rPr>
          <w:rFonts w:ascii="Verdana" w:eastAsia="Calibri" w:hAnsi="Verdana" w:cs="Times New Roman"/>
          <w:color w:val="156082" w:themeColor="accent1"/>
          <w:u w:val="single"/>
        </w:rPr>
        <w:t>@colombiacompra</w:t>
      </w:r>
      <w:r w:rsidRPr="00924699">
        <w:rPr>
          <w:rFonts w:ascii="Verdana" w:eastAsia="Calibri" w:hAnsi="Verdana" w:cs="Times New Roman"/>
          <w:color w:val="156082" w:themeColor="accent1"/>
        </w:rPr>
        <w:t xml:space="preserve"> </w:t>
      </w:r>
    </w:p>
    <w:p w14:paraId="7E0A3B2E" w14:textId="77777777" w:rsidR="00FF70D2" w:rsidRPr="00924699" w:rsidRDefault="00FF70D2" w:rsidP="00FF70D2">
      <w:pPr>
        <w:spacing w:after="0" w:line="276" w:lineRule="auto"/>
        <w:jc w:val="both"/>
        <w:rPr>
          <w:rFonts w:ascii="Verdana" w:eastAsia="Calibri" w:hAnsi="Verdana" w:cs="Times New Roman"/>
        </w:rPr>
      </w:pPr>
      <w:r w:rsidRPr="00924699">
        <w:rPr>
          <w:rFonts w:ascii="Verdana" w:eastAsia="Calibri" w:hAnsi="Verdana" w:cs="Times New Roman"/>
        </w:rPr>
        <w:t xml:space="preserve">Facebook: </w:t>
      </w:r>
      <w:proofErr w:type="spellStart"/>
      <w:r w:rsidRPr="00924699">
        <w:rPr>
          <w:rFonts w:ascii="Verdana" w:eastAsia="Calibri" w:hAnsi="Verdana" w:cs="Times New Roman"/>
          <w:color w:val="156082" w:themeColor="accent1"/>
          <w:u w:val="single"/>
        </w:rPr>
        <w:t>ColombiaCompraEficiente</w:t>
      </w:r>
      <w:proofErr w:type="spellEnd"/>
    </w:p>
    <w:p w14:paraId="698D53D6" w14:textId="77777777" w:rsidR="00FF70D2" w:rsidRPr="00924699" w:rsidRDefault="00FF70D2" w:rsidP="00FF70D2">
      <w:pPr>
        <w:spacing w:after="0" w:line="276" w:lineRule="auto"/>
        <w:jc w:val="both"/>
        <w:rPr>
          <w:rFonts w:ascii="Verdana" w:eastAsia="Calibri" w:hAnsi="Verdana" w:cs="Times New Roman"/>
        </w:rPr>
      </w:pPr>
      <w:r w:rsidRPr="00924699">
        <w:rPr>
          <w:rFonts w:ascii="Verdana" w:eastAsia="Calibri" w:hAnsi="Verdana" w:cs="Times New Roman"/>
        </w:rPr>
        <w:t xml:space="preserve">LinkedIn: </w:t>
      </w:r>
      <w:r w:rsidRPr="00924699">
        <w:rPr>
          <w:rFonts w:ascii="Verdana" w:eastAsia="Calibri" w:hAnsi="Verdana" w:cs="Times New Roman"/>
          <w:color w:val="156082" w:themeColor="accent1"/>
          <w:u w:val="single"/>
        </w:rPr>
        <w:t>Agencia Nacional de Contratación Pública - Colombia Compra Eficiente</w:t>
      </w:r>
      <w:r w:rsidRPr="00924699">
        <w:rPr>
          <w:rFonts w:ascii="Verdana" w:eastAsia="Calibri" w:hAnsi="Verdana" w:cs="Times New Roman"/>
          <w:color w:val="156082" w:themeColor="accent1"/>
        </w:rPr>
        <w:t xml:space="preserve"> </w:t>
      </w:r>
      <w:r w:rsidRPr="00924699">
        <w:rPr>
          <w:rFonts w:ascii="Verdana" w:eastAsia="Calibri" w:hAnsi="Verdana" w:cs="Times New Roman"/>
        </w:rPr>
        <w:t xml:space="preserve">Instagram: </w:t>
      </w:r>
      <w:r w:rsidRPr="00924699">
        <w:rPr>
          <w:rFonts w:ascii="Verdana" w:eastAsia="Calibri" w:hAnsi="Verdana" w:cs="Times New Roman"/>
          <w:color w:val="156082" w:themeColor="accent1"/>
          <w:u w:val="single"/>
        </w:rPr>
        <w:t>@colombiacompraeficiente_cce</w:t>
      </w:r>
    </w:p>
    <w:p w14:paraId="6DD629F5" w14:textId="77777777" w:rsidR="00FF70D2" w:rsidRPr="00924699" w:rsidRDefault="00FF70D2" w:rsidP="00FF70D2">
      <w:pPr>
        <w:widowControl w:val="0"/>
        <w:autoSpaceDE w:val="0"/>
        <w:autoSpaceDN w:val="0"/>
        <w:spacing w:after="0" w:line="276" w:lineRule="auto"/>
        <w:jc w:val="both"/>
        <w:rPr>
          <w:rFonts w:ascii="Verdana" w:eastAsia="Calibri" w:hAnsi="Verdana" w:cs="Arial"/>
        </w:rPr>
      </w:pPr>
    </w:p>
    <w:p w14:paraId="4C148773" w14:textId="77777777" w:rsidR="00FF70D2" w:rsidRPr="00924699" w:rsidRDefault="00FF70D2" w:rsidP="00FF70D2">
      <w:pPr>
        <w:widowControl w:val="0"/>
        <w:autoSpaceDE w:val="0"/>
        <w:autoSpaceDN w:val="0"/>
        <w:spacing w:after="0" w:line="276" w:lineRule="auto"/>
        <w:jc w:val="both"/>
        <w:rPr>
          <w:rFonts w:ascii="Verdana" w:eastAsia="Calibri" w:hAnsi="Verdana" w:cs="Arial"/>
          <w:lang w:val="es-ES_tradnl"/>
        </w:rPr>
      </w:pPr>
      <w:r w:rsidRPr="00924699">
        <w:rPr>
          <w:rFonts w:ascii="Verdana" w:eastAsia="Calibri" w:hAnsi="Verdana" w:cs="Arial"/>
        </w:rPr>
        <w:t xml:space="preserve">Este concepto tiene el alcance previsto en el artículo 28 del Código de Procedimiento Administrativo y de lo Contencioso Administrativo </w:t>
      </w:r>
      <w:r w:rsidRPr="00924699">
        <w:rPr>
          <w:rFonts w:ascii="Verdana" w:eastAsia="Calibri" w:hAnsi="Verdana" w:cs="Arial"/>
          <w:lang w:val="es-ES_tradnl"/>
        </w:rPr>
        <w:t>y las expresiones aquí utilizadas con mayúscula inicial deben ser entendidas con el significado que les otorga el artículo 2.2.1.1.1.3.1. del Decreto 1082 de 2015.</w:t>
      </w:r>
    </w:p>
    <w:p w14:paraId="4A9D32E6" w14:textId="77777777" w:rsidR="00FF70D2" w:rsidRPr="002C6323" w:rsidRDefault="00FF70D2" w:rsidP="00FF70D2">
      <w:pPr>
        <w:widowControl w:val="0"/>
        <w:autoSpaceDE w:val="0"/>
        <w:autoSpaceDN w:val="0"/>
        <w:spacing w:after="0" w:line="276" w:lineRule="auto"/>
        <w:jc w:val="both"/>
        <w:rPr>
          <w:rFonts w:ascii="Verdana" w:hAnsi="Verdana" w:cs="Arial"/>
        </w:rPr>
      </w:pPr>
    </w:p>
    <w:p w14:paraId="0BB67F85" w14:textId="77777777" w:rsidR="00FF70D2" w:rsidRDefault="00FF70D2" w:rsidP="00FF70D2">
      <w:pPr>
        <w:spacing w:after="0" w:line="240" w:lineRule="auto"/>
        <w:rPr>
          <w:rFonts w:ascii="Verdana" w:hAnsi="Verdana" w:cs="Arial"/>
          <w:lang w:eastAsia="es-CO"/>
        </w:rPr>
      </w:pPr>
      <w:r w:rsidRPr="3B2C2CC7">
        <w:rPr>
          <w:rFonts w:ascii="Verdana" w:eastAsia="Times New Roman" w:hAnsi="Verdana" w:cs="Arial"/>
          <w:lang w:eastAsia="es-CO"/>
        </w:rPr>
        <w:t>Atentamente,</w:t>
      </w:r>
      <w:r w:rsidRPr="3B2C2CC7">
        <w:rPr>
          <w:rFonts w:ascii="Verdana" w:hAnsi="Verdana" w:cs="Arial"/>
          <w:lang w:eastAsia="es-CO"/>
        </w:rPr>
        <w:t xml:space="preserve"> </w:t>
      </w:r>
    </w:p>
    <w:p w14:paraId="3213B8F9" w14:textId="6254157E" w:rsidR="00A008FD" w:rsidRPr="00A008FD" w:rsidRDefault="00A008FD" w:rsidP="00A008FD">
      <w:pPr>
        <w:spacing w:line="276" w:lineRule="auto"/>
        <w:jc w:val="center"/>
        <w:rPr>
          <w:rFonts w:ascii="Verdana" w:eastAsia="Calibri" w:hAnsi="Verdana" w:cs="Arial"/>
          <w:color w:val="000000"/>
          <w:lang w:eastAsia="es-CO"/>
        </w:rPr>
      </w:pPr>
      <w:r w:rsidRPr="00A008FD">
        <w:rPr>
          <w:rFonts w:ascii="Verdana" w:eastAsia="Calibri" w:hAnsi="Verdana" w:cs="Arial"/>
          <w:color w:val="000000"/>
          <w:lang w:eastAsia="es-CO"/>
        </w:rPr>
        <w:drawing>
          <wp:inline distT="0" distB="0" distL="0" distR="0" wp14:anchorId="51DD4E5A" wp14:editId="1164C7DD">
            <wp:extent cx="3771900" cy="1403350"/>
            <wp:effectExtent l="0" t="0" r="0" b="6350"/>
            <wp:docPr id="19162840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1403350"/>
                    </a:xfrm>
                    <a:prstGeom prst="rect">
                      <a:avLst/>
                    </a:prstGeom>
                    <a:noFill/>
                    <a:ln>
                      <a:noFill/>
                    </a:ln>
                  </pic:spPr>
                </pic:pic>
              </a:graphicData>
            </a:graphic>
          </wp:inline>
        </w:drawing>
      </w:r>
    </w:p>
    <w:p w14:paraId="7346BC3F" w14:textId="7723301A" w:rsidR="00FF70D2" w:rsidRPr="00143822" w:rsidRDefault="00FF70D2" w:rsidP="00FF70D2">
      <w:pPr>
        <w:spacing w:line="276" w:lineRule="auto"/>
        <w:jc w:val="center"/>
        <w:rPr>
          <w:rFonts w:ascii="Verdana" w:eastAsia="Calibri" w:hAnsi="Verdana" w:cs="Arial"/>
          <w:color w:val="000000"/>
          <w:lang w:val="es-ES_tradnl" w:eastAsia="es-CO"/>
        </w:rPr>
      </w:pPr>
    </w:p>
    <w:tbl>
      <w:tblPr>
        <w:tblStyle w:val="Tablaconcuadrcula11"/>
        <w:tblW w:w="6521" w:type="dxa"/>
        <w:tblLook w:val="04A0" w:firstRow="1" w:lastRow="0" w:firstColumn="1" w:lastColumn="0" w:noHBand="0" w:noVBand="1"/>
      </w:tblPr>
      <w:tblGrid>
        <w:gridCol w:w="893"/>
        <w:gridCol w:w="5628"/>
      </w:tblGrid>
      <w:tr w:rsidR="00FF70D2" w:rsidRPr="00E55614" w14:paraId="498B9D3C" w14:textId="77777777" w:rsidTr="00992AEE">
        <w:trPr>
          <w:trHeight w:val="315"/>
        </w:trPr>
        <w:tc>
          <w:tcPr>
            <w:tcW w:w="893" w:type="dxa"/>
            <w:vAlign w:val="center"/>
            <w:hideMark/>
          </w:tcPr>
          <w:p w14:paraId="7BB0C028" w14:textId="77777777" w:rsidR="00FF70D2" w:rsidRPr="00E55614" w:rsidRDefault="00FF70D2" w:rsidP="00992AEE">
            <w:pPr>
              <w:spacing w:after="255" w:line="254" w:lineRule="auto"/>
              <w:contextualSpacing/>
              <w:rPr>
                <w:rFonts w:ascii="Verdana" w:eastAsia="Calibri" w:hAnsi="Verdana"/>
                <w:sz w:val="14"/>
                <w:szCs w:val="14"/>
                <w:lang w:eastAsia="es-ES"/>
              </w:rPr>
            </w:pPr>
            <w:r w:rsidRPr="00E55614">
              <w:rPr>
                <w:rFonts w:ascii="Verdana" w:eastAsia="Calibri" w:hAnsi="Verdana"/>
                <w:sz w:val="14"/>
                <w:szCs w:val="14"/>
                <w:lang w:eastAsia="es-ES"/>
              </w:rPr>
              <w:t>Elaboró:</w:t>
            </w:r>
          </w:p>
        </w:tc>
        <w:tc>
          <w:tcPr>
            <w:tcW w:w="5628" w:type="dxa"/>
            <w:tcBorders>
              <w:top w:val="nil"/>
              <w:left w:val="nil"/>
              <w:bottom w:val="dotted" w:sz="4" w:space="0" w:color="7F7F7F" w:themeColor="text1" w:themeTint="80"/>
              <w:right w:val="nil"/>
            </w:tcBorders>
            <w:vAlign w:val="center"/>
            <w:hideMark/>
          </w:tcPr>
          <w:p w14:paraId="46C8C7BA" w14:textId="77777777" w:rsidR="00FF70D2" w:rsidRPr="00E55614" w:rsidRDefault="00FF70D2" w:rsidP="00992AEE">
            <w:pPr>
              <w:spacing w:after="255" w:line="254" w:lineRule="auto"/>
              <w:contextualSpacing/>
              <w:rPr>
                <w:rFonts w:ascii="Verdana" w:eastAsia="Calibri" w:hAnsi="Verdana" w:cs="Times New Roman"/>
                <w:sz w:val="14"/>
                <w:szCs w:val="14"/>
              </w:rPr>
            </w:pPr>
            <w:r w:rsidRPr="00E55614">
              <w:rPr>
                <w:rFonts w:ascii="Verdana" w:eastAsia="Calibri" w:hAnsi="Verdana" w:cs="Times New Roman"/>
                <w:sz w:val="14"/>
                <w:szCs w:val="14"/>
              </w:rPr>
              <w:t>Natalia Montoya Jiménez</w:t>
            </w:r>
          </w:p>
          <w:p w14:paraId="1FA2F487" w14:textId="77777777" w:rsidR="00FF70D2" w:rsidRPr="00E55614" w:rsidRDefault="00FF70D2" w:rsidP="00992AEE">
            <w:pPr>
              <w:spacing w:after="255" w:line="254" w:lineRule="auto"/>
              <w:contextualSpacing/>
              <w:rPr>
                <w:rFonts w:ascii="Verdana" w:hAnsi="Verdana"/>
                <w:sz w:val="14"/>
                <w:szCs w:val="14"/>
              </w:rPr>
            </w:pPr>
            <w:r w:rsidRPr="00E55614">
              <w:rPr>
                <w:rFonts w:ascii="Verdana" w:eastAsia="Times New Roman" w:hAnsi="Verdana"/>
                <w:sz w:val="14"/>
                <w:szCs w:val="14"/>
                <w:lang w:eastAsia="es-ES_tradnl"/>
              </w:rPr>
              <w:t xml:space="preserve">Gestor T1 ‒ 15 </w:t>
            </w:r>
            <w:r w:rsidRPr="00E55614">
              <w:rPr>
                <w:rFonts w:ascii="Verdana" w:eastAsia="Calibri" w:hAnsi="Verdana" w:cs="Times New Roman"/>
                <w:sz w:val="14"/>
                <w:szCs w:val="14"/>
              </w:rPr>
              <w:t>de la Subdirección de Gestión Contractual</w:t>
            </w:r>
          </w:p>
        </w:tc>
      </w:tr>
      <w:tr w:rsidR="00FF70D2" w:rsidRPr="00E55614" w14:paraId="1232BE0D" w14:textId="77777777" w:rsidTr="00992AEE">
        <w:trPr>
          <w:trHeight w:val="330"/>
        </w:trPr>
        <w:tc>
          <w:tcPr>
            <w:tcW w:w="893" w:type="dxa"/>
            <w:vAlign w:val="center"/>
            <w:hideMark/>
          </w:tcPr>
          <w:p w14:paraId="0C1BD780" w14:textId="77777777" w:rsidR="00FF70D2" w:rsidRPr="00E55614" w:rsidRDefault="00FF70D2" w:rsidP="00992AEE">
            <w:pPr>
              <w:spacing w:after="255" w:line="254" w:lineRule="auto"/>
              <w:contextualSpacing/>
              <w:rPr>
                <w:rFonts w:ascii="Verdana" w:eastAsia="Calibri" w:hAnsi="Verdana"/>
                <w:sz w:val="14"/>
                <w:szCs w:val="14"/>
                <w:lang w:eastAsia="es-ES"/>
              </w:rPr>
            </w:pPr>
            <w:r w:rsidRPr="00E55614">
              <w:rPr>
                <w:rFonts w:ascii="Verdana" w:eastAsia="Calibri" w:hAnsi="Verdana"/>
                <w:sz w:val="14"/>
                <w:szCs w:val="14"/>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326EEAB" w14:textId="77777777" w:rsidR="00FF70D2" w:rsidRPr="00E55614" w:rsidRDefault="00FF70D2" w:rsidP="00992AEE">
            <w:pPr>
              <w:spacing w:before="100" w:beforeAutospacing="1" w:after="100" w:afterAutospacing="1" w:line="254" w:lineRule="auto"/>
              <w:contextualSpacing/>
              <w:textAlignment w:val="baseline"/>
              <w:rPr>
                <w:rFonts w:ascii="Verdana" w:eastAsia="Times New Roman" w:hAnsi="Verdana"/>
                <w:sz w:val="14"/>
                <w:szCs w:val="14"/>
                <w:lang w:eastAsia="es-ES_tradnl"/>
              </w:rPr>
            </w:pPr>
            <w:r w:rsidRPr="00E55614">
              <w:rPr>
                <w:rFonts w:ascii="Verdana" w:eastAsia="Times New Roman" w:hAnsi="Verdana"/>
                <w:sz w:val="14"/>
                <w:szCs w:val="14"/>
                <w:lang w:eastAsia="es-ES_tradnl"/>
              </w:rPr>
              <w:t xml:space="preserve">Alejandro </w:t>
            </w:r>
            <w:r>
              <w:rPr>
                <w:rFonts w:ascii="Verdana" w:eastAsia="Times New Roman" w:hAnsi="Verdana"/>
                <w:sz w:val="14"/>
                <w:szCs w:val="14"/>
                <w:lang w:eastAsia="es-ES_tradnl"/>
              </w:rPr>
              <w:t>R.</w:t>
            </w:r>
            <w:r w:rsidRPr="00E55614">
              <w:rPr>
                <w:rFonts w:ascii="Verdana" w:eastAsia="Times New Roman" w:hAnsi="Verdana"/>
                <w:sz w:val="14"/>
                <w:szCs w:val="14"/>
                <w:lang w:eastAsia="es-ES_tradnl"/>
              </w:rPr>
              <w:t xml:space="preserve"> Sarmiento Cantillo</w:t>
            </w:r>
          </w:p>
          <w:p w14:paraId="279ECD32" w14:textId="77777777" w:rsidR="00FF70D2" w:rsidRPr="00E55614" w:rsidRDefault="00FF70D2" w:rsidP="00992AEE">
            <w:pPr>
              <w:spacing w:after="255" w:line="254" w:lineRule="auto"/>
              <w:contextualSpacing/>
              <w:textAlignment w:val="baseline"/>
              <w:rPr>
                <w:rFonts w:ascii="Verdana" w:eastAsia="Times New Roman" w:hAnsi="Verdana" w:cs="Segoe UI"/>
                <w:sz w:val="14"/>
                <w:szCs w:val="14"/>
                <w:lang w:eastAsia="es-ES_tradnl"/>
              </w:rPr>
            </w:pPr>
            <w:r w:rsidRPr="00E55614">
              <w:rPr>
                <w:rFonts w:ascii="Verdana" w:eastAsia="Times New Roman" w:hAnsi="Verdana"/>
                <w:sz w:val="14"/>
                <w:szCs w:val="14"/>
                <w:lang w:eastAsia="es-ES_tradnl"/>
              </w:rPr>
              <w:t>Gestor T1 ‒ 15 de la Subdirección de Gestión Contractual </w:t>
            </w:r>
          </w:p>
        </w:tc>
      </w:tr>
      <w:tr w:rsidR="00FF70D2" w:rsidRPr="00E55614" w14:paraId="19937F29" w14:textId="77777777" w:rsidTr="00992AEE">
        <w:trPr>
          <w:trHeight w:val="300"/>
        </w:trPr>
        <w:tc>
          <w:tcPr>
            <w:tcW w:w="893" w:type="dxa"/>
            <w:vAlign w:val="center"/>
            <w:hideMark/>
          </w:tcPr>
          <w:p w14:paraId="3FB1A5C1" w14:textId="77777777" w:rsidR="00FF70D2" w:rsidRPr="00E55614" w:rsidRDefault="00FF70D2" w:rsidP="00992AEE">
            <w:pPr>
              <w:spacing w:after="255" w:line="254" w:lineRule="auto"/>
              <w:contextualSpacing/>
              <w:rPr>
                <w:rFonts w:ascii="Verdana" w:eastAsia="Calibri" w:hAnsi="Verdana"/>
                <w:sz w:val="14"/>
                <w:szCs w:val="14"/>
                <w:lang w:eastAsia="es-ES"/>
              </w:rPr>
            </w:pPr>
            <w:r w:rsidRPr="00E55614">
              <w:rPr>
                <w:rFonts w:ascii="Verdana" w:eastAsia="Calibri" w:hAnsi="Verdana"/>
                <w:sz w:val="14"/>
                <w:szCs w:val="14"/>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D30BD53" w14:textId="77777777" w:rsidR="00FF70D2" w:rsidRPr="00E55614" w:rsidRDefault="00FF70D2" w:rsidP="00992AEE">
            <w:pPr>
              <w:spacing w:after="255" w:line="254" w:lineRule="auto"/>
              <w:contextualSpacing/>
              <w:rPr>
                <w:rFonts w:ascii="Verdana" w:eastAsia="Calibri" w:hAnsi="Verdana"/>
                <w:sz w:val="14"/>
                <w:szCs w:val="14"/>
                <w:lang w:val="pt-BR" w:eastAsia="es-ES"/>
              </w:rPr>
            </w:pPr>
            <w:r w:rsidRPr="00E55614">
              <w:rPr>
                <w:rFonts w:ascii="Verdana" w:eastAsia="Calibri" w:hAnsi="Verdana"/>
                <w:sz w:val="14"/>
                <w:szCs w:val="14"/>
                <w:lang w:val="pt-BR" w:eastAsia="es-ES"/>
              </w:rPr>
              <w:t>Carolina Quintero Gacharná</w:t>
            </w:r>
          </w:p>
          <w:p w14:paraId="71DBD551" w14:textId="77777777" w:rsidR="00FF70D2" w:rsidRPr="00E55614" w:rsidRDefault="00FF70D2" w:rsidP="00992AEE">
            <w:pPr>
              <w:spacing w:after="255" w:line="254" w:lineRule="auto"/>
              <w:contextualSpacing/>
              <w:rPr>
                <w:rFonts w:ascii="Verdana" w:eastAsia="Calibri" w:hAnsi="Verdana"/>
                <w:sz w:val="14"/>
                <w:szCs w:val="14"/>
                <w:lang w:val="pt-BR" w:eastAsia="es-ES"/>
              </w:rPr>
            </w:pPr>
            <w:r w:rsidRPr="00E55614">
              <w:rPr>
                <w:rFonts w:ascii="Verdana" w:eastAsia="Calibri" w:hAnsi="Verdana"/>
                <w:sz w:val="14"/>
                <w:szCs w:val="14"/>
                <w:lang w:eastAsia="es-ES"/>
              </w:rPr>
              <w:t>Subdirectora</w:t>
            </w:r>
            <w:r w:rsidRPr="00E55614">
              <w:rPr>
                <w:rFonts w:ascii="Verdana" w:eastAsia="Calibri" w:hAnsi="Verdana"/>
                <w:sz w:val="14"/>
                <w:szCs w:val="14"/>
                <w:lang w:val="pt-BR" w:eastAsia="es-ES"/>
              </w:rPr>
              <w:t xml:space="preserve"> de Gestión </w:t>
            </w:r>
            <w:proofErr w:type="spellStart"/>
            <w:r w:rsidRPr="00E55614">
              <w:rPr>
                <w:rFonts w:ascii="Verdana" w:eastAsia="Calibri" w:hAnsi="Verdana"/>
                <w:sz w:val="14"/>
                <w:szCs w:val="14"/>
                <w:lang w:val="pt-BR" w:eastAsia="es-ES"/>
              </w:rPr>
              <w:t>Contra</w:t>
            </w:r>
            <w:r>
              <w:rPr>
                <w:rFonts w:ascii="Verdana" w:eastAsia="Calibri" w:hAnsi="Verdana"/>
                <w:sz w:val="14"/>
                <w:szCs w:val="14"/>
                <w:lang w:val="pt-BR" w:eastAsia="es-ES"/>
              </w:rPr>
              <w:t>c</w:t>
            </w:r>
            <w:r w:rsidRPr="00E55614">
              <w:rPr>
                <w:rFonts w:ascii="Verdana" w:eastAsia="Calibri" w:hAnsi="Verdana"/>
                <w:sz w:val="14"/>
                <w:szCs w:val="14"/>
                <w:lang w:val="pt-BR" w:eastAsia="es-ES"/>
              </w:rPr>
              <w:t>tual</w:t>
            </w:r>
            <w:proofErr w:type="spellEnd"/>
            <w:r w:rsidRPr="00E55614">
              <w:rPr>
                <w:rFonts w:ascii="Verdana" w:eastAsia="Calibri" w:hAnsi="Verdana"/>
                <w:sz w:val="14"/>
                <w:szCs w:val="14"/>
                <w:lang w:val="pt-BR" w:eastAsia="es-ES"/>
              </w:rPr>
              <w:t xml:space="preserve"> ANCP – CCE</w:t>
            </w:r>
          </w:p>
        </w:tc>
      </w:tr>
      <w:tr w:rsidR="00FF70D2" w:rsidRPr="00E55614" w14:paraId="4EDD747E" w14:textId="77777777" w:rsidTr="00992AEE">
        <w:trPr>
          <w:trHeight w:val="300"/>
        </w:trPr>
        <w:tc>
          <w:tcPr>
            <w:tcW w:w="893" w:type="dxa"/>
            <w:vAlign w:val="center"/>
          </w:tcPr>
          <w:p w14:paraId="4A820FC0" w14:textId="77777777" w:rsidR="00FF70D2" w:rsidRDefault="00FF70D2" w:rsidP="00992AEE">
            <w:pPr>
              <w:spacing w:after="255" w:line="254" w:lineRule="auto"/>
              <w:contextualSpacing/>
              <w:rPr>
                <w:rFonts w:ascii="Verdana" w:eastAsia="Calibri" w:hAnsi="Verdana"/>
                <w:sz w:val="14"/>
                <w:szCs w:val="14"/>
                <w:lang w:eastAsia="es-ES"/>
              </w:rPr>
            </w:pPr>
          </w:p>
          <w:p w14:paraId="7AA31A01" w14:textId="77777777" w:rsidR="00FF70D2" w:rsidRDefault="00FF70D2" w:rsidP="00992AEE">
            <w:pPr>
              <w:spacing w:after="255" w:line="254" w:lineRule="auto"/>
              <w:contextualSpacing/>
              <w:rPr>
                <w:rFonts w:ascii="Verdana" w:eastAsia="Calibri" w:hAnsi="Verdana"/>
                <w:sz w:val="14"/>
                <w:szCs w:val="14"/>
                <w:lang w:eastAsia="es-ES"/>
              </w:rPr>
            </w:pPr>
          </w:p>
          <w:p w14:paraId="5E298FB9" w14:textId="77777777" w:rsidR="00FF70D2" w:rsidRPr="00E55614" w:rsidRDefault="00FF70D2" w:rsidP="00992AEE">
            <w:pPr>
              <w:spacing w:after="255" w:line="254" w:lineRule="auto"/>
              <w:contextualSpacing/>
              <w:rPr>
                <w:rFonts w:ascii="Verdana" w:eastAsia="Calibri" w:hAnsi="Verdana"/>
                <w:sz w:val="14"/>
                <w:szCs w:val="14"/>
                <w:lang w:eastAsia="es-ES"/>
              </w:rPr>
            </w:pPr>
          </w:p>
        </w:tc>
        <w:tc>
          <w:tcPr>
            <w:tcW w:w="5628" w:type="dxa"/>
            <w:tcBorders>
              <w:top w:val="dotted" w:sz="4" w:space="0" w:color="7F7F7F" w:themeColor="text1" w:themeTint="80"/>
              <w:left w:val="nil"/>
              <w:bottom w:val="dotted" w:sz="4" w:space="0" w:color="7F7F7F" w:themeColor="text1" w:themeTint="80"/>
              <w:right w:val="nil"/>
            </w:tcBorders>
            <w:vAlign w:val="center"/>
          </w:tcPr>
          <w:p w14:paraId="7B7B93AE" w14:textId="77777777" w:rsidR="00FF70D2" w:rsidRPr="00E55614" w:rsidRDefault="00FF70D2" w:rsidP="00992AEE">
            <w:pPr>
              <w:spacing w:after="255" w:line="254" w:lineRule="auto"/>
              <w:contextualSpacing/>
              <w:rPr>
                <w:rFonts w:ascii="Verdana" w:eastAsia="Calibri" w:hAnsi="Verdana"/>
                <w:sz w:val="14"/>
                <w:szCs w:val="14"/>
                <w:lang w:val="pt-BR" w:eastAsia="es-ES"/>
              </w:rPr>
            </w:pPr>
          </w:p>
        </w:tc>
      </w:tr>
      <w:bookmarkEnd w:id="0"/>
    </w:tbl>
    <w:p w14:paraId="20CAF066" w14:textId="5177AC8B" w:rsidR="00FF70D2" w:rsidRPr="00E55614" w:rsidRDefault="00FF70D2" w:rsidP="00FF70D2"/>
    <w:p w14:paraId="53433A41" w14:textId="2142606C" w:rsidR="005876F3" w:rsidRPr="0044675F" w:rsidRDefault="005876F3" w:rsidP="0044675F"/>
    <w:sectPr w:rsidR="005876F3" w:rsidRPr="0044675F" w:rsidSect="005876F3">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0D28" w14:textId="77777777" w:rsidR="006771C4" w:rsidRDefault="006771C4" w:rsidP="005876F3">
      <w:pPr>
        <w:spacing w:after="0" w:line="240" w:lineRule="auto"/>
      </w:pPr>
      <w:r>
        <w:separator/>
      </w:r>
    </w:p>
  </w:endnote>
  <w:endnote w:type="continuationSeparator" w:id="0">
    <w:p w14:paraId="29AA6987" w14:textId="77777777" w:rsidR="006771C4" w:rsidRDefault="006771C4" w:rsidP="0058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AB6A" w14:textId="77777777" w:rsidR="005876F3" w:rsidRDefault="005876F3">
    <w:pPr>
      <w:pStyle w:val="Piedepgina"/>
    </w:pPr>
  </w:p>
  <w:p w14:paraId="7186BCB3" w14:textId="77777777" w:rsidR="005876F3" w:rsidRPr="00174B77" w:rsidRDefault="005876F3"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59020BE6" w14:textId="77777777" w:rsidR="005876F3" w:rsidRDefault="005876F3"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E8F4D8C" w14:textId="77777777" w:rsidR="005876F3" w:rsidRPr="00E41027" w:rsidRDefault="005876F3"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1A9EC948" w14:textId="77777777" w:rsidR="005876F3" w:rsidRDefault="005876F3"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4474" w14:textId="77777777" w:rsidR="006771C4" w:rsidRDefault="006771C4" w:rsidP="005876F3">
      <w:pPr>
        <w:spacing w:after="0" w:line="240" w:lineRule="auto"/>
      </w:pPr>
      <w:r>
        <w:separator/>
      </w:r>
    </w:p>
  </w:footnote>
  <w:footnote w:type="continuationSeparator" w:id="0">
    <w:p w14:paraId="3228E484" w14:textId="77777777" w:rsidR="006771C4" w:rsidRDefault="006771C4" w:rsidP="005876F3">
      <w:pPr>
        <w:spacing w:after="0" w:line="240" w:lineRule="auto"/>
      </w:pPr>
      <w:r>
        <w:continuationSeparator/>
      </w:r>
    </w:p>
  </w:footnote>
  <w:footnote w:id="1">
    <w:p w14:paraId="735C5FED" w14:textId="77777777" w:rsidR="00B81515" w:rsidRPr="00C732D1" w:rsidRDefault="00B81515" w:rsidP="00B81515">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CORTE CONSTITUCIONAL. Sentencia C-713 del 7 de octubre de 2009. M.P.: María Victoria Calle Correa. En el mismo sentido, Sentencia C-004 de 2017. M.P. Alejandro Linares Cantillo</w:t>
      </w:r>
      <w:r>
        <w:rPr>
          <w:rFonts w:ascii="Verdana" w:hAnsi="Verdana"/>
          <w:sz w:val="16"/>
          <w:szCs w:val="16"/>
          <w:lang w:val="es-CO"/>
        </w:rPr>
        <w:t>.</w:t>
      </w:r>
    </w:p>
  </w:footnote>
  <w:footnote w:id="2">
    <w:p w14:paraId="6894D065" w14:textId="77777777" w:rsidR="00FF70D2" w:rsidRPr="00C732D1" w:rsidRDefault="00FF70D2" w:rsidP="00FF70D2">
      <w:pPr>
        <w:pStyle w:val="Textonotapie"/>
        <w:snapToGrid w:val="0"/>
        <w:ind w:firstLine="709"/>
        <w:jc w:val="both"/>
        <w:rPr>
          <w:rFonts w:ascii="Verdana" w:eastAsia="Calibri" w:hAnsi="Verdana" w:cs="Arial"/>
          <w:color w:val="000000" w:themeColor="text1"/>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w:t>
      </w:r>
      <w:r w:rsidRPr="009968E5">
        <w:rPr>
          <w:rFonts w:ascii="Verdana" w:hAnsi="Verdana" w:cs="Arial"/>
          <w:color w:val="000000" w:themeColor="text1"/>
          <w:sz w:val="16"/>
          <w:szCs w:val="16"/>
        </w:rPr>
        <w:t xml:space="preserve">CONSEJO DE ESTADO. </w:t>
      </w:r>
      <w:r w:rsidRPr="00C732D1">
        <w:rPr>
          <w:rFonts w:ascii="Verdana" w:hAnsi="Verdana" w:cs="Arial"/>
          <w:color w:val="000000" w:themeColor="text1"/>
          <w:sz w:val="16"/>
          <w:szCs w:val="16"/>
        </w:rPr>
        <w:t xml:space="preserve">Sección Tercera. Sentencia del 06 de junio de 2007. </w:t>
      </w:r>
      <w:proofErr w:type="spellStart"/>
      <w:r>
        <w:rPr>
          <w:rFonts w:ascii="Verdana" w:hAnsi="Verdana" w:cs="Arial"/>
          <w:color w:val="000000" w:themeColor="text1"/>
          <w:sz w:val="16"/>
          <w:szCs w:val="16"/>
        </w:rPr>
        <w:t>Exp</w:t>
      </w:r>
      <w:proofErr w:type="spellEnd"/>
      <w:r>
        <w:rPr>
          <w:rFonts w:ascii="Verdana" w:hAnsi="Verdana" w:cs="Arial"/>
          <w:color w:val="000000" w:themeColor="text1"/>
          <w:sz w:val="16"/>
          <w:szCs w:val="16"/>
        </w:rPr>
        <w:t xml:space="preserve">. No. </w:t>
      </w:r>
      <w:r w:rsidRPr="00C732D1">
        <w:rPr>
          <w:rFonts w:ascii="Verdana" w:hAnsi="Verdana" w:cs="Arial"/>
          <w:color w:val="000000" w:themeColor="text1"/>
          <w:sz w:val="16"/>
          <w:szCs w:val="16"/>
        </w:rPr>
        <w:t>17.253. C.P: Ruth Stella Correa Palacio.</w:t>
      </w:r>
    </w:p>
  </w:footnote>
  <w:footnote w:id="3">
    <w:p w14:paraId="300B912D" w14:textId="77777777" w:rsidR="00FF70D2" w:rsidRPr="00C732D1" w:rsidRDefault="00FF70D2" w:rsidP="00FF70D2">
      <w:pPr>
        <w:pStyle w:val="Textonotapie"/>
        <w:ind w:firstLine="709"/>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9968E5">
        <w:rPr>
          <w:rFonts w:ascii="Verdana" w:hAnsi="Verdana"/>
          <w:sz w:val="16"/>
          <w:szCs w:val="16"/>
        </w:rPr>
        <w:t>CONSEJO DE ESTADO</w:t>
      </w:r>
      <w:r w:rsidRPr="00C732D1">
        <w:rPr>
          <w:rFonts w:ascii="Verdana" w:hAnsi="Verdana"/>
          <w:sz w:val="16"/>
          <w:szCs w:val="16"/>
        </w:rPr>
        <w:t xml:space="preserve">. Sección Tercera. Subsección A. </w:t>
      </w:r>
      <w:r>
        <w:rPr>
          <w:rFonts w:ascii="Verdana" w:hAnsi="Verdana"/>
          <w:sz w:val="16"/>
          <w:szCs w:val="16"/>
        </w:rPr>
        <w:t>S</w:t>
      </w:r>
      <w:r w:rsidRPr="00C732D1">
        <w:rPr>
          <w:rFonts w:ascii="Verdana" w:hAnsi="Verdana"/>
          <w:sz w:val="16"/>
          <w:szCs w:val="16"/>
        </w:rPr>
        <w:t xml:space="preserve">entencia del 12 de agosto de 2019. </w:t>
      </w:r>
      <w:proofErr w:type="spellStart"/>
      <w:r>
        <w:rPr>
          <w:rFonts w:ascii="Verdana" w:hAnsi="Verdana"/>
          <w:sz w:val="16"/>
          <w:szCs w:val="16"/>
        </w:rPr>
        <w:t>Exp</w:t>
      </w:r>
      <w:proofErr w:type="spellEnd"/>
      <w:r>
        <w:rPr>
          <w:rFonts w:ascii="Verdana" w:hAnsi="Verdana"/>
          <w:sz w:val="16"/>
          <w:szCs w:val="16"/>
        </w:rPr>
        <w:t xml:space="preserve">. No. </w:t>
      </w:r>
      <w:r w:rsidRPr="00C732D1">
        <w:rPr>
          <w:rFonts w:ascii="Verdana" w:hAnsi="Verdana"/>
          <w:sz w:val="16"/>
          <w:szCs w:val="16"/>
        </w:rPr>
        <w:t>38603</w:t>
      </w:r>
      <w:r>
        <w:rPr>
          <w:rFonts w:ascii="Verdana" w:hAnsi="Verdana"/>
          <w:sz w:val="16"/>
          <w:szCs w:val="16"/>
        </w:rPr>
        <w:t>.</w:t>
      </w:r>
      <w:r w:rsidRPr="00C732D1">
        <w:rPr>
          <w:rFonts w:ascii="Verdana" w:hAnsi="Verdana"/>
          <w:sz w:val="16"/>
          <w:szCs w:val="16"/>
        </w:rPr>
        <w:t xml:space="preserve"> C.P: María Adriana Marín. </w:t>
      </w:r>
    </w:p>
  </w:footnote>
  <w:footnote w:id="4">
    <w:p w14:paraId="46CD470F" w14:textId="77777777" w:rsidR="00FF70D2" w:rsidRPr="00C732D1" w:rsidRDefault="00FF70D2" w:rsidP="00FF70D2">
      <w:pPr>
        <w:pStyle w:val="Textonotapie"/>
        <w:ind w:firstLine="709"/>
        <w:jc w:val="both"/>
        <w:rPr>
          <w:rFonts w:ascii="Verdana" w:hAnsi="Verdana"/>
          <w:sz w:val="16"/>
          <w:szCs w:val="16"/>
          <w:lang w:val="es-CO"/>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RICO PUERTA, Luís Alfonso. Teoría General y Práctica de la Contratación Estatal, Décima edición, pág. 240 y 241.</w:t>
      </w:r>
    </w:p>
  </w:footnote>
  <w:footnote w:id="5">
    <w:p w14:paraId="4C2BF0E0" w14:textId="77777777" w:rsidR="00FF70D2" w:rsidRPr="00C732D1" w:rsidRDefault="00FF70D2" w:rsidP="00FF70D2">
      <w:pPr>
        <w:pStyle w:val="Textonotapie"/>
        <w:ind w:firstLine="709"/>
        <w:jc w:val="both"/>
        <w:rPr>
          <w:rFonts w:ascii="Verdana" w:hAnsi="Verdana" w:cs="Arial"/>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9968E5">
        <w:rPr>
          <w:rFonts w:ascii="Verdana" w:hAnsi="Verdana" w:cs="Arial"/>
          <w:sz w:val="16"/>
          <w:szCs w:val="16"/>
        </w:rPr>
        <w:t>CONSEJO DE ESTADO</w:t>
      </w:r>
      <w:r w:rsidRPr="00C732D1">
        <w:rPr>
          <w:rFonts w:ascii="Verdana" w:hAnsi="Verdana" w:cs="Arial"/>
          <w:sz w:val="16"/>
          <w:szCs w:val="16"/>
        </w:rPr>
        <w:t xml:space="preserve">. Sección Cuarta. Sentencia del 16 de septiembre de 2010. </w:t>
      </w:r>
      <w:proofErr w:type="spellStart"/>
      <w:r>
        <w:rPr>
          <w:rFonts w:ascii="Verdana" w:hAnsi="Verdana" w:cs="Arial"/>
          <w:sz w:val="16"/>
          <w:szCs w:val="16"/>
        </w:rPr>
        <w:t>Exp</w:t>
      </w:r>
      <w:proofErr w:type="spellEnd"/>
      <w:r>
        <w:rPr>
          <w:rFonts w:ascii="Verdana" w:hAnsi="Verdana" w:cs="Arial"/>
          <w:sz w:val="16"/>
          <w:szCs w:val="16"/>
        </w:rPr>
        <w:t xml:space="preserve">. No. </w:t>
      </w:r>
      <w:r w:rsidRPr="00C732D1">
        <w:rPr>
          <w:rFonts w:ascii="Verdana" w:hAnsi="Verdana" w:cs="Arial"/>
          <w:sz w:val="16"/>
          <w:szCs w:val="16"/>
          <w:lang w:val="es-CO"/>
        </w:rPr>
        <w:t>16605</w:t>
      </w:r>
      <w:r>
        <w:rPr>
          <w:rFonts w:ascii="Verdana" w:hAnsi="Verdana" w:cs="Arial"/>
          <w:sz w:val="16"/>
          <w:szCs w:val="16"/>
          <w:lang w:val="es-CO"/>
        </w:rPr>
        <w:t>.</w:t>
      </w:r>
      <w:r w:rsidRPr="00C732D1">
        <w:rPr>
          <w:rFonts w:ascii="Verdana" w:hAnsi="Verdana" w:cs="Arial"/>
          <w:sz w:val="16"/>
          <w:szCs w:val="16"/>
          <w:lang w:val="es-CO"/>
        </w:rPr>
        <w:t xml:space="preserve"> </w:t>
      </w:r>
      <w:r w:rsidRPr="00C732D1">
        <w:rPr>
          <w:rFonts w:ascii="Verdana" w:hAnsi="Verdana" w:cs="Arial"/>
          <w:sz w:val="16"/>
          <w:szCs w:val="16"/>
        </w:rPr>
        <w:t>C.P: Carmen Teresa Ortiz.</w:t>
      </w:r>
    </w:p>
  </w:footnote>
  <w:footnote w:id="6">
    <w:p w14:paraId="4CC4A6D4"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 xml:space="preserve">CONSEJO DE ESTADO. </w:t>
      </w:r>
      <w:r>
        <w:rPr>
          <w:rFonts w:ascii="Verdana" w:hAnsi="Verdana"/>
          <w:sz w:val="16"/>
          <w:szCs w:val="16"/>
          <w:lang w:val="es-CO"/>
        </w:rPr>
        <w:t>S</w:t>
      </w:r>
      <w:r w:rsidRPr="00C732D1">
        <w:rPr>
          <w:rFonts w:ascii="Verdana" w:hAnsi="Verdana"/>
          <w:sz w:val="16"/>
          <w:szCs w:val="16"/>
          <w:lang w:val="es-CO"/>
        </w:rPr>
        <w:t xml:space="preserve">ección Tercera. Sentencia del 3 de agosto de 2017. </w:t>
      </w:r>
      <w:proofErr w:type="spellStart"/>
      <w:r>
        <w:rPr>
          <w:rFonts w:ascii="Verdana" w:hAnsi="Verdana"/>
          <w:sz w:val="16"/>
          <w:szCs w:val="16"/>
          <w:lang w:val="es-CO"/>
        </w:rPr>
        <w:t>Exp</w:t>
      </w:r>
      <w:proofErr w:type="spellEnd"/>
      <w:r>
        <w:rPr>
          <w:rFonts w:ascii="Verdana" w:hAnsi="Verdana"/>
          <w:sz w:val="16"/>
          <w:szCs w:val="16"/>
          <w:lang w:val="es-CO"/>
        </w:rPr>
        <w:t xml:space="preserve">. No. </w:t>
      </w:r>
      <w:r w:rsidRPr="00C732D1">
        <w:rPr>
          <w:rFonts w:ascii="Verdana" w:hAnsi="Verdana"/>
          <w:sz w:val="16"/>
          <w:szCs w:val="16"/>
          <w:lang w:val="es-CO"/>
        </w:rPr>
        <w:t xml:space="preserve">39113. C.P. Stella Conto Díaz del Castillo. En el mismo sentido, la Sentencia del 6 de junio de 2007, </w:t>
      </w:r>
      <w:proofErr w:type="spellStart"/>
      <w:r>
        <w:rPr>
          <w:rFonts w:ascii="Verdana" w:hAnsi="Verdana"/>
          <w:sz w:val="16"/>
          <w:szCs w:val="16"/>
          <w:lang w:val="es-CO"/>
        </w:rPr>
        <w:t>Exp</w:t>
      </w:r>
      <w:proofErr w:type="spellEnd"/>
      <w:r>
        <w:rPr>
          <w:rFonts w:ascii="Verdana" w:hAnsi="Verdana"/>
          <w:sz w:val="16"/>
          <w:szCs w:val="16"/>
          <w:lang w:val="es-CO"/>
        </w:rPr>
        <w:t>. No.</w:t>
      </w:r>
      <w:r w:rsidRPr="00C732D1">
        <w:rPr>
          <w:rFonts w:ascii="Verdana" w:hAnsi="Verdana"/>
          <w:sz w:val="16"/>
          <w:szCs w:val="16"/>
          <w:lang w:val="es-CO"/>
        </w:rPr>
        <w:t xml:space="preserve"> 17253</w:t>
      </w:r>
      <w:r>
        <w:rPr>
          <w:rFonts w:ascii="Verdana" w:hAnsi="Verdana"/>
          <w:sz w:val="16"/>
          <w:szCs w:val="16"/>
          <w:lang w:val="es-CO"/>
        </w:rPr>
        <w:t>.</w:t>
      </w:r>
      <w:r w:rsidRPr="00C732D1">
        <w:rPr>
          <w:rFonts w:ascii="Verdana" w:hAnsi="Verdana"/>
          <w:sz w:val="16"/>
          <w:szCs w:val="16"/>
          <w:lang w:val="es-CO"/>
        </w:rPr>
        <w:t xml:space="preserve"> </w:t>
      </w:r>
    </w:p>
  </w:footnote>
  <w:footnote w:id="7">
    <w:p w14:paraId="2F40EA9C"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Decreto 1372 de 1992, artículo 3.° (compilado en el artículo 1.3.1.7.9 del Decreto 1625 de 2016). En igual sentido, DIRECCIÓN DE IMPUESTOS Y ADUANAS NACIONALES. Oficio 900421 de 2020</w:t>
      </w:r>
    </w:p>
  </w:footnote>
  <w:footnote w:id="8">
    <w:p w14:paraId="6875231C" w14:textId="77777777" w:rsidR="00FF70D2" w:rsidRPr="00C732D1" w:rsidRDefault="00FF70D2" w:rsidP="00FF70D2">
      <w:pPr>
        <w:pStyle w:val="Textonotapie"/>
        <w:snapToGrid w:val="0"/>
        <w:ind w:firstLine="709"/>
        <w:jc w:val="both"/>
        <w:rPr>
          <w:rFonts w:ascii="Verdana" w:hAnsi="Verdana" w:cs="Arial"/>
          <w:sz w:val="16"/>
          <w:szCs w:val="16"/>
          <w:lang w:val="es-CO"/>
        </w:rPr>
      </w:pPr>
      <w:r w:rsidRPr="00C732D1">
        <w:rPr>
          <w:rStyle w:val="Refdenotaalpie"/>
          <w:rFonts w:ascii="Verdana" w:hAnsi="Verdana" w:cs="Arial"/>
          <w:sz w:val="16"/>
          <w:szCs w:val="16"/>
        </w:rPr>
        <w:footnoteRef/>
      </w:r>
      <w:r w:rsidRPr="00C732D1">
        <w:rPr>
          <w:rFonts w:ascii="Verdana" w:hAnsi="Verdana" w:cs="Arial"/>
          <w:sz w:val="16"/>
          <w:szCs w:val="16"/>
        </w:rPr>
        <w:t xml:space="preserve"> </w:t>
      </w:r>
      <w:r w:rsidRPr="009968E5">
        <w:rPr>
          <w:rFonts w:ascii="Verdana" w:hAnsi="Verdana" w:cs="Arial"/>
          <w:color w:val="000000" w:themeColor="text1"/>
          <w:sz w:val="16"/>
          <w:szCs w:val="16"/>
        </w:rPr>
        <w:t>CONSEJO DE ESTADO</w:t>
      </w:r>
      <w:r w:rsidRPr="00C732D1">
        <w:rPr>
          <w:rFonts w:ascii="Verdana" w:hAnsi="Verdana" w:cs="Arial"/>
          <w:color w:val="000000" w:themeColor="text1"/>
          <w:sz w:val="16"/>
          <w:szCs w:val="16"/>
        </w:rPr>
        <w:t>.</w:t>
      </w:r>
      <w:r>
        <w:rPr>
          <w:rFonts w:ascii="Verdana" w:hAnsi="Verdana" w:cs="Arial"/>
          <w:color w:val="000000" w:themeColor="text1"/>
          <w:sz w:val="16"/>
          <w:szCs w:val="16"/>
        </w:rPr>
        <w:t xml:space="preserve"> </w:t>
      </w:r>
      <w:r w:rsidRPr="00C732D1">
        <w:rPr>
          <w:rFonts w:ascii="Verdana" w:hAnsi="Verdana" w:cs="Arial"/>
          <w:color w:val="000000" w:themeColor="text1"/>
          <w:sz w:val="16"/>
          <w:szCs w:val="16"/>
        </w:rPr>
        <w:t>Sala de Consulta y Servicio Civil. Concepto de 7 febrero de 1997, Rad. 934, C. P. Javier Henao Hidrón.</w:t>
      </w:r>
      <w:r w:rsidRPr="00C732D1">
        <w:rPr>
          <w:rFonts w:ascii="Verdana" w:hAnsi="Verdana" w:cs="Arial"/>
          <w:sz w:val="16"/>
          <w:szCs w:val="16"/>
        </w:rPr>
        <w:t xml:space="preserve">  </w:t>
      </w:r>
    </w:p>
  </w:footnote>
  <w:footnote w:id="9">
    <w:p w14:paraId="70D0CB1A" w14:textId="77777777" w:rsidR="00FF70D2" w:rsidRPr="00C732D1" w:rsidRDefault="00FF70D2" w:rsidP="00FF70D2">
      <w:pPr>
        <w:pStyle w:val="Textonotapie"/>
        <w:ind w:firstLine="709"/>
        <w:jc w:val="both"/>
        <w:rPr>
          <w:rFonts w:ascii="Verdana" w:hAnsi="Verdana" w:cs="Arial"/>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w:t>
      </w:r>
      <w:r w:rsidRPr="009968E5">
        <w:rPr>
          <w:rFonts w:ascii="Verdana" w:hAnsi="Verdana" w:cs="Arial"/>
          <w:sz w:val="16"/>
          <w:szCs w:val="16"/>
        </w:rPr>
        <w:t>CONSEJO DE ESTADO.</w:t>
      </w:r>
      <w:r>
        <w:rPr>
          <w:rFonts w:ascii="Verdana" w:hAnsi="Verdana" w:cs="Arial"/>
          <w:sz w:val="16"/>
          <w:szCs w:val="16"/>
        </w:rPr>
        <w:t xml:space="preserve"> </w:t>
      </w:r>
      <w:r w:rsidRPr="00C732D1">
        <w:rPr>
          <w:rFonts w:ascii="Verdana" w:hAnsi="Verdana" w:cs="Arial"/>
          <w:sz w:val="16"/>
          <w:szCs w:val="16"/>
        </w:rPr>
        <w:t>Sala de Consulta y Servicio Civil. Concepto 2298 del 8 de marzo de 2017. C.P: Edgar González López.</w:t>
      </w:r>
    </w:p>
  </w:footnote>
  <w:footnote w:id="10">
    <w:p w14:paraId="150C8DCC" w14:textId="77777777" w:rsidR="00FF70D2" w:rsidRPr="00C732D1" w:rsidRDefault="00FF70D2" w:rsidP="00FF70D2">
      <w:pPr>
        <w:pStyle w:val="Textonotapie"/>
        <w:ind w:firstLine="708"/>
        <w:jc w:val="both"/>
        <w:rPr>
          <w:rFonts w:ascii="Verdana" w:hAnsi="Verdana" w:cs="Arial"/>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w:t>
      </w:r>
      <w:r w:rsidRPr="009968E5">
        <w:rPr>
          <w:rFonts w:ascii="Verdana" w:hAnsi="Verdana" w:cs="Arial"/>
          <w:sz w:val="16"/>
          <w:szCs w:val="16"/>
        </w:rPr>
        <w:t>CONSEJO DE ESTADO</w:t>
      </w:r>
      <w:r>
        <w:rPr>
          <w:rFonts w:ascii="Verdana" w:hAnsi="Verdana" w:cs="Arial"/>
          <w:sz w:val="16"/>
          <w:szCs w:val="16"/>
        </w:rPr>
        <w:t>.</w:t>
      </w:r>
      <w:r w:rsidRPr="00C732D1">
        <w:rPr>
          <w:rFonts w:ascii="Verdana" w:hAnsi="Verdana" w:cs="Arial"/>
          <w:sz w:val="16"/>
          <w:szCs w:val="16"/>
        </w:rPr>
        <w:t xml:space="preserve"> Sección Tercera. Subsección A. Sentencia del 20 de noviembre de 2020. </w:t>
      </w:r>
      <w:proofErr w:type="spellStart"/>
      <w:r>
        <w:rPr>
          <w:rFonts w:ascii="Verdana" w:hAnsi="Verdana" w:cs="Arial"/>
          <w:sz w:val="16"/>
          <w:szCs w:val="16"/>
        </w:rPr>
        <w:t>Exp</w:t>
      </w:r>
      <w:proofErr w:type="spellEnd"/>
      <w:r>
        <w:rPr>
          <w:rFonts w:ascii="Verdana" w:hAnsi="Verdana" w:cs="Arial"/>
          <w:sz w:val="16"/>
          <w:szCs w:val="16"/>
        </w:rPr>
        <w:t xml:space="preserve">. No. </w:t>
      </w:r>
      <w:r w:rsidRPr="00C732D1">
        <w:rPr>
          <w:rFonts w:ascii="Verdana" w:hAnsi="Verdana" w:cs="Arial"/>
          <w:sz w:val="16"/>
          <w:szCs w:val="16"/>
        </w:rPr>
        <w:t>7201. C.P: José Roberto Sáchica Méndez.</w:t>
      </w:r>
    </w:p>
  </w:footnote>
  <w:footnote w:id="11">
    <w:p w14:paraId="1DA88D93" w14:textId="77777777" w:rsidR="00FF70D2" w:rsidRPr="00C732D1" w:rsidRDefault="00FF70D2" w:rsidP="00FF70D2">
      <w:pPr>
        <w:spacing w:after="0" w:line="240" w:lineRule="auto"/>
        <w:ind w:firstLine="708"/>
        <w:jc w:val="both"/>
        <w:rPr>
          <w:rFonts w:ascii="Verdana" w:hAnsi="Verdana" w:cs="Arial"/>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En este sentido, la jurisprudencia de la Subsección ha destacado que “</w:t>
      </w:r>
      <w:r w:rsidRPr="00C732D1">
        <w:rPr>
          <w:rFonts w:ascii="Verdana" w:hAnsi="Verdana" w:cs="Arial"/>
          <w:i/>
          <w:sz w:val="16"/>
          <w:szCs w:val="16"/>
        </w:rPr>
        <w:t xml:space="preserve">[d]os de los elementos descriptores que tanto la legislación civil como la mercantil comparten en torno al mandato aluden a i) que la gestión confiada se hace por cuenta y riesgo del mandante y </w:t>
      </w:r>
      <w:proofErr w:type="spellStart"/>
      <w:r w:rsidRPr="00C732D1">
        <w:rPr>
          <w:rFonts w:ascii="Verdana" w:hAnsi="Verdana" w:cs="Arial"/>
          <w:i/>
          <w:sz w:val="16"/>
          <w:szCs w:val="16"/>
        </w:rPr>
        <w:t>ii</w:t>
      </w:r>
      <w:proofErr w:type="spellEnd"/>
      <w:r w:rsidRPr="00C732D1">
        <w:rPr>
          <w:rFonts w:ascii="Verdana" w:hAnsi="Verdana" w:cs="Arial"/>
          <w:i/>
          <w:sz w:val="16"/>
          <w:szCs w:val="16"/>
        </w:rPr>
        <w:t>) los actos ejercidos por el mandatario no obligan al mandante si han excedido los límites del encargo</w:t>
      </w:r>
      <w:r w:rsidRPr="00C732D1">
        <w:rPr>
          <w:rFonts w:ascii="Verdana" w:hAnsi="Verdana" w:cs="Arial"/>
          <w:sz w:val="16"/>
          <w:szCs w:val="16"/>
        </w:rPr>
        <w:t xml:space="preserve">”. </w:t>
      </w:r>
      <w:r w:rsidRPr="009968E5">
        <w:rPr>
          <w:rFonts w:ascii="Verdana" w:hAnsi="Verdana" w:cs="Arial"/>
          <w:sz w:val="16"/>
          <w:szCs w:val="16"/>
        </w:rPr>
        <w:t>CONSEJO DE ESTADO</w:t>
      </w:r>
      <w:r w:rsidRPr="00C732D1">
        <w:rPr>
          <w:rFonts w:ascii="Verdana" w:hAnsi="Verdana" w:cs="Arial"/>
          <w:sz w:val="16"/>
          <w:szCs w:val="16"/>
        </w:rPr>
        <w:t xml:space="preserve">. Sección Tercera. Subsección A. Sentencia del 1 de octubre de 2018. Radicado: 13001-23-31-000-2012-00022-01 (57897). C.P: Marta Nubia Velásquez Rico. </w:t>
      </w:r>
    </w:p>
  </w:footnote>
  <w:footnote w:id="12">
    <w:p w14:paraId="664BF84C" w14:textId="77777777" w:rsidR="00FF70D2" w:rsidRPr="00C732D1" w:rsidRDefault="00FF70D2" w:rsidP="00FF70D2">
      <w:pPr>
        <w:pStyle w:val="Textonotapie"/>
        <w:ind w:firstLine="708"/>
        <w:jc w:val="both"/>
        <w:rPr>
          <w:rFonts w:ascii="Verdana" w:hAnsi="Verdana" w:cs="Arial"/>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w:t>
      </w:r>
      <w:r w:rsidRPr="00A02E8E">
        <w:rPr>
          <w:rFonts w:ascii="Verdana" w:hAnsi="Verdana" w:cs="Arial"/>
          <w:sz w:val="16"/>
          <w:szCs w:val="16"/>
        </w:rPr>
        <w:t>CORTE SUPREMA DE JUSTICIA</w:t>
      </w:r>
      <w:r>
        <w:rPr>
          <w:rFonts w:ascii="Verdana" w:hAnsi="Verdana" w:cs="Arial"/>
          <w:sz w:val="16"/>
          <w:szCs w:val="16"/>
        </w:rPr>
        <w:t>.</w:t>
      </w:r>
      <w:r w:rsidRPr="00C732D1">
        <w:rPr>
          <w:rFonts w:ascii="Verdana" w:hAnsi="Verdana" w:cs="Arial"/>
          <w:sz w:val="16"/>
          <w:szCs w:val="16"/>
        </w:rPr>
        <w:t xml:space="preserve"> Sala de Casación Civil. Sentencia del 17 de abril de 2007.</w:t>
      </w:r>
      <w:r w:rsidRPr="00A02E8E">
        <w:rPr>
          <w:rFonts w:ascii="Verdana" w:hAnsi="Verdana" w:cs="Arial"/>
          <w:sz w:val="16"/>
          <w:szCs w:val="16"/>
        </w:rPr>
        <w:t xml:space="preserve"> </w:t>
      </w:r>
      <w:proofErr w:type="spellStart"/>
      <w:r w:rsidRPr="003F27CC">
        <w:rPr>
          <w:rFonts w:ascii="Verdana" w:hAnsi="Verdana" w:cs="Arial"/>
          <w:sz w:val="16"/>
          <w:szCs w:val="16"/>
        </w:rPr>
        <w:t>Exp</w:t>
      </w:r>
      <w:proofErr w:type="spellEnd"/>
      <w:r w:rsidRPr="003F27CC">
        <w:rPr>
          <w:rFonts w:ascii="Verdana" w:hAnsi="Verdana" w:cs="Arial"/>
          <w:sz w:val="16"/>
          <w:szCs w:val="16"/>
        </w:rPr>
        <w:t>.</w:t>
      </w:r>
      <w:r>
        <w:rPr>
          <w:rFonts w:ascii="Verdana" w:hAnsi="Verdana" w:cs="Arial"/>
          <w:sz w:val="16"/>
          <w:szCs w:val="16"/>
        </w:rPr>
        <w:t xml:space="preserve"> No.</w:t>
      </w:r>
      <w:r w:rsidRPr="003F27CC">
        <w:rPr>
          <w:rFonts w:ascii="Verdana" w:hAnsi="Verdana" w:cs="Arial"/>
          <w:sz w:val="16"/>
          <w:szCs w:val="16"/>
        </w:rPr>
        <w:t xml:space="preserve"> 00645.</w:t>
      </w:r>
      <w:r w:rsidRPr="00C732D1">
        <w:rPr>
          <w:rFonts w:ascii="Verdana" w:hAnsi="Verdana" w:cs="Arial"/>
          <w:sz w:val="16"/>
          <w:szCs w:val="16"/>
        </w:rPr>
        <w:t xml:space="preserve"> M.P: Pedro Octavio Munar Cadena. </w:t>
      </w:r>
    </w:p>
  </w:footnote>
  <w:footnote w:id="13">
    <w:p w14:paraId="0B8168C9" w14:textId="77777777" w:rsidR="00FF70D2" w:rsidRPr="00C732D1" w:rsidRDefault="00FF70D2" w:rsidP="00FF70D2">
      <w:pPr>
        <w:pStyle w:val="Textonotapie"/>
        <w:ind w:firstLine="709"/>
        <w:jc w:val="both"/>
        <w:rPr>
          <w:rFonts w:ascii="Verdana" w:hAnsi="Verdana" w:cs="Arial"/>
          <w:sz w:val="16"/>
          <w:szCs w:val="16"/>
          <w:lang w:val="es-ES"/>
        </w:rPr>
      </w:pPr>
      <w:r w:rsidRPr="00C732D1">
        <w:rPr>
          <w:rStyle w:val="Refdenotaalpie"/>
          <w:rFonts w:ascii="Verdana" w:hAnsi="Verdana"/>
          <w:sz w:val="16"/>
          <w:szCs w:val="16"/>
        </w:rPr>
        <w:footnoteRef/>
      </w:r>
      <w:r w:rsidRPr="00C732D1">
        <w:rPr>
          <w:rFonts w:ascii="Verdana" w:hAnsi="Verdana"/>
          <w:sz w:val="16"/>
          <w:szCs w:val="16"/>
        </w:rPr>
        <w:t xml:space="preserve"> </w:t>
      </w:r>
      <w:r w:rsidRPr="00A02E8E">
        <w:rPr>
          <w:rFonts w:ascii="Verdana" w:hAnsi="Verdana" w:cs="Arial"/>
          <w:sz w:val="16"/>
          <w:szCs w:val="16"/>
          <w:lang w:val="es-ES"/>
        </w:rPr>
        <w:t xml:space="preserve">CONSEJO DE ESTADO. </w:t>
      </w:r>
      <w:r w:rsidRPr="00C732D1">
        <w:rPr>
          <w:rFonts w:ascii="Verdana" w:hAnsi="Verdana" w:cs="Arial"/>
          <w:sz w:val="16"/>
          <w:szCs w:val="16"/>
          <w:lang w:val="es-ES"/>
        </w:rPr>
        <w:t xml:space="preserve">Sección Tercera. Sentencia del 20 de junio de 2023. </w:t>
      </w:r>
      <w:proofErr w:type="spellStart"/>
      <w:r>
        <w:rPr>
          <w:rFonts w:ascii="Verdana" w:hAnsi="Verdana" w:cs="Arial"/>
          <w:sz w:val="16"/>
          <w:szCs w:val="16"/>
          <w:lang w:val="es-ES"/>
        </w:rPr>
        <w:t>Exp</w:t>
      </w:r>
      <w:proofErr w:type="spellEnd"/>
      <w:r>
        <w:rPr>
          <w:rFonts w:ascii="Verdana" w:hAnsi="Verdana" w:cs="Arial"/>
          <w:sz w:val="16"/>
          <w:szCs w:val="16"/>
          <w:lang w:val="es-ES"/>
        </w:rPr>
        <w:t xml:space="preserve">. No. </w:t>
      </w:r>
      <w:r w:rsidRPr="00C732D1">
        <w:rPr>
          <w:rFonts w:ascii="Verdana" w:hAnsi="Verdana" w:cs="Arial"/>
          <w:sz w:val="16"/>
          <w:szCs w:val="16"/>
          <w:lang w:val="es-CO"/>
        </w:rPr>
        <w:t>61174</w:t>
      </w:r>
      <w:r>
        <w:rPr>
          <w:rFonts w:ascii="Verdana" w:hAnsi="Verdana" w:cs="Arial"/>
          <w:sz w:val="16"/>
          <w:szCs w:val="16"/>
          <w:lang w:val="es-CO"/>
        </w:rPr>
        <w:t>.</w:t>
      </w:r>
      <w:r w:rsidRPr="00C732D1">
        <w:rPr>
          <w:rFonts w:ascii="Verdana" w:hAnsi="Verdana" w:cs="Arial"/>
          <w:sz w:val="16"/>
          <w:szCs w:val="16"/>
          <w:lang w:val="es-ES"/>
        </w:rPr>
        <w:t xml:space="preserve"> C.P: José Roberto Sáchica Méndez.</w:t>
      </w:r>
    </w:p>
  </w:footnote>
  <w:footnote w:id="14">
    <w:p w14:paraId="7E9D8D14" w14:textId="77777777" w:rsidR="00FF70D2" w:rsidRPr="00C732D1" w:rsidRDefault="00FF70D2" w:rsidP="00FF70D2">
      <w:pPr>
        <w:pStyle w:val="Textonotapie"/>
        <w:ind w:firstLine="709"/>
        <w:jc w:val="both"/>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proofErr w:type="spellStart"/>
      <w:r w:rsidRPr="00C732D1">
        <w:rPr>
          <w:rFonts w:ascii="Verdana" w:hAnsi="Verdana"/>
          <w:sz w:val="16"/>
          <w:szCs w:val="16"/>
        </w:rPr>
        <w:t>Ib</w:t>
      </w:r>
      <w:r>
        <w:rPr>
          <w:rFonts w:ascii="Verdana" w:hAnsi="Verdana"/>
          <w:sz w:val="16"/>
          <w:szCs w:val="16"/>
        </w:rPr>
        <w:t>í</w:t>
      </w:r>
      <w:r w:rsidRPr="00C732D1">
        <w:rPr>
          <w:rFonts w:ascii="Verdana" w:hAnsi="Verdana"/>
          <w:sz w:val="16"/>
          <w:szCs w:val="16"/>
        </w:rPr>
        <w:t>dem</w:t>
      </w:r>
      <w:proofErr w:type="spellEnd"/>
      <w:r w:rsidRPr="00C732D1">
        <w:rPr>
          <w:rFonts w:ascii="Verdana" w:hAnsi="Verdana"/>
          <w:sz w:val="16"/>
          <w:szCs w:val="16"/>
        </w:rPr>
        <w:t>.</w:t>
      </w:r>
    </w:p>
  </w:footnote>
  <w:footnote w:id="15">
    <w:p w14:paraId="7D3A42F4" w14:textId="77777777" w:rsidR="00FF70D2" w:rsidRPr="00C732D1" w:rsidRDefault="00FF70D2" w:rsidP="00FF70D2">
      <w:pPr>
        <w:snapToGrid w:val="0"/>
        <w:spacing w:after="0" w:line="240" w:lineRule="auto"/>
        <w:ind w:right="176" w:firstLine="708"/>
        <w:contextualSpacing/>
        <w:jc w:val="both"/>
        <w:rPr>
          <w:rFonts w:ascii="Verdana" w:hAnsi="Verdana" w:cs="Arial"/>
          <w:sz w:val="16"/>
          <w:szCs w:val="16"/>
        </w:rPr>
      </w:pPr>
      <w:r w:rsidRPr="00C732D1">
        <w:rPr>
          <w:rStyle w:val="Refdenotaalpie"/>
          <w:rFonts w:ascii="Verdana" w:hAnsi="Verdana" w:cs="Arial"/>
          <w:sz w:val="16"/>
          <w:szCs w:val="16"/>
        </w:rPr>
        <w:footnoteRef/>
      </w:r>
      <w:r w:rsidRPr="00C732D1">
        <w:rPr>
          <w:rFonts w:ascii="Verdana" w:hAnsi="Verdana" w:cs="Arial"/>
          <w:sz w:val="16"/>
          <w:szCs w:val="16"/>
        </w:rPr>
        <w:t xml:space="preserve"> Al</w:t>
      </w:r>
      <w:r w:rsidRPr="00C732D1">
        <w:rPr>
          <w:rFonts w:ascii="Verdana" w:hAnsi="Verdana" w:cs="Arial"/>
          <w:spacing w:val="-8"/>
          <w:sz w:val="16"/>
          <w:szCs w:val="16"/>
        </w:rPr>
        <w:t xml:space="preserve"> </w:t>
      </w:r>
      <w:r w:rsidRPr="00C732D1">
        <w:rPr>
          <w:rFonts w:ascii="Verdana" w:hAnsi="Verdana" w:cs="Arial"/>
          <w:sz w:val="16"/>
          <w:szCs w:val="16"/>
        </w:rPr>
        <w:t>respecto,</w:t>
      </w:r>
      <w:r w:rsidRPr="00C732D1">
        <w:rPr>
          <w:rFonts w:ascii="Verdana" w:hAnsi="Verdana" w:cs="Arial"/>
          <w:spacing w:val="-8"/>
          <w:sz w:val="16"/>
          <w:szCs w:val="16"/>
        </w:rPr>
        <w:t xml:space="preserve"> </w:t>
      </w:r>
      <w:r w:rsidRPr="00C732D1">
        <w:rPr>
          <w:rFonts w:ascii="Verdana" w:hAnsi="Verdana" w:cs="Arial"/>
          <w:sz w:val="16"/>
          <w:szCs w:val="16"/>
        </w:rPr>
        <w:t>la</w:t>
      </w:r>
      <w:r w:rsidRPr="00C732D1">
        <w:rPr>
          <w:rFonts w:ascii="Verdana" w:hAnsi="Verdana" w:cs="Arial"/>
          <w:spacing w:val="-8"/>
          <w:sz w:val="16"/>
          <w:szCs w:val="16"/>
        </w:rPr>
        <w:t xml:space="preserve"> </w:t>
      </w:r>
      <w:r w:rsidRPr="00C732D1">
        <w:rPr>
          <w:rFonts w:ascii="Verdana" w:hAnsi="Verdana" w:cs="Arial"/>
          <w:sz w:val="16"/>
          <w:szCs w:val="16"/>
        </w:rPr>
        <w:t>jurisprudencia</w:t>
      </w:r>
      <w:r w:rsidRPr="00C732D1">
        <w:rPr>
          <w:rFonts w:ascii="Verdana" w:hAnsi="Verdana" w:cs="Arial"/>
          <w:spacing w:val="-8"/>
          <w:sz w:val="16"/>
          <w:szCs w:val="16"/>
        </w:rPr>
        <w:t xml:space="preserve"> </w:t>
      </w:r>
      <w:r w:rsidRPr="00C732D1">
        <w:rPr>
          <w:rFonts w:ascii="Verdana" w:hAnsi="Verdana" w:cs="Arial"/>
          <w:sz w:val="16"/>
          <w:szCs w:val="16"/>
        </w:rPr>
        <w:t>explica</w:t>
      </w:r>
      <w:r w:rsidRPr="00C732D1">
        <w:rPr>
          <w:rFonts w:ascii="Verdana" w:hAnsi="Verdana" w:cs="Arial"/>
          <w:spacing w:val="-8"/>
          <w:sz w:val="16"/>
          <w:szCs w:val="16"/>
        </w:rPr>
        <w:t xml:space="preserve"> </w:t>
      </w:r>
      <w:r w:rsidRPr="00C732D1">
        <w:rPr>
          <w:rFonts w:ascii="Verdana" w:hAnsi="Verdana" w:cs="Arial"/>
          <w:sz w:val="16"/>
          <w:szCs w:val="16"/>
        </w:rPr>
        <w:t>que</w:t>
      </w:r>
      <w:r w:rsidRPr="00C732D1">
        <w:rPr>
          <w:rFonts w:ascii="Verdana" w:hAnsi="Verdana" w:cs="Arial"/>
          <w:spacing w:val="-8"/>
          <w:sz w:val="16"/>
          <w:szCs w:val="16"/>
        </w:rPr>
        <w:t xml:space="preserve"> </w:t>
      </w:r>
      <w:r w:rsidRPr="00C732D1">
        <w:rPr>
          <w:rFonts w:ascii="Verdana" w:hAnsi="Verdana" w:cs="Arial"/>
          <w:sz w:val="16"/>
          <w:szCs w:val="16"/>
        </w:rPr>
        <w:t>la</w:t>
      </w:r>
      <w:r w:rsidRPr="00C732D1">
        <w:rPr>
          <w:rFonts w:ascii="Verdana" w:hAnsi="Verdana" w:cs="Arial"/>
          <w:spacing w:val="-9"/>
          <w:sz w:val="16"/>
          <w:szCs w:val="16"/>
        </w:rPr>
        <w:t xml:space="preserve"> </w:t>
      </w:r>
      <w:r w:rsidRPr="00C732D1">
        <w:rPr>
          <w:rFonts w:ascii="Verdana" w:hAnsi="Verdana" w:cs="Arial"/>
          <w:sz w:val="16"/>
          <w:szCs w:val="16"/>
        </w:rPr>
        <w:t>garantía</w:t>
      </w:r>
      <w:r w:rsidRPr="00C732D1">
        <w:rPr>
          <w:rFonts w:ascii="Verdana" w:hAnsi="Verdana" w:cs="Arial"/>
          <w:spacing w:val="-8"/>
          <w:sz w:val="16"/>
          <w:szCs w:val="16"/>
        </w:rPr>
        <w:t xml:space="preserve"> </w:t>
      </w:r>
      <w:r w:rsidRPr="00C732D1">
        <w:rPr>
          <w:rFonts w:ascii="Verdana" w:hAnsi="Verdana" w:cs="Arial"/>
          <w:sz w:val="16"/>
          <w:szCs w:val="16"/>
        </w:rPr>
        <w:t>del</w:t>
      </w:r>
      <w:r w:rsidRPr="00C732D1">
        <w:rPr>
          <w:rFonts w:ascii="Verdana" w:hAnsi="Verdana" w:cs="Arial"/>
          <w:spacing w:val="-8"/>
          <w:sz w:val="16"/>
          <w:szCs w:val="16"/>
        </w:rPr>
        <w:t xml:space="preserve"> </w:t>
      </w:r>
      <w:r w:rsidRPr="00C732D1">
        <w:rPr>
          <w:rFonts w:ascii="Verdana" w:hAnsi="Verdana" w:cs="Arial"/>
          <w:sz w:val="16"/>
          <w:szCs w:val="16"/>
        </w:rPr>
        <w:t>debido</w:t>
      </w:r>
      <w:r w:rsidRPr="00C732D1">
        <w:rPr>
          <w:rFonts w:ascii="Verdana" w:hAnsi="Verdana" w:cs="Arial"/>
          <w:spacing w:val="-8"/>
          <w:sz w:val="16"/>
          <w:szCs w:val="16"/>
        </w:rPr>
        <w:t xml:space="preserve"> </w:t>
      </w:r>
      <w:r w:rsidRPr="00C732D1">
        <w:rPr>
          <w:rFonts w:ascii="Verdana" w:hAnsi="Verdana" w:cs="Arial"/>
          <w:sz w:val="16"/>
          <w:szCs w:val="16"/>
        </w:rPr>
        <w:t>proceso</w:t>
      </w:r>
      <w:r w:rsidRPr="00C732D1">
        <w:rPr>
          <w:rFonts w:ascii="Verdana" w:hAnsi="Verdana" w:cs="Arial"/>
          <w:spacing w:val="-8"/>
          <w:sz w:val="16"/>
          <w:szCs w:val="16"/>
        </w:rPr>
        <w:t xml:space="preserve"> </w:t>
      </w:r>
      <w:r w:rsidRPr="00C732D1">
        <w:rPr>
          <w:rFonts w:ascii="Verdana" w:hAnsi="Verdana" w:cs="Arial"/>
          <w:sz w:val="16"/>
          <w:szCs w:val="16"/>
        </w:rPr>
        <w:t>“[…]</w:t>
      </w:r>
      <w:r w:rsidRPr="00C732D1">
        <w:rPr>
          <w:rFonts w:ascii="Verdana" w:hAnsi="Verdana" w:cs="Arial"/>
          <w:spacing w:val="-8"/>
          <w:sz w:val="16"/>
          <w:szCs w:val="16"/>
        </w:rPr>
        <w:t xml:space="preserve"> </w:t>
      </w:r>
      <w:r w:rsidRPr="00C732D1">
        <w:rPr>
          <w:rFonts w:ascii="Verdana" w:hAnsi="Verdana" w:cs="Arial"/>
          <w:sz w:val="16"/>
          <w:szCs w:val="16"/>
        </w:rPr>
        <w:t>tampoco</w:t>
      </w:r>
      <w:r w:rsidRPr="00C732D1">
        <w:rPr>
          <w:rFonts w:ascii="Verdana" w:hAnsi="Verdana" w:cs="Arial"/>
          <w:spacing w:val="-8"/>
          <w:sz w:val="16"/>
          <w:szCs w:val="16"/>
        </w:rPr>
        <w:t xml:space="preserve"> </w:t>
      </w:r>
      <w:r w:rsidRPr="00C732D1">
        <w:rPr>
          <w:rFonts w:ascii="Verdana" w:hAnsi="Verdana" w:cs="Arial"/>
          <w:sz w:val="16"/>
          <w:szCs w:val="16"/>
        </w:rPr>
        <w:t>es</w:t>
      </w:r>
      <w:r w:rsidRPr="00C732D1">
        <w:rPr>
          <w:rFonts w:ascii="Verdana" w:hAnsi="Verdana" w:cs="Arial"/>
          <w:spacing w:val="-8"/>
          <w:sz w:val="16"/>
          <w:szCs w:val="16"/>
        </w:rPr>
        <w:t xml:space="preserve"> </w:t>
      </w:r>
      <w:r w:rsidRPr="00C732D1">
        <w:rPr>
          <w:rFonts w:ascii="Verdana" w:hAnsi="Verdana" w:cs="Arial"/>
          <w:sz w:val="16"/>
          <w:szCs w:val="16"/>
        </w:rPr>
        <w:t>exclusiva</w:t>
      </w:r>
      <w:r w:rsidRPr="00C732D1">
        <w:rPr>
          <w:rFonts w:ascii="Verdana" w:hAnsi="Verdana" w:cs="Arial"/>
          <w:spacing w:val="-8"/>
          <w:sz w:val="16"/>
          <w:szCs w:val="16"/>
        </w:rPr>
        <w:t xml:space="preserve"> </w:t>
      </w:r>
      <w:r w:rsidRPr="00C732D1">
        <w:rPr>
          <w:rFonts w:ascii="Verdana" w:hAnsi="Verdana" w:cs="Arial"/>
          <w:sz w:val="16"/>
          <w:szCs w:val="16"/>
        </w:rPr>
        <w:t>de</w:t>
      </w:r>
      <w:r w:rsidRPr="00C732D1">
        <w:rPr>
          <w:rFonts w:ascii="Verdana" w:hAnsi="Verdana" w:cs="Arial"/>
          <w:spacing w:val="1"/>
          <w:sz w:val="16"/>
          <w:szCs w:val="16"/>
        </w:rPr>
        <w:t xml:space="preserve"> </w:t>
      </w:r>
      <w:r w:rsidRPr="00C732D1">
        <w:rPr>
          <w:rFonts w:ascii="Verdana" w:hAnsi="Verdana" w:cs="Arial"/>
          <w:sz w:val="16"/>
          <w:szCs w:val="16"/>
        </w:rPr>
        <w:t>los procedimientos sancionatorios contractuales, sino de los demás trámites administrativos que se surten al</w:t>
      </w:r>
      <w:r w:rsidRPr="00C732D1">
        <w:rPr>
          <w:rFonts w:ascii="Verdana" w:hAnsi="Verdana" w:cs="Arial"/>
          <w:spacing w:val="1"/>
          <w:sz w:val="16"/>
          <w:szCs w:val="16"/>
        </w:rPr>
        <w:t xml:space="preserve"> </w:t>
      </w:r>
      <w:r w:rsidRPr="00C732D1">
        <w:rPr>
          <w:rFonts w:ascii="Verdana" w:hAnsi="Verdana" w:cs="Arial"/>
          <w:sz w:val="16"/>
          <w:szCs w:val="16"/>
        </w:rPr>
        <w:t>interior de la actividad contractual, que también deben garantizar un procedimiento previo que racionalice las</w:t>
      </w:r>
      <w:r w:rsidRPr="00C732D1">
        <w:rPr>
          <w:rFonts w:ascii="Verdana" w:hAnsi="Verdana" w:cs="Arial"/>
          <w:spacing w:val="1"/>
          <w:sz w:val="16"/>
          <w:szCs w:val="16"/>
        </w:rPr>
        <w:t xml:space="preserve"> </w:t>
      </w:r>
      <w:r w:rsidRPr="00C732D1">
        <w:rPr>
          <w:rFonts w:ascii="Verdana" w:hAnsi="Verdana" w:cs="Arial"/>
          <w:sz w:val="16"/>
          <w:szCs w:val="16"/>
        </w:rPr>
        <w:t>decisiones</w:t>
      </w:r>
      <w:r w:rsidRPr="00C732D1">
        <w:rPr>
          <w:rFonts w:ascii="Verdana" w:hAnsi="Verdana" w:cs="Arial"/>
          <w:spacing w:val="-12"/>
          <w:sz w:val="16"/>
          <w:szCs w:val="16"/>
        </w:rPr>
        <w:t xml:space="preserve"> </w:t>
      </w:r>
      <w:r w:rsidRPr="00C732D1">
        <w:rPr>
          <w:rFonts w:ascii="Verdana" w:hAnsi="Verdana" w:cs="Arial"/>
          <w:sz w:val="16"/>
          <w:szCs w:val="16"/>
        </w:rPr>
        <w:t>que</w:t>
      </w:r>
      <w:r w:rsidRPr="00C732D1">
        <w:rPr>
          <w:rFonts w:ascii="Verdana" w:hAnsi="Verdana" w:cs="Arial"/>
          <w:spacing w:val="-11"/>
          <w:sz w:val="16"/>
          <w:szCs w:val="16"/>
        </w:rPr>
        <w:t xml:space="preserve"> </w:t>
      </w:r>
      <w:r w:rsidRPr="00C732D1">
        <w:rPr>
          <w:rFonts w:ascii="Verdana" w:hAnsi="Verdana" w:cs="Arial"/>
          <w:sz w:val="16"/>
          <w:szCs w:val="16"/>
        </w:rPr>
        <w:t>se</w:t>
      </w:r>
      <w:r w:rsidRPr="00C732D1">
        <w:rPr>
          <w:rFonts w:ascii="Verdana" w:hAnsi="Verdana" w:cs="Arial"/>
          <w:spacing w:val="-11"/>
          <w:sz w:val="16"/>
          <w:szCs w:val="16"/>
        </w:rPr>
        <w:t xml:space="preserve"> </w:t>
      </w:r>
      <w:r w:rsidRPr="00C732D1">
        <w:rPr>
          <w:rFonts w:ascii="Verdana" w:hAnsi="Verdana" w:cs="Arial"/>
          <w:sz w:val="16"/>
          <w:szCs w:val="16"/>
        </w:rPr>
        <w:t>adoptan</w:t>
      </w:r>
      <w:r w:rsidRPr="00C732D1">
        <w:rPr>
          <w:rFonts w:ascii="Verdana" w:hAnsi="Verdana" w:cs="Arial"/>
          <w:spacing w:val="-11"/>
          <w:sz w:val="16"/>
          <w:szCs w:val="16"/>
        </w:rPr>
        <w:t xml:space="preserve"> </w:t>
      </w:r>
      <w:r w:rsidRPr="00C732D1">
        <w:rPr>
          <w:rFonts w:ascii="Verdana" w:hAnsi="Verdana" w:cs="Arial"/>
          <w:sz w:val="16"/>
          <w:szCs w:val="16"/>
        </w:rPr>
        <w:t>a</w:t>
      </w:r>
      <w:r w:rsidRPr="00C732D1">
        <w:rPr>
          <w:rFonts w:ascii="Verdana" w:hAnsi="Verdana" w:cs="Arial"/>
          <w:spacing w:val="-11"/>
          <w:sz w:val="16"/>
          <w:szCs w:val="16"/>
        </w:rPr>
        <w:t xml:space="preserve"> </w:t>
      </w:r>
      <w:r w:rsidRPr="00C732D1">
        <w:rPr>
          <w:rFonts w:ascii="Verdana" w:hAnsi="Verdana" w:cs="Arial"/>
          <w:sz w:val="16"/>
          <w:szCs w:val="16"/>
        </w:rPr>
        <w:t>través</w:t>
      </w:r>
      <w:r w:rsidRPr="00C732D1">
        <w:rPr>
          <w:rFonts w:ascii="Verdana" w:hAnsi="Verdana" w:cs="Arial"/>
          <w:spacing w:val="-11"/>
          <w:sz w:val="16"/>
          <w:szCs w:val="16"/>
        </w:rPr>
        <w:t xml:space="preserve"> </w:t>
      </w:r>
      <w:r w:rsidRPr="00C732D1">
        <w:rPr>
          <w:rFonts w:ascii="Verdana" w:hAnsi="Verdana" w:cs="Arial"/>
          <w:sz w:val="16"/>
          <w:szCs w:val="16"/>
        </w:rPr>
        <w:t>suyo.</w:t>
      </w:r>
      <w:r w:rsidRPr="00C732D1">
        <w:rPr>
          <w:rFonts w:ascii="Verdana" w:hAnsi="Verdana" w:cs="Arial"/>
          <w:spacing w:val="-11"/>
          <w:sz w:val="16"/>
          <w:szCs w:val="16"/>
        </w:rPr>
        <w:t xml:space="preserve"> </w:t>
      </w:r>
      <w:r w:rsidRPr="00C732D1">
        <w:rPr>
          <w:rFonts w:ascii="Verdana" w:hAnsi="Verdana" w:cs="Arial"/>
          <w:sz w:val="16"/>
          <w:szCs w:val="16"/>
        </w:rPr>
        <w:t>Los</w:t>
      </w:r>
      <w:r w:rsidRPr="00C732D1">
        <w:rPr>
          <w:rFonts w:ascii="Verdana" w:hAnsi="Verdana" w:cs="Arial"/>
          <w:spacing w:val="-11"/>
          <w:sz w:val="16"/>
          <w:szCs w:val="16"/>
        </w:rPr>
        <w:t xml:space="preserve"> </w:t>
      </w:r>
      <w:r w:rsidRPr="00C732D1">
        <w:rPr>
          <w:rFonts w:ascii="Verdana" w:hAnsi="Verdana" w:cs="Arial"/>
          <w:sz w:val="16"/>
          <w:szCs w:val="16"/>
        </w:rPr>
        <w:t>más</w:t>
      </w:r>
      <w:r w:rsidRPr="00C732D1">
        <w:rPr>
          <w:rFonts w:ascii="Verdana" w:hAnsi="Verdana" w:cs="Arial"/>
          <w:spacing w:val="-11"/>
          <w:sz w:val="16"/>
          <w:szCs w:val="16"/>
        </w:rPr>
        <w:t xml:space="preserve"> </w:t>
      </w:r>
      <w:r w:rsidRPr="00C732D1">
        <w:rPr>
          <w:rFonts w:ascii="Verdana" w:hAnsi="Verdana" w:cs="Arial"/>
          <w:sz w:val="16"/>
          <w:szCs w:val="16"/>
        </w:rPr>
        <w:t>representativos</w:t>
      </w:r>
      <w:r w:rsidRPr="00C732D1">
        <w:rPr>
          <w:rFonts w:ascii="Verdana" w:hAnsi="Verdana" w:cs="Arial"/>
          <w:spacing w:val="-11"/>
          <w:sz w:val="16"/>
          <w:szCs w:val="16"/>
        </w:rPr>
        <w:t xml:space="preserve"> </w:t>
      </w:r>
      <w:r w:rsidRPr="00C732D1">
        <w:rPr>
          <w:rFonts w:ascii="Verdana" w:hAnsi="Verdana" w:cs="Arial"/>
          <w:sz w:val="16"/>
          <w:szCs w:val="16"/>
        </w:rPr>
        <w:t>son</w:t>
      </w:r>
      <w:r w:rsidRPr="00C732D1">
        <w:rPr>
          <w:rFonts w:ascii="Verdana" w:hAnsi="Verdana" w:cs="Arial"/>
          <w:spacing w:val="-11"/>
          <w:sz w:val="16"/>
          <w:szCs w:val="16"/>
        </w:rPr>
        <w:t xml:space="preserve"> </w:t>
      </w:r>
      <w:r w:rsidRPr="00C732D1">
        <w:rPr>
          <w:rFonts w:ascii="Verdana" w:hAnsi="Verdana" w:cs="Arial"/>
          <w:sz w:val="16"/>
          <w:szCs w:val="16"/>
        </w:rPr>
        <w:t>los</w:t>
      </w:r>
      <w:r w:rsidRPr="00C732D1">
        <w:rPr>
          <w:rFonts w:ascii="Verdana" w:hAnsi="Verdana" w:cs="Arial"/>
          <w:spacing w:val="-11"/>
          <w:sz w:val="16"/>
          <w:szCs w:val="16"/>
        </w:rPr>
        <w:t xml:space="preserve"> </w:t>
      </w:r>
      <w:r w:rsidRPr="00C732D1">
        <w:rPr>
          <w:rFonts w:ascii="Verdana" w:hAnsi="Verdana" w:cs="Arial"/>
          <w:sz w:val="16"/>
          <w:szCs w:val="16"/>
        </w:rPr>
        <w:t>procesos</w:t>
      </w:r>
      <w:r w:rsidRPr="00C732D1">
        <w:rPr>
          <w:rFonts w:ascii="Verdana" w:hAnsi="Verdana" w:cs="Arial"/>
          <w:spacing w:val="-11"/>
          <w:sz w:val="16"/>
          <w:szCs w:val="16"/>
        </w:rPr>
        <w:t xml:space="preserve"> </w:t>
      </w:r>
      <w:r w:rsidRPr="00C732D1">
        <w:rPr>
          <w:rFonts w:ascii="Verdana" w:hAnsi="Verdana" w:cs="Arial"/>
          <w:sz w:val="16"/>
          <w:szCs w:val="16"/>
        </w:rPr>
        <w:t>de</w:t>
      </w:r>
      <w:r w:rsidRPr="00C732D1">
        <w:rPr>
          <w:rFonts w:ascii="Verdana" w:hAnsi="Verdana" w:cs="Arial"/>
          <w:spacing w:val="-12"/>
          <w:sz w:val="16"/>
          <w:szCs w:val="16"/>
        </w:rPr>
        <w:t xml:space="preserve"> </w:t>
      </w:r>
      <w:r w:rsidRPr="00C732D1">
        <w:rPr>
          <w:rFonts w:ascii="Verdana" w:hAnsi="Verdana" w:cs="Arial"/>
          <w:sz w:val="16"/>
          <w:szCs w:val="16"/>
        </w:rPr>
        <w:t>selección</w:t>
      </w:r>
      <w:r w:rsidRPr="00C732D1">
        <w:rPr>
          <w:rFonts w:ascii="Verdana" w:hAnsi="Verdana" w:cs="Arial"/>
          <w:spacing w:val="-11"/>
          <w:sz w:val="16"/>
          <w:szCs w:val="16"/>
        </w:rPr>
        <w:t xml:space="preserve"> </w:t>
      </w:r>
      <w:r w:rsidRPr="00C732D1">
        <w:rPr>
          <w:rFonts w:ascii="Verdana" w:hAnsi="Verdana" w:cs="Arial"/>
          <w:sz w:val="16"/>
          <w:szCs w:val="16"/>
        </w:rPr>
        <w:t>de</w:t>
      </w:r>
      <w:r w:rsidRPr="00C732D1">
        <w:rPr>
          <w:rFonts w:ascii="Verdana" w:hAnsi="Verdana" w:cs="Arial"/>
          <w:spacing w:val="-11"/>
          <w:sz w:val="16"/>
          <w:szCs w:val="16"/>
        </w:rPr>
        <w:t xml:space="preserve"> </w:t>
      </w:r>
      <w:r w:rsidRPr="00C732D1">
        <w:rPr>
          <w:rFonts w:ascii="Verdana" w:hAnsi="Verdana" w:cs="Arial"/>
          <w:sz w:val="16"/>
          <w:szCs w:val="16"/>
        </w:rPr>
        <w:t>contratistas,</w:t>
      </w:r>
      <w:r w:rsidRPr="00C732D1">
        <w:rPr>
          <w:rFonts w:ascii="Verdana" w:hAnsi="Verdana" w:cs="Arial"/>
          <w:spacing w:val="-50"/>
          <w:sz w:val="16"/>
          <w:szCs w:val="16"/>
        </w:rPr>
        <w:t xml:space="preserve"> </w:t>
      </w:r>
      <w:r w:rsidRPr="00C732D1">
        <w:rPr>
          <w:rFonts w:ascii="Verdana" w:hAnsi="Verdana" w:cs="Arial"/>
          <w:sz w:val="16"/>
          <w:szCs w:val="16"/>
        </w:rPr>
        <w:t>cuyas etapas y requisitos son de estricta observancia, tanto para la administración como para los participantes,</w:t>
      </w:r>
      <w:r w:rsidRPr="00C732D1">
        <w:rPr>
          <w:rFonts w:ascii="Verdana" w:hAnsi="Verdana" w:cs="Arial"/>
          <w:spacing w:val="-50"/>
          <w:sz w:val="16"/>
          <w:szCs w:val="16"/>
        </w:rPr>
        <w:t xml:space="preserve"> </w:t>
      </w:r>
      <w:r w:rsidRPr="00C732D1">
        <w:rPr>
          <w:rFonts w:ascii="Verdana" w:hAnsi="Verdana" w:cs="Arial"/>
          <w:sz w:val="16"/>
          <w:szCs w:val="16"/>
        </w:rPr>
        <w:t xml:space="preserve">en señal de respeto al principio de legalidad como a este derecho que integra el debido proceso”. </w:t>
      </w:r>
      <w:r w:rsidRPr="00A02E8E">
        <w:rPr>
          <w:rFonts w:ascii="Verdana" w:hAnsi="Verdana" w:cs="Arial"/>
          <w:sz w:val="16"/>
          <w:szCs w:val="16"/>
        </w:rPr>
        <w:t>CONSEJO DE ESTADO</w:t>
      </w:r>
      <w:r w:rsidRPr="00C732D1">
        <w:rPr>
          <w:rFonts w:ascii="Verdana" w:hAnsi="Verdana" w:cs="Arial"/>
          <w:sz w:val="16"/>
          <w:szCs w:val="16"/>
        </w:rPr>
        <w:t>.</w:t>
      </w:r>
      <w:r w:rsidRPr="00C732D1">
        <w:rPr>
          <w:rFonts w:ascii="Verdana" w:hAnsi="Verdana" w:cs="Arial"/>
          <w:spacing w:val="-4"/>
          <w:sz w:val="16"/>
          <w:szCs w:val="16"/>
        </w:rPr>
        <w:t xml:space="preserve"> </w:t>
      </w:r>
      <w:r w:rsidRPr="00C732D1">
        <w:rPr>
          <w:rFonts w:ascii="Verdana" w:hAnsi="Verdana" w:cs="Arial"/>
          <w:sz w:val="16"/>
          <w:szCs w:val="16"/>
        </w:rPr>
        <w:t>Sección</w:t>
      </w:r>
      <w:r w:rsidRPr="00C732D1">
        <w:rPr>
          <w:rFonts w:ascii="Verdana" w:hAnsi="Verdana" w:cs="Arial"/>
          <w:spacing w:val="-3"/>
          <w:sz w:val="16"/>
          <w:szCs w:val="16"/>
        </w:rPr>
        <w:t xml:space="preserve"> </w:t>
      </w:r>
      <w:r w:rsidRPr="00C732D1">
        <w:rPr>
          <w:rFonts w:ascii="Verdana" w:hAnsi="Verdana" w:cs="Arial"/>
          <w:sz w:val="16"/>
          <w:szCs w:val="16"/>
        </w:rPr>
        <w:t>Tercera. Sentencia</w:t>
      </w:r>
      <w:r w:rsidRPr="00C732D1">
        <w:rPr>
          <w:rFonts w:ascii="Verdana" w:hAnsi="Verdana" w:cs="Arial"/>
          <w:spacing w:val="-3"/>
          <w:sz w:val="16"/>
          <w:szCs w:val="16"/>
        </w:rPr>
        <w:t xml:space="preserve"> </w:t>
      </w:r>
      <w:r w:rsidRPr="00C732D1">
        <w:rPr>
          <w:rFonts w:ascii="Verdana" w:hAnsi="Verdana" w:cs="Arial"/>
          <w:sz w:val="16"/>
          <w:szCs w:val="16"/>
        </w:rPr>
        <w:t>del</w:t>
      </w:r>
      <w:r w:rsidRPr="00C732D1">
        <w:rPr>
          <w:rFonts w:ascii="Verdana" w:hAnsi="Verdana" w:cs="Arial"/>
          <w:spacing w:val="-4"/>
          <w:sz w:val="16"/>
          <w:szCs w:val="16"/>
        </w:rPr>
        <w:t xml:space="preserve"> </w:t>
      </w:r>
      <w:r w:rsidRPr="00C732D1">
        <w:rPr>
          <w:rFonts w:ascii="Verdana" w:hAnsi="Verdana" w:cs="Arial"/>
          <w:sz w:val="16"/>
          <w:szCs w:val="16"/>
        </w:rPr>
        <w:t>23</w:t>
      </w:r>
      <w:r w:rsidRPr="00C732D1">
        <w:rPr>
          <w:rFonts w:ascii="Verdana" w:hAnsi="Verdana" w:cs="Arial"/>
          <w:spacing w:val="-3"/>
          <w:sz w:val="16"/>
          <w:szCs w:val="16"/>
        </w:rPr>
        <w:t xml:space="preserve"> </w:t>
      </w:r>
      <w:r w:rsidRPr="00C732D1">
        <w:rPr>
          <w:rFonts w:ascii="Verdana" w:hAnsi="Verdana" w:cs="Arial"/>
          <w:sz w:val="16"/>
          <w:szCs w:val="16"/>
        </w:rPr>
        <w:t>de</w:t>
      </w:r>
      <w:r w:rsidRPr="00C732D1">
        <w:rPr>
          <w:rFonts w:ascii="Verdana" w:hAnsi="Verdana" w:cs="Arial"/>
          <w:spacing w:val="-4"/>
          <w:sz w:val="16"/>
          <w:szCs w:val="16"/>
        </w:rPr>
        <w:t xml:space="preserve"> </w:t>
      </w:r>
      <w:r w:rsidRPr="00C732D1">
        <w:rPr>
          <w:rFonts w:ascii="Verdana" w:hAnsi="Verdana" w:cs="Arial"/>
          <w:sz w:val="16"/>
          <w:szCs w:val="16"/>
        </w:rPr>
        <w:t>junio</w:t>
      </w:r>
      <w:r w:rsidRPr="00C732D1">
        <w:rPr>
          <w:rFonts w:ascii="Verdana" w:hAnsi="Verdana" w:cs="Arial"/>
          <w:spacing w:val="-3"/>
          <w:sz w:val="16"/>
          <w:szCs w:val="16"/>
        </w:rPr>
        <w:t xml:space="preserve"> </w:t>
      </w:r>
      <w:r w:rsidRPr="00C732D1">
        <w:rPr>
          <w:rFonts w:ascii="Verdana" w:hAnsi="Verdana" w:cs="Arial"/>
          <w:sz w:val="16"/>
          <w:szCs w:val="16"/>
        </w:rPr>
        <w:t>de</w:t>
      </w:r>
      <w:r w:rsidRPr="00C732D1">
        <w:rPr>
          <w:rFonts w:ascii="Verdana" w:hAnsi="Verdana" w:cs="Arial"/>
          <w:spacing w:val="-4"/>
          <w:sz w:val="16"/>
          <w:szCs w:val="16"/>
        </w:rPr>
        <w:t xml:space="preserve"> </w:t>
      </w:r>
      <w:r w:rsidRPr="00C732D1">
        <w:rPr>
          <w:rFonts w:ascii="Verdana" w:hAnsi="Verdana" w:cs="Arial"/>
          <w:sz w:val="16"/>
          <w:szCs w:val="16"/>
        </w:rPr>
        <w:t>2010.</w:t>
      </w:r>
      <w:r w:rsidRPr="00C732D1">
        <w:rPr>
          <w:rFonts w:ascii="Verdana" w:hAnsi="Verdana" w:cs="Arial"/>
          <w:spacing w:val="-3"/>
          <w:sz w:val="16"/>
          <w:szCs w:val="16"/>
        </w:rPr>
        <w:t xml:space="preserve"> </w:t>
      </w:r>
      <w:r w:rsidRPr="00C732D1">
        <w:rPr>
          <w:rFonts w:ascii="Verdana" w:hAnsi="Verdana" w:cs="Arial"/>
          <w:sz w:val="16"/>
          <w:szCs w:val="16"/>
        </w:rPr>
        <w:t>Radicado: 25000-23-26-000-1994-00225-01</w:t>
      </w:r>
      <w:r w:rsidRPr="00C732D1">
        <w:rPr>
          <w:rFonts w:ascii="Verdana" w:hAnsi="Verdana" w:cs="Arial"/>
          <w:spacing w:val="-4"/>
          <w:sz w:val="16"/>
          <w:szCs w:val="16"/>
        </w:rPr>
        <w:t xml:space="preserve"> (</w:t>
      </w:r>
      <w:r w:rsidRPr="00C732D1">
        <w:rPr>
          <w:rFonts w:ascii="Verdana" w:hAnsi="Verdana" w:cs="Arial"/>
          <w:sz w:val="16"/>
          <w:szCs w:val="16"/>
        </w:rPr>
        <w:t>16367).</w:t>
      </w:r>
      <w:r w:rsidRPr="00C732D1">
        <w:rPr>
          <w:rFonts w:ascii="Verdana" w:hAnsi="Verdana" w:cs="Arial"/>
          <w:spacing w:val="-3"/>
          <w:sz w:val="16"/>
          <w:szCs w:val="16"/>
        </w:rPr>
        <w:t xml:space="preserve"> </w:t>
      </w:r>
      <w:r w:rsidRPr="00C732D1">
        <w:rPr>
          <w:rFonts w:ascii="Verdana" w:hAnsi="Verdana" w:cs="Arial"/>
          <w:sz w:val="16"/>
          <w:szCs w:val="16"/>
        </w:rPr>
        <w:t>C.P.</w:t>
      </w:r>
      <w:r w:rsidRPr="00C732D1">
        <w:rPr>
          <w:rFonts w:ascii="Verdana" w:hAnsi="Verdana" w:cs="Arial"/>
          <w:spacing w:val="-4"/>
          <w:sz w:val="16"/>
          <w:szCs w:val="16"/>
        </w:rPr>
        <w:t xml:space="preserve"> </w:t>
      </w:r>
      <w:r w:rsidRPr="00C732D1">
        <w:rPr>
          <w:rFonts w:ascii="Verdana" w:hAnsi="Verdana" w:cs="Arial"/>
          <w:sz w:val="16"/>
          <w:szCs w:val="16"/>
        </w:rPr>
        <w:t>Enrique</w:t>
      </w:r>
      <w:r w:rsidRPr="00C732D1">
        <w:rPr>
          <w:rFonts w:ascii="Verdana" w:hAnsi="Verdana" w:cs="Arial"/>
          <w:spacing w:val="-3"/>
          <w:sz w:val="16"/>
          <w:szCs w:val="16"/>
        </w:rPr>
        <w:t xml:space="preserve"> </w:t>
      </w:r>
      <w:r w:rsidRPr="00C732D1">
        <w:rPr>
          <w:rFonts w:ascii="Verdana" w:hAnsi="Verdana" w:cs="Arial"/>
          <w:sz w:val="16"/>
          <w:szCs w:val="16"/>
        </w:rPr>
        <w:t>Gil</w:t>
      </w:r>
      <w:r w:rsidRPr="00C732D1">
        <w:rPr>
          <w:rFonts w:ascii="Verdana" w:hAnsi="Verdana" w:cs="Arial"/>
          <w:spacing w:val="-4"/>
          <w:sz w:val="16"/>
          <w:szCs w:val="16"/>
        </w:rPr>
        <w:t xml:space="preserve"> </w:t>
      </w:r>
      <w:r w:rsidRPr="00C732D1">
        <w:rPr>
          <w:rFonts w:ascii="Verdana" w:hAnsi="Verdana" w:cs="Arial"/>
          <w:sz w:val="16"/>
          <w:szCs w:val="16"/>
        </w:rPr>
        <w:t>Botero.</w:t>
      </w:r>
    </w:p>
  </w:footnote>
  <w:footnote w:id="16">
    <w:p w14:paraId="3F27933C"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CORTE CONSTITUCIONAL. Sentencia C-713 del 7 de octubre de 2009. M.P.: María Victoria Calle Correa. En el mismo sentido, Sentencia C-004 de 2017. M.P. Alejandro Linares Cantillo</w:t>
      </w:r>
      <w:r>
        <w:rPr>
          <w:rFonts w:ascii="Verdana" w:hAnsi="Verdana"/>
          <w:sz w:val="16"/>
          <w:szCs w:val="16"/>
          <w:lang w:val="es-CO"/>
        </w:rPr>
        <w:t>.</w:t>
      </w:r>
    </w:p>
  </w:footnote>
  <w:footnote w:id="17">
    <w:p w14:paraId="6C4843BB"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CONSEJO DE ESTADO. Sala de Consulta y Servicio Civil. Concepto del 18 de julio de 2002. Rad. 1439. C.P. Susana Montes de Echeverri.</w:t>
      </w:r>
    </w:p>
  </w:footnote>
  <w:footnote w:id="18">
    <w:p w14:paraId="2B5B3C18" w14:textId="77777777" w:rsidR="00FF70D2" w:rsidRPr="00C732D1" w:rsidRDefault="00FF70D2" w:rsidP="00FF70D2">
      <w:pPr>
        <w:pBdr>
          <w:top w:val="nil"/>
          <w:left w:val="nil"/>
          <w:bottom w:val="nil"/>
          <w:right w:val="nil"/>
          <w:between w:val="nil"/>
        </w:pBdr>
        <w:snapToGrid w:val="0"/>
        <w:spacing w:after="0" w:line="240" w:lineRule="auto"/>
        <w:ind w:firstLine="709"/>
        <w:contextualSpacing/>
        <w:jc w:val="both"/>
        <w:rPr>
          <w:rFonts w:ascii="Verdana" w:eastAsia="Arial" w:hAnsi="Verdana" w:cs="Arial"/>
          <w:color w:val="000000"/>
          <w:sz w:val="16"/>
          <w:szCs w:val="16"/>
        </w:rPr>
      </w:pPr>
      <w:r w:rsidRPr="00C732D1">
        <w:rPr>
          <w:rFonts w:ascii="Verdana" w:hAnsi="Verdana" w:cs="Arial"/>
          <w:sz w:val="16"/>
          <w:szCs w:val="16"/>
          <w:vertAlign w:val="superscript"/>
        </w:rPr>
        <w:footnoteRef/>
      </w:r>
      <w:r w:rsidRPr="00C732D1">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661D3291" w14:textId="77777777" w:rsidR="00FF70D2" w:rsidRPr="00C732D1" w:rsidRDefault="00FF70D2" w:rsidP="00FF70D2">
      <w:pPr>
        <w:pBdr>
          <w:top w:val="nil"/>
          <w:left w:val="nil"/>
          <w:bottom w:val="nil"/>
          <w:right w:val="nil"/>
          <w:between w:val="nil"/>
        </w:pBdr>
        <w:snapToGrid w:val="0"/>
        <w:spacing w:after="0" w:line="240" w:lineRule="auto"/>
        <w:ind w:firstLine="709"/>
        <w:contextualSpacing/>
        <w:jc w:val="both"/>
        <w:rPr>
          <w:rFonts w:ascii="Verdana" w:eastAsia="Arial" w:hAnsi="Verdana" w:cs="Arial"/>
          <w:color w:val="000000"/>
          <w:sz w:val="16"/>
          <w:szCs w:val="16"/>
        </w:rPr>
      </w:pPr>
      <w:r w:rsidRPr="00C732D1">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0929DA51" w14:textId="77777777" w:rsidR="00FF70D2" w:rsidRPr="00C732D1" w:rsidRDefault="00FF70D2" w:rsidP="00FF70D2">
      <w:pPr>
        <w:pBdr>
          <w:top w:val="nil"/>
          <w:left w:val="nil"/>
          <w:bottom w:val="nil"/>
          <w:right w:val="nil"/>
          <w:between w:val="nil"/>
        </w:pBdr>
        <w:snapToGrid w:val="0"/>
        <w:spacing w:after="0" w:line="240" w:lineRule="auto"/>
        <w:ind w:firstLine="709"/>
        <w:contextualSpacing/>
        <w:jc w:val="both"/>
        <w:rPr>
          <w:rFonts w:ascii="Verdana" w:eastAsia="Arial" w:hAnsi="Verdana" w:cs="Arial"/>
          <w:color w:val="000000"/>
          <w:sz w:val="16"/>
          <w:szCs w:val="16"/>
        </w:rPr>
      </w:pPr>
      <w:r w:rsidRPr="00C732D1">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25A90FA6" w14:textId="77777777" w:rsidR="00FF70D2" w:rsidRPr="00C732D1" w:rsidRDefault="00FF70D2" w:rsidP="00FF70D2">
      <w:pPr>
        <w:pBdr>
          <w:top w:val="nil"/>
          <w:left w:val="nil"/>
          <w:bottom w:val="nil"/>
          <w:right w:val="nil"/>
          <w:between w:val="nil"/>
        </w:pBdr>
        <w:snapToGrid w:val="0"/>
        <w:spacing w:after="0" w:line="240" w:lineRule="auto"/>
        <w:ind w:firstLine="709"/>
        <w:contextualSpacing/>
        <w:jc w:val="both"/>
        <w:rPr>
          <w:rFonts w:ascii="Verdana" w:eastAsia="Arial" w:hAnsi="Verdana" w:cs="Arial"/>
          <w:color w:val="000000"/>
          <w:sz w:val="16"/>
          <w:szCs w:val="16"/>
        </w:rPr>
      </w:pPr>
      <w:r w:rsidRPr="00C732D1">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61CA0BF3" w14:textId="77777777" w:rsidR="00FF70D2" w:rsidRPr="00C732D1" w:rsidRDefault="00FF70D2" w:rsidP="00FF70D2">
      <w:pPr>
        <w:pBdr>
          <w:top w:val="nil"/>
          <w:left w:val="nil"/>
          <w:bottom w:val="nil"/>
          <w:right w:val="nil"/>
          <w:between w:val="nil"/>
        </w:pBdr>
        <w:snapToGrid w:val="0"/>
        <w:spacing w:after="0" w:line="240" w:lineRule="auto"/>
        <w:ind w:firstLine="709"/>
        <w:contextualSpacing/>
        <w:jc w:val="both"/>
        <w:rPr>
          <w:rFonts w:ascii="Verdana" w:eastAsia="Arial" w:hAnsi="Verdana" w:cs="Arial"/>
          <w:color w:val="000000"/>
          <w:sz w:val="16"/>
          <w:szCs w:val="16"/>
        </w:rPr>
      </w:pPr>
      <w:r w:rsidRPr="00C732D1">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19">
    <w:p w14:paraId="1F394F68"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AGENCIA NACIONAL DE CONTRATACIÓN PÚBLICA – COLOMBIA COMPRA EFICIENTE–. Conceptos C-086 de 2025 y C-002 de 2026.</w:t>
      </w:r>
    </w:p>
  </w:footnote>
  <w:footnote w:id="20">
    <w:p w14:paraId="74A8125C" w14:textId="77777777" w:rsidR="00FF70D2" w:rsidRPr="00C732D1" w:rsidRDefault="00FF70D2" w:rsidP="00FF70D2">
      <w:pPr>
        <w:pStyle w:val="Textonotapie"/>
        <w:ind w:firstLine="708"/>
        <w:rPr>
          <w:rFonts w:ascii="Verdana" w:hAnsi="Verdana"/>
          <w:sz w:val="16"/>
          <w:szCs w:val="16"/>
        </w:rPr>
      </w:pPr>
      <w:r w:rsidRPr="00C732D1">
        <w:rPr>
          <w:rStyle w:val="Refdenotaalpie"/>
          <w:rFonts w:ascii="Verdana" w:hAnsi="Verdana"/>
          <w:sz w:val="16"/>
          <w:szCs w:val="16"/>
        </w:rPr>
        <w:footnoteRef/>
      </w:r>
      <w:r w:rsidRPr="00C732D1">
        <w:rPr>
          <w:rFonts w:ascii="Verdana" w:hAnsi="Verdana"/>
          <w:sz w:val="16"/>
          <w:szCs w:val="16"/>
        </w:rPr>
        <w:t xml:space="preserve"> </w:t>
      </w:r>
      <w:r w:rsidRPr="00C732D1">
        <w:rPr>
          <w:rFonts w:ascii="Verdana" w:hAnsi="Verdana"/>
          <w:sz w:val="16"/>
          <w:szCs w:val="16"/>
          <w:lang w:val="es-CO"/>
        </w:rPr>
        <w:t>CONSEJO DE ESTADO</w:t>
      </w:r>
      <w:r>
        <w:rPr>
          <w:rFonts w:ascii="Verdana" w:hAnsi="Verdana"/>
          <w:sz w:val="16"/>
          <w:szCs w:val="16"/>
          <w:lang w:val="es-CO"/>
        </w:rPr>
        <w:t>.</w:t>
      </w:r>
      <w:r w:rsidRPr="00C732D1">
        <w:rPr>
          <w:rFonts w:ascii="Verdana" w:hAnsi="Verdana"/>
          <w:sz w:val="16"/>
          <w:szCs w:val="16"/>
          <w:lang w:val="es-CO"/>
        </w:rPr>
        <w:t xml:space="preserve"> Sección Tercera, Subsección C. Sentencia del 31 de enero de 2011. </w:t>
      </w:r>
      <w:proofErr w:type="spellStart"/>
      <w:r w:rsidRPr="00C732D1">
        <w:rPr>
          <w:rFonts w:ascii="Verdana" w:hAnsi="Verdana"/>
          <w:sz w:val="16"/>
          <w:szCs w:val="16"/>
          <w:lang w:val="es-CO"/>
        </w:rPr>
        <w:t>Exp</w:t>
      </w:r>
      <w:proofErr w:type="spellEnd"/>
      <w:r w:rsidRPr="00C732D1">
        <w:rPr>
          <w:rFonts w:ascii="Verdana" w:hAnsi="Verdana"/>
          <w:sz w:val="16"/>
          <w:szCs w:val="16"/>
          <w:lang w:val="es-CO"/>
        </w:rPr>
        <w:t xml:space="preserve">. No. 17767, C.P. Olga Mélida Valle de </w:t>
      </w:r>
      <w:proofErr w:type="spellStart"/>
      <w:r w:rsidRPr="00C732D1">
        <w:rPr>
          <w:rFonts w:ascii="Verdana" w:hAnsi="Verdana"/>
          <w:sz w:val="16"/>
          <w:szCs w:val="16"/>
          <w:lang w:val="es-CO"/>
        </w:rPr>
        <w:t>De</w:t>
      </w:r>
      <w:proofErr w:type="spellEnd"/>
      <w:r w:rsidRPr="00C732D1">
        <w:rPr>
          <w:rFonts w:ascii="Verdana" w:hAnsi="Verdana"/>
          <w:sz w:val="16"/>
          <w:szCs w:val="16"/>
          <w:lang w:val="es-CO"/>
        </w:rPr>
        <w:t xml:space="preserve"> la Hoz.</w:t>
      </w:r>
      <w:r w:rsidRPr="00C732D1">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23F1" w14:textId="77777777" w:rsidR="005876F3" w:rsidRDefault="005876F3"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16B93282" wp14:editId="59D3661D">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E014BEA" wp14:editId="32CA20A2">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50C0A001" w14:textId="77777777" w:rsidR="005876F3" w:rsidRDefault="005876F3">
    <w:pPr>
      <w:pStyle w:val="Encabezado"/>
    </w:pPr>
  </w:p>
  <w:p w14:paraId="08C71CD6" w14:textId="77777777" w:rsidR="005876F3" w:rsidRPr="004A305D" w:rsidRDefault="005876F3" w:rsidP="00B01B1A">
    <w:pPr>
      <w:spacing w:after="0" w:line="120" w:lineRule="auto"/>
      <w:rPr>
        <w:rFonts w:ascii="Century Gothic" w:eastAsia="Geo" w:hAnsi="Century Gothic" w:cs="Geo"/>
        <w:sz w:val="16"/>
        <w:szCs w:val="16"/>
        <w:lang w:eastAsia="es-CO"/>
      </w:rPr>
    </w:pPr>
  </w:p>
  <w:p w14:paraId="59A9E262" w14:textId="77777777" w:rsidR="005876F3" w:rsidRDefault="005876F3" w:rsidP="00844AE9">
    <w:pPr>
      <w:spacing w:after="0" w:line="240" w:lineRule="auto"/>
      <w:rPr>
        <w:rFonts w:ascii="Verdana" w:hAnsi="Verdana"/>
        <w:sz w:val="24"/>
        <w:szCs w:val="24"/>
      </w:rPr>
    </w:pPr>
  </w:p>
  <w:p w14:paraId="655E9C9F" w14:textId="77777777" w:rsidR="005876F3" w:rsidRPr="00C925AC" w:rsidRDefault="005876F3" w:rsidP="00844AE9">
    <w:pPr>
      <w:spacing w:after="0" w:line="240" w:lineRule="auto"/>
      <w:rPr>
        <w:rFonts w:ascii="Verdana" w:hAnsi="Verdana"/>
        <w:sz w:val="24"/>
        <w:szCs w:val="24"/>
      </w:rPr>
    </w:pPr>
  </w:p>
  <w:p w14:paraId="79AB637D" w14:textId="77777777" w:rsidR="005876F3" w:rsidRPr="00C925AC" w:rsidRDefault="005876F3"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2"/>
  </w:num>
  <w:num w:numId="2" w16cid:durableId="544372904">
    <w:abstractNumId w:val="0"/>
  </w:num>
  <w:num w:numId="3" w16cid:durableId="1629124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6F3"/>
    <w:rsid w:val="00045068"/>
    <w:rsid w:val="001559DD"/>
    <w:rsid w:val="0020773F"/>
    <w:rsid w:val="00226B20"/>
    <w:rsid w:val="00344775"/>
    <w:rsid w:val="00406F12"/>
    <w:rsid w:val="0044675F"/>
    <w:rsid w:val="0044775C"/>
    <w:rsid w:val="005876F3"/>
    <w:rsid w:val="006771C4"/>
    <w:rsid w:val="007A1A7B"/>
    <w:rsid w:val="008D0AD2"/>
    <w:rsid w:val="009A37A6"/>
    <w:rsid w:val="009E5612"/>
    <w:rsid w:val="00A008FD"/>
    <w:rsid w:val="00A4653C"/>
    <w:rsid w:val="00AC2231"/>
    <w:rsid w:val="00B21020"/>
    <w:rsid w:val="00B764CD"/>
    <w:rsid w:val="00B81515"/>
    <w:rsid w:val="00EA1A7A"/>
    <w:rsid w:val="00FD1211"/>
    <w:rsid w:val="00FF70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FBF0"/>
  <w15:chartTrackingRefBased/>
  <w15:docId w15:val="{FF023078-8594-418C-B6AA-A2E2D950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6F3"/>
    <w:pPr>
      <w:spacing w:line="259" w:lineRule="auto"/>
    </w:pPr>
    <w:rPr>
      <w:kern w:val="0"/>
      <w:sz w:val="22"/>
      <w:szCs w:val="22"/>
      <w14:ligatures w14:val="none"/>
    </w:rPr>
  </w:style>
  <w:style w:type="paragraph" w:styleId="Ttulo1">
    <w:name w:val="heading 1"/>
    <w:basedOn w:val="Normal"/>
    <w:next w:val="Normal"/>
    <w:link w:val="Ttulo1Car"/>
    <w:uiPriority w:val="9"/>
    <w:qFormat/>
    <w:rsid w:val="00587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7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76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76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76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76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76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76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76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6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76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76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76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76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76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76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76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76F3"/>
    <w:rPr>
      <w:rFonts w:eastAsiaTheme="majorEastAsia" w:cstheme="majorBidi"/>
      <w:color w:val="272727" w:themeColor="text1" w:themeTint="D8"/>
    </w:rPr>
  </w:style>
  <w:style w:type="paragraph" w:styleId="Ttulo">
    <w:name w:val="Title"/>
    <w:basedOn w:val="Normal"/>
    <w:next w:val="Normal"/>
    <w:link w:val="TtuloCar"/>
    <w:uiPriority w:val="10"/>
    <w:qFormat/>
    <w:rsid w:val="00587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76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76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76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76F3"/>
    <w:pPr>
      <w:spacing w:before="160"/>
      <w:jc w:val="center"/>
    </w:pPr>
    <w:rPr>
      <w:i/>
      <w:iCs/>
      <w:color w:val="404040" w:themeColor="text1" w:themeTint="BF"/>
    </w:rPr>
  </w:style>
  <w:style w:type="character" w:customStyle="1" w:styleId="CitaCar">
    <w:name w:val="Cita Car"/>
    <w:basedOn w:val="Fuentedeprrafopredeter"/>
    <w:link w:val="Cita"/>
    <w:uiPriority w:val="29"/>
    <w:rsid w:val="005876F3"/>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876F3"/>
    <w:pPr>
      <w:ind w:left="720"/>
      <w:contextualSpacing/>
    </w:pPr>
  </w:style>
  <w:style w:type="character" w:styleId="nfasisintenso">
    <w:name w:val="Intense Emphasis"/>
    <w:basedOn w:val="Fuentedeprrafopredeter"/>
    <w:uiPriority w:val="21"/>
    <w:qFormat/>
    <w:rsid w:val="005876F3"/>
    <w:rPr>
      <w:i/>
      <w:iCs/>
      <w:color w:val="0F4761" w:themeColor="accent1" w:themeShade="BF"/>
    </w:rPr>
  </w:style>
  <w:style w:type="paragraph" w:styleId="Citadestacada">
    <w:name w:val="Intense Quote"/>
    <w:basedOn w:val="Normal"/>
    <w:next w:val="Normal"/>
    <w:link w:val="CitadestacadaCar"/>
    <w:uiPriority w:val="30"/>
    <w:qFormat/>
    <w:rsid w:val="00587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76F3"/>
    <w:rPr>
      <w:i/>
      <w:iCs/>
      <w:color w:val="0F4761" w:themeColor="accent1" w:themeShade="BF"/>
    </w:rPr>
  </w:style>
  <w:style w:type="character" w:styleId="Referenciaintensa">
    <w:name w:val="Intense Reference"/>
    <w:basedOn w:val="Fuentedeprrafopredeter"/>
    <w:uiPriority w:val="32"/>
    <w:qFormat/>
    <w:rsid w:val="005876F3"/>
    <w:rPr>
      <w:b/>
      <w:bCs/>
      <w:smallCaps/>
      <w:color w:val="0F4761" w:themeColor="accent1" w:themeShade="BF"/>
      <w:spacing w:val="5"/>
    </w:rPr>
  </w:style>
  <w:style w:type="paragraph" w:styleId="Encabezado">
    <w:name w:val="header"/>
    <w:basedOn w:val="Normal"/>
    <w:link w:val="EncabezadoCar"/>
    <w:uiPriority w:val="99"/>
    <w:unhideWhenUsed/>
    <w:rsid w:val="005876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76F3"/>
    <w:rPr>
      <w:kern w:val="0"/>
      <w:sz w:val="22"/>
      <w:szCs w:val="22"/>
      <w14:ligatures w14:val="none"/>
    </w:rPr>
  </w:style>
  <w:style w:type="paragraph" w:styleId="Piedepgina">
    <w:name w:val="footer"/>
    <w:basedOn w:val="Normal"/>
    <w:link w:val="PiedepginaCar"/>
    <w:uiPriority w:val="99"/>
    <w:unhideWhenUsed/>
    <w:rsid w:val="005876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76F3"/>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5876F3"/>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5876F3"/>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5876F3"/>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5876F3"/>
    <w:rPr>
      <w:vertAlign w:val="superscript"/>
    </w:rPr>
  </w:style>
  <w:style w:type="table" w:styleId="Tablaconcuadrcula">
    <w:name w:val="Table Grid"/>
    <w:basedOn w:val="Tablanormal"/>
    <w:uiPriority w:val="39"/>
    <w:qFormat/>
    <w:rsid w:val="005876F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876F3"/>
    <w:rPr>
      <w:color w:val="0000FF"/>
      <w:u w:val="single"/>
    </w:rPr>
  </w:style>
  <w:style w:type="paragraph" w:customStyle="1" w:styleId="Appelnotedebasde">
    <w:name w:val="Appel note de bas de..."/>
    <w:basedOn w:val="Normal"/>
    <w:link w:val="Refdenotaalpie"/>
    <w:rsid w:val="005876F3"/>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876F3"/>
  </w:style>
  <w:style w:type="table" w:customStyle="1" w:styleId="Tablaconcuadrcula11">
    <w:name w:val="Tabla con cuadrícula11"/>
    <w:basedOn w:val="Tablanormal"/>
    <w:next w:val="Tablaconcuadrcula"/>
    <w:uiPriority w:val="39"/>
    <w:qFormat/>
    <w:rsid w:val="005876F3"/>
    <w:pPr>
      <w:spacing w:after="0" w:line="240" w:lineRule="auto"/>
    </w:pPr>
    <w:rPr>
      <w:kern w:val="0"/>
      <w:sz w:val="22"/>
      <w:szCs w:val="22"/>
      <w14:ligatures w14:val="none"/>
    </w:rPr>
    <w:tblPr/>
  </w:style>
  <w:style w:type="character" w:styleId="Mencinsinresolver">
    <w:name w:val="Unresolved Mention"/>
    <w:basedOn w:val="Fuentedeprrafopredeter"/>
    <w:uiPriority w:val="99"/>
    <w:semiHidden/>
    <w:unhideWhenUsed/>
    <w:rsid w:val="00446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aclopez29@gmail.com" TargetMode="External"/><Relationship Id="rId13" Type="http://schemas.openxmlformats.org/officeDocument/2006/relationships/hyperlink" Target="https://www.colombiacompra.gov.co/archivos/boletin/boletin-edicion-n-3-de-2026-radar-de-la-compra-publica"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hyperlink" Target="https://www.colombiacompra.gov.co/archivos/circular/circular-externa-002-de-202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mbiacompra.gov.co/archivos/circular/circular-externa-003-de-2026"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colombiacompra.gov.co/archivos/manual/guia-de-garantias-en-procesos-de-contratac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latoria.colombiacompra.gov.co/busqueda/conceptos" TargetMode="External"/><Relationship Id="rId14" Type="http://schemas.openxmlformats.org/officeDocument/2006/relationships/hyperlink" Target="http://www.colombiacompra.gov.co"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A87AC8-1B9C-44DD-966B-9EEEB5AEF40D}"/>
</file>

<file path=customXml/itemProps2.xml><?xml version="1.0" encoding="utf-8"?>
<ds:datastoreItem xmlns:ds="http://schemas.openxmlformats.org/officeDocument/2006/customXml" ds:itemID="{5481CCFE-C5FD-4FEC-A81D-3184149B08EA}"/>
</file>

<file path=customXml/itemProps3.xml><?xml version="1.0" encoding="utf-8"?>
<ds:datastoreItem xmlns:ds="http://schemas.openxmlformats.org/officeDocument/2006/customXml" ds:itemID="{80412647-EAAC-4044-82D5-C33D41CE7B91}"/>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17</TotalTime>
  <Pages>23</Pages>
  <Words>7067</Words>
  <Characters>38871</Characters>
  <Application>Microsoft Office Word</Application>
  <DocSecurity>0</DocSecurity>
  <Lines>323</Lines>
  <Paragraphs>91</Paragraphs>
  <ScaleCrop>false</ScaleCrop>
  <Company/>
  <LinksUpToDate>false</LinksUpToDate>
  <CharactersWithSpaces>45847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17</cp:revision>
  <dcterms:created xsi:type="dcterms:W3CDTF">2026-07-30T19:34:00Z</dcterms:created>
  <dcterms:modified xsi:type="dcterms:W3CDTF">2026-08-04T16:13:00Z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