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5824" w14:textId="4ACB970E" w:rsidR="00DA507B" w:rsidRDefault="00DA507B" w:rsidP="00CE01BA">
      <w:pPr>
        <w:jc w:val="both"/>
        <w:rPr>
          <w:rFonts w:ascii="Verdana" w:hAnsi="Verdana"/>
          <w:b/>
          <w:bCs/>
        </w:rPr>
      </w:pPr>
      <w:bookmarkStart w:id="0" w:name="_Hlk143780582"/>
      <w:r w:rsidRPr="00CE01BA">
        <w:rPr>
          <w:rFonts w:ascii="Verdana" w:hAnsi="Verdana"/>
          <w:b/>
          <w:bCs/>
        </w:rPr>
        <w:t>INHABILIDADES E INCOMPATIBILIDADES – Definición – Fundamento – Clases</w:t>
      </w:r>
    </w:p>
    <w:p w14:paraId="362A0489" w14:textId="77777777" w:rsidR="007A5CAF" w:rsidRPr="009D1B9D" w:rsidRDefault="007A5CAF" w:rsidP="007A5CAF">
      <w:pPr>
        <w:spacing w:after="0" w:line="240" w:lineRule="auto"/>
        <w:jc w:val="both"/>
        <w:rPr>
          <w:rFonts w:ascii="Verdana" w:hAnsi="Verdana" w:cs="Arial"/>
          <w:sz w:val="20"/>
          <w:lang w:val="es-MX"/>
        </w:rPr>
      </w:pPr>
      <w:r w:rsidRPr="009D1B9D">
        <w:rPr>
          <w:rFonts w:ascii="Verdana" w:hAnsi="Verdana" w:cs="Arial"/>
          <w:sz w:val="20"/>
          <w:lang w:val="es-MX"/>
        </w:rPr>
        <w:t>Las inhabilidades e incompatibilidades pueden enfocarse en varios asuntos: en primer lugar, se encuentran las inhabilidades e incompatibilidades que impiden que u</w:t>
      </w:r>
      <w:proofErr w:type="spellStart"/>
      <w:r w:rsidRPr="009D1B9D">
        <w:rPr>
          <w:rFonts w:ascii="Verdana" w:hAnsi="Verdana" w:cs="Arial"/>
          <w:sz w:val="20"/>
        </w:rPr>
        <w:t>na</w:t>
      </w:r>
      <w:proofErr w:type="spellEnd"/>
      <w:r w:rsidRPr="009D1B9D">
        <w:rPr>
          <w:rFonts w:ascii="Verdana" w:hAnsi="Verdana" w:cs="Arial"/>
          <w:sz w:val="20"/>
        </w:rPr>
        <w:t xml:space="preserve">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w:t>
      </w:r>
      <w:r w:rsidRPr="009D1B9D">
        <w:rPr>
          <w:rFonts w:ascii="Verdana" w:hAnsi="Verdana" w:cs="Arial"/>
          <w:sz w:val="20"/>
          <w:lang w:val="es-MX"/>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w:t>
      </w:r>
      <w:proofErr w:type="gramStart"/>
      <w:r w:rsidRPr="009D1B9D">
        <w:rPr>
          <w:rFonts w:ascii="Verdana" w:hAnsi="Verdana" w:cs="Arial"/>
          <w:sz w:val="20"/>
          <w:lang w:val="es-MX"/>
        </w:rPr>
        <w:t>De acuerdo a</w:t>
      </w:r>
      <w:proofErr w:type="gramEnd"/>
      <w:r w:rsidRPr="009D1B9D">
        <w:rPr>
          <w:rFonts w:ascii="Verdana" w:hAnsi="Verdana" w:cs="Arial"/>
          <w:sz w:val="20"/>
          <w:lang w:val="es-MX"/>
        </w:rPr>
        <w:t xml:space="preserve"> lo expuesto, se señala que la Agencia Nacional de Contratación Pública es competente para resolver consultas sobre normas del sistema de compras y contratación públicas que establezca inhabilidades e incompatibilidades para contratar con el Estado. </w:t>
      </w:r>
    </w:p>
    <w:p w14:paraId="7E7DE52C" w14:textId="27EF120D" w:rsidR="00DA507B" w:rsidRDefault="00DA507B" w:rsidP="007A5CAF">
      <w:pPr>
        <w:spacing w:before="240"/>
        <w:jc w:val="both"/>
        <w:rPr>
          <w:rFonts w:ascii="Verdana" w:hAnsi="Verdana"/>
          <w:b/>
          <w:bCs/>
        </w:rPr>
      </w:pPr>
      <w:r w:rsidRPr="00CE01BA">
        <w:rPr>
          <w:rFonts w:ascii="Verdana" w:hAnsi="Verdana"/>
          <w:b/>
          <w:bCs/>
        </w:rPr>
        <w:t>INHABILIDADES E INCOMPATIBILIDADES – Finalidad – Limitación capacidad contractual</w:t>
      </w:r>
    </w:p>
    <w:p w14:paraId="157C699E" w14:textId="77777777" w:rsidR="00D417FC" w:rsidRPr="009D1B9D" w:rsidRDefault="00D417FC" w:rsidP="00D417FC">
      <w:pPr>
        <w:spacing w:after="0" w:line="240" w:lineRule="auto"/>
        <w:jc w:val="both"/>
        <w:rPr>
          <w:rFonts w:ascii="Verdana" w:hAnsi="Verdana" w:cs="Arial"/>
          <w:sz w:val="20"/>
          <w:lang w:val="es-MX"/>
        </w:rPr>
      </w:pPr>
      <w:r w:rsidRPr="009D1B9D">
        <w:rPr>
          <w:rFonts w:ascii="Verdana" w:hAnsi="Verdana" w:cs="Arial"/>
          <w:sz w:val="20"/>
          <w:lang w:val="es-MX"/>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p>
    <w:p w14:paraId="77C5E6F1" w14:textId="0642085B" w:rsidR="00DA507B" w:rsidRDefault="00DA507B" w:rsidP="00D417FC">
      <w:pPr>
        <w:spacing w:before="240"/>
        <w:jc w:val="both"/>
        <w:rPr>
          <w:rFonts w:ascii="Verdana" w:hAnsi="Verdana"/>
          <w:b/>
          <w:bCs/>
        </w:rPr>
      </w:pPr>
      <w:r w:rsidRPr="00CE01BA">
        <w:rPr>
          <w:rFonts w:ascii="Verdana" w:hAnsi="Verdana"/>
          <w:b/>
          <w:bCs/>
        </w:rPr>
        <w:t>INHABILIDADES E INCOMPATIBILIDADES – Taxatividad – Principio de legalidad – Interpretación restrictiva</w:t>
      </w:r>
    </w:p>
    <w:p w14:paraId="50BFC4BF" w14:textId="7F980BC3" w:rsidR="00B54183" w:rsidRDefault="00B54183" w:rsidP="00B54183">
      <w:pPr>
        <w:spacing w:after="0" w:line="240" w:lineRule="auto"/>
        <w:jc w:val="both"/>
        <w:rPr>
          <w:rFonts w:ascii="Verdana" w:hAnsi="Verdana" w:cs="Arial"/>
          <w:sz w:val="20"/>
          <w:lang w:val="es-ES_tradnl"/>
        </w:rPr>
      </w:pPr>
      <w:r w:rsidRPr="009D1B9D">
        <w:rPr>
          <w:rFonts w:ascii="Verdana" w:hAnsi="Verdana" w:cs="Arial"/>
          <w:sz w:val="20"/>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9D1B9D">
        <w:rPr>
          <w:rFonts w:ascii="Verdana" w:hAnsi="Verdana" w:cs="Arial"/>
          <w:i/>
          <w:iCs/>
          <w:sz w:val="20"/>
          <w:lang w:val="es-ES_tradnl"/>
        </w:rPr>
        <w:t xml:space="preserve">restrictiva, </w:t>
      </w:r>
      <w:r w:rsidRPr="009D1B9D">
        <w:rPr>
          <w:rFonts w:ascii="Verdana" w:hAnsi="Verdana" w:cs="Arial"/>
          <w:sz w:val="20"/>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61A58C61" w14:textId="77777777" w:rsidR="006416B7" w:rsidRPr="009D1B9D" w:rsidRDefault="006416B7" w:rsidP="00B54183">
      <w:pPr>
        <w:spacing w:after="0" w:line="240" w:lineRule="auto"/>
        <w:jc w:val="both"/>
        <w:rPr>
          <w:rFonts w:ascii="Verdana" w:hAnsi="Verdana" w:cs="Arial"/>
          <w:sz w:val="20"/>
          <w:lang w:val="es-ES_tradnl"/>
        </w:rPr>
      </w:pPr>
    </w:p>
    <w:p w14:paraId="67EBBD1C" w14:textId="77777777" w:rsidR="00B54183" w:rsidRPr="009D1B9D" w:rsidRDefault="00B54183" w:rsidP="00B54183">
      <w:pPr>
        <w:spacing w:after="0" w:line="240" w:lineRule="auto"/>
        <w:jc w:val="both"/>
        <w:rPr>
          <w:rFonts w:ascii="Verdana" w:hAnsi="Verdana" w:cs="Arial"/>
          <w:sz w:val="20"/>
          <w:lang w:val="es-ES_tradnl"/>
        </w:rPr>
      </w:pPr>
      <w:r w:rsidRPr="009D1B9D">
        <w:rPr>
          <w:rFonts w:ascii="Verdana" w:hAnsi="Verdana" w:cs="Arial"/>
          <w:sz w:val="20"/>
          <w:lang w:val="es-ES_tradnl"/>
        </w:rPr>
        <w:t xml:space="preserve">En efecto, el máximo tribunal constitucional ha indicado, al tratar de precisar el sentido de este tipo de normas, que “[…] el intérprete de las disposiciones legislativas en la </w:t>
      </w:r>
      <w:r w:rsidRPr="009D1B9D">
        <w:rPr>
          <w:rFonts w:ascii="Verdana" w:hAnsi="Verdana" w:cs="Arial"/>
          <w:sz w:val="20"/>
          <w:lang w:val="es-ES_tradnl"/>
        </w:rPr>
        <w:lastRenderedPageBreak/>
        <w:t>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p>
    <w:p w14:paraId="059E7B84" w14:textId="7C76739D" w:rsidR="00DA507B" w:rsidRDefault="00DA507B" w:rsidP="00B54183">
      <w:pPr>
        <w:spacing w:before="240"/>
        <w:jc w:val="both"/>
        <w:rPr>
          <w:rFonts w:ascii="Verdana" w:hAnsi="Verdana"/>
          <w:b/>
          <w:bCs/>
        </w:rPr>
      </w:pPr>
      <w:r w:rsidRPr="00CE01BA">
        <w:rPr>
          <w:rFonts w:ascii="Verdana" w:hAnsi="Verdana"/>
          <w:b/>
          <w:bCs/>
        </w:rPr>
        <w:t xml:space="preserve">INHABILIDAD SOBREVINIENTE – Artículo 9 de la Ley 80 de 1993 – Alcance – Régimen general – Régimen especial Ley 2014 de 2019 </w:t>
      </w:r>
    </w:p>
    <w:p w14:paraId="72B02E99" w14:textId="77777777" w:rsidR="007004AC" w:rsidRPr="009D1B9D" w:rsidRDefault="007004AC" w:rsidP="007004AC">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Por otra parte, frente a las inhabilidades o incompatibilidades que tienen carácter sobreviniente, es necesario tener en cuenta que el ordenamiento jurídico trata de manera distinta al oferente, al adjudicatario y al contratista. </w:t>
      </w:r>
      <w:r w:rsidRPr="009D1B9D">
        <w:rPr>
          <w:rFonts w:ascii="Verdana" w:eastAsia="Verdana" w:hAnsi="Verdana" w:cs="Verdana"/>
          <w:i/>
          <w:sz w:val="20"/>
          <w:szCs w:val="20"/>
        </w:rPr>
        <w:t>Respecto al oferente</w:t>
      </w:r>
      <w:r w:rsidRPr="009D1B9D">
        <w:rPr>
          <w:rFonts w:ascii="Verdana" w:eastAsia="Verdana" w:hAnsi="Verdana" w:cs="Verdana"/>
          <w:sz w:val="20"/>
          <w:szCs w:val="20"/>
        </w:rPr>
        <w:t xml:space="preserve">,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 </w:t>
      </w:r>
    </w:p>
    <w:p w14:paraId="6BF8A162" w14:textId="77777777" w:rsidR="007004AC" w:rsidRPr="009D1B9D" w:rsidRDefault="007004AC" w:rsidP="007004AC">
      <w:pPr>
        <w:spacing w:after="0" w:line="240" w:lineRule="auto"/>
        <w:jc w:val="both"/>
        <w:rPr>
          <w:rFonts w:ascii="Verdana" w:eastAsia="Verdana" w:hAnsi="Verdana" w:cs="Verdana"/>
          <w:sz w:val="20"/>
          <w:szCs w:val="20"/>
        </w:rPr>
      </w:pPr>
    </w:p>
    <w:p w14:paraId="3C542BE8" w14:textId="77777777" w:rsidR="007004AC" w:rsidRPr="009D1B9D" w:rsidRDefault="007004AC" w:rsidP="007004AC">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Dicha presunción de renuncia a la participación y a los derechos surgidos del mismo, en caso de contar con resolución de adjudicación, debe interpretarse en conjunto con el artículo 9 de la Ley 1150 de 2007, el cual consagra dos (2) reglas especiales en los que la norma da la posibilidad a una Entidad Estatal para que adjudique nuevamente el contrato al proponente calificado en segundo lugar, y esto es, cuando dentro del plazo comprendido entre la adjudicación del contrato y la suscripción del mismo, el acto administrativo de adjudicación es revocado porque sobrevino una inhabilidad o incompatibilidad o si se demuestra que el acto se obtuvo por medios ilegales, caso en el cual, “la entidad podrá aplicar lo previsto en el inciso final del numeral 12 del artículo 30 de la Ley 80 de 1993”.</w:t>
      </w:r>
    </w:p>
    <w:p w14:paraId="04252E23" w14:textId="77777777" w:rsidR="007004AC" w:rsidRPr="009D1B9D" w:rsidRDefault="007004AC" w:rsidP="007004AC">
      <w:pPr>
        <w:spacing w:after="0" w:line="240" w:lineRule="auto"/>
        <w:jc w:val="both"/>
        <w:rPr>
          <w:rFonts w:ascii="Verdana" w:eastAsia="Verdana" w:hAnsi="Verdana" w:cs="Verdana"/>
          <w:sz w:val="20"/>
          <w:szCs w:val="20"/>
        </w:rPr>
      </w:pPr>
    </w:p>
    <w:p w14:paraId="2167B9CD" w14:textId="77777777" w:rsidR="007004AC" w:rsidRPr="009D1B9D" w:rsidRDefault="007004AC" w:rsidP="007004AC">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La segunda regla, trata de aquellos casos en que la Entidad Estatal declare la caducidad del contrato y se encuentre pendiente de ejecución un porcentaje igual o superior al cincuenta por ciento (50%) del mismo, la norma indica que la Entidad Estatal podrá contratar al proponente calificado en el segundo lugar en el proceso de selección respectivo, previa revisión de las condiciones a que haya lugar, con excepción de los contratos de concesión.</w:t>
      </w:r>
    </w:p>
    <w:p w14:paraId="234FB315" w14:textId="77777777" w:rsidR="007004AC" w:rsidRPr="009D1B9D" w:rsidRDefault="007004AC" w:rsidP="007004AC">
      <w:pPr>
        <w:spacing w:after="0" w:line="240" w:lineRule="auto"/>
        <w:jc w:val="both"/>
        <w:rPr>
          <w:rFonts w:ascii="Verdana" w:eastAsia="Verdana" w:hAnsi="Verdana" w:cs="Verdana"/>
          <w:sz w:val="20"/>
          <w:szCs w:val="20"/>
        </w:rPr>
      </w:pPr>
    </w:p>
    <w:p w14:paraId="4395FCA7" w14:textId="77777777" w:rsidR="007004AC" w:rsidRPr="009D1B9D" w:rsidRDefault="007004AC" w:rsidP="007004AC">
      <w:pPr>
        <w:spacing w:after="0" w:line="240" w:lineRule="auto"/>
        <w:jc w:val="both"/>
        <w:rPr>
          <w:rFonts w:ascii="Verdana" w:eastAsia="Verdana" w:hAnsi="Verdana" w:cs="Verdana"/>
          <w:sz w:val="20"/>
          <w:szCs w:val="20"/>
        </w:rPr>
      </w:pPr>
      <w:proofErr w:type="gramStart"/>
      <w:r w:rsidRPr="009D1B9D">
        <w:rPr>
          <w:rFonts w:ascii="Verdana" w:eastAsia="Verdana" w:hAnsi="Verdana" w:cs="Verdana"/>
          <w:sz w:val="20"/>
          <w:szCs w:val="20"/>
        </w:rPr>
        <w:t xml:space="preserve">En relación </w:t>
      </w:r>
      <w:r w:rsidRPr="009D1B9D">
        <w:rPr>
          <w:rFonts w:ascii="Verdana" w:eastAsia="Verdana" w:hAnsi="Verdana" w:cs="Verdana"/>
          <w:i/>
          <w:iCs/>
          <w:sz w:val="20"/>
          <w:szCs w:val="20"/>
        </w:rPr>
        <w:t>al</w:t>
      </w:r>
      <w:proofErr w:type="gramEnd"/>
      <w:r w:rsidRPr="009D1B9D">
        <w:rPr>
          <w:rFonts w:ascii="Verdana" w:eastAsia="Verdana" w:hAnsi="Verdana" w:cs="Verdana"/>
          <w:i/>
          <w:iCs/>
          <w:sz w:val="20"/>
          <w:szCs w:val="20"/>
        </w:rPr>
        <w:t xml:space="preserve"> contratista</w:t>
      </w:r>
      <w:r w:rsidRPr="009D1B9D">
        <w:rPr>
          <w:rFonts w:ascii="Verdana" w:eastAsia="Verdana" w:hAnsi="Verdana" w:cs="Verdana"/>
          <w:sz w:val="20"/>
          <w:szCs w:val="2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9D1B9D">
        <w:rPr>
          <w:rFonts w:ascii="Verdana" w:eastAsia="Verdana" w:hAnsi="Verdana" w:cs="Verdana"/>
          <w:i/>
          <w:iCs/>
          <w:sz w:val="20"/>
          <w:szCs w:val="20"/>
        </w:rPr>
        <w:t>ibidem</w:t>
      </w:r>
      <w:r w:rsidRPr="009D1B9D">
        <w:rPr>
          <w:rFonts w:ascii="Verdana" w:eastAsia="Verdana" w:hAnsi="Verdana" w:cs="Verdana"/>
          <w:sz w:val="20"/>
          <w:szCs w:val="20"/>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w:t>
      </w:r>
    </w:p>
    <w:p w14:paraId="6C0A6C34" w14:textId="77777777" w:rsidR="007004AC" w:rsidRPr="009D1B9D" w:rsidRDefault="007004AC" w:rsidP="007004AC">
      <w:pPr>
        <w:spacing w:after="0" w:line="240" w:lineRule="auto"/>
        <w:jc w:val="both"/>
        <w:rPr>
          <w:rFonts w:ascii="Verdana" w:eastAsia="Verdana" w:hAnsi="Verdana" w:cs="Verdana"/>
          <w:sz w:val="20"/>
          <w:szCs w:val="20"/>
        </w:rPr>
      </w:pPr>
    </w:p>
    <w:p w14:paraId="66E6096A" w14:textId="77777777" w:rsidR="007004AC" w:rsidRPr="009D1B9D" w:rsidRDefault="007004AC" w:rsidP="007004AC">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Ahora bien, el régimen descrito corresponde a la regla general aplicable a las inhabilidades e incompatibilidades sobrevinientes. El legislador estableció, sin embargo, un tratamiento especial para la inhabilidad prevista en el literal j) del numeral 1 del </w:t>
      </w:r>
      <w:r w:rsidRPr="009D1B9D">
        <w:rPr>
          <w:rFonts w:ascii="Verdana" w:eastAsia="Verdana" w:hAnsi="Verdana" w:cs="Verdana"/>
          <w:sz w:val="20"/>
          <w:szCs w:val="20"/>
        </w:rPr>
        <w:lastRenderedPageBreak/>
        <w:t xml:space="preserve">artículo 8 de la Ley 80 de 1993, mediante el parágrafo 1º del artículo 9 </w:t>
      </w:r>
      <w:proofErr w:type="spellStart"/>
      <w:r w:rsidRPr="009D1B9D">
        <w:rPr>
          <w:rFonts w:ascii="Verdana" w:eastAsia="Verdana" w:hAnsi="Verdana" w:cs="Verdana"/>
          <w:i/>
          <w:iCs/>
          <w:sz w:val="20"/>
          <w:szCs w:val="20"/>
        </w:rPr>
        <w:t>Ibídem</w:t>
      </w:r>
      <w:proofErr w:type="spellEnd"/>
      <w:r w:rsidRPr="009D1B9D">
        <w:rPr>
          <w:rFonts w:ascii="Verdana" w:eastAsia="Verdana" w:hAnsi="Verdana" w:cs="Verdana"/>
          <w:sz w:val="20"/>
          <w:szCs w:val="20"/>
        </w:rPr>
        <w:t>, adicionado por el artículo 6 de la Ley 2014 de 2019, en el marco del fortalecimiento de las medidas de lucha contra la corrupción en la contratación estatal. En dicho supuesto, el ordenamiento excluyó la aplicación de los mecanismos ordinarios de conservación del vínculo contractual, previendo consecuencias más severas frente al contratista o al integrante del esquema asociativo incurso en la causal. Como la consulta delimitó expresamente su objeto a las inhabilidades sobrevinientes distintas de la contemplada en el referido literal j), las consideraciones del presente concepto se circunscriben al régimen general, sin que resulten extensibles a los eventos comprendidos en el régimen especial mencionado. Esta delimitación es, además, consistente con el carácter taxativo y de interpretación restrictiva del régimen de inhabilidades, pues impide trasladar a la regla general las consecuencias agravadas que el legislador reservó para un supuesto específico.</w:t>
      </w:r>
    </w:p>
    <w:p w14:paraId="78668440" w14:textId="76471DDA" w:rsidR="00DA507B" w:rsidRDefault="00DA507B" w:rsidP="007004AC">
      <w:pPr>
        <w:spacing w:before="240"/>
        <w:jc w:val="both"/>
        <w:rPr>
          <w:rFonts w:ascii="Verdana" w:hAnsi="Verdana"/>
          <w:b/>
          <w:bCs/>
        </w:rPr>
      </w:pPr>
      <w:r w:rsidRPr="00CE01BA">
        <w:rPr>
          <w:rFonts w:ascii="Verdana" w:hAnsi="Verdana"/>
          <w:b/>
          <w:bCs/>
        </w:rPr>
        <w:t>INHABILIDAD SOBREVINIENTE – Consorcio – Unión temporal – Integrante – Deber de información – Debido proceso</w:t>
      </w:r>
    </w:p>
    <w:p w14:paraId="6996B0B2" w14:textId="77777777" w:rsidR="00095BAF" w:rsidRPr="009D1B9D" w:rsidRDefault="00095BAF" w:rsidP="00095BAF">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No obstante, es importante precisar que la configuración de una inhabilidad o incompatibilidad sobreviniente no produce automáticamente los efectos previstos en el ordenamiento jurídico, sino que exige el respeto del derecho fundamental al debido proceso. Sobre el particular, la Sala de Consulta y Servicio Civil del Consejo de Estado precisó que, por tratarse de una restricción a la capacidad para contratar con el Estado, "es necesario garantizar y acatar el principio del debido proceso (art. 29 C.P.) y, en particular, los derechos de defensa y contradicción del eventual afectado, para que la entidad estatal declare la existencia de la causal correspondiente y se pueda aplicar la inhabilidad". De esta manera, la autoridad contratante no puede partir de la simple existencia de un hecho que, en principio, configure una inhabilidad o incompatibilidad, sino que debe verificar su ocurrencia mediante una actuación administrativa que permita al contratista ejercer plenamente sus derechos de defensa y contradicción.</w:t>
      </w:r>
    </w:p>
    <w:p w14:paraId="55057B4C" w14:textId="77777777" w:rsidR="00095BAF" w:rsidRPr="009D1B9D" w:rsidRDefault="00095BAF" w:rsidP="00095BAF">
      <w:pPr>
        <w:spacing w:after="0" w:line="240" w:lineRule="auto"/>
        <w:jc w:val="both"/>
        <w:rPr>
          <w:rFonts w:ascii="Verdana" w:eastAsia="Verdana" w:hAnsi="Verdana" w:cs="Verdana"/>
          <w:sz w:val="20"/>
          <w:szCs w:val="20"/>
        </w:rPr>
      </w:pPr>
    </w:p>
    <w:p w14:paraId="4E57FC42" w14:textId="77777777" w:rsidR="00095BAF" w:rsidRPr="009D1B9D" w:rsidRDefault="00095BAF" w:rsidP="00095BAF">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En el mismo sentido, el Consejo de Estado explicó que la decisión mediante la cual se determina la existencia de la causal constituye una manifestación del ejercicio de la función administrativa y, por ello, debe adoptarse mediante un acto debidamente motivado, precedido de una actuación en la que el afectado tenga la oportunidad de pronunciarse, aportar pruebas y controvertir los hechos que sirven de fundamento a la decisión. Por tanto, una vez la entidad tenga conocimiento de la posible configuración de una inhabilidad o incompatibilidad sobreviniente, deberá adelantar la actuación administrativa correspondiente para establecer la efectiva configuración de la causal y garantizar el ejercicio de los derechos de defensa y contradicción del contratista. Solo una vez concluida dicha actuación y determinada la existencia de la inhabilidad, procederá requerir al integrante afectado para que cumpla el deber previsto en el artículo 9 de la Ley 80 de 1993, consistente en ceder su participación a un tercero, previa autorización escrita de la entidad contratante.</w:t>
      </w:r>
    </w:p>
    <w:p w14:paraId="7B4C08A7" w14:textId="77777777" w:rsidR="00095BAF" w:rsidRDefault="00DA507B" w:rsidP="00095BAF">
      <w:pPr>
        <w:spacing w:before="240"/>
        <w:jc w:val="both"/>
        <w:rPr>
          <w:rFonts w:ascii="Verdana" w:hAnsi="Verdana"/>
          <w:b/>
          <w:bCs/>
        </w:rPr>
      </w:pPr>
      <w:r w:rsidRPr="00CE01BA">
        <w:rPr>
          <w:rFonts w:ascii="Verdana" w:hAnsi="Verdana"/>
          <w:b/>
          <w:bCs/>
        </w:rPr>
        <w:t>CESIÓN – Participación – Tercero – Autorización previa – Requisitos del cesionario – Imposibilidad material</w:t>
      </w:r>
    </w:p>
    <w:p w14:paraId="42615C41" w14:textId="77777777" w:rsidR="006416B7" w:rsidRDefault="006416B7" w:rsidP="006416B7">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lastRenderedPageBreak/>
        <w:t xml:space="preserve">En este escenario, en el que la inhabilidad o incompatibilidad sobreviene en uno de los miembros de un consorcio o unión temporal, este deberá ceder su participación a un tercero previa autorización escrita de la entidad contratante, lo cual implica que la continuidad del contrato solo puede asegurarse mediante una cesión externa, autorizada de manera previa, expresa y formal por la entidad, conforme a las exigencias del inciso tercero del artículo 41 de la Ley 80 de 1993. Así mismo, la expresión según la cual “en ningún caso podrá haber cesión del contrato entre quienes integran el consorcio o unión temporal” significa que los miembros de estas figuras asociativas no pueden transferirse entre sí la participación contractual ni redistribuir internamente las obligaciones, porcentajes o derechos derivados del contrato estatal.  </w:t>
      </w:r>
    </w:p>
    <w:p w14:paraId="2C1D016E" w14:textId="77777777" w:rsidR="006416B7" w:rsidRPr="00477480" w:rsidRDefault="006416B7" w:rsidP="006416B7">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    </w:t>
      </w:r>
    </w:p>
    <w:p w14:paraId="6FCCAE4D" w14:textId="77777777" w:rsidR="006416B7" w:rsidRDefault="006416B7" w:rsidP="006416B7">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En efecto, la jurisprudencia constitucional ha precisado el alcance del artículo 9 de la Ley 80 de 1993 y el régimen aplicable a las inhabilidades e incompatibilidades sobrevinientes. En la Sentencia C-221 de 1996, la Corte Constitucional explicó que, dado que estas circunstancias no siempre se presentan antes de la celebración del contrato, el legislador debía establecer reglas claras para los eventos en que surgieran en la etapa de ejecución contractual. Bajo ese entendimiento, declaró ajustada a la Constitución la obligación del contratista afectado por una inhabilidad sobreviniente de ceder el contrato, previa autorización de la entidad estatal, o renunciar a su ejecución cuando ello no fuere posible, así como la obligación especial para el integrante de un consorcio o unión temporal de ceder su participación a un tercero cuando la causal recaiga exclusivamente sobre uno de sus miembros - evento en el cual no es posible la renuncia-. La Corte resaltó que estas medidas no tienen naturaleza sancionatoria, ni dependen de la culpabilidad o de la voluntad del contratista, sino que constituyen reglas objetivas encaminadas a impedir que quien se encuentra incurso en una causal de inhabilidad o incompatibilidad continúe vinculado con el Estado, preservando la moralidad, la transparencia y la integridad de la contratación pública</w:t>
      </w:r>
      <w:r>
        <w:rPr>
          <w:rFonts w:ascii="Verdana" w:eastAsia="Verdana" w:hAnsi="Verdana" w:cs="Verdana"/>
          <w:sz w:val="20"/>
          <w:szCs w:val="20"/>
        </w:rPr>
        <w:t>.</w:t>
      </w:r>
    </w:p>
    <w:p w14:paraId="590F7DFE" w14:textId="77777777" w:rsidR="006416B7" w:rsidRDefault="006416B7" w:rsidP="00095BAF">
      <w:pPr>
        <w:spacing w:before="240"/>
        <w:jc w:val="both"/>
        <w:rPr>
          <w:rFonts w:ascii="Verdana" w:hAnsi="Verdana"/>
          <w:b/>
          <w:bCs/>
        </w:rPr>
      </w:pPr>
    </w:p>
    <w:p w14:paraId="3C21643D" w14:textId="652FF161" w:rsidR="00DA507B" w:rsidRDefault="00DA507B" w:rsidP="00095BAF">
      <w:pPr>
        <w:spacing w:before="240"/>
        <w:jc w:val="both"/>
        <w:rPr>
          <w:rFonts w:ascii="Verdana" w:eastAsia="Verdana" w:hAnsi="Verdana" w:cs="Verdana"/>
        </w:rPr>
      </w:pPr>
      <w:r>
        <w:rPr>
          <w:rFonts w:ascii="Verdana" w:eastAsia="Verdana" w:hAnsi="Verdana" w:cs="Verdana"/>
        </w:rPr>
        <w:br w:type="page"/>
      </w:r>
    </w:p>
    <w:p w14:paraId="755144D3" w14:textId="2A724B3F" w:rsidR="00F242CC" w:rsidRPr="00D07146" w:rsidRDefault="00CD1834" w:rsidP="00584DA6">
      <w:pPr>
        <w:spacing w:after="0" w:line="240" w:lineRule="auto"/>
        <w:rPr>
          <w:rFonts w:ascii="Verdana" w:eastAsia="Verdana" w:hAnsi="Verdana" w:cs="Verdana"/>
        </w:rPr>
      </w:pPr>
      <w:r w:rsidRPr="00CD1834">
        <w:rPr>
          <w:rFonts w:ascii="Verdana" w:hAnsi="Verdana"/>
          <w:lang w:eastAsia="es-ES"/>
        </w:rPr>
        <w:lastRenderedPageBreak/>
        <w:drawing>
          <wp:anchor distT="0" distB="0" distL="114300" distR="114300" simplePos="0" relativeHeight="251658240" behindDoc="1" locked="0" layoutInCell="1" allowOverlap="1" wp14:anchorId="679BD159" wp14:editId="213510D8">
            <wp:simplePos x="0" y="0"/>
            <wp:positionH relativeFrom="margin">
              <wp:align>right</wp:align>
            </wp:positionH>
            <wp:positionV relativeFrom="paragraph">
              <wp:posOffset>8854</wp:posOffset>
            </wp:positionV>
            <wp:extent cx="2878348" cy="764561"/>
            <wp:effectExtent l="0" t="0" r="0" b="0"/>
            <wp:wrapNone/>
            <wp:docPr id="536902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02802" name=""/>
                    <pic:cNvPicPr/>
                  </pic:nvPicPr>
                  <pic:blipFill>
                    <a:blip r:embed="rId10">
                      <a:extLst>
                        <a:ext uri="{28A0092B-C50C-407E-A947-70E740481C1C}">
                          <a14:useLocalDpi xmlns:a14="http://schemas.microsoft.com/office/drawing/2010/main" val="0"/>
                        </a:ext>
                      </a:extLst>
                    </a:blip>
                    <a:stretch>
                      <a:fillRect/>
                    </a:stretch>
                  </pic:blipFill>
                  <pic:spPr>
                    <a:xfrm>
                      <a:off x="0" y="0"/>
                      <a:ext cx="2878348" cy="764561"/>
                    </a:xfrm>
                    <a:prstGeom prst="rect">
                      <a:avLst/>
                    </a:prstGeom>
                  </pic:spPr>
                </pic:pic>
              </a:graphicData>
            </a:graphic>
            <wp14:sizeRelH relativeFrom="margin">
              <wp14:pctWidth>0</wp14:pctWidth>
            </wp14:sizeRelH>
            <wp14:sizeRelV relativeFrom="margin">
              <wp14:pctHeight>0</wp14:pctHeight>
            </wp14:sizeRelV>
          </wp:anchor>
        </w:drawing>
      </w:r>
      <w:r w:rsidR="00C15139" w:rsidRPr="00D07146">
        <w:rPr>
          <w:rFonts w:ascii="Verdana" w:eastAsia="Verdana" w:hAnsi="Verdana" w:cs="Verdana"/>
        </w:rPr>
        <w:t>Bogotá D.C.,</w:t>
      </w:r>
      <w:r>
        <w:rPr>
          <w:rFonts w:ascii="Verdana" w:eastAsia="Verdana" w:hAnsi="Verdana" w:cs="Verdana"/>
        </w:rPr>
        <w:t xml:space="preserve"> </w:t>
      </w:r>
      <w:r w:rsidR="00DB2890">
        <w:rPr>
          <w:rFonts w:ascii="Verdana" w:eastAsia="Verdana" w:hAnsi="Verdana" w:cs="Verdana"/>
        </w:rPr>
        <w:t>11 Agosto 2026</w:t>
      </w:r>
      <w:r w:rsidR="00C15139" w:rsidRPr="00584DA6">
        <w:rPr>
          <w:rFonts w:ascii="Verdana" w:hAnsi="Verdana"/>
        </w:rPr>
        <w:tab/>
      </w:r>
      <w:r w:rsidR="00F242CC" w:rsidRPr="00584DA6">
        <w:rPr>
          <w:rFonts w:ascii="Verdana" w:hAnsi="Verdana"/>
        </w:rPr>
        <w:tab/>
      </w:r>
      <w:r w:rsidR="00F242CC" w:rsidRPr="00584DA6">
        <w:rPr>
          <w:rFonts w:ascii="Verdana" w:hAnsi="Verdana"/>
        </w:rPr>
        <w:br/>
      </w:r>
      <w:r w:rsidR="00F242CC" w:rsidRPr="00584DA6">
        <w:rPr>
          <w:rFonts w:ascii="Verdana" w:hAnsi="Verdana"/>
        </w:rPr>
        <w:tab/>
      </w:r>
    </w:p>
    <w:p w14:paraId="49CA4046" w14:textId="22911D9A" w:rsidR="00F242CC" w:rsidRPr="00D07146" w:rsidRDefault="00F242CC" w:rsidP="00D07146">
      <w:pPr>
        <w:pStyle w:val="Sinespaciado"/>
        <w:jc w:val="both"/>
        <w:rPr>
          <w:rFonts w:ascii="Verdana" w:hAnsi="Verdana"/>
          <w:lang w:eastAsia="es-ES"/>
        </w:rPr>
      </w:pPr>
      <w:bookmarkStart w:id="1" w:name="_Hlk186494164"/>
      <w:r w:rsidRPr="00D07146">
        <w:rPr>
          <w:rFonts w:ascii="Verdana" w:hAnsi="Verdana"/>
          <w:lang w:eastAsia="es-ES"/>
        </w:rPr>
        <w:t>Señores</w:t>
      </w:r>
    </w:p>
    <w:p w14:paraId="0BC329A1" w14:textId="77777777" w:rsidR="00D51D26" w:rsidRPr="00D07146" w:rsidRDefault="00D51D26" w:rsidP="00D07146">
      <w:pPr>
        <w:pStyle w:val="Sinespaciado"/>
        <w:rPr>
          <w:rFonts w:ascii="Verdana" w:hAnsi="Verdana" w:cs="Times New Roman"/>
          <w:b/>
          <w:bCs/>
        </w:rPr>
      </w:pPr>
      <w:r w:rsidRPr="00D07146">
        <w:rPr>
          <w:rFonts w:ascii="Verdana" w:hAnsi="Verdana" w:cs="Times New Roman"/>
          <w:b/>
          <w:bCs/>
        </w:rPr>
        <w:t xml:space="preserve">Johana </w:t>
      </w:r>
      <w:proofErr w:type="spellStart"/>
      <w:r w:rsidRPr="00D07146">
        <w:rPr>
          <w:rFonts w:ascii="Verdana" w:hAnsi="Verdana" w:cs="Times New Roman"/>
          <w:b/>
          <w:bCs/>
        </w:rPr>
        <w:t>Katerine</w:t>
      </w:r>
      <w:proofErr w:type="spellEnd"/>
      <w:r w:rsidRPr="00D07146">
        <w:rPr>
          <w:rFonts w:ascii="Verdana" w:hAnsi="Verdana" w:cs="Times New Roman"/>
          <w:b/>
          <w:bCs/>
        </w:rPr>
        <w:t xml:space="preserve"> Tovar Cedeño</w:t>
      </w:r>
    </w:p>
    <w:p w14:paraId="1CA1C22B" w14:textId="46B87539" w:rsidR="002D7591" w:rsidRPr="00D07146" w:rsidRDefault="002D7591" w:rsidP="00D07146">
      <w:pPr>
        <w:pStyle w:val="Sinespaciado"/>
        <w:jc w:val="both"/>
        <w:rPr>
          <w:rFonts w:ascii="Verdana" w:hAnsi="Verdana" w:cs="Times New Roman"/>
        </w:rPr>
      </w:pPr>
      <w:hyperlink r:id="rId11" w:history="1">
        <w:r w:rsidRPr="00D07146">
          <w:rPr>
            <w:rStyle w:val="Hipervnculo"/>
            <w:rFonts w:ascii="Verdana" w:hAnsi="Verdana" w:cs="Times New Roman"/>
          </w:rPr>
          <w:t>juridica@cumare.gov.co</w:t>
        </w:r>
      </w:hyperlink>
    </w:p>
    <w:p w14:paraId="2BD2388E" w14:textId="2479DF68" w:rsidR="00F15CD1" w:rsidRDefault="00F242CC" w:rsidP="006B5BC9">
      <w:pPr>
        <w:pStyle w:val="Sinespaciado"/>
        <w:jc w:val="both"/>
        <w:rPr>
          <w:rFonts w:ascii="Verdana" w:hAnsi="Verdana" w:cs="Times New Roman"/>
          <w:b/>
          <w:bCs/>
        </w:rPr>
      </w:pPr>
      <w:r w:rsidRPr="00D07146">
        <w:rPr>
          <w:rFonts w:ascii="Verdana" w:hAnsi="Verdana" w:cs="Times New Roman"/>
        </w:rPr>
        <w:t>Ciudad</w:t>
      </w:r>
    </w:p>
    <w:p w14:paraId="6A64C10D" w14:textId="77777777" w:rsidR="00F15CD1" w:rsidRPr="00D07146" w:rsidRDefault="00F15CD1" w:rsidP="006B5BC9">
      <w:pPr>
        <w:pStyle w:val="Sinespaciado"/>
        <w:jc w:val="both"/>
        <w:rPr>
          <w:rFonts w:ascii="Verdana" w:hAnsi="Verdana" w:cs="Times New Roman"/>
        </w:rPr>
      </w:pPr>
    </w:p>
    <w:p w14:paraId="2E397CED" w14:textId="77777777" w:rsidR="00F242CC" w:rsidRPr="00D07146" w:rsidRDefault="00F242CC">
      <w:pPr>
        <w:pStyle w:val="Sinespaciado"/>
        <w:jc w:val="both"/>
        <w:rPr>
          <w:rFonts w:ascii="Verdana" w:hAnsi="Verdana" w:cs="Times New Roman"/>
          <w:b/>
          <w:bCs/>
        </w:rPr>
      </w:pPr>
    </w:p>
    <w:p w14:paraId="6E7A581A" w14:textId="0CA8C6E3" w:rsidR="00F242CC" w:rsidRDefault="00F242CC">
      <w:pPr>
        <w:spacing w:after="0" w:line="240" w:lineRule="auto"/>
        <w:jc w:val="both"/>
        <w:rPr>
          <w:rFonts w:ascii="Verdana" w:eastAsia="Calibri" w:hAnsi="Verdana" w:cs="Arial"/>
          <w:b/>
          <w:bCs/>
          <w:lang w:eastAsia="es-ES"/>
        </w:rPr>
      </w:pPr>
      <w:r w:rsidRPr="00D07146">
        <w:rPr>
          <w:rFonts w:ascii="Verdana" w:eastAsia="Calibri" w:hAnsi="Verdana" w:cs="Arial"/>
          <w:b/>
          <w:bCs/>
          <w:lang w:eastAsia="es-ES"/>
        </w:rPr>
        <w:t xml:space="preserve">                                    Concepto C-103</w:t>
      </w:r>
      <w:r w:rsidR="00D51D26" w:rsidRPr="00D07146">
        <w:rPr>
          <w:rFonts w:ascii="Verdana" w:eastAsia="Calibri" w:hAnsi="Verdana" w:cs="Arial"/>
          <w:b/>
          <w:bCs/>
          <w:lang w:eastAsia="es-ES"/>
        </w:rPr>
        <w:t>2</w:t>
      </w:r>
      <w:r w:rsidRPr="00D07146">
        <w:rPr>
          <w:rFonts w:ascii="Verdana" w:eastAsia="Calibri" w:hAnsi="Verdana" w:cs="Arial"/>
          <w:b/>
          <w:bCs/>
          <w:lang w:eastAsia="es-ES"/>
        </w:rPr>
        <w:t xml:space="preserve"> de 2026</w:t>
      </w:r>
    </w:p>
    <w:p w14:paraId="2B251BB7" w14:textId="77777777" w:rsidR="0005330A" w:rsidRPr="00D07146" w:rsidRDefault="0005330A" w:rsidP="00584DA6">
      <w:pPr>
        <w:spacing w:after="0" w:line="240" w:lineRule="auto"/>
        <w:jc w:val="both"/>
        <w:rPr>
          <w:rFonts w:ascii="Verdana" w:eastAsia="Calibri" w:hAnsi="Verdana" w:cs="Arial"/>
          <w:b/>
          <w:bCs/>
          <w:lang w:eastAsia="es-ES"/>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242CC" w:rsidRPr="00D07146" w14:paraId="1F5C21D1" w14:textId="77777777" w:rsidTr="00B6747F">
        <w:trPr>
          <w:trHeight w:val="884"/>
        </w:trPr>
        <w:tc>
          <w:tcPr>
            <w:tcW w:w="2689" w:type="dxa"/>
          </w:tcPr>
          <w:p w14:paraId="6692CCA3" w14:textId="77777777" w:rsidR="00F242CC" w:rsidRPr="00232E2D" w:rsidRDefault="00F242CC" w:rsidP="00584DA6">
            <w:pPr>
              <w:jc w:val="both"/>
              <w:rPr>
                <w:rFonts w:ascii="Verdana" w:eastAsia="Calibri" w:hAnsi="Verdana" w:cs="Arial"/>
                <w:color w:val="000000"/>
                <w:lang w:eastAsia="es-ES_tradnl"/>
              </w:rPr>
            </w:pPr>
            <w:r w:rsidRPr="006B5BC9">
              <w:rPr>
                <w:rFonts w:ascii="Verdana" w:eastAsia="Calibri" w:hAnsi="Verdana" w:cs="Arial"/>
                <w:b/>
                <w:color w:val="000000"/>
                <w:lang w:eastAsia="es-ES_tradnl"/>
              </w:rPr>
              <w:t>Temas:</w:t>
            </w:r>
            <w:r w:rsidRPr="00232E2D">
              <w:rPr>
                <w:rFonts w:ascii="Verdana" w:eastAsia="Calibri" w:hAnsi="Verdana" w:cs="Arial"/>
                <w:color w:val="000000"/>
                <w:lang w:eastAsia="es-ES_tradnl"/>
              </w:rPr>
              <w:t xml:space="preserve">                   </w:t>
            </w:r>
          </w:p>
        </w:tc>
        <w:tc>
          <w:tcPr>
            <w:tcW w:w="6100" w:type="dxa"/>
          </w:tcPr>
          <w:p w14:paraId="019218C7" w14:textId="77777777" w:rsidR="00F242CC" w:rsidRDefault="00907C29" w:rsidP="00D07146">
            <w:pPr>
              <w:jc w:val="both"/>
              <w:rPr>
                <w:rFonts w:ascii="Verdana" w:hAnsi="Verdana"/>
              </w:rPr>
            </w:pPr>
            <w:r w:rsidRPr="00D07146">
              <w:rPr>
                <w:rFonts w:ascii="Verdana" w:hAnsi="Verdana"/>
              </w:rPr>
              <w:t xml:space="preserve">INHABILIDADES E INCOMPATIBILIDADES – Definición – Fundamento – Clases / INHABILIDADES E INCOMPATIBILIDADES – Finalidad – Limitación capacidad contractual / INHABILIDADES E INCOMPATIBILIDADES – Taxatividad – Principio de legalidad – Interpretación restrictiva / INHABILIDAD SOBREVINIENTE – Artículo 9 de la Ley 80 de 1993 – Alcance – Régimen general – Régimen especial Ley 2014 de 2019 / INHABILIDAD SOBREVINIENTE – Consorcio – Unión temporal – Integrante – Deber de información – Debido proceso / CESIÓN – Participación – Tercero – Autorización previa – Requisitos del cesionario – Imposibilidad material </w:t>
            </w:r>
          </w:p>
          <w:p w14:paraId="21323D08" w14:textId="2CD8506C" w:rsidR="00D07146" w:rsidRPr="00D07146" w:rsidRDefault="00D07146" w:rsidP="00584DA6">
            <w:pPr>
              <w:jc w:val="both"/>
              <w:rPr>
                <w:rFonts w:ascii="Verdana" w:eastAsia="Calibri" w:hAnsi="Verdana" w:cs="Arial"/>
                <w:lang w:eastAsia="es-ES"/>
              </w:rPr>
            </w:pPr>
          </w:p>
        </w:tc>
      </w:tr>
      <w:tr w:rsidR="00F242CC" w:rsidRPr="00D07146" w14:paraId="50192A65" w14:textId="77777777" w:rsidTr="00B6747F">
        <w:tc>
          <w:tcPr>
            <w:tcW w:w="2689" w:type="dxa"/>
          </w:tcPr>
          <w:p w14:paraId="2C8A1476" w14:textId="77777777" w:rsidR="00F242CC" w:rsidRPr="00D07146" w:rsidRDefault="00F242CC" w:rsidP="00584DA6">
            <w:pPr>
              <w:jc w:val="both"/>
              <w:rPr>
                <w:rFonts w:ascii="Verdana" w:eastAsia="Calibri" w:hAnsi="Verdana" w:cs="Arial"/>
                <w:b/>
                <w:lang w:eastAsia="es-ES_tradnl"/>
              </w:rPr>
            </w:pPr>
            <w:r w:rsidRPr="00D07146">
              <w:rPr>
                <w:rFonts w:ascii="Verdana" w:eastAsia="Calibri" w:hAnsi="Verdana" w:cs="Arial"/>
                <w:b/>
                <w:lang w:eastAsia="es-ES_tradnl"/>
              </w:rPr>
              <w:t>Radicación:</w:t>
            </w:r>
            <w:r w:rsidRPr="00D07146">
              <w:rPr>
                <w:rFonts w:ascii="Verdana" w:eastAsia="Calibri" w:hAnsi="Verdana" w:cs="Arial"/>
                <w:lang w:eastAsia="es-ES_tradnl"/>
              </w:rPr>
              <w:t xml:space="preserve">               </w:t>
            </w:r>
          </w:p>
        </w:tc>
        <w:tc>
          <w:tcPr>
            <w:tcW w:w="6100" w:type="dxa"/>
          </w:tcPr>
          <w:p w14:paraId="483FBBEC" w14:textId="2243B2CA" w:rsidR="00F242CC" w:rsidRPr="00232E2D" w:rsidRDefault="00F242CC" w:rsidP="00584DA6">
            <w:pPr>
              <w:jc w:val="both"/>
              <w:rPr>
                <w:rFonts w:ascii="Verdana" w:eastAsia="Calibri" w:hAnsi="Verdana" w:cs="Arial"/>
                <w:lang w:eastAsia="es-ES_tradnl"/>
              </w:rPr>
            </w:pPr>
            <w:r w:rsidRPr="00D07146">
              <w:rPr>
                <w:rFonts w:ascii="Verdana" w:eastAsia="Calibri" w:hAnsi="Verdana" w:cs="Arial"/>
                <w:lang w:eastAsia="es-ES_tradnl"/>
              </w:rPr>
              <w:t xml:space="preserve">Respuesta a consultas con radicado No. </w:t>
            </w:r>
            <w:r w:rsidR="00D51D26" w:rsidRPr="006B5BC9">
              <w:rPr>
                <w:rFonts w:ascii="Verdana" w:eastAsia="Calibri" w:hAnsi="Verdana" w:cs="Arial"/>
                <w:lang w:eastAsia="es-ES_tradnl"/>
              </w:rPr>
              <w:t>1_2026_06_26_008622</w:t>
            </w:r>
          </w:p>
        </w:tc>
      </w:tr>
    </w:tbl>
    <w:p w14:paraId="707C407A" w14:textId="77777777" w:rsidR="00F242CC" w:rsidRPr="00D07146" w:rsidRDefault="00F242CC" w:rsidP="00232E2D">
      <w:pPr>
        <w:spacing w:after="0" w:line="276" w:lineRule="auto"/>
        <w:jc w:val="both"/>
        <w:rPr>
          <w:rFonts w:ascii="Verdana" w:eastAsia="Calibri" w:hAnsi="Verdana" w:cs="Arial"/>
          <w:color w:val="000000"/>
          <w:lang w:eastAsia="es-ES_tradnl"/>
        </w:rPr>
      </w:pPr>
    </w:p>
    <w:p w14:paraId="69C275B7" w14:textId="34928CF4" w:rsidR="00F242CC" w:rsidRPr="00A77871" w:rsidRDefault="00F242CC" w:rsidP="00584DA6">
      <w:pPr>
        <w:spacing w:after="0" w:line="276" w:lineRule="auto"/>
        <w:jc w:val="both"/>
        <w:rPr>
          <w:rFonts w:ascii="Verdana" w:eastAsia="Calibri" w:hAnsi="Verdana" w:cs="Arial"/>
          <w:color w:val="000000"/>
          <w:lang w:eastAsia="es-ES"/>
        </w:rPr>
      </w:pPr>
      <w:r w:rsidRPr="00A77871">
        <w:rPr>
          <w:rFonts w:ascii="Verdana" w:eastAsia="Calibri" w:hAnsi="Verdana" w:cs="Arial"/>
          <w:lang w:eastAsia="es-ES"/>
        </w:rPr>
        <w:t>Estimad</w:t>
      </w:r>
      <w:r w:rsidR="002D7591">
        <w:rPr>
          <w:rFonts w:ascii="Verdana" w:eastAsia="Calibri" w:hAnsi="Verdana" w:cs="Arial"/>
          <w:lang w:eastAsia="es-ES"/>
        </w:rPr>
        <w:t>a</w:t>
      </w:r>
      <w:r w:rsidRPr="00A77871">
        <w:rPr>
          <w:rFonts w:ascii="Verdana" w:eastAsia="Calibri" w:hAnsi="Verdana" w:cs="Arial"/>
          <w:lang w:eastAsia="es-ES"/>
        </w:rPr>
        <w:t xml:space="preserve"> </w:t>
      </w:r>
      <w:r>
        <w:rPr>
          <w:rFonts w:ascii="Verdana" w:eastAsia="Calibri" w:hAnsi="Verdana" w:cs="Arial"/>
          <w:lang w:eastAsia="es-ES"/>
        </w:rPr>
        <w:t>señor</w:t>
      </w:r>
      <w:r w:rsidR="002D7591">
        <w:rPr>
          <w:rFonts w:ascii="Verdana" w:eastAsia="Calibri" w:hAnsi="Verdana" w:cs="Arial"/>
          <w:lang w:eastAsia="es-ES"/>
        </w:rPr>
        <w:t>a Tovar,</w:t>
      </w:r>
      <w:r w:rsidRPr="00A77871">
        <w:rPr>
          <w:rFonts w:ascii="Verdana" w:eastAsia="Calibri" w:hAnsi="Verdana" w:cs="Arial"/>
          <w:lang w:eastAsia="es-ES"/>
        </w:rPr>
        <w:t xml:space="preserve"> cordial saludo</w:t>
      </w:r>
      <w:r>
        <w:rPr>
          <w:rFonts w:ascii="Verdana" w:eastAsia="Calibri" w:hAnsi="Verdana" w:cs="Arial"/>
          <w:lang w:eastAsia="es-ES"/>
        </w:rPr>
        <w:t>:</w:t>
      </w:r>
      <w:r w:rsidRPr="00A77871">
        <w:rPr>
          <w:rFonts w:ascii="Verdana" w:eastAsia="Calibri" w:hAnsi="Verdana" w:cs="Arial"/>
          <w:color w:val="000000"/>
          <w:lang w:eastAsia="es-ES"/>
        </w:rPr>
        <w:tab/>
      </w:r>
    </w:p>
    <w:p w14:paraId="642ACECF" w14:textId="03165BA1" w:rsidR="00F242CC" w:rsidRDefault="00F242CC" w:rsidP="00232E2D">
      <w:pPr>
        <w:spacing w:after="0" w:line="276" w:lineRule="auto"/>
        <w:jc w:val="both"/>
        <w:rPr>
          <w:rFonts w:ascii="Verdana" w:eastAsia="Calibri" w:hAnsi="Verdana" w:cs="Arial"/>
          <w:i/>
          <w:iCs/>
          <w:lang w:eastAsia="es-ES"/>
        </w:rPr>
      </w:pPr>
      <w:r w:rsidRPr="00A77871">
        <w:rPr>
          <w:rFonts w:ascii="Verdana" w:eastAsia="Calibri" w:hAnsi="Verdana" w:cs="Arial"/>
          <w:color w:val="000000"/>
          <w:lang w:eastAsia="es-ES"/>
        </w:rPr>
        <w:t>En ejercicio de la competencia otorgada por los artículos 3, numeral 5º, y 11, numeral 8º, del Decreto Ley 4170 de 2011,</w:t>
      </w:r>
      <w:r w:rsidRPr="00A77871">
        <w:rPr>
          <w:rFonts w:ascii="Verdana" w:eastAsia="Arial MT" w:hAnsi="Verdana" w:cs="Arial MT"/>
          <w:lang w:eastAsia="es-ES"/>
        </w:rPr>
        <w:t xml:space="preserve"> </w:t>
      </w:r>
      <w:r w:rsidRPr="00A77871">
        <w:rPr>
          <w:rFonts w:ascii="Verdana" w:eastAsia="Calibri" w:hAnsi="Verdana" w:cs="Arial"/>
        </w:rPr>
        <w:t xml:space="preserve">así como lo establecido en el artículo 4 de la Resolución 1707 de 2018 expedida por esta Entidad, </w:t>
      </w:r>
      <w:r w:rsidRPr="00A77871">
        <w:rPr>
          <w:rFonts w:ascii="Verdana" w:eastAsia="Calibri" w:hAnsi="Verdana" w:cs="Arial"/>
          <w:color w:val="000000"/>
          <w:lang w:eastAsia="es-ES"/>
        </w:rPr>
        <w:t xml:space="preserve">la Agencia Nacional de Contratación Pública – Colombia Compra Eficiente responde su solicitud de concepto del </w:t>
      </w:r>
      <w:r w:rsidR="002D7591">
        <w:rPr>
          <w:rFonts w:ascii="Verdana" w:eastAsia="Calibri" w:hAnsi="Verdana" w:cs="Arial"/>
          <w:color w:val="000000"/>
          <w:lang w:eastAsia="es-ES"/>
        </w:rPr>
        <w:t>26</w:t>
      </w:r>
      <w:r w:rsidRPr="00A77871">
        <w:rPr>
          <w:rFonts w:ascii="Verdana" w:eastAsia="Calibri" w:hAnsi="Verdana" w:cs="Arial"/>
          <w:color w:val="000000"/>
          <w:lang w:eastAsia="es-ES"/>
        </w:rPr>
        <w:t xml:space="preserve"> de </w:t>
      </w:r>
      <w:r>
        <w:rPr>
          <w:rFonts w:ascii="Verdana" w:eastAsia="Calibri" w:hAnsi="Verdana" w:cs="Arial"/>
          <w:color w:val="000000"/>
          <w:lang w:eastAsia="es-ES"/>
        </w:rPr>
        <w:t>junio</w:t>
      </w:r>
      <w:r w:rsidRPr="00A77871">
        <w:rPr>
          <w:rFonts w:ascii="Verdana" w:eastAsia="Calibri" w:hAnsi="Verdana" w:cs="Arial"/>
          <w:color w:val="000000"/>
          <w:lang w:eastAsia="es-ES"/>
        </w:rPr>
        <w:t xml:space="preserve"> de 2026,</w:t>
      </w:r>
      <w:r w:rsidRPr="00A77871">
        <w:rPr>
          <w:rFonts w:ascii="Verdana" w:eastAsia="Calibri" w:hAnsi="Verdana" w:cs="Arial"/>
          <w:lang w:eastAsia="es-ES"/>
        </w:rPr>
        <w:t xml:space="preserve"> en la que manifiesta lo siguiente:</w:t>
      </w:r>
      <w:r w:rsidRPr="00A77871">
        <w:rPr>
          <w:rFonts w:ascii="Verdana" w:eastAsia="Calibri" w:hAnsi="Verdana" w:cs="Arial"/>
          <w:i/>
          <w:iCs/>
          <w:lang w:eastAsia="es-ES"/>
        </w:rPr>
        <w:t xml:space="preserve"> </w:t>
      </w:r>
      <w:bookmarkStart w:id="2" w:name="_Hlk95313578"/>
    </w:p>
    <w:p w14:paraId="0BC5DAF3" w14:textId="77777777" w:rsidR="00D07146" w:rsidRDefault="00D07146" w:rsidP="00584DA6">
      <w:pPr>
        <w:spacing w:after="0" w:line="276" w:lineRule="auto"/>
        <w:jc w:val="both"/>
        <w:rPr>
          <w:rFonts w:ascii="Verdana" w:eastAsia="Calibri" w:hAnsi="Verdana" w:cs="Arial"/>
          <w:i/>
          <w:iCs/>
          <w:lang w:eastAsia="es-ES"/>
        </w:rPr>
      </w:pPr>
    </w:p>
    <w:p w14:paraId="60BD2F9B" w14:textId="77777777" w:rsidR="009C70C5" w:rsidRDefault="00F242CC" w:rsidP="009C70C5">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bookmarkEnd w:id="2"/>
    </w:p>
    <w:p w14:paraId="05B5B3B6" w14:textId="77777777" w:rsidR="009C70C5" w:rsidRDefault="009C70C5" w:rsidP="009C70C5">
      <w:pPr>
        <w:spacing w:after="0" w:line="240" w:lineRule="auto"/>
        <w:ind w:left="709" w:right="709"/>
        <w:jc w:val="both"/>
        <w:rPr>
          <w:rFonts w:ascii="Verdana" w:hAnsi="Verdana" w:cs="Arial"/>
          <w:i/>
          <w:iCs/>
          <w:sz w:val="20"/>
          <w:szCs w:val="20"/>
          <w:shd w:val="clear" w:color="auto" w:fill="FFFFFF"/>
          <w:lang w:val="es-ES"/>
        </w:rPr>
      </w:pPr>
    </w:p>
    <w:p w14:paraId="15406208" w14:textId="54D836A8" w:rsidR="00A27C0B" w:rsidRPr="00E67517" w:rsidRDefault="00A27C0B" w:rsidP="009C70C5">
      <w:pPr>
        <w:spacing w:after="0" w:line="240" w:lineRule="auto"/>
        <w:ind w:left="709" w:right="709"/>
        <w:jc w:val="both"/>
        <w:rPr>
          <w:rFonts w:ascii="Verdana" w:hAnsi="Verdana" w:cs="Arial"/>
          <w:i/>
          <w:iCs/>
          <w:sz w:val="20"/>
          <w:szCs w:val="20"/>
          <w:shd w:val="clear" w:color="auto" w:fill="FFFFFF"/>
        </w:rPr>
      </w:pPr>
      <w:r w:rsidRPr="00E67517">
        <w:rPr>
          <w:rFonts w:ascii="Verdana" w:hAnsi="Verdana" w:cs="Arial"/>
          <w:i/>
          <w:iCs/>
          <w:sz w:val="20"/>
          <w:szCs w:val="20"/>
          <w:shd w:val="clear" w:color="auto" w:fill="FFFFFF"/>
        </w:rPr>
        <w:t>De conformidad con los antecedentes fácticos expuestos, la entidad plantea los siguientes</w:t>
      </w:r>
      <w:r w:rsidR="009C70C5" w:rsidRPr="00E67517">
        <w:rPr>
          <w:rFonts w:ascii="Verdana" w:hAnsi="Verdana" w:cs="Arial"/>
          <w:i/>
          <w:iCs/>
          <w:sz w:val="20"/>
          <w:szCs w:val="20"/>
          <w:shd w:val="clear" w:color="auto" w:fill="FFFFFF"/>
        </w:rPr>
        <w:t xml:space="preserve"> </w:t>
      </w:r>
      <w:r w:rsidRPr="00E67517">
        <w:rPr>
          <w:rFonts w:ascii="Verdana" w:hAnsi="Verdana" w:cs="Arial"/>
          <w:i/>
          <w:iCs/>
          <w:sz w:val="20"/>
          <w:szCs w:val="20"/>
          <w:shd w:val="clear" w:color="auto" w:fill="FFFFFF"/>
        </w:rPr>
        <w:t>interrogantes:</w:t>
      </w:r>
    </w:p>
    <w:p w14:paraId="737ED75E" w14:textId="77777777" w:rsidR="003A66D9" w:rsidRPr="00E67517" w:rsidRDefault="003A66D9" w:rsidP="00A27C0B">
      <w:pPr>
        <w:spacing w:after="0" w:line="240" w:lineRule="auto"/>
        <w:ind w:right="709"/>
        <w:jc w:val="both"/>
        <w:rPr>
          <w:rFonts w:ascii="Verdana" w:hAnsi="Verdana" w:cs="Arial"/>
          <w:i/>
          <w:iCs/>
          <w:sz w:val="20"/>
          <w:szCs w:val="20"/>
          <w:shd w:val="clear" w:color="auto" w:fill="FFFFFF"/>
        </w:rPr>
      </w:pPr>
    </w:p>
    <w:p w14:paraId="1EBE5752" w14:textId="1632F288" w:rsidR="003A66D9" w:rsidRPr="00E67517" w:rsidRDefault="00A27C0B" w:rsidP="009D1714">
      <w:pPr>
        <w:pStyle w:val="Prrafodelista"/>
        <w:numPr>
          <w:ilvl w:val="0"/>
          <w:numId w:val="21"/>
        </w:numPr>
        <w:spacing w:after="0" w:line="240" w:lineRule="auto"/>
        <w:ind w:right="709"/>
        <w:jc w:val="both"/>
        <w:rPr>
          <w:rFonts w:ascii="Verdana" w:hAnsi="Verdana" w:cs="Arial"/>
          <w:i/>
          <w:iCs/>
          <w:sz w:val="20"/>
          <w:szCs w:val="20"/>
          <w:shd w:val="clear" w:color="auto" w:fill="FFFFFF"/>
        </w:rPr>
      </w:pPr>
      <w:r w:rsidRPr="00E67517">
        <w:rPr>
          <w:rFonts w:ascii="Verdana" w:hAnsi="Verdana" w:cs="Arial"/>
          <w:i/>
          <w:iCs/>
          <w:sz w:val="20"/>
          <w:szCs w:val="20"/>
          <w:shd w:val="clear" w:color="auto" w:fill="FFFFFF"/>
        </w:rPr>
        <w:t>Teniendo en cuenta que el contratista es un sujeto plural, ¿es jurídicamente procedente que</w:t>
      </w:r>
      <w:r w:rsidR="006432FE" w:rsidRPr="00E67517">
        <w:rPr>
          <w:rFonts w:ascii="Verdana" w:hAnsi="Verdana" w:cs="Arial"/>
          <w:i/>
          <w:iCs/>
          <w:sz w:val="20"/>
          <w:szCs w:val="20"/>
          <w:shd w:val="clear" w:color="auto" w:fill="FFFFFF"/>
        </w:rPr>
        <w:t xml:space="preserve"> </w:t>
      </w:r>
      <w:r w:rsidRPr="00E67517">
        <w:rPr>
          <w:rFonts w:ascii="Verdana" w:hAnsi="Verdana" w:cs="Arial"/>
          <w:i/>
          <w:iCs/>
          <w:sz w:val="20"/>
          <w:szCs w:val="20"/>
          <w:shd w:val="clear" w:color="auto" w:fill="FFFFFF"/>
        </w:rPr>
        <w:t xml:space="preserve">la entidad </w:t>
      </w:r>
      <w:r w:rsidR="009C70C5" w:rsidRPr="00E67517">
        <w:rPr>
          <w:rFonts w:ascii="Verdana" w:hAnsi="Verdana" w:cs="Arial"/>
          <w:i/>
          <w:iCs/>
          <w:sz w:val="20"/>
          <w:szCs w:val="20"/>
          <w:shd w:val="clear" w:color="auto" w:fill="FFFFFF"/>
        </w:rPr>
        <w:t>estatal</w:t>
      </w:r>
      <w:r w:rsidRPr="00E67517">
        <w:rPr>
          <w:rFonts w:ascii="Verdana" w:hAnsi="Verdana" w:cs="Arial"/>
          <w:i/>
          <w:iCs/>
          <w:sz w:val="20"/>
          <w:szCs w:val="20"/>
          <w:shd w:val="clear" w:color="auto" w:fill="FFFFFF"/>
        </w:rPr>
        <w:t xml:space="preserve"> autorice la </w:t>
      </w:r>
      <w:r w:rsidRPr="00E67517">
        <w:rPr>
          <w:rFonts w:ascii="Verdana" w:hAnsi="Verdana" w:cs="Arial"/>
          <w:i/>
          <w:iCs/>
          <w:sz w:val="20"/>
          <w:szCs w:val="20"/>
          <w:shd w:val="clear" w:color="auto" w:fill="FFFFFF"/>
        </w:rPr>
        <w:lastRenderedPageBreak/>
        <w:t>reconformación del consorcio mediante la cesión del 100% de</w:t>
      </w:r>
      <w:r w:rsidR="006432FE" w:rsidRPr="00E67517">
        <w:rPr>
          <w:rFonts w:ascii="Verdana" w:hAnsi="Verdana" w:cs="Arial"/>
          <w:i/>
          <w:iCs/>
          <w:sz w:val="20"/>
          <w:szCs w:val="20"/>
          <w:shd w:val="clear" w:color="auto" w:fill="FFFFFF"/>
        </w:rPr>
        <w:t xml:space="preserve"> </w:t>
      </w:r>
      <w:r w:rsidRPr="00E67517">
        <w:rPr>
          <w:rFonts w:ascii="Verdana" w:hAnsi="Verdana" w:cs="Arial"/>
          <w:i/>
          <w:iCs/>
          <w:sz w:val="20"/>
          <w:szCs w:val="20"/>
          <w:shd w:val="clear" w:color="auto" w:fill="FFFFFF"/>
        </w:rPr>
        <w:t>la participación de su integrante mayoritario incurso en una inhabilidad sobreviniente</w:t>
      </w:r>
      <w:r w:rsidR="006432FE" w:rsidRPr="00E67517">
        <w:rPr>
          <w:rFonts w:ascii="Verdana" w:hAnsi="Verdana" w:cs="Arial"/>
          <w:i/>
          <w:iCs/>
          <w:sz w:val="20"/>
          <w:szCs w:val="20"/>
          <w:shd w:val="clear" w:color="auto" w:fill="FFFFFF"/>
        </w:rPr>
        <w:t xml:space="preserve"> </w:t>
      </w:r>
      <w:r w:rsidRPr="00E67517">
        <w:rPr>
          <w:rFonts w:ascii="Verdana" w:hAnsi="Verdana" w:cs="Arial"/>
          <w:i/>
          <w:iCs/>
          <w:sz w:val="20"/>
          <w:szCs w:val="20"/>
          <w:shd w:val="clear" w:color="auto" w:fill="FFFFFF"/>
        </w:rPr>
        <w:t xml:space="preserve">(DUSARD SAS), a favor de un tercero cesionario en el cual dicho integrante </w:t>
      </w:r>
      <w:r w:rsidR="009C70C5" w:rsidRPr="00E67517">
        <w:rPr>
          <w:rFonts w:ascii="Verdana" w:hAnsi="Verdana" w:cs="Arial"/>
          <w:i/>
          <w:iCs/>
          <w:sz w:val="20"/>
          <w:szCs w:val="20"/>
          <w:shd w:val="clear" w:color="auto" w:fill="FFFFFF"/>
        </w:rPr>
        <w:t>inhabilitado</w:t>
      </w:r>
      <w:r w:rsidR="006432FE" w:rsidRPr="00E67517">
        <w:rPr>
          <w:rFonts w:ascii="Verdana" w:hAnsi="Verdana" w:cs="Arial"/>
          <w:i/>
          <w:iCs/>
          <w:sz w:val="20"/>
          <w:szCs w:val="20"/>
          <w:shd w:val="clear" w:color="auto" w:fill="FFFFFF"/>
        </w:rPr>
        <w:t xml:space="preserve"> </w:t>
      </w:r>
      <w:r w:rsidRPr="00E67517">
        <w:rPr>
          <w:rFonts w:ascii="Verdana" w:hAnsi="Verdana" w:cs="Arial"/>
          <w:i/>
          <w:iCs/>
          <w:sz w:val="20"/>
          <w:szCs w:val="20"/>
          <w:shd w:val="clear" w:color="auto" w:fill="FFFFFF"/>
        </w:rPr>
        <w:t>ostenta la calidad de socio y del cual depende, en su totalidad, para acreditar la experiencia</w:t>
      </w:r>
      <w:r w:rsidR="006432FE" w:rsidRPr="00E67517">
        <w:rPr>
          <w:rFonts w:ascii="Verdana" w:hAnsi="Verdana" w:cs="Arial"/>
          <w:i/>
          <w:iCs/>
          <w:sz w:val="20"/>
          <w:szCs w:val="20"/>
          <w:shd w:val="clear" w:color="auto" w:fill="FFFFFF"/>
        </w:rPr>
        <w:t xml:space="preserve"> </w:t>
      </w:r>
      <w:r w:rsidRPr="00E67517">
        <w:rPr>
          <w:rFonts w:ascii="Verdana" w:hAnsi="Verdana" w:cs="Arial"/>
          <w:i/>
          <w:iCs/>
          <w:sz w:val="20"/>
          <w:szCs w:val="20"/>
          <w:shd w:val="clear" w:color="auto" w:fill="FFFFFF"/>
        </w:rPr>
        <w:t>técnica habilitante en el RUP?</w:t>
      </w:r>
    </w:p>
    <w:p w14:paraId="3F2EEECB" w14:textId="77777777" w:rsidR="003A66D9" w:rsidRDefault="003A66D9" w:rsidP="003A66D9">
      <w:pPr>
        <w:pStyle w:val="Prrafodelista"/>
        <w:spacing w:after="0" w:line="240" w:lineRule="auto"/>
        <w:ind w:right="709"/>
        <w:jc w:val="both"/>
        <w:rPr>
          <w:rFonts w:ascii="Verdana" w:hAnsi="Verdana" w:cs="Arial"/>
          <w:i/>
          <w:iCs/>
          <w:sz w:val="20"/>
          <w:szCs w:val="20"/>
          <w:shd w:val="clear" w:color="auto" w:fill="FFFFFF"/>
        </w:rPr>
      </w:pPr>
    </w:p>
    <w:p w14:paraId="412554AE" w14:textId="6B0C480B" w:rsidR="003A66D9" w:rsidRDefault="006432FE" w:rsidP="00095BB5">
      <w:pPr>
        <w:pStyle w:val="Prrafodelista"/>
        <w:numPr>
          <w:ilvl w:val="0"/>
          <w:numId w:val="21"/>
        </w:numPr>
        <w:spacing w:after="0" w:line="240" w:lineRule="auto"/>
        <w:ind w:right="709"/>
        <w:jc w:val="both"/>
        <w:rPr>
          <w:rFonts w:ascii="Verdana" w:hAnsi="Verdana" w:cs="Arial"/>
          <w:i/>
          <w:iCs/>
          <w:sz w:val="20"/>
          <w:szCs w:val="20"/>
          <w:shd w:val="clear" w:color="auto" w:fill="FFFFFF"/>
        </w:rPr>
      </w:pPr>
      <w:r w:rsidRPr="003A66D9">
        <w:rPr>
          <w:rFonts w:ascii="Verdana" w:hAnsi="Verdana" w:cs="Arial"/>
          <w:i/>
          <w:iCs/>
          <w:sz w:val="20"/>
          <w:szCs w:val="20"/>
          <w:shd w:val="clear" w:color="auto" w:fill="FFFFFF"/>
        </w:rPr>
        <w:t xml:space="preserve">¿Constituye esta triangulación societaria y de transferencia de experiencia un presunto fraude a la ley o un mecanismo de elusión de la sanción disciplinaria, toda vez que encubriría la continuidad operativa, técnica y económica del integrante </w:t>
      </w:r>
      <w:r w:rsidR="009C70C5" w:rsidRPr="003A66D9">
        <w:rPr>
          <w:rFonts w:ascii="Verdana" w:hAnsi="Verdana" w:cs="Arial"/>
          <w:i/>
          <w:iCs/>
          <w:sz w:val="20"/>
          <w:szCs w:val="20"/>
          <w:shd w:val="clear" w:color="auto" w:fill="FFFFFF"/>
        </w:rPr>
        <w:t>inhabilitado</w:t>
      </w:r>
      <w:r w:rsidRPr="003A66D9">
        <w:rPr>
          <w:rFonts w:ascii="Verdana" w:hAnsi="Verdana" w:cs="Arial"/>
          <w:i/>
          <w:iCs/>
          <w:sz w:val="20"/>
          <w:szCs w:val="20"/>
          <w:shd w:val="clear" w:color="auto" w:fill="FFFFFF"/>
        </w:rPr>
        <w:t xml:space="preserve"> en la ejecución del contrato de obra pública?</w:t>
      </w:r>
    </w:p>
    <w:p w14:paraId="502E7AA4" w14:textId="77777777" w:rsidR="003A66D9" w:rsidRPr="003A66D9" w:rsidRDefault="003A66D9" w:rsidP="003A66D9">
      <w:pPr>
        <w:pStyle w:val="Prrafodelista"/>
        <w:rPr>
          <w:rFonts w:ascii="Verdana" w:hAnsi="Verdana" w:cs="Arial"/>
          <w:i/>
          <w:iCs/>
          <w:sz w:val="20"/>
          <w:szCs w:val="20"/>
          <w:shd w:val="clear" w:color="auto" w:fill="FFFFFF"/>
        </w:rPr>
      </w:pPr>
    </w:p>
    <w:p w14:paraId="26937D88" w14:textId="363FC529" w:rsidR="009C70C5" w:rsidRDefault="006432FE" w:rsidP="00D07146">
      <w:pPr>
        <w:pStyle w:val="Prrafodelista"/>
        <w:numPr>
          <w:ilvl w:val="0"/>
          <w:numId w:val="21"/>
        </w:numPr>
        <w:spacing w:after="0" w:line="240" w:lineRule="auto"/>
        <w:ind w:left="723" w:right="709"/>
        <w:jc w:val="both"/>
        <w:rPr>
          <w:rFonts w:ascii="Verdana" w:hAnsi="Verdana" w:cs="Arial"/>
          <w:i/>
          <w:iCs/>
          <w:sz w:val="20"/>
          <w:szCs w:val="20"/>
          <w:shd w:val="clear" w:color="auto" w:fill="FFFFFF"/>
        </w:rPr>
      </w:pPr>
      <w:r w:rsidRPr="009C70C5">
        <w:rPr>
          <w:rFonts w:ascii="Verdana" w:hAnsi="Verdana" w:cs="Arial"/>
          <w:i/>
          <w:iCs/>
          <w:sz w:val="20"/>
          <w:szCs w:val="20"/>
          <w:shd w:val="clear" w:color="auto" w:fill="FFFFFF"/>
        </w:rPr>
        <w:t>Ante la evidencia de estos vínculos y el hecho de que el cesionario no cumpliría</w:t>
      </w:r>
      <w:r w:rsidR="003A66D9" w:rsidRPr="009C70C5">
        <w:rPr>
          <w:rFonts w:ascii="Verdana" w:hAnsi="Verdana" w:cs="Arial"/>
          <w:i/>
          <w:iCs/>
          <w:sz w:val="20"/>
          <w:szCs w:val="20"/>
          <w:shd w:val="clear" w:color="auto" w:fill="FFFFFF"/>
        </w:rPr>
        <w:t xml:space="preserve"> </w:t>
      </w:r>
      <w:r w:rsidRPr="009C70C5">
        <w:rPr>
          <w:rFonts w:ascii="Verdana" w:hAnsi="Verdana" w:cs="Arial"/>
          <w:i/>
          <w:iCs/>
          <w:sz w:val="20"/>
          <w:szCs w:val="20"/>
          <w:shd w:val="clear" w:color="auto" w:fill="FFFFFF"/>
        </w:rPr>
        <w:t xml:space="preserve">materialmente con los presupuestos de idoneidad y </w:t>
      </w:r>
      <w:r w:rsidR="009C70C5" w:rsidRPr="009C70C5">
        <w:rPr>
          <w:rFonts w:ascii="Verdana" w:hAnsi="Verdana" w:cs="Arial"/>
          <w:i/>
          <w:iCs/>
          <w:sz w:val="20"/>
          <w:szCs w:val="20"/>
          <w:shd w:val="clear" w:color="auto" w:fill="FFFFFF"/>
        </w:rPr>
        <w:t>selección</w:t>
      </w:r>
      <w:r w:rsidRPr="009C70C5">
        <w:rPr>
          <w:rFonts w:ascii="Verdana" w:hAnsi="Verdana" w:cs="Arial"/>
          <w:i/>
          <w:iCs/>
          <w:sz w:val="20"/>
          <w:szCs w:val="20"/>
          <w:shd w:val="clear" w:color="auto" w:fill="FFFFFF"/>
        </w:rPr>
        <w:t xml:space="preserve"> objetiva sin el amparo de la empresa inhabilitada, ¿es deber imperativo de la Administración denegar la autorización de la cesión y, en su defecto, aplicar lo dispuesto en el artículo 9 de la Ley 80 de 1993, procediendo con la cesación de los efectos del contrato y su consecuente </w:t>
      </w:r>
      <w:r w:rsidR="009C70C5" w:rsidRPr="009C70C5">
        <w:rPr>
          <w:rFonts w:ascii="Verdana" w:hAnsi="Verdana" w:cs="Arial"/>
          <w:i/>
          <w:iCs/>
          <w:sz w:val="20"/>
          <w:szCs w:val="20"/>
          <w:shd w:val="clear" w:color="auto" w:fill="FFFFFF"/>
        </w:rPr>
        <w:t>liquidación</w:t>
      </w:r>
      <w:r w:rsidRPr="009C70C5">
        <w:rPr>
          <w:rFonts w:ascii="Verdana" w:hAnsi="Verdana" w:cs="Arial"/>
          <w:i/>
          <w:iCs/>
          <w:sz w:val="20"/>
          <w:szCs w:val="20"/>
          <w:shd w:val="clear" w:color="auto" w:fill="FFFFFF"/>
        </w:rPr>
        <w:t xml:space="preserve">? </w:t>
      </w:r>
    </w:p>
    <w:p w14:paraId="03439231" w14:textId="77777777" w:rsidR="009C70C5" w:rsidRPr="009C70C5" w:rsidRDefault="009C70C5" w:rsidP="009C70C5">
      <w:pPr>
        <w:pStyle w:val="Prrafodelista"/>
        <w:rPr>
          <w:rFonts w:ascii="Verdana" w:hAnsi="Verdana" w:cs="Arial"/>
          <w:i/>
          <w:iCs/>
          <w:sz w:val="20"/>
          <w:szCs w:val="20"/>
          <w:shd w:val="clear" w:color="auto" w:fill="FFFFFF"/>
        </w:rPr>
      </w:pPr>
    </w:p>
    <w:p w14:paraId="55D4D7A9" w14:textId="518641B4" w:rsidR="00F242CC" w:rsidRPr="009C70C5" w:rsidRDefault="00F242CC" w:rsidP="009C70C5">
      <w:pPr>
        <w:pStyle w:val="Prrafodelista"/>
        <w:spacing w:after="0" w:line="240" w:lineRule="auto"/>
        <w:ind w:right="709"/>
        <w:jc w:val="both"/>
        <w:rPr>
          <w:rFonts w:ascii="Verdana" w:hAnsi="Verdana" w:cs="Arial"/>
          <w:i/>
          <w:iCs/>
          <w:sz w:val="20"/>
          <w:szCs w:val="20"/>
          <w:shd w:val="clear" w:color="auto" w:fill="FFFFFF"/>
        </w:rPr>
      </w:pPr>
      <w:r w:rsidRPr="009C70C5">
        <w:rPr>
          <w:rFonts w:ascii="Verdana" w:hAnsi="Verdana" w:cs="Arial"/>
          <w:i/>
          <w:iCs/>
          <w:sz w:val="20"/>
          <w:szCs w:val="20"/>
          <w:shd w:val="clear" w:color="auto" w:fill="FFFFFF"/>
        </w:rPr>
        <w:t>(…)”</w:t>
      </w:r>
    </w:p>
    <w:p w14:paraId="41AFABE9" w14:textId="77777777" w:rsidR="00D07146" w:rsidRDefault="00D07146" w:rsidP="00584DA6">
      <w:pPr>
        <w:spacing w:after="0" w:line="276" w:lineRule="auto"/>
        <w:jc w:val="both"/>
        <w:rPr>
          <w:rFonts w:ascii="Verdana" w:eastAsia="Calibri" w:hAnsi="Verdana" w:cs="Arial"/>
        </w:rPr>
      </w:pPr>
    </w:p>
    <w:p w14:paraId="616254D2" w14:textId="02884AF1" w:rsidR="00F242CC" w:rsidRPr="00A77871" w:rsidRDefault="00F242CC" w:rsidP="00584DA6">
      <w:pPr>
        <w:spacing w:after="120" w:line="276" w:lineRule="auto"/>
        <w:jc w:val="both"/>
        <w:rPr>
          <w:rFonts w:ascii="Verdana" w:eastAsia="Calibri" w:hAnsi="Verdana" w:cs="Arial"/>
          <w:color w:val="000000"/>
          <w:lang w:eastAsia="es-ES"/>
        </w:rPr>
      </w:pPr>
      <w:r w:rsidRPr="005101AB">
        <w:rPr>
          <w:rFonts w:ascii="Verdana" w:eastAsia="Calibri" w:hAnsi="Verdana" w:cs="Arial"/>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A77871">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77871">
        <w:rPr>
          <w:rFonts w:ascii="Verdana" w:eastAsia="Calibri" w:hAnsi="Verdana" w:cs="Arial"/>
          <w:color w:val="000000"/>
          <w:lang w:eastAsia="es-ES_tradnl"/>
        </w:rPr>
        <w:tab/>
      </w:r>
    </w:p>
    <w:p w14:paraId="145CE1BF" w14:textId="4DFD6552" w:rsidR="00F242CC" w:rsidRDefault="00F242CC" w:rsidP="00D07146">
      <w:pPr>
        <w:spacing w:after="0" w:line="276" w:lineRule="auto"/>
        <w:ind w:firstLine="708"/>
        <w:jc w:val="both"/>
        <w:rPr>
          <w:rFonts w:ascii="Verdana" w:eastAsia="Calibri" w:hAnsi="Verdana" w:cs="Arial"/>
          <w:b/>
          <w:bCs/>
          <w:color w:val="000000"/>
          <w:lang w:eastAsia="es-ES"/>
        </w:rPr>
      </w:pPr>
      <w:r w:rsidRPr="00A7787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problemas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jurídicos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de su consulta.</w:t>
      </w:r>
      <w:r w:rsidRPr="00A77871">
        <w:rPr>
          <w:rFonts w:ascii="Verdana" w:eastAsia="Calibri" w:hAnsi="Verdana" w:cs="Arial"/>
          <w:b/>
          <w:bCs/>
          <w:color w:val="000000"/>
          <w:lang w:eastAsia="es-ES"/>
        </w:rPr>
        <w:t xml:space="preserve"> </w:t>
      </w:r>
    </w:p>
    <w:p w14:paraId="0D24EA10" w14:textId="77777777" w:rsidR="00D07146" w:rsidRPr="00A77871" w:rsidRDefault="00D07146" w:rsidP="00584DA6">
      <w:pPr>
        <w:spacing w:after="0" w:line="276" w:lineRule="auto"/>
        <w:ind w:firstLine="708"/>
        <w:jc w:val="both"/>
        <w:rPr>
          <w:rFonts w:ascii="Verdana" w:eastAsia="Calibri" w:hAnsi="Verdana" w:cs="Arial"/>
          <w:b/>
          <w:bCs/>
          <w:color w:val="000000"/>
          <w:lang w:eastAsia="es-ES"/>
        </w:rPr>
      </w:pPr>
    </w:p>
    <w:p w14:paraId="4A4D0D9D" w14:textId="77777777" w:rsidR="00F242CC" w:rsidRPr="001B415F" w:rsidRDefault="00F242CC" w:rsidP="00584DA6">
      <w:pPr>
        <w:numPr>
          <w:ilvl w:val="0"/>
          <w:numId w:val="16"/>
        </w:numPr>
        <w:tabs>
          <w:tab w:val="left" w:pos="142"/>
          <w:tab w:val="left" w:pos="284"/>
        </w:tabs>
        <w:spacing w:after="0" w:line="276" w:lineRule="auto"/>
        <w:ind w:left="0" w:firstLine="357"/>
        <w:contextualSpacing/>
        <w:jc w:val="both"/>
        <w:rPr>
          <w:rFonts w:ascii="Verdana" w:eastAsia="Century Gothic" w:hAnsi="Verdana" w:cs="Century Gothic"/>
        </w:rPr>
      </w:pPr>
      <w:r w:rsidRPr="001B415F">
        <w:rPr>
          <w:rFonts w:ascii="Verdana" w:eastAsia="Century Gothic" w:hAnsi="Verdana" w:cs="Century Gothic"/>
          <w:b/>
          <w:bCs/>
        </w:rPr>
        <w:t>Problema planteado:</w:t>
      </w:r>
    </w:p>
    <w:p w14:paraId="5483A903" w14:textId="77777777" w:rsidR="00D07146" w:rsidRDefault="00D07146" w:rsidP="00D07146">
      <w:pPr>
        <w:spacing w:after="0" w:line="276" w:lineRule="auto"/>
        <w:jc w:val="both"/>
        <w:rPr>
          <w:rFonts w:ascii="Verdana" w:eastAsia="Century Gothic" w:hAnsi="Verdana" w:cs="Century Gothic"/>
        </w:rPr>
      </w:pPr>
    </w:p>
    <w:p w14:paraId="4FE71F88" w14:textId="59F7C4BC" w:rsidR="00847A16" w:rsidRDefault="00F242CC" w:rsidP="00D07146">
      <w:pPr>
        <w:spacing w:after="0" w:line="276" w:lineRule="auto"/>
        <w:jc w:val="both"/>
        <w:rPr>
          <w:rFonts w:ascii="Verdana" w:eastAsia="Verdana" w:hAnsi="Verdana" w:cs="Verdana"/>
        </w:rPr>
      </w:pPr>
      <w:r w:rsidRPr="00A77871">
        <w:rPr>
          <w:rFonts w:ascii="Verdana" w:eastAsia="Century Gothic" w:hAnsi="Verdana" w:cs="Century Gothic"/>
        </w:rPr>
        <w:t xml:space="preserve">De acuerdo con el contenido de su solicitud, esta Agencia resolverá </w:t>
      </w:r>
      <w:r w:rsidR="00847A16">
        <w:rPr>
          <w:rFonts w:ascii="Verdana" w:eastAsia="Century Gothic" w:hAnsi="Verdana" w:cs="Century Gothic"/>
        </w:rPr>
        <w:t>los</w:t>
      </w:r>
      <w:r w:rsidRPr="00A77871">
        <w:rPr>
          <w:rFonts w:ascii="Verdana" w:eastAsia="Century Gothic" w:hAnsi="Verdana" w:cs="Century Gothic"/>
        </w:rPr>
        <w:t xml:space="preserve"> siguiente</w:t>
      </w:r>
      <w:r w:rsidR="00847A16">
        <w:rPr>
          <w:rFonts w:ascii="Verdana" w:eastAsia="Century Gothic" w:hAnsi="Verdana" w:cs="Century Gothic"/>
        </w:rPr>
        <w:t>s</w:t>
      </w:r>
      <w:r w:rsidRPr="00A77871">
        <w:rPr>
          <w:rFonts w:ascii="Verdana" w:eastAsia="Century Gothic" w:hAnsi="Verdana" w:cs="Century Gothic"/>
        </w:rPr>
        <w:t xml:space="preserve"> problema</w:t>
      </w:r>
      <w:r w:rsidR="00847A16">
        <w:rPr>
          <w:rFonts w:ascii="Verdana" w:eastAsia="Century Gothic" w:hAnsi="Verdana" w:cs="Century Gothic"/>
        </w:rPr>
        <w:t>s</w:t>
      </w:r>
      <w:r w:rsidRPr="00A77871">
        <w:rPr>
          <w:rFonts w:ascii="Verdana" w:eastAsia="Century Gothic" w:hAnsi="Verdana" w:cs="Century Gothic"/>
        </w:rPr>
        <w:t xml:space="preserve"> jurídico</w:t>
      </w:r>
      <w:r w:rsidR="00847A16">
        <w:rPr>
          <w:rFonts w:ascii="Verdana" w:eastAsia="Century Gothic" w:hAnsi="Verdana" w:cs="Century Gothic"/>
        </w:rPr>
        <w:t>s</w:t>
      </w:r>
      <w:r w:rsidRPr="00C853DB">
        <w:rPr>
          <w:rFonts w:ascii="Verdana" w:eastAsia="Century Gothic" w:hAnsi="Verdana" w:cs="Century Gothic"/>
        </w:rPr>
        <w:t>:</w:t>
      </w:r>
      <w:r w:rsidRPr="008D15EE">
        <w:rPr>
          <w:rFonts w:ascii="Verdana" w:eastAsia="Century Gothic" w:hAnsi="Verdana" w:cs="Century Gothic"/>
        </w:rPr>
        <w:t xml:space="preserve"> </w:t>
      </w:r>
      <w:r w:rsidR="00847A16" w:rsidRPr="000565B4">
        <w:rPr>
          <w:rFonts w:ascii="Verdana" w:eastAsia="Verdana" w:hAnsi="Verdana" w:cs="Verdana"/>
        </w:rPr>
        <w:t>i) ¿Cuál es el procedimiento que debe adelantar la entidad contratante cuando a uno de los integrantes de un consorcio o unión temporal le sobreviene una inhabilidad o incompatibilidad durante la ejecución del contrato?; ii) Cuando el integrante respecto del cual sobreviene una inhabilidad o incompatibilidad no presenta un cesionario o la cesión de su participación a un tercero resulta materialmente imposible, ¿cuál es la consecuencia jurídica aplicable?; iii) ¿La renuncia a la ejecución del contrato prevista en el artículo 9 de la Ley 80 de 1993 resulta aplicable al integrante de un consorcio o unión temporal y constituye un requisito previo para que la entidad pueda adoptar la decisión correspondiente frente a la continuidad del contrato?</w:t>
      </w:r>
    </w:p>
    <w:p w14:paraId="114348AD" w14:textId="77777777" w:rsidR="00D07146" w:rsidRPr="000565B4" w:rsidRDefault="00D07146" w:rsidP="00584DA6">
      <w:pPr>
        <w:spacing w:after="0" w:line="276" w:lineRule="auto"/>
        <w:jc w:val="both"/>
        <w:rPr>
          <w:rFonts w:ascii="Verdana" w:eastAsia="Verdana" w:hAnsi="Verdana" w:cs="Verdana"/>
        </w:rPr>
      </w:pPr>
    </w:p>
    <w:p w14:paraId="4BAEC1AC" w14:textId="6EEC558D" w:rsidR="00F242CC" w:rsidRPr="00F946AF" w:rsidRDefault="00F242CC" w:rsidP="00584DA6">
      <w:pPr>
        <w:numPr>
          <w:ilvl w:val="0"/>
          <w:numId w:val="16"/>
        </w:numPr>
        <w:tabs>
          <w:tab w:val="left" w:pos="142"/>
          <w:tab w:val="left" w:pos="284"/>
        </w:tabs>
        <w:spacing w:after="0" w:line="276" w:lineRule="auto"/>
        <w:ind w:left="0" w:firstLine="357"/>
        <w:contextualSpacing/>
        <w:jc w:val="both"/>
        <w:rPr>
          <w:rFonts w:ascii="Verdana" w:eastAsia="Century Gothic" w:hAnsi="Verdana" w:cs="Century Gothic"/>
          <w:b/>
          <w:bCs/>
        </w:rPr>
      </w:pPr>
      <w:r w:rsidRPr="00F946AF">
        <w:rPr>
          <w:rFonts w:ascii="Verdana" w:eastAsia="Century Gothic" w:hAnsi="Verdana" w:cs="Century Gothic"/>
          <w:b/>
          <w:bCs/>
        </w:rPr>
        <w:t xml:space="preserve"> Respuesta:</w:t>
      </w:r>
      <w:r w:rsidR="007A4668">
        <w:rPr>
          <w:rFonts w:ascii="Verdana" w:eastAsia="Century Gothic" w:hAnsi="Verdana" w:cs="Century Gothic"/>
          <w:b/>
          <w:bCs/>
        </w:rPr>
        <w:t xml:space="preserve"> </w:t>
      </w:r>
    </w:p>
    <w:p w14:paraId="0A48CCD6" w14:textId="77777777" w:rsidR="00F242CC" w:rsidRPr="001B63C6" w:rsidRDefault="00F242CC" w:rsidP="00584DA6">
      <w:pPr>
        <w:tabs>
          <w:tab w:val="left" w:pos="142"/>
          <w:tab w:val="left" w:pos="284"/>
        </w:tabs>
        <w:spacing w:after="0" w:line="276" w:lineRule="auto"/>
        <w:ind w:left="357"/>
        <w:contextualSpacing/>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242CC" w:rsidRPr="00A77871" w14:paraId="4CAD1511" w14:textId="77777777" w:rsidTr="00B6747F">
        <w:trPr>
          <w:jc w:val="center"/>
        </w:trPr>
        <w:tc>
          <w:tcPr>
            <w:tcW w:w="8828" w:type="dxa"/>
          </w:tcPr>
          <w:p w14:paraId="5CC368BA" w14:textId="7CDD8A35" w:rsidR="00C83701" w:rsidRDefault="00C83701" w:rsidP="00D67477">
            <w:pPr>
              <w:spacing w:line="276" w:lineRule="auto"/>
              <w:jc w:val="both"/>
              <w:rPr>
                <w:rFonts w:ascii="Verdana" w:eastAsia="Verdana" w:hAnsi="Verdana" w:cs="Verdana"/>
              </w:rPr>
            </w:pPr>
            <w:bookmarkStart w:id="3" w:name="_Hlk171694685"/>
            <w:r w:rsidRPr="000565B4">
              <w:rPr>
                <w:rFonts w:ascii="Verdana" w:eastAsia="Verdana" w:hAnsi="Verdana" w:cs="Verdana"/>
              </w:rPr>
              <w:t xml:space="preserve">Conforme a los problemas jurídicos, </w:t>
            </w:r>
            <w:r>
              <w:rPr>
                <w:rFonts w:ascii="Verdana" w:eastAsia="Verdana" w:hAnsi="Verdana" w:cs="Verdana"/>
              </w:rPr>
              <w:t>extraídos de su</w:t>
            </w:r>
            <w:r w:rsidRPr="000565B4">
              <w:rPr>
                <w:rFonts w:ascii="Verdana" w:eastAsia="Verdana" w:hAnsi="Verdana" w:cs="Verdana"/>
              </w:rPr>
              <w:t xml:space="preserve"> consulta, se señala lo siguiente:</w:t>
            </w:r>
          </w:p>
          <w:p w14:paraId="445A18E0" w14:textId="77777777" w:rsidR="00C83701" w:rsidRPr="000565B4" w:rsidRDefault="00C83701" w:rsidP="00584DA6">
            <w:pPr>
              <w:spacing w:after="120" w:line="276" w:lineRule="auto"/>
              <w:jc w:val="both"/>
              <w:rPr>
                <w:rFonts w:ascii="Verdana" w:eastAsia="Verdana" w:hAnsi="Verdana" w:cs="Verdana"/>
              </w:rPr>
            </w:pPr>
          </w:p>
          <w:p w14:paraId="4F95A11A" w14:textId="727C6CFF" w:rsidR="00C83701" w:rsidRPr="00584DA6" w:rsidRDefault="006B5BC9" w:rsidP="00D67477">
            <w:pPr>
              <w:spacing w:after="120" w:line="276" w:lineRule="auto"/>
              <w:jc w:val="both"/>
              <w:rPr>
                <w:rFonts w:ascii="Verdana" w:eastAsia="Verdana" w:hAnsi="Verdana" w:cs="Verdana"/>
              </w:rPr>
            </w:pPr>
            <w:r>
              <w:rPr>
                <w:rFonts w:ascii="Verdana" w:eastAsia="Verdana" w:hAnsi="Verdana" w:cs="Verdana"/>
              </w:rPr>
              <w:t xml:space="preserve">i) </w:t>
            </w:r>
            <w:r w:rsidR="00C83701" w:rsidRPr="00584DA6">
              <w:rPr>
                <w:rFonts w:ascii="Verdana" w:eastAsia="Verdana" w:hAnsi="Verdana" w:cs="Verdana"/>
              </w:rPr>
              <w:t>En torno al primer problema jurídico, se señala que las inhabilidades e incompatibilidades constituyen restricciones a la capacidad para contratar con el Estado, establecidas por el constituyente o el legislador con el propósito de garantizar la moralidad, la transparencia, la imparcialidad y la prevalencia del interés general en la contratación estatal. Por tratarse de limitaciones a la capacidad jurídica de los particulares, sus causales son de reserva legal y su interpretación debe ser taxativa y restrictiva, sin que sea posible extenderlas por analogía o por criterios amplios de interpretación.</w:t>
            </w:r>
          </w:p>
          <w:p w14:paraId="3A52541D"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 xml:space="preserve">En la Ley 80 de 1993, el tratamiento de las inhabilidades o incompatibilidades sobrevinientes varía según se trate de un proponente, un adjudicatario o un contratista. En relación con este último, el artículo 9 del Estatuto General de Contratación de la Administración Pública estableció un régimen especial para las circunstancias que sobrevienen durante la ejecución del contrato, cuyo propósito no es sancionar al contratista, sino impedir que continúe vinculado contractualmente con el Estado cuando ha perdido la </w:t>
            </w:r>
            <w:r w:rsidRPr="000565B4">
              <w:rPr>
                <w:rFonts w:ascii="Verdana" w:eastAsia="Verdana" w:hAnsi="Verdana" w:cs="Verdana"/>
              </w:rPr>
              <w:lastRenderedPageBreak/>
              <w:t xml:space="preserve">capacidad para hacerlo, procurando al mismo tiempo la conservación del vínculo contractual cuando ello resulte jurídicamente posible. </w:t>
            </w:r>
          </w:p>
          <w:p w14:paraId="0371A512"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 xml:space="preserve">De manera preliminar, conviene precisar que, tal como lo delimita la propia consulta, las consideraciones que siguen se circunscriben al régimen general de las inhabilidades e incompatibilidades sobrevinientes, esto es, a aquellas distintas de la prevista en el literal j) del numeral 1 del artículo 8 de la Ley 80 de 1993, la cual cuenta con un tratamiento especial en el parágrafo 1º del artículo 9 </w:t>
            </w:r>
            <w:r w:rsidRPr="000565B4">
              <w:rPr>
                <w:rFonts w:ascii="Verdana" w:eastAsia="Verdana" w:hAnsi="Verdana" w:cs="Verdana"/>
                <w:i/>
                <w:iCs/>
              </w:rPr>
              <w:t>Ibídem</w:t>
            </w:r>
            <w:r w:rsidRPr="000565B4">
              <w:rPr>
                <w:rFonts w:ascii="Verdana" w:eastAsia="Verdana" w:hAnsi="Verdana" w:cs="Verdana"/>
              </w:rPr>
              <w:t>, adicionado por el artículo 6 de la Ley 2014 de 2019. En consecuencia, las reglas que se exponen a continuación no resultan aplicables a los eventos comprendidos en dicho régimen especial.</w:t>
            </w:r>
          </w:p>
          <w:p w14:paraId="39D6506C"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En consecuencia, cuando la inhabilidad o incompatibilidad sobreviene respecto de uno de los integrantes de un consorcio o unión temporal,</w:t>
            </w:r>
            <w:r w:rsidRPr="000565B4">
              <w:rPr>
                <w:rFonts w:cs="Times New Roman"/>
              </w:rPr>
              <w:t xml:space="preserve"> </w:t>
            </w:r>
            <w:r w:rsidRPr="000565B4">
              <w:rPr>
                <w:rFonts w:ascii="Verdana" w:eastAsia="Verdana" w:hAnsi="Verdana" w:cs="Verdana"/>
              </w:rPr>
              <w:t>el primer deber que se activa es el del propio contratista, quien, en desarrollo del principio de buena fe y de los deberes de conducta previstos en los artículos 23 y 26 de la Ley 80 de 1993, debe informar oportunamente a la entidad contratante la configuración de la circunstancia sobreviniente. Conocida esta —por información del contratista o por cualquier otro medio—, la entidad contratante deberá adelantar la actuación administrativa correspondiente para verificar la configuración de la causal, garantizando plenamente el debido proceso y, en particular, los derechos de defensa y contradicción del eventual afectado. Solo una vez establecida la existencia de la inhabilidad podrá exigir el cumplimiento de las consecuencias previstas por el legislador para esta clase de eventos.</w:t>
            </w:r>
          </w:p>
          <w:p w14:paraId="6DD81181"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En este aspecto, el efecto jurídico previsto en el inciso tercero del artículo 9 de la Ley 80 de 1993 consiste en que el integrante afectado deberá ceder su participación a un tercero, previa autorización escrita de la entidad contratante. La cesión constituye el mecanismo diseñado por el legislador para armonizar el principio de conservación del contrato con la necesidad de impedir que una persona incursa en una inhabilidad o incompatibilidad permanezca vinculada a la ejecución contractual. Por ello, dicha cesión únicamente puede efectuarse respecto de un tercero ajeno al consorcio o unión temporal, que reúna las condiciones jurídicas, técnicas, financieras y económicas necesarias para asumir la posición contractual, sin que resulte procedente redistribuir internamente la participación entre los demás integrantes del esquema asociativo.</w:t>
            </w:r>
          </w:p>
          <w:p w14:paraId="15246CA4" w14:textId="55D83E0F" w:rsidR="00C83701" w:rsidRDefault="00C83701" w:rsidP="00BB6F0B">
            <w:pPr>
              <w:spacing w:after="120" w:line="276" w:lineRule="auto"/>
              <w:ind w:firstLine="709"/>
              <w:jc w:val="both"/>
              <w:rPr>
                <w:rFonts w:ascii="Verdana" w:eastAsia="Verdana" w:hAnsi="Verdana" w:cs="Verdana"/>
              </w:rPr>
            </w:pPr>
            <w:r w:rsidRPr="000565B4">
              <w:rPr>
                <w:rFonts w:ascii="Verdana" w:eastAsia="Verdana" w:hAnsi="Verdana" w:cs="Verdana"/>
              </w:rPr>
              <w:lastRenderedPageBreak/>
              <w:t>En este aspecto la sustitución del contratista solo resulta procedente cuando el nuevo sujeto demuestre, de manera autónoma y verificable, que cumple con todas las condiciones habilitantes que sirvieron de fundamento para la selección inicial: capacidad jurídica suficiente</w:t>
            </w:r>
            <w:r w:rsidR="00F32815">
              <w:rPr>
                <w:rFonts w:ascii="Verdana" w:eastAsia="Verdana" w:hAnsi="Verdana" w:cs="Verdana"/>
              </w:rPr>
              <w:t xml:space="preserve"> – y en la verificación de ella debe revisarse que el futuro cesionario no esté incurso en causal de inhabilidad - </w:t>
            </w:r>
            <w:r w:rsidRPr="000565B4">
              <w:rPr>
                <w:rFonts w:ascii="Verdana" w:eastAsia="Verdana" w:hAnsi="Verdana" w:cs="Verdana"/>
              </w:rPr>
              <w:t>, experiencia y solvencia técnica equivalente o superior, fortaleza financiera comprobable y una estructura económica que garantice la ejecución integral del objeto contractual. Esta idoneidad no puede presumirse ni derivarse de su vinculación con los miembros originales del consorcio o unión temporal; debe acreditarse de forma independiente, como si se tratara de un nuevo proceso de selección respecto del cesionario.</w:t>
            </w:r>
          </w:p>
          <w:p w14:paraId="63D1B53E" w14:textId="1818EA6A" w:rsidR="00E84F3E" w:rsidRDefault="00E84F3E" w:rsidP="00BB6F0B">
            <w:pPr>
              <w:spacing w:after="120" w:line="276" w:lineRule="auto"/>
              <w:ind w:firstLine="709"/>
              <w:jc w:val="both"/>
              <w:rPr>
                <w:rFonts w:ascii="Verdana" w:eastAsia="Verdana" w:hAnsi="Verdana" w:cs="Verdana"/>
              </w:rPr>
            </w:pPr>
            <w:r>
              <w:rPr>
                <w:rFonts w:ascii="Verdana" w:eastAsia="Verdana" w:hAnsi="Verdana" w:cs="Verdana"/>
              </w:rPr>
              <w:t xml:space="preserve">En este punto debe señalarse que corresponderá verificar a la Entidad Estatal que el posible cesionario no esté incurso en causal de inhabilidad, pues la figura de la cesión del contrato estatal frente a una inhabilidad sobreviniente no debe servir para burlar las consecuencias derivadas de dicha sanción. </w:t>
            </w:r>
          </w:p>
          <w:p w14:paraId="108CCC5E" w14:textId="77777777" w:rsidR="00C83701" w:rsidRPr="000565B4" w:rsidRDefault="00C83701" w:rsidP="00BB6F0B">
            <w:pPr>
              <w:spacing w:after="120" w:line="276" w:lineRule="auto"/>
              <w:jc w:val="both"/>
              <w:rPr>
                <w:rFonts w:ascii="Verdana" w:hAnsi="Verdana"/>
                <w:color w:val="0D0D0D"/>
              </w:rPr>
            </w:pPr>
            <w:proofErr w:type="spellStart"/>
            <w:r w:rsidRPr="00BB6F0B">
              <w:rPr>
                <w:rFonts w:ascii="Verdana" w:eastAsia="Verdana" w:hAnsi="Verdana" w:cs="Verdana"/>
              </w:rPr>
              <w:t>ii</w:t>
            </w:r>
            <w:proofErr w:type="spellEnd"/>
            <w:r w:rsidRPr="00BB6F0B">
              <w:rPr>
                <w:rFonts w:ascii="Verdana" w:eastAsia="Verdana" w:hAnsi="Verdana" w:cs="Verdana"/>
              </w:rPr>
              <w:t xml:space="preserve">. </w:t>
            </w:r>
            <w:r w:rsidRPr="000565B4">
              <w:rPr>
                <w:rFonts w:ascii="Verdana" w:eastAsia="Verdana" w:hAnsi="Verdana" w:cs="Verdana"/>
              </w:rPr>
              <w:t>En relación con el segundo problema jurídico, se considera que el artículo 9 de la Ley 80 de 1993 reguló la consecuencia jurídica derivada de la configuración de una inhabilidad o incompatibilidad sobreviniente respecto de uno de los integrantes de un consorcio o unión temporal, consistente en el deber de ceder su participación a un tercero, previa autorización escrita de la entidad contratante. Sin embargo, la disposición no previó expresamente cuál es la consecuencia jurídica cuando el integrante afectado incumple dicho deber o cuando la cesión resulta materialmente imposible por la inexistencia de un cesionario idóneo, por la imposibilidad de obtener la autorización correspondiente o por cualquier otra circunstancia. En efecto, corresponde interpretar las reglas del sistema de compras públicas de manera sistemática, atendiendo a la finalidad del régimen de inhabilidades e incompatibilidades y a las potestades excepcionales conferidas a las entidades estatales por el Estatuto General de Contratación de la Administración Pública.</w:t>
            </w:r>
          </w:p>
          <w:p w14:paraId="0488DDD6"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 xml:space="preserve">En primer lugar, no resulta procedente acudir a la terminación unilateral prevista en el inciso segundo del artículo 45 de la Ley 80 de 1993, por cuanto dicha modalidad de terminación constituye una consecuencia de la configuración de una causal de nulidad absoluta del contrato. Esta figura presupone que la inhabilidad o incompatibilidad existía desde el momento mismo de la celebración del contrato y, por tanto, afectó su validez desde el </w:t>
            </w:r>
            <w:r w:rsidRPr="000565B4">
              <w:rPr>
                <w:rFonts w:ascii="Verdana" w:eastAsia="Verdana" w:hAnsi="Verdana" w:cs="Verdana"/>
              </w:rPr>
              <w:lastRenderedPageBreak/>
              <w:t>origen. En contraste, la consulta versa sobre una inhabilidad sobreviniente, esto es, una circunstancia que surge durante la ejecución del contrato, respecto de la cual el legislador estableció un tratamiento específico en el artículo 9 de la Ley 80 de 1993. Por ello, extender las consecuencias previstas para la nulidad absoluta a un supuesto diferente desconocería el carácter taxativo y de interpretación restrictiva tanto del régimen de inhabilidades e incompatibilidades como de las causales de nulidad absoluta del contrato estatal.</w:t>
            </w:r>
          </w:p>
          <w:p w14:paraId="11B30A40"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De igual manera, la sola negativa del integrante afectado a ceder su participación o la imposibilidad objetiva de materializar la cesión no conducen, por sí mismas, a la declaratoria de caducidad del contrato. Esta constituye una potestad excepcional de naturaleza sancionatoria, cuya procedencia exige la acreditación de los presupuestos establecidos en el artículo 18 de la Ley 80 de 1993, particularmente, la existencia de un incumplimiento grave y directo de las obligaciones contractuales que afecte la ejecución del contrato y evidencie que puede conducir a su paralización. En consecuencia, la mera configuración de una inhabilidad sobreviniente no permite identificar automáticamente la caducidad como la consecuencia jurídica prevista por el ordenamiento, sin perjuicio de que la entidad, en el caso concreto, valore si la renuencia persistente del integrante a cumplir el deber legal de cesión configura los presupuestos de dicha potestad.</w:t>
            </w:r>
          </w:p>
          <w:p w14:paraId="1C9CF2DF"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No obstante, una vez declarada la existencia de la inhabilidad con observancia del debido proceso, requerido el integrante para que cumpla el deber legal de ceder su participación y constatado que dicho mecanismo no pudo hacerse efectivo, la entidad estatal ya no dispone del instrumento expresamente diseñado por el legislador para preservar la continuidad del contrato. En tales condiciones, mantener la ejecución contractual con la participación de quien ha perdido la capacidad para contratar con el Estado implicaría desconocer la finalidad del artículo 9 de la Ley 80 de 1993 y permitir la permanencia de una situación incompatible con el régimen de inhabilidades e incompatibilidades.</w:t>
            </w:r>
          </w:p>
          <w:p w14:paraId="4C1E22A3"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 xml:space="preserve">En criterio de esta Agencia, en ese escenario la entidad podrá valorar la procedencia de la terminación unilateral prevista en el numeral 1 del artículo 17 de la Ley 80 de 1993, cuando la continuidad del contrato resulte incompatible con las exigencias del servicio público. Lo anterior encuentra </w:t>
            </w:r>
            <w:r w:rsidRPr="000565B4">
              <w:rPr>
                <w:rFonts w:ascii="Verdana" w:eastAsia="Verdana" w:hAnsi="Verdana" w:cs="Verdana"/>
              </w:rPr>
              <w:lastRenderedPageBreak/>
              <w:t>sustento en la necesidad de preservar la legalidad, la moralidad, la transparencia y el interés general que inspiran la contratación estatal, así como en la imposibilidad de admitir que el incumplimiento del deber legal de cesión produzca un efecto favorable para el integrante inhabilitado, permitiéndole permanecer vinculado a la ejecución del contrato. En todo caso, esta potestad deberá ejercerse mediante acto administrativo debidamente motivado, en el que la entidad justifique, con fundamento en las circunstancias concretas del caso, las razones de hecho y de derecho que hacen incompatible la continuidad del contrato con las finalidades del servicio público. En este aspecto, no basta la mera constatación formal de la inhabilidad: la entidad debe acreditar que su permanencia compromete de manera efectiva la ejecución del contrato y el cumplimiento de los fines estatales.</w:t>
            </w:r>
          </w:p>
          <w:p w14:paraId="3B23A7F3"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Con todo, la procedencia de esta vía está condicionada por el régimen de las cláusulas excepcionales previsto en el artículo 14 de la Ley 80 de 1993. De una parte, la terminación unilateral solo podrá ejercerse en aquellos contratos en los que, conforme al numeral 2 del artículo 14, las cláusulas excepcionales se pactaron o se entienden pactadas, de modo que no constituye una herramienta disponible en todas las tipologías contractuales. De otra parte, el numeral 1 del mismo artículo dispone que, al ejercerse esta potestad, deberá procederse al reconocimiento y orden de pago de las compensaciones e indemnizaciones a que tengan derecho las personas objeto de tales medidas. En consecuencia, al motivar el acto, la entidad deberá examinar cuidadosamente este aspecto, teniendo en cuenta que la jurisprudencia constitucional ha precisado que las consecuencias derivadas de la inhabilidad sobreviniente constituyen medidas objetivas que no comprometen la responsabilidad de la administración, de manera que la situación originada en la esfera del integrante inhabilitado no puede convertirse en fuente de reconocimientos patrimoniales injustificados a favor del contratista.</w:t>
            </w:r>
          </w:p>
          <w:p w14:paraId="61EEDBDC"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 xml:space="preserve">Sobre el particular, esta Subdirección precisa el alcance de la postura expuesta en el Concepto C-059 del 13 de junio de 2023, conforme a la cual, ante la inhabilidad sobreviniente de un integrante del consorcio o unión temporal, el ordenamiento solo prevé el mecanismo de la cesión de la participación como vía para la continuidad del contrato. Dicha conclusión se mantiene en cuanto a que la cesión es el único instrumento previsto por el </w:t>
            </w:r>
            <w:r w:rsidRPr="000565B4">
              <w:rPr>
                <w:rFonts w:ascii="Verdana" w:eastAsia="Verdana" w:hAnsi="Verdana" w:cs="Verdana"/>
              </w:rPr>
              <w:lastRenderedPageBreak/>
              <w:t>legislador para conservar el vínculo contractual; no obstante, el presente concepto la complementa en el sentido de que, agotado dicho mecanismo sin resultado, la entidad no está obligada a mantener indefinidamente la ejecución del contrato en condiciones contrarias al régimen de inhabilidades, sino que podrá valorar la terminación unilateral en los términos aquí expuestos.</w:t>
            </w:r>
          </w:p>
          <w:p w14:paraId="237564CF"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Ahora bien, cualquiera que sea la vía que la entidad adopte —terminación unilateral del numeral 1 del artículo 17 o, en el evento excepcional en que se acrediten sus presupuestos, la caducidad del artículo 18—, la validez del acto administrativo dependerá de la correspondencia estricta entre la causal legal invocada y los fundamentos fácticos y jurídicos expuestos en su motivación. La jurisprudencia del Consejo de Estado ha sido constante en señalar que estas potestades son de interpretación restrictiva y que su ejercicio por fuera de los supuestos legales, o con una sustentación fáctica que no corresponda a la causal invocada, vicia el acto de nulidad por falsa motivación o por infracción de las normas en que debía fundarse. En consecuencia, la entidad no puede motivar la terminación unilateral en la inhabilidad misma —pues esta no es causal autónoma de terminación—, sino en la incompatibilidad sobreviniente entre la continuidad del contrato y las exigencias del servicio público, debidamente acreditada; ni puede declarar la caducidad invocando la sola inhabilidad, sino únicamente un incumplimiento grave que afecte de manera directa la ejecución del contrato y amenace su paralización, plenamente demostrado en la actuación. La confusión entre estas causales, o la motivación del acto en una figura cuyos presupuestos no se configuran, expone la decisión a su anulación por el juez del contrato, con las consecuencias indemnizatorias correspondientes.</w:t>
            </w:r>
          </w:p>
          <w:p w14:paraId="69A92387" w14:textId="77777777" w:rsidR="00C83701" w:rsidRPr="000565B4" w:rsidRDefault="00C83701" w:rsidP="00BB6F0B">
            <w:pPr>
              <w:spacing w:after="120" w:line="276" w:lineRule="auto"/>
              <w:ind w:firstLine="709"/>
              <w:jc w:val="both"/>
              <w:rPr>
                <w:rFonts w:ascii="Verdana" w:eastAsia="Verdana" w:hAnsi="Verdana" w:cs="Verdana"/>
              </w:rPr>
            </w:pPr>
            <w:r w:rsidRPr="000565B4">
              <w:rPr>
                <w:rFonts w:ascii="Verdana" w:eastAsia="Verdana" w:hAnsi="Verdana" w:cs="Verdana"/>
              </w:rPr>
              <w:t xml:space="preserve">En todo caso, la Administración tiene el deber de analizar alternativas que permitan gestionar o superar la situación derivada de la inhabilidad sobreviniente, de modo que la terminación unilateral opere únicamente como último recurso para salvaguardar el interés público y asegurar la continuidad del servicio. Cuando ello sea procedente y compatible con los fines de la contratación estatal, la entidad puede valorar la celebración de un acuerdo con el contratista para la terminación del contrato, privilegiando soluciones concertadas que mitiguen los impactos negativos sobre la gestión pública y faciliten una transición ordenada en la ejecución contractual. Igualmente, cuando la entidad no disponga de la potestad de terminación unilateral o </w:t>
            </w:r>
            <w:r w:rsidRPr="000565B4">
              <w:rPr>
                <w:rFonts w:ascii="Verdana" w:eastAsia="Verdana" w:hAnsi="Verdana" w:cs="Verdana"/>
              </w:rPr>
              <w:lastRenderedPageBreak/>
              <w:t>considere que sus presupuestos no se satisfacen, podrá acudir al juez del contrato mediante el medio de control de controversias contractuales previsto en el artículo 141 de la Ley 1437 de 2011, con el fin de que se defina la terminación del vínculo y las consecuencias correspondientes.</w:t>
            </w:r>
          </w:p>
          <w:p w14:paraId="18C4D314" w14:textId="41DC115E" w:rsidR="00C83701" w:rsidRPr="000565B4" w:rsidRDefault="00C83701" w:rsidP="00BB6F0B">
            <w:pPr>
              <w:spacing w:after="120" w:line="276" w:lineRule="auto"/>
              <w:jc w:val="both"/>
              <w:rPr>
                <w:rFonts w:ascii="Verdana" w:eastAsia="Verdana" w:hAnsi="Verdana" w:cs="Verdana"/>
              </w:rPr>
            </w:pPr>
            <w:r w:rsidRPr="000565B4">
              <w:rPr>
                <w:rFonts w:ascii="Verdana" w:eastAsia="Verdana" w:hAnsi="Verdana" w:cs="Verdana"/>
              </w:rPr>
              <w:t>iii. En referencia al tercer problema jurídico, esta Agencia considera que la renuncia a la ejecución del contrato prevista en el artículo 9 de la Ley 80 de 1993 no resulta aplicable cuando la inhabilidad o incompatibilidad sobreviene respecto de uno de los integrantes de un consorcio o una unión temporal. El legislador estableció un tratamiento distinto para esta modalidad asociativa, disponiendo expresamente que, en tales eventos, el integrante afectado deberá ceder su participación a un tercero, previa autorización escrita de la entidad contratante. En este aspecto, la cesión constituye el mecanismo específico diseñado por el ordenamiento para remover la participación del integrante inhabilitado y preservar, en la medida de lo posible, la continuidad del contrato.</w:t>
            </w:r>
          </w:p>
          <w:p w14:paraId="51E2625B" w14:textId="77777777" w:rsidR="00C83701" w:rsidRPr="000565B4" w:rsidRDefault="00C83701" w:rsidP="00F32815">
            <w:pPr>
              <w:spacing w:after="120" w:line="276" w:lineRule="auto"/>
              <w:ind w:firstLine="709"/>
              <w:jc w:val="both"/>
              <w:rPr>
                <w:rFonts w:ascii="Verdana" w:eastAsia="Verdana" w:hAnsi="Verdana" w:cs="Verdana"/>
              </w:rPr>
            </w:pPr>
            <w:r w:rsidRPr="000565B4">
              <w:rPr>
                <w:rFonts w:ascii="Verdana" w:eastAsia="Verdana" w:hAnsi="Verdana" w:cs="Verdana"/>
              </w:rPr>
              <w:t xml:space="preserve">Esta interpretación encuentra respaldo tanto en el tenor literal del artículo 9 de la Ley 80 de 1993 como en la jurisprudencia constitucional y contencioso administrativa, que ha destacado que las consecuencias derivadas de las inhabilidades e incompatibilidades corresponden a medidas objetivas encaminadas a garantizar que quien se encuentra inmerso en una de estas no continúe vinculado a la ejecución del contrato. De igual forma, el Consejo de Estado ha precisado que, tratándose de consorcios y uniones temporales, el efecto jurídico previsto por el legislador es la cesión de la participación del integrante afectado y no la renuncia a la ejecución del contrato.  </w:t>
            </w:r>
          </w:p>
          <w:p w14:paraId="74E430D2"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En ese sentido, la renuncia no constituye un mecanismo alternativo a la cesión ni puede entenderse como un presupuesto para que la entidad ejerza las competencias que el ordenamiento le atribuye frente a la continuidad del contrato. Admitir lo contrario implicaría extender al consorcio o unión temporal una consecuencia prevista para el contratista individual, desconociendo que el propio legislador reguló de manera especial los efectos de las inhabilidades sobrevinientes en esta clase de esquemas asociativos.</w:t>
            </w:r>
          </w:p>
          <w:p w14:paraId="7131DA7A" w14:textId="77777777" w:rsidR="00C83701" w:rsidRPr="000565B4" w:rsidRDefault="00C83701">
            <w:pPr>
              <w:spacing w:after="120" w:line="276" w:lineRule="auto"/>
              <w:ind w:firstLine="709"/>
              <w:jc w:val="both"/>
              <w:rPr>
                <w:rFonts w:ascii="Verdana" w:eastAsia="Verdana" w:hAnsi="Verdana" w:cs="Verdana"/>
              </w:rPr>
            </w:pPr>
            <w:r w:rsidRPr="000565B4">
              <w:rPr>
                <w:rFonts w:ascii="Verdana" w:eastAsia="Verdana" w:hAnsi="Verdana" w:cs="Verdana"/>
              </w:rPr>
              <w:t xml:space="preserve">Por consiguiente, la decisión que finalmente adopte la entidad no depende de la manifestación de voluntad del integrante inhabilitado de renunciar o no a la ejecución del contrato, sino del cumplimiento de las actuaciones previstas por el ordenamiento jurídico y de la verificación de los </w:t>
            </w:r>
            <w:r w:rsidRPr="000565B4">
              <w:rPr>
                <w:rFonts w:ascii="Verdana" w:eastAsia="Verdana" w:hAnsi="Verdana" w:cs="Verdana"/>
              </w:rPr>
              <w:lastRenderedPageBreak/>
              <w:t>presupuestos legales correspondientes. En virtud de lo anterior, una vez establecida la inhabilidad con observancia del debido proceso y constatado que el mecanismo de cesión no pudo hacerse efectivo, la entidad podrá adoptar la decisión que en derecho corresponda, sin que la ausencia de una renuncia constituya un obstáculo para ello. Ello evita, además, que el integrante afectado pueda impedir la aplicación de los efectos jurídicos previstos por el legislador mediante su propia negativa a cumplir el deber legal de ceder su participación, resultado incompatible con los principios de buena fe, legalidad y moralidad administrativa que fundamentan la contratación estatal.</w:t>
            </w:r>
          </w:p>
          <w:p w14:paraId="19D648A1" w14:textId="209773A2" w:rsidR="00F242CC" w:rsidRPr="00A54773" w:rsidRDefault="00C83701" w:rsidP="00584DA6">
            <w:pPr>
              <w:tabs>
                <w:tab w:val="left" w:pos="426"/>
              </w:tabs>
              <w:spacing w:after="120" w:line="276" w:lineRule="auto"/>
              <w:ind w:firstLine="425"/>
              <w:jc w:val="both"/>
              <w:rPr>
                <w:rFonts w:ascii="Verdana" w:hAnsi="Verdana" w:cs="Arial"/>
                <w:lang w:val="es-ES"/>
              </w:rPr>
            </w:pPr>
            <w:r w:rsidRPr="000565B4">
              <w:rPr>
                <w:rFonts w:ascii="Verdana" w:eastAsia="Verdana" w:hAnsi="Verdana" w:cs="Verdana"/>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sobre las inhabilidades sobrevinientes, sino que brinda elementos de carácter general para que adopten la decisión que corresponda, lo cual es acorde con el principio de juridicidad. Así, cada entidad definirá la forma de adelantar su gestión contractual, sin que sea atribución de Colombia Compra Eficiente validarla.</w:t>
            </w:r>
          </w:p>
        </w:tc>
      </w:tr>
      <w:bookmarkEnd w:id="3"/>
    </w:tbl>
    <w:p w14:paraId="1EB92289" w14:textId="77777777" w:rsidR="006B5BC9" w:rsidRDefault="006B5BC9" w:rsidP="00584DA6">
      <w:pPr>
        <w:tabs>
          <w:tab w:val="left" w:pos="142"/>
          <w:tab w:val="left" w:pos="284"/>
        </w:tabs>
        <w:spacing w:after="0" w:line="276" w:lineRule="auto"/>
        <w:ind w:left="360"/>
        <w:jc w:val="both"/>
        <w:rPr>
          <w:rFonts w:ascii="Verdana" w:eastAsia="Century Gothic" w:hAnsi="Verdana" w:cs="Century Gothic"/>
          <w:b/>
          <w:bCs/>
        </w:rPr>
      </w:pPr>
    </w:p>
    <w:p w14:paraId="270DF914" w14:textId="71673069" w:rsidR="00F242CC" w:rsidRPr="00A77871" w:rsidRDefault="00F242CC" w:rsidP="00584DA6">
      <w:pPr>
        <w:numPr>
          <w:ilvl w:val="0"/>
          <w:numId w:val="16"/>
        </w:numPr>
        <w:tabs>
          <w:tab w:val="left" w:pos="142"/>
          <w:tab w:val="left" w:pos="284"/>
        </w:tabs>
        <w:spacing w:after="0" w:line="276" w:lineRule="auto"/>
        <w:jc w:val="both"/>
        <w:rPr>
          <w:rFonts w:ascii="Verdana" w:eastAsia="Century Gothic" w:hAnsi="Verdana" w:cs="Century Gothic"/>
          <w:b/>
          <w:bCs/>
        </w:rPr>
      </w:pPr>
      <w:r w:rsidRPr="00A77871">
        <w:rPr>
          <w:rFonts w:ascii="Verdana" w:eastAsia="Century Gothic" w:hAnsi="Verdana" w:cs="Century Gothic"/>
          <w:b/>
          <w:bCs/>
        </w:rPr>
        <w:t>Razones de la respuesta:</w:t>
      </w:r>
    </w:p>
    <w:p w14:paraId="538A50C0" w14:textId="77777777" w:rsidR="006B5BC9" w:rsidRDefault="006B5BC9" w:rsidP="006B5BC9">
      <w:pPr>
        <w:spacing w:after="0" w:line="276" w:lineRule="auto"/>
        <w:jc w:val="both"/>
        <w:rPr>
          <w:rFonts w:ascii="Verdana" w:eastAsia="Calibri" w:hAnsi="Verdana" w:cs="Arial"/>
        </w:rPr>
      </w:pPr>
    </w:p>
    <w:p w14:paraId="5E194E2E" w14:textId="082D7912" w:rsidR="00F242CC" w:rsidRDefault="00F242CC" w:rsidP="00584DA6">
      <w:pPr>
        <w:spacing w:after="0" w:line="276" w:lineRule="auto"/>
        <w:jc w:val="both"/>
        <w:rPr>
          <w:rFonts w:ascii="Verdana" w:eastAsia="Calibri" w:hAnsi="Verdana" w:cs="Arial"/>
        </w:rPr>
      </w:pPr>
      <w:r w:rsidRPr="00454A35">
        <w:rPr>
          <w:rFonts w:ascii="Verdana" w:eastAsia="Calibri" w:hAnsi="Verdana" w:cs="Arial"/>
        </w:rPr>
        <w:t>Lo anterior se sustenta en las siguientes consideraciones:</w:t>
      </w:r>
    </w:p>
    <w:p w14:paraId="0CAE882F" w14:textId="77777777" w:rsidR="006B5BC9" w:rsidRDefault="006B5BC9" w:rsidP="006B5BC9">
      <w:pPr>
        <w:spacing w:after="0" w:line="276" w:lineRule="auto"/>
        <w:jc w:val="both"/>
        <w:rPr>
          <w:rFonts w:ascii="Verdana" w:eastAsia="Verdana" w:hAnsi="Verdana" w:cs="Verdana"/>
        </w:rPr>
      </w:pPr>
    </w:p>
    <w:p w14:paraId="6CF0B259" w14:textId="7C48B757" w:rsidR="001F2C08" w:rsidRPr="000565B4" w:rsidRDefault="001F2C08" w:rsidP="00584DA6">
      <w:pPr>
        <w:spacing w:after="0" w:line="276" w:lineRule="auto"/>
        <w:jc w:val="both"/>
        <w:rPr>
          <w:rFonts w:ascii="Verdana" w:eastAsia="Verdana" w:hAnsi="Verdana" w:cs="Verdana"/>
        </w:rPr>
      </w:pPr>
      <w:r w:rsidRPr="000565B4">
        <w:rPr>
          <w:rFonts w:ascii="Verdana" w:eastAsia="Verdana" w:hAnsi="Verdana" w:cs="Verdana"/>
        </w:rPr>
        <w:t xml:space="preserve">Las inhabilidades son circunstancias establecidas por la Constitución o la ley que impiden que personas naturales o jurídicas sean elegidas o designadas en un cargo público, celebren contratos con el Estado, o no puedan ejercer una profesión, con el objetivo de garantizar la idoneidad, imparcialidad, probidad, transparencia y moralidad de la función pública, garantizando el interés general. De igual modo, en torno a la incompatibilidad, la Corte Constitucional ha señalado: </w:t>
      </w:r>
    </w:p>
    <w:p w14:paraId="68F6EABA" w14:textId="77777777" w:rsidR="001F2C08" w:rsidRPr="000565B4" w:rsidRDefault="001F2C08" w:rsidP="006B5BC9">
      <w:pPr>
        <w:spacing w:after="0" w:line="276" w:lineRule="auto"/>
        <w:jc w:val="both"/>
        <w:rPr>
          <w:rFonts w:ascii="Verdana" w:eastAsia="Verdana" w:hAnsi="Verdana" w:cs="Verdana"/>
          <w:sz w:val="20"/>
          <w:szCs w:val="20"/>
        </w:rPr>
      </w:pPr>
    </w:p>
    <w:p w14:paraId="6397DF13"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w:t>
      </w:r>
      <w:r w:rsidRPr="000565B4">
        <w:rPr>
          <w:rFonts w:ascii="Verdana" w:eastAsia="Verdana" w:hAnsi="Verdana" w:cs="Verdana"/>
          <w:sz w:val="20"/>
          <w:szCs w:val="20"/>
        </w:rPr>
        <w:lastRenderedPageBreak/>
        <w:t>todo caso, de afectar la imparcialidad y la independencia que deben guiar las actuaciones de quien ejerce la autoridad en nombre del Estado”</w:t>
      </w:r>
      <w:r w:rsidRPr="000565B4">
        <w:rPr>
          <w:rFonts w:ascii="Verdana" w:eastAsia="Verdana" w:hAnsi="Verdana" w:cs="Verdana"/>
          <w:sz w:val="20"/>
          <w:szCs w:val="20"/>
          <w:vertAlign w:val="superscript"/>
        </w:rPr>
        <w:footnoteReference w:id="2"/>
      </w:r>
      <w:r w:rsidRPr="000565B4">
        <w:rPr>
          <w:rFonts w:ascii="Verdana" w:eastAsia="Verdana" w:hAnsi="Verdana" w:cs="Verdana"/>
          <w:sz w:val="20"/>
          <w:szCs w:val="20"/>
        </w:rPr>
        <w:t>.</w:t>
      </w:r>
    </w:p>
    <w:p w14:paraId="5455BF42" w14:textId="77777777" w:rsidR="001F2C08" w:rsidRPr="000565B4" w:rsidRDefault="001F2C08" w:rsidP="001F2C08">
      <w:pPr>
        <w:spacing w:after="0" w:line="240" w:lineRule="auto"/>
        <w:ind w:left="709" w:right="709"/>
        <w:jc w:val="both"/>
        <w:rPr>
          <w:rFonts w:ascii="Verdana" w:eastAsia="Verdana" w:hAnsi="Verdana" w:cs="Verdana"/>
          <w:sz w:val="21"/>
          <w:szCs w:val="21"/>
        </w:rPr>
      </w:pPr>
    </w:p>
    <w:p w14:paraId="78971B45" w14:textId="03181FCF" w:rsidR="001F2C08" w:rsidRPr="000565B4" w:rsidRDefault="001F2C08" w:rsidP="001F2C08">
      <w:pPr>
        <w:spacing w:after="120" w:line="276" w:lineRule="auto"/>
        <w:ind w:firstLine="709"/>
        <w:jc w:val="both"/>
        <w:rPr>
          <w:rFonts w:ascii="Verdana" w:eastAsia="Verdana" w:hAnsi="Verdana" w:cs="Verdana"/>
        </w:rPr>
      </w:pPr>
      <w:r w:rsidRPr="000565B4">
        <w:rPr>
          <w:rFonts w:ascii="Verdana" w:eastAsia="Verdana" w:hAnsi="Verdana" w:cs="Verdana"/>
        </w:rPr>
        <w:t xml:space="preserve">Las inhabilidades e incompatibilidades pueden enfocarse en varios asuntos: en primer lugar, se encuentran las inhabilidades e incompatibilidades que impiden que una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De acuerdo con lo expuesto, se señala que la Agencia Nacional de Contratación Pública </w:t>
      </w:r>
      <w:r w:rsidR="00741708">
        <w:rPr>
          <w:rFonts w:ascii="Verdana" w:eastAsia="Verdana" w:hAnsi="Verdana" w:cs="Verdana"/>
        </w:rPr>
        <w:t xml:space="preserve">– Colombia Compra Eficiente </w:t>
      </w:r>
      <w:r w:rsidRPr="000565B4">
        <w:rPr>
          <w:rFonts w:ascii="Verdana" w:eastAsia="Verdana" w:hAnsi="Verdana" w:cs="Verdana"/>
        </w:rPr>
        <w:t xml:space="preserve">es competente para resolver consultas sobre normas del sistema de compras y contratación públicas que establezcan inhabilidades e incompatibilidades para contratar con el Estado. </w:t>
      </w:r>
    </w:p>
    <w:p w14:paraId="57FE0D2B" w14:textId="6C2FB898" w:rsidR="001F2C08" w:rsidRPr="000565B4" w:rsidRDefault="001F2C08" w:rsidP="001F2C08">
      <w:pPr>
        <w:spacing w:after="120" w:line="276" w:lineRule="auto"/>
        <w:ind w:firstLine="709"/>
        <w:jc w:val="both"/>
        <w:rPr>
          <w:rFonts w:ascii="Verdana" w:eastAsia="Verdana" w:hAnsi="Verdana" w:cs="Verdana"/>
        </w:rPr>
      </w:pPr>
      <w:r w:rsidRPr="000565B4">
        <w:rPr>
          <w:rFonts w:ascii="Verdana" w:eastAsia="Verdana" w:hAnsi="Verdana" w:cs="Verdana"/>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0565B4">
        <w:rPr>
          <w:rFonts w:ascii="Verdana" w:eastAsia="Verdana" w:hAnsi="Verdana" w:cs="Verdana"/>
          <w:vertAlign w:val="superscript"/>
        </w:rPr>
        <w:footnoteReference w:id="3"/>
      </w:r>
      <w:r w:rsidR="009232B4">
        <w:rPr>
          <w:rFonts w:ascii="Verdana" w:eastAsia="Verdana" w:hAnsi="Verdana" w:cs="Verdana"/>
        </w:rPr>
        <w:t>.</w:t>
      </w:r>
    </w:p>
    <w:p w14:paraId="484C0210" w14:textId="77777777" w:rsidR="001F2C08" w:rsidRPr="000565B4" w:rsidRDefault="001F2C08" w:rsidP="001F2C08">
      <w:pPr>
        <w:spacing w:before="120" w:after="0" w:line="276" w:lineRule="auto"/>
        <w:ind w:firstLine="709"/>
        <w:jc w:val="both"/>
        <w:rPr>
          <w:rFonts w:ascii="Verdana" w:eastAsia="Verdana" w:hAnsi="Verdana" w:cs="Verdana"/>
        </w:rPr>
      </w:pPr>
      <w:r w:rsidRPr="000565B4">
        <w:rPr>
          <w:rFonts w:ascii="Verdana" w:eastAsia="Verdana" w:hAnsi="Verdana" w:cs="Verdana"/>
        </w:rPr>
        <w:t xml:space="preserve">La regulación de las inhabilidades implica limitaciones a la capacidad jurídica para contratar, que desarrolla los principios de la función administrativa consagrados en el artículo 209 de la Constitución Política, con especial énfasis, el de moralidad. Así lo entiende el Consejo de Estado: </w:t>
      </w:r>
    </w:p>
    <w:p w14:paraId="26F7F8AE" w14:textId="77777777" w:rsidR="001F2C08" w:rsidRPr="000565B4" w:rsidRDefault="001F2C08" w:rsidP="001F2C08">
      <w:pPr>
        <w:spacing w:after="0" w:line="276" w:lineRule="auto"/>
        <w:jc w:val="both"/>
        <w:rPr>
          <w:rFonts w:ascii="Verdana" w:eastAsia="Verdana" w:hAnsi="Verdana" w:cs="Verdana"/>
        </w:rPr>
      </w:pPr>
    </w:p>
    <w:p w14:paraId="120BEF06" w14:textId="77777777" w:rsidR="001F2C08" w:rsidRPr="000565B4" w:rsidRDefault="001F2C08" w:rsidP="009232B4">
      <w:pPr>
        <w:shd w:val="clear" w:color="auto" w:fill="FFFFFF"/>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lastRenderedPageBreak/>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6EDD7B6A" w14:textId="77777777" w:rsidR="001F2C08" w:rsidRPr="000565B4" w:rsidRDefault="001F2C08">
      <w:pPr>
        <w:shd w:val="clear" w:color="auto" w:fill="FFFFFF"/>
        <w:spacing w:after="0" w:line="240" w:lineRule="auto"/>
        <w:ind w:left="709" w:right="709"/>
        <w:jc w:val="both"/>
        <w:rPr>
          <w:rFonts w:ascii="Verdana" w:eastAsia="Verdana" w:hAnsi="Verdana" w:cs="Verdana"/>
          <w:sz w:val="20"/>
          <w:szCs w:val="20"/>
        </w:rPr>
      </w:pPr>
    </w:p>
    <w:p w14:paraId="41D4813A" w14:textId="77777777" w:rsidR="001F2C08" w:rsidRPr="000565B4" w:rsidRDefault="001F2C08">
      <w:pPr>
        <w:shd w:val="clear" w:color="auto" w:fill="FFFFFF"/>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0565B4">
        <w:rPr>
          <w:rFonts w:ascii="Verdana" w:eastAsia="Verdana" w:hAnsi="Verdana" w:cs="Verdana"/>
          <w:sz w:val="20"/>
          <w:szCs w:val="20"/>
          <w:vertAlign w:val="superscript"/>
        </w:rPr>
        <w:footnoteReference w:id="4"/>
      </w:r>
    </w:p>
    <w:p w14:paraId="106E6152" w14:textId="77777777" w:rsidR="001F2C08" w:rsidRPr="00584DA6" w:rsidRDefault="001F2C08" w:rsidP="00584DA6">
      <w:pPr>
        <w:shd w:val="clear" w:color="auto" w:fill="FFFFFF"/>
        <w:spacing w:after="0" w:line="276" w:lineRule="auto"/>
        <w:ind w:left="709" w:right="709"/>
        <w:jc w:val="both"/>
        <w:rPr>
          <w:rFonts w:ascii="Verdana" w:eastAsia="Verdana" w:hAnsi="Verdana" w:cs="Verdana"/>
        </w:rPr>
      </w:pPr>
    </w:p>
    <w:p w14:paraId="759832B2" w14:textId="77777777" w:rsidR="001F2C08" w:rsidRPr="000565B4" w:rsidRDefault="001F2C08" w:rsidP="009232B4">
      <w:pPr>
        <w:spacing w:after="0" w:line="276" w:lineRule="auto"/>
        <w:ind w:firstLine="709"/>
        <w:jc w:val="both"/>
        <w:rPr>
          <w:rFonts w:ascii="Verdana" w:eastAsia="Verdana" w:hAnsi="Verdana" w:cs="Verdana"/>
        </w:rPr>
      </w:pPr>
      <w:r w:rsidRPr="000565B4">
        <w:rPr>
          <w:rFonts w:ascii="Verdana" w:eastAsia="Verdana" w:hAnsi="Verdana" w:cs="Verdana"/>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6ADDC16F" w14:textId="77777777" w:rsidR="001F2C08" w:rsidRPr="000565B4" w:rsidRDefault="001F2C08">
      <w:pPr>
        <w:spacing w:after="0" w:line="276" w:lineRule="auto"/>
        <w:rPr>
          <w:rFonts w:ascii="Verdana" w:eastAsia="Verdana" w:hAnsi="Verdana" w:cs="Verdana"/>
          <w:sz w:val="21"/>
          <w:szCs w:val="21"/>
          <w:highlight w:val="white"/>
        </w:rPr>
      </w:pPr>
    </w:p>
    <w:p w14:paraId="5852B962"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w:t>
      </w:r>
      <w:r w:rsidRPr="000565B4">
        <w:rPr>
          <w:rFonts w:ascii="Verdana" w:eastAsia="Verdana" w:hAnsi="Verdana" w:cs="Verdana"/>
          <w:sz w:val="20"/>
          <w:szCs w:val="20"/>
        </w:rPr>
        <w:lastRenderedPageBreak/>
        <w:t>incompatibilidades, se erige en causal de nulidad del contrato celebrado en esas condiciones (ley 80 de 1993, art. 44).</w:t>
      </w:r>
    </w:p>
    <w:p w14:paraId="789EBA64" w14:textId="77777777" w:rsidR="001F2C08" w:rsidRPr="000565B4" w:rsidRDefault="001F2C08" w:rsidP="001F2C08">
      <w:pPr>
        <w:spacing w:after="0" w:line="240" w:lineRule="auto"/>
        <w:ind w:left="709" w:right="709"/>
        <w:jc w:val="both"/>
        <w:rPr>
          <w:rFonts w:ascii="Verdana" w:eastAsia="Verdana" w:hAnsi="Verdana" w:cs="Verdana"/>
          <w:sz w:val="20"/>
          <w:szCs w:val="20"/>
        </w:rPr>
      </w:pPr>
    </w:p>
    <w:p w14:paraId="7C618DB4"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0565B4">
        <w:rPr>
          <w:rFonts w:ascii="Verdana" w:eastAsia="Verdana" w:hAnsi="Verdana" w:cs="Verdana"/>
          <w:sz w:val="20"/>
          <w:szCs w:val="20"/>
          <w:vertAlign w:val="superscript"/>
        </w:rPr>
        <w:footnoteReference w:id="5"/>
      </w:r>
      <w:r w:rsidRPr="000565B4">
        <w:rPr>
          <w:rFonts w:ascii="Verdana" w:eastAsia="Verdana" w:hAnsi="Verdana" w:cs="Verdana"/>
          <w:sz w:val="20"/>
          <w:szCs w:val="20"/>
        </w:rPr>
        <w:t xml:space="preserve">. </w:t>
      </w:r>
    </w:p>
    <w:p w14:paraId="45862A80" w14:textId="77777777" w:rsidR="001F2C08" w:rsidRPr="000565B4" w:rsidRDefault="001F2C08" w:rsidP="00584DA6">
      <w:pPr>
        <w:spacing w:after="0" w:line="276" w:lineRule="auto"/>
        <w:jc w:val="both"/>
        <w:rPr>
          <w:rFonts w:ascii="Verdana" w:eastAsia="Verdana" w:hAnsi="Verdana" w:cs="Verdana"/>
          <w:sz w:val="20"/>
          <w:szCs w:val="20"/>
        </w:rPr>
      </w:pPr>
    </w:p>
    <w:p w14:paraId="471950EF" w14:textId="77777777" w:rsidR="001F2C08" w:rsidRPr="000565B4" w:rsidRDefault="001F2C08" w:rsidP="00D11E02">
      <w:pPr>
        <w:spacing w:after="0" w:line="276" w:lineRule="auto"/>
        <w:ind w:firstLine="709"/>
        <w:jc w:val="both"/>
        <w:rPr>
          <w:rFonts w:ascii="Verdana" w:eastAsia="Verdana" w:hAnsi="Verdana" w:cs="Verdana"/>
        </w:rPr>
      </w:pPr>
      <w:r w:rsidRPr="000565B4">
        <w:rPr>
          <w:rFonts w:ascii="Verdana" w:eastAsia="Verdana" w:hAnsi="Verdana" w:cs="Verdana"/>
        </w:rPr>
        <w:t>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expedición compete al Congreso de la República a la luz del artículo 150 de la Constitución Política, y que en esta materia rige el principio de legalidad:</w:t>
      </w:r>
    </w:p>
    <w:p w14:paraId="3142B1E6" w14:textId="77777777" w:rsidR="001F2C08" w:rsidRPr="000565B4" w:rsidRDefault="001F2C08">
      <w:pPr>
        <w:tabs>
          <w:tab w:val="left" w:pos="1532"/>
        </w:tabs>
        <w:spacing w:after="0" w:line="276" w:lineRule="auto"/>
        <w:jc w:val="both"/>
        <w:rPr>
          <w:rFonts w:ascii="Verdana" w:eastAsia="Verdana" w:hAnsi="Verdana" w:cs="Verdana"/>
        </w:rPr>
      </w:pPr>
    </w:p>
    <w:p w14:paraId="66AF8C8F"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0565B4">
        <w:rPr>
          <w:rFonts w:ascii="Verdana" w:eastAsia="Verdana" w:hAnsi="Verdana" w:cs="Verdana"/>
          <w:sz w:val="20"/>
          <w:szCs w:val="20"/>
        </w:rPr>
        <w:t>libertate</w:t>
      </w:r>
      <w:proofErr w:type="spellEnd"/>
      <w:r w:rsidRPr="000565B4">
        <w:rPr>
          <w:rFonts w:ascii="Verdana" w:eastAsia="Verdana" w:hAnsi="Verdana" w:cs="Verdana"/>
          <w:sz w:val="20"/>
          <w:szCs w:val="20"/>
        </w:rPr>
        <w:t xml:space="preserve">, sino el de legalidad, el que ordena que la función pública debe someterse estrictamente a lo que disponga la Constitución y la ley (CP art. 6). </w:t>
      </w:r>
    </w:p>
    <w:p w14:paraId="77B03924"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w:t>
      </w:r>
    </w:p>
    <w:p w14:paraId="3E8D0932"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0565B4">
        <w:rPr>
          <w:rFonts w:ascii="Verdana" w:eastAsia="Verdana" w:hAnsi="Verdana" w:cs="Verdana"/>
          <w:sz w:val="20"/>
          <w:szCs w:val="20"/>
          <w:vertAlign w:val="superscript"/>
        </w:rPr>
        <w:footnoteReference w:id="6"/>
      </w:r>
      <w:r w:rsidRPr="000565B4">
        <w:rPr>
          <w:rFonts w:ascii="Verdana" w:eastAsia="Verdana" w:hAnsi="Verdana" w:cs="Verdana"/>
          <w:sz w:val="20"/>
          <w:szCs w:val="20"/>
        </w:rPr>
        <w:t>.</w:t>
      </w:r>
    </w:p>
    <w:p w14:paraId="43A6AB64" w14:textId="77777777" w:rsidR="001F2C08" w:rsidRPr="00584DA6" w:rsidRDefault="001F2C08" w:rsidP="00B42F06">
      <w:pPr>
        <w:spacing w:after="0" w:line="276" w:lineRule="auto"/>
        <w:ind w:left="709" w:right="709"/>
        <w:jc w:val="both"/>
        <w:rPr>
          <w:rFonts w:ascii="Verdana" w:eastAsia="Verdana" w:hAnsi="Verdana" w:cs="Verdana"/>
        </w:rPr>
      </w:pPr>
    </w:p>
    <w:p w14:paraId="6C09E834" w14:textId="77777777" w:rsidR="001F2C08" w:rsidRPr="000565B4" w:rsidRDefault="001F2C08" w:rsidP="00D925A4">
      <w:pPr>
        <w:spacing w:after="120" w:line="276" w:lineRule="auto"/>
        <w:ind w:firstLine="709"/>
        <w:jc w:val="both"/>
        <w:rPr>
          <w:rFonts w:ascii="Verdana" w:eastAsia="Verdana" w:hAnsi="Verdana" w:cs="Verdana"/>
        </w:rPr>
      </w:pPr>
      <w:r w:rsidRPr="000565B4">
        <w:rPr>
          <w:rFonts w:ascii="Verdana" w:eastAsia="Verdana" w:hAnsi="Verdana" w:cs="Verdana"/>
        </w:rPr>
        <w:lastRenderedPageBreak/>
        <w:t>Conviene también distinguir las fuentes de las inhabilidades, las cuales han sido clasificadas en dos (2) grupos: i) inhabilidades-sanción y ii)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0565B4">
        <w:rPr>
          <w:rFonts w:ascii="Verdana" w:eastAsia="Verdana" w:hAnsi="Verdana" w:cs="Verdana"/>
          <w:vertAlign w:val="superscript"/>
        </w:rPr>
        <w:footnoteReference w:id="7"/>
      </w:r>
      <w:r w:rsidRPr="000565B4">
        <w:rPr>
          <w:rFonts w:ascii="Verdana" w:eastAsia="Verdana" w:hAnsi="Verdana" w:cs="Verdana"/>
        </w:rPr>
        <w:t>.</w:t>
      </w:r>
    </w:p>
    <w:p w14:paraId="531DFAAA" w14:textId="77777777" w:rsidR="001F2C08" w:rsidRPr="000565B4" w:rsidRDefault="001F2C08" w:rsidP="001F2C08">
      <w:pPr>
        <w:spacing w:before="120" w:after="120" w:line="276" w:lineRule="auto"/>
        <w:ind w:firstLine="708"/>
        <w:jc w:val="both"/>
        <w:rPr>
          <w:rFonts w:ascii="Verdana" w:eastAsia="Verdana" w:hAnsi="Verdana" w:cs="Verdana"/>
        </w:rPr>
      </w:pPr>
      <w:r w:rsidRPr="000565B4">
        <w:rPr>
          <w:rFonts w:ascii="Verdana" w:eastAsia="Verdana" w:hAnsi="Verdana" w:cs="Verdana"/>
        </w:rPr>
        <w:t>A manera de ejemplo, en materia contractual, los literales c), d) y j) del numeral 1 del artículo 8 de la Ley 80 de 1993</w:t>
      </w:r>
      <w:r w:rsidRPr="000565B4">
        <w:rPr>
          <w:rFonts w:ascii="Verdana" w:eastAsia="Verdana" w:hAnsi="Verdana" w:cs="Verdana"/>
          <w:vertAlign w:val="superscript"/>
        </w:rPr>
        <w:footnoteReference w:id="8"/>
      </w:r>
      <w:r w:rsidRPr="000565B4">
        <w:rPr>
          <w:rFonts w:ascii="Verdana" w:eastAsia="Verdana" w:hAnsi="Verdana" w:cs="Verdana"/>
        </w:rPr>
        <w:t xml:space="preserve"> establecen inhabilidades-sanción, </w:t>
      </w:r>
      <w:r w:rsidRPr="000565B4">
        <w:rPr>
          <w:rFonts w:ascii="Verdana" w:eastAsia="Verdana" w:hAnsi="Verdana" w:cs="Verdana"/>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40263BA0" w14:textId="77777777" w:rsidR="001F2C08" w:rsidRPr="000565B4" w:rsidRDefault="001F2C08" w:rsidP="001F2C08">
      <w:pPr>
        <w:spacing w:before="120" w:after="120" w:line="276" w:lineRule="auto"/>
        <w:ind w:firstLine="709"/>
        <w:jc w:val="both"/>
        <w:rPr>
          <w:rFonts w:ascii="Verdana" w:eastAsia="Verdana" w:hAnsi="Verdana" w:cs="Verdana"/>
        </w:rPr>
      </w:pPr>
      <w:r w:rsidRPr="000565B4">
        <w:rPr>
          <w:rFonts w:ascii="Verdana" w:eastAsia="Verdana" w:hAnsi="Verdana" w:cs="Verdana"/>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15CA4A3C" w14:textId="77777777" w:rsidR="001F2C08" w:rsidRPr="000565B4" w:rsidRDefault="001F2C08" w:rsidP="001F2C08">
      <w:pPr>
        <w:spacing w:before="120" w:after="120" w:line="276" w:lineRule="auto"/>
        <w:ind w:firstLine="709"/>
        <w:jc w:val="both"/>
        <w:rPr>
          <w:rFonts w:ascii="Verdana" w:eastAsia="Verdana" w:hAnsi="Verdana" w:cs="Verdana"/>
        </w:rPr>
      </w:pPr>
      <w:r w:rsidRPr="000565B4">
        <w:rPr>
          <w:rFonts w:ascii="Verdana" w:eastAsia="Verdana" w:hAnsi="Verdana" w:cs="Verdana"/>
        </w:rPr>
        <w:lastRenderedPageBreak/>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0565B4">
        <w:rPr>
          <w:rFonts w:ascii="Verdana" w:eastAsia="Verdana" w:hAnsi="Verdana" w:cs="Verdana"/>
          <w:i/>
        </w:rPr>
        <w:t>restrictiva</w:t>
      </w:r>
      <w:r w:rsidRPr="000565B4">
        <w:rPr>
          <w:rFonts w:ascii="Verdana" w:eastAsia="Verdana" w:hAnsi="Verdana" w:cs="Verdana"/>
          <w:i/>
          <w:vertAlign w:val="superscript"/>
        </w:rPr>
        <w:footnoteReference w:id="9"/>
      </w:r>
      <w:r w:rsidRPr="000565B4">
        <w:rPr>
          <w:rFonts w:ascii="Verdana" w:eastAsia="Verdana" w:hAnsi="Verdana" w:cs="Verdana"/>
          <w:i/>
        </w:rPr>
        <w:t xml:space="preserve">, </w:t>
      </w:r>
      <w:r w:rsidRPr="000565B4">
        <w:rPr>
          <w:rFonts w:ascii="Verdana" w:eastAsia="Verdana" w:hAnsi="Verdana" w:cs="Verdana"/>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0C8EA2DC" w14:textId="77777777" w:rsidR="001F2C08" w:rsidRPr="000565B4" w:rsidRDefault="001F2C08" w:rsidP="001F2C08">
      <w:pPr>
        <w:spacing w:after="120" w:line="276" w:lineRule="auto"/>
        <w:ind w:firstLine="709"/>
        <w:jc w:val="both"/>
        <w:rPr>
          <w:rFonts w:ascii="Verdana" w:eastAsia="Verdana" w:hAnsi="Verdana" w:cs="Verdana"/>
        </w:rPr>
      </w:pPr>
      <w:r w:rsidRPr="000565B4">
        <w:rPr>
          <w:rFonts w:ascii="Verdana" w:eastAsia="Verdana" w:hAnsi="Verdana" w:cs="Verdana"/>
        </w:rPr>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0565B4">
        <w:rPr>
          <w:rFonts w:ascii="Verdana" w:eastAsia="Verdana" w:hAnsi="Verdana" w:cs="Verdana"/>
          <w:vertAlign w:val="superscript"/>
        </w:rPr>
        <w:footnoteReference w:id="10"/>
      </w:r>
      <w:r w:rsidRPr="000565B4">
        <w:rPr>
          <w:rFonts w:ascii="Verdana" w:eastAsia="Verdana" w:hAnsi="Verdana" w:cs="Verdana"/>
        </w:rPr>
        <w:t xml:space="preserve">. </w:t>
      </w:r>
    </w:p>
    <w:p w14:paraId="570A9B33" w14:textId="77777777" w:rsidR="001F2C08" w:rsidRPr="000565B4" w:rsidRDefault="001F2C08" w:rsidP="001F2C08">
      <w:pPr>
        <w:spacing w:after="0" w:line="276" w:lineRule="auto"/>
        <w:ind w:firstLine="709"/>
        <w:jc w:val="both"/>
        <w:rPr>
          <w:rFonts w:ascii="Verdana" w:eastAsia="Verdana" w:hAnsi="Verdana" w:cs="Verdana"/>
        </w:rPr>
      </w:pPr>
      <w:r w:rsidRPr="000565B4">
        <w:rPr>
          <w:rFonts w:ascii="Verdana" w:eastAsia="Verdana" w:hAnsi="Verdana" w:cs="Verdana"/>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0565B4">
        <w:rPr>
          <w:rFonts w:ascii="Verdana" w:eastAsia="Verdana" w:hAnsi="Verdana" w:cs="Verdana"/>
          <w:vertAlign w:val="superscript"/>
        </w:rPr>
        <w:footnoteReference w:id="11"/>
      </w:r>
      <w:r w:rsidRPr="000565B4">
        <w:rPr>
          <w:rFonts w:ascii="Verdana" w:eastAsia="Verdana" w:hAnsi="Verdana" w:cs="Verdana"/>
        </w:rPr>
        <w:t>. En tal sentido, la Sección Tercera ha señalado que:</w:t>
      </w:r>
    </w:p>
    <w:p w14:paraId="4CF0E618" w14:textId="77777777" w:rsidR="001F2C08" w:rsidRPr="000565B4" w:rsidRDefault="001F2C08" w:rsidP="001F2C08">
      <w:pPr>
        <w:spacing w:after="0" w:line="276" w:lineRule="auto"/>
        <w:ind w:firstLine="709"/>
        <w:jc w:val="both"/>
        <w:rPr>
          <w:rFonts w:ascii="Verdana" w:eastAsia="Verdana" w:hAnsi="Verdana" w:cs="Verdana"/>
        </w:rPr>
      </w:pPr>
    </w:p>
    <w:p w14:paraId="50B7F624" w14:textId="77777777" w:rsidR="001F2C08" w:rsidRPr="000565B4" w:rsidRDefault="001F2C08" w:rsidP="001F2C08">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de conformidad con la jurisprudencia uniforme y reiterada de esta Corporación, la aplicación de las normas que contemplan inhabilidades e incompatibilidades, como en general de todas aquellas que comportan prohibiciones o limitaciones, deben responder a una interpretación </w:t>
      </w:r>
      <w:r w:rsidRPr="000565B4">
        <w:rPr>
          <w:rFonts w:ascii="Verdana" w:eastAsia="Verdana" w:hAnsi="Verdana" w:cs="Verdana"/>
          <w:sz w:val="20"/>
          <w:szCs w:val="20"/>
        </w:rPr>
        <w:lastRenderedPageBreak/>
        <w:t>restrictiva que no permite su extensión, por vía de la figura de la analogía, a supuestos no contemplados por el ordenamiento</w:t>
      </w:r>
      <w:r w:rsidRPr="000565B4">
        <w:rPr>
          <w:rFonts w:ascii="Verdana" w:eastAsia="Verdana" w:hAnsi="Verdana" w:cs="Verdana"/>
          <w:sz w:val="20"/>
          <w:szCs w:val="20"/>
          <w:vertAlign w:val="superscript"/>
        </w:rPr>
        <w:footnoteReference w:id="12"/>
      </w:r>
      <w:r w:rsidRPr="000565B4">
        <w:rPr>
          <w:rFonts w:ascii="Verdana" w:eastAsia="Verdana" w:hAnsi="Verdana" w:cs="Verdana"/>
          <w:sz w:val="20"/>
          <w:szCs w:val="20"/>
        </w:rPr>
        <w:t>.</w:t>
      </w:r>
    </w:p>
    <w:p w14:paraId="3C6AB199" w14:textId="77777777" w:rsidR="001F2C08" w:rsidRPr="000565B4" w:rsidRDefault="001F2C08" w:rsidP="001F2C08">
      <w:pPr>
        <w:spacing w:after="0" w:line="240" w:lineRule="auto"/>
        <w:ind w:firstLine="709"/>
        <w:jc w:val="both"/>
        <w:rPr>
          <w:rFonts w:ascii="Verdana" w:eastAsia="Verdana" w:hAnsi="Verdana" w:cs="Verdana"/>
          <w:sz w:val="20"/>
          <w:szCs w:val="20"/>
        </w:rPr>
      </w:pPr>
    </w:p>
    <w:p w14:paraId="642C1159" w14:textId="77777777" w:rsidR="001F2C08" w:rsidRPr="000565B4" w:rsidRDefault="001F2C08" w:rsidP="001F2C08">
      <w:pPr>
        <w:spacing w:after="0" w:line="240" w:lineRule="auto"/>
        <w:ind w:firstLine="709"/>
        <w:jc w:val="both"/>
        <w:rPr>
          <w:rFonts w:ascii="Verdana" w:eastAsia="Verdana" w:hAnsi="Verdana" w:cs="Verdana"/>
          <w:sz w:val="20"/>
          <w:szCs w:val="20"/>
        </w:rPr>
      </w:pPr>
      <w:r w:rsidRPr="000565B4">
        <w:rPr>
          <w:rFonts w:ascii="Verdana" w:eastAsia="Verdana" w:hAnsi="Verdana" w:cs="Verdana"/>
          <w:sz w:val="20"/>
          <w:szCs w:val="20"/>
        </w:rPr>
        <w:t>También ha dicho que:</w:t>
      </w:r>
    </w:p>
    <w:p w14:paraId="09A26A36" w14:textId="77777777" w:rsidR="001F2C08" w:rsidRPr="000565B4" w:rsidRDefault="001F2C08" w:rsidP="001F2C08">
      <w:pPr>
        <w:spacing w:after="0" w:line="240" w:lineRule="auto"/>
        <w:ind w:left="709" w:right="616"/>
        <w:jc w:val="both"/>
        <w:rPr>
          <w:rFonts w:ascii="Verdana" w:eastAsia="Verdana" w:hAnsi="Verdana" w:cs="Verdana"/>
          <w:sz w:val="20"/>
          <w:szCs w:val="20"/>
        </w:rPr>
      </w:pPr>
      <w:r w:rsidRPr="000565B4">
        <w:rPr>
          <w:rFonts w:ascii="Verdana" w:eastAsia="Verdana" w:hAnsi="Verdana" w:cs="Verdana"/>
          <w:sz w:val="20"/>
          <w:szCs w:val="20"/>
        </w:rPr>
        <w:t xml:space="preserve">[…] la aplicación de estos preceptos exige una interpretación restrictiva, dado que según el principio hermenéutico </w:t>
      </w:r>
      <w:r w:rsidRPr="000565B4">
        <w:rPr>
          <w:rFonts w:ascii="Verdana" w:eastAsia="Verdana" w:hAnsi="Verdana" w:cs="Verdana"/>
          <w:i/>
          <w:sz w:val="20"/>
          <w:szCs w:val="20"/>
        </w:rPr>
        <w:t xml:space="preserve">pro </w:t>
      </w:r>
      <w:proofErr w:type="spellStart"/>
      <w:r w:rsidRPr="000565B4">
        <w:rPr>
          <w:rFonts w:ascii="Verdana" w:eastAsia="Verdana" w:hAnsi="Verdana" w:cs="Verdana"/>
          <w:i/>
          <w:sz w:val="20"/>
          <w:szCs w:val="20"/>
        </w:rPr>
        <w:t>libertate</w:t>
      </w:r>
      <w:proofErr w:type="spellEnd"/>
      <w:r w:rsidRPr="000565B4">
        <w:rPr>
          <w:rFonts w:ascii="Verdana" w:eastAsia="Verdana" w:hAnsi="Verdana" w:cs="Verdana"/>
          <w:sz w:val="20"/>
          <w:szCs w:val="20"/>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0565B4">
        <w:rPr>
          <w:rFonts w:ascii="Verdana" w:eastAsia="Verdana" w:hAnsi="Verdana" w:cs="Verdana"/>
          <w:sz w:val="20"/>
          <w:szCs w:val="20"/>
          <w:vertAlign w:val="superscript"/>
        </w:rPr>
        <w:footnoteReference w:id="13"/>
      </w:r>
      <w:r w:rsidRPr="000565B4">
        <w:rPr>
          <w:rFonts w:ascii="Verdana" w:eastAsia="Verdana" w:hAnsi="Verdana" w:cs="Verdana"/>
          <w:sz w:val="20"/>
          <w:szCs w:val="20"/>
        </w:rPr>
        <w:t>.</w:t>
      </w:r>
    </w:p>
    <w:p w14:paraId="36D15C28" w14:textId="77777777" w:rsidR="001F2C08" w:rsidRPr="000565B4" w:rsidRDefault="001F2C08" w:rsidP="001F2C08">
      <w:pPr>
        <w:spacing w:after="0" w:line="276" w:lineRule="auto"/>
        <w:jc w:val="both"/>
        <w:rPr>
          <w:rFonts w:ascii="Verdana" w:eastAsia="Verdana" w:hAnsi="Verdana" w:cs="Verdana"/>
          <w:color w:val="000000"/>
          <w:sz w:val="20"/>
          <w:szCs w:val="20"/>
        </w:rPr>
      </w:pPr>
    </w:p>
    <w:p w14:paraId="18C92966" w14:textId="32932CE0" w:rsidR="001F2C08" w:rsidRPr="000565B4" w:rsidRDefault="001F2C08" w:rsidP="001F2C08">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 xml:space="preserve">Como se aprecia, el principio </w:t>
      </w:r>
      <w:r w:rsidRPr="000565B4">
        <w:rPr>
          <w:rFonts w:ascii="Verdana" w:eastAsia="Verdana" w:hAnsi="Verdana" w:cs="Verdana"/>
          <w:i/>
          <w:color w:val="000000"/>
        </w:rPr>
        <w:t xml:space="preserve">pro </w:t>
      </w:r>
      <w:proofErr w:type="spellStart"/>
      <w:r w:rsidRPr="000565B4">
        <w:rPr>
          <w:rFonts w:ascii="Verdana" w:eastAsia="Verdana" w:hAnsi="Verdana" w:cs="Verdana"/>
          <w:i/>
          <w:color w:val="000000"/>
        </w:rPr>
        <w:t>libertate</w:t>
      </w:r>
      <w:proofErr w:type="spellEnd"/>
      <w:r w:rsidRPr="000565B4">
        <w:rPr>
          <w:rFonts w:ascii="Verdana" w:eastAsia="Verdana" w:hAnsi="Verdana" w:cs="Verdana"/>
          <w:color w:val="000000"/>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 Corte Constitucional ha resaltado que la competencia para determinar qué hechos o situaciones generan inhabilidades o incompatibilidades para contratar con el Estado la tiene el legislador, pues este régimen es un aspecto propio del </w:t>
      </w:r>
      <w:r w:rsidR="00B91F5E">
        <w:rPr>
          <w:rFonts w:ascii="Verdana" w:eastAsia="Verdana" w:hAnsi="Verdana" w:cs="Verdana"/>
          <w:color w:val="000000"/>
        </w:rPr>
        <w:t>EGCAP</w:t>
      </w:r>
      <w:r w:rsidRPr="000565B4">
        <w:rPr>
          <w:rFonts w:ascii="Verdana" w:eastAsia="Verdana" w:hAnsi="Verdana" w:cs="Verdana"/>
          <w:color w:val="000000"/>
        </w:rPr>
        <w:t>, cuya expedición compete al Congreso de la República, conforme al artículo 150 de la Constitución Política, y que en esta materia rige el principio de legalidad</w:t>
      </w:r>
      <w:r w:rsidRPr="000565B4">
        <w:rPr>
          <w:rFonts w:ascii="Verdana" w:eastAsia="Verdana" w:hAnsi="Verdana" w:cs="Verdana"/>
          <w:color w:val="000000"/>
          <w:vertAlign w:val="superscript"/>
        </w:rPr>
        <w:footnoteReference w:id="14"/>
      </w:r>
    </w:p>
    <w:p w14:paraId="7845F0BD" w14:textId="77777777" w:rsidR="001F2C08" w:rsidRPr="007C2393" w:rsidRDefault="001F2C08" w:rsidP="00BB6F0B">
      <w:pPr>
        <w:pBdr>
          <w:top w:val="nil"/>
          <w:left w:val="nil"/>
          <w:bottom w:val="nil"/>
          <w:right w:val="nil"/>
          <w:between w:val="nil"/>
        </w:pBdr>
        <w:spacing w:after="120" w:line="276" w:lineRule="auto"/>
        <w:ind w:firstLine="709"/>
        <w:jc w:val="both"/>
        <w:rPr>
          <w:rFonts w:ascii="Verdana" w:eastAsia="Verdana" w:hAnsi="Verdana" w:cs="Verdana"/>
          <w:color w:val="000000"/>
        </w:rPr>
      </w:pPr>
      <w:r w:rsidRPr="000565B4">
        <w:rPr>
          <w:rFonts w:ascii="Verdana" w:eastAsia="Verdana" w:hAnsi="Verdana" w:cs="Verdana"/>
          <w:highlight w:val="white"/>
        </w:rPr>
        <w:t>En este sentido, retomando una idea esbozada con anterioridad,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w:t>
      </w:r>
      <w:r w:rsidRPr="000565B4">
        <w:rPr>
          <w:rFonts w:ascii="Verdana" w:eastAsia="Verdana" w:hAnsi="Verdana" w:cs="Verdana"/>
          <w:highlight w:val="white"/>
          <w:vertAlign w:val="superscript"/>
        </w:rPr>
        <w:footnoteReference w:id="15"/>
      </w:r>
      <w:r w:rsidRPr="000565B4">
        <w:rPr>
          <w:rFonts w:ascii="Verdana" w:eastAsia="Verdana" w:hAnsi="Verdana" w:cs="Verdana"/>
          <w:highlight w:val="white"/>
        </w:rPr>
        <w:t xml:space="preserve"> En similar sentido, la Sala de Consulta y Servicio Civil del Consejo de Estado expresó </w:t>
      </w:r>
      <w:r w:rsidRPr="000565B4">
        <w:rPr>
          <w:rFonts w:ascii="Verdana" w:eastAsia="Verdana" w:hAnsi="Verdana" w:cs="Verdana"/>
          <w:color w:val="000000"/>
          <w:highlight w:val="white"/>
        </w:rPr>
        <w:t xml:space="preserve">que “[…] las </w:t>
      </w:r>
      <w:r w:rsidRPr="000565B4">
        <w:rPr>
          <w:rFonts w:ascii="Verdana" w:eastAsia="Verdana" w:hAnsi="Verdana" w:cs="Verdana"/>
          <w:color w:val="000000"/>
          <w:highlight w:val="white"/>
        </w:rPr>
        <w:lastRenderedPageBreak/>
        <w:t>causales de inhabilidad e incompatibilidad deben estar expresa y taxativamente establecidas en la Constitución o en la ley y son de aplicación e interpretación restrictivas […]”</w:t>
      </w:r>
      <w:r w:rsidRPr="000565B4">
        <w:rPr>
          <w:rFonts w:ascii="Verdana" w:eastAsia="Verdana" w:hAnsi="Verdana" w:cs="Verdana"/>
          <w:color w:val="000000"/>
          <w:highlight w:val="white"/>
          <w:vertAlign w:val="superscript"/>
        </w:rPr>
        <w:footnoteReference w:id="16"/>
      </w:r>
      <w:r w:rsidRPr="000565B4">
        <w:rPr>
          <w:rFonts w:ascii="Verdana" w:eastAsia="Verdana" w:hAnsi="Verdana" w:cs="Verdana"/>
          <w:color w:val="000000"/>
          <w:highlight w:val="white"/>
        </w:rPr>
        <w:t xml:space="preserve">. Como se observa, existe consenso, incluso como lo ha expresado esta Agencia en ocasiones anteriores, que la creación de inhabilidades </w:t>
      </w:r>
      <w:r w:rsidRPr="007C2393">
        <w:rPr>
          <w:rFonts w:ascii="Verdana" w:eastAsia="Verdana" w:hAnsi="Verdana" w:cs="Verdana"/>
          <w:color w:val="000000"/>
        </w:rPr>
        <w:t>o incompatibilidades está reservada al constituyente o al legislador.</w:t>
      </w:r>
    </w:p>
    <w:p w14:paraId="49E694DB" w14:textId="6E6B1E79" w:rsidR="000F4739" w:rsidRPr="000565B4" w:rsidRDefault="001F2C08" w:rsidP="007C2393">
      <w:pPr>
        <w:pBdr>
          <w:top w:val="nil"/>
          <w:left w:val="nil"/>
          <w:bottom w:val="nil"/>
          <w:right w:val="nil"/>
          <w:between w:val="nil"/>
        </w:pBdr>
        <w:spacing w:after="120" w:line="276" w:lineRule="auto"/>
        <w:ind w:firstLine="709"/>
        <w:jc w:val="both"/>
        <w:rPr>
          <w:rFonts w:ascii="Verdana" w:eastAsia="Verdana" w:hAnsi="Verdana" w:cs="Verdana"/>
          <w:color w:val="000000"/>
        </w:rPr>
      </w:pPr>
      <w:r w:rsidRPr="000565B4">
        <w:rPr>
          <w:rFonts w:ascii="Verdana" w:eastAsia="Verdana" w:hAnsi="Verdana" w:cs="Verdana"/>
          <w:color w:val="000000"/>
        </w:rPr>
        <w:t xml:space="preserve">Por otra parte, frente </w:t>
      </w:r>
      <w:r w:rsidR="00815F9B" w:rsidRPr="000565B4">
        <w:rPr>
          <w:rFonts w:ascii="Verdana" w:eastAsia="Verdana" w:hAnsi="Verdana" w:cs="Verdana"/>
          <w:color w:val="000000"/>
        </w:rPr>
        <w:t>a las</w:t>
      </w:r>
      <w:r w:rsidRPr="000565B4">
        <w:rPr>
          <w:rFonts w:ascii="Verdana" w:eastAsia="Verdana" w:hAnsi="Verdana" w:cs="Verdana"/>
          <w:color w:val="000000"/>
        </w:rPr>
        <w:t xml:space="preserve"> inhabilidades o incompatibilidades que tienen carácter sobreviniente, es necesario tener en cuenta que el ordenamiento jurídico trata de manera distinta al oferente, al adjudicatario y al contratista. </w:t>
      </w:r>
      <w:r w:rsidRPr="000565B4">
        <w:rPr>
          <w:rFonts w:ascii="Verdana" w:eastAsia="Verdana" w:hAnsi="Verdana" w:cs="Verdana"/>
          <w:i/>
          <w:color w:val="000000"/>
        </w:rPr>
        <w:t>Respecto al oferente</w:t>
      </w:r>
      <w:r w:rsidRPr="000565B4">
        <w:rPr>
          <w:rFonts w:ascii="Verdana" w:eastAsia="Verdana" w:hAnsi="Verdana" w:cs="Verdana"/>
          <w:color w:val="000000"/>
        </w:rPr>
        <w:t>,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w:t>
      </w:r>
      <w:r w:rsidR="000F4739">
        <w:rPr>
          <w:rFonts w:ascii="Verdana" w:eastAsia="Verdana" w:hAnsi="Verdana" w:cs="Verdana"/>
          <w:color w:val="000000"/>
        </w:rPr>
        <w:t xml:space="preserve"> </w:t>
      </w:r>
    </w:p>
    <w:p w14:paraId="53F05886" w14:textId="1274949A" w:rsidR="001F2C08" w:rsidRPr="000565B4" w:rsidRDefault="001F2C08" w:rsidP="00584DA6">
      <w:pPr>
        <w:pBdr>
          <w:top w:val="nil"/>
          <w:left w:val="nil"/>
          <w:bottom w:val="nil"/>
          <w:right w:val="nil"/>
          <w:between w:val="nil"/>
        </w:pBdr>
        <w:spacing w:after="120" w:line="276" w:lineRule="auto"/>
        <w:ind w:firstLine="709"/>
        <w:jc w:val="both"/>
        <w:rPr>
          <w:rFonts w:ascii="Verdana" w:eastAsia="Verdana" w:hAnsi="Verdana" w:cs="Verdana"/>
          <w:color w:val="000000"/>
        </w:rPr>
      </w:pPr>
      <w:r w:rsidRPr="000565B4">
        <w:rPr>
          <w:rFonts w:ascii="Verdana" w:eastAsia="Verdana" w:hAnsi="Verdana" w:cs="Verdana"/>
          <w:color w:val="000000"/>
        </w:rPr>
        <w:t>Dicha presunción de renuncia a la participación y a los derechos surgidos del mismo, en caso de contar con resolución de adjudicación, debe interpretarse en conjunto con el artículo 9 de la Ley 1150 de 2007, el cual consagra dos (2) reglas especiales en los que la norma da la posibilidad a una Entidad Estatal para que adjudique nuevamente el contrato al proponente calificado en segundo lugar, y esto es, cuando dentro del plazo comprendido entre la adjudicación del contrato y la suscripción del mismo, el acto administrativo de adjudicación es revocado porque sobrevino una inhabilidad o incompatibilidad o si se demuestra que el acto se obtuvo por medios ilegales, caso en el cual, “la entidad podrá aplicar lo previsto en el inciso final del numeral 12 del artículo 30 de la Ley 80 de 1993”.</w:t>
      </w:r>
      <w:r w:rsidR="000F4739">
        <w:rPr>
          <w:rFonts w:ascii="Verdana" w:eastAsia="Verdana" w:hAnsi="Verdana" w:cs="Verdana"/>
          <w:color w:val="000000"/>
        </w:rPr>
        <w:t xml:space="preserve"> </w:t>
      </w:r>
      <w:r w:rsidRPr="000565B4">
        <w:rPr>
          <w:rFonts w:ascii="Verdana" w:eastAsia="Verdana" w:hAnsi="Verdana" w:cs="Verdana"/>
          <w:color w:val="000000"/>
        </w:rPr>
        <w:t>La segunda regla, trata de aquellos casos en que la Entidad Estatal declare la caducidad del contrato y se encuentre pendiente de ejecución un porcentaje igual o superior al cincuenta por ciento (50%) del mismo, la norma indica que la Entidad Estatal podrá contratar al proponente calificado en el segundo lugar en el proceso de selección respectivo, previa revisión de las condiciones a que haya lugar, con excepción de los contratos de concesión.</w:t>
      </w:r>
    </w:p>
    <w:p w14:paraId="4680FE1F" w14:textId="1D759876" w:rsidR="001F2C08" w:rsidRPr="000565B4" w:rsidRDefault="001F2C08" w:rsidP="001F2C08">
      <w:pPr>
        <w:spacing w:after="0" w:line="276" w:lineRule="auto"/>
        <w:ind w:firstLine="708"/>
        <w:jc w:val="both"/>
        <w:rPr>
          <w:rFonts w:ascii="Verdana" w:eastAsia="Verdana" w:hAnsi="Verdana" w:cs="Verdana"/>
          <w:color w:val="000000"/>
        </w:rPr>
      </w:pPr>
      <w:r w:rsidRPr="000565B4">
        <w:rPr>
          <w:rFonts w:ascii="Verdana" w:eastAsia="Verdana" w:hAnsi="Verdana" w:cs="Verdana"/>
          <w:color w:val="000000"/>
        </w:rPr>
        <w:t xml:space="preserve">En relación </w:t>
      </w:r>
      <w:r w:rsidRPr="000565B4">
        <w:rPr>
          <w:rFonts w:ascii="Verdana" w:eastAsia="Verdana" w:hAnsi="Verdana" w:cs="Verdana"/>
          <w:i/>
          <w:iCs/>
          <w:color w:val="000000"/>
        </w:rPr>
        <w:t>al contratista</w:t>
      </w:r>
      <w:r w:rsidRPr="000565B4">
        <w:rPr>
          <w:rFonts w:ascii="Verdana" w:eastAsia="Verdana" w:hAnsi="Verdana" w:cs="Verdana"/>
          <w:color w:val="00000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0565B4">
        <w:rPr>
          <w:rFonts w:ascii="Verdana" w:eastAsia="Verdana" w:hAnsi="Verdana" w:cs="Verdana"/>
          <w:i/>
          <w:iCs/>
          <w:color w:val="000000"/>
        </w:rPr>
        <w:t>ibidem</w:t>
      </w:r>
      <w:r w:rsidRPr="000565B4">
        <w:rPr>
          <w:rFonts w:ascii="Verdana" w:eastAsia="Verdana" w:hAnsi="Verdana" w:cs="Verdana"/>
          <w:color w:val="000000"/>
        </w:rPr>
        <w:t xml:space="preserve"> agrega lo siguiente: “Si la inhabilidad o incompatibilidad </w:t>
      </w:r>
      <w:r w:rsidRPr="000565B4">
        <w:rPr>
          <w:rFonts w:ascii="Verdana" w:eastAsia="Verdana" w:hAnsi="Verdana" w:cs="Verdana"/>
          <w:color w:val="000000"/>
        </w:rPr>
        <w:lastRenderedPageBreak/>
        <w:t xml:space="preserve">sobreviene en uno de los miembros de un consorcio o unión temporal, este cederá su participación a un tercero previa autorización escrita de la entidad contratante. En ningún caso podrá haber cesión del contrato entre quienes integran el consorcio o unión temporal”. </w:t>
      </w:r>
      <w:r w:rsidR="005847AD">
        <w:rPr>
          <w:rFonts w:ascii="Verdana" w:eastAsia="Verdana" w:hAnsi="Verdana" w:cs="Verdana"/>
          <w:color w:val="000000"/>
        </w:rPr>
        <w:t>Sobre</w:t>
      </w:r>
      <w:r w:rsidRPr="000565B4">
        <w:rPr>
          <w:rFonts w:ascii="Verdana" w:eastAsia="Verdana" w:hAnsi="Verdana" w:cs="Verdana"/>
          <w:color w:val="000000"/>
        </w:rPr>
        <w:t xml:space="preserve"> este último supuesto, la doctrina expresa:</w:t>
      </w:r>
    </w:p>
    <w:p w14:paraId="5DA1C540" w14:textId="77777777" w:rsidR="001F2C08" w:rsidRPr="000565B4" w:rsidRDefault="001F2C08" w:rsidP="001F2C08">
      <w:pPr>
        <w:spacing w:after="0" w:line="276" w:lineRule="auto"/>
        <w:ind w:firstLine="708"/>
        <w:jc w:val="both"/>
        <w:rPr>
          <w:rFonts w:ascii="Verdana" w:eastAsia="Verdana" w:hAnsi="Verdana" w:cs="Verdana"/>
          <w:color w:val="000000"/>
        </w:rPr>
      </w:pPr>
    </w:p>
    <w:p w14:paraId="221907DC" w14:textId="77777777" w:rsidR="001F2C08" w:rsidRPr="000565B4" w:rsidRDefault="001F2C08" w:rsidP="001F2C08">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sz w:val="20"/>
          <w:szCs w:val="20"/>
        </w:rPr>
        <w:t>“</w:t>
      </w:r>
      <w:r w:rsidRPr="000565B4">
        <w:rPr>
          <w:rFonts w:ascii="Verdana" w:eastAsia="Verdana" w:hAnsi="Verdana" w:cs="Verdana"/>
          <w:color w:val="000000"/>
          <w:sz w:val="20"/>
          <w:szCs w:val="20"/>
        </w:rPr>
        <w:t xml:space="preserve">Es de resaltar que en este supuesto se está en presencia de una cesión de contrato y no, simplemente, de la cesión de la participación que tiene uno de los integrantes en el consorcio o unión temporal, a favor de un tercero. Esto es así, por cuanto existe una mutación subjetiva en una de las partes de la relación contractual: en efecto, el consorcio o la unión temporal que inicialmente se integra por A, B y C, deja de ser tal, al integrarse, luego de la cesión de A </w:t>
      </w:r>
      <w:proofErr w:type="spellStart"/>
      <w:r w:rsidRPr="000565B4">
        <w:rPr>
          <w:rFonts w:ascii="Verdana" w:eastAsia="Verdana" w:hAnsi="Verdana" w:cs="Verdana"/>
          <w:color w:val="000000"/>
          <w:sz w:val="20"/>
          <w:szCs w:val="20"/>
        </w:rPr>
        <w:t>a</w:t>
      </w:r>
      <w:proofErr w:type="spellEnd"/>
      <w:r w:rsidRPr="000565B4">
        <w:rPr>
          <w:rFonts w:ascii="Verdana" w:eastAsia="Verdana" w:hAnsi="Verdana" w:cs="Verdana"/>
          <w:color w:val="000000"/>
          <w:sz w:val="20"/>
          <w:szCs w:val="20"/>
        </w:rPr>
        <w:t xml:space="preserve"> favor de Z, por los siguientes sujetos: Z, B y C. Esta inferencia es relevante, pues en caso de que se admita que en dicho supuesto no existe cesión de contrato, se habilita la desintegración interna del consorcio, sin que la administración pueda tener control respecto del cambio, lo que desconoce lo dispuesto por el inciso tercero del Artículo 41 de la Ley 80 de 1993. Piénsese, por ejemplo, que en el consorcio o unión temporal que se integra por A, B y C, cada uno de ellos cede su participación respectivamente, a favor de Z, X y </w:t>
      </w:r>
      <w:proofErr w:type="spellStart"/>
      <w:r w:rsidRPr="000565B4">
        <w:rPr>
          <w:rFonts w:ascii="Verdana" w:eastAsia="Verdana" w:hAnsi="Verdana" w:cs="Verdana"/>
          <w:color w:val="000000"/>
          <w:sz w:val="20"/>
          <w:szCs w:val="20"/>
        </w:rPr>
        <w:t>Y</w:t>
      </w:r>
      <w:proofErr w:type="spellEnd"/>
      <w:r w:rsidRPr="000565B4">
        <w:rPr>
          <w:rFonts w:ascii="Verdana" w:eastAsia="Verdana" w:hAnsi="Verdana" w:cs="Verdana"/>
          <w:color w:val="000000"/>
          <w:sz w:val="20"/>
          <w:szCs w:val="20"/>
        </w:rPr>
        <w:t xml:space="preserve">; en este supuesto, por una voluntad autónoma de A, B y C, este consorcio o unión temporal desaparece para dar al conformado por Z, X y </w:t>
      </w:r>
      <w:proofErr w:type="spellStart"/>
      <w:r w:rsidRPr="000565B4">
        <w:rPr>
          <w:rFonts w:ascii="Verdana" w:eastAsia="Verdana" w:hAnsi="Verdana" w:cs="Verdana"/>
          <w:color w:val="000000"/>
          <w:sz w:val="20"/>
          <w:szCs w:val="20"/>
        </w:rPr>
        <w:t>Y</w:t>
      </w:r>
      <w:proofErr w:type="spellEnd"/>
      <w:r w:rsidRPr="000565B4">
        <w:rPr>
          <w:rFonts w:ascii="Verdana" w:eastAsia="Verdana" w:hAnsi="Verdana" w:cs="Verdana"/>
          <w:color w:val="000000"/>
          <w:sz w:val="20"/>
          <w:szCs w:val="20"/>
          <w:vertAlign w:val="superscript"/>
        </w:rPr>
        <w:footnoteReference w:id="17"/>
      </w:r>
      <w:r w:rsidRPr="000565B4">
        <w:rPr>
          <w:rFonts w:ascii="Verdana" w:eastAsia="Verdana" w:hAnsi="Verdana" w:cs="Verdana"/>
          <w:sz w:val="21"/>
          <w:szCs w:val="21"/>
        </w:rPr>
        <w:t>[…]”</w:t>
      </w:r>
      <w:r w:rsidRPr="000565B4">
        <w:rPr>
          <w:rFonts w:ascii="Verdana" w:eastAsia="Verdana" w:hAnsi="Verdana" w:cs="Verdana"/>
          <w:color w:val="000000"/>
          <w:sz w:val="20"/>
          <w:szCs w:val="20"/>
        </w:rPr>
        <w:t xml:space="preserve">. </w:t>
      </w:r>
    </w:p>
    <w:p w14:paraId="354F5412" w14:textId="77777777" w:rsidR="001F2C08" w:rsidRPr="00584DA6" w:rsidRDefault="001F2C08" w:rsidP="00584DA6">
      <w:pPr>
        <w:spacing w:after="0" w:line="276" w:lineRule="auto"/>
        <w:ind w:left="709" w:right="709"/>
        <w:jc w:val="both"/>
        <w:rPr>
          <w:rFonts w:ascii="Verdana" w:eastAsia="Verdana" w:hAnsi="Verdana" w:cs="Verdana"/>
          <w:color w:val="000000"/>
        </w:rPr>
      </w:pPr>
    </w:p>
    <w:p w14:paraId="3F590584" w14:textId="77777777" w:rsidR="001F2C08" w:rsidRPr="000565B4" w:rsidRDefault="001F2C08" w:rsidP="001F2C08">
      <w:pPr>
        <w:spacing w:after="120" w:line="276" w:lineRule="auto"/>
        <w:ind w:firstLine="708"/>
        <w:jc w:val="both"/>
        <w:rPr>
          <w:rFonts w:ascii="Verdana" w:eastAsia="Verdana" w:hAnsi="Verdana" w:cs="Verdana"/>
          <w:color w:val="000000"/>
        </w:rPr>
      </w:pPr>
      <w:r w:rsidRPr="000565B4">
        <w:rPr>
          <w:rFonts w:ascii="Verdana" w:eastAsia="Verdana" w:hAnsi="Verdana" w:cs="Verdana"/>
        </w:rPr>
        <w:t>En este escenario, en el que la inhabilidad o incompatibilidad sobreviene en uno de los miembros de un consorcio o unión temporal, este deberá ceder su participación a un tercero previa autorización escrita de la entidad contratante, lo cual implica que la continuidad del contrato solo puede asegurarse mediante una cesión externa, autorizada de manera previa, expresa y formal por la entidad, conforme a las exigencias del inciso tercero del artículo 41 de la Ley 80 de 1993</w:t>
      </w:r>
      <w:r w:rsidRPr="000565B4">
        <w:rPr>
          <w:rFonts w:ascii="Verdana" w:eastAsia="Verdana" w:hAnsi="Verdana" w:cs="Verdana"/>
          <w:vertAlign w:val="superscript"/>
        </w:rPr>
        <w:footnoteReference w:id="18"/>
      </w:r>
      <w:r w:rsidRPr="000565B4">
        <w:rPr>
          <w:rFonts w:ascii="Verdana" w:eastAsia="Verdana" w:hAnsi="Verdana" w:cs="Verdana"/>
        </w:rPr>
        <w:t xml:space="preserve">. Así mismo, la expresión según la cual “en ningún caso podrá haber cesión del contrato entre quienes integran el consorcio o unión temporal” significa que los miembros de estas figuras asociativas no pueden transferirse entre sí la participación contractual ni redistribuir internamente las obligaciones, porcentajes o derechos derivados del contrato estatal. </w:t>
      </w:r>
      <w:r w:rsidRPr="000565B4">
        <w:t xml:space="preserve">     </w:t>
      </w:r>
    </w:p>
    <w:p w14:paraId="4BA77D87" w14:textId="77777777" w:rsidR="00736982" w:rsidRDefault="001F2C08" w:rsidP="001F2C08">
      <w:pPr>
        <w:spacing w:after="120" w:line="276" w:lineRule="auto"/>
        <w:ind w:firstLine="708"/>
        <w:jc w:val="both"/>
        <w:rPr>
          <w:rFonts w:ascii="Verdana" w:eastAsia="Verdana" w:hAnsi="Verdana" w:cs="Verdana"/>
        </w:rPr>
      </w:pPr>
      <w:r w:rsidRPr="000565B4">
        <w:rPr>
          <w:rFonts w:ascii="Verdana" w:eastAsia="Verdana" w:hAnsi="Verdana" w:cs="Verdana"/>
        </w:rPr>
        <w:t xml:space="preserve">En efecto, la jurisprudencia constitucional ha precisado el alcance del artículo 9 de la Ley 80 de 1993 y el régimen aplicable a las inhabilidades e </w:t>
      </w:r>
      <w:r w:rsidRPr="000565B4">
        <w:rPr>
          <w:rFonts w:ascii="Verdana" w:eastAsia="Verdana" w:hAnsi="Verdana" w:cs="Verdana"/>
        </w:rPr>
        <w:lastRenderedPageBreak/>
        <w:t xml:space="preserve">incompatibilidades sobrevinientes. En la Sentencia C-221 de 1996, la Corte Constitucional explicó que, dado que estas circunstancias no siempre se presentan antes de la celebración del contrato, el legislador debía establecer reglas claras para los eventos en que surgieran en la etapa de ejecución contractual. Bajo ese entendimiento, declaró ajustada a la Constitución la obligación del contratista afectado por una inhabilidad sobreviniente de ceder el contrato, previa autorización de la entidad estatal, o renunciar a su ejecución cuando ello no fuere posible, así como la obligación especial para el integrante de un consorcio o unión temporal de ceder su participación a un tercero cuando la causal recaiga exclusivamente sobre uno de sus miembros - evento en el cual no es posible la renuncia-. La Corte resaltó que estas medidas no tienen naturaleza sancionatoria, ni dependen de la culpabilidad o de la voluntad del contratista, sino que constituyen reglas objetivas encaminadas a impedir que quien se encuentra incurso en una causal de inhabilidad o incompatibilidad continúe vinculado con el Estado, preservando la moralidad, la transparencia y la integridad de la contratación pública. </w:t>
      </w:r>
    </w:p>
    <w:p w14:paraId="55355DA9" w14:textId="73877BC8" w:rsidR="001F2C08" w:rsidRDefault="001F2C08" w:rsidP="00736982">
      <w:pPr>
        <w:spacing w:after="0" w:line="276" w:lineRule="auto"/>
        <w:ind w:firstLine="708"/>
        <w:jc w:val="both"/>
        <w:rPr>
          <w:rFonts w:ascii="Verdana" w:eastAsia="Verdana" w:hAnsi="Verdana" w:cs="Verdana"/>
          <w:color w:val="EE0000"/>
        </w:rPr>
      </w:pPr>
      <w:r w:rsidRPr="000565B4">
        <w:rPr>
          <w:rFonts w:ascii="Verdana" w:eastAsia="Verdana" w:hAnsi="Verdana" w:cs="Verdana"/>
        </w:rPr>
        <w:t xml:space="preserve">En consecuencia, la obligación de ceder o renunciar responde a una finalidad eminentemente institucional, orientada a garantizar que la ejecución del contrato continúe desarrollándose conforme a los principios que rigen la función administrativa: </w:t>
      </w:r>
      <w:r w:rsidRPr="000565B4">
        <w:rPr>
          <w:rFonts w:ascii="Verdana" w:eastAsia="Verdana" w:hAnsi="Verdana" w:cs="Verdana"/>
          <w:color w:val="EE0000"/>
        </w:rPr>
        <w:t xml:space="preserve">     </w:t>
      </w:r>
    </w:p>
    <w:p w14:paraId="2FA49C65" w14:textId="77777777" w:rsidR="00736982" w:rsidRPr="000565B4" w:rsidRDefault="00736982" w:rsidP="00584DA6">
      <w:pPr>
        <w:spacing w:after="0" w:line="276" w:lineRule="auto"/>
        <w:ind w:firstLine="708"/>
        <w:jc w:val="both"/>
        <w:rPr>
          <w:rFonts w:ascii="Verdana" w:eastAsia="Verdana" w:hAnsi="Verdana" w:cs="Verdana"/>
          <w:color w:val="EE0000"/>
        </w:rPr>
      </w:pPr>
    </w:p>
    <w:p w14:paraId="7B570BE2" w14:textId="104524AD" w:rsidR="001F2C08" w:rsidRPr="000565B4" w:rsidRDefault="00736982" w:rsidP="00053EA3">
      <w:pPr>
        <w:spacing w:after="0" w:line="240" w:lineRule="auto"/>
        <w:ind w:left="709" w:right="709"/>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w:t>
      </w:r>
      <w:r w:rsidR="001F2C08" w:rsidRPr="000565B4">
        <w:rPr>
          <w:rFonts w:ascii="Verdana" w:eastAsia="Verdana" w:hAnsi="Verdana" w:cs="Verdana"/>
          <w:color w:val="000000"/>
          <w:sz w:val="20"/>
          <w:szCs w:val="20"/>
          <w:highlight w:val="white"/>
        </w:rPr>
        <w:t xml:space="preserve">A juicio de la Corte, en nada se ofende el imperio de la Constitución por haberse establecido que el hecho de sobrevenir una causal de inhabilidad o incompatibilidad en cabeza de quien ya es contratista da lugar a la obligación de éste de ceder el contrato previa autorización escrita de la entidad contratante, o a la de renunciar a su ejecución si </w:t>
      </w:r>
      <w:r w:rsidR="001F2C08" w:rsidRPr="000565B4">
        <w:rPr>
          <w:rFonts w:ascii="Verdana" w:eastAsia="Verdana" w:hAnsi="Verdana" w:cs="Verdana"/>
          <w:sz w:val="20"/>
          <w:szCs w:val="20"/>
          <w:highlight w:val="white"/>
        </w:rPr>
        <w:t>aquello</w:t>
      </w:r>
      <w:r w:rsidR="001F2C08" w:rsidRPr="000565B4">
        <w:rPr>
          <w:rFonts w:ascii="Verdana" w:eastAsia="Verdana" w:hAnsi="Verdana" w:cs="Verdana"/>
          <w:color w:val="000000"/>
          <w:sz w:val="20"/>
          <w:szCs w:val="20"/>
          <w:highlight w:val="white"/>
        </w:rPr>
        <w:t xml:space="preserve"> no fuere posible. Tampoco se vulnera la Carta por consagrar que quien participa en un proceso de licitación o concurso y resulta intempestivamente afectado por inhabilidades o incompatibilidades deba renunciar a dicha participación, ni se desconoce la normatividad superior por prever, como lo hace la norma, la cesión en favor de un tercero de la participación en el consorcio o unión temporal que licita o es contratista cuando la causa de inhabilidad o incompatibilidad se radica en uno de sus miembros</w:t>
      </w:r>
      <w:r>
        <w:rPr>
          <w:rFonts w:ascii="Verdana" w:eastAsia="Verdana" w:hAnsi="Verdana" w:cs="Verdana"/>
          <w:color w:val="000000"/>
          <w:sz w:val="20"/>
          <w:szCs w:val="20"/>
          <w:highlight w:val="white"/>
        </w:rPr>
        <w:t>”</w:t>
      </w:r>
      <w:r w:rsidR="001F2C08" w:rsidRPr="000565B4">
        <w:rPr>
          <w:rFonts w:ascii="Verdana" w:eastAsia="Verdana" w:hAnsi="Verdana" w:cs="Verdana"/>
          <w:color w:val="000000"/>
          <w:sz w:val="20"/>
          <w:szCs w:val="20"/>
          <w:highlight w:val="white"/>
          <w:vertAlign w:val="superscript"/>
        </w:rPr>
        <w:footnoteReference w:id="19"/>
      </w:r>
      <w:r w:rsidR="001F2C08" w:rsidRPr="000565B4">
        <w:rPr>
          <w:rFonts w:ascii="Verdana" w:eastAsia="Verdana" w:hAnsi="Verdana" w:cs="Verdana"/>
          <w:color w:val="000000"/>
          <w:sz w:val="20"/>
          <w:szCs w:val="20"/>
          <w:highlight w:val="white"/>
        </w:rPr>
        <w:t xml:space="preserve">. </w:t>
      </w:r>
    </w:p>
    <w:p w14:paraId="4127B876" w14:textId="77777777" w:rsidR="001F2C08" w:rsidRPr="000565B4" w:rsidRDefault="001F2C08" w:rsidP="00584DA6">
      <w:pPr>
        <w:spacing w:after="0" w:line="240" w:lineRule="auto"/>
        <w:ind w:right="709"/>
        <w:jc w:val="both"/>
        <w:rPr>
          <w:rFonts w:ascii="Verdana" w:eastAsia="Verdana" w:hAnsi="Verdana" w:cs="Verdana"/>
          <w:color w:val="000000"/>
          <w:sz w:val="20"/>
          <w:szCs w:val="20"/>
          <w:highlight w:val="white"/>
        </w:rPr>
      </w:pPr>
    </w:p>
    <w:p w14:paraId="1FFB6C76" w14:textId="7647D7FD" w:rsidR="00666255" w:rsidRDefault="001F2C08" w:rsidP="001F2C08">
      <w:pPr>
        <w:spacing w:after="120" w:line="276" w:lineRule="auto"/>
        <w:ind w:firstLine="708"/>
        <w:jc w:val="both"/>
        <w:rPr>
          <w:rFonts w:ascii="Verdana" w:eastAsia="Verdana" w:hAnsi="Verdana" w:cs="Verdana"/>
        </w:rPr>
      </w:pPr>
      <w:r w:rsidRPr="000565B4">
        <w:rPr>
          <w:rFonts w:ascii="Verdana" w:eastAsia="Verdana" w:hAnsi="Verdana" w:cs="Verdana"/>
        </w:rPr>
        <w:t xml:space="preserve">Ahora bien, el régimen descrito corresponde a la regla general aplicable a las inhabilidades e incompatibilidades sobrevinientes. El legislador estableció, sin embargo, un tratamiento especial para la inhabilidad prevista en el literal j) </w:t>
      </w:r>
      <w:r w:rsidRPr="000565B4">
        <w:rPr>
          <w:rFonts w:ascii="Verdana" w:eastAsia="Verdana" w:hAnsi="Verdana" w:cs="Verdana"/>
        </w:rPr>
        <w:lastRenderedPageBreak/>
        <w:t xml:space="preserve">del numeral 1 del artículo 8 de la Ley 80 de 1993, mediante el parágrafo 1º del artículo 9 </w:t>
      </w:r>
      <w:proofErr w:type="spellStart"/>
      <w:r w:rsidR="00A87404">
        <w:rPr>
          <w:rFonts w:ascii="Verdana" w:eastAsia="Verdana" w:hAnsi="Verdana" w:cs="Verdana"/>
          <w:i/>
          <w:iCs/>
        </w:rPr>
        <w:t>i</w:t>
      </w:r>
      <w:r w:rsidRPr="000565B4">
        <w:rPr>
          <w:rFonts w:ascii="Verdana" w:eastAsia="Verdana" w:hAnsi="Verdana" w:cs="Verdana"/>
          <w:i/>
          <w:iCs/>
        </w:rPr>
        <w:t>bídem</w:t>
      </w:r>
      <w:proofErr w:type="spellEnd"/>
      <w:r w:rsidRPr="000565B4">
        <w:rPr>
          <w:rFonts w:ascii="Verdana" w:eastAsia="Verdana" w:hAnsi="Verdana" w:cs="Verdana"/>
        </w:rPr>
        <w:t xml:space="preserve">, adicionado por el artículo 6 de la Ley 2014 de 2019, en el marco del fortalecimiento de las medidas de lucha contra la corrupción en la contratación estatal. En dicho supuesto, el ordenamiento excluyó la aplicación de los mecanismos ordinarios de conservación del vínculo contractual, previendo consecuencias más severas frente al contratista o al integrante del esquema asociativo incurso en la causal. </w:t>
      </w:r>
    </w:p>
    <w:p w14:paraId="2BDC553E" w14:textId="29FE687E" w:rsidR="001F2C08" w:rsidRPr="000565B4" w:rsidRDefault="001F2C08" w:rsidP="001F2C08">
      <w:pPr>
        <w:spacing w:after="120" w:line="276" w:lineRule="auto"/>
        <w:ind w:firstLine="708"/>
        <w:jc w:val="both"/>
        <w:rPr>
          <w:rFonts w:ascii="Verdana" w:eastAsia="Verdana" w:hAnsi="Verdana" w:cs="Verdana"/>
        </w:rPr>
      </w:pPr>
      <w:r w:rsidRPr="000565B4">
        <w:rPr>
          <w:rFonts w:ascii="Verdana" w:eastAsia="Verdana" w:hAnsi="Verdana" w:cs="Verdana"/>
        </w:rPr>
        <w:t>Como la consulta delimitó expresamente su objeto a las inhabilidades sobrevinientes distintas de la contemplada en el referido literal j), las consideraciones del presente concepto se circunscriben al régimen general, sin que resulten extensibles a los eventos comprendidos en el régimen especial mencionado. Esta delimitación es, además, consistente con el carácter taxativo y de interpretación restrictiva del régimen de inhabilidades, pues impide trasladar a la regla general las consecuencias agravadas que el legislador reservó para un supuesto específico.</w:t>
      </w:r>
    </w:p>
    <w:p w14:paraId="3EBF0537" w14:textId="0B7CB7AC" w:rsidR="001F2C08" w:rsidRPr="000565B4" w:rsidRDefault="001F2C08" w:rsidP="00584DA6">
      <w:pPr>
        <w:spacing w:after="0" w:line="276" w:lineRule="auto"/>
        <w:ind w:firstLine="709"/>
        <w:jc w:val="both"/>
        <w:rPr>
          <w:rFonts w:ascii="Verdana" w:eastAsia="Verdana" w:hAnsi="Verdana" w:cs="Verdana"/>
          <w:highlight w:val="white"/>
        </w:rPr>
      </w:pPr>
      <w:r w:rsidRPr="000565B4">
        <w:rPr>
          <w:rFonts w:ascii="Verdana" w:eastAsia="Verdana" w:hAnsi="Verdana" w:cs="Verdana"/>
          <w:highlight w:val="white"/>
        </w:rPr>
        <w:t>Por otro lado</w:t>
      </w:r>
      <w:r w:rsidR="00666255">
        <w:rPr>
          <w:rFonts w:ascii="Verdana" w:eastAsia="Verdana" w:hAnsi="Verdana" w:cs="Verdana"/>
          <w:highlight w:val="white"/>
        </w:rPr>
        <w:t>,</w:t>
      </w:r>
      <w:r w:rsidRPr="000565B4">
        <w:rPr>
          <w:rFonts w:ascii="Verdana" w:eastAsia="Verdana" w:hAnsi="Verdana" w:cs="Verdana"/>
          <w:highlight w:val="white"/>
        </w:rPr>
        <w:t xml:space="preserve"> esta Agencia</w:t>
      </w:r>
      <w:r w:rsidRPr="000565B4">
        <w:rPr>
          <w:rFonts w:ascii="Verdana" w:eastAsia="Verdana" w:hAnsi="Verdana" w:cs="Verdana"/>
          <w:highlight w:val="white"/>
          <w:vertAlign w:val="superscript"/>
        </w:rPr>
        <w:footnoteReference w:id="20"/>
      </w:r>
      <w:r w:rsidRPr="000565B4">
        <w:rPr>
          <w:rFonts w:ascii="Verdana" w:eastAsia="Verdana" w:hAnsi="Verdana" w:cs="Verdana"/>
          <w:highlight w:val="white"/>
        </w:rPr>
        <w:t xml:space="preserve"> ha resaltado que 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0565B4">
        <w:rPr>
          <w:rFonts w:ascii="Verdana" w:eastAsia="Verdana" w:hAnsi="Verdana" w:cs="Verdana"/>
          <w:highlight w:val="white"/>
        </w:rPr>
        <w:t>subentra</w:t>
      </w:r>
      <w:proofErr w:type="spellEnd"/>
      <w:r w:rsidRPr="000565B4">
        <w:rPr>
          <w:rFonts w:ascii="Verdana" w:eastAsia="Verdana" w:hAnsi="Verdana" w:cs="Verdana"/>
          <w:highlight w:val="white"/>
        </w:rPr>
        <w:t xml:space="preserve"> en la relación con el cedido […]”</w:t>
      </w:r>
      <w:r w:rsidRPr="000565B4">
        <w:rPr>
          <w:rFonts w:ascii="Verdana" w:eastAsia="Verdana" w:hAnsi="Verdana" w:cs="Verdana"/>
          <w:highlight w:val="white"/>
          <w:vertAlign w:val="superscript"/>
        </w:rPr>
        <w:footnoteReference w:id="21"/>
      </w:r>
      <w:r w:rsidRPr="000565B4">
        <w:rPr>
          <w:rFonts w:ascii="Verdana" w:eastAsia="Verdana" w:hAnsi="Verdana" w:cs="Verdana"/>
          <w:highlight w:val="white"/>
        </w:rPr>
        <w:t xml:space="preserve">. Por otro, “[…] es la transferencia de la posición contractual de un contratante a otro sujeto, que le </w:t>
      </w:r>
      <w:proofErr w:type="spellStart"/>
      <w:r w:rsidRPr="000565B4">
        <w:rPr>
          <w:rFonts w:ascii="Verdana" w:eastAsia="Verdana" w:hAnsi="Verdana" w:cs="Verdana"/>
          <w:highlight w:val="white"/>
        </w:rPr>
        <w:t>subentra</w:t>
      </w:r>
      <w:proofErr w:type="spellEnd"/>
      <w:r w:rsidRPr="000565B4">
        <w:rPr>
          <w:rFonts w:ascii="Verdana" w:eastAsia="Verdana" w:hAnsi="Verdana" w:cs="Verdana"/>
          <w:highlight w:val="white"/>
        </w:rPr>
        <w:t xml:space="preserve"> en la relación con la contraparte […]”</w:t>
      </w:r>
      <w:r w:rsidRPr="000565B4">
        <w:rPr>
          <w:rFonts w:ascii="Verdana" w:eastAsia="Verdana" w:hAnsi="Verdana" w:cs="Verdana"/>
          <w:highlight w:val="white"/>
          <w:vertAlign w:val="superscript"/>
        </w:rPr>
        <w:footnoteReference w:id="22"/>
      </w:r>
      <w:r w:rsidRPr="000565B4">
        <w:rPr>
          <w:rFonts w:ascii="Verdana" w:eastAsia="Verdana" w:hAnsi="Verdana" w:cs="Verdana"/>
          <w:highlight w:val="white"/>
        </w:rPr>
        <w:t>. De esta manera, concurren tres (3) sujetos: i) el cedente, esto es, el contratista inicial; ii) el cesionario, es decir, quien asume total o parcialmente los derechos y obligaciones de este último; y iii) el cedido que, en el caso de los contratos estatales, sería la entidad que suscribió el contrato. 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En efecto:</w:t>
      </w:r>
    </w:p>
    <w:p w14:paraId="4137D2B7" w14:textId="77777777" w:rsidR="001F2C08" w:rsidRPr="000565B4" w:rsidRDefault="001F2C08" w:rsidP="001F2C08">
      <w:pPr>
        <w:spacing w:after="0" w:line="276" w:lineRule="auto"/>
        <w:ind w:firstLine="708"/>
        <w:jc w:val="both"/>
        <w:rPr>
          <w:rFonts w:ascii="Verdana" w:eastAsia="Verdana" w:hAnsi="Verdana" w:cs="Verdana"/>
          <w:highlight w:val="white"/>
        </w:rPr>
      </w:pPr>
    </w:p>
    <w:p w14:paraId="159B981D" w14:textId="77777777" w:rsidR="001F2C08" w:rsidRPr="000565B4" w:rsidRDefault="001F2C08" w:rsidP="001F2C08">
      <w:pPr>
        <w:tabs>
          <w:tab w:val="left" w:pos="709"/>
        </w:tabs>
        <w:spacing w:after="0" w:line="240" w:lineRule="auto"/>
        <w:ind w:left="709" w:right="709"/>
        <w:jc w:val="both"/>
        <w:rPr>
          <w:rFonts w:ascii="Verdana" w:eastAsia="Verdana" w:hAnsi="Verdana" w:cs="Verdana"/>
          <w:sz w:val="20"/>
          <w:szCs w:val="20"/>
          <w:highlight w:val="white"/>
        </w:rPr>
      </w:pPr>
      <w:r w:rsidRPr="000565B4">
        <w:rPr>
          <w:rFonts w:ascii="Verdana" w:eastAsia="Verdana" w:hAnsi="Verdana" w:cs="Verdana"/>
          <w:sz w:val="20"/>
          <w:szCs w:val="20"/>
          <w:highlight w:val="white"/>
        </w:rPr>
        <w:t xml:space="preserve">“[…] cuando lo que se cede (o asume) es un contrato, el punto de partida es la presencia de uno o varios créditos y otras tantas obligaciones, </w:t>
      </w:r>
      <w:r w:rsidRPr="000565B4">
        <w:rPr>
          <w:rFonts w:ascii="Verdana" w:eastAsia="Verdana" w:hAnsi="Verdana" w:cs="Verdana"/>
          <w:sz w:val="20"/>
          <w:szCs w:val="20"/>
          <w:highlight w:val="white"/>
        </w:rPr>
        <w:lastRenderedPageBreak/>
        <w:t>entrelazadas en términos de correlatividad y consideradas, tratadas y dispuestas como una unidad, o sea: el objeto de la operación es el traspaso simultáneo de unos créditos y de las obligaciones recíprocas, surgidos a una de un mismo contrato, por parte de uno de los contratantes a un tercero, esto es, en últimas, la transferencia de una posición o relación contractual, cuyo resultado es la sustitución de una de las partes (acreedora-deudora) […]”</w:t>
      </w:r>
      <w:r w:rsidRPr="000565B4">
        <w:rPr>
          <w:rFonts w:ascii="Verdana" w:eastAsia="Verdana" w:hAnsi="Verdana" w:cs="Verdana"/>
          <w:sz w:val="20"/>
          <w:szCs w:val="20"/>
          <w:highlight w:val="white"/>
          <w:vertAlign w:val="superscript"/>
        </w:rPr>
        <w:footnoteReference w:id="23"/>
      </w:r>
      <w:r w:rsidRPr="000565B4">
        <w:rPr>
          <w:rFonts w:ascii="Verdana" w:eastAsia="Verdana" w:hAnsi="Verdana" w:cs="Verdana"/>
          <w:sz w:val="20"/>
          <w:szCs w:val="20"/>
          <w:highlight w:val="white"/>
        </w:rPr>
        <w:t>.</w:t>
      </w:r>
    </w:p>
    <w:p w14:paraId="0D275E04" w14:textId="77777777" w:rsidR="001F2C08" w:rsidRPr="000565B4" w:rsidRDefault="001F2C08" w:rsidP="001F2C08">
      <w:pPr>
        <w:spacing w:after="0" w:line="276" w:lineRule="auto"/>
        <w:ind w:firstLine="709"/>
        <w:jc w:val="both"/>
        <w:rPr>
          <w:rFonts w:ascii="Verdana" w:eastAsia="Verdana" w:hAnsi="Verdana" w:cs="Verdana"/>
          <w:highlight w:val="white"/>
        </w:rPr>
      </w:pPr>
    </w:p>
    <w:p w14:paraId="3A4E6BE3" w14:textId="3D35F813" w:rsidR="001F2C08" w:rsidRPr="000565B4" w:rsidRDefault="001F2C08" w:rsidP="001F2C08">
      <w:pPr>
        <w:spacing w:after="120" w:line="276" w:lineRule="auto"/>
        <w:ind w:firstLine="708"/>
        <w:jc w:val="both"/>
        <w:rPr>
          <w:rFonts w:ascii="Verdana" w:eastAsia="Verdana" w:hAnsi="Verdana" w:cs="Verdana"/>
          <w:highlight w:val="white"/>
        </w:rPr>
      </w:pPr>
      <w:r w:rsidRPr="000565B4">
        <w:rPr>
          <w:rFonts w:ascii="Verdana" w:eastAsia="Verdana" w:hAnsi="Verdana" w:cs="Verdana"/>
          <w:highlight w:val="white"/>
        </w:rPr>
        <w:t xml:space="preserve">En este sentido, el </w:t>
      </w:r>
      <w:r w:rsidR="008F2102">
        <w:rPr>
          <w:rFonts w:ascii="Verdana" w:eastAsia="Verdana" w:hAnsi="Verdana" w:cs="Verdana"/>
          <w:highlight w:val="white"/>
        </w:rPr>
        <w:t xml:space="preserve">EGCAP </w:t>
      </w:r>
      <w:r w:rsidRPr="000565B4">
        <w:rPr>
          <w:rFonts w:ascii="Verdana" w:eastAsia="Verdana" w:hAnsi="Verdana" w:cs="Verdana"/>
          <w:highlight w:val="white"/>
        </w:rPr>
        <w:t>establece disposiciones específicas relativas a la institución de la cesión contractual. Por ejemplo, el artículo 41, inciso tercero del EGCAP prescribe que “Los contratos estatales son</w:t>
      </w:r>
      <w:r w:rsidRPr="000565B4">
        <w:rPr>
          <w:rFonts w:ascii="Verdana" w:eastAsia="Verdana" w:hAnsi="Verdana" w:cs="Verdana"/>
          <w:i/>
          <w:iCs/>
          <w:highlight w:val="white"/>
        </w:rPr>
        <w:t xml:space="preserve"> intuito </w:t>
      </w:r>
      <w:proofErr w:type="spellStart"/>
      <w:r w:rsidRPr="000565B4">
        <w:rPr>
          <w:rFonts w:ascii="Verdana" w:eastAsia="Verdana" w:hAnsi="Verdana" w:cs="Verdana"/>
          <w:i/>
          <w:iCs/>
          <w:highlight w:val="white"/>
        </w:rPr>
        <w:t>personae</w:t>
      </w:r>
      <w:proofErr w:type="spellEnd"/>
      <w:r w:rsidRPr="000565B4">
        <w:rPr>
          <w:rFonts w:ascii="Verdana" w:eastAsia="Verdana" w:hAnsi="Verdana" w:cs="Verdana"/>
          <w:i/>
          <w:iCs/>
          <w:highlight w:val="white"/>
        </w:rPr>
        <w:t xml:space="preserve"> </w:t>
      </w:r>
      <w:r w:rsidRPr="000565B4">
        <w:rPr>
          <w:rFonts w:ascii="Verdana" w:eastAsia="Verdana" w:hAnsi="Verdana" w:cs="Verdana"/>
          <w:highlight w:val="white"/>
        </w:rPr>
        <w:t>y, en consecuencia, una vez celebrados no podrán cederse sin previa autorización escrita de la entidad contratante”. Esta norma contiene una prohibición general –faceta negativa– y una autorización excepcional –faceta positiva–.</w:t>
      </w:r>
    </w:p>
    <w:p w14:paraId="6D8DB249" w14:textId="77777777" w:rsidR="001F2C08" w:rsidRPr="000565B4" w:rsidRDefault="001F2C08" w:rsidP="001F2C08">
      <w:pPr>
        <w:tabs>
          <w:tab w:val="left" w:pos="709"/>
        </w:tabs>
        <w:spacing w:after="120" w:line="276" w:lineRule="auto"/>
        <w:jc w:val="both"/>
        <w:rPr>
          <w:rFonts w:ascii="Century Gothic" w:eastAsia="Century Gothic" w:hAnsi="Century Gothic" w:cs="Century Gothic"/>
          <w:color w:val="000000"/>
        </w:rPr>
      </w:pPr>
      <w:r w:rsidRPr="000565B4">
        <w:rPr>
          <w:rFonts w:ascii="Verdana" w:eastAsia="Verdana" w:hAnsi="Verdana" w:cs="Verdana"/>
          <w:highlight w:val="white"/>
        </w:rPr>
        <w:tab/>
        <w:t>En lo que respecta a la faceta negativa, el artículo 41 del Estatuto General ordena que el contrato se ejecute con quien inicialmente se celebró el acuerdo de voluntades, pues es la persona que –de acuerdo con los criterios definidos por la entidad para la selección del contratista– resulta idónea para cumplir con las obligaciones. De esta manera, la prohibición contenida en la norma citada es uno de los elementos de la naturaleza del contrato estatal, pues –conforme a lo previsto en el artículo 1501 del Código Civil– es de aquellos “[…] que no siendo esenciales en él, se entienden pertenecerle, sin necesidad de una cláusula especial […]</w:t>
      </w:r>
      <w:r w:rsidRPr="000565B4">
        <w:rPr>
          <w:rFonts w:ascii="Century Gothic" w:eastAsia="Century Gothic" w:hAnsi="Century Gothic" w:cs="Century Gothic"/>
          <w:color w:val="000000"/>
        </w:rPr>
        <w:t>”</w:t>
      </w:r>
      <w:r w:rsidRPr="000565B4">
        <w:rPr>
          <w:rFonts w:ascii="Century Gothic" w:eastAsia="Century Gothic" w:hAnsi="Century Gothic" w:cs="Century Gothic"/>
          <w:color w:val="000000"/>
          <w:vertAlign w:val="superscript"/>
        </w:rPr>
        <w:footnoteReference w:id="24"/>
      </w:r>
      <w:r w:rsidRPr="000565B4">
        <w:rPr>
          <w:rFonts w:ascii="Century Gothic" w:eastAsia="Century Gothic" w:hAnsi="Century Gothic" w:cs="Century Gothic"/>
          <w:color w:val="000000"/>
        </w:rPr>
        <w:t xml:space="preserve">.  </w:t>
      </w:r>
    </w:p>
    <w:p w14:paraId="6FFD9E04" w14:textId="77777777" w:rsidR="001F2C08" w:rsidRPr="000565B4" w:rsidRDefault="001F2C08" w:rsidP="001F2C08">
      <w:pPr>
        <w:spacing w:after="0" w:line="276" w:lineRule="auto"/>
        <w:ind w:firstLine="708"/>
        <w:jc w:val="both"/>
        <w:rPr>
          <w:rFonts w:ascii="Century Gothic" w:eastAsia="Century Gothic" w:hAnsi="Century Gothic" w:cs="Century Gothic"/>
          <w:color w:val="000000"/>
        </w:rPr>
      </w:pPr>
      <w:r w:rsidRPr="000565B4">
        <w:rPr>
          <w:rFonts w:ascii="Verdana" w:eastAsia="Verdana" w:hAnsi="Verdana" w:cs="Verdana"/>
          <w:highlight w:val="white"/>
        </w:rPr>
        <w:lastRenderedPageBreak/>
        <w:t>En su faceta positiva, la Ley 80 de 1993 permite excepcionalmente la cesión del contrato estatal siempre que exista autorización previa escrita de la entidad contratante. Por ello, “[…] El cocontratante que ‘ceda’ el contrato sin estar autorizado para ello incurre en grave responsabilidad: su actitud implica ‘incumplimiento’ del contrato; de ahí que esa cesión ilícita no resulte oponible a la Administración Pública […]”</w:t>
      </w:r>
      <w:r w:rsidRPr="000565B4">
        <w:rPr>
          <w:rFonts w:ascii="Verdana" w:eastAsia="Verdana" w:hAnsi="Verdana" w:cs="Verdana"/>
          <w:highlight w:val="white"/>
          <w:vertAlign w:val="superscript"/>
        </w:rPr>
        <w:footnoteReference w:id="25"/>
      </w:r>
      <w:r w:rsidRPr="000565B4">
        <w:rPr>
          <w:rFonts w:ascii="Verdana" w:eastAsia="Verdana" w:hAnsi="Verdana" w:cs="Verdana"/>
          <w:highlight w:val="white"/>
        </w:rPr>
        <w:t>. Este requisito introduce un elemento especial que no está previsto en el Código de Comercio, pues en el derecho privado –salvo las excepciones previstas en la ley– la cesión requiere el acuerdo de voluntades entre el cedente y el cesionario, sin que medie la aceptación del contratante cedido. En relación con lo anterior la doctrina define la cesión en los contratos estatales de la siguiente manera:</w:t>
      </w:r>
    </w:p>
    <w:p w14:paraId="6FA3F743" w14:textId="77777777" w:rsidR="001F2C08" w:rsidRPr="000565B4" w:rsidRDefault="001F2C08" w:rsidP="004E516B">
      <w:pPr>
        <w:spacing w:after="0" w:line="276" w:lineRule="auto"/>
        <w:ind w:firstLine="708"/>
        <w:jc w:val="both"/>
        <w:rPr>
          <w:rFonts w:ascii="Century Gothic" w:eastAsia="Century Gothic" w:hAnsi="Century Gothic" w:cs="Century Gothic"/>
          <w:color w:val="000000"/>
          <w:sz w:val="20"/>
          <w:szCs w:val="20"/>
        </w:rPr>
      </w:pPr>
      <w:r w:rsidRPr="000565B4">
        <w:rPr>
          <w:rFonts w:ascii="Century Gothic" w:eastAsia="Century Gothic" w:hAnsi="Century Gothic" w:cs="Century Gothic"/>
          <w:color w:val="000000"/>
          <w:sz w:val="20"/>
          <w:szCs w:val="20"/>
        </w:rPr>
        <w:t xml:space="preserve"> </w:t>
      </w:r>
    </w:p>
    <w:p w14:paraId="0051B044" w14:textId="77777777" w:rsidR="001F2C08" w:rsidRPr="000565B4" w:rsidRDefault="001F2C08" w:rsidP="004E516B">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 xml:space="preserve">“La cesión en la contratación estatal supone, previa autorización de la entidad contratante, la sustitución </w:t>
      </w:r>
      <w:r w:rsidRPr="000565B4">
        <w:rPr>
          <w:rFonts w:ascii="Verdana" w:eastAsia="Verdana" w:hAnsi="Verdana" w:cs="Verdana"/>
          <w:i/>
          <w:iCs/>
          <w:color w:val="000000"/>
          <w:sz w:val="20"/>
          <w:szCs w:val="20"/>
        </w:rPr>
        <w:t>in genere</w:t>
      </w:r>
      <w:r w:rsidRPr="000565B4">
        <w:rPr>
          <w:rFonts w:ascii="Verdana" w:eastAsia="Verdana" w:hAnsi="Verdana" w:cs="Verdana"/>
          <w:color w:val="000000"/>
          <w:sz w:val="20"/>
          <w:szCs w:val="20"/>
        </w:rPr>
        <w:t>, total o parcial, de una de las partes de la relación jurídica (contratante o contratista) por un tercero, que se subroga en los derechos y obligaciones de aquella, por medio de la modificación del contrato estatal originario. La cesión posibilita el reemplazo total o parcial de una parte en su posición contractual originaria, sin que sea precisa la transferencia individual de cuantos derechos y obligaciones conforman la universalidad jurídica a ceder […]”</w:t>
      </w:r>
      <w:r w:rsidRPr="000565B4">
        <w:rPr>
          <w:rFonts w:ascii="Verdana" w:eastAsia="Verdana" w:hAnsi="Verdana" w:cs="Verdana"/>
          <w:color w:val="000000"/>
          <w:sz w:val="20"/>
          <w:szCs w:val="20"/>
          <w:vertAlign w:val="superscript"/>
        </w:rPr>
        <w:footnoteReference w:id="26"/>
      </w:r>
      <w:r w:rsidRPr="000565B4">
        <w:rPr>
          <w:rFonts w:ascii="Verdana" w:eastAsia="Verdana" w:hAnsi="Verdana" w:cs="Verdana"/>
          <w:color w:val="000000"/>
          <w:sz w:val="20"/>
          <w:szCs w:val="20"/>
        </w:rPr>
        <w:t>.</w:t>
      </w:r>
    </w:p>
    <w:p w14:paraId="58E3DBF8" w14:textId="77777777" w:rsidR="001F2C08" w:rsidRPr="000565B4" w:rsidRDefault="001F2C08" w:rsidP="004E516B">
      <w:pPr>
        <w:spacing w:after="0" w:line="276" w:lineRule="auto"/>
        <w:jc w:val="both"/>
        <w:rPr>
          <w:rFonts w:ascii="Century Gothic" w:eastAsia="Century Gothic" w:hAnsi="Century Gothic" w:cs="Century Gothic"/>
          <w:color w:val="000000"/>
        </w:rPr>
      </w:pPr>
    </w:p>
    <w:p w14:paraId="387AACEF" w14:textId="77777777" w:rsidR="001F2C08" w:rsidRPr="000565B4" w:rsidRDefault="001F2C08" w:rsidP="001F2C08">
      <w:pPr>
        <w:spacing w:after="120" w:line="276" w:lineRule="auto"/>
        <w:ind w:firstLine="709"/>
        <w:jc w:val="both"/>
        <w:rPr>
          <w:rFonts w:ascii="Century Gothic" w:eastAsia="Century Gothic" w:hAnsi="Century Gothic" w:cs="Century Gothic"/>
          <w:color w:val="000000"/>
        </w:rPr>
      </w:pPr>
      <w:r w:rsidRPr="000565B4">
        <w:rPr>
          <w:rFonts w:ascii="Verdana" w:eastAsia="Verdana" w:hAnsi="Verdana" w:cs="Verdana"/>
        </w:rPr>
        <w:t xml:space="preserve">Autorizada previamente por la entidad cedida, esta forma de cesión requiere la suscripción de un contrato entre el cedente y el cesionario, por lo que es bilateral en la medida en que es el resultado de un acuerdo voluntades. Con fundamento en el mismo, el cesionario reemplaza –en todo o en parte– al contratista cedente en la ejecución del contrato estatal, respondiendo por el cumplimiento de las obligaciones frente a la Administración. El inciso primero del artículo 888 del Código de Comercio señala que “La sustitución podrá hacerse por escrito o verbalmente, según que el contrato conste o no por escrito”. Como el contrato estatal es solemne en los términos de los artículos 39 y 41 de la Ley 80 de 1993, se impone la forma escrita para cederlo. </w:t>
      </w:r>
    </w:p>
    <w:p w14:paraId="55492E01" w14:textId="77777777" w:rsidR="001F2C08" w:rsidRPr="000565B4" w:rsidRDefault="001F2C08" w:rsidP="001F2C08">
      <w:pPr>
        <w:tabs>
          <w:tab w:val="left" w:pos="709"/>
        </w:tabs>
        <w:spacing w:after="120" w:line="276" w:lineRule="auto"/>
        <w:jc w:val="both"/>
        <w:rPr>
          <w:rFonts w:ascii="Verdana" w:eastAsia="Verdana" w:hAnsi="Verdana" w:cs="Verdana"/>
          <w:color w:val="000000"/>
        </w:rPr>
      </w:pPr>
      <w:bookmarkStart w:id="4" w:name="_heading=h.mhb2pnem5v19" w:colFirst="0" w:colLast="0"/>
      <w:bookmarkEnd w:id="4"/>
      <w:r w:rsidRPr="000565B4">
        <w:rPr>
          <w:rFonts w:ascii="Century Gothic" w:eastAsia="Century Gothic" w:hAnsi="Century Gothic" w:cs="Century Gothic"/>
          <w:color w:val="000000"/>
        </w:rPr>
        <w:tab/>
      </w:r>
      <w:r w:rsidRPr="000565B4">
        <w:rPr>
          <w:rFonts w:ascii="Verdana" w:eastAsia="Verdana" w:hAnsi="Verdana" w:cs="Verdana"/>
        </w:rPr>
        <w:t xml:space="preserve">Por lo demás, el Consejo de Estado ha precisado como requisitos de la cesión del contrato estatal los siguientes: i) debe recaer en un tercero; ii) el cesionario debe tener capacidad jurídica para continuar con la ejecución del </w:t>
      </w:r>
      <w:r w:rsidRPr="000565B4">
        <w:rPr>
          <w:rFonts w:ascii="Verdana" w:eastAsia="Verdana" w:hAnsi="Verdana" w:cs="Verdana"/>
        </w:rPr>
        <w:lastRenderedPageBreak/>
        <w:t xml:space="preserve">objeto contractual y no estar incurso en causales de inhabilidad e incompatibilidad para contratar; y iii)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w:t>
      </w:r>
      <w:r w:rsidRPr="000565B4">
        <w:rPr>
          <w:rFonts w:ascii="Verdana" w:eastAsia="Verdana" w:hAnsi="Verdana" w:cs="Verdana"/>
          <w:color w:val="000000"/>
        </w:rPr>
        <w:t>manera, la capacidad jurídica, económica y técnica del contratista cedente se exigirá también al cesionario, ya que “[…] el proceso cesión del contrato y las exigencias que se 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r w:rsidRPr="000565B4">
        <w:rPr>
          <w:rFonts w:ascii="Verdana" w:eastAsia="Verdana" w:hAnsi="Verdana" w:cs="Verdana"/>
          <w:color w:val="000000"/>
          <w:vertAlign w:val="superscript"/>
        </w:rPr>
        <w:footnoteReference w:id="27"/>
      </w:r>
      <w:r w:rsidRPr="000565B4">
        <w:rPr>
          <w:rFonts w:ascii="Verdana" w:eastAsia="Verdana" w:hAnsi="Verdana" w:cs="Verdana"/>
          <w:color w:val="000000"/>
        </w:rPr>
        <w:t>.</w:t>
      </w:r>
    </w:p>
    <w:p w14:paraId="7376CCC1" w14:textId="34CEE08A" w:rsidR="001F2C08" w:rsidRPr="000565B4" w:rsidRDefault="001F2C08" w:rsidP="001F2C08">
      <w:pPr>
        <w:tabs>
          <w:tab w:val="left" w:pos="709"/>
        </w:tabs>
        <w:spacing w:after="120" w:line="276" w:lineRule="auto"/>
        <w:ind w:firstLine="709"/>
        <w:jc w:val="both"/>
        <w:rPr>
          <w:rFonts w:ascii="Verdana" w:eastAsia="Verdana" w:hAnsi="Verdana" w:cs="Verdana"/>
          <w:color w:val="000000"/>
        </w:rPr>
      </w:pPr>
      <w:bookmarkStart w:id="5" w:name="_heading=h.5ten6mki767" w:colFirst="0" w:colLast="0"/>
      <w:bookmarkEnd w:id="5"/>
      <w:r w:rsidRPr="000565B4">
        <w:rPr>
          <w:rFonts w:ascii="Verdana" w:eastAsia="Verdana" w:hAnsi="Verdana" w:cs="Verdana"/>
          <w:color w:val="000000"/>
        </w:rPr>
        <w:t xml:space="preserve">Por lo tanto, la </w:t>
      </w:r>
      <w:r w:rsidR="004E516B">
        <w:rPr>
          <w:rFonts w:ascii="Verdana" w:eastAsia="Verdana" w:hAnsi="Verdana" w:cs="Verdana"/>
          <w:color w:val="000000"/>
        </w:rPr>
        <w:t>E</w:t>
      </w:r>
      <w:r w:rsidRPr="000565B4">
        <w:rPr>
          <w:rFonts w:ascii="Verdana" w:eastAsia="Verdana" w:hAnsi="Verdana" w:cs="Verdana"/>
          <w:color w:val="000000"/>
        </w:rPr>
        <w:t xml:space="preserve">ntidad </w:t>
      </w:r>
      <w:r w:rsidR="004E516B">
        <w:rPr>
          <w:rFonts w:ascii="Verdana" w:eastAsia="Verdana" w:hAnsi="Verdana" w:cs="Verdana"/>
          <w:color w:val="000000"/>
        </w:rPr>
        <w:t>E</w:t>
      </w:r>
      <w:r w:rsidRPr="000565B4">
        <w:rPr>
          <w:rFonts w:ascii="Verdana" w:eastAsia="Verdana" w:hAnsi="Verdana" w:cs="Verdana"/>
          <w:color w:val="000000"/>
        </w:rPr>
        <w:t>statal en el trámite de autorización de una cesión de posición contractual está obligada a respetar los criterios normativos que resulten aplicables al proceso de contratación, entre otros, los principios de transparencia, selección objetiva e igualdad. En otros términos, so pretexto de una cesión contractual, no pueden vulnerarse las reglas y principios de la contratación estatal.</w:t>
      </w:r>
    </w:p>
    <w:p w14:paraId="2F99F3A3" w14:textId="77777777" w:rsidR="001F2C08" w:rsidRPr="000565B4" w:rsidRDefault="001F2C08" w:rsidP="001F2C08">
      <w:pPr>
        <w:tabs>
          <w:tab w:val="left" w:pos="709"/>
        </w:tabs>
        <w:spacing w:after="120" w:line="276" w:lineRule="auto"/>
        <w:ind w:firstLine="709"/>
        <w:jc w:val="both"/>
        <w:rPr>
          <w:rFonts w:ascii="Verdana" w:eastAsia="Verdana" w:hAnsi="Verdana" w:cs="Verdana"/>
          <w:color w:val="000000"/>
        </w:rPr>
      </w:pPr>
      <w:r w:rsidRPr="000565B4">
        <w:rPr>
          <w:rFonts w:ascii="Verdana" w:eastAsia="Verdana" w:hAnsi="Verdana" w:cs="Verdana"/>
          <w:color w:val="000000"/>
        </w:rPr>
        <w:t xml:space="preserve">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 </w:t>
      </w:r>
    </w:p>
    <w:p w14:paraId="402480DE" w14:textId="77777777" w:rsidR="001F2C08" w:rsidRPr="000565B4" w:rsidRDefault="001F2C08" w:rsidP="001F2C08">
      <w:pPr>
        <w:spacing w:after="120" w:line="276" w:lineRule="auto"/>
        <w:ind w:right="51" w:firstLine="709"/>
        <w:jc w:val="both"/>
        <w:rPr>
          <w:rFonts w:ascii="Verdana" w:eastAsia="Verdana" w:hAnsi="Verdana" w:cs="Verdana"/>
          <w:color w:val="000000"/>
        </w:rPr>
      </w:pPr>
      <w:bookmarkStart w:id="6" w:name="_heading=h.1wluew5qb6pv" w:colFirst="0" w:colLast="0"/>
      <w:bookmarkEnd w:id="6"/>
      <w:r w:rsidRPr="000565B4">
        <w:rPr>
          <w:rFonts w:ascii="Verdana" w:eastAsia="Verdana" w:hAnsi="Verdana" w:cs="Verdana"/>
          <w:color w:val="000000"/>
        </w:rPr>
        <w:t xml:space="preserve">En suma, la Ley 80 de 1993 no reguló en su integridad la cesión del contrato, como tampoco lo hizo el Código Civil en el que se consagra la </w:t>
      </w:r>
      <w:r w:rsidRPr="000565B4">
        <w:rPr>
          <w:rFonts w:ascii="Verdana" w:eastAsia="Verdana" w:hAnsi="Verdana" w:cs="Verdana"/>
          <w:color w:val="000000"/>
        </w:rPr>
        <w:lastRenderedPageBreak/>
        <w:t xml:space="preserve">institución de la cesión de créditos –arts. 1959 y ss.–. En cambio, los artículos 887 a 896 del Código de Comercio definen la cesión del contrato. Por consiguiente, resultan aplicables las normas del derecho civil y comercial pertinentes, sobre cesión del crédito y cesión de contratos respectivamente, salvo en las materias particularmente reguladas por el Estatuto General de Contratación de la Administración Pública, como lo señala el artículo 13 de la Ley 80 de 1993. </w:t>
      </w:r>
    </w:p>
    <w:p w14:paraId="53709785" w14:textId="77777777" w:rsidR="001F2C08" w:rsidRPr="000565B4" w:rsidRDefault="001F2C08" w:rsidP="001F2C08">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 xml:space="preserve">De conformidad con los requisitos y las restricciones explicadas </w:t>
      </w:r>
      <w:r w:rsidRPr="000565B4">
        <w:rPr>
          <w:rFonts w:ascii="Verdana" w:eastAsia="Verdana" w:hAnsi="Verdana" w:cs="Verdana"/>
          <w:i/>
          <w:iCs/>
          <w:color w:val="000000"/>
        </w:rPr>
        <w:t>ut supra</w:t>
      </w:r>
      <w:r w:rsidRPr="000565B4">
        <w:rPr>
          <w:rFonts w:ascii="Verdana" w:eastAsia="Verdana" w:hAnsi="Verdana" w:cs="Verdana"/>
          <w:color w:val="000000"/>
        </w:rPr>
        <w:t>, en los contratos estatales cuya ejecución aún no haya sido cumplida en todo o en parte, el contratista podrá hacerse sustituir por un tercero en la relación derivada del contrato, quien en adelante ocupará su posición jurídica. Es una de las posibilidades en las cuales existe una modificación de uno de los extremos de la relación contractual, es decir, de uno de los sujetos, siempre que sea autorizada previamente por la entidad cedida, en cuyo caso requiere la suscripción de un contrato entre el cedente y el cesionario, de manera que es de carácter bilateral en la medida en que es el resultado de un acuerdo voluntades. Con fundamento en el contrato de cesión, el cesionario reemplaza –en todo o en parte– al contratista cedente en la ejecución del contrato estatal, respondiendo por el cumplimiento de las obligaciones frente a la Administración.</w:t>
      </w:r>
    </w:p>
    <w:p w14:paraId="21719F1D" w14:textId="77777777" w:rsidR="001F2C08" w:rsidRPr="000565B4" w:rsidRDefault="001F2C08" w:rsidP="001F2C08">
      <w:pPr>
        <w:spacing w:after="120" w:line="276" w:lineRule="auto"/>
        <w:ind w:firstLine="720"/>
        <w:jc w:val="both"/>
        <w:rPr>
          <w:rFonts w:ascii="Verdana" w:eastAsia="Verdana" w:hAnsi="Verdana" w:cs="Verdana"/>
          <w:color w:val="000000"/>
        </w:rPr>
      </w:pPr>
      <w:r w:rsidRPr="000565B4">
        <w:rPr>
          <w:rFonts w:ascii="Verdana" w:eastAsia="Verdana" w:hAnsi="Verdana" w:cs="Verdana"/>
        </w:rPr>
        <w:t>Si bien las personas pueden presentarse individualmente a los procesos de selección, también pueden hacerlo en forma plural a través de consorcios o uniones temporales. En efecto, 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1EF1CE30" w14:textId="77777777" w:rsidR="001F2C08" w:rsidRPr="000565B4" w:rsidRDefault="001F2C08" w:rsidP="001F2C08">
      <w:pPr>
        <w:spacing w:after="0"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La capacidad para contratar, e incluso la de realizar actos jurídicamente vinculantes como la presentación de una oferta en un procedimiento de selección </w:t>
      </w:r>
      <w:r w:rsidRPr="000565B4">
        <w:rPr>
          <w:rFonts w:ascii="Verdana" w:eastAsia="Verdana" w:hAnsi="Verdana" w:cs="Verdana"/>
          <w:color w:val="000000"/>
        </w:rPr>
        <w:lastRenderedPageBreak/>
        <w:t>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3D7FD92F" w14:textId="77777777" w:rsidR="001F2C08" w:rsidRPr="000565B4" w:rsidRDefault="001F2C08" w:rsidP="001F2C08">
      <w:pPr>
        <w:spacing w:after="0" w:line="240" w:lineRule="auto"/>
        <w:jc w:val="both"/>
        <w:rPr>
          <w:rFonts w:ascii="Verdana" w:eastAsia="Verdana" w:hAnsi="Verdana" w:cs="Verdana"/>
          <w:color w:val="000000"/>
        </w:rPr>
      </w:pPr>
    </w:p>
    <w:p w14:paraId="6CBBC06E" w14:textId="77777777" w:rsidR="001F2C08" w:rsidRPr="000565B4" w:rsidRDefault="001F2C08" w:rsidP="001F2C08">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Preámbulo, artículos 1 y 2 de la Carta Política.</w:t>
      </w:r>
    </w:p>
    <w:p w14:paraId="79D22C6D" w14:textId="77777777" w:rsidR="001F2C08" w:rsidRPr="000565B4" w:rsidRDefault="001F2C08" w:rsidP="001F2C08">
      <w:pPr>
        <w:spacing w:after="0" w:line="240" w:lineRule="auto"/>
        <w:ind w:left="709" w:right="709"/>
        <w:jc w:val="both"/>
        <w:rPr>
          <w:rFonts w:ascii="Verdana" w:eastAsia="Verdana" w:hAnsi="Verdana" w:cs="Verdana"/>
          <w:color w:val="000000"/>
          <w:sz w:val="20"/>
          <w:szCs w:val="20"/>
        </w:rPr>
      </w:pPr>
    </w:p>
    <w:p w14:paraId="0EFF442B" w14:textId="77777777" w:rsidR="001F2C08" w:rsidRPr="000565B4" w:rsidRDefault="001F2C08" w:rsidP="001F2C08">
      <w:pPr>
        <w:spacing w:after="12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w:t>
      </w:r>
    </w:p>
    <w:p w14:paraId="71E6CEC1" w14:textId="77777777" w:rsidR="001F2C08" w:rsidRPr="000565B4" w:rsidRDefault="001F2C08" w:rsidP="001F2C08">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En torno a la capacidad contractual de los consorcios y uniones temporales la jurisprudencia constitucional ha expresado que el Estatuto de contratación les reconoce este atributo sin exigirles como 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sidRPr="000565B4">
        <w:rPr>
          <w:rFonts w:ascii="Verdana" w:eastAsia="Verdana" w:hAnsi="Verdana" w:cs="Verdana"/>
          <w:color w:val="000000"/>
          <w:vertAlign w:val="superscript"/>
        </w:rPr>
        <w:footnoteReference w:id="28"/>
      </w:r>
      <w:r w:rsidRPr="000565B4">
        <w:rPr>
          <w:rFonts w:ascii="Verdana" w:eastAsia="Verdana" w:hAnsi="Verdana" w:cs="Verdana"/>
          <w:color w:val="000000"/>
          <w:sz w:val="20"/>
          <w:szCs w:val="20"/>
        </w:rPr>
        <w:t>.</w:t>
      </w:r>
    </w:p>
    <w:p w14:paraId="3E96B79A" w14:textId="77777777" w:rsidR="001F2C08" w:rsidRPr="000565B4" w:rsidRDefault="001F2C08" w:rsidP="001F2C08">
      <w:pPr>
        <w:spacing w:after="0" w:line="240" w:lineRule="auto"/>
        <w:ind w:left="720" w:right="731"/>
        <w:jc w:val="both"/>
        <w:rPr>
          <w:rFonts w:ascii="Verdana" w:eastAsia="Verdana" w:hAnsi="Verdana" w:cs="Verdana"/>
          <w:color w:val="000000"/>
        </w:rPr>
      </w:pPr>
    </w:p>
    <w:p w14:paraId="370E6198" w14:textId="77777777" w:rsidR="001F2C08" w:rsidRPr="000565B4" w:rsidRDefault="001F2C08" w:rsidP="001F2C08">
      <w:pPr>
        <w:spacing w:after="120" w:line="276" w:lineRule="auto"/>
        <w:ind w:firstLine="720"/>
        <w:jc w:val="both"/>
        <w:rPr>
          <w:rFonts w:ascii="Verdana" w:eastAsia="Verdana" w:hAnsi="Verdana" w:cs="Verdana"/>
          <w:color w:val="000000"/>
        </w:rPr>
      </w:pPr>
      <w:bookmarkStart w:id="7" w:name="_heading=h.dbd329tyicjx" w:colFirst="0" w:colLast="0"/>
      <w:bookmarkEnd w:id="7"/>
      <w:r w:rsidRPr="000565B4">
        <w:rPr>
          <w:rFonts w:ascii="Verdana" w:eastAsia="Verdana" w:hAnsi="Verdana" w:cs="Verdana"/>
          <w:color w:val="000000"/>
        </w:rPr>
        <w:t xml:space="preserve">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w:t>
      </w:r>
      <w:r w:rsidRPr="000565B4">
        <w:rPr>
          <w:rFonts w:ascii="Verdana" w:eastAsia="Verdana" w:hAnsi="Verdana" w:cs="Verdana"/>
          <w:color w:val="000000"/>
        </w:rPr>
        <w:lastRenderedPageBreak/>
        <w:t>condición de su ejercicio que sean personas morales lo que, hasta cierto punto, podría considerarse una evolución en la teoría de la personalidad jurídica.</w:t>
      </w:r>
    </w:p>
    <w:p w14:paraId="3DC2C51B" w14:textId="77777777" w:rsidR="001F2C08" w:rsidRPr="000565B4" w:rsidRDefault="001F2C08" w:rsidP="001F2C08">
      <w:pPr>
        <w:spacing w:after="120" w:line="276" w:lineRule="auto"/>
        <w:ind w:firstLine="709"/>
        <w:jc w:val="both"/>
        <w:rPr>
          <w:rFonts w:ascii="Verdana" w:eastAsia="Verdana" w:hAnsi="Verdana" w:cs="Verdana"/>
          <w:color w:val="000000"/>
        </w:rPr>
      </w:pPr>
      <w:r w:rsidRPr="000565B4">
        <w:rPr>
          <w:rFonts w:ascii="Verdana" w:eastAsia="Verdana" w:hAnsi="Verdana" w:cs="Verdana"/>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Este</w:t>
      </w:r>
      <w:r w:rsidRPr="000565B4">
        <w:rPr>
          <w:rFonts w:ascii="Verdana" w:eastAsia="Verdana" w:hAnsi="Verdana" w:cs="Verdana"/>
          <w:color w:val="000000"/>
        </w:rPr>
        <w:t xml:space="preserve"> artículo citado señala que el consorcio o la unión temporal se </w:t>
      </w:r>
      <w:r w:rsidRPr="000565B4">
        <w:rPr>
          <w:rFonts w:ascii="Verdana" w:eastAsia="Verdana" w:hAnsi="Verdana" w:cs="Verdana"/>
        </w:rPr>
        <w:t xml:space="preserve">presenta </w:t>
      </w:r>
      <w:r w:rsidRPr="000565B4">
        <w:rPr>
          <w:rFonts w:ascii="Verdana" w:eastAsia="Verdana" w:hAnsi="Verdana" w:cs="Verdana"/>
          <w:color w:val="000000"/>
        </w:rPr>
        <w:t xml:space="preserve">“Cuando dos o más personas en forma conjunta presentan una misma propuesta para la adjudicación, celebración y ejecución de un contrato </w:t>
      </w:r>
      <w:r w:rsidRPr="000565B4">
        <w:rPr>
          <w:rFonts w:ascii="Verdana" w:eastAsia="Verdana" w:hAnsi="Verdana" w:cs="Verdana"/>
        </w:rPr>
        <w:t>[…]</w:t>
      </w:r>
      <w:r w:rsidRPr="000565B4">
        <w:rPr>
          <w:rFonts w:ascii="Verdana" w:eastAsia="Verdana" w:hAnsi="Verdana" w:cs="Verdana"/>
          <w:color w:val="000000"/>
        </w:rPr>
        <w:t xml:space="preserve">”.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 </w:t>
      </w:r>
    </w:p>
    <w:p w14:paraId="7410822F" w14:textId="77777777" w:rsidR="001F2C08" w:rsidRPr="000565B4" w:rsidRDefault="001F2C08" w:rsidP="001F2C08">
      <w:pPr>
        <w:spacing w:after="120" w:line="276" w:lineRule="auto"/>
        <w:jc w:val="both"/>
        <w:rPr>
          <w:rFonts w:ascii="Verdana" w:eastAsia="Verdana" w:hAnsi="Verdana" w:cs="Verdana"/>
          <w:color w:val="000000"/>
        </w:rPr>
      </w:pPr>
      <w:r w:rsidRPr="000565B4">
        <w:rPr>
          <w:rFonts w:ascii="Verdana" w:eastAsia="Verdana" w:hAnsi="Verdana" w:cs="Verdana"/>
          <w:color w:val="000000"/>
        </w:rPr>
        <w:tab/>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588F163E" w14:textId="6D2E19B9" w:rsidR="001F2C08" w:rsidRPr="000565B4" w:rsidRDefault="001F2C08" w:rsidP="00584DA6">
      <w:pPr>
        <w:spacing w:after="120" w:line="276" w:lineRule="auto"/>
        <w:jc w:val="both"/>
        <w:rPr>
          <w:rFonts w:ascii="Verdana" w:eastAsia="Verdana" w:hAnsi="Verdana" w:cs="Verdana"/>
        </w:rPr>
      </w:pPr>
      <w:r w:rsidRPr="000565B4">
        <w:rPr>
          <w:rFonts w:ascii="Verdana" w:eastAsia="Verdana" w:hAnsi="Verdana" w:cs="Verdana"/>
          <w:color w:val="000000"/>
        </w:rPr>
        <w:tab/>
        <w:t xml:space="preserve">La capacidad jurídica de los proponentes plurales se limita al campo de la contratación estatal de las entidades sometidas al EGCAP, es decir, a las relaciones en consorcios y las uniones temporales con las entidades estatales del artículo 2 de la Ley 80 de 1993. </w:t>
      </w:r>
    </w:p>
    <w:p w14:paraId="341D71AC" w14:textId="77777777" w:rsidR="00F57C0A" w:rsidRDefault="001F2C08" w:rsidP="00815F9B">
      <w:pPr>
        <w:spacing w:after="120" w:line="276" w:lineRule="auto"/>
        <w:ind w:firstLine="709"/>
        <w:jc w:val="both"/>
        <w:rPr>
          <w:rFonts w:ascii="Verdana" w:eastAsia="Verdana" w:hAnsi="Verdana" w:cs="Verdana"/>
        </w:rPr>
      </w:pPr>
      <w:r w:rsidRPr="000565B4">
        <w:rPr>
          <w:rFonts w:ascii="Verdana" w:eastAsia="Verdana" w:hAnsi="Verdana" w:cs="Verdana"/>
        </w:rPr>
        <w:t xml:space="preserve">Ahora bien, el régimen previsto en el artículo 9 de la Ley 80 de 1993 evidencia que la aparición de una inhabilidad o incompatibilidad sobreviniente durante la ejecución del contrato no conduce, por sí sola, a la terminación </w:t>
      </w:r>
      <w:r w:rsidRPr="000565B4">
        <w:rPr>
          <w:rFonts w:ascii="Verdana" w:eastAsia="Verdana" w:hAnsi="Verdana" w:cs="Verdana"/>
        </w:rPr>
        <w:lastRenderedPageBreak/>
        <w:t>automática del vínculo contractual. Por el contrario, el legislador diseñó un mecanismo específico para preservar la continuidad de la ejecución y, al mismo tiempo, garantizar el respeto del régimen de inhabilidades e incompatibilidades, consistente en la obligación del integrante afectado de ceder su participación a un tercero, previa autorización escrita de la entidad contratante, sin que sea jurídicamente posible realizar dicha cesión entre quienes integran el consorcio o la unión temporal</w:t>
      </w:r>
      <w:r w:rsidRPr="000565B4">
        <w:rPr>
          <w:rFonts w:ascii="Verdana" w:eastAsia="Verdana" w:hAnsi="Verdana" w:cs="Verdana"/>
          <w:vertAlign w:val="superscript"/>
        </w:rPr>
        <w:footnoteReference w:id="29"/>
      </w:r>
      <w:r w:rsidRPr="000565B4">
        <w:rPr>
          <w:rFonts w:ascii="Verdana" w:eastAsia="Verdana" w:hAnsi="Verdana" w:cs="Verdana"/>
        </w:rPr>
        <w:t xml:space="preserve">. </w:t>
      </w:r>
    </w:p>
    <w:p w14:paraId="0455292F" w14:textId="5157E5F3" w:rsidR="001F2C08" w:rsidRPr="000565B4" w:rsidRDefault="001F2C08" w:rsidP="00815F9B">
      <w:pPr>
        <w:spacing w:after="120" w:line="276" w:lineRule="auto"/>
        <w:ind w:firstLine="709"/>
        <w:jc w:val="both"/>
      </w:pPr>
      <w:r w:rsidRPr="000565B4">
        <w:rPr>
          <w:rFonts w:ascii="Verdana" w:eastAsia="Verdana" w:hAnsi="Verdana" w:cs="Verdana"/>
        </w:rPr>
        <w:t>En desarrollo de esta disposición, el Consejo de Estado ha precisado que, tratándose de consorcios y uniones temporales, no resulta procedente la renuncia a la ejecución del contrato, pues el legislador estableció una regla especial para estos esquemas asociativos, consistente en la cesión de la participación del integrante afectado a un tercero, como mecanismo destinado a garantizar la continuidad del contrato y el respeto del régimen de inhabilidades e incompatibilidades. De esta manera, la cesión constituye la respuesta prevista por el ordenamiento jurídico para conjugar el principio de conservación del contrato con la necesidad de impedir que una persona incursa en una inhabilidad o incompatibilidad permanezca vinculada a la ejecución de un contrato estatal</w:t>
      </w:r>
      <w:r w:rsidRPr="000565B4">
        <w:t xml:space="preserve">. </w:t>
      </w:r>
    </w:p>
    <w:p w14:paraId="5219AFB0" w14:textId="77777777" w:rsidR="001F2C08" w:rsidRPr="000565B4" w:rsidRDefault="001F2C08" w:rsidP="001F2C08">
      <w:pPr>
        <w:spacing w:after="120" w:line="276" w:lineRule="auto"/>
        <w:jc w:val="both"/>
        <w:rPr>
          <w:rFonts w:ascii="Verdana" w:eastAsia="Verdana" w:hAnsi="Verdana" w:cs="Verdana"/>
          <w:b/>
          <w:bCs/>
          <w:color w:val="000000"/>
        </w:rPr>
      </w:pPr>
      <w:r w:rsidRPr="000565B4">
        <w:tab/>
      </w:r>
      <w:r w:rsidRPr="000565B4">
        <w:rPr>
          <w:rFonts w:ascii="Verdana" w:hAnsi="Verdana"/>
        </w:rPr>
        <w:t>De manera previa a la actuación administrativa de verificación, debe señalarse que el primer deber que surge ante la configuración de una inhabilidad o incompatibilidad sobreviniente recae en el propio contratista. En efecto, los artículos 23 y 26 de la Ley 80 de 1993 imponen a los partícipes de la actividad contractual la obligación de actuar conforme a los principios de buena fe y responsabilidad, lo que comprende el deber de informar oportunamente a la entidad contratante las circunstancias sobrevinientes que afecten su capacidad para continuar la ejecución del contrato. Este deber de información constituye una manifestación concreta del principio de buena fe objetiva que rige las relaciones contractuales del Estado –arts. 83 de la C. P. y 28 de la Ley 80 de 1993–, y su omisión puede ser valorada por la entidad como un elemento relevante al examinar la conducta contractual del integrante afectado. Con todo, el conocimiento de la circunstancia por parte de la entidad no depende exclusivamente de la información suministrada por el contratista: la entidad puede advertirla por cualquier otro medio, caso en el cual deberá igualmente iniciar la actuación administrativa correspondiente.</w:t>
      </w:r>
    </w:p>
    <w:p w14:paraId="3E75D4F2" w14:textId="77777777" w:rsidR="001F2C08" w:rsidRPr="000565B4" w:rsidRDefault="001F2C08" w:rsidP="001F2C08">
      <w:pPr>
        <w:spacing w:after="120" w:line="276" w:lineRule="auto"/>
        <w:ind w:firstLine="720"/>
        <w:jc w:val="both"/>
        <w:rPr>
          <w:rFonts w:ascii="Verdana" w:eastAsia="Verdana" w:hAnsi="Verdana" w:cs="Verdana"/>
        </w:rPr>
      </w:pPr>
      <w:r w:rsidRPr="000565B4">
        <w:rPr>
          <w:rFonts w:ascii="Verdana" w:eastAsia="Verdana" w:hAnsi="Verdana" w:cs="Verdana"/>
        </w:rPr>
        <w:lastRenderedPageBreak/>
        <w:t>No obstante, es importante precisar que la configuración de una inhabilidad o incompatibilidad sobreviniente no produce automáticamente los efectos previstos en el ordenamiento jurídico, sino que exige el respeto del derecho fundamental al debido proceso. Sobre el particular, la Sala de Consulta y Servicio Civil del Consejo de Estado precisó que, por tratarse de una restricción a la capacidad para contratar con el Estado, "es necesario garantizar y acatar el principio del debido proceso (art. 29 C.P.) y, en particular, los derechos de defensa y contradicción del eventual afectado, para que la entidad estatal declare la existencia de la causal correspondiente y se pueda aplicar la inhabilidad"</w:t>
      </w:r>
      <w:r w:rsidRPr="000565B4">
        <w:rPr>
          <w:rFonts w:ascii="Verdana" w:eastAsia="Verdana" w:hAnsi="Verdana" w:cs="Verdana"/>
          <w:vertAlign w:val="superscript"/>
        </w:rPr>
        <w:footnoteReference w:id="30"/>
      </w:r>
      <w:r w:rsidRPr="000565B4">
        <w:rPr>
          <w:rFonts w:ascii="Verdana" w:eastAsia="Verdana" w:hAnsi="Verdana" w:cs="Verdana"/>
        </w:rPr>
        <w:t>. De esta manera, la autoridad contratante no puede partir de la simple existencia de un hecho que, en principio, configure una inhabilidad o incompatibilidad, sino que debe verificar su ocurrencia mediante una actuación administrativa que permita al contratista ejercer plenamente sus derechos de defensa y contradicción.</w:t>
      </w:r>
    </w:p>
    <w:p w14:paraId="77F55633" w14:textId="7C02290A" w:rsidR="001F2C08" w:rsidRPr="000565B4" w:rsidRDefault="001F2C08" w:rsidP="00584DA6">
      <w:pPr>
        <w:spacing w:after="120" w:line="276" w:lineRule="auto"/>
        <w:ind w:firstLine="720"/>
        <w:jc w:val="both"/>
        <w:rPr>
          <w:rFonts w:ascii="Verdana" w:eastAsia="Verdana" w:hAnsi="Verdana" w:cs="Verdana"/>
          <w:color w:val="000000"/>
        </w:rPr>
      </w:pPr>
      <w:r w:rsidRPr="000565B4">
        <w:rPr>
          <w:rFonts w:ascii="Verdana" w:eastAsia="Verdana" w:hAnsi="Verdana" w:cs="Verdana"/>
        </w:rPr>
        <w:t>En el mismo sentido, el Consejo de Estado explicó que la decisión mediante la cual se determina la existencia de la causal constituye una manifestación del ejercicio de la función administrativa y, por ello, debe adoptarse mediante un acto debidamente motivado, precedido de una actuación en la que el afectado tenga la oportunidad de pronunciarse, aportar pruebas y controvertir los hechos que sirven de fundamento a la decisión. Por tanto, una vez la entidad tenga conocimiento de la posible configuración de una inhabilidad o incompatibilidad sobreviniente, deberá adelantar la actuación administrativa correspondiente para establecer la efectiva configuración de la causal y garantizar el ejercicio de los derechos de defensa y contradicción del contratista. Solo una vez concluida dicha actuación y determinada la existencia de la inhabilidad, procederá requerir al integrante afectado para que cumpla el deber previsto en el artículo 9 de la Ley 80 de 1993, consistente en ceder su participación a un tercero, previa autorización escrita de la entidad contratante.</w:t>
      </w:r>
    </w:p>
    <w:p w14:paraId="19F8D997" w14:textId="79ED4DC1" w:rsidR="001F2C08" w:rsidRPr="000565B4" w:rsidRDefault="001F2C08" w:rsidP="00A6741F">
      <w:pPr>
        <w:spacing w:after="120" w:line="276" w:lineRule="auto"/>
        <w:ind w:firstLine="709"/>
        <w:jc w:val="both"/>
      </w:pPr>
      <w:r w:rsidRPr="000565B4">
        <w:rPr>
          <w:rFonts w:ascii="Verdana" w:eastAsia="Verdana" w:hAnsi="Verdana" w:cs="Verdana"/>
        </w:rPr>
        <w:t xml:space="preserve">No obstante, cuando el integrante del consorcio o unión temporal incumple el deber legal de ceder su participación o, por circunstancias objetivas, la cesión no puede materializarse, el ordenamiento jurídico no establece expresamente las consecuencias aplicables. En efecto, el artículo 9 de la Ley 80 de 1993 regula la obligación de ceder la participación del integrante inhabilitado, </w:t>
      </w:r>
      <w:r w:rsidRPr="000565B4">
        <w:rPr>
          <w:rFonts w:ascii="Verdana" w:eastAsia="Verdana" w:hAnsi="Verdana" w:cs="Verdana"/>
        </w:rPr>
        <w:lastRenderedPageBreak/>
        <w:t xml:space="preserve">pero no prevé el procedimiento ni las medidas que debe adoptar la entidad contratante cuando dicha obligación resulta incumplida o de imposible ejecución por alguna circunstancia. En este escenario, corresponde interpretar de manera sistemática el </w:t>
      </w:r>
      <w:r w:rsidR="00435858">
        <w:rPr>
          <w:rFonts w:ascii="Verdana" w:eastAsia="Verdana" w:hAnsi="Verdana" w:cs="Verdana"/>
        </w:rPr>
        <w:t>EGCAP</w:t>
      </w:r>
      <w:r w:rsidR="003B34BF">
        <w:rPr>
          <w:rFonts w:ascii="Verdana" w:eastAsia="Verdana" w:hAnsi="Verdana" w:cs="Verdana"/>
        </w:rPr>
        <w:t>,</w:t>
      </w:r>
      <w:r w:rsidRPr="000565B4">
        <w:rPr>
          <w:rFonts w:ascii="Verdana" w:eastAsia="Verdana" w:hAnsi="Verdana" w:cs="Verdana"/>
        </w:rPr>
        <w:t xml:space="preserve"> con el fin de determinar los mecanismos jurídicos que permitan garantizar el cumplimiento del régimen de inhabilidades e incompatibilidades y evitar que la ejecución del contrato continúe en condiciones contrarias al principio de legalidad.</w:t>
      </w:r>
    </w:p>
    <w:p w14:paraId="7AC04174" w14:textId="77777777" w:rsidR="001F2C08" w:rsidRPr="000565B4" w:rsidRDefault="001F2C08" w:rsidP="001F2C08">
      <w:pPr>
        <w:spacing w:after="120" w:line="276" w:lineRule="auto"/>
        <w:ind w:firstLine="720"/>
        <w:jc w:val="both"/>
      </w:pPr>
      <w:r w:rsidRPr="000565B4">
        <w:rPr>
          <w:rFonts w:ascii="Verdana" w:eastAsia="Verdana" w:hAnsi="Verdana" w:cs="Verdana"/>
        </w:rPr>
        <w:t>En primer lugar, no resulta aplicable la regla prevista en el inciso segundo del artículo 9 de la Ley 80 de 1993, conforme a la cual el proponente afectado por una inhabilidad o incompatibilidad sobreviniente durante un proceso de selección debe renunciar a su participación y a los derechos derivados de la oferta. Esta disposición regula una hipótesis propia de la etapa precontractual, en la que aún no existe un vínculo contractual perfeccionado, razón por la cual no resulta extensible al supuesto del integrante de un consorcio o unión temporal respecto del cual la inhabilidad sobreviene durante la ejecución del contrato. Admitir esa extensión implicaría aplicar por analogía una consecuencia jurídica prevista para un supuesto distinto, desconociendo el carácter restrictivo que rige la interpretación del régimen de inhabilidades e incompatibilidades. Además, tratándose de consorcios y uniones temporales, el propio inciso tercero del artículo 9 diseñó una solución específica, consistente en la cesión de la participación a un tercero, lo que excluye la aplicación de la regla de la renuncia prevista para el contratista individual.</w:t>
      </w:r>
    </w:p>
    <w:p w14:paraId="3C9C09E9" w14:textId="77777777" w:rsidR="001F2C08" w:rsidRPr="000565B4" w:rsidRDefault="001F2C08" w:rsidP="001F2C08">
      <w:pPr>
        <w:spacing w:after="120" w:line="276" w:lineRule="auto"/>
        <w:ind w:firstLine="720"/>
        <w:jc w:val="both"/>
        <w:rPr>
          <w:rFonts w:ascii="Verdana" w:eastAsia="Verdana" w:hAnsi="Verdana" w:cs="Verdana"/>
        </w:rPr>
      </w:pPr>
      <w:r w:rsidRPr="000565B4">
        <w:rPr>
          <w:rFonts w:ascii="Verdana" w:eastAsia="Verdana" w:hAnsi="Verdana" w:cs="Verdana"/>
        </w:rPr>
        <w:t xml:space="preserve">En segundo lugar, tampoco resulta procedente la regla de terminación unilateral prevista en el inciso segundo del artículo 45 de la Ley 80 de 1993, fundada en la configuración de una causal de nulidad absoluta del contrato por haberse celebrado con una persona incursa en inhabilidad o incompatibilidad. En efecto, esta consecuencia jurídica parte del supuesto previsto en el numeral 1 del artículo 44 </w:t>
      </w:r>
      <w:r w:rsidRPr="000565B4">
        <w:rPr>
          <w:rFonts w:ascii="Verdana" w:eastAsia="Verdana" w:hAnsi="Verdana" w:cs="Verdana"/>
          <w:i/>
          <w:iCs/>
        </w:rPr>
        <w:t>ibídem</w:t>
      </w:r>
      <w:r w:rsidRPr="000565B4">
        <w:rPr>
          <w:rFonts w:ascii="Verdana" w:eastAsia="Verdana" w:hAnsi="Verdana" w:cs="Verdana"/>
        </w:rPr>
        <w:t>, esto es, que el contrato se celebre con una persona que, desde el momento de su perfeccionamiento, se encuentre incursa en una causal de inhabilidad o incompatibilidad prevista en la Constitución o la ley.</w:t>
      </w:r>
    </w:p>
    <w:p w14:paraId="4934F268" w14:textId="1FCCDF53" w:rsidR="001F2C08" w:rsidRPr="000565B4" w:rsidRDefault="001F2C08" w:rsidP="00584DA6">
      <w:pPr>
        <w:spacing w:after="120" w:line="276" w:lineRule="auto"/>
        <w:ind w:firstLine="720"/>
        <w:jc w:val="both"/>
      </w:pPr>
      <w:r w:rsidRPr="000565B4">
        <w:t xml:space="preserve"> </w:t>
      </w:r>
      <w:r w:rsidRPr="000565B4">
        <w:rPr>
          <w:rFonts w:ascii="Verdana" w:eastAsia="Verdana" w:hAnsi="Verdana" w:cs="Verdana"/>
        </w:rPr>
        <w:t>En contraste, el supuesto objeto de análisis corresponde a una inhabilidad o incompatibilidad sobreviniente; esto es, a una circunstancia que aparece con posterioridad a la celebración del contrato. Precisamente por ello el legislador le otorgó un tratamiento diferenciado en el artículo 9 de la Ley 80 de 1993. En virtud</w:t>
      </w:r>
      <w:r w:rsidR="00A77532">
        <w:rPr>
          <w:rFonts w:ascii="Verdana" w:eastAsia="Verdana" w:hAnsi="Verdana" w:cs="Verdana"/>
        </w:rPr>
        <w:t xml:space="preserve"> de ello</w:t>
      </w:r>
      <w:r w:rsidRPr="000565B4">
        <w:rPr>
          <w:rFonts w:ascii="Verdana" w:eastAsia="Verdana" w:hAnsi="Verdana" w:cs="Verdana"/>
        </w:rPr>
        <w:t xml:space="preserve">, extender a esta hipótesis las consecuencias previstas para las </w:t>
      </w:r>
      <w:r w:rsidRPr="000565B4">
        <w:rPr>
          <w:rFonts w:ascii="Verdana" w:eastAsia="Verdana" w:hAnsi="Verdana" w:cs="Verdana"/>
        </w:rPr>
        <w:lastRenderedPageBreak/>
        <w:t>inhabilidades originarias supondría desconocer el carácter taxativo y de interpretación estricta que gobierna el régimen de inhabilidades, incompatibilidades y nulidades en la contratación estatal.</w:t>
      </w:r>
    </w:p>
    <w:p w14:paraId="4B4624E9" w14:textId="62881F82" w:rsidR="001F2C08" w:rsidRPr="000565B4" w:rsidRDefault="00D829D7" w:rsidP="001F2C08">
      <w:pPr>
        <w:spacing w:after="120" w:line="276" w:lineRule="auto"/>
        <w:jc w:val="both"/>
        <w:rPr>
          <w:rFonts w:ascii="Verdana" w:eastAsia="Verdana" w:hAnsi="Verdana" w:cs="Verdana"/>
        </w:rPr>
      </w:pPr>
      <w:r>
        <w:rPr>
          <w:rFonts w:ascii="Verdana" w:eastAsia="Verdana" w:hAnsi="Verdana" w:cs="Verdana"/>
        </w:rPr>
        <w:tab/>
      </w:r>
      <w:r w:rsidR="001F2C08" w:rsidRPr="000565B4">
        <w:rPr>
          <w:rFonts w:ascii="Verdana" w:eastAsia="Verdana" w:hAnsi="Verdana" w:cs="Verdana"/>
        </w:rPr>
        <w:t>La Sección Tercera del Consejo de Estado</w:t>
      </w:r>
      <w:r w:rsidR="001F2C08" w:rsidRPr="000565B4">
        <w:rPr>
          <w:rFonts w:ascii="Verdana" w:eastAsia="Verdana" w:hAnsi="Verdana" w:cs="Verdana"/>
          <w:vertAlign w:val="superscript"/>
        </w:rPr>
        <w:footnoteReference w:id="31"/>
      </w:r>
      <w:r w:rsidR="001F2C08" w:rsidRPr="000565B4">
        <w:rPr>
          <w:rFonts w:ascii="Verdana" w:eastAsia="Verdana" w:hAnsi="Verdana" w:cs="Verdana"/>
        </w:rPr>
        <w:t xml:space="preserve"> ha explicado que la terminación unilateral del contrato estatal no constituye una institución única, sino un género dentro del cual se distinguen diversas modalidades con presupuestos, finalidades y consecuencias jurídicas diferentes. En ese sentido, precisó que dentro de la terminación unilateral por decisión de la entidad estatal contratante pueden identificarse: i) la terminación unilateral propiamente dicha, regulada por el artículo 17 de la Ley 80 de 1993; ii) la declaratoria de caducidad administrativa del contrato; y iii) la terminación unilateral derivada de la configuración de una causal de nulidad absoluta, prevista en el inciso segundo del artículo 45 de la Ley 80 de 1993. Esta clasificación pone de presente que, aunque las tres instituciones producen la terminación anticipada del vínculo contractual, obedecen a supuestos normativos claramente diferenciados y no pueden confundirse entre sí. </w:t>
      </w:r>
    </w:p>
    <w:p w14:paraId="5D02CC92"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rPr>
        <w:t xml:space="preserve">La primera modalidad corresponde a la terminación unilateral propiamente dicha, regulada por el artículo 17 de la Ley 80 de 1993. Se trata de una potestad excepcional conferida a la Administración para poner fin anticipadamente al contrato cuando las exigencias del servicio público lo requieran o la situación de orden público lo </w:t>
      </w:r>
      <w:r w:rsidRPr="000565B4">
        <w:rPr>
          <w:rFonts w:ascii="Verdana" w:eastAsia="Verdana" w:hAnsi="Verdana" w:cs="Verdana"/>
          <w:color w:val="000000"/>
        </w:rPr>
        <w:t>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circunstancias que hacen incompatible la permanencia del vínculo contractual con los fines que justificaron su celebración. Precisamente por ello, la terminación prevista en el artículo 17 constituye una potestad de naturaleza preventiva y no sancionatoria, cuya finalidad consiste en preservar la correcta satisfacción del interés público y no en reprochar una conducta atribuible al contratista.</w:t>
      </w:r>
    </w:p>
    <w:p w14:paraId="4F6ED348"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lastRenderedPageBreak/>
        <w:t>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 son de pacto facultativo en los contratos de suministro y de prestación de servicios; y se encuentran excluidas en las demás tipologías contractuales señaladas por la norma. De ello se sigue que la terminación unilateral no constituye una herramienta universalmente disponible: su ejercicio presupone que, en el contrato respectivo, la cláusula excepcional se haya pactado o se entienda pactada por ministerio de la ley. En los contratos en los que dicha potestad no resulte procedente, la entidad deberá acudir a los demás mecanismos señalados en este concepto, en particular la terminación de mutuo acuerdo o la intervención del juez del contrato.</w:t>
      </w:r>
    </w:p>
    <w:p w14:paraId="69AC4D9E"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En segundo término, el numeral 1 del artículo 14 dispone que, al ejercer las potestades excepcionales, deberá procederse al reconocimiento y orden de pago de las compensaciones e indemnizaciones a que tengan derecho las personas objeto de tales medidas, aplicando los mecanismos de ajuste de las condiciones y términos contractuales a que haya lugar para mantener la ecuación o equilibrio inicial. Esta previsión exige una consideración cuidadosa en el supuesto analizado. La jurisprudencia constitucional que examinó el artículo 9 de la Ley 80 de 1993 precisó que las consecuencias derivadas de la inhabilidad sobreviniente —la cesión o, en el caso del contratista individual, la renuncia— constituyen medidas objetivas que no tienen carácter sancionatorio ni comprometen la responsabilidad de la administración, precisamente porque la situación que las origina no proviene de una actuación antijurídica de la entidad, sino de un hecho radicado en la esfera del contratista. En consecuencia, cuando la terminación unilateral del numeral 1 del artículo 17 se adopte como consecuencia del fracaso del mecanismo de cesión, la entidad deberá examinar en el acto administrativo el alcance de los reconocimientos a que se refiere el numeral 1 del artículo 14, cuidando que la situación originada en la esfera del integrante inhabilitado —y, en particular, el incumplimiento de su deber legal de ceder— no se convierta en fuente de reconocimientos patrimoniales </w:t>
      </w:r>
      <w:r w:rsidRPr="000565B4">
        <w:rPr>
          <w:rFonts w:ascii="Verdana" w:eastAsia="Verdana" w:hAnsi="Verdana" w:cs="Verdana"/>
          <w:color w:val="000000"/>
        </w:rPr>
        <w:lastRenderedPageBreak/>
        <w:t>injustificados a favor del contratista, sin perjuicio de los derechos derivados de las prestaciones efectivamente ejecutadas.</w:t>
      </w:r>
    </w:p>
    <w:p w14:paraId="122A85C9"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Una modalidad distinta es la caducidad, regulada en el artículo 18 de la Ley 80 de 1993. Esta institución tiene un marcado carácter sancionatorio y procede cuando se presenta un incumplimiento grave de las obligaciones contractuales por parte del contratista que afecte de manera directa la ejecución del contrato y evidencie que puede conducir a su paralización. La declaratoria de caducidad presupone, por tanto, la existencia de un comportamiento imputable al contratista que compromete el cumplimiento del objeto contractual y faculta a la entidad para poner fin al contrato, hacer efectivas las garantías e imponer las consecuencias previstas por la ley, incluida la inhabilidad para contratar con el Estado durante el término legal correspondiente. Se trata, entonces, de una medida de reacción frente al incumplimiento contractual y no de un mecanismo destinado a resolver circunstancias sobrevinientes que afectan la posibilidad jurídica de continuar la ejecución del contrato.</w:t>
      </w:r>
    </w:p>
    <w:p w14:paraId="045B2C44"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sz w:val="24"/>
          <w:szCs w:val="24"/>
        </w:rPr>
      </w:pPr>
      <w:r w:rsidRPr="000565B4">
        <w:rPr>
          <w:rFonts w:ascii="Verdana" w:eastAsia="Verdana" w:hAnsi="Verdana" w:cs="Verdana"/>
        </w:rPr>
        <w:t>Finalmente, la tercera modalidad corresponde a la terminación unilateral por configuración de una causal de nulidad absoluta, prevista en el inciso segundo del artículo 45 de la Ley 80 de 1993. En este evento, la Administración se encuentra facultada para dar por terminado el contrato cuando se configure alguna de las causales de nulidad absoluta previstas en el artículo 44 del mismo estatuto, entre ellas, la celebración del contrato con una persona incursa en una causal de inhabilidad o incompatibilidad. Como ya se explicó, esta figura parte de un supuesto completamente distinto al que aquí se analiza, pues supone que el vicio existía desde el momento mismo de la celebración del contrato, afectando su validez desde el origen. En consecuencia, no resulta jurídicamente procedente extender esta modalidad a los eventos de inhabilidad sobreviniente, respecto de los cuales el propio legislador estableció un régimen especial en el artículo 9 de la Ley 80 de 1993.</w:t>
      </w:r>
    </w:p>
    <w:p w14:paraId="38BDE1AE"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sz w:val="24"/>
          <w:szCs w:val="24"/>
        </w:rPr>
      </w:pPr>
      <w:r w:rsidRPr="000565B4">
        <w:rPr>
          <w:rFonts w:ascii="Verdana" w:eastAsia="Verdana" w:hAnsi="Verdana" w:cs="Verdana"/>
        </w:rPr>
        <w:t xml:space="preserve">Precisadas las diferencias entre estas modalidades de terminación unilateral, considera esta Agencia que el supuesto objeto de consulta encuentra adecuada respuesta en la facultad prevista en el numeral 1 del artículo 17 de la Ley 80 de 1993. En este aspecto, una vez la entidad ha garantizado el debido proceso, ha declarado la configuración de la inhabilidad sobreviniente y ha requerido al integrante afectado para que cumpla el deber legal de ceder su participación, la negativa injustificada a hacerlo o la imposibilidad objetiva de </w:t>
      </w:r>
      <w:r w:rsidRPr="000565B4">
        <w:rPr>
          <w:rFonts w:ascii="Verdana" w:eastAsia="Verdana" w:hAnsi="Verdana" w:cs="Verdana"/>
        </w:rPr>
        <w:lastRenderedPageBreak/>
        <w:t>materializar la cesión hacen fracasar el mecanismo expresamente diseñado por el legislador para conservar el contrato. En esas condiciones, la Administración ya no cuenta con un instrumento que permita mantener la ejecución del contrato en armonía con el régimen de inhabilidades e incompatibilidades, por lo que la permanencia del integrante inhabilitado resulta incompatible con los principios de moralidad, transparencia y legalidad que informan la contratación estatal.</w:t>
      </w:r>
    </w:p>
    <w:p w14:paraId="678793CB"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rPr>
      </w:pPr>
      <w:r w:rsidRPr="000565B4">
        <w:rPr>
          <w:rFonts w:ascii="Verdana" w:eastAsia="Verdana" w:hAnsi="Verdana" w:cs="Verdana"/>
        </w:rPr>
        <w:t xml:space="preserve">En esta situación, la continuidad del contrato deja de satisfacer las exigencias del servicio público a las que alude el artículo 17 de la Ley 80 de 1993. Ello, porque la finalidad del régimen de inhabilidades sobrevinientes, como lo explicó la Corte Constitucional en la Sentencia C-221 de 1996, consiste en impedir que quien se encuentra incurso en una causal de inhabilidad continúe vinculado contractualmente con el Estado. Si el mecanismo previsto para lograr ese propósito, que es la cesión de la participación del integrante afectado, no puede hacerse efectivo, la Administración no puede permitir indefinidamente la ejecución del contrato en condiciones contrarias al ordenamiento jurídico, pues ello supondría desconocer precisamente la finalidad perseguida por el artículo 9 de la Ley 80 de 1993. Desde esta perspectiva, la terminación unilateral prevista en el numeral 1 del artículo 17 no constituye una sanción frente al contratista ni una consecuencia derivada de la invalidez del contrato, sino una medida que permite restablecer la legalidad de la actividad contractual y garantizar que la prestación del servicio público continúe desarrollándose conforme a los principios que rigen la contratación estatal.  </w:t>
      </w:r>
    </w:p>
    <w:p w14:paraId="573DCCCE" w14:textId="77777777" w:rsidR="001F2C08" w:rsidRPr="000565B4" w:rsidRDefault="001F2C08" w:rsidP="001F2C08">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highlight w:val="white"/>
        </w:rPr>
        <w:t>Ahora bien, el ejercicio de la facultad excepcional prevista en el numeral 1 del artículo 17 de la Ley 80 de 1993 exige una motivación rigurosa, dado que se trata de una potestad exorbitante que únicamente puede ejercerse en los estrictos eventos autorizados por el legislador. En efecto, el Consejo de Estado</w:t>
      </w:r>
      <w:r w:rsidRPr="000565B4">
        <w:rPr>
          <w:rFonts w:ascii="Verdana" w:eastAsia="Verdana" w:hAnsi="Verdana" w:cs="Verdana"/>
          <w:color w:val="000000"/>
          <w:highlight w:val="white"/>
          <w:vertAlign w:val="superscript"/>
        </w:rPr>
        <w:footnoteReference w:id="32"/>
      </w:r>
      <w:r w:rsidRPr="000565B4">
        <w:rPr>
          <w:rFonts w:ascii="Verdana" w:eastAsia="Verdana" w:hAnsi="Verdana" w:cs="Verdana"/>
          <w:color w:val="000000"/>
          <w:highlight w:val="white"/>
        </w:rPr>
        <w:t xml:space="preserve"> ha señalado </w:t>
      </w:r>
      <w:r w:rsidRPr="000565B4">
        <w:rPr>
          <w:rFonts w:ascii="Verdana" w:eastAsia="Verdana" w:hAnsi="Verdana" w:cs="Verdana"/>
          <w:color w:val="000000"/>
        </w:rPr>
        <w:t xml:space="preserve">que la facultad de terminación unilateral constituye una potestad de carácter excepcional y, por ello, no puede ejercerse con fundamento en causales distintas de las previstas por el legislador. En efecto, precisó que las consideraciones y construcciones teóricas sobre los modos normales y anormales de terminación de los contratos estatales no pueden interpretarse como una habilitación jurisprudencial para ejercer la facultad de terminación </w:t>
      </w:r>
      <w:r w:rsidRPr="000565B4">
        <w:rPr>
          <w:rFonts w:ascii="Verdana" w:eastAsia="Verdana" w:hAnsi="Verdana" w:cs="Verdana"/>
          <w:color w:val="000000"/>
        </w:rPr>
        <w:lastRenderedPageBreak/>
        <w:t xml:space="preserve">unilateral de los contratos bajo causales no previstas en la Ley y agregó que la excepcionalidad de esta potestad implica su ejercicio bajo la estricta delimitación legal, razón por la cual se impone a los operadores jurídicos una obligación de interpretar de forma restrictiva su procedencia, sin que sea admisible su ejercicio por fundarse en una causal inexistente en la Ley. </w:t>
      </w:r>
    </w:p>
    <w:p w14:paraId="78E6D08D" w14:textId="2F447AFA"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Precisamente por ello, considera esta Agencia que la situación objeto de consulta </w:t>
      </w:r>
      <w:r w:rsidR="00C9084D">
        <w:rPr>
          <w:rFonts w:ascii="Verdana" w:eastAsia="Verdana" w:hAnsi="Verdana" w:cs="Verdana"/>
          <w:color w:val="000000"/>
        </w:rPr>
        <w:t xml:space="preserve">también abarca </w:t>
      </w:r>
      <w:r w:rsidRPr="000565B4">
        <w:rPr>
          <w:rFonts w:ascii="Verdana" w:eastAsia="Verdana" w:hAnsi="Verdana" w:cs="Verdana"/>
          <w:color w:val="000000"/>
        </w:rPr>
        <w:t>la aplicación de una de las hipótesis expresamente previstas en el numeral 1 del artículo 17 de la Ley 80 de 1993, cuyo tenor literal dispone: “La entidad en acto administrativo debidamente motivado dispondrá la terminación anticipada del contrato en los siguientes eventos: 1o. Cuando las exigencias del servicio público lo requieran o la situación de orden público lo imponga […]”. En efecto, una vez agotado el procedimiento administrativo para declarar la inhabilidad sobreviniente, garantizado el debido proceso y constatado que el integrante del consorcio o unión temporal incumplió el deber legal de ceder su participación o que la cesión resultó objetivamente imposible, la entidad se enfrenta a una situación en la que el mecanismo previsto por el artículo 9 de la Ley 80 para conservar el contrato ha fracasado. Como consecuencia de ello, la Administración ya no cuenta con un instrumento jurídico que permita remover la permanencia del integrante inhabilitado y, por tanto, la continuación del contrato resulta incompatible con las exigencias del servicio público, pues implicaría mantener vigente una relación contractual en abierta contradicción con el régimen de inhabilidades e incompatibilidades diseñado por el legislador.</w:t>
      </w:r>
    </w:p>
    <w:p w14:paraId="49DBA9A2" w14:textId="77777777" w:rsidR="001F2C08" w:rsidRPr="000565B4" w:rsidRDefault="001F2C08" w:rsidP="001F2C08">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Así las cosas, la motivación del acto administrativo no puede limitarse a afirmar la existencia de una inhabilidad sobreviniente o la negativa del contratista a ceder su participación. La entidad deberá explicar de manera suficiente por qué, en las circunstancias concretas del caso, el incumplimiento del deber legal de cesión hace imposible mantener la ejecución del contrato dentro del marco de la legalidad y por qué esa circunstancia compromete la adecuada satisfacción del interés general y las exigencias del servicio público a que se refiere el numeral 1 del artículo 17 de la Ley 80 de 1993. En torno al primer supuesto de esta causal de terminación “Cuando las exigencias del servicio público lo requieran”, la doctrina expresa: </w:t>
      </w:r>
    </w:p>
    <w:p w14:paraId="0B0781CC" w14:textId="77777777" w:rsidR="001F2C08" w:rsidRPr="000565B4" w:rsidRDefault="001F2C08" w:rsidP="001F2C08">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 xml:space="preserve">[…] expresa que procederá la terminación unilateral del contrato cuando con la ejecución del objeto pactado se afecte alguna de las necesidades propias de los administrados que deben ser satisfechas por el Estado, de forma tal que: de una parte, afecte la actividad administrativa que se </w:t>
      </w:r>
      <w:r w:rsidRPr="000565B4">
        <w:rPr>
          <w:rFonts w:ascii="Verdana" w:eastAsia="Verdana" w:hAnsi="Verdana" w:cs="Verdana"/>
          <w:color w:val="000000"/>
          <w:sz w:val="20"/>
          <w:szCs w:val="20"/>
        </w:rPr>
        <w:lastRenderedPageBreak/>
        <w:t xml:space="preserve">quiere realizar con la celebración del negocio o, de otra, la consecuencia de aquello encargado por la Administración a su contratista, no obstante permitir la cabal prestación del servicio público propio del contrato, perjudica la actividad estatal en su conjunto. </w:t>
      </w:r>
    </w:p>
    <w:p w14:paraId="3A0B2FB3" w14:textId="77777777" w:rsidR="001F2C08" w:rsidRPr="000565B4" w:rsidRDefault="001F2C08" w:rsidP="001F2C08">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Se trata, entonces, de una causal que atiende al estudio de la Administración en su conjunto, como un aparato engranado en el que todas las entidades que lo conforman deben actuar bajo un mismo objetivo, cuál es la satisfacción del interés general mediante la continua y eficiente prestación de los servicios públicos, evitando que las funciones y campo de acción de cada una de ellas interfieran entre sí”</w:t>
      </w:r>
      <w:r w:rsidRPr="000565B4">
        <w:rPr>
          <w:rFonts w:ascii="Verdana" w:eastAsia="Verdana" w:hAnsi="Verdana" w:cs="Verdana"/>
          <w:color w:val="000000"/>
          <w:sz w:val="20"/>
          <w:szCs w:val="20"/>
          <w:vertAlign w:val="superscript"/>
        </w:rPr>
        <w:footnoteReference w:id="33"/>
      </w:r>
      <w:r w:rsidRPr="000565B4">
        <w:rPr>
          <w:rFonts w:ascii="Verdana" w:eastAsia="Verdana" w:hAnsi="Verdana" w:cs="Verdana"/>
          <w:color w:val="000000"/>
          <w:sz w:val="20"/>
          <w:szCs w:val="20"/>
        </w:rPr>
        <w:t xml:space="preserve">. </w:t>
      </w:r>
    </w:p>
    <w:p w14:paraId="5A31AF88" w14:textId="77777777" w:rsidR="001F2C08" w:rsidRPr="000565B4" w:rsidRDefault="001F2C08" w:rsidP="00584DA6">
      <w:pPr>
        <w:pBdr>
          <w:top w:val="nil"/>
          <w:left w:val="nil"/>
          <w:bottom w:val="nil"/>
          <w:right w:val="nil"/>
          <w:between w:val="nil"/>
        </w:pBdr>
        <w:spacing w:after="0" w:line="276" w:lineRule="auto"/>
        <w:ind w:firstLine="720"/>
        <w:jc w:val="both"/>
        <w:rPr>
          <w:rFonts w:ascii="Verdana" w:eastAsia="Verdana" w:hAnsi="Verdana" w:cs="Verdana"/>
          <w:color w:val="000000"/>
        </w:rPr>
      </w:pPr>
    </w:p>
    <w:p w14:paraId="3F27D584" w14:textId="77777777" w:rsidR="001F2C08" w:rsidRPr="000565B4" w:rsidRDefault="001F2C08" w:rsidP="00584DA6">
      <w:pPr>
        <w:pBdr>
          <w:top w:val="nil"/>
          <w:left w:val="nil"/>
          <w:bottom w:val="nil"/>
          <w:right w:val="nil"/>
          <w:between w:val="nil"/>
        </w:pBdr>
        <w:spacing w:after="120" w:line="276" w:lineRule="auto"/>
        <w:ind w:firstLine="720"/>
        <w:jc w:val="both"/>
        <w:rPr>
          <w:rFonts w:ascii="Verdana" w:eastAsia="Verdana" w:hAnsi="Verdana" w:cs="Verdana"/>
          <w:color w:val="000000"/>
        </w:rPr>
      </w:pPr>
      <w:r w:rsidRPr="000565B4">
        <w:rPr>
          <w:rFonts w:ascii="Verdana" w:eastAsia="Verdana" w:hAnsi="Verdana" w:cs="Verdana"/>
          <w:color w:val="000000"/>
        </w:rPr>
        <w:t>Una motivación rigurosa constituye un presupuesto indispensable para el ejercicio válido de esta potestad excepcional, en tanto permite demostrar que la decisión se adopta para preservar la adecuada prestación del servicio público y no como resultado de apreciaciones arbitrarias o ajenas a la realidad fáctica. Solo a partir de una exposición clara, completa y verificable de las razones que justifican la intervención administrativa es posible asegurar que la autoridad actuó dentro de los límites de la legalidad y con sujeción al principio de proporcionalidad. Al respecto, el Consejo de Estado ha expresado que, "</w:t>
      </w:r>
      <w:r w:rsidRPr="000565B4">
        <w:rPr>
          <w:rFonts w:ascii="Verdana" w:eastAsia="Verdana" w:hAnsi="Verdana" w:cs="Verdana"/>
          <w:i/>
          <w:iCs/>
          <w:color w:val="000000"/>
        </w:rPr>
        <w:t>si los fundamentos de hecho y de derecho que aduce la entidad para su declaratoria no se acompasan con aquellos que dan lugar a la aplicación de esta figura, el acto demandado estará viciado y habrá lugar a declarar su nulidad</w:t>
      </w:r>
      <w:r w:rsidRPr="000565B4">
        <w:rPr>
          <w:rFonts w:ascii="Verdana" w:eastAsia="Verdana" w:hAnsi="Verdana" w:cs="Verdana"/>
          <w:color w:val="000000"/>
        </w:rPr>
        <w:t>"</w:t>
      </w:r>
      <w:r w:rsidRPr="000565B4">
        <w:rPr>
          <w:rFonts w:ascii="Verdana" w:eastAsia="Verdana" w:hAnsi="Verdana" w:cs="Verdana"/>
          <w:color w:val="000000"/>
          <w:vertAlign w:val="superscript"/>
        </w:rPr>
        <w:footnoteReference w:id="34"/>
      </w:r>
      <w:r w:rsidRPr="000565B4">
        <w:rPr>
          <w:rFonts w:ascii="Verdana" w:eastAsia="Verdana" w:hAnsi="Verdana" w:cs="Verdana"/>
          <w:color w:val="000000"/>
        </w:rPr>
        <w:t xml:space="preserve">. </w:t>
      </w:r>
    </w:p>
    <w:p w14:paraId="7636EC03" w14:textId="77777777" w:rsidR="001F2C08" w:rsidRPr="000565B4" w:rsidRDefault="001F2C08" w:rsidP="00584DA6">
      <w:pPr>
        <w:pBdr>
          <w:top w:val="nil"/>
          <w:left w:val="nil"/>
          <w:bottom w:val="nil"/>
          <w:right w:val="nil"/>
          <w:between w:val="nil"/>
        </w:pBdr>
        <w:spacing w:after="120" w:line="276" w:lineRule="auto"/>
        <w:ind w:firstLine="720"/>
        <w:jc w:val="both"/>
        <w:rPr>
          <w:rFonts w:ascii="Verdana" w:eastAsia="Verdana" w:hAnsi="Verdana" w:cs="Verdana"/>
          <w:color w:val="000000"/>
          <w:highlight w:val="yellow"/>
        </w:rPr>
      </w:pPr>
      <w:r w:rsidRPr="000565B4">
        <w:rPr>
          <w:rFonts w:ascii="Verdana" w:eastAsia="Verdana" w:hAnsi="Verdana" w:cs="Verdana"/>
          <w:color w:val="000000"/>
        </w:rPr>
        <w:t>Lo anterior se explica porque la motivación no es un requisito meramente formal del acto de terminación unilateral o de caducidad, sino la garantía que permite controlar que la potestad excepcional se ejerció dentro de la causal legal invocada. Sobre el particular, la jurisprudencia contencioso administrativa ha reiterado que el vicio de falsa motivación se configura cuando se demuestra una de dos circunstancias: que los hechos que la Administración tuvo en cuenta como motivos determinantes de la decisión no estuvieron debidamente probados dentro de la actuación administrativa, o que la Administración omitió tener en cuenta hechos que sí estaban demostrados y que, de haberse considerado, habrían conducido a una decisión sustancialmente distinta</w:t>
      </w:r>
      <w:r w:rsidRPr="000565B4">
        <w:rPr>
          <w:rFonts w:ascii="Verdana" w:eastAsia="Verdana" w:hAnsi="Verdana" w:cs="Verdana"/>
          <w:color w:val="000000"/>
          <w:vertAlign w:val="superscript"/>
        </w:rPr>
        <w:footnoteReference w:id="35"/>
      </w:r>
      <w:r w:rsidRPr="000565B4">
        <w:rPr>
          <w:rFonts w:ascii="Verdana" w:eastAsia="Verdana" w:hAnsi="Verdana" w:cs="Verdana"/>
          <w:color w:val="000000"/>
        </w:rPr>
        <w:t xml:space="preserve">. Trasladada esta </w:t>
      </w:r>
      <w:r w:rsidRPr="000565B4">
        <w:rPr>
          <w:rFonts w:ascii="Verdana" w:eastAsia="Verdana" w:hAnsi="Verdana" w:cs="Verdana"/>
          <w:color w:val="000000"/>
        </w:rPr>
        <w:lastRenderedPageBreak/>
        <w:t>regla al supuesto analizado, el acto que disponga la terminación unilateral con fundamento en el numeral 1 del artículo 17 de la Ley 80 de 1993 deberá acreditar, con soporte probatorio verificable, los tres extremos que estructuran la causal en este escenario: i) la declaratoria previa de la inhabilidad sobreviniente, adoptada con observancia del debido proceso; ii) el agotamiento infructuoso del mecanismo de cesión previsto en el inciso tercero del artículo 9, mediante el requerimiento al integrante afectado y la constatación de su renuencia o de la imposibilidad objetiva de materializar la cesión; y iii) la afectación real y actual que la permanencia del integrante inhabilitado produce sobre las exigencias del servicio público. La ausencia de cualquiera de estos elementos, o su afirmación sin respaldo probatorio, priva al acto de correspondencia con la causal invocada y lo expone a la declaratoria de nulidad.</w:t>
      </w:r>
    </w:p>
    <w:p w14:paraId="34091EBC" w14:textId="77777777" w:rsidR="001F2C08" w:rsidRPr="000565B4" w:rsidRDefault="001F2C08" w:rsidP="00584DA6">
      <w:pPr>
        <w:pBdr>
          <w:top w:val="nil"/>
          <w:left w:val="nil"/>
          <w:bottom w:val="nil"/>
          <w:right w:val="nil"/>
          <w:between w:val="nil"/>
        </w:pBdr>
        <w:spacing w:after="120" w:line="276" w:lineRule="auto"/>
        <w:ind w:firstLine="720"/>
        <w:jc w:val="both"/>
        <w:rPr>
          <w:rFonts w:ascii="Verdana" w:eastAsia="Verdana" w:hAnsi="Verdana" w:cs="Verdana"/>
          <w:color w:val="000000"/>
        </w:rPr>
      </w:pPr>
      <w:r w:rsidRPr="000565B4">
        <w:rPr>
          <w:rFonts w:ascii="Verdana" w:eastAsia="Verdana" w:hAnsi="Verdana" w:cs="Verdana"/>
          <w:color w:val="000000"/>
        </w:rPr>
        <w:t>Idéntica exigencia opera, con mayor rigor, respecto de la caducidad, dado su carácter sancionatorio. El Consejo de Estado ha precisado que esta potestad solo procede ante un incumplimiento de las obligaciones a cargo del contratista que afecte de manera grave y directa la ejecución del contrato y evidencie que puede conducir a su paralización, presupuestos que deben encontrarse plenamente acreditados al momento de la declaratoria y dentro del plazo de ejecución del contrato</w:t>
      </w:r>
      <w:r w:rsidRPr="000565B4">
        <w:rPr>
          <w:rFonts w:ascii="Verdana" w:eastAsia="Verdana" w:hAnsi="Verdana" w:cs="Verdana"/>
          <w:color w:val="000000"/>
          <w:vertAlign w:val="superscript"/>
        </w:rPr>
        <w:footnoteReference w:id="36"/>
      </w:r>
      <w:r w:rsidRPr="000565B4">
        <w:rPr>
          <w:rFonts w:ascii="Verdana" w:eastAsia="Verdana" w:hAnsi="Verdana" w:cs="Verdana"/>
          <w:color w:val="000000"/>
        </w:rPr>
        <w:t xml:space="preserve">. Por ello, el acto que declare la caducidad invocando como único fundamento la configuración de la inhabilidad sobreviniente —que, como se explicó, no constituye por sí misma un incumplimiento contractual— incurriría en falsa motivación, pues los hechos invocados no corresponderían a la causal aplicada. Distinto es el evento en que la entidad acredite que la renuencia persistente del integrante a cumplir el deber legal de cesión, valorada en las circunstancias concretas del contrato, configura un incumplimiento grave con aptitud de paralizar la ejecución: en tal caso, la motivación deberá construirse sobre ese incumplimiento y su incidencia en el contrato, y no sobre la inhabilidad como tal. Esta exigencia de correspondencia entre causal y motivación es, en últimas, expresión del principio de legalidad que gobierna las potestades excepcionales: como lo ha sostenido la Sección Tercera, la </w:t>
      </w:r>
      <w:r w:rsidRPr="000565B4">
        <w:rPr>
          <w:rFonts w:ascii="Verdana" w:eastAsia="Verdana" w:hAnsi="Verdana" w:cs="Verdana"/>
          <w:color w:val="000000"/>
        </w:rPr>
        <w:lastRenderedPageBreak/>
        <w:t>Administración no puede ejercer prerrogativas de poder público sin consagración legal expresa, ni por fuera de los supuestos estrictamente delimitados por el legislador</w:t>
      </w:r>
      <w:r w:rsidRPr="000565B4">
        <w:rPr>
          <w:rFonts w:ascii="Verdana" w:eastAsia="Verdana" w:hAnsi="Verdana" w:cs="Verdana"/>
          <w:color w:val="000000"/>
          <w:vertAlign w:val="superscript"/>
        </w:rPr>
        <w:footnoteReference w:id="37"/>
      </w:r>
      <w:r w:rsidRPr="000565B4">
        <w:rPr>
          <w:rFonts w:ascii="Verdana" w:eastAsia="Verdana" w:hAnsi="Verdana" w:cs="Verdana"/>
          <w:color w:val="000000"/>
        </w:rPr>
        <w:t>, de modo que la motivación rigurosa del acto es simultáneamente la condición de su validez y la principal salvaguarda de la entidad frente al riesgo de anulación y de condena patrimonial en sede judicial.</w:t>
      </w:r>
    </w:p>
    <w:p w14:paraId="5CECDEA6" w14:textId="77777777" w:rsidR="001F2C08" w:rsidRPr="000565B4" w:rsidRDefault="001F2C08" w:rsidP="00584DA6">
      <w:pPr>
        <w:pBdr>
          <w:top w:val="nil"/>
          <w:left w:val="nil"/>
          <w:bottom w:val="nil"/>
          <w:right w:val="nil"/>
          <w:between w:val="nil"/>
        </w:pBdr>
        <w:spacing w:after="120" w:line="276" w:lineRule="auto"/>
        <w:ind w:firstLine="720"/>
        <w:jc w:val="both"/>
        <w:rPr>
          <w:rFonts w:ascii="Verdana" w:eastAsia="Verdana" w:hAnsi="Verdana" w:cs="Verdana"/>
        </w:rPr>
      </w:pPr>
      <w:r w:rsidRPr="000565B4">
        <w:rPr>
          <w:rFonts w:ascii="Verdana" w:eastAsia="Verdana" w:hAnsi="Verdana" w:cs="Verdana"/>
        </w:rPr>
        <w:t xml:space="preserve">En esa medida, la sola configuración del supuesto o previsto en el numeral 1 del artículo 17 no habilita automáticamente a la Administración para declarar la terminación unilateral del contrato, pues el ejercicio de esta potestad exige que la entidad exponga de manera suficiente y verificable por qué, en las circunstancias concretas del caso, se satisfacen los presupuestos previstos en el numeral 1 del artículo 17 de la Ley 80 de 1993. Ello implica demostrar que la inhabilidad sobreviniente afecta de manera real y significativa la prestación del servicio público, y que la decisión adoptada es necesaria y proporcional frente a dicha afectación. </w:t>
      </w:r>
    </w:p>
    <w:p w14:paraId="062663AB" w14:textId="77777777" w:rsidR="001F2C08" w:rsidRPr="000565B4" w:rsidRDefault="001F2C08" w:rsidP="00AC4BDA">
      <w:pPr>
        <w:spacing w:after="120" w:line="276" w:lineRule="auto"/>
        <w:jc w:val="both"/>
        <w:rPr>
          <w:rFonts w:ascii="Verdana" w:eastAsia="Verdana" w:hAnsi="Verdana" w:cs="Verdana"/>
        </w:rPr>
      </w:pPr>
      <w:r w:rsidRPr="000565B4">
        <w:rPr>
          <w:rFonts w:ascii="Verdana" w:eastAsia="Verdana" w:hAnsi="Verdana" w:cs="Verdana"/>
        </w:rPr>
        <w:tab/>
        <w:t xml:space="preserve">En todo caso, la entidad está obligada a examinar alternativas o mecanismos que permitan gestionar o superar la situación derivada de la inhabilidad sobreviniente, de manera que la terminación unilateral solo se adopte cuando resulte estrictamente necesaria para proteger el interés público y garantizar la continuidad del servicio. En todo caso, cuando ello sea viable y compatible con los fines de la contratación estatal, la entidad puede explorar la posibilidad de llegar a un acuerdo con el contratista para la terminación del contrato, privilegiando soluciones concertadas que reduzcan los impactos negativos sobre la gestión de la Administración Pública. </w:t>
      </w:r>
    </w:p>
    <w:p w14:paraId="09CA570A" w14:textId="77777777" w:rsidR="001F2C08" w:rsidRPr="000565B4" w:rsidRDefault="001F2C08" w:rsidP="00F15CD1">
      <w:pPr>
        <w:spacing w:after="120" w:line="276" w:lineRule="auto"/>
        <w:jc w:val="both"/>
        <w:rPr>
          <w:rFonts w:ascii="Verdana" w:eastAsia="Verdana" w:hAnsi="Verdana" w:cs="Verdana"/>
        </w:rPr>
      </w:pPr>
      <w:r w:rsidRPr="000565B4">
        <w:rPr>
          <w:rFonts w:ascii="Verdana" w:eastAsia="Verdana" w:hAnsi="Verdana" w:cs="Verdana"/>
        </w:rPr>
        <w:tab/>
        <w:t xml:space="preserve">Por último, cuando la entidad no disponga de la potestad de terminación unilateral —por no haberse pactado ni entenderse pactada la cláusula excepcional conforme al artículo 14 de la Ley 80 de 1993— o cuando considere que los presupuestos del numeral 1 del artículo 17 no se satisfacen en el caso concreto, el ordenamiento contempla la posibilidad de acudir al juez del contrato mediante el medio de control de controversias contractuales previsto en el artículo 141 de la Ley 1437 de 2011. Por esta vía, la entidad puede solicitar que </w:t>
      </w:r>
      <w:r w:rsidRPr="000565B4">
        <w:rPr>
          <w:rFonts w:ascii="Verdana" w:eastAsia="Verdana" w:hAnsi="Verdana" w:cs="Verdana"/>
        </w:rPr>
        <w:lastRenderedPageBreak/>
        <w:t>se declare la terminación del vínculo contractual y se definan las restituciones, reconocimientos y demás consecuencias a que haya lugar, con la garantía de un pronunciamiento judicial que resuelva de manera definitiva la situación de bloqueo derivada del incumplimiento del deber legal de cesión. Esta alternativa confirma, además, que la imposibilidad de materializar la cesión no deja a la administración desprovista de mecanismos: el sistema jurídico ofrece una gradación de instrumentos —requerimiento de cumplimiento, solución concertada, potestades excepcionales cuando resulten procedentes y, residualmente, la intervención del juez del contrato— que permiten restablecer la legalidad de la actividad contractual sin sacrificar las garantías del contratista.</w:t>
      </w:r>
    </w:p>
    <w:p w14:paraId="3279CBC9" w14:textId="77777777" w:rsidR="001F2C08" w:rsidRPr="000565B4" w:rsidRDefault="001F2C08" w:rsidP="00584DA6">
      <w:pPr>
        <w:spacing w:after="120" w:line="276" w:lineRule="auto"/>
        <w:jc w:val="both"/>
        <w:rPr>
          <w:rFonts w:ascii="Verdana" w:eastAsia="Verdana" w:hAnsi="Verdana" w:cs="Verdana"/>
        </w:rPr>
      </w:pPr>
      <w:r w:rsidRPr="000565B4">
        <w:rPr>
          <w:rFonts w:ascii="Verdana" w:eastAsia="Verdana" w:hAnsi="Verdana" w:cs="Verdana"/>
        </w:rPr>
        <w:tab/>
        <w:t>Finalmente, la conclusión expuesta constituye una precisión del alcance de la doctrina de esta Subdirección contenida en el Concepto C-059 del 13 de junio de 2023, conforme a la cual, ante la inhabilidad sobreviniente de un integrante de consorcio o unión temporal, el ordenamiento prevé como único mecanismo para la continuidad del contrato la cesión de la participación a un tercero, previa autorización escrita de la entidad. Esa conclusión se mantiene íntegramente en lo que constituye su núcleo: la cesión es el único instrumento diseñado por el legislador para conservar el vínculo contractual. El presente concepto la complementa respecto de un supuesto que aquel pronunciamiento no resolvió expresamente: el del fracaso del mecanismo de cesión por la renuencia del integrante o por la imposibilidad objetiva de materializarla. Frente a ese escenario, se precisa que la entidad no está obligada a mantener indefinidamente la ejecución del contrato en condiciones contrarias al régimen de inhabilidades e incompatibilidades, sino que podrá valorar la procedencia de la terminación unilateral prevista en el numeral 1 del artículo 17 de la Ley 80 de 1993, en los términos y con los condicionamientos expuestos en este concepto. Esta precisión garantiza la coherencia de la doctrina de la Subdirección registrada en el Sistema de Relatoría.</w:t>
      </w:r>
    </w:p>
    <w:p w14:paraId="4D2CC526" w14:textId="77777777" w:rsidR="00F242CC" w:rsidRPr="00185EE9" w:rsidRDefault="00F242CC" w:rsidP="00584DA6">
      <w:pPr>
        <w:spacing w:after="0" w:line="276" w:lineRule="auto"/>
        <w:ind w:firstLine="708"/>
        <w:jc w:val="both"/>
        <w:rPr>
          <w:rFonts w:ascii="Verdana" w:eastAsia="Calibri" w:hAnsi="Verdana" w:cs="Arial"/>
          <w:bCs/>
          <w:color w:val="000000" w:themeColor="text1"/>
        </w:rPr>
      </w:pPr>
      <w:r w:rsidRPr="00E853DE">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w:t>
      </w:r>
      <w:r w:rsidRPr="00E853DE">
        <w:rPr>
          <w:rFonts w:ascii="Verdana" w:eastAsia="Calibri" w:hAnsi="Verdana" w:cs="Arial"/>
          <w:bCs/>
          <w:color w:val="000000" w:themeColor="text1"/>
        </w:rPr>
        <w:lastRenderedPageBreak/>
        <w:t>sus actuaciones.</w:t>
      </w:r>
      <w:r w:rsidRPr="00185EE9">
        <w:rPr>
          <w:rFonts w:ascii="Verdana" w:eastAsia="Calibri" w:hAnsi="Verdana" w:cs="Arial"/>
          <w:bCs/>
          <w:color w:val="000000" w:themeColor="text1"/>
        </w:rPr>
        <w:t xml:space="preserve"> </w:t>
      </w:r>
      <w:r>
        <w:rPr>
          <w:rStyle w:val="s15"/>
          <w:rFonts w:ascii="Verdana" w:hAnsi="Verdana"/>
          <w:color w:val="000000"/>
        </w:rPr>
        <w:t>Esto significa que</w:t>
      </w:r>
      <w:r w:rsidRPr="00925D18">
        <w:rPr>
          <w:rStyle w:val="s15"/>
          <w:rFonts w:ascii="Verdana" w:hAnsi="Verdana"/>
          <w:color w:val="000000"/>
        </w:rPr>
        <w:t>,</w:t>
      </w:r>
      <w:r>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Pr>
          <w:rStyle w:val="Refdenotaalpie"/>
          <w:rFonts w:ascii="Verdana" w:eastAsia="Calibri" w:hAnsi="Verdana" w:cs="Arial"/>
          <w:bCs/>
          <w:color w:val="000000" w:themeColor="text1"/>
        </w:rPr>
        <w:footnoteReference w:id="38"/>
      </w:r>
      <w:r>
        <w:rPr>
          <w:rFonts w:ascii="Verdana" w:eastAsia="Calibri" w:hAnsi="Verdana" w:cs="Arial"/>
          <w:bCs/>
          <w:color w:val="000000" w:themeColor="text1"/>
        </w:rPr>
        <w:t xml:space="preserve">. </w:t>
      </w:r>
    </w:p>
    <w:p w14:paraId="4994148D" w14:textId="77777777" w:rsidR="00F242CC" w:rsidRPr="00A77871" w:rsidRDefault="00F242CC" w:rsidP="00F242CC">
      <w:pPr>
        <w:numPr>
          <w:ilvl w:val="0"/>
          <w:numId w:val="16"/>
        </w:numPr>
        <w:tabs>
          <w:tab w:val="left" w:pos="142"/>
          <w:tab w:val="left" w:pos="284"/>
        </w:tabs>
        <w:spacing w:before="240" w:after="0" w:line="276" w:lineRule="auto"/>
        <w:jc w:val="both"/>
        <w:rPr>
          <w:rFonts w:ascii="Verdana" w:eastAsia="Century Gothic" w:hAnsi="Verdana" w:cs="Century Gothic"/>
          <w:b/>
          <w:bCs/>
        </w:rPr>
      </w:pPr>
      <w:r w:rsidRPr="00A77871">
        <w:rPr>
          <w:rFonts w:ascii="Verdana" w:eastAsia="Century Gothic" w:hAnsi="Verdana" w:cs="Century Gothic"/>
          <w:b/>
          <w:bCs/>
        </w:rPr>
        <w:t>Referencias normativas y jurisprudenciales:</w:t>
      </w:r>
    </w:p>
    <w:p w14:paraId="50E54594" w14:textId="77777777" w:rsidR="00F242CC" w:rsidRPr="00A77871" w:rsidRDefault="00F242CC" w:rsidP="00F242CC">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242CC" w:rsidRPr="00A77871" w14:paraId="51469166" w14:textId="77777777" w:rsidTr="00B6747F">
        <w:trPr>
          <w:trHeight w:val="410"/>
          <w:jc w:val="center"/>
        </w:trPr>
        <w:tc>
          <w:tcPr>
            <w:tcW w:w="8647" w:type="dxa"/>
          </w:tcPr>
          <w:p w14:paraId="6BBA89EC" w14:textId="77777777" w:rsidR="008C3F5E" w:rsidRPr="000565B4" w:rsidRDefault="008C3F5E" w:rsidP="008C3F5E">
            <w:pPr>
              <w:numPr>
                <w:ilvl w:val="0"/>
                <w:numId w:val="17"/>
              </w:numPr>
              <w:spacing w:before="120" w:after="120" w:line="276" w:lineRule="auto"/>
              <w:jc w:val="both"/>
              <w:rPr>
                <w:rFonts w:ascii="Verdana" w:eastAsia="Verdana" w:hAnsi="Verdana" w:cs="Verdana"/>
              </w:rPr>
            </w:pPr>
            <w:r w:rsidRPr="000565B4">
              <w:rPr>
                <w:rFonts w:ascii="Verdana" w:eastAsia="Verdana" w:hAnsi="Verdana" w:cs="Verdana"/>
              </w:rPr>
              <w:t>Constitución Política, artículos 6, 29, 83, 209 y 333.</w:t>
            </w:r>
          </w:p>
          <w:p w14:paraId="6E4A10F4" w14:textId="77777777" w:rsidR="008C3F5E" w:rsidRPr="000565B4" w:rsidRDefault="008C3F5E" w:rsidP="008C3F5E">
            <w:pPr>
              <w:numPr>
                <w:ilvl w:val="0"/>
                <w:numId w:val="17"/>
              </w:numPr>
              <w:spacing w:before="120" w:after="120" w:line="276" w:lineRule="auto"/>
              <w:jc w:val="both"/>
              <w:rPr>
                <w:rFonts w:ascii="Verdana" w:eastAsia="Verdana" w:hAnsi="Verdana" w:cs="Verdana"/>
              </w:rPr>
            </w:pPr>
            <w:r w:rsidRPr="000565B4">
              <w:rPr>
                <w:rFonts w:ascii="Verdana" w:eastAsia="Verdana" w:hAnsi="Verdana" w:cs="Verdana"/>
              </w:rPr>
              <w:t>Ley 80 de 1993, artículos 7, 8, 9, 13, 14, 17, 18, 23, 26, 28, 41, 44 y 45.</w:t>
            </w:r>
          </w:p>
          <w:p w14:paraId="2A7941F9" w14:textId="77777777" w:rsidR="008C3F5E" w:rsidRPr="000565B4" w:rsidRDefault="008C3F5E" w:rsidP="008C3F5E">
            <w:pPr>
              <w:numPr>
                <w:ilvl w:val="0"/>
                <w:numId w:val="17"/>
              </w:numPr>
              <w:spacing w:before="120" w:after="120" w:line="276" w:lineRule="auto"/>
              <w:jc w:val="both"/>
              <w:rPr>
                <w:rFonts w:ascii="Verdana" w:eastAsia="Verdana" w:hAnsi="Verdana" w:cs="Verdana"/>
              </w:rPr>
            </w:pPr>
            <w:r w:rsidRPr="000565B4">
              <w:rPr>
                <w:rFonts w:ascii="Verdana" w:eastAsia="Verdana" w:hAnsi="Verdana" w:cs="Verdana"/>
              </w:rPr>
              <w:t>Ley 1150 de 2007, artículos 6 y 9.</w:t>
            </w:r>
          </w:p>
          <w:p w14:paraId="08E4C580" w14:textId="77777777" w:rsidR="008C3F5E" w:rsidRPr="000565B4" w:rsidRDefault="008C3F5E" w:rsidP="008C3F5E">
            <w:pPr>
              <w:numPr>
                <w:ilvl w:val="0"/>
                <w:numId w:val="17"/>
              </w:numPr>
              <w:spacing w:before="120" w:after="120" w:line="276" w:lineRule="auto"/>
              <w:jc w:val="both"/>
              <w:rPr>
                <w:rFonts w:ascii="Verdana" w:eastAsia="Verdana" w:hAnsi="Verdana" w:cs="Verdana"/>
              </w:rPr>
            </w:pPr>
            <w:r w:rsidRPr="000565B4">
              <w:rPr>
                <w:rFonts w:ascii="Verdana" w:eastAsia="Verdana" w:hAnsi="Verdana" w:cs="Verdana"/>
              </w:rPr>
              <w:t>Ley 1437 de 2011, artículos 34, 35, 138, 141.</w:t>
            </w:r>
          </w:p>
          <w:p w14:paraId="4B798362" w14:textId="77777777" w:rsidR="008C3F5E" w:rsidRPr="000565B4" w:rsidRDefault="008C3F5E" w:rsidP="008C3F5E">
            <w:pPr>
              <w:numPr>
                <w:ilvl w:val="0"/>
                <w:numId w:val="17"/>
              </w:numPr>
              <w:spacing w:before="120" w:after="120" w:line="276" w:lineRule="auto"/>
              <w:jc w:val="both"/>
              <w:rPr>
                <w:rFonts w:ascii="Verdana" w:eastAsia="Verdana" w:hAnsi="Verdana" w:cs="Verdana"/>
              </w:rPr>
            </w:pPr>
            <w:r w:rsidRPr="000565B4">
              <w:rPr>
                <w:rFonts w:ascii="Verdana" w:eastAsia="Verdana" w:hAnsi="Verdana" w:cs="Verdana"/>
              </w:rPr>
              <w:t xml:space="preserve">Ley 2014 de 2019, artículo 6.  </w:t>
            </w:r>
          </w:p>
          <w:p w14:paraId="0FB2362C" w14:textId="77777777" w:rsidR="008C3F5E" w:rsidRPr="000565B4" w:rsidRDefault="008C3F5E" w:rsidP="008C3F5E">
            <w:pPr>
              <w:numPr>
                <w:ilvl w:val="0"/>
                <w:numId w:val="17"/>
              </w:numPr>
              <w:spacing w:before="120" w:after="120" w:line="276" w:lineRule="auto"/>
              <w:jc w:val="both"/>
              <w:rPr>
                <w:rFonts w:ascii="Verdana" w:eastAsia="Verdana" w:hAnsi="Verdana" w:cs="Verdana"/>
              </w:rPr>
            </w:pPr>
            <w:r w:rsidRPr="000565B4">
              <w:rPr>
                <w:rFonts w:ascii="Verdana" w:eastAsia="Verdana" w:hAnsi="Verdana" w:cs="Verdana"/>
              </w:rPr>
              <w:t>Código Civil, artículos 16, 73, 74, 633, 1501, 1502, 1503, 1504, 1519, 1523, 1741 y 1959 a 1966.</w:t>
            </w:r>
          </w:p>
          <w:p w14:paraId="7B03865D" w14:textId="6D637354" w:rsidR="00F242CC" w:rsidRPr="00AD6904" w:rsidRDefault="008C3F5E" w:rsidP="00AD6904">
            <w:pPr>
              <w:pStyle w:val="Prrafodelista"/>
              <w:widowControl w:val="0"/>
              <w:numPr>
                <w:ilvl w:val="0"/>
                <w:numId w:val="17"/>
              </w:numPr>
              <w:autoSpaceDE w:val="0"/>
              <w:autoSpaceDN w:val="0"/>
              <w:spacing w:after="120" w:line="276" w:lineRule="auto"/>
              <w:contextualSpacing w:val="0"/>
              <w:jc w:val="both"/>
              <w:rPr>
                <w:rFonts w:ascii="Verdana" w:eastAsia="Calibri" w:hAnsi="Verdana"/>
              </w:rPr>
            </w:pPr>
            <w:r w:rsidRPr="000565B4">
              <w:rPr>
                <w:rFonts w:ascii="Verdana" w:eastAsia="Verdana" w:hAnsi="Verdana" w:cs="Verdana"/>
              </w:rPr>
              <w:t>Código de Comercio, artículos 99 y 887</w:t>
            </w:r>
            <w:r w:rsidR="00AD6904">
              <w:rPr>
                <w:rFonts w:ascii="Verdana" w:eastAsia="Verdana" w:hAnsi="Verdana" w:cs="Verdana"/>
              </w:rPr>
              <w:t>.</w:t>
            </w:r>
          </w:p>
        </w:tc>
      </w:tr>
    </w:tbl>
    <w:p w14:paraId="1B44DA63" w14:textId="77777777" w:rsidR="00F242CC" w:rsidRPr="00F15CD1" w:rsidRDefault="00F242CC" w:rsidP="00584DA6">
      <w:pPr>
        <w:widowControl w:val="0"/>
        <w:numPr>
          <w:ilvl w:val="0"/>
          <w:numId w:val="16"/>
        </w:numPr>
        <w:tabs>
          <w:tab w:val="left" w:pos="142"/>
          <w:tab w:val="left" w:pos="284"/>
        </w:tabs>
        <w:autoSpaceDE w:val="0"/>
        <w:autoSpaceDN w:val="0"/>
        <w:spacing w:before="240" w:line="276" w:lineRule="auto"/>
        <w:jc w:val="both"/>
        <w:rPr>
          <w:rFonts w:ascii="Verdana" w:eastAsia="Calibri" w:hAnsi="Verdana" w:cs="Arial"/>
          <w:color w:val="000000"/>
          <w:kern w:val="2"/>
          <w:shd w:val="clear" w:color="auto" w:fill="FFFFFF"/>
          <w14:ligatures w14:val="standardContextual"/>
        </w:rPr>
      </w:pPr>
      <w:r w:rsidRPr="00F15CD1">
        <w:rPr>
          <w:rFonts w:ascii="Verdana" w:eastAsia="Century Gothic" w:hAnsi="Verdana" w:cs="Century Gothic"/>
          <w:b/>
          <w:bCs/>
        </w:rPr>
        <w:t>Doctrina de la Agencia Nacional de Contratación Pública:</w:t>
      </w:r>
    </w:p>
    <w:p w14:paraId="7E9B6A69" w14:textId="77777777" w:rsidR="007E6066" w:rsidRPr="00F15CD1" w:rsidRDefault="00F242CC" w:rsidP="00F15CD1">
      <w:pPr>
        <w:widowControl w:val="0"/>
        <w:spacing w:after="0" w:line="276" w:lineRule="auto"/>
        <w:jc w:val="both"/>
        <w:rPr>
          <w:rFonts w:ascii="Verdana" w:eastAsia="Verdana" w:hAnsi="Verdana" w:cs="Verdana"/>
          <w:highlight w:val="white"/>
        </w:rPr>
      </w:pPr>
      <w:r w:rsidRPr="00F15CD1">
        <w:rPr>
          <w:rFonts w:ascii="Verdana" w:eastAsia="Calibri" w:hAnsi="Verdana" w:cs="Arial"/>
        </w:rPr>
        <w:t xml:space="preserve">La Agencia Nacional de Contratación Pública – Colombia Compra Eficiente </w:t>
      </w:r>
      <w:r w:rsidR="00DE6F43" w:rsidRPr="00F15CD1">
        <w:rPr>
          <w:rFonts w:ascii="Verdana" w:eastAsia="Calibri" w:hAnsi="Verdana" w:cs="Arial"/>
        </w:rPr>
        <w:t xml:space="preserve">a través de esta subdirección </w:t>
      </w:r>
      <w:r w:rsidRPr="00F15CD1">
        <w:rPr>
          <w:rFonts w:ascii="Verdana" w:eastAsia="Calibri" w:hAnsi="Verdana" w:cs="Arial"/>
        </w:rPr>
        <w:t xml:space="preserve">se ha </w:t>
      </w:r>
      <w:r w:rsidR="006D1D1F" w:rsidRPr="00F15CD1">
        <w:rPr>
          <w:rFonts w:ascii="Verdana" w:eastAsia="Calibri" w:hAnsi="Verdana" w:cs="Arial"/>
        </w:rPr>
        <w:t xml:space="preserve">pronunciado sobre las inhabilidades e incompatibilidades </w:t>
      </w:r>
      <w:r w:rsidR="004257DC" w:rsidRPr="00F15CD1">
        <w:rPr>
          <w:rFonts w:ascii="Verdana" w:eastAsia="Calibri" w:hAnsi="Verdana" w:cs="Arial"/>
        </w:rPr>
        <w:t xml:space="preserve">en algunos conceptos, tales como: </w:t>
      </w:r>
      <w:sdt>
        <w:sdtPr>
          <w:rPr>
            <w:rFonts w:ascii="Verdana" w:eastAsia="Verdana" w:hAnsi="Verdana" w:cs="Verdana"/>
          </w:rPr>
          <w:tag w:val="goog_rdk_3"/>
          <w:id w:val="-1310473169"/>
        </w:sdtPr>
        <w:sdtEndPr/>
        <w:sdtContent>
          <w:r w:rsidR="007E6066" w:rsidRPr="00F15CD1">
            <w:rPr>
              <w:rFonts w:ascii="Verdana" w:eastAsia="Verdana" w:hAnsi="Verdana" w:cs="Verdana"/>
            </w:rPr>
            <w:t xml:space="preserve">radicados 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w:t>
          </w:r>
          <w:r w:rsidR="007E6066" w:rsidRPr="00F15CD1">
            <w:rPr>
              <w:rFonts w:ascii="Verdana" w:eastAsia="Verdana" w:hAnsi="Verdana" w:cs="Verdana"/>
            </w:rPr>
            <w:lastRenderedPageBreak/>
            <w:t>diciembre de 2019, 4201912000007060 del 11 de diciembre de 2019, 4201912000007512 del 16  diciembre de 2019, 4201912000008460 del 14 de febrero de 2020, C−032 del 19 de febrero de 2020,  C−402 del 26 de junio de 202</w:t>
          </w:r>
          <w:r w:rsidR="007E6066" w:rsidRPr="00F32815">
            <w:rPr>
              <w:rFonts w:ascii="Verdana" w:eastAsia="Verdana" w:hAnsi="Verdana" w:cs="Verdana"/>
            </w:rPr>
            <w:t xml:space="preserve">0, C−365 del 30 de junio de 2020, C−386 del 24 de julio de 2020, C-585 del 14 de septiembre de 2020, C–592 del 14 de septiembre de 2020, C−551 de 24 de septiembre de 2020, C−709 del 7 de diciembre de 2020, C–721 de 14 de diciembre de 2020, C–004 del 12 de </w:t>
          </w:r>
          <w:r w:rsidR="007E6066" w:rsidRPr="00F15CD1">
            <w:rPr>
              <w:rFonts w:ascii="Verdana" w:eastAsia="Verdana" w:hAnsi="Verdana" w:cs="Verdana"/>
            </w:rPr>
            <w:t xml:space="preserve">febrero de 2021, C–815 del 18 de febrero de 2021, C–047 del 8 de marzo de 2021, C–113 del 30 de marzo de 2021, C–122 del 30 de marzo de 2021, C–178 del 28 de abril de 2021, C-293 del 28 de agosto de 2021, C-449 del 31 de agosto de 2021, C-028 del 28 de febrero de 2022, C-318 del 18 de mayo de 2022, C-252 del 30 de mayo de 2022, C-619 del 27 de septiembre de 2022, C-731 de 10 de noviembre de 2022, C-059 de 13 de junio de 2023, C-352 del 22 de diciembre de 2023, C-010 del 31 de enero de 2024, C-023 del 26 de febrero de 2024, C-035 del 24 de abril de 2024, C-039 del 23 de abril de 2024, C-041 del 29 de mayo de 2024, C-067 del 16 de mayo de 2024, C-078 del 4 de junio de 2024, C-289 del 15 de agosto de 2023, C-172 de 25 de julio de 2024, C-271 del 22 de julio de 2024, C-904 del 9 de diciembre de 2024, C-170 del 19 de marzo de 2025, C-392 del 8 de mayo de 2025, C-632 del 2 de julio de 2025, C-710 del 15 de julio de 2025, C-731 del 21 de agosto de 2025, C-1058 del 5 de septiembre de 2025, C-1233 del 10 de octubre de 2025, C-1388 del 30 de octubre de 2025, C-1390 del 4 de noviembre de 2025, C-552 del 19 de mayo de 2026, entre otros. Sobre la cesión del contrato estatal se pronunció esta Subdirección en los  conceptos 4201913000007643 y 4201913000007669 del 26 de diciembre de 2019, así como en los Conceptos C-551 del 24 de septiembre de 2020, C-572 del 27 de agosto de 2020, C-582 del 28 de agosto de 2020, C-385 del 20 de agosto de 2021, C-069 del 24 de abril de 2023 y C –157 de 2024, C-172 del 6 de junio de 2023, C-032 del 16 de abril de 2024, C-100 del 12 de junio de 2024, C-325 del 06 de agosto de 2024, C-366 del 29 de agosto de 2024 y C-473 del 29 de septiembre de 2024, C-214 del 26 de marzo de 2025,C-314 del 29 de abril de 2025, entre otros. </w:t>
          </w:r>
        </w:sdtContent>
      </w:sdt>
      <w:r w:rsidR="007E6066" w:rsidRPr="00F15CD1">
        <w:rPr>
          <w:rFonts w:ascii="Verdana" w:eastAsia="Verdana" w:hAnsi="Verdana" w:cs="Verdana"/>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w:t>
      </w:r>
      <w:r w:rsidR="007E6066" w:rsidRPr="00F32815">
        <w:rPr>
          <w:rFonts w:ascii="Verdana" w:eastAsia="Verdana" w:hAnsi="Verdana" w:cs="Verdana"/>
        </w:rPr>
        <w:t xml:space="preserve">e Gestión Contractual, accede a través del siguiente enlace: </w:t>
      </w:r>
      <w:hyperlink r:id="rId12">
        <w:r w:rsidR="007E6066" w:rsidRPr="00F15CD1">
          <w:rPr>
            <w:rFonts w:ascii="Verdana" w:eastAsia="Verdana" w:hAnsi="Verdana" w:cs="Verdana"/>
            <w:color w:val="0000FF"/>
            <w:u w:val="single"/>
          </w:rPr>
          <w:t>https://relatoria.colombiacompra.gov.co/busqueda/conceptos</w:t>
        </w:r>
      </w:hyperlink>
      <w:r w:rsidR="007E6066" w:rsidRPr="00F15CD1">
        <w:rPr>
          <w:rFonts w:ascii="Verdana" w:eastAsia="Verdana" w:hAnsi="Verdana" w:cs="Verdana"/>
        </w:rPr>
        <w:t xml:space="preserve">. </w:t>
      </w:r>
    </w:p>
    <w:p w14:paraId="410968C2" w14:textId="77777777" w:rsidR="00016BDD" w:rsidRPr="00F15CD1" w:rsidRDefault="00016BDD" w:rsidP="00584DA6">
      <w:pPr>
        <w:spacing w:before="240" w:after="0" w:line="276" w:lineRule="auto"/>
        <w:jc w:val="both"/>
        <w:rPr>
          <w:rFonts w:ascii="Verdana" w:hAnsi="Verdana"/>
        </w:rPr>
      </w:pPr>
      <w:r w:rsidRPr="00F15CD1">
        <w:rPr>
          <w:rFonts w:ascii="Verdana" w:hAnsi="Verdana"/>
        </w:rPr>
        <w:lastRenderedPageBreak/>
        <w:t xml:space="preserve">Las garantías no son un requisito formal: son el </w:t>
      </w:r>
      <w:r w:rsidRPr="00F32815">
        <w:rPr>
          <w:rFonts w:ascii="Verdana" w:hAnsi="Verdana"/>
        </w:rPr>
        <w:t>instrumento con el que se protege el patrimonio público frente a los riesgos del contrato. Por ello, la Agencia Nacional de Contratación Pública –Colombia Compra Eficiente– te invita a consultar la nueva versión de la </w:t>
      </w:r>
      <w:r w:rsidRPr="00F15CD1">
        <w:rPr>
          <w:rFonts w:ascii="Verdana" w:hAnsi="Verdana"/>
          <w:b/>
          <w:bCs/>
        </w:rPr>
        <w:t>Guía para la Exigencia y Constitución de Garantías en los Procesos de Contratación</w:t>
      </w:r>
      <w:r w:rsidRPr="00F15CD1">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Dirección URL original: https://www.colombiacompra.gov.co/archivos/manual/guia-de-garantias-en-procesos-de-contratacion. Haga clic o pulse si confía en este vínculo." w:history="1">
        <w:r w:rsidRPr="00F15CD1">
          <w:rPr>
            <w:rStyle w:val="Hipervnculo"/>
            <w:rFonts w:ascii="Verdana" w:hAnsi="Verdana"/>
          </w:rPr>
          <w:t>https://www.colombiacompra.gov.co/archivos/manual/guia-de-garantias-en-procesos-de-contratacion</w:t>
        </w:r>
      </w:hyperlink>
    </w:p>
    <w:p w14:paraId="2104B837" w14:textId="77777777" w:rsidR="00016BDD" w:rsidRPr="00F15CD1" w:rsidRDefault="00016BDD" w:rsidP="00584DA6">
      <w:pPr>
        <w:spacing w:before="240" w:after="0" w:line="276" w:lineRule="auto"/>
        <w:jc w:val="both"/>
        <w:rPr>
          <w:rFonts w:ascii="Verdana" w:hAnsi="Verdana"/>
        </w:rPr>
      </w:pPr>
      <w:r w:rsidRPr="00F15CD1">
        <w:rPr>
          <w:rFonts w:ascii="Verdana" w:hAnsi="Verdana"/>
        </w:rPr>
        <w:t>De otro lado, te contamos que el Decreto 287 del 19 de marzo de 2026 sustituyó los artículos 2.2.1.2.4.2.6., 2.2.1.2.4.2.7. y 2.2.1.2.4.2.8. del Decreto 1082 de 2015 y estructuró el </w:t>
      </w:r>
      <w:r w:rsidRPr="00F15CD1">
        <w:rPr>
          <w:rFonts w:ascii="Verdana" w:hAnsi="Verdana"/>
          <w:b/>
          <w:bCs/>
        </w:rPr>
        <w:t>Sistema Integral de Preferencias en favor de las personas con discapacidad</w:t>
      </w:r>
      <w:r w:rsidRPr="00F15CD1">
        <w:rPr>
          <w:rFonts w:ascii="Verdana" w:hAnsi="Verdana"/>
        </w:rPr>
        <w:t>, en cumplimiento del artículo 13 de la Ley Estatutaria 1618 de 2013. Para orientar su aplicación, esta Agencia expidió la </w:t>
      </w:r>
      <w:r w:rsidRPr="00F15CD1">
        <w:rPr>
          <w:rFonts w:ascii="Verdana" w:hAnsi="Verdana"/>
          <w:b/>
          <w:bCs/>
        </w:rPr>
        <w:t>Circular Externa 003 del 12 de mayo de 2026, </w:t>
      </w:r>
      <w:r w:rsidRPr="00F15CD1">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ooltip="Dirección URL original: https://www.colombiacompra.gov.co/archivos/circular/circular-externa-003-de-2026. Haga clic o pulse si confía en este vínculo." w:history="1">
        <w:r w:rsidRPr="00F15CD1">
          <w:rPr>
            <w:rStyle w:val="Hipervnculo"/>
            <w:rFonts w:ascii="Verdana" w:hAnsi="Verdana"/>
          </w:rPr>
          <w:t>https://www.colombiacompra.gov.co/archivos/circular/circular-externa-003-de-2026</w:t>
        </w:r>
      </w:hyperlink>
    </w:p>
    <w:p w14:paraId="4D1BD25F" w14:textId="77777777" w:rsidR="00016BDD" w:rsidRPr="00F15CD1" w:rsidRDefault="00016BDD" w:rsidP="00584DA6">
      <w:pPr>
        <w:spacing w:before="240" w:after="0" w:line="276" w:lineRule="auto"/>
        <w:jc w:val="both"/>
        <w:rPr>
          <w:rFonts w:ascii="Verdana" w:hAnsi="Verdana"/>
        </w:rPr>
      </w:pPr>
      <w:r w:rsidRPr="00F15CD1">
        <w:rPr>
          <w:rFonts w:ascii="Verdana" w:hAnsi="Verdana"/>
        </w:rPr>
        <w:t>Recuerda también que la</w:t>
      </w:r>
      <w:r w:rsidRPr="00F15CD1">
        <w:rPr>
          <w:rFonts w:ascii="Verdana" w:hAnsi="Verdana"/>
          <w:b/>
          <w:bCs/>
        </w:rPr>
        <w:t> información sobre sanciones e inhabilidades </w:t>
      </w:r>
      <w:r w:rsidRPr="00F32815">
        <w:rPr>
          <w:rFonts w:ascii="Verdana" w:hAnsi="Verdana"/>
        </w:rPr>
        <w:t>solo cumple su función preventiva si llega oportunamente a los registros públicos. Sobre este deber, esta Agencia expidió la </w:t>
      </w:r>
      <w:r w:rsidRPr="00F15CD1">
        <w:rPr>
          <w:rFonts w:ascii="Verdana" w:hAnsi="Verdana"/>
          <w:b/>
          <w:bCs/>
        </w:rPr>
        <w:t>Circular Externa 002 del 5 de mayo de 2026,</w:t>
      </w:r>
      <w:r w:rsidRPr="00F15CD1">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Dirección URL original: https://www.colombiacompra.gov.co/archivos/circular/circular-externa-002-de-2026. Haga clic o pulse si confía en este vínculo." w:history="1">
        <w:r w:rsidRPr="00F15CD1">
          <w:rPr>
            <w:rStyle w:val="Hipervnculo"/>
            <w:rFonts w:ascii="Verdana" w:hAnsi="Verdana"/>
          </w:rPr>
          <w:t>https://www.colombiacompra.gov.co/archivos/circular/circular-externa-002-de-2026</w:t>
        </w:r>
      </w:hyperlink>
    </w:p>
    <w:p w14:paraId="612B9709" w14:textId="6C9CC9BB" w:rsidR="00584DA6" w:rsidRPr="00681E14" w:rsidRDefault="00016BDD" w:rsidP="00681E14">
      <w:pPr>
        <w:spacing w:before="240" w:after="0" w:line="276" w:lineRule="auto"/>
        <w:jc w:val="both"/>
        <w:rPr>
          <w:rFonts w:ascii="Verdana" w:hAnsi="Verdana"/>
          <w:color w:val="0000FF"/>
          <w:u w:val="single"/>
        </w:rPr>
      </w:pPr>
      <w:r w:rsidRPr="00F15CD1">
        <w:rPr>
          <w:rFonts w:ascii="Verdana" w:hAnsi="Verdana"/>
        </w:rPr>
        <w:lastRenderedPageBreak/>
        <w:t>Finalmente, si quieres seguir de cerca la actividad de la Agencia, la tercera edición de 2026 del</w:t>
      </w:r>
      <w:r w:rsidRPr="00F15CD1">
        <w:rPr>
          <w:rFonts w:ascii="Verdana" w:hAnsi="Verdana"/>
          <w:b/>
          <w:bCs/>
        </w:rPr>
        <w:t> Radar de la Compra Pública</w:t>
      </w:r>
      <w:r w:rsidRPr="00F15CD1">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Dirección URL original: https://www.colombiacompra.gov.co/archivos/boletin/boletin-edicion-n-3-de-2026-radar-de-la-compra-publica. Haga clic o pulse si confía en este vínculo." w:history="1">
        <w:r w:rsidRPr="00F15CD1">
          <w:rPr>
            <w:rStyle w:val="Hipervnculo"/>
            <w:rFonts w:ascii="Verdana" w:hAnsi="Verdana"/>
          </w:rPr>
          <w:t>https://www.colombiacompra.gov.co/archivos/boletin/boletin-edicion-n-3-de-2026-radar-de-la-compra-publica</w:t>
        </w:r>
      </w:hyperlink>
    </w:p>
    <w:p w14:paraId="2F4F2EE9" w14:textId="0E6BDE04" w:rsidR="00F242CC" w:rsidRPr="00B66CE2" w:rsidRDefault="00F242CC" w:rsidP="00681E14">
      <w:pPr>
        <w:spacing w:before="240" w:after="120" w:line="276" w:lineRule="auto"/>
        <w:jc w:val="both"/>
        <w:rPr>
          <w:rFonts w:ascii="Verdana" w:eastAsia="Verdana" w:hAnsi="Verdana" w:cs="Verdana"/>
        </w:rPr>
      </w:pPr>
      <w:r w:rsidRPr="00F15CD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B66CE2">
        <w:rPr>
          <w:rFonts w:ascii="Verdana" w:eastAsia="Verdana" w:hAnsi="Verdana" w:cs="Verdana"/>
        </w:rPr>
        <w:t xml:space="preserve">atención: </w:t>
      </w:r>
    </w:p>
    <w:p w14:paraId="0BC77B3D" w14:textId="77777777" w:rsidR="00F242CC" w:rsidRPr="00F15CD1" w:rsidRDefault="00F242CC" w:rsidP="00F15CD1">
      <w:pPr>
        <w:pStyle w:val="Prrafodelista"/>
        <w:numPr>
          <w:ilvl w:val="0"/>
          <w:numId w:val="18"/>
        </w:numPr>
        <w:spacing w:after="0" w:line="276" w:lineRule="auto"/>
        <w:contextualSpacing w:val="0"/>
        <w:jc w:val="both"/>
        <w:rPr>
          <w:rFonts w:ascii="Verdana" w:eastAsia="Verdana" w:hAnsi="Verdana" w:cs="Verdana"/>
          <w:color w:val="4472C4" w:themeColor="accent1"/>
          <w:u w:val="single"/>
        </w:rPr>
      </w:pPr>
      <w:r w:rsidRPr="00F15CD1">
        <w:rPr>
          <w:rFonts w:ascii="Verdana" w:eastAsia="Verdana" w:hAnsi="Verdana" w:cs="Verdana"/>
        </w:rPr>
        <w:t xml:space="preserve">Línea nacional gratuita o servicio a la ciudadanía (Mesa de servicio): </w:t>
      </w:r>
      <w:r w:rsidRPr="00F15CD1">
        <w:rPr>
          <w:rStyle w:val="Hipervnculo"/>
          <w:rFonts w:ascii="Verdana" w:hAnsi="Verdana"/>
          <w:lang w:val="es-CO"/>
        </w:rPr>
        <w:t>01800 0520808</w:t>
      </w:r>
    </w:p>
    <w:p w14:paraId="7ECF776C" w14:textId="77777777" w:rsidR="00F242CC" w:rsidRPr="00F15CD1" w:rsidRDefault="00F242CC" w:rsidP="00F15CD1">
      <w:pPr>
        <w:pStyle w:val="Prrafodelista"/>
        <w:numPr>
          <w:ilvl w:val="0"/>
          <w:numId w:val="18"/>
        </w:numPr>
        <w:spacing w:after="0" w:line="276" w:lineRule="auto"/>
        <w:contextualSpacing w:val="0"/>
        <w:jc w:val="both"/>
        <w:rPr>
          <w:rFonts w:ascii="Verdana" w:eastAsia="Verdana" w:hAnsi="Verdana" w:cs="Verdana"/>
          <w:color w:val="4472C4" w:themeColor="accent1"/>
          <w:u w:val="single"/>
          <w:lang w:val="es-CO"/>
        </w:rPr>
      </w:pPr>
      <w:r w:rsidRPr="00F15CD1">
        <w:rPr>
          <w:rFonts w:ascii="Verdana" w:eastAsia="Verdana" w:hAnsi="Verdana" w:cs="Verdana"/>
          <w:lang w:val="es-CO"/>
        </w:rPr>
        <w:t xml:space="preserve">Línea en Bogotá (Mesa de servicio): </w:t>
      </w:r>
      <w:r w:rsidRPr="00F15CD1">
        <w:rPr>
          <w:rStyle w:val="Hipervnculo"/>
          <w:rFonts w:ascii="Verdana" w:hAnsi="Verdana"/>
          <w:lang w:val="es-CO"/>
        </w:rPr>
        <w:t>+57 601 7456788</w:t>
      </w:r>
    </w:p>
    <w:p w14:paraId="78256723" w14:textId="77777777" w:rsidR="00F242CC" w:rsidRPr="00F15CD1" w:rsidRDefault="00F242CC" w:rsidP="00584DA6">
      <w:pPr>
        <w:pStyle w:val="Prrafodelista"/>
        <w:numPr>
          <w:ilvl w:val="0"/>
          <w:numId w:val="18"/>
        </w:numPr>
        <w:spacing w:after="0" w:line="276" w:lineRule="auto"/>
        <w:contextualSpacing w:val="0"/>
        <w:jc w:val="both"/>
        <w:rPr>
          <w:rFonts w:ascii="Verdana" w:eastAsia="Verdana" w:hAnsi="Verdana" w:cs="Verdana"/>
          <w:color w:val="0000FF"/>
          <w:u w:val="single"/>
          <w:lang w:val="es-CO"/>
        </w:rPr>
      </w:pPr>
      <w:r w:rsidRPr="00F15CD1">
        <w:rPr>
          <w:rFonts w:ascii="Verdana" w:eastAsia="Verdana" w:hAnsi="Verdana" w:cs="Verdana"/>
          <w:lang w:val="es-CO"/>
        </w:rPr>
        <w:t xml:space="preserve">Correo de radicación de correspondencia: </w:t>
      </w:r>
      <w:hyperlink r:id="rId17" w:history="1">
        <w:r w:rsidRPr="00F15CD1">
          <w:rPr>
            <w:rStyle w:val="Hipervnculo"/>
            <w:rFonts w:ascii="Verdana" w:eastAsia="Verdana" w:hAnsi="Verdana" w:cs="Verdana"/>
            <w:lang w:val="es-CO"/>
          </w:rPr>
          <w:t>ventanilladeradicacion@colombiacompra.gov.co</w:t>
        </w:r>
      </w:hyperlink>
    </w:p>
    <w:p w14:paraId="5ED18A7C" w14:textId="0EC4B46C" w:rsidR="00584DA6" w:rsidRPr="00681E14" w:rsidRDefault="00F242CC" w:rsidP="00681E14">
      <w:pPr>
        <w:pStyle w:val="Prrafodelista"/>
        <w:numPr>
          <w:ilvl w:val="0"/>
          <w:numId w:val="18"/>
        </w:numPr>
        <w:spacing w:after="0" w:line="276" w:lineRule="auto"/>
        <w:contextualSpacing w:val="0"/>
        <w:jc w:val="both"/>
        <w:rPr>
          <w:rFonts w:ascii="Verdana" w:hAnsi="Verdana"/>
        </w:rPr>
      </w:pPr>
      <w:r w:rsidRPr="00F15CD1">
        <w:rPr>
          <w:rFonts w:ascii="Verdana" w:eastAsia="Verdana" w:hAnsi="Verdana" w:cs="Verdana"/>
          <w:lang w:val="es-CO"/>
        </w:rPr>
        <w:t xml:space="preserve">Formulario web para PQRSD: </w:t>
      </w:r>
      <w:hyperlink r:id="rId18" w:history="1">
        <w:r w:rsidRPr="00F15CD1">
          <w:rPr>
            <w:rStyle w:val="Hipervnculo"/>
            <w:rFonts w:ascii="Verdana" w:eastAsia="Verdana" w:hAnsi="Verdana" w:cs="Verdana"/>
            <w:lang w:val="es-CO"/>
          </w:rPr>
          <w:t>https://www.colombiacompra.gov.co/pqrsd/informacion-importante-antes-de-formular-una-pqrsd</w:t>
        </w:r>
      </w:hyperlink>
    </w:p>
    <w:p w14:paraId="70427B91" w14:textId="77777777" w:rsidR="00F242CC" w:rsidRPr="00F15CD1" w:rsidRDefault="00F242CC" w:rsidP="00681E14">
      <w:pPr>
        <w:spacing w:before="240" w:after="0" w:line="276" w:lineRule="auto"/>
        <w:jc w:val="both"/>
        <w:rPr>
          <w:rFonts w:ascii="Verdana" w:hAnsi="Verdana"/>
        </w:rPr>
      </w:pPr>
      <w:r w:rsidRPr="00F15CD1">
        <w:rPr>
          <w:rFonts w:ascii="Verdana" w:hAnsi="Verdana"/>
        </w:rPr>
        <w:t xml:space="preserve">Evalúa el servicio que ofrece la Agencia por el canal de atención de PQRSD en el siguiente enlace: </w:t>
      </w:r>
      <w:hyperlink r:id="rId19" w:history="1">
        <w:r w:rsidRPr="00F15CD1">
          <w:rPr>
            <w:rStyle w:val="Hipervnculo"/>
            <w:rFonts w:ascii="Verdana" w:hAnsi="Verdana"/>
          </w:rPr>
          <w:t>https://forms.office.com/r/pPHyWVs2SZ</w:t>
        </w:r>
      </w:hyperlink>
      <w:r w:rsidRPr="00F15CD1">
        <w:rPr>
          <w:rFonts w:ascii="Verdana" w:hAnsi="Verdana"/>
        </w:rPr>
        <w:t>. ¡Ayúdanos a mejorar porque el compromiso es de todos!</w:t>
      </w:r>
    </w:p>
    <w:p w14:paraId="50453980" w14:textId="0002E9E9" w:rsidR="00584DA6" w:rsidRPr="00F15CD1" w:rsidRDefault="00F242CC" w:rsidP="00584DA6">
      <w:pPr>
        <w:spacing w:after="0" w:line="276" w:lineRule="auto"/>
        <w:jc w:val="both"/>
        <w:rPr>
          <w:rFonts w:ascii="Verdana" w:hAnsi="Verdana"/>
        </w:rPr>
      </w:pPr>
      <w:r w:rsidRPr="00F15CD1">
        <w:rPr>
          <w:rFonts w:ascii="Verdana" w:hAnsi="Verdana"/>
        </w:rPr>
        <w:t xml:space="preserve">Por último, lo invitamos a seguirnos en las redes sociales en las cuales se difunde información institucional: </w:t>
      </w:r>
    </w:p>
    <w:p w14:paraId="18A0FA25" w14:textId="77777777" w:rsidR="00F242CC" w:rsidRPr="00F15CD1" w:rsidRDefault="00F242CC" w:rsidP="00681E14">
      <w:pPr>
        <w:spacing w:before="240" w:after="0" w:line="276" w:lineRule="auto"/>
        <w:jc w:val="both"/>
        <w:rPr>
          <w:rFonts w:ascii="Verdana" w:hAnsi="Verdana"/>
        </w:rPr>
      </w:pPr>
      <w:r w:rsidRPr="00F15CD1">
        <w:rPr>
          <w:rFonts w:ascii="Verdana" w:hAnsi="Verdana"/>
        </w:rPr>
        <w:t xml:space="preserve">Twitter: </w:t>
      </w:r>
      <w:r w:rsidRPr="00F15CD1">
        <w:rPr>
          <w:rStyle w:val="Hipervnculo"/>
          <w:rFonts w:ascii="Verdana" w:hAnsi="Verdana"/>
        </w:rPr>
        <w:t>@colombiacompra</w:t>
      </w:r>
      <w:r w:rsidRPr="00F15CD1">
        <w:rPr>
          <w:rFonts w:ascii="Verdana" w:hAnsi="Verdana"/>
        </w:rPr>
        <w:t xml:space="preserve"> </w:t>
      </w:r>
    </w:p>
    <w:p w14:paraId="72A9261E" w14:textId="77777777" w:rsidR="00F242CC" w:rsidRPr="00F15CD1" w:rsidRDefault="00F242CC" w:rsidP="00F15CD1">
      <w:pPr>
        <w:spacing w:after="0" w:line="276" w:lineRule="auto"/>
        <w:jc w:val="both"/>
        <w:rPr>
          <w:rFonts w:ascii="Verdana" w:hAnsi="Verdana"/>
        </w:rPr>
      </w:pPr>
      <w:r w:rsidRPr="00F15CD1">
        <w:rPr>
          <w:rFonts w:ascii="Verdana" w:hAnsi="Verdana"/>
        </w:rPr>
        <w:t xml:space="preserve">Facebook: </w:t>
      </w:r>
      <w:proofErr w:type="spellStart"/>
      <w:r w:rsidRPr="00F15CD1">
        <w:rPr>
          <w:rStyle w:val="Hipervnculo"/>
          <w:rFonts w:ascii="Verdana" w:hAnsi="Verdana"/>
        </w:rPr>
        <w:t>ColombiaCompraEficiente</w:t>
      </w:r>
      <w:proofErr w:type="spellEnd"/>
    </w:p>
    <w:p w14:paraId="5E285471" w14:textId="77777777" w:rsidR="00F242CC" w:rsidRPr="00F15CD1" w:rsidRDefault="00F242CC" w:rsidP="00F15CD1">
      <w:pPr>
        <w:spacing w:after="0" w:line="276" w:lineRule="auto"/>
        <w:jc w:val="both"/>
        <w:rPr>
          <w:rFonts w:ascii="Verdana" w:hAnsi="Verdana"/>
        </w:rPr>
      </w:pPr>
      <w:r w:rsidRPr="00F15CD1">
        <w:rPr>
          <w:rFonts w:ascii="Verdana" w:hAnsi="Verdana"/>
        </w:rPr>
        <w:t xml:space="preserve">LinkedIn: </w:t>
      </w:r>
      <w:r w:rsidRPr="00F15CD1">
        <w:rPr>
          <w:rStyle w:val="Hipervnculo"/>
          <w:rFonts w:ascii="Verdana" w:hAnsi="Verdana"/>
        </w:rPr>
        <w:t>Agencia Nacional de Contratación Pública - Colombia Compra Eficiente</w:t>
      </w:r>
      <w:r w:rsidRPr="00F15CD1">
        <w:rPr>
          <w:rFonts w:ascii="Verdana" w:hAnsi="Verdana"/>
        </w:rPr>
        <w:t xml:space="preserve"> </w:t>
      </w:r>
    </w:p>
    <w:p w14:paraId="5841380B" w14:textId="7AD71F18" w:rsidR="00584DA6" w:rsidRPr="00681E14" w:rsidRDefault="00F242CC" w:rsidP="00584DA6">
      <w:pPr>
        <w:spacing w:after="0" w:line="276" w:lineRule="auto"/>
        <w:jc w:val="both"/>
        <w:rPr>
          <w:rFonts w:ascii="Verdana" w:hAnsi="Verdana"/>
          <w:color w:val="0000FF"/>
          <w:u w:val="single"/>
        </w:rPr>
      </w:pPr>
      <w:r w:rsidRPr="00F15CD1">
        <w:rPr>
          <w:rFonts w:ascii="Verdana" w:hAnsi="Verdana"/>
        </w:rPr>
        <w:t xml:space="preserve">Instagram: </w:t>
      </w:r>
      <w:r w:rsidRPr="00F15CD1">
        <w:rPr>
          <w:rStyle w:val="Hipervnculo"/>
          <w:rFonts w:ascii="Verdana" w:hAnsi="Verdana"/>
        </w:rPr>
        <w:t>@colombiacompraeficiente_cce</w:t>
      </w:r>
    </w:p>
    <w:p w14:paraId="43C2B172" w14:textId="77777777" w:rsidR="00F242CC" w:rsidRPr="00F15CD1" w:rsidRDefault="00F242CC" w:rsidP="00681E14">
      <w:pPr>
        <w:spacing w:before="240" w:after="0" w:line="276" w:lineRule="auto"/>
        <w:jc w:val="both"/>
        <w:rPr>
          <w:rFonts w:ascii="Verdana" w:eastAsia="Calibri" w:hAnsi="Verdana" w:cs="Times New Roman"/>
          <w:bCs/>
        </w:rPr>
      </w:pPr>
      <w:r w:rsidRPr="00F15CD1">
        <w:rPr>
          <w:rFonts w:ascii="Verdana" w:eastAsia="Calibri" w:hAnsi="Verdana" w:cs="Times New Roman"/>
        </w:rPr>
        <w:t xml:space="preserve">Este concepto tiene el alcance previsto en el artículo 28 del Código de Procedimiento Administrativo y de lo Contencioso Administrativo y las </w:t>
      </w:r>
      <w:r w:rsidRPr="00F15CD1">
        <w:rPr>
          <w:rFonts w:ascii="Verdana" w:eastAsia="Calibri" w:hAnsi="Verdana" w:cs="Times New Roman"/>
        </w:rPr>
        <w:lastRenderedPageBreak/>
        <w:t>expresiones utilizadas con mayúscula inicial deben ser entendidas con el significado que les otorga el artículo 2.2.1.1.1.3.1 del Decreto 1082 de 2015.</w:t>
      </w:r>
    </w:p>
    <w:p w14:paraId="635F7949" w14:textId="77777777" w:rsidR="00F242CC" w:rsidRPr="00F15CD1" w:rsidRDefault="00F242CC" w:rsidP="00F15CD1">
      <w:pPr>
        <w:spacing w:after="0" w:line="276" w:lineRule="auto"/>
        <w:jc w:val="both"/>
        <w:rPr>
          <w:rFonts w:ascii="Verdana" w:eastAsia="Times New Roman" w:hAnsi="Verdana" w:cs="Arial"/>
          <w:lang w:eastAsia="es-CO"/>
        </w:rPr>
      </w:pPr>
      <w:bookmarkStart w:id="8" w:name="_Hlk117695077"/>
    </w:p>
    <w:p w14:paraId="60BCE246" w14:textId="5A239405" w:rsidR="00F242CC" w:rsidRPr="00F15CD1" w:rsidRDefault="00F242CC" w:rsidP="00584DA6">
      <w:pPr>
        <w:spacing w:after="0" w:line="276" w:lineRule="auto"/>
        <w:jc w:val="both"/>
        <w:rPr>
          <w:rFonts w:ascii="Verdana" w:eastAsia="Times New Roman" w:hAnsi="Verdana" w:cs="Arial"/>
          <w:lang w:eastAsia="es-CO"/>
        </w:rPr>
      </w:pPr>
      <w:r w:rsidRPr="00F15CD1">
        <w:rPr>
          <w:rFonts w:ascii="Verdana" w:eastAsia="Times New Roman" w:hAnsi="Verdana" w:cs="Arial"/>
          <w:lang w:eastAsia="es-CO"/>
        </w:rPr>
        <w:t xml:space="preserve">Atentamente, </w:t>
      </w:r>
    </w:p>
    <w:p w14:paraId="670D70F5" w14:textId="21F2647A" w:rsidR="00932313" w:rsidRPr="00932313" w:rsidRDefault="00932313" w:rsidP="00932313">
      <w:pPr>
        <w:spacing w:line="276" w:lineRule="auto"/>
        <w:jc w:val="both"/>
        <w:rPr>
          <w:rFonts w:ascii="Verdana" w:eastAsia="Times New Roman" w:hAnsi="Verdana" w:cs="Arial"/>
          <w:lang w:eastAsia="es-CO"/>
        </w:rPr>
      </w:pPr>
      <w:r w:rsidRPr="00932313">
        <w:rPr>
          <w:rFonts w:ascii="Verdana" w:eastAsia="Times New Roman" w:hAnsi="Verdana" w:cs="Arial"/>
          <w:lang w:eastAsia="es-CO"/>
        </w:rPr>
        <w:drawing>
          <wp:anchor distT="0" distB="0" distL="114300" distR="114300" simplePos="0" relativeHeight="251659264" behindDoc="1" locked="0" layoutInCell="1" allowOverlap="1" wp14:anchorId="4327C06A" wp14:editId="421F1379">
            <wp:simplePos x="0" y="0"/>
            <wp:positionH relativeFrom="margin">
              <wp:align>center</wp:align>
            </wp:positionH>
            <wp:positionV relativeFrom="paragraph">
              <wp:posOffset>4181</wp:posOffset>
            </wp:positionV>
            <wp:extent cx="3771900" cy="1400175"/>
            <wp:effectExtent l="0" t="0" r="0" b="9525"/>
            <wp:wrapNone/>
            <wp:docPr id="9905358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494181D4" w14:textId="274B63C0" w:rsidR="00F242CC" w:rsidRPr="00BF015C" w:rsidRDefault="00F242CC" w:rsidP="00F242CC">
      <w:pPr>
        <w:spacing w:line="276" w:lineRule="auto"/>
        <w:jc w:val="both"/>
        <w:rPr>
          <w:rFonts w:ascii="Verdana" w:eastAsia="Times New Roman" w:hAnsi="Verdana" w:cs="Arial"/>
          <w:lang w:eastAsia="es-CO"/>
        </w:rPr>
      </w:pPr>
    </w:p>
    <w:p w14:paraId="711E7928" w14:textId="77777777" w:rsidR="00F242CC" w:rsidRPr="00A77871" w:rsidRDefault="00F242CC" w:rsidP="00F242CC">
      <w:pPr>
        <w:spacing w:line="276" w:lineRule="auto"/>
        <w:jc w:val="both"/>
        <w:rPr>
          <w:rFonts w:ascii="Verdana" w:eastAsia="Times New Roman" w:hAnsi="Verdana" w:cs="Arial"/>
          <w:lang w:eastAsia="es-CO"/>
        </w:rPr>
      </w:pPr>
    </w:p>
    <w:p w14:paraId="391AD6E3" w14:textId="77777777" w:rsidR="00F242CC" w:rsidRPr="00C56632" w:rsidRDefault="00F242CC" w:rsidP="00F242CC">
      <w:pPr>
        <w:spacing w:line="276" w:lineRule="auto"/>
        <w:jc w:val="both"/>
        <w:rPr>
          <w:rFonts w:ascii="Verdana" w:eastAsia="Times New Roman" w:hAnsi="Verdana" w:cs="Arial"/>
          <w:lang w:eastAsia="es-CO"/>
        </w:rPr>
      </w:pPr>
    </w:p>
    <w:p w14:paraId="55B296E8" w14:textId="77777777" w:rsidR="00F242CC" w:rsidRPr="006B1E22" w:rsidRDefault="00F242CC" w:rsidP="00F242CC">
      <w:pPr>
        <w:spacing w:line="276" w:lineRule="auto"/>
        <w:jc w:val="both"/>
        <w:rPr>
          <w:rFonts w:ascii="Verdana" w:eastAsia="Times New Roman" w:hAnsi="Verdana" w:cs="Arial"/>
          <w:lang w:eastAsia="es-CO"/>
        </w:rPr>
      </w:pPr>
    </w:p>
    <w:p w14:paraId="3F543752" w14:textId="77777777" w:rsidR="00F242CC" w:rsidRPr="003B1C8F" w:rsidRDefault="00F242CC" w:rsidP="00F242CC">
      <w:pPr>
        <w:spacing w:line="276" w:lineRule="auto"/>
        <w:jc w:val="both"/>
        <w:rPr>
          <w:rFonts w:ascii="Verdana" w:eastAsia="Times New Roman" w:hAnsi="Verdana" w:cs="Arial"/>
          <w:lang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242CC" w:rsidRPr="0029279E" w14:paraId="0CC11FF5" w14:textId="77777777" w:rsidTr="00B6747F">
        <w:trPr>
          <w:trHeight w:val="315"/>
        </w:trPr>
        <w:tc>
          <w:tcPr>
            <w:tcW w:w="893" w:type="dxa"/>
            <w:vAlign w:val="center"/>
            <w:hideMark/>
          </w:tcPr>
          <w:bookmarkEnd w:id="8"/>
          <w:p w14:paraId="1CDB13FE" w14:textId="77777777" w:rsidR="00F242CC" w:rsidRPr="0029279E" w:rsidRDefault="00F242CC" w:rsidP="00B6747F">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1B9AAA87" w14:textId="77777777" w:rsidR="00F242CC" w:rsidRPr="0029279E" w:rsidRDefault="00F242CC" w:rsidP="00B6747F">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Ángela María Olmos Andrade</w:t>
            </w:r>
          </w:p>
          <w:p w14:paraId="178CB9D0" w14:textId="77777777" w:rsidR="00F242CC" w:rsidRPr="0029279E" w:rsidRDefault="00F242CC" w:rsidP="00B6747F">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Analista T2 - 02 de la Subdirección de Gestión Contractual</w:t>
            </w:r>
          </w:p>
        </w:tc>
      </w:tr>
      <w:tr w:rsidR="00F242CC" w:rsidRPr="0029279E" w14:paraId="4D2B7488" w14:textId="77777777" w:rsidTr="00B6747F">
        <w:trPr>
          <w:trHeight w:val="330"/>
        </w:trPr>
        <w:tc>
          <w:tcPr>
            <w:tcW w:w="893" w:type="dxa"/>
            <w:vAlign w:val="center"/>
            <w:hideMark/>
          </w:tcPr>
          <w:p w14:paraId="67F3A0BD" w14:textId="77777777" w:rsidR="00F242CC" w:rsidRPr="0029279E" w:rsidRDefault="00F242CC" w:rsidP="00B6747F">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086A6F58" w14:textId="4D2DBACB" w:rsidR="00F242CC" w:rsidRPr="0029279E" w:rsidRDefault="005F58F3" w:rsidP="00B6747F">
            <w:pPr>
              <w:spacing w:line="276" w:lineRule="auto"/>
              <w:jc w:val="both"/>
              <w:rPr>
                <w:rFonts w:ascii="Verdana" w:eastAsia="Times New Roman" w:hAnsi="Verdana" w:cs="Arial"/>
                <w:color w:val="000000"/>
                <w:sz w:val="16"/>
                <w:szCs w:val="16"/>
              </w:rPr>
            </w:pPr>
            <w:r>
              <w:rPr>
                <w:rFonts w:ascii="Verdana" w:eastAsia="Times New Roman" w:hAnsi="Verdana" w:cs="Arial"/>
                <w:color w:val="000000"/>
                <w:sz w:val="16"/>
                <w:szCs w:val="16"/>
              </w:rPr>
              <w:t>Diana Lucia Saavedra</w:t>
            </w:r>
          </w:p>
          <w:p w14:paraId="763E4008" w14:textId="77777777" w:rsidR="00F242CC" w:rsidRPr="0029279E" w:rsidRDefault="00F242CC" w:rsidP="00B6747F">
            <w:pPr>
              <w:spacing w:line="276" w:lineRule="auto"/>
              <w:jc w:val="both"/>
              <w:textAlignment w:val="baseline"/>
              <w:rPr>
                <w:rFonts w:ascii="Verdana" w:eastAsia="Times New Roman" w:hAnsi="Verdana" w:cs="Arial"/>
                <w:color w:val="000000"/>
                <w:sz w:val="16"/>
                <w:szCs w:val="16"/>
              </w:rPr>
            </w:pPr>
            <w:r w:rsidRPr="0029279E">
              <w:rPr>
                <w:rFonts w:ascii="Verdana" w:eastAsia="Times New Roman" w:hAnsi="Verdana" w:cs="Arial"/>
                <w:color w:val="000000"/>
                <w:sz w:val="16"/>
                <w:szCs w:val="16"/>
              </w:rPr>
              <w:t>Contratista de la Subdirección de Gestión Contractual</w:t>
            </w:r>
          </w:p>
        </w:tc>
      </w:tr>
      <w:tr w:rsidR="00F242CC" w:rsidRPr="0029279E" w14:paraId="322628FA" w14:textId="77777777" w:rsidTr="00B6747F">
        <w:trPr>
          <w:trHeight w:val="300"/>
        </w:trPr>
        <w:tc>
          <w:tcPr>
            <w:tcW w:w="893" w:type="dxa"/>
            <w:vAlign w:val="center"/>
            <w:hideMark/>
          </w:tcPr>
          <w:p w14:paraId="1722688A" w14:textId="77777777" w:rsidR="00F242CC" w:rsidRPr="0029279E" w:rsidRDefault="00F242CC" w:rsidP="00B6747F">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1E113586" w14:textId="77777777" w:rsidR="00F242CC" w:rsidRPr="0029279E" w:rsidRDefault="00F242CC" w:rsidP="00B6747F">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Carolina Quintero Gacharná</w:t>
            </w:r>
          </w:p>
          <w:p w14:paraId="153F22C9" w14:textId="77777777" w:rsidR="00F242CC" w:rsidRPr="0029279E" w:rsidRDefault="00F242CC" w:rsidP="00B6747F">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Subdirectora de Gestión Contractual ANCP – CCE</w:t>
            </w:r>
          </w:p>
        </w:tc>
      </w:tr>
      <w:bookmarkEnd w:id="1"/>
    </w:tbl>
    <w:p w14:paraId="7CFEBBE2" w14:textId="77777777" w:rsidR="00F242CC" w:rsidRPr="000E2B93" w:rsidRDefault="00F242CC" w:rsidP="00F242CC">
      <w:pPr>
        <w:spacing w:after="0" w:line="240" w:lineRule="auto"/>
        <w:jc w:val="both"/>
        <w:textAlignment w:val="baseline"/>
        <w:rPr>
          <w:rFonts w:ascii="Verdana" w:eastAsia="Verdana" w:hAnsi="Verdana" w:cs="Verdana"/>
          <w:lang w:eastAsia="es-CO"/>
        </w:rPr>
      </w:pPr>
    </w:p>
    <w:p w14:paraId="537ACEBA" w14:textId="7DBD7AD0" w:rsidR="00F242CC" w:rsidRPr="000E2B93" w:rsidRDefault="00F242CC" w:rsidP="00F242CC">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95998B4" w14:textId="77777777" w:rsidR="00F242CC" w:rsidRPr="0015699B" w:rsidRDefault="00F242CC" w:rsidP="00F242CC">
      <w:pPr>
        <w:spacing w:after="0" w:line="240" w:lineRule="auto"/>
        <w:jc w:val="both"/>
        <w:textAlignment w:val="baseline"/>
        <w:rPr>
          <w:rFonts w:ascii="Verdana" w:eastAsia="Verdana" w:hAnsi="Verdana" w:cs="Verdana"/>
          <w:lang w:eastAsia="es-CO"/>
        </w:rPr>
      </w:pPr>
    </w:p>
    <w:p w14:paraId="6D43F0C7" w14:textId="77777777" w:rsidR="00F242CC" w:rsidRPr="0024624F" w:rsidRDefault="00F242CC" w:rsidP="00F242CC">
      <w:pPr>
        <w:spacing w:after="0"/>
        <w:rPr>
          <w:rFonts w:ascii="Verdana" w:eastAsia="Verdana" w:hAnsi="Verdana" w:cs="Verdana"/>
        </w:rPr>
      </w:pPr>
    </w:p>
    <w:p w14:paraId="12443EE0" w14:textId="77777777" w:rsidR="00C15139" w:rsidRPr="0024624F" w:rsidRDefault="00C15139" w:rsidP="30821638">
      <w:pPr>
        <w:spacing w:after="0"/>
        <w:rPr>
          <w:rFonts w:ascii="Verdana" w:eastAsia="Verdana" w:hAnsi="Verdana" w:cs="Verdana"/>
        </w:rPr>
      </w:pPr>
    </w:p>
    <w:p w14:paraId="67A44998" w14:textId="77777777" w:rsidR="001A33BF" w:rsidRDefault="001A33BF" w:rsidP="30821638">
      <w:pPr>
        <w:spacing w:after="0" w:line="240" w:lineRule="auto"/>
        <w:jc w:val="both"/>
        <w:rPr>
          <w:rFonts w:ascii="Verdana" w:eastAsia="Verdana" w:hAnsi="Verdana" w:cs="Verdana"/>
          <w:lang w:val="es-MX"/>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02A0E9EC"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EE0EA" w14:textId="77777777" w:rsidR="00291027" w:rsidRDefault="00291027" w:rsidP="004A1847">
      <w:pPr>
        <w:spacing w:after="0" w:line="240" w:lineRule="auto"/>
      </w:pPr>
      <w:r>
        <w:separator/>
      </w:r>
    </w:p>
  </w:endnote>
  <w:endnote w:type="continuationSeparator" w:id="0">
    <w:p w14:paraId="4AF54406" w14:textId="77777777" w:rsidR="00291027" w:rsidRDefault="00291027" w:rsidP="004A1847">
      <w:pPr>
        <w:spacing w:after="0" w:line="240" w:lineRule="auto"/>
      </w:pPr>
      <w:r>
        <w:continuationSeparator/>
      </w:r>
    </w:p>
  </w:endnote>
  <w:endnote w:type="continuationNotice" w:id="1">
    <w:p w14:paraId="24BCE532" w14:textId="77777777" w:rsidR="00291027" w:rsidRDefault="00291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AA70" w14:textId="77777777" w:rsidR="00291027" w:rsidRDefault="00291027" w:rsidP="004A1847">
      <w:pPr>
        <w:spacing w:after="0" w:line="240" w:lineRule="auto"/>
      </w:pPr>
      <w:r>
        <w:separator/>
      </w:r>
    </w:p>
  </w:footnote>
  <w:footnote w:type="continuationSeparator" w:id="0">
    <w:p w14:paraId="0AC93009" w14:textId="77777777" w:rsidR="00291027" w:rsidRDefault="00291027" w:rsidP="004A1847">
      <w:pPr>
        <w:spacing w:after="0" w:line="240" w:lineRule="auto"/>
      </w:pPr>
      <w:r>
        <w:continuationSeparator/>
      </w:r>
    </w:p>
  </w:footnote>
  <w:footnote w:type="continuationNotice" w:id="1">
    <w:p w14:paraId="56331465" w14:textId="77777777" w:rsidR="00291027" w:rsidRDefault="00291027">
      <w:pPr>
        <w:spacing w:after="0" w:line="240" w:lineRule="auto"/>
      </w:pPr>
    </w:p>
  </w:footnote>
  <w:footnote w:id="2">
    <w:p w14:paraId="058BBDDB"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w:t>
      </w:r>
      <w:r w:rsidRPr="00DE5412">
        <w:rPr>
          <w:rFonts w:ascii="Verdana" w:eastAsia="Verdana" w:hAnsi="Verdana" w:cs="Verdana"/>
          <w:color w:val="000000"/>
          <w:sz w:val="16"/>
          <w:szCs w:val="16"/>
        </w:rPr>
        <w:t>CORTE CONSTITUCIONAL.</w:t>
      </w:r>
      <w:r w:rsidRPr="00F23306">
        <w:rPr>
          <w:rFonts w:ascii="Verdana" w:eastAsia="Verdana" w:hAnsi="Verdana" w:cs="Verdana"/>
          <w:color w:val="000000"/>
          <w:sz w:val="16"/>
          <w:szCs w:val="16"/>
        </w:rPr>
        <w:t xml:space="preserve"> Sentencia C-181 de 1997. M.P. Fabio Morón Díaz. Ver también las Sentencias C-540 de 2001, C-893 de 2003 y C-903 de 2008, entre otras.</w:t>
      </w:r>
    </w:p>
  </w:footnote>
  <w:footnote w:id="3">
    <w:p w14:paraId="5CFF3A3F"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C-1016 de 2012. M.P. Jorge Iván Palacio.</w:t>
      </w:r>
    </w:p>
  </w:footnote>
  <w:footnote w:id="4">
    <w:p w14:paraId="466A6BDC"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w:t>
      </w:r>
      <w:r w:rsidRPr="00DE5412">
        <w:rPr>
          <w:rFonts w:ascii="Verdana" w:eastAsia="Verdana" w:hAnsi="Verdana" w:cs="Verdana"/>
          <w:color w:val="000000"/>
          <w:sz w:val="16"/>
          <w:szCs w:val="16"/>
        </w:rPr>
        <w:t>CONSEJO DE ESTADO.</w:t>
      </w:r>
      <w:r w:rsidRPr="00F23306">
        <w:rPr>
          <w:rFonts w:ascii="Verdana" w:eastAsia="Verdana" w:hAnsi="Verdana" w:cs="Verdana"/>
          <w:color w:val="000000"/>
          <w:sz w:val="16"/>
          <w:szCs w:val="16"/>
        </w:rPr>
        <w:t xml:space="preserve"> Sección Tercera. Subsección A. Sentencia del 13 de noviembre de 2013. Rad. 25.646. C.P. Mauricio Fajardo Gómez. </w:t>
      </w:r>
    </w:p>
  </w:footnote>
  <w:footnote w:id="5">
    <w:p w14:paraId="7BB8C31D"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C-415 de 1994. M.P. Eduardo Cifuentes Muñoz.</w:t>
      </w:r>
    </w:p>
  </w:footnote>
  <w:footnote w:id="6">
    <w:p w14:paraId="7A223AD3"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Ibídem.</w:t>
      </w:r>
    </w:p>
  </w:footnote>
  <w:footnote w:id="7">
    <w:p w14:paraId="0E37A445"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C-780 de 2001. M.P. Jaime Córdoba Triviño.</w:t>
      </w:r>
    </w:p>
  </w:footnote>
  <w:footnote w:id="8">
    <w:p w14:paraId="07A5A909"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Ley 80 de 1993: “Artículo 8: 1o. Son inhábiles para participar en licitaciones o concursos y para celebrar contratos con las entidades estatales: </w:t>
      </w:r>
    </w:p>
    <w:p w14:paraId="79527A0F"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a) Las personas que se hallen inhabilitadas para contratar por la Constitución y las leyes. </w:t>
      </w:r>
    </w:p>
    <w:p w14:paraId="6C218FB3"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b) Quienes participaron en las licitaciones o concursos o celebraron los contratos de que trata el literal anterior estando inhabilitados. </w:t>
      </w:r>
    </w:p>
    <w:p w14:paraId="5E92C8C7"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c) Quienes dieron lugar a la declaratoria de caducidad. </w:t>
      </w:r>
    </w:p>
    <w:p w14:paraId="402D52C9"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d) Quienes en sentencia judicial hayan sido condenados a la pena accesoria de interdicción de derechos y funciones públicas y quienes hayan sido sancionados disciplinariamente con destitución. </w:t>
      </w:r>
    </w:p>
    <w:p w14:paraId="25CDB05A"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 Quienes sin justa causa se abstengan de suscribir el contrato estatal adjudicado. </w:t>
      </w:r>
    </w:p>
    <w:p w14:paraId="5EF34389"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f) Los servidores públicos. </w:t>
      </w:r>
    </w:p>
    <w:p w14:paraId="3572CC9E"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g) Quienes sean cónyuges o compañeros permanentes y quienes se encuentren dentro del segundo grado de consanguinidad o segundo de afinidad con cualquier otra persona que formalmente haya presentado propuesta para una misma licitación o concurso. </w:t>
      </w:r>
    </w:p>
    <w:p w14:paraId="102087D1"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4B071C2A"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i) Los socios de sociedades de personas a las cuales se haya declarado la caducidad, así como las sociedades de personas de las que aquellos formen parte con posterioridad a dicha declaratoria. </w:t>
      </w:r>
    </w:p>
    <w:p w14:paraId="6AD05CC9"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56846994"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30D33599"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 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31BBF876"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w:t>
      </w:r>
    </w:p>
    <w:p w14:paraId="1337A475"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2o. Tampoco podrán participar en licitaciones o concursos ni celebrar contratos estatales con la entidad respectiva: </w:t>
      </w:r>
    </w:p>
    <w:p w14:paraId="58ACCAF5"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77F30A84"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41E77146"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c) El cónyuge, compañero o compañera permanente del servidor público en los niveles directivo, asesor, ejecutivo, o de un miembro de la junta o consejo directivo, o de quien ejerza funciones de control interno o de control fiscal. </w:t>
      </w:r>
    </w:p>
    <w:p w14:paraId="66F16611"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55E579A2" w14:textId="77777777" w:rsidR="001F2C08" w:rsidRPr="00F23306" w:rsidRDefault="001F2C08" w:rsidP="001F2C08">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 Los miembros de las juntas o consejos directivos. Esta incompatibilidad sólo se predica respecto de la entidad a la cual prestan sus servicios y de las del sector administrativo al que la misma esté adscrita o vinculada. </w:t>
      </w:r>
    </w:p>
    <w:p w14:paraId="5F78256D"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9">
    <w:p w14:paraId="1F409DD1"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Ibídem. p. 69.</w:t>
      </w:r>
    </w:p>
  </w:footnote>
  <w:footnote w:id="10">
    <w:p w14:paraId="0CF31EE4"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T-1039 de 2006. M.P. Humberto Sierra Porto. La Corte Constitucional ha mantenido este criterio en las sentencias: C-903 de 2008. M.P. Jaime Araujo Rentería; C-101 de 2018. M.P. Gloria Stella Ortiz Delgado; entre otras. </w:t>
      </w:r>
    </w:p>
  </w:footnote>
  <w:footnote w:id="11">
    <w:p w14:paraId="65F4BAA3"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Sala de Consulta y Servicio Civil. Concepto del 30 de abril de 2015. </w:t>
      </w:r>
      <w:proofErr w:type="spellStart"/>
      <w:r w:rsidRPr="00F23306">
        <w:rPr>
          <w:rFonts w:ascii="Verdana" w:eastAsia="Verdana" w:hAnsi="Verdana" w:cs="Verdana"/>
          <w:color w:val="000000"/>
          <w:sz w:val="16"/>
          <w:szCs w:val="16"/>
        </w:rPr>
        <w:t>Exp</w:t>
      </w:r>
      <w:proofErr w:type="spellEnd"/>
      <w:r w:rsidRPr="00F23306">
        <w:rPr>
          <w:rFonts w:ascii="Verdana" w:eastAsia="Verdana" w:hAnsi="Verdana" w:cs="Verdana"/>
          <w:color w:val="000000"/>
          <w:sz w:val="16"/>
          <w:szCs w:val="16"/>
        </w:rPr>
        <w:t>. 2251. C.P. Álvaro Namén Vargas.</w:t>
      </w:r>
    </w:p>
  </w:footnote>
  <w:footnote w:id="12">
    <w:p w14:paraId="78A8E6B0"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A. Sentencia del 24 de junio de 2015. </w:t>
      </w:r>
      <w:proofErr w:type="spellStart"/>
      <w:r w:rsidRPr="00F23306">
        <w:rPr>
          <w:rFonts w:ascii="Verdana" w:eastAsia="Verdana" w:hAnsi="Verdana" w:cs="Verdana"/>
          <w:color w:val="000000"/>
          <w:sz w:val="16"/>
          <w:szCs w:val="16"/>
        </w:rPr>
        <w:t>Exp</w:t>
      </w:r>
      <w:proofErr w:type="spellEnd"/>
      <w:r w:rsidRPr="00F23306">
        <w:rPr>
          <w:rFonts w:ascii="Verdana" w:eastAsia="Verdana" w:hAnsi="Verdana" w:cs="Verdana"/>
          <w:color w:val="000000"/>
          <w:sz w:val="16"/>
          <w:szCs w:val="16"/>
        </w:rPr>
        <w:t>. 40.635. C.P. Hernán Andrade Rincón (E).</w:t>
      </w:r>
    </w:p>
  </w:footnote>
  <w:footnote w:id="13">
    <w:p w14:paraId="02A6E839"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C. Sentencia del 22 de mayo de 2013. Rad. 24.057. C.P. Olga Mélida Valle De </w:t>
      </w:r>
      <w:proofErr w:type="spellStart"/>
      <w:r w:rsidRPr="00F23306">
        <w:rPr>
          <w:rFonts w:ascii="Verdana" w:eastAsia="Verdana" w:hAnsi="Verdana" w:cs="Verdana"/>
          <w:color w:val="000000"/>
          <w:sz w:val="16"/>
          <w:szCs w:val="16"/>
        </w:rPr>
        <w:t>De</w:t>
      </w:r>
      <w:proofErr w:type="spellEnd"/>
      <w:r w:rsidRPr="00F23306">
        <w:rPr>
          <w:rFonts w:ascii="Verdana" w:eastAsia="Verdana" w:hAnsi="Verdana" w:cs="Verdana"/>
          <w:color w:val="000000"/>
          <w:sz w:val="16"/>
          <w:szCs w:val="16"/>
        </w:rPr>
        <w:t xml:space="preserve"> La Hoz.</w:t>
      </w:r>
    </w:p>
  </w:footnote>
  <w:footnote w:id="14">
    <w:p w14:paraId="582796F7"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C-415 de 1994. M.P. Eduardo Cifuentes Muñoz.</w:t>
      </w:r>
    </w:p>
  </w:footnote>
  <w:footnote w:id="15">
    <w:p w14:paraId="01D76DC9"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B. Sentencia del 12 de diciembre de 2014. </w:t>
      </w:r>
      <w:proofErr w:type="spellStart"/>
      <w:r w:rsidRPr="00F23306">
        <w:rPr>
          <w:rFonts w:ascii="Verdana" w:eastAsia="Verdana" w:hAnsi="Verdana" w:cs="Verdana"/>
          <w:color w:val="000000"/>
          <w:sz w:val="16"/>
          <w:szCs w:val="16"/>
        </w:rPr>
        <w:t>Exp</w:t>
      </w:r>
      <w:proofErr w:type="spellEnd"/>
      <w:r w:rsidRPr="00F23306">
        <w:rPr>
          <w:rFonts w:ascii="Verdana" w:eastAsia="Verdana" w:hAnsi="Verdana" w:cs="Verdana"/>
          <w:color w:val="000000"/>
          <w:sz w:val="16"/>
          <w:szCs w:val="16"/>
        </w:rPr>
        <w:t>. 26496. C.P. Ramiro Pazos Guerrero. En similar sentido, la doctrina expresa que: “[…] las causales de inhabilidad e incompatibilidad resultan ser las que la ley de manera expresa señala, no siendo factible para las entidades estatales, crearlas en los pliegos de condiciones que elaboran (DAVILA VINUEZA, Luis Guillermo Régimen jurídico de la contratación estatal: aproximación crítica a Ley 80 de 1993. 3ª ed. Bogotá: Legis, 2016. p. 149.</w:t>
      </w:r>
    </w:p>
  </w:footnote>
  <w:footnote w:id="16">
    <w:p w14:paraId="409B594A"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Sala de Consulta y Servicio Civil. Concepto del 29 de abril de 1998. Rad. 1097. C.P. Augusto Trejos Jaramillo.</w:t>
      </w:r>
    </w:p>
  </w:footnote>
  <w:footnote w:id="17">
    <w:p w14:paraId="22BD383D"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RAMÍREZ GRISALES, Richard. La cesión. Medellín: Librería Jurídica Sánchez, 2014. p. 41. </w:t>
      </w:r>
    </w:p>
  </w:footnote>
  <w:footnote w:id="18">
    <w:p w14:paraId="50234A29" w14:textId="77777777" w:rsidR="001F2C08" w:rsidRPr="00F23306"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Los contratos estatales son </w:t>
      </w:r>
      <w:r w:rsidRPr="00DE5412">
        <w:rPr>
          <w:rFonts w:ascii="Verdana" w:eastAsia="Verdana" w:hAnsi="Verdana" w:cs="Verdana"/>
          <w:i/>
          <w:color w:val="000000"/>
          <w:sz w:val="16"/>
          <w:szCs w:val="16"/>
        </w:rPr>
        <w:t xml:space="preserve">intuito </w:t>
      </w:r>
      <w:proofErr w:type="spellStart"/>
      <w:r w:rsidRPr="00DE5412">
        <w:rPr>
          <w:rFonts w:ascii="Verdana" w:eastAsia="Verdana" w:hAnsi="Verdana" w:cs="Verdana"/>
          <w:i/>
          <w:color w:val="000000"/>
          <w:sz w:val="16"/>
          <w:szCs w:val="16"/>
        </w:rPr>
        <w:t>personae</w:t>
      </w:r>
      <w:proofErr w:type="spellEnd"/>
      <w:r w:rsidRPr="00F23306">
        <w:rPr>
          <w:rFonts w:ascii="Verdana" w:eastAsia="Verdana" w:hAnsi="Verdana" w:cs="Verdana"/>
          <w:color w:val="000000"/>
          <w:sz w:val="16"/>
          <w:szCs w:val="16"/>
        </w:rPr>
        <w:t> y, en consecuencia, una vez celebrados no podrán cederse sin previa autorización escrita de la entidad contratante. </w:t>
      </w:r>
    </w:p>
  </w:footnote>
  <w:footnote w:id="19">
    <w:p w14:paraId="74E0E41A" w14:textId="77777777" w:rsidR="001F2C08" w:rsidRPr="00F23306" w:rsidRDefault="001F2C08" w:rsidP="001F2C08">
      <w:pPr>
        <w:pStyle w:val="Textonotapie"/>
        <w:ind w:firstLine="708"/>
        <w:rPr>
          <w:rFonts w:ascii="Verdana" w:hAnsi="Verdana"/>
          <w:sz w:val="16"/>
          <w:szCs w:val="16"/>
        </w:rPr>
      </w:pPr>
      <w:r w:rsidRPr="00F23306">
        <w:rPr>
          <w:rStyle w:val="Refdenotaalpie"/>
          <w:rFonts w:ascii="Verdana" w:hAnsi="Verdana"/>
          <w:sz w:val="16"/>
          <w:szCs w:val="16"/>
        </w:rPr>
        <w:footnoteRef/>
      </w:r>
      <w:r w:rsidRPr="00F23306">
        <w:rPr>
          <w:rFonts w:ascii="Verdana" w:hAnsi="Verdana"/>
          <w:sz w:val="16"/>
          <w:szCs w:val="16"/>
        </w:rPr>
        <w:t xml:space="preserve"> Corte Constitucional. Sentencia C-221 de 1996. M.P. José Gregorio Hernández Galindo. </w:t>
      </w:r>
    </w:p>
  </w:footnote>
  <w:footnote w:id="20">
    <w:p w14:paraId="729BB825" w14:textId="77777777" w:rsidR="001F2C08" w:rsidRPr="00F23306" w:rsidRDefault="001F2C08" w:rsidP="001F2C08">
      <w:pPr>
        <w:spacing w:after="0" w:line="240" w:lineRule="auto"/>
        <w:ind w:firstLine="708"/>
        <w:rPr>
          <w:rFonts w:ascii="Verdana" w:eastAsia="Verdana" w:hAnsi="Verdana" w:cs="Verdana"/>
          <w:sz w:val="16"/>
          <w:szCs w:val="16"/>
        </w:rPr>
      </w:pPr>
      <w:r w:rsidRPr="00F23306">
        <w:rPr>
          <w:rFonts w:ascii="Verdana" w:hAnsi="Verdana"/>
          <w:sz w:val="16"/>
          <w:szCs w:val="16"/>
          <w:vertAlign w:val="superscript"/>
        </w:rPr>
        <w:footnoteRef/>
      </w:r>
      <w:r w:rsidRPr="00F23306">
        <w:rPr>
          <w:rFonts w:ascii="Verdana" w:hAnsi="Verdana"/>
          <w:sz w:val="16"/>
          <w:szCs w:val="16"/>
        </w:rPr>
        <w:t xml:space="preserve"> </w:t>
      </w:r>
      <w:r w:rsidRPr="00F23306">
        <w:rPr>
          <w:rFonts w:ascii="Verdana" w:eastAsia="Verdana" w:hAnsi="Verdana" w:cs="Verdana"/>
          <w:sz w:val="16"/>
          <w:szCs w:val="16"/>
        </w:rPr>
        <w:t>Concepto C – 100 de 2024; Concepto C-1694 de 2025</w:t>
      </w:r>
    </w:p>
  </w:footnote>
  <w:footnote w:id="21">
    <w:p w14:paraId="5AF469A3" w14:textId="77777777" w:rsidR="001F2C08" w:rsidRPr="00F23306" w:rsidRDefault="001F2C08" w:rsidP="001F2C08">
      <w:pPr>
        <w:pBdr>
          <w:top w:val="nil"/>
          <w:left w:val="nil"/>
          <w:bottom w:val="nil"/>
          <w:right w:val="nil"/>
          <w:between w:val="nil"/>
        </w:pBdr>
        <w:spacing w:after="0" w:line="240" w:lineRule="auto"/>
        <w:ind w:firstLine="709"/>
        <w:jc w:val="both"/>
        <w:rPr>
          <w:rFonts w:ascii="Verdana" w:eastAsia="Verdana" w:hAnsi="Verdana" w:cs="Verdana"/>
          <w:sz w:val="16"/>
          <w:szCs w:val="16"/>
        </w:rPr>
      </w:pPr>
      <w:r w:rsidRPr="00F23306">
        <w:rPr>
          <w:rFonts w:ascii="Verdana" w:hAnsi="Verdana"/>
          <w:sz w:val="16"/>
          <w:szCs w:val="16"/>
          <w:vertAlign w:val="superscript"/>
        </w:rPr>
        <w:footnoteRef/>
      </w:r>
      <w:r w:rsidRPr="00F23306">
        <w:rPr>
          <w:rFonts w:ascii="Verdana" w:eastAsia="Century Gothic" w:hAnsi="Verdana" w:cs="Century Gothic"/>
          <w:sz w:val="16"/>
          <w:szCs w:val="16"/>
        </w:rPr>
        <w:t xml:space="preserve"> </w:t>
      </w:r>
      <w:r w:rsidRPr="00F23306">
        <w:rPr>
          <w:rFonts w:ascii="Verdana" w:eastAsia="Verdana" w:hAnsi="Verdana" w:cs="Verdana"/>
          <w:sz w:val="16"/>
          <w:szCs w:val="16"/>
        </w:rPr>
        <w:t>ROPPO, Vincenzo. El contrato. Lima: Gaceta Jurídica, 2009. p. 547.</w:t>
      </w:r>
    </w:p>
  </w:footnote>
  <w:footnote w:id="22">
    <w:p w14:paraId="6D857857" w14:textId="77777777" w:rsidR="001F2C08" w:rsidRPr="00F23306" w:rsidRDefault="001F2C08" w:rsidP="001F2C08">
      <w:pPr>
        <w:pBdr>
          <w:top w:val="nil"/>
          <w:left w:val="nil"/>
          <w:bottom w:val="nil"/>
          <w:right w:val="nil"/>
          <w:between w:val="nil"/>
        </w:pBdr>
        <w:spacing w:after="0" w:line="240" w:lineRule="auto"/>
        <w:ind w:firstLine="709"/>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Century Gothic" w:hAnsi="Verdana" w:cs="Century Gothic"/>
          <w:sz w:val="16"/>
          <w:szCs w:val="16"/>
        </w:rPr>
        <w:t xml:space="preserve"> </w:t>
      </w:r>
      <w:r w:rsidRPr="00F23306">
        <w:rPr>
          <w:rFonts w:ascii="Verdana" w:eastAsia="Verdana" w:hAnsi="Verdana" w:cs="Verdana"/>
          <w:i/>
          <w:iCs/>
          <w:sz w:val="16"/>
          <w:szCs w:val="16"/>
        </w:rPr>
        <w:t>Ibidem</w:t>
      </w:r>
      <w:r w:rsidRPr="00F23306">
        <w:rPr>
          <w:rFonts w:ascii="Verdana" w:eastAsia="Verdana" w:hAnsi="Verdana" w:cs="Verdana"/>
          <w:sz w:val="16"/>
          <w:szCs w:val="16"/>
        </w:rPr>
        <w:t>.</w:t>
      </w:r>
    </w:p>
  </w:footnote>
  <w:footnote w:id="23">
    <w:p w14:paraId="3466918D" w14:textId="77777777" w:rsidR="001F2C08" w:rsidRPr="00D964BC" w:rsidRDefault="001F2C08" w:rsidP="001F2C08">
      <w:pPr>
        <w:pBdr>
          <w:top w:val="nil"/>
          <w:left w:val="nil"/>
          <w:bottom w:val="nil"/>
          <w:right w:val="nil"/>
          <w:between w:val="nil"/>
        </w:pBdr>
        <w:spacing w:after="0" w:line="240" w:lineRule="auto"/>
        <w:ind w:firstLine="709"/>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w:t>
      </w:r>
      <w:r w:rsidRPr="00D964BC">
        <w:rPr>
          <w:rFonts w:ascii="Verdana" w:eastAsia="Verdana" w:hAnsi="Verdana" w:cs="Verdana"/>
          <w:color w:val="000000"/>
          <w:sz w:val="16"/>
          <w:szCs w:val="16"/>
        </w:rPr>
        <w:t xml:space="preserve">HINESTROSA, Fernando. Tratado de las obligaciones: concepto, estructura y vicisitudes. Tercera Edición. Bogotá: Universidad Externado de Colombia, 2007. Libro en formato EPUB. En contraste con la cesión de créditos, “La cesión de contrato […] al permitir la sustitución de una de las partes en el contrato que se ejecuta, valida al tercero cesionario para que adquiera los derechos y las obligaciones que correspondían al contratante cedente como efectos del contrato. Es decir, lo que en realidad se cede, es </w:t>
      </w:r>
      <w:r w:rsidRPr="00D964BC">
        <w:rPr>
          <w:rFonts w:ascii="Verdana" w:eastAsia="Verdana" w:hAnsi="Verdana" w:cs="Verdana"/>
          <w:sz w:val="16"/>
          <w:szCs w:val="16"/>
        </w:rPr>
        <w:t>mucho más que las posiciones o lados activos de las relaciones obligacionales. se cede también el lado pasivo, pues del contrato surgen como efecto obligaciones y derechos para las partes y la cesión de la posición contractual de una de ellas coloca al tercero cesionario en su lugar, en las mismas circunstancias frente al otro contratante” (ARRUBLA PAUCAR, Jaime Alberto. Contratos mercantiles: teoría general del negocio mercantil. Decimocuarta Edición. Bogotá: Legis, 2021. p. 251)</w:t>
      </w:r>
      <w:r w:rsidRPr="00D964BC">
        <w:rPr>
          <w:rFonts w:ascii="Verdana" w:eastAsia="Century Gothic" w:hAnsi="Verdana" w:cs="Century Gothic"/>
          <w:color w:val="000000"/>
          <w:sz w:val="16"/>
          <w:szCs w:val="16"/>
        </w:rPr>
        <w:t xml:space="preserve">.   </w:t>
      </w:r>
    </w:p>
  </w:footnote>
  <w:footnote w:id="24">
    <w:p w14:paraId="5DEA9015" w14:textId="77777777" w:rsidR="001F2C08" w:rsidRPr="00D964BC" w:rsidRDefault="001F2C08" w:rsidP="001F2C08">
      <w:pPr>
        <w:pBdr>
          <w:top w:val="nil"/>
          <w:left w:val="nil"/>
          <w:bottom w:val="nil"/>
          <w:right w:val="nil"/>
          <w:between w:val="nil"/>
        </w:pBdr>
        <w:spacing w:after="0" w:line="240" w:lineRule="auto"/>
        <w:ind w:firstLine="708"/>
        <w:jc w:val="both"/>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w:t>
      </w:r>
      <w:r w:rsidRPr="00D964BC">
        <w:rPr>
          <w:rFonts w:ascii="Verdana" w:eastAsia="Verdana" w:hAnsi="Verdana" w:cs="Verdana"/>
          <w:sz w:val="16"/>
          <w:szCs w:val="16"/>
        </w:rPr>
        <w:t>ESCOLA, Jorge. Tratado integral de los contratos administrativos. Volumen I. Buenos Aires: Depalma, 2012. p. 424. No en vano, “Quien contrata con la administración debe reunir condiciones previas, acreditadas por muy distintos medios, relativas a su capacidad técnica, financiera e incluso moral. De esas personas se ha seleccionado aquella que resulta la más conveniente para el caso, y esa persona no puede ser reemplazada por otra, por la sola decisión de ese cocontratante.</w:t>
      </w:r>
    </w:p>
    <w:p w14:paraId="0AA668DF" w14:textId="77777777" w:rsidR="001F2C08" w:rsidRPr="00D964BC" w:rsidRDefault="001F2C08" w:rsidP="001F2C08">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eastAsia="Verdana" w:hAnsi="Verdana" w:cs="Verdana"/>
          <w:sz w:val="16"/>
          <w:szCs w:val="16"/>
        </w:rPr>
        <w:t xml:space="preserve">De ahí que el principio del cumplimiento personal de sus obligaciones por el cocontratante particular es una exigencia del contrato administrativo que resulta de su naturaleza, por lo que su aplicación es ineludible, aun en los casos en que no existen cláusulas expresas que impongan esa prestación personal o que prohíban la cesión o transferencia del contrato o la subcontratación”. </w:t>
      </w:r>
    </w:p>
  </w:footnote>
  <w:footnote w:id="25">
    <w:p w14:paraId="2D11F46D" w14:textId="77777777" w:rsidR="001F2C08" w:rsidRPr="00D964BC" w:rsidRDefault="001F2C08" w:rsidP="001F2C08">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MARIENHOFF, Miguel S. Tratado de derecho administrativo. Tomo IIIA. Cuarta Edición. Buenos Aires: Abeledo Perrot, 1998. p. 318. Énfasis dentro del texto.</w:t>
      </w:r>
    </w:p>
  </w:footnote>
  <w:footnote w:id="26">
    <w:p w14:paraId="24DAC308" w14:textId="77777777" w:rsidR="001F2C08" w:rsidRPr="00D964BC" w:rsidRDefault="001F2C08" w:rsidP="001F2C08">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RAMÍREZ GRISALES, Richard. La cesión. Serie: Las cláusulas del contrato estatal. Medellín: Centro de Estudios de Derecho Administrativo –CEDA– y Librería Jurídica Sánchez R., 2014. pp. 71-72.</w:t>
      </w:r>
    </w:p>
  </w:footnote>
  <w:footnote w:id="27">
    <w:p w14:paraId="7778BDAE" w14:textId="77777777" w:rsidR="001F2C08" w:rsidRPr="00D964BC" w:rsidRDefault="001F2C08" w:rsidP="001F2C08">
      <w:pPr>
        <w:pBdr>
          <w:top w:val="nil"/>
          <w:left w:val="nil"/>
          <w:bottom w:val="nil"/>
          <w:right w:val="nil"/>
          <w:between w:val="nil"/>
        </w:pBdr>
        <w:spacing w:after="0" w:line="240" w:lineRule="auto"/>
        <w:ind w:firstLine="709"/>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Consejo de Estado, Sección Tercera, Sentencia del 16 de marzo de 2015, Rad. 1999-03028, M.P. Jaime Orlando Santofimio Gamboa.</w:t>
      </w:r>
    </w:p>
  </w:footnote>
  <w:footnote w:id="28">
    <w:p w14:paraId="6E11A9C1" w14:textId="77777777" w:rsidR="001F2C08" w:rsidRPr="00D964BC" w:rsidRDefault="001F2C08" w:rsidP="001F2C08">
      <w:pPr>
        <w:pBdr>
          <w:top w:val="nil"/>
          <w:left w:val="nil"/>
          <w:bottom w:val="nil"/>
          <w:right w:val="nil"/>
          <w:between w:val="nil"/>
        </w:pBdr>
        <w:spacing w:after="0" w:line="240" w:lineRule="auto"/>
        <w:ind w:firstLine="720"/>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Corte Constitucional. Sentencia C-949 del 5 de septiembre de 2001. M.P. Clara Inés Vargas Hernández.  </w:t>
      </w:r>
    </w:p>
    <w:p w14:paraId="36AA4088" w14:textId="77777777" w:rsidR="001F2C08" w:rsidRPr="00D964BC" w:rsidRDefault="001F2C08" w:rsidP="001F2C08">
      <w:pPr>
        <w:pBdr>
          <w:top w:val="nil"/>
          <w:left w:val="nil"/>
          <w:bottom w:val="nil"/>
          <w:right w:val="nil"/>
          <w:between w:val="nil"/>
        </w:pBdr>
        <w:spacing w:after="0" w:line="240" w:lineRule="auto"/>
        <w:ind w:firstLine="720"/>
        <w:jc w:val="both"/>
        <w:rPr>
          <w:rFonts w:ascii="Verdana" w:eastAsia="Verdana" w:hAnsi="Verdana" w:cs="Verdana"/>
          <w:color w:val="000000"/>
          <w:sz w:val="16"/>
          <w:szCs w:val="16"/>
        </w:rPr>
      </w:pPr>
    </w:p>
  </w:footnote>
  <w:footnote w:id="29">
    <w:p w14:paraId="426C6AD5" w14:textId="77777777" w:rsidR="001F2C08" w:rsidRPr="00D964BC" w:rsidRDefault="001F2C08" w:rsidP="001F2C08">
      <w:pPr>
        <w:spacing w:after="0" w:line="240" w:lineRule="auto"/>
        <w:ind w:firstLine="708"/>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Verdana" w:hAnsi="Verdana" w:cs="Verdana"/>
          <w:sz w:val="16"/>
          <w:szCs w:val="16"/>
        </w:rPr>
        <w:t xml:space="preserve"> Colombia Compra Eficiente. Concepto C–059 de 2023. </w:t>
      </w:r>
    </w:p>
  </w:footnote>
  <w:footnote w:id="30">
    <w:p w14:paraId="544B56A7" w14:textId="77777777" w:rsidR="001F2C08" w:rsidRPr="00D964BC" w:rsidRDefault="001F2C08" w:rsidP="001F2C08">
      <w:pPr>
        <w:spacing w:after="0" w:line="240" w:lineRule="auto"/>
        <w:ind w:firstLine="708"/>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Verdana" w:hAnsi="Verdana" w:cs="Verdana"/>
          <w:sz w:val="16"/>
          <w:szCs w:val="16"/>
        </w:rPr>
        <w:t xml:space="preserve"> Consejo de Estado. Sala de Consulta y Servicio Civil. Concepto del 15 de mayo de 2018.C.P: Álvaro Namén Vargas. Radicación No. 11001-03-06-000-2017-00058-00 (2335). </w:t>
      </w:r>
    </w:p>
  </w:footnote>
  <w:footnote w:id="31">
    <w:p w14:paraId="6948265F" w14:textId="77777777" w:rsidR="001F2C08" w:rsidRPr="00D964BC" w:rsidRDefault="001F2C08" w:rsidP="001F2C08">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CONSEJO DE ESTADO. Sección Tercera. Subsección A. Sentencia del 9 de mayo de 2012. C.P. Mauricio Fajardo Gómez. </w:t>
      </w:r>
      <w:proofErr w:type="spellStart"/>
      <w:r w:rsidRPr="00D964BC">
        <w:rPr>
          <w:rFonts w:ascii="Verdana" w:eastAsia="Verdana" w:hAnsi="Verdana" w:cs="Verdana"/>
          <w:color w:val="000000"/>
          <w:sz w:val="16"/>
          <w:szCs w:val="16"/>
        </w:rPr>
        <w:t>Exp</w:t>
      </w:r>
      <w:proofErr w:type="spellEnd"/>
      <w:r w:rsidRPr="00D964BC">
        <w:rPr>
          <w:rFonts w:ascii="Verdana" w:eastAsia="Verdana" w:hAnsi="Verdana" w:cs="Verdana"/>
          <w:color w:val="000000"/>
          <w:sz w:val="16"/>
          <w:szCs w:val="16"/>
        </w:rPr>
        <w:t xml:space="preserve">. 20968. </w:t>
      </w:r>
    </w:p>
  </w:footnote>
  <w:footnote w:id="32">
    <w:p w14:paraId="0FF50553" w14:textId="77777777" w:rsidR="001F2C08" w:rsidRPr="00D964BC" w:rsidRDefault="001F2C08" w:rsidP="001F2C08">
      <w:pPr>
        <w:pBdr>
          <w:top w:val="nil"/>
          <w:left w:val="nil"/>
          <w:bottom w:val="nil"/>
          <w:right w:val="nil"/>
          <w:between w:val="nil"/>
        </w:pBdr>
        <w:spacing w:line="240" w:lineRule="auto"/>
        <w:ind w:firstLine="708"/>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Times New Roman" w:hAnsi="Verdana" w:cs="Times New Roman"/>
          <w:color w:val="000000"/>
          <w:sz w:val="16"/>
          <w:szCs w:val="16"/>
        </w:rPr>
        <w:t xml:space="preserve"> </w:t>
      </w:r>
      <w:r w:rsidRPr="00D964BC">
        <w:rPr>
          <w:rFonts w:ascii="Verdana" w:eastAsia="Verdana" w:hAnsi="Verdana" w:cs="Verdana"/>
          <w:color w:val="000000"/>
          <w:sz w:val="16"/>
          <w:szCs w:val="16"/>
        </w:rPr>
        <w:t>C</w:t>
      </w:r>
      <w:r w:rsidRPr="00D964BC">
        <w:rPr>
          <w:rFonts w:ascii="Verdana" w:eastAsia="Verdana" w:hAnsi="Verdana" w:cs="Verdana"/>
          <w:sz w:val="16"/>
          <w:szCs w:val="16"/>
        </w:rPr>
        <w:t>onsejo de Estado.</w:t>
      </w:r>
      <w:r w:rsidRPr="00D964BC">
        <w:rPr>
          <w:rFonts w:ascii="Verdana" w:eastAsia="Verdana" w:hAnsi="Verdana" w:cs="Verdana"/>
          <w:color w:val="000000"/>
          <w:sz w:val="16"/>
          <w:szCs w:val="16"/>
        </w:rPr>
        <w:t xml:space="preserve"> Sección Tercera. Subsección C. Sentencia del 18 de junio de 2025. C</w:t>
      </w:r>
      <w:r w:rsidRPr="00D964BC">
        <w:rPr>
          <w:rFonts w:ascii="Verdana" w:eastAsia="Verdana" w:hAnsi="Verdana" w:cs="Verdana"/>
          <w:sz w:val="16"/>
          <w:szCs w:val="16"/>
        </w:rPr>
        <w:t>. P</w:t>
      </w:r>
      <w:r w:rsidRPr="00D964BC">
        <w:rPr>
          <w:rFonts w:ascii="Verdana" w:eastAsia="Verdana" w:hAnsi="Verdana" w:cs="Verdana"/>
          <w:color w:val="000000"/>
          <w:sz w:val="16"/>
          <w:szCs w:val="16"/>
        </w:rPr>
        <w:t xml:space="preserve">: Nicolás Yepes Corrales. </w:t>
      </w:r>
      <w:proofErr w:type="spellStart"/>
      <w:r w:rsidRPr="00D964BC">
        <w:rPr>
          <w:rFonts w:ascii="Verdana" w:eastAsia="Verdana" w:hAnsi="Verdana" w:cs="Verdana"/>
          <w:color w:val="000000"/>
          <w:sz w:val="16"/>
          <w:szCs w:val="16"/>
        </w:rPr>
        <w:t>Exp</w:t>
      </w:r>
      <w:proofErr w:type="spellEnd"/>
      <w:r w:rsidRPr="00D964BC">
        <w:rPr>
          <w:rFonts w:ascii="Verdana" w:eastAsia="Verdana" w:hAnsi="Verdana" w:cs="Verdana"/>
          <w:color w:val="000000"/>
          <w:sz w:val="16"/>
          <w:szCs w:val="16"/>
        </w:rPr>
        <w:t xml:space="preserve">. 66396. </w:t>
      </w:r>
    </w:p>
    <w:p w14:paraId="45D9E977" w14:textId="77777777" w:rsidR="001F2C08" w:rsidRPr="00D964BC" w:rsidRDefault="001F2C08" w:rsidP="001F2C08">
      <w:pPr>
        <w:pBdr>
          <w:top w:val="nil"/>
          <w:left w:val="nil"/>
          <w:bottom w:val="nil"/>
          <w:right w:val="nil"/>
          <w:between w:val="nil"/>
        </w:pBdr>
        <w:spacing w:after="0" w:line="240" w:lineRule="auto"/>
        <w:rPr>
          <w:rFonts w:ascii="Verdana" w:hAnsi="Verdana"/>
          <w:color w:val="000000"/>
          <w:sz w:val="16"/>
          <w:szCs w:val="16"/>
        </w:rPr>
      </w:pPr>
    </w:p>
  </w:footnote>
  <w:footnote w:id="33">
    <w:p w14:paraId="53DE496E" w14:textId="77777777" w:rsidR="001F2C08" w:rsidRPr="00D964BC" w:rsidRDefault="001F2C08" w:rsidP="001F2C08">
      <w:pPr>
        <w:pStyle w:val="Textonotapie"/>
        <w:ind w:firstLine="708"/>
        <w:rPr>
          <w:rFonts w:ascii="Verdana" w:hAnsi="Verdana"/>
          <w:sz w:val="16"/>
          <w:szCs w:val="16"/>
        </w:rPr>
      </w:pPr>
      <w:r w:rsidRPr="00D964BC">
        <w:rPr>
          <w:rStyle w:val="Refdenotaalpie"/>
          <w:rFonts w:ascii="Verdana" w:hAnsi="Verdana"/>
          <w:sz w:val="16"/>
          <w:szCs w:val="16"/>
        </w:rPr>
        <w:footnoteRef/>
      </w:r>
      <w:r w:rsidRPr="00D964BC">
        <w:rPr>
          <w:rFonts w:ascii="Verdana" w:hAnsi="Verdana"/>
          <w:sz w:val="16"/>
          <w:szCs w:val="16"/>
        </w:rPr>
        <w:t xml:space="preserve"> EXPÓSITO VÉLEZ, Juan Carlos. Forma y contenido del contrato estatal. Bogotá: Universidad Externado de Colombia. 2013. pp. </w:t>
      </w:r>
      <w:r>
        <w:rPr>
          <w:rFonts w:ascii="Verdana" w:hAnsi="Verdana"/>
          <w:sz w:val="16"/>
          <w:szCs w:val="16"/>
        </w:rPr>
        <w:t>204-205.</w:t>
      </w:r>
    </w:p>
  </w:footnote>
  <w:footnote w:id="34">
    <w:p w14:paraId="11B3DA94" w14:textId="77777777" w:rsidR="001F2C08" w:rsidRPr="00D964BC" w:rsidRDefault="001F2C08" w:rsidP="001F2C08">
      <w:pPr>
        <w:pStyle w:val="Textonotapie"/>
        <w:ind w:firstLine="708"/>
        <w:rPr>
          <w:rFonts w:ascii="Verdana" w:hAnsi="Verdana"/>
          <w:sz w:val="16"/>
          <w:szCs w:val="16"/>
          <w:lang w:val="es-ES_tradnl"/>
        </w:rPr>
      </w:pPr>
      <w:r w:rsidRPr="00D964BC">
        <w:rPr>
          <w:rStyle w:val="Refdenotaalpie"/>
          <w:rFonts w:ascii="Verdana" w:hAnsi="Verdana"/>
          <w:sz w:val="16"/>
          <w:szCs w:val="16"/>
        </w:rPr>
        <w:footnoteRef/>
      </w:r>
      <w:r w:rsidRPr="00D964BC">
        <w:rPr>
          <w:rFonts w:ascii="Verdana" w:hAnsi="Verdana"/>
          <w:sz w:val="16"/>
          <w:szCs w:val="16"/>
        </w:rPr>
        <w:t xml:space="preserve"> </w:t>
      </w:r>
      <w:r w:rsidRPr="00D964BC">
        <w:rPr>
          <w:rFonts w:ascii="Verdana" w:hAnsi="Verdana"/>
          <w:sz w:val="16"/>
          <w:szCs w:val="16"/>
          <w:lang w:val="es-ES_tradnl"/>
        </w:rPr>
        <w:t xml:space="preserve">Ibid. </w:t>
      </w:r>
    </w:p>
  </w:footnote>
  <w:footnote w:id="35">
    <w:p w14:paraId="3BD51C88" w14:textId="77777777" w:rsidR="001F2C08" w:rsidRPr="007E410B" w:rsidRDefault="001F2C08" w:rsidP="001F2C08">
      <w:pPr>
        <w:pStyle w:val="Textonotapie"/>
        <w:ind w:firstLine="708"/>
        <w:jc w:val="both"/>
        <w:rPr>
          <w:rFonts w:ascii="Verdana" w:hAnsi="Verdana"/>
          <w:sz w:val="16"/>
          <w:szCs w:val="16"/>
        </w:rPr>
      </w:pPr>
      <w:r w:rsidRPr="007E410B">
        <w:rPr>
          <w:rStyle w:val="Refdenotaalpie"/>
          <w:rFonts w:ascii="Verdana" w:hAnsi="Verdana"/>
          <w:sz w:val="16"/>
          <w:szCs w:val="16"/>
        </w:rPr>
        <w:footnoteRef/>
      </w:r>
      <w:r w:rsidRPr="007E410B">
        <w:rPr>
          <w:rFonts w:ascii="Verdana" w:hAnsi="Verdana"/>
          <w:sz w:val="16"/>
          <w:szCs w:val="16"/>
        </w:rPr>
        <w:t xml:space="preserve"> Sobre la configuración del vicio de falsa motivación, ver, entre otras: </w:t>
      </w:r>
      <w:r w:rsidRPr="00DE5412">
        <w:rPr>
          <w:rFonts w:ascii="Verdana" w:hAnsi="Verdana"/>
          <w:sz w:val="16"/>
          <w:szCs w:val="16"/>
        </w:rPr>
        <w:t>CONSEJO DE ESTADO</w:t>
      </w:r>
      <w:r w:rsidRPr="007E410B">
        <w:rPr>
          <w:rFonts w:ascii="Verdana" w:hAnsi="Verdana"/>
          <w:sz w:val="16"/>
          <w:szCs w:val="16"/>
        </w:rPr>
        <w:t>, Sección Cuarta, sentencia del 23 de junio de 2011, exp. 16.090, C.P. Hugo Fernando Bastidas Bárcenas</w:t>
      </w:r>
      <w:r w:rsidRPr="00DE5412">
        <w:rPr>
          <w:rFonts w:ascii="Verdana" w:hAnsi="Verdana"/>
          <w:sz w:val="16"/>
          <w:szCs w:val="16"/>
        </w:rPr>
        <w:t>; CONSEJO DE ESTADO</w:t>
      </w:r>
      <w:r w:rsidRPr="007E410B">
        <w:rPr>
          <w:rFonts w:ascii="Verdana" w:hAnsi="Verdana"/>
          <w:sz w:val="16"/>
          <w:szCs w:val="16"/>
        </w:rPr>
        <w:t xml:space="preserve">, Sección Tercera, Subsección A, sentencia del 21 de mayo de 2021, exp. 66.756, C.P. José Roberto Sáchica Méndez; y </w:t>
      </w:r>
      <w:r w:rsidRPr="00DE5412">
        <w:rPr>
          <w:rFonts w:ascii="Verdana" w:hAnsi="Verdana"/>
          <w:sz w:val="16"/>
          <w:szCs w:val="16"/>
        </w:rPr>
        <w:t>CONSEJO DE ESTADO</w:t>
      </w:r>
      <w:r w:rsidRPr="007E410B">
        <w:rPr>
          <w:rFonts w:ascii="Verdana" w:hAnsi="Verdana"/>
          <w:sz w:val="16"/>
          <w:szCs w:val="16"/>
        </w:rPr>
        <w:t>, Sección Tercera, Subsección C, sentencia del 8 de junio de 2022, exp. 67.690, C.P. Marta Nubia Velásquez Rico.</w:t>
      </w:r>
    </w:p>
  </w:footnote>
  <w:footnote w:id="36">
    <w:p w14:paraId="79B47328" w14:textId="77777777" w:rsidR="001F2C08" w:rsidRPr="007E410B" w:rsidRDefault="001F2C08" w:rsidP="001F2C08">
      <w:pPr>
        <w:pStyle w:val="Textonotapie"/>
        <w:jc w:val="both"/>
        <w:rPr>
          <w:rFonts w:ascii="Verdana" w:hAnsi="Verdana"/>
          <w:sz w:val="16"/>
          <w:szCs w:val="16"/>
        </w:rPr>
      </w:pPr>
    </w:p>
    <w:p w14:paraId="1AB2B900" w14:textId="77777777" w:rsidR="001F2C08" w:rsidRPr="00DE5412" w:rsidRDefault="001F2C08" w:rsidP="001F2C08">
      <w:pPr>
        <w:pStyle w:val="Textonotapie"/>
        <w:ind w:firstLine="708"/>
        <w:jc w:val="both"/>
        <w:rPr>
          <w:rFonts w:ascii="Verdana" w:hAnsi="Verdana"/>
          <w:sz w:val="16"/>
          <w:szCs w:val="16"/>
        </w:rPr>
      </w:pPr>
      <w:r w:rsidRPr="007E410B">
        <w:rPr>
          <w:rStyle w:val="Refdenotaalpie"/>
          <w:rFonts w:ascii="Verdana" w:hAnsi="Verdana"/>
          <w:sz w:val="16"/>
          <w:szCs w:val="16"/>
        </w:rPr>
        <w:footnoteRef/>
      </w:r>
      <w:r w:rsidRPr="007E410B">
        <w:rPr>
          <w:rFonts w:ascii="Verdana" w:hAnsi="Verdana"/>
          <w:sz w:val="16"/>
          <w:szCs w:val="16"/>
        </w:rPr>
        <w:t xml:space="preserve"> En relación con los presupuestos para la declaratoria de caducidad del contrato estatal, ver, entre otras:</w:t>
      </w:r>
      <w:r w:rsidRPr="00DE5412">
        <w:rPr>
          <w:rFonts w:ascii="Verdana" w:hAnsi="Verdana"/>
          <w:sz w:val="16"/>
          <w:szCs w:val="16"/>
        </w:rPr>
        <w:t xml:space="preserve"> </w:t>
      </w:r>
      <w:r w:rsidRPr="007E410B">
        <w:rPr>
          <w:rFonts w:ascii="Verdana" w:hAnsi="Verdana"/>
          <w:sz w:val="16"/>
          <w:szCs w:val="16"/>
        </w:rPr>
        <w:t xml:space="preserve">CONSEJO DE ESTADO, Sección Tercera, sentencia del 30 de enero de 2013, exp. 20.342, C.P. Mauricio Fajardo Gómez; CONSEJO DE ESTADO, Sección Tercera, Subsección B, sentencia del 26 de julio de 2021, rad. 47001-23-31-000-2011-00119-01, C.P. María Adriana Marín; y CONSEJO DE ESTADO, Sección Tercera, Subsección C, sentencia del 8 de junio de 2022, exp. 67.690, C.P. Marta Nubia Velásquez Rico. </w:t>
      </w:r>
    </w:p>
    <w:p w14:paraId="556FE507" w14:textId="77777777" w:rsidR="001F2C08" w:rsidRPr="007E410B" w:rsidRDefault="001F2C08" w:rsidP="001F2C08">
      <w:pPr>
        <w:pStyle w:val="Textonotapie"/>
        <w:ind w:firstLine="708"/>
        <w:jc w:val="both"/>
        <w:rPr>
          <w:rFonts w:ascii="Verdana" w:hAnsi="Verdana"/>
          <w:sz w:val="16"/>
          <w:szCs w:val="16"/>
        </w:rPr>
      </w:pPr>
    </w:p>
  </w:footnote>
  <w:footnote w:id="37">
    <w:p w14:paraId="40B227F1" w14:textId="77777777" w:rsidR="001F2C08" w:rsidRPr="007E410B" w:rsidRDefault="001F2C08" w:rsidP="001F2C08">
      <w:pPr>
        <w:pStyle w:val="Textonotapie"/>
        <w:ind w:firstLine="708"/>
        <w:jc w:val="both"/>
        <w:rPr>
          <w:rFonts w:ascii="Verdana" w:hAnsi="Verdana"/>
          <w:sz w:val="16"/>
          <w:szCs w:val="16"/>
        </w:rPr>
      </w:pPr>
      <w:r w:rsidRPr="007E410B">
        <w:rPr>
          <w:rStyle w:val="Refdenotaalpie"/>
          <w:rFonts w:ascii="Verdana" w:hAnsi="Verdana"/>
          <w:sz w:val="16"/>
          <w:szCs w:val="16"/>
        </w:rPr>
        <w:footnoteRef/>
      </w:r>
      <w:r w:rsidRPr="007E410B">
        <w:rPr>
          <w:rFonts w:ascii="Verdana" w:hAnsi="Verdana"/>
          <w:sz w:val="16"/>
          <w:szCs w:val="16"/>
        </w:rPr>
        <w:t xml:space="preserve"> En cuanto al principio de legalidad y a la interpretación restrictiva de las potestades excepcionales en la contratación estatal, ver, entre otras: CONSEJO DE ESTADO, Sección Tercera, sentencia del 20 de octubre de 2005, exp. 14.579, C.P. Germán Rodríguez Villamizar; y CONSEJO DE ESTADO, Sala de Consulta y Servicio Civil, Concepto del 6 de abril de 2000, rad. 1.230, C.P. Augusto Trejos Jaramillo, conforme a los cuales el ejercicio de las prerrogativas exorbitantes de la Administración exige habilitación legal expresa y las causales que autorizan la terminación unilateral del contrato estatal son de carácter taxativo, por lo que no admiten interpretación extensiva ni aplicación analógica.</w:t>
      </w:r>
    </w:p>
  </w:footnote>
  <w:footnote w:id="38">
    <w:p w14:paraId="469F21FB" w14:textId="77777777" w:rsidR="00F242CC" w:rsidRPr="00F26E5F" w:rsidRDefault="00F242CC" w:rsidP="00F242CC">
      <w:pPr>
        <w:pStyle w:val="Textonotapie"/>
        <w:ind w:firstLine="708"/>
        <w:jc w:val="both"/>
        <w:rPr>
          <w:rFonts w:ascii="Verdana" w:hAnsi="Verdana"/>
          <w:sz w:val="16"/>
          <w:szCs w:val="16"/>
        </w:rPr>
      </w:pPr>
      <w:r w:rsidRPr="00F26E5F">
        <w:rPr>
          <w:rStyle w:val="Refdenotaalpie"/>
          <w:rFonts w:ascii="Verdana" w:hAnsi="Verdana"/>
          <w:sz w:val="16"/>
          <w:szCs w:val="16"/>
        </w:rPr>
        <w:footnoteRef/>
      </w:r>
      <w:r w:rsidRPr="00F26E5F">
        <w:rPr>
          <w:rFonts w:ascii="Verdana" w:hAnsi="Verdana"/>
          <w:sz w:val="16"/>
          <w:szCs w:val="16"/>
        </w:rPr>
        <w:t xml:space="preserve"> </w:t>
      </w:r>
      <w:r>
        <w:rPr>
          <w:rFonts w:ascii="Verdana" w:hAnsi="Verdana"/>
          <w:sz w:val="16"/>
          <w:szCs w:val="16"/>
        </w:rPr>
        <w:t xml:space="preserve">Para la doctrina, “[…] </w:t>
      </w:r>
      <w:r w:rsidRPr="00F26E5F">
        <w:rPr>
          <w:rFonts w:ascii="Verdana" w:hAnsi="Verdana"/>
          <w:sz w:val="16"/>
          <w:szCs w:val="16"/>
        </w:rPr>
        <w:t>ni el objeto (art. 2.º) ni las funciones (art. 3.º) que</w:t>
      </w:r>
      <w:r>
        <w:rPr>
          <w:rFonts w:ascii="Verdana" w:hAnsi="Verdana"/>
          <w:sz w:val="16"/>
          <w:szCs w:val="16"/>
        </w:rPr>
        <w:t xml:space="preserve"> </w:t>
      </w:r>
      <w:r w:rsidRPr="00F26E5F">
        <w:rPr>
          <w:rFonts w:ascii="Verdana" w:hAnsi="Verdana"/>
          <w:sz w:val="16"/>
          <w:szCs w:val="16"/>
        </w:rPr>
        <w:t>la ley de creación confió a la Agencia (Dcto.-Ley 4170/11)</w:t>
      </w:r>
      <w:r>
        <w:rPr>
          <w:rFonts w:ascii="Verdana" w:hAnsi="Verdana"/>
          <w:sz w:val="16"/>
          <w:szCs w:val="16"/>
        </w:rPr>
        <w:t xml:space="preserve"> </w:t>
      </w:r>
      <w:r w:rsidRPr="00F26E5F">
        <w:rPr>
          <w:rFonts w:ascii="Verdana" w:hAnsi="Verdana"/>
          <w:sz w:val="16"/>
          <w:szCs w:val="16"/>
        </w:rPr>
        <w:t>comprenden competencias normativas sobre la contratación.</w:t>
      </w:r>
      <w:r>
        <w:rPr>
          <w:rFonts w:ascii="Verdana" w:hAnsi="Verdana"/>
          <w:sz w:val="16"/>
          <w:szCs w:val="16"/>
        </w:rPr>
        <w:t xml:space="preserve"> </w:t>
      </w:r>
      <w:r w:rsidRPr="00F26E5F">
        <w:rPr>
          <w:rFonts w:ascii="Verdana" w:hAnsi="Verdana"/>
          <w:sz w:val="16"/>
          <w:szCs w:val="16"/>
        </w:rPr>
        <w:t>Aunque el numeral 2.º del artículo 3.º le confiere las funciones</w:t>
      </w:r>
      <w:r>
        <w:rPr>
          <w:rFonts w:ascii="Verdana" w:hAnsi="Verdana"/>
          <w:sz w:val="16"/>
          <w:szCs w:val="16"/>
        </w:rPr>
        <w:t xml:space="preserve"> </w:t>
      </w:r>
      <w:r w:rsidRPr="00F26E5F">
        <w:rPr>
          <w:rFonts w:ascii="Verdana" w:hAnsi="Verdana"/>
          <w:sz w:val="16"/>
          <w:szCs w:val="16"/>
        </w:rPr>
        <w:t xml:space="preserve">de </w:t>
      </w:r>
      <w:r>
        <w:rPr>
          <w:rFonts w:ascii="Verdana" w:hAnsi="Verdana"/>
          <w:sz w:val="16"/>
          <w:szCs w:val="16"/>
        </w:rPr>
        <w:t>‘</w:t>
      </w:r>
      <w:r w:rsidRPr="00F26E5F">
        <w:rPr>
          <w:rFonts w:ascii="Verdana" w:hAnsi="Verdana"/>
          <w:sz w:val="16"/>
          <w:szCs w:val="16"/>
        </w:rPr>
        <w:t>desarrollar, implementar […] normas […] que faciliten</w:t>
      </w:r>
      <w:r>
        <w:rPr>
          <w:rFonts w:ascii="Verdana" w:hAnsi="Verdana"/>
          <w:sz w:val="16"/>
          <w:szCs w:val="16"/>
        </w:rPr>
        <w:t xml:space="preserve"> </w:t>
      </w:r>
      <w:r w:rsidRPr="00F26E5F">
        <w:rPr>
          <w:rFonts w:ascii="Verdana" w:hAnsi="Verdana"/>
          <w:sz w:val="16"/>
          <w:szCs w:val="16"/>
        </w:rPr>
        <w:t>las compras y contratación pública del Estado y promuevan las mejores prácticas</w:t>
      </w:r>
      <w:r>
        <w:rPr>
          <w:rFonts w:ascii="Verdana" w:hAnsi="Verdana"/>
          <w:sz w:val="16"/>
          <w:szCs w:val="16"/>
        </w:rPr>
        <w:t>’</w:t>
      </w:r>
      <w:r w:rsidRPr="00F26E5F">
        <w:rPr>
          <w:rFonts w:ascii="Verdana" w:hAnsi="Verdana"/>
          <w:sz w:val="16"/>
          <w:szCs w:val="16"/>
        </w:rPr>
        <w:t>, ello no puede concebirse como</w:t>
      </w:r>
      <w:r>
        <w:rPr>
          <w:rFonts w:ascii="Verdana" w:hAnsi="Verdana"/>
          <w:sz w:val="16"/>
          <w:szCs w:val="16"/>
        </w:rPr>
        <w:t xml:space="preserve"> </w:t>
      </w:r>
      <w:r w:rsidRPr="00F26E5F">
        <w:rPr>
          <w:rFonts w:ascii="Verdana" w:hAnsi="Verdana"/>
          <w:sz w:val="16"/>
          <w:szCs w:val="16"/>
        </w:rPr>
        <w:t>una competencia específicamente normativa. Su misión de</w:t>
      </w:r>
      <w:r>
        <w:rPr>
          <w:rFonts w:ascii="Verdana" w:hAnsi="Verdana"/>
          <w:sz w:val="16"/>
          <w:szCs w:val="16"/>
        </w:rPr>
        <w:t xml:space="preserve"> </w:t>
      </w:r>
      <w:r w:rsidRPr="00F26E5F">
        <w:rPr>
          <w:rFonts w:ascii="Verdana" w:hAnsi="Verdana"/>
          <w:sz w:val="16"/>
          <w:szCs w:val="16"/>
        </w:rPr>
        <w:t>carácter técnico es promover las mejores condiciones de</w:t>
      </w:r>
      <w:r>
        <w:rPr>
          <w:rFonts w:ascii="Verdana" w:hAnsi="Verdana"/>
          <w:sz w:val="16"/>
          <w:szCs w:val="16"/>
        </w:rPr>
        <w:t xml:space="preserve"> </w:t>
      </w:r>
      <w:r w:rsidRPr="00F26E5F">
        <w:rPr>
          <w:rFonts w:ascii="Verdana" w:hAnsi="Verdana"/>
          <w:sz w:val="16"/>
          <w:szCs w:val="16"/>
        </w:rPr>
        <w:t>contratación, lo que comprende la realización de estudios</w:t>
      </w:r>
      <w:r>
        <w:rPr>
          <w:rFonts w:ascii="Verdana" w:hAnsi="Verdana"/>
          <w:sz w:val="16"/>
          <w:szCs w:val="16"/>
        </w:rPr>
        <w:t xml:space="preserve"> </w:t>
      </w:r>
      <w:r w:rsidRPr="00F26E5F">
        <w:rPr>
          <w:rFonts w:ascii="Verdana" w:hAnsi="Verdana"/>
          <w:sz w:val="16"/>
          <w:szCs w:val="16"/>
        </w:rPr>
        <w:t>y diagnósticos (num. 4.º), la difusión de normas, reglas y</w:t>
      </w:r>
      <w:r>
        <w:rPr>
          <w:rFonts w:ascii="Verdana" w:hAnsi="Verdana"/>
          <w:sz w:val="16"/>
          <w:szCs w:val="16"/>
        </w:rPr>
        <w:t xml:space="preserve"> </w:t>
      </w:r>
      <w:r w:rsidRPr="00F26E5F">
        <w:rPr>
          <w:rFonts w:ascii="Verdana" w:hAnsi="Verdana"/>
          <w:sz w:val="16"/>
          <w:szCs w:val="16"/>
        </w:rPr>
        <w:t>procedimientos (num. 10), el brindar apoyo a entidades</w:t>
      </w:r>
      <w:r>
        <w:rPr>
          <w:rFonts w:ascii="Verdana" w:hAnsi="Verdana"/>
          <w:sz w:val="16"/>
          <w:szCs w:val="16"/>
        </w:rPr>
        <w:t xml:space="preserve"> </w:t>
      </w:r>
      <w:r w:rsidRPr="00F26E5F">
        <w:rPr>
          <w:rFonts w:ascii="Verdana" w:hAnsi="Verdana"/>
          <w:sz w:val="16"/>
          <w:szCs w:val="16"/>
        </w:rPr>
        <w:t>territoriales (num. 11) y la promoción de políticas y normas ante el Gobierno Nacional (num. 1.º). Estas labores de</w:t>
      </w:r>
      <w:r>
        <w:rPr>
          <w:rFonts w:ascii="Verdana" w:hAnsi="Verdana"/>
          <w:sz w:val="16"/>
          <w:szCs w:val="16"/>
        </w:rPr>
        <w:t xml:space="preserve"> </w:t>
      </w:r>
      <w:r w:rsidRPr="00F26E5F">
        <w:rPr>
          <w:rFonts w:ascii="Verdana" w:hAnsi="Verdana"/>
          <w:sz w:val="16"/>
          <w:szCs w:val="16"/>
        </w:rPr>
        <w:t>apoyo, tanto a las entidades contratantes como al Gobierno</w:t>
      </w:r>
      <w:r>
        <w:rPr>
          <w:rFonts w:ascii="Verdana" w:hAnsi="Verdana"/>
          <w:sz w:val="16"/>
          <w:szCs w:val="16"/>
        </w:rPr>
        <w:t xml:space="preserve"> </w:t>
      </w:r>
      <w:r w:rsidRPr="00F26E5F">
        <w:rPr>
          <w:rFonts w:ascii="Verdana" w:hAnsi="Verdana"/>
          <w:sz w:val="16"/>
          <w:szCs w:val="16"/>
        </w:rPr>
        <w:t>Nacional, no comportan una función normativa propia</w:t>
      </w:r>
      <w:r>
        <w:rPr>
          <w:rFonts w:ascii="Verdana" w:hAnsi="Verdana"/>
          <w:sz w:val="16"/>
          <w:szCs w:val="16"/>
        </w:rPr>
        <w:t xml:space="preserve"> […]” (Cfr. BENAVIDES, José Luis</w:t>
      </w:r>
      <w:r w:rsidRPr="00F26E5F">
        <w:rPr>
          <w:rFonts w:ascii="Verdana" w:hAnsi="Verdana"/>
          <w:sz w:val="16"/>
          <w:szCs w:val="16"/>
        </w:rPr>
        <w:t>.</w:t>
      </w:r>
      <w:r>
        <w:rPr>
          <w:rFonts w:ascii="Verdana" w:hAnsi="Verdana"/>
          <w:sz w:val="16"/>
          <w:szCs w:val="16"/>
        </w:rPr>
        <w:t xml:space="preserve">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4.9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E3732"/>
    <w:multiLevelType w:val="multilevel"/>
    <w:tmpl w:val="706074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E38308B"/>
    <w:multiLevelType w:val="hybridMultilevel"/>
    <w:tmpl w:val="F66C4276"/>
    <w:lvl w:ilvl="0" w:tplc="5DD8B4F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105423BE"/>
    <w:multiLevelType w:val="hybridMultilevel"/>
    <w:tmpl w:val="70AE3F06"/>
    <w:lvl w:ilvl="0" w:tplc="351E1094">
      <w:start w:val="3"/>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C4823FD"/>
    <w:multiLevelType w:val="hybridMultilevel"/>
    <w:tmpl w:val="DB4A5A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032286"/>
    <w:multiLevelType w:val="hybridMultilevel"/>
    <w:tmpl w:val="401AA0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9AE221C"/>
    <w:multiLevelType w:val="hybridMultilevel"/>
    <w:tmpl w:val="5C988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371B4A"/>
    <w:multiLevelType w:val="hybridMultilevel"/>
    <w:tmpl w:val="F79E1380"/>
    <w:lvl w:ilvl="0" w:tplc="240A000F">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517241">
    <w:abstractNumId w:val="10"/>
  </w:num>
  <w:num w:numId="2" w16cid:durableId="1453667175">
    <w:abstractNumId w:val="2"/>
  </w:num>
  <w:num w:numId="3" w16cid:durableId="1874725998">
    <w:abstractNumId w:val="8"/>
  </w:num>
  <w:num w:numId="4" w16cid:durableId="677540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755521">
    <w:abstractNumId w:val="2"/>
  </w:num>
  <w:num w:numId="6" w16cid:durableId="1775127540">
    <w:abstractNumId w:val="19"/>
  </w:num>
  <w:num w:numId="7" w16cid:durableId="1842238700">
    <w:abstractNumId w:val="9"/>
  </w:num>
  <w:num w:numId="8" w16cid:durableId="1394354028">
    <w:abstractNumId w:val="18"/>
  </w:num>
  <w:num w:numId="9" w16cid:durableId="1976908433">
    <w:abstractNumId w:val="11"/>
  </w:num>
  <w:num w:numId="10" w16cid:durableId="731343156">
    <w:abstractNumId w:val="17"/>
  </w:num>
  <w:num w:numId="11" w16cid:durableId="1992100572">
    <w:abstractNumId w:val="12"/>
  </w:num>
  <w:num w:numId="12" w16cid:durableId="1372730939">
    <w:abstractNumId w:val="0"/>
  </w:num>
  <w:num w:numId="13" w16cid:durableId="1211185453">
    <w:abstractNumId w:val="6"/>
  </w:num>
  <w:num w:numId="14" w16cid:durableId="1856186027">
    <w:abstractNumId w:val="20"/>
  </w:num>
  <w:num w:numId="15" w16cid:durableId="1000616846">
    <w:abstractNumId w:val="16"/>
  </w:num>
  <w:num w:numId="16" w16cid:durableId="2024895314">
    <w:abstractNumId w:val="15"/>
  </w:num>
  <w:num w:numId="17" w16cid:durableId="2018145751">
    <w:abstractNumId w:val="14"/>
  </w:num>
  <w:num w:numId="18" w16cid:durableId="2037461892">
    <w:abstractNumId w:val="13"/>
  </w:num>
  <w:num w:numId="19" w16cid:durableId="1442072968">
    <w:abstractNumId w:val="3"/>
  </w:num>
  <w:num w:numId="20" w16cid:durableId="1445229182">
    <w:abstractNumId w:val="5"/>
  </w:num>
  <w:num w:numId="21" w16cid:durableId="2026907863">
    <w:abstractNumId w:val="7"/>
  </w:num>
  <w:num w:numId="22" w16cid:durableId="123273789">
    <w:abstractNumId w:val="1"/>
  </w:num>
  <w:num w:numId="23" w16cid:durableId="1276404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BDD"/>
    <w:rsid w:val="00016F78"/>
    <w:rsid w:val="00046945"/>
    <w:rsid w:val="0005330A"/>
    <w:rsid w:val="00053EA3"/>
    <w:rsid w:val="00061B2A"/>
    <w:rsid w:val="00082362"/>
    <w:rsid w:val="000836EA"/>
    <w:rsid w:val="00095BAF"/>
    <w:rsid w:val="000A6757"/>
    <w:rsid w:val="000A683E"/>
    <w:rsid w:val="000B19B9"/>
    <w:rsid w:val="000D0334"/>
    <w:rsid w:val="000D5DA7"/>
    <w:rsid w:val="000F4739"/>
    <w:rsid w:val="000F6486"/>
    <w:rsid w:val="00116940"/>
    <w:rsid w:val="00125105"/>
    <w:rsid w:val="00127233"/>
    <w:rsid w:val="0015699B"/>
    <w:rsid w:val="0016385D"/>
    <w:rsid w:val="001A33BF"/>
    <w:rsid w:val="001E4177"/>
    <w:rsid w:val="001E5073"/>
    <w:rsid w:val="001F0B24"/>
    <w:rsid w:val="001F2C08"/>
    <w:rsid w:val="001F7DC6"/>
    <w:rsid w:val="0022400B"/>
    <w:rsid w:val="00232E2D"/>
    <w:rsid w:val="002421BB"/>
    <w:rsid w:val="002562C7"/>
    <w:rsid w:val="0025796E"/>
    <w:rsid w:val="002707A2"/>
    <w:rsid w:val="00291027"/>
    <w:rsid w:val="002951A0"/>
    <w:rsid w:val="002962BC"/>
    <w:rsid w:val="002A093D"/>
    <w:rsid w:val="002A0DD0"/>
    <w:rsid w:val="002A49AC"/>
    <w:rsid w:val="002A64FD"/>
    <w:rsid w:val="002C7A84"/>
    <w:rsid w:val="002D7591"/>
    <w:rsid w:val="002E2BF8"/>
    <w:rsid w:val="002E4FD9"/>
    <w:rsid w:val="0030657A"/>
    <w:rsid w:val="0031293B"/>
    <w:rsid w:val="00322A85"/>
    <w:rsid w:val="00324168"/>
    <w:rsid w:val="00330834"/>
    <w:rsid w:val="003448F4"/>
    <w:rsid w:val="00374F5E"/>
    <w:rsid w:val="00377E3E"/>
    <w:rsid w:val="003A66D9"/>
    <w:rsid w:val="003A779E"/>
    <w:rsid w:val="003B01E2"/>
    <w:rsid w:val="003B34BF"/>
    <w:rsid w:val="003D0F4D"/>
    <w:rsid w:val="003D5B0D"/>
    <w:rsid w:val="003E0499"/>
    <w:rsid w:val="003E4F80"/>
    <w:rsid w:val="003E6439"/>
    <w:rsid w:val="003F3941"/>
    <w:rsid w:val="003F7CA2"/>
    <w:rsid w:val="00406575"/>
    <w:rsid w:val="00406DEF"/>
    <w:rsid w:val="00414C74"/>
    <w:rsid w:val="00421D88"/>
    <w:rsid w:val="004257DC"/>
    <w:rsid w:val="0042722E"/>
    <w:rsid w:val="00435858"/>
    <w:rsid w:val="0044528D"/>
    <w:rsid w:val="00466E39"/>
    <w:rsid w:val="004A1847"/>
    <w:rsid w:val="004A305D"/>
    <w:rsid w:val="004E516B"/>
    <w:rsid w:val="004F21C4"/>
    <w:rsid w:val="004F685F"/>
    <w:rsid w:val="00511897"/>
    <w:rsid w:val="00512C4B"/>
    <w:rsid w:val="005566E8"/>
    <w:rsid w:val="00574867"/>
    <w:rsid w:val="005847AD"/>
    <w:rsid w:val="00584DA6"/>
    <w:rsid w:val="00586748"/>
    <w:rsid w:val="00591460"/>
    <w:rsid w:val="005916A2"/>
    <w:rsid w:val="00595ED8"/>
    <w:rsid w:val="005A65E0"/>
    <w:rsid w:val="005C3777"/>
    <w:rsid w:val="005C5CDC"/>
    <w:rsid w:val="005D476C"/>
    <w:rsid w:val="005F58F3"/>
    <w:rsid w:val="006200BF"/>
    <w:rsid w:val="006219F8"/>
    <w:rsid w:val="006302F7"/>
    <w:rsid w:val="006416B7"/>
    <w:rsid w:val="006432FE"/>
    <w:rsid w:val="00646B9F"/>
    <w:rsid w:val="00665D70"/>
    <w:rsid w:val="00666255"/>
    <w:rsid w:val="00681E14"/>
    <w:rsid w:val="006900D9"/>
    <w:rsid w:val="006B5BC9"/>
    <w:rsid w:val="006D1D1F"/>
    <w:rsid w:val="006E08E4"/>
    <w:rsid w:val="007004AC"/>
    <w:rsid w:val="00706C16"/>
    <w:rsid w:val="007340C3"/>
    <w:rsid w:val="00736982"/>
    <w:rsid w:val="00741708"/>
    <w:rsid w:val="0075235A"/>
    <w:rsid w:val="00756841"/>
    <w:rsid w:val="007649AB"/>
    <w:rsid w:val="00765453"/>
    <w:rsid w:val="00765E13"/>
    <w:rsid w:val="00771D0C"/>
    <w:rsid w:val="007833AC"/>
    <w:rsid w:val="007A4668"/>
    <w:rsid w:val="007A5CAF"/>
    <w:rsid w:val="007B268C"/>
    <w:rsid w:val="007B7171"/>
    <w:rsid w:val="007C0C0F"/>
    <w:rsid w:val="007C2393"/>
    <w:rsid w:val="007C3DC2"/>
    <w:rsid w:val="007E5497"/>
    <w:rsid w:val="007E6066"/>
    <w:rsid w:val="00806F5F"/>
    <w:rsid w:val="00810D1D"/>
    <w:rsid w:val="00815F9B"/>
    <w:rsid w:val="00820278"/>
    <w:rsid w:val="008258C9"/>
    <w:rsid w:val="00844AE9"/>
    <w:rsid w:val="00847A16"/>
    <w:rsid w:val="00867F95"/>
    <w:rsid w:val="00871A15"/>
    <w:rsid w:val="008843B6"/>
    <w:rsid w:val="00891928"/>
    <w:rsid w:val="00897A7C"/>
    <w:rsid w:val="008A446D"/>
    <w:rsid w:val="008B2214"/>
    <w:rsid w:val="008B25F1"/>
    <w:rsid w:val="008C2B12"/>
    <w:rsid w:val="008C3F5E"/>
    <w:rsid w:val="008D180B"/>
    <w:rsid w:val="008F0EA7"/>
    <w:rsid w:val="008F2102"/>
    <w:rsid w:val="008F52BF"/>
    <w:rsid w:val="00907C29"/>
    <w:rsid w:val="009232B4"/>
    <w:rsid w:val="00923EEF"/>
    <w:rsid w:val="009246E3"/>
    <w:rsid w:val="00931CFC"/>
    <w:rsid w:val="00932313"/>
    <w:rsid w:val="009419F9"/>
    <w:rsid w:val="0095685E"/>
    <w:rsid w:val="00961B09"/>
    <w:rsid w:val="00965334"/>
    <w:rsid w:val="0097093E"/>
    <w:rsid w:val="00980549"/>
    <w:rsid w:val="00982795"/>
    <w:rsid w:val="009A0DFA"/>
    <w:rsid w:val="009A1C23"/>
    <w:rsid w:val="009A1C6F"/>
    <w:rsid w:val="009B2D26"/>
    <w:rsid w:val="009C70C5"/>
    <w:rsid w:val="009C71FA"/>
    <w:rsid w:val="009C72E7"/>
    <w:rsid w:val="009C7F7E"/>
    <w:rsid w:val="009D3058"/>
    <w:rsid w:val="009E287B"/>
    <w:rsid w:val="009F3A13"/>
    <w:rsid w:val="00A122D3"/>
    <w:rsid w:val="00A14468"/>
    <w:rsid w:val="00A17F13"/>
    <w:rsid w:val="00A20739"/>
    <w:rsid w:val="00A23AF9"/>
    <w:rsid w:val="00A27C0B"/>
    <w:rsid w:val="00A33C78"/>
    <w:rsid w:val="00A6741F"/>
    <w:rsid w:val="00A77532"/>
    <w:rsid w:val="00A87404"/>
    <w:rsid w:val="00A93F09"/>
    <w:rsid w:val="00AA631F"/>
    <w:rsid w:val="00AB0ADB"/>
    <w:rsid w:val="00AC4BDA"/>
    <w:rsid w:val="00AD6904"/>
    <w:rsid w:val="00AE07C1"/>
    <w:rsid w:val="00B00C0E"/>
    <w:rsid w:val="00B01B1A"/>
    <w:rsid w:val="00B0381D"/>
    <w:rsid w:val="00B42F06"/>
    <w:rsid w:val="00B44A47"/>
    <w:rsid w:val="00B54183"/>
    <w:rsid w:val="00B66CE2"/>
    <w:rsid w:val="00B72CD3"/>
    <w:rsid w:val="00B72FFF"/>
    <w:rsid w:val="00B91F5E"/>
    <w:rsid w:val="00BB6F0B"/>
    <w:rsid w:val="00BC3D36"/>
    <w:rsid w:val="00BC65C2"/>
    <w:rsid w:val="00BD54A6"/>
    <w:rsid w:val="00BD7F72"/>
    <w:rsid w:val="00BF7425"/>
    <w:rsid w:val="00C04FB3"/>
    <w:rsid w:val="00C11D8B"/>
    <w:rsid w:val="00C15139"/>
    <w:rsid w:val="00C330EB"/>
    <w:rsid w:val="00C36A6E"/>
    <w:rsid w:val="00C50D69"/>
    <w:rsid w:val="00C5365C"/>
    <w:rsid w:val="00C754BE"/>
    <w:rsid w:val="00C76B1C"/>
    <w:rsid w:val="00C82CF0"/>
    <w:rsid w:val="00C83701"/>
    <w:rsid w:val="00C9084D"/>
    <w:rsid w:val="00C925AC"/>
    <w:rsid w:val="00CB6357"/>
    <w:rsid w:val="00CC1B26"/>
    <w:rsid w:val="00CD1834"/>
    <w:rsid w:val="00CE01BA"/>
    <w:rsid w:val="00D07146"/>
    <w:rsid w:val="00D11E02"/>
    <w:rsid w:val="00D34AA1"/>
    <w:rsid w:val="00D361FD"/>
    <w:rsid w:val="00D417FC"/>
    <w:rsid w:val="00D423A2"/>
    <w:rsid w:val="00D44E26"/>
    <w:rsid w:val="00D51D26"/>
    <w:rsid w:val="00D520D8"/>
    <w:rsid w:val="00D63AC2"/>
    <w:rsid w:val="00D67477"/>
    <w:rsid w:val="00D7383B"/>
    <w:rsid w:val="00D7788A"/>
    <w:rsid w:val="00D829D7"/>
    <w:rsid w:val="00D925A4"/>
    <w:rsid w:val="00D933EA"/>
    <w:rsid w:val="00DA231B"/>
    <w:rsid w:val="00DA507B"/>
    <w:rsid w:val="00DA67B2"/>
    <w:rsid w:val="00DB2890"/>
    <w:rsid w:val="00DC39FC"/>
    <w:rsid w:val="00DD3557"/>
    <w:rsid w:val="00DE6F43"/>
    <w:rsid w:val="00DF5254"/>
    <w:rsid w:val="00E02524"/>
    <w:rsid w:val="00E15152"/>
    <w:rsid w:val="00E15B6F"/>
    <w:rsid w:val="00E16408"/>
    <w:rsid w:val="00E20894"/>
    <w:rsid w:val="00E245AB"/>
    <w:rsid w:val="00E2764C"/>
    <w:rsid w:val="00E27F2E"/>
    <w:rsid w:val="00E50AFE"/>
    <w:rsid w:val="00E67517"/>
    <w:rsid w:val="00E75C92"/>
    <w:rsid w:val="00E771DC"/>
    <w:rsid w:val="00E84F3E"/>
    <w:rsid w:val="00E8772A"/>
    <w:rsid w:val="00E90F6B"/>
    <w:rsid w:val="00E92C27"/>
    <w:rsid w:val="00E9409D"/>
    <w:rsid w:val="00EA0E3D"/>
    <w:rsid w:val="00EC38A7"/>
    <w:rsid w:val="00EE1AA8"/>
    <w:rsid w:val="00F15CD1"/>
    <w:rsid w:val="00F17D3B"/>
    <w:rsid w:val="00F227C1"/>
    <w:rsid w:val="00F23FEA"/>
    <w:rsid w:val="00F242CC"/>
    <w:rsid w:val="00F31EDC"/>
    <w:rsid w:val="00F32815"/>
    <w:rsid w:val="00F462B3"/>
    <w:rsid w:val="00F5664F"/>
    <w:rsid w:val="00F57C0A"/>
    <w:rsid w:val="00F666C4"/>
    <w:rsid w:val="00F66D5C"/>
    <w:rsid w:val="00F76AFC"/>
    <w:rsid w:val="00F950F9"/>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242CC"/>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242CC"/>
    <w:rPr>
      <w:rFonts w:ascii="Geomanist Light" w:hAnsi="Geomanist Light"/>
      <w:lang w:val="es-ES"/>
    </w:rPr>
  </w:style>
  <w:style w:type="paragraph" w:styleId="Sinespaciado">
    <w:name w:val="No Spacing"/>
    <w:uiPriority w:val="1"/>
    <w:qFormat/>
    <w:rsid w:val="00F242CC"/>
    <w:pPr>
      <w:spacing w:after="0" w:line="240" w:lineRule="auto"/>
    </w:pPr>
  </w:style>
  <w:style w:type="character" w:customStyle="1" w:styleId="s15">
    <w:name w:val="s15"/>
    <w:basedOn w:val="Fuentedeprrafopredeter"/>
    <w:rsid w:val="00F24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ridica@cumare.gov.c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AD9CB7-1BF6-4A9B-A8C7-362B88F0A7F4}"/>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30</TotalTime>
  <Pages>48</Pages>
  <Words>17512</Words>
  <Characters>96322</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13</cp:revision>
  <cp:lastPrinted>2023-01-10T21:18:00Z</cp:lastPrinted>
  <dcterms:created xsi:type="dcterms:W3CDTF">2026-08-11T13:48:00Z</dcterms:created>
  <dcterms:modified xsi:type="dcterms:W3CDTF">2026-08-12T17:02:00Z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