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7D6BD" w14:textId="77777777" w:rsidR="00F30852" w:rsidRPr="00405B20" w:rsidRDefault="00F30852" w:rsidP="00864B51">
      <w:pPr>
        <w:spacing w:after="0" w:line="240" w:lineRule="auto"/>
        <w:rPr>
          <w:rFonts w:ascii="Verdana" w:eastAsia="Verdana" w:hAnsi="Verdana" w:cs="Verdana"/>
          <w:b/>
          <w:bCs/>
        </w:rPr>
      </w:pPr>
      <w:bookmarkStart w:id="0" w:name="_Hlk143780582"/>
      <w:r w:rsidRPr="00405B20">
        <w:rPr>
          <w:rFonts w:ascii="Verdana" w:eastAsia="Verdana" w:hAnsi="Verdana" w:cs="Verdana"/>
          <w:b/>
          <w:bCs/>
        </w:rPr>
        <w:t>PLANEACIÓN – Estudios previos</w:t>
      </w:r>
    </w:p>
    <w:p w14:paraId="7F448371" w14:textId="77777777" w:rsidR="00405B20" w:rsidRDefault="00405B20" w:rsidP="00864B51">
      <w:pPr>
        <w:spacing w:after="0" w:line="240" w:lineRule="auto"/>
        <w:jc w:val="both"/>
        <w:rPr>
          <w:rFonts w:ascii="Verdana" w:eastAsia="Verdana" w:hAnsi="Verdana" w:cs="Verdana"/>
          <w:bCs/>
          <w:sz w:val="20"/>
          <w:szCs w:val="20"/>
          <w:lang w:val="es-ES_tradnl"/>
        </w:rPr>
      </w:pPr>
    </w:p>
    <w:p w14:paraId="7CBF31FB" w14:textId="2B733EFF" w:rsidR="00405B20" w:rsidRPr="00405B20" w:rsidRDefault="00405B20" w:rsidP="00864B51">
      <w:pPr>
        <w:spacing w:after="0" w:line="240" w:lineRule="auto"/>
        <w:jc w:val="both"/>
        <w:rPr>
          <w:rFonts w:ascii="Verdana" w:eastAsia="Verdana" w:hAnsi="Verdana" w:cs="Verdana"/>
          <w:sz w:val="20"/>
          <w:szCs w:val="20"/>
          <w:lang w:val="es-ES_tradnl"/>
        </w:rPr>
      </w:pPr>
      <w:r w:rsidRPr="00405B20">
        <w:rPr>
          <w:rFonts w:ascii="Verdana" w:eastAsia="Verdana" w:hAnsi="Verdana" w:cs="Verdana"/>
          <w:bCs/>
          <w:sz w:val="20"/>
          <w:szCs w:val="20"/>
          <w:lang w:val="es-ES_tradnl"/>
        </w:rPr>
        <w:t>La planeación contractual es una herramienta de gerencia pública, que exige estructurar el proceso contractual dedicando tiempo y esfuerzos para elaborar estudios previos, con el fin de determinar la necesidad que pretende satisfacer la Entidad Estatal y cuál es la mejor manera de hacerlo, consultando el tipo de bienes y servicios que ofrece el mercado y sus características, especificaciones, precios, costos, riesgos, garantías, disponibilidad, oferentes, entre otros. Lo anterior con la finalidad de realizar la escogencia diligente de la mejor oferta, para beneficiar los intereses y fines públicos inmersos en la contratación de las Entidades Estatales.</w:t>
      </w:r>
      <w:r w:rsidRPr="00405B20">
        <w:rPr>
          <w:rFonts w:ascii="Verdana" w:eastAsia="Verdana" w:hAnsi="Verdana" w:cs="Verdana"/>
          <w:bCs/>
          <w:sz w:val="20"/>
          <w:szCs w:val="20"/>
          <w:lang w:val="es-MX"/>
        </w:rPr>
        <w:tab/>
      </w:r>
    </w:p>
    <w:p w14:paraId="60E9E87B" w14:textId="77777777" w:rsidR="00405B20" w:rsidRDefault="00405B20" w:rsidP="00864B51">
      <w:pPr>
        <w:spacing w:after="0" w:line="240" w:lineRule="auto"/>
        <w:jc w:val="both"/>
        <w:rPr>
          <w:rFonts w:ascii="Verdana" w:eastAsia="Verdana" w:hAnsi="Verdana" w:cs="Verdana"/>
          <w:sz w:val="20"/>
          <w:szCs w:val="20"/>
          <w:lang w:val="es-ES_tradnl"/>
        </w:rPr>
      </w:pPr>
    </w:p>
    <w:p w14:paraId="3693A8F8" w14:textId="22EFB470" w:rsidR="00F30852" w:rsidRPr="00405B20" w:rsidRDefault="00405B20" w:rsidP="00864B51">
      <w:pPr>
        <w:spacing w:after="0" w:line="240" w:lineRule="auto"/>
        <w:jc w:val="both"/>
        <w:rPr>
          <w:rFonts w:ascii="Verdana" w:eastAsia="Verdana" w:hAnsi="Verdana" w:cs="Verdana"/>
          <w:sz w:val="20"/>
          <w:szCs w:val="20"/>
        </w:rPr>
      </w:pPr>
      <w:r w:rsidRPr="00405B20">
        <w:rPr>
          <w:rFonts w:ascii="Verdana" w:eastAsia="Verdana" w:hAnsi="Verdana" w:cs="Verdana"/>
          <w:bCs/>
          <w:sz w:val="20"/>
          <w:szCs w:val="20"/>
          <w:lang w:val="es-MX"/>
        </w:rPr>
        <w:t>El Estatuto General de Contratación de la Administración Pública – EGCAP – contiene disposiciones que exigen a las Entidades Estatales el deber de realizar planeación en la etapa precontractual, para que los procesos de contratación satisfagan las necesidades de la Administración, cumplan sus fines, logren la continua y eficiente prestación de los servicios públicos y permitan la efectividad de los derechos e intereses de los administrados que colaboran en la consecución.</w:t>
      </w:r>
    </w:p>
    <w:p w14:paraId="1F00D346" w14:textId="77777777" w:rsidR="00F30852" w:rsidRDefault="00F30852" w:rsidP="00864B51">
      <w:pPr>
        <w:spacing w:after="0" w:line="240" w:lineRule="auto"/>
        <w:rPr>
          <w:rFonts w:ascii="Verdana" w:eastAsia="Verdana" w:hAnsi="Verdana" w:cs="Verdana"/>
        </w:rPr>
      </w:pPr>
    </w:p>
    <w:p w14:paraId="51E104B7" w14:textId="77777777" w:rsidR="00F30852" w:rsidRPr="00405B20" w:rsidRDefault="00F30852" w:rsidP="00864B51">
      <w:pPr>
        <w:spacing w:after="0" w:line="240" w:lineRule="auto"/>
        <w:jc w:val="both"/>
        <w:rPr>
          <w:rFonts w:ascii="Verdana" w:eastAsia="Verdana" w:hAnsi="Verdana" w:cs="Verdana"/>
          <w:b/>
          <w:bCs/>
        </w:rPr>
      </w:pPr>
      <w:r w:rsidRPr="00405B20">
        <w:rPr>
          <w:rFonts w:ascii="Verdana" w:eastAsia="Verdana" w:hAnsi="Verdana" w:cs="Verdana"/>
          <w:b/>
          <w:bCs/>
        </w:rPr>
        <w:t xml:space="preserve">ESTUDIOS PREVIOS – Análisis del sector – Planeación en los procesos de contratación pública </w:t>
      </w:r>
    </w:p>
    <w:p w14:paraId="5AB2D6F5" w14:textId="77777777" w:rsidR="00F30852" w:rsidRPr="0091430B" w:rsidRDefault="00F30852" w:rsidP="00864B51">
      <w:pPr>
        <w:spacing w:after="0" w:line="240" w:lineRule="auto"/>
        <w:jc w:val="both"/>
        <w:rPr>
          <w:rFonts w:ascii="Verdana" w:eastAsia="Verdana" w:hAnsi="Verdana" w:cs="Verdana"/>
          <w:sz w:val="20"/>
          <w:szCs w:val="20"/>
        </w:rPr>
      </w:pPr>
    </w:p>
    <w:p w14:paraId="3B047F71" w14:textId="77777777" w:rsidR="0091430B" w:rsidRDefault="0091430B" w:rsidP="00864B51">
      <w:pPr>
        <w:spacing w:after="0" w:line="240" w:lineRule="auto"/>
        <w:jc w:val="both"/>
        <w:rPr>
          <w:rFonts w:ascii="Verdana" w:eastAsia="Verdana" w:hAnsi="Verdana" w:cs="Verdana"/>
          <w:sz w:val="20"/>
          <w:szCs w:val="20"/>
          <w:lang w:val="es-ES"/>
        </w:rPr>
      </w:pPr>
      <w:r w:rsidRPr="0091430B">
        <w:rPr>
          <w:rFonts w:ascii="Verdana" w:eastAsia="Verdana" w:hAnsi="Verdana" w:cs="Verdana"/>
          <w:sz w:val="20"/>
          <w:szCs w:val="20"/>
          <w:lang w:val="es-ES"/>
        </w:rPr>
        <w:t>De esta manera, antes de iniciar un procedimiento de selección, la Entidad Estatal podrá determinar con los estudios previos: i) la verdadera necesidad de la celebración del contrato; ii) las modalidades existentes para satisfacer esa necesidad y las razones que justifiquen la modalidad o tipo contractual que se escoja; iii) las calidades, especificaciones, cantidades y demás características que puedan o deban reunir los bienes, las obras o los servicios cuya contratación se haya determinado necesaria, iv) los costos, valores y alternativas que, a precios de mercado reales, podría demandar la celebración y ejecución del contrato; v) la disponibilidad de recursos o la capacidad financiera de la entidad contratante, para asumir las obligaciones de pago producto de la celebración de ese pretendido contrato; vi) la existencia y disponibilidad, en el mercado nacional o internacional, de proveedores, constructores, profesionales, etc., en condiciones de atender los requerimientos y satisfacer las necesidades; y vii) los procedimientos, trámites y requisitos que deban satisfacerse, reunirse u obtenerse para llevar a cabo la selección del respectivo contratista y la celebración del contrato que se pretenda celebrar. La consideración de todos estos aspectos permite que los contratos resultantes de la planeación cuenten con el sustento técnico, económico y jurídico que incidirá en una adecuada ejecución.</w:t>
      </w:r>
    </w:p>
    <w:p w14:paraId="48DD6724" w14:textId="77777777" w:rsidR="0091430B" w:rsidRPr="0091430B" w:rsidRDefault="0091430B" w:rsidP="00864B51">
      <w:pPr>
        <w:spacing w:after="0" w:line="240" w:lineRule="auto"/>
        <w:jc w:val="both"/>
        <w:rPr>
          <w:rFonts w:ascii="Verdana" w:eastAsia="Verdana" w:hAnsi="Verdana" w:cs="Verdana"/>
          <w:sz w:val="20"/>
          <w:szCs w:val="20"/>
          <w:lang w:val="es-ES"/>
        </w:rPr>
      </w:pPr>
    </w:p>
    <w:p w14:paraId="7D334501" w14:textId="4FED7459" w:rsidR="0091430B" w:rsidRDefault="0091430B" w:rsidP="00864B51">
      <w:pPr>
        <w:spacing w:after="0" w:line="240" w:lineRule="auto"/>
        <w:jc w:val="both"/>
        <w:rPr>
          <w:rFonts w:ascii="Verdana" w:eastAsia="Verdana" w:hAnsi="Verdana" w:cs="Verdana"/>
          <w:lang w:val="es-ES_tradnl"/>
        </w:rPr>
      </w:pPr>
      <w:r w:rsidRPr="0091430B">
        <w:rPr>
          <w:rFonts w:ascii="Verdana" w:eastAsia="Verdana" w:hAnsi="Verdana" w:cs="Verdana"/>
          <w:sz w:val="20"/>
          <w:szCs w:val="20"/>
          <w:lang w:val="es-ES_tradnl"/>
        </w:rPr>
        <w:t xml:space="preserve">Más allá del cumplimiento de la normativa, “los estudios y documentos previos son el soporte para elaborar el proyecto de pliegos, los pliegos de condiciones, y el contrato”, por lo que deben publicarse en la etapa precontractual y sirven de motivación para los documentos expedidos unilateralmente por la Entidad Estatal tales como el acto administrativo de apertura, los pliegos de condiciones y el acto de adjudicación, entre otros. En ese sentido, los estudios y documentos previos son necesarios antes de la </w:t>
      </w:r>
      <w:r w:rsidRPr="00864B51">
        <w:rPr>
          <w:rFonts w:ascii="Verdana" w:eastAsia="Verdana" w:hAnsi="Verdana" w:cs="Verdana"/>
          <w:sz w:val="20"/>
          <w:szCs w:val="20"/>
          <w:lang w:val="es-ES_tradnl"/>
        </w:rPr>
        <w:lastRenderedPageBreak/>
        <w:t>celebración del contrato, pues fundamentan las condiciones que la Entidad Estatal exige en su Proceso de Contratación. Sin embargo, luego de la suscripción del contrato la entidad no debe actuar unilateralmente, sino que debe respetar la buena fe contractual y proceder de acuerdo con lo pactado.</w:t>
      </w:r>
    </w:p>
    <w:p w14:paraId="75DE8A38" w14:textId="77777777" w:rsidR="0091430B" w:rsidRDefault="0091430B" w:rsidP="00864B51">
      <w:pPr>
        <w:spacing w:after="0" w:line="240" w:lineRule="auto"/>
        <w:jc w:val="both"/>
        <w:rPr>
          <w:rFonts w:ascii="Verdana" w:eastAsia="Verdana" w:hAnsi="Verdana" w:cs="Verdana"/>
        </w:rPr>
      </w:pPr>
    </w:p>
    <w:p w14:paraId="3C4A7521" w14:textId="77777777" w:rsidR="00F30852" w:rsidRPr="00F75F46" w:rsidRDefault="00F30852" w:rsidP="00864B51">
      <w:pPr>
        <w:spacing w:after="0" w:line="240" w:lineRule="auto"/>
        <w:rPr>
          <w:rFonts w:ascii="Verdana" w:eastAsia="Verdana" w:hAnsi="Verdana" w:cs="Verdana"/>
          <w:b/>
          <w:bCs/>
        </w:rPr>
      </w:pPr>
      <w:r w:rsidRPr="00F75F46">
        <w:rPr>
          <w:rFonts w:ascii="Verdana" w:eastAsia="Verdana" w:hAnsi="Verdana" w:cs="Verdana"/>
          <w:b/>
          <w:bCs/>
        </w:rPr>
        <w:t>ESTUDIOS PREVIOS – Estudio del mercado</w:t>
      </w:r>
    </w:p>
    <w:p w14:paraId="2E9952D1" w14:textId="77777777" w:rsidR="00F30852" w:rsidRPr="00593D93" w:rsidRDefault="00F30852" w:rsidP="00864B51">
      <w:pPr>
        <w:spacing w:after="0" w:line="240" w:lineRule="auto"/>
        <w:jc w:val="both"/>
        <w:rPr>
          <w:rFonts w:ascii="Verdana" w:eastAsia="Verdana" w:hAnsi="Verdana" w:cs="Verdana"/>
          <w:sz w:val="20"/>
          <w:szCs w:val="20"/>
        </w:rPr>
      </w:pPr>
    </w:p>
    <w:p w14:paraId="1CAC377C" w14:textId="77777777" w:rsidR="00593D93" w:rsidRDefault="00593D93" w:rsidP="00864B51">
      <w:pPr>
        <w:spacing w:after="0" w:line="240" w:lineRule="auto"/>
        <w:jc w:val="both"/>
        <w:rPr>
          <w:rFonts w:ascii="Verdana" w:eastAsia="Verdana" w:hAnsi="Verdana" w:cs="Verdana"/>
          <w:sz w:val="20"/>
          <w:szCs w:val="20"/>
          <w:lang w:val="es-ES_tradnl"/>
        </w:rPr>
      </w:pPr>
      <w:r w:rsidRPr="00593D93">
        <w:rPr>
          <w:rFonts w:ascii="Verdana" w:eastAsia="Verdana" w:hAnsi="Verdana" w:cs="Verdana"/>
          <w:sz w:val="20"/>
          <w:szCs w:val="20"/>
          <w:lang w:val="es-ES_tradnl"/>
        </w:rPr>
        <w:t xml:space="preserve">Por otra parte, conforme se infiere en el artículo 2.2.1.1.2.1.1 del Decreto 1082 de 2015, que dentro de los aspectos principales que deben abarcar los estudios previos es la determinación del objeto a contratar con sus especificaciones, el valor estimado del contrato aparejado de su respectiva justificación, el análisis del riesgo y la forma de mitigarlo, las garantías que contempla exigir, entre otros. </w:t>
      </w:r>
    </w:p>
    <w:p w14:paraId="7DE50E42" w14:textId="77777777" w:rsidR="00593D93" w:rsidRPr="00593D93" w:rsidRDefault="00593D93" w:rsidP="00864B51">
      <w:pPr>
        <w:spacing w:after="0" w:line="240" w:lineRule="auto"/>
        <w:jc w:val="both"/>
        <w:rPr>
          <w:rFonts w:ascii="Verdana" w:eastAsia="Verdana" w:hAnsi="Verdana" w:cs="Verdana"/>
          <w:sz w:val="20"/>
          <w:szCs w:val="20"/>
          <w:lang w:val="es-ES_tradnl"/>
        </w:rPr>
      </w:pPr>
    </w:p>
    <w:p w14:paraId="15D94061" w14:textId="6B4A6A89" w:rsidR="00593D93" w:rsidRPr="00593D93" w:rsidRDefault="00593D93" w:rsidP="00864B51">
      <w:pPr>
        <w:spacing w:after="0" w:line="240" w:lineRule="auto"/>
        <w:jc w:val="both"/>
        <w:rPr>
          <w:rFonts w:ascii="Verdana" w:eastAsia="Verdana" w:hAnsi="Verdana" w:cs="Verdana"/>
          <w:bCs/>
          <w:sz w:val="20"/>
          <w:szCs w:val="20"/>
          <w:lang w:val="es-ES_tradnl"/>
        </w:rPr>
      </w:pPr>
      <w:r w:rsidRPr="00593D93">
        <w:rPr>
          <w:rFonts w:ascii="Verdana" w:eastAsia="Verdana" w:hAnsi="Verdana" w:cs="Verdana"/>
          <w:bCs/>
          <w:sz w:val="20"/>
          <w:szCs w:val="20"/>
          <w:lang w:val="es-ES_tradnl"/>
        </w:rPr>
        <w:t xml:space="preserve">Para estos efectos resulta relevante la información recolectada en el marco del </w:t>
      </w:r>
      <w:r w:rsidRPr="00593D93">
        <w:rPr>
          <w:rFonts w:ascii="Verdana" w:eastAsia="Verdana" w:hAnsi="Verdana" w:cs="Verdana"/>
          <w:bCs/>
          <w:i/>
          <w:iCs/>
          <w:sz w:val="20"/>
          <w:szCs w:val="20"/>
          <w:lang w:val="es-ES_tradnl"/>
        </w:rPr>
        <w:t>estudio del mercado</w:t>
      </w:r>
      <w:r w:rsidRPr="00593D93">
        <w:rPr>
          <w:rFonts w:ascii="Verdana" w:eastAsia="Verdana" w:hAnsi="Verdana" w:cs="Verdana"/>
          <w:bCs/>
          <w:sz w:val="20"/>
          <w:szCs w:val="20"/>
          <w:lang w:val="es-ES_tradnl"/>
        </w:rPr>
        <w:t xml:space="preserve"> y el análisis del sector económico y de los potenciales oferentes, actividades de planeación previa que sirven para identificar aspectos concretos del mercado que pueden afectar el proceso de selección o las condiciones del negocio a realizar mediante el proceso de contratación. En este sentido, el análisis del sector de las perspectivas legal, comercial, financiera, organizacional, técnica, y de análisis de Riesgo, al que se refiere el artículo 2.2.1.1.1.6.1 del Decreto 1082 de 2015, constituye un insumo importante para determinar factores que pudieran determinar el valor del contrato y orientar a la entidad en torno al monto de la disponibilidad presupuestal que requiere para realizar la contratación. </w:t>
      </w:r>
    </w:p>
    <w:p w14:paraId="7F100B89" w14:textId="77777777" w:rsidR="00F30852" w:rsidRPr="00593D93" w:rsidRDefault="00F30852" w:rsidP="00864B51">
      <w:pPr>
        <w:spacing w:after="0" w:line="240" w:lineRule="auto"/>
        <w:rPr>
          <w:rFonts w:ascii="Verdana" w:eastAsia="Verdana" w:hAnsi="Verdana" w:cs="Verdana"/>
          <w:lang w:val="es-ES_tradnl"/>
        </w:rPr>
      </w:pPr>
    </w:p>
    <w:p w14:paraId="6A550DA7" w14:textId="77777777" w:rsidR="00F30852" w:rsidRPr="00F75F46" w:rsidRDefault="00F30852" w:rsidP="00864B51">
      <w:pPr>
        <w:spacing w:after="0" w:line="240" w:lineRule="auto"/>
        <w:rPr>
          <w:rFonts w:ascii="Verdana" w:eastAsia="Verdana" w:hAnsi="Verdana" w:cs="Verdana"/>
          <w:b/>
          <w:bCs/>
        </w:rPr>
      </w:pPr>
      <w:r w:rsidRPr="00F75F46">
        <w:rPr>
          <w:rFonts w:ascii="Verdana" w:eastAsia="Verdana" w:hAnsi="Verdana" w:cs="Verdana"/>
          <w:b/>
          <w:bCs/>
        </w:rPr>
        <w:t xml:space="preserve">ESTUDIOS PREVIOS – Metodologías – Cotizaciones – Autonomía </w:t>
      </w:r>
    </w:p>
    <w:p w14:paraId="14EF9A75" w14:textId="77777777" w:rsidR="00F30852" w:rsidRPr="00E264A6" w:rsidRDefault="00F30852" w:rsidP="00864B51">
      <w:pPr>
        <w:spacing w:after="0" w:line="240" w:lineRule="auto"/>
        <w:jc w:val="both"/>
        <w:rPr>
          <w:rFonts w:ascii="Verdana" w:eastAsia="Verdana" w:hAnsi="Verdana" w:cs="Verdana"/>
          <w:sz w:val="20"/>
          <w:szCs w:val="20"/>
        </w:rPr>
      </w:pPr>
    </w:p>
    <w:p w14:paraId="0902BC64" w14:textId="77777777" w:rsidR="00E264A6" w:rsidRDefault="00E264A6" w:rsidP="00864B51">
      <w:pPr>
        <w:spacing w:after="0" w:line="240" w:lineRule="auto"/>
        <w:jc w:val="both"/>
        <w:rPr>
          <w:rFonts w:ascii="Verdana" w:eastAsia="Verdana" w:hAnsi="Verdana" w:cs="Verdana"/>
          <w:sz w:val="20"/>
          <w:szCs w:val="20"/>
        </w:rPr>
      </w:pPr>
      <w:r w:rsidRPr="00E264A6">
        <w:rPr>
          <w:rFonts w:ascii="Verdana" w:eastAsia="Verdana" w:hAnsi="Verdana" w:cs="Verdana"/>
          <w:sz w:val="20"/>
          <w:szCs w:val="20"/>
        </w:rPr>
        <w:t xml:space="preserve">Ahora bien, respecto a el </w:t>
      </w:r>
      <w:r w:rsidRPr="00E264A6">
        <w:rPr>
          <w:rFonts w:ascii="Verdana" w:eastAsia="Verdana" w:hAnsi="Verdana" w:cs="Verdana"/>
          <w:i/>
          <w:sz w:val="20"/>
          <w:szCs w:val="20"/>
        </w:rPr>
        <w:t xml:space="preserve">estudio del mercado, </w:t>
      </w:r>
      <w:r w:rsidRPr="00E264A6">
        <w:rPr>
          <w:rFonts w:ascii="Verdana" w:eastAsia="Verdana" w:hAnsi="Verdana" w:cs="Verdana"/>
          <w:sz w:val="20"/>
          <w:szCs w:val="20"/>
        </w:rPr>
        <w:t>este se encuentra inmerso dentro del análisis del sector y permite comprender la dinámica de los precios y establecer el presupuesto oficial de la contratación, el cual incluye la realización de un análisis de los diferentes precios de los bienes o servicios a contratar que se registran en el mercado, los cuales pueden consultarse a través de mecanismos como:</w:t>
      </w:r>
    </w:p>
    <w:p w14:paraId="1B8F950A" w14:textId="77777777" w:rsidR="00E264A6" w:rsidRPr="00E264A6" w:rsidRDefault="00E264A6" w:rsidP="00864B51">
      <w:pPr>
        <w:spacing w:after="0" w:line="240" w:lineRule="auto"/>
        <w:jc w:val="both"/>
        <w:rPr>
          <w:rFonts w:ascii="Verdana" w:eastAsia="Verdana" w:hAnsi="Verdana" w:cs="Verdana"/>
          <w:sz w:val="20"/>
          <w:szCs w:val="20"/>
        </w:rPr>
      </w:pPr>
    </w:p>
    <w:p w14:paraId="490200D3" w14:textId="77777777" w:rsidR="00E264A6" w:rsidRDefault="00E264A6" w:rsidP="00864B51">
      <w:pPr>
        <w:spacing w:after="0" w:line="240" w:lineRule="auto"/>
        <w:jc w:val="both"/>
        <w:rPr>
          <w:rFonts w:ascii="Verdana" w:eastAsia="Verdana" w:hAnsi="Verdana" w:cs="Verdana"/>
          <w:sz w:val="20"/>
          <w:szCs w:val="20"/>
        </w:rPr>
      </w:pPr>
      <w:r w:rsidRPr="00E264A6">
        <w:rPr>
          <w:rFonts w:ascii="Verdana" w:eastAsia="Verdana" w:hAnsi="Verdana" w:cs="Verdana"/>
          <w:sz w:val="20"/>
          <w:szCs w:val="20"/>
        </w:rPr>
        <w:t xml:space="preserve">a. Revisión de precios por solicitud de cotizaciones: la Guía recomienda requerir a los potenciales proveedores de los bienes o servicios para que remitan la información necesaria para determinar, entre otros aspectos, el valor del servicio o del bien correspondiente. Para estos efectos, se sugiere incluir en la comunicación toda aquella información pertinente del contrato a ejecutar que permita a los potenciales proveedores estructurar una cotización integral y ajustada a las necesidades de la entidad. Así mismo, se indica que, al recibir las cotizaciones, debe verificarse la ocurrencia de circunstancias que eventualmente pueden distorsionar los precios del mercado, como ofertas especiales de almacenes de cadena, fenómenos de escasez o abundancia del producto, entre otros aspectos. </w:t>
      </w:r>
    </w:p>
    <w:p w14:paraId="5E5CBBBE" w14:textId="77777777" w:rsidR="00E264A6" w:rsidRPr="00E264A6" w:rsidRDefault="00E264A6" w:rsidP="00864B51">
      <w:pPr>
        <w:spacing w:after="0" w:line="240" w:lineRule="auto"/>
        <w:jc w:val="both"/>
        <w:rPr>
          <w:rFonts w:ascii="Verdana" w:eastAsia="Verdana" w:hAnsi="Verdana" w:cs="Verdana"/>
          <w:sz w:val="20"/>
          <w:szCs w:val="20"/>
        </w:rPr>
      </w:pPr>
    </w:p>
    <w:p w14:paraId="6CE676D7" w14:textId="77777777" w:rsidR="00E264A6" w:rsidRDefault="00E264A6" w:rsidP="00864B51">
      <w:pPr>
        <w:spacing w:after="0" w:line="240" w:lineRule="auto"/>
        <w:jc w:val="both"/>
        <w:rPr>
          <w:rFonts w:ascii="Verdana" w:eastAsia="Verdana" w:hAnsi="Verdana" w:cs="Verdana"/>
          <w:sz w:val="20"/>
          <w:szCs w:val="20"/>
        </w:rPr>
      </w:pPr>
      <w:r w:rsidRPr="00E264A6">
        <w:rPr>
          <w:rFonts w:ascii="Verdana" w:eastAsia="Verdana" w:hAnsi="Verdana" w:cs="Verdana"/>
          <w:sz w:val="20"/>
          <w:szCs w:val="20"/>
        </w:rPr>
        <w:t xml:space="preserve">b. Revisión de bases de datos especializadas: la Guía señala que es conveniente adelantarla cuando por las condiciones del mercado del bien o servicio a contratar se </w:t>
      </w:r>
      <w:r w:rsidRPr="00E264A6">
        <w:rPr>
          <w:rFonts w:ascii="Verdana" w:eastAsia="Verdana" w:hAnsi="Verdana" w:cs="Verdana"/>
          <w:sz w:val="20"/>
          <w:szCs w:val="20"/>
        </w:rPr>
        <w:lastRenderedPageBreak/>
        <w:t xml:space="preserve">requiera, y el responsable deberá dejar constancia de las consultas realizadas y de los precios que soportan su estudio. Las bases de datos consultadas deben ser especializadas y representativas en el mercado del bien o servicio a contratar. </w:t>
      </w:r>
    </w:p>
    <w:p w14:paraId="309DA762" w14:textId="77777777" w:rsidR="00E264A6" w:rsidRPr="00E264A6" w:rsidRDefault="00E264A6" w:rsidP="00864B51">
      <w:pPr>
        <w:spacing w:after="0" w:line="240" w:lineRule="auto"/>
        <w:jc w:val="both"/>
        <w:rPr>
          <w:rFonts w:ascii="Verdana" w:eastAsia="Verdana" w:hAnsi="Verdana" w:cs="Verdana"/>
          <w:sz w:val="20"/>
          <w:szCs w:val="20"/>
        </w:rPr>
      </w:pPr>
    </w:p>
    <w:p w14:paraId="606A0E4A" w14:textId="77777777" w:rsidR="00E264A6" w:rsidRPr="00E264A6" w:rsidRDefault="00E264A6" w:rsidP="00864B51">
      <w:pPr>
        <w:spacing w:after="0" w:line="240" w:lineRule="auto"/>
        <w:jc w:val="both"/>
        <w:rPr>
          <w:rFonts w:ascii="Verdana" w:eastAsia="Verdana" w:hAnsi="Verdana" w:cs="Verdana"/>
          <w:sz w:val="20"/>
          <w:szCs w:val="20"/>
        </w:rPr>
      </w:pPr>
      <w:r w:rsidRPr="00E264A6">
        <w:rPr>
          <w:rFonts w:ascii="Verdana" w:eastAsia="Verdana" w:hAnsi="Verdana" w:cs="Verdana"/>
          <w:sz w:val="20"/>
          <w:szCs w:val="20"/>
        </w:rPr>
        <w:t xml:space="preserve">c. Revisión de precios históricos se sugiere verificar la variación de los precios históricos derivados del índice de precios al consumidor en cada año, examinando si se han presentado fenómenos económicos que hayan implicado fluctuaciones importantes en el comercio del bien o servicio, siempre que las características del bien o servicio sean las mismas entre una contratación y otra.  </w:t>
      </w:r>
    </w:p>
    <w:p w14:paraId="6A5C40D2" w14:textId="77777777" w:rsidR="00F30852" w:rsidRDefault="00F30852" w:rsidP="00864B51">
      <w:pPr>
        <w:spacing w:after="0" w:line="240" w:lineRule="auto"/>
        <w:rPr>
          <w:rFonts w:ascii="Verdana" w:eastAsia="Verdana" w:hAnsi="Verdana" w:cs="Verdana"/>
        </w:rPr>
      </w:pPr>
    </w:p>
    <w:p w14:paraId="60A5773D" w14:textId="1A9AD4A4" w:rsidR="00F30852" w:rsidRPr="00F75F46" w:rsidRDefault="00F30852" w:rsidP="00864B51">
      <w:pPr>
        <w:spacing w:after="0" w:line="240" w:lineRule="auto"/>
        <w:rPr>
          <w:rFonts w:ascii="Verdana" w:eastAsia="Verdana" w:hAnsi="Verdana" w:cs="Verdana"/>
          <w:b/>
          <w:bCs/>
        </w:rPr>
      </w:pPr>
      <w:r w:rsidRPr="00F75F46">
        <w:rPr>
          <w:rFonts w:ascii="Verdana" w:eastAsia="Verdana" w:hAnsi="Verdana" w:cs="Verdana"/>
          <w:b/>
          <w:bCs/>
        </w:rPr>
        <w:t xml:space="preserve">ESTUDIOS DEL SECTOR – Insumos – Elementos – Estudio previo </w:t>
      </w:r>
    </w:p>
    <w:p w14:paraId="225517A3" w14:textId="77777777" w:rsidR="00F30852" w:rsidRPr="00E264A6" w:rsidRDefault="00F30852" w:rsidP="00864B51">
      <w:pPr>
        <w:spacing w:after="0" w:line="240" w:lineRule="auto"/>
        <w:jc w:val="both"/>
        <w:rPr>
          <w:rFonts w:ascii="Verdana" w:eastAsia="Verdana" w:hAnsi="Verdana" w:cs="Verdana"/>
          <w:sz w:val="20"/>
          <w:szCs w:val="20"/>
        </w:rPr>
      </w:pPr>
    </w:p>
    <w:p w14:paraId="280AF2E3" w14:textId="77777777" w:rsidR="00E264A6" w:rsidRDefault="00E264A6" w:rsidP="00864B51">
      <w:pPr>
        <w:spacing w:after="0" w:line="240" w:lineRule="auto"/>
        <w:jc w:val="both"/>
        <w:rPr>
          <w:rFonts w:ascii="Verdana" w:eastAsia="Verdana" w:hAnsi="Verdana" w:cs="Verdana"/>
          <w:sz w:val="20"/>
          <w:szCs w:val="20"/>
        </w:rPr>
      </w:pPr>
      <w:r w:rsidRPr="00E264A6">
        <w:rPr>
          <w:rFonts w:ascii="Verdana" w:eastAsia="Verdana" w:hAnsi="Verdana" w:cs="Verdana"/>
          <w:sz w:val="20"/>
          <w:szCs w:val="20"/>
        </w:rPr>
        <w:t>En ese orden de ideas,</w:t>
      </w:r>
      <w:r w:rsidRPr="00E264A6">
        <w:rPr>
          <w:rFonts w:ascii="Verdana" w:eastAsia="Verdana" w:hAnsi="Verdana" w:cs="Verdana"/>
          <w:sz w:val="20"/>
          <w:szCs w:val="20"/>
          <w:lang w:val="es-ES_tradnl"/>
        </w:rPr>
        <w:t xml:space="preserve"> el análisis del sector parte de un estudio desde una perspectiva multidisciplinaria, que implica los aspectos generales del mercado, el análisis de la demanda y de la oferta, así como el estudio del mercado que le permite a la entidad entender el mercado del bien, obra o servicio que pretenden adquirir, así como identificar los factores que inciden en el valor del contrato, tales como el análisis de precios, las cargas tributarias, la tasa de cambio, las garantías, los gastos de transporte, entre otros. Este análisis se </w:t>
      </w:r>
      <w:r w:rsidRPr="00E264A6">
        <w:rPr>
          <w:rFonts w:ascii="Verdana" w:eastAsia="Verdana" w:hAnsi="Verdana" w:cs="Verdana"/>
          <w:sz w:val="20"/>
          <w:szCs w:val="20"/>
        </w:rPr>
        <w:t>debe consignar en los Documentos del Proceso, bien sea en los estudios previos o en la información soporte de estos. En consecuencia, el análisis del sector es un insumo de planeación obligatorio y sus resultados deben reflejarse en los estudios previos, que son documentos que permiten orientar y motivar las decisiones de la Administración en los procesos de contratación pública.</w:t>
      </w:r>
    </w:p>
    <w:p w14:paraId="602E0F88" w14:textId="77777777" w:rsidR="00E264A6" w:rsidRPr="00E264A6" w:rsidRDefault="00E264A6" w:rsidP="00864B51">
      <w:pPr>
        <w:spacing w:after="0" w:line="240" w:lineRule="auto"/>
        <w:jc w:val="both"/>
        <w:rPr>
          <w:rFonts w:ascii="Verdana" w:eastAsia="Verdana" w:hAnsi="Verdana" w:cs="Verdana"/>
          <w:sz w:val="20"/>
          <w:szCs w:val="20"/>
        </w:rPr>
      </w:pPr>
    </w:p>
    <w:p w14:paraId="4714A6F6" w14:textId="77777777" w:rsidR="00E264A6" w:rsidRDefault="00E264A6" w:rsidP="00864B51">
      <w:pPr>
        <w:spacing w:after="0" w:line="240" w:lineRule="auto"/>
        <w:jc w:val="both"/>
        <w:rPr>
          <w:rFonts w:ascii="Verdana" w:eastAsia="Verdana" w:hAnsi="Verdana" w:cs="Verdana"/>
          <w:sz w:val="20"/>
          <w:szCs w:val="20"/>
        </w:rPr>
      </w:pPr>
      <w:r w:rsidRPr="00E264A6">
        <w:rPr>
          <w:rFonts w:ascii="Verdana" w:eastAsia="Verdana" w:hAnsi="Verdana" w:cs="Verdana"/>
          <w:sz w:val="20"/>
          <w:szCs w:val="20"/>
        </w:rPr>
        <w:t>Aunque el análisis del sector pueda ser extenso y técnico, los estudios previos deben incorporar los elementos mínimos que la norma exige y que la Guía identifica como determinantes para la estructuración del proceso. Entre ellos se encuentran: la caracterización de la necesidad y las alternativas para satisfacerla; las especificaciones técnicas derivadas del análisis del mercado; la caracterización del sector desde las perspectivas legal, comercial, financiera, organizacional y técnica; el estudio de la demanda y del gasto histórico; la identificación de la oferta y de los proveedores; y la justificación del valor estimado del contrato sustentada en información real del mercado.</w:t>
      </w:r>
    </w:p>
    <w:p w14:paraId="2020DF45" w14:textId="77777777" w:rsidR="00E264A6" w:rsidRPr="00E264A6" w:rsidRDefault="00E264A6" w:rsidP="00864B51">
      <w:pPr>
        <w:spacing w:after="0" w:line="240" w:lineRule="auto"/>
        <w:jc w:val="both"/>
        <w:rPr>
          <w:rFonts w:ascii="Verdana" w:eastAsia="Verdana" w:hAnsi="Verdana" w:cs="Verdana"/>
          <w:sz w:val="20"/>
          <w:szCs w:val="20"/>
        </w:rPr>
      </w:pPr>
    </w:p>
    <w:p w14:paraId="7E56038E" w14:textId="77777777" w:rsidR="00E264A6" w:rsidRPr="00E264A6" w:rsidRDefault="00E264A6" w:rsidP="00864B51">
      <w:pPr>
        <w:spacing w:after="0" w:line="240" w:lineRule="auto"/>
        <w:jc w:val="both"/>
        <w:rPr>
          <w:rFonts w:ascii="Verdana" w:eastAsia="Verdana" w:hAnsi="Verdana" w:cs="Verdana"/>
        </w:rPr>
      </w:pPr>
      <w:r w:rsidRPr="00E264A6">
        <w:rPr>
          <w:rFonts w:ascii="Verdana" w:eastAsia="Verdana" w:hAnsi="Verdana" w:cs="Verdana"/>
          <w:sz w:val="20"/>
          <w:szCs w:val="20"/>
        </w:rPr>
        <w:t>Asimismo, los estudios previos deben integrar los riesgos identificados en el análisis del sector, las condiciones regulatorias aplicables, las prácticas comerciales relevantes, las barreras de entrada, las tendencias tecnológicas y los factores socioambientales que la Guía exige considerar. Estos elementos no pueden quedar únicamente en el documento independiente, pues son los que permiten motivar la modalidad de selección, los requisitos habilitantes, los criterios diferenciales, las condiciones contractuales y la estrategia de compra, asegurando que el proceso se estructure conforme a los principios de eficiencia, economía, transparencia y la selección objetiva.</w:t>
      </w:r>
    </w:p>
    <w:p w14:paraId="6F7AC9EE" w14:textId="77777777" w:rsidR="00F30852" w:rsidRDefault="00F30852" w:rsidP="002F13FC">
      <w:pPr>
        <w:spacing w:after="0"/>
        <w:rPr>
          <w:rFonts w:ascii="Verdana" w:eastAsia="Verdana" w:hAnsi="Verdana" w:cs="Verdana"/>
        </w:rPr>
      </w:pPr>
    </w:p>
    <w:p w14:paraId="55C0CDD6" w14:textId="77777777" w:rsidR="00F30852" w:rsidRDefault="00F30852" w:rsidP="002F13FC">
      <w:pPr>
        <w:spacing w:after="0"/>
        <w:rPr>
          <w:rFonts w:ascii="Verdana" w:eastAsia="Verdana" w:hAnsi="Verdana" w:cs="Verdana"/>
        </w:rPr>
      </w:pPr>
    </w:p>
    <w:p w14:paraId="3FBBA4A8" w14:textId="77777777" w:rsidR="00E264A6" w:rsidRDefault="00E264A6" w:rsidP="002F13FC">
      <w:pPr>
        <w:spacing w:after="0"/>
        <w:rPr>
          <w:rFonts w:ascii="Verdana" w:eastAsia="Verdana" w:hAnsi="Verdana" w:cs="Verdana"/>
        </w:rPr>
      </w:pPr>
    </w:p>
    <w:p w14:paraId="0B1950E3" w14:textId="77777777" w:rsidR="00E264A6" w:rsidRDefault="00E264A6" w:rsidP="002F13FC">
      <w:pPr>
        <w:spacing w:after="0"/>
        <w:rPr>
          <w:rFonts w:ascii="Verdana" w:eastAsia="Verdana" w:hAnsi="Verdana" w:cs="Verdana"/>
        </w:rPr>
      </w:pPr>
    </w:p>
    <w:p w14:paraId="00322683" w14:textId="77777777" w:rsidR="00E264A6" w:rsidRDefault="00E264A6" w:rsidP="002F13FC">
      <w:pPr>
        <w:spacing w:after="0"/>
        <w:rPr>
          <w:rFonts w:ascii="Verdana" w:eastAsia="Verdana" w:hAnsi="Verdana" w:cs="Verdana"/>
        </w:rPr>
      </w:pPr>
    </w:p>
    <w:p w14:paraId="29AB4CC9" w14:textId="3F9E1966" w:rsidR="002F13FC" w:rsidRPr="007464FA" w:rsidRDefault="00CD0DF5" w:rsidP="002F13FC">
      <w:pPr>
        <w:spacing w:after="0"/>
        <w:rPr>
          <w:rFonts w:ascii="Verdana" w:eastAsia="Calibri" w:hAnsi="Verdana" w:cs="Arial"/>
          <w:lang w:eastAsia="es-ES"/>
        </w:rPr>
      </w:pPr>
      <w:r w:rsidRPr="00CD0DF5">
        <w:rPr>
          <w:rFonts w:ascii="Verdana" w:eastAsia="Calibri" w:hAnsi="Verdana" w:cs="Arial"/>
          <w:noProof/>
          <w:lang w:eastAsia="es-ES"/>
        </w:rPr>
        <w:drawing>
          <wp:anchor distT="0" distB="0" distL="114300" distR="114300" simplePos="0" relativeHeight="251658240" behindDoc="0" locked="0" layoutInCell="1" allowOverlap="1" wp14:anchorId="17D5BB1D" wp14:editId="2F41368C">
            <wp:simplePos x="0" y="0"/>
            <wp:positionH relativeFrom="margin">
              <wp:align>right</wp:align>
            </wp:positionH>
            <wp:positionV relativeFrom="paragraph">
              <wp:posOffset>252672</wp:posOffset>
            </wp:positionV>
            <wp:extent cx="2955290" cy="816610"/>
            <wp:effectExtent l="0" t="0" r="0" b="2540"/>
            <wp:wrapSquare wrapText="bothSides"/>
            <wp:docPr id="82631715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55290" cy="816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13FC" w:rsidRPr="30821638">
        <w:rPr>
          <w:rFonts w:ascii="Verdana" w:eastAsia="Verdana" w:hAnsi="Verdana" w:cs="Verdana"/>
        </w:rPr>
        <w:t xml:space="preserve">Bogotá D.C., </w:t>
      </w:r>
      <w:r w:rsidR="00831837">
        <w:rPr>
          <w:rFonts w:ascii="Verdana" w:eastAsia="Verdana" w:hAnsi="Verdana" w:cs="Verdana"/>
        </w:rPr>
        <w:t>3 de agosto de 2026</w:t>
      </w:r>
      <w:r w:rsidR="002F13FC">
        <w:tab/>
      </w:r>
      <w:r w:rsidR="002F13FC">
        <w:br/>
      </w:r>
      <w:bookmarkStart w:id="1" w:name="_Hlk197462763"/>
      <w:bookmarkStart w:id="2" w:name="_Hlk197529996"/>
    </w:p>
    <w:p w14:paraId="2BAD7192" w14:textId="1C77EBCF" w:rsidR="002F13FC" w:rsidRPr="007464FA" w:rsidRDefault="002F13FC" w:rsidP="002F13FC">
      <w:pPr>
        <w:spacing w:after="0" w:line="240" w:lineRule="auto"/>
        <w:jc w:val="both"/>
        <w:rPr>
          <w:rFonts w:ascii="Verdana" w:eastAsia="Calibri" w:hAnsi="Verdana" w:cs="Arial"/>
          <w:lang w:eastAsia="es-ES"/>
        </w:rPr>
      </w:pPr>
    </w:p>
    <w:p w14:paraId="37EAAA82" w14:textId="77777777" w:rsidR="002F13FC" w:rsidRPr="004661B8" w:rsidRDefault="002F13FC" w:rsidP="002F13FC">
      <w:pPr>
        <w:spacing w:after="0" w:line="240" w:lineRule="auto"/>
        <w:jc w:val="both"/>
        <w:rPr>
          <w:rFonts w:ascii="Verdana" w:eastAsia="Calibri" w:hAnsi="Verdana" w:cs="Arial"/>
          <w:lang w:eastAsia="es-ES"/>
        </w:rPr>
      </w:pPr>
      <w:r w:rsidRPr="004661B8">
        <w:rPr>
          <w:rFonts w:ascii="Verdana" w:eastAsia="Calibri" w:hAnsi="Verdana" w:cs="Arial"/>
          <w:lang w:eastAsia="es-ES"/>
        </w:rPr>
        <w:t>Señor</w:t>
      </w:r>
    </w:p>
    <w:p w14:paraId="409C071B" w14:textId="77777777" w:rsidR="002F13FC" w:rsidRPr="00B950A8" w:rsidRDefault="002F13FC" w:rsidP="002F13FC">
      <w:pPr>
        <w:spacing w:after="0" w:line="240" w:lineRule="auto"/>
        <w:jc w:val="both"/>
        <w:rPr>
          <w:rFonts w:ascii="Verdana" w:eastAsia="Calibri" w:hAnsi="Verdana" w:cs="Arial"/>
          <w:b/>
          <w:bCs/>
          <w:color w:val="000000"/>
          <w:lang w:eastAsia="es-ES_tradnl"/>
        </w:rPr>
      </w:pPr>
      <w:r w:rsidRPr="00B950A8">
        <w:rPr>
          <w:rFonts w:ascii="Verdana" w:eastAsia="Calibri" w:hAnsi="Verdana" w:cs="Arial"/>
          <w:b/>
          <w:bCs/>
          <w:color w:val="000000"/>
          <w:lang w:eastAsia="es-ES_tradnl"/>
        </w:rPr>
        <w:t>Juan Pablo Bernal Moncada</w:t>
      </w:r>
    </w:p>
    <w:p w14:paraId="3CC97465" w14:textId="77777777" w:rsidR="002F13FC" w:rsidRPr="003E23E5" w:rsidRDefault="002F13FC" w:rsidP="002F13FC">
      <w:pPr>
        <w:spacing w:after="0" w:line="240" w:lineRule="auto"/>
        <w:jc w:val="both"/>
        <w:rPr>
          <w:rFonts w:ascii="Verdana" w:eastAsia="Calibri" w:hAnsi="Verdana" w:cs="Arial"/>
          <w:color w:val="000000"/>
          <w:lang w:eastAsia="es-ES_tradnl"/>
        </w:rPr>
      </w:pPr>
      <w:hyperlink r:id="rId12" w:history="1">
        <w:r w:rsidRPr="00B41C47">
          <w:rPr>
            <w:rStyle w:val="Hipervnculo"/>
            <w:rFonts w:ascii="Verdana" w:eastAsia="Calibri" w:hAnsi="Verdana" w:cs="Arial"/>
            <w:lang w:eastAsia="es-ES_tradnl"/>
          </w:rPr>
          <w:t>objetor4@gmail.com</w:t>
        </w:r>
      </w:hyperlink>
      <w:r>
        <w:rPr>
          <w:rFonts w:ascii="Verdana" w:eastAsia="Calibri" w:hAnsi="Verdana" w:cs="Arial"/>
          <w:color w:val="000000"/>
          <w:lang w:eastAsia="es-ES_tradnl"/>
        </w:rPr>
        <w:t xml:space="preserve"> </w:t>
      </w:r>
    </w:p>
    <w:p w14:paraId="17831B83" w14:textId="77777777" w:rsidR="002F13FC" w:rsidRPr="003E23E5" w:rsidRDefault="002F13FC" w:rsidP="002F13FC">
      <w:pPr>
        <w:spacing w:after="0" w:line="240" w:lineRule="auto"/>
        <w:jc w:val="both"/>
        <w:rPr>
          <w:rFonts w:ascii="Verdana" w:eastAsia="Calibri" w:hAnsi="Verdana" w:cs="Arial"/>
          <w:color w:val="000000"/>
          <w:lang w:eastAsia="es-ES_tradnl"/>
        </w:rPr>
      </w:pPr>
      <w:r w:rsidRPr="003E23E5">
        <w:rPr>
          <w:rFonts w:ascii="Verdana" w:eastAsia="Calibri" w:hAnsi="Verdana" w:cs="Arial"/>
          <w:color w:val="000000"/>
          <w:lang w:eastAsia="es-ES_tradnl"/>
        </w:rPr>
        <w:t>Fuente de Oro, Meta</w:t>
      </w:r>
    </w:p>
    <w:p w14:paraId="1BC33BBF" w14:textId="77777777" w:rsidR="002F13FC" w:rsidRDefault="002F13FC" w:rsidP="002F13FC">
      <w:pPr>
        <w:spacing w:after="0" w:line="240" w:lineRule="auto"/>
        <w:jc w:val="both"/>
        <w:rPr>
          <w:rFonts w:ascii="Verdana" w:eastAsia="Calibri" w:hAnsi="Verdana" w:cs="Arial"/>
          <w:b/>
          <w:bCs/>
          <w:color w:val="000000"/>
          <w:lang w:eastAsia="es-ES_tradnl"/>
        </w:rPr>
      </w:pPr>
    </w:p>
    <w:p w14:paraId="2BD7C8FB" w14:textId="77777777" w:rsidR="002F13FC" w:rsidRPr="003E23E5" w:rsidRDefault="002F13FC" w:rsidP="002F13FC">
      <w:pPr>
        <w:spacing w:after="0" w:line="240" w:lineRule="auto"/>
        <w:jc w:val="both"/>
        <w:rPr>
          <w:rFonts w:ascii="Verdana" w:eastAsia="Calibri" w:hAnsi="Verdana" w:cs="Arial"/>
          <w:b/>
          <w:bCs/>
          <w:color w:val="000000"/>
          <w:lang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5670"/>
      </w:tblGrid>
      <w:tr w:rsidR="002F13FC" w:rsidRPr="007464FA" w14:paraId="12496B42" w14:textId="77777777" w:rsidTr="00EE7E4D">
        <w:trPr>
          <w:trHeight w:val="162"/>
        </w:trPr>
        <w:tc>
          <w:tcPr>
            <w:tcW w:w="3119" w:type="dxa"/>
          </w:tcPr>
          <w:p w14:paraId="104620AD" w14:textId="77777777" w:rsidR="002F13FC" w:rsidRPr="003E23E5" w:rsidRDefault="002F13FC" w:rsidP="00EE7E4D">
            <w:pPr>
              <w:jc w:val="both"/>
              <w:rPr>
                <w:rFonts w:ascii="Verdana" w:eastAsia="Calibri" w:hAnsi="Verdana" w:cs="Arial"/>
                <w:b/>
                <w:bCs/>
                <w:color w:val="7030A0"/>
                <w:lang w:eastAsia="es-ES_tradnl"/>
              </w:rPr>
            </w:pPr>
          </w:p>
        </w:tc>
        <w:tc>
          <w:tcPr>
            <w:tcW w:w="5670" w:type="dxa"/>
          </w:tcPr>
          <w:p w14:paraId="6D603801" w14:textId="222C449A" w:rsidR="002F13FC" w:rsidRPr="007464FA" w:rsidRDefault="002F13FC" w:rsidP="00EE7E4D">
            <w:pPr>
              <w:jc w:val="both"/>
              <w:rPr>
                <w:rFonts w:ascii="Verdana" w:eastAsia="Calibri" w:hAnsi="Verdana" w:cs="Arial"/>
                <w:b/>
                <w:bCs/>
                <w:lang w:eastAsia="es-ES"/>
              </w:rPr>
            </w:pPr>
            <w:r w:rsidRPr="007464FA">
              <w:rPr>
                <w:rFonts w:ascii="Verdana" w:eastAsia="Calibri" w:hAnsi="Verdana" w:cs="Arial"/>
                <w:b/>
                <w:bCs/>
                <w:lang w:eastAsia="es-ES"/>
              </w:rPr>
              <w:t>Concepto C-</w:t>
            </w:r>
            <w:r>
              <w:rPr>
                <w:rFonts w:ascii="Verdana" w:eastAsia="Calibri" w:hAnsi="Verdana" w:cs="Arial"/>
                <w:b/>
                <w:bCs/>
                <w:lang w:eastAsia="es-ES"/>
              </w:rPr>
              <w:t>1033 de 2026</w:t>
            </w:r>
          </w:p>
          <w:p w14:paraId="1F51702F" w14:textId="77777777" w:rsidR="002F13FC" w:rsidRPr="007464FA" w:rsidRDefault="002F13FC" w:rsidP="00EE7E4D">
            <w:pPr>
              <w:jc w:val="both"/>
              <w:rPr>
                <w:rFonts w:ascii="Verdana" w:eastAsia="Calibri" w:hAnsi="Verdana" w:cs="Arial"/>
                <w:b/>
                <w:bCs/>
                <w:color w:val="7030A0"/>
                <w:lang w:eastAsia="es-ES"/>
              </w:rPr>
            </w:pPr>
          </w:p>
        </w:tc>
      </w:tr>
      <w:tr w:rsidR="002F13FC" w:rsidRPr="007464FA" w14:paraId="37C959A8" w14:textId="77777777" w:rsidTr="00EE7E4D">
        <w:trPr>
          <w:trHeight w:val="884"/>
        </w:trPr>
        <w:tc>
          <w:tcPr>
            <w:tcW w:w="3119" w:type="dxa"/>
          </w:tcPr>
          <w:p w14:paraId="25A46E96" w14:textId="77777777" w:rsidR="002F13FC" w:rsidRPr="007464FA" w:rsidRDefault="002F13FC" w:rsidP="00EE7E4D">
            <w:pPr>
              <w:jc w:val="both"/>
              <w:rPr>
                <w:rFonts w:ascii="Verdana" w:eastAsia="Calibri" w:hAnsi="Verdana" w:cs="Arial"/>
                <w:color w:val="000000"/>
                <w:lang w:eastAsia="es-ES_tradnl"/>
              </w:rPr>
            </w:pPr>
            <w:r w:rsidRPr="007464FA">
              <w:rPr>
                <w:rFonts w:ascii="Verdana" w:eastAsia="Calibri" w:hAnsi="Verdana" w:cs="Arial"/>
                <w:b/>
                <w:color w:val="000000"/>
                <w:lang w:eastAsia="es-ES_tradnl"/>
              </w:rPr>
              <w:t>Temas:</w:t>
            </w:r>
            <w:r w:rsidRPr="007464FA">
              <w:rPr>
                <w:rFonts w:ascii="Verdana" w:eastAsia="Calibri" w:hAnsi="Verdana" w:cs="Arial"/>
                <w:color w:val="000000"/>
                <w:lang w:eastAsia="es-ES_tradnl"/>
              </w:rPr>
              <w:t xml:space="preserve">                   </w:t>
            </w:r>
          </w:p>
        </w:tc>
        <w:tc>
          <w:tcPr>
            <w:tcW w:w="5670" w:type="dxa"/>
          </w:tcPr>
          <w:p w14:paraId="30333F65" w14:textId="6162C549" w:rsidR="002F13FC" w:rsidRDefault="002F13FC" w:rsidP="00EE7E4D">
            <w:pPr>
              <w:spacing w:line="276" w:lineRule="auto"/>
              <w:jc w:val="both"/>
              <w:textAlignment w:val="baseline"/>
              <w:rPr>
                <w:rFonts w:ascii="Verdana" w:eastAsia="Times New Roman" w:hAnsi="Verdana" w:cs="Arial"/>
                <w:lang w:eastAsia="es-ES_tradnl"/>
              </w:rPr>
            </w:pPr>
            <w:r w:rsidRPr="007464FA">
              <w:rPr>
                <w:rFonts w:ascii="Verdana" w:eastAsia="Times New Roman" w:hAnsi="Verdana" w:cs="Arial"/>
                <w:lang w:eastAsia="es-ES_tradnl"/>
              </w:rPr>
              <w:t>PLANEACIÓN – Estudios previos / ESTUDIOS PREVIOS – Análisis del sector – Planeación en los procesos de contratación pública /</w:t>
            </w:r>
            <w:r w:rsidRPr="00BB0DA7">
              <w:rPr>
                <w:rFonts w:ascii="Verdana" w:hAnsi="Verdana"/>
              </w:rPr>
              <w:t xml:space="preserve"> </w:t>
            </w:r>
            <w:r w:rsidRPr="007464FA">
              <w:rPr>
                <w:rFonts w:ascii="Verdana" w:eastAsia="Times New Roman" w:hAnsi="Verdana" w:cs="Arial"/>
                <w:lang w:eastAsia="es-ES_tradnl"/>
              </w:rPr>
              <w:t>ESTUDIOS PREVIOS – Estudio del mercado / ESTUDIOS PREVIOS – Metodologías – Cotizaciones – Autonomía</w:t>
            </w:r>
            <w:r>
              <w:rPr>
                <w:rFonts w:ascii="Verdana" w:eastAsia="Times New Roman" w:hAnsi="Verdana" w:cs="Arial"/>
                <w:lang w:eastAsia="es-ES_tradnl"/>
              </w:rPr>
              <w:t xml:space="preserve"> / ESTUDIOS DEL SECTOR – Insumos – Elementos – Estudio previo</w:t>
            </w:r>
          </w:p>
          <w:p w14:paraId="3913C36F" w14:textId="77777777" w:rsidR="002F13FC" w:rsidRPr="007464FA" w:rsidRDefault="002F13FC" w:rsidP="00EE7E4D">
            <w:pPr>
              <w:jc w:val="both"/>
              <w:textAlignment w:val="baseline"/>
              <w:rPr>
                <w:rFonts w:ascii="Verdana" w:eastAsia="Times New Roman" w:hAnsi="Verdana" w:cs="Arial"/>
                <w:lang w:eastAsia="es-ES_tradnl"/>
              </w:rPr>
            </w:pPr>
          </w:p>
          <w:p w14:paraId="463D4693" w14:textId="77777777" w:rsidR="002F13FC" w:rsidRPr="007464FA" w:rsidRDefault="002F13FC" w:rsidP="00EE7E4D">
            <w:pPr>
              <w:jc w:val="both"/>
              <w:rPr>
                <w:rFonts w:ascii="Verdana" w:eastAsia="Calibri" w:hAnsi="Verdana" w:cs="Arial"/>
                <w:lang w:eastAsia="es-ES"/>
              </w:rPr>
            </w:pPr>
          </w:p>
        </w:tc>
      </w:tr>
      <w:tr w:rsidR="002F13FC" w:rsidRPr="007464FA" w14:paraId="358DC3FF" w14:textId="77777777" w:rsidTr="00EE7E4D">
        <w:tc>
          <w:tcPr>
            <w:tcW w:w="3119" w:type="dxa"/>
          </w:tcPr>
          <w:p w14:paraId="42815D38" w14:textId="77777777" w:rsidR="002F13FC" w:rsidRPr="007464FA" w:rsidRDefault="002F13FC" w:rsidP="00EE7E4D">
            <w:pPr>
              <w:jc w:val="both"/>
              <w:rPr>
                <w:rFonts w:ascii="Verdana" w:eastAsia="Calibri" w:hAnsi="Verdana" w:cs="Arial"/>
                <w:b/>
                <w:color w:val="000000" w:themeColor="text1"/>
                <w:lang w:eastAsia="es-ES_tradnl"/>
              </w:rPr>
            </w:pPr>
            <w:r w:rsidRPr="007464FA">
              <w:rPr>
                <w:rFonts w:ascii="Verdana" w:eastAsia="Calibri" w:hAnsi="Verdana" w:cs="Arial"/>
                <w:b/>
                <w:color w:val="000000" w:themeColor="text1"/>
                <w:lang w:eastAsia="es-ES_tradnl"/>
              </w:rPr>
              <w:t>Radicación:</w:t>
            </w:r>
            <w:r w:rsidRPr="007464FA">
              <w:rPr>
                <w:rFonts w:ascii="Verdana" w:eastAsia="Calibri" w:hAnsi="Verdana" w:cs="Arial"/>
                <w:color w:val="000000" w:themeColor="text1"/>
                <w:lang w:eastAsia="es-ES_tradnl"/>
              </w:rPr>
              <w:t xml:space="preserve">               </w:t>
            </w:r>
          </w:p>
        </w:tc>
        <w:tc>
          <w:tcPr>
            <w:tcW w:w="5670" w:type="dxa"/>
          </w:tcPr>
          <w:p w14:paraId="77E2095A" w14:textId="77777777" w:rsidR="002F13FC" w:rsidRPr="007464FA" w:rsidRDefault="002F13FC" w:rsidP="00EE7E4D">
            <w:pPr>
              <w:jc w:val="both"/>
              <w:rPr>
                <w:rFonts w:ascii="Verdana" w:eastAsia="Calibri" w:hAnsi="Verdana" w:cs="Arial"/>
                <w:color w:val="000000" w:themeColor="text1"/>
                <w:lang w:eastAsia="es-ES_tradnl"/>
              </w:rPr>
            </w:pPr>
            <w:r w:rsidRPr="007464FA">
              <w:rPr>
                <w:rFonts w:ascii="Verdana" w:eastAsia="Calibri" w:hAnsi="Verdana" w:cs="Arial"/>
                <w:color w:val="000000" w:themeColor="text1"/>
                <w:lang w:eastAsia="es-ES_tradnl"/>
              </w:rPr>
              <w:t xml:space="preserve">Respuesta a consulta con radicado </w:t>
            </w:r>
            <w:r w:rsidRPr="003E23E5">
              <w:rPr>
                <w:rFonts w:ascii="Verdana" w:eastAsia="Calibri" w:hAnsi="Verdana" w:cs="Arial"/>
                <w:color w:val="000000" w:themeColor="text1"/>
                <w:lang w:eastAsia="es-ES_tradnl"/>
              </w:rPr>
              <w:t>1_2026_06_26_008635</w:t>
            </w:r>
          </w:p>
        </w:tc>
      </w:tr>
    </w:tbl>
    <w:p w14:paraId="1AA4E2AF" w14:textId="77777777" w:rsidR="002F13FC" w:rsidRPr="007464FA" w:rsidRDefault="002F13FC" w:rsidP="002F13FC">
      <w:pPr>
        <w:spacing w:after="0" w:line="240" w:lineRule="auto"/>
        <w:jc w:val="both"/>
        <w:rPr>
          <w:rFonts w:ascii="Verdana" w:eastAsia="Calibri" w:hAnsi="Verdana" w:cs="Arial"/>
          <w:lang w:eastAsia="es-ES_tradnl"/>
        </w:rPr>
      </w:pPr>
    </w:p>
    <w:p w14:paraId="42990D45" w14:textId="77777777" w:rsidR="002F13FC" w:rsidRPr="007464FA" w:rsidRDefault="002F13FC" w:rsidP="002F13FC">
      <w:pPr>
        <w:spacing w:after="0" w:line="276" w:lineRule="auto"/>
        <w:jc w:val="both"/>
        <w:rPr>
          <w:rFonts w:ascii="Verdana" w:eastAsia="Calibri" w:hAnsi="Verdana" w:cs="Arial"/>
          <w:lang w:eastAsia="es-ES"/>
        </w:rPr>
      </w:pPr>
      <w:r w:rsidRPr="007464FA">
        <w:rPr>
          <w:rFonts w:ascii="Verdana" w:eastAsia="Calibri" w:hAnsi="Verdana" w:cs="Arial"/>
          <w:lang w:eastAsia="es-ES"/>
        </w:rPr>
        <w:t xml:space="preserve">Estimado </w:t>
      </w:r>
      <w:r>
        <w:rPr>
          <w:rFonts w:ascii="Verdana" w:eastAsia="Calibri" w:hAnsi="Verdana" w:cs="Arial"/>
          <w:lang w:eastAsia="es-ES"/>
        </w:rPr>
        <w:t>Señor Bernal</w:t>
      </w:r>
      <w:r w:rsidRPr="007464FA">
        <w:rPr>
          <w:rFonts w:ascii="Verdana" w:eastAsia="Calibri" w:hAnsi="Verdana" w:cs="Arial"/>
          <w:lang w:eastAsia="es-ES"/>
        </w:rPr>
        <w:t xml:space="preserve">: </w:t>
      </w:r>
    </w:p>
    <w:p w14:paraId="049EE4AA" w14:textId="77777777" w:rsidR="002F13FC" w:rsidRPr="007464FA" w:rsidRDefault="002F13FC" w:rsidP="002F13FC">
      <w:pPr>
        <w:tabs>
          <w:tab w:val="left" w:pos="3768"/>
        </w:tabs>
        <w:spacing w:after="0" w:line="276" w:lineRule="auto"/>
        <w:jc w:val="both"/>
        <w:rPr>
          <w:rFonts w:ascii="Verdana" w:eastAsia="Calibri" w:hAnsi="Verdana" w:cs="Arial"/>
          <w:lang w:eastAsia="es-ES"/>
        </w:rPr>
      </w:pPr>
    </w:p>
    <w:p w14:paraId="5EB70401" w14:textId="77777777" w:rsidR="002F13FC" w:rsidRPr="007464FA" w:rsidRDefault="002F13FC" w:rsidP="002F13FC">
      <w:pPr>
        <w:tabs>
          <w:tab w:val="left" w:pos="3768"/>
        </w:tabs>
        <w:spacing w:after="0" w:line="276" w:lineRule="auto"/>
        <w:jc w:val="both"/>
        <w:rPr>
          <w:rFonts w:ascii="Verdana" w:eastAsia="Calibri" w:hAnsi="Verdana" w:cs="Arial"/>
          <w:lang w:eastAsia="es-ES"/>
        </w:rPr>
      </w:pPr>
      <w:r w:rsidRPr="007464FA">
        <w:rPr>
          <w:rFonts w:ascii="Verdana" w:eastAsia="Calibri" w:hAnsi="Verdana" w:cs="Arial"/>
          <w:lang w:eastAsia="es-ES"/>
        </w:rPr>
        <w:t>En ejercicio de la competencia otorgada por los artículos 3, numeral 5º, y 11, numeral 8º, del Decreto Ley 4170 de 2011, así como lo establecido en la Resolución 469 de 2025 expedida por esta Entidad, la Agencia Nacional de Contratación Pública – Colombia Compra Eficiente– responde su solicitud de consulta d</w:t>
      </w:r>
      <w:r>
        <w:rPr>
          <w:rFonts w:ascii="Verdana" w:eastAsia="Calibri" w:hAnsi="Verdana" w:cs="Arial"/>
          <w:lang w:eastAsia="es-ES"/>
        </w:rPr>
        <w:t>el 26 de junio de 2026</w:t>
      </w:r>
      <w:r w:rsidRPr="007464FA">
        <w:rPr>
          <w:rFonts w:ascii="Verdana" w:eastAsia="Calibri" w:hAnsi="Verdana" w:cs="Arial"/>
          <w:lang w:eastAsia="es-ES"/>
        </w:rPr>
        <w:t>, en la cual manifiesta:</w:t>
      </w:r>
    </w:p>
    <w:p w14:paraId="2E2187AF" w14:textId="77777777" w:rsidR="002F13FC" w:rsidRPr="007464FA" w:rsidRDefault="002F13FC" w:rsidP="002F13FC">
      <w:pPr>
        <w:spacing w:after="0" w:line="276" w:lineRule="auto"/>
        <w:ind w:left="709" w:right="709"/>
        <w:jc w:val="both"/>
        <w:rPr>
          <w:rFonts w:ascii="Verdana" w:eastAsia="Calibri" w:hAnsi="Verdana" w:cs="Arial"/>
          <w:color w:val="000000" w:themeColor="text1"/>
          <w:sz w:val="20"/>
          <w:szCs w:val="20"/>
        </w:rPr>
      </w:pPr>
    </w:p>
    <w:p w14:paraId="575F1EF0" w14:textId="77777777" w:rsidR="002F13FC" w:rsidRPr="003E23E5" w:rsidRDefault="002F13FC" w:rsidP="002F13FC">
      <w:pPr>
        <w:spacing w:after="0" w:line="240" w:lineRule="auto"/>
        <w:ind w:left="709" w:right="709"/>
        <w:jc w:val="both"/>
        <w:rPr>
          <w:rFonts w:ascii="Verdana" w:eastAsia="Calibri" w:hAnsi="Verdana" w:cs="Arial"/>
          <w:i/>
          <w:iCs/>
          <w:color w:val="000000" w:themeColor="text1"/>
          <w:sz w:val="20"/>
          <w:szCs w:val="20"/>
        </w:rPr>
      </w:pPr>
      <w:bookmarkStart w:id="3" w:name="_Hlk192699624"/>
      <w:bookmarkStart w:id="4" w:name="_Hlk199394899"/>
      <w:r w:rsidRPr="008C54F3">
        <w:rPr>
          <w:rFonts w:ascii="Verdana" w:eastAsia="Calibri" w:hAnsi="Verdana" w:cs="Arial"/>
          <w:i/>
          <w:iCs/>
          <w:color w:val="000000" w:themeColor="text1"/>
          <w:sz w:val="20"/>
          <w:szCs w:val="20"/>
        </w:rPr>
        <w:t>“</w:t>
      </w:r>
      <w:bookmarkEnd w:id="3"/>
      <w:bookmarkEnd w:id="4"/>
      <w:r w:rsidRPr="003E23E5">
        <w:rPr>
          <w:rFonts w:ascii="Verdana" w:eastAsia="Calibri" w:hAnsi="Verdana" w:cs="Arial"/>
          <w:i/>
          <w:iCs/>
          <w:color w:val="000000" w:themeColor="text1"/>
          <w:sz w:val="20"/>
          <w:szCs w:val="20"/>
        </w:rPr>
        <w:t>1. El análisis del sector ¿puede ser parte del proceso de contratación</w:t>
      </w:r>
      <w:r>
        <w:rPr>
          <w:rFonts w:ascii="Verdana" w:eastAsia="Calibri" w:hAnsi="Verdana" w:cs="Arial"/>
          <w:i/>
          <w:iCs/>
          <w:color w:val="000000" w:themeColor="text1"/>
          <w:sz w:val="20"/>
          <w:szCs w:val="20"/>
        </w:rPr>
        <w:t xml:space="preserve"> </w:t>
      </w:r>
      <w:r w:rsidRPr="003E23E5">
        <w:rPr>
          <w:rFonts w:ascii="Verdana" w:eastAsia="Calibri" w:hAnsi="Verdana" w:cs="Arial"/>
          <w:i/>
          <w:iCs/>
          <w:color w:val="000000" w:themeColor="text1"/>
          <w:sz w:val="20"/>
          <w:szCs w:val="20"/>
        </w:rPr>
        <w:t>en un documento por separado al documento de los estudios previos?</w:t>
      </w:r>
    </w:p>
    <w:p w14:paraId="7732B945" w14:textId="77777777" w:rsidR="002F13FC" w:rsidRPr="003E23E5" w:rsidRDefault="002F13FC" w:rsidP="002F13FC">
      <w:pPr>
        <w:spacing w:after="0" w:line="240" w:lineRule="auto"/>
        <w:ind w:left="709" w:right="709"/>
        <w:jc w:val="both"/>
        <w:rPr>
          <w:rFonts w:ascii="Verdana" w:eastAsia="Calibri" w:hAnsi="Verdana" w:cs="Arial"/>
          <w:i/>
          <w:iCs/>
          <w:color w:val="000000" w:themeColor="text1"/>
          <w:sz w:val="20"/>
          <w:szCs w:val="20"/>
        </w:rPr>
      </w:pPr>
      <w:r w:rsidRPr="003E23E5">
        <w:rPr>
          <w:rFonts w:ascii="Verdana" w:eastAsia="Calibri" w:hAnsi="Verdana" w:cs="Arial"/>
          <w:i/>
          <w:iCs/>
          <w:color w:val="000000" w:themeColor="text1"/>
          <w:sz w:val="20"/>
          <w:szCs w:val="20"/>
        </w:rPr>
        <w:t>2. En caso que, el análisis del sector pueda ser parte del proceso de</w:t>
      </w:r>
      <w:r>
        <w:rPr>
          <w:rFonts w:ascii="Verdana" w:eastAsia="Calibri" w:hAnsi="Verdana" w:cs="Arial"/>
          <w:i/>
          <w:iCs/>
          <w:color w:val="000000" w:themeColor="text1"/>
          <w:sz w:val="20"/>
          <w:szCs w:val="20"/>
        </w:rPr>
        <w:t xml:space="preserve"> </w:t>
      </w:r>
      <w:r w:rsidRPr="003E23E5">
        <w:rPr>
          <w:rFonts w:ascii="Verdana" w:eastAsia="Calibri" w:hAnsi="Verdana" w:cs="Arial"/>
          <w:i/>
          <w:iCs/>
          <w:color w:val="000000" w:themeColor="text1"/>
          <w:sz w:val="20"/>
          <w:szCs w:val="20"/>
        </w:rPr>
        <w:t>contratación en un documento por separado a los estudios previos, ¿qué</w:t>
      </w:r>
    </w:p>
    <w:p w14:paraId="6FFA9555" w14:textId="77777777" w:rsidR="002F13FC" w:rsidRPr="00453E03" w:rsidRDefault="002F13FC" w:rsidP="002F13FC">
      <w:pPr>
        <w:spacing w:after="0" w:line="240" w:lineRule="auto"/>
        <w:ind w:left="709" w:right="709"/>
        <w:jc w:val="both"/>
        <w:rPr>
          <w:rFonts w:ascii="Verdana" w:eastAsia="Calibri" w:hAnsi="Verdana" w:cs="Arial"/>
          <w:i/>
          <w:iCs/>
          <w:color w:val="000000" w:themeColor="text1"/>
          <w:sz w:val="20"/>
          <w:szCs w:val="20"/>
        </w:rPr>
      </w:pPr>
      <w:r w:rsidRPr="003E23E5">
        <w:rPr>
          <w:rFonts w:ascii="Verdana" w:eastAsia="Calibri" w:hAnsi="Verdana" w:cs="Arial"/>
          <w:i/>
          <w:iCs/>
          <w:color w:val="000000" w:themeColor="text1"/>
          <w:sz w:val="20"/>
          <w:szCs w:val="20"/>
        </w:rPr>
        <w:t>información del análisis del sector debe insertarse en los estudios previos?</w:t>
      </w:r>
      <w:r>
        <w:rPr>
          <w:rFonts w:ascii="Verdana" w:eastAsia="Calibri" w:hAnsi="Verdana" w:cs="Arial"/>
          <w:i/>
          <w:iCs/>
          <w:color w:val="000000" w:themeColor="text1"/>
          <w:sz w:val="20"/>
          <w:szCs w:val="20"/>
        </w:rPr>
        <w:t>”</w:t>
      </w:r>
    </w:p>
    <w:p w14:paraId="7B3FD516" w14:textId="77777777" w:rsidR="002F13FC" w:rsidRDefault="002F13FC" w:rsidP="002F13FC">
      <w:pPr>
        <w:spacing w:after="0" w:line="276" w:lineRule="auto"/>
        <w:ind w:firstLine="709"/>
        <w:jc w:val="both"/>
        <w:rPr>
          <w:rFonts w:ascii="Verdana" w:eastAsia="Calibri" w:hAnsi="Verdana" w:cs="Arial"/>
          <w:color w:val="000000"/>
          <w:lang w:eastAsia="es-ES"/>
        </w:rPr>
      </w:pPr>
    </w:p>
    <w:p w14:paraId="5ADEACE5" w14:textId="77777777" w:rsidR="002F13FC" w:rsidRDefault="002F13FC" w:rsidP="002F13FC">
      <w:pPr>
        <w:spacing w:after="0" w:line="276" w:lineRule="auto"/>
        <w:ind w:firstLine="709"/>
        <w:jc w:val="both"/>
        <w:rPr>
          <w:rFonts w:ascii="Verdana" w:eastAsia="Calibri" w:hAnsi="Verdana" w:cs="Arial"/>
          <w:color w:val="000000"/>
          <w:szCs w:val="24"/>
          <w:lang w:eastAsia="es-ES_tradnl"/>
        </w:rPr>
      </w:pPr>
      <w:r w:rsidRPr="008E4F36">
        <w:rPr>
          <w:rFonts w:ascii="Verdana" w:eastAsia="Calibri" w:hAnsi="Verdana" w:cs="Arial"/>
          <w:color w:val="000000"/>
          <w:lang w:eastAsia="es-ES"/>
        </w:rPr>
        <w:lastRenderedPageBreak/>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p>
    <w:p w14:paraId="2B9BA96E" w14:textId="77777777" w:rsidR="002F13FC" w:rsidRPr="00054383" w:rsidRDefault="002F13FC" w:rsidP="002F13FC">
      <w:pPr>
        <w:spacing w:before="120" w:after="0" w:line="276" w:lineRule="auto"/>
        <w:ind w:firstLine="709"/>
        <w:jc w:val="both"/>
        <w:rPr>
          <w:rFonts w:ascii="Verdana" w:eastAsia="Calibri" w:hAnsi="Verdana" w:cs="Arial"/>
          <w:color w:val="000000"/>
          <w:szCs w:val="24"/>
          <w:lang w:eastAsia="es-ES_tradnl"/>
        </w:rPr>
      </w:pPr>
      <w:r w:rsidRPr="008E4F36">
        <w:rPr>
          <w:rFonts w:ascii="Verdana" w:eastAsia="Calibri" w:hAnsi="Verdana" w:cs="Arial"/>
          <w:color w:val="000000"/>
          <w:lang w:eastAsia="es-ES"/>
        </w:rPr>
        <w:t xml:space="preserve">Conforme lo expuesto, en aras de garantizar el derecho fundamental de petición, se resolverá su petición dentro de los límites de la referida competencia consultiva, esto es, haciendo abstracción del caso particular y concreto señalado en su petición, pero señalando algunas consideraciones sobre las normas generales relacionadas </w:t>
      </w:r>
      <w:r w:rsidRPr="002975A0">
        <w:rPr>
          <w:rFonts w:ascii="Verdana" w:eastAsia="Calibri" w:hAnsi="Verdana" w:cs="Arial"/>
          <w:color w:val="000000"/>
          <w:lang w:eastAsia="es-ES"/>
        </w:rPr>
        <w:t xml:space="preserve">con </w:t>
      </w:r>
      <w:r>
        <w:rPr>
          <w:rFonts w:ascii="Verdana" w:eastAsia="Calibri" w:hAnsi="Verdana" w:cs="Arial"/>
          <w:color w:val="000000"/>
          <w:lang w:eastAsia="es-ES"/>
        </w:rPr>
        <w:t xml:space="preserve">el </w:t>
      </w:r>
      <w:r w:rsidRPr="002975A0">
        <w:rPr>
          <w:rFonts w:ascii="Verdana" w:eastAsia="Calibri" w:hAnsi="Verdana" w:cs="Arial"/>
          <w:color w:val="000000"/>
          <w:lang w:eastAsia="es-ES"/>
        </w:rPr>
        <w:t>problema jurídico de su consulta.</w:t>
      </w:r>
      <w:r w:rsidRPr="008E4F36">
        <w:rPr>
          <w:rFonts w:ascii="Verdana" w:eastAsia="Calibri" w:hAnsi="Verdana" w:cs="Arial"/>
          <w:color w:val="000000"/>
          <w:lang w:eastAsia="es-ES"/>
        </w:rPr>
        <w:t xml:space="preserve">  </w:t>
      </w:r>
    </w:p>
    <w:p w14:paraId="0DBFAB71" w14:textId="77777777" w:rsidR="002F13FC" w:rsidRPr="008E4F36" w:rsidRDefault="002F13FC" w:rsidP="002F13FC">
      <w:pPr>
        <w:spacing w:after="0"/>
        <w:ind w:firstLine="709"/>
        <w:jc w:val="both"/>
        <w:rPr>
          <w:rFonts w:ascii="Verdana" w:eastAsia="Calibri" w:hAnsi="Verdana" w:cs="Arial"/>
          <w:color w:val="000000"/>
          <w:lang w:eastAsia="es-ES"/>
        </w:rPr>
      </w:pPr>
    </w:p>
    <w:p w14:paraId="0D20D6A9" w14:textId="77777777" w:rsidR="002F13FC" w:rsidRDefault="002F13FC" w:rsidP="002F13FC">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8E4F36">
        <w:rPr>
          <w:rFonts w:ascii="Verdana" w:eastAsia="Century Gothic" w:hAnsi="Verdana" w:cs="Century Gothic"/>
          <w:b/>
          <w:bCs/>
        </w:rPr>
        <w:t>Problema planteado:</w:t>
      </w:r>
    </w:p>
    <w:p w14:paraId="3FD7C53F" w14:textId="77777777" w:rsidR="002F13FC" w:rsidRDefault="002F13FC" w:rsidP="002F13FC">
      <w:pPr>
        <w:spacing w:after="0" w:line="276" w:lineRule="auto"/>
        <w:jc w:val="both"/>
        <w:rPr>
          <w:rFonts w:ascii="Verdana" w:eastAsia="Calibri" w:hAnsi="Verdana" w:cs="Arial"/>
          <w:color w:val="000000"/>
          <w:highlight w:val="yellow"/>
          <w:lang w:eastAsia="es-ES"/>
        </w:rPr>
      </w:pPr>
    </w:p>
    <w:p w14:paraId="53B6D009" w14:textId="77777777" w:rsidR="002F13FC" w:rsidRPr="005A3B40" w:rsidRDefault="002F13FC" w:rsidP="002F13FC">
      <w:pPr>
        <w:spacing w:after="0" w:line="276" w:lineRule="auto"/>
        <w:jc w:val="both"/>
        <w:rPr>
          <w:rFonts w:ascii="Verdana" w:eastAsia="Calibri" w:hAnsi="Verdana" w:cs="Arial"/>
          <w:color w:val="000000"/>
          <w:lang w:eastAsia="es-ES"/>
        </w:rPr>
      </w:pPr>
      <w:r w:rsidRPr="00005FE3">
        <w:rPr>
          <w:rFonts w:ascii="Verdana" w:eastAsia="Calibri" w:hAnsi="Verdana" w:cs="Arial"/>
          <w:color w:val="000000"/>
          <w:lang w:eastAsia="es-ES"/>
        </w:rPr>
        <w:t xml:space="preserve">De acuerdo con el contenido de su solicitud, esta Agencia resolverá </w:t>
      </w:r>
      <w:r>
        <w:rPr>
          <w:rFonts w:ascii="Verdana" w:eastAsia="Calibri" w:hAnsi="Verdana" w:cs="Arial"/>
          <w:color w:val="000000"/>
          <w:lang w:eastAsia="es-ES"/>
        </w:rPr>
        <w:t>el siguiente</w:t>
      </w:r>
      <w:r w:rsidRPr="00005FE3">
        <w:rPr>
          <w:rFonts w:ascii="Verdana" w:eastAsia="Calibri" w:hAnsi="Verdana" w:cs="Arial"/>
          <w:color w:val="000000"/>
          <w:lang w:eastAsia="es-ES"/>
        </w:rPr>
        <w:t xml:space="preserve"> problema jurídico: </w:t>
      </w:r>
      <w:r w:rsidRPr="003E23E5">
        <w:rPr>
          <w:rFonts w:ascii="Verdana" w:eastAsia="Calibri" w:hAnsi="Verdana" w:cs="Arial"/>
          <w:color w:val="000000"/>
          <w:lang w:eastAsia="es-ES"/>
        </w:rPr>
        <w:t>¿</w:t>
      </w:r>
      <w:r w:rsidRPr="00E6563F">
        <w:rPr>
          <w:rFonts w:ascii="Verdana" w:eastAsia="Calibri" w:hAnsi="Verdana" w:cs="Arial"/>
          <w:color w:val="000000"/>
          <w:lang w:eastAsia="es-ES"/>
        </w:rPr>
        <w:t>Puede el análisis del sector constar en un documento separado de los estudios previos y, en caso afirmativo, qué información resultante de ese análisis debe incorporarse necesariamente en los estudios previos?</w:t>
      </w:r>
    </w:p>
    <w:p w14:paraId="2757D46B" w14:textId="77777777" w:rsidR="002F13FC" w:rsidRPr="00BF422F" w:rsidRDefault="002F13FC" w:rsidP="002F13FC">
      <w:pPr>
        <w:spacing w:after="0" w:line="276" w:lineRule="auto"/>
        <w:jc w:val="both"/>
        <w:rPr>
          <w:rFonts w:ascii="Verdana" w:eastAsia="Calibri" w:hAnsi="Verdana" w:cs="Times New Roman"/>
          <w:i/>
          <w:iCs/>
          <w:lang w:val="es-ES"/>
        </w:rPr>
      </w:pPr>
    </w:p>
    <w:p w14:paraId="6F7CDCF8" w14:textId="77777777" w:rsidR="002F13FC" w:rsidRPr="008E4F36" w:rsidRDefault="002F13FC" w:rsidP="002F13FC">
      <w:pPr>
        <w:spacing w:after="0" w:line="276" w:lineRule="auto"/>
        <w:jc w:val="both"/>
        <w:rPr>
          <w:rFonts w:ascii="Verdana" w:eastAsia="Century Gothic" w:hAnsi="Verdana" w:cs="Century Gothic"/>
          <w:b/>
          <w:bCs/>
        </w:rPr>
      </w:pPr>
      <w:r w:rsidRPr="008E4F36">
        <w:rPr>
          <w:rFonts w:ascii="Verdana" w:eastAsia="Century Gothic" w:hAnsi="Verdana" w:cs="Century Gothic"/>
          <w:b/>
          <w:bCs/>
        </w:rPr>
        <w:t>2. Respuesta:</w:t>
      </w:r>
    </w:p>
    <w:p w14:paraId="2435F69A" w14:textId="77777777" w:rsidR="002F13FC" w:rsidRPr="00596164" w:rsidRDefault="002F13FC" w:rsidP="002F13FC">
      <w:pPr>
        <w:tabs>
          <w:tab w:val="left" w:pos="142"/>
          <w:tab w:val="left" w:pos="284"/>
        </w:tabs>
        <w:spacing w:after="0" w:line="276" w:lineRule="auto"/>
        <w:jc w:val="both"/>
        <w:rPr>
          <w:rFonts w:ascii="Verdana" w:eastAsia="Century Gothic" w:hAnsi="Verdana" w:cs="Century Gothic"/>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2F13FC" w:rsidRPr="00596164" w14:paraId="6E7DDBF0" w14:textId="77777777" w:rsidTr="00EE7E4D">
        <w:tc>
          <w:tcPr>
            <w:tcW w:w="8828" w:type="dxa"/>
          </w:tcPr>
          <w:p w14:paraId="454249FC" w14:textId="77777777" w:rsidR="002F13FC" w:rsidRPr="00756423" w:rsidRDefault="002F13FC" w:rsidP="00EE7E4D">
            <w:pPr>
              <w:spacing w:after="120" w:line="276" w:lineRule="auto"/>
              <w:jc w:val="both"/>
              <w:rPr>
                <w:rFonts w:ascii="Verdana" w:hAnsi="Verdana" w:cs="Arial"/>
                <w:color w:val="000000" w:themeColor="text1"/>
              </w:rPr>
            </w:pPr>
            <w:r w:rsidRPr="00756423">
              <w:rPr>
                <w:rFonts w:ascii="Verdana" w:hAnsi="Verdana" w:cs="Arial"/>
                <w:color w:val="000000" w:themeColor="text1"/>
              </w:rPr>
              <w:t xml:space="preserve">El análisis del sector sí puede elaborarse y presentarse en un documento separado de los estudios previos. Ninguna disposición del Estatuto General de Contratación de la Administración Pública ni del Decreto 1082 de 2015 exige que ambos consten en una sola pieza documental, como tampoco impone un formato único para su elaboración. El artículo 2.2.1.1.1.6.1 del Decreto 1082 de 2015 se limita a consagrar el deber de conocer el sector relativo al objeto del proceso de contratación y deja a la Entidad Estatal en libertad para estructurar ese análisis según la naturaleza, complejidad y cuantía del objeto </w:t>
            </w:r>
            <w:r w:rsidRPr="00756423">
              <w:rPr>
                <w:rFonts w:ascii="Verdana" w:hAnsi="Verdana" w:cs="Arial"/>
                <w:color w:val="000000" w:themeColor="text1"/>
              </w:rPr>
              <w:lastRenderedPageBreak/>
              <w:t>que pretende contratar. De ahí que su autonomía sea únicamente documental, de manera que la entidad bien puede conservarlo como un soporte técnico independiente, e incluso extenso, sin que esa separación material contraríe la normativa vigente.</w:t>
            </w:r>
          </w:p>
          <w:p w14:paraId="1B1D32CC" w14:textId="77777777" w:rsidR="002F13FC" w:rsidRPr="00756423" w:rsidRDefault="002F13FC" w:rsidP="00EE7E4D">
            <w:pPr>
              <w:spacing w:after="120" w:line="276" w:lineRule="auto"/>
              <w:ind w:firstLine="709"/>
              <w:jc w:val="both"/>
              <w:rPr>
                <w:rFonts w:ascii="Verdana" w:hAnsi="Verdana" w:cs="Arial"/>
                <w:color w:val="000000" w:themeColor="text1"/>
              </w:rPr>
            </w:pPr>
            <w:r w:rsidRPr="00756423">
              <w:rPr>
                <w:rFonts w:ascii="Verdana" w:hAnsi="Verdana" w:cs="Arial"/>
                <w:color w:val="000000" w:themeColor="text1"/>
              </w:rPr>
              <w:t>Ahora bien, esa autonomía documental no equivale a una autonomía funcional frente a la planeación contractual, y en ello reside la respuesta al segundo interrogante. El análisis del sector no constituye una pieza independiente dentro del Proceso de Contratación, pues sus resultados deben quedar integrados en los estudios previos o en la información que les sirve de soporte. Los estudios previos son el instrumento que motiva y orienta las decisiones de la Administración, en tanto fundamentan el proyecto de pliego, el acto administrativo de apertura, los requisitos habilitantes y, en último término, la adjudicación, según lo dispone el artículo 2.2.1.1.2.1.1 del Decreto 1082 de 2015. Por esa razón, la Entidad Estatal está obligada a trasladar a los estudios previos aquellos hallazgos del análisis del sector que inciden de manera directa en las decisiones del proceso, sin que baste con que reposen aislados en el documento técnico independiente.</w:t>
            </w:r>
          </w:p>
          <w:p w14:paraId="4A328550" w14:textId="77777777" w:rsidR="002F13FC" w:rsidRPr="00756423" w:rsidRDefault="002F13FC" w:rsidP="00EE7E4D">
            <w:pPr>
              <w:spacing w:after="120" w:line="276" w:lineRule="auto"/>
              <w:ind w:firstLine="709"/>
              <w:jc w:val="both"/>
              <w:rPr>
                <w:rFonts w:ascii="Verdana" w:hAnsi="Verdana" w:cs="Arial"/>
                <w:color w:val="000000" w:themeColor="text1"/>
              </w:rPr>
            </w:pPr>
            <w:r w:rsidRPr="00756423">
              <w:rPr>
                <w:rFonts w:ascii="Verdana" w:hAnsi="Verdana" w:cs="Arial"/>
                <w:color w:val="000000" w:themeColor="text1"/>
              </w:rPr>
              <w:t>Entre tales elementos se encuentran la descripción de la necesidad y las alternativas para satisfacerla, el objeto con las especificaciones técnicas derivadas del estudio del mercado y la justificación de la modalidad de selección escogida. A ellos se suman el valor estimado del contrato, soportado en información real de mercado como los precios, las cargas tributarias, la tasa de cambio y los gastos de transporte, junto con los criterios de selección de la oferta más favorable, los requisitos habilitantes, el análisis de riesgos y su forma de mitigación y las garantías que la entidad contemple exigir. De igual modo deben incorporarse las condiciones regulatorias aplicables, las prácticas comerciales relevantes, las barreras de entrada y los factores socioambientales que resulten determinantes para la estructuración del proceso, en la medida en que son los que permiten motivar la modalidad de selección, los requisitos habilitantes, los criterios diferenciales y las condiciones contractuales.</w:t>
            </w:r>
          </w:p>
          <w:p w14:paraId="0F3139AA" w14:textId="77777777" w:rsidR="002F13FC" w:rsidRPr="00596164" w:rsidRDefault="002F13FC" w:rsidP="00EE7E4D">
            <w:pPr>
              <w:spacing w:after="120" w:line="276" w:lineRule="auto"/>
              <w:ind w:firstLine="709"/>
              <w:jc w:val="both"/>
              <w:rPr>
                <w:rFonts w:ascii="Verdana" w:hAnsi="Verdana" w:cs="Arial"/>
                <w:color w:val="000000" w:themeColor="text1"/>
              </w:rPr>
            </w:pPr>
            <w:r w:rsidRPr="00756423">
              <w:rPr>
                <w:rFonts w:ascii="Verdana" w:hAnsi="Verdana" w:cs="Arial"/>
                <w:color w:val="000000" w:themeColor="text1"/>
              </w:rPr>
              <w:t xml:space="preserve">En suma, el análisis del sector puede ser autónomo en su elaboración documental, mas no frente a la planeación contractual. La Entidad Estatal conserva la libertad de documentarlo por separado, pero está obligada a trasladar a los estudios previos los elementos que determinan el objeto, el </w:t>
            </w:r>
            <w:r w:rsidRPr="00756423">
              <w:rPr>
                <w:rFonts w:ascii="Verdana" w:hAnsi="Verdana" w:cs="Arial"/>
                <w:color w:val="000000" w:themeColor="text1"/>
              </w:rPr>
              <w:lastRenderedPageBreak/>
              <w:t>valor, los riesgos, la escogencia del contratista y las garantías del contrato, de manera que estos cumplan su función de soportar la apertura, los pliegos y la adjudicación conforme a los principios de eficiencia, economía, transparencia y selección objetiva.</w:t>
            </w:r>
            <w:r>
              <w:rPr>
                <w:rFonts w:ascii="Verdana" w:hAnsi="Verdana" w:cs="Arial"/>
                <w:color w:val="000000" w:themeColor="text1"/>
              </w:rPr>
              <w:t xml:space="preserve">  </w:t>
            </w:r>
          </w:p>
        </w:tc>
      </w:tr>
    </w:tbl>
    <w:p w14:paraId="6D6B7454" w14:textId="77777777" w:rsidR="002F13FC" w:rsidRDefault="002F13FC" w:rsidP="002F13FC">
      <w:pPr>
        <w:tabs>
          <w:tab w:val="left" w:pos="142"/>
          <w:tab w:val="left" w:pos="284"/>
        </w:tabs>
        <w:spacing w:after="0" w:line="240" w:lineRule="auto"/>
        <w:jc w:val="both"/>
        <w:rPr>
          <w:rFonts w:ascii="Verdana" w:eastAsia="Century Gothic" w:hAnsi="Verdana" w:cs="Century Gothic"/>
          <w:b/>
          <w:bCs/>
        </w:rPr>
      </w:pPr>
    </w:p>
    <w:p w14:paraId="4E5ABB51" w14:textId="77777777" w:rsidR="002F13FC" w:rsidRPr="008E4F36" w:rsidRDefault="002F13FC" w:rsidP="002F13FC">
      <w:pPr>
        <w:tabs>
          <w:tab w:val="left" w:pos="142"/>
          <w:tab w:val="left" w:pos="284"/>
        </w:tabs>
        <w:spacing w:after="0" w:line="240" w:lineRule="auto"/>
        <w:jc w:val="both"/>
        <w:rPr>
          <w:rFonts w:ascii="Verdana" w:eastAsia="Century Gothic" w:hAnsi="Verdana" w:cs="Century Gothic"/>
          <w:b/>
          <w:bCs/>
        </w:rPr>
      </w:pPr>
      <w:r w:rsidRPr="008E4F36">
        <w:rPr>
          <w:rFonts w:ascii="Verdana" w:eastAsia="Century Gothic" w:hAnsi="Verdana" w:cs="Century Gothic"/>
          <w:b/>
          <w:bCs/>
        </w:rPr>
        <w:t>3. Razones de la respuesta:</w:t>
      </w:r>
    </w:p>
    <w:p w14:paraId="09D0F58F" w14:textId="77777777" w:rsidR="002F13FC" w:rsidRDefault="002F13FC" w:rsidP="002F13FC">
      <w:pPr>
        <w:pStyle w:val="Prrafodelista"/>
        <w:tabs>
          <w:tab w:val="left" w:pos="142"/>
          <w:tab w:val="left" w:pos="284"/>
        </w:tabs>
        <w:spacing w:after="0" w:line="240" w:lineRule="auto"/>
        <w:ind w:left="0"/>
        <w:contextualSpacing w:val="0"/>
        <w:jc w:val="both"/>
        <w:rPr>
          <w:rFonts w:ascii="Verdana" w:eastAsia="Calibri" w:hAnsi="Verdana" w:cs="Arial"/>
        </w:rPr>
      </w:pPr>
    </w:p>
    <w:p w14:paraId="30692E57" w14:textId="77777777" w:rsidR="002F13FC" w:rsidRDefault="002F13FC" w:rsidP="002F13FC">
      <w:pPr>
        <w:pStyle w:val="Prrafodelista"/>
        <w:tabs>
          <w:tab w:val="left" w:pos="142"/>
          <w:tab w:val="left" w:pos="284"/>
        </w:tabs>
        <w:spacing w:after="0" w:line="240" w:lineRule="auto"/>
        <w:ind w:left="0"/>
        <w:contextualSpacing w:val="0"/>
        <w:jc w:val="both"/>
        <w:rPr>
          <w:rFonts w:ascii="Verdana" w:eastAsia="Calibri" w:hAnsi="Verdana" w:cs="Arial"/>
        </w:rPr>
      </w:pPr>
      <w:r w:rsidRPr="008E4F36">
        <w:rPr>
          <w:rFonts w:ascii="Verdana" w:eastAsia="Calibri" w:hAnsi="Verdana" w:cs="Arial"/>
        </w:rPr>
        <w:t xml:space="preserve">Lo anterior se sustenta en las siguientes consideraciones: </w:t>
      </w:r>
    </w:p>
    <w:p w14:paraId="4E238CB5" w14:textId="77777777" w:rsidR="002F13FC" w:rsidRDefault="002F13FC" w:rsidP="002F13FC">
      <w:pPr>
        <w:spacing w:after="0" w:line="240" w:lineRule="auto"/>
        <w:jc w:val="both"/>
        <w:rPr>
          <w:rFonts w:ascii="Verdana" w:eastAsia="Calibri" w:hAnsi="Verdana" w:cs="Arial"/>
          <w:color w:val="000000"/>
          <w:shd w:val="clear" w:color="auto" w:fill="FFFFFF"/>
          <w:lang w:val="es-ES"/>
        </w:rPr>
      </w:pPr>
    </w:p>
    <w:p w14:paraId="44D9D212" w14:textId="77777777" w:rsidR="002F13FC" w:rsidRPr="00F252D7" w:rsidRDefault="002F13FC" w:rsidP="002F13FC">
      <w:pPr>
        <w:spacing w:after="120" w:line="276" w:lineRule="auto"/>
        <w:jc w:val="both"/>
        <w:rPr>
          <w:rFonts w:ascii="Verdana" w:eastAsia="Times New Roman" w:hAnsi="Verdana" w:cs="Arial"/>
          <w:lang w:val="es-ES_tradnl" w:eastAsia="es-MX"/>
        </w:rPr>
      </w:pPr>
      <w:bookmarkStart w:id="5" w:name="_Hlk54011258"/>
      <w:bookmarkStart w:id="6" w:name="_Hlk204856061"/>
      <w:bookmarkStart w:id="7" w:name="_Hlk78820161"/>
      <w:bookmarkStart w:id="8" w:name="_Hlk204854194"/>
      <w:r>
        <w:rPr>
          <w:rFonts w:ascii="Verdana" w:eastAsia="Calibri" w:hAnsi="Verdana" w:cs="Arial"/>
          <w:bCs/>
          <w:lang w:val="es-ES_tradnl" w:eastAsia="es-MX"/>
        </w:rPr>
        <w:t xml:space="preserve">i. </w:t>
      </w:r>
      <w:r w:rsidRPr="00F252D7">
        <w:rPr>
          <w:rFonts w:ascii="Verdana" w:eastAsia="Calibri" w:hAnsi="Verdana" w:cs="Arial"/>
          <w:bCs/>
          <w:lang w:val="es-ES_tradnl" w:eastAsia="es-MX"/>
        </w:rPr>
        <w:t>La planeación contractual es una herramienta de gerencia pública, que exige estructurar el proceso contractual dedicando tiempo y esfuerzos para elaborar estudios previos, con el fin de determinar la necesidad que pretende satisfacer la Entidad Estatal y cuál es la mejor manera de hacerlo, consultando el tipo de bienes y servicios que ofrece el mercado y sus características, especificaciones, precios, costos, riesgos, garantías, disponibilidad, oferentes, e</w:t>
      </w:r>
      <w:r>
        <w:rPr>
          <w:rFonts w:ascii="Verdana" w:eastAsia="Calibri" w:hAnsi="Verdana" w:cs="Arial"/>
          <w:bCs/>
          <w:lang w:val="es-ES_tradnl" w:eastAsia="es-MX"/>
        </w:rPr>
        <w:t>ntre otros</w:t>
      </w:r>
      <w:r w:rsidRPr="00F252D7">
        <w:rPr>
          <w:rFonts w:ascii="Verdana" w:eastAsia="Calibri" w:hAnsi="Verdana" w:cs="Arial"/>
          <w:bCs/>
          <w:lang w:val="es-ES_tradnl" w:eastAsia="es-MX"/>
        </w:rPr>
        <w:t>. Lo anterior con la finalidad de realizar la escogencia diligente de la mejor oferta, para beneficiar los intereses y fines públicos inmersos en la contratación de las Entidades Estatales</w:t>
      </w:r>
      <w:bookmarkEnd w:id="5"/>
      <w:r w:rsidRPr="00F252D7">
        <w:rPr>
          <w:rFonts w:ascii="Verdana" w:eastAsia="Calibri" w:hAnsi="Verdana" w:cs="Arial"/>
          <w:bCs/>
          <w:lang w:val="es-ES_tradnl" w:eastAsia="es-MX"/>
        </w:rPr>
        <w:t>.</w:t>
      </w:r>
      <w:r>
        <w:rPr>
          <w:rFonts w:ascii="Verdana" w:eastAsia="Calibri" w:hAnsi="Verdana" w:cs="Arial"/>
          <w:bCs/>
          <w:lang w:val="es-MX" w:eastAsia="es-ES_tradnl"/>
        </w:rPr>
        <w:tab/>
      </w:r>
    </w:p>
    <w:p w14:paraId="735CDFF7" w14:textId="77777777" w:rsidR="002F13FC" w:rsidRPr="00F252D7" w:rsidRDefault="002F13FC" w:rsidP="002F13FC">
      <w:pPr>
        <w:spacing w:after="120" w:line="276" w:lineRule="auto"/>
        <w:contextualSpacing/>
        <w:jc w:val="both"/>
        <w:rPr>
          <w:rFonts w:ascii="Verdana" w:eastAsia="Calibri" w:hAnsi="Verdana" w:cs="Arial"/>
          <w:bCs/>
          <w:lang w:val="es-ES" w:eastAsia="es-ES_tradnl"/>
        </w:rPr>
      </w:pPr>
      <w:r>
        <w:rPr>
          <w:rFonts w:ascii="Verdana" w:eastAsia="Times New Roman" w:hAnsi="Verdana" w:cs="Arial"/>
          <w:lang w:val="es-ES_tradnl" w:eastAsia="es-MX"/>
        </w:rPr>
        <w:tab/>
      </w:r>
      <w:r w:rsidRPr="00F252D7">
        <w:rPr>
          <w:rFonts w:ascii="Verdana" w:eastAsia="Calibri" w:hAnsi="Verdana" w:cs="Arial"/>
          <w:bCs/>
          <w:lang w:val="es-MX" w:eastAsia="es-ES_tradnl"/>
        </w:rPr>
        <w:t xml:space="preserve">El Estatuto General de Contratación de la Administración Pública – EGCAP – contiene disposiciones que exigen a las Entidades Estatales el deber de realizar planeación en la etapa precontractual, para que los procesos de contratación satisfagan las necesidades de la Administración, cumplan sus fines, logren la continua y eficiente prestación de los servicios públicos y permitan la efectividad de los derechos e intereses de los administrados que colaboran en la consecución. En relación con el valor del futuro contrato y su correlativo respaldo presupuestal, se tienen, por ejemplo, las siguientes reglas derivadas de la aplicación del principio de economía previsto en el artículo 25 de la Ley 80 de 1993: </w:t>
      </w:r>
    </w:p>
    <w:p w14:paraId="4D09085B" w14:textId="77777777" w:rsidR="002F13FC" w:rsidRPr="00F252D7" w:rsidRDefault="002F13FC" w:rsidP="002F13FC">
      <w:pPr>
        <w:spacing w:after="0" w:line="276" w:lineRule="auto"/>
        <w:ind w:firstLine="709"/>
        <w:jc w:val="both"/>
        <w:rPr>
          <w:rFonts w:ascii="Verdana" w:eastAsia="Calibri" w:hAnsi="Verdana" w:cs="Arial"/>
          <w:bCs/>
          <w:lang w:val="es-ES" w:eastAsia="es-ES_tradnl"/>
        </w:rPr>
      </w:pPr>
    </w:p>
    <w:p w14:paraId="6E926E30" w14:textId="77777777" w:rsidR="002F13FC" w:rsidRPr="00BB0DA7" w:rsidRDefault="002F13FC" w:rsidP="002F13FC">
      <w:pPr>
        <w:spacing w:after="0" w:line="240" w:lineRule="auto"/>
        <w:ind w:left="709" w:right="709"/>
        <w:contextualSpacing/>
        <w:jc w:val="both"/>
        <w:rPr>
          <w:rFonts w:ascii="Verdana" w:eastAsia="Calibri" w:hAnsi="Verdana" w:cs="Arial"/>
          <w:sz w:val="20"/>
          <w:szCs w:val="20"/>
          <w:lang w:val="es-MX" w:eastAsia="es-ES_tradnl"/>
        </w:rPr>
      </w:pPr>
      <w:r w:rsidRPr="00BB0DA7">
        <w:rPr>
          <w:rFonts w:ascii="Verdana" w:eastAsia="Calibri" w:hAnsi="Verdana" w:cs="Arial"/>
          <w:sz w:val="20"/>
          <w:szCs w:val="20"/>
          <w:lang w:val="es-MX" w:eastAsia="es-ES_tradnl"/>
        </w:rPr>
        <w:t>“7o. La conveniencia o inconveniencia del objeto a contratar y las autorizaciones y aprobaciones para ello, se analizarán o impartirán con antelación al inicio del proceso de selección del contratista o al de la firma del contrato, según el caso.</w:t>
      </w:r>
    </w:p>
    <w:p w14:paraId="029A0D32" w14:textId="77777777" w:rsidR="002F13FC" w:rsidRPr="00BB0DA7" w:rsidRDefault="002F13FC" w:rsidP="002F13FC">
      <w:pPr>
        <w:spacing w:after="0" w:line="240" w:lineRule="auto"/>
        <w:ind w:left="709" w:right="709"/>
        <w:contextualSpacing/>
        <w:jc w:val="both"/>
        <w:rPr>
          <w:rFonts w:ascii="Verdana" w:eastAsia="Calibri" w:hAnsi="Verdana" w:cs="Arial"/>
          <w:sz w:val="20"/>
          <w:szCs w:val="20"/>
          <w:lang w:val="es-MX" w:eastAsia="es-ES_tradnl"/>
        </w:rPr>
      </w:pPr>
      <w:r w:rsidRPr="00BB0DA7">
        <w:rPr>
          <w:rFonts w:ascii="Verdana" w:eastAsia="Calibri" w:hAnsi="Verdana" w:cs="Arial"/>
          <w:sz w:val="20"/>
          <w:szCs w:val="20"/>
          <w:lang w:val="es-MX" w:eastAsia="es-ES_tradnl"/>
        </w:rPr>
        <w:t>[…]</w:t>
      </w:r>
    </w:p>
    <w:p w14:paraId="6AF8DE0D" w14:textId="77777777" w:rsidR="002F13FC" w:rsidRPr="00BB0DA7" w:rsidRDefault="002F13FC" w:rsidP="002F13FC">
      <w:pPr>
        <w:spacing w:after="0" w:line="240" w:lineRule="auto"/>
        <w:ind w:left="709" w:right="709"/>
        <w:contextualSpacing/>
        <w:jc w:val="both"/>
        <w:rPr>
          <w:rFonts w:ascii="Verdana" w:eastAsia="Calibri" w:hAnsi="Verdana" w:cs="Arial"/>
          <w:sz w:val="20"/>
          <w:szCs w:val="20"/>
          <w:lang w:val="es-MX" w:eastAsia="es-ES_tradnl"/>
        </w:rPr>
      </w:pPr>
      <w:r w:rsidRPr="00BB0DA7">
        <w:rPr>
          <w:rFonts w:ascii="Verdana" w:eastAsia="Calibri" w:hAnsi="Verdana" w:cs="Arial"/>
          <w:sz w:val="20"/>
          <w:szCs w:val="20"/>
          <w:lang w:val="es-MX" w:eastAsia="es-ES_tradnl"/>
        </w:rPr>
        <w:t>12. Previo a la apertura de un proceso de selección, o a la firma del contrato en el caso en que la modalidad de selección sea contratación directa, deberán elaborarse los estudios, diseños y proyectos requeridos, y los pliegos de condiciones, según corresponda.</w:t>
      </w:r>
    </w:p>
    <w:p w14:paraId="686B7CFA" w14:textId="77777777" w:rsidR="002F13FC" w:rsidRPr="00BB0DA7" w:rsidRDefault="002F13FC" w:rsidP="002F13FC">
      <w:pPr>
        <w:spacing w:after="0" w:line="240" w:lineRule="auto"/>
        <w:ind w:left="709" w:right="709"/>
        <w:contextualSpacing/>
        <w:jc w:val="both"/>
        <w:rPr>
          <w:rFonts w:ascii="Verdana" w:eastAsia="Calibri" w:hAnsi="Verdana" w:cs="Arial"/>
          <w:sz w:val="20"/>
          <w:szCs w:val="20"/>
          <w:lang w:val="es-MX" w:eastAsia="es-ES_tradnl"/>
        </w:rPr>
      </w:pPr>
    </w:p>
    <w:p w14:paraId="7EA67515" w14:textId="77777777" w:rsidR="002F13FC" w:rsidRPr="00BB0DA7" w:rsidRDefault="002F13FC" w:rsidP="002F13FC">
      <w:pPr>
        <w:spacing w:after="0" w:line="240" w:lineRule="auto"/>
        <w:ind w:left="709" w:right="709"/>
        <w:contextualSpacing/>
        <w:jc w:val="both"/>
        <w:rPr>
          <w:rFonts w:ascii="Verdana" w:eastAsia="Calibri" w:hAnsi="Verdana" w:cs="Arial"/>
          <w:sz w:val="20"/>
          <w:szCs w:val="20"/>
          <w:lang w:val="es-MX" w:eastAsia="es-ES_tradnl"/>
        </w:rPr>
      </w:pPr>
      <w:r w:rsidRPr="00BB0DA7">
        <w:rPr>
          <w:rFonts w:ascii="Verdana" w:eastAsia="Calibri" w:hAnsi="Verdana" w:cs="Arial"/>
          <w:sz w:val="20"/>
          <w:szCs w:val="20"/>
          <w:lang w:val="es-MX" w:eastAsia="es-ES_tradnl"/>
        </w:rPr>
        <w:t>Cuando el objeto de la contratación incluya la realización de una obra, en la misma oportunidad señalada en el inciso primero, la entidad contratante deberá contar con los estudios y diseños que permitan establecer la viabilidad del proyecto y su impacto social, económico y ambiental. Esta condición será aplicable incluso para los contratos que incluyan dentro del objeto el diseño.</w:t>
      </w:r>
    </w:p>
    <w:p w14:paraId="52E6A6E8" w14:textId="77777777" w:rsidR="002F13FC" w:rsidRPr="00BB0DA7" w:rsidRDefault="002F13FC" w:rsidP="002F13FC">
      <w:pPr>
        <w:spacing w:after="0" w:line="240" w:lineRule="auto"/>
        <w:ind w:left="709" w:right="709"/>
        <w:contextualSpacing/>
        <w:jc w:val="both"/>
        <w:rPr>
          <w:rFonts w:ascii="Verdana" w:eastAsia="Calibri" w:hAnsi="Verdana" w:cs="Arial"/>
          <w:sz w:val="20"/>
          <w:szCs w:val="20"/>
          <w:lang w:val="es-MX" w:eastAsia="es-ES_tradnl"/>
        </w:rPr>
      </w:pPr>
    </w:p>
    <w:p w14:paraId="759DEAEB" w14:textId="77777777" w:rsidR="002F13FC" w:rsidRPr="00BB0DA7" w:rsidRDefault="002F13FC" w:rsidP="002F13FC">
      <w:pPr>
        <w:spacing w:after="0" w:line="240" w:lineRule="auto"/>
        <w:ind w:left="709" w:right="709"/>
        <w:contextualSpacing/>
        <w:jc w:val="both"/>
        <w:rPr>
          <w:rFonts w:ascii="Verdana" w:eastAsia="Times New Roman" w:hAnsi="Verdana" w:cs="Arial"/>
          <w:sz w:val="20"/>
          <w:szCs w:val="20"/>
          <w:lang w:val="es-ES_tradnl" w:eastAsia="es-MX"/>
        </w:rPr>
      </w:pPr>
      <w:r w:rsidRPr="00BB0DA7">
        <w:rPr>
          <w:rFonts w:ascii="Verdana" w:eastAsia="Times New Roman" w:hAnsi="Verdana" w:cs="Arial"/>
          <w:sz w:val="20"/>
          <w:szCs w:val="20"/>
          <w:lang w:val="es-ES_tradnl" w:eastAsia="es-MX"/>
        </w:rPr>
        <w:t>13. Las autoridades constituirán las reservas y compromisos presupuestales necesarios, tomando como base el valor de las prestaciones al momento de celebrar el contrato y el estimativo de los ajustes resultantes de la aplicación de la cláusula de actualización de precios.</w:t>
      </w:r>
    </w:p>
    <w:p w14:paraId="464A3501" w14:textId="77777777" w:rsidR="002F13FC" w:rsidRPr="00BB0DA7" w:rsidRDefault="002F13FC" w:rsidP="002F13FC">
      <w:pPr>
        <w:spacing w:after="0" w:line="240" w:lineRule="auto"/>
        <w:ind w:left="709" w:right="709"/>
        <w:contextualSpacing/>
        <w:jc w:val="both"/>
        <w:rPr>
          <w:rFonts w:ascii="Verdana" w:eastAsia="Times New Roman" w:hAnsi="Verdana" w:cs="Arial"/>
          <w:sz w:val="20"/>
          <w:szCs w:val="20"/>
          <w:lang w:val="es-ES_tradnl" w:eastAsia="es-MX"/>
        </w:rPr>
      </w:pPr>
    </w:p>
    <w:p w14:paraId="27E0361D" w14:textId="77777777" w:rsidR="002F13FC" w:rsidRPr="00BB0DA7" w:rsidRDefault="002F13FC" w:rsidP="002F13FC">
      <w:pPr>
        <w:spacing w:after="0" w:line="240" w:lineRule="auto"/>
        <w:ind w:left="709" w:right="709"/>
        <w:contextualSpacing/>
        <w:jc w:val="both"/>
        <w:rPr>
          <w:rFonts w:ascii="Verdana" w:eastAsia="Times New Roman" w:hAnsi="Verdana" w:cs="Arial"/>
          <w:sz w:val="20"/>
          <w:szCs w:val="20"/>
          <w:lang w:val="es-ES_tradnl" w:eastAsia="es-MX"/>
        </w:rPr>
      </w:pPr>
      <w:r w:rsidRPr="00BB0DA7">
        <w:rPr>
          <w:rFonts w:ascii="Verdana" w:eastAsia="Times New Roman" w:hAnsi="Verdana" w:cs="Arial"/>
          <w:sz w:val="20"/>
          <w:szCs w:val="20"/>
          <w:lang w:val="es-ES_tradnl" w:eastAsia="es-MX"/>
        </w:rPr>
        <w:t>14. Las entidades incluirán en sus presupuestos anuales una apropiación global destinada a cubrir los costos imprevistos ocasionados por los retardos en los pagos, así como los que se originen en la revisión de los precios pactados por razón de los cambios o alteraciones en las condiciones iniciales de los contratos por ellas celebrados […]”.</w:t>
      </w:r>
    </w:p>
    <w:p w14:paraId="5F88CCB3" w14:textId="77777777" w:rsidR="002F13FC" w:rsidRPr="00F252D7" w:rsidRDefault="002F13FC" w:rsidP="002F13FC">
      <w:pPr>
        <w:spacing w:after="0" w:line="276" w:lineRule="auto"/>
        <w:jc w:val="both"/>
        <w:rPr>
          <w:rFonts w:ascii="Verdana" w:eastAsia="Times New Roman" w:hAnsi="Verdana" w:cs="Arial"/>
          <w:lang w:val="es-ES_tradnl" w:eastAsia="es-MX"/>
        </w:rPr>
      </w:pPr>
    </w:p>
    <w:p w14:paraId="1E21EAE3" w14:textId="77777777" w:rsidR="002F13FC" w:rsidRPr="00F252D7" w:rsidRDefault="002F13FC" w:rsidP="002F13FC">
      <w:pPr>
        <w:spacing w:after="0" w:line="276" w:lineRule="auto"/>
        <w:ind w:firstLine="708"/>
        <w:contextualSpacing/>
        <w:jc w:val="both"/>
        <w:rPr>
          <w:rFonts w:ascii="Verdana" w:eastAsia="Times New Roman" w:hAnsi="Verdana" w:cs="Arial"/>
          <w:lang w:val="es-ES_tradnl" w:eastAsia="es-MX"/>
        </w:rPr>
      </w:pPr>
      <w:r w:rsidRPr="00F252D7">
        <w:rPr>
          <w:rFonts w:ascii="Verdana" w:eastAsia="Times New Roman" w:hAnsi="Verdana" w:cs="Arial"/>
          <w:lang w:val="es-ES_tradnl" w:eastAsia="es-MX"/>
        </w:rPr>
        <w:t>Lo anterior le permitirá a la Entidad Estatal identificar desde el punto de vista técnico y financiero el objeto del contrato, las particularidades de su ejecución, los potenciales proponentes, requisitos mínimos para evaluar la idoneidad del contratista, así como analizar todas las variables que puedan afectar el procedimiento de selección, celebración y ejecución del contrato. Tal es la importancia de los estudios y documentos previos que su deficiencia o ausencia, “genera prácticas indebidas, revocatoria de actos administrativos de apertura, declaratorias de desierta de procesos de selección, comisión de faltas disciplinarias, mayores costos o mayor permanencia de la obra y, en general, el fracaso en la ejecución de contratos estatales”</w:t>
      </w:r>
      <w:r w:rsidRPr="00F252D7">
        <w:rPr>
          <w:rFonts w:ascii="Geomanist Light" w:hAnsi="Geomanist Light"/>
          <w:vertAlign w:val="superscript"/>
          <w:lang w:val="es-ES" w:eastAsia="es-MX"/>
        </w:rPr>
        <w:footnoteReference w:id="1"/>
      </w:r>
      <w:r w:rsidRPr="00F252D7">
        <w:rPr>
          <w:rFonts w:ascii="Verdana" w:eastAsia="Times New Roman" w:hAnsi="Verdana" w:cs="Arial"/>
          <w:lang w:val="es-ES_tradnl" w:eastAsia="es-MX"/>
        </w:rPr>
        <w:t>. En congruencia con el artículo 25 de la Ley 80 de 1993, el Decreto Único Reglamentario del Sector Administrativo de Planeación Nacional –Decreto 1082 de 2015–, dispone en el artículo 2.2.1.1.2.1.1 el contenido mínimo de los estudios y documentos previos:</w:t>
      </w:r>
    </w:p>
    <w:p w14:paraId="163CC39C" w14:textId="77777777" w:rsidR="002F13FC" w:rsidRPr="00F252D7" w:rsidRDefault="002F13FC" w:rsidP="002F13FC">
      <w:pPr>
        <w:spacing w:after="0" w:line="276" w:lineRule="auto"/>
        <w:rPr>
          <w:rFonts w:ascii="Verdana" w:eastAsia="Times New Roman" w:hAnsi="Verdana" w:cs="Arial"/>
          <w:lang w:val="es-ES_tradnl" w:eastAsia="es-CO"/>
        </w:rPr>
      </w:pPr>
    </w:p>
    <w:p w14:paraId="3428F38A" w14:textId="77777777" w:rsidR="002F13FC" w:rsidRPr="00BB0DA7" w:rsidRDefault="002F13FC" w:rsidP="002F13FC">
      <w:pPr>
        <w:spacing w:after="0" w:line="240" w:lineRule="auto"/>
        <w:ind w:left="709" w:right="709"/>
        <w:contextualSpacing/>
        <w:jc w:val="both"/>
        <w:rPr>
          <w:rFonts w:ascii="Verdana" w:eastAsia="Times New Roman" w:hAnsi="Verdana" w:cs="Arial"/>
          <w:sz w:val="20"/>
          <w:szCs w:val="20"/>
          <w:lang w:val="es-ES_tradnl" w:eastAsia="es-MX"/>
        </w:rPr>
      </w:pPr>
      <w:r w:rsidRPr="00BB0DA7">
        <w:rPr>
          <w:rFonts w:ascii="Verdana" w:eastAsia="Times New Roman" w:hAnsi="Verdana" w:cs="Arial"/>
          <w:sz w:val="20"/>
          <w:szCs w:val="20"/>
          <w:lang w:val="es-ES_tradnl" w:eastAsia="es-MX"/>
        </w:rPr>
        <w:t xml:space="preserve">“Artículo 2.2.1.1.2.1.1. Los estudios y documentos previos son el soporte para elaborar el proyecto de pliegos, los pliegos de condiciones y el contrato. Estos deben permanecer a disposición del público durante el desarrollo del Proceso de Contratación y contener los siguientes elementos, además de los indicados para cada modalidad de selección: </w:t>
      </w:r>
    </w:p>
    <w:p w14:paraId="2213D3FF" w14:textId="77777777" w:rsidR="002F13FC" w:rsidRPr="00BB0DA7" w:rsidRDefault="002F13FC" w:rsidP="002F13FC">
      <w:pPr>
        <w:spacing w:after="0" w:line="240" w:lineRule="auto"/>
        <w:ind w:left="709" w:right="709"/>
        <w:contextualSpacing/>
        <w:jc w:val="both"/>
        <w:rPr>
          <w:rFonts w:ascii="Verdana" w:eastAsia="Times New Roman" w:hAnsi="Verdana" w:cs="Arial"/>
          <w:sz w:val="20"/>
          <w:szCs w:val="20"/>
          <w:lang w:val="es-ES_tradnl" w:eastAsia="es-MX"/>
        </w:rPr>
      </w:pPr>
    </w:p>
    <w:p w14:paraId="6DB88F76" w14:textId="77777777" w:rsidR="002F13FC" w:rsidRPr="00BB0DA7" w:rsidRDefault="002F13FC" w:rsidP="002F13FC">
      <w:pPr>
        <w:spacing w:after="0" w:line="240" w:lineRule="auto"/>
        <w:ind w:left="709" w:right="709"/>
        <w:contextualSpacing/>
        <w:jc w:val="both"/>
        <w:rPr>
          <w:rFonts w:ascii="Verdana" w:eastAsia="Times New Roman" w:hAnsi="Verdana" w:cs="Arial"/>
          <w:sz w:val="20"/>
          <w:szCs w:val="20"/>
          <w:lang w:val="es-ES_tradnl" w:eastAsia="es-MX"/>
        </w:rPr>
      </w:pPr>
      <w:r w:rsidRPr="00BB0DA7">
        <w:rPr>
          <w:rFonts w:ascii="Verdana" w:eastAsia="Times New Roman" w:hAnsi="Verdana" w:cs="Arial"/>
          <w:sz w:val="20"/>
          <w:szCs w:val="20"/>
          <w:lang w:val="es-ES_tradnl" w:eastAsia="es-MX"/>
        </w:rPr>
        <w:t xml:space="preserve">1. La descripción de la necesidad que la Entidad Estatal pretende satisfacer con el Proceso de Contratación. </w:t>
      </w:r>
      <w:r w:rsidRPr="00BB0DA7">
        <w:rPr>
          <w:rFonts w:ascii="Arial" w:eastAsia="Times New Roman" w:hAnsi="Arial" w:cs="Arial"/>
          <w:sz w:val="20"/>
          <w:szCs w:val="20"/>
          <w:lang w:val="es-ES_tradnl" w:eastAsia="es-MX"/>
        </w:rPr>
        <w:t>​</w:t>
      </w:r>
    </w:p>
    <w:p w14:paraId="5C649A0D" w14:textId="77777777" w:rsidR="002F13FC" w:rsidRPr="00BB0DA7" w:rsidRDefault="002F13FC" w:rsidP="002F13FC">
      <w:pPr>
        <w:spacing w:after="0" w:line="240" w:lineRule="auto"/>
        <w:ind w:left="709" w:right="709"/>
        <w:contextualSpacing/>
        <w:jc w:val="both"/>
        <w:rPr>
          <w:rFonts w:ascii="Verdana" w:eastAsia="Times New Roman" w:hAnsi="Verdana" w:cs="Arial"/>
          <w:sz w:val="20"/>
          <w:szCs w:val="20"/>
          <w:lang w:val="es-ES_tradnl" w:eastAsia="es-MX"/>
        </w:rPr>
      </w:pPr>
    </w:p>
    <w:p w14:paraId="1A76CC0D" w14:textId="77777777" w:rsidR="002F13FC" w:rsidRPr="00BB0DA7" w:rsidRDefault="002F13FC" w:rsidP="002F13FC">
      <w:pPr>
        <w:spacing w:after="0" w:line="240" w:lineRule="auto"/>
        <w:ind w:left="709" w:right="709"/>
        <w:contextualSpacing/>
        <w:jc w:val="both"/>
        <w:rPr>
          <w:rFonts w:ascii="Verdana" w:eastAsia="Times New Roman" w:hAnsi="Verdana" w:cs="Arial"/>
          <w:sz w:val="20"/>
          <w:szCs w:val="20"/>
          <w:lang w:val="es-ES_tradnl" w:eastAsia="es-MX"/>
        </w:rPr>
      </w:pPr>
      <w:r w:rsidRPr="00BB0DA7">
        <w:rPr>
          <w:rFonts w:ascii="Verdana" w:eastAsia="Times New Roman" w:hAnsi="Verdana" w:cs="Arial"/>
          <w:sz w:val="20"/>
          <w:szCs w:val="20"/>
          <w:lang w:val="es-ES_tradnl" w:eastAsia="es-MX"/>
        </w:rPr>
        <w:t xml:space="preserve">2. El objeto a contratar, con sus especificaciones, las autorizaciones, permisos y licencias requeridos para su ejecución, y cuando el contrato incluye diseño y construcción, los documentos técnicos para el desarrollo del proyecto. </w:t>
      </w:r>
    </w:p>
    <w:p w14:paraId="5A7ED4B4" w14:textId="77777777" w:rsidR="002F13FC" w:rsidRPr="00BB0DA7" w:rsidRDefault="002F13FC" w:rsidP="002F13FC">
      <w:pPr>
        <w:spacing w:after="0" w:line="240" w:lineRule="auto"/>
        <w:ind w:left="709" w:right="709"/>
        <w:contextualSpacing/>
        <w:jc w:val="both"/>
        <w:rPr>
          <w:rFonts w:ascii="Verdana" w:eastAsia="Times New Roman" w:hAnsi="Verdana" w:cs="Arial"/>
          <w:sz w:val="20"/>
          <w:szCs w:val="20"/>
          <w:lang w:val="es-ES_tradnl" w:eastAsia="es-MX"/>
        </w:rPr>
      </w:pPr>
    </w:p>
    <w:p w14:paraId="4EB2F041" w14:textId="77777777" w:rsidR="002F13FC" w:rsidRPr="00BB0DA7" w:rsidRDefault="002F13FC" w:rsidP="002F13FC">
      <w:pPr>
        <w:spacing w:after="0" w:line="240" w:lineRule="auto"/>
        <w:ind w:left="709" w:right="709"/>
        <w:contextualSpacing/>
        <w:jc w:val="both"/>
        <w:rPr>
          <w:rFonts w:ascii="Verdana" w:eastAsia="Times New Roman" w:hAnsi="Verdana" w:cs="Arial"/>
          <w:sz w:val="20"/>
          <w:szCs w:val="20"/>
          <w:lang w:val="es-ES_tradnl" w:eastAsia="es-MX"/>
        </w:rPr>
      </w:pPr>
      <w:r w:rsidRPr="00BB0DA7">
        <w:rPr>
          <w:rFonts w:ascii="Verdana" w:eastAsia="Times New Roman" w:hAnsi="Verdana" w:cs="Arial"/>
          <w:sz w:val="20"/>
          <w:szCs w:val="20"/>
          <w:lang w:val="es-ES_tradnl" w:eastAsia="es-MX"/>
        </w:rPr>
        <w:t xml:space="preserve">3. La modalidad de selección del contratista y su justificación, incluyendo los fundamentos jurídicos. </w:t>
      </w:r>
    </w:p>
    <w:p w14:paraId="41B7D8E9" w14:textId="77777777" w:rsidR="002F13FC" w:rsidRPr="00BB0DA7" w:rsidRDefault="002F13FC" w:rsidP="002F13FC">
      <w:pPr>
        <w:spacing w:after="0" w:line="240" w:lineRule="auto"/>
        <w:ind w:left="709" w:right="709"/>
        <w:contextualSpacing/>
        <w:jc w:val="both"/>
        <w:rPr>
          <w:rFonts w:ascii="Verdana" w:eastAsia="Times New Roman" w:hAnsi="Verdana" w:cs="Arial"/>
          <w:sz w:val="20"/>
          <w:szCs w:val="20"/>
          <w:lang w:val="es-ES_tradnl" w:eastAsia="es-MX"/>
        </w:rPr>
      </w:pPr>
    </w:p>
    <w:p w14:paraId="450940AE" w14:textId="77777777" w:rsidR="002F13FC" w:rsidRPr="00BB0DA7" w:rsidRDefault="002F13FC" w:rsidP="002F13FC">
      <w:pPr>
        <w:spacing w:after="0" w:line="240" w:lineRule="auto"/>
        <w:ind w:left="709" w:right="709"/>
        <w:contextualSpacing/>
        <w:jc w:val="both"/>
        <w:rPr>
          <w:rFonts w:ascii="Verdana" w:eastAsia="Times New Roman" w:hAnsi="Verdana" w:cs="Arial"/>
          <w:sz w:val="20"/>
          <w:szCs w:val="20"/>
          <w:lang w:val="es-ES" w:eastAsia="es-MX"/>
        </w:rPr>
      </w:pPr>
      <w:r w:rsidRPr="00BB0DA7">
        <w:rPr>
          <w:rFonts w:ascii="Verdana" w:eastAsia="Times New Roman" w:hAnsi="Verdana" w:cs="Arial"/>
          <w:sz w:val="20"/>
          <w:szCs w:val="20"/>
          <w:lang w:val="es-ES" w:eastAsia="es-MX"/>
        </w:rPr>
        <w:t xml:space="preserve">4. El valor estimado del contrato y la justificación del mismo. Cuando el valor del contrato esté determinado por precios unitarios, la Entidad Estatal debe incluir la forma como los calculó y soportar sus cálculos presupuestales en la estimación de aquellos. Si el contrato es de concesión, la Entidad Estatal no debe publicar el modelo financiero utilizado en su estructuración. </w:t>
      </w:r>
    </w:p>
    <w:p w14:paraId="0F032B7B" w14:textId="77777777" w:rsidR="002F13FC" w:rsidRPr="00BB0DA7" w:rsidRDefault="002F13FC" w:rsidP="002F13FC">
      <w:pPr>
        <w:spacing w:after="0" w:line="240" w:lineRule="auto"/>
        <w:ind w:left="709" w:right="709"/>
        <w:contextualSpacing/>
        <w:jc w:val="both"/>
        <w:rPr>
          <w:rFonts w:ascii="Verdana" w:eastAsia="Times New Roman" w:hAnsi="Verdana" w:cs="Arial"/>
          <w:sz w:val="20"/>
          <w:szCs w:val="20"/>
          <w:lang w:val="es-ES_tradnl" w:eastAsia="es-MX"/>
        </w:rPr>
      </w:pPr>
    </w:p>
    <w:p w14:paraId="07A7C01D" w14:textId="77777777" w:rsidR="002F13FC" w:rsidRPr="00BB0DA7" w:rsidRDefault="002F13FC" w:rsidP="002F13FC">
      <w:pPr>
        <w:spacing w:after="0" w:line="240" w:lineRule="auto"/>
        <w:ind w:left="709" w:right="709"/>
        <w:contextualSpacing/>
        <w:jc w:val="both"/>
        <w:rPr>
          <w:rFonts w:ascii="Verdana" w:eastAsia="Times New Roman" w:hAnsi="Verdana" w:cs="Arial"/>
          <w:sz w:val="20"/>
          <w:szCs w:val="20"/>
          <w:lang w:val="es-ES_tradnl" w:eastAsia="es-MX"/>
        </w:rPr>
      </w:pPr>
      <w:r w:rsidRPr="00BB0DA7">
        <w:rPr>
          <w:rFonts w:ascii="Verdana" w:eastAsia="Times New Roman" w:hAnsi="Verdana" w:cs="Arial"/>
          <w:sz w:val="20"/>
          <w:szCs w:val="20"/>
          <w:lang w:val="es-ES_tradnl" w:eastAsia="es-MX"/>
        </w:rPr>
        <w:t xml:space="preserve">5. Los criterios para seleccionar la oferta más favorable. </w:t>
      </w:r>
    </w:p>
    <w:p w14:paraId="4981D560" w14:textId="77777777" w:rsidR="002F13FC" w:rsidRPr="00BB0DA7" w:rsidRDefault="002F13FC" w:rsidP="002F13FC">
      <w:pPr>
        <w:spacing w:after="0" w:line="240" w:lineRule="auto"/>
        <w:ind w:left="709" w:right="709"/>
        <w:contextualSpacing/>
        <w:jc w:val="both"/>
        <w:rPr>
          <w:rFonts w:ascii="Verdana" w:eastAsia="Times New Roman" w:hAnsi="Verdana" w:cs="Arial"/>
          <w:sz w:val="20"/>
          <w:szCs w:val="20"/>
          <w:lang w:val="es-ES_tradnl" w:eastAsia="es-MX"/>
        </w:rPr>
      </w:pPr>
    </w:p>
    <w:p w14:paraId="14E3B099" w14:textId="77777777" w:rsidR="002F13FC" w:rsidRPr="00BB0DA7" w:rsidRDefault="002F13FC" w:rsidP="002F13FC">
      <w:pPr>
        <w:spacing w:after="0" w:line="240" w:lineRule="auto"/>
        <w:ind w:left="709" w:right="709"/>
        <w:contextualSpacing/>
        <w:jc w:val="both"/>
        <w:rPr>
          <w:rFonts w:ascii="Verdana" w:eastAsia="Times New Roman" w:hAnsi="Verdana" w:cs="Arial"/>
          <w:sz w:val="20"/>
          <w:szCs w:val="20"/>
          <w:lang w:val="es-ES_tradnl" w:eastAsia="es-MX"/>
        </w:rPr>
      </w:pPr>
      <w:r w:rsidRPr="00BB0DA7">
        <w:rPr>
          <w:rFonts w:ascii="Verdana" w:eastAsia="Times New Roman" w:hAnsi="Verdana" w:cs="Arial"/>
          <w:sz w:val="20"/>
          <w:szCs w:val="20"/>
          <w:lang w:val="es-ES_tradnl" w:eastAsia="es-MX"/>
        </w:rPr>
        <w:t xml:space="preserve">6. El análisis de Riesgo y la forma de mitigarlo. </w:t>
      </w:r>
    </w:p>
    <w:p w14:paraId="7DFAA68F" w14:textId="77777777" w:rsidR="002F13FC" w:rsidRPr="00BB0DA7" w:rsidRDefault="002F13FC" w:rsidP="002F13FC">
      <w:pPr>
        <w:spacing w:after="0" w:line="240" w:lineRule="auto"/>
        <w:ind w:left="709" w:right="709"/>
        <w:contextualSpacing/>
        <w:jc w:val="both"/>
        <w:rPr>
          <w:rFonts w:ascii="Verdana" w:eastAsia="Times New Roman" w:hAnsi="Verdana" w:cs="Arial"/>
          <w:sz w:val="20"/>
          <w:szCs w:val="20"/>
          <w:lang w:val="es-ES_tradnl" w:eastAsia="es-MX"/>
        </w:rPr>
      </w:pPr>
    </w:p>
    <w:p w14:paraId="13D4B902" w14:textId="77777777" w:rsidR="002F13FC" w:rsidRPr="00BB0DA7" w:rsidRDefault="002F13FC" w:rsidP="002F13FC">
      <w:pPr>
        <w:spacing w:after="0" w:line="240" w:lineRule="auto"/>
        <w:ind w:left="709" w:right="709"/>
        <w:contextualSpacing/>
        <w:jc w:val="both"/>
        <w:rPr>
          <w:rFonts w:ascii="Verdana" w:eastAsia="Times New Roman" w:hAnsi="Verdana" w:cs="Arial"/>
          <w:sz w:val="20"/>
          <w:szCs w:val="20"/>
          <w:lang w:val="es-ES_tradnl" w:eastAsia="es-MX"/>
        </w:rPr>
      </w:pPr>
      <w:r w:rsidRPr="00BB0DA7">
        <w:rPr>
          <w:rFonts w:ascii="Verdana" w:eastAsia="Times New Roman" w:hAnsi="Verdana" w:cs="Arial"/>
          <w:sz w:val="20"/>
          <w:szCs w:val="20"/>
          <w:lang w:val="es-ES_tradnl" w:eastAsia="es-MX"/>
        </w:rPr>
        <w:t xml:space="preserve">7. Las garantías que la Entidad Estatal contempla exigir en el proceso de contratación. </w:t>
      </w:r>
    </w:p>
    <w:p w14:paraId="62CA3B58" w14:textId="77777777" w:rsidR="002F13FC" w:rsidRPr="00BB0DA7" w:rsidRDefault="002F13FC" w:rsidP="002F13FC">
      <w:pPr>
        <w:spacing w:after="0" w:line="240" w:lineRule="auto"/>
        <w:ind w:left="709" w:right="709"/>
        <w:contextualSpacing/>
        <w:jc w:val="both"/>
        <w:rPr>
          <w:rFonts w:ascii="Verdana" w:eastAsia="Times New Roman" w:hAnsi="Verdana" w:cs="Arial"/>
          <w:sz w:val="20"/>
          <w:szCs w:val="20"/>
          <w:lang w:val="es-ES_tradnl" w:eastAsia="es-MX"/>
        </w:rPr>
      </w:pPr>
    </w:p>
    <w:p w14:paraId="035392F6" w14:textId="77777777" w:rsidR="002F13FC" w:rsidRPr="00BB0DA7" w:rsidRDefault="002F13FC" w:rsidP="002F13FC">
      <w:pPr>
        <w:spacing w:after="0" w:line="240" w:lineRule="auto"/>
        <w:ind w:left="709" w:right="709"/>
        <w:contextualSpacing/>
        <w:jc w:val="both"/>
        <w:rPr>
          <w:rFonts w:ascii="Verdana" w:eastAsia="Times New Roman" w:hAnsi="Verdana" w:cs="Arial"/>
          <w:sz w:val="20"/>
          <w:szCs w:val="20"/>
          <w:lang w:val="es-ES_tradnl" w:eastAsia="es-MX"/>
        </w:rPr>
      </w:pPr>
      <w:r w:rsidRPr="00BB0DA7">
        <w:rPr>
          <w:rFonts w:ascii="Verdana" w:eastAsia="Times New Roman" w:hAnsi="Verdana" w:cs="Arial"/>
          <w:sz w:val="20"/>
          <w:szCs w:val="20"/>
          <w:lang w:val="es-ES_tradnl" w:eastAsia="es-MX"/>
        </w:rPr>
        <w:t xml:space="preserve">8. La indicación de si el proceso de contratación está cobijado por un acuerdo comercial. </w:t>
      </w:r>
    </w:p>
    <w:p w14:paraId="3839A1BD" w14:textId="77777777" w:rsidR="002F13FC" w:rsidRPr="00BB0DA7" w:rsidRDefault="002F13FC" w:rsidP="002F13FC">
      <w:pPr>
        <w:spacing w:after="0" w:line="240" w:lineRule="auto"/>
        <w:ind w:left="709" w:right="709"/>
        <w:contextualSpacing/>
        <w:jc w:val="both"/>
        <w:rPr>
          <w:rFonts w:ascii="Verdana" w:eastAsia="Times New Roman" w:hAnsi="Verdana" w:cs="Arial"/>
          <w:sz w:val="20"/>
          <w:szCs w:val="20"/>
          <w:lang w:val="es-ES_tradnl" w:eastAsia="es-MX"/>
        </w:rPr>
      </w:pPr>
    </w:p>
    <w:p w14:paraId="15FE963F" w14:textId="77777777" w:rsidR="002F13FC" w:rsidRPr="00BB0DA7" w:rsidRDefault="002F13FC" w:rsidP="002F13FC">
      <w:pPr>
        <w:spacing w:after="0" w:line="240" w:lineRule="auto"/>
        <w:ind w:left="709" w:right="709"/>
        <w:contextualSpacing/>
        <w:jc w:val="both"/>
        <w:rPr>
          <w:rFonts w:ascii="Verdana" w:eastAsia="Times New Roman" w:hAnsi="Verdana" w:cs="Arial"/>
          <w:sz w:val="20"/>
          <w:szCs w:val="20"/>
          <w:lang w:val="es-ES_tradnl" w:eastAsia="es-MX"/>
        </w:rPr>
      </w:pPr>
      <w:r w:rsidRPr="00BB0DA7">
        <w:rPr>
          <w:rFonts w:ascii="Verdana" w:eastAsia="Times New Roman" w:hAnsi="Verdana" w:cs="Arial"/>
          <w:sz w:val="20"/>
          <w:szCs w:val="20"/>
          <w:lang w:val="es-ES_tradnl" w:eastAsia="es-MX"/>
        </w:rPr>
        <w:t>El presente artículo no es aplicable a la contratación por mínima cuantía”.</w:t>
      </w:r>
    </w:p>
    <w:p w14:paraId="62D6BD69" w14:textId="77777777" w:rsidR="002F13FC" w:rsidRPr="00F252D7" w:rsidRDefault="002F13FC" w:rsidP="002F13FC">
      <w:pPr>
        <w:widowControl w:val="0"/>
        <w:tabs>
          <w:tab w:val="left" w:pos="1305"/>
        </w:tabs>
        <w:autoSpaceDE w:val="0"/>
        <w:autoSpaceDN w:val="0"/>
        <w:spacing w:after="0" w:line="276" w:lineRule="auto"/>
        <w:ind w:left="828" w:right="822"/>
        <w:rPr>
          <w:rFonts w:ascii="Verdana" w:eastAsia="Calibri" w:hAnsi="Verdana" w:cs="Arial"/>
          <w:lang w:val="es-MX" w:eastAsia="es-ES_tradnl"/>
        </w:rPr>
      </w:pPr>
    </w:p>
    <w:p w14:paraId="632D4CC5" w14:textId="77777777" w:rsidR="002F13FC" w:rsidRPr="00F252D7" w:rsidRDefault="002F13FC" w:rsidP="002F13FC">
      <w:pPr>
        <w:spacing w:after="120" w:line="276" w:lineRule="auto"/>
        <w:ind w:firstLine="708"/>
        <w:jc w:val="both"/>
        <w:rPr>
          <w:rFonts w:ascii="Verdana" w:eastAsia="Times New Roman" w:hAnsi="Verdana" w:cs="Arial"/>
          <w:lang w:val="es-ES" w:eastAsia="es-MX"/>
        </w:rPr>
      </w:pPr>
      <w:bookmarkStart w:id="9" w:name="_Hlk54011351"/>
      <w:r w:rsidRPr="67DE658D">
        <w:rPr>
          <w:rFonts w:ascii="Verdana" w:eastAsia="Times New Roman" w:hAnsi="Verdana" w:cs="Arial"/>
          <w:lang w:val="es-ES" w:eastAsia="es-MX"/>
        </w:rPr>
        <w:t xml:space="preserve">De esta manera, antes de iniciar un procedimiento de selección, la Entidad Estatal podrá determinar con los estudios previos: i) la verdadera necesidad de la celebración del contrato; ii) las modalidades existentes para satisfacer esa necesidad y las razones que justifiquen la modalidad o tipo contractual que se escoja; iii) las calidades, especificaciones, cantidades y demás características que puedan o deban reunir los bienes, las obras o los servicios cuya contratación se haya determinado necesaria, iv) los costos, valores y alternativas que, a precios de mercado reales, podría demandar la celebración y ejecución del contrato; v) la disponibilidad de recursos o la capacidad financiera de la entidad contratante, para asumir las obligaciones de pago producto de la celebración de ese pretendido contrato; vi) la existencia y disponibilidad, en el mercado nacional o internacional, de proveedores, constructores, profesionales, etc., en </w:t>
      </w:r>
      <w:r w:rsidRPr="67DE658D">
        <w:rPr>
          <w:rFonts w:ascii="Verdana" w:eastAsia="Times New Roman" w:hAnsi="Verdana" w:cs="Arial"/>
          <w:lang w:val="es-ES" w:eastAsia="es-MX"/>
        </w:rPr>
        <w:lastRenderedPageBreak/>
        <w:t xml:space="preserve">condiciones de atender los requerimientos y satisfacer las necesidades; y vii) los procedimientos, trámites y requisitos que deban satisfacerse, reunirse u obtenerse para llevar a cabo la selección del respectivo contratista y la celebración del contrato que se pretenda celebrar. La consideración de todos estos aspectos </w:t>
      </w:r>
      <w:bookmarkEnd w:id="9"/>
      <w:r w:rsidRPr="67DE658D">
        <w:rPr>
          <w:rFonts w:ascii="Verdana" w:eastAsia="Calibri" w:hAnsi="Verdana" w:cs="Arial"/>
          <w:lang w:val="es-ES" w:eastAsia="es-MX"/>
        </w:rPr>
        <w:t xml:space="preserve">permite que los contratos resultantes de la planeación cuenten con el sustento técnico, económico y jurídico que incidirá </w:t>
      </w:r>
      <w:r w:rsidRPr="67DE658D">
        <w:rPr>
          <w:rFonts w:ascii="Verdana" w:eastAsia="Times New Roman" w:hAnsi="Verdana" w:cs="Arial"/>
          <w:lang w:val="es-ES" w:eastAsia="es-MX"/>
        </w:rPr>
        <w:t>en una adecuada ejecución.</w:t>
      </w:r>
    </w:p>
    <w:p w14:paraId="5BE7036C" w14:textId="77777777" w:rsidR="002F13FC" w:rsidRPr="00F252D7" w:rsidRDefault="002F13FC" w:rsidP="002F13FC">
      <w:pPr>
        <w:spacing w:after="120" w:line="276" w:lineRule="auto"/>
        <w:ind w:firstLine="708"/>
        <w:jc w:val="both"/>
        <w:rPr>
          <w:rFonts w:ascii="Verdana" w:eastAsia="Times New Roman" w:hAnsi="Verdana" w:cs="Arial"/>
          <w:lang w:val="es-ES_tradnl" w:eastAsia="es-MX"/>
        </w:rPr>
      </w:pPr>
      <w:r w:rsidRPr="00F252D7">
        <w:rPr>
          <w:rFonts w:ascii="Verdana" w:eastAsia="Times New Roman" w:hAnsi="Verdana" w:cs="Arial"/>
          <w:lang w:val="es-ES_tradnl" w:eastAsia="es-MX"/>
        </w:rPr>
        <w:t>Más allá del cumplimiento de la normativa, “los estudios y documentos previos son el soporte para elaborar el proyecto de pliegos, los pliegos de condiciones, y el contrato”</w:t>
      </w:r>
      <w:r w:rsidRPr="00F252D7">
        <w:rPr>
          <w:rFonts w:ascii="Geomanist Light" w:hAnsi="Geomanist Light"/>
          <w:vertAlign w:val="superscript"/>
          <w:lang w:val="es-ES" w:eastAsia="es-MX"/>
        </w:rPr>
        <w:footnoteReference w:id="2"/>
      </w:r>
      <w:r w:rsidRPr="00F252D7">
        <w:rPr>
          <w:rFonts w:ascii="Verdana" w:eastAsia="Times New Roman" w:hAnsi="Verdana" w:cs="Arial"/>
          <w:lang w:val="es-ES_tradnl" w:eastAsia="es-MX"/>
        </w:rPr>
        <w:t xml:space="preserve">, por lo que deben publicarse en la etapa precontractual y sirven de motivación para los documentos expedidos unilateralmente por la Entidad Estatal tales como el acto administrativo de apertura, los pliegos de condiciones y el acto de adjudicación, entre otros. En ese sentido, </w:t>
      </w:r>
      <w:bookmarkStart w:id="11" w:name="_Hlk54011438"/>
      <w:r w:rsidRPr="00F252D7">
        <w:rPr>
          <w:rFonts w:ascii="Verdana" w:eastAsia="Times New Roman" w:hAnsi="Verdana" w:cs="Arial"/>
          <w:lang w:val="es-ES_tradnl" w:eastAsia="es-MX"/>
        </w:rPr>
        <w:t>los estudios y documentos previos son necesarios antes de la celebración del contrato, pues fundamentan las condiciones que la Entidad Estatal exige en su Proceso de Contratación. Sin embargo, luego de la suscripción del contrato la entidad no debe actuar unilateralmente, sino que debe respetar la buena fe contractual y proceder de acuerdo con lo pactado</w:t>
      </w:r>
      <w:bookmarkEnd w:id="11"/>
      <w:r w:rsidRPr="00F252D7">
        <w:rPr>
          <w:rFonts w:ascii="Geomanist Light" w:hAnsi="Geomanist Light"/>
          <w:vertAlign w:val="superscript"/>
          <w:lang w:val="es-ES" w:eastAsia="es-MX"/>
        </w:rPr>
        <w:footnoteReference w:id="3"/>
      </w:r>
      <w:r w:rsidRPr="00F252D7">
        <w:rPr>
          <w:rFonts w:ascii="Verdana" w:eastAsia="Times New Roman" w:hAnsi="Verdana" w:cs="Arial"/>
          <w:lang w:val="es-ES_tradnl" w:eastAsia="es-MX"/>
        </w:rPr>
        <w:t>.</w:t>
      </w:r>
    </w:p>
    <w:p w14:paraId="487B289D" w14:textId="77777777" w:rsidR="002F13FC" w:rsidRPr="00F252D7" w:rsidRDefault="002F13FC" w:rsidP="002F13FC">
      <w:pPr>
        <w:spacing w:after="120" w:line="276" w:lineRule="auto"/>
        <w:ind w:firstLine="708"/>
        <w:jc w:val="both"/>
        <w:rPr>
          <w:rFonts w:ascii="Verdana" w:eastAsia="Times New Roman" w:hAnsi="Verdana" w:cs="Arial"/>
          <w:szCs w:val="24"/>
          <w:lang w:val="es-ES" w:eastAsia="es-ES_tradnl"/>
        </w:rPr>
      </w:pPr>
      <w:r w:rsidRPr="00F252D7">
        <w:rPr>
          <w:rFonts w:ascii="Verdana" w:eastAsia="Times New Roman" w:hAnsi="Verdana" w:cs="Arial"/>
          <w:szCs w:val="24"/>
          <w:lang w:val="es-ES" w:eastAsia="es-ES_tradnl"/>
        </w:rPr>
        <w:t xml:space="preserve">Ahora bien, el numeral 12 del artículo 25 de la Ley 80 de 1993, antes citado, establece el deber de las entidades de realizar estudios previos en dos (2) momentos específicos: i) previo a la apertura de un proceso de selección y ii) previo a la firma del contrato en el caso en que la modalidad de selección sea contratación directa. </w:t>
      </w:r>
    </w:p>
    <w:p w14:paraId="37D1FBD5" w14:textId="77777777" w:rsidR="002F13FC" w:rsidRDefault="002F13FC" w:rsidP="002F13FC">
      <w:pPr>
        <w:spacing w:after="120" w:line="276" w:lineRule="auto"/>
        <w:ind w:firstLine="708"/>
        <w:jc w:val="both"/>
        <w:rPr>
          <w:rFonts w:ascii="Verdana" w:eastAsia="Times New Roman" w:hAnsi="Verdana" w:cs="Arial"/>
          <w:lang w:val="es-ES_tradnl" w:eastAsia="es-MX"/>
        </w:rPr>
      </w:pPr>
      <w:r w:rsidRPr="00F252D7">
        <w:rPr>
          <w:rFonts w:ascii="Verdana" w:eastAsia="Times New Roman" w:hAnsi="Verdana" w:cs="Arial"/>
          <w:lang w:val="es-ES_tradnl" w:eastAsia="es-MX"/>
        </w:rPr>
        <w:t xml:space="preserve">Por otra parte, conforme se </w:t>
      </w:r>
      <w:r>
        <w:rPr>
          <w:rFonts w:ascii="Verdana" w:eastAsia="Times New Roman" w:hAnsi="Verdana" w:cs="Arial"/>
          <w:lang w:val="es-ES_tradnl" w:eastAsia="es-MX"/>
        </w:rPr>
        <w:t>infier</w:t>
      </w:r>
      <w:r w:rsidRPr="00F252D7">
        <w:rPr>
          <w:rFonts w:ascii="Verdana" w:eastAsia="Times New Roman" w:hAnsi="Verdana" w:cs="Arial"/>
          <w:lang w:val="es-ES_tradnl" w:eastAsia="es-MX"/>
        </w:rPr>
        <w:t xml:space="preserve">e </w:t>
      </w:r>
      <w:r>
        <w:rPr>
          <w:rFonts w:ascii="Verdana" w:eastAsia="Times New Roman" w:hAnsi="Verdana" w:cs="Arial"/>
          <w:lang w:val="es-ES_tradnl" w:eastAsia="es-MX"/>
        </w:rPr>
        <w:t>en el</w:t>
      </w:r>
      <w:r w:rsidRPr="00F252D7">
        <w:rPr>
          <w:rFonts w:ascii="Verdana" w:eastAsia="Times New Roman" w:hAnsi="Verdana" w:cs="Arial"/>
          <w:lang w:val="es-ES_tradnl" w:eastAsia="es-MX"/>
        </w:rPr>
        <w:t xml:space="preserve"> artículo 2.2.1.1.2.1.1 del Decreto 1082 de 2015,</w:t>
      </w:r>
      <w:r>
        <w:rPr>
          <w:rFonts w:ascii="Verdana" w:eastAsia="Times New Roman" w:hAnsi="Verdana" w:cs="Arial"/>
          <w:lang w:val="es-ES_tradnl" w:eastAsia="es-MX"/>
        </w:rPr>
        <w:t xml:space="preserve"> que dentro de los aspectos </w:t>
      </w:r>
      <w:r w:rsidRPr="00F252D7">
        <w:rPr>
          <w:rFonts w:ascii="Verdana" w:eastAsia="Times New Roman" w:hAnsi="Verdana" w:cs="Arial"/>
          <w:lang w:val="es-ES_tradnl" w:eastAsia="es-MX"/>
        </w:rPr>
        <w:t>principales que deben abarcar los estudios previos es la determinación del objeto a contratar con sus especificaciones</w:t>
      </w:r>
      <w:r>
        <w:rPr>
          <w:rFonts w:ascii="Verdana" w:eastAsia="Times New Roman" w:hAnsi="Verdana" w:cs="Arial"/>
          <w:lang w:val="es-ES_tradnl" w:eastAsia="es-MX"/>
        </w:rPr>
        <w:t xml:space="preserve">, </w:t>
      </w:r>
      <w:r w:rsidRPr="00F252D7">
        <w:rPr>
          <w:rFonts w:ascii="Verdana" w:eastAsia="Times New Roman" w:hAnsi="Verdana" w:cs="Arial"/>
          <w:lang w:val="es-ES_tradnl" w:eastAsia="es-MX"/>
        </w:rPr>
        <w:t xml:space="preserve">el valor estimado del contrato aparejado de su respectiva </w:t>
      </w:r>
      <w:r w:rsidRPr="00F252D7">
        <w:rPr>
          <w:rFonts w:ascii="Verdana" w:eastAsia="Times New Roman" w:hAnsi="Verdana" w:cs="Arial"/>
          <w:lang w:val="es-ES_tradnl" w:eastAsia="es-MX"/>
        </w:rPr>
        <w:lastRenderedPageBreak/>
        <w:t>justificación</w:t>
      </w:r>
      <w:r>
        <w:rPr>
          <w:rFonts w:ascii="Verdana" w:eastAsia="Times New Roman" w:hAnsi="Verdana" w:cs="Arial"/>
          <w:lang w:val="es-ES_tradnl" w:eastAsia="es-MX"/>
        </w:rPr>
        <w:t xml:space="preserve">, el análisis del riesgo y la forma de mitigarlo, las garantías que contempla exigir, entre otros. </w:t>
      </w:r>
    </w:p>
    <w:p w14:paraId="0DB6EA55" w14:textId="77777777" w:rsidR="002F13FC" w:rsidRPr="00F252D7" w:rsidRDefault="002F13FC" w:rsidP="002F13FC">
      <w:pPr>
        <w:spacing w:after="120" w:line="276" w:lineRule="auto"/>
        <w:ind w:firstLine="708"/>
        <w:jc w:val="both"/>
        <w:rPr>
          <w:rFonts w:ascii="Verdana" w:eastAsia="Calibri" w:hAnsi="Verdana" w:cs="Arial"/>
          <w:bCs/>
          <w:lang w:val="es-ES_tradnl" w:eastAsia="es-MX"/>
        </w:rPr>
      </w:pPr>
      <w:r w:rsidRPr="00F252D7">
        <w:rPr>
          <w:rFonts w:ascii="Verdana" w:eastAsia="Calibri" w:hAnsi="Verdana" w:cs="Arial"/>
          <w:bCs/>
          <w:lang w:val="es-ES_tradnl" w:eastAsia="es-MX"/>
        </w:rPr>
        <w:t xml:space="preserve">Para estos efectos resulta relevante </w:t>
      </w:r>
      <w:bookmarkStart w:id="12" w:name="_Hlk139465916"/>
      <w:r w:rsidRPr="00F252D7">
        <w:rPr>
          <w:rFonts w:ascii="Verdana" w:eastAsia="Calibri" w:hAnsi="Verdana" w:cs="Arial"/>
          <w:bCs/>
          <w:lang w:val="es-ES_tradnl" w:eastAsia="es-MX"/>
        </w:rPr>
        <w:t xml:space="preserve">la información recolectada en el marco del </w:t>
      </w:r>
      <w:r w:rsidRPr="00F252D7">
        <w:rPr>
          <w:rFonts w:ascii="Verdana" w:eastAsia="Calibri" w:hAnsi="Verdana" w:cs="Arial"/>
          <w:bCs/>
          <w:i/>
          <w:iCs/>
          <w:lang w:val="es-ES_tradnl" w:eastAsia="es-MX"/>
        </w:rPr>
        <w:t>estudio del mercado</w:t>
      </w:r>
      <w:r w:rsidRPr="00F252D7">
        <w:rPr>
          <w:rFonts w:ascii="Verdana" w:eastAsia="Calibri" w:hAnsi="Verdana" w:cs="Arial"/>
          <w:bCs/>
          <w:lang w:val="es-ES_tradnl" w:eastAsia="es-MX"/>
        </w:rPr>
        <w:t xml:space="preserve"> y el análisis del sector económico y de los potenciales oferentes, actividades de planeación previa que sirven para identificar aspectos concretos del mercado que pueden afectar el proceso de selección o las condiciones del negocio a realizar mediante el proceso de contratación. En este sentido, el análisis del sector de las perspectivas legal, comercial, financiera, organizacional, técnica, y de análisis de Riesgo, al que se refiere el artículo </w:t>
      </w:r>
      <w:bookmarkStart w:id="13" w:name="_Hlk36117416"/>
      <w:r w:rsidRPr="00F252D7">
        <w:rPr>
          <w:rFonts w:ascii="Verdana" w:eastAsia="Calibri" w:hAnsi="Verdana" w:cs="Arial"/>
          <w:bCs/>
          <w:lang w:val="es-ES_tradnl" w:eastAsia="es-MX"/>
        </w:rPr>
        <w:t>2.2.1.1.1.6.1 del Decreto 1082 de 2015</w:t>
      </w:r>
      <w:bookmarkEnd w:id="13"/>
      <w:r w:rsidRPr="00F252D7">
        <w:rPr>
          <w:rFonts w:ascii="Verdana" w:eastAsia="Calibri" w:hAnsi="Verdana" w:cs="Arial"/>
          <w:bCs/>
          <w:lang w:val="es-ES_tradnl" w:eastAsia="es-MX"/>
        </w:rPr>
        <w:t>, constituye un insumo importante para determinar factores que pudieran determinar el valor del contrato y orientar a la entidad en torno al monto de la disponibilidad presupuestal que requiere para realizar la contratación</w:t>
      </w:r>
      <w:bookmarkEnd w:id="12"/>
      <w:r w:rsidRPr="00F252D7">
        <w:rPr>
          <w:rFonts w:ascii="Geomanist Light" w:eastAsia="Calibri" w:hAnsi="Geomanist Light"/>
          <w:bCs/>
          <w:vertAlign w:val="superscript"/>
          <w:lang w:val="es-ES" w:eastAsia="es-MX"/>
        </w:rPr>
        <w:footnoteReference w:id="4"/>
      </w:r>
      <w:r w:rsidRPr="00F252D7">
        <w:rPr>
          <w:rFonts w:ascii="Verdana" w:eastAsia="Calibri" w:hAnsi="Verdana" w:cs="Arial"/>
          <w:bCs/>
          <w:lang w:val="es-ES_tradnl" w:eastAsia="es-MX"/>
        </w:rPr>
        <w:t xml:space="preserve">. </w:t>
      </w:r>
    </w:p>
    <w:p w14:paraId="3D486B16" w14:textId="77777777" w:rsidR="002F13FC" w:rsidRPr="00F252D7" w:rsidRDefault="002F13FC" w:rsidP="002F13FC">
      <w:pPr>
        <w:spacing w:after="120" w:line="276" w:lineRule="auto"/>
        <w:ind w:firstLine="708"/>
        <w:jc w:val="both"/>
        <w:rPr>
          <w:rFonts w:ascii="Verdana" w:eastAsia="Calibri" w:hAnsi="Verdana" w:cs="Arial"/>
          <w:lang w:val="es-ES" w:eastAsia="es-MX"/>
        </w:rPr>
      </w:pPr>
      <w:r w:rsidRPr="41260AC2">
        <w:rPr>
          <w:rFonts w:ascii="Verdana" w:eastAsia="Calibri" w:hAnsi="Verdana" w:cs="Arial"/>
          <w:lang w:val="es-ES" w:eastAsia="es-MX"/>
        </w:rPr>
        <w:t xml:space="preserve">De acuerdo con la norma citada, </w:t>
      </w:r>
      <w:bookmarkStart w:id="14" w:name="_Hlk36140682"/>
      <w:r w:rsidRPr="41260AC2">
        <w:rPr>
          <w:rFonts w:ascii="Verdana" w:eastAsia="Calibri" w:hAnsi="Verdana" w:cs="Arial"/>
          <w:lang w:val="es-ES" w:eastAsia="es-MX"/>
        </w:rPr>
        <w:t xml:space="preserve">la entidad debe realizar el análisis necesario para conocer el sector relativo al objeto del Proceso de Contratación, sin que sea relevante la modalidad de selección. Hacer un análisis desde la perspectiva legal implica la revisión de la regulación vigente para el mercado dentro del que se encuentra el objeto del contrato. La perspectiva comercial </w:t>
      </w:r>
      <w:r>
        <w:rPr>
          <w:rFonts w:ascii="Verdana" w:eastAsia="Calibri" w:hAnsi="Verdana" w:cs="Arial"/>
          <w:lang w:val="es-ES" w:eastAsia="es-MX"/>
        </w:rPr>
        <w:t xml:space="preserve">se refiere </w:t>
      </w:r>
      <w:r w:rsidRPr="41260AC2">
        <w:rPr>
          <w:rFonts w:ascii="Verdana" w:eastAsia="Calibri" w:hAnsi="Verdana" w:cs="Arial"/>
          <w:lang w:val="es-ES" w:eastAsia="es-MX"/>
        </w:rPr>
        <w:t>a analizar quiénes pueden ofrecer el bien o servicio que se quiere contratar, cuáles son sus condiciones, si tienen condiciones especiales que sean relevantes para determinar los requisitos habilitantes, entre otros. Desde una perspectiva financiera, el análisis conlleva una revisión de las características financieras que se presentan dentro del mercado del bien o servicio, como por ejemplo el índice de endeudamiento que tienen las empresas o personas naturales que ofrecen dicho bien o servicio. Con la perspectiva organizacional se pretende que la Entidad Estatal entienda cómo están organizados internamente los posibles oferentes y de qué manera realizan sus negocios y operaciones.</w:t>
      </w:r>
    </w:p>
    <w:p w14:paraId="1E410B47" w14:textId="77777777" w:rsidR="002F13FC" w:rsidRPr="00F252D7" w:rsidRDefault="002F13FC" w:rsidP="002F13FC">
      <w:pPr>
        <w:spacing w:after="120" w:line="276" w:lineRule="auto"/>
        <w:ind w:firstLine="708"/>
        <w:jc w:val="both"/>
        <w:rPr>
          <w:rFonts w:ascii="Verdana" w:eastAsia="Calibri" w:hAnsi="Verdana" w:cs="Arial"/>
          <w:bCs/>
          <w:lang w:val="es-ES_tradnl" w:eastAsia="es-MX"/>
        </w:rPr>
      </w:pPr>
      <w:r w:rsidRPr="00F252D7">
        <w:rPr>
          <w:rFonts w:ascii="Verdana" w:eastAsia="Calibri" w:hAnsi="Verdana" w:cs="Arial"/>
          <w:bCs/>
          <w:lang w:val="es-ES_tradnl" w:eastAsia="es-MX"/>
        </w:rPr>
        <w:t xml:space="preserve">Para negociar de manera adecuada, es necesario conocer la estructura de los posibles contratistas, pues permite identificar la forma en la que suplirán los requerimientos de la entidad. El análisis del sector debe tener en cuenta el objeto del Proceso de Contratación, las condiciones del bien o servicio y las ventajas que representa para la Administración contratar el bien o servicio con el </w:t>
      </w:r>
      <w:r w:rsidRPr="00F252D7">
        <w:rPr>
          <w:rFonts w:ascii="Verdana" w:eastAsia="Calibri" w:hAnsi="Verdana" w:cs="Arial"/>
          <w:bCs/>
          <w:lang w:val="es-ES_tradnl" w:eastAsia="es-MX"/>
        </w:rPr>
        <w:lastRenderedPageBreak/>
        <w:t>contratista. En este último punto, el análisis del sector permite sustentar la decisión de realizar un Proceso de Contratación desde el punto de vista de la eficiencia, eficacia y economía.</w:t>
      </w:r>
    </w:p>
    <w:p w14:paraId="405A65EE" w14:textId="77777777" w:rsidR="002F13FC" w:rsidRPr="00F252D7" w:rsidRDefault="002F13FC" w:rsidP="002F13FC">
      <w:pPr>
        <w:spacing w:after="120" w:line="276" w:lineRule="auto"/>
        <w:ind w:firstLine="708"/>
        <w:jc w:val="both"/>
        <w:rPr>
          <w:rFonts w:ascii="Verdana" w:eastAsia="Calibri" w:hAnsi="Verdana" w:cs="Arial"/>
          <w:lang w:val="es-ES" w:eastAsia="es-MX"/>
        </w:rPr>
      </w:pPr>
      <w:r w:rsidRPr="58B0B659">
        <w:rPr>
          <w:rFonts w:ascii="Verdana" w:eastAsia="Calibri" w:hAnsi="Verdana" w:cs="Arial"/>
          <w:lang w:val="es-ES" w:eastAsia="es-MX"/>
        </w:rPr>
        <w:t xml:space="preserve">Dicho análisis facilita tanto el conocimiento del sector, desde una perspectiva multidisciplinaria, como de los proveedores disponibles en el mercado para satisfacer la necesidad de la entidad contratante. Igualmente, el análisis del sector implica un estudio de la oferta, lo que permitirá identificar qué proveedores existen en el mercado y cómo intervienen en la cadena de producción, comercialización y distribución de los bienes, obras o servicios. De igual manera, podrá estudiar la demanda para determinar cómo las Entidades Estatales y los particulares adquieren esos bienes, obras o servicios para extraer las mejores prácticas e información para el Proceso de Contratación y así estructurar de mejor manera el tipo contractual a utilizar y las condiciones y características que se podrán pactar para cumplir el objeto del contrato y para la realización de las prestaciones derivadas de las obligaciones que serán pactadas, tanto para la entidad contratante como para el contratista que proveerá el bien, obra o servicio. </w:t>
      </w:r>
    </w:p>
    <w:p w14:paraId="67052BB5" w14:textId="77777777" w:rsidR="002F13FC" w:rsidRPr="00F252D7" w:rsidRDefault="002F13FC" w:rsidP="002F13FC">
      <w:pPr>
        <w:spacing w:after="120" w:line="276" w:lineRule="auto"/>
        <w:ind w:firstLine="708"/>
        <w:jc w:val="both"/>
        <w:rPr>
          <w:rFonts w:ascii="Verdana" w:eastAsia="Calibri" w:hAnsi="Verdana" w:cs="Arial"/>
          <w:bCs/>
          <w:lang w:val="es-ES_tradnl" w:eastAsia="es-MX"/>
        </w:rPr>
      </w:pPr>
      <w:r w:rsidRPr="00F252D7">
        <w:rPr>
          <w:rFonts w:ascii="Verdana" w:eastAsia="Calibri" w:hAnsi="Verdana" w:cs="Arial"/>
          <w:bCs/>
          <w:lang w:val="es-ES_tradnl" w:eastAsia="es-MX"/>
        </w:rPr>
        <w:t xml:space="preserve">Si bien la normativa en materia de contratación estatal establece la obligatoriedad de realizar el análisis necesario para conocer el sector relativo al objeto del Proceso de Contratación, no determinan un procedimiento específico para efectuar dicho análisis por lo que las entidades </w:t>
      </w:r>
      <w:r w:rsidRPr="00F252D7">
        <w:rPr>
          <w:rFonts w:ascii="Verdana" w:eastAsia="Times New Roman" w:hAnsi="Verdana" w:cs="Arial"/>
          <w:lang w:val="es-ES_tradnl" w:eastAsia="es-CO"/>
        </w:rPr>
        <w:t xml:space="preserve">son autónomas para estructurarlo, para lo cual deberán cumplir lo dispuesto en el artículo </w:t>
      </w:r>
      <w:r w:rsidRPr="00F252D7">
        <w:rPr>
          <w:rFonts w:ascii="Verdana" w:eastAsia="Calibri" w:hAnsi="Verdana" w:cs="Arial"/>
          <w:bCs/>
          <w:lang w:val="es-ES_tradnl" w:eastAsia="es-MX"/>
        </w:rPr>
        <w:t xml:space="preserve">2.2.1.1.1.6.1 del Decreto 1082 de 2015 y realizar un análisis integral de planeación que </w:t>
      </w:r>
      <w:r w:rsidRPr="00F252D7">
        <w:rPr>
          <w:rFonts w:ascii="Verdana" w:eastAsia="Times New Roman" w:hAnsi="Verdana" w:cs="Arial"/>
          <w:lang w:val="es-ES_tradnl" w:eastAsia="es-MX"/>
        </w:rPr>
        <w:t xml:space="preserve">sirva de sustento a la decisión de </w:t>
      </w:r>
      <w:r w:rsidRPr="00F252D7">
        <w:rPr>
          <w:rFonts w:ascii="Verdana" w:eastAsia="Times New Roman" w:hAnsi="Verdana" w:cs="Arial"/>
          <w:bCs/>
          <w:lang w:val="es-ES_tradnl" w:eastAsia="es-MX"/>
        </w:rPr>
        <w:t>realizar un Proceso de Contratación.</w:t>
      </w:r>
    </w:p>
    <w:p w14:paraId="4C6AAD33" w14:textId="77777777" w:rsidR="002F13FC" w:rsidRDefault="002F13FC" w:rsidP="002F13FC">
      <w:pPr>
        <w:spacing w:after="120" w:line="276" w:lineRule="auto"/>
        <w:ind w:firstLine="709"/>
        <w:jc w:val="both"/>
        <w:rPr>
          <w:rFonts w:ascii="Verdana" w:eastAsia="Calibri" w:hAnsi="Verdana" w:cs="Arial"/>
          <w:bCs/>
          <w:szCs w:val="24"/>
          <w:lang w:val="es-ES" w:eastAsia="es-ES_tradnl"/>
        </w:rPr>
      </w:pPr>
      <w:bookmarkStart w:id="15" w:name="_Hlk139466113"/>
      <w:bookmarkEnd w:id="14"/>
      <w:r w:rsidRPr="00F252D7">
        <w:rPr>
          <w:rFonts w:ascii="Verdana" w:eastAsia="Calibri" w:hAnsi="Verdana" w:cs="Arial"/>
          <w:bCs/>
          <w:lang w:val="es-ES_tradnl" w:eastAsia="es-MX"/>
        </w:rPr>
        <w:t>La Agencia Nacional de Contratación Pública – Colombia Compra Eficiente dispone de una “Guía para la Elaboración de Estudios del Sector”</w:t>
      </w:r>
      <w:r w:rsidRPr="00F252D7">
        <w:rPr>
          <w:rFonts w:ascii="Verdana" w:eastAsia="Times New Roman" w:hAnsi="Verdana" w:cs="Arial"/>
          <w:vertAlign w:val="superscript"/>
          <w:lang w:val="es-ES_tradnl" w:eastAsia="es-CO"/>
        </w:rPr>
        <w:t xml:space="preserve"> </w:t>
      </w:r>
      <w:r w:rsidRPr="00F252D7">
        <w:rPr>
          <w:rFonts w:ascii="Geomanist Light" w:eastAsia="Times New Roman" w:hAnsi="Geomanist Light"/>
          <w:vertAlign w:val="superscript"/>
          <w:lang w:val="es-ES" w:eastAsia="es-CO"/>
        </w:rPr>
        <w:footnoteReference w:id="5"/>
      </w:r>
      <w:r w:rsidRPr="00F252D7">
        <w:rPr>
          <w:rFonts w:ascii="Verdana" w:eastAsia="Calibri" w:hAnsi="Verdana" w:cs="Arial"/>
          <w:bCs/>
          <w:lang w:val="es-ES_tradnl" w:eastAsia="es-MX"/>
        </w:rPr>
        <w:t>, instrumento que sirve de apoyo para entender el mercado del bien, obra o servicio que la Entidad Estatal pretende adquirir para diseñar el Proceso de Contratación con la información necesaria para alcanzar los objetivos de eficacia, eficiencia, economía, promoción de la competencia y manejo del riesgo.</w:t>
      </w:r>
      <w:bookmarkEnd w:id="15"/>
      <w:r w:rsidRPr="00F252D7">
        <w:rPr>
          <w:rFonts w:ascii="Verdana" w:eastAsia="Calibri" w:hAnsi="Verdana" w:cs="Arial"/>
          <w:bCs/>
          <w:lang w:val="es-ES_tradnl" w:eastAsia="es-MX"/>
        </w:rPr>
        <w:t xml:space="preserve"> </w:t>
      </w:r>
      <w:r w:rsidRPr="00F252D7">
        <w:rPr>
          <w:rFonts w:ascii="Verdana" w:eastAsia="Calibri" w:hAnsi="Verdana" w:cs="Arial"/>
          <w:bCs/>
          <w:szCs w:val="24"/>
          <w:lang w:val="es-ES_tradnl" w:eastAsia="es-ES_tradnl"/>
        </w:rPr>
        <w:t xml:space="preserve">Esta Guía es un insumo para realizar el estudio del sector relativo al Proceso de Contratación, ya </w:t>
      </w:r>
      <w:r w:rsidRPr="00F252D7">
        <w:rPr>
          <w:rFonts w:ascii="Verdana" w:eastAsia="Calibri" w:hAnsi="Verdana" w:cs="Arial"/>
          <w:bCs/>
          <w:szCs w:val="24"/>
          <w:lang w:val="es-ES_tradnl" w:eastAsia="es-ES_tradnl"/>
        </w:rPr>
        <w:lastRenderedPageBreak/>
        <w:t>que comprende pautas sobre los aspectos generales del mercado, el análisis de la demanda y de la oferta y constituye un instrumento de orientación, por lo que –al carecer de fuerza vinculante– su aplicación no exime a las entidades de acatar las normas vigentes. De este modo, la Guía contiene</w:t>
      </w:r>
      <w:r w:rsidRPr="00F252D7">
        <w:rPr>
          <w:rFonts w:ascii="Verdana" w:eastAsia="Calibri" w:hAnsi="Verdana" w:cs="Arial"/>
          <w:bCs/>
          <w:szCs w:val="24"/>
          <w:lang w:val="es-ES" w:eastAsia="es-ES_tradnl"/>
        </w:rPr>
        <w:t xml:space="preserve"> recomendaciones generales por lo que no debe aplicarse de manera mecánica, pues la profundidad del estudio del sector depende de la complejidad y particularidades de cada Proceso de Contratación. </w:t>
      </w:r>
    </w:p>
    <w:p w14:paraId="33834D54" w14:textId="77777777" w:rsidR="002F13FC" w:rsidRPr="00FE365D" w:rsidRDefault="002F13FC" w:rsidP="002F13FC">
      <w:pPr>
        <w:spacing w:after="120" w:line="276" w:lineRule="auto"/>
        <w:ind w:firstLine="709"/>
        <w:jc w:val="both"/>
        <w:rPr>
          <w:rFonts w:ascii="Verdana" w:eastAsia="Calibri" w:hAnsi="Verdana" w:cs="Arial"/>
          <w:lang w:eastAsia="es-MX"/>
        </w:rPr>
      </w:pPr>
      <w:r w:rsidRPr="003E2550">
        <w:rPr>
          <w:rFonts w:ascii="Verdana" w:eastAsia="Calibri" w:hAnsi="Verdana" w:cs="Arial"/>
          <w:lang w:eastAsia="es-MX"/>
        </w:rPr>
        <w:t>En este instrumento se recomienda un análisis integral sobre varios aspectos del mercado –económico, técnico, regulatorio, e</w:t>
      </w:r>
      <w:r>
        <w:rPr>
          <w:rFonts w:ascii="Verdana" w:eastAsia="Calibri" w:hAnsi="Verdana" w:cs="Arial"/>
          <w:lang w:eastAsia="es-MX"/>
        </w:rPr>
        <w:t>ntre otros</w:t>
      </w:r>
      <w:r w:rsidRPr="003E2550">
        <w:rPr>
          <w:rFonts w:ascii="Verdana" w:eastAsia="Calibri" w:hAnsi="Verdana" w:cs="Arial"/>
          <w:lang w:eastAsia="es-MX"/>
        </w:rPr>
        <w:t>, lo cual permitirá que la entidad delimite con precisión qué bienes y servicios existen, cuáles son las condiciones de su comercialización, cómo es la oferta y la demanda y cuáles son los factores que inciden en el valor del contrato, tales como el análisis de precios, las cargas tributarias, la tasa de cambio, las garantías, los gastos de transporte, e</w:t>
      </w:r>
      <w:r>
        <w:rPr>
          <w:rFonts w:ascii="Verdana" w:eastAsia="Calibri" w:hAnsi="Verdana" w:cs="Arial"/>
          <w:lang w:eastAsia="es-MX"/>
        </w:rPr>
        <w:t>ntre otros</w:t>
      </w:r>
      <w:r w:rsidRPr="003E2550">
        <w:rPr>
          <w:rFonts w:ascii="Verdana" w:eastAsia="Calibri" w:hAnsi="Verdana" w:cs="Arial"/>
          <w:lang w:eastAsia="es-MX"/>
        </w:rPr>
        <w:t xml:space="preserve">. </w:t>
      </w:r>
    </w:p>
    <w:p w14:paraId="4F3A5426" w14:textId="77777777" w:rsidR="002F13FC" w:rsidRPr="00FE365D" w:rsidRDefault="002F13FC" w:rsidP="002F13FC">
      <w:pPr>
        <w:spacing w:after="120" w:line="276" w:lineRule="auto"/>
        <w:ind w:firstLine="709"/>
        <w:jc w:val="both"/>
        <w:rPr>
          <w:rFonts w:ascii="Verdana" w:hAnsi="Verdana"/>
          <w:lang w:eastAsia="es-ES_tradnl"/>
        </w:rPr>
      </w:pPr>
      <w:r w:rsidRPr="003E2550">
        <w:rPr>
          <w:rFonts w:ascii="Verdana" w:eastAsia="Calibri" w:hAnsi="Verdana" w:cs="Arial"/>
          <w:szCs w:val="24"/>
          <w:lang w:val="es-ES_tradnl" w:eastAsia="es-ES_tradnl"/>
        </w:rPr>
        <w:t xml:space="preserve">Así mismo, en </w:t>
      </w:r>
      <w:bookmarkStart w:id="16" w:name="_Hlk139466181"/>
      <w:r w:rsidRPr="003E2550">
        <w:rPr>
          <w:rFonts w:ascii="Verdana" w:eastAsia="Calibri" w:hAnsi="Verdana" w:cs="Arial"/>
          <w:szCs w:val="24"/>
          <w:lang w:val="es-ES_tradnl" w:eastAsia="es-ES_tradnl"/>
        </w:rPr>
        <w:t>la Guía se indica que como parte de la estructura del estudio del sector debe realizar</w:t>
      </w:r>
      <w:r>
        <w:rPr>
          <w:rFonts w:ascii="Verdana" w:eastAsia="Calibri" w:hAnsi="Verdana" w:cs="Arial"/>
          <w:szCs w:val="24"/>
          <w:lang w:val="es-ES_tradnl" w:eastAsia="es-ES_tradnl"/>
        </w:rPr>
        <w:t>se</w:t>
      </w:r>
      <w:r w:rsidRPr="003E2550">
        <w:rPr>
          <w:rFonts w:ascii="Verdana" w:eastAsia="Calibri" w:hAnsi="Verdana" w:cs="Arial"/>
          <w:szCs w:val="24"/>
          <w:lang w:val="es-ES_tradnl" w:eastAsia="es-ES_tradnl"/>
        </w:rPr>
        <w:t xml:space="preserve"> un análisis del comportamiento del gasto histórico, el estudio de la oferta y el estudio del mercado. </w:t>
      </w:r>
      <w:bookmarkStart w:id="17" w:name="_Hlk78204338"/>
      <w:bookmarkEnd w:id="16"/>
      <w:r w:rsidRPr="003E2550">
        <w:rPr>
          <w:rFonts w:ascii="Verdana" w:eastAsia="Calibri" w:hAnsi="Verdana" w:cs="Arial"/>
          <w:lang w:eastAsia="es-ES_tradnl"/>
        </w:rPr>
        <w:t>D</w:t>
      </w:r>
      <w:r w:rsidRPr="003E2550">
        <w:rPr>
          <w:rFonts w:ascii="Verdana" w:hAnsi="Verdana"/>
          <w:lang w:eastAsia="es-ES_tradnl"/>
        </w:rPr>
        <w:t>e forma puntual, la Guía indica que “la Entidad Estatal debe identificar los proveedores en el mercado del bien o servicio, así como sus principales características como tamaño empresarial, ubicación, esquemas de producción y comportamiento financiero”.</w:t>
      </w:r>
      <w:bookmarkEnd w:id="17"/>
      <w:r w:rsidRPr="003E2550">
        <w:rPr>
          <w:rFonts w:ascii="Verdana" w:hAnsi="Verdana"/>
          <w:lang w:eastAsia="es-ES_tradnl"/>
        </w:rPr>
        <w:t xml:space="preserve"> </w:t>
      </w:r>
    </w:p>
    <w:p w14:paraId="0BBB1E55" w14:textId="77777777" w:rsidR="002F13FC" w:rsidRDefault="002F13FC" w:rsidP="002F13FC">
      <w:pPr>
        <w:spacing w:after="120" w:line="276" w:lineRule="auto"/>
        <w:ind w:firstLine="708"/>
        <w:jc w:val="both"/>
        <w:rPr>
          <w:rFonts w:ascii="Verdana" w:eastAsia="Calibri" w:hAnsi="Verdana" w:cs="Arial"/>
          <w:szCs w:val="24"/>
          <w:lang w:eastAsia="es-ES_tradnl"/>
        </w:rPr>
      </w:pPr>
      <w:r w:rsidRPr="003E2550">
        <w:rPr>
          <w:rFonts w:ascii="Verdana" w:eastAsia="Calibri" w:hAnsi="Verdana" w:cs="Arial"/>
          <w:szCs w:val="24"/>
          <w:lang w:eastAsia="es-ES_tradnl"/>
        </w:rPr>
        <w:t xml:space="preserve">Ahora bien, </w:t>
      </w:r>
      <w:bookmarkStart w:id="18" w:name="_Hlk139466204"/>
      <w:r w:rsidRPr="003E2550">
        <w:rPr>
          <w:rFonts w:ascii="Verdana" w:eastAsia="Calibri" w:hAnsi="Verdana" w:cs="Arial"/>
          <w:szCs w:val="24"/>
          <w:lang w:eastAsia="es-ES_tradnl"/>
        </w:rPr>
        <w:t xml:space="preserve">respecto a el </w:t>
      </w:r>
      <w:r w:rsidRPr="003E2550">
        <w:rPr>
          <w:rFonts w:ascii="Verdana" w:eastAsia="Calibri" w:hAnsi="Verdana" w:cs="Arial"/>
          <w:i/>
          <w:szCs w:val="24"/>
          <w:lang w:eastAsia="es-ES_tradnl"/>
        </w:rPr>
        <w:t xml:space="preserve">estudio del mercado, </w:t>
      </w:r>
      <w:r w:rsidRPr="003E2550">
        <w:rPr>
          <w:rFonts w:ascii="Verdana" w:eastAsia="Calibri" w:hAnsi="Verdana" w:cs="Arial"/>
          <w:szCs w:val="24"/>
          <w:lang w:eastAsia="es-ES_tradnl"/>
        </w:rPr>
        <w:t>este se encuentra inmerso dentro del análisis del sector y permite comprender la dinámica de los precios y establecer el presupuesto oficial de la contratación, el cual incluye la realización de un análisis de los diferentes precios de los bienes o servicios a contratar que se registran en el mercado, los cuales pueden consultarse a través de mecanismos como:</w:t>
      </w:r>
    </w:p>
    <w:p w14:paraId="24876544" w14:textId="77777777" w:rsidR="002F13FC" w:rsidRDefault="002F13FC" w:rsidP="002F13FC">
      <w:pPr>
        <w:spacing w:after="120" w:line="276" w:lineRule="auto"/>
        <w:ind w:firstLine="708"/>
        <w:jc w:val="both"/>
        <w:rPr>
          <w:rFonts w:ascii="Verdana" w:eastAsia="Calibri" w:hAnsi="Verdana" w:cs="Arial"/>
          <w:szCs w:val="24"/>
          <w:lang w:eastAsia="es-ES_tradnl"/>
        </w:rPr>
      </w:pPr>
      <w:r>
        <w:rPr>
          <w:rFonts w:ascii="Verdana" w:eastAsia="Calibri" w:hAnsi="Verdana" w:cs="Arial"/>
          <w:szCs w:val="24"/>
          <w:lang w:eastAsia="es-ES_tradnl"/>
        </w:rPr>
        <w:t xml:space="preserve">a. </w:t>
      </w:r>
      <w:r w:rsidRPr="00791F93">
        <w:rPr>
          <w:rFonts w:ascii="Verdana" w:eastAsia="Calibri" w:hAnsi="Verdana" w:cs="Arial"/>
          <w:szCs w:val="24"/>
          <w:lang w:eastAsia="es-ES_tradnl"/>
        </w:rPr>
        <w:t>Revisión de precios por solicitud de cotizaciones: la Guía recomienda requerir a los potenciales proveedores de los bienes o servicios para que remitan la información necesaria para determinar, entre otros aspectos, el valor del servicio o del bien correspondiente. Para estos efectos, se sugiere incluir en la comunicación toda aquella información pertinente del contrato a ejecutar que permita a los potenciales proveedores estructurar una cotización integral y ajustada a las necesidades de la entidad.</w:t>
      </w:r>
      <w:r>
        <w:rPr>
          <w:rFonts w:ascii="Verdana" w:eastAsia="Calibri" w:hAnsi="Verdana" w:cs="Arial"/>
          <w:szCs w:val="24"/>
          <w:lang w:eastAsia="es-ES_tradnl"/>
        </w:rPr>
        <w:t xml:space="preserve"> </w:t>
      </w:r>
      <w:r w:rsidRPr="00791F93">
        <w:rPr>
          <w:rFonts w:ascii="Verdana" w:eastAsia="Calibri" w:hAnsi="Verdana" w:cs="Arial"/>
          <w:szCs w:val="24"/>
          <w:lang w:eastAsia="es-ES_tradnl"/>
        </w:rPr>
        <w:t xml:space="preserve">Así mismo, se indica que, al recibir las cotizaciones, debe verificarse la ocurrencia de circunstancias que eventualmente pueden distorsionar los precios del mercado, como ofertas especiales de </w:t>
      </w:r>
      <w:r w:rsidRPr="00791F93">
        <w:rPr>
          <w:rFonts w:ascii="Verdana" w:eastAsia="Calibri" w:hAnsi="Verdana" w:cs="Arial"/>
          <w:szCs w:val="24"/>
          <w:lang w:eastAsia="es-ES_tradnl"/>
        </w:rPr>
        <w:lastRenderedPageBreak/>
        <w:t xml:space="preserve">almacenes de cadena, fenómenos de escasez o abundancia del producto, entre otros aspectos. </w:t>
      </w:r>
    </w:p>
    <w:p w14:paraId="7944B8FE" w14:textId="77777777" w:rsidR="002F13FC" w:rsidRDefault="002F13FC" w:rsidP="002F13FC">
      <w:pPr>
        <w:spacing w:after="120" w:line="276" w:lineRule="auto"/>
        <w:ind w:firstLine="708"/>
        <w:jc w:val="both"/>
        <w:rPr>
          <w:rFonts w:ascii="Verdana" w:eastAsia="Calibri" w:hAnsi="Verdana" w:cs="Arial"/>
          <w:szCs w:val="24"/>
          <w:lang w:eastAsia="es-ES_tradnl"/>
        </w:rPr>
      </w:pPr>
      <w:r>
        <w:rPr>
          <w:rFonts w:ascii="Verdana" w:eastAsia="Calibri" w:hAnsi="Verdana" w:cs="Arial"/>
          <w:szCs w:val="24"/>
          <w:lang w:eastAsia="es-ES_tradnl"/>
        </w:rPr>
        <w:t xml:space="preserve">b. </w:t>
      </w:r>
      <w:r w:rsidRPr="00791F93">
        <w:rPr>
          <w:rFonts w:ascii="Verdana" w:eastAsia="Calibri" w:hAnsi="Verdana" w:cs="Arial"/>
          <w:szCs w:val="24"/>
          <w:lang w:eastAsia="es-ES_tradnl"/>
        </w:rPr>
        <w:t xml:space="preserve">Revisión de bases de datos especializadas: la Guía señala que es conveniente adelantarla cuando por las condiciones del mercado del bien o servicio a contratar se requiera, y el responsable deberá dejar constancia de las consultas realizadas y de los precios que soportan su estudio. Las bases de datos consultadas deben ser especializadas y representativas en el mercado del bien o servicio a contratar. </w:t>
      </w:r>
    </w:p>
    <w:p w14:paraId="5C79D990" w14:textId="77777777" w:rsidR="002F13FC" w:rsidRPr="00791F93" w:rsidRDefault="002F13FC" w:rsidP="002F13FC">
      <w:pPr>
        <w:spacing w:after="120" w:line="276" w:lineRule="auto"/>
        <w:ind w:firstLine="708"/>
        <w:jc w:val="both"/>
        <w:rPr>
          <w:rFonts w:ascii="Verdana" w:eastAsia="Calibri" w:hAnsi="Verdana" w:cs="Arial"/>
          <w:szCs w:val="24"/>
          <w:lang w:eastAsia="es-ES_tradnl"/>
        </w:rPr>
      </w:pPr>
      <w:r>
        <w:rPr>
          <w:rFonts w:ascii="Verdana" w:eastAsia="Calibri" w:hAnsi="Verdana" w:cs="Arial"/>
          <w:szCs w:val="24"/>
          <w:lang w:eastAsia="es-ES_tradnl"/>
        </w:rPr>
        <w:t xml:space="preserve">c. </w:t>
      </w:r>
      <w:r w:rsidRPr="00791F93">
        <w:rPr>
          <w:rFonts w:ascii="Verdana" w:eastAsia="Calibri" w:hAnsi="Verdana" w:cs="Arial"/>
          <w:szCs w:val="24"/>
          <w:lang w:eastAsia="es-ES_tradnl"/>
        </w:rPr>
        <w:t xml:space="preserve">Revisión de precios históricos se sugiere verificar la variación de los precios históricos derivados del índice de precios al consumidor en cada año, examinando si se han presentado fenómenos económicos que hayan implicado fluctuaciones importantes en el comercio del bien o servicio, siempre que las características del bien o servicio sean las mismas entre una contratación y otra.  </w:t>
      </w:r>
      <w:bookmarkEnd w:id="18"/>
    </w:p>
    <w:p w14:paraId="499C5BBA" w14:textId="77777777" w:rsidR="002F13FC" w:rsidRPr="00FE365D" w:rsidRDefault="002F13FC" w:rsidP="002F13FC">
      <w:pPr>
        <w:spacing w:after="120" w:line="276" w:lineRule="auto"/>
        <w:ind w:firstLine="708"/>
        <w:jc w:val="both"/>
        <w:rPr>
          <w:rFonts w:ascii="Verdana" w:eastAsia="Calibri" w:hAnsi="Verdana" w:cs="Arial"/>
          <w:szCs w:val="24"/>
          <w:lang w:eastAsia="es-ES_tradnl"/>
        </w:rPr>
      </w:pPr>
      <w:bookmarkStart w:id="19" w:name="_Hlk139466471"/>
      <w:r w:rsidRPr="003E2550">
        <w:rPr>
          <w:rFonts w:ascii="Verdana" w:eastAsia="Calibri" w:hAnsi="Verdana" w:cs="Arial"/>
          <w:szCs w:val="24"/>
          <w:lang w:eastAsia="es-ES_tradnl"/>
        </w:rPr>
        <w:t xml:space="preserve">Como se observa, la “Guía de Elaboración de Estudios del Sector” recomienda como mecanismo para la elaboración de </w:t>
      </w:r>
      <w:r w:rsidRPr="003E2550">
        <w:rPr>
          <w:rFonts w:ascii="Verdana" w:eastAsia="Calibri" w:hAnsi="Verdana" w:cs="Arial"/>
          <w:i/>
          <w:szCs w:val="24"/>
          <w:lang w:eastAsia="es-ES_tradnl"/>
        </w:rPr>
        <w:t>estudios del mercado</w:t>
      </w:r>
      <w:r w:rsidRPr="003E2550">
        <w:rPr>
          <w:rFonts w:ascii="Verdana" w:eastAsia="Calibri" w:hAnsi="Verdana" w:cs="Arial"/>
          <w:szCs w:val="24"/>
          <w:lang w:eastAsia="es-ES_tradnl"/>
        </w:rPr>
        <w:t>, que sirvan para entender la dinámica de los precios y establecer el presupuesto oficial de la contratación, requerir a los potenciales proveedores a fin de que remitan la información necesaria para determinar diversos aspectos de los bienes o servicios a contratar, entre ellos su valor, especificaciones técnicas, el plazo, entre otra información relevante. En principio, que un potencial proveedor participe en estos estudios del mercado, remitiendo cotizaciones por citar un ejemplo, no implica que en el futuro no pueda participar del Proceso de Contratación que se adelante; ni tampoco estas son vinculantes para la entidad contratante.</w:t>
      </w:r>
      <w:bookmarkEnd w:id="19"/>
    </w:p>
    <w:p w14:paraId="0E77D66D" w14:textId="77777777" w:rsidR="002F13FC" w:rsidRPr="00596164" w:rsidRDefault="002F13FC" w:rsidP="002F13FC">
      <w:pPr>
        <w:spacing w:after="120" w:line="276" w:lineRule="auto"/>
        <w:ind w:firstLine="708"/>
        <w:jc w:val="both"/>
        <w:rPr>
          <w:rFonts w:ascii="Verdana" w:hAnsi="Verdana" w:cs="Arial"/>
          <w:color w:val="000000" w:themeColor="text1"/>
        </w:rPr>
      </w:pPr>
      <w:r w:rsidRPr="003E2550">
        <w:rPr>
          <w:rFonts w:ascii="Verdana" w:eastAsia="Calibri" w:hAnsi="Verdana" w:cs="Arial"/>
          <w:szCs w:val="24"/>
          <w:lang w:eastAsia="es-ES_tradnl"/>
        </w:rPr>
        <w:t>En ese orden de ideas,</w:t>
      </w:r>
      <w:r w:rsidRPr="003E2550">
        <w:rPr>
          <w:rFonts w:ascii="Verdana" w:eastAsia="Calibri" w:hAnsi="Verdana" w:cs="Arial"/>
          <w:szCs w:val="24"/>
          <w:lang w:val="es-ES_tradnl" w:eastAsia="es-ES_tradnl"/>
        </w:rPr>
        <w:t xml:space="preserve"> el análisis del sector </w:t>
      </w:r>
      <w:r w:rsidRPr="003E2550">
        <w:rPr>
          <w:rFonts w:ascii="Verdana" w:eastAsia="Times New Roman" w:hAnsi="Verdana" w:cs="Arial"/>
          <w:szCs w:val="24"/>
          <w:lang w:val="es-ES_tradnl" w:eastAsia="es-ES_tradnl"/>
        </w:rPr>
        <w:t xml:space="preserve">parte de un estudio desde una perspectiva multidisciplinaria, que implica los aspectos generales del mercado, el análisis de la demanda y de la oferta, así como el estudio del mercado que le permite a la entidad entender el mercado del bien, obra o servicio que pretenden adquirir, así como identificar los factores que inciden en el valor del contrato, tales como el análisis de precios, las cargas tributarias, la tasa de cambio, las garantías, los gastos de transporte, </w:t>
      </w:r>
      <w:r>
        <w:rPr>
          <w:rFonts w:ascii="Verdana" w:eastAsia="Times New Roman" w:hAnsi="Verdana" w:cs="Arial"/>
          <w:szCs w:val="24"/>
          <w:lang w:val="es-ES_tradnl" w:eastAsia="es-ES_tradnl"/>
        </w:rPr>
        <w:t>entre otros</w:t>
      </w:r>
      <w:r w:rsidRPr="003E2550">
        <w:rPr>
          <w:rFonts w:ascii="Verdana" w:eastAsia="Times New Roman" w:hAnsi="Verdana" w:cs="Arial"/>
          <w:szCs w:val="24"/>
          <w:lang w:val="es-ES_tradnl" w:eastAsia="es-ES_tradnl"/>
        </w:rPr>
        <w:t xml:space="preserve">. Este análisis se </w:t>
      </w:r>
      <w:r w:rsidRPr="003E2550">
        <w:rPr>
          <w:rFonts w:ascii="Verdana" w:eastAsia="Times New Roman" w:hAnsi="Verdana" w:cs="Arial"/>
          <w:szCs w:val="24"/>
          <w:lang w:eastAsia="es-ES_tradnl"/>
        </w:rPr>
        <w:t xml:space="preserve">debe consignar en los Documentos del Proceso, bien sea en los estudios previos o en la información soporte de estos. </w:t>
      </w:r>
      <w:r>
        <w:rPr>
          <w:rFonts w:ascii="Verdana" w:eastAsia="Times New Roman" w:hAnsi="Verdana" w:cs="Arial"/>
          <w:szCs w:val="24"/>
          <w:lang w:eastAsia="es-ES_tradnl"/>
        </w:rPr>
        <w:t xml:space="preserve">En consecuencia, </w:t>
      </w:r>
      <w:r w:rsidRPr="00596164">
        <w:rPr>
          <w:rFonts w:ascii="Verdana" w:hAnsi="Verdana" w:cs="Arial"/>
          <w:color w:val="000000" w:themeColor="text1"/>
        </w:rPr>
        <w:t xml:space="preserve">el análisis del sector es un insumo de planeación obligatorio y sus resultados deben reflejarse en los </w:t>
      </w:r>
      <w:r w:rsidRPr="00596164">
        <w:rPr>
          <w:rFonts w:ascii="Verdana" w:hAnsi="Verdana" w:cs="Arial"/>
          <w:color w:val="000000" w:themeColor="text1"/>
        </w:rPr>
        <w:lastRenderedPageBreak/>
        <w:t xml:space="preserve">estudios previos, que </w:t>
      </w:r>
      <w:r>
        <w:rPr>
          <w:rFonts w:ascii="Verdana" w:hAnsi="Verdana" w:cs="Arial"/>
          <w:color w:val="000000" w:themeColor="text1"/>
        </w:rPr>
        <w:t xml:space="preserve">son </w:t>
      </w:r>
      <w:r w:rsidRPr="00596164">
        <w:rPr>
          <w:rFonts w:ascii="Verdana" w:hAnsi="Verdana" w:cs="Arial"/>
          <w:color w:val="000000" w:themeColor="text1"/>
        </w:rPr>
        <w:t>documentos</w:t>
      </w:r>
      <w:r>
        <w:rPr>
          <w:rFonts w:ascii="Verdana" w:hAnsi="Verdana" w:cs="Arial"/>
          <w:color w:val="000000" w:themeColor="text1"/>
        </w:rPr>
        <w:t xml:space="preserve"> que permiten orientar y motivar las decisiones de la Administración en los procesos de contratación pública</w:t>
      </w:r>
      <w:r w:rsidRPr="00596164">
        <w:rPr>
          <w:rFonts w:ascii="Verdana" w:hAnsi="Verdana" w:cs="Arial"/>
          <w:color w:val="000000" w:themeColor="text1"/>
        </w:rPr>
        <w:t>.</w:t>
      </w:r>
    </w:p>
    <w:p w14:paraId="2669BDA2" w14:textId="77777777" w:rsidR="002F13FC" w:rsidRPr="00596164" w:rsidRDefault="002F13FC" w:rsidP="002F13FC">
      <w:pPr>
        <w:spacing w:after="120" w:line="276" w:lineRule="auto"/>
        <w:ind w:firstLine="709"/>
        <w:jc w:val="both"/>
        <w:rPr>
          <w:rFonts w:ascii="Verdana" w:hAnsi="Verdana" w:cs="Arial"/>
          <w:color w:val="000000" w:themeColor="text1"/>
        </w:rPr>
      </w:pPr>
      <w:r>
        <w:rPr>
          <w:rFonts w:ascii="Verdana" w:hAnsi="Verdana" w:cs="Arial"/>
          <w:color w:val="000000" w:themeColor="text1"/>
        </w:rPr>
        <w:t xml:space="preserve">Aunque </w:t>
      </w:r>
      <w:r w:rsidRPr="00596164">
        <w:rPr>
          <w:rFonts w:ascii="Verdana" w:hAnsi="Verdana" w:cs="Arial"/>
          <w:color w:val="000000" w:themeColor="text1"/>
        </w:rPr>
        <w:t>el análisis del sector pueda ser extenso y técnico, los estudios previos deben incorporar los elementos mínimos que la norma exige y que la Guía identifica como determinantes para la estructuración del proceso. Entre ellos se encuentran: la caracterización de la necesidad y las alternativas para satisfacerla; las especificaciones técnicas derivadas del análisis del mercado; la caracterización del sector desde las perspectivas legal, comercial, financiera, organizacional y técnica; el estudio de la demanda y del gasto histórico; la identificación de la oferta y de los proveedores; y la justificación del valor estimado del contrato sustentada en información real del mercado.</w:t>
      </w:r>
    </w:p>
    <w:p w14:paraId="419CC5DF" w14:textId="77777777" w:rsidR="002F13FC" w:rsidRPr="00596164" w:rsidRDefault="002F13FC" w:rsidP="002F13FC">
      <w:pPr>
        <w:spacing w:after="120" w:line="276" w:lineRule="auto"/>
        <w:ind w:firstLine="709"/>
        <w:jc w:val="both"/>
        <w:rPr>
          <w:rFonts w:ascii="Verdana" w:hAnsi="Verdana" w:cs="Arial"/>
          <w:color w:val="000000" w:themeColor="text1"/>
        </w:rPr>
      </w:pPr>
      <w:r w:rsidRPr="00596164">
        <w:rPr>
          <w:rFonts w:ascii="Verdana" w:hAnsi="Verdana" w:cs="Arial"/>
          <w:color w:val="000000" w:themeColor="text1"/>
        </w:rPr>
        <w:t>Asimismo, los estudios previos deben integrar los riesgos identificados en el análisis del sector, las condiciones regulatorias aplicables, las prácticas comerciales relevantes, las barreras de entrada, las tendencias tecnológicas y los factores socioambientales que la Guía exige considerar. Estos elementos no pueden quedar únicamente en el documento independiente, pues son los que permiten motivar la modalidad de selección, los requisitos habilitantes, los criterios diferenciales, las condiciones contractuales y la estrategia de compra, asegurando que el proceso se estructure conforme a los principios de eficiencia, economía, transparencia y</w:t>
      </w:r>
      <w:r>
        <w:rPr>
          <w:rFonts w:ascii="Verdana" w:hAnsi="Verdana" w:cs="Arial"/>
          <w:color w:val="000000" w:themeColor="text1"/>
        </w:rPr>
        <w:t xml:space="preserve"> la selección objetiva</w:t>
      </w:r>
      <w:r w:rsidRPr="00596164">
        <w:rPr>
          <w:rFonts w:ascii="Verdana" w:hAnsi="Verdana" w:cs="Arial"/>
          <w:color w:val="000000" w:themeColor="text1"/>
        </w:rPr>
        <w:t>.</w:t>
      </w:r>
    </w:p>
    <w:p w14:paraId="365FC392" w14:textId="77777777" w:rsidR="002F13FC" w:rsidRDefault="002F13FC" w:rsidP="002F13FC">
      <w:pPr>
        <w:spacing w:after="120" w:line="276" w:lineRule="auto"/>
        <w:ind w:firstLine="709"/>
        <w:jc w:val="both"/>
        <w:rPr>
          <w:rFonts w:ascii="Verdana" w:hAnsi="Verdana" w:cs="Arial"/>
          <w:color w:val="000000" w:themeColor="text1"/>
        </w:rPr>
      </w:pPr>
      <w:r w:rsidRPr="00596164">
        <w:rPr>
          <w:rFonts w:ascii="Verdana" w:hAnsi="Verdana" w:cs="Arial"/>
          <w:color w:val="000000" w:themeColor="text1"/>
        </w:rPr>
        <w:t xml:space="preserve">En síntesis, el análisis del sector puede ser un documento autónomo en su elaboración, pero no puede ser </w:t>
      </w:r>
      <w:r>
        <w:rPr>
          <w:rFonts w:ascii="Verdana" w:hAnsi="Verdana" w:cs="Arial"/>
          <w:color w:val="000000" w:themeColor="text1"/>
        </w:rPr>
        <w:t xml:space="preserve">independiente </w:t>
      </w:r>
      <w:r w:rsidRPr="00596164">
        <w:rPr>
          <w:rFonts w:ascii="Verdana" w:hAnsi="Verdana" w:cs="Arial"/>
          <w:color w:val="000000" w:themeColor="text1"/>
        </w:rPr>
        <w:t>frente a la planeación contractual</w:t>
      </w:r>
      <w:r>
        <w:rPr>
          <w:rFonts w:ascii="Verdana" w:hAnsi="Verdana" w:cs="Arial"/>
          <w:color w:val="000000" w:themeColor="text1"/>
        </w:rPr>
        <w:t>, ya que</w:t>
      </w:r>
      <w:r w:rsidRPr="00596164">
        <w:rPr>
          <w:rFonts w:ascii="Verdana" w:hAnsi="Verdana" w:cs="Arial"/>
          <w:color w:val="000000" w:themeColor="text1"/>
        </w:rPr>
        <w:t xml:space="preserve"> sus hallazgos deben integrarse necesariamente en los estudios previos para que estos cumplan su función jurídica de soportar la apertura, los pliegos y la adjudicación. La entidad es libre de estructurar el análisis del sector como documento técnico independiente, pero está obligada a trasladar a los estudios previos los elementos esenciales que inciden en la definición del objeto, el valor, los riesgos</w:t>
      </w:r>
      <w:r>
        <w:rPr>
          <w:rFonts w:ascii="Verdana" w:hAnsi="Verdana" w:cs="Arial"/>
          <w:color w:val="000000" w:themeColor="text1"/>
        </w:rPr>
        <w:t>, la forma de escogencia del contratista, la identificación del posible tipo de garantías a exigir, entre otros elementos.</w:t>
      </w:r>
    </w:p>
    <w:p w14:paraId="12DE7D6D" w14:textId="77777777" w:rsidR="002F13FC" w:rsidRDefault="002F13FC" w:rsidP="002F13FC">
      <w:pPr>
        <w:spacing w:after="0" w:line="276" w:lineRule="auto"/>
        <w:ind w:firstLine="708"/>
        <w:jc w:val="both"/>
        <w:rPr>
          <w:rFonts w:ascii="Verdana" w:hAnsi="Verdana" w:cs="Arial"/>
          <w:color w:val="000000" w:themeColor="text1"/>
        </w:rPr>
      </w:pPr>
      <w:r w:rsidRPr="00D5286C">
        <w:rPr>
          <w:rFonts w:ascii="Verdana" w:hAnsi="Verdana" w:cs="Arial"/>
          <w:color w:val="000000" w:themeColor="text1"/>
        </w:rPr>
        <w:t xml:space="preserve">Debe precisarse que el deber de conocer el sector </w:t>
      </w:r>
      <w:r>
        <w:rPr>
          <w:rFonts w:ascii="Verdana" w:hAnsi="Verdana" w:cs="Arial"/>
          <w:color w:val="000000" w:themeColor="text1"/>
        </w:rPr>
        <w:t>–</w:t>
      </w:r>
      <w:r w:rsidRPr="00D5286C">
        <w:rPr>
          <w:rFonts w:ascii="Verdana" w:hAnsi="Verdana" w:cs="Arial"/>
          <w:color w:val="000000" w:themeColor="text1"/>
        </w:rPr>
        <w:t>artículo 2.2.1.1.1.6.1</w:t>
      </w:r>
      <w:r>
        <w:rPr>
          <w:rFonts w:ascii="Verdana" w:hAnsi="Verdana" w:cs="Arial"/>
          <w:color w:val="000000" w:themeColor="text1"/>
        </w:rPr>
        <w:t>–</w:t>
      </w:r>
      <w:r w:rsidRPr="00D5286C">
        <w:rPr>
          <w:rFonts w:ascii="Verdana" w:hAnsi="Verdana" w:cs="Arial"/>
          <w:color w:val="000000" w:themeColor="text1"/>
        </w:rPr>
        <w:t xml:space="preserve"> rige con independencia de la modalidad de selección, incluida la mínima cuantía, aun cuando el artículo 2.2.1.1.2.1.1 —que fija el contenido de los estudios previos— no le resulte aplicable. Por ello, en la mínima cuantía el resultado del análisis del sector no se traslada a los estudios previos de dicho artículo, sino que debe reflejarse en los estudios previos simplificados de esa modalidad, de </w:t>
      </w:r>
      <w:r w:rsidRPr="00D5286C">
        <w:rPr>
          <w:rFonts w:ascii="Verdana" w:hAnsi="Verdana" w:cs="Arial"/>
          <w:color w:val="000000" w:themeColor="text1"/>
        </w:rPr>
        <w:lastRenderedPageBreak/>
        <w:t>forma proporcional a la cuantía y complejidad del objeto, conforme a la doctrina reiterada de esta Subdirección</w:t>
      </w:r>
      <w:r>
        <w:rPr>
          <w:rFonts w:ascii="Verdana" w:hAnsi="Verdana" w:cs="Arial"/>
          <w:color w:val="000000" w:themeColor="text1"/>
        </w:rPr>
        <w:t xml:space="preserve">.   </w:t>
      </w:r>
    </w:p>
    <w:p w14:paraId="7C7E79B6" w14:textId="77777777" w:rsidR="002F13FC" w:rsidRDefault="002F13FC" w:rsidP="002F13FC">
      <w:pPr>
        <w:spacing w:after="0" w:line="276" w:lineRule="auto"/>
        <w:jc w:val="both"/>
        <w:rPr>
          <w:rFonts w:ascii="Verdana" w:eastAsia="Times New Roman" w:hAnsi="Verdana" w:cs="Arial"/>
          <w:szCs w:val="24"/>
          <w:lang w:eastAsia="es-ES_tradnl"/>
        </w:rPr>
      </w:pPr>
    </w:p>
    <w:p w14:paraId="1B104763" w14:textId="77777777" w:rsidR="002F13FC" w:rsidRPr="00B16AC6" w:rsidRDefault="002F13FC" w:rsidP="002F13FC">
      <w:pPr>
        <w:spacing w:after="120" w:line="276" w:lineRule="auto"/>
        <w:jc w:val="both"/>
        <w:rPr>
          <w:rFonts w:ascii="Verdana" w:eastAsia="Calibri" w:hAnsi="Verdana" w:cs="Arial"/>
          <w:color w:val="000000" w:themeColor="text1"/>
          <w:lang w:val="es-ES"/>
        </w:rPr>
      </w:pPr>
      <w:r>
        <w:rPr>
          <w:rFonts w:ascii="Verdana" w:eastAsia="Times New Roman" w:hAnsi="Verdana" w:cs="Arial"/>
          <w:szCs w:val="24"/>
          <w:lang w:eastAsia="es-ES_tradnl"/>
        </w:rPr>
        <w:t xml:space="preserve">ii. </w:t>
      </w:r>
      <w:r>
        <w:rPr>
          <w:rFonts w:ascii="Verdana" w:eastAsia="Calibri" w:hAnsi="Verdana" w:cs="Arial"/>
          <w:color w:val="000000" w:themeColor="text1"/>
          <w:lang w:val="es-ES"/>
        </w:rPr>
        <w:t xml:space="preserve">Al </w:t>
      </w:r>
      <w:r w:rsidRPr="00B17041">
        <w:rPr>
          <w:rFonts w:ascii="Verdana" w:hAnsi="Verdana" w:cs="Arial"/>
          <w:lang w:val="es-ES_tradnl" w:eastAsia="es-ES"/>
        </w:rPr>
        <w:t>margen de la explicación precedente debe advertirse que el análisis requerido para resolver pr</w:t>
      </w:r>
      <w:r>
        <w:rPr>
          <w:rFonts w:ascii="Verdana" w:hAnsi="Verdana" w:cs="Arial"/>
          <w:lang w:val="es-ES_tradnl" w:eastAsia="es-ES"/>
        </w:rPr>
        <w:t>oblemas específicos en torno a la elaboración del estudio del sector y los estudios previos de entidades públicas debe realizarse</w:t>
      </w:r>
      <w:r w:rsidRPr="00B17041">
        <w:rPr>
          <w:rFonts w:ascii="Verdana" w:hAnsi="Verdana" w:cs="Arial"/>
          <w:lang w:val="es-ES_tradnl" w:eastAsia="es-ES"/>
        </w:rPr>
        <w:t xml:space="preserve"> por quienes tengan interés en ello, de acuerdo con lo explicado</w:t>
      </w:r>
      <w:r>
        <w:rPr>
          <w:rFonts w:ascii="Verdana" w:hAnsi="Verdana" w:cs="Arial"/>
          <w:lang w:val="es-ES_tradnl" w:eastAsia="es-ES"/>
        </w:rPr>
        <w:t xml:space="preserve"> en</w:t>
      </w:r>
      <w:r w:rsidRPr="00B17041">
        <w:rPr>
          <w:rFonts w:ascii="Verdana" w:hAnsi="Verdana" w:cs="Arial"/>
          <w:lang w:val="es-ES_tradnl" w:eastAsia="es-ES"/>
        </w:rPr>
        <w:t xml:space="preserve">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5A8F55A3" w14:textId="77777777" w:rsidR="002F13FC" w:rsidRPr="00B17041" w:rsidRDefault="002F13FC" w:rsidP="002F13FC">
      <w:pPr>
        <w:spacing w:after="0" w:line="276" w:lineRule="auto"/>
        <w:ind w:firstLine="709"/>
        <w:jc w:val="both"/>
        <w:rPr>
          <w:rFonts w:ascii="Verdana" w:hAnsi="Verdana" w:cs="Arial"/>
          <w:lang w:val="es-ES" w:eastAsia="es-ES"/>
        </w:rPr>
      </w:pPr>
      <w:r w:rsidRPr="00B17041">
        <w:rPr>
          <w:rFonts w:ascii="Verdana" w:hAnsi="Verdana" w:cs="Arial"/>
          <w:lang w:val="es-ES" w:eastAsia="es-ES"/>
        </w:rPr>
        <w:t xml:space="preserve">Dentro de este marco, la entidad </w:t>
      </w:r>
      <w:r w:rsidRPr="00485C44">
        <w:rPr>
          <w:rFonts w:ascii="Verdana" w:hAnsi="Verdana" w:cs="Arial"/>
          <w:lang w:val="es-ES" w:eastAsia="es-ES"/>
        </w:rPr>
        <w:t xml:space="preserve">pública </w:t>
      </w:r>
      <w:r>
        <w:rPr>
          <w:rFonts w:ascii="Verdana" w:hAnsi="Verdana" w:cs="Arial"/>
          <w:lang w:val="es-ES" w:eastAsia="es-ES"/>
        </w:rPr>
        <w:t>definirá</w:t>
      </w:r>
      <w:r w:rsidRPr="00B17041">
        <w:rPr>
          <w:rFonts w:ascii="Verdana" w:hAnsi="Verdana" w:cs="Arial"/>
          <w:lang w:val="es-ES" w:eastAsia="es-ES"/>
        </w:rPr>
        <w:t xml:space="preserve">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47D542A7" w14:textId="77777777" w:rsidR="002F13FC" w:rsidRPr="002B616B" w:rsidRDefault="002F13FC" w:rsidP="002F13FC">
      <w:pPr>
        <w:widowControl w:val="0"/>
        <w:autoSpaceDE w:val="0"/>
        <w:autoSpaceDN w:val="0"/>
        <w:spacing w:after="0" w:line="276" w:lineRule="auto"/>
        <w:jc w:val="both"/>
        <w:rPr>
          <w:rFonts w:ascii="Verdana" w:hAnsi="Verdana" w:cs="Arial"/>
          <w:lang w:eastAsia="es-ES"/>
        </w:rPr>
      </w:pPr>
    </w:p>
    <w:bookmarkEnd w:id="6"/>
    <w:bookmarkEnd w:id="7"/>
    <w:p w14:paraId="5B6AE4D9" w14:textId="77777777" w:rsidR="002F13FC" w:rsidRPr="001F283D" w:rsidRDefault="002F13FC" w:rsidP="002F13FC">
      <w:pPr>
        <w:tabs>
          <w:tab w:val="left" w:pos="142"/>
          <w:tab w:val="left" w:pos="284"/>
        </w:tabs>
        <w:spacing w:after="0" w:line="276" w:lineRule="auto"/>
        <w:rPr>
          <w:rFonts w:ascii="Verdana" w:eastAsia="Century Gothic" w:hAnsi="Verdana" w:cs="Century Gothic"/>
          <w:b/>
          <w:bCs/>
        </w:rPr>
      </w:pPr>
      <w:r>
        <w:rPr>
          <w:rFonts w:ascii="Verdana" w:eastAsia="Century Gothic" w:hAnsi="Verdana" w:cs="Century Gothic"/>
          <w:b/>
          <w:bCs/>
        </w:rPr>
        <w:t xml:space="preserve">IV. </w:t>
      </w:r>
      <w:r w:rsidRPr="001F283D">
        <w:rPr>
          <w:rFonts w:ascii="Verdana" w:eastAsia="Century Gothic" w:hAnsi="Verdana" w:cs="Century Gothic"/>
          <w:b/>
          <w:bCs/>
        </w:rPr>
        <w:t>Referencias normativas</w:t>
      </w:r>
      <w:r>
        <w:rPr>
          <w:rFonts w:ascii="Verdana" w:eastAsia="Century Gothic" w:hAnsi="Verdana" w:cs="Century Gothic"/>
          <w:b/>
          <w:bCs/>
        </w:rPr>
        <w:t>, jurisprudenciales y otras fuentes</w:t>
      </w:r>
      <w:r w:rsidRPr="001F283D">
        <w:rPr>
          <w:rFonts w:ascii="Verdana" w:eastAsia="Century Gothic" w:hAnsi="Verdana" w:cs="Century Gothic"/>
          <w:b/>
          <w:bCs/>
        </w:rPr>
        <w:t>:</w:t>
      </w:r>
    </w:p>
    <w:bookmarkEnd w:id="8"/>
    <w:p w14:paraId="2EDA2D0E" w14:textId="77777777" w:rsidR="002F13FC" w:rsidRPr="00593A5F" w:rsidRDefault="002F13FC" w:rsidP="002F13FC">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2F13FC" w:rsidRPr="002407CE" w14:paraId="1B066BE5" w14:textId="77777777" w:rsidTr="00EE7E4D">
        <w:trPr>
          <w:trHeight w:val="870"/>
          <w:jc w:val="center"/>
        </w:trPr>
        <w:tc>
          <w:tcPr>
            <w:tcW w:w="8647" w:type="dxa"/>
          </w:tcPr>
          <w:p w14:paraId="02FF2BDC" w14:textId="77777777" w:rsidR="002F13FC" w:rsidRPr="00F252D7" w:rsidRDefault="002F13FC" w:rsidP="00EE7E4D">
            <w:pPr>
              <w:widowControl w:val="0"/>
              <w:numPr>
                <w:ilvl w:val="0"/>
                <w:numId w:val="17"/>
              </w:numPr>
              <w:autoSpaceDE w:val="0"/>
              <w:autoSpaceDN w:val="0"/>
              <w:spacing w:after="120" w:line="276" w:lineRule="auto"/>
              <w:ind w:left="714" w:hanging="357"/>
              <w:jc w:val="both"/>
              <w:rPr>
                <w:rFonts w:ascii="Verdana" w:hAnsi="Verdana" w:cs="Arial"/>
                <w:lang w:val="es-ES"/>
              </w:rPr>
            </w:pPr>
            <w:r w:rsidRPr="00F252D7">
              <w:rPr>
                <w:rFonts w:ascii="Verdana" w:hAnsi="Verdana" w:cs="Arial"/>
                <w:lang w:val="es-ES"/>
              </w:rPr>
              <w:t xml:space="preserve">Ley 80 de 1993, artículo 25. </w:t>
            </w:r>
          </w:p>
          <w:p w14:paraId="12424C20" w14:textId="77777777" w:rsidR="002F13FC" w:rsidRPr="00F252D7" w:rsidRDefault="002F13FC" w:rsidP="00EE7E4D">
            <w:pPr>
              <w:widowControl w:val="0"/>
              <w:numPr>
                <w:ilvl w:val="0"/>
                <w:numId w:val="17"/>
              </w:numPr>
              <w:autoSpaceDE w:val="0"/>
              <w:autoSpaceDN w:val="0"/>
              <w:spacing w:after="120" w:line="276" w:lineRule="auto"/>
              <w:ind w:left="714" w:hanging="357"/>
              <w:jc w:val="both"/>
              <w:rPr>
                <w:rFonts w:ascii="Verdana" w:hAnsi="Verdana" w:cs="Arial"/>
                <w:lang w:val="es-ES"/>
              </w:rPr>
            </w:pPr>
            <w:r w:rsidRPr="00F252D7">
              <w:rPr>
                <w:rFonts w:ascii="Verdana" w:hAnsi="Verdana" w:cs="Arial"/>
                <w:lang w:val="es-ES"/>
              </w:rPr>
              <w:t>Decreto 1082 de 2015, artículos 2.2.1.1.2.1.1. y 2.2.1.1.1.6.1.</w:t>
            </w:r>
          </w:p>
          <w:p w14:paraId="146F19C2" w14:textId="77777777" w:rsidR="002F13FC" w:rsidRPr="00F252D7" w:rsidRDefault="002F13FC" w:rsidP="00EE7E4D">
            <w:pPr>
              <w:widowControl w:val="0"/>
              <w:numPr>
                <w:ilvl w:val="0"/>
                <w:numId w:val="17"/>
              </w:numPr>
              <w:autoSpaceDE w:val="0"/>
              <w:autoSpaceDN w:val="0"/>
              <w:spacing w:after="120" w:line="276" w:lineRule="auto"/>
              <w:ind w:left="714" w:hanging="357"/>
              <w:jc w:val="both"/>
              <w:rPr>
                <w:rFonts w:ascii="Verdana" w:hAnsi="Verdana" w:cs="Arial"/>
                <w:lang w:val="es-ES"/>
              </w:rPr>
            </w:pPr>
            <w:r w:rsidRPr="00F252D7">
              <w:rPr>
                <w:rFonts w:ascii="Verdana" w:hAnsi="Verdana" w:cs="Arial"/>
              </w:rPr>
              <w:t>Consejo de Estado. Sección Tercera. Subsección B. Sentencia del 31 de agosto de 2011. Exp. 18.080.</w:t>
            </w:r>
          </w:p>
          <w:p w14:paraId="053BDF74" w14:textId="77777777" w:rsidR="002F13FC" w:rsidRPr="00F252D7" w:rsidRDefault="002F13FC" w:rsidP="00EE7E4D">
            <w:pPr>
              <w:widowControl w:val="0"/>
              <w:numPr>
                <w:ilvl w:val="0"/>
                <w:numId w:val="17"/>
              </w:numPr>
              <w:tabs>
                <w:tab w:val="left" w:pos="8419"/>
              </w:tabs>
              <w:autoSpaceDE w:val="0"/>
              <w:autoSpaceDN w:val="0"/>
              <w:spacing w:after="120" w:line="276" w:lineRule="auto"/>
              <w:ind w:left="714" w:hanging="357"/>
              <w:jc w:val="both"/>
              <w:rPr>
                <w:rFonts w:ascii="Verdana" w:hAnsi="Verdana" w:cs="Arial"/>
                <w:lang w:val="es-ES"/>
              </w:rPr>
            </w:pPr>
            <w:r w:rsidRPr="00F252D7">
              <w:rPr>
                <w:rFonts w:ascii="Verdana" w:hAnsi="Verdana" w:cs="Arial"/>
                <w:lang w:val="es-ES"/>
              </w:rPr>
              <w:t xml:space="preserve">Colombia Compra Eficiente, Guía de Elaboración de Estudios de Sector - GEES del 24 de junio de 2022. Disponible en: </w:t>
            </w:r>
            <w:r w:rsidRPr="00F252D7">
              <w:rPr>
                <w:rFonts w:ascii="Geomanist Light" w:hAnsi="Geomanist Light"/>
                <w:lang w:val="es-ES"/>
              </w:rPr>
              <w:t xml:space="preserve"> </w:t>
            </w:r>
            <w:r w:rsidRPr="00F252D7">
              <w:rPr>
                <w:rFonts w:ascii="Verdana" w:hAnsi="Verdana" w:cs="Arial"/>
                <w:lang w:val="es-ES"/>
              </w:rPr>
              <w:t>chrome-extension://efaidnbmnnnibpcajpcglclefindmkaj/https://www.colombiacompra.gov.co/sites/cce_public/files/cce_documentos/cce-eicp-gi-18._gees_v.2_2.pdf</w:t>
            </w:r>
          </w:p>
          <w:p w14:paraId="64F80C8D" w14:textId="77777777" w:rsidR="002F13FC" w:rsidRPr="00BB0DA7" w:rsidRDefault="002F13FC" w:rsidP="00EE7E4D">
            <w:pPr>
              <w:pStyle w:val="Prrafodelista"/>
              <w:numPr>
                <w:ilvl w:val="0"/>
                <w:numId w:val="17"/>
              </w:numPr>
              <w:spacing w:after="120" w:line="276" w:lineRule="auto"/>
              <w:ind w:left="714" w:hanging="357"/>
              <w:contextualSpacing w:val="0"/>
              <w:jc w:val="both"/>
              <w:rPr>
                <w:rFonts w:ascii="Verdana" w:hAnsi="Verdana" w:cs="Arial"/>
                <w:color w:val="000000" w:themeColor="text1"/>
              </w:rPr>
            </w:pPr>
            <w:r w:rsidRPr="00F252D7">
              <w:rPr>
                <w:rFonts w:ascii="Verdana" w:hAnsi="Verdana" w:cs="Arial"/>
              </w:rPr>
              <w:lastRenderedPageBreak/>
              <w:t>DEIK ACOSTAMADIEDO, Carolina, Guía de Contratación Estatal: Deber de planeación y modalidades de selección, Buenos Aires, 2015.</w:t>
            </w:r>
            <w:r w:rsidRPr="00A57FA0">
              <w:rPr>
                <w:rFonts w:ascii="Verdana" w:hAnsi="Verdana" w:cs="Arial"/>
                <w:color w:val="000000" w:themeColor="text1"/>
              </w:rPr>
              <w:t xml:space="preserve"> </w:t>
            </w:r>
          </w:p>
        </w:tc>
      </w:tr>
    </w:tbl>
    <w:p w14:paraId="6065EE88" w14:textId="77777777" w:rsidR="002F13FC" w:rsidRPr="00277E26" w:rsidRDefault="002F13FC" w:rsidP="002F13FC">
      <w:pPr>
        <w:widowControl w:val="0"/>
        <w:autoSpaceDE w:val="0"/>
        <w:autoSpaceDN w:val="0"/>
        <w:spacing w:after="0" w:line="276" w:lineRule="auto"/>
        <w:jc w:val="both"/>
        <w:rPr>
          <w:rFonts w:ascii="Verdana" w:hAnsi="Verdana" w:cs="Arial"/>
        </w:rPr>
      </w:pPr>
    </w:p>
    <w:p w14:paraId="417CB60A" w14:textId="77777777" w:rsidR="002F13FC" w:rsidRPr="001F283D" w:rsidRDefault="002F13FC" w:rsidP="002F13FC">
      <w:pPr>
        <w:tabs>
          <w:tab w:val="left" w:pos="142"/>
          <w:tab w:val="left" w:pos="284"/>
        </w:tabs>
        <w:spacing w:after="0" w:line="276" w:lineRule="auto"/>
        <w:jc w:val="both"/>
        <w:rPr>
          <w:rFonts w:ascii="Verdana" w:eastAsia="Century Gothic" w:hAnsi="Verdana" w:cs="Century Gothic"/>
          <w:b/>
          <w:bCs/>
        </w:rPr>
      </w:pPr>
      <w:r>
        <w:rPr>
          <w:rFonts w:ascii="Verdana" w:eastAsia="Century Gothic" w:hAnsi="Verdana" w:cs="Century Gothic"/>
          <w:b/>
          <w:bCs/>
        </w:rPr>
        <w:t xml:space="preserve">V. </w:t>
      </w:r>
      <w:r w:rsidRPr="001F283D">
        <w:rPr>
          <w:rFonts w:ascii="Verdana" w:eastAsia="Century Gothic" w:hAnsi="Verdana" w:cs="Century Gothic"/>
          <w:b/>
          <w:bCs/>
        </w:rPr>
        <w:t>Doctrina de la Agencia Nacional de Contratación Pública:</w:t>
      </w:r>
    </w:p>
    <w:p w14:paraId="68608748" w14:textId="77777777" w:rsidR="002F13FC" w:rsidRPr="00593A5F" w:rsidRDefault="002F13FC" w:rsidP="002F13FC">
      <w:pPr>
        <w:widowControl w:val="0"/>
        <w:autoSpaceDE w:val="0"/>
        <w:autoSpaceDN w:val="0"/>
        <w:spacing w:after="0" w:line="276" w:lineRule="auto"/>
        <w:jc w:val="both"/>
        <w:rPr>
          <w:rFonts w:ascii="Verdana" w:hAnsi="Verdana" w:cs="Arial"/>
        </w:rPr>
      </w:pPr>
    </w:p>
    <w:p w14:paraId="5A32B357" w14:textId="77777777" w:rsidR="002F13FC" w:rsidRPr="00DF6401" w:rsidRDefault="002F13FC" w:rsidP="002F13FC">
      <w:pPr>
        <w:widowControl w:val="0"/>
        <w:autoSpaceDE w:val="0"/>
        <w:autoSpaceDN w:val="0"/>
        <w:spacing w:after="0" w:line="276" w:lineRule="auto"/>
        <w:jc w:val="both"/>
        <w:rPr>
          <w:rFonts w:ascii="Verdana" w:eastAsia="Calibri" w:hAnsi="Verdana" w:cs="Arial"/>
          <w:lang w:eastAsia="es-ES_tradnl"/>
        </w:rPr>
      </w:pPr>
      <w:r w:rsidRPr="00F252D7">
        <w:rPr>
          <w:rFonts w:ascii="Verdana" w:eastAsia="Calibri" w:hAnsi="Verdana" w:cs="Arial"/>
          <w:lang w:val="es-ES_tradnl" w:eastAsia="es-ES_tradnl"/>
        </w:rPr>
        <w:t xml:space="preserve">Sobre el deber de elaborar análisis del sector frente a procesos de contratación se pronunció esta Subdirección en los conceptos 2202013000000037 del 7 de enero de 2020, C-223 del 29 de abril de 2020 y C-148 de 2021. Igualmente, se reiteran los </w:t>
      </w:r>
      <w:r>
        <w:rPr>
          <w:rFonts w:ascii="Verdana" w:eastAsia="Calibri" w:hAnsi="Verdana" w:cs="Arial"/>
          <w:lang w:val="es-ES_tradnl" w:eastAsia="es-ES_tradnl"/>
        </w:rPr>
        <w:t>c</w:t>
      </w:r>
      <w:r w:rsidRPr="00F252D7">
        <w:rPr>
          <w:rFonts w:ascii="Verdana" w:eastAsia="Calibri" w:hAnsi="Verdana" w:cs="Arial"/>
          <w:lang w:val="es-ES_tradnl" w:eastAsia="es-ES_tradnl"/>
        </w:rPr>
        <w:t xml:space="preserve">onceptos C-387 del 23 de junio de 2020, </w:t>
      </w:r>
      <w:r w:rsidRPr="00F252D7">
        <w:rPr>
          <w:rFonts w:ascii="Verdana" w:eastAsia="Calibri" w:hAnsi="Verdana" w:cs="Arial"/>
          <w:lang w:eastAsia="es-ES_tradnl"/>
        </w:rPr>
        <w:t xml:space="preserve">C-415 del 7 de julio </w:t>
      </w:r>
      <w:r w:rsidRPr="00F252D7">
        <w:rPr>
          <w:rFonts w:ascii="Verdana" w:eastAsia="Calibri" w:hAnsi="Verdana" w:cs="Arial"/>
          <w:lang w:val="es-ES_tradnl" w:eastAsia="es-ES_tradnl"/>
        </w:rPr>
        <w:t>de 2020</w:t>
      </w:r>
      <w:r w:rsidRPr="00F252D7">
        <w:rPr>
          <w:rFonts w:ascii="Verdana" w:eastAsia="Calibri" w:hAnsi="Verdana" w:cs="Arial"/>
          <w:lang w:eastAsia="es-ES_tradnl"/>
        </w:rPr>
        <w:t xml:space="preserve">, C-443 del 7 de julio de 2020, </w:t>
      </w:r>
      <w:r w:rsidRPr="00F252D7">
        <w:rPr>
          <w:rFonts w:ascii="Verdana" w:eastAsia="Times New Roman" w:hAnsi="Verdana" w:cs="Arial"/>
          <w:lang w:eastAsia="es-ES_tradnl"/>
        </w:rPr>
        <w:t>C-387 del 23 de junio de 2020</w:t>
      </w:r>
      <w:r w:rsidRPr="00F252D7">
        <w:rPr>
          <w:rFonts w:ascii="Verdana" w:eastAsia="Calibri" w:hAnsi="Verdana" w:cs="Arial"/>
          <w:lang w:val="es-ES_tradnl" w:eastAsia="es-ES_tradnl"/>
        </w:rPr>
        <w:t xml:space="preserve">, C-223 del 29 de abril de 2020, C-671 de 2020 de 23 de noviembre de 2020, C-215 del 12 de mayo de 2021, C-742 del 27 de diciembre de 2021, </w:t>
      </w:r>
      <w:r w:rsidRPr="00F252D7">
        <w:rPr>
          <w:rFonts w:ascii="Verdana" w:eastAsia="Calibri" w:hAnsi="Verdana" w:cs="Arial"/>
          <w:lang w:val="es-ES" w:eastAsia="es-ES_tradnl"/>
        </w:rPr>
        <w:t>C-519 del 13 de septiembre de 2022, C-716 del 15 de noviembre de 2022, C-856 del 13 de diciembre de 2022, C-235 del 5 de julio de 2023</w:t>
      </w:r>
      <w:r>
        <w:rPr>
          <w:rFonts w:ascii="Verdana" w:eastAsia="Calibri" w:hAnsi="Verdana" w:cs="Arial"/>
          <w:lang w:val="es-ES" w:eastAsia="es-ES_tradnl"/>
        </w:rPr>
        <w:t xml:space="preserve">, C-258 del 12 de agosto de 2024, C-633 del 28 de mayo de 2026, entre otros. </w:t>
      </w:r>
      <w:r w:rsidRPr="00DF6401">
        <w:rPr>
          <w:rFonts w:ascii="Verdana" w:eastAsia="Calibri" w:hAnsi="Verdana" w:cs="Arial"/>
          <w:lang w:eastAsia="es-ES_tradnl"/>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p>
    <w:p w14:paraId="6616F6CE" w14:textId="77777777" w:rsidR="002F13FC" w:rsidRPr="00DF6401" w:rsidRDefault="002F13FC" w:rsidP="002F13FC">
      <w:pPr>
        <w:widowControl w:val="0"/>
        <w:autoSpaceDE w:val="0"/>
        <w:autoSpaceDN w:val="0"/>
        <w:spacing w:after="0" w:line="276" w:lineRule="auto"/>
        <w:jc w:val="both"/>
        <w:rPr>
          <w:rFonts w:ascii="Verdana" w:eastAsia="Calibri" w:hAnsi="Verdana" w:cs="Arial"/>
          <w:lang w:eastAsia="es-ES_tradnl"/>
        </w:rPr>
      </w:pPr>
      <w:hyperlink r:id="rId13" w:history="1">
        <w:r w:rsidRPr="00DF6401">
          <w:rPr>
            <w:rStyle w:val="Hipervnculo"/>
            <w:rFonts w:ascii="Verdana" w:eastAsia="Calibri" w:hAnsi="Verdana" w:cs="Arial"/>
            <w:lang w:eastAsia="es-ES_tradnl"/>
          </w:rPr>
          <w:t>https://www.colombiacompra.gov.co/normativa-y-relatoria/conoce-la-relatoria</w:t>
        </w:r>
      </w:hyperlink>
      <w:r w:rsidRPr="00DF6401">
        <w:rPr>
          <w:rFonts w:ascii="Verdana" w:eastAsia="Calibri" w:hAnsi="Verdana" w:cs="Arial"/>
          <w:lang w:eastAsia="es-ES_tradnl"/>
        </w:rPr>
        <w:t xml:space="preserve"> </w:t>
      </w:r>
    </w:p>
    <w:p w14:paraId="1A0733C0" w14:textId="77777777" w:rsidR="002F13FC" w:rsidRPr="00EC5A84" w:rsidRDefault="002F13FC" w:rsidP="002F13FC">
      <w:pPr>
        <w:widowControl w:val="0"/>
        <w:autoSpaceDE w:val="0"/>
        <w:autoSpaceDN w:val="0"/>
        <w:spacing w:after="0" w:line="276" w:lineRule="auto"/>
        <w:jc w:val="both"/>
        <w:rPr>
          <w:rStyle w:val="normaltextrun"/>
          <w:rFonts w:ascii="Verdana" w:hAnsi="Verdana" w:cs="Arial"/>
          <w:shd w:val="clear" w:color="auto" w:fill="FFFFFF"/>
        </w:rPr>
      </w:pPr>
    </w:p>
    <w:bookmarkEnd w:id="1"/>
    <w:bookmarkEnd w:id="2"/>
    <w:p w14:paraId="21590A58" w14:textId="77777777" w:rsidR="002F13FC" w:rsidRPr="003D5C91" w:rsidRDefault="002F13FC" w:rsidP="002F13FC">
      <w:pPr>
        <w:spacing w:after="0" w:line="276" w:lineRule="auto"/>
        <w:jc w:val="both"/>
        <w:rPr>
          <w:rFonts w:ascii="Verdana" w:eastAsia="Calibri" w:hAnsi="Verdana" w:cs="Arial"/>
          <w:color w:val="000000"/>
          <w:lang w:eastAsia="es-ES_tradnl"/>
        </w:rPr>
      </w:pPr>
      <w:r w:rsidRPr="003D5C91">
        <w:rPr>
          <w:rFonts w:ascii="Verdana" w:eastAsia="Calibri" w:hAnsi="Verdana" w:cs="Arial"/>
          <w:color w:val="000000"/>
          <w:lang w:eastAsia="es-ES_tradnl"/>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3D5C91">
        <w:rPr>
          <w:rFonts w:ascii="Verdana" w:eastAsia="Calibri" w:hAnsi="Verdana" w:cs="Arial"/>
          <w:b/>
          <w:bCs/>
          <w:color w:val="000000"/>
          <w:lang w:eastAsia="es-ES_tradnl"/>
        </w:rPr>
        <w:t>Guía para la Exigencia y Constitución de Garantías en los Procesos de Contratación</w:t>
      </w:r>
      <w:r w:rsidRPr="003D5C91">
        <w:rPr>
          <w:rFonts w:ascii="Verdana" w:eastAsia="Calibri" w:hAnsi="Verdana" w:cs="Arial"/>
          <w:color w:val="000000"/>
          <w:lang w:eastAsia="es-ES_tradnl"/>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4" w:tgtFrame="_blank" w:tooltip="https://www.colombiacompra.gov.co/archivos/manual/guia-de-garantias-en-procesos-de-contratacion" w:history="1">
        <w:r w:rsidRPr="003D5C91">
          <w:rPr>
            <w:rStyle w:val="Hipervnculo"/>
            <w:rFonts w:ascii="Verdana" w:eastAsia="Calibri" w:hAnsi="Verdana" w:cs="Arial"/>
            <w:lang w:eastAsia="es-ES_tradnl"/>
          </w:rPr>
          <w:t>https://www.colombiacompra.gov.co/archivos/manual/guia-de-garantias-en-procesos-de-contratacion</w:t>
        </w:r>
      </w:hyperlink>
    </w:p>
    <w:p w14:paraId="6FEE9148" w14:textId="77777777" w:rsidR="002F13FC" w:rsidRDefault="002F13FC" w:rsidP="002F13FC">
      <w:pPr>
        <w:spacing w:after="0" w:line="276" w:lineRule="auto"/>
        <w:jc w:val="both"/>
        <w:rPr>
          <w:rFonts w:ascii="Verdana" w:eastAsia="Calibri" w:hAnsi="Verdana" w:cs="Arial"/>
          <w:color w:val="000000"/>
          <w:lang w:eastAsia="es-ES_tradnl"/>
        </w:rPr>
      </w:pPr>
    </w:p>
    <w:p w14:paraId="2E4863A7" w14:textId="77777777" w:rsidR="002F13FC" w:rsidRPr="003D5C91" w:rsidRDefault="002F13FC" w:rsidP="002F13FC">
      <w:pPr>
        <w:spacing w:after="0" w:line="276" w:lineRule="auto"/>
        <w:jc w:val="both"/>
        <w:rPr>
          <w:rFonts w:ascii="Verdana" w:eastAsia="Calibri" w:hAnsi="Verdana" w:cs="Arial"/>
          <w:color w:val="000000"/>
          <w:lang w:eastAsia="es-ES_tradnl"/>
        </w:rPr>
      </w:pPr>
      <w:r w:rsidRPr="003D5C91">
        <w:rPr>
          <w:rFonts w:ascii="Verdana" w:eastAsia="Calibri" w:hAnsi="Verdana" w:cs="Arial"/>
          <w:color w:val="000000"/>
          <w:lang w:eastAsia="es-ES_tradnl"/>
        </w:rPr>
        <w:t xml:space="preserve">De otro lado, te contamos que el Decreto 287 del 19 de marzo de 2026 sustituyó los artículos 2.2.1.2.4.2.6., 2.2.1.2.4.2.7. y 2.2.1.2.4.2.8. del Decreto 1082 de </w:t>
      </w:r>
      <w:r w:rsidRPr="003D5C91">
        <w:rPr>
          <w:rFonts w:ascii="Verdana" w:eastAsia="Calibri" w:hAnsi="Verdana" w:cs="Arial"/>
          <w:color w:val="000000"/>
          <w:lang w:eastAsia="es-ES_tradnl"/>
        </w:rPr>
        <w:lastRenderedPageBreak/>
        <w:t>2015 y estructuró el </w:t>
      </w:r>
      <w:r w:rsidRPr="003D5C91">
        <w:rPr>
          <w:rFonts w:ascii="Verdana" w:eastAsia="Calibri" w:hAnsi="Verdana" w:cs="Arial"/>
          <w:b/>
          <w:bCs/>
          <w:color w:val="000000"/>
          <w:lang w:eastAsia="es-ES_tradnl"/>
        </w:rPr>
        <w:t>Sistema Integral de Preferencias en favor de las personas con discapacidad</w:t>
      </w:r>
      <w:r w:rsidRPr="003D5C91">
        <w:rPr>
          <w:rFonts w:ascii="Verdana" w:eastAsia="Calibri" w:hAnsi="Verdana" w:cs="Arial"/>
          <w:color w:val="000000"/>
          <w:lang w:eastAsia="es-ES_tradnl"/>
        </w:rPr>
        <w:t>, en cumplimiento del artículo 13 de la Ley Estatutaria 1618 de 2013. Para orientar su aplicación, esta Agencia expidió la </w:t>
      </w:r>
      <w:r w:rsidRPr="003D5C91">
        <w:rPr>
          <w:rFonts w:ascii="Verdana" w:eastAsia="Calibri" w:hAnsi="Verdana" w:cs="Arial"/>
          <w:b/>
          <w:bCs/>
          <w:color w:val="000000"/>
          <w:lang w:eastAsia="es-ES_tradnl"/>
        </w:rPr>
        <w:t>Circular Externa 003 del 12 de mayo de 2026, </w:t>
      </w:r>
      <w:r w:rsidRPr="003D5C91">
        <w:rPr>
          <w:rFonts w:ascii="Verdana" w:eastAsia="Calibri" w:hAnsi="Verdana" w:cs="Arial"/>
          <w:color w:val="000000"/>
          <w:lang w:eastAsia="es-ES_tradnl"/>
        </w:rPr>
        <w:t>en la que precisa quiénes son los beneficiarios, las cinco medidas que integran el sistema y su obligatoriedad según la modalidad de selección, y el régimen de transición aplicable a los procesos en curso. Consúltala aquí: </w:t>
      </w:r>
      <w:hyperlink r:id="rId15" w:tgtFrame="_blank" w:tooltip="https://www.colombiacompra.gov.co/archivos/circular/circular-externa-003-de-2026" w:history="1">
        <w:r w:rsidRPr="003D5C91">
          <w:rPr>
            <w:rStyle w:val="Hipervnculo"/>
            <w:rFonts w:ascii="Verdana" w:eastAsia="Calibri" w:hAnsi="Verdana" w:cs="Arial"/>
            <w:lang w:eastAsia="es-ES_tradnl"/>
          </w:rPr>
          <w:t>https://www.colombiacompra.gov.co/archivos/circular/circular-externa-003-de-2026</w:t>
        </w:r>
      </w:hyperlink>
    </w:p>
    <w:p w14:paraId="2A23D81C" w14:textId="77777777" w:rsidR="002F13FC" w:rsidRDefault="002F13FC" w:rsidP="002F13FC">
      <w:pPr>
        <w:spacing w:after="0" w:line="276" w:lineRule="auto"/>
        <w:jc w:val="both"/>
        <w:rPr>
          <w:rFonts w:ascii="Verdana" w:eastAsia="Calibri" w:hAnsi="Verdana" w:cs="Arial"/>
          <w:color w:val="000000"/>
          <w:lang w:eastAsia="es-ES_tradnl"/>
        </w:rPr>
      </w:pPr>
    </w:p>
    <w:p w14:paraId="3C2666DD" w14:textId="77777777" w:rsidR="002F13FC" w:rsidRPr="003D5C91" w:rsidRDefault="002F13FC" w:rsidP="002F13FC">
      <w:pPr>
        <w:spacing w:after="0" w:line="276" w:lineRule="auto"/>
        <w:jc w:val="both"/>
        <w:rPr>
          <w:rFonts w:ascii="Verdana" w:eastAsia="Calibri" w:hAnsi="Verdana" w:cs="Arial"/>
          <w:color w:val="000000"/>
          <w:lang w:eastAsia="es-ES_tradnl"/>
        </w:rPr>
      </w:pPr>
      <w:r w:rsidRPr="003D5C91">
        <w:rPr>
          <w:rFonts w:ascii="Verdana" w:eastAsia="Calibri" w:hAnsi="Verdana" w:cs="Arial"/>
          <w:color w:val="000000"/>
          <w:lang w:eastAsia="es-ES_tradnl"/>
        </w:rPr>
        <w:t>Recuerda también que la</w:t>
      </w:r>
      <w:r w:rsidRPr="003D5C91">
        <w:rPr>
          <w:rFonts w:ascii="Verdana" w:eastAsia="Calibri" w:hAnsi="Verdana" w:cs="Arial"/>
          <w:b/>
          <w:bCs/>
          <w:color w:val="000000"/>
          <w:lang w:eastAsia="es-ES_tradnl"/>
        </w:rPr>
        <w:t> información sobre sanciones e inhabilidades </w:t>
      </w:r>
      <w:r w:rsidRPr="003D5C91">
        <w:rPr>
          <w:rFonts w:ascii="Verdana" w:eastAsia="Calibri" w:hAnsi="Verdana" w:cs="Arial"/>
          <w:color w:val="000000"/>
          <w:lang w:eastAsia="es-ES_tradnl"/>
        </w:rPr>
        <w:t>solo cumple su función preventiva si llega oportunamente a los registros públicos. Sobre este deber, esta Agencia expidió la </w:t>
      </w:r>
      <w:r w:rsidRPr="003D5C91">
        <w:rPr>
          <w:rFonts w:ascii="Verdana" w:eastAsia="Calibri" w:hAnsi="Verdana" w:cs="Arial"/>
          <w:b/>
          <w:bCs/>
          <w:color w:val="000000"/>
          <w:lang w:eastAsia="es-ES_tradnl"/>
        </w:rPr>
        <w:t>Circular Externa 002 del 5 de mayo de 2026,</w:t>
      </w:r>
      <w:r w:rsidRPr="003D5C91">
        <w:rPr>
          <w:rFonts w:ascii="Verdana" w:eastAsia="Calibri" w:hAnsi="Verdana" w:cs="Arial"/>
          <w:color w:val="000000"/>
          <w:lang w:eastAsia="es-ES_tradnl"/>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6" w:tgtFrame="_blank" w:tooltip="https://www.colombiacompra.gov.co/archivos/circular/circular-externa-002-de-2026" w:history="1">
        <w:r w:rsidRPr="003D5C91">
          <w:rPr>
            <w:rStyle w:val="Hipervnculo"/>
            <w:rFonts w:ascii="Verdana" w:eastAsia="Calibri" w:hAnsi="Verdana" w:cs="Arial"/>
            <w:lang w:eastAsia="es-ES_tradnl"/>
          </w:rPr>
          <w:t>https://www.colombiacompra.gov.co/archivos/circular/circular-externa-002-de-2026</w:t>
        </w:r>
      </w:hyperlink>
    </w:p>
    <w:p w14:paraId="28450B12" w14:textId="77777777" w:rsidR="002F13FC" w:rsidRDefault="002F13FC" w:rsidP="002F13FC">
      <w:pPr>
        <w:spacing w:after="0" w:line="276" w:lineRule="auto"/>
        <w:jc w:val="both"/>
        <w:rPr>
          <w:rFonts w:ascii="Verdana" w:eastAsia="Calibri" w:hAnsi="Verdana" w:cs="Arial"/>
          <w:color w:val="000000"/>
          <w:lang w:eastAsia="es-ES_tradnl"/>
        </w:rPr>
      </w:pPr>
    </w:p>
    <w:p w14:paraId="7BC682C2" w14:textId="77777777" w:rsidR="002F13FC" w:rsidRPr="003D5C91" w:rsidRDefault="002F13FC" w:rsidP="002F13FC">
      <w:pPr>
        <w:spacing w:after="0" w:line="276" w:lineRule="auto"/>
        <w:jc w:val="both"/>
        <w:rPr>
          <w:rFonts w:ascii="Verdana" w:eastAsia="Calibri" w:hAnsi="Verdana" w:cs="Arial"/>
          <w:color w:val="000000"/>
          <w:lang w:eastAsia="es-ES_tradnl"/>
        </w:rPr>
      </w:pPr>
      <w:r w:rsidRPr="003D5C91">
        <w:rPr>
          <w:rFonts w:ascii="Verdana" w:eastAsia="Calibri" w:hAnsi="Verdana" w:cs="Arial"/>
          <w:color w:val="000000"/>
          <w:lang w:eastAsia="es-ES_tradnl"/>
        </w:rPr>
        <w:t>Finalmente, si quieres seguir de cerca la actividad de la Agencia, la tercera edición de 2026 del</w:t>
      </w:r>
      <w:r w:rsidRPr="003D5C91">
        <w:rPr>
          <w:rFonts w:ascii="Verdana" w:eastAsia="Calibri" w:hAnsi="Verdana" w:cs="Arial"/>
          <w:b/>
          <w:bCs/>
          <w:color w:val="000000"/>
          <w:lang w:eastAsia="es-ES_tradnl"/>
        </w:rPr>
        <w:t> Radar de la Compra Pública</w:t>
      </w:r>
      <w:r w:rsidRPr="003D5C91">
        <w:rPr>
          <w:rFonts w:ascii="Verdana" w:eastAsia="Calibri" w:hAnsi="Verdana" w:cs="Arial"/>
          <w:color w:val="000000"/>
          <w:lang w:eastAsia="es-ES_tradnl"/>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7" w:tgtFrame="_blank" w:tooltip="https://www.colombiacompra.gov.co/archivos/boletin/boletin-edicion-n-3-de-2026-radar-de-la-compra-publica" w:history="1">
        <w:r w:rsidRPr="003D5C91">
          <w:rPr>
            <w:rStyle w:val="Hipervnculo"/>
            <w:rFonts w:ascii="Verdana" w:eastAsia="Calibri" w:hAnsi="Verdana" w:cs="Arial"/>
            <w:lang w:eastAsia="es-ES_tradnl"/>
          </w:rPr>
          <w:t>https://www.colombiacompra.gov.co/archivos/boletin/boletin-edicion-n-3-de-2026-radar-de-la-compra-publica</w:t>
        </w:r>
      </w:hyperlink>
    </w:p>
    <w:p w14:paraId="099348C9" w14:textId="77777777" w:rsidR="002F13FC" w:rsidRDefault="002F13FC" w:rsidP="002F13FC">
      <w:pPr>
        <w:spacing w:after="0"/>
        <w:jc w:val="both"/>
        <w:rPr>
          <w:rFonts w:ascii="Verdana" w:hAnsi="Verdana"/>
        </w:rPr>
      </w:pPr>
    </w:p>
    <w:p w14:paraId="725C07AE" w14:textId="77777777" w:rsidR="002F13FC" w:rsidRPr="00116940" w:rsidRDefault="002F13FC" w:rsidP="002F13FC">
      <w:pPr>
        <w:spacing w:after="0"/>
        <w:jc w:val="both"/>
        <w:rPr>
          <w:rFonts w:ascii="Verdana" w:hAnsi="Verdana"/>
        </w:rPr>
      </w:pPr>
      <w:r w:rsidRPr="00E02524">
        <w:rPr>
          <w:rFonts w:ascii="Verdana" w:hAnsi="Verdana"/>
        </w:rPr>
        <w:t xml:space="preserve">Por último, aprovechamos la oportunidad de manifestar la entera disposición de la </w:t>
      </w:r>
      <w:r w:rsidRPr="00116940">
        <w:rPr>
          <w:rFonts w:ascii="Verdana" w:hAnsi="Verdana"/>
        </w:rPr>
        <w:t xml:space="preserve">Agencia Nacional de Contratación Pública –Colombia Compra Eficiente– para atender las peticiones o solicitudes, así como para brindar el apoyo que se requiera en el marco de nuestras funciones a través de nuestros diferentes canales de atención: </w:t>
      </w:r>
    </w:p>
    <w:p w14:paraId="4F9F950C" w14:textId="77777777" w:rsidR="002F13FC" w:rsidRPr="00116940" w:rsidRDefault="002F13FC" w:rsidP="002F13FC">
      <w:pPr>
        <w:spacing w:after="0"/>
        <w:jc w:val="both"/>
        <w:rPr>
          <w:rFonts w:ascii="Verdana" w:hAnsi="Verdana"/>
        </w:rPr>
      </w:pPr>
    </w:p>
    <w:p w14:paraId="3825CA7F" w14:textId="77777777" w:rsidR="002F13FC" w:rsidRPr="00116940" w:rsidRDefault="002F13FC" w:rsidP="002F13FC">
      <w:pPr>
        <w:pStyle w:val="Prrafodelista"/>
        <w:numPr>
          <w:ilvl w:val="0"/>
          <w:numId w:val="15"/>
        </w:numPr>
        <w:spacing w:after="0" w:line="240" w:lineRule="auto"/>
        <w:contextualSpacing w:val="0"/>
        <w:jc w:val="both"/>
        <w:rPr>
          <w:rFonts w:ascii="Verdana" w:eastAsia="Verdana" w:hAnsi="Verdana" w:cs="Verdana"/>
          <w:color w:val="4472C4" w:themeColor="accent1"/>
          <w:u w:val="single"/>
          <w:lang w:val="es-MX"/>
        </w:rPr>
      </w:pPr>
      <w:r w:rsidRPr="00116940">
        <w:rPr>
          <w:rFonts w:ascii="Verdana" w:eastAsia="Verdana" w:hAnsi="Verdana" w:cs="Verdana"/>
          <w:lang w:val="es-MX"/>
        </w:rPr>
        <w:lastRenderedPageBreak/>
        <w:t xml:space="preserve">Línea nacional gratuita o servicio a la ciudadanía (Mesa de servicio): </w:t>
      </w:r>
      <w:r w:rsidRPr="00116940">
        <w:rPr>
          <w:rStyle w:val="Hipervnculo"/>
          <w:rFonts w:ascii="Verdana" w:hAnsi="Verdana"/>
        </w:rPr>
        <w:t>01800 0520808</w:t>
      </w:r>
    </w:p>
    <w:p w14:paraId="1CD63B83" w14:textId="77777777" w:rsidR="002F13FC" w:rsidRPr="00116940" w:rsidRDefault="002F13FC" w:rsidP="002F13FC">
      <w:pPr>
        <w:pStyle w:val="Prrafodelista"/>
        <w:numPr>
          <w:ilvl w:val="0"/>
          <w:numId w:val="15"/>
        </w:numPr>
        <w:spacing w:after="0"/>
        <w:contextualSpacing w:val="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r w:rsidRPr="00116940">
        <w:rPr>
          <w:rStyle w:val="Hipervnculo"/>
          <w:rFonts w:ascii="Verdana" w:hAnsi="Verdana"/>
        </w:rPr>
        <w:t>+57 601 7456788</w:t>
      </w:r>
    </w:p>
    <w:p w14:paraId="61B5CE1B" w14:textId="77777777" w:rsidR="002F13FC" w:rsidRPr="00116940" w:rsidRDefault="002F13FC" w:rsidP="002F13FC">
      <w:pPr>
        <w:pStyle w:val="Prrafodelista"/>
        <w:numPr>
          <w:ilvl w:val="0"/>
          <w:numId w:val="15"/>
        </w:numPr>
        <w:spacing w:after="0"/>
        <w:contextualSpacing w:val="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8">
        <w:r w:rsidRPr="00116940">
          <w:rPr>
            <w:rStyle w:val="Hipervnculo"/>
            <w:rFonts w:ascii="Verdana" w:eastAsia="Verdana" w:hAnsi="Verdana" w:cs="Verdana"/>
            <w:lang w:val="es-MX"/>
          </w:rPr>
          <w:t>ventanilladeradicacion@colombiacompra.gov.co</w:t>
        </w:r>
      </w:hyperlink>
    </w:p>
    <w:p w14:paraId="16B0C085" w14:textId="77777777" w:rsidR="002F13FC" w:rsidRPr="00116940" w:rsidRDefault="002F13FC" w:rsidP="002F13FC">
      <w:pPr>
        <w:pStyle w:val="Prrafodelista"/>
        <w:numPr>
          <w:ilvl w:val="0"/>
          <w:numId w:val="15"/>
        </w:numPr>
        <w:spacing w:after="0"/>
        <w:contextualSpacing w:val="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19">
        <w:r w:rsidRPr="00116940">
          <w:rPr>
            <w:rStyle w:val="Hipervnculo"/>
            <w:rFonts w:ascii="Verdana" w:eastAsia="Verdana" w:hAnsi="Verdana" w:cs="Verdana"/>
            <w:lang w:val="es-MX"/>
          </w:rPr>
          <w:t>https://www.colombiacompra.gov.co/pqrsd/informacion-importante-antes-de-formular-una-pqrsd</w:t>
        </w:r>
      </w:hyperlink>
    </w:p>
    <w:p w14:paraId="15D67893" w14:textId="77777777" w:rsidR="002F13FC" w:rsidRPr="00116940" w:rsidRDefault="002F13FC" w:rsidP="002F13FC">
      <w:pPr>
        <w:spacing w:after="0" w:line="240" w:lineRule="auto"/>
        <w:ind w:left="720"/>
        <w:jc w:val="both"/>
        <w:rPr>
          <w:rFonts w:ascii="Verdana" w:hAnsi="Verdana"/>
        </w:rPr>
      </w:pPr>
    </w:p>
    <w:p w14:paraId="5FDC531A" w14:textId="77777777" w:rsidR="002F13FC" w:rsidRPr="00116940" w:rsidRDefault="002F13FC" w:rsidP="002F13FC">
      <w:pPr>
        <w:spacing w:after="0" w:line="240" w:lineRule="auto"/>
        <w:rPr>
          <w:rFonts w:ascii="Verdana" w:hAnsi="Verdana"/>
        </w:rPr>
      </w:pPr>
      <w:r w:rsidRPr="00116940">
        <w:rPr>
          <w:rFonts w:ascii="Verdana" w:hAnsi="Verdana"/>
        </w:rPr>
        <w:t>Evalúa el servicio que ofrece la Agencia por el canal de atención de PQRSD en el siguiente enlace :</w:t>
      </w:r>
      <w:hyperlink r:id="rId20" w:tgtFrame="_blank" w:tooltip="https://forms.office.com/r/pphywvs2sz" w:history="1">
        <w:r w:rsidRPr="00116940">
          <w:rPr>
            <w:rStyle w:val="Hipervnculo"/>
            <w:rFonts w:ascii="Verdana" w:hAnsi="Verdana"/>
          </w:rPr>
          <w:t>https://forms.office.com/r/pPHyWVs2SZ</w:t>
        </w:r>
      </w:hyperlink>
      <w:r w:rsidRPr="00116940">
        <w:rPr>
          <w:rFonts w:ascii="Verdana" w:hAnsi="Verdana"/>
        </w:rPr>
        <w:t xml:space="preserve"> .¡Ayúdanos a mejorar porque el compromiso es de todos!</w:t>
      </w:r>
    </w:p>
    <w:p w14:paraId="226CF306" w14:textId="77777777" w:rsidR="002F13FC" w:rsidRPr="00116940" w:rsidRDefault="002F13FC" w:rsidP="002F13FC">
      <w:pPr>
        <w:spacing w:after="0" w:line="240" w:lineRule="auto"/>
        <w:rPr>
          <w:rFonts w:ascii="Verdana" w:hAnsi="Verdana"/>
        </w:rPr>
      </w:pPr>
    </w:p>
    <w:p w14:paraId="48B3FA35" w14:textId="77777777" w:rsidR="002F13FC" w:rsidRPr="00116940" w:rsidRDefault="002F13FC" w:rsidP="002F13FC">
      <w:pPr>
        <w:spacing w:after="0" w:line="240"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3B92929B" w14:textId="77777777" w:rsidR="002F13FC" w:rsidRPr="00116940" w:rsidRDefault="002F13FC" w:rsidP="002F13FC">
      <w:pPr>
        <w:spacing w:after="0" w:line="240" w:lineRule="auto"/>
        <w:jc w:val="both"/>
        <w:rPr>
          <w:rFonts w:ascii="Verdana" w:hAnsi="Verdana"/>
        </w:rPr>
      </w:pPr>
    </w:p>
    <w:p w14:paraId="010F0580" w14:textId="77777777" w:rsidR="002F13FC" w:rsidRPr="00116940" w:rsidRDefault="002F13FC" w:rsidP="002F13FC">
      <w:pPr>
        <w:spacing w:after="0" w:line="240"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3852B407" w14:textId="77777777" w:rsidR="002F13FC" w:rsidRPr="00116940" w:rsidRDefault="002F13FC" w:rsidP="002F13FC">
      <w:pPr>
        <w:spacing w:after="0" w:line="240" w:lineRule="auto"/>
        <w:jc w:val="both"/>
        <w:rPr>
          <w:rFonts w:ascii="Verdana" w:hAnsi="Verdana"/>
        </w:rPr>
      </w:pPr>
      <w:r w:rsidRPr="00116940">
        <w:rPr>
          <w:rFonts w:ascii="Verdana" w:hAnsi="Verdana"/>
        </w:rPr>
        <w:t xml:space="preserve">Facebook: </w:t>
      </w:r>
      <w:r w:rsidRPr="00116940">
        <w:rPr>
          <w:rStyle w:val="Hipervnculo"/>
          <w:rFonts w:ascii="Verdana" w:hAnsi="Verdana"/>
        </w:rPr>
        <w:t>ColombiaCompraEficiente</w:t>
      </w:r>
    </w:p>
    <w:p w14:paraId="57D130AE" w14:textId="77777777" w:rsidR="002F13FC" w:rsidRPr="00116940" w:rsidRDefault="002F13FC" w:rsidP="002F13FC">
      <w:pPr>
        <w:spacing w:after="0" w:line="240"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0F457B19" w14:textId="77777777" w:rsidR="002F13FC" w:rsidRPr="00116940" w:rsidRDefault="002F13FC" w:rsidP="002F13FC">
      <w:pPr>
        <w:spacing w:after="0" w:line="240" w:lineRule="auto"/>
        <w:jc w:val="both"/>
        <w:rPr>
          <w:rFonts w:ascii="Verdana" w:hAnsi="Verdana"/>
        </w:rPr>
      </w:pPr>
    </w:p>
    <w:p w14:paraId="77903988" w14:textId="77777777" w:rsidR="002F13FC" w:rsidRPr="009037F6" w:rsidRDefault="002F13FC" w:rsidP="002F13FC">
      <w:pPr>
        <w:spacing w:after="0" w:line="256" w:lineRule="auto"/>
        <w:jc w:val="both"/>
        <w:rPr>
          <w:rFonts w:ascii="Verdana" w:eastAsia="Calibri" w:hAnsi="Verdana" w:cs="Times New Roman"/>
          <w:bCs/>
          <w:lang w:val="es-ES_tradnl"/>
        </w:rPr>
      </w:pPr>
      <w:r w:rsidRPr="009037F6">
        <w:rPr>
          <w:rFonts w:ascii="Verdana" w:eastAsia="Calibri" w:hAnsi="Verdana" w:cs="Times New Roman"/>
          <w:lang w:val="es-ES_tradnl"/>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72FC133C" w14:textId="77777777" w:rsidR="002F13FC" w:rsidRPr="00492C4A" w:rsidRDefault="002F13FC" w:rsidP="002F13FC">
      <w:pPr>
        <w:spacing w:after="0" w:line="256" w:lineRule="auto"/>
        <w:jc w:val="both"/>
        <w:rPr>
          <w:rFonts w:ascii="Verdana" w:eastAsia="Calibri" w:hAnsi="Verdana" w:cs="Times New Roman"/>
          <w:lang w:val="es-ES_tradnl"/>
        </w:rPr>
      </w:pPr>
    </w:p>
    <w:p w14:paraId="4B7AD650" w14:textId="77777777" w:rsidR="002F13FC" w:rsidRPr="00823C60" w:rsidRDefault="002F13FC" w:rsidP="002F13FC">
      <w:pPr>
        <w:spacing w:after="0" w:line="256" w:lineRule="auto"/>
        <w:jc w:val="both"/>
      </w:pPr>
      <w:r w:rsidRPr="009037F6">
        <w:rPr>
          <w:rFonts w:ascii="Verdana" w:eastAsia="Calibri" w:hAnsi="Verdana" w:cs="Times New Roman"/>
        </w:rPr>
        <w:t>Atentamente,</w:t>
      </w:r>
    </w:p>
    <w:p w14:paraId="427C9C18" w14:textId="578DD441" w:rsidR="002F13FC" w:rsidRPr="00DA61E0" w:rsidRDefault="00831837" w:rsidP="002F13FC">
      <w:pPr>
        <w:spacing w:after="0" w:line="254" w:lineRule="auto"/>
        <w:jc w:val="center"/>
        <w:rPr>
          <w:rFonts w:ascii="Century Gothic" w:eastAsia="Calibri" w:hAnsi="Century Gothic" w:cs="Times New Roman"/>
          <w:noProof/>
          <w:lang w:val="en-US"/>
        </w:rPr>
      </w:pPr>
      <w:r w:rsidRPr="002C3AD6">
        <w:rPr>
          <w:rFonts w:ascii="Century Gothic" w:hAnsi="Century Gothic"/>
          <w:noProof/>
          <w:lang w:val="en-US"/>
        </w:rPr>
        <w:drawing>
          <wp:inline distT="0" distB="0" distL="0" distR="0" wp14:anchorId="7714A15E" wp14:editId="6D7F9898">
            <wp:extent cx="3279697" cy="1217463"/>
            <wp:effectExtent l="0" t="0" r="0" b="1905"/>
            <wp:docPr id="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21"/>
                    <a:stretch>
                      <a:fillRect/>
                    </a:stretch>
                  </pic:blipFill>
                  <pic:spPr>
                    <a:xfrm>
                      <a:off x="0" y="0"/>
                      <a:ext cx="3312722" cy="1229722"/>
                    </a:xfrm>
                    <a:prstGeom prst="rect">
                      <a:avLst/>
                    </a:prstGeom>
                  </pic:spPr>
                </pic:pic>
              </a:graphicData>
            </a:graphic>
          </wp:inline>
        </w:drawing>
      </w:r>
    </w:p>
    <w:p w14:paraId="417D272D" w14:textId="77777777" w:rsidR="002F13FC" w:rsidRPr="00DA61E0" w:rsidRDefault="002F13FC" w:rsidP="002F13FC">
      <w:pPr>
        <w:spacing w:after="0" w:line="254" w:lineRule="auto"/>
        <w:rPr>
          <w:rFonts w:ascii="Century Gothic" w:eastAsia="Calibri" w:hAnsi="Century Gothic" w:cs="Times New Roman"/>
          <w:noProof/>
          <w:sz w:val="16"/>
          <w:szCs w:val="16"/>
          <w:lang w:val="en-US"/>
        </w:rPr>
      </w:pPr>
    </w:p>
    <w:tbl>
      <w:tblPr>
        <w:tblW w:w="57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7"/>
        <w:gridCol w:w="4937"/>
      </w:tblGrid>
      <w:tr w:rsidR="002F13FC" w:rsidRPr="00DA61E0" w14:paraId="6A6689E0" w14:textId="77777777" w:rsidTr="00EE7E4D">
        <w:trPr>
          <w:trHeight w:val="409"/>
        </w:trPr>
        <w:tc>
          <w:tcPr>
            <w:tcW w:w="817" w:type="dxa"/>
            <w:tcBorders>
              <w:top w:val="nil"/>
              <w:left w:val="nil"/>
              <w:bottom w:val="nil"/>
              <w:right w:val="nil"/>
            </w:tcBorders>
            <w:vAlign w:val="center"/>
            <w:hideMark/>
          </w:tcPr>
          <w:p w14:paraId="7954B6BF" w14:textId="77777777" w:rsidR="002F13FC" w:rsidRPr="00DA61E0" w:rsidRDefault="002F13FC" w:rsidP="00EE7E4D">
            <w:pPr>
              <w:spacing w:after="0" w:line="254" w:lineRule="auto"/>
              <w:rPr>
                <w:rFonts w:ascii="Verdana" w:eastAsia="Calibri" w:hAnsi="Verdana" w:cs="Times New Roman"/>
                <w:sz w:val="16"/>
                <w:szCs w:val="16"/>
              </w:rPr>
            </w:pPr>
            <w:r w:rsidRPr="00DA61E0">
              <w:rPr>
                <w:rFonts w:ascii="Verdana" w:eastAsia="Calibri" w:hAnsi="Verdana" w:cs="Times New Roman"/>
                <w:sz w:val="16"/>
                <w:szCs w:val="16"/>
              </w:rPr>
              <w:t>Elaboró: </w:t>
            </w:r>
          </w:p>
        </w:tc>
        <w:tc>
          <w:tcPr>
            <w:tcW w:w="4937" w:type="dxa"/>
            <w:tcBorders>
              <w:top w:val="nil"/>
              <w:left w:val="nil"/>
              <w:bottom w:val="dotted" w:sz="6" w:space="0" w:color="7F7F7F" w:themeColor="text1" w:themeTint="80"/>
              <w:right w:val="nil"/>
            </w:tcBorders>
            <w:vAlign w:val="center"/>
            <w:hideMark/>
          </w:tcPr>
          <w:p w14:paraId="41F3AF94" w14:textId="77777777" w:rsidR="002F13FC" w:rsidRPr="00DA61E0" w:rsidRDefault="002F13FC" w:rsidP="00EE7E4D">
            <w:pPr>
              <w:spacing w:after="0" w:line="254" w:lineRule="auto"/>
              <w:rPr>
                <w:rFonts w:ascii="Verdana" w:eastAsia="Calibri" w:hAnsi="Verdana" w:cs="Times New Roman"/>
                <w:sz w:val="16"/>
                <w:szCs w:val="16"/>
              </w:rPr>
            </w:pPr>
            <w:r w:rsidRPr="00DA61E0">
              <w:rPr>
                <w:rFonts w:ascii="Verdana" w:eastAsia="Calibri" w:hAnsi="Verdana" w:cs="Times New Roman"/>
                <w:sz w:val="16"/>
                <w:szCs w:val="16"/>
              </w:rPr>
              <w:t>José Luis Sánchez Cardona</w:t>
            </w:r>
          </w:p>
          <w:p w14:paraId="3CA393B6" w14:textId="77777777" w:rsidR="002F13FC" w:rsidRPr="00DA61E0" w:rsidRDefault="002F13FC" w:rsidP="00EE7E4D">
            <w:pPr>
              <w:spacing w:after="0" w:line="254" w:lineRule="auto"/>
              <w:rPr>
                <w:rFonts w:ascii="Verdana" w:eastAsia="Calibri" w:hAnsi="Verdana" w:cs="Times New Roman"/>
                <w:sz w:val="16"/>
                <w:szCs w:val="16"/>
              </w:rPr>
            </w:pPr>
            <w:r w:rsidRPr="00DA61E0">
              <w:rPr>
                <w:rFonts w:ascii="Verdana" w:eastAsia="Calibri" w:hAnsi="Verdana" w:cs="Times New Roman"/>
                <w:sz w:val="16"/>
                <w:szCs w:val="16"/>
              </w:rPr>
              <w:t>Contratista de la Subdirección de Gestión Contractual</w:t>
            </w:r>
          </w:p>
        </w:tc>
      </w:tr>
      <w:tr w:rsidR="002F13FC" w:rsidRPr="00DA61E0" w14:paraId="11F5DF1C" w14:textId="77777777" w:rsidTr="00EE7E4D">
        <w:trPr>
          <w:trHeight w:val="409"/>
        </w:trPr>
        <w:tc>
          <w:tcPr>
            <w:tcW w:w="817" w:type="dxa"/>
            <w:tcBorders>
              <w:top w:val="nil"/>
              <w:left w:val="nil"/>
              <w:bottom w:val="nil"/>
              <w:right w:val="nil"/>
            </w:tcBorders>
            <w:vAlign w:val="center"/>
            <w:hideMark/>
          </w:tcPr>
          <w:p w14:paraId="7AC451A1" w14:textId="77777777" w:rsidR="002F13FC" w:rsidRPr="00DA61E0" w:rsidRDefault="002F13FC" w:rsidP="00EE7E4D">
            <w:pPr>
              <w:spacing w:after="0" w:line="254" w:lineRule="auto"/>
              <w:rPr>
                <w:rFonts w:ascii="Verdana" w:eastAsia="Calibri" w:hAnsi="Verdana" w:cs="Times New Roman"/>
                <w:sz w:val="16"/>
                <w:szCs w:val="16"/>
              </w:rPr>
            </w:pPr>
            <w:r w:rsidRPr="00DA61E0">
              <w:rPr>
                <w:rFonts w:ascii="Verdana" w:eastAsia="Calibri" w:hAnsi="Verdana" w:cs="Times New Roman"/>
                <w:sz w:val="16"/>
                <w:szCs w:val="16"/>
              </w:rPr>
              <w:t>Revisó </w:t>
            </w:r>
          </w:p>
        </w:tc>
        <w:tc>
          <w:tcPr>
            <w:tcW w:w="4937" w:type="dxa"/>
            <w:tcBorders>
              <w:top w:val="dotted" w:sz="6" w:space="0" w:color="7F7F7F" w:themeColor="text1" w:themeTint="80"/>
              <w:left w:val="nil"/>
              <w:bottom w:val="dotted" w:sz="6" w:space="0" w:color="7F7F7F" w:themeColor="text1" w:themeTint="80"/>
              <w:right w:val="nil"/>
            </w:tcBorders>
            <w:vAlign w:val="center"/>
            <w:hideMark/>
          </w:tcPr>
          <w:p w14:paraId="587C85F9" w14:textId="77777777" w:rsidR="002F13FC" w:rsidRPr="00DA61E0" w:rsidRDefault="002F13FC" w:rsidP="00EE7E4D">
            <w:pPr>
              <w:spacing w:after="0" w:line="254" w:lineRule="auto"/>
              <w:rPr>
                <w:rFonts w:ascii="Verdana" w:eastAsia="Calibri" w:hAnsi="Verdana" w:cs="Times New Roman"/>
                <w:sz w:val="16"/>
                <w:szCs w:val="16"/>
              </w:rPr>
            </w:pPr>
            <w:r w:rsidRPr="00DA61E0">
              <w:rPr>
                <w:rFonts w:ascii="Verdana" w:eastAsia="Calibri" w:hAnsi="Verdana" w:cs="Times New Roman"/>
                <w:sz w:val="16"/>
                <w:szCs w:val="16"/>
              </w:rPr>
              <w:t>Alejandro R. Sarmiento Cantillo</w:t>
            </w:r>
          </w:p>
          <w:p w14:paraId="3C2C7E4B" w14:textId="77777777" w:rsidR="002F13FC" w:rsidRPr="00DA61E0" w:rsidRDefault="002F13FC" w:rsidP="00EE7E4D">
            <w:pPr>
              <w:spacing w:after="0" w:line="254" w:lineRule="auto"/>
              <w:rPr>
                <w:rFonts w:ascii="Verdana" w:eastAsia="Calibri" w:hAnsi="Verdana" w:cs="Times New Roman"/>
                <w:sz w:val="16"/>
                <w:szCs w:val="16"/>
              </w:rPr>
            </w:pPr>
            <w:r w:rsidRPr="00DA61E0">
              <w:rPr>
                <w:rFonts w:ascii="Verdana" w:eastAsia="Calibri" w:hAnsi="Verdana" w:cs="Times New Roman"/>
                <w:sz w:val="16"/>
                <w:szCs w:val="16"/>
              </w:rPr>
              <w:t>Gestor T1-15 de la Subdirección de Gestión Contractual </w:t>
            </w:r>
          </w:p>
        </w:tc>
      </w:tr>
      <w:tr w:rsidR="002F13FC" w:rsidRPr="00DA61E0" w14:paraId="26B85EB3" w14:textId="77777777" w:rsidTr="00EE7E4D">
        <w:trPr>
          <w:trHeight w:val="389"/>
        </w:trPr>
        <w:tc>
          <w:tcPr>
            <w:tcW w:w="817" w:type="dxa"/>
            <w:tcBorders>
              <w:top w:val="nil"/>
              <w:left w:val="nil"/>
              <w:bottom w:val="nil"/>
              <w:right w:val="nil"/>
            </w:tcBorders>
            <w:vAlign w:val="center"/>
            <w:hideMark/>
          </w:tcPr>
          <w:p w14:paraId="207D032D" w14:textId="77777777" w:rsidR="002F13FC" w:rsidRPr="00DA61E0" w:rsidRDefault="002F13FC" w:rsidP="00EE7E4D">
            <w:pPr>
              <w:spacing w:after="0" w:line="254" w:lineRule="auto"/>
              <w:rPr>
                <w:rFonts w:ascii="Verdana" w:eastAsia="Calibri" w:hAnsi="Verdana" w:cs="Times New Roman"/>
                <w:sz w:val="16"/>
                <w:szCs w:val="16"/>
              </w:rPr>
            </w:pPr>
            <w:r w:rsidRPr="00DA61E0">
              <w:rPr>
                <w:rFonts w:ascii="Verdana" w:eastAsia="Calibri" w:hAnsi="Verdana" w:cs="Times New Roman"/>
                <w:sz w:val="16"/>
                <w:szCs w:val="16"/>
              </w:rPr>
              <w:t>Aprobó: </w:t>
            </w:r>
          </w:p>
        </w:tc>
        <w:tc>
          <w:tcPr>
            <w:tcW w:w="4937" w:type="dxa"/>
            <w:tcBorders>
              <w:top w:val="dotted" w:sz="6" w:space="0" w:color="7F7F7F" w:themeColor="text1" w:themeTint="80"/>
              <w:left w:val="nil"/>
              <w:bottom w:val="dotted" w:sz="6" w:space="0" w:color="7F7F7F" w:themeColor="text1" w:themeTint="80"/>
              <w:right w:val="nil"/>
            </w:tcBorders>
            <w:vAlign w:val="center"/>
            <w:hideMark/>
          </w:tcPr>
          <w:p w14:paraId="76EF8C31" w14:textId="77777777" w:rsidR="002F13FC" w:rsidRPr="00DA61E0" w:rsidRDefault="002F13FC" w:rsidP="00EE7E4D">
            <w:pPr>
              <w:spacing w:after="0" w:line="254" w:lineRule="auto"/>
              <w:rPr>
                <w:rFonts w:ascii="Verdana" w:eastAsia="Calibri" w:hAnsi="Verdana" w:cs="Times New Roman"/>
                <w:sz w:val="16"/>
                <w:szCs w:val="16"/>
              </w:rPr>
            </w:pPr>
            <w:r w:rsidRPr="00DA61E0">
              <w:rPr>
                <w:rFonts w:ascii="Verdana" w:eastAsia="Calibri" w:hAnsi="Verdana" w:cs="Times New Roman"/>
                <w:sz w:val="16"/>
                <w:szCs w:val="16"/>
              </w:rPr>
              <w:t>Carolina Quintero Gacharná</w:t>
            </w:r>
          </w:p>
          <w:p w14:paraId="5EE23281" w14:textId="77777777" w:rsidR="002F13FC" w:rsidRPr="00DA61E0" w:rsidRDefault="002F13FC" w:rsidP="00EE7E4D">
            <w:pPr>
              <w:spacing w:after="0" w:line="254" w:lineRule="auto"/>
              <w:rPr>
                <w:rFonts w:ascii="Verdana" w:eastAsia="Calibri" w:hAnsi="Verdana" w:cs="Times New Roman"/>
                <w:sz w:val="16"/>
                <w:szCs w:val="16"/>
              </w:rPr>
            </w:pPr>
            <w:r w:rsidRPr="00DA61E0">
              <w:rPr>
                <w:rFonts w:ascii="Verdana" w:eastAsia="Calibri" w:hAnsi="Verdana" w:cs="Times New Roman"/>
                <w:sz w:val="16"/>
                <w:szCs w:val="16"/>
              </w:rPr>
              <w:t>Subdirectora de Gestión Contractual ANCP – CCE</w:t>
            </w:r>
          </w:p>
        </w:tc>
      </w:tr>
    </w:tbl>
    <w:p w14:paraId="0F293BF4" w14:textId="2A663AB1" w:rsidR="00127233" w:rsidRPr="00864B51" w:rsidRDefault="002F13FC" w:rsidP="00864B51">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sectPr w:rsidR="00127233" w:rsidRPr="00864B51" w:rsidSect="007C0C0F">
      <w:headerReference w:type="default" r:id="rId22"/>
      <w:footerReference w:type="default" r:id="rId23"/>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D5684" w14:textId="77777777" w:rsidR="00066F11" w:rsidRDefault="00066F11" w:rsidP="004A1847">
      <w:pPr>
        <w:spacing w:after="0" w:line="240" w:lineRule="auto"/>
      </w:pPr>
      <w:r>
        <w:separator/>
      </w:r>
    </w:p>
  </w:endnote>
  <w:endnote w:type="continuationSeparator" w:id="0">
    <w:p w14:paraId="579AD5A0" w14:textId="77777777" w:rsidR="00066F11" w:rsidRDefault="00066F11"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142D6" w14:textId="77777777" w:rsidR="00066F11" w:rsidRDefault="00066F11" w:rsidP="004A1847">
      <w:pPr>
        <w:spacing w:after="0" w:line="240" w:lineRule="auto"/>
      </w:pPr>
      <w:r>
        <w:separator/>
      </w:r>
    </w:p>
  </w:footnote>
  <w:footnote w:type="continuationSeparator" w:id="0">
    <w:p w14:paraId="3372855C" w14:textId="77777777" w:rsidR="00066F11" w:rsidRDefault="00066F11" w:rsidP="004A1847">
      <w:pPr>
        <w:spacing w:after="0" w:line="240" w:lineRule="auto"/>
      </w:pPr>
      <w:r>
        <w:continuationSeparator/>
      </w:r>
    </w:p>
  </w:footnote>
  <w:footnote w:id="1">
    <w:p w14:paraId="37E5FE2E" w14:textId="77777777" w:rsidR="002F13FC" w:rsidRPr="00BB0DA7" w:rsidRDefault="002F13FC" w:rsidP="002F13FC">
      <w:pPr>
        <w:spacing w:after="0" w:line="240" w:lineRule="auto"/>
        <w:ind w:firstLine="707"/>
        <w:contextualSpacing/>
        <w:jc w:val="both"/>
        <w:rPr>
          <w:rFonts w:ascii="Verdana" w:hAnsi="Verdana" w:cs="Arial"/>
          <w:sz w:val="14"/>
          <w:szCs w:val="14"/>
        </w:rPr>
      </w:pPr>
      <w:r w:rsidRPr="00BB0DA7">
        <w:rPr>
          <w:rStyle w:val="Refdenotaalpie"/>
          <w:rFonts w:ascii="Verdana" w:hAnsi="Verdana" w:cs="Arial"/>
          <w:sz w:val="14"/>
          <w:szCs w:val="14"/>
        </w:rPr>
        <w:footnoteRef/>
      </w:r>
      <w:r w:rsidRPr="00BB0DA7">
        <w:rPr>
          <w:rFonts w:ascii="Verdana" w:hAnsi="Verdana" w:cs="Arial"/>
          <w:position w:val="6"/>
          <w:sz w:val="14"/>
          <w:szCs w:val="14"/>
        </w:rPr>
        <w:t xml:space="preserve"> </w:t>
      </w:r>
      <w:r w:rsidRPr="00BB0DA7">
        <w:rPr>
          <w:rFonts w:ascii="Verdana" w:hAnsi="Verdana" w:cs="Arial"/>
          <w:sz w:val="14"/>
          <w:szCs w:val="14"/>
        </w:rPr>
        <w:t>DEIK ACOSTAMADIEDO, Carolina, Guía de Contratación Estatal: Deber de planeación y modalidades de selección, Buenos Aires, 2015, p. 59.</w:t>
      </w:r>
    </w:p>
    <w:p w14:paraId="0D550A06" w14:textId="77777777" w:rsidR="002F13FC" w:rsidRPr="00BB0DA7" w:rsidRDefault="002F13FC" w:rsidP="002F13FC">
      <w:pPr>
        <w:pStyle w:val="Textonotapie"/>
        <w:contextualSpacing/>
        <w:jc w:val="both"/>
        <w:rPr>
          <w:rFonts w:ascii="Verdana" w:hAnsi="Verdana" w:cs="Arial"/>
          <w:sz w:val="14"/>
          <w:szCs w:val="14"/>
        </w:rPr>
      </w:pPr>
    </w:p>
  </w:footnote>
  <w:footnote w:id="2">
    <w:p w14:paraId="126E3D75" w14:textId="77777777" w:rsidR="002F13FC" w:rsidRPr="00BB0DA7" w:rsidRDefault="002F13FC" w:rsidP="002F13FC">
      <w:pPr>
        <w:pStyle w:val="Textoindependiente"/>
        <w:spacing w:after="0" w:line="240" w:lineRule="auto"/>
        <w:ind w:firstLine="709"/>
        <w:contextualSpacing/>
        <w:jc w:val="both"/>
        <w:rPr>
          <w:rFonts w:ascii="Verdana" w:hAnsi="Verdana" w:cs="Arial"/>
          <w:sz w:val="14"/>
          <w:szCs w:val="14"/>
        </w:rPr>
      </w:pPr>
      <w:r w:rsidRPr="00BB0DA7">
        <w:rPr>
          <w:rStyle w:val="Refdenotaalpie"/>
          <w:rFonts w:ascii="Verdana" w:hAnsi="Verdana" w:cs="Arial"/>
          <w:sz w:val="14"/>
          <w:szCs w:val="14"/>
        </w:rPr>
        <w:footnoteRef/>
      </w:r>
      <w:r w:rsidRPr="00BB0DA7">
        <w:rPr>
          <w:rFonts w:ascii="Verdana" w:hAnsi="Verdana" w:cs="Arial"/>
          <w:sz w:val="14"/>
          <w:szCs w:val="14"/>
        </w:rPr>
        <w:t xml:space="preserve"> “Artículo </w:t>
      </w:r>
      <w:bookmarkStart w:id="10" w:name="_Hlk54173885"/>
      <w:r w:rsidRPr="00BB0DA7">
        <w:rPr>
          <w:rFonts w:ascii="Verdana" w:hAnsi="Verdana" w:cs="Arial"/>
          <w:sz w:val="14"/>
          <w:szCs w:val="14"/>
        </w:rPr>
        <w:t>2.2.1.1.2.1.1</w:t>
      </w:r>
      <w:bookmarkEnd w:id="10"/>
      <w:r w:rsidRPr="00BB0DA7">
        <w:rPr>
          <w:rFonts w:ascii="Verdana" w:hAnsi="Verdana" w:cs="Arial"/>
          <w:sz w:val="14"/>
          <w:szCs w:val="14"/>
        </w:rPr>
        <w:t>. Estudios y documentos previos. Los estudios y documentos previos son el soporte para elaborar el proyecto de pliegos, los pliegos de condiciones, y el contrato. Deben permanecer a disposición del público durante el desarrollo del Proceso de Contratación y contener los siguientes elementos, además de los indicados para cada modalidad de selección: (…)”.</w:t>
      </w:r>
    </w:p>
    <w:p w14:paraId="2A386A9A" w14:textId="77777777" w:rsidR="002F13FC" w:rsidRPr="00BB0DA7" w:rsidRDefault="002F13FC" w:rsidP="002F13FC">
      <w:pPr>
        <w:pStyle w:val="Textonotapie"/>
        <w:ind w:firstLine="709"/>
        <w:contextualSpacing/>
        <w:jc w:val="both"/>
        <w:rPr>
          <w:rFonts w:ascii="Verdana" w:hAnsi="Verdana" w:cs="Arial"/>
          <w:sz w:val="14"/>
          <w:szCs w:val="14"/>
        </w:rPr>
      </w:pPr>
    </w:p>
  </w:footnote>
  <w:footnote w:id="3">
    <w:p w14:paraId="515E5928" w14:textId="77777777" w:rsidR="002F13FC" w:rsidRPr="005F69B9" w:rsidRDefault="002F13FC" w:rsidP="002F13FC">
      <w:pPr>
        <w:pStyle w:val="Textoindependiente"/>
        <w:spacing w:after="0" w:line="240" w:lineRule="auto"/>
        <w:ind w:firstLine="709"/>
        <w:contextualSpacing/>
        <w:jc w:val="both"/>
        <w:rPr>
          <w:rFonts w:ascii="Verdana" w:hAnsi="Verdana" w:cs="Arial"/>
          <w:sz w:val="14"/>
          <w:szCs w:val="14"/>
        </w:rPr>
      </w:pPr>
      <w:r w:rsidRPr="005F69B9">
        <w:rPr>
          <w:rStyle w:val="Refdenotaalpie"/>
          <w:rFonts w:ascii="Verdana" w:hAnsi="Verdana" w:cs="Arial"/>
          <w:sz w:val="14"/>
          <w:szCs w:val="14"/>
        </w:rPr>
        <w:footnoteRef/>
      </w:r>
      <w:r w:rsidRPr="005F69B9">
        <w:rPr>
          <w:rFonts w:ascii="Verdana" w:hAnsi="Verdana" w:cs="Arial"/>
          <w:sz w:val="14"/>
          <w:szCs w:val="14"/>
        </w:rPr>
        <w:t xml:space="preserve"> Consejo de Estado. Sección Tercera. Subsección B. Sentencia del 31 de agosto de 2011. Exp. 18.080. C.P. Ruth Stella Correa Palacio: “(…) recuérdese que la aplicación de la buena fe en materia negocial implica para las partes la observancia la observancia de una conducta enmarcada dentro del contexto de los deberes de corrección, claridad y recíproca lealtad que se deben los contratantes, para remitir la realización de los efectos finales buscados en el contrato”.</w:t>
      </w:r>
    </w:p>
    <w:p w14:paraId="2B8F2AC0" w14:textId="77777777" w:rsidR="002F13FC" w:rsidRPr="005F69B9" w:rsidRDefault="002F13FC" w:rsidP="002F13FC">
      <w:pPr>
        <w:pStyle w:val="Textonotapie"/>
        <w:contextualSpacing/>
        <w:jc w:val="both"/>
        <w:rPr>
          <w:rFonts w:ascii="Verdana" w:hAnsi="Verdana" w:cs="Arial"/>
          <w:sz w:val="14"/>
          <w:szCs w:val="14"/>
        </w:rPr>
      </w:pPr>
    </w:p>
  </w:footnote>
  <w:footnote w:id="4">
    <w:p w14:paraId="2E67CBB6" w14:textId="77777777" w:rsidR="002F13FC" w:rsidRPr="00BB0DA7" w:rsidRDefault="002F13FC" w:rsidP="002F13FC">
      <w:pPr>
        <w:pStyle w:val="Textonotapie"/>
        <w:ind w:firstLine="708"/>
        <w:contextualSpacing/>
        <w:jc w:val="both"/>
        <w:rPr>
          <w:rFonts w:ascii="Verdana" w:hAnsi="Verdana" w:cs="Arial"/>
          <w:sz w:val="14"/>
          <w:szCs w:val="14"/>
        </w:rPr>
      </w:pPr>
      <w:r w:rsidRPr="005F69B9">
        <w:rPr>
          <w:rStyle w:val="Refdenotaalpie"/>
          <w:rFonts w:ascii="Verdana" w:hAnsi="Verdana" w:cs="Arial"/>
          <w:sz w:val="14"/>
          <w:szCs w:val="14"/>
        </w:rPr>
        <w:footnoteRef/>
      </w:r>
      <w:r w:rsidRPr="005F69B9">
        <w:rPr>
          <w:rFonts w:ascii="Verdana" w:hAnsi="Verdana" w:cs="Arial"/>
          <w:sz w:val="14"/>
          <w:szCs w:val="14"/>
        </w:rPr>
        <w:t xml:space="preserve"> Decreto 1082 de 2015: “Artículo 2.2.1.1.1.6.1. Deber de análisis de las Entidades Estatales. La Entidad Estatal debe hacer, durante la etapa de planeación, el análisis necesario para conocer el sector relativo al objeto del Proceso de Contratación desde la perspectiva legal, comercial, financiera, organizacional, técnica, y de análisis de Riesgo. La Entidad Estatal debe dejar constancia de este análisis en los Documentos del Proceso”.</w:t>
      </w:r>
    </w:p>
  </w:footnote>
  <w:footnote w:id="5">
    <w:p w14:paraId="5EFED54A" w14:textId="77777777" w:rsidR="002F13FC" w:rsidRPr="005F69B9" w:rsidRDefault="002F13FC" w:rsidP="002F13FC">
      <w:pPr>
        <w:pStyle w:val="Textonotapie"/>
        <w:ind w:firstLine="708"/>
        <w:contextualSpacing/>
        <w:jc w:val="both"/>
        <w:rPr>
          <w:rFonts w:ascii="Verdana" w:hAnsi="Verdana" w:cs="Arial"/>
          <w:sz w:val="14"/>
          <w:szCs w:val="14"/>
        </w:rPr>
      </w:pPr>
      <w:r w:rsidRPr="005F69B9">
        <w:rPr>
          <w:rStyle w:val="Refdenotaalpie"/>
          <w:rFonts w:ascii="Verdana" w:hAnsi="Verdana" w:cs="Arial"/>
          <w:sz w:val="14"/>
          <w:szCs w:val="14"/>
        </w:rPr>
        <w:footnoteRef/>
      </w:r>
      <w:r w:rsidRPr="005F69B9">
        <w:rPr>
          <w:rFonts w:ascii="Verdana" w:hAnsi="Verdana" w:cs="Arial"/>
          <w:sz w:val="14"/>
          <w:szCs w:val="14"/>
        </w:rPr>
        <w:t xml:space="preserve"> Colombia Compra Eficiente. </w:t>
      </w:r>
      <w:r w:rsidRPr="005F69B9">
        <w:rPr>
          <w:rFonts w:ascii="Verdana" w:eastAsia="Calibri" w:hAnsi="Verdana" w:cs="Arial"/>
          <w:bCs/>
          <w:sz w:val="14"/>
          <w:szCs w:val="14"/>
          <w:lang w:val="es-ES_tradnl" w:eastAsia="es-ES_tradnl"/>
        </w:rPr>
        <w:t>Guía de Elaboración de Estudios del Sector</w:t>
      </w:r>
      <w:r w:rsidRPr="005F69B9">
        <w:rPr>
          <w:rFonts w:ascii="Verdana" w:hAnsi="Verdana" w:cs="Arial"/>
          <w:sz w:val="14"/>
          <w:szCs w:val="14"/>
        </w:rPr>
        <w:t xml:space="preserve">. Disponible en: </w:t>
      </w:r>
      <w:hyperlink r:id="rId1" w:history="1">
        <w:r w:rsidRPr="005F69B9">
          <w:rPr>
            <w:rStyle w:val="Hipervnculo"/>
            <w:rFonts w:ascii="Verdana" w:hAnsi="Verdana" w:cs="Arial"/>
            <w:sz w:val="14"/>
            <w:szCs w:val="14"/>
          </w:rPr>
          <w:t>https://www.colombiacompra.gov.co/manuales-guias-y-pliegos-tipo/manuales-y-guias</w:t>
        </w:r>
      </w:hyperlink>
      <w:r w:rsidRPr="005F69B9">
        <w:rPr>
          <w:rFonts w:ascii="Verdana" w:hAnsi="Verdana" w:cs="Arial"/>
          <w:sz w:val="14"/>
          <w:szCs w:val="14"/>
        </w:rPr>
        <w:t xml:space="preserve"> </w:t>
      </w:r>
    </w:p>
    <w:p w14:paraId="71495F5B" w14:textId="77777777" w:rsidR="002F13FC" w:rsidRPr="00BB0DA7" w:rsidRDefault="002F13FC" w:rsidP="002F13FC">
      <w:pPr>
        <w:pStyle w:val="Textonotapie"/>
        <w:ind w:firstLine="708"/>
        <w:contextualSpacing/>
        <w:jc w:val="both"/>
        <w:rPr>
          <w:rFonts w:ascii="Verdana" w:hAnsi="Verdana" w:cs="Arial"/>
          <w:sz w:val="14"/>
          <w:szCs w:val="14"/>
          <w:lang w:val="es-C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360"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4C466FB6"/>
    <w:multiLevelType w:val="hybridMultilevel"/>
    <w:tmpl w:val="E168DEFA"/>
    <w:lvl w:ilvl="0" w:tplc="240A0017">
      <w:start w:val="1"/>
      <w:numFmt w:val="lowerLetter"/>
      <w:lvlText w:val="%1)"/>
      <w:lvlJc w:val="left"/>
      <w:pPr>
        <w:ind w:left="2220" w:hanging="360"/>
      </w:pPr>
    </w:lvl>
    <w:lvl w:ilvl="1" w:tplc="240A0019" w:tentative="1">
      <w:start w:val="1"/>
      <w:numFmt w:val="lowerLetter"/>
      <w:lvlText w:val="%2."/>
      <w:lvlJc w:val="left"/>
      <w:pPr>
        <w:ind w:left="2940" w:hanging="360"/>
      </w:pPr>
    </w:lvl>
    <w:lvl w:ilvl="2" w:tplc="240A001B" w:tentative="1">
      <w:start w:val="1"/>
      <w:numFmt w:val="lowerRoman"/>
      <w:lvlText w:val="%3."/>
      <w:lvlJc w:val="right"/>
      <w:pPr>
        <w:ind w:left="3660" w:hanging="180"/>
      </w:pPr>
    </w:lvl>
    <w:lvl w:ilvl="3" w:tplc="240A000F" w:tentative="1">
      <w:start w:val="1"/>
      <w:numFmt w:val="decimal"/>
      <w:lvlText w:val="%4."/>
      <w:lvlJc w:val="left"/>
      <w:pPr>
        <w:ind w:left="4380" w:hanging="360"/>
      </w:pPr>
    </w:lvl>
    <w:lvl w:ilvl="4" w:tplc="240A0019" w:tentative="1">
      <w:start w:val="1"/>
      <w:numFmt w:val="lowerLetter"/>
      <w:lvlText w:val="%5."/>
      <w:lvlJc w:val="left"/>
      <w:pPr>
        <w:ind w:left="5100" w:hanging="360"/>
      </w:pPr>
    </w:lvl>
    <w:lvl w:ilvl="5" w:tplc="240A001B" w:tentative="1">
      <w:start w:val="1"/>
      <w:numFmt w:val="lowerRoman"/>
      <w:lvlText w:val="%6."/>
      <w:lvlJc w:val="right"/>
      <w:pPr>
        <w:ind w:left="5820" w:hanging="180"/>
      </w:pPr>
    </w:lvl>
    <w:lvl w:ilvl="6" w:tplc="240A000F" w:tentative="1">
      <w:start w:val="1"/>
      <w:numFmt w:val="decimal"/>
      <w:lvlText w:val="%7."/>
      <w:lvlJc w:val="left"/>
      <w:pPr>
        <w:ind w:left="6540" w:hanging="360"/>
      </w:pPr>
    </w:lvl>
    <w:lvl w:ilvl="7" w:tplc="240A0019" w:tentative="1">
      <w:start w:val="1"/>
      <w:numFmt w:val="lowerLetter"/>
      <w:lvlText w:val="%8."/>
      <w:lvlJc w:val="left"/>
      <w:pPr>
        <w:ind w:left="7260" w:hanging="360"/>
      </w:pPr>
    </w:lvl>
    <w:lvl w:ilvl="8" w:tplc="240A001B" w:tentative="1">
      <w:start w:val="1"/>
      <w:numFmt w:val="lowerRoman"/>
      <w:lvlText w:val="%9."/>
      <w:lvlJc w:val="right"/>
      <w:pPr>
        <w:ind w:left="7980" w:hanging="180"/>
      </w:pPr>
    </w:lvl>
  </w:abstractNum>
  <w:abstractNum w:abstractNumId="11"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4"/>
  </w:num>
  <w:num w:numId="7" w16cid:durableId="1946422806">
    <w:abstractNumId w:val="5"/>
  </w:num>
  <w:num w:numId="8" w16cid:durableId="152644682">
    <w:abstractNumId w:val="13"/>
  </w:num>
  <w:num w:numId="9" w16cid:durableId="1317221377">
    <w:abstractNumId w:val="7"/>
  </w:num>
  <w:num w:numId="10" w16cid:durableId="1471245386">
    <w:abstractNumId w:val="12"/>
  </w:num>
  <w:num w:numId="11" w16cid:durableId="289172385">
    <w:abstractNumId w:val="8"/>
  </w:num>
  <w:num w:numId="12" w16cid:durableId="1470781324">
    <w:abstractNumId w:val="1"/>
  </w:num>
  <w:num w:numId="13" w16cid:durableId="1512908409">
    <w:abstractNumId w:val="3"/>
  </w:num>
  <w:num w:numId="14" w16cid:durableId="895897244">
    <w:abstractNumId w:val="15"/>
  </w:num>
  <w:num w:numId="15" w16cid:durableId="390349800">
    <w:abstractNumId w:val="11"/>
  </w:num>
  <w:num w:numId="16" w16cid:durableId="341274352">
    <w:abstractNumId w:val="0"/>
  </w:num>
  <w:num w:numId="17" w16cid:durableId="679089576">
    <w:abstractNumId w:val="9"/>
  </w:num>
  <w:num w:numId="18" w16cid:durableId="4722185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20209"/>
    <w:rsid w:val="000213CF"/>
    <w:rsid w:val="00046945"/>
    <w:rsid w:val="0005621A"/>
    <w:rsid w:val="00061B2A"/>
    <w:rsid w:val="00066F11"/>
    <w:rsid w:val="000804E5"/>
    <w:rsid w:val="00082362"/>
    <w:rsid w:val="000A683E"/>
    <w:rsid w:val="000B19B9"/>
    <w:rsid w:val="000D0086"/>
    <w:rsid w:val="000D0334"/>
    <w:rsid w:val="000D2047"/>
    <w:rsid w:val="000D5DA7"/>
    <w:rsid w:val="000E7ACE"/>
    <w:rsid w:val="000F6486"/>
    <w:rsid w:val="000F7E61"/>
    <w:rsid w:val="00116940"/>
    <w:rsid w:val="001229D3"/>
    <w:rsid w:val="00125105"/>
    <w:rsid w:val="00127233"/>
    <w:rsid w:val="00132B0E"/>
    <w:rsid w:val="001340CE"/>
    <w:rsid w:val="0015699B"/>
    <w:rsid w:val="001A33BF"/>
    <w:rsid w:val="001E4177"/>
    <w:rsid w:val="001F0B24"/>
    <w:rsid w:val="001F7DC6"/>
    <w:rsid w:val="00220004"/>
    <w:rsid w:val="002228C2"/>
    <w:rsid w:val="0022400B"/>
    <w:rsid w:val="002421BB"/>
    <w:rsid w:val="00243F42"/>
    <w:rsid w:val="00245A6A"/>
    <w:rsid w:val="00252E5D"/>
    <w:rsid w:val="0025796E"/>
    <w:rsid w:val="00263D73"/>
    <w:rsid w:val="002707A2"/>
    <w:rsid w:val="00292D55"/>
    <w:rsid w:val="002951A0"/>
    <w:rsid w:val="0029551F"/>
    <w:rsid w:val="002962BC"/>
    <w:rsid w:val="002A093D"/>
    <w:rsid w:val="002A0DD0"/>
    <w:rsid w:val="002A49AC"/>
    <w:rsid w:val="002A64FD"/>
    <w:rsid w:val="002B5F9B"/>
    <w:rsid w:val="002B6EBA"/>
    <w:rsid w:val="002C7A84"/>
    <w:rsid w:val="002E2BF8"/>
    <w:rsid w:val="002E4FD9"/>
    <w:rsid w:val="002E6A37"/>
    <w:rsid w:val="002E7401"/>
    <w:rsid w:val="002F13FC"/>
    <w:rsid w:val="002F68D0"/>
    <w:rsid w:val="0030657A"/>
    <w:rsid w:val="00307141"/>
    <w:rsid w:val="0031481E"/>
    <w:rsid w:val="00322A85"/>
    <w:rsid w:val="00324168"/>
    <w:rsid w:val="00330834"/>
    <w:rsid w:val="003448F4"/>
    <w:rsid w:val="00374F5E"/>
    <w:rsid w:val="00377E3E"/>
    <w:rsid w:val="00383EF7"/>
    <w:rsid w:val="00384C8F"/>
    <w:rsid w:val="003967CC"/>
    <w:rsid w:val="00397B67"/>
    <w:rsid w:val="003A56D8"/>
    <w:rsid w:val="003A779E"/>
    <w:rsid w:val="003D0F4D"/>
    <w:rsid w:val="003D2080"/>
    <w:rsid w:val="003D5B0D"/>
    <w:rsid w:val="003E0499"/>
    <w:rsid w:val="003E23E5"/>
    <w:rsid w:val="003E4F80"/>
    <w:rsid w:val="003E6439"/>
    <w:rsid w:val="003F0E05"/>
    <w:rsid w:val="003F3941"/>
    <w:rsid w:val="00405B20"/>
    <w:rsid w:val="00406575"/>
    <w:rsid w:val="00414C74"/>
    <w:rsid w:val="0042480A"/>
    <w:rsid w:val="0042722E"/>
    <w:rsid w:val="0044528D"/>
    <w:rsid w:val="00453918"/>
    <w:rsid w:val="004661B8"/>
    <w:rsid w:val="00466E39"/>
    <w:rsid w:val="00475CC0"/>
    <w:rsid w:val="00483DEA"/>
    <w:rsid w:val="00494D73"/>
    <w:rsid w:val="004A1847"/>
    <w:rsid w:val="004A305D"/>
    <w:rsid w:val="004C5B76"/>
    <w:rsid w:val="004D1883"/>
    <w:rsid w:val="004D6339"/>
    <w:rsid w:val="004F21C4"/>
    <w:rsid w:val="004F685F"/>
    <w:rsid w:val="00546ECA"/>
    <w:rsid w:val="005550D1"/>
    <w:rsid w:val="00555F2E"/>
    <w:rsid w:val="005566E8"/>
    <w:rsid w:val="00564198"/>
    <w:rsid w:val="00574867"/>
    <w:rsid w:val="00577F1C"/>
    <w:rsid w:val="00580DE4"/>
    <w:rsid w:val="00591460"/>
    <w:rsid w:val="00593D93"/>
    <w:rsid w:val="00596164"/>
    <w:rsid w:val="005A65E0"/>
    <w:rsid w:val="005C3777"/>
    <w:rsid w:val="005C5CDC"/>
    <w:rsid w:val="005D476C"/>
    <w:rsid w:val="005E2158"/>
    <w:rsid w:val="005E292A"/>
    <w:rsid w:val="005F69B9"/>
    <w:rsid w:val="006014FC"/>
    <w:rsid w:val="006200BF"/>
    <w:rsid w:val="006219F8"/>
    <w:rsid w:val="006302F7"/>
    <w:rsid w:val="00635E7E"/>
    <w:rsid w:val="00646B9F"/>
    <w:rsid w:val="00665D70"/>
    <w:rsid w:val="006900D9"/>
    <w:rsid w:val="006B6740"/>
    <w:rsid w:val="006B7AD9"/>
    <w:rsid w:val="006E4182"/>
    <w:rsid w:val="006E666E"/>
    <w:rsid w:val="006F16DC"/>
    <w:rsid w:val="00706C16"/>
    <w:rsid w:val="007340C3"/>
    <w:rsid w:val="007373C0"/>
    <w:rsid w:val="007464FA"/>
    <w:rsid w:val="0075235A"/>
    <w:rsid w:val="00756841"/>
    <w:rsid w:val="0075745A"/>
    <w:rsid w:val="007649AB"/>
    <w:rsid w:val="00771D0C"/>
    <w:rsid w:val="007833AC"/>
    <w:rsid w:val="00791F93"/>
    <w:rsid w:val="007A34C6"/>
    <w:rsid w:val="007B268C"/>
    <w:rsid w:val="007B7171"/>
    <w:rsid w:val="007C0C0F"/>
    <w:rsid w:val="007C3DC2"/>
    <w:rsid w:val="007D5FAC"/>
    <w:rsid w:val="007E16A7"/>
    <w:rsid w:val="007E5497"/>
    <w:rsid w:val="00806F5F"/>
    <w:rsid w:val="00810611"/>
    <w:rsid w:val="00820278"/>
    <w:rsid w:val="008258C9"/>
    <w:rsid w:val="008314A7"/>
    <w:rsid w:val="00831837"/>
    <w:rsid w:val="00844AE9"/>
    <w:rsid w:val="00864B51"/>
    <w:rsid w:val="00865A79"/>
    <w:rsid w:val="00867F95"/>
    <w:rsid w:val="008843B6"/>
    <w:rsid w:val="00891928"/>
    <w:rsid w:val="008A446D"/>
    <w:rsid w:val="008B25F1"/>
    <w:rsid w:val="008C69CA"/>
    <w:rsid w:val="008D180B"/>
    <w:rsid w:val="008D46DA"/>
    <w:rsid w:val="008F0EA7"/>
    <w:rsid w:val="0091430B"/>
    <w:rsid w:val="0091504F"/>
    <w:rsid w:val="00923EEF"/>
    <w:rsid w:val="009419F9"/>
    <w:rsid w:val="0095685E"/>
    <w:rsid w:val="00961B09"/>
    <w:rsid w:val="00965334"/>
    <w:rsid w:val="0097093E"/>
    <w:rsid w:val="0097271D"/>
    <w:rsid w:val="00981CFE"/>
    <w:rsid w:val="0098370B"/>
    <w:rsid w:val="009A0DFA"/>
    <w:rsid w:val="009A1C6F"/>
    <w:rsid w:val="009B2D26"/>
    <w:rsid w:val="009C2F30"/>
    <w:rsid w:val="009C71FA"/>
    <w:rsid w:val="009C72E7"/>
    <w:rsid w:val="009C7F7E"/>
    <w:rsid w:val="009D3058"/>
    <w:rsid w:val="009F3A13"/>
    <w:rsid w:val="00A122D3"/>
    <w:rsid w:val="00A14468"/>
    <w:rsid w:val="00A17F13"/>
    <w:rsid w:val="00A20739"/>
    <w:rsid w:val="00A23AF9"/>
    <w:rsid w:val="00A33C78"/>
    <w:rsid w:val="00A6151A"/>
    <w:rsid w:val="00A665A6"/>
    <w:rsid w:val="00A7208B"/>
    <w:rsid w:val="00A75BF9"/>
    <w:rsid w:val="00AB0ADB"/>
    <w:rsid w:val="00AC1889"/>
    <w:rsid w:val="00AE3FD0"/>
    <w:rsid w:val="00B00C0E"/>
    <w:rsid w:val="00B01B1A"/>
    <w:rsid w:val="00B0381D"/>
    <w:rsid w:val="00B44A47"/>
    <w:rsid w:val="00B51977"/>
    <w:rsid w:val="00B6497B"/>
    <w:rsid w:val="00B64B6E"/>
    <w:rsid w:val="00B72CD3"/>
    <w:rsid w:val="00B72FFF"/>
    <w:rsid w:val="00B8288F"/>
    <w:rsid w:val="00B950A8"/>
    <w:rsid w:val="00BB0DA7"/>
    <w:rsid w:val="00BB3269"/>
    <w:rsid w:val="00BC3D36"/>
    <w:rsid w:val="00BD54A6"/>
    <w:rsid w:val="00BD7F72"/>
    <w:rsid w:val="00BE5337"/>
    <w:rsid w:val="00BF7425"/>
    <w:rsid w:val="00C04FB3"/>
    <w:rsid w:val="00C100F2"/>
    <w:rsid w:val="00C11D8B"/>
    <w:rsid w:val="00C15139"/>
    <w:rsid w:val="00C1515F"/>
    <w:rsid w:val="00C330EB"/>
    <w:rsid w:val="00C50D69"/>
    <w:rsid w:val="00C5365C"/>
    <w:rsid w:val="00C61C0E"/>
    <w:rsid w:val="00C754BE"/>
    <w:rsid w:val="00C76B1C"/>
    <w:rsid w:val="00C925AC"/>
    <w:rsid w:val="00CB6357"/>
    <w:rsid w:val="00CC1B26"/>
    <w:rsid w:val="00CD0DF5"/>
    <w:rsid w:val="00D07C4C"/>
    <w:rsid w:val="00D14680"/>
    <w:rsid w:val="00D361FD"/>
    <w:rsid w:val="00D423A2"/>
    <w:rsid w:val="00D44E26"/>
    <w:rsid w:val="00D520D8"/>
    <w:rsid w:val="00D63AC2"/>
    <w:rsid w:val="00D7383B"/>
    <w:rsid w:val="00D7725A"/>
    <w:rsid w:val="00D7788A"/>
    <w:rsid w:val="00D96B68"/>
    <w:rsid w:val="00D970E7"/>
    <w:rsid w:val="00DA231B"/>
    <w:rsid w:val="00DB3A9C"/>
    <w:rsid w:val="00DC39FC"/>
    <w:rsid w:val="00DE43BF"/>
    <w:rsid w:val="00DF5254"/>
    <w:rsid w:val="00DF6401"/>
    <w:rsid w:val="00E02524"/>
    <w:rsid w:val="00E16408"/>
    <w:rsid w:val="00E20894"/>
    <w:rsid w:val="00E2414B"/>
    <w:rsid w:val="00E245AB"/>
    <w:rsid w:val="00E264A6"/>
    <w:rsid w:val="00E2764C"/>
    <w:rsid w:val="00E27F2E"/>
    <w:rsid w:val="00E50AFE"/>
    <w:rsid w:val="00E75C92"/>
    <w:rsid w:val="00E771DC"/>
    <w:rsid w:val="00E77D6B"/>
    <w:rsid w:val="00E8772A"/>
    <w:rsid w:val="00E90F6B"/>
    <w:rsid w:val="00E92C27"/>
    <w:rsid w:val="00EA0E3D"/>
    <w:rsid w:val="00EA5E70"/>
    <w:rsid w:val="00EB6943"/>
    <w:rsid w:val="00EC117F"/>
    <w:rsid w:val="00EC26BD"/>
    <w:rsid w:val="00EC38A7"/>
    <w:rsid w:val="00EE1AA8"/>
    <w:rsid w:val="00EE3DEB"/>
    <w:rsid w:val="00F23FEA"/>
    <w:rsid w:val="00F30852"/>
    <w:rsid w:val="00F31EDC"/>
    <w:rsid w:val="00F336B1"/>
    <w:rsid w:val="00F44CAB"/>
    <w:rsid w:val="00F462B3"/>
    <w:rsid w:val="00F5664F"/>
    <w:rsid w:val="00F666C4"/>
    <w:rsid w:val="00F75F46"/>
    <w:rsid w:val="00F76AFC"/>
    <w:rsid w:val="00F92F26"/>
    <w:rsid w:val="00FA47C0"/>
    <w:rsid w:val="00FB45B7"/>
    <w:rsid w:val="00FB5DD1"/>
    <w:rsid w:val="00FC2B5D"/>
    <w:rsid w:val="00FF1449"/>
    <w:rsid w:val="00FF4ECB"/>
    <w:rsid w:val="00FF7963"/>
    <w:rsid w:val="071B8F93"/>
    <w:rsid w:val="07C73DD1"/>
    <w:rsid w:val="09908A09"/>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4A9DD7F7"/>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B2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75745A"/>
    <w:rPr>
      <w:rFonts w:ascii="Geomanist Light" w:hAnsi="Geomanist Light"/>
      <w:lang w:val="es-ES"/>
    </w:rPr>
  </w:style>
  <w:style w:type="character" w:customStyle="1" w:styleId="NormalWebCar">
    <w:name w:val="Normal (Web) Car"/>
    <w:link w:val="NormalWeb"/>
    <w:uiPriority w:val="99"/>
    <w:locked/>
    <w:rsid w:val="0075745A"/>
    <w:rPr>
      <w:rFonts w:ascii="Times New Roman" w:eastAsia="Times New Roman" w:hAnsi="Times New Roman" w:cs="Times New Roman"/>
      <w:sz w:val="24"/>
      <w:szCs w:val="24"/>
      <w:lang w:eastAsia="es-CO"/>
    </w:rPr>
  </w:style>
  <w:style w:type="paragraph" w:customStyle="1" w:styleId="Appelnotedebasde">
    <w:name w:val="Appel note de bas de..."/>
    <w:basedOn w:val="Normal"/>
    <w:link w:val="Refdenotaalpie"/>
    <w:uiPriority w:val="99"/>
    <w:rsid w:val="0075745A"/>
    <w:pPr>
      <w:spacing w:line="240" w:lineRule="exact"/>
    </w:pPr>
    <w:rPr>
      <w:vertAlign w:val="superscript"/>
    </w:rPr>
  </w:style>
  <w:style w:type="paragraph" w:styleId="Textoindependiente">
    <w:name w:val="Body Text"/>
    <w:basedOn w:val="Normal"/>
    <w:link w:val="TextoindependienteCar"/>
    <w:uiPriority w:val="99"/>
    <w:semiHidden/>
    <w:unhideWhenUsed/>
    <w:rsid w:val="0075745A"/>
    <w:pPr>
      <w:spacing w:after="120"/>
    </w:pPr>
  </w:style>
  <w:style w:type="character" w:customStyle="1" w:styleId="TextoindependienteCar">
    <w:name w:val="Texto independiente Car"/>
    <w:basedOn w:val="Fuentedeprrafopredeter"/>
    <w:link w:val="Textoindependiente"/>
    <w:uiPriority w:val="99"/>
    <w:semiHidden/>
    <w:rsid w:val="007574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lombiacompra.gov.co/normativa-y-relatoria/conoce-la-relatoria" TargetMode="External"/><Relationship Id="rId18" Type="http://schemas.openxmlformats.org/officeDocument/2006/relationships/hyperlink" Target="mailto:ventanilladeradicacion@colombiacompra.gov.co"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mailto:objetor4@gmail.com" TargetMode="External"/><Relationship Id="rId17" Type="http://schemas.openxmlformats.org/officeDocument/2006/relationships/hyperlink" Target="https://www.colombiacompra.gov.co/archivos/boletin/boletin-edicion-n-3-de-2026-radar-de-la-compra-public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olombiacompra.gov.co/archivos/circular/circular-externa-002-de-2026" TargetMode="External"/><Relationship Id="rId20" Type="http://schemas.openxmlformats.org/officeDocument/2006/relationships/hyperlink" Target="https://forms.office.com/r/pPHyWVs2S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colombiacompra.gov.co/archivos/circular/circular-externa-003-de-2026"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colombiacompra.gov.co/pqrsd/informacion-importante-antes-de-formular-una-pqrs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lombiacompra.gov.co/archivos/manual/guia-de-garantias-en-procesos-de-contratacion"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colombiacompra.gov.co/manuales-guias-y-pliegos-tipo/manuales-y-guia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2C47A521-E846-4028-A8C9-8D2E8AE9B968}">
  <ds:schemaRefs>
    <ds:schemaRef ds:uri="http://schemas.openxmlformats.org/officeDocument/2006/bibliography"/>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4.xml><?xml version="1.0" encoding="utf-8"?>
<ds:datastoreItem xmlns:ds="http://schemas.openxmlformats.org/officeDocument/2006/customXml" ds:itemID="{32BCAF64-D24B-4030-8B5C-44D43AC32E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4</TotalTime>
  <Pages>19</Pages>
  <Words>7001</Words>
  <Characters>38508</Characters>
  <Application>Microsoft Office Word</Application>
  <DocSecurity>0</DocSecurity>
  <Lines>320</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4</cp:revision>
  <cp:lastPrinted>2023-01-10T21:18:00Z</cp:lastPrinted>
  <dcterms:created xsi:type="dcterms:W3CDTF">2026-08-03T20:30:00Z</dcterms:created>
  <dcterms:modified xsi:type="dcterms:W3CDTF">2026-08-04T13:08:00Z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