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960B"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CAPACIDAD PARA CONTRATAR – Regla general – Inhabilidades e incompatibilidades como excepción</w:t>
      </w:r>
    </w:p>
    <w:p w14:paraId="48070421" w14:textId="77777777" w:rsidR="00A7088E" w:rsidRDefault="00A7088E" w:rsidP="00A7088E">
      <w:pPr>
        <w:spacing w:after="0" w:line="240" w:lineRule="auto"/>
        <w:jc w:val="both"/>
        <w:rPr>
          <w:rFonts w:ascii="Verdana" w:hAnsi="Verdana" w:cs="Arial"/>
          <w:b/>
          <w:bCs/>
          <w:color w:val="000000"/>
          <w:lang w:val="es-ES"/>
        </w:rPr>
      </w:pPr>
    </w:p>
    <w:p w14:paraId="5036418D"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Conforme al artículo 6 de la Ley 80 de 1993, pueden celebrar contratos con las entidades estatales las personas consideradas legalmente capaces en las disposiciones vigentes. La capacidad constituye, por tanto, la regla general y un requisito de validez del contrato estatal, tanto en el régimen de las entidades sujetas al Estatuto General de Contratación de la Administración Pública como en el de las entidades exceptuadas de aquel. Las inhabilidades e incompatibilidades operan como límites especiales y excepcionales a esa capacidad, de modo que la ausencia de una causal expresamente tipificada conduce necesariamente a reconocer la aptitud del interesado para concurrir a los procedimientos de selección y para celebrar el contrato.</w:t>
      </w:r>
    </w:p>
    <w:p w14:paraId="4C7D96B6" w14:textId="77777777" w:rsidR="00A7088E" w:rsidRDefault="00A7088E" w:rsidP="00A7088E">
      <w:pPr>
        <w:spacing w:after="0" w:line="240" w:lineRule="auto"/>
        <w:jc w:val="both"/>
        <w:rPr>
          <w:rFonts w:ascii="Verdana" w:hAnsi="Verdana" w:cs="Arial"/>
          <w:b/>
          <w:bCs/>
          <w:color w:val="000000"/>
          <w:lang w:val="es-ES"/>
        </w:rPr>
      </w:pPr>
    </w:p>
    <w:p w14:paraId="090BB1D1"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RÉGIMEN DE INHABILIDADES E INCOMPATIBILIDADES – Reserva de ley – Taxatividad – Interpretación restrictiva</w:t>
      </w:r>
    </w:p>
    <w:p w14:paraId="20B14F68" w14:textId="77777777" w:rsidR="00A7088E" w:rsidRDefault="00A7088E" w:rsidP="00A7088E">
      <w:pPr>
        <w:spacing w:after="0" w:line="240" w:lineRule="auto"/>
        <w:jc w:val="both"/>
        <w:rPr>
          <w:rFonts w:ascii="Verdana" w:hAnsi="Verdana" w:cs="Arial"/>
          <w:b/>
          <w:bCs/>
          <w:color w:val="000000"/>
          <w:lang w:val="es-ES"/>
        </w:rPr>
      </w:pPr>
    </w:p>
    <w:p w14:paraId="4D401043"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Las inhabilidades e incompatibilidades son medios que buscan garantizar la transparencia y eficiencia en la actividad contractual del Estado y para ello imponen restricciones en la personalidad jurídica, la igualdad, la libre empresa y, particularmente, el derecho a participar en procesos de selección y celebrar contratos con la Administración. 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 De esta manera, las inhabilidades e incompatibilidades, al ser límites especiales a la capacidad para presentar ofertas y celebrar contratos estatales, solo pueden tipificarse en la ley o la Constitución y su interpretación debe ser restrictiva. Si se admitiera una interpretación amplia, extensiva, analógica o finalista,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w:t>
      </w:r>
    </w:p>
    <w:p w14:paraId="2DBCBF1F" w14:textId="77777777" w:rsidR="00A7088E" w:rsidRDefault="00A7088E" w:rsidP="00A7088E">
      <w:pPr>
        <w:spacing w:after="0" w:line="240" w:lineRule="auto"/>
        <w:jc w:val="both"/>
        <w:rPr>
          <w:rFonts w:ascii="Verdana" w:hAnsi="Verdana" w:cs="Arial"/>
          <w:b/>
          <w:bCs/>
          <w:color w:val="000000"/>
          <w:lang w:val="es-ES"/>
        </w:rPr>
      </w:pPr>
    </w:p>
    <w:p w14:paraId="3CFCC780"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INHABILIDADES E INCOMPATIBILIDADES – Personal retirado de la Fuerza Pública – Asignación de retiro – Inexistencia de causal</w:t>
      </w:r>
    </w:p>
    <w:p w14:paraId="487E5F07" w14:textId="77777777" w:rsidR="00A7088E" w:rsidRDefault="00A7088E" w:rsidP="00A7088E">
      <w:pPr>
        <w:spacing w:after="0" w:line="240" w:lineRule="auto"/>
        <w:jc w:val="both"/>
        <w:rPr>
          <w:rFonts w:ascii="Verdana" w:hAnsi="Verdana" w:cs="Arial"/>
          <w:b/>
          <w:bCs/>
          <w:color w:val="000000"/>
          <w:lang w:val="es-ES"/>
        </w:rPr>
      </w:pPr>
    </w:p>
    <w:p w14:paraId="33106E1B"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Revisado el catálogo de restricciones a la capacidad contractual contenido en la Constitución Política, en los artículos 8 y 9 de la Ley 80 de 1993 y en las normas que los han adicionado o modificado –entre ellas el artículo 18 de la Ley 1150 de 2007, los artículos 1, 2, 3, 4, 5 y 90 de la Ley 1474 de 2011, el artículo 34 de la Ley 1778 de 2016, la Ley 2014 de 2019 y la Ley 2195 de 2022–, no se identifica disposición alguna que consagre una inhabilidad, incompatibilidad o prohibición para contratar con el Estado que se estructure sobre la condición de persona retirada de la Fuerza Pública ni sobre la percepción de asignación de retiro. En consecuencia, esa sola condición no restringe la </w:t>
      </w:r>
      <w:r>
        <w:rPr>
          <w:rFonts w:ascii="Verdana" w:hAnsi="Verdana" w:cs="Arial"/>
          <w:bCs/>
          <w:color w:val="000000"/>
          <w:sz w:val="20"/>
          <w:lang w:val="es-ES"/>
        </w:rPr>
        <w:lastRenderedPageBreak/>
        <w:t>capacidad para participar en procesos de selección ni para celebrar contratos estatales, cualquiera que sea la modalidad de selección o la tipología contractual de que se trate. Sostener lo contrario supondría crear por vía interpretativa una causal no prevista por el constituyente ni por el legislador, lo que está proscrito por el carácter taxativo y de interpretación restrictiva del régimen.</w:t>
      </w:r>
    </w:p>
    <w:p w14:paraId="185CBE21" w14:textId="77777777" w:rsidR="00A7088E" w:rsidRDefault="00A7088E" w:rsidP="00A7088E">
      <w:pPr>
        <w:spacing w:after="0" w:line="240" w:lineRule="auto"/>
        <w:jc w:val="both"/>
        <w:rPr>
          <w:rFonts w:ascii="Verdana" w:hAnsi="Verdana" w:cs="Arial"/>
          <w:b/>
          <w:bCs/>
          <w:color w:val="000000"/>
          <w:lang w:val="es-ES"/>
        </w:rPr>
      </w:pPr>
    </w:p>
    <w:p w14:paraId="38F6B3EF" w14:textId="77777777" w:rsidR="00A7088E" w:rsidRDefault="00A7088E" w:rsidP="00A7088E">
      <w:pPr>
        <w:spacing w:after="0" w:line="240" w:lineRule="auto"/>
        <w:jc w:val="both"/>
        <w:rPr>
          <w:rFonts w:ascii="Verdana" w:hAnsi="Verdana" w:cs="Arial"/>
          <w:b/>
          <w:bCs/>
          <w:color w:val="000000"/>
          <w:lang w:val="es-ES"/>
        </w:rPr>
      </w:pPr>
    </w:p>
    <w:p w14:paraId="6B619749"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ARTÍCULO 128 DE LA CONSTITUCIÓN POLÍTICA – Contratistas de prestación de servicios – Inaplicabilidad</w:t>
      </w:r>
    </w:p>
    <w:p w14:paraId="19F5C5F4" w14:textId="77777777" w:rsidR="00A7088E" w:rsidRDefault="00A7088E" w:rsidP="00A7088E">
      <w:pPr>
        <w:spacing w:after="0" w:line="240" w:lineRule="auto"/>
        <w:jc w:val="both"/>
        <w:rPr>
          <w:rFonts w:ascii="Verdana" w:hAnsi="Verdana" w:cs="Arial"/>
          <w:b/>
          <w:bCs/>
          <w:color w:val="000000"/>
          <w:lang w:val="es-ES"/>
        </w:rPr>
      </w:pPr>
    </w:p>
    <w:p w14:paraId="04B7F3D7"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Los contratistas de prestación de servicios se encuentran por fuera del ámbito de aplicación del artículo 128 de la Constitución Política, al no ser titulares de un empleo público, lo que supone que es perfectamente válido que una persona suscriba contratos de prestación de servicios con el Estado, no existiendo una disposición que así lo prohíba. Ello encuentra respaldo en el numeral 3 del artículo 32 de la Ley 80 de 1993, conforme al cual estos contratos en ningún caso generan relación laboral ni prestaciones sociales. A lo anterior se añade que el literal b) del artículo 19 de la Ley 4 de 1992 exceptúa expresamente de la prohibición de doble asignación “[l]</w:t>
      </w:r>
      <w:proofErr w:type="gramStart"/>
      <w:r>
        <w:rPr>
          <w:rFonts w:ascii="Verdana" w:hAnsi="Verdana" w:cs="Arial"/>
          <w:bCs/>
          <w:color w:val="000000"/>
          <w:sz w:val="20"/>
          <w:lang w:val="es-ES"/>
        </w:rPr>
        <w:t>as percibidas</w:t>
      </w:r>
      <w:proofErr w:type="gramEnd"/>
      <w:r>
        <w:rPr>
          <w:rFonts w:ascii="Verdana" w:hAnsi="Verdana" w:cs="Arial"/>
          <w:bCs/>
          <w:color w:val="000000"/>
          <w:sz w:val="20"/>
          <w:lang w:val="es-ES"/>
        </w:rPr>
        <w:t xml:space="preserve"> por el personal con asignación de retiro o pensión militar o policial de la Fuerza Pública”, de suerte que la disposición invocada opera, en este supuesto, como norma permisiva y no como fuente de restricción. Lo anterior se expone únicamente en cuanto proyecta efectos sobre la capacidad contractual, sin que corresponda a esta Agencia fijar el alcance de dichas disposiciones en el ámbito del empleo público y del régimen salarial y prestacional.</w:t>
      </w:r>
    </w:p>
    <w:p w14:paraId="20123C8D" w14:textId="77777777" w:rsidR="00A7088E" w:rsidRDefault="00A7088E" w:rsidP="00A7088E">
      <w:pPr>
        <w:spacing w:after="0" w:line="240" w:lineRule="auto"/>
        <w:jc w:val="both"/>
        <w:rPr>
          <w:rFonts w:ascii="Verdana" w:hAnsi="Verdana" w:cs="Arial"/>
          <w:b/>
          <w:bCs/>
          <w:color w:val="000000"/>
          <w:lang w:val="es-ES"/>
        </w:rPr>
      </w:pPr>
    </w:p>
    <w:p w14:paraId="76A99E99"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CONFLICTO DE INTERÉS – Ausencia de regulación general – Tipicidad y objetividad – Deber de la entidad</w:t>
      </w:r>
    </w:p>
    <w:p w14:paraId="64364852" w14:textId="77777777" w:rsidR="00A7088E" w:rsidRDefault="00A7088E" w:rsidP="00A7088E">
      <w:pPr>
        <w:spacing w:after="0" w:line="240" w:lineRule="auto"/>
        <w:jc w:val="both"/>
        <w:rPr>
          <w:rFonts w:ascii="Verdana" w:hAnsi="Verdana" w:cs="Arial"/>
          <w:b/>
          <w:bCs/>
          <w:color w:val="000000"/>
          <w:lang w:val="es-ES"/>
        </w:rPr>
      </w:pPr>
    </w:p>
    <w:p w14:paraId="11814B7B"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La institución jurídica de los conflictos de interés no está definida con carácter general en el ordenamiento jurídico y tampoco de forma precisa en las normas que regulan la contratación estatal, por lo que es un asunto ausente en el Estatuto General de Contratación de la Administración Pública. De ahí que: i) es posible que los pliegos de condiciones establezcan, si bien de forma restrictiva, conflictos de interés; </w:t>
      </w:r>
      <w:proofErr w:type="spellStart"/>
      <w:r>
        <w:rPr>
          <w:rFonts w:ascii="Verdana" w:hAnsi="Verdana" w:cs="Arial"/>
          <w:bCs/>
          <w:color w:val="000000"/>
          <w:sz w:val="20"/>
          <w:lang w:val="es-ES"/>
        </w:rPr>
        <w:t>ii</w:t>
      </w:r>
      <w:proofErr w:type="spellEnd"/>
      <w:r>
        <w:rPr>
          <w:rFonts w:ascii="Verdana" w:hAnsi="Verdana" w:cs="Arial"/>
          <w:bCs/>
          <w:color w:val="000000"/>
          <w:sz w:val="20"/>
          <w:lang w:val="es-ES"/>
        </w:rPr>
        <w:t xml:space="preserve">) estos deben tipificarse, esto es, establecerse de forma expresa y concreta en los pliegos de condiciones; </w:t>
      </w:r>
      <w:proofErr w:type="spellStart"/>
      <w:r>
        <w:rPr>
          <w:rFonts w:ascii="Verdana" w:hAnsi="Verdana" w:cs="Arial"/>
          <w:bCs/>
          <w:color w:val="000000"/>
          <w:sz w:val="20"/>
          <w:lang w:val="es-ES"/>
        </w:rPr>
        <w:t>iii</w:t>
      </w:r>
      <w:proofErr w:type="spellEnd"/>
      <w:r>
        <w:rPr>
          <w:rFonts w:ascii="Verdana" w:hAnsi="Verdana" w:cs="Arial"/>
          <w:bCs/>
          <w:color w:val="000000"/>
          <w:sz w:val="20"/>
          <w:lang w:val="es-ES"/>
        </w:rPr>
        <w:t xml:space="preserve">) las causales deben ser objetivas, esto es, que se describan con claridad, de manera que no resulten ambiguas dando lugar a que los intérpretes extraigan consecuencias diferentes; </w:t>
      </w:r>
      <w:proofErr w:type="spellStart"/>
      <w:r>
        <w:rPr>
          <w:rFonts w:ascii="Verdana" w:hAnsi="Verdana" w:cs="Arial"/>
          <w:bCs/>
          <w:color w:val="000000"/>
          <w:sz w:val="20"/>
          <w:lang w:val="es-ES"/>
        </w:rPr>
        <w:t>iv</w:t>
      </w:r>
      <w:proofErr w:type="spellEnd"/>
      <w:r>
        <w:rPr>
          <w:rFonts w:ascii="Verdana" w:hAnsi="Verdana" w:cs="Arial"/>
          <w:bCs/>
          <w:color w:val="000000"/>
          <w:sz w:val="20"/>
          <w:lang w:val="es-ES"/>
        </w:rPr>
        <w:t>) las causales no pueden ser caprichosas, por lo que su inclusión debe justificarse en salvaguardar principios superiores, como la igualdad, la imparcialidad, la transparencia, la moralidad o la selección objetiva; v) su interpretación, al igual que las causales de inhabilidad o incompatibilidad, debe ser estricta o restrictiva; y vi) solo se pueden aplicar los conflictos de interés tipificados en el pliego de condiciones, en la Constitución o en la ley, de manera que su ausencia da lugar a que se parta del principio general de la capacidad contractual del proponente o contratista, sin que la entidad pueda crear o aplicar causales que no incluyó en el pliego de condiciones.</w:t>
      </w:r>
    </w:p>
    <w:p w14:paraId="2839716C" w14:textId="77777777" w:rsidR="00A7088E" w:rsidRDefault="00A7088E" w:rsidP="00A7088E">
      <w:pPr>
        <w:spacing w:after="0" w:line="240" w:lineRule="auto"/>
        <w:jc w:val="both"/>
        <w:rPr>
          <w:rFonts w:ascii="Verdana" w:hAnsi="Verdana" w:cs="Arial"/>
          <w:b/>
          <w:bCs/>
          <w:color w:val="000000"/>
          <w:lang w:val="es-ES"/>
        </w:rPr>
      </w:pPr>
    </w:p>
    <w:p w14:paraId="3EC0F781" w14:textId="77777777" w:rsidR="00A7088E" w:rsidRPr="004A0841" w:rsidRDefault="00A7088E" w:rsidP="00A7088E">
      <w:pPr>
        <w:spacing w:after="0" w:line="240" w:lineRule="auto"/>
        <w:jc w:val="both"/>
        <w:rPr>
          <w:rFonts w:ascii="Verdana" w:hAnsi="Verdana" w:cs="Arial"/>
          <w:b/>
          <w:bCs/>
          <w:color w:val="000000"/>
          <w:lang w:val="es-ES"/>
        </w:rPr>
      </w:pPr>
      <w:r w:rsidRPr="004A0841">
        <w:rPr>
          <w:rFonts w:ascii="Verdana" w:hAnsi="Verdana" w:cs="Arial"/>
          <w:b/>
          <w:bCs/>
          <w:color w:val="000000"/>
          <w:lang w:val="es-ES"/>
        </w:rPr>
        <w:t>VERIFICACIÓN DE INHABILIDADES Y CONFLICTO DE INTERÉS – Deber de la entidad contratante – Estudios previos y pliego de condiciones</w:t>
      </w:r>
    </w:p>
    <w:p w14:paraId="0BE3DD58" w14:textId="77777777" w:rsidR="00A7088E" w:rsidRDefault="00A7088E" w:rsidP="00A7088E">
      <w:pPr>
        <w:spacing w:after="0" w:line="240" w:lineRule="auto"/>
        <w:jc w:val="both"/>
        <w:rPr>
          <w:rFonts w:ascii="Verdana" w:hAnsi="Verdana" w:cs="Arial"/>
          <w:b/>
          <w:bCs/>
          <w:color w:val="000000"/>
          <w:lang w:val="es-ES"/>
        </w:rPr>
      </w:pPr>
    </w:p>
    <w:p w14:paraId="3FAF2567" w14:textId="77777777" w:rsidR="00A7088E" w:rsidRPr="004A0841" w:rsidRDefault="00A7088E" w:rsidP="00A7088E">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Corresponde a la entidad estatal, en cada procedimiento y de manera previa y concreta, verificar que el interesado no se encuentre incurso en causal de inhabilidad o incompatibilidad y que no concurra un conflicto de interés, verificación que se documenta en los estudios y documentos previos y cuyas reglas se fijan en el pliego de condiciones o documento equivalente. Esa verificación es concreta y actual: no se agota en la condición genérica del interesado, sino en el examen de sus circunstancias individuales frente a cada causal legalmente tipificada, y se extiende a la etapa de ejecución </w:t>
      </w:r>
      <w:proofErr w:type="gramStart"/>
      <w:r>
        <w:rPr>
          <w:rFonts w:ascii="Verdana" w:hAnsi="Verdana" w:cs="Arial"/>
          <w:bCs/>
          <w:color w:val="000000"/>
          <w:sz w:val="20"/>
          <w:lang w:val="es-ES"/>
        </w:rPr>
        <w:t>en razón del</w:t>
      </w:r>
      <w:proofErr w:type="gramEnd"/>
      <w:r>
        <w:rPr>
          <w:rFonts w:ascii="Verdana" w:hAnsi="Verdana" w:cs="Arial"/>
          <w:bCs/>
          <w:color w:val="000000"/>
          <w:sz w:val="20"/>
          <w:lang w:val="es-ES"/>
        </w:rPr>
        <w:t xml:space="preserve"> régimen de inhabilidades e incompatibilidades sobrevinientes del artículo 9 de la Ley 80 de 1993.</w:t>
      </w:r>
    </w:p>
    <w:p w14:paraId="3D3AAF3E" w14:textId="77777777" w:rsidR="00A7088E" w:rsidRDefault="00A7088E" w:rsidP="00A7088E">
      <w:pPr>
        <w:spacing w:after="0" w:line="240" w:lineRule="auto"/>
        <w:jc w:val="both"/>
        <w:rPr>
          <w:rFonts w:ascii="Verdana" w:hAnsi="Verdana" w:cs="Arial"/>
          <w:b/>
          <w:bCs/>
          <w:color w:val="000000"/>
          <w:lang w:val="es-ES"/>
        </w:rPr>
      </w:pPr>
    </w:p>
    <w:p w14:paraId="0F61BAAA" w14:textId="77777777" w:rsidR="00A7088E" w:rsidRDefault="00A7088E" w:rsidP="00A7088E">
      <w:pPr>
        <w:spacing w:after="0" w:line="240" w:lineRule="auto"/>
        <w:rPr>
          <w:rFonts w:ascii="Verdana" w:eastAsia="Verdana" w:hAnsi="Verdana" w:cs="Verdana"/>
        </w:rPr>
      </w:pPr>
    </w:p>
    <w:p w14:paraId="3342B6C5" w14:textId="77777777" w:rsidR="00A7088E" w:rsidRDefault="00A7088E" w:rsidP="00A7088E">
      <w:pPr>
        <w:spacing w:after="0" w:line="240" w:lineRule="auto"/>
        <w:rPr>
          <w:rFonts w:ascii="Verdana" w:eastAsia="Verdana" w:hAnsi="Verdana" w:cs="Verdana"/>
        </w:rPr>
      </w:pPr>
    </w:p>
    <w:p w14:paraId="216A6116" w14:textId="77777777" w:rsidR="00A7088E" w:rsidRDefault="00A7088E" w:rsidP="00A7088E">
      <w:pPr>
        <w:spacing w:after="0" w:line="240" w:lineRule="auto"/>
        <w:rPr>
          <w:rFonts w:ascii="Verdana" w:eastAsia="Verdana" w:hAnsi="Verdana" w:cs="Verdana"/>
        </w:rPr>
      </w:pPr>
    </w:p>
    <w:p w14:paraId="091B4158" w14:textId="77777777" w:rsidR="00A7088E" w:rsidRDefault="00A7088E" w:rsidP="00A7088E">
      <w:pPr>
        <w:spacing w:after="0" w:line="240" w:lineRule="auto"/>
        <w:rPr>
          <w:rFonts w:ascii="Verdana" w:eastAsia="Verdana" w:hAnsi="Verdana" w:cs="Verdana"/>
        </w:rPr>
      </w:pPr>
    </w:p>
    <w:p w14:paraId="75A670DB" w14:textId="77777777" w:rsidR="00A7088E" w:rsidRDefault="00A7088E" w:rsidP="00A7088E">
      <w:pPr>
        <w:spacing w:after="0" w:line="240" w:lineRule="auto"/>
        <w:rPr>
          <w:rFonts w:ascii="Verdana" w:eastAsia="Verdana" w:hAnsi="Verdana" w:cs="Verdana"/>
        </w:rPr>
      </w:pPr>
    </w:p>
    <w:p w14:paraId="0D4481FD" w14:textId="77777777" w:rsidR="00A7088E" w:rsidRDefault="00A7088E" w:rsidP="00A7088E">
      <w:pPr>
        <w:spacing w:after="0" w:line="240" w:lineRule="auto"/>
        <w:rPr>
          <w:rFonts w:ascii="Verdana" w:eastAsia="Verdana" w:hAnsi="Verdana" w:cs="Verdana"/>
        </w:rPr>
      </w:pPr>
    </w:p>
    <w:p w14:paraId="183B8720" w14:textId="77777777" w:rsidR="00A7088E" w:rsidRDefault="00A7088E" w:rsidP="00A7088E">
      <w:pPr>
        <w:spacing w:after="0" w:line="240" w:lineRule="auto"/>
        <w:rPr>
          <w:rFonts w:ascii="Verdana" w:eastAsia="Verdana" w:hAnsi="Verdana" w:cs="Verdana"/>
        </w:rPr>
      </w:pPr>
    </w:p>
    <w:p w14:paraId="3EBBA3A7" w14:textId="77777777" w:rsidR="00A7088E" w:rsidRDefault="00A7088E" w:rsidP="00A7088E">
      <w:pPr>
        <w:spacing w:after="0" w:line="240" w:lineRule="auto"/>
        <w:rPr>
          <w:rFonts w:ascii="Verdana" w:eastAsia="Verdana" w:hAnsi="Verdana" w:cs="Verdana"/>
        </w:rPr>
      </w:pPr>
    </w:p>
    <w:p w14:paraId="3F820D04" w14:textId="77777777" w:rsidR="00A7088E" w:rsidRDefault="00A7088E" w:rsidP="00A7088E">
      <w:pPr>
        <w:spacing w:after="0" w:line="240" w:lineRule="auto"/>
        <w:rPr>
          <w:rFonts w:ascii="Verdana" w:eastAsia="Verdana" w:hAnsi="Verdana" w:cs="Verdana"/>
        </w:rPr>
      </w:pPr>
    </w:p>
    <w:p w14:paraId="7B3A3A00" w14:textId="77777777" w:rsidR="00A7088E" w:rsidRDefault="00A7088E" w:rsidP="00A7088E">
      <w:pPr>
        <w:spacing w:after="0" w:line="240" w:lineRule="auto"/>
        <w:rPr>
          <w:rFonts w:ascii="Verdana" w:eastAsia="Verdana" w:hAnsi="Verdana" w:cs="Verdana"/>
        </w:rPr>
      </w:pPr>
    </w:p>
    <w:p w14:paraId="03D01341" w14:textId="77777777" w:rsidR="00A7088E" w:rsidRDefault="00A7088E" w:rsidP="00A7088E">
      <w:pPr>
        <w:spacing w:after="0" w:line="240" w:lineRule="auto"/>
        <w:rPr>
          <w:rFonts w:ascii="Verdana" w:eastAsia="Verdana" w:hAnsi="Verdana" w:cs="Verdana"/>
        </w:rPr>
      </w:pPr>
    </w:p>
    <w:p w14:paraId="607F64D3" w14:textId="77777777" w:rsidR="00A7088E" w:rsidRDefault="00A7088E" w:rsidP="00A7088E">
      <w:pPr>
        <w:spacing w:after="0" w:line="240" w:lineRule="auto"/>
        <w:rPr>
          <w:rFonts w:ascii="Verdana" w:eastAsia="Verdana" w:hAnsi="Verdana" w:cs="Verdana"/>
        </w:rPr>
      </w:pPr>
    </w:p>
    <w:p w14:paraId="124BE60C" w14:textId="77777777" w:rsidR="00A7088E" w:rsidRDefault="00A7088E" w:rsidP="00A7088E">
      <w:pPr>
        <w:spacing w:after="0" w:line="240" w:lineRule="auto"/>
        <w:rPr>
          <w:rFonts w:ascii="Verdana" w:eastAsia="Verdana" w:hAnsi="Verdana" w:cs="Verdana"/>
        </w:rPr>
      </w:pPr>
    </w:p>
    <w:p w14:paraId="04C50359" w14:textId="77777777" w:rsidR="00A7088E" w:rsidRDefault="00A7088E" w:rsidP="00A7088E">
      <w:pPr>
        <w:spacing w:after="0" w:line="240" w:lineRule="auto"/>
        <w:rPr>
          <w:rFonts w:ascii="Verdana" w:eastAsia="Verdana" w:hAnsi="Verdana" w:cs="Verdana"/>
        </w:rPr>
      </w:pPr>
    </w:p>
    <w:p w14:paraId="151E2E86" w14:textId="77777777" w:rsidR="00A7088E" w:rsidRDefault="00A7088E" w:rsidP="00A7088E">
      <w:pPr>
        <w:spacing w:after="0" w:line="240" w:lineRule="auto"/>
        <w:rPr>
          <w:rFonts w:ascii="Verdana" w:eastAsia="Verdana" w:hAnsi="Verdana" w:cs="Verdana"/>
        </w:rPr>
      </w:pPr>
    </w:p>
    <w:p w14:paraId="41EB7F34" w14:textId="77777777" w:rsidR="00A7088E" w:rsidRDefault="00A7088E" w:rsidP="00A7088E">
      <w:pPr>
        <w:spacing w:after="0" w:line="240" w:lineRule="auto"/>
        <w:rPr>
          <w:rFonts w:ascii="Verdana" w:eastAsia="Verdana" w:hAnsi="Verdana" w:cs="Verdana"/>
        </w:rPr>
      </w:pPr>
    </w:p>
    <w:p w14:paraId="027BD466" w14:textId="77777777" w:rsidR="00A7088E" w:rsidRDefault="00A7088E" w:rsidP="00A7088E">
      <w:pPr>
        <w:spacing w:after="0" w:line="240" w:lineRule="auto"/>
        <w:rPr>
          <w:rFonts w:ascii="Verdana" w:eastAsia="Verdana" w:hAnsi="Verdana" w:cs="Verdana"/>
        </w:rPr>
      </w:pPr>
    </w:p>
    <w:p w14:paraId="638FECBF" w14:textId="77777777" w:rsidR="00A7088E" w:rsidRDefault="00A7088E" w:rsidP="00A7088E">
      <w:pPr>
        <w:spacing w:after="0" w:line="240" w:lineRule="auto"/>
        <w:rPr>
          <w:rFonts w:ascii="Verdana" w:eastAsia="Verdana" w:hAnsi="Verdana" w:cs="Verdana"/>
        </w:rPr>
      </w:pPr>
    </w:p>
    <w:p w14:paraId="237A5539" w14:textId="77777777" w:rsidR="00A7088E" w:rsidRDefault="00A7088E" w:rsidP="00A7088E">
      <w:pPr>
        <w:spacing w:after="0" w:line="240" w:lineRule="auto"/>
        <w:rPr>
          <w:rFonts w:ascii="Verdana" w:eastAsia="Verdana" w:hAnsi="Verdana" w:cs="Verdana"/>
        </w:rPr>
      </w:pPr>
    </w:p>
    <w:p w14:paraId="27244386" w14:textId="77777777" w:rsidR="00A7088E" w:rsidRDefault="00A7088E" w:rsidP="00A7088E">
      <w:pPr>
        <w:spacing w:after="0" w:line="240" w:lineRule="auto"/>
        <w:rPr>
          <w:rFonts w:ascii="Verdana" w:eastAsia="Verdana" w:hAnsi="Verdana" w:cs="Verdana"/>
        </w:rPr>
      </w:pPr>
    </w:p>
    <w:p w14:paraId="353F4106" w14:textId="77777777" w:rsidR="00A7088E" w:rsidRDefault="00A7088E" w:rsidP="00A7088E">
      <w:pPr>
        <w:spacing w:after="0" w:line="240" w:lineRule="auto"/>
        <w:rPr>
          <w:rFonts w:ascii="Verdana" w:eastAsia="Verdana" w:hAnsi="Verdana" w:cs="Verdana"/>
        </w:rPr>
      </w:pPr>
    </w:p>
    <w:p w14:paraId="56AE58BF" w14:textId="77777777" w:rsidR="00A7088E" w:rsidRDefault="00A7088E" w:rsidP="00A7088E">
      <w:pPr>
        <w:spacing w:after="0" w:line="240" w:lineRule="auto"/>
        <w:rPr>
          <w:rFonts w:ascii="Verdana" w:eastAsia="Verdana" w:hAnsi="Verdana" w:cs="Verdana"/>
        </w:rPr>
      </w:pPr>
    </w:p>
    <w:p w14:paraId="798F81DB" w14:textId="77777777" w:rsidR="00A7088E" w:rsidRDefault="00A7088E" w:rsidP="00A7088E">
      <w:pPr>
        <w:spacing w:after="0" w:line="240" w:lineRule="auto"/>
        <w:rPr>
          <w:rFonts w:ascii="Verdana" w:eastAsia="Verdana" w:hAnsi="Verdana" w:cs="Verdana"/>
        </w:rPr>
      </w:pPr>
    </w:p>
    <w:p w14:paraId="1175B309" w14:textId="77777777" w:rsidR="00A7088E" w:rsidRDefault="00A7088E" w:rsidP="00A7088E">
      <w:pPr>
        <w:spacing w:after="0" w:line="240" w:lineRule="auto"/>
        <w:rPr>
          <w:rFonts w:ascii="Verdana" w:eastAsia="Verdana" w:hAnsi="Verdana" w:cs="Verdana"/>
        </w:rPr>
      </w:pPr>
    </w:p>
    <w:p w14:paraId="6B621923" w14:textId="77777777" w:rsidR="00A7088E" w:rsidRDefault="00A7088E" w:rsidP="00A7088E">
      <w:pPr>
        <w:spacing w:after="0" w:line="240" w:lineRule="auto"/>
        <w:rPr>
          <w:rFonts w:ascii="Verdana" w:eastAsia="Verdana" w:hAnsi="Verdana" w:cs="Verdana"/>
        </w:rPr>
      </w:pPr>
    </w:p>
    <w:p w14:paraId="2D6B4EC0" w14:textId="77777777" w:rsidR="00A7088E" w:rsidRDefault="00A7088E" w:rsidP="00A7088E">
      <w:pPr>
        <w:spacing w:after="0" w:line="240" w:lineRule="auto"/>
        <w:rPr>
          <w:rFonts w:ascii="Verdana" w:eastAsia="Verdana" w:hAnsi="Verdana" w:cs="Verdana"/>
        </w:rPr>
      </w:pPr>
    </w:p>
    <w:p w14:paraId="153D5218" w14:textId="77777777" w:rsidR="00A7088E" w:rsidRDefault="00A7088E" w:rsidP="00A7088E">
      <w:pPr>
        <w:spacing w:after="0" w:line="240" w:lineRule="auto"/>
        <w:rPr>
          <w:rFonts w:ascii="Verdana" w:eastAsia="Verdana" w:hAnsi="Verdana" w:cs="Verdana"/>
        </w:rPr>
      </w:pPr>
    </w:p>
    <w:p w14:paraId="7FFC5F89" w14:textId="77777777" w:rsidR="00A7088E" w:rsidRDefault="00A7088E" w:rsidP="00A7088E">
      <w:pPr>
        <w:spacing w:after="0" w:line="240" w:lineRule="auto"/>
        <w:rPr>
          <w:rFonts w:ascii="Verdana" w:eastAsia="Verdana" w:hAnsi="Verdana" w:cs="Verdana"/>
        </w:rPr>
      </w:pPr>
    </w:p>
    <w:p w14:paraId="0FE9F8FE" w14:textId="4716B068" w:rsidR="00A7088E" w:rsidRDefault="006E399C" w:rsidP="00A7088E">
      <w:pPr>
        <w:spacing w:after="0" w:line="240" w:lineRule="auto"/>
        <w:rPr>
          <w:rFonts w:ascii="Verdana" w:hAnsi="Verdana"/>
        </w:rPr>
      </w:pPr>
      <w:r w:rsidRPr="006E399C">
        <w:rPr>
          <w:rFonts w:ascii="Verdana" w:hAnsi="Verdana"/>
        </w:rPr>
        <w:lastRenderedPageBreak/>
        <w:t>Bogotá D.C., 11 de Agosto de 2026</w:t>
      </w:r>
    </w:p>
    <w:p w14:paraId="300225FE" w14:textId="77777777" w:rsidR="006E399C" w:rsidRDefault="006E399C" w:rsidP="00A7088E">
      <w:pPr>
        <w:spacing w:after="0" w:line="240" w:lineRule="auto"/>
        <w:rPr>
          <w:rFonts w:ascii="Verdana" w:hAnsi="Verdana"/>
        </w:rPr>
      </w:pPr>
    </w:p>
    <w:p w14:paraId="69FF1F3A" w14:textId="6E35BEC9" w:rsidR="006E399C" w:rsidRDefault="006E399C" w:rsidP="006E399C">
      <w:pPr>
        <w:spacing w:after="0" w:line="240" w:lineRule="auto"/>
        <w:jc w:val="right"/>
        <w:rPr>
          <w:rFonts w:ascii="Verdana" w:hAnsi="Verdana"/>
        </w:rPr>
      </w:pPr>
    </w:p>
    <w:p w14:paraId="5BF88F8D" w14:textId="13B249AC" w:rsidR="006E399C" w:rsidRDefault="006E399C" w:rsidP="00A7088E">
      <w:pPr>
        <w:spacing w:after="0" w:line="240" w:lineRule="auto"/>
        <w:rPr>
          <w:rFonts w:ascii="Verdana" w:hAnsi="Verdana"/>
        </w:rPr>
      </w:pPr>
    </w:p>
    <w:p w14:paraId="4977997D" w14:textId="1EE51E08" w:rsidR="00A7088E" w:rsidRPr="00524422" w:rsidRDefault="002D3A99" w:rsidP="00A7088E">
      <w:pPr>
        <w:spacing w:after="0" w:line="240" w:lineRule="auto"/>
        <w:rPr>
          <w:rFonts w:ascii="Verdana" w:eastAsia="Calibri" w:hAnsi="Verdana" w:cs="Times New Roman"/>
          <w:lang w:val="es-MX"/>
        </w:rPr>
      </w:pPr>
      <w:r w:rsidRPr="006E399C">
        <w:rPr>
          <w:rFonts w:ascii="Verdana" w:hAnsi="Verdana"/>
          <w:noProof/>
        </w:rPr>
        <w:drawing>
          <wp:anchor distT="0" distB="0" distL="114300" distR="114300" simplePos="0" relativeHeight="251658240" behindDoc="0" locked="0" layoutInCell="1" allowOverlap="1" wp14:anchorId="5FA81742" wp14:editId="3BC215A6">
            <wp:simplePos x="0" y="0"/>
            <wp:positionH relativeFrom="margin">
              <wp:align>right</wp:align>
            </wp:positionH>
            <wp:positionV relativeFrom="paragraph">
              <wp:posOffset>6350</wp:posOffset>
            </wp:positionV>
            <wp:extent cx="2623820" cy="848995"/>
            <wp:effectExtent l="0" t="0" r="5080" b="8255"/>
            <wp:wrapSquare wrapText="bothSides"/>
            <wp:docPr id="434823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23729" name=""/>
                    <pic:cNvPicPr/>
                  </pic:nvPicPr>
                  <pic:blipFill>
                    <a:blip r:embed="rId11">
                      <a:extLst>
                        <a:ext uri="{28A0092B-C50C-407E-A947-70E740481C1C}">
                          <a14:useLocalDpi xmlns:a14="http://schemas.microsoft.com/office/drawing/2010/main" val="0"/>
                        </a:ext>
                      </a:extLst>
                    </a:blip>
                    <a:stretch>
                      <a:fillRect/>
                    </a:stretch>
                  </pic:blipFill>
                  <pic:spPr>
                    <a:xfrm>
                      <a:off x="0" y="0"/>
                      <a:ext cx="2623820" cy="848995"/>
                    </a:xfrm>
                    <a:prstGeom prst="rect">
                      <a:avLst/>
                    </a:prstGeom>
                  </pic:spPr>
                </pic:pic>
              </a:graphicData>
            </a:graphic>
            <wp14:sizeRelH relativeFrom="margin">
              <wp14:pctWidth>0</wp14:pctWidth>
            </wp14:sizeRelH>
            <wp14:sizeRelV relativeFrom="margin">
              <wp14:pctHeight>0</wp14:pctHeight>
            </wp14:sizeRelV>
          </wp:anchor>
        </w:drawing>
      </w:r>
      <w:r w:rsidR="00A7088E" w:rsidRPr="00524422">
        <w:rPr>
          <w:rFonts w:ascii="Verdana" w:eastAsia="Calibri" w:hAnsi="Verdana" w:cs="Times New Roman"/>
          <w:lang w:val="es-MX"/>
        </w:rPr>
        <w:t>Señor</w:t>
      </w:r>
    </w:p>
    <w:p w14:paraId="0C4833B2" w14:textId="77777777" w:rsidR="00A7088E" w:rsidRPr="00524422" w:rsidRDefault="00A7088E" w:rsidP="00A7088E">
      <w:pPr>
        <w:spacing w:after="0" w:line="240" w:lineRule="auto"/>
        <w:rPr>
          <w:rFonts w:ascii="Verdana" w:eastAsia="Calibri" w:hAnsi="Verdana" w:cs="Times New Roman"/>
          <w:b/>
        </w:rPr>
      </w:pPr>
      <w:r>
        <w:rPr>
          <w:rFonts w:ascii="Verdana" w:eastAsia="Calibri" w:hAnsi="Verdana" w:cs="Times New Roman"/>
          <w:b/>
        </w:rPr>
        <w:t>JORGE ARMANDO TAMAYO LÓPEZ</w:t>
      </w:r>
    </w:p>
    <w:p w14:paraId="48F3DAA0" w14:textId="77777777" w:rsidR="00A7088E" w:rsidRPr="00524422" w:rsidRDefault="00A7088E" w:rsidP="00A7088E">
      <w:pPr>
        <w:spacing w:after="0" w:line="240" w:lineRule="auto"/>
        <w:rPr>
          <w:rFonts w:ascii="Verdana" w:hAnsi="Verdana"/>
        </w:rPr>
      </w:pPr>
      <w:r>
        <w:rPr>
          <w:rFonts w:ascii="Verdana" w:hAnsi="Verdana"/>
        </w:rPr>
        <w:t>jorgetamayo8279@gmail.com</w:t>
      </w:r>
    </w:p>
    <w:p w14:paraId="4E171759" w14:textId="77777777" w:rsidR="00A7088E" w:rsidRPr="00524422" w:rsidRDefault="00A7088E" w:rsidP="00A7088E">
      <w:pPr>
        <w:spacing w:after="0" w:line="240" w:lineRule="auto"/>
        <w:rPr>
          <w:rFonts w:ascii="Verdana" w:eastAsia="Calibri" w:hAnsi="Verdana" w:cs="Times New Roman"/>
          <w:bCs/>
        </w:rPr>
      </w:pPr>
      <w:r>
        <w:rPr>
          <w:rFonts w:ascii="Verdana" w:eastAsia="Calibri" w:hAnsi="Verdana" w:cs="Times New Roman"/>
          <w:bCs/>
        </w:rPr>
        <w:t>Bucaramanga, Santander</w:t>
      </w:r>
    </w:p>
    <w:p w14:paraId="66E78866" w14:textId="77777777" w:rsidR="00A7088E" w:rsidRPr="002B4BE9" w:rsidRDefault="00A7088E" w:rsidP="00A7088E">
      <w:pPr>
        <w:spacing w:after="0" w:line="240" w:lineRule="auto"/>
        <w:rPr>
          <w:rFonts w:ascii="Verdana" w:eastAsia="Calibri" w:hAnsi="Verdana" w:cs="Times New Roman"/>
        </w:rPr>
      </w:pPr>
    </w:p>
    <w:p w14:paraId="5B688D71" w14:textId="77777777" w:rsidR="00A7088E" w:rsidRPr="002B4BE9" w:rsidRDefault="00A7088E" w:rsidP="00A7088E">
      <w:pPr>
        <w:spacing w:after="0" w:line="240" w:lineRule="auto"/>
        <w:rPr>
          <w:rFonts w:ascii="Verdana" w:eastAsia="Calibri" w:hAnsi="Verdana" w:cs="Times New Roman"/>
        </w:rPr>
      </w:pPr>
    </w:p>
    <w:p w14:paraId="55070077" w14:textId="77777777" w:rsidR="00A7088E" w:rsidRPr="002B4BE9" w:rsidRDefault="00A7088E" w:rsidP="00A7088E">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Concepto </w:t>
      </w:r>
      <w:r w:rsidRPr="0071784D">
        <w:rPr>
          <w:rFonts w:ascii="Verdana" w:eastAsia="Calibri" w:hAnsi="Verdana" w:cs="Times New Roman"/>
          <w:b/>
          <w:bCs/>
          <w:lang w:val="es-ES"/>
        </w:rPr>
        <w:t>C-1034</w:t>
      </w:r>
      <w:r w:rsidRPr="002B4BE9">
        <w:rPr>
          <w:rFonts w:ascii="Verdana" w:eastAsia="Calibri" w:hAnsi="Verdana" w:cs="Times New Roman"/>
          <w:b/>
          <w:bCs/>
          <w:lang w:val="es-ES"/>
        </w:rPr>
        <w:t xml:space="preserve"> de 2026</w:t>
      </w:r>
    </w:p>
    <w:p w14:paraId="08A9BBF6" w14:textId="77777777" w:rsidR="00A7088E" w:rsidRPr="002B4BE9" w:rsidRDefault="00A7088E" w:rsidP="00A7088E">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A7088E" w:rsidRPr="002B4BE9" w14:paraId="07A00DCF" w14:textId="77777777" w:rsidTr="00392AF5">
        <w:trPr>
          <w:trHeight w:val="645"/>
        </w:trPr>
        <w:tc>
          <w:tcPr>
            <w:tcW w:w="2685" w:type="dxa"/>
            <w:hideMark/>
          </w:tcPr>
          <w:p w14:paraId="729C80F7" w14:textId="77777777" w:rsidR="00A7088E" w:rsidRPr="00403388" w:rsidRDefault="00A7088E" w:rsidP="00392AF5">
            <w:pPr>
              <w:rPr>
                <w:rFonts w:ascii="Verdana" w:hAnsi="Verdana"/>
                <w:b/>
                <w:bCs/>
                <w:lang w:val="es-ES_tradnl"/>
              </w:rPr>
            </w:pPr>
            <w:r w:rsidRPr="00403388">
              <w:rPr>
                <w:rFonts w:ascii="Verdana" w:hAnsi="Verdana"/>
                <w:b/>
                <w:bCs/>
                <w:lang w:val="es-ES_tradnl"/>
              </w:rPr>
              <w:t xml:space="preserve">Temas:                  </w:t>
            </w:r>
          </w:p>
        </w:tc>
        <w:tc>
          <w:tcPr>
            <w:tcW w:w="6241" w:type="dxa"/>
            <w:hideMark/>
          </w:tcPr>
          <w:p w14:paraId="790C7133" w14:textId="77777777" w:rsidR="00A7088E" w:rsidRPr="00403388" w:rsidRDefault="00A7088E" w:rsidP="00392AF5">
            <w:pPr>
              <w:spacing w:line="276" w:lineRule="auto"/>
              <w:jc w:val="both"/>
              <w:rPr>
                <w:rFonts w:ascii="Verdana" w:hAnsi="Verdana" w:cs="Arial"/>
                <w:lang w:val="es-ES" w:eastAsia="es-ES"/>
              </w:rPr>
            </w:pPr>
            <w:r w:rsidRPr="001B49B3">
              <w:rPr>
                <w:rFonts w:ascii="Verdana" w:hAnsi="Verdana" w:cs="Arial"/>
                <w:bCs/>
                <w:color w:val="000000"/>
                <w:lang w:val="es-ES"/>
              </w:rPr>
              <w:t>CAPACIDAD PARA CONTRATAR – Regla general – Inhabilidades e incompatibilidades como excepción / RÉGIMEN DE INHABILIDADES E INCOMPATIBILIDADES – Reserva de ley – Taxatividad – Interpretación restrictiva / INHABILIDADES E INCOMPATIBILIDADES – Personal retirado de la Fuerza Pública – Asignación de retiro – Inexistencia de causal / ARTÍCULO 128 DE LA CONSTITUCIÓN POLÍTICA – Contratistas de prestación de servicios – Inaplicabilidad / CONFLICTO DE INTERÉS – Ausencia de regulación general – Tipicidad y objetividad – Deber de la entidad / VERIFICACIÓN DE INHABILIDADES Y CONFLICTO DE INTERÉS – Deber de la entidad contratante – Estudios previos y pliego de condiciones</w:t>
            </w:r>
          </w:p>
        </w:tc>
        <w:tc>
          <w:tcPr>
            <w:tcW w:w="6237" w:type="dxa"/>
          </w:tcPr>
          <w:p w14:paraId="6D5F99E6" w14:textId="77777777" w:rsidR="00A7088E" w:rsidRPr="002B4BE9" w:rsidRDefault="00A7088E" w:rsidP="00392AF5">
            <w:pPr>
              <w:rPr>
                <w:rFonts w:ascii="Verdana" w:hAnsi="Verdana"/>
                <w:lang w:val="es-ES"/>
              </w:rPr>
            </w:pPr>
          </w:p>
        </w:tc>
      </w:tr>
      <w:tr w:rsidR="00A7088E" w:rsidRPr="002B4BE9" w14:paraId="66F14C65" w14:textId="77777777" w:rsidTr="00392AF5">
        <w:tc>
          <w:tcPr>
            <w:tcW w:w="2685" w:type="dxa"/>
          </w:tcPr>
          <w:p w14:paraId="223E7E6A" w14:textId="77777777" w:rsidR="00A7088E" w:rsidRPr="002B4BE9" w:rsidRDefault="00A7088E" w:rsidP="00392AF5">
            <w:pPr>
              <w:rPr>
                <w:rFonts w:ascii="Verdana" w:hAnsi="Verdana"/>
                <w:b/>
                <w:bCs/>
                <w:lang w:val="es-ES_tradnl"/>
              </w:rPr>
            </w:pPr>
          </w:p>
          <w:p w14:paraId="52847589" w14:textId="77777777" w:rsidR="00A7088E" w:rsidRPr="00995618" w:rsidRDefault="00A7088E" w:rsidP="00392AF5">
            <w:pPr>
              <w:rPr>
                <w:rFonts w:ascii="Verdana" w:hAnsi="Verdana"/>
                <w:b/>
                <w:bCs/>
                <w:lang w:val="es-ES_tradnl"/>
              </w:rPr>
            </w:pPr>
            <w:r w:rsidRPr="002B4BE9">
              <w:rPr>
                <w:rFonts w:ascii="Verdana" w:hAnsi="Verdana"/>
                <w:b/>
                <w:bCs/>
                <w:lang w:val="es-ES_tradnl"/>
              </w:rPr>
              <w:t xml:space="preserve">Radicación:               </w:t>
            </w:r>
          </w:p>
        </w:tc>
        <w:tc>
          <w:tcPr>
            <w:tcW w:w="6241" w:type="dxa"/>
          </w:tcPr>
          <w:p w14:paraId="3E9DD81E" w14:textId="77777777" w:rsidR="00A7088E" w:rsidRDefault="00A7088E" w:rsidP="00392AF5">
            <w:pPr>
              <w:spacing w:line="276" w:lineRule="auto"/>
              <w:jc w:val="both"/>
              <w:rPr>
                <w:rFonts w:ascii="Verdana" w:hAnsi="Verdana"/>
                <w:lang w:val="es-ES_tradnl"/>
              </w:rPr>
            </w:pPr>
          </w:p>
          <w:p w14:paraId="4878DE73" w14:textId="77777777" w:rsidR="00A7088E" w:rsidRDefault="00A7088E" w:rsidP="00392AF5">
            <w:pPr>
              <w:spacing w:line="276" w:lineRule="auto"/>
              <w:jc w:val="both"/>
              <w:rPr>
                <w:rFonts w:ascii="Verdana" w:hAnsi="Verdana"/>
                <w:lang w:val="es-ES_tradnl"/>
              </w:rPr>
            </w:pPr>
            <w:r w:rsidRPr="002B4BE9">
              <w:rPr>
                <w:rFonts w:ascii="Verdana" w:hAnsi="Verdana"/>
                <w:lang w:val="es-ES_tradnl"/>
              </w:rPr>
              <w:t>Respuesta a consulta con radicado 1_2026_06_28_008637</w:t>
            </w:r>
          </w:p>
          <w:p w14:paraId="5FFABCAA" w14:textId="77777777" w:rsidR="00A7088E" w:rsidRPr="002B4BE9" w:rsidRDefault="00A7088E" w:rsidP="00392AF5">
            <w:pPr>
              <w:spacing w:line="276" w:lineRule="auto"/>
              <w:jc w:val="both"/>
              <w:rPr>
                <w:rFonts w:ascii="Verdana" w:hAnsi="Verdana"/>
                <w:lang w:val="es-ES_tradnl"/>
              </w:rPr>
            </w:pPr>
          </w:p>
        </w:tc>
        <w:tc>
          <w:tcPr>
            <w:tcW w:w="6237" w:type="dxa"/>
          </w:tcPr>
          <w:p w14:paraId="3124AC43" w14:textId="77777777" w:rsidR="00A7088E" w:rsidRPr="002B4BE9" w:rsidRDefault="00A7088E" w:rsidP="00392AF5">
            <w:pPr>
              <w:rPr>
                <w:rFonts w:ascii="Verdana" w:hAnsi="Verdana"/>
              </w:rPr>
            </w:pPr>
          </w:p>
        </w:tc>
      </w:tr>
    </w:tbl>
    <w:p w14:paraId="520CB886" w14:textId="77777777" w:rsidR="00A7088E" w:rsidRPr="009037F6" w:rsidRDefault="00A7088E" w:rsidP="00A7088E">
      <w:pPr>
        <w:spacing w:after="0" w:line="256" w:lineRule="auto"/>
        <w:rPr>
          <w:rFonts w:ascii="Verdana" w:eastAsia="Calibri" w:hAnsi="Verdana" w:cs="Times New Roman"/>
          <w:lang w:val="es-ES"/>
        </w:rPr>
      </w:pPr>
      <w:r>
        <w:rPr>
          <w:rFonts w:ascii="Verdana" w:eastAsia="Calibri" w:hAnsi="Verdana" w:cs="Times New Roman"/>
          <w:lang w:val="es-ES"/>
        </w:rPr>
        <w:t>Estimado señor Tamayo:</w:t>
      </w:r>
    </w:p>
    <w:p w14:paraId="4D0FD3DB" w14:textId="77777777" w:rsidR="00A7088E" w:rsidRPr="009037F6" w:rsidRDefault="00A7088E" w:rsidP="00A7088E">
      <w:pPr>
        <w:spacing w:after="0" w:line="276" w:lineRule="auto"/>
        <w:rPr>
          <w:rFonts w:ascii="Verdana" w:eastAsia="Calibri" w:hAnsi="Verdana" w:cs="Times New Roman"/>
          <w:lang w:val="es-ES"/>
        </w:rPr>
      </w:pPr>
    </w:p>
    <w:p w14:paraId="733F56F7" w14:textId="77777777" w:rsidR="00A7088E" w:rsidRDefault="00A7088E" w:rsidP="00A7088E">
      <w:pPr>
        <w:spacing w:after="12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responde su solicitud de consulta </w:t>
      </w:r>
      <w:r w:rsidRPr="009037F6">
        <w:rPr>
          <w:rFonts w:ascii="Verdana" w:eastAsia="Calibri" w:hAnsi="Verdana" w:cs="Times New Roman"/>
          <w:bCs/>
          <w:lang w:bidi="es-ES"/>
        </w:rPr>
        <w:lastRenderedPageBreak/>
        <w:t>del 28 de junio de 2026, en la cual, luego de exponer su condición de persona retirada de la Policía Nacional beneficiaria de asignación de retiro, formula quince interrogantes en los siguientes términos:</w:t>
      </w:r>
    </w:p>
    <w:p w14:paraId="5FF83CD6" w14:textId="77777777" w:rsidR="00A7088E" w:rsidRDefault="00A7088E" w:rsidP="00A7088E">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“1. ¿Existe en el régimen general de contratación estatal colombiano alguna causal constitucional, legal o reglamentaria de inhabilidad que impida a una persona retirada de la Policía Nacional, beneficiaria de asignación de retiro, celebrar contratos estatales con entidades públicas? 2. ¿La sola percepción de asignación de retiro policial constituye una causal autónoma de inhabilidad, incompatibilidad, prohibición contractual o conflicto de interés para contratar con el Estado? 3. ¿La percepción simultánea de asignación de retiro y honorarios derivados de contratos estatales configura doble asignación prohibida, incompatibilidad contractual o restricción jurídica en materia de contratación pública?</w:t>
      </w:r>
    </w:p>
    <w:p w14:paraId="5142C85D" w14:textId="77777777" w:rsidR="00A7088E" w:rsidRPr="00294ADE" w:rsidRDefault="00A7088E" w:rsidP="00A7088E">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4. ¿La excepción prevista en el artículo 19, literal b, de la Ley 4ª de 1992 […] resulta aplicable únicamente frente a salario derivado de empleo público o también puede ser considerada frente a honorarios derivados de contratos estatales? 5. ¿Existe diferencia jurídica relevante, para efectos de inhabilidades e incompatibilidades, entre vincularse mediante empleo público y celebrar contrato estatal de prestación de servicios profesionales, apoyo a la gestión, asesoría o consultoría? 6. ¿Existe diferencia jurídica relevante entre participar en concurso de mérito, integrar lista de elegibles, ser nombrado, posesionarse y contratar con el Estado, cuando la persona recibe asignación de retiro policial?</w:t>
      </w:r>
    </w:p>
    <w:p w14:paraId="0A0D83D6" w14:textId="77777777" w:rsidR="00A7088E" w:rsidRPr="00294ADE" w:rsidRDefault="00A7088E" w:rsidP="00A7088E">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7. ¿Una persona retirada de la Policía Nacional con asignación de retiro puede contratar con entidades estatales mediante prestación de servicios profesionales, apoyo a la gestión, asesoría o consultoría, siempre que cumpla los requisitos del objeto contractual y no esté incursa en una causal específica de inhabilidad o incompatibilidad? 8. ¿La contratación como persona natural, persona natural comerciante o mediante una persona jurídica propia modifica el análisis de inhabilidades e incompatibilidades cuando el beneficiario real, socio, administrador o representante legal recibe asignación de retiro policial? 9. ¿Una persona retirada de la Policía Nacional con asignación de retiro debe declarar alguna situación especial en los formatos de inhabilidades, incompatibilidades y conflictos de interés por el solo hecho de recibir dicha asignación?</w:t>
      </w:r>
    </w:p>
    <w:p w14:paraId="4387595F" w14:textId="77777777" w:rsidR="00A7088E" w:rsidRPr="00294ADE" w:rsidRDefault="00A7088E" w:rsidP="00A7088E">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 xml:space="preserve">10. En caso de considerar que sí existe una restricción para contratar, ¿cuál es la norma exacta que la establece, cuál es su alcance, </w:t>
      </w:r>
      <w:proofErr w:type="gramStart"/>
      <w:r w:rsidRPr="005648EC">
        <w:rPr>
          <w:rFonts w:ascii="Verdana" w:hAnsi="Verdana" w:cs="Arial"/>
          <w:sz w:val="21"/>
          <w:szCs w:val="21"/>
          <w:lang w:val="es-ES" w:eastAsia="es-ES"/>
        </w:rPr>
        <w:t xml:space="preserve">cuál es </w:t>
      </w:r>
      <w:r w:rsidRPr="005648EC">
        <w:rPr>
          <w:rFonts w:ascii="Verdana" w:hAnsi="Verdana" w:cs="Arial"/>
          <w:sz w:val="21"/>
          <w:szCs w:val="21"/>
          <w:lang w:val="es-ES" w:eastAsia="es-ES"/>
        </w:rPr>
        <w:lastRenderedPageBreak/>
        <w:t>su duración y bajo qué condiciones resulta aplicable?</w:t>
      </w:r>
      <w:proofErr w:type="gramEnd"/>
      <w:r w:rsidRPr="005648EC">
        <w:rPr>
          <w:rFonts w:ascii="Verdana" w:hAnsi="Verdana" w:cs="Arial"/>
          <w:sz w:val="21"/>
          <w:szCs w:val="21"/>
          <w:lang w:val="es-ES" w:eastAsia="es-ES"/>
        </w:rPr>
        <w:t xml:space="preserve"> 11. En caso de considerar que no existe una prohibición general por la sola condición de retirado con asignación de retiro, ¿qué verificaciones debe realizar la entidad contratante antes de suscribir el contrato estatal? 12. ¿Qué documentos debería aportar o conservar el interesado para demostrar que no se encuentra incurso en causal de inhabilidad, incompatibilidad, prohibición o conflicto de interés relacionada con su condición de retirado de la Policía Nacional con asignación de retiro?</w:t>
      </w:r>
    </w:p>
    <w:p w14:paraId="3A7C66EE" w14:textId="77777777" w:rsidR="00A7088E" w:rsidRPr="00294ADE" w:rsidRDefault="00A7088E" w:rsidP="00A7088E">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13. ¿La celebración de contratos estatales exige suspender, informar o reportar la asignación de retiro ante la Caja de Sueldos de Retiro de la Policía Nacional u otra entidad […]? 14. ¿Colombia Compra Eficiente cuenta con conceptos, guías, circulares, lineamientos o criterios sobre contratación estatal de personas retiradas de la Fuerza Pública que perciben asignación de retiro? 15. En caso de que alguno de los puntos consultados no corresponda a la competencia de Colombia Compra Eficiente, ¿puede remitirse la petición a la autoridad competente […]?”.</w:t>
      </w:r>
    </w:p>
    <w:p w14:paraId="518594FF" w14:textId="77777777" w:rsidR="00A7088E" w:rsidRPr="009037F6" w:rsidRDefault="00A7088E" w:rsidP="00A7088E">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r>
        <w:rPr>
          <w:rFonts w:ascii="Verdana" w:eastAsia="Calibri" w:hAnsi="Verdana" w:cs="Times New Roman"/>
          <w:lang w:val="es-ES"/>
        </w:rPr>
        <w:t>.</w:t>
      </w:r>
    </w:p>
    <w:p w14:paraId="0CB1E0FE" w14:textId="77777777" w:rsidR="00A7088E" w:rsidRPr="009037F6" w:rsidRDefault="00A7088E" w:rsidP="00A7088E">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w:t>
      </w:r>
    </w:p>
    <w:p w14:paraId="1F112866" w14:textId="77777777" w:rsidR="00A7088E" w:rsidRPr="009037F6" w:rsidRDefault="00A7088E" w:rsidP="00A7088E">
      <w:pPr>
        <w:spacing w:after="0" w:line="276" w:lineRule="auto"/>
        <w:rPr>
          <w:rFonts w:ascii="Verdana" w:eastAsia="Calibri" w:hAnsi="Verdana" w:cs="Times New Roman"/>
          <w:lang w:val="es-ES"/>
        </w:rPr>
      </w:pPr>
    </w:p>
    <w:p w14:paraId="70478667" w14:textId="77777777" w:rsidR="00A7088E" w:rsidRPr="009037F6" w:rsidRDefault="00A7088E" w:rsidP="00A7088E">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Problemas planteados:</w:t>
      </w:r>
    </w:p>
    <w:p w14:paraId="02FC03D9" w14:textId="77777777" w:rsidR="00A7088E" w:rsidRPr="009037F6" w:rsidRDefault="00A7088E" w:rsidP="00A7088E">
      <w:pPr>
        <w:spacing w:after="0" w:line="276" w:lineRule="auto"/>
        <w:rPr>
          <w:rFonts w:ascii="Verdana" w:eastAsia="Calibri" w:hAnsi="Verdana" w:cs="Times New Roman"/>
        </w:rPr>
      </w:pPr>
    </w:p>
    <w:p w14:paraId="192C5B00" w14:textId="77777777" w:rsidR="00A7088E" w:rsidRPr="00D1210B" w:rsidRDefault="00A7088E" w:rsidP="00A7088E">
      <w:pPr>
        <w:spacing w:after="0" w:line="276" w:lineRule="auto"/>
        <w:jc w:val="both"/>
        <w:rPr>
          <w:rFonts w:ascii="Verdana" w:eastAsia="Calibri" w:hAnsi="Verdana" w:cs="Times New Roman"/>
        </w:rPr>
      </w:pPr>
      <w:r w:rsidRPr="009037F6">
        <w:rPr>
          <w:rFonts w:ascii="Verdana" w:eastAsia="Calibri" w:hAnsi="Verdana" w:cs="Times New Roman"/>
        </w:rPr>
        <w:lastRenderedPageBreak/>
        <w:t>De acuerdo con el contenido de su solicitud, y dentro de los límites de competencia antes señalados, los quince interrogantes formulados se sintetizan en los siguientes dos problemas jurídicos, que la Agencia procede a resolver: i) ¿La condición de persona retirada de la Fuerza Pública beneficiaria de asignación de retiro constituye</w:t>
      </w:r>
      <w:r>
        <w:rPr>
          <w:rFonts w:ascii="Verdana" w:eastAsia="Calibri" w:hAnsi="Verdana" w:cs="Times New Roman"/>
        </w:rPr>
        <w:t xml:space="preserve"> </w:t>
      </w:r>
      <w:r w:rsidRPr="009037F6">
        <w:rPr>
          <w:rFonts w:ascii="Verdana" w:eastAsia="Calibri" w:hAnsi="Verdana" w:cs="Times New Roman"/>
        </w:rPr>
        <w:t xml:space="preserve">causal de inhabilidad, incompatibilidad, prohibición o conflicto de interés para participar en procesos de selección y para celebrar contratos con entidades estatales?, y </w:t>
      </w:r>
      <w:proofErr w:type="spellStart"/>
      <w:r w:rsidRPr="009037F6">
        <w:rPr>
          <w:rFonts w:ascii="Verdana" w:eastAsia="Calibri" w:hAnsi="Verdana" w:cs="Times New Roman"/>
        </w:rPr>
        <w:t>ii</w:t>
      </w:r>
      <w:proofErr w:type="spellEnd"/>
      <w:r w:rsidRPr="009037F6">
        <w:rPr>
          <w:rFonts w:ascii="Verdana" w:eastAsia="Calibri" w:hAnsi="Verdana" w:cs="Times New Roman"/>
        </w:rPr>
        <w:t>) ¿Qué verificaciones corresponde adelantar a la entidad estatal, en materia de inhabilidades, incompatibilidades y conflicto de intereses, antes de celebrar el contrato?</w:t>
      </w:r>
    </w:p>
    <w:p w14:paraId="55ABC733" w14:textId="77777777" w:rsidR="00A7088E" w:rsidRPr="00E27EDD" w:rsidRDefault="00A7088E" w:rsidP="00A7088E">
      <w:pPr>
        <w:spacing w:after="0" w:line="276" w:lineRule="auto"/>
        <w:jc w:val="both"/>
        <w:rPr>
          <w:rFonts w:ascii="Verdana" w:eastAsia="Calibri" w:hAnsi="Verdana" w:cs="Times New Roman"/>
          <w:i/>
          <w:iCs/>
        </w:rPr>
      </w:pPr>
    </w:p>
    <w:p w14:paraId="3A05C2D9" w14:textId="77777777" w:rsidR="00A7088E" w:rsidRPr="009037F6" w:rsidRDefault="00A7088E" w:rsidP="00A7088E">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Respuestas:</w:t>
      </w:r>
    </w:p>
    <w:p w14:paraId="0A10D813" w14:textId="77777777" w:rsidR="00A7088E" w:rsidRPr="009037F6" w:rsidRDefault="00A7088E" w:rsidP="00A7088E">
      <w:pPr>
        <w:spacing w:after="0" w:line="276" w:lineRule="auto"/>
        <w:rPr>
          <w:rFonts w:ascii="Verdana" w:eastAsia="Calibri" w:hAnsi="Verdana" w:cs="Times New Roman"/>
          <w:b/>
          <w:bCs/>
          <w:lang w:val="es-ES"/>
        </w:rPr>
      </w:pPr>
    </w:p>
    <w:tbl>
      <w:tblPr>
        <w:tblStyle w:val="Tablaconcuadrcula11"/>
        <w:tblW w:w="90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067"/>
      </w:tblGrid>
      <w:tr w:rsidR="00A7088E" w:rsidRPr="009037F6" w14:paraId="2AF0A9A0" w14:textId="77777777" w:rsidTr="00392AF5">
        <w:trPr>
          <w:trHeight w:val="345"/>
          <w:jc w:val="center"/>
        </w:trPr>
        <w:tc>
          <w:tcPr>
            <w:tcW w:w="9067" w:type="dxa"/>
            <w:tcBorders>
              <w:bottom w:val="single" w:sz="4" w:space="0" w:color="auto"/>
            </w:tcBorders>
          </w:tcPr>
          <w:p w14:paraId="433E1131" w14:textId="77777777" w:rsidR="00A7088E" w:rsidRDefault="00A7088E" w:rsidP="00392AF5">
            <w:pPr>
              <w:spacing w:line="276" w:lineRule="auto"/>
              <w:jc w:val="both"/>
              <w:rPr>
                <w:rFonts w:ascii="Verdana" w:hAnsi="Verdana" w:cs="Arial"/>
                <w:bCs/>
                <w:szCs w:val="24"/>
                <w:lang w:val="es-ES_tradnl" w:eastAsia="es-ES_tradnl"/>
              </w:rPr>
            </w:pPr>
            <w:r w:rsidRPr="004F3256">
              <w:rPr>
                <w:rFonts w:ascii="Verdana" w:eastAsia="Times New Roman" w:hAnsi="Verdana" w:cs="Arial"/>
                <w:color w:val="000000" w:themeColor="text1"/>
                <w:lang w:val="es-ES" w:eastAsia="es-ES"/>
              </w:rPr>
              <w:t xml:space="preserve">i) </w:t>
            </w:r>
            <w:r>
              <w:rPr>
                <w:rFonts w:ascii="Verdana" w:hAnsi="Verdana" w:cs="Arial"/>
                <w:bCs/>
                <w:szCs w:val="24"/>
                <w:lang w:val="es-ES_tradnl" w:eastAsia="es-ES_tradnl"/>
              </w:rPr>
              <w:t>En primer lugar, es necesario advertir que varios de los interrogantes formulados por el peticionario no versan sobre la aplicación de normas de compras y contratación pública, sino sobre el régimen del empleo público. Sobre tales puntos esta Subdirección se abstiene de pronunciarse.</w:t>
            </w:r>
          </w:p>
          <w:p w14:paraId="3F2658CC" w14:textId="77777777" w:rsidR="00A7088E" w:rsidRPr="00515B28" w:rsidRDefault="00A7088E" w:rsidP="00392AF5">
            <w:pPr>
              <w:spacing w:line="276" w:lineRule="auto"/>
              <w:jc w:val="both"/>
              <w:rPr>
                <w:rFonts w:ascii="Verdana" w:hAnsi="Verdana" w:cs="Arial"/>
                <w:bCs/>
                <w:szCs w:val="24"/>
                <w:lang w:val="es-ES_tradnl" w:eastAsia="es-ES_tradnl"/>
              </w:rPr>
            </w:pPr>
          </w:p>
          <w:p w14:paraId="3D295556" w14:textId="77777777" w:rsidR="00A7088E" w:rsidRPr="004F3256" w:rsidRDefault="00A7088E" w:rsidP="00392AF5">
            <w:pPr>
              <w:spacing w:after="120" w:line="276" w:lineRule="auto"/>
              <w:ind w:firstLine="596"/>
              <w:jc w:val="both"/>
              <w:rPr>
                <w:rFonts w:ascii="Verdana" w:hAnsi="Verdana" w:cs="Arial"/>
                <w:lang w:val="es-ES" w:eastAsia="es-ES"/>
              </w:rPr>
            </w:pPr>
            <w:r>
              <w:rPr>
                <w:rFonts w:ascii="Verdana" w:eastAsia="Times New Roman" w:hAnsi="Verdana" w:cs="Arial"/>
                <w:color w:val="000000" w:themeColor="text1"/>
                <w:lang w:val="es-ES" w:eastAsia="es-ES"/>
              </w:rPr>
              <w:t>Dicho lo anterior,  y r</w:t>
            </w:r>
            <w:r w:rsidRPr="004F3256">
              <w:rPr>
                <w:rFonts w:ascii="Verdana" w:eastAsia="Times New Roman" w:hAnsi="Verdana" w:cs="Arial"/>
                <w:color w:val="000000" w:themeColor="text1"/>
                <w:lang w:val="es-ES" w:eastAsia="es-ES"/>
              </w:rPr>
              <w:t>evisado el catálogo de restricciones a la capacidad contractual contenido en la Constitución Política, en los artículos 8 y 9 de la Ley 80 de 1993 y en las normas que los han adicionado o modificado –entre ellas el artículo 18 de la Ley 1150 de 2007, los artículos 1, 2, 3, 4, 5 y 90 de la Ley 1474 de 2011, el artículo 3</w:t>
            </w:r>
            <w:r>
              <w:rPr>
                <w:rFonts w:ascii="Verdana" w:eastAsia="Times New Roman" w:hAnsi="Verdana" w:cs="Arial"/>
                <w:color w:val="000000" w:themeColor="text1"/>
                <w:lang w:val="es-ES" w:eastAsia="es-ES"/>
              </w:rPr>
              <w:t>3</w:t>
            </w:r>
            <w:r w:rsidRPr="004F3256">
              <w:rPr>
                <w:rFonts w:ascii="Verdana" w:eastAsia="Times New Roman" w:hAnsi="Verdana" w:cs="Arial"/>
                <w:color w:val="000000" w:themeColor="text1"/>
                <w:lang w:val="es-ES" w:eastAsia="es-ES"/>
              </w:rPr>
              <w:t xml:space="preserve"> de la Ley 1778 de 2016, la Ley 2014 de 2019 y la Ley 2195 de 2022–, esta Subdirección no identifica disposición alguna que consagre una inhabilidad, incompatibilidad o prohibición para contratar con el Estado que se estructure sobre la condición de persona retirada de la Fuerza Pública ni sobre la percepción de asignación de retiro. Por consiguiente, esa sola condición no restringe la capacidad para participar en procesos de selección ni para celebrar contratos estatales, cualquiera que sea la modalidad de selección –licitación pública, selección abreviada, concurso de méritos, mínima cuantía o contratación directa– y cualquiera que sea la tipología contractual –prestación de servicios profesionales y de apoyo a la gestión, consultoría, asesoría, obra, suministro u otra–.</w:t>
            </w:r>
          </w:p>
          <w:p w14:paraId="75BBAC2A" w14:textId="77777777" w:rsidR="00A7088E" w:rsidRPr="004F3256" w:rsidRDefault="00A7088E" w:rsidP="00392AF5">
            <w:pPr>
              <w:spacing w:after="120" w:line="276" w:lineRule="auto"/>
              <w:ind w:firstLine="596"/>
              <w:jc w:val="both"/>
              <w:rPr>
                <w:rFonts w:ascii="Verdana" w:hAnsi="Verdana" w:cs="Arial"/>
                <w:lang w:val="es-ES" w:eastAsia="es-ES"/>
              </w:rPr>
            </w:pPr>
            <w:r w:rsidRPr="004F3256">
              <w:rPr>
                <w:rFonts w:ascii="Verdana" w:eastAsia="Times New Roman" w:hAnsi="Verdana" w:cs="Arial"/>
                <w:color w:val="000000" w:themeColor="text1"/>
                <w:lang w:val="es-ES" w:eastAsia="es-ES"/>
              </w:rPr>
              <w:t xml:space="preserve">Esta conclusión es fruto del principio de legalidad que gobierna la materia. Como las inhabilidades e incompatibilidades son límites especiales a la capacidad, solo pueden tipificarse en la Constitución o en la ley y su </w:t>
            </w:r>
            <w:r w:rsidRPr="004F3256">
              <w:rPr>
                <w:rFonts w:ascii="Verdana" w:eastAsia="Times New Roman" w:hAnsi="Verdana" w:cs="Arial"/>
                <w:color w:val="000000" w:themeColor="text1"/>
                <w:lang w:val="es-ES" w:eastAsia="es-ES"/>
              </w:rPr>
              <w:lastRenderedPageBreak/>
              <w:t>interpretación debe ser restrictiva, sin que sea admisible una lectura amplia, extensiva, analógica o finalista. De ahí que, ante la ausencia de una norma que consagre la restricción, no sea posible construirla por vía interpretativa: si el constituyente o el legislador no han establecido la distinción, no puede hacerla el intérprete.</w:t>
            </w:r>
          </w:p>
          <w:p w14:paraId="3BC8C4FD" w14:textId="77777777" w:rsidR="00A7088E" w:rsidRPr="004F3256" w:rsidRDefault="00A7088E" w:rsidP="00392AF5">
            <w:pPr>
              <w:spacing w:after="120" w:line="276" w:lineRule="auto"/>
              <w:ind w:firstLine="596"/>
              <w:jc w:val="both"/>
              <w:rPr>
                <w:rFonts w:ascii="Verdana" w:hAnsi="Verdana" w:cs="Arial"/>
                <w:lang w:val="es-ES" w:eastAsia="es-ES"/>
              </w:rPr>
            </w:pPr>
            <w:r w:rsidRPr="004F3256">
              <w:rPr>
                <w:rFonts w:ascii="Verdana" w:eastAsia="Times New Roman" w:hAnsi="Verdana" w:cs="Arial"/>
                <w:color w:val="000000" w:themeColor="text1"/>
                <w:lang w:val="es-ES" w:eastAsia="es-ES"/>
              </w:rPr>
              <w:t>En cuanto a la eventual configuración de una doble asignación prohibida, debe precisarse que los contratistas de prestación de servicios se encuentran por fuera del ámbito de aplicación del artículo 128 de la Constitución Política, al no ser titulares de un empleo público, conforme lo ha sostenido de manera reiterada esta Subdirección. A ello se suma que el literal b) del artículo 19 de la Ley 4 de 1992 exceptúa expresamente “[l]</w:t>
            </w:r>
            <w:proofErr w:type="gramStart"/>
            <w:r w:rsidRPr="004F3256">
              <w:rPr>
                <w:rFonts w:ascii="Verdana" w:eastAsia="Times New Roman" w:hAnsi="Verdana" w:cs="Arial"/>
                <w:color w:val="000000" w:themeColor="text1"/>
                <w:lang w:val="es-ES" w:eastAsia="es-ES"/>
              </w:rPr>
              <w:t>as percibidas</w:t>
            </w:r>
            <w:proofErr w:type="gramEnd"/>
            <w:r w:rsidRPr="004F3256">
              <w:rPr>
                <w:rFonts w:ascii="Verdana" w:eastAsia="Times New Roman" w:hAnsi="Verdana" w:cs="Arial"/>
                <w:color w:val="000000" w:themeColor="text1"/>
                <w:lang w:val="es-ES" w:eastAsia="es-ES"/>
              </w:rPr>
              <w:t xml:space="preserve"> por el personal con asignación de retiro o pensión militar o policial de la Fuerza Pública”, de suerte que la disposición invocada opera en este supuesto como norma permisiva y no como fuente de restricción. Lo anterior se afirma únicamente en cuanto proyecta efectos sobre la capacidad contractual</w:t>
            </w:r>
            <w:r>
              <w:rPr>
                <w:rFonts w:ascii="Verdana" w:eastAsia="Times New Roman" w:hAnsi="Verdana" w:cs="Arial"/>
                <w:color w:val="000000" w:themeColor="text1"/>
                <w:lang w:val="es-ES" w:eastAsia="es-ES"/>
              </w:rPr>
              <w:t xml:space="preserve"> con el Estado</w:t>
            </w:r>
            <w:r w:rsidRPr="004F3256">
              <w:rPr>
                <w:rFonts w:ascii="Verdana" w:eastAsia="Times New Roman" w:hAnsi="Verdana" w:cs="Arial"/>
                <w:color w:val="000000" w:themeColor="text1"/>
                <w:lang w:val="es-ES" w:eastAsia="es-ES"/>
              </w:rPr>
              <w:t>, sin que corresponda a esta Agencia fijar el alcance de dichas disposiciones en el ámbito del empleo público y del régimen salarial y prestacional.</w:t>
            </w:r>
          </w:p>
          <w:p w14:paraId="2039EFCF" w14:textId="77777777" w:rsidR="00A7088E" w:rsidRPr="004F3256" w:rsidRDefault="00A7088E" w:rsidP="00392AF5">
            <w:pPr>
              <w:spacing w:after="120" w:line="276" w:lineRule="auto"/>
              <w:ind w:firstLine="596"/>
              <w:jc w:val="both"/>
              <w:rPr>
                <w:rFonts w:ascii="Verdana" w:hAnsi="Verdana" w:cs="Arial"/>
                <w:lang w:val="es-ES" w:eastAsia="es-ES"/>
              </w:rPr>
            </w:pPr>
            <w:r w:rsidRPr="004F3256">
              <w:rPr>
                <w:rFonts w:ascii="Verdana" w:eastAsia="Times New Roman" w:hAnsi="Verdana" w:cs="Arial"/>
                <w:color w:val="000000" w:themeColor="text1"/>
                <w:lang w:val="es-ES" w:eastAsia="es-ES"/>
              </w:rPr>
              <w:t>Tampoco la sola percepción de la asignación de retiro configura un conflicto de interés, comoquiera que esta institución no está definida con carácter general en el ordenamiento ni de forma precisa en las normas que regulan la contratación estatal, y solo pueden aplicarse los conflictos de interés tipificados en la Constitución, en la ley o en el pliego de condiciones, sin que la entidad pueda crear o aplicar causales que no incluyó en este último. Por la misma razón, la condición de retirado con asignación de retiro no constituye, por sí sola, una “situación especial” que deba declararse en los formatos de inhabilidades, incompatibilidades y conflictos de interés, sin perjuicio de que el interesado deba diligenciarlos con veracidad respecto de las causales que sí se encuentren tipificadas y del deber de suministrar la información que la entidad requiera conforme a las reglas del proceso.</w:t>
            </w:r>
          </w:p>
          <w:p w14:paraId="69B1A021" w14:textId="77777777" w:rsidR="00A7088E" w:rsidRPr="004F3256" w:rsidRDefault="00A7088E" w:rsidP="00392AF5">
            <w:pPr>
              <w:spacing w:after="120" w:line="276" w:lineRule="auto"/>
              <w:ind w:firstLine="596"/>
              <w:jc w:val="both"/>
              <w:rPr>
                <w:rFonts w:ascii="Verdana" w:hAnsi="Verdana" w:cs="Arial"/>
                <w:lang w:val="es-ES" w:eastAsia="es-ES"/>
              </w:rPr>
            </w:pPr>
            <w:r w:rsidRPr="004F3256">
              <w:rPr>
                <w:rFonts w:ascii="Verdana" w:eastAsia="Times New Roman" w:hAnsi="Verdana" w:cs="Arial"/>
                <w:color w:val="000000" w:themeColor="text1"/>
                <w:lang w:val="es-ES" w:eastAsia="es-ES"/>
              </w:rPr>
              <w:t>Cuestión distinta</w:t>
            </w:r>
            <w:r>
              <w:rPr>
                <w:rFonts w:ascii="Verdana" w:eastAsia="Times New Roman" w:hAnsi="Verdana" w:cs="Arial"/>
                <w:color w:val="000000" w:themeColor="text1"/>
                <w:lang w:val="es-ES" w:eastAsia="es-ES"/>
              </w:rPr>
              <w:t xml:space="preserve">, </w:t>
            </w:r>
            <w:r w:rsidRPr="004F3256">
              <w:rPr>
                <w:rFonts w:ascii="Verdana" w:eastAsia="Times New Roman" w:hAnsi="Verdana" w:cs="Arial"/>
                <w:color w:val="000000" w:themeColor="text1"/>
                <w:lang w:val="es-ES" w:eastAsia="es-ES"/>
              </w:rPr>
              <w:t>y que sí debe verificarse</w:t>
            </w:r>
            <w:r>
              <w:rPr>
                <w:rFonts w:ascii="Verdana" w:eastAsia="Times New Roman" w:hAnsi="Verdana" w:cs="Arial"/>
                <w:color w:val="000000" w:themeColor="text1"/>
                <w:lang w:val="es-ES" w:eastAsia="es-ES"/>
              </w:rPr>
              <w:t xml:space="preserve">, </w:t>
            </w:r>
            <w:r w:rsidRPr="004F3256">
              <w:rPr>
                <w:rFonts w:ascii="Verdana" w:eastAsia="Times New Roman" w:hAnsi="Verdana" w:cs="Arial"/>
                <w:color w:val="000000" w:themeColor="text1"/>
                <w:lang w:val="es-ES" w:eastAsia="es-ES"/>
              </w:rPr>
              <w:t>es que quien estuvo vinculado al servicio público pueda quedar cobijado por las causales que atienden al ejercicio previo de determinados cargos</w:t>
            </w:r>
            <w:r>
              <w:rPr>
                <w:rFonts w:ascii="Verdana" w:eastAsia="Times New Roman" w:hAnsi="Verdana" w:cs="Arial"/>
                <w:color w:val="000000" w:themeColor="text1"/>
                <w:lang w:val="es-ES" w:eastAsia="es-ES"/>
              </w:rPr>
              <w:t xml:space="preserve"> de responsabilidad especial</w:t>
            </w:r>
            <w:r w:rsidRPr="004F3256">
              <w:rPr>
                <w:rFonts w:ascii="Verdana" w:eastAsia="Times New Roman" w:hAnsi="Verdana" w:cs="Arial"/>
                <w:color w:val="000000" w:themeColor="text1"/>
                <w:lang w:val="es-ES" w:eastAsia="es-ES"/>
              </w:rPr>
              <w:t xml:space="preserve">, y no a la percepción de una prestación periódica. Es el caso del literal a) del numeral 2 del artículo 8 de la Ley 80 de 1993, que impide contratar con la entidad </w:t>
            </w:r>
            <w:r w:rsidRPr="004F3256">
              <w:rPr>
                <w:rFonts w:ascii="Verdana" w:eastAsia="Times New Roman" w:hAnsi="Verdana" w:cs="Arial"/>
                <w:color w:val="000000" w:themeColor="text1"/>
                <w:lang w:val="es-ES" w:eastAsia="es-ES"/>
              </w:rPr>
              <w:lastRenderedPageBreak/>
              <w:t>respectiva a quienes fueron servidores públicos de la entidad contratante en los niveles directivo, asesor o ejecutivo, durante el año siguiente al retiro; y del literal f) del mismo numeral –adicionado por el artículo 4 de la Ley 1474 de 2011–, que impide contratar, directa o indirectamente, a quienes hayan ejercido cargos del nivel directivo en entidades del Estado, y a las sociedades en las cuales estos hagan parte o estén vinculados a cualquier título, durante los dos años siguientes al retiro, cuando el objeto que desarrollen tenga relación con el sector al cual prestaron sus servicios. Su configuración depende del nivel del cargo desempeñado, de la entidad o del sector y del plazo transcurrido desde el retiro, y debe examinarse caso por caso.</w:t>
            </w:r>
          </w:p>
          <w:p w14:paraId="5E58FA36" w14:textId="77777777" w:rsidR="00A7088E" w:rsidRPr="004F3256" w:rsidRDefault="00A7088E" w:rsidP="00392AF5">
            <w:pPr>
              <w:spacing w:after="120" w:line="276" w:lineRule="auto"/>
              <w:jc w:val="both"/>
              <w:rPr>
                <w:rFonts w:ascii="Verdana" w:hAnsi="Verdana" w:cs="Arial"/>
                <w:lang w:val="es-ES" w:eastAsia="es-ES"/>
              </w:rPr>
            </w:pPr>
            <w:proofErr w:type="spellStart"/>
            <w:r w:rsidRPr="004F3256">
              <w:rPr>
                <w:rFonts w:ascii="Verdana" w:eastAsia="Times New Roman" w:hAnsi="Verdana" w:cs="Arial"/>
                <w:color w:val="000000" w:themeColor="text1"/>
                <w:lang w:val="es-ES" w:eastAsia="es-ES"/>
              </w:rPr>
              <w:t>ii</w:t>
            </w:r>
            <w:proofErr w:type="spellEnd"/>
            <w:r w:rsidRPr="004F3256">
              <w:rPr>
                <w:rFonts w:ascii="Verdana" w:eastAsia="Times New Roman" w:hAnsi="Verdana" w:cs="Arial"/>
                <w:color w:val="000000" w:themeColor="text1"/>
                <w:lang w:val="es-ES" w:eastAsia="es-ES"/>
              </w:rPr>
              <w:t xml:space="preserve">) Corresponde a la entidad estatal, en cada procedimiento y de manera previa y concreta, verificar que el interesado no se encuentre incurso en causal de inhabilidad o incompatibilidad y que no concurra un conflicto de interés. Esa verificación se soporta en los estudios y documentos previos, sus reglas se fijan en el pliego de condiciones o documento equivalente y comprende, entre otras actuaciones, el examen individualizado del interesado frente a cada causal legalmente tipificada, la exigencia de la manifestación o declaración correspondiente, la consulta de los antecedentes y registros públicos pertinentes y, cuando resulte procedente, la verificación en el Registro Único de Proponentes. La verificación es además actual y se extiende a la etapa de ejecución, </w:t>
            </w:r>
            <w:proofErr w:type="gramStart"/>
            <w:r w:rsidRPr="004F3256">
              <w:rPr>
                <w:rFonts w:ascii="Verdana" w:eastAsia="Times New Roman" w:hAnsi="Verdana" w:cs="Arial"/>
                <w:color w:val="000000" w:themeColor="text1"/>
                <w:lang w:val="es-ES" w:eastAsia="es-ES"/>
              </w:rPr>
              <w:t>en razón del</w:t>
            </w:r>
            <w:proofErr w:type="gramEnd"/>
            <w:r w:rsidRPr="004F3256">
              <w:rPr>
                <w:rFonts w:ascii="Verdana" w:eastAsia="Times New Roman" w:hAnsi="Verdana" w:cs="Arial"/>
                <w:color w:val="000000" w:themeColor="text1"/>
                <w:lang w:val="es-ES" w:eastAsia="es-ES"/>
              </w:rPr>
              <w:t xml:space="preserve"> régimen de inhabilidades e incompatibilidades sobrevinientes del artículo 9 de la Ley 80 de 1993. En todo caso, la Agencia no valida las actuaciones de las entidades ni certifica de manera anticipada la ausencia de restricciones respecto de una persona determinada.</w:t>
            </w:r>
          </w:p>
          <w:p w14:paraId="1683DCDC" w14:textId="77777777" w:rsidR="00A7088E" w:rsidRDefault="00A7088E" w:rsidP="00392AF5">
            <w:pPr>
              <w:spacing w:after="120" w:line="276" w:lineRule="auto"/>
              <w:ind w:firstLine="596"/>
              <w:jc w:val="both"/>
              <w:rPr>
                <w:rFonts w:ascii="Verdana" w:eastAsia="Times New Roman" w:hAnsi="Verdana" w:cs="Arial"/>
                <w:color w:val="000000" w:themeColor="text1"/>
                <w:lang w:val="es-ES" w:eastAsia="es-ES"/>
              </w:rPr>
            </w:pPr>
            <w:r>
              <w:rPr>
                <w:rFonts w:ascii="Verdana" w:eastAsia="Times New Roman" w:hAnsi="Verdana" w:cs="Arial"/>
                <w:color w:val="000000" w:themeColor="text1"/>
                <w:lang w:val="es-ES" w:eastAsia="es-ES"/>
              </w:rPr>
              <w:t xml:space="preserve">En </w:t>
            </w:r>
            <w:r w:rsidRPr="004F3256">
              <w:rPr>
                <w:rFonts w:ascii="Verdana" w:eastAsia="Times New Roman" w:hAnsi="Verdana" w:cs="Arial"/>
                <w:color w:val="000000" w:themeColor="text1"/>
                <w:lang w:val="es-ES" w:eastAsia="es-ES"/>
              </w:rPr>
              <w:t>cuanto al interrogante sobre la existencia de instrumentos específicos, se informa que por el momento esta Agencia no cuenta con guías, circulares, lineamientos ni criterios especialmente referidos a la contratación estatal de personas retiradas de la Fuerza Pública que perciben asignación de retiro. Lo existente en la materia es la doctrina general de esta Subdirección sobre el régimen de inhabilidades e incompatibilidades y sobre conflicto de intereses, que se relaciona al final de este documento y puede consultarse en el Sistema de Relatoría de la Agencia.</w:t>
            </w:r>
          </w:p>
          <w:p w14:paraId="5BBCA555" w14:textId="77777777" w:rsidR="00A7088E" w:rsidRPr="00645EF9" w:rsidRDefault="00A7088E" w:rsidP="00392AF5">
            <w:pPr>
              <w:spacing w:after="120" w:line="276" w:lineRule="auto"/>
              <w:ind w:firstLine="596"/>
              <w:jc w:val="both"/>
              <w:rPr>
                <w:rFonts w:ascii="Verdana" w:eastAsia="Times New Roman" w:hAnsi="Verdana" w:cs="Arial"/>
                <w:color w:val="000000" w:themeColor="text1"/>
                <w:lang w:val="es-ES" w:eastAsia="es-ES"/>
              </w:rPr>
            </w:pPr>
            <w:r>
              <w:rPr>
                <w:rFonts w:ascii="Verdana" w:hAnsi="Verdana" w:cs="Arial"/>
                <w:bCs/>
                <w:szCs w:val="24"/>
                <w:lang w:val="es-ES_tradnl" w:eastAsia="es-ES_tradnl"/>
              </w:rPr>
              <w:t xml:space="preserve">Finalmente, nada de lo expuesto en este concepto debe entenderse como una manifestación acerca de si una persona retirada de la Fuerza Pública puede </w:t>
            </w:r>
            <w:r>
              <w:rPr>
                <w:rFonts w:ascii="Verdana" w:hAnsi="Verdana" w:cs="Arial"/>
                <w:bCs/>
                <w:szCs w:val="24"/>
                <w:lang w:val="es-ES_tradnl" w:eastAsia="es-ES_tradnl"/>
              </w:rPr>
              <w:lastRenderedPageBreak/>
              <w:t xml:space="preserve">o no acceder a empleos públicos, proveer cargos de carrera o percibir simultáneamente asignación de retiro y salario, pues se trata de cuestiones ajenas al ámbito de las compras y la contratación pública. La </w:t>
            </w:r>
            <w:proofErr w:type="gramStart"/>
            <w:r>
              <w:rPr>
                <w:rFonts w:ascii="Verdana" w:hAnsi="Verdana" w:cs="Arial"/>
                <w:bCs/>
                <w:szCs w:val="24"/>
                <w:lang w:val="es-ES_tradnl" w:eastAsia="es-ES_tradnl"/>
              </w:rPr>
              <w:t>respuesta anteriores</w:t>
            </w:r>
            <w:proofErr w:type="gramEnd"/>
            <w:r>
              <w:rPr>
                <w:rFonts w:ascii="Verdana" w:hAnsi="Verdana" w:cs="Arial"/>
                <w:bCs/>
                <w:szCs w:val="24"/>
                <w:lang w:val="es-ES_tradnl" w:eastAsia="es-ES_tradnl"/>
              </w:rPr>
              <w:t xml:space="preserve"> se contraen, exclusivamente, a los efectos que la situación descrita pueda tener sobre la capacidad para participar en procesos de selección y para celebrar contratos estatales, y sobre los deberes de verificación que en esa materia asisten a las entidades estatales.</w:t>
            </w:r>
          </w:p>
          <w:p w14:paraId="6F1F9DAB" w14:textId="77777777" w:rsidR="00A7088E" w:rsidRPr="004F3256" w:rsidRDefault="00A7088E" w:rsidP="00392AF5">
            <w:pPr>
              <w:spacing w:after="120" w:line="276" w:lineRule="auto"/>
              <w:jc w:val="both"/>
              <w:rPr>
                <w:rFonts w:ascii="Verdana" w:hAnsi="Verdana" w:cs="Arial"/>
                <w:lang w:val="es-ES" w:eastAsia="es-ES"/>
              </w:rPr>
            </w:pPr>
          </w:p>
        </w:tc>
      </w:tr>
    </w:tbl>
    <w:p w14:paraId="6DA82661" w14:textId="77777777" w:rsidR="00A7088E" w:rsidRPr="00B57A1B" w:rsidRDefault="00A7088E" w:rsidP="00A7088E">
      <w:pPr>
        <w:spacing w:after="0" w:line="276" w:lineRule="auto"/>
        <w:jc w:val="both"/>
        <w:rPr>
          <w:rFonts w:ascii="Verdana" w:eastAsia="Calibri" w:hAnsi="Verdana" w:cs="Arial"/>
          <w:bCs/>
          <w:color w:val="000000" w:themeColor="text1"/>
        </w:rPr>
      </w:pPr>
    </w:p>
    <w:p w14:paraId="66D54D79" w14:textId="77777777" w:rsidR="00A7088E" w:rsidRPr="00B57A1B" w:rsidRDefault="00A7088E" w:rsidP="00A7088E">
      <w:pPr>
        <w:numPr>
          <w:ilvl w:val="0"/>
          <w:numId w:val="16"/>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las respuestas:</w:t>
      </w:r>
    </w:p>
    <w:p w14:paraId="200A0CED" w14:textId="77777777" w:rsidR="00A7088E" w:rsidRPr="003C0ED7" w:rsidRDefault="00A7088E" w:rsidP="00A7088E">
      <w:pPr>
        <w:spacing w:after="0" w:line="276" w:lineRule="auto"/>
        <w:jc w:val="both"/>
        <w:rPr>
          <w:rFonts w:ascii="Verdana" w:eastAsia="Calibri" w:hAnsi="Verdana" w:cs="Arial"/>
          <w:lang w:val="es-ES"/>
        </w:rPr>
      </w:pPr>
    </w:p>
    <w:p w14:paraId="3C9E9E24" w14:textId="77777777" w:rsidR="00A7088E" w:rsidRPr="00EF34DB" w:rsidRDefault="00A7088E" w:rsidP="00A7088E">
      <w:pPr>
        <w:spacing w:after="0" w:line="276" w:lineRule="auto"/>
        <w:jc w:val="both"/>
        <w:rPr>
          <w:rFonts w:ascii="Verdana" w:eastAsia="Calibri" w:hAnsi="Verdana" w:cs="Arial"/>
          <w:lang w:val="es-ES"/>
        </w:rPr>
      </w:pPr>
      <w:r w:rsidRPr="00A0389A">
        <w:rPr>
          <w:rFonts w:ascii="Verdana" w:eastAsia="Calibri" w:hAnsi="Verdana" w:cs="Arial"/>
          <w:lang w:val="es-ES"/>
        </w:rPr>
        <w:t>Lo anterior se sustenta en las siguientes consideraciones:</w:t>
      </w:r>
    </w:p>
    <w:p w14:paraId="2C258DD7" w14:textId="77777777" w:rsidR="00A7088E" w:rsidRDefault="00A7088E" w:rsidP="00A7088E">
      <w:pPr>
        <w:spacing w:after="0" w:line="240" w:lineRule="auto"/>
        <w:jc w:val="both"/>
        <w:rPr>
          <w:rFonts w:ascii="Verdana" w:hAnsi="Verdana" w:cs="Arial"/>
          <w:b/>
          <w:bCs/>
          <w:color w:val="000000"/>
          <w:lang w:val="es-ES"/>
        </w:rPr>
      </w:pPr>
    </w:p>
    <w:p w14:paraId="37BF44E0" w14:textId="77777777" w:rsidR="00A7088E" w:rsidRDefault="00A7088E" w:rsidP="00A7088E">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i) El examen de los problemas jurídicos planteados debe partir de una premisa que suele pasarse por alto cuando se consulta sobre inhabilidades: en el derecho de la contratación pública la regla general es la capacidad, y la restricción es la excepción. El artículo 6 de la Ley 80 de 1993 dispone que </w:t>
      </w:r>
      <w:r w:rsidRPr="00EF34DB">
        <w:rPr>
          <w:rFonts w:ascii="Verdana" w:hAnsi="Verdana" w:cs="Arial"/>
          <w:bCs/>
          <w:i/>
          <w:iCs/>
          <w:szCs w:val="24"/>
          <w:lang w:val="es-ES_tradnl" w:eastAsia="es-ES_tradnl"/>
        </w:rPr>
        <w:t>“[p]</w:t>
      </w:r>
      <w:proofErr w:type="spellStart"/>
      <w:r w:rsidRPr="00EF34DB">
        <w:rPr>
          <w:rFonts w:ascii="Verdana" w:hAnsi="Verdana" w:cs="Arial"/>
          <w:bCs/>
          <w:i/>
          <w:iCs/>
          <w:szCs w:val="24"/>
          <w:lang w:val="es-ES_tradnl" w:eastAsia="es-ES_tradnl"/>
        </w:rPr>
        <w:t>ueden</w:t>
      </w:r>
      <w:proofErr w:type="spellEnd"/>
      <w:r w:rsidRPr="00EF34DB">
        <w:rPr>
          <w:rFonts w:ascii="Verdana" w:hAnsi="Verdana" w:cs="Arial"/>
          <w:bCs/>
          <w:i/>
          <w:iCs/>
          <w:szCs w:val="24"/>
          <w:lang w:val="es-ES_tradnl" w:eastAsia="es-ES_tradnl"/>
        </w:rPr>
        <w:t xml:space="preserve"> celebrar contratos con las entidades estatales las personas consideradas legalmente capaces en las disposiciones vigentes</w:t>
      </w:r>
      <w:r>
        <w:rPr>
          <w:rFonts w:ascii="Verdana" w:hAnsi="Verdana" w:cs="Arial"/>
          <w:bCs/>
          <w:szCs w:val="24"/>
          <w:lang w:val="es-ES_tradnl" w:eastAsia="es-ES_tradnl"/>
        </w:rPr>
        <w:t>”, y añade que también podrán hacerlo los consorcios y uniones temporales, así como las personas jurídicas nacionales y extranjeras en las condiciones que la misma norma prevé. La disposición no construye un elenco de sujetos habilitados: presupone la capacidad y remite, para su determinación, a las reglas generales del derecho privado, en armonía con los artículos 13, 32 y 40 de la Ley 80 de 1993, que someten los contratos estatales a las disposiciones comerciales y civiles pertinentes, salvo en las materias particularmente reguladas en dicho estatuto.</w:t>
      </w:r>
    </w:p>
    <w:p w14:paraId="3FC22210"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15A18DBE"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De este modo, la capacidad constituye un requisito de validez del contrato estatal, tanto en el régimen de las entidades sujetas al Estatuto General de Contratación de la Administración Pública como en el de las entidades exceptuadas de aquel. Dicha capacidad está sujeta al régimen de inhabilidades e incompatibilidades, definidas como un conjunto de normas que imponen restricciones para los sujetos que, eventualmente, pretendan participar en los procedimientos de selección o celebrar contratos con las entidades estatales. La relación entre ambos conceptos es, pues, de regla y excepción: la inhabilidad no </w:t>
      </w:r>
      <w:r>
        <w:rPr>
          <w:rFonts w:ascii="Verdana" w:hAnsi="Verdana" w:cs="Arial"/>
          <w:bCs/>
          <w:szCs w:val="24"/>
          <w:lang w:val="es-ES_tradnl" w:eastAsia="es-ES_tradnl"/>
        </w:rPr>
        <w:lastRenderedPageBreak/>
        <w:t>crea la incapacidad como situación autónoma, sino que sustrae del ámbito de la capacidad general un supuesto concreto, previamente definido por el ordenamiento.</w:t>
      </w:r>
    </w:p>
    <w:p w14:paraId="71C761E6"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0903B762"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Esta arquitectura tiene una consecuencia metodológica de la mayor importancia para resolver la consulta. Cuando se pregunta si determinada condición personal impide contratar con el Estado, el método correcto no consiste en indagar si existe una norma que autorice a esa persona a contratar –pues tal autorización no se requiere–, sino en verificar si existe una norma que expresamente se lo prohíba. Si la respuesta a esta última pregunta es negativa, la conclusión no puede ser la duda ni la restricción prudencial, sino el reconocimiento de la capacidad. Este es, precisamente, el modo de razonar que impone el principio de legalidad en materia de limitaciones a los derechos.</w:t>
      </w:r>
    </w:p>
    <w:p w14:paraId="6E9EE39F"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08F2D5E"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Lo anterior se refuerza al advertir que la capacidad para contratar con el Estado no es un privilegio sino una manifestación de derechos constitucionales. La participación en los procedimientos de selección se conecta con el derecho a la personalidad jurídica –artículo 14 de la Constitución Política–, con el derecho a la igualdad –artículo 13–, con la libertad de escoger profesión u oficio –artículo 26– y con la libertad de empresa –artículo 333–. Toda restricción a la capacidad contractual es, por tanto, una restricción de derechos, y como tal se somete a las exigencias propias de las medidas limitativas: reserva de ley, tipicidad y aplicación estricta.</w:t>
      </w:r>
    </w:p>
    <w:p w14:paraId="6FCC4A7C" w14:textId="77777777" w:rsidR="00A7088E" w:rsidRDefault="00A7088E" w:rsidP="00A7088E">
      <w:pPr>
        <w:spacing w:after="0" w:line="240" w:lineRule="auto"/>
        <w:jc w:val="both"/>
        <w:rPr>
          <w:rFonts w:ascii="Verdana" w:hAnsi="Verdana" w:cs="Arial"/>
          <w:b/>
          <w:bCs/>
          <w:color w:val="000000"/>
          <w:lang w:val="es-ES"/>
        </w:rPr>
      </w:pPr>
    </w:p>
    <w:p w14:paraId="0B526100" w14:textId="77777777" w:rsidR="00A7088E" w:rsidRDefault="00A7088E" w:rsidP="00A7088E">
      <w:pPr>
        <w:spacing w:after="0" w:line="240" w:lineRule="auto"/>
        <w:jc w:val="both"/>
        <w:rPr>
          <w:rFonts w:ascii="Verdana" w:hAnsi="Verdana" w:cs="Arial"/>
          <w:bCs/>
          <w:szCs w:val="24"/>
          <w:lang w:val="es-ES_tradnl" w:eastAsia="es-ES_tradnl"/>
        </w:rPr>
      </w:pPr>
      <w:proofErr w:type="spellStart"/>
      <w:r w:rsidRPr="00EF34DB">
        <w:rPr>
          <w:rFonts w:ascii="Verdana" w:hAnsi="Verdana" w:cs="Arial"/>
          <w:color w:val="000000"/>
          <w:lang w:val="es-ES"/>
        </w:rPr>
        <w:t>ii</w:t>
      </w:r>
      <w:proofErr w:type="spellEnd"/>
      <w:r w:rsidRPr="00EF34DB">
        <w:rPr>
          <w:rFonts w:ascii="Verdana" w:hAnsi="Verdana" w:cs="Arial"/>
          <w:color w:val="000000"/>
          <w:lang w:val="es-ES"/>
        </w:rPr>
        <w:t xml:space="preserve">) </w:t>
      </w:r>
      <w:r>
        <w:rPr>
          <w:rFonts w:ascii="Verdana" w:hAnsi="Verdana" w:cs="Arial"/>
          <w:bCs/>
          <w:szCs w:val="24"/>
          <w:lang w:val="es-ES_tradnl" w:eastAsia="es-ES_tradnl"/>
        </w:rPr>
        <w:t>El régimen de inhabilidades e incompatibilidades en la contratación pública responde al propósito de asegurar que la actividad de adquisición y provisión de bienes y servicios por parte de las entidades estatales se efectúe cumpliendo con los principios de la función administrativa y de la gestión fiscal, especialmente con probidad y transparencia. Por ello, como lo ha destacado la doctrina, las inhabilidades e incompatibilidades se han convertido en herramientas en la lucha contra la corrupción, adoptando paulatinamente un carácter sancionatorio o “</w:t>
      </w:r>
      <w:proofErr w:type="spellStart"/>
      <w:r>
        <w:rPr>
          <w:rFonts w:ascii="Verdana" w:hAnsi="Verdana" w:cs="Arial"/>
          <w:bCs/>
          <w:szCs w:val="24"/>
          <w:lang w:val="es-ES_tradnl" w:eastAsia="es-ES_tradnl"/>
        </w:rPr>
        <w:t>neopunitivo</w:t>
      </w:r>
      <w:proofErr w:type="spellEnd"/>
      <w:r>
        <w:rPr>
          <w:rFonts w:ascii="Verdana" w:hAnsi="Verdana" w:cs="Arial"/>
          <w:bCs/>
          <w:szCs w:val="24"/>
          <w:lang w:val="es-ES_tradnl" w:eastAsia="es-ES_tradnl"/>
        </w:rPr>
        <w:t>”</w:t>
      </w:r>
      <w:r>
        <w:rPr>
          <w:rStyle w:val="Refdenotaalpie"/>
          <w:rFonts w:ascii="Verdana" w:hAnsi="Verdana" w:cs="Arial"/>
          <w:bCs/>
          <w:szCs w:val="24"/>
          <w:lang w:val="es-ES_tradnl" w:eastAsia="es-ES_tradnl"/>
        </w:rPr>
        <w:footnoteReference w:id="1"/>
      </w:r>
      <w:r>
        <w:rPr>
          <w:rFonts w:ascii="Verdana" w:hAnsi="Verdana" w:cs="Arial"/>
          <w:bCs/>
          <w:szCs w:val="24"/>
          <w:lang w:val="es-ES_tradnl" w:eastAsia="es-ES_tradnl"/>
        </w:rPr>
        <w:t xml:space="preserve">. Si bien no todas las causales de inhabilidad y de incompatibilidad son consecuencia de una medida de reproche ni de una sanción previa, es indiscutible que en los años más recientes los </w:t>
      </w:r>
      <w:r>
        <w:rPr>
          <w:rFonts w:ascii="Verdana" w:hAnsi="Verdana" w:cs="Arial"/>
          <w:bCs/>
          <w:szCs w:val="24"/>
          <w:lang w:val="es-ES_tradnl" w:eastAsia="es-ES_tradnl"/>
        </w:rPr>
        <w:lastRenderedPageBreak/>
        <w:t>lamentables hechos de corrupción han generado, como respuesta del legislador, un incremento de las restricciones a la capacidad contractual, dirigidas a prevenir este tipo de situaciones o a sancionar tales conductas</w:t>
      </w:r>
      <w:r>
        <w:rPr>
          <w:rStyle w:val="Refdenotaalpie"/>
          <w:rFonts w:ascii="Verdana" w:hAnsi="Verdana" w:cs="Arial"/>
          <w:bCs/>
          <w:szCs w:val="24"/>
          <w:lang w:val="es-ES_tradnl" w:eastAsia="es-ES_tradnl"/>
        </w:rPr>
        <w:footnoteReference w:id="2"/>
      </w:r>
      <w:r>
        <w:rPr>
          <w:rFonts w:ascii="Verdana" w:hAnsi="Verdana" w:cs="Arial"/>
          <w:bCs/>
          <w:szCs w:val="24"/>
          <w:lang w:val="es-ES_tradnl" w:eastAsia="es-ES_tradnl"/>
        </w:rPr>
        <w:t>.</w:t>
      </w:r>
    </w:p>
    <w:p w14:paraId="725FEA54" w14:textId="77777777" w:rsidR="00A7088E" w:rsidRPr="00EF34DB" w:rsidRDefault="00A7088E" w:rsidP="00A7088E">
      <w:pPr>
        <w:spacing w:after="0" w:line="240" w:lineRule="auto"/>
        <w:jc w:val="both"/>
        <w:rPr>
          <w:rFonts w:ascii="Verdana" w:hAnsi="Verdana" w:cs="Arial"/>
          <w:b/>
          <w:bCs/>
          <w:color w:val="000000"/>
          <w:lang w:val="es-ES"/>
        </w:rPr>
      </w:pPr>
    </w:p>
    <w:p w14:paraId="64AD9498"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Desde la perspectiva de su estructura, esta Subdirección ha precisado que el régimen de inhabilidades para contratar con el Estado es un conjunto de restricciones establecidas por el constituyente o el legislador que afectan directamente la capacidad de las personas para concurrir a los procedimientos de selección y para contratar con el Estado, que se derivan i) de la existencia de comportamientos reprochables o de sanciones anteriormente impuestas, </w:t>
      </w:r>
      <w:proofErr w:type="spellStart"/>
      <w:r>
        <w:rPr>
          <w:rFonts w:ascii="Verdana" w:hAnsi="Verdana" w:cs="Arial"/>
          <w:bCs/>
          <w:szCs w:val="24"/>
          <w:lang w:val="es-ES_tradnl" w:eastAsia="es-ES_tradnl"/>
        </w:rPr>
        <w:t>ii</w:t>
      </w:r>
      <w:proofErr w:type="spellEnd"/>
      <w:r>
        <w:rPr>
          <w:rFonts w:ascii="Verdana" w:hAnsi="Verdana" w:cs="Arial"/>
          <w:bCs/>
          <w:szCs w:val="24"/>
          <w:lang w:val="es-ES_tradnl" w:eastAsia="es-ES_tradnl"/>
        </w:rPr>
        <w:t xml:space="preserve">) de vínculos personales relativos al parentesco o al estado civil o </w:t>
      </w:r>
      <w:proofErr w:type="spellStart"/>
      <w:r>
        <w:rPr>
          <w:rFonts w:ascii="Verdana" w:hAnsi="Verdana" w:cs="Arial"/>
          <w:bCs/>
          <w:szCs w:val="24"/>
          <w:lang w:val="es-ES_tradnl" w:eastAsia="es-ES_tradnl"/>
        </w:rPr>
        <w:t>iii</w:t>
      </w:r>
      <w:proofErr w:type="spellEnd"/>
      <w:r>
        <w:rPr>
          <w:rFonts w:ascii="Verdana" w:hAnsi="Verdana" w:cs="Arial"/>
          <w:bCs/>
          <w:szCs w:val="24"/>
          <w:lang w:val="es-ES_tradnl" w:eastAsia="es-ES_tradnl"/>
        </w:rPr>
        <w:t>) de una actividad u oficio que se desempeñó en el pasado</w:t>
      </w:r>
      <w:r>
        <w:rPr>
          <w:rStyle w:val="Refdenotaalpie"/>
          <w:rFonts w:ascii="Verdana" w:hAnsi="Verdana" w:cs="Arial"/>
          <w:bCs/>
          <w:szCs w:val="24"/>
          <w:lang w:val="es-ES_tradnl" w:eastAsia="es-ES_tradnl"/>
        </w:rPr>
        <w:footnoteReference w:id="3"/>
      </w:r>
      <w:r>
        <w:rPr>
          <w:rFonts w:ascii="Verdana" w:hAnsi="Verdana" w:cs="Arial"/>
          <w:bCs/>
          <w:szCs w:val="24"/>
          <w:lang w:val="es-ES_tradnl" w:eastAsia="es-ES_tradnl"/>
        </w:rPr>
        <w:t>. De otro lado, las incompatibilidades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w:t>
      </w:r>
      <w:r>
        <w:rPr>
          <w:rStyle w:val="Refdenotaalpie"/>
          <w:rFonts w:ascii="Verdana" w:hAnsi="Verdana" w:cs="Arial"/>
          <w:bCs/>
          <w:szCs w:val="24"/>
          <w:lang w:val="es-ES_tradnl" w:eastAsia="es-ES_tradnl"/>
        </w:rPr>
        <w:footnoteReference w:id="4"/>
      </w:r>
      <w:r>
        <w:rPr>
          <w:rFonts w:ascii="Verdana" w:hAnsi="Verdana" w:cs="Arial"/>
          <w:bCs/>
          <w:szCs w:val="24"/>
          <w:lang w:val="es-ES_tradnl" w:eastAsia="es-ES_tradnl"/>
        </w:rPr>
        <w:t>.</w:t>
      </w:r>
    </w:p>
    <w:p w14:paraId="722A83A0"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4088D5B"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Esta clasificación tripartita de las inhabilidades resulta particularmente útil para el caso consultado, pues permite anticipar dónde habría de ubicarse, hipotéticamente, una restricción fundada en la condición de retirado de la Fuerza Pública. No podría tratarse de una inhabilidad del primer grupo, porque el retiro del servicio no constituye un comportamiento reprochable ni una sanción: es una situación administrativa ordinaria, prevista en el régimen de carrera del personal de la Fuerza Pública, que puede obedecer a múltiples causas, entre ellas el simple cumplimiento del tiempo de servicio. Tampoco podría ubicarse en el segundo grupo, que atiende a vínculos de parentesco o estado civil. Solo cabría, en abstracto, en el tercer grupo –el de las restricciones derivadas de una actividad u oficio desempeñado en el pasado–, categoría que en efecto existe en nuestro ordenamiento, pero cuyas causales, como se verá, no se estructuran sobre la condición de retirado ni sobre la percepción de una asignación de retiro.</w:t>
      </w:r>
    </w:p>
    <w:p w14:paraId="3723BC0B" w14:textId="77777777" w:rsidR="00A7088E" w:rsidRPr="00A0389A" w:rsidRDefault="00A7088E" w:rsidP="00A7088E">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lastRenderedPageBreak/>
        <w:t>Conviene subrayar, además, que la Corte Constitucional ha explicado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Pr>
          <w:rStyle w:val="Refdenotaalpie"/>
          <w:rFonts w:ascii="Verdana" w:hAnsi="Verdana" w:cs="Arial"/>
          <w:bCs/>
          <w:szCs w:val="24"/>
          <w:lang w:val="es-ES_tradnl" w:eastAsia="es-ES_tradnl"/>
        </w:rPr>
        <w:footnoteReference w:id="5"/>
      </w:r>
      <w:r>
        <w:rPr>
          <w:rFonts w:ascii="Verdana" w:hAnsi="Verdana" w:cs="Arial"/>
          <w:bCs/>
          <w:szCs w:val="24"/>
          <w:lang w:val="es-ES_tradnl" w:eastAsia="es-ES_tradnl"/>
        </w:rPr>
        <w:t>”. La expresión “falta de aptitud” es reveladora: la inhabilidad no es un juicio genérico de sospecha sobre una categoría de personas, sino la consecuencia jurídica que el ordenamiento anuda a un supuesto de hecho determinado.</w:t>
      </w:r>
    </w:p>
    <w:p w14:paraId="70F1BF9F" w14:textId="77777777" w:rsidR="00A7088E" w:rsidRDefault="00A7088E" w:rsidP="00A7088E">
      <w:pPr>
        <w:spacing w:after="0" w:line="240" w:lineRule="auto"/>
        <w:jc w:val="both"/>
        <w:rPr>
          <w:rFonts w:ascii="Verdana" w:hAnsi="Verdana" w:cs="Arial"/>
          <w:b/>
          <w:bCs/>
          <w:color w:val="000000"/>
          <w:lang w:val="es-ES"/>
        </w:rPr>
      </w:pPr>
    </w:p>
    <w:p w14:paraId="05511780" w14:textId="77777777" w:rsidR="00A7088E" w:rsidRDefault="00A7088E" w:rsidP="00A7088E">
      <w:pPr>
        <w:spacing w:after="0" w:line="240" w:lineRule="auto"/>
        <w:jc w:val="both"/>
        <w:rPr>
          <w:rFonts w:ascii="Verdana" w:hAnsi="Verdana" w:cs="Arial"/>
          <w:bCs/>
          <w:szCs w:val="24"/>
          <w:lang w:val="es-ES_tradnl" w:eastAsia="es-ES_tradnl"/>
        </w:rPr>
      </w:pPr>
      <w:proofErr w:type="spellStart"/>
      <w:r w:rsidRPr="00D92013">
        <w:rPr>
          <w:rFonts w:ascii="Verdana" w:hAnsi="Verdana" w:cs="Arial"/>
          <w:color w:val="000000"/>
          <w:lang w:val="es-ES"/>
        </w:rPr>
        <w:t>iii</w:t>
      </w:r>
      <w:proofErr w:type="spellEnd"/>
      <w:r w:rsidRPr="00D92013">
        <w:rPr>
          <w:rFonts w:ascii="Verdana" w:hAnsi="Verdana" w:cs="Arial"/>
          <w:color w:val="000000"/>
          <w:lang w:val="es-ES"/>
        </w:rPr>
        <w:t>)</w:t>
      </w:r>
      <w:r>
        <w:rPr>
          <w:rFonts w:ascii="Verdana" w:hAnsi="Verdana" w:cs="Arial"/>
          <w:b/>
          <w:bCs/>
          <w:color w:val="000000"/>
          <w:lang w:val="es-ES"/>
        </w:rPr>
        <w:t xml:space="preserve"> </w:t>
      </w:r>
      <w:r>
        <w:rPr>
          <w:rFonts w:ascii="Verdana" w:hAnsi="Verdana" w:cs="Arial"/>
          <w:bCs/>
          <w:szCs w:val="24"/>
          <w:lang w:val="es-ES_tradnl" w:eastAsia="es-ES_tradnl"/>
        </w:rPr>
        <w:t>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 Así lo ha sostenido de manera constante esta Subdirección, y así se desprende del propio texto constitucional, cuyo inciso final del artículo 150 defiere al Congreso la expedición del estatuto general de contratación de la administración pública.</w:t>
      </w:r>
    </w:p>
    <w:p w14:paraId="12FF29CC" w14:textId="77777777" w:rsidR="00A7088E" w:rsidRPr="00D92013" w:rsidRDefault="00A7088E" w:rsidP="00A7088E">
      <w:pPr>
        <w:spacing w:after="0" w:line="240" w:lineRule="auto"/>
        <w:jc w:val="both"/>
        <w:rPr>
          <w:rFonts w:ascii="Verdana" w:hAnsi="Verdana" w:cs="Arial"/>
          <w:b/>
          <w:bCs/>
          <w:color w:val="000000"/>
          <w:lang w:val="es-ES"/>
        </w:rPr>
      </w:pPr>
    </w:p>
    <w:p w14:paraId="61F33599"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 esta reserva se siguen varias consecuencias que interesan directamente a la consulta. La primera es que el reglamento no puede crear inhabilidades: el Gobierno Nacional carece de competencia para adicionar el catálogo legal, y una disposición reglamentaria que lo hiciera resultaría inaplicable por exceso de la potestad reglamentaria. La segunda es que tampoco pueden hacerlo las entidades estatales a través de sus pliegos de condiciones, documentos equivalentes o manuales de contratación. El pliego, en tanto acto administrativo de carácter general que fija las reglas del procedimiento, se sujeta al ordenamiento y no puede introducir restricciones a la capacidad que la ley no haya previsto; admitir lo contrario equivaldría a permitir que cada entidad configurara su propio régimen de inhabilidades, con evidente quebranto de la igualdad, la libre concurrencia y la seguridad jurídica.</w:t>
      </w:r>
    </w:p>
    <w:p w14:paraId="4A5C1B27"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4A8A8893"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La tercera consecuencia es más sutil y resulta decisiva en este caso: la reserva de ley no solo impide crear causales nuevas, sino también ampliar el supuesto de hecho de las existentes hasta cubrir situaciones que el legislador no </w:t>
      </w:r>
      <w:r>
        <w:rPr>
          <w:rFonts w:ascii="Verdana" w:hAnsi="Verdana" w:cs="Arial"/>
          <w:bCs/>
          <w:szCs w:val="24"/>
          <w:lang w:val="es-ES_tradnl" w:eastAsia="es-ES_tradnl"/>
        </w:rPr>
        <w:lastRenderedPageBreak/>
        <w:t>contempló. Una inhabilidad aplicada por extensión es, materialmente, una inhabilidad nueva. Por consiguiente, el hecho de que una situación determinada guarde alguna semejanza con la contemplada en una causal, o de que su inclusión pudiera parecer razonable desde la perspectiva de los fines que el régimen persigue, no habilita al intérprete para aplicarla.</w:t>
      </w:r>
    </w:p>
    <w:p w14:paraId="3FA64E56"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A181866"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Debe precisarse, para evitar equívocos, que la reserva de ley no significa que todas las inhabilidades se hallen recogidas en un único cuerpo normativo. El literal a) del numeral 1 del artículo 8 de la Ley 80 de 1993 declara inhábiles a </w:t>
      </w:r>
      <w:r w:rsidRPr="00954348">
        <w:rPr>
          <w:rFonts w:ascii="Verdana" w:hAnsi="Verdana" w:cs="Arial"/>
          <w:bCs/>
          <w:i/>
          <w:iCs/>
          <w:szCs w:val="24"/>
          <w:lang w:val="es-ES_tradnl" w:eastAsia="es-ES_tradnl"/>
        </w:rPr>
        <w:t>“[l]as personas que se hallen inhabilitadas para contratar por la Constitución y las leyes</w:t>
      </w:r>
      <w:r>
        <w:rPr>
          <w:rFonts w:ascii="Verdana" w:hAnsi="Verdana" w:cs="Arial"/>
          <w:bCs/>
          <w:szCs w:val="24"/>
          <w:lang w:val="es-ES_tradnl" w:eastAsia="es-ES_tradnl"/>
        </w:rPr>
        <w:t>”, cláusula de reenvío que incorpora al régimen contractual las restricciones dispersas en el ordenamiento. Ahora bien, ese reenvío no relaja la exigencia de tipicidad: remite a normas constitucionales o legales que efectivamente consagren una inhabilidad, no a consideraciones generales sobre la moralidad administrativa o el buen uso de los recursos públicos. La búsqueda que impone el literal a) es, por tanto, una búsqueda de textos, no de principios.</w:t>
      </w:r>
    </w:p>
    <w:p w14:paraId="396CF51F" w14:textId="77777777" w:rsidR="00A7088E" w:rsidRDefault="00A7088E" w:rsidP="00A7088E">
      <w:pPr>
        <w:spacing w:after="0" w:line="240" w:lineRule="auto"/>
        <w:jc w:val="both"/>
        <w:rPr>
          <w:rFonts w:ascii="Verdana" w:hAnsi="Verdana" w:cs="Arial"/>
          <w:b/>
          <w:bCs/>
          <w:color w:val="000000"/>
          <w:lang w:val="es-ES"/>
        </w:rPr>
      </w:pPr>
    </w:p>
    <w:p w14:paraId="2404679A" w14:textId="77777777" w:rsidR="00A7088E" w:rsidRDefault="00A7088E" w:rsidP="00A7088E">
      <w:pPr>
        <w:spacing w:after="0" w:line="240" w:lineRule="auto"/>
        <w:jc w:val="both"/>
        <w:rPr>
          <w:rFonts w:ascii="Verdana" w:hAnsi="Verdana" w:cs="Arial"/>
          <w:bCs/>
          <w:szCs w:val="24"/>
          <w:lang w:val="es-ES_tradnl" w:eastAsia="es-ES_tradnl"/>
        </w:rPr>
      </w:pPr>
      <w:proofErr w:type="spellStart"/>
      <w:r w:rsidRPr="00D92013">
        <w:rPr>
          <w:rFonts w:ascii="Verdana" w:hAnsi="Verdana" w:cs="Arial"/>
          <w:color w:val="000000"/>
          <w:lang w:val="es-ES"/>
        </w:rPr>
        <w:t>iv</w:t>
      </w:r>
      <w:proofErr w:type="spellEnd"/>
      <w:r w:rsidRPr="00D92013">
        <w:rPr>
          <w:rFonts w:ascii="Verdana" w:hAnsi="Verdana" w:cs="Arial"/>
          <w:color w:val="000000"/>
          <w:lang w:val="es-ES"/>
        </w:rPr>
        <w:t>)</w:t>
      </w:r>
      <w:r>
        <w:rPr>
          <w:rFonts w:ascii="Verdana" w:hAnsi="Verdana" w:cs="Arial"/>
          <w:b/>
          <w:bCs/>
          <w:color w:val="000000"/>
          <w:lang w:val="es-ES"/>
        </w:rPr>
        <w:t xml:space="preserve"> </w:t>
      </w:r>
      <w:r w:rsidRPr="004A0841">
        <w:rPr>
          <w:rFonts w:ascii="Verdana" w:hAnsi="Verdana" w:cs="Arial"/>
          <w:b/>
          <w:bCs/>
          <w:color w:val="000000"/>
          <w:lang w:val="es-ES"/>
        </w:rPr>
        <w:t xml:space="preserve"> </w:t>
      </w:r>
      <w:r>
        <w:rPr>
          <w:rFonts w:ascii="Verdana" w:hAnsi="Verdana" w:cs="Arial"/>
          <w:bCs/>
          <w:szCs w:val="24"/>
          <w:lang w:val="es-ES_tradnl" w:eastAsia="es-ES_tradnl"/>
        </w:rPr>
        <w:t>Las inhabilidades e incompatibilidades, al ser límites especiales a la capacidad para presentar ofertas y celebrar contratos estatales, solo pueden tipificarse en la ley o la Constitución –o sea, deben satisfacer el principio de legalidad– y su interpretación debe ser restrictiva. En contraste, si se admitiera una interpretación amplia, extensiva, analógica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w:t>
      </w:r>
      <w:r>
        <w:rPr>
          <w:rStyle w:val="Refdenotaalpie"/>
          <w:rFonts w:ascii="Verdana" w:hAnsi="Verdana" w:cs="Arial"/>
          <w:bCs/>
          <w:szCs w:val="24"/>
          <w:lang w:val="es-ES_tradnl" w:eastAsia="es-ES_tradnl"/>
        </w:rPr>
        <w:footnoteReference w:id="6"/>
      </w:r>
      <w:r>
        <w:rPr>
          <w:rFonts w:ascii="Verdana" w:hAnsi="Verdana" w:cs="Arial"/>
          <w:bCs/>
          <w:szCs w:val="24"/>
          <w:lang w:val="es-ES_tradnl" w:eastAsia="es-ES_tradnl"/>
        </w:rPr>
        <w:t>.</w:t>
      </w:r>
    </w:p>
    <w:p w14:paraId="58074168" w14:textId="77777777" w:rsidR="00A7088E" w:rsidRPr="00D92013" w:rsidRDefault="00A7088E" w:rsidP="00A7088E">
      <w:pPr>
        <w:spacing w:after="0" w:line="240" w:lineRule="auto"/>
        <w:jc w:val="both"/>
        <w:rPr>
          <w:rFonts w:ascii="Verdana" w:hAnsi="Verdana" w:cs="Arial"/>
          <w:b/>
          <w:bCs/>
          <w:color w:val="000000"/>
          <w:lang w:val="es-ES"/>
        </w:rPr>
      </w:pPr>
    </w:p>
    <w:p w14:paraId="2965110B"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El fundamento de esta regla hermenéutica es el principio pro </w:t>
      </w:r>
      <w:proofErr w:type="spellStart"/>
      <w:r>
        <w:rPr>
          <w:rFonts w:ascii="Verdana" w:hAnsi="Verdana" w:cs="Arial"/>
          <w:bCs/>
          <w:szCs w:val="24"/>
          <w:lang w:val="es-ES_tradnl" w:eastAsia="es-ES_tradnl"/>
        </w:rPr>
        <w:t>libertate</w:t>
      </w:r>
      <w:proofErr w:type="spellEnd"/>
      <w:r>
        <w:rPr>
          <w:rFonts w:ascii="Verdana" w:hAnsi="Verdana" w:cs="Arial"/>
          <w:bCs/>
          <w:szCs w:val="24"/>
          <w:lang w:val="es-ES_tradnl" w:eastAsia="es-ES_tradnl"/>
        </w:rPr>
        <w:t xml:space="preserve">, que debe dirigir la interpretación de las disposiciones normativas que consagran restricciones de derechos, como sucede con las causales de inhabilidad e </w:t>
      </w:r>
      <w:r>
        <w:rPr>
          <w:rFonts w:ascii="Verdana" w:hAnsi="Verdana" w:cs="Arial"/>
          <w:bCs/>
          <w:szCs w:val="24"/>
          <w:lang w:val="es-ES_tradnl" w:eastAsia="es-ES_tradnl"/>
        </w:rPr>
        <w:lastRenderedPageBreak/>
        <w:t>incompatibilidad en la contratación estatal. El carácter reconocidamente taxativo y restrictivo del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Conviene detenerse en esta formulación, porque desvirtúa una objeción intuitiva: podría pensarse que una interpretación amplia de las inhabilidades protege mejor el interés general. La doctrina de esta Subdirección sostiene lo contrario, y con razón, pues el interés general en la contratación pública no se satisface excluyendo participantes, sino asegurando que la exclusión de quienes deben ser excluidos se produzca conforme a reglas ciertas, previas y conocidas por todos.</w:t>
      </w:r>
    </w:p>
    <w:p w14:paraId="254B99CE"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0584043"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En la práctica, la interpretación restrictiva se traduce en cuatro prohibiciones concretas para el operador jurídico. Primera, la prohibición de analogía: no puede aplicarse una causal a un supuesto no previsto por considerarlo semejante al previsto. Segunda, la prohibición de interpretación extensiva: no puede ensancharse el sentido de los términos empleados por la norma más allá de su significado propio. Tercera, la prohibición de interpretación finalista o teleológica en contra del destinatario: no puede invocarse la finalidad de la norma para cubrir casos que su texto no comprende. Y cuarta, la exigencia de que la duda se resuelva en favor de la capacidad, consecuencia natural del principio pro </w:t>
      </w:r>
      <w:proofErr w:type="spellStart"/>
      <w:r>
        <w:rPr>
          <w:rFonts w:ascii="Verdana" w:hAnsi="Verdana" w:cs="Arial"/>
          <w:bCs/>
          <w:szCs w:val="24"/>
          <w:lang w:val="es-ES_tradnl" w:eastAsia="es-ES_tradnl"/>
        </w:rPr>
        <w:t>libertate</w:t>
      </w:r>
      <w:proofErr w:type="spellEnd"/>
      <w:r>
        <w:rPr>
          <w:rFonts w:ascii="Verdana" w:hAnsi="Verdana" w:cs="Arial"/>
          <w:bCs/>
          <w:szCs w:val="24"/>
          <w:lang w:val="es-ES_tradnl" w:eastAsia="es-ES_tradnl"/>
        </w:rPr>
        <w:t>.</w:t>
      </w:r>
    </w:p>
    <w:p w14:paraId="34A62EAB"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6593846"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Esta Subdirección ha aplicado el criterio de manera consistente</w:t>
      </w:r>
      <w:r>
        <w:rPr>
          <w:rStyle w:val="Refdenotaalpie"/>
          <w:rFonts w:ascii="Verdana" w:hAnsi="Verdana" w:cs="Arial"/>
          <w:bCs/>
          <w:szCs w:val="24"/>
          <w:lang w:val="es-ES_tradnl" w:eastAsia="es-ES_tradnl"/>
        </w:rPr>
        <w:footnoteReference w:id="7"/>
      </w:r>
      <w:r>
        <w:rPr>
          <w:rFonts w:ascii="Verdana" w:hAnsi="Verdana" w:cs="Arial"/>
          <w:bCs/>
          <w:szCs w:val="24"/>
          <w:lang w:val="es-ES_tradnl" w:eastAsia="es-ES_tradnl"/>
        </w:rPr>
        <w:t xml:space="preserve">. Al resolver si una entidad estatal podía celebrar dos o más contratos de prestación de servicios profesionales con una misma persona de forma simultánea, concluyó que “no existe inhabilidad, incompatibilidad o prohibición alguna de otra naturaleza” para ello, precisamente porque las inhabilidades e incompatibilidades, “al ser limitaciones a la capacidad contractual que afectan derechos como la libre concurrencia o la libertad de ejercicio de la profesión u oficio, es decir, al ser enunciados normativos gravosos, deben interpretarse de forma restrictiva”, lo que “supone que su aplicación no admite una interpretación </w:t>
      </w:r>
      <w:r>
        <w:rPr>
          <w:rFonts w:ascii="Verdana" w:hAnsi="Verdana" w:cs="Arial"/>
          <w:bCs/>
          <w:szCs w:val="24"/>
          <w:lang w:val="es-ES_tradnl" w:eastAsia="es-ES_tradnl"/>
        </w:rPr>
        <w:lastRenderedPageBreak/>
        <w:t>amplia, extensiva o analógica”. El razonamiento es exactamente el que corresponde aplicar al asunto que ahora se consulta.</w:t>
      </w:r>
    </w:p>
    <w:p w14:paraId="07D0D3B0" w14:textId="77777777" w:rsidR="00A7088E" w:rsidRDefault="00A7088E" w:rsidP="00A7088E">
      <w:pPr>
        <w:spacing w:after="0" w:line="240" w:lineRule="auto"/>
        <w:jc w:val="both"/>
        <w:rPr>
          <w:rFonts w:ascii="Verdana" w:hAnsi="Verdana" w:cs="Arial"/>
          <w:b/>
          <w:bCs/>
          <w:color w:val="000000"/>
          <w:lang w:val="es-ES"/>
        </w:rPr>
      </w:pPr>
    </w:p>
    <w:p w14:paraId="7155BCE2" w14:textId="77777777" w:rsidR="00A7088E" w:rsidRDefault="00A7088E" w:rsidP="00A7088E">
      <w:pPr>
        <w:spacing w:after="0" w:line="240" w:lineRule="auto"/>
        <w:jc w:val="both"/>
        <w:rPr>
          <w:rFonts w:ascii="Verdana" w:hAnsi="Verdana" w:cs="Arial"/>
          <w:b/>
          <w:bCs/>
          <w:color w:val="000000"/>
          <w:lang w:val="es-ES"/>
        </w:rPr>
      </w:pPr>
    </w:p>
    <w:p w14:paraId="013C21EB" w14:textId="77777777" w:rsidR="00A7088E" w:rsidRDefault="00A7088E" w:rsidP="00A7088E">
      <w:pPr>
        <w:spacing w:after="0" w:line="240" w:lineRule="auto"/>
        <w:jc w:val="both"/>
        <w:rPr>
          <w:rFonts w:ascii="Verdana" w:hAnsi="Verdana" w:cs="Arial"/>
          <w:b/>
          <w:bCs/>
          <w:color w:val="000000"/>
          <w:lang w:val="es-ES"/>
        </w:rPr>
      </w:pPr>
    </w:p>
    <w:p w14:paraId="7AEDD290" w14:textId="77777777" w:rsidR="00A7088E" w:rsidRPr="00A0389A" w:rsidRDefault="00A7088E" w:rsidP="00A7088E">
      <w:pPr>
        <w:spacing w:after="0" w:line="240" w:lineRule="auto"/>
        <w:jc w:val="both"/>
        <w:rPr>
          <w:rFonts w:ascii="Verdana" w:hAnsi="Verdana" w:cs="Arial"/>
          <w:bCs/>
          <w:szCs w:val="24"/>
          <w:lang w:val="es-ES_tradnl" w:eastAsia="es-ES_tradnl"/>
        </w:rPr>
      </w:pPr>
      <w:r w:rsidRPr="008B7CB8">
        <w:rPr>
          <w:rFonts w:ascii="Verdana" w:hAnsi="Verdana" w:cs="Arial"/>
          <w:color w:val="000000"/>
          <w:lang w:val="es-ES"/>
        </w:rPr>
        <w:t>V</w:t>
      </w:r>
      <w:r>
        <w:rPr>
          <w:rFonts w:ascii="Verdana" w:hAnsi="Verdana" w:cs="Arial"/>
          <w:color w:val="000000"/>
          <w:lang w:val="es-ES"/>
        </w:rPr>
        <w:t>)</w:t>
      </w:r>
      <w:r>
        <w:rPr>
          <w:rFonts w:ascii="Verdana" w:hAnsi="Verdana" w:cs="Arial"/>
          <w:b/>
          <w:bCs/>
          <w:color w:val="000000"/>
          <w:lang w:val="es-ES"/>
        </w:rPr>
        <w:t xml:space="preserve"> </w:t>
      </w:r>
      <w:r>
        <w:rPr>
          <w:rFonts w:ascii="Verdana" w:hAnsi="Verdana" w:cs="Arial"/>
          <w:bCs/>
          <w:szCs w:val="24"/>
          <w:lang w:val="es-ES_tradnl" w:eastAsia="es-ES_tradnl"/>
        </w:rPr>
        <w:t>Sería incompleta la respuesta si no se advirtiera que quien estuvo vinculado al servicio público puede quedar cobijado por causales que atienden, no a su condición de beneficiario de una asignación de retiro, sino al ejercicio previo de determinados cargos. Se trata, como se anticipó, del tercer grupo de inhabilidades: las derivadas de una actividad u oficio desempeñado en el pasado.</w:t>
      </w:r>
    </w:p>
    <w:p w14:paraId="10B3E63D" w14:textId="77777777" w:rsidR="00A7088E" w:rsidRDefault="00A7088E" w:rsidP="00A7088E">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La primera es la incompatibilidad del literal a) del numeral 2 del artículo 8 de la Ley 80 de 1993, conforme a la cual no pueden participar en licitaciones ni celebrar contratos estatales con la entidad respectiva quienes fueron miembros de la junta o consejo directivo o servidores públicos de la entidad contratante. </w:t>
      </w:r>
    </w:p>
    <w:p w14:paraId="60945DD7"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36E0FD56"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La segunda es la incompatibilidad del literal f) del mismo numeral, adicionada por el artículo 4 de la Ley 1474 de 2011, según la cual no podrán contratar, directa o indirectamente, las personas que hayan ejercido cargos en el nivel directivo en entidades del Estado, ni las sociedades en las cuales estas hagan parte o estén vinculadas a cualquier título, durante los dos años siguientes al retiro del ejercicio del cargo público, cuando el objeto que desarrollen tenga relación con el sector al cual prestaron sus servicios. Esta causal es más amplia que la anterior en su dimensión objetiva –se refiere al sector y no a la entidad– y en su alcance subjetivo –comprende a las sociedades vinculadas y a determinados parientes–, pero más restringida en cuanto al nivel del cargo, pues solo cobija a quienes ejercieron cargos del nivel directivo.</w:t>
      </w:r>
    </w:p>
    <w:p w14:paraId="7063AC39" w14:textId="77777777" w:rsidR="00A7088E" w:rsidRDefault="00A7088E" w:rsidP="00A7088E">
      <w:pPr>
        <w:spacing w:after="0" w:line="276" w:lineRule="auto"/>
        <w:jc w:val="both"/>
        <w:rPr>
          <w:rFonts w:ascii="Verdana" w:hAnsi="Verdana" w:cs="Arial"/>
          <w:bCs/>
          <w:szCs w:val="24"/>
          <w:lang w:val="es-ES_tradnl" w:eastAsia="es-ES_tradnl"/>
        </w:rPr>
      </w:pPr>
    </w:p>
    <w:p w14:paraId="3AD2FAB2"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Su verificación, en consecuencia, exige un análisis concreto que corresponde adelantar a la entidad contratante en cada procedimiento, atendiendo a la clasificación del empleo desempeñado conforme a las normas que rigen la estructura de la entidad de que se trate, a la identidad entre esta y la entidad contratante o entre el sector y el objeto contractual, y al cómputo de los plazos legales. No corresponde a esta Agencia efectuar ese análisis respecto de un caso particular, ni anticipar su resultado.</w:t>
      </w:r>
    </w:p>
    <w:p w14:paraId="4AE85F65" w14:textId="77777777" w:rsidR="00A7088E" w:rsidRDefault="00A7088E" w:rsidP="00A7088E">
      <w:pPr>
        <w:spacing w:after="0" w:line="240" w:lineRule="auto"/>
        <w:jc w:val="both"/>
        <w:rPr>
          <w:rFonts w:ascii="Verdana" w:hAnsi="Verdana" w:cs="Arial"/>
          <w:b/>
          <w:bCs/>
          <w:color w:val="000000"/>
          <w:lang w:val="es-ES"/>
        </w:rPr>
      </w:pPr>
    </w:p>
    <w:p w14:paraId="4FA092A3" w14:textId="77777777" w:rsidR="00A7088E" w:rsidRDefault="00A7088E" w:rsidP="00A7088E">
      <w:pPr>
        <w:spacing w:after="0" w:line="240" w:lineRule="auto"/>
        <w:jc w:val="both"/>
        <w:rPr>
          <w:rFonts w:ascii="Verdana" w:hAnsi="Verdana" w:cs="Arial"/>
          <w:bCs/>
          <w:szCs w:val="24"/>
          <w:lang w:val="es-ES_tradnl" w:eastAsia="es-ES_tradnl"/>
        </w:rPr>
      </w:pPr>
      <w:r w:rsidRPr="00954348">
        <w:rPr>
          <w:rFonts w:ascii="Verdana" w:hAnsi="Verdana" w:cs="Arial"/>
          <w:color w:val="000000"/>
          <w:lang w:val="es-ES"/>
        </w:rPr>
        <w:t>vi)</w:t>
      </w:r>
      <w:r>
        <w:rPr>
          <w:rFonts w:ascii="Verdana" w:hAnsi="Verdana" w:cs="Arial"/>
          <w:b/>
          <w:bCs/>
          <w:color w:val="000000"/>
          <w:lang w:val="es-ES"/>
        </w:rPr>
        <w:t xml:space="preserve"> </w:t>
      </w:r>
      <w:r>
        <w:rPr>
          <w:rFonts w:ascii="Verdana" w:hAnsi="Verdana" w:cs="Arial"/>
          <w:bCs/>
          <w:szCs w:val="24"/>
          <w:lang w:val="es-ES_tradnl" w:eastAsia="es-ES_tradnl"/>
        </w:rPr>
        <w:t xml:space="preserve">El régimen de los conflictos de interés tiene como objetivo la prevalencia del bien común sobre el particular, razón por la cual se configuran cuando los </w:t>
      </w:r>
      <w:r>
        <w:rPr>
          <w:rFonts w:ascii="Verdana" w:hAnsi="Verdana" w:cs="Arial"/>
          <w:bCs/>
          <w:szCs w:val="24"/>
          <w:lang w:val="es-ES_tradnl" w:eastAsia="es-ES_tradnl"/>
        </w:rPr>
        <w:lastRenderedPageBreak/>
        <w:t>servidores públicos actúan influenciados por consideraciones personales que colisionan con el deber de preservar su independencia e imparcialidad. En este sentido, se definen como la ocurrencia de intereses antagónicos que afectan la transparencia de las decisiones, al implicar –en detrimento del interés general– el aprovechamiento personal, familiar o particular.</w:t>
      </w:r>
    </w:p>
    <w:p w14:paraId="5E265519" w14:textId="77777777" w:rsidR="00A7088E" w:rsidRPr="00954348" w:rsidRDefault="00A7088E" w:rsidP="00A7088E">
      <w:pPr>
        <w:spacing w:after="0" w:line="240" w:lineRule="auto"/>
        <w:jc w:val="both"/>
        <w:rPr>
          <w:rFonts w:ascii="Verdana" w:hAnsi="Verdana" w:cs="Arial"/>
          <w:b/>
          <w:bCs/>
          <w:color w:val="000000"/>
          <w:lang w:val="es-ES"/>
        </w:rPr>
      </w:pPr>
    </w:p>
    <w:p w14:paraId="7F9B90C5"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Ahora bien, la institución jurídica de los conflictos de interés no está definida con carácter general en el ordenamiento jurídico y tampoco de forma precisa en las normas que regulan la contratación estatal, por lo que es un asunto ausente en el Estatuto General de Contratación de la Administración Pública. Ello no significa que la probidad no se exija a los contratistas: el artículo 3 de la Ley 80 de 1993 dispone que los particulares, al celebrar y ejecutar contratos con las entidades estatales, colaboran con ellas en el logro de sus fines y cumplen una función social que implica obligaciones, y el numeral 2 del artículo 5 del mismo estatuto les impone obrar con lealtad y buena fe en las distintas etapas contractuales, pero de tales cláusulas generales no se derivan causales concretas de exclusión.</w:t>
      </w:r>
    </w:p>
    <w:p w14:paraId="0E0DDCF7" w14:textId="77777777" w:rsidR="00A7088E" w:rsidRDefault="00A7088E" w:rsidP="00A7088E">
      <w:pPr>
        <w:spacing w:after="0" w:line="276" w:lineRule="auto"/>
        <w:jc w:val="both"/>
        <w:rPr>
          <w:rFonts w:ascii="Verdana" w:hAnsi="Verdana" w:cs="Arial"/>
          <w:bCs/>
          <w:szCs w:val="24"/>
          <w:lang w:val="es-ES_tradnl" w:eastAsia="es-ES_tradnl"/>
        </w:rPr>
      </w:pPr>
    </w:p>
    <w:p w14:paraId="44E2ABE6"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Debe precisarse, además, quiénes son los destinatarios de las normas que sí regulan la materia. La Ley 1437 de 2011 consagra un régimen de conflictos de interés y causales de impedimento y recusación en sus artículos 11 y 12, así como lo hace el artículo 44 de la Ley 1952 de 2019, disposiciones que, si bien aplican en los procedimientos administrativos en general –incluidos los de selección de contratistas–, están dirigidas a los servidores públicos que adelantan estas actuaciones en desarrollo de la actividad contractual de la entidad estatal de la cual hacen parte. Por lo anterior, sus destinatarios no son los proponentes o contratistas particulares que participan en el procedimiento de selección o celebran el contrato con la entidad estatal, sino los servidores mencionados. En caso de presentarse alguna de las causales del artículo 11 del Código de Procedimiento Administrativo y de lo Contencioso Administrativo, corresponde aplicar el trámite establecido en el artículo 12 de la misma ley.</w:t>
      </w:r>
    </w:p>
    <w:p w14:paraId="46E96AED"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03B7CDCF"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A partir de lo expuesto, esta Subdirección ha sistematizado las siguientes conclusiones en relación con la regulación de los conflictos de intereses en la contratación estatal: i) es posible que los pliegos de condiciones establezcan, si bien de forma restrictiva, conflictos de interés; </w:t>
      </w:r>
      <w:proofErr w:type="spellStart"/>
      <w:r>
        <w:rPr>
          <w:rFonts w:ascii="Verdana" w:hAnsi="Verdana" w:cs="Arial"/>
          <w:bCs/>
          <w:szCs w:val="24"/>
          <w:lang w:val="es-ES_tradnl" w:eastAsia="es-ES_tradnl"/>
        </w:rPr>
        <w:t>ii</w:t>
      </w:r>
      <w:proofErr w:type="spellEnd"/>
      <w:r>
        <w:rPr>
          <w:rFonts w:ascii="Verdana" w:hAnsi="Verdana" w:cs="Arial"/>
          <w:bCs/>
          <w:szCs w:val="24"/>
          <w:lang w:val="es-ES_tradnl" w:eastAsia="es-ES_tradnl"/>
        </w:rPr>
        <w:t xml:space="preserve">) estos deben tipificarse, esto </w:t>
      </w:r>
      <w:r>
        <w:rPr>
          <w:rFonts w:ascii="Verdana" w:hAnsi="Verdana" w:cs="Arial"/>
          <w:bCs/>
          <w:szCs w:val="24"/>
          <w:lang w:val="es-ES_tradnl" w:eastAsia="es-ES_tradnl"/>
        </w:rPr>
        <w:lastRenderedPageBreak/>
        <w:t xml:space="preserve">es, establecerse de forma expresa y concreta en los pliegos de condiciones; </w:t>
      </w:r>
      <w:proofErr w:type="spellStart"/>
      <w:r>
        <w:rPr>
          <w:rFonts w:ascii="Verdana" w:hAnsi="Verdana" w:cs="Arial"/>
          <w:bCs/>
          <w:szCs w:val="24"/>
          <w:lang w:val="es-ES_tradnl" w:eastAsia="es-ES_tradnl"/>
        </w:rPr>
        <w:t>iii</w:t>
      </w:r>
      <w:proofErr w:type="spellEnd"/>
      <w:r>
        <w:rPr>
          <w:rFonts w:ascii="Verdana" w:hAnsi="Verdana" w:cs="Arial"/>
          <w:bCs/>
          <w:szCs w:val="24"/>
          <w:lang w:val="es-ES_tradnl" w:eastAsia="es-ES_tradnl"/>
        </w:rPr>
        <w:t xml:space="preserve">) las causales deben ser objetivas, esto es, que se describan con claridad, de manera que no resulten ambiguas dando lugar a que los intérpretes extraigan consecuencias diferentes; </w:t>
      </w:r>
      <w:proofErr w:type="spellStart"/>
      <w:r>
        <w:rPr>
          <w:rFonts w:ascii="Verdana" w:hAnsi="Verdana" w:cs="Arial"/>
          <w:bCs/>
          <w:szCs w:val="24"/>
          <w:lang w:val="es-ES_tradnl" w:eastAsia="es-ES_tradnl"/>
        </w:rPr>
        <w:t>iv</w:t>
      </w:r>
      <w:proofErr w:type="spellEnd"/>
      <w:r>
        <w:rPr>
          <w:rFonts w:ascii="Verdana" w:hAnsi="Verdana" w:cs="Arial"/>
          <w:bCs/>
          <w:szCs w:val="24"/>
          <w:lang w:val="es-ES_tradnl" w:eastAsia="es-ES_tradnl"/>
        </w:rPr>
        <w:t>) las causales no pueden ser caprichosas, por lo que su inclusión debe justificarse en salvaguardar principios superiores, como la igualdad, la imparcialidad, la transparencia, la moralidad o la selección objetiva; v) su interpretación, al igual que las causales de inhabilidad o incompatibilidad, debe ser estricta o restrictiva; y vi) solo se pueden aplicar los conflictos de interés tipificados en el pliego de condiciones, en la Constitución o en la ley, de manera que su ausencia da lugar a que se parta del principio general de la capacidad contractual del proponente o contratista, de manera que la entidad no puede crear o aplicar causales que no incluyó en el pliego de condiciones</w:t>
      </w:r>
      <w:r>
        <w:rPr>
          <w:rStyle w:val="Refdenotaalpie"/>
          <w:rFonts w:ascii="Verdana" w:hAnsi="Verdana" w:cs="Arial"/>
          <w:bCs/>
          <w:szCs w:val="24"/>
          <w:lang w:val="es-ES_tradnl" w:eastAsia="es-ES_tradnl"/>
        </w:rPr>
        <w:footnoteReference w:id="8"/>
      </w:r>
      <w:r>
        <w:rPr>
          <w:rFonts w:ascii="Verdana" w:hAnsi="Verdana" w:cs="Arial"/>
          <w:bCs/>
          <w:szCs w:val="24"/>
          <w:lang w:val="es-ES_tradnl" w:eastAsia="es-ES_tradnl"/>
        </w:rPr>
        <w:t>.</w:t>
      </w:r>
    </w:p>
    <w:p w14:paraId="3D5F2B28"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070776C6"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Adicionalmente, y pese a que no existe regulación general sobre el régimen de conflictos de interés, ello no obsta para que las entidades estatales, con el fin de garantizar los principios de la función pública –entre los que se destaca la moralidad administrativa–, definan objetivamente las conductas prohibitivas o reprochables que se puedan encauzar en posibles conflictos de interés por parte de sus futuros contratistas y la forma a través de la cual las afrontarán, en el marco de la expedición de sus manuales internos de contratación.</w:t>
      </w:r>
    </w:p>
    <w:p w14:paraId="44644A38"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56801A56"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Aplicadas estas reglas al supuesto consultado, la conclusión es que la sola percepción de una asignación de retiro no constituye un conflicto de interés, pues no se encuentra tipificada como tal ni en la Constitución, ni en la ley, y no podría la entidad aplicarla si no la incluyó previamente en su pliego de condiciones. Cuestión distinta es que, en un caso concreto, puedan concurrir circunstancias que sí configuren un conflicto de interés tipificado –por ejemplo, las derivadas de relaciones actuales del interesado con quienes intervienen en el procedimiento de selección–, supuesto que deberá analizarse conforme a las reglas del respectivo proceso.</w:t>
      </w:r>
    </w:p>
    <w:p w14:paraId="0B7F46D6"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2CCD414E"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Por lo mismo, la condición de retirado con asignación de retiro no constituye, por sí sola, una situación especial que deba declararse en los </w:t>
      </w:r>
      <w:r>
        <w:rPr>
          <w:rFonts w:ascii="Verdana" w:hAnsi="Verdana" w:cs="Arial"/>
          <w:bCs/>
          <w:szCs w:val="24"/>
          <w:lang w:val="es-ES_tradnl" w:eastAsia="es-ES_tradnl"/>
        </w:rPr>
        <w:lastRenderedPageBreak/>
        <w:t>formatos de inhabilidades, incompatibilidades y conflictos de interés. Ello no exime al interesado, desde luego, del deber de diligenciar tales formatos con veracidad respecto de las causales que sí se encuentran tipificadas, ni de suministrar la información que la entidad requiera conforme a las reglas del proceso de selección, teniendo presente que la falsedad en dichas manifestaciones puede acarrear consecuencias jurídicas.</w:t>
      </w:r>
    </w:p>
    <w:p w14:paraId="594F24B3"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4C3FDF49"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Conviene añadir una precisión sobre la Ley 2013 de 2019, que regula la publicación proactiva de la declaración de bienes y rentas, del registro de conflictos de interés y de la declaración del impuesto sobre la renta y complementarios. Esta Subdirección ha concluido que los contratistas que se encuentran dentro del ámbito de aplicación de dicha ley son los que ejercen función pública, prestan servicios públicos o administran bienes y recursos públicos, de modo que solo cuando el contrato celebrado con el particular implique el ejercicio de alguna de esas actividades se considerará sujeto a las obligaciones allí contenidas. El criterio, como se advierte, es funcional y depende del objeto del contrato, no de las calidades personales del contratista ni de la percepción de prestaciones periódicas.</w:t>
      </w:r>
    </w:p>
    <w:p w14:paraId="4965E1D0" w14:textId="77777777" w:rsidR="00A7088E" w:rsidRDefault="00A7088E" w:rsidP="00A7088E">
      <w:pPr>
        <w:spacing w:after="0" w:line="240" w:lineRule="auto"/>
        <w:jc w:val="both"/>
        <w:rPr>
          <w:rFonts w:ascii="Verdana" w:hAnsi="Verdana" w:cs="Arial"/>
          <w:b/>
          <w:bCs/>
          <w:color w:val="000000"/>
          <w:lang w:val="es-ES"/>
        </w:rPr>
      </w:pPr>
    </w:p>
    <w:p w14:paraId="6494D0C9" w14:textId="77777777" w:rsidR="00A7088E" w:rsidRPr="00954348" w:rsidRDefault="00A7088E" w:rsidP="00A7088E">
      <w:pPr>
        <w:spacing w:after="0" w:line="240" w:lineRule="auto"/>
        <w:jc w:val="both"/>
        <w:rPr>
          <w:rFonts w:ascii="Verdana" w:hAnsi="Verdana" w:cs="Arial"/>
          <w:b/>
          <w:bCs/>
          <w:color w:val="000000"/>
          <w:lang w:val="es-ES"/>
        </w:rPr>
      </w:pPr>
      <w:proofErr w:type="spellStart"/>
      <w:r w:rsidRPr="00954348">
        <w:rPr>
          <w:rFonts w:ascii="Verdana" w:hAnsi="Verdana" w:cs="Arial"/>
          <w:color w:val="000000"/>
          <w:lang w:val="es-ES"/>
        </w:rPr>
        <w:t>vii</w:t>
      </w:r>
      <w:proofErr w:type="spellEnd"/>
      <w:r w:rsidRPr="00954348">
        <w:rPr>
          <w:rFonts w:ascii="Verdana" w:hAnsi="Verdana" w:cs="Arial"/>
          <w:color w:val="000000"/>
          <w:lang w:val="es-ES"/>
        </w:rPr>
        <w:t xml:space="preserve">) </w:t>
      </w:r>
      <w:r>
        <w:rPr>
          <w:rFonts w:ascii="Verdana" w:hAnsi="Verdana" w:cs="Arial"/>
          <w:szCs w:val="24"/>
          <w:lang w:val="es-ES_tradnl" w:eastAsia="es-ES_tradnl"/>
        </w:rPr>
        <w:t>Con relación a</w:t>
      </w:r>
      <w:r>
        <w:rPr>
          <w:rFonts w:ascii="Verdana" w:hAnsi="Verdana" w:cs="Arial"/>
          <w:bCs/>
          <w:szCs w:val="24"/>
          <w:lang w:val="es-ES_tradnl" w:eastAsia="es-ES_tradnl"/>
        </w:rPr>
        <w:t xml:space="preserve"> las verificaciones que debe efectuar la entidad contratante. Sobre el particular, esta Subdirección ha señalado que corresponde a los equipos jurídicos de cada entidad contratante realizar la verificación previa y concreta de las eventuales inhabilidades, incompatibilidades y de los posibles conflictos de interés en cada proceso, a fin de asegurar el cumplimiento del principio de legalidad y la protección de los principios de transparencia, moralidad e imparcialidad en la contratación estatal.</w:t>
      </w:r>
    </w:p>
    <w:p w14:paraId="3C1AA243"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64CFA5C0"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Esa verificación se enmarca, en primer lugar, en el deber de planeación. Los estudios y documentos previos constituyen el soporte del proyecto de pliego de condiciones, del pliego y del contrato, conforme al artículo 2.2.1.1.2.1.1 del Decreto 1082 de 2015, y deben permanecer a disposición del público durante el desarrollo del proceso de contratación. Es allí donde la entidad documenta la necesidad, define los requisitos habilitantes y precisa las reglas conforme a las cuales verificará la capacidad del interesado.</w:t>
      </w:r>
    </w:p>
    <w:p w14:paraId="0D16A68C"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38FFFCA3"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En segundo lugar, corresponde a la entidad fijar en el pliego de condiciones o documento equivalente las reglas de verificación, incluidas las relativas a los </w:t>
      </w:r>
      <w:r>
        <w:rPr>
          <w:rFonts w:ascii="Verdana" w:hAnsi="Verdana" w:cs="Arial"/>
          <w:bCs/>
          <w:szCs w:val="24"/>
          <w:lang w:val="es-ES_tradnl" w:eastAsia="es-ES_tradnl"/>
        </w:rPr>
        <w:lastRenderedPageBreak/>
        <w:t>conflictos de interés que, en los términos ya expuestos, decida tipificar. Esta exigencia no es meramente formal: como se indicó, solo pueden aplicarse los conflictos de interés tipificados en el pliego, en la Constitución o en la ley, de manera que la omisión en el pliego impide su aplicación posterior.</w:t>
      </w:r>
    </w:p>
    <w:p w14:paraId="4F8BC065"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3F60D1F6"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En cuanto a los documentos que el interesado debería aportar o conservar, debe señalarse que su determinación concreta corresponde a cada entidad, en función de las reglas que fije en el respectivo proceso. Con carácter general puede indicarse que resultan pertinentes los que acrediten su identificación y capacidad, los que soporten la idoneidad y experiencia exigidas para el objeto contractual, las certificaciones de antecedentes que la entidad requiera y las manifestaciones o declaraciones sobre ausencia de inhabilidades, incompatibilidades y conflictos de interés en los formatos que la entidad disponga. </w:t>
      </w:r>
    </w:p>
    <w:p w14:paraId="00639A18"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081B4863" w14:textId="77777777" w:rsidR="00A7088E" w:rsidRPr="00A0389A"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Finalmente, es preciso reiterar que la verificación descrita corresponde a la entidad contratante y no a esta Agencia. Colombia Compra Eficiente no valida las actuaciones de las entidades ni certifica de manera anticipada, respecto de una persona determinada, la ausencia de restricciones para contratar. Un pronunciamiento en ese sentido desbordaría su competencia consultiva y comprometería la autonomía de las entidades en la gestión de sus procesos contractuales.</w:t>
      </w:r>
    </w:p>
    <w:p w14:paraId="19B4C440" w14:textId="77777777" w:rsidR="00A7088E" w:rsidRDefault="00A7088E" w:rsidP="00A7088E">
      <w:pPr>
        <w:spacing w:after="0" w:line="240" w:lineRule="auto"/>
        <w:jc w:val="both"/>
        <w:rPr>
          <w:rFonts w:ascii="Verdana" w:hAnsi="Verdana" w:cs="Arial"/>
          <w:b/>
          <w:bCs/>
          <w:color w:val="000000"/>
          <w:lang w:val="es-ES"/>
        </w:rPr>
      </w:pPr>
    </w:p>
    <w:p w14:paraId="46D99BA3" w14:textId="77777777" w:rsidR="00A7088E" w:rsidRDefault="00A7088E" w:rsidP="00A7088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534A95A" w14:textId="77777777" w:rsidR="00A7088E" w:rsidRPr="00A0389A" w:rsidRDefault="00A7088E" w:rsidP="00A7088E">
      <w:pPr>
        <w:spacing w:after="0" w:line="276" w:lineRule="auto"/>
        <w:jc w:val="both"/>
        <w:rPr>
          <w:rFonts w:ascii="Verdana" w:hAnsi="Verdana" w:cs="Arial"/>
          <w:bCs/>
          <w:szCs w:val="24"/>
          <w:lang w:val="es-ES_tradnl" w:eastAsia="es-ES_tradnl"/>
        </w:rPr>
      </w:pPr>
    </w:p>
    <w:p w14:paraId="7051977E" w14:textId="77777777" w:rsidR="00A7088E" w:rsidRPr="009037F6" w:rsidRDefault="00A7088E" w:rsidP="00A7088E">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jurisprudenciales y otras fuentes </w:t>
      </w:r>
    </w:p>
    <w:p w14:paraId="052DA6A7" w14:textId="77777777" w:rsidR="00A7088E" w:rsidRPr="009037F6" w:rsidRDefault="00A7088E" w:rsidP="00A7088E">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7088E" w:rsidRPr="009037F6" w14:paraId="1E403394" w14:textId="77777777" w:rsidTr="00392AF5">
        <w:trPr>
          <w:trHeight w:val="487"/>
          <w:jc w:val="center"/>
        </w:trPr>
        <w:tc>
          <w:tcPr>
            <w:tcW w:w="8647" w:type="dxa"/>
          </w:tcPr>
          <w:p w14:paraId="435EFB1B"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lastRenderedPageBreak/>
              <w:t>Constitución Política, artículos 13, 14, 26, 122 (inciso quinto), 126, 127, 128, 150, 179, 180, 209, 292, 299, 303, 312 y 333.</w:t>
            </w:r>
          </w:p>
          <w:p w14:paraId="2DD41B9E"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4 de 1992, artículo 19 (literal b).</w:t>
            </w:r>
          </w:p>
          <w:p w14:paraId="3D3449F3"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80 de 1993, artículos 3, 5, 6, 8, 9, 10, 13, 24, 25, 26, 32 y 40.</w:t>
            </w:r>
          </w:p>
          <w:p w14:paraId="1A05C90B"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222 de 1995, artículo 22.</w:t>
            </w:r>
          </w:p>
          <w:p w14:paraId="6AFE75B3"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610 de 2000, artículo 60.</w:t>
            </w:r>
          </w:p>
          <w:p w14:paraId="3EF6318A"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1150 de 2007, artículos 2, 5, 6 y 18.</w:t>
            </w:r>
          </w:p>
          <w:p w14:paraId="05D748FD"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1437 de 2011, artículos 11 y 12.</w:t>
            </w:r>
          </w:p>
          <w:p w14:paraId="2F17BAD3"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1474 de 2011, artículos 1, 2, 3, 4, 5 y 90.</w:t>
            </w:r>
          </w:p>
          <w:p w14:paraId="3C66EADF"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1755 de 2015.</w:t>
            </w:r>
          </w:p>
          <w:p w14:paraId="534D4C05"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1778 de 2016, artículo 34.</w:t>
            </w:r>
          </w:p>
          <w:p w14:paraId="576A41F1"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1952 de 2019, artículos 44, 48, 49 y 238.</w:t>
            </w:r>
          </w:p>
          <w:p w14:paraId="2270AA7F"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2013 de 2019, artículos 1 y 2.</w:t>
            </w:r>
          </w:p>
          <w:p w14:paraId="57498BD9"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2014 de 2019, artículos 2 y 6.</w:t>
            </w:r>
          </w:p>
          <w:p w14:paraId="3B86E923"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2195 de 2022.</w:t>
            </w:r>
          </w:p>
          <w:p w14:paraId="41AAAD5F"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Decreto Ley 4170 de 2011, artículos 3 (numeral 5) y 11 (numeral 8).</w:t>
            </w:r>
          </w:p>
          <w:p w14:paraId="4BC9DE31"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Decreto 1082 de 2015, artículos 2.2.1.1.1.3.1, 2.2.1.1.2.1.1 y 2.2.1.2.1.4.9.</w:t>
            </w:r>
          </w:p>
          <w:p w14:paraId="1A5DDEFC" w14:textId="77777777" w:rsidR="00A7088E" w:rsidRDefault="00A7088E" w:rsidP="00392AF5">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Código Sustantivo del Trabajo, artículo 32.</w:t>
            </w:r>
          </w:p>
        </w:tc>
      </w:tr>
    </w:tbl>
    <w:p w14:paraId="200779ED" w14:textId="77777777" w:rsidR="00A7088E" w:rsidRPr="009037F6" w:rsidRDefault="00A7088E" w:rsidP="00A7088E">
      <w:pPr>
        <w:widowControl w:val="0"/>
        <w:autoSpaceDE w:val="0"/>
        <w:autoSpaceDN w:val="0"/>
        <w:spacing w:after="0" w:line="276" w:lineRule="auto"/>
        <w:jc w:val="both"/>
        <w:rPr>
          <w:rFonts w:ascii="Verdana" w:hAnsi="Verdana" w:cs="Arial"/>
        </w:rPr>
      </w:pPr>
    </w:p>
    <w:p w14:paraId="59DD45AC" w14:textId="77777777" w:rsidR="00A7088E" w:rsidRPr="009037F6" w:rsidRDefault="00A7088E" w:rsidP="00A7088E">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18C6C9C1" w14:textId="77777777" w:rsidR="00A7088E" w:rsidRPr="009037F6" w:rsidRDefault="00A7088E" w:rsidP="00A7088E">
      <w:pPr>
        <w:widowControl w:val="0"/>
        <w:autoSpaceDE w:val="0"/>
        <w:autoSpaceDN w:val="0"/>
        <w:spacing w:after="0" w:line="276" w:lineRule="auto"/>
        <w:jc w:val="both"/>
        <w:rPr>
          <w:rFonts w:ascii="Verdana" w:hAnsi="Verdana" w:cs="Arial"/>
        </w:rPr>
      </w:pPr>
    </w:p>
    <w:p w14:paraId="1D36A4AB" w14:textId="77777777" w:rsidR="00A7088E" w:rsidRDefault="00A7088E" w:rsidP="00A7088E">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t xml:space="preserve">Esta Subdirección se ha pronunciado en varias ocasiones sobre el régimen de inhabilidades e incompatibilidades en la contratación estatal, entre otros, en los Conceptos C-975 de 2024, C-043 de 2025, C-827 de 2025, C-884 del 14 de agosto de 2025, C-948 del 19 de agosto de 2025, C-951 de 2025, C-1028 de 2025, C-1107 de 2025, C-1141 de 2025 y C-1878 del 9 de febrero de 2026. Sobre la capacidad para contratar y su verificación se pronunció, entre otros, en los Conceptos C-136 de 2024, C-332 de 2024, C-060 de 2025, C-233 de 2025 y </w:t>
      </w:r>
      <w:r>
        <w:rPr>
          <w:rFonts w:ascii="Verdana" w:hAnsi="Verdana" w:cs="Arial"/>
          <w:shd w:val="clear" w:color="auto" w:fill="FFFFFF"/>
        </w:rPr>
        <w:lastRenderedPageBreak/>
        <w:t>C-691 de 2025. Y sobre la inaplicabilidad del artículo 128 de la Constitución Política a los contratistas de prestación de servicios, así como sobre la posibilidad de celebrar varios contratos de esta naturaleza de forma simultánea, en los Conceptos C-327 del 26 de agosto de 2024 y C-418 del 17 de junio de 2025.</w:t>
      </w:r>
    </w:p>
    <w:p w14:paraId="5457E666" w14:textId="77777777" w:rsidR="00A7088E" w:rsidRDefault="00A7088E" w:rsidP="00A7088E">
      <w:pPr>
        <w:widowControl w:val="0"/>
        <w:autoSpaceDE w:val="0"/>
        <w:autoSpaceDN w:val="0"/>
        <w:spacing w:after="0" w:line="276" w:lineRule="auto"/>
        <w:jc w:val="both"/>
        <w:rPr>
          <w:rStyle w:val="normaltextrun"/>
          <w:rFonts w:ascii="Verdana" w:hAnsi="Verdana" w:cs="Arial"/>
          <w:shd w:val="clear" w:color="auto" w:fill="FFFFFF"/>
        </w:rPr>
      </w:pPr>
    </w:p>
    <w:p w14:paraId="4B2EAC53" w14:textId="77777777" w:rsidR="00A7088E" w:rsidRPr="00AD7D5F" w:rsidRDefault="00A7088E" w:rsidP="00A7088E">
      <w:pPr>
        <w:widowControl w:val="0"/>
        <w:autoSpaceDE w:val="0"/>
        <w:autoSpaceDN w:val="0"/>
        <w:spacing w:after="0" w:line="276" w:lineRule="auto"/>
        <w:jc w:val="both"/>
        <w:rPr>
          <w:rFonts w:ascii="Verdana" w:eastAsia="Calibri" w:hAnsi="Verdana" w:cs="Arial"/>
          <w:lang w:val="es-ES"/>
        </w:rPr>
      </w:pPr>
      <w:r>
        <w:rPr>
          <w:rStyle w:val="normaltextrun"/>
          <w:rFonts w:ascii="Verdana" w:hAnsi="Verdana" w:cs="Arial"/>
          <w:shd w:val="clear" w:color="auto" w:fill="FFFFFF"/>
        </w:rPr>
        <w:t>En materia de conflicto de intereses se ha pronunciado, entre otros, en los Conceptos C-795 de 2024, C-426 de 2025, C-524 de 2025, C-546 de 2025, C-884 del 14 de agosto de 2025, C-1005 del 3 de septiembre de 2025 y C-1463 de 2025.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895BAC0" w14:textId="77777777" w:rsidR="00A7088E" w:rsidRPr="009037F6" w:rsidRDefault="00A7088E" w:rsidP="00A7088E">
      <w:pPr>
        <w:spacing w:after="0" w:line="256" w:lineRule="auto"/>
        <w:jc w:val="both"/>
        <w:rPr>
          <w:rFonts w:ascii="Verdana" w:eastAsia="Calibri" w:hAnsi="Verdana" w:cs="Times New Roman"/>
        </w:rPr>
      </w:pPr>
      <w:hyperlink r:id="rId12" w:history="1">
        <w:r w:rsidRPr="009037F6">
          <w:rPr>
            <w:rFonts w:ascii="Verdana" w:eastAsia="Calibri" w:hAnsi="Verdana" w:cs="Times New Roman"/>
            <w:color w:val="0000FF"/>
            <w:u w:val="single"/>
            <w:lang w:val="es-ES"/>
          </w:rPr>
          <w:t>https://relatoria.colombiacompra.gov.co/busqueda/conceptos</w:t>
        </w:r>
      </w:hyperlink>
    </w:p>
    <w:p w14:paraId="032A4659" w14:textId="77777777" w:rsidR="00A7088E" w:rsidRPr="009037F6" w:rsidRDefault="00A7088E" w:rsidP="00A7088E">
      <w:pPr>
        <w:spacing w:after="0"/>
        <w:jc w:val="both"/>
        <w:rPr>
          <w:rFonts w:ascii="Verdana" w:hAnsi="Verdana"/>
        </w:rPr>
      </w:pPr>
    </w:p>
    <w:p w14:paraId="07D97BB5" w14:textId="77777777" w:rsidR="00A7088E" w:rsidRDefault="00A7088E" w:rsidP="00A7088E">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3D6B8B26" w14:textId="77777777" w:rsidR="00A7088E" w:rsidRPr="009A385A" w:rsidRDefault="00A7088E" w:rsidP="00A7088E">
      <w:pPr>
        <w:spacing w:after="0"/>
        <w:jc w:val="both"/>
        <w:rPr>
          <w:rFonts w:ascii="Verdana" w:hAnsi="Verdana"/>
        </w:rPr>
      </w:pPr>
    </w:p>
    <w:p w14:paraId="61C60AB5" w14:textId="77777777" w:rsidR="00A7088E" w:rsidRDefault="00A7088E" w:rsidP="00A7088E">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0595B17A" w14:textId="77777777" w:rsidR="00A7088E" w:rsidRDefault="00A7088E" w:rsidP="00A7088E">
      <w:pPr>
        <w:spacing w:after="0"/>
        <w:jc w:val="both"/>
        <w:rPr>
          <w:rFonts w:ascii="Verdana" w:hAnsi="Verdana"/>
        </w:rPr>
      </w:pPr>
    </w:p>
    <w:p w14:paraId="5AC64220" w14:textId="77777777" w:rsidR="00A7088E" w:rsidRPr="008E1CD7" w:rsidRDefault="00A7088E" w:rsidP="00A7088E">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 xml:space="preserve">Guía para la comprensión e implementación de los </w:t>
      </w:r>
      <w:r w:rsidRPr="009A385A">
        <w:rPr>
          <w:rFonts w:ascii="Verdana" w:hAnsi="Verdana"/>
          <w:b/>
          <w:bCs/>
        </w:rPr>
        <w:lastRenderedPageBreak/>
        <w:t>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2E3B74C" w14:textId="77777777" w:rsidR="00A7088E" w:rsidRDefault="00A7088E" w:rsidP="00A7088E">
      <w:pPr>
        <w:shd w:val="clear" w:color="auto" w:fill="FFFFFF"/>
        <w:spacing w:after="0" w:line="276" w:lineRule="auto"/>
        <w:jc w:val="both"/>
        <w:rPr>
          <w:rFonts w:ascii="Verdana" w:hAnsi="Verdana"/>
          <w:color w:val="000000"/>
          <w:u w:val="single"/>
        </w:rPr>
      </w:pPr>
    </w:p>
    <w:p w14:paraId="74FB80C6" w14:textId="77777777" w:rsidR="00A7088E" w:rsidRPr="0038088D" w:rsidRDefault="00A7088E" w:rsidP="00A7088E">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6F88258A" w14:textId="77777777" w:rsidR="00A7088E" w:rsidRPr="0038088D" w:rsidRDefault="00A7088E" w:rsidP="00A7088E">
      <w:pPr>
        <w:spacing w:after="0"/>
        <w:jc w:val="both"/>
        <w:rPr>
          <w:rFonts w:ascii="Verdana" w:hAnsi="Verdana"/>
        </w:rPr>
      </w:pPr>
    </w:p>
    <w:p w14:paraId="55150868" w14:textId="77777777" w:rsidR="00A7088E" w:rsidRPr="0038088D" w:rsidRDefault="00A7088E" w:rsidP="00A7088E">
      <w:pPr>
        <w:pStyle w:val="Prrafodelista"/>
        <w:numPr>
          <w:ilvl w:val="0"/>
          <w:numId w:val="15"/>
        </w:numPr>
        <w:spacing w:after="0" w:line="240" w:lineRule="auto"/>
        <w:jc w:val="both"/>
        <w:rPr>
          <w:rFonts w:ascii="Verdana" w:eastAsia="Verdana" w:hAnsi="Verdana" w:cs="Verdana"/>
          <w:color w:val="4472C4"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22F05F91" w14:textId="77777777" w:rsidR="00A7088E" w:rsidRPr="0038088D" w:rsidRDefault="00A7088E" w:rsidP="00A7088E">
      <w:pPr>
        <w:pStyle w:val="Prrafodelista"/>
        <w:numPr>
          <w:ilvl w:val="0"/>
          <w:numId w:val="15"/>
        </w:numPr>
        <w:spacing w:after="0"/>
        <w:rPr>
          <w:rFonts w:ascii="Verdana" w:eastAsia="Verdana" w:hAnsi="Verdana" w:cs="Verdana"/>
          <w:color w:val="4472C4" w:themeColor="accent1"/>
          <w:u w:val="single"/>
        </w:rPr>
      </w:pPr>
      <w:r w:rsidRPr="0038088D">
        <w:rPr>
          <w:rFonts w:ascii="Verdana" w:eastAsia="Verdana" w:hAnsi="Verdana" w:cs="Verdana"/>
        </w:rPr>
        <w:t>Línea en Bogotá (Mesa de servicio</w:t>
      </w:r>
      <w:proofErr w:type="gramStart"/>
      <w:r w:rsidRPr="0038088D">
        <w:rPr>
          <w:rFonts w:ascii="Verdana" w:eastAsia="Verdana" w:hAnsi="Verdana" w:cs="Verdana"/>
        </w:rPr>
        <w:t>):</w:t>
      </w:r>
      <w:r w:rsidRPr="0038088D">
        <w:rPr>
          <w:rStyle w:val="Hipervnculo"/>
          <w:rFonts w:ascii="Verdana" w:hAnsi="Verdana"/>
        </w:rPr>
        <w:t>+</w:t>
      </w:r>
      <w:proofErr w:type="gramEnd"/>
      <w:r w:rsidRPr="0038088D">
        <w:rPr>
          <w:rStyle w:val="Hipervnculo"/>
          <w:rFonts w:ascii="Verdana" w:hAnsi="Verdana"/>
        </w:rPr>
        <w:t>57 601 7456788</w:t>
      </w:r>
    </w:p>
    <w:p w14:paraId="7A8EF2B9" w14:textId="77777777" w:rsidR="00A7088E" w:rsidRPr="0038088D" w:rsidRDefault="00A7088E" w:rsidP="00A7088E">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6">
        <w:r w:rsidRPr="0038088D">
          <w:rPr>
            <w:rStyle w:val="Hipervnculo"/>
            <w:rFonts w:ascii="Verdana" w:eastAsia="Verdana" w:hAnsi="Verdana" w:cs="Verdana"/>
          </w:rPr>
          <w:t>ventanilladeradicacion@colombiacompra.gov.co</w:t>
        </w:r>
      </w:hyperlink>
    </w:p>
    <w:p w14:paraId="5902941F" w14:textId="77777777" w:rsidR="00A7088E" w:rsidRPr="0038088D" w:rsidRDefault="00A7088E" w:rsidP="00A7088E">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Formulario web para</w:t>
      </w:r>
      <w:r w:rsidRPr="0038088D">
        <w:rPr>
          <w:rFonts w:ascii="Verdana" w:eastAsia="Verdana" w:hAnsi="Verdana" w:cs="Verdana"/>
          <w:lang w:val="es"/>
        </w:rPr>
        <w:t xml:space="preserve"> PQRSD: </w:t>
      </w:r>
      <w:hyperlink r:id="rId17">
        <w:r w:rsidRPr="0038088D">
          <w:rPr>
            <w:rStyle w:val="Hipervnculo"/>
            <w:rFonts w:ascii="Verdana" w:eastAsia="Verdana" w:hAnsi="Verdana" w:cs="Verdana"/>
          </w:rPr>
          <w:t>https://www.colombiacompra.gov.co/pqrsd/informacion-importante-antes-de-formular-una-pqrsd</w:t>
        </w:r>
      </w:hyperlink>
    </w:p>
    <w:p w14:paraId="52F95F46" w14:textId="77777777" w:rsidR="00A7088E" w:rsidRPr="0038088D" w:rsidRDefault="00A7088E" w:rsidP="00A7088E">
      <w:pPr>
        <w:spacing w:after="0" w:line="240" w:lineRule="auto"/>
        <w:ind w:left="720"/>
        <w:jc w:val="both"/>
        <w:rPr>
          <w:rFonts w:ascii="Verdana" w:hAnsi="Verdana"/>
        </w:rPr>
      </w:pPr>
    </w:p>
    <w:p w14:paraId="43C8DD7E" w14:textId="77777777" w:rsidR="00A7088E" w:rsidRPr="0038088D" w:rsidRDefault="00A7088E" w:rsidP="00A7088E">
      <w:pPr>
        <w:spacing w:after="0" w:line="240" w:lineRule="auto"/>
        <w:rPr>
          <w:rFonts w:ascii="Verdana" w:hAnsi="Verdana"/>
        </w:rPr>
      </w:pPr>
      <w:r w:rsidRPr="0038088D">
        <w:rPr>
          <w:rFonts w:ascii="Verdana" w:hAnsi="Verdana"/>
        </w:rPr>
        <w:t>Evalúa el servicio que ofrece la Agencia por el canal de atención de PQRSD en el siguiente enlace :</w:t>
      </w:r>
      <w:hyperlink r:id="rId18"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0BE5F52E" w14:textId="77777777" w:rsidR="00A7088E" w:rsidRPr="0038088D" w:rsidRDefault="00A7088E" w:rsidP="00A7088E">
      <w:pPr>
        <w:spacing w:after="0" w:line="240" w:lineRule="auto"/>
        <w:rPr>
          <w:rFonts w:ascii="Verdana" w:hAnsi="Verdana"/>
        </w:rPr>
      </w:pPr>
    </w:p>
    <w:p w14:paraId="0FFBA75A" w14:textId="77777777" w:rsidR="00A7088E" w:rsidRPr="0038088D" w:rsidRDefault="00A7088E" w:rsidP="00A7088E">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444FDFAB" w14:textId="77777777" w:rsidR="00A7088E" w:rsidRPr="00116940" w:rsidRDefault="00A7088E" w:rsidP="00A7088E">
      <w:pPr>
        <w:spacing w:after="0" w:line="240" w:lineRule="auto"/>
        <w:jc w:val="both"/>
        <w:rPr>
          <w:rFonts w:ascii="Verdana" w:hAnsi="Verdana"/>
        </w:rPr>
      </w:pPr>
    </w:p>
    <w:p w14:paraId="474470E6" w14:textId="77777777" w:rsidR="00A7088E" w:rsidRPr="00116940" w:rsidRDefault="00A7088E" w:rsidP="00A7088E">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7ABEFDD" w14:textId="77777777" w:rsidR="00A7088E" w:rsidRPr="00116940" w:rsidRDefault="00A7088E" w:rsidP="00A7088E">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A1DAFA1" w14:textId="77777777" w:rsidR="00A7088E" w:rsidRPr="00E22E6E" w:rsidRDefault="00A7088E" w:rsidP="00A7088E">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FE76BC3" w14:textId="77777777" w:rsidR="00A7088E" w:rsidRPr="009C4035" w:rsidRDefault="00A7088E" w:rsidP="00A7088E">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5C1DDB20" w14:textId="77777777" w:rsidR="00A7088E" w:rsidRPr="00593A5F" w:rsidRDefault="00A7088E" w:rsidP="00A7088E">
      <w:pPr>
        <w:widowControl w:val="0"/>
        <w:autoSpaceDE w:val="0"/>
        <w:autoSpaceDN w:val="0"/>
        <w:spacing w:after="0" w:line="276" w:lineRule="auto"/>
        <w:jc w:val="both"/>
        <w:rPr>
          <w:rFonts w:ascii="Verdana" w:hAnsi="Verdana" w:cs="Arial"/>
          <w:lang w:val="es-ES_tradnl"/>
        </w:rPr>
      </w:pPr>
      <w:r w:rsidRPr="00593A5F">
        <w:rPr>
          <w:rFonts w:ascii="Verdana" w:hAnsi="Verdana" w:cs="Arial"/>
        </w:rPr>
        <w:lastRenderedPageBreak/>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006C38D0" w14:textId="77777777" w:rsidR="00A7088E" w:rsidRDefault="00A7088E" w:rsidP="00A7088E">
      <w:pPr>
        <w:widowControl w:val="0"/>
        <w:autoSpaceDE w:val="0"/>
        <w:autoSpaceDN w:val="0"/>
        <w:spacing w:after="0" w:line="276" w:lineRule="auto"/>
        <w:jc w:val="both"/>
        <w:rPr>
          <w:rFonts w:ascii="Verdana" w:hAnsi="Verdana" w:cs="Arial"/>
        </w:rPr>
      </w:pPr>
    </w:p>
    <w:p w14:paraId="72A67125" w14:textId="6B44058F" w:rsidR="00A7088E" w:rsidRPr="006E399C" w:rsidRDefault="00A7088E" w:rsidP="006E399C">
      <w:pPr>
        <w:spacing w:after="0" w:line="276" w:lineRule="auto"/>
        <w:rPr>
          <w:rFonts w:ascii="Verdana" w:eastAsia="Calibri" w:hAnsi="Verdana" w:cs="Arial"/>
          <w:lang w:val="es-ES" w:eastAsia="es-CO"/>
        </w:rPr>
      </w:pPr>
      <w:r w:rsidRPr="008D539F">
        <w:rPr>
          <w:rFonts w:ascii="Verdana" w:eastAsia="Times New Roman" w:hAnsi="Verdana" w:cs="Arial"/>
          <w:lang w:val="es-ES" w:eastAsia="es-CO"/>
        </w:rPr>
        <w:t>Atentamente,</w:t>
      </w:r>
    </w:p>
    <w:p w14:paraId="764F9C77" w14:textId="77777777" w:rsidR="00A7088E" w:rsidRPr="008D539F" w:rsidRDefault="00A7088E" w:rsidP="00A7088E">
      <w:pPr>
        <w:autoSpaceDE w:val="0"/>
        <w:autoSpaceDN w:val="0"/>
        <w:adjustRightInd w:val="0"/>
        <w:spacing w:after="0" w:line="276" w:lineRule="auto"/>
        <w:rPr>
          <w:rFonts w:ascii="Verdana" w:eastAsia="Calibri" w:hAnsi="Verdana" w:cs="Arial"/>
          <w:noProof/>
          <w:sz w:val="20"/>
          <w:szCs w:val="20"/>
        </w:rPr>
      </w:pPr>
    </w:p>
    <w:p w14:paraId="6732688E" w14:textId="0122B0D5" w:rsidR="00A7088E" w:rsidRPr="008D539F" w:rsidRDefault="006E399C" w:rsidP="00A7088E">
      <w:pPr>
        <w:autoSpaceDE w:val="0"/>
        <w:autoSpaceDN w:val="0"/>
        <w:adjustRightInd w:val="0"/>
        <w:spacing w:after="0" w:line="276" w:lineRule="auto"/>
        <w:jc w:val="center"/>
        <w:rPr>
          <w:rFonts w:ascii="Verdana" w:eastAsia="Calibri" w:hAnsi="Verdana" w:cs="Arial"/>
          <w:noProof/>
          <w:sz w:val="20"/>
          <w:szCs w:val="20"/>
        </w:rPr>
      </w:pPr>
      <w:r>
        <w:rPr>
          <w:noProof/>
        </w:rPr>
        <w:drawing>
          <wp:inline distT="0" distB="0" distL="0" distR="0" wp14:anchorId="2AE69D2B" wp14:editId="6C284087">
            <wp:extent cx="3104515" cy="1336040"/>
            <wp:effectExtent l="0" t="0" r="0" b="0"/>
            <wp:docPr id="903440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4515" cy="1336040"/>
                    </a:xfrm>
                    <a:prstGeom prst="rect">
                      <a:avLst/>
                    </a:prstGeom>
                    <a:noFill/>
                    <a:ln>
                      <a:noFill/>
                    </a:ln>
                  </pic:spPr>
                </pic:pic>
              </a:graphicData>
            </a:graphic>
          </wp:inline>
        </w:drawing>
      </w:r>
    </w:p>
    <w:p w14:paraId="13E1FC03" w14:textId="32AAE86C" w:rsidR="00A7088E" w:rsidRPr="008D539F" w:rsidRDefault="00A7088E" w:rsidP="00A7088E">
      <w:pPr>
        <w:spacing w:after="0" w:line="254" w:lineRule="auto"/>
        <w:jc w:val="center"/>
        <w:rPr>
          <w:rFonts w:ascii="Verdana" w:eastAsia="Times New Roman" w:hAnsi="Verdana" w:cs="Arial"/>
          <w:lang w:eastAsia="es-ES"/>
        </w:rPr>
      </w:pPr>
    </w:p>
    <w:p w14:paraId="5F8DAC32" w14:textId="77777777" w:rsidR="00A7088E" w:rsidRPr="008D539F" w:rsidRDefault="00A7088E" w:rsidP="00A7088E">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A7088E" w:rsidRPr="008D539F" w14:paraId="2513EBB7" w14:textId="77777777" w:rsidTr="00392AF5">
        <w:trPr>
          <w:trHeight w:val="322"/>
        </w:trPr>
        <w:tc>
          <w:tcPr>
            <w:tcW w:w="733" w:type="dxa"/>
            <w:tcBorders>
              <w:top w:val="nil"/>
              <w:left w:val="nil"/>
              <w:bottom w:val="nil"/>
              <w:right w:val="nil"/>
            </w:tcBorders>
            <w:vAlign w:val="center"/>
            <w:hideMark/>
          </w:tcPr>
          <w:p w14:paraId="5913E157" w14:textId="77777777" w:rsidR="00A7088E" w:rsidRPr="008D539F" w:rsidRDefault="00A7088E" w:rsidP="00392AF5">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Elaboró:         </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AB8A503" w14:textId="77777777" w:rsidR="00A7088E" w:rsidRDefault="00A7088E" w:rsidP="00392AF5">
            <w:pPr>
              <w:spacing w:after="0" w:line="254"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 xml:space="preserve">Camilo J Martínez </w:t>
            </w:r>
            <w:proofErr w:type="spellStart"/>
            <w:r>
              <w:rPr>
                <w:rFonts w:ascii="Verdana" w:eastAsia="Times New Roman" w:hAnsi="Verdana" w:cs="Arial"/>
                <w:sz w:val="16"/>
                <w:szCs w:val="16"/>
                <w:lang w:val="es-ES_tradnl" w:eastAsia="es-ES"/>
              </w:rPr>
              <w:t>Martínez</w:t>
            </w:r>
            <w:proofErr w:type="spellEnd"/>
            <w:r>
              <w:rPr>
                <w:rFonts w:ascii="Verdana" w:eastAsia="Times New Roman" w:hAnsi="Verdana" w:cs="Arial"/>
                <w:sz w:val="16"/>
                <w:szCs w:val="16"/>
                <w:lang w:val="es-ES_tradnl" w:eastAsia="es-ES"/>
              </w:rPr>
              <w:t xml:space="preserve"> </w:t>
            </w:r>
          </w:p>
          <w:p w14:paraId="489F5F32" w14:textId="77777777" w:rsidR="00A7088E" w:rsidRPr="008D539F" w:rsidRDefault="00A7088E" w:rsidP="00392AF5">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val="es-ES_tradnl" w:eastAsia="es-ES"/>
              </w:rPr>
              <w:t>Contratista de la Subdirección de Gestión Contractual</w:t>
            </w:r>
          </w:p>
        </w:tc>
      </w:tr>
      <w:tr w:rsidR="00A7088E" w:rsidRPr="008D539F" w14:paraId="21631CCD" w14:textId="77777777" w:rsidTr="00392AF5">
        <w:trPr>
          <w:trHeight w:val="322"/>
        </w:trPr>
        <w:tc>
          <w:tcPr>
            <w:tcW w:w="733" w:type="dxa"/>
            <w:tcBorders>
              <w:top w:val="nil"/>
              <w:left w:val="nil"/>
              <w:bottom w:val="nil"/>
              <w:right w:val="nil"/>
            </w:tcBorders>
            <w:vAlign w:val="center"/>
            <w:hideMark/>
          </w:tcPr>
          <w:p w14:paraId="08468A33" w14:textId="77777777" w:rsidR="00A7088E" w:rsidRPr="008D539F" w:rsidRDefault="00A7088E" w:rsidP="00392AF5">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Revisó: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5307B48" w14:textId="77777777" w:rsidR="00A7088E" w:rsidRDefault="00A7088E" w:rsidP="00392AF5">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 xml:space="preserve">Diana Saavedra  </w:t>
            </w:r>
          </w:p>
          <w:p w14:paraId="7FF627D5" w14:textId="77777777" w:rsidR="00A7088E" w:rsidRPr="008D539F" w:rsidRDefault="00A7088E" w:rsidP="00392AF5">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Contratista de la Subdirección de Gestión Contractual</w:t>
            </w:r>
          </w:p>
        </w:tc>
      </w:tr>
      <w:tr w:rsidR="00A7088E" w:rsidRPr="008D539F" w14:paraId="7B9584F7" w14:textId="77777777" w:rsidTr="00392AF5">
        <w:trPr>
          <w:trHeight w:val="307"/>
        </w:trPr>
        <w:tc>
          <w:tcPr>
            <w:tcW w:w="733" w:type="dxa"/>
            <w:tcBorders>
              <w:top w:val="nil"/>
              <w:left w:val="nil"/>
              <w:bottom w:val="nil"/>
              <w:right w:val="nil"/>
            </w:tcBorders>
            <w:vAlign w:val="center"/>
            <w:hideMark/>
          </w:tcPr>
          <w:p w14:paraId="7254B910" w14:textId="77777777" w:rsidR="00A7088E" w:rsidRPr="008D539F" w:rsidRDefault="00A7088E" w:rsidP="00392AF5">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Aprobó: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74C9DCA" w14:textId="77777777" w:rsidR="00A7088E" w:rsidRPr="008D539F" w:rsidRDefault="00A7088E" w:rsidP="00392AF5">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Carolina Quintero Gacharná</w:t>
            </w:r>
          </w:p>
          <w:p w14:paraId="114E1558" w14:textId="77777777" w:rsidR="00A7088E" w:rsidRPr="008D539F" w:rsidRDefault="00A7088E" w:rsidP="00392AF5">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Subdirectora de Gestión Contractual ANCP – CCE</w:t>
            </w:r>
          </w:p>
        </w:tc>
      </w:tr>
    </w:tbl>
    <w:p w14:paraId="321AFA2F" w14:textId="77777777" w:rsidR="00A7088E" w:rsidRPr="008D539F" w:rsidRDefault="00A7088E" w:rsidP="00A7088E">
      <w:pPr>
        <w:autoSpaceDE w:val="0"/>
        <w:autoSpaceDN w:val="0"/>
        <w:adjustRightInd w:val="0"/>
        <w:spacing w:after="0" w:line="276" w:lineRule="auto"/>
        <w:jc w:val="center"/>
        <w:rPr>
          <w:rFonts w:ascii="Verdana" w:eastAsia="Calibri" w:hAnsi="Verdana" w:cs="Arial"/>
        </w:rPr>
      </w:pPr>
    </w:p>
    <w:p w14:paraId="4FFC99B1" w14:textId="02C74B93" w:rsidR="00A7088E" w:rsidRPr="00593A5F" w:rsidRDefault="00A7088E" w:rsidP="00A7088E">
      <w:pPr>
        <w:widowControl w:val="0"/>
        <w:autoSpaceDE w:val="0"/>
        <w:autoSpaceDN w:val="0"/>
        <w:spacing w:after="0" w:line="276" w:lineRule="auto"/>
        <w:jc w:val="both"/>
        <w:rPr>
          <w:rFonts w:ascii="Verdana" w:hAnsi="Verdana" w:cs="Arial"/>
        </w:rPr>
      </w:pPr>
    </w:p>
    <w:p w14:paraId="28A0F31E" w14:textId="77777777" w:rsidR="00A7088E" w:rsidRPr="00733A56" w:rsidRDefault="00A7088E" w:rsidP="00A7088E">
      <w:pPr>
        <w:rPr>
          <w:lang w:val="es-ES_tradnl"/>
        </w:rPr>
      </w:pPr>
    </w:p>
    <w:p w14:paraId="09A9C901" w14:textId="0D6805D6" w:rsidR="008D539F" w:rsidRPr="00A7088E" w:rsidRDefault="008D539F" w:rsidP="00A7088E"/>
    <w:sectPr w:rsidR="008D539F" w:rsidRPr="00A7088E"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2B1B" w14:textId="77777777" w:rsidR="0060608F" w:rsidRDefault="0060608F" w:rsidP="004A1847">
      <w:pPr>
        <w:spacing w:after="0" w:line="240" w:lineRule="auto"/>
      </w:pPr>
      <w:r>
        <w:separator/>
      </w:r>
    </w:p>
  </w:endnote>
  <w:endnote w:type="continuationSeparator" w:id="0">
    <w:p w14:paraId="5C756F07" w14:textId="77777777" w:rsidR="0060608F" w:rsidRDefault="0060608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2FA85F4B"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751DE8" w:rsidRPr="00751DE8">
      <w:rPr>
        <w:rFonts w:ascii="Verdana" w:eastAsiaTheme="minorEastAsia" w:hAnsi="Verdana"/>
        <w:b/>
        <w:bCs/>
        <w:noProof/>
        <w:sz w:val="16"/>
        <w:szCs w:val="16"/>
      </w:rPr>
      <w:t>19</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C92F" w14:textId="77777777" w:rsidR="0060608F" w:rsidRDefault="0060608F" w:rsidP="004A1847">
      <w:pPr>
        <w:spacing w:after="0" w:line="240" w:lineRule="auto"/>
      </w:pPr>
      <w:r>
        <w:separator/>
      </w:r>
    </w:p>
  </w:footnote>
  <w:footnote w:type="continuationSeparator" w:id="0">
    <w:p w14:paraId="4DEF2625" w14:textId="77777777" w:rsidR="0060608F" w:rsidRDefault="0060608F" w:rsidP="004A1847">
      <w:pPr>
        <w:spacing w:after="0" w:line="240" w:lineRule="auto"/>
      </w:pPr>
      <w:r>
        <w:continuationSeparator/>
      </w:r>
    </w:p>
  </w:footnote>
  <w:footnote w:id="1">
    <w:p w14:paraId="4E1448DC" w14:textId="77777777" w:rsidR="00A7088E" w:rsidRPr="00EF34DB"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 w:id="2">
    <w:p w14:paraId="7B3BF4AA" w14:textId="77777777" w:rsidR="00A7088E" w:rsidRPr="00EF34DB"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AGENCIA NACIONAL DE CONTRATACIÓN PÚBLICA – COLOMBIA COMPRA EFICIENTE. Subdirección de Gestión Contractual. Conceptos C-884 del 14 de agosto de 2025 y C-948 del 19 de agosto de 2025.</w:t>
      </w:r>
    </w:p>
  </w:footnote>
  <w:footnote w:id="3">
    <w:p w14:paraId="4626084E" w14:textId="77777777" w:rsidR="00A7088E" w:rsidRPr="00D92013"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AGENCIA NACIONAL DE CONTRATACIÓN PÚBLICA – COLOMBIA COMPRA EFICIENTE. Subdirección de Gestión Contractual. Conceptos C-552 del 26 de mayo de 2025, C-884 del 14 de agosto de 2025 y C-948 del 19 de agosto de 2025.</w:t>
      </w:r>
    </w:p>
  </w:footnote>
  <w:footnote w:id="4">
    <w:p w14:paraId="3C197D6A" w14:textId="77777777" w:rsidR="00A7088E" w:rsidRPr="00D92013"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AGENCIA NACIONAL DE CONTRATACIÓN PÚBLICA – COLOMBIA COMPRA EFICIENTE. Subdirección de Gestión Contractual. Concepto C-884 del 14 de agosto de 2025. La distinción entre inhabilidades e incompatibilidades allí expuesta se reitera en los Conceptos C-948 del 19 de agosto de 2025 y C-1878 de 2025.</w:t>
      </w:r>
    </w:p>
  </w:footnote>
  <w:footnote w:id="5">
    <w:p w14:paraId="38ED269F" w14:textId="77777777" w:rsidR="00A7088E" w:rsidRPr="00D92013"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Corte Constitucional. Sentencia C-1016 de 2012. M.P. Jorge Iván Palacio.</w:t>
      </w:r>
    </w:p>
  </w:footnote>
  <w:footnote w:id="6">
    <w:p w14:paraId="7CEF76CD" w14:textId="77777777" w:rsidR="00A7088E" w:rsidRPr="00D92013"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Corte Constitucional. Sentencia C-415 de 1994. M.P. Eduardo Cifuentes Muñoz. En el mismo sentido, Sentencias T-1039 de 2006, M.P. Humberto Antonio Sierra Porto; C-903 de 2008, M.P. Jaime Araújo Rentería; y C-101 de 2018, M.P. Gloria Stella Ortiz Delgado. Del Consejo de Estado véanse: Sala de Consulta y Servicio Civil, Concepto del 30 de abril de 2015, Exp. 2251, C.P. Álvaro Namén Vargas; Sección Tercera, Subsección A, Sentencia del 24 de junio de 2015, Exp. 40.635, C.P. Hernán Andrade Rincón (E); y Sección Tercera, Subsección C, Sentencia del 22 de mayo de 2013, Exp. 24.057, C.P. Olga Mélida Valle de De La Hoz.</w:t>
      </w:r>
    </w:p>
  </w:footnote>
  <w:footnote w:id="7">
    <w:p w14:paraId="09AD9CE6" w14:textId="77777777" w:rsidR="00A7088E" w:rsidRPr="00A90CC1"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AGENCIA NACIONAL DE CONTRATACIÓN PÚBLICA – COLOMBIA COMPRA EFICIENTE. Subdirección de Gestión Contractual. Concepto C-327 del 26 de agosto de 2024, reiterado en el Concepto C-418 del 17 de junio de 2025.</w:t>
      </w:r>
    </w:p>
  </w:footnote>
  <w:footnote w:id="8">
    <w:p w14:paraId="6468D1C9" w14:textId="77777777" w:rsidR="00A7088E" w:rsidRPr="008B7CB8" w:rsidRDefault="00A7088E" w:rsidP="00A7088E">
      <w:pPr>
        <w:pStyle w:val="Textonotapie"/>
        <w:jc w:val="both"/>
        <w:rPr>
          <w:lang w:val="es-ES_tradnl"/>
        </w:rPr>
      </w:pPr>
      <w:r>
        <w:rPr>
          <w:rStyle w:val="Refdenotaalpie"/>
        </w:rPr>
        <w:footnoteRef/>
      </w:r>
      <w:r>
        <w:rPr>
          <w:rFonts w:ascii="Verdana" w:hAnsi="Verdana"/>
          <w:sz w:val="16"/>
          <w:szCs w:val="16"/>
          <w:lang w:val="es-ES_tradnl"/>
        </w:rPr>
        <w:t xml:space="preserve"> AGENCIA NACIONAL DE CONTRATACIÓN PÚBLICA – COLOMBIA COMPRA EFICIENTE. Subdirección de Gestión Contractual. Concepto C-1005 del 3 de septiembre de 2025. En el mismo sentido, Concepto C-884 del 14 de agosto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35EADE6A"/>
    <w:lvl w:ilvl="0" w:tplc="080A000F">
      <w:start w:val="1"/>
      <w:numFmt w:val="decimal"/>
      <w:lvlText w:val="%1."/>
      <w:lvlJc w:val="left"/>
      <w:pPr>
        <w:ind w:left="720" w:hanging="36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53CA8"/>
    <w:multiLevelType w:val="hybridMultilevel"/>
    <w:tmpl w:val="8556CC82"/>
    <w:lvl w:ilvl="0" w:tplc="147AD612">
      <w:start w:val="1"/>
      <w:numFmt w:val="decimal"/>
      <w:lvlText w:val="%1."/>
      <w:lvlJc w:val="left"/>
      <w:pPr>
        <w:ind w:left="1065" w:hanging="360"/>
      </w:pPr>
      <w:rPr>
        <w:rFonts w:ascii="Arial" w:hAnsi="Arial" w:cs="Arial" w:hint="default"/>
        <w:b w:val="0"/>
        <w:bCs/>
        <w:sz w:val="22"/>
        <w:szCs w:val="22"/>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2839426">
    <w:abstractNumId w:val="10"/>
  </w:num>
  <w:num w:numId="2" w16cid:durableId="575671387">
    <w:abstractNumId w:val="2"/>
  </w:num>
  <w:num w:numId="3" w16cid:durableId="478959013">
    <w:abstractNumId w:val="8"/>
  </w:num>
  <w:num w:numId="4" w16cid:durableId="114566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566880">
    <w:abstractNumId w:val="2"/>
  </w:num>
  <w:num w:numId="6" w16cid:durableId="699085116">
    <w:abstractNumId w:val="18"/>
  </w:num>
  <w:num w:numId="7" w16cid:durableId="1974751856">
    <w:abstractNumId w:val="9"/>
  </w:num>
  <w:num w:numId="8" w16cid:durableId="1524243295">
    <w:abstractNumId w:val="16"/>
  </w:num>
  <w:num w:numId="9" w16cid:durableId="1693993010">
    <w:abstractNumId w:val="11"/>
  </w:num>
  <w:num w:numId="10" w16cid:durableId="756638953">
    <w:abstractNumId w:val="15"/>
  </w:num>
  <w:num w:numId="11" w16cid:durableId="1511916912">
    <w:abstractNumId w:val="12"/>
  </w:num>
  <w:num w:numId="12" w16cid:durableId="1733693583">
    <w:abstractNumId w:val="0"/>
  </w:num>
  <w:num w:numId="13" w16cid:durableId="2044207265">
    <w:abstractNumId w:val="5"/>
  </w:num>
  <w:num w:numId="14" w16cid:durableId="1715882887">
    <w:abstractNumId w:val="19"/>
  </w:num>
  <w:num w:numId="15" w16cid:durableId="368184482">
    <w:abstractNumId w:val="14"/>
  </w:num>
  <w:num w:numId="16" w16cid:durableId="986013926">
    <w:abstractNumId w:val="6"/>
  </w:num>
  <w:num w:numId="17" w16cid:durableId="173233579">
    <w:abstractNumId w:val="13"/>
  </w:num>
  <w:num w:numId="18" w16cid:durableId="1762485312">
    <w:abstractNumId w:val="22"/>
  </w:num>
  <w:num w:numId="19" w16cid:durableId="390540605">
    <w:abstractNumId w:val="21"/>
  </w:num>
  <w:num w:numId="20" w16cid:durableId="1630667266">
    <w:abstractNumId w:val="1"/>
  </w:num>
  <w:num w:numId="21" w16cid:durableId="686448761">
    <w:abstractNumId w:val="4"/>
  </w:num>
  <w:num w:numId="22" w16cid:durableId="1933010044">
    <w:abstractNumId w:val="7"/>
  </w:num>
  <w:num w:numId="23" w16cid:durableId="1621455384">
    <w:abstractNumId w:val="3"/>
  </w:num>
  <w:num w:numId="24" w16cid:durableId="1864779819">
    <w:abstractNumId w:val="20"/>
  </w:num>
  <w:num w:numId="25" w16cid:durableId="1169062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5660"/>
    <w:rsid w:val="000063E0"/>
    <w:rsid w:val="0001083E"/>
    <w:rsid w:val="000134D5"/>
    <w:rsid w:val="00016F78"/>
    <w:rsid w:val="00030B1D"/>
    <w:rsid w:val="000353BD"/>
    <w:rsid w:val="000401ED"/>
    <w:rsid w:val="000468A1"/>
    <w:rsid w:val="00046945"/>
    <w:rsid w:val="00061B2A"/>
    <w:rsid w:val="000711CF"/>
    <w:rsid w:val="00076D52"/>
    <w:rsid w:val="00080B1D"/>
    <w:rsid w:val="00082362"/>
    <w:rsid w:val="00085031"/>
    <w:rsid w:val="000866ED"/>
    <w:rsid w:val="00087566"/>
    <w:rsid w:val="0009079C"/>
    <w:rsid w:val="000A1514"/>
    <w:rsid w:val="000A1642"/>
    <w:rsid w:val="000A66E5"/>
    <w:rsid w:val="000A683E"/>
    <w:rsid w:val="000B0D04"/>
    <w:rsid w:val="000B0FAA"/>
    <w:rsid w:val="000B19B9"/>
    <w:rsid w:val="000B27F0"/>
    <w:rsid w:val="000C013D"/>
    <w:rsid w:val="000C5A9E"/>
    <w:rsid w:val="000D0334"/>
    <w:rsid w:val="000D1DC8"/>
    <w:rsid w:val="000D4734"/>
    <w:rsid w:val="000D5DA7"/>
    <w:rsid w:val="000E6E2C"/>
    <w:rsid w:val="000F01E9"/>
    <w:rsid w:val="000F078F"/>
    <w:rsid w:val="000F3444"/>
    <w:rsid w:val="000F3E03"/>
    <w:rsid w:val="000F512E"/>
    <w:rsid w:val="000F6486"/>
    <w:rsid w:val="000F7FD4"/>
    <w:rsid w:val="00105C57"/>
    <w:rsid w:val="00105E1D"/>
    <w:rsid w:val="001161CA"/>
    <w:rsid w:val="001168F2"/>
    <w:rsid w:val="00116940"/>
    <w:rsid w:val="00125105"/>
    <w:rsid w:val="00127233"/>
    <w:rsid w:val="001328F3"/>
    <w:rsid w:val="00134724"/>
    <w:rsid w:val="001428DC"/>
    <w:rsid w:val="00151D59"/>
    <w:rsid w:val="001521B3"/>
    <w:rsid w:val="0015699B"/>
    <w:rsid w:val="00165609"/>
    <w:rsid w:val="00171640"/>
    <w:rsid w:val="00174D6E"/>
    <w:rsid w:val="00180954"/>
    <w:rsid w:val="0018679F"/>
    <w:rsid w:val="0019045D"/>
    <w:rsid w:val="00192805"/>
    <w:rsid w:val="0019787F"/>
    <w:rsid w:val="001A33BF"/>
    <w:rsid w:val="001A35A7"/>
    <w:rsid w:val="001A5968"/>
    <w:rsid w:val="001B24C7"/>
    <w:rsid w:val="001B49B3"/>
    <w:rsid w:val="001C1EB2"/>
    <w:rsid w:val="001C5AE4"/>
    <w:rsid w:val="001C61B3"/>
    <w:rsid w:val="001D02CC"/>
    <w:rsid w:val="001D16E0"/>
    <w:rsid w:val="001D64AE"/>
    <w:rsid w:val="001E2E05"/>
    <w:rsid w:val="001E4177"/>
    <w:rsid w:val="001F0B24"/>
    <w:rsid w:val="001F5903"/>
    <w:rsid w:val="001F5DD0"/>
    <w:rsid w:val="001F7DC6"/>
    <w:rsid w:val="002022E0"/>
    <w:rsid w:val="00207466"/>
    <w:rsid w:val="00211A12"/>
    <w:rsid w:val="00211E12"/>
    <w:rsid w:val="00212AD1"/>
    <w:rsid w:val="00216E4C"/>
    <w:rsid w:val="00217FCA"/>
    <w:rsid w:val="002209DE"/>
    <w:rsid w:val="0022400B"/>
    <w:rsid w:val="0023515D"/>
    <w:rsid w:val="002421BB"/>
    <w:rsid w:val="00242F3E"/>
    <w:rsid w:val="00253436"/>
    <w:rsid w:val="002543AD"/>
    <w:rsid w:val="0025796E"/>
    <w:rsid w:val="0026018C"/>
    <w:rsid w:val="00261EDF"/>
    <w:rsid w:val="0026324D"/>
    <w:rsid w:val="00265065"/>
    <w:rsid w:val="0026579C"/>
    <w:rsid w:val="002707A2"/>
    <w:rsid w:val="00275482"/>
    <w:rsid w:val="00277C07"/>
    <w:rsid w:val="0028778F"/>
    <w:rsid w:val="00291AD4"/>
    <w:rsid w:val="00294ADE"/>
    <w:rsid w:val="002951A0"/>
    <w:rsid w:val="002962BC"/>
    <w:rsid w:val="002975A4"/>
    <w:rsid w:val="002A093D"/>
    <w:rsid w:val="002A0DD0"/>
    <w:rsid w:val="002A49AC"/>
    <w:rsid w:val="002A64FD"/>
    <w:rsid w:val="002B730F"/>
    <w:rsid w:val="002C7A84"/>
    <w:rsid w:val="002D3A99"/>
    <w:rsid w:val="002E05EF"/>
    <w:rsid w:val="002E2BF8"/>
    <w:rsid w:val="002E4CFE"/>
    <w:rsid w:val="002E4FD9"/>
    <w:rsid w:val="002F0847"/>
    <w:rsid w:val="002F13DD"/>
    <w:rsid w:val="002F2B42"/>
    <w:rsid w:val="0030657A"/>
    <w:rsid w:val="00311FF5"/>
    <w:rsid w:val="003136DC"/>
    <w:rsid w:val="003156BF"/>
    <w:rsid w:val="00316053"/>
    <w:rsid w:val="00322A85"/>
    <w:rsid w:val="00322C00"/>
    <w:rsid w:val="00322D77"/>
    <w:rsid w:val="00324168"/>
    <w:rsid w:val="00330834"/>
    <w:rsid w:val="003332A8"/>
    <w:rsid w:val="003448F4"/>
    <w:rsid w:val="003475FC"/>
    <w:rsid w:val="00351F93"/>
    <w:rsid w:val="0037228E"/>
    <w:rsid w:val="00374F5E"/>
    <w:rsid w:val="003769E1"/>
    <w:rsid w:val="00377E3E"/>
    <w:rsid w:val="00381BAB"/>
    <w:rsid w:val="003878B3"/>
    <w:rsid w:val="003A26B0"/>
    <w:rsid w:val="003A779E"/>
    <w:rsid w:val="003B0DFC"/>
    <w:rsid w:val="003C0ED7"/>
    <w:rsid w:val="003D0F4D"/>
    <w:rsid w:val="003D3FF4"/>
    <w:rsid w:val="003D494E"/>
    <w:rsid w:val="003D5B0D"/>
    <w:rsid w:val="003E0499"/>
    <w:rsid w:val="003E4915"/>
    <w:rsid w:val="003E4C37"/>
    <w:rsid w:val="003E4F80"/>
    <w:rsid w:val="003E6439"/>
    <w:rsid w:val="003F18C5"/>
    <w:rsid w:val="003F1FD8"/>
    <w:rsid w:val="003F3941"/>
    <w:rsid w:val="003F6DC2"/>
    <w:rsid w:val="00403388"/>
    <w:rsid w:val="00403EFA"/>
    <w:rsid w:val="0040494E"/>
    <w:rsid w:val="00406575"/>
    <w:rsid w:val="004140B3"/>
    <w:rsid w:val="00414C74"/>
    <w:rsid w:val="00416706"/>
    <w:rsid w:val="0042722E"/>
    <w:rsid w:val="0044528D"/>
    <w:rsid w:val="00451137"/>
    <w:rsid w:val="00452650"/>
    <w:rsid w:val="004555EA"/>
    <w:rsid w:val="004576CF"/>
    <w:rsid w:val="0045785F"/>
    <w:rsid w:val="00464ACB"/>
    <w:rsid w:val="00466E39"/>
    <w:rsid w:val="004768AE"/>
    <w:rsid w:val="00484E40"/>
    <w:rsid w:val="0048787A"/>
    <w:rsid w:val="00492A06"/>
    <w:rsid w:val="00492C4A"/>
    <w:rsid w:val="00494F04"/>
    <w:rsid w:val="004A0841"/>
    <w:rsid w:val="004A0A0B"/>
    <w:rsid w:val="004A0E5C"/>
    <w:rsid w:val="004A1847"/>
    <w:rsid w:val="004A305D"/>
    <w:rsid w:val="004B3DAC"/>
    <w:rsid w:val="004B5C63"/>
    <w:rsid w:val="004B73B9"/>
    <w:rsid w:val="004C0DBB"/>
    <w:rsid w:val="004D2B6F"/>
    <w:rsid w:val="004E2B92"/>
    <w:rsid w:val="004F21C4"/>
    <w:rsid w:val="004F685F"/>
    <w:rsid w:val="005000A1"/>
    <w:rsid w:val="00503361"/>
    <w:rsid w:val="005062AF"/>
    <w:rsid w:val="00513BF7"/>
    <w:rsid w:val="00515A4E"/>
    <w:rsid w:val="00515B28"/>
    <w:rsid w:val="00515F6A"/>
    <w:rsid w:val="00517955"/>
    <w:rsid w:val="005229DB"/>
    <w:rsid w:val="00524422"/>
    <w:rsid w:val="00534886"/>
    <w:rsid w:val="005365D9"/>
    <w:rsid w:val="00536A0E"/>
    <w:rsid w:val="0055262A"/>
    <w:rsid w:val="00553040"/>
    <w:rsid w:val="005566E8"/>
    <w:rsid w:val="00560892"/>
    <w:rsid w:val="005648EC"/>
    <w:rsid w:val="00570B00"/>
    <w:rsid w:val="00572622"/>
    <w:rsid w:val="00573280"/>
    <w:rsid w:val="005746D5"/>
    <w:rsid w:val="00574867"/>
    <w:rsid w:val="00591460"/>
    <w:rsid w:val="00592C94"/>
    <w:rsid w:val="005A2CAB"/>
    <w:rsid w:val="005A4AF9"/>
    <w:rsid w:val="005A5114"/>
    <w:rsid w:val="005A52A7"/>
    <w:rsid w:val="005A57A5"/>
    <w:rsid w:val="005A65E0"/>
    <w:rsid w:val="005C0881"/>
    <w:rsid w:val="005C3777"/>
    <w:rsid w:val="005C5CDC"/>
    <w:rsid w:val="005D2566"/>
    <w:rsid w:val="005D476C"/>
    <w:rsid w:val="005D7628"/>
    <w:rsid w:val="005F20A4"/>
    <w:rsid w:val="00600D92"/>
    <w:rsid w:val="00603C5B"/>
    <w:rsid w:val="0060608F"/>
    <w:rsid w:val="00611CE6"/>
    <w:rsid w:val="006137E1"/>
    <w:rsid w:val="00615105"/>
    <w:rsid w:val="00617200"/>
    <w:rsid w:val="00617E91"/>
    <w:rsid w:val="006200BF"/>
    <w:rsid w:val="0062143E"/>
    <w:rsid w:val="006219F8"/>
    <w:rsid w:val="00624A89"/>
    <w:rsid w:val="00624EEC"/>
    <w:rsid w:val="006302F7"/>
    <w:rsid w:val="00640441"/>
    <w:rsid w:val="00645EF9"/>
    <w:rsid w:val="00646B9F"/>
    <w:rsid w:val="00646F24"/>
    <w:rsid w:val="006547C3"/>
    <w:rsid w:val="00660C46"/>
    <w:rsid w:val="00662087"/>
    <w:rsid w:val="00663A04"/>
    <w:rsid w:val="00665D70"/>
    <w:rsid w:val="00672499"/>
    <w:rsid w:val="00684F67"/>
    <w:rsid w:val="0068758B"/>
    <w:rsid w:val="006900D9"/>
    <w:rsid w:val="00696960"/>
    <w:rsid w:val="0069741A"/>
    <w:rsid w:val="006A2BE4"/>
    <w:rsid w:val="006A6BF4"/>
    <w:rsid w:val="006B4707"/>
    <w:rsid w:val="006C38A9"/>
    <w:rsid w:val="006D13BA"/>
    <w:rsid w:val="006D1D21"/>
    <w:rsid w:val="006D2B34"/>
    <w:rsid w:val="006D591D"/>
    <w:rsid w:val="006D64EE"/>
    <w:rsid w:val="006E3854"/>
    <w:rsid w:val="006E399C"/>
    <w:rsid w:val="006F2238"/>
    <w:rsid w:val="006F4199"/>
    <w:rsid w:val="007009D7"/>
    <w:rsid w:val="007025D7"/>
    <w:rsid w:val="00706C16"/>
    <w:rsid w:val="0071557C"/>
    <w:rsid w:val="0071784D"/>
    <w:rsid w:val="00720597"/>
    <w:rsid w:val="00722A5A"/>
    <w:rsid w:val="00723639"/>
    <w:rsid w:val="00731F30"/>
    <w:rsid w:val="00733C96"/>
    <w:rsid w:val="007340C3"/>
    <w:rsid w:val="007344B2"/>
    <w:rsid w:val="007345D5"/>
    <w:rsid w:val="0073510E"/>
    <w:rsid w:val="00741631"/>
    <w:rsid w:val="007458D3"/>
    <w:rsid w:val="00751DE8"/>
    <w:rsid w:val="0075235A"/>
    <w:rsid w:val="00752CDB"/>
    <w:rsid w:val="0075557D"/>
    <w:rsid w:val="00756841"/>
    <w:rsid w:val="007649AB"/>
    <w:rsid w:val="0076653D"/>
    <w:rsid w:val="00771AEF"/>
    <w:rsid w:val="00771D0C"/>
    <w:rsid w:val="00782ED2"/>
    <w:rsid w:val="007833AC"/>
    <w:rsid w:val="007853FB"/>
    <w:rsid w:val="00795086"/>
    <w:rsid w:val="007A037B"/>
    <w:rsid w:val="007A1830"/>
    <w:rsid w:val="007A2615"/>
    <w:rsid w:val="007A5F70"/>
    <w:rsid w:val="007B268C"/>
    <w:rsid w:val="007B7171"/>
    <w:rsid w:val="007C0C0F"/>
    <w:rsid w:val="007C3DC2"/>
    <w:rsid w:val="007C4353"/>
    <w:rsid w:val="007D3058"/>
    <w:rsid w:val="007D4B12"/>
    <w:rsid w:val="007E43AC"/>
    <w:rsid w:val="007E5497"/>
    <w:rsid w:val="00803584"/>
    <w:rsid w:val="00806F5F"/>
    <w:rsid w:val="008103F6"/>
    <w:rsid w:val="00820278"/>
    <w:rsid w:val="00820488"/>
    <w:rsid w:val="0082071A"/>
    <w:rsid w:val="008258C9"/>
    <w:rsid w:val="00830893"/>
    <w:rsid w:val="00833286"/>
    <w:rsid w:val="00836232"/>
    <w:rsid w:val="00841E29"/>
    <w:rsid w:val="008440A2"/>
    <w:rsid w:val="00844AE9"/>
    <w:rsid w:val="00845EF6"/>
    <w:rsid w:val="0085545E"/>
    <w:rsid w:val="00857CF9"/>
    <w:rsid w:val="00867E8A"/>
    <w:rsid w:val="00867F95"/>
    <w:rsid w:val="00871AAC"/>
    <w:rsid w:val="00875356"/>
    <w:rsid w:val="008753FD"/>
    <w:rsid w:val="00876B28"/>
    <w:rsid w:val="008843B6"/>
    <w:rsid w:val="00886410"/>
    <w:rsid w:val="00891928"/>
    <w:rsid w:val="00891A0E"/>
    <w:rsid w:val="008A2B6F"/>
    <w:rsid w:val="008A3BF4"/>
    <w:rsid w:val="008A446D"/>
    <w:rsid w:val="008B0D0F"/>
    <w:rsid w:val="008B25F1"/>
    <w:rsid w:val="008B7CB8"/>
    <w:rsid w:val="008C11FD"/>
    <w:rsid w:val="008C4DD5"/>
    <w:rsid w:val="008C517A"/>
    <w:rsid w:val="008C6AE5"/>
    <w:rsid w:val="008C7B44"/>
    <w:rsid w:val="008D1660"/>
    <w:rsid w:val="008D180B"/>
    <w:rsid w:val="008D1C25"/>
    <w:rsid w:val="008D539F"/>
    <w:rsid w:val="008F0EA7"/>
    <w:rsid w:val="008F17DC"/>
    <w:rsid w:val="008F4334"/>
    <w:rsid w:val="008F553F"/>
    <w:rsid w:val="008F5838"/>
    <w:rsid w:val="008F6705"/>
    <w:rsid w:val="00901213"/>
    <w:rsid w:val="009026A9"/>
    <w:rsid w:val="009037F6"/>
    <w:rsid w:val="00904F32"/>
    <w:rsid w:val="0091143C"/>
    <w:rsid w:val="00917048"/>
    <w:rsid w:val="00920817"/>
    <w:rsid w:val="00922205"/>
    <w:rsid w:val="00923EEF"/>
    <w:rsid w:val="00933E3F"/>
    <w:rsid w:val="009378E3"/>
    <w:rsid w:val="009419F9"/>
    <w:rsid w:val="009450F4"/>
    <w:rsid w:val="0094710A"/>
    <w:rsid w:val="0094744A"/>
    <w:rsid w:val="009500D5"/>
    <w:rsid w:val="00954348"/>
    <w:rsid w:val="0095685E"/>
    <w:rsid w:val="00961B09"/>
    <w:rsid w:val="00963E12"/>
    <w:rsid w:val="00964321"/>
    <w:rsid w:val="00965334"/>
    <w:rsid w:val="0097093E"/>
    <w:rsid w:val="009722DE"/>
    <w:rsid w:val="00982C25"/>
    <w:rsid w:val="00984DB3"/>
    <w:rsid w:val="00992E19"/>
    <w:rsid w:val="00997AFF"/>
    <w:rsid w:val="009A0486"/>
    <w:rsid w:val="009A0DFA"/>
    <w:rsid w:val="009A3A4C"/>
    <w:rsid w:val="009A49F3"/>
    <w:rsid w:val="009B200B"/>
    <w:rsid w:val="009B28B9"/>
    <w:rsid w:val="009B2D26"/>
    <w:rsid w:val="009B4B7C"/>
    <w:rsid w:val="009C71FA"/>
    <w:rsid w:val="009C72E7"/>
    <w:rsid w:val="009C7F7E"/>
    <w:rsid w:val="009D10AE"/>
    <w:rsid w:val="009D23F2"/>
    <w:rsid w:val="009D3058"/>
    <w:rsid w:val="009E1F28"/>
    <w:rsid w:val="009E6924"/>
    <w:rsid w:val="009E6EB8"/>
    <w:rsid w:val="009E7AED"/>
    <w:rsid w:val="009F3A13"/>
    <w:rsid w:val="009F46F7"/>
    <w:rsid w:val="009F4B67"/>
    <w:rsid w:val="009F7A6E"/>
    <w:rsid w:val="00A0334B"/>
    <w:rsid w:val="00A0526C"/>
    <w:rsid w:val="00A05BC5"/>
    <w:rsid w:val="00A06E95"/>
    <w:rsid w:val="00A076A6"/>
    <w:rsid w:val="00A122D3"/>
    <w:rsid w:val="00A14468"/>
    <w:rsid w:val="00A17F13"/>
    <w:rsid w:val="00A20739"/>
    <w:rsid w:val="00A23AF9"/>
    <w:rsid w:val="00A25B9A"/>
    <w:rsid w:val="00A31A76"/>
    <w:rsid w:val="00A32D67"/>
    <w:rsid w:val="00A33C78"/>
    <w:rsid w:val="00A53338"/>
    <w:rsid w:val="00A53EB1"/>
    <w:rsid w:val="00A54DC9"/>
    <w:rsid w:val="00A61436"/>
    <w:rsid w:val="00A7088E"/>
    <w:rsid w:val="00A73F45"/>
    <w:rsid w:val="00A8776C"/>
    <w:rsid w:val="00A90CC1"/>
    <w:rsid w:val="00AA1511"/>
    <w:rsid w:val="00AA1E47"/>
    <w:rsid w:val="00AB0ADB"/>
    <w:rsid w:val="00AB436E"/>
    <w:rsid w:val="00AD173A"/>
    <w:rsid w:val="00AD6FC3"/>
    <w:rsid w:val="00AD7D5F"/>
    <w:rsid w:val="00AE0641"/>
    <w:rsid w:val="00AE1F6E"/>
    <w:rsid w:val="00AE3513"/>
    <w:rsid w:val="00AE5023"/>
    <w:rsid w:val="00AE5DD2"/>
    <w:rsid w:val="00AF5A10"/>
    <w:rsid w:val="00B00C0E"/>
    <w:rsid w:val="00B01B1A"/>
    <w:rsid w:val="00B04DA1"/>
    <w:rsid w:val="00B107DB"/>
    <w:rsid w:val="00B11075"/>
    <w:rsid w:val="00B206B6"/>
    <w:rsid w:val="00B234CF"/>
    <w:rsid w:val="00B35656"/>
    <w:rsid w:val="00B35DDD"/>
    <w:rsid w:val="00B37EB5"/>
    <w:rsid w:val="00B44A47"/>
    <w:rsid w:val="00B54271"/>
    <w:rsid w:val="00B5550F"/>
    <w:rsid w:val="00B6149C"/>
    <w:rsid w:val="00B63FC5"/>
    <w:rsid w:val="00B64484"/>
    <w:rsid w:val="00B71FD5"/>
    <w:rsid w:val="00B72CD3"/>
    <w:rsid w:val="00B72FFF"/>
    <w:rsid w:val="00B74092"/>
    <w:rsid w:val="00B74CF7"/>
    <w:rsid w:val="00B759AB"/>
    <w:rsid w:val="00B95DAC"/>
    <w:rsid w:val="00BA2EB9"/>
    <w:rsid w:val="00BA4084"/>
    <w:rsid w:val="00BA703D"/>
    <w:rsid w:val="00BC330F"/>
    <w:rsid w:val="00BC3D36"/>
    <w:rsid w:val="00BC5D42"/>
    <w:rsid w:val="00BC70CB"/>
    <w:rsid w:val="00BD13AC"/>
    <w:rsid w:val="00BD54A6"/>
    <w:rsid w:val="00BD7F72"/>
    <w:rsid w:val="00BF056C"/>
    <w:rsid w:val="00BF112D"/>
    <w:rsid w:val="00BF3B66"/>
    <w:rsid w:val="00BF5C08"/>
    <w:rsid w:val="00BF7425"/>
    <w:rsid w:val="00C04FB3"/>
    <w:rsid w:val="00C11D8B"/>
    <w:rsid w:val="00C1215D"/>
    <w:rsid w:val="00C1350D"/>
    <w:rsid w:val="00C2359C"/>
    <w:rsid w:val="00C251B0"/>
    <w:rsid w:val="00C330EB"/>
    <w:rsid w:val="00C33F4F"/>
    <w:rsid w:val="00C4112A"/>
    <w:rsid w:val="00C419DF"/>
    <w:rsid w:val="00C45A56"/>
    <w:rsid w:val="00C50D69"/>
    <w:rsid w:val="00C5365C"/>
    <w:rsid w:val="00C619D4"/>
    <w:rsid w:val="00C61D93"/>
    <w:rsid w:val="00C738EE"/>
    <w:rsid w:val="00C7520B"/>
    <w:rsid w:val="00C754BE"/>
    <w:rsid w:val="00C76B1C"/>
    <w:rsid w:val="00C82667"/>
    <w:rsid w:val="00C90C96"/>
    <w:rsid w:val="00C925AC"/>
    <w:rsid w:val="00C94828"/>
    <w:rsid w:val="00C963BE"/>
    <w:rsid w:val="00C96B64"/>
    <w:rsid w:val="00CA2858"/>
    <w:rsid w:val="00CB02F1"/>
    <w:rsid w:val="00CB4124"/>
    <w:rsid w:val="00CB4CE6"/>
    <w:rsid w:val="00CB5735"/>
    <w:rsid w:val="00CB6357"/>
    <w:rsid w:val="00CB6FF3"/>
    <w:rsid w:val="00CC1B26"/>
    <w:rsid w:val="00CC2F6F"/>
    <w:rsid w:val="00CD47CD"/>
    <w:rsid w:val="00CD4C85"/>
    <w:rsid w:val="00CD4D52"/>
    <w:rsid w:val="00CD7FA1"/>
    <w:rsid w:val="00CE3C1C"/>
    <w:rsid w:val="00CE4026"/>
    <w:rsid w:val="00D05ED6"/>
    <w:rsid w:val="00D06146"/>
    <w:rsid w:val="00D0699E"/>
    <w:rsid w:val="00D1210B"/>
    <w:rsid w:val="00D222C0"/>
    <w:rsid w:val="00D22D2B"/>
    <w:rsid w:val="00D334DD"/>
    <w:rsid w:val="00D34EA3"/>
    <w:rsid w:val="00D361FD"/>
    <w:rsid w:val="00D423A2"/>
    <w:rsid w:val="00D44E26"/>
    <w:rsid w:val="00D51A5D"/>
    <w:rsid w:val="00D520D8"/>
    <w:rsid w:val="00D532D4"/>
    <w:rsid w:val="00D552A0"/>
    <w:rsid w:val="00D56F8A"/>
    <w:rsid w:val="00D62B9C"/>
    <w:rsid w:val="00D63AC2"/>
    <w:rsid w:val="00D64111"/>
    <w:rsid w:val="00D64AFC"/>
    <w:rsid w:val="00D72D0B"/>
    <w:rsid w:val="00D7383B"/>
    <w:rsid w:val="00D73DBD"/>
    <w:rsid w:val="00D7541C"/>
    <w:rsid w:val="00D76E7C"/>
    <w:rsid w:val="00D7788A"/>
    <w:rsid w:val="00D82A30"/>
    <w:rsid w:val="00D85F06"/>
    <w:rsid w:val="00D92013"/>
    <w:rsid w:val="00D936A2"/>
    <w:rsid w:val="00DA1F04"/>
    <w:rsid w:val="00DA231B"/>
    <w:rsid w:val="00DB13F4"/>
    <w:rsid w:val="00DB55DA"/>
    <w:rsid w:val="00DB6DDE"/>
    <w:rsid w:val="00DC1EFB"/>
    <w:rsid w:val="00DC39FC"/>
    <w:rsid w:val="00DC7CCB"/>
    <w:rsid w:val="00DE0870"/>
    <w:rsid w:val="00DE18D0"/>
    <w:rsid w:val="00DE6EC3"/>
    <w:rsid w:val="00DE7692"/>
    <w:rsid w:val="00DF5254"/>
    <w:rsid w:val="00E02524"/>
    <w:rsid w:val="00E05E98"/>
    <w:rsid w:val="00E1159D"/>
    <w:rsid w:val="00E1449C"/>
    <w:rsid w:val="00E1451E"/>
    <w:rsid w:val="00E16408"/>
    <w:rsid w:val="00E20894"/>
    <w:rsid w:val="00E22DC2"/>
    <w:rsid w:val="00E23233"/>
    <w:rsid w:val="00E245AB"/>
    <w:rsid w:val="00E27341"/>
    <w:rsid w:val="00E2764C"/>
    <w:rsid w:val="00E27EDD"/>
    <w:rsid w:val="00E27F2E"/>
    <w:rsid w:val="00E306D6"/>
    <w:rsid w:val="00E31225"/>
    <w:rsid w:val="00E501E7"/>
    <w:rsid w:val="00E50AFE"/>
    <w:rsid w:val="00E523D5"/>
    <w:rsid w:val="00E57176"/>
    <w:rsid w:val="00E577E2"/>
    <w:rsid w:val="00E615C4"/>
    <w:rsid w:val="00E71E1B"/>
    <w:rsid w:val="00E75C92"/>
    <w:rsid w:val="00E771DC"/>
    <w:rsid w:val="00E8772A"/>
    <w:rsid w:val="00E90C80"/>
    <w:rsid w:val="00E90F6B"/>
    <w:rsid w:val="00E91AED"/>
    <w:rsid w:val="00E92C27"/>
    <w:rsid w:val="00E96B5C"/>
    <w:rsid w:val="00EA0E3D"/>
    <w:rsid w:val="00EA0EC9"/>
    <w:rsid w:val="00EA0FBD"/>
    <w:rsid w:val="00EA2DC0"/>
    <w:rsid w:val="00EA426C"/>
    <w:rsid w:val="00EA677F"/>
    <w:rsid w:val="00EA68D7"/>
    <w:rsid w:val="00EB224C"/>
    <w:rsid w:val="00EB7BC0"/>
    <w:rsid w:val="00EC006D"/>
    <w:rsid w:val="00EC0844"/>
    <w:rsid w:val="00EC297F"/>
    <w:rsid w:val="00EC38A7"/>
    <w:rsid w:val="00ED3DF5"/>
    <w:rsid w:val="00ED44D6"/>
    <w:rsid w:val="00ED4980"/>
    <w:rsid w:val="00ED5120"/>
    <w:rsid w:val="00EE0E1C"/>
    <w:rsid w:val="00EE1AA8"/>
    <w:rsid w:val="00EE265D"/>
    <w:rsid w:val="00EE3D99"/>
    <w:rsid w:val="00EF1D4F"/>
    <w:rsid w:val="00EF34DB"/>
    <w:rsid w:val="00EF4E4B"/>
    <w:rsid w:val="00EF4E7D"/>
    <w:rsid w:val="00EF5E13"/>
    <w:rsid w:val="00EF647F"/>
    <w:rsid w:val="00F03314"/>
    <w:rsid w:val="00F0580C"/>
    <w:rsid w:val="00F23FEA"/>
    <w:rsid w:val="00F27B7B"/>
    <w:rsid w:val="00F3172F"/>
    <w:rsid w:val="00F31EDC"/>
    <w:rsid w:val="00F34294"/>
    <w:rsid w:val="00F3642F"/>
    <w:rsid w:val="00F462B3"/>
    <w:rsid w:val="00F51CC3"/>
    <w:rsid w:val="00F5664F"/>
    <w:rsid w:val="00F602E0"/>
    <w:rsid w:val="00F666C4"/>
    <w:rsid w:val="00F76AFC"/>
    <w:rsid w:val="00F81BF0"/>
    <w:rsid w:val="00F825DA"/>
    <w:rsid w:val="00F82E88"/>
    <w:rsid w:val="00F85CEC"/>
    <w:rsid w:val="00F86E11"/>
    <w:rsid w:val="00F86E3E"/>
    <w:rsid w:val="00F95C74"/>
    <w:rsid w:val="00FA1B40"/>
    <w:rsid w:val="00FA47C0"/>
    <w:rsid w:val="00FA5FFD"/>
    <w:rsid w:val="00FB33A2"/>
    <w:rsid w:val="00FB5DD1"/>
    <w:rsid w:val="00FC2B5D"/>
    <w:rsid w:val="00FD1DDC"/>
    <w:rsid w:val="00FD2D1F"/>
    <w:rsid w:val="00FD3AD2"/>
    <w:rsid w:val="00FD4AD8"/>
    <w:rsid w:val="00FD59D3"/>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8568B41-9065-4DE9-BFEA-A2F36601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0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BF112D"/>
    <w:rPr>
      <w:color w:val="605E5C"/>
      <w:shd w:val="clear" w:color="auto" w:fill="E1DFDD"/>
    </w:rPr>
  </w:style>
  <w:style w:type="character" w:customStyle="1" w:styleId="s15">
    <w:name w:val="s15"/>
    <w:basedOn w:val="Fuentedeprrafopredeter"/>
    <w:rsid w:val="00922205"/>
  </w:style>
  <w:style w:type="character" w:customStyle="1" w:styleId="NormalWebCar">
    <w:name w:val="Normal (Web) Car"/>
    <w:link w:val="NormalWeb"/>
    <w:uiPriority w:val="99"/>
    <w:rsid w:val="003D3FF4"/>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40">
      <w:bodyDiv w:val="1"/>
      <w:marLeft w:val="0"/>
      <w:marRight w:val="0"/>
      <w:marTop w:val="0"/>
      <w:marBottom w:val="0"/>
      <w:divBdr>
        <w:top w:val="none" w:sz="0" w:space="0" w:color="auto"/>
        <w:left w:val="none" w:sz="0" w:space="0" w:color="auto"/>
        <w:bottom w:val="none" w:sz="0" w:space="0" w:color="auto"/>
        <w:right w:val="none" w:sz="0" w:space="0" w:color="auto"/>
      </w:divBdr>
      <w:divsChild>
        <w:div w:id="258880311">
          <w:marLeft w:val="0"/>
          <w:marRight w:val="0"/>
          <w:marTop w:val="0"/>
          <w:marBottom w:val="0"/>
          <w:divBdr>
            <w:top w:val="none" w:sz="0" w:space="0" w:color="auto"/>
            <w:left w:val="none" w:sz="0" w:space="0" w:color="auto"/>
            <w:bottom w:val="none" w:sz="0" w:space="0" w:color="auto"/>
            <w:right w:val="none" w:sz="0" w:space="0" w:color="auto"/>
          </w:divBdr>
          <w:divsChild>
            <w:div w:id="1294941058">
              <w:marLeft w:val="0"/>
              <w:marRight w:val="0"/>
              <w:marTop w:val="0"/>
              <w:marBottom w:val="0"/>
              <w:divBdr>
                <w:top w:val="none" w:sz="0" w:space="0" w:color="auto"/>
                <w:left w:val="none" w:sz="0" w:space="0" w:color="auto"/>
                <w:bottom w:val="none" w:sz="0" w:space="0" w:color="auto"/>
                <w:right w:val="none" w:sz="0" w:space="0" w:color="auto"/>
              </w:divBdr>
              <w:divsChild>
                <w:div w:id="337932334">
                  <w:marLeft w:val="0"/>
                  <w:marRight w:val="0"/>
                  <w:marTop w:val="0"/>
                  <w:marBottom w:val="0"/>
                  <w:divBdr>
                    <w:top w:val="none" w:sz="0" w:space="0" w:color="auto"/>
                    <w:left w:val="none" w:sz="0" w:space="0" w:color="auto"/>
                    <w:bottom w:val="none" w:sz="0" w:space="0" w:color="auto"/>
                    <w:right w:val="none" w:sz="0" w:space="0" w:color="auto"/>
                  </w:divBdr>
                  <w:divsChild>
                    <w:div w:id="9084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9191">
          <w:marLeft w:val="0"/>
          <w:marRight w:val="0"/>
          <w:marTop w:val="0"/>
          <w:marBottom w:val="0"/>
          <w:divBdr>
            <w:top w:val="none" w:sz="0" w:space="0" w:color="auto"/>
            <w:left w:val="none" w:sz="0" w:space="0" w:color="auto"/>
            <w:bottom w:val="none" w:sz="0" w:space="0" w:color="auto"/>
            <w:right w:val="none" w:sz="0" w:space="0" w:color="auto"/>
          </w:divBdr>
        </w:div>
      </w:divsChild>
    </w:div>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298808619">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42011055">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1898738708">
      <w:bodyDiv w:val="1"/>
      <w:marLeft w:val="0"/>
      <w:marRight w:val="0"/>
      <w:marTop w:val="0"/>
      <w:marBottom w:val="0"/>
      <w:divBdr>
        <w:top w:val="none" w:sz="0" w:space="0" w:color="auto"/>
        <w:left w:val="none" w:sz="0" w:space="0" w:color="auto"/>
        <w:bottom w:val="none" w:sz="0" w:space="0" w:color="auto"/>
        <w:right w:val="none" w:sz="0" w:space="0" w:color="auto"/>
      </w:divBdr>
    </w:div>
    <w:div w:id="212796031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90C319D1-6F87-4601-A8E9-DF150CBA86FB}">
  <ds:schemaRefs>
    <ds:schemaRef ds:uri="http://schemas.openxmlformats.org/officeDocument/2006/bibliography"/>
  </ds:schemaRefs>
</ds:datastoreItem>
</file>

<file path=customXml/itemProps2.xml><?xml version="1.0" encoding="utf-8"?>
<ds:datastoreItem xmlns:ds="http://schemas.openxmlformats.org/officeDocument/2006/customXml" ds:itemID="{717AEECD-F7FA-4C5D-9002-6CF481A0E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8172</Words>
  <Characters>44949</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2026-08-11T02:54:00Z</dcterms:created>
  <dcterms:modified xsi:type="dcterms:W3CDTF">2026-08-31T15:48:00Z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