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768D1" w14:textId="77777777" w:rsidR="00F6408D" w:rsidRDefault="00F6408D" w:rsidP="00D07215">
      <w:pPr>
        <w:snapToGrid w:val="0"/>
        <w:contextualSpacing/>
        <w:jc w:val="both"/>
        <w:rPr>
          <w:rFonts w:ascii="Verdana" w:eastAsia="Calibri" w:hAnsi="Verdana" w:cs="Arial"/>
          <w:b/>
          <w:bCs/>
          <w:lang w:val="es-ES" w:eastAsia="es-ES"/>
        </w:rPr>
      </w:pPr>
      <w:bookmarkStart w:id="0" w:name="_Hlk143780582"/>
      <w:r w:rsidRPr="00D07215">
        <w:rPr>
          <w:rFonts w:ascii="Verdana" w:eastAsia="Calibri" w:hAnsi="Verdana" w:cs="Arial"/>
          <w:b/>
          <w:bCs/>
          <w:lang w:val="es-ES" w:eastAsia="es-ES"/>
        </w:rPr>
        <w:t>PLANEACIÓN – Procesos de contratación pública</w:t>
      </w:r>
    </w:p>
    <w:p w14:paraId="4166D015" w14:textId="77777777" w:rsidR="00D07215" w:rsidRPr="00D07215" w:rsidRDefault="00D07215" w:rsidP="00D07215">
      <w:pPr>
        <w:snapToGrid w:val="0"/>
        <w:spacing w:after="0" w:line="240" w:lineRule="auto"/>
        <w:contextualSpacing/>
        <w:jc w:val="both"/>
        <w:rPr>
          <w:rFonts w:ascii="Verdana" w:eastAsia="Calibri" w:hAnsi="Verdana" w:cs="Arial"/>
          <w:b/>
          <w:bCs/>
          <w:sz w:val="20"/>
          <w:szCs w:val="20"/>
          <w:lang w:val="es-ES" w:eastAsia="es-ES"/>
        </w:rPr>
      </w:pPr>
    </w:p>
    <w:p w14:paraId="6D79AC12" w14:textId="62DF8540" w:rsidR="00A91EF5" w:rsidRDefault="00A91EF5" w:rsidP="00D07215">
      <w:pPr>
        <w:snapToGrid w:val="0"/>
        <w:contextualSpacing/>
        <w:jc w:val="both"/>
        <w:rPr>
          <w:rFonts w:ascii="Verdana" w:eastAsia="Calibri" w:hAnsi="Verdana" w:cs="Arial"/>
          <w:sz w:val="20"/>
          <w:szCs w:val="20"/>
          <w:lang w:val="en-CO" w:eastAsia="es-ES"/>
        </w:rPr>
      </w:pPr>
      <w:r w:rsidRPr="00A91EF5">
        <w:rPr>
          <w:rFonts w:ascii="Verdana" w:eastAsia="Calibri" w:hAnsi="Verdana" w:cs="Arial"/>
          <w:sz w:val="20"/>
          <w:szCs w:val="20"/>
          <w:lang w:val="en-CO" w:eastAsia="es-ES"/>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2B2341B5" w14:textId="77777777" w:rsidR="00D07215" w:rsidRPr="00A91EF5" w:rsidRDefault="00D07215" w:rsidP="00D07215">
      <w:pPr>
        <w:snapToGrid w:val="0"/>
        <w:spacing w:after="0" w:line="240" w:lineRule="auto"/>
        <w:contextualSpacing/>
        <w:jc w:val="both"/>
        <w:rPr>
          <w:rFonts w:ascii="Verdana" w:eastAsia="Calibri" w:hAnsi="Verdana" w:cs="Arial"/>
          <w:sz w:val="20"/>
          <w:szCs w:val="20"/>
          <w:lang w:val="en-CO" w:eastAsia="es-ES"/>
        </w:rPr>
      </w:pPr>
    </w:p>
    <w:p w14:paraId="6FCB1A6F" w14:textId="4BE99CA6" w:rsidR="00A91EF5" w:rsidRPr="00A91EF5" w:rsidRDefault="00A91EF5" w:rsidP="00D07215">
      <w:pPr>
        <w:snapToGrid w:val="0"/>
        <w:spacing w:after="0" w:line="240" w:lineRule="auto"/>
        <w:contextualSpacing/>
        <w:jc w:val="both"/>
        <w:rPr>
          <w:rFonts w:ascii="Verdana" w:eastAsia="Calibri" w:hAnsi="Verdana" w:cs="Arial"/>
          <w:sz w:val="20"/>
          <w:szCs w:val="20"/>
          <w:lang w:val="en-CO" w:eastAsia="es-ES"/>
        </w:rPr>
      </w:pPr>
      <w:r w:rsidRPr="00A91EF5">
        <w:rPr>
          <w:rFonts w:ascii="Verdana" w:eastAsia="Calibri" w:hAnsi="Verdana" w:cs="Arial"/>
          <w:sz w:val="20"/>
          <w:szCs w:val="20"/>
          <w:lang w:val="en-CO" w:eastAsia="es-ES"/>
        </w:rPr>
        <w:t>Lo anterior permitirá a la entidad estatal identificar desde el punto de vista técnico y financiero el objeto del contrato, las particularidades de su ejecución, los potenciales proponentes, requisitos mínimos para evaluar la idoneidad del contratista, así como analizar todas las variables que puedan afectar el procedimiento de selección, celebración y ejecución del contrato. Tal es la importancia de los estudios y documentos previos que su deficiencia o ausencia,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00D07215">
        <w:rPr>
          <w:rFonts w:ascii="Verdana" w:eastAsia="Calibri" w:hAnsi="Verdana" w:cs="Arial"/>
          <w:sz w:val="20"/>
          <w:szCs w:val="20"/>
          <w:lang w:val="en-CO" w:eastAsia="es-ES"/>
        </w:rPr>
        <w:t>.</w:t>
      </w:r>
    </w:p>
    <w:p w14:paraId="7EC24443" w14:textId="77777777" w:rsidR="00A91EF5" w:rsidRPr="00D07215" w:rsidRDefault="00A91EF5" w:rsidP="00D07215">
      <w:pPr>
        <w:snapToGrid w:val="0"/>
        <w:spacing w:after="0" w:line="240" w:lineRule="auto"/>
        <w:contextualSpacing/>
        <w:jc w:val="both"/>
        <w:rPr>
          <w:rFonts w:ascii="Verdana" w:eastAsia="Calibri" w:hAnsi="Verdana" w:cs="Arial"/>
          <w:sz w:val="20"/>
          <w:szCs w:val="20"/>
          <w:lang w:val="es-ES" w:eastAsia="es-ES"/>
        </w:rPr>
      </w:pPr>
    </w:p>
    <w:p w14:paraId="0808B7D6" w14:textId="77777777" w:rsidR="00F6408D" w:rsidRDefault="00F6408D" w:rsidP="00D07215">
      <w:pPr>
        <w:snapToGrid w:val="0"/>
        <w:contextualSpacing/>
        <w:jc w:val="both"/>
        <w:rPr>
          <w:rFonts w:ascii="Verdana" w:eastAsia="Calibri" w:hAnsi="Verdana" w:cs="Arial"/>
          <w:b/>
          <w:bCs/>
          <w:lang w:val="es-ES" w:eastAsia="es-ES"/>
        </w:rPr>
      </w:pPr>
      <w:r w:rsidRPr="00D07215">
        <w:rPr>
          <w:rFonts w:ascii="Verdana" w:eastAsia="Calibri" w:hAnsi="Verdana" w:cs="Arial"/>
          <w:b/>
          <w:bCs/>
          <w:lang w:val="es-ES" w:eastAsia="es-ES"/>
        </w:rPr>
        <w:t>ESTUDIOS PREVIOS – Análisis del sector – Estudio del mercado</w:t>
      </w:r>
    </w:p>
    <w:p w14:paraId="3BFFACFD" w14:textId="77777777" w:rsidR="00D07215" w:rsidRPr="00D07215" w:rsidRDefault="00D07215" w:rsidP="00D07215">
      <w:pPr>
        <w:snapToGrid w:val="0"/>
        <w:spacing w:after="0" w:line="240" w:lineRule="auto"/>
        <w:contextualSpacing/>
        <w:jc w:val="both"/>
        <w:rPr>
          <w:rFonts w:ascii="Verdana" w:eastAsia="Calibri" w:hAnsi="Verdana" w:cs="Arial"/>
          <w:b/>
          <w:bCs/>
          <w:lang w:val="es-ES" w:eastAsia="es-ES"/>
        </w:rPr>
      </w:pPr>
    </w:p>
    <w:p w14:paraId="5E5183BD" w14:textId="5A9C31A9" w:rsidR="00A91EF5" w:rsidRDefault="00A91EF5" w:rsidP="00D07215">
      <w:pPr>
        <w:snapToGrid w:val="0"/>
        <w:contextualSpacing/>
        <w:jc w:val="both"/>
        <w:rPr>
          <w:rFonts w:ascii="Verdana" w:eastAsia="Calibri" w:hAnsi="Verdana" w:cs="Arial"/>
          <w:sz w:val="20"/>
          <w:szCs w:val="20"/>
          <w:lang w:val="en-CO" w:eastAsia="es-ES"/>
        </w:rPr>
      </w:pPr>
      <w:r w:rsidRPr="00A91EF5">
        <w:rPr>
          <w:rFonts w:ascii="Verdana" w:eastAsia="Calibri" w:hAnsi="Verdana" w:cs="Arial"/>
          <w:sz w:val="20"/>
          <w:szCs w:val="20"/>
          <w:lang w:val="en-CO" w:eastAsia="es-ES"/>
        </w:rPr>
        <w:t>Por otra parte, los numerales 2 y 4 del artículo 2.2.1.1.2.1.1 del Decreto 1082 de 2015 exigen que en los estudios previos se determine el objeto a contratar con sus especificaciones, y se señale el valor estimado del contrato y la justificación del mismo. 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w:t>
      </w:r>
    </w:p>
    <w:p w14:paraId="2A1D972E" w14:textId="77777777" w:rsidR="00D07215" w:rsidRPr="00A91EF5" w:rsidRDefault="00D07215" w:rsidP="00D07215">
      <w:pPr>
        <w:snapToGrid w:val="0"/>
        <w:spacing w:after="0" w:line="240" w:lineRule="auto"/>
        <w:contextualSpacing/>
        <w:jc w:val="both"/>
        <w:rPr>
          <w:rFonts w:ascii="Verdana" w:eastAsia="Calibri" w:hAnsi="Verdana" w:cs="Arial"/>
          <w:sz w:val="20"/>
          <w:szCs w:val="20"/>
          <w:lang w:val="en-CO" w:eastAsia="es-ES"/>
        </w:rPr>
      </w:pPr>
    </w:p>
    <w:p w14:paraId="7837D5A1" w14:textId="6F2A5E87" w:rsidR="00A91EF5" w:rsidRPr="00A91EF5" w:rsidRDefault="00D07215" w:rsidP="00D07215">
      <w:pPr>
        <w:snapToGrid w:val="0"/>
        <w:spacing w:after="0" w:line="240" w:lineRule="auto"/>
        <w:contextualSpacing/>
        <w:jc w:val="both"/>
        <w:rPr>
          <w:rFonts w:ascii="Verdana" w:eastAsia="Calibri" w:hAnsi="Verdana" w:cs="Arial"/>
          <w:sz w:val="20"/>
          <w:szCs w:val="20"/>
          <w:lang w:val="en-CO" w:eastAsia="es-ES"/>
        </w:rPr>
      </w:pPr>
      <w:r>
        <w:rPr>
          <w:rFonts w:ascii="Verdana" w:eastAsia="Calibri" w:hAnsi="Verdana" w:cs="Arial"/>
          <w:sz w:val="20"/>
          <w:szCs w:val="20"/>
          <w:lang w:val="en-CO" w:eastAsia="es-ES"/>
        </w:rPr>
        <w:t xml:space="preserve">[…] </w:t>
      </w:r>
      <w:r w:rsidR="00A91EF5" w:rsidRPr="00A91EF5">
        <w:rPr>
          <w:rFonts w:ascii="Verdana" w:eastAsia="Calibri" w:hAnsi="Verdana" w:cs="Arial"/>
          <w:sz w:val="20"/>
          <w:szCs w:val="20"/>
          <w:lang w:val="en-CO" w:eastAsia="es-ES"/>
        </w:rPr>
        <w:t>Dicho análisis facilita tanto el conocimiento del sector, desde una perspectiva multidisciplinaria, como de los proveedores disponibles en el mercado para satisfacer la necesidad de la entidad contratante. Así mismo,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las entidades estatales y los particulares cómo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w:t>
      </w:r>
    </w:p>
    <w:p w14:paraId="2E87AA98" w14:textId="77777777" w:rsidR="00A91EF5" w:rsidRPr="00D07215" w:rsidRDefault="00A91EF5" w:rsidP="00D07215">
      <w:pPr>
        <w:snapToGrid w:val="0"/>
        <w:spacing w:after="0" w:line="240" w:lineRule="auto"/>
        <w:contextualSpacing/>
        <w:jc w:val="both"/>
        <w:rPr>
          <w:rFonts w:ascii="Verdana" w:eastAsia="Calibri" w:hAnsi="Verdana" w:cs="Arial"/>
          <w:sz w:val="20"/>
          <w:szCs w:val="20"/>
          <w:lang w:val="es-ES" w:eastAsia="es-ES"/>
        </w:rPr>
      </w:pPr>
    </w:p>
    <w:p w14:paraId="4D9647E9" w14:textId="77777777" w:rsidR="00F6408D" w:rsidRPr="00D07215" w:rsidRDefault="00F6408D" w:rsidP="00D07215">
      <w:pPr>
        <w:snapToGrid w:val="0"/>
        <w:contextualSpacing/>
        <w:jc w:val="both"/>
        <w:rPr>
          <w:rFonts w:ascii="Verdana" w:hAnsi="Verdana" w:cs="Arial"/>
          <w:b/>
        </w:rPr>
      </w:pPr>
      <w:r w:rsidRPr="00D07215">
        <w:rPr>
          <w:rFonts w:ascii="Verdana" w:hAnsi="Verdana" w:cs="Arial"/>
          <w:b/>
        </w:rPr>
        <w:lastRenderedPageBreak/>
        <w:t>REQUISITOS HABILITANTES – Concepto</w:t>
      </w:r>
    </w:p>
    <w:p w14:paraId="151ED073" w14:textId="77777777" w:rsidR="00D07215" w:rsidRPr="00D07215" w:rsidRDefault="00D07215" w:rsidP="00D07215">
      <w:pPr>
        <w:snapToGrid w:val="0"/>
        <w:spacing w:after="0" w:line="240" w:lineRule="auto"/>
        <w:contextualSpacing/>
        <w:jc w:val="both"/>
        <w:rPr>
          <w:rFonts w:ascii="Verdana" w:hAnsi="Verdana" w:cs="Arial"/>
          <w:bCs/>
          <w:sz w:val="20"/>
          <w:szCs w:val="20"/>
        </w:rPr>
      </w:pPr>
    </w:p>
    <w:p w14:paraId="07A623BF" w14:textId="3C36A8EE" w:rsidR="00A91EF5" w:rsidRDefault="00A91EF5" w:rsidP="00D07215">
      <w:pPr>
        <w:snapToGrid w:val="0"/>
        <w:contextualSpacing/>
        <w:jc w:val="both"/>
        <w:rPr>
          <w:rFonts w:ascii="Verdana" w:hAnsi="Verdana" w:cs="Arial"/>
          <w:bCs/>
          <w:sz w:val="20"/>
          <w:szCs w:val="20"/>
          <w:lang w:val="en-CO"/>
        </w:rPr>
      </w:pPr>
      <w:r w:rsidRPr="00A91EF5">
        <w:rPr>
          <w:rFonts w:ascii="Verdana" w:hAnsi="Verdana" w:cs="Arial"/>
          <w:bCs/>
          <w:sz w:val="20"/>
          <w:szCs w:val="20"/>
          <w:lang w:val="en-CO"/>
        </w:rPr>
        <w:t xml:space="preserve">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w:t>
      </w:r>
      <w:r w:rsidRPr="00A91EF5">
        <w:rPr>
          <w:rFonts w:ascii="Verdana" w:hAnsi="Verdana" w:cs="Arial"/>
          <w:bCs/>
          <w:i/>
          <w:iCs/>
          <w:sz w:val="20"/>
          <w:szCs w:val="20"/>
          <w:lang w:val="en-CO"/>
        </w:rPr>
        <w:t>habilitantes</w:t>
      </w:r>
      <w:r w:rsidRPr="00A91EF5">
        <w:rPr>
          <w:rFonts w:ascii="Verdana" w:hAnsi="Verdana" w:cs="Arial"/>
          <w:bCs/>
          <w:sz w:val="20"/>
          <w:szCs w:val="20"/>
          <w:lang w:val="en-CO"/>
        </w:rPr>
        <w:t xml:space="preserve"> son aquellos que deben cumplir en igualdad de condiciones los proponentes, haciendo que estos se habiliten en el procedimiento de selección y sean susceptibles de ser seleccionados como futuros contratistas.</w:t>
      </w:r>
    </w:p>
    <w:p w14:paraId="32EF6B55" w14:textId="77777777" w:rsidR="00D07215" w:rsidRPr="00A91EF5" w:rsidRDefault="00D07215" w:rsidP="00D07215">
      <w:pPr>
        <w:snapToGrid w:val="0"/>
        <w:spacing w:after="0" w:line="240" w:lineRule="auto"/>
        <w:contextualSpacing/>
        <w:jc w:val="both"/>
        <w:rPr>
          <w:rFonts w:ascii="Verdana" w:hAnsi="Verdana" w:cs="Arial"/>
          <w:bCs/>
          <w:sz w:val="20"/>
          <w:szCs w:val="20"/>
          <w:lang w:val="en-CO"/>
        </w:rPr>
      </w:pPr>
    </w:p>
    <w:p w14:paraId="630C84CA" w14:textId="56F1E2E5" w:rsidR="00A91EF5" w:rsidRPr="00A91EF5" w:rsidRDefault="00D07215" w:rsidP="00D07215">
      <w:pPr>
        <w:snapToGrid w:val="0"/>
        <w:spacing w:after="0" w:line="240" w:lineRule="auto"/>
        <w:contextualSpacing/>
        <w:jc w:val="both"/>
        <w:rPr>
          <w:rFonts w:ascii="Verdana" w:hAnsi="Verdana" w:cs="Arial"/>
          <w:bCs/>
          <w:sz w:val="20"/>
          <w:szCs w:val="20"/>
          <w:lang w:val="en-CO"/>
        </w:rPr>
      </w:pPr>
      <w:r>
        <w:rPr>
          <w:rFonts w:ascii="Verdana" w:hAnsi="Verdana" w:cs="Arial"/>
          <w:bCs/>
          <w:sz w:val="20"/>
          <w:szCs w:val="20"/>
          <w:lang w:val="en-CO"/>
        </w:rPr>
        <w:t xml:space="preserve">[…] </w:t>
      </w:r>
      <w:r w:rsidR="00A91EF5" w:rsidRPr="00A91EF5">
        <w:rPr>
          <w:rFonts w:ascii="Verdana" w:hAnsi="Verdana" w:cs="Arial"/>
          <w:bCs/>
          <w:sz w:val="20"/>
          <w:szCs w:val="20"/>
          <w:lang w:val="en-CO"/>
        </w:rPr>
        <w:t xml:space="preserve">Por otro lado, el 'Manual para determinar y verificar los requisitos habilitantes en los Procesos de Contratación', expedido por la Agencia Nacional de Contratación Pública – Colombia Compra Eficiente, determina los parámetros para establecer, acreditar y subsanar los requisitos habilitantes. El documento resalta que tienen como fin primordial medir 'la aptitud </w:t>
      </w:r>
      <w:r w:rsidR="00A91EF5" w:rsidRPr="00A91EF5">
        <w:rPr>
          <w:rFonts w:ascii="Verdana" w:hAnsi="Verdana" w:cs="Arial"/>
          <w:bCs/>
          <w:i/>
          <w:iCs/>
          <w:sz w:val="20"/>
          <w:szCs w:val="20"/>
          <w:lang w:val="en-CO"/>
        </w:rPr>
        <w:t>del proponente</w:t>
      </w:r>
      <w:r w:rsidR="00A91EF5" w:rsidRPr="00A91EF5">
        <w:rPr>
          <w:rFonts w:ascii="Verdana" w:hAnsi="Verdana" w:cs="Arial"/>
          <w:bCs/>
          <w:sz w:val="20"/>
          <w:szCs w:val="20"/>
          <w:lang w:val="en-CO"/>
        </w:rPr>
        <w:t xml:space="preserve"> para participar en un proceso de contratación como oferente y están referidos a su capacidad jurídica, financiera, organizacional y su experiencia'. De acuerdo con el Manual, su propósito es 'establecer unas condiciones mínimas para los </w:t>
      </w:r>
      <w:r w:rsidR="00A91EF5" w:rsidRPr="00A91EF5">
        <w:rPr>
          <w:rFonts w:ascii="Verdana" w:hAnsi="Verdana" w:cs="Arial"/>
          <w:bCs/>
          <w:i/>
          <w:iCs/>
          <w:sz w:val="20"/>
          <w:szCs w:val="20"/>
          <w:lang w:val="en-CO"/>
        </w:rPr>
        <w:t>proponentes</w:t>
      </w:r>
      <w:r w:rsidR="00A91EF5" w:rsidRPr="00A91EF5">
        <w:rPr>
          <w:rFonts w:ascii="Verdana" w:hAnsi="Verdana" w:cs="Arial"/>
          <w:bCs/>
          <w:sz w:val="20"/>
          <w:szCs w:val="20"/>
          <w:lang w:val="en-CO"/>
        </w:rPr>
        <w:t xml:space="preserve"> de tal manera que la Entidad Estatal sólo evalúe las ofertas de aquellos que están en condiciones de cumplir con el objeto del Proceso de Contratación'</w:t>
      </w:r>
    </w:p>
    <w:p w14:paraId="77712265" w14:textId="77777777" w:rsidR="00A91EF5" w:rsidRPr="00D07215" w:rsidRDefault="00A91EF5" w:rsidP="00D07215">
      <w:pPr>
        <w:snapToGrid w:val="0"/>
        <w:spacing w:after="0" w:line="240" w:lineRule="auto"/>
        <w:contextualSpacing/>
        <w:jc w:val="both"/>
        <w:rPr>
          <w:rFonts w:ascii="Verdana" w:hAnsi="Verdana" w:cs="Arial"/>
          <w:bCs/>
          <w:sz w:val="20"/>
          <w:szCs w:val="20"/>
        </w:rPr>
      </w:pPr>
    </w:p>
    <w:p w14:paraId="4D47FF08" w14:textId="77777777" w:rsidR="00F6408D" w:rsidRPr="00D07215" w:rsidRDefault="00F6408D" w:rsidP="00D07215">
      <w:pPr>
        <w:snapToGrid w:val="0"/>
        <w:contextualSpacing/>
        <w:jc w:val="both"/>
        <w:rPr>
          <w:rFonts w:ascii="Verdana" w:hAnsi="Verdana" w:cs="Arial"/>
          <w:b/>
        </w:rPr>
      </w:pPr>
      <w:r w:rsidRPr="00D07215">
        <w:rPr>
          <w:rFonts w:ascii="Verdana" w:hAnsi="Verdana" w:cs="Arial"/>
          <w:b/>
        </w:rPr>
        <w:t>REQUISITOS HABILITANTES – Carácter enunciativo – Artículo 5 de la Ley 1150 de 2007</w:t>
      </w:r>
    </w:p>
    <w:p w14:paraId="7436F478" w14:textId="77777777" w:rsidR="00D07215" w:rsidRPr="00D07215" w:rsidRDefault="00D07215" w:rsidP="00D07215">
      <w:pPr>
        <w:snapToGrid w:val="0"/>
        <w:spacing w:after="0" w:line="240" w:lineRule="auto"/>
        <w:contextualSpacing/>
        <w:jc w:val="both"/>
        <w:rPr>
          <w:rFonts w:ascii="Verdana" w:hAnsi="Verdana" w:cs="Arial"/>
          <w:bCs/>
          <w:sz w:val="20"/>
          <w:szCs w:val="20"/>
        </w:rPr>
      </w:pPr>
    </w:p>
    <w:p w14:paraId="3E2FB30B" w14:textId="38F9F96C" w:rsidR="00A91EF5" w:rsidRDefault="00A91EF5" w:rsidP="00D07215">
      <w:pPr>
        <w:snapToGrid w:val="0"/>
        <w:contextualSpacing/>
        <w:jc w:val="both"/>
        <w:rPr>
          <w:rFonts w:ascii="Verdana" w:hAnsi="Verdana" w:cs="Arial"/>
          <w:bCs/>
          <w:sz w:val="20"/>
          <w:szCs w:val="20"/>
          <w:lang w:val="en-CO"/>
        </w:rPr>
      </w:pPr>
      <w:r w:rsidRPr="00A91EF5">
        <w:rPr>
          <w:rFonts w:ascii="Verdana" w:hAnsi="Verdana" w:cs="Arial"/>
          <w:bCs/>
          <w:sz w:val="20"/>
          <w:szCs w:val="20"/>
          <w:lang w:val="en-CO"/>
        </w:rPr>
        <w:t xml:space="preserve">Con respecto al alcance del listado de requisitos habilitantes establecidos en la norma, la Agencia Nacional de Contratación Pública – Colombia Compra Eficiente ha defendido el carácter </w:t>
      </w:r>
      <w:r w:rsidRPr="00A91EF5">
        <w:rPr>
          <w:rFonts w:ascii="Verdana" w:hAnsi="Verdana" w:cs="Arial"/>
          <w:bCs/>
          <w:i/>
          <w:iCs/>
          <w:sz w:val="20"/>
          <w:szCs w:val="20"/>
          <w:lang w:val="en-CO"/>
        </w:rPr>
        <w:t>enunciativo</w:t>
      </w:r>
      <w:r w:rsidRPr="00A91EF5">
        <w:rPr>
          <w:rFonts w:ascii="Verdana" w:hAnsi="Verdana" w:cs="Arial"/>
          <w:bCs/>
          <w:sz w:val="20"/>
          <w:szCs w:val="20"/>
          <w:lang w:val="en-CO"/>
        </w:rPr>
        <w:t xml:space="preserve"> del listado de los requisitos habilitantes contenidos en el numeral 1 del artículo 5 de la Ley 1150 de 2007, en la medida en que, al referirse a los requisitos habilitantes, no contiene una expresión como 'únicamente' o 'solo', de la que pueda colegirse la taxatividad de los requisitos mencionados. Esta conclusión además se apoya en una lectura integral de las normas que regulan la contratación estatal, en virtud de la cual es posible evidenciar que existen otras condiciones que deben cumplirse para la contratación con Entidades Públicas, de las que derivan requisitos habilitantes, como sucede, por ejemplo, con la capacidad residual a la que se refiere el artículo 6º, parágrafo 1, de la Ley 1150 de 2007.</w:t>
      </w:r>
    </w:p>
    <w:p w14:paraId="53A1155C" w14:textId="77777777" w:rsidR="00D07215" w:rsidRPr="00A91EF5" w:rsidRDefault="00D07215" w:rsidP="00D07215">
      <w:pPr>
        <w:snapToGrid w:val="0"/>
        <w:spacing w:after="0" w:line="240" w:lineRule="auto"/>
        <w:contextualSpacing/>
        <w:jc w:val="both"/>
        <w:rPr>
          <w:rFonts w:ascii="Verdana" w:hAnsi="Verdana" w:cs="Arial"/>
          <w:bCs/>
          <w:sz w:val="20"/>
          <w:szCs w:val="20"/>
          <w:lang w:val="en-CO"/>
        </w:rPr>
      </w:pPr>
    </w:p>
    <w:p w14:paraId="46F4906D" w14:textId="65BD42D6" w:rsidR="00A91EF5" w:rsidRPr="00A91EF5" w:rsidRDefault="00A91EF5" w:rsidP="00D07215">
      <w:pPr>
        <w:snapToGrid w:val="0"/>
        <w:spacing w:after="0" w:line="240" w:lineRule="auto"/>
        <w:contextualSpacing/>
        <w:jc w:val="both"/>
        <w:rPr>
          <w:rFonts w:ascii="Verdana" w:hAnsi="Verdana" w:cs="Arial"/>
          <w:bCs/>
          <w:sz w:val="20"/>
          <w:szCs w:val="20"/>
          <w:lang w:val="en-CO"/>
        </w:rPr>
      </w:pPr>
      <w:r w:rsidRPr="00A91EF5">
        <w:rPr>
          <w:rFonts w:ascii="Verdana" w:hAnsi="Verdana" w:cs="Arial"/>
          <w:bCs/>
          <w:sz w:val="20"/>
          <w:szCs w:val="20"/>
          <w:lang w:val="en-CO"/>
        </w:rPr>
        <w:t xml:space="preserve">En este sentido, el principio de autonomía de la voluntad, reconocido en los artículos 13, 32 y 40 de la Ley 80 de 1993 para las entidades sometidas al Estatuto General de Contratación de la Administración Pública, y en el artículo 1602 del Código Civil para las </w:t>
      </w:r>
      <w:r w:rsidRPr="00A91EF5">
        <w:rPr>
          <w:rFonts w:ascii="Verdana" w:hAnsi="Verdana" w:cs="Arial"/>
          <w:bCs/>
          <w:sz w:val="20"/>
          <w:szCs w:val="20"/>
          <w:lang w:val="en-CO"/>
        </w:rPr>
        <w:lastRenderedPageBreak/>
        <w:t>exceptuadas, es el fundamento normativo que otorga a las Entidades Estatales competencia para que puedan solicitar requisitos habilitantes adicionales o diferentes a los establecidos en el numeral 1º del artículo 5 de la Ley 1150 de 2007. En realidad, lo que este numeral establece es una limitación a la discrecionalidad administrativa para la estipulación de los requisitos de participación, bajo la óptica de que, si se incluyen los allí señalados, por regla general, no otorgarán puntaje; pero este enunciado no debe interpretarse en el sentido de que las entidades pueden exigir única y exclusivamente los requisitos habilitantes enlistados en el artículo. Esta lectura negaría la autonomía reconocida a los órganos del Estado para construir el pliego de condiciones y definir los requisitos que deben reunir los oferentes según el resultado de los estudios previos, en armonía con los principios de legalidad y proporcionalidad."</w:t>
      </w:r>
    </w:p>
    <w:p w14:paraId="6812DD2E" w14:textId="77777777" w:rsidR="00A91EF5" w:rsidRPr="00D07215" w:rsidRDefault="00A91EF5" w:rsidP="00D07215">
      <w:pPr>
        <w:snapToGrid w:val="0"/>
        <w:spacing w:after="0" w:line="240" w:lineRule="auto"/>
        <w:contextualSpacing/>
        <w:jc w:val="both"/>
        <w:rPr>
          <w:rFonts w:ascii="Verdana" w:hAnsi="Verdana" w:cs="Arial"/>
          <w:bCs/>
          <w:sz w:val="20"/>
          <w:szCs w:val="20"/>
        </w:rPr>
      </w:pPr>
    </w:p>
    <w:p w14:paraId="61547DBE" w14:textId="77777777" w:rsidR="00F6408D" w:rsidRDefault="00F6408D" w:rsidP="00D07215">
      <w:pPr>
        <w:snapToGrid w:val="0"/>
        <w:contextualSpacing/>
        <w:jc w:val="both"/>
        <w:rPr>
          <w:rFonts w:ascii="Verdana" w:eastAsia="Calibri" w:hAnsi="Verdana" w:cs="Arial"/>
          <w:b/>
          <w:bCs/>
          <w:lang w:val="es-ES" w:eastAsia="es-ES"/>
        </w:rPr>
      </w:pPr>
      <w:r w:rsidRPr="006A1664">
        <w:rPr>
          <w:rFonts w:ascii="Verdana" w:eastAsia="Calibri" w:hAnsi="Verdana" w:cs="Arial"/>
          <w:b/>
          <w:bCs/>
          <w:lang w:val="es-ES" w:eastAsia="es-ES"/>
        </w:rPr>
        <w:t>PRINCIPIO DE SELECCIÓN OBJETIVA – Noción – Normativa – Requisitos habilitantes – Requisitos ponderables</w:t>
      </w:r>
    </w:p>
    <w:p w14:paraId="719F6C65" w14:textId="77777777" w:rsidR="006A1664" w:rsidRPr="006A1664" w:rsidRDefault="006A1664" w:rsidP="00D07215">
      <w:pPr>
        <w:snapToGrid w:val="0"/>
        <w:spacing w:after="0" w:line="240" w:lineRule="auto"/>
        <w:contextualSpacing/>
        <w:jc w:val="both"/>
        <w:rPr>
          <w:rFonts w:ascii="Verdana" w:eastAsia="Calibri" w:hAnsi="Verdana" w:cs="Arial"/>
          <w:b/>
          <w:bCs/>
          <w:lang w:val="es-ES" w:eastAsia="es-ES"/>
        </w:rPr>
      </w:pPr>
    </w:p>
    <w:p w14:paraId="29BCD267" w14:textId="0C0E463F" w:rsidR="00A91EF5" w:rsidRDefault="00A91EF5" w:rsidP="00D07215">
      <w:pPr>
        <w:snapToGrid w:val="0"/>
        <w:contextualSpacing/>
        <w:jc w:val="both"/>
        <w:rPr>
          <w:rFonts w:ascii="Verdana" w:eastAsia="Calibri" w:hAnsi="Verdana" w:cs="Arial"/>
          <w:sz w:val="20"/>
          <w:szCs w:val="20"/>
          <w:lang w:val="en-CO" w:eastAsia="es-ES"/>
        </w:rPr>
      </w:pPr>
      <w:r w:rsidRPr="00A91EF5">
        <w:rPr>
          <w:rFonts w:ascii="Verdana" w:eastAsia="Calibri" w:hAnsi="Verdana" w:cs="Arial"/>
          <w:sz w:val="20"/>
          <w:szCs w:val="20"/>
          <w:lang w:val="en-CO" w:eastAsia="es-ES"/>
        </w:rPr>
        <w:t xml:space="preserve">Uno de los principios transversales de los procedimientos de selección es el de </w:t>
      </w:r>
      <w:r w:rsidRPr="00A91EF5">
        <w:rPr>
          <w:rFonts w:ascii="Verdana" w:eastAsia="Calibri" w:hAnsi="Verdana" w:cs="Arial"/>
          <w:i/>
          <w:iCs/>
          <w:sz w:val="20"/>
          <w:szCs w:val="20"/>
          <w:lang w:val="en-CO" w:eastAsia="es-ES"/>
        </w:rPr>
        <w:t>selección objetiva</w:t>
      </w:r>
      <w:r w:rsidRPr="00A91EF5">
        <w:rPr>
          <w:rFonts w:ascii="Verdana" w:eastAsia="Calibri" w:hAnsi="Verdana" w:cs="Arial"/>
          <w:sz w:val="20"/>
          <w:szCs w:val="20"/>
          <w:lang w:val="en-CO" w:eastAsia="es-ES"/>
        </w:rPr>
        <w:t>. Se trata del postulado que exige que la escogencia de la oferta ganadora se debe fundamentar en factores objetivos, de carácter técnico, jurídico y financiero, y no en criterios subjetivos, como el afecto, la amistad, el ánimo de ayuda, el interés personal, etc.</w:t>
      </w:r>
    </w:p>
    <w:p w14:paraId="768EC963" w14:textId="77777777" w:rsidR="006A1664" w:rsidRPr="00A91EF5" w:rsidRDefault="006A1664" w:rsidP="00D07215">
      <w:pPr>
        <w:snapToGrid w:val="0"/>
        <w:spacing w:after="0" w:line="240" w:lineRule="auto"/>
        <w:contextualSpacing/>
        <w:jc w:val="both"/>
        <w:rPr>
          <w:rFonts w:ascii="Verdana" w:eastAsia="Calibri" w:hAnsi="Verdana" w:cs="Arial"/>
          <w:sz w:val="20"/>
          <w:szCs w:val="20"/>
          <w:lang w:val="en-CO" w:eastAsia="es-ES"/>
        </w:rPr>
      </w:pPr>
    </w:p>
    <w:p w14:paraId="4BE087DE" w14:textId="49CD3A91" w:rsidR="00A91EF5" w:rsidRPr="00A91EF5" w:rsidRDefault="006A1664" w:rsidP="00D07215">
      <w:pPr>
        <w:snapToGrid w:val="0"/>
        <w:spacing w:after="0" w:line="240" w:lineRule="auto"/>
        <w:contextualSpacing/>
        <w:jc w:val="both"/>
        <w:rPr>
          <w:rFonts w:ascii="Verdana" w:eastAsia="Calibri" w:hAnsi="Verdana" w:cs="Arial"/>
          <w:sz w:val="20"/>
          <w:szCs w:val="20"/>
          <w:lang w:val="en-CO" w:eastAsia="es-ES"/>
        </w:rPr>
      </w:pPr>
      <w:r>
        <w:rPr>
          <w:rFonts w:ascii="Verdana" w:eastAsia="Calibri" w:hAnsi="Verdana" w:cs="Arial"/>
          <w:sz w:val="20"/>
          <w:szCs w:val="20"/>
          <w:lang w:val="en-CO" w:eastAsia="es-ES"/>
        </w:rPr>
        <w:t xml:space="preserve">[…] </w:t>
      </w:r>
      <w:r w:rsidR="00A91EF5" w:rsidRPr="00A91EF5">
        <w:rPr>
          <w:rFonts w:ascii="Verdana" w:eastAsia="Calibri" w:hAnsi="Verdana" w:cs="Arial"/>
          <w:sz w:val="20"/>
          <w:szCs w:val="20"/>
          <w:lang w:val="en-CO" w:eastAsia="es-ES"/>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w:t>
      </w:r>
      <w:r w:rsidR="00A91EF5" w:rsidRPr="00A91EF5">
        <w:rPr>
          <w:rFonts w:ascii="Verdana" w:eastAsia="Calibri" w:hAnsi="Verdana" w:cs="Arial"/>
          <w:i/>
          <w:iCs/>
          <w:sz w:val="20"/>
          <w:szCs w:val="20"/>
          <w:lang w:val="en-CO" w:eastAsia="es-ES"/>
        </w:rPr>
        <w:t>puntajes o fórmulas</w:t>
      </w:r>
      <w:r w:rsidR="00A91EF5" w:rsidRPr="00A91EF5">
        <w:rPr>
          <w:rFonts w:ascii="Verdana" w:eastAsia="Calibri" w:hAnsi="Verdana" w:cs="Arial"/>
          <w:sz w:val="20"/>
          <w:szCs w:val="20"/>
          <w:lang w:val="en-CO" w:eastAsia="es-ES"/>
        </w:rPr>
        <w:t xml:space="preserve">, mientras que el literal b) se refiere a la elección de la oferta que represente la mejor relación </w:t>
      </w:r>
      <w:r w:rsidR="00A91EF5" w:rsidRPr="00A91EF5">
        <w:rPr>
          <w:rFonts w:ascii="Verdana" w:eastAsia="Calibri" w:hAnsi="Verdana" w:cs="Arial"/>
          <w:i/>
          <w:iCs/>
          <w:sz w:val="20"/>
          <w:szCs w:val="20"/>
          <w:lang w:val="en-CO" w:eastAsia="es-ES"/>
        </w:rPr>
        <w:t>costo-beneficio</w:t>
      </w:r>
      <w:r w:rsidR="00A91EF5" w:rsidRPr="00A91EF5">
        <w:rPr>
          <w:rFonts w:ascii="Verdana" w:eastAsia="Calibri" w:hAnsi="Verdana" w:cs="Arial"/>
          <w:sz w:val="20"/>
          <w:szCs w:val="20"/>
          <w:lang w:val="en-CO" w:eastAsia="es-ES"/>
        </w:rPr>
        <w:t xml:space="preserve"> para la entidad.</w:t>
      </w:r>
    </w:p>
    <w:p w14:paraId="1C9669A4" w14:textId="77777777" w:rsidR="00A91EF5" w:rsidRPr="00D07215" w:rsidRDefault="00A91EF5" w:rsidP="00D07215">
      <w:pPr>
        <w:snapToGrid w:val="0"/>
        <w:spacing w:after="0" w:line="240" w:lineRule="auto"/>
        <w:contextualSpacing/>
        <w:jc w:val="both"/>
        <w:rPr>
          <w:rFonts w:ascii="Verdana" w:eastAsia="Calibri" w:hAnsi="Verdana" w:cs="Arial"/>
          <w:sz w:val="20"/>
          <w:szCs w:val="20"/>
          <w:lang w:val="es-ES" w:eastAsia="es-ES"/>
        </w:rPr>
      </w:pPr>
    </w:p>
    <w:p w14:paraId="26892429" w14:textId="311081E8" w:rsidR="00F6408D" w:rsidRPr="007F547C" w:rsidRDefault="00F6408D" w:rsidP="00D07215">
      <w:pPr>
        <w:snapToGrid w:val="0"/>
        <w:contextualSpacing/>
        <w:jc w:val="both"/>
        <w:rPr>
          <w:rFonts w:ascii="Verdana" w:eastAsia="Calibri" w:hAnsi="Verdana" w:cs="Arial"/>
          <w:b/>
          <w:bCs/>
          <w:lang w:val="es-ES" w:eastAsia="es-ES"/>
        </w:rPr>
      </w:pPr>
      <w:r w:rsidRPr="007F547C">
        <w:rPr>
          <w:rFonts w:ascii="Verdana" w:eastAsia="Calibri" w:hAnsi="Verdana" w:cs="Arial"/>
          <w:b/>
          <w:bCs/>
          <w:lang w:val="es-ES" w:eastAsia="es-ES"/>
        </w:rPr>
        <w:t>ANEXO O FICHA TÉCNICA – Alcance</w:t>
      </w:r>
    </w:p>
    <w:p w14:paraId="3A64ABF1" w14:textId="77777777" w:rsidR="007F547C" w:rsidRPr="00D07215" w:rsidRDefault="007F547C" w:rsidP="00D07215">
      <w:pPr>
        <w:snapToGrid w:val="0"/>
        <w:spacing w:after="0" w:line="240" w:lineRule="auto"/>
        <w:contextualSpacing/>
        <w:jc w:val="both"/>
        <w:rPr>
          <w:rFonts w:ascii="Verdana" w:eastAsia="Arial" w:hAnsi="Verdana" w:cs="Arial"/>
          <w:bCs/>
          <w:color w:val="000000" w:themeColor="text1"/>
          <w:sz w:val="20"/>
          <w:szCs w:val="20"/>
        </w:rPr>
      </w:pPr>
    </w:p>
    <w:p w14:paraId="7F5177CE" w14:textId="350AD6E4" w:rsidR="00A91EF5" w:rsidRDefault="00A91EF5" w:rsidP="00D07215">
      <w:pPr>
        <w:snapToGrid w:val="0"/>
        <w:spacing w:after="0" w:line="240" w:lineRule="auto"/>
        <w:contextualSpacing/>
        <w:jc w:val="both"/>
        <w:rPr>
          <w:rFonts w:ascii="Verdana" w:hAnsi="Verdana"/>
          <w:sz w:val="20"/>
          <w:szCs w:val="20"/>
          <w:lang w:val="en-CO"/>
        </w:rPr>
      </w:pPr>
      <w:r w:rsidRPr="00A91EF5">
        <w:rPr>
          <w:rFonts w:ascii="Verdana" w:hAnsi="Verdana"/>
          <w:sz w:val="20"/>
          <w:szCs w:val="20"/>
          <w:lang w:val="en-CO"/>
        </w:rPr>
        <w:t xml:space="preserve">Ahora bien, sobre la solicitud de especificaciones técnicas o el cumplimiento de fichas o anexos de esta naturaleza, es importante advertir que no se encuentra definida formalmente en la normativa que regula la contratación pública. El Decreto 1082 de 2015, artículo 2.2.1.2.1.2.1 establece que, para contratar bienes y servicios de características técnicas uniformes, el pliego de condiciones debe indicar las especificaciones que deben estar incluidas en la 'ficha técnica'. En particular, esta disposición señala que, para los procesos de selección abreviada para adquirir bienes y </w:t>
      </w:r>
      <w:r w:rsidRPr="00A91EF5">
        <w:rPr>
          <w:rFonts w:ascii="Verdana" w:hAnsi="Verdana"/>
          <w:sz w:val="20"/>
          <w:szCs w:val="20"/>
          <w:lang w:val="en-CO"/>
        </w:rPr>
        <w:lastRenderedPageBreak/>
        <w:t>servicios de características técnicas uniformes, la ficha técnica debe contemplar los siguientes aspectos: i) la clasificación del bien o servicio de acuerdo con el Clasificador de Bienes y Servicios; ii) la identificación adicional requerida; iii) la unidad de medida; iv) la calidad mínima, y v) los patrones de desempeño mínimos.</w:t>
      </w:r>
    </w:p>
    <w:p w14:paraId="42450EF8" w14:textId="77777777" w:rsidR="007F547C" w:rsidRPr="00A91EF5" w:rsidRDefault="007F547C" w:rsidP="00D07215">
      <w:pPr>
        <w:snapToGrid w:val="0"/>
        <w:spacing w:after="0" w:line="240" w:lineRule="auto"/>
        <w:contextualSpacing/>
        <w:jc w:val="both"/>
        <w:rPr>
          <w:rFonts w:ascii="Verdana" w:hAnsi="Verdana"/>
          <w:sz w:val="20"/>
          <w:szCs w:val="20"/>
          <w:lang w:val="en-CO"/>
        </w:rPr>
      </w:pPr>
    </w:p>
    <w:p w14:paraId="736E0654" w14:textId="6A710AE8" w:rsidR="00A91EF5" w:rsidRDefault="00A91EF5" w:rsidP="00D07215">
      <w:pPr>
        <w:snapToGrid w:val="0"/>
        <w:spacing w:after="0" w:line="240" w:lineRule="auto"/>
        <w:contextualSpacing/>
        <w:jc w:val="both"/>
        <w:rPr>
          <w:rFonts w:ascii="Verdana" w:hAnsi="Verdana"/>
          <w:sz w:val="20"/>
          <w:szCs w:val="20"/>
          <w:lang w:val="en-CO"/>
        </w:rPr>
      </w:pPr>
      <w:r w:rsidRPr="00A91EF5">
        <w:rPr>
          <w:rFonts w:ascii="Verdana" w:hAnsi="Verdana"/>
          <w:sz w:val="20"/>
          <w:szCs w:val="20"/>
          <w:lang w:val="en-CO"/>
        </w:rPr>
        <w:t>Por su parte, el artículo 2.2.1.1.2.1.1. del Decreto 1082 de 2015, relativo a 'Estudios y documentos previos', aplicable a la mayoría de los procesos de selección, ya no solo para la adquisición de bienes y servicios de características técnicas uniformes, establece que en ellos se indicará el objeto del contrato con sus especificaciones y documentos técnicos, el cual puede revestir el carácter de 'ficha técnica', 'anexo técnico' o 'especificaciones técnicas'. Además, el proponente con la presentación de la oferta debe señalar las especificaciones técnicas del bien o servicio que permitan corroborar que cumple con las condiciones exigidas en el pliego de condiciones.</w:t>
      </w:r>
    </w:p>
    <w:p w14:paraId="055008DF" w14:textId="77777777" w:rsidR="007F547C" w:rsidRPr="00A91EF5" w:rsidRDefault="007F547C" w:rsidP="00D07215">
      <w:pPr>
        <w:snapToGrid w:val="0"/>
        <w:spacing w:after="0" w:line="240" w:lineRule="auto"/>
        <w:contextualSpacing/>
        <w:jc w:val="both"/>
        <w:rPr>
          <w:rFonts w:ascii="Verdana" w:hAnsi="Verdana"/>
          <w:sz w:val="20"/>
          <w:szCs w:val="20"/>
          <w:lang w:val="en-CO"/>
        </w:rPr>
      </w:pPr>
    </w:p>
    <w:p w14:paraId="5EF5C551" w14:textId="0CDA5592" w:rsidR="00A91EF5" w:rsidRPr="00A91EF5" w:rsidRDefault="00A91EF5" w:rsidP="00D07215">
      <w:pPr>
        <w:snapToGrid w:val="0"/>
        <w:spacing w:after="0" w:line="240" w:lineRule="auto"/>
        <w:contextualSpacing/>
        <w:jc w:val="both"/>
        <w:rPr>
          <w:rFonts w:ascii="Verdana" w:hAnsi="Verdana"/>
          <w:sz w:val="20"/>
          <w:szCs w:val="20"/>
          <w:lang w:val="en-CO"/>
        </w:rPr>
      </w:pPr>
      <w:r w:rsidRPr="00A91EF5">
        <w:rPr>
          <w:rFonts w:ascii="Verdana" w:hAnsi="Verdana"/>
          <w:sz w:val="20"/>
          <w:szCs w:val="20"/>
          <w:lang w:val="en-CO"/>
        </w:rPr>
        <w:t>En este orden de ideas, la ficha técnica y/o anexo técnico es el documento que contiene las especificaciones técnicas que debe cumplir el bien o servicio a contratar, o aquel documento que indica las especificaciones técnicas respecto del bien o servicio ofertado por el proponente. En otras palabras, en lo relativo al proponente, el documento que anexa como 'ficha técnica' y/o 'anexo técnico' está estrechamente vinculado con el bien o servicio ofertado, toda vez que es la descripción más minuciosa y detallada de las características, componentes y funcionamiento de los bienes y servicios con los que se busca satisfacer la necesidad de la entidad.</w:t>
      </w:r>
    </w:p>
    <w:p w14:paraId="7881B3BD" w14:textId="77777777" w:rsidR="00730144" w:rsidRDefault="00730144" w:rsidP="00F90CEA">
      <w:pPr>
        <w:spacing w:after="0"/>
        <w:rPr>
          <w:rFonts w:ascii="Verdana" w:hAnsi="Verdana"/>
          <w:lang w:val="es-ES"/>
        </w:rPr>
      </w:pPr>
    </w:p>
    <w:p w14:paraId="4484C552" w14:textId="77777777" w:rsidR="000E2D03" w:rsidRDefault="000E2D03" w:rsidP="00F90CEA">
      <w:pPr>
        <w:spacing w:after="0"/>
        <w:rPr>
          <w:rFonts w:ascii="Verdana" w:hAnsi="Verdana"/>
          <w:lang w:val="es-ES"/>
        </w:rPr>
      </w:pPr>
    </w:p>
    <w:p w14:paraId="7C254AC7" w14:textId="77777777" w:rsidR="000E2D03" w:rsidRDefault="000E2D03" w:rsidP="00F90CEA">
      <w:pPr>
        <w:spacing w:after="0"/>
        <w:rPr>
          <w:rFonts w:ascii="Verdana" w:hAnsi="Verdana"/>
          <w:lang w:val="es-ES"/>
        </w:rPr>
      </w:pPr>
    </w:p>
    <w:p w14:paraId="09171CAB" w14:textId="77777777" w:rsidR="000E2D03" w:rsidRDefault="000E2D03" w:rsidP="00F90CEA">
      <w:pPr>
        <w:spacing w:after="0"/>
        <w:rPr>
          <w:rFonts w:ascii="Verdana" w:hAnsi="Verdana"/>
          <w:lang w:val="es-ES"/>
        </w:rPr>
      </w:pPr>
    </w:p>
    <w:p w14:paraId="3DAED3B7" w14:textId="77777777" w:rsidR="000E2D03" w:rsidRDefault="000E2D03" w:rsidP="00F90CEA">
      <w:pPr>
        <w:spacing w:after="0"/>
        <w:rPr>
          <w:rFonts w:ascii="Verdana" w:hAnsi="Verdana"/>
          <w:lang w:val="es-ES"/>
        </w:rPr>
      </w:pPr>
    </w:p>
    <w:p w14:paraId="5D3AF637" w14:textId="77777777" w:rsidR="000E2D03" w:rsidRDefault="000E2D03" w:rsidP="00F90CEA">
      <w:pPr>
        <w:spacing w:after="0"/>
        <w:rPr>
          <w:rFonts w:ascii="Verdana" w:hAnsi="Verdana"/>
          <w:lang w:val="es-ES"/>
        </w:rPr>
      </w:pPr>
    </w:p>
    <w:p w14:paraId="58510926" w14:textId="77777777" w:rsidR="000E2D03" w:rsidRDefault="000E2D03" w:rsidP="00F90CEA">
      <w:pPr>
        <w:spacing w:after="0"/>
        <w:rPr>
          <w:rFonts w:ascii="Verdana" w:hAnsi="Verdana"/>
          <w:lang w:val="es-ES"/>
        </w:rPr>
      </w:pPr>
    </w:p>
    <w:p w14:paraId="1691FB8B" w14:textId="77777777" w:rsidR="000E2D03" w:rsidRDefault="000E2D03" w:rsidP="00F90CEA">
      <w:pPr>
        <w:spacing w:after="0"/>
        <w:rPr>
          <w:rFonts w:ascii="Verdana" w:hAnsi="Verdana"/>
          <w:lang w:val="es-ES"/>
        </w:rPr>
      </w:pPr>
    </w:p>
    <w:p w14:paraId="3656E91C" w14:textId="77777777" w:rsidR="000E2D03" w:rsidRDefault="000E2D03" w:rsidP="00F90CEA">
      <w:pPr>
        <w:spacing w:after="0"/>
        <w:rPr>
          <w:rFonts w:ascii="Verdana" w:hAnsi="Verdana"/>
          <w:lang w:val="es-ES"/>
        </w:rPr>
      </w:pPr>
    </w:p>
    <w:p w14:paraId="22851A8F" w14:textId="77777777" w:rsidR="000E2D03" w:rsidRDefault="000E2D03" w:rsidP="00F90CEA">
      <w:pPr>
        <w:spacing w:after="0"/>
        <w:rPr>
          <w:rFonts w:ascii="Verdana" w:hAnsi="Verdana"/>
          <w:lang w:val="es-ES"/>
        </w:rPr>
      </w:pPr>
    </w:p>
    <w:p w14:paraId="4DCBBADF" w14:textId="77777777" w:rsidR="000E2D03" w:rsidRDefault="000E2D03" w:rsidP="00F90CEA">
      <w:pPr>
        <w:spacing w:after="0"/>
        <w:rPr>
          <w:rFonts w:ascii="Verdana" w:hAnsi="Verdana"/>
          <w:lang w:val="es-ES"/>
        </w:rPr>
      </w:pPr>
    </w:p>
    <w:p w14:paraId="1BA34326" w14:textId="77777777" w:rsidR="000E2D03" w:rsidRDefault="000E2D03" w:rsidP="00F90CEA">
      <w:pPr>
        <w:spacing w:after="0"/>
        <w:rPr>
          <w:rFonts w:ascii="Verdana" w:hAnsi="Verdana"/>
          <w:lang w:val="es-ES"/>
        </w:rPr>
      </w:pPr>
    </w:p>
    <w:p w14:paraId="63A1B0E1" w14:textId="77777777" w:rsidR="000E2D03" w:rsidRDefault="000E2D03" w:rsidP="00F90CEA">
      <w:pPr>
        <w:spacing w:after="0"/>
        <w:rPr>
          <w:rFonts w:ascii="Verdana" w:hAnsi="Verdana"/>
          <w:lang w:val="es-ES"/>
        </w:rPr>
      </w:pPr>
    </w:p>
    <w:p w14:paraId="50623AD0" w14:textId="77777777" w:rsidR="000E2D03" w:rsidRDefault="000E2D03" w:rsidP="00F90CEA">
      <w:pPr>
        <w:spacing w:after="0"/>
        <w:rPr>
          <w:rFonts w:ascii="Verdana" w:hAnsi="Verdana"/>
          <w:lang w:val="es-ES"/>
        </w:rPr>
      </w:pPr>
    </w:p>
    <w:p w14:paraId="0039F80B" w14:textId="77777777" w:rsidR="007C6E54" w:rsidRDefault="007C6E54" w:rsidP="00F90CEA">
      <w:pPr>
        <w:spacing w:after="0"/>
        <w:rPr>
          <w:rFonts w:ascii="Verdana" w:hAnsi="Verdana"/>
          <w:lang w:val="es-ES"/>
        </w:rPr>
      </w:pPr>
    </w:p>
    <w:p w14:paraId="0F21C36C" w14:textId="77777777" w:rsidR="007C6E54" w:rsidRDefault="007C6E54" w:rsidP="00F90CEA">
      <w:pPr>
        <w:spacing w:after="0"/>
        <w:rPr>
          <w:rFonts w:ascii="Verdana" w:hAnsi="Verdana"/>
          <w:lang w:val="es-ES"/>
        </w:rPr>
      </w:pPr>
    </w:p>
    <w:p w14:paraId="0B299B98" w14:textId="77777777" w:rsidR="007C6E54" w:rsidRDefault="007C6E54" w:rsidP="00F90CEA">
      <w:pPr>
        <w:spacing w:after="0"/>
        <w:rPr>
          <w:rFonts w:ascii="Verdana" w:hAnsi="Verdana"/>
          <w:lang w:val="es-ES"/>
        </w:rPr>
      </w:pPr>
    </w:p>
    <w:p w14:paraId="5988B71F" w14:textId="77777777" w:rsidR="007C6E54" w:rsidRDefault="007C6E54" w:rsidP="00F90CEA">
      <w:pPr>
        <w:spacing w:after="0"/>
        <w:rPr>
          <w:rFonts w:ascii="Verdana" w:hAnsi="Verdana"/>
          <w:lang w:val="es-ES"/>
        </w:rPr>
      </w:pPr>
    </w:p>
    <w:p w14:paraId="50284D0E" w14:textId="77777777" w:rsidR="007C6E54" w:rsidRDefault="007C6E54" w:rsidP="00F90CEA">
      <w:pPr>
        <w:spacing w:after="0"/>
        <w:rPr>
          <w:rFonts w:ascii="Verdana" w:hAnsi="Verdana"/>
          <w:lang w:val="es-ES"/>
        </w:rPr>
      </w:pPr>
    </w:p>
    <w:p w14:paraId="493049FB" w14:textId="77777777" w:rsidR="007C6E54" w:rsidRDefault="007C6E54" w:rsidP="00F90CEA">
      <w:pPr>
        <w:spacing w:after="0"/>
        <w:rPr>
          <w:rFonts w:ascii="Verdana" w:hAnsi="Verdana"/>
          <w:lang w:val="es-ES"/>
        </w:rPr>
      </w:pPr>
    </w:p>
    <w:p w14:paraId="1AF90F42" w14:textId="3520DFA3" w:rsidR="00F90CEA" w:rsidRPr="00A220B2" w:rsidRDefault="00F90CEA" w:rsidP="00F90CEA">
      <w:pPr>
        <w:spacing w:after="0"/>
        <w:rPr>
          <w:rFonts w:ascii="Verdana" w:hAnsi="Verdana"/>
          <w:lang w:val="es-ES"/>
        </w:rPr>
      </w:pPr>
      <w:r w:rsidRPr="00A220B2">
        <w:rPr>
          <w:rFonts w:ascii="Verdana" w:hAnsi="Verdana"/>
          <w:lang w:val="es-ES"/>
        </w:rPr>
        <w:lastRenderedPageBreak/>
        <w:t xml:space="preserve">Bogotá D.C., </w:t>
      </w:r>
      <w:r w:rsidR="00730144">
        <w:rPr>
          <w:rFonts w:ascii="Verdana" w:hAnsi="Verdana"/>
          <w:lang w:val="es-ES"/>
        </w:rPr>
        <w:t>12 de agosto de 2026</w:t>
      </w:r>
      <w:r w:rsidRPr="00A220B2">
        <w:rPr>
          <w:rFonts w:ascii="Verdana" w:hAnsi="Verdana"/>
          <w:lang w:val="es-ES"/>
        </w:rPr>
        <w:tab/>
      </w:r>
    </w:p>
    <w:p w14:paraId="5FCB05CE" w14:textId="347D798F" w:rsidR="00F90CEA" w:rsidRPr="00A220B2" w:rsidRDefault="00730144" w:rsidP="00F90CEA">
      <w:pPr>
        <w:spacing w:after="0"/>
        <w:rPr>
          <w:rFonts w:ascii="Verdana" w:hAnsi="Verdana"/>
          <w:lang w:val="es-ES"/>
        </w:rPr>
      </w:pPr>
      <w:r>
        <w:rPr>
          <w:rFonts w:ascii="Verdana" w:eastAsia="Calibri" w:hAnsi="Verdana" w:cs="Arial"/>
          <w:b/>
          <w:bCs/>
          <w:noProof/>
          <w:color w:val="000000" w:themeColor="text1"/>
          <w:lang w:val="es-ES" w:eastAsia="es-ES"/>
        </w:rPr>
        <w:drawing>
          <wp:anchor distT="0" distB="0" distL="114300" distR="114300" simplePos="0" relativeHeight="251659265" behindDoc="0" locked="0" layoutInCell="1" allowOverlap="1" wp14:anchorId="72F02071" wp14:editId="1F5D30A6">
            <wp:simplePos x="0" y="0"/>
            <wp:positionH relativeFrom="column">
              <wp:posOffset>3305595</wp:posOffset>
            </wp:positionH>
            <wp:positionV relativeFrom="paragraph">
              <wp:posOffset>136374</wp:posOffset>
            </wp:positionV>
            <wp:extent cx="2094230" cy="581025"/>
            <wp:effectExtent l="0" t="0" r="1270" b="3175"/>
            <wp:wrapSquare wrapText="bothSides"/>
            <wp:docPr id="401050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50066" name="Picture 401050066"/>
                    <pic:cNvPicPr/>
                  </pic:nvPicPr>
                  <pic:blipFill>
                    <a:blip r:embed="rId11">
                      <a:extLst>
                        <a:ext uri="{28A0092B-C50C-407E-A947-70E740481C1C}">
                          <a14:useLocalDpi xmlns:a14="http://schemas.microsoft.com/office/drawing/2010/main" val="0"/>
                        </a:ext>
                      </a:extLst>
                    </a:blip>
                    <a:stretch>
                      <a:fillRect/>
                    </a:stretch>
                  </pic:blipFill>
                  <pic:spPr>
                    <a:xfrm>
                      <a:off x="0" y="0"/>
                      <a:ext cx="2094230" cy="581025"/>
                    </a:xfrm>
                    <a:prstGeom prst="rect">
                      <a:avLst/>
                    </a:prstGeom>
                  </pic:spPr>
                </pic:pic>
              </a:graphicData>
            </a:graphic>
            <wp14:sizeRelH relativeFrom="page">
              <wp14:pctWidth>0</wp14:pctWidth>
            </wp14:sizeRelH>
            <wp14:sizeRelV relativeFrom="page">
              <wp14:pctHeight>0</wp14:pctHeight>
            </wp14:sizeRelV>
          </wp:anchor>
        </w:drawing>
      </w:r>
    </w:p>
    <w:p w14:paraId="0AAA9DD6" w14:textId="3EBB5A21" w:rsidR="00F90CEA" w:rsidRPr="00A220B2" w:rsidRDefault="00F90CEA" w:rsidP="00F90CEA">
      <w:pPr>
        <w:spacing w:after="0" w:line="240"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Señor</w:t>
      </w:r>
    </w:p>
    <w:p w14:paraId="4E75C0BB" w14:textId="60249B07" w:rsidR="00F90CEA" w:rsidRDefault="00F90CEA" w:rsidP="00F90CEA">
      <w:pPr>
        <w:spacing w:after="0" w:line="240" w:lineRule="auto"/>
        <w:jc w:val="both"/>
        <w:rPr>
          <w:rFonts w:ascii="Verdana" w:eastAsia="Calibri" w:hAnsi="Verdana" w:cs="Arial"/>
          <w:b/>
          <w:bCs/>
          <w:color w:val="000000" w:themeColor="text1"/>
          <w:lang w:val="es-ES" w:eastAsia="es-ES"/>
        </w:rPr>
      </w:pPr>
      <w:r>
        <w:rPr>
          <w:rFonts w:ascii="Verdana" w:eastAsia="Calibri" w:hAnsi="Verdana" w:cs="Arial"/>
          <w:b/>
          <w:bCs/>
          <w:color w:val="000000" w:themeColor="text1"/>
          <w:lang w:val="es-ES" w:eastAsia="es-ES"/>
        </w:rPr>
        <w:t>Juan Carlos Hernández Vesga</w:t>
      </w:r>
    </w:p>
    <w:p w14:paraId="166FA34C" w14:textId="77777777" w:rsidR="00F90CEA" w:rsidRPr="00405FA0" w:rsidRDefault="00F90CEA" w:rsidP="00F90CEA">
      <w:pPr>
        <w:spacing w:after="0" w:line="240" w:lineRule="auto"/>
        <w:jc w:val="both"/>
        <w:rPr>
          <w:rFonts w:ascii="Verdana" w:eastAsia="Calibri" w:hAnsi="Verdana" w:cs="Arial"/>
          <w:color w:val="000000" w:themeColor="text1"/>
          <w:lang w:val="es-ES" w:eastAsia="es-ES"/>
        </w:rPr>
      </w:pPr>
      <w:r w:rsidRPr="00405FA0">
        <w:rPr>
          <w:rFonts w:ascii="Verdana" w:eastAsia="Calibri" w:hAnsi="Verdana" w:cs="Arial"/>
          <w:color w:val="000000" w:themeColor="text1"/>
          <w:lang w:val="es-ES" w:eastAsia="es-ES"/>
        </w:rPr>
        <w:t>Representante Legal</w:t>
      </w:r>
    </w:p>
    <w:p w14:paraId="53D85A86" w14:textId="77777777" w:rsidR="00F90CEA" w:rsidRPr="00405FA0" w:rsidRDefault="00F90CEA" w:rsidP="00F90CEA">
      <w:pPr>
        <w:spacing w:after="0" w:line="240" w:lineRule="auto"/>
        <w:jc w:val="both"/>
        <w:rPr>
          <w:rFonts w:ascii="Verdana" w:eastAsia="Calibri" w:hAnsi="Verdana" w:cs="Arial"/>
          <w:color w:val="000000" w:themeColor="text1"/>
          <w:lang w:val="es-ES" w:eastAsia="es-ES"/>
        </w:rPr>
      </w:pPr>
      <w:r w:rsidRPr="00405FA0">
        <w:rPr>
          <w:rFonts w:ascii="Verdana" w:eastAsia="Calibri" w:hAnsi="Verdana" w:cs="Arial"/>
          <w:color w:val="000000" w:themeColor="text1"/>
          <w:lang w:val="es-ES" w:eastAsia="es-ES"/>
        </w:rPr>
        <w:t>Grupo Empresarial Ejecutar S.A.S.</w:t>
      </w:r>
    </w:p>
    <w:p w14:paraId="2E159E33" w14:textId="77777777" w:rsidR="00F90CEA" w:rsidRPr="00405FA0" w:rsidRDefault="00F90CEA" w:rsidP="00F90CEA">
      <w:pPr>
        <w:spacing w:after="0" w:line="240" w:lineRule="auto"/>
        <w:jc w:val="both"/>
        <w:rPr>
          <w:rFonts w:ascii="Verdana" w:eastAsia="Calibri" w:hAnsi="Verdana" w:cs="Arial"/>
          <w:color w:val="000000" w:themeColor="text1"/>
          <w:lang w:val="es-ES" w:eastAsia="es-ES"/>
        </w:rPr>
      </w:pPr>
      <w:r w:rsidRPr="00405FA0">
        <w:rPr>
          <w:rFonts w:ascii="Verdana" w:eastAsia="Calibri" w:hAnsi="Verdana" w:cs="Arial"/>
          <w:color w:val="000000" w:themeColor="text1"/>
          <w:lang w:val="es-ES" w:eastAsia="es-ES"/>
        </w:rPr>
        <w:t>Barrancabermeja, Santander</w:t>
      </w:r>
    </w:p>
    <w:p w14:paraId="0E62C400" w14:textId="3AE7BDAB" w:rsidR="00F90CEA" w:rsidRPr="009F5103" w:rsidRDefault="00F90CEA" w:rsidP="00F90CEA">
      <w:pPr>
        <w:spacing w:after="0" w:line="240" w:lineRule="auto"/>
        <w:jc w:val="both"/>
        <w:rPr>
          <w:rFonts w:ascii="Verdana" w:eastAsia="Calibri" w:hAnsi="Verdana" w:cs="Arial"/>
          <w:color w:val="000000" w:themeColor="text1"/>
          <w:lang w:val="es-ES" w:eastAsia="es-ES"/>
        </w:rPr>
      </w:pPr>
    </w:p>
    <w:p w14:paraId="7E05F3B0" w14:textId="77777777" w:rsidR="00F90CEA" w:rsidRPr="00A220B2" w:rsidRDefault="00F90CEA" w:rsidP="00F90CEA">
      <w:pPr>
        <w:spacing w:after="0" w:line="240" w:lineRule="auto"/>
        <w:rPr>
          <w:rFonts w:ascii="Verdana" w:eastAsia="Calibri" w:hAnsi="Verdana" w:cs="Arial"/>
          <w:color w:val="000000" w:themeColor="text1"/>
          <w:lang w:val="es-ES" w:eastAsia="es-ES_tradnl"/>
        </w:rPr>
      </w:pP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F90CEA" w:rsidRPr="00A220B2" w14:paraId="2637EA57" w14:textId="77777777" w:rsidTr="00F90CEA">
        <w:trPr>
          <w:gridAfter w:val="1"/>
          <w:wAfter w:w="4179" w:type="dxa"/>
          <w:trHeight w:val="304"/>
        </w:trPr>
        <w:tc>
          <w:tcPr>
            <w:tcW w:w="2689" w:type="dxa"/>
          </w:tcPr>
          <w:p w14:paraId="45628FE9" w14:textId="77777777" w:rsidR="00F90CEA" w:rsidRPr="00A220B2" w:rsidRDefault="00F90CEA" w:rsidP="00F90CEA">
            <w:pPr>
              <w:jc w:val="both"/>
              <w:rPr>
                <w:rFonts w:ascii="Verdana" w:eastAsia="Calibri" w:hAnsi="Verdana" w:cs="Arial"/>
                <w:b/>
                <w:bCs/>
                <w:color w:val="000000" w:themeColor="text1"/>
                <w:lang w:val="es-ES" w:eastAsia="es-ES_tradnl"/>
              </w:rPr>
            </w:pPr>
          </w:p>
        </w:tc>
        <w:tc>
          <w:tcPr>
            <w:tcW w:w="6100" w:type="dxa"/>
          </w:tcPr>
          <w:p w14:paraId="7137C9EA" w14:textId="77777777" w:rsidR="00F90CEA" w:rsidRPr="00A220B2" w:rsidRDefault="00F90CEA" w:rsidP="00F90CEA">
            <w:pPr>
              <w:jc w:val="both"/>
              <w:rPr>
                <w:rFonts w:ascii="Verdana" w:eastAsia="Calibri" w:hAnsi="Verdana" w:cs="Arial"/>
                <w:b/>
                <w:bCs/>
                <w:color w:val="000000" w:themeColor="text1"/>
                <w:lang w:val="es-ES" w:eastAsia="es-ES"/>
              </w:rPr>
            </w:pPr>
            <w:r w:rsidRPr="00A220B2">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1036</w:t>
            </w:r>
            <w:r w:rsidRPr="00A220B2">
              <w:rPr>
                <w:rFonts w:ascii="Verdana" w:eastAsia="Calibri" w:hAnsi="Verdana" w:cs="Arial"/>
                <w:b/>
                <w:bCs/>
                <w:color w:val="000000" w:themeColor="text1"/>
                <w:lang w:val="es-ES" w:eastAsia="es-ES"/>
              </w:rPr>
              <w:t xml:space="preserve"> de 2026</w:t>
            </w:r>
          </w:p>
          <w:p w14:paraId="044A01E9" w14:textId="77777777" w:rsidR="00F90CEA" w:rsidRPr="00A220B2" w:rsidRDefault="00F90CEA" w:rsidP="00F90CEA">
            <w:pPr>
              <w:jc w:val="both"/>
              <w:rPr>
                <w:rFonts w:ascii="Verdana" w:eastAsia="Calibri" w:hAnsi="Verdana" w:cs="Arial"/>
                <w:b/>
                <w:bCs/>
                <w:color w:val="000000" w:themeColor="text1"/>
                <w:lang w:val="es-ES" w:eastAsia="es-ES"/>
              </w:rPr>
            </w:pPr>
          </w:p>
        </w:tc>
      </w:tr>
      <w:tr w:rsidR="00F90CEA" w:rsidRPr="00A220B2" w14:paraId="5C469BAC" w14:textId="77777777" w:rsidTr="00F90CEA">
        <w:trPr>
          <w:trHeight w:val="1422"/>
        </w:trPr>
        <w:tc>
          <w:tcPr>
            <w:tcW w:w="2689" w:type="dxa"/>
          </w:tcPr>
          <w:p w14:paraId="4A25C2E7" w14:textId="77777777" w:rsidR="00F90CEA" w:rsidRPr="00A220B2" w:rsidRDefault="00F90CEA" w:rsidP="00F90CEA">
            <w:pPr>
              <w:jc w:val="both"/>
              <w:rPr>
                <w:rFonts w:ascii="Verdana" w:eastAsia="Calibri" w:hAnsi="Verdana" w:cs="Arial"/>
                <w:color w:val="000000" w:themeColor="text1"/>
                <w:lang w:val="es-ES" w:eastAsia="es-ES_tradnl"/>
              </w:rPr>
            </w:pPr>
            <w:r w:rsidRPr="00A220B2">
              <w:rPr>
                <w:rFonts w:ascii="Verdana" w:eastAsia="Calibri" w:hAnsi="Verdana" w:cs="Arial"/>
                <w:b/>
                <w:color w:val="000000" w:themeColor="text1"/>
                <w:lang w:val="es-ES" w:eastAsia="es-ES_tradnl"/>
              </w:rPr>
              <w:t>Temas:</w:t>
            </w:r>
            <w:r w:rsidRPr="00A220B2">
              <w:rPr>
                <w:rFonts w:ascii="Verdana" w:eastAsia="Calibri" w:hAnsi="Verdana" w:cs="Arial"/>
                <w:color w:val="000000" w:themeColor="text1"/>
                <w:lang w:val="es-ES" w:eastAsia="es-ES_tradnl"/>
              </w:rPr>
              <w:t xml:space="preserve">                   </w:t>
            </w:r>
          </w:p>
        </w:tc>
        <w:tc>
          <w:tcPr>
            <w:tcW w:w="6100" w:type="dxa"/>
          </w:tcPr>
          <w:p w14:paraId="25B2F3B5" w14:textId="77777777" w:rsidR="00F90CEA" w:rsidRPr="003C43BC" w:rsidRDefault="00F90CEA" w:rsidP="00F90CEA">
            <w:pPr>
              <w:spacing w:line="276" w:lineRule="auto"/>
              <w:jc w:val="both"/>
              <w:rPr>
                <w:rFonts w:ascii="Verdana" w:eastAsia="Arial" w:hAnsi="Verdana" w:cs="Arial"/>
                <w:bCs/>
                <w:color w:val="000000" w:themeColor="text1"/>
              </w:rPr>
            </w:pPr>
            <w:r w:rsidRPr="00A50078">
              <w:rPr>
                <w:rFonts w:ascii="Verdana" w:eastAsia="Calibri" w:hAnsi="Verdana" w:cs="Arial"/>
                <w:lang w:val="es-ES" w:eastAsia="es-ES"/>
              </w:rPr>
              <w:t xml:space="preserve">PLANEACIÓN – Procesos de contratación pública / ESTUDIOS PREVIOS – Análisis del sector – Estudio del mercado </w:t>
            </w:r>
            <w:r>
              <w:rPr>
                <w:rFonts w:ascii="Verdana" w:eastAsia="Calibri" w:hAnsi="Verdana" w:cs="Arial"/>
                <w:lang w:val="es-ES" w:eastAsia="es-ES"/>
              </w:rPr>
              <w:t xml:space="preserve">/ </w:t>
            </w:r>
            <w:r w:rsidRPr="004C5FFE">
              <w:rPr>
                <w:rFonts w:ascii="Verdana" w:hAnsi="Verdana" w:cs="Arial"/>
                <w:bCs/>
              </w:rPr>
              <w:t xml:space="preserve">REQUISITOS HABILITANTES – Concepto / REQUISITOS HABILITANTES – Carácter enunciativo – Artículo 5 de la Ley 1150 de 2007 / </w:t>
            </w:r>
            <w:r w:rsidRPr="004C5FFE">
              <w:rPr>
                <w:rFonts w:ascii="Verdana" w:eastAsia="Calibri" w:hAnsi="Verdana" w:cs="Arial"/>
                <w:lang w:val="es-ES" w:eastAsia="es-ES"/>
              </w:rPr>
              <w:t>PRINCIPIO DE SELECCIÓN OBJETIVA – Noción – Normativa – Requisitos habilitantes – Requisitos ponderables</w:t>
            </w:r>
            <w:r>
              <w:rPr>
                <w:rFonts w:ascii="Verdana" w:eastAsia="Calibri" w:hAnsi="Verdana" w:cs="Arial"/>
                <w:lang w:val="es-ES" w:eastAsia="es-ES"/>
              </w:rPr>
              <w:t xml:space="preserve"> / ANEXO O FICHA TÉCNICA </w:t>
            </w:r>
            <w:r w:rsidRPr="004C5FFE">
              <w:rPr>
                <w:rFonts w:ascii="Verdana" w:eastAsia="Calibri" w:hAnsi="Verdana" w:cs="Arial"/>
                <w:lang w:val="es-ES" w:eastAsia="es-ES"/>
              </w:rPr>
              <w:t>–</w:t>
            </w:r>
            <w:r>
              <w:rPr>
                <w:rFonts w:ascii="Verdana" w:eastAsia="Calibri" w:hAnsi="Verdana" w:cs="Arial"/>
                <w:lang w:val="es-ES" w:eastAsia="es-ES"/>
              </w:rPr>
              <w:t xml:space="preserve"> Alcance</w:t>
            </w:r>
          </w:p>
          <w:p w14:paraId="5D3C2DC9" w14:textId="77777777" w:rsidR="00F90CEA" w:rsidRPr="00A220B2" w:rsidRDefault="00F90CEA" w:rsidP="00F90CEA">
            <w:pPr>
              <w:spacing w:line="276" w:lineRule="auto"/>
              <w:ind w:hanging="4"/>
              <w:jc w:val="both"/>
              <w:rPr>
                <w:rFonts w:ascii="Verdana" w:eastAsia="Calibri" w:hAnsi="Verdana" w:cs="Arial"/>
                <w:color w:val="000000" w:themeColor="text1"/>
                <w:lang w:val="es-ES" w:eastAsia="es-ES"/>
              </w:rPr>
            </w:pPr>
          </w:p>
        </w:tc>
        <w:tc>
          <w:tcPr>
            <w:tcW w:w="4179" w:type="dxa"/>
          </w:tcPr>
          <w:p w14:paraId="68B55959" w14:textId="77777777" w:rsidR="00F90CEA" w:rsidRPr="00A220B2" w:rsidRDefault="00F90CEA" w:rsidP="00F90CEA">
            <w:pPr>
              <w:spacing w:line="276" w:lineRule="auto"/>
              <w:jc w:val="both"/>
              <w:rPr>
                <w:rFonts w:ascii="Verdana" w:eastAsia="Calibri" w:hAnsi="Verdana" w:cs="Arial"/>
                <w:b/>
                <w:bCs/>
                <w:color w:val="000000" w:themeColor="text1"/>
                <w:lang w:val="es-ES" w:eastAsia="es-ES"/>
              </w:rPr>
            </w:pPr>
          </w:p>
          <w:p w14:paraId="1031A9AA" w14:textId="77777777" w:rsidR="00F90CEA" w:rsidRPr="00A220B2" w:rsidRDefault="00F90CEA" w:rsidP="00F90CEA">
            <w:pPr>
              <w:rPr>
                <w:rFonts w:ascii="Verdana" w:hAnsi="Verdana"/>
                <w:lang w:val="es-ES"/>
              </w:rPr>
            </w:pPr>
          </w:p>
        </w:tc>
      </w:tr>
      <w:tr w:rsidR="00F90CEA" w:rsidRPr="00A220B2" w14:paraId="3CD07052" w14:textId="77777777" w:rsidTr="00F90CEA">
        <w:trPr>
          <w:gridAfter w:val="1"/>
          <w:wAfter w:w="4179" w:type="dxa"/>
        </w:trPr>
        <w:tc>
          <w:tcPr>
            <w:tcW w:w="2689" w:type="dxa"/>
          </w:tcPr>
          <w:p w14:paraId="1BCF092D" w14:textId="77777777" w:rsidR="00F90CEA" w:rsidRPr="00A220B2" w:rsidRDefault="00F90CEA" w:rsidP="00F90CEA">
            <w:pPr>
              <w:jc w:val="both"/>
              <w:rPr>
                <w:rFonts w:ascii="Verdana" w:eastAsia="Calibri" w:hAnsi="Verdana" w:cs="Arial"/>
                <w:b/>
                <w:color w:val="000000" w:themeColor="text1"/>
                <w:lang w:val="es-ES" w:eastAsia="es-ES_tradnl"/>
              </w:rPr>
            </w:pPr>
            <w:r w:rsidRPr="00A220B2">
              <w:rPr>
                <w:rFonts w:ascii="Verdana" w:eastAsia="Calibri" w:hAnsi="Verdana" w:cs="Arial"/>
                <w:b/>
                <w:color w:val="000000" w:themeColor="text1"/>
                <w:lang w:val="es-ES" w:eastAsia="es-ES_tradnl"/>
              </w:rPr>
              <w:t>Radicación:</w:t>
            </w:r>
            <w:r w:rsidRPr="00A220B2">
              <w:rPr>
                <w:rFonts w:ascii="Verdana" w:eastAsia="Calibri" w:hAnsi="Verdana" w:cs="Arial"/>
                <w:color w:val="000000" w:themeColor="text1"/>
                <w:lang w:val="es-ES" w:eastAsia="es-ES_tradnl"/>
              </w:rPr>
              <w:t xml:space="preserve">               </w:t>
            </w:r>
          </w:p>
        </w:tc>
        <w:tc>
          <w:tcPr>
            <w:tcW w:w="6100" w:type="dxa"/>
          </w:tcPr>
          <w:p w14:paraId="709FC834" w14:textId="77777777" w:rsidR="00F90CEA" w:rsidRPr="00A220B2" w:rsidRDefault="00F90CEA" w:rsidP="00F90CEA">
            <w:pPr>
              <w:jc w:val="both"/>
              <w:rPr>
                <w:rFonts w:ascii="Verdana" w:eastAsia="Calibri" w:hAnsi="Verdana" w:cs="Arial"/>
                <w:color w:val="000000" w:themeColor="text1"/>
                <w:lang w:val="es-ES" w:eastAsia="es-ES_tradnl"/>
              </w:rPr>
            </w:pPr>
            <w:r w:rsidRPr="00A220B2">
              <w:rPr>
                <w:rFonts w:ascii="Verdana" w:eastAsia="Calibri" w:hAnsi="Verdana" w:cs="Arial"/>
                <w:color w:val="000000" w:themeColor="text1"/>
                <w:lang w:val="es-ES" w:eastAsia="es-ES_tradnl"/>
              </w:rPr>
              <w:t xml:space="preserve">Respuesta a la consulta con radicado No. </w:t>
            </w:r>
            <w:r w:rsidRPr="00894103">
              <w:rPr>
                <w:rFonts w:ascii="Verdana" w:eastAsia="Calibri" w:hAnsi="Verdana" w:cs="Arial"/>
                <w:color w:val="000000" w:themeColor="text1"/>
                <w:lang w:eastAsia="es-ES_tradnl"/>
              </w:rPr>
              <w:t>1_2026_06_30_008656</w:t>
            </w:r>
          </w:p>
        </w:tc>
      </w:tr>
    </w:tbl>
    <w:p w14:paraId="2371D654" w14:textId="77777777" w:rsidR="00F90CEA" w:rsidRPr="00A220B2" w:rsidRDefault="00F90CEA" w:rsidP="00F90CEA">
      <w:pPr>
        <w:spacing w:after="0" w:line="276" w:lineRule="auto"/>
        <w:jc w:val="both"/>
        <w:rPr>
          <w:rFonts w:ascii="Verdana" w:eastAsia="Calibri" w:hAnsi="Verdana" w:cs="Arial"/>
          <w:color w:val="000000" w:themeColor="text1"/>
          <w:lang w:val="es-ES" w:eastAsia="es-ES_tradnl"/>
        </w:rPr>
      </w:pPr>
    </w:p>
    <w:p w14:paraId="61381481" w14:textId="77777777" w:rsidR="00F90CEA" w:rsidRPr="00A220B2" w:rsidRDefault="00F90CEA" w:rsidP="00F90CEA">
      <w:pPr>
        <w:spacing w:after="0" w:line="240" w:lineRule="auto"/>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 Señor Hernández</w:t>
      </w:r>
      <w:r w:rsidRPr="00A220B2">
        <w:rPr>
          <w:rFonts w:ascii="Verdana" w:eastAsia="Calibri" w:hAnsi="Verdana" w:cs="Arial"/>
          <w:color w:val="000000" w:themeColor="text1"/>
          <w:lang w:val="es-ES" w:eastAsia="es-ES"/>
        </w:rPr>
        <w:t>:</w:t>
      </w:r>
    </w:p>
    <w:p w14:paraId="3F777759" w14:textId="77777777" w:rsidR="00F90CEA" w:rsidRPr="00A220B2" w:rsidRDefault="00F90CEA" w:rsidP="00F90CEA">
      <w:pPr>
        <w:tabs>
          <w:tab w:val="left" w:pos="3768"/>
        </w:tabs>
        <w:spacing w:after="0" w:line="276" w:lineRule="auto"/>
        <w:jc w:val="both"/>
        <w:rPr>
          <w:rFonts w:ascii="Verdana" w:eastAsia="Calibri" w:hAnsi="Verdana" w:cs="Arial"/>
          <w:color w:val="000000" w:themeColor="text1"/>
          <w:lang w:val="es-ES" w:eastAsia="es-ES"/>
        </w:rPr>
      </w:pPr>
    </w:p>
    <w:p w14:paraId="652A6D0B" w14:textId="77777777" w:rsidR="00F90CEA" w:rsidRPr="00A220B2" w:rsidRDefault="00F90CEA" w:rsidP="00F90CEA">
      <w:pPr>
        <w:spacing w:after="0" w:line="276" w:lineRule="auto"/>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En ejercicio de la competencia otorgada por los artículos 3, numeral 5º, y 11, numeral 8º, del Decreto Ley 4170 de 2011,</w:t>
      </w:r>
      <w:r w:rsidRPr="00A220B2">
        <w:rPr>
          <w:rFonts w:ascii="Verdana" w:eastAsia="Arial MT" w:hAnsi="Verdana" w:cs="Arial MT"/>
          <w:color w:val="000000" w:themeColor="text1"/>
          <w:lang w:val="es-ES" w:eastAsia="es-ES"/>
        </w:rPr>
        <w:t xml:space="preserve"> </w:t>
      </w:r>
      <w:r w:rsidRPr="00A220B2">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w:t>
      </w:r>
      <w:r>
        <w:rPr>
          <w:rFonts w:ascii="Verdana" w:hAnsi="Verdana" w:cs="Arial"/>
          <w:color w:val="000000" w:themeColor="text1"/>
          <w:lang w:val="es-ES"/>
        </w:rPr>
        <w:t xml:space="preserve"> 30</w:t>
      </w:r>
      <w:r w:rsidRPr="00A220B2">
        <w:rPr>
          <w:rFonts w:ascii="Verdana" w:hAnsi="Verdana" w:cs="Arial"/>
          <w:color w:val="000000" w:themeColor="text1"/>
          <w:lang w:val="es-ES"/>
        </w:rPr>
        <w:t xml:space="preserve"> de </w:t>
      </w:r>
      <w:r>
        <w:rPr>
          <w:rFonts w:ascii="Verdana" w:hAnsi="Verdana" w:cs="Arial"/>
          <w:color w:val="000000" w:themeColor="text1"/>
          <w:lang w:val="es-ES"/>
        </w:rPr>
        <w:t xml:space="preserve">junio de </w:t>
      </w:r>
      <w:r w:rsidRPr="00A220B2">
        <w:rPr>
          <w:rFonts w:ascii="Verdana" w:hAnsi="Verdana" w:cs="Arial"/>
          <w:color w:val="000000" w:themeColor="text1"/>
          <w:lang w:val="es-ES"/>
        </w:rPr>
        <w:t>2026, en la cual manifiesta lo siguiente:</w:t>
      </w:r>
      <w:r w:rsidRPr="00A220B2">
        <w:rPr>
          <w:rFonts w:ascii="Verdana" w:eastAsia="Calibri" w:hAnsi="Verdana" w:cs="Arial"/>
          <w:color w:val="000000" w:themeColor="text1"/>
          <w:lang w:val="es-ES" w:eastAsia="es-ES"/>
        </w:rPr>
        <w:t xml:space="preserve"> </w:t>
      </w:r>
    </w:p>
    <w:p w14:paraId="27A6256D" w14:textId="77777777" w:rsidR="00F90CEA" w:rsidRPr="00A220B2" w:rsidRDefault="00F90CEA" w:rsidP="00F90CEA">
      <w:pPr>
        <w:spacing w:after="0" w:line="276" w:lineRule="auto"/>
        <w:jc w:val="both"/>
        <w:rPr>
          <w:rFonts w:ascii="Verdana" w:eastAsia="Calibri" w:hAnsi="Verdana" w:cs="Arial"/>
          <w:color w:val="000000" w:themeColor="text1"/>
          <w:lang w:val="es-ES" w:eastAsia="es-ES"/>
        </w:rPr>
      </w:pPr>
    </w:p>
    <w:p w14:paraId="2BF685B0"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220B2">
        <w:rPr>
          <w:rFonts w:ascii="Verdana" w:eastAsia="Century Gothic" w:hAnsi="Verdana" w:cs="Century Gothic"/>
          <w:i/>
          <w:iCs/>
          <w:color w:val="000000" w:themeColor="text1"/>
          <w:sz w:val="20"/>
          <w:szCs w:val="20"/>
          <w:lang w:val="es-ES"/>
        </w:rPr>
        <w:t>“[…]</w:t>
      </w:r>
      <w:r w:rsidRPr="00AD2822">
        <w:rPr>
          <w:rFonts w:ascii="Verdana" w:eastAsia="Century Gothic" w:hAnsi="Verdana" w:cs="Century Gothic"/>
          <w:b/>
          <w:i/>
          <w:color w:val="000000" w:themeColor="text1"/>
          <w:sz w:val="20"/>
          <w:szCs w:val="20"/>
        </w:rPr>
        <w:t xml:space="preserve">PRIMERO </w:t>
      </w:r>
    </w:p>
    <w:p w14:paraId="2B738888"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Cuando una disposición legal exige la </w:t>
      </w:r>
      <w:proofErr w:type="spellStart"/>
      <w:r w:rsidRPr="00AD2822">
        <w:rPr>
          <w:rFonts w:ascii="Verdana" w:eastAsia="Century Gothic" w:hAnsi="Verdana" w:cs="Century Gothic"/>
          <w:i/>
          <w:color w:val="000000" w:themeColor="text1"/>
          <w:sz w:val="20"/>
          <w:szCs w:val="20"/>
        </w:rPr>
        <w:t>obtención</w:t>
      </w:r>
      <w:proofErr w:type="spellEnd"/>
      <w:r w:rsidRPr="00AD2822">
        <w:rPr>
          <w:rFonts w:ascii="Verdana" w:eastAsia="Century Gothic" w:hAnsi="Verdana" w:cs="Century Gothic"/>
          <w:i/>
          <w:color w:val="000000" w:themeColor="text1"/>
          <w:sz w:val="20"/>
          <w:szCs w:val="20"/>
        </w:rPr>
        <w:t xml:space="preserve"> previa de un permiso, </w:t>
      </w:r>
      <w:proofErr w:type="spellStart"/>
      <w:r w:rsidRPr="00AD2822">
        <w:rPr>
          <w:rFonts w:ascii="Verdana" w:eastAsia="Century Gothic" w:hAnsi="Verdana" w:cs="Century Gothic"/>
          <w:i/>
          <w:color w:val="000000" w:themeColor="text1"/>
          <w:sz w:val="20"/>
          <w:szCs w:val="20"/>
        </w:rPr>
        <w:t>resolución</w:t>
      </w:r>
      <w:proofErr w:type="spellEnd"/>
      <w:r w:rsidRPr="00AD2822">
        <w:rPr>
          <w:rFonts w:ascii="Verdana" w:eastAsia="Century Gothic" w:hAnsi="Verdana" w:cs="Century Gothic"/>
          <w:i/>
          <w:color w:val="000000" w:themeColor="text1"/>
          <w:sz w:val="20"/>
          <w:szCs w:val="20"/>
        </w:rPr>
        <w:t xml:space="preserve">, licencia,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concepto favorable, registro o cualquier otra habilitación administrativa para desarrollar determinada actividad, ¿</w:t>
      </w:r>
      <w:proofErr w:type="spellStart"/>
      <w:r w:rsidRPr="00AD2822">
        <w:rPr>
          <w:rFonts w:ascii="Verdana" w:eastAsia="Century Gothic" w:hAnsi="Verdana" w:cs="Century Gothic"/>
          <w:i/>
          <w:color w:val="000000" w:themeColor="text1"/>
          <w:sz w:val="20"/>
          <w:szCs w:val="20"/>
        </w:rPr>
        <w:t>cómo</w:t>
      </w:r>
      <w:proofErr w:type="spellEnd"/>
      <w:r w:rsidRPr="00AD2822">
        <w:rPr>
          <w:rFonts w:ascii="Verdana" w:eastAsia="Century Gothic" w:hAnsi="Verdana" w:cs="Century Gothic"/>
          <w:i/>
          <w:color w:val="000000" w:themeColor="text1"/>
          <w:sz w:val="20"/>
          <w:szCs w:val="20"/>
        </w:rPr>
        <w:t xml:space="preserve"> debe interpretarse el principio de planeación respecto de la </w:t>
      </w:r>
      <w:proofErr w:type="spellStart"/>
      <w:r w:rsidRPr="00AD2822">
        <w:rPr>
          <w:rFonts w:ascii="Verdana" w:eastAsia="Century Gothic" w:hAnsi="Verdana" w:cs="Century Gothic"/>
          <w:i/>
          <w:color w:val="000000" w:themeColor="text1"/>
          <w:sz w:val="20"/>
          <w:szCs w:val="20"/>
        </w:rPr>
        <w:t>estructuración</w:t>
      </w:r>
      <w:proofErr w:type="spellEnd"/>
      <w:r w:rsidRPr="00AD2822">
        <w:rPr>
          <w:rFonts w:ascii="Verdana" w:eastAsia="Century Gothic" w:hAnsi="Verdana" w:cs="Century Gothic"/>
          <w:i/>
          <w:color w:val="000000" w:themeColor="text1"/>
          <w:sz w:val="20"/>
          <w:szCs w:val="20"/>
        </w:rPr>
        <w:t xml:space="preserve"> del proceso de selección? </w:t>
      </w:r>
    </w:p>
    <w:p w14:paraId="0A4989D9"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SEGUNDO </w:t>
      </w:r>
    </w:p>
    <w:p w14:paraId="423A0566"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lastRenderedPageBreak/>
        <w:t xml:space="preserve">¿Hace parte del deber de planeación verificar, durante la etapa precontractual, que el futuro contratista se encuentre jurídicamente habilitado para iniciar inmediatamente la ejecución del objeto contractual cuando la </w:t>
      </w:r>
      <w:proofErr w:type="spellStart"/>
      <w:r w:rsidRPr="00AD2822">
        <w:rPr>
          <w:rFonts w:ascii="Verdana" w:eastAsia="Century Gothic" w:hAnsi="Verdana" w:cs="Century Gothic"/>
          <w:i/>
          <w:color w:val="000000" w:themeColor="text1"/>
          <w:sz w:val="20"/>
          <w:szCs w:val="20"/>
        </w:rPr>
        <w:t>legislación</w:t>
      </w:r>
      <w:proofErr w:type="spellEnd"/>
      <w:r w:rsidRPr="00AD2822">
        <w:rPr>
          <w:rFonts w:ascii="Verdana" w:eastAsia="Century Gothic" w:hAnsi="Verdana" w:cs="Century Gothic"/>
          <w:i/>
          <w:color w:val="000000" w:themeColor="text1"/>
          <w:sz w:val="20"/>
          <w:szCs w:val="20"/>
        </w:rPr>
        <w:t xml:space="preserve"> exige autorizaciones previas para ejercer la actividad? </w:t>
      </w:r>
    </w:p>
    <w:p w14:paraId="46EE0367"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TERCERO </w:t>
      </w:r>
    </w:p>
    <w:p w14:paraId="34056F18"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Si la entidad conoce desde la etapa de planeación que la </w:t>
      </w:r>
      <w:proofErr w:type="spellStart"/>
      <w:r w:rsidRPr="00AD2822">
        <w:rPr>
          <w:rFonts w:ascii="Verdana" w:eastAsia="Century Gothic" w:hAnsi="Verdana" w:cs="Century Gothic"/>
          <w:i/>
          <w:color w:val="000000" w:themeColor="text1"/>
          <w:sz w:val="20"/>
          <w:szCs w:val="20"/>
        </w:rPr>
        <w:t>expedición</w:t>
      </w:r>
      <w:proofErr w:type="spellEnd"/>
      <w:r w:rsidRPr="00AD2822">
        <w:rPr>
          <w:rFonts w:ascii="Verdana" w:eastAsia="Century Gothic" w:hAnsi="Verdana" w:cs="Century Gothic"/>
          <w:i/>
          <w:color w:val="000000" w:themeColor="text1"/>
          <w:sz w:val="20"/>
          <w:szCs w:val="20"/>
        </w:rPr>
        <w:t xml:space="preserve"> de una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xml:space="preserve"> obligatoria puede tardar varias semanas o meses, ¿debe valorar ese riesgo dentro de los estudios previos al definir los requisitos habilitantes y las condiciones de ejecución del contrato? </w:t>
      </w:r>
    </w:p>
    <w:p w14:paraId="4F83BC0B"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CUARTO </w:t>
      </w:r>
    </w:p>
    <w:p w14:paraId="0BD1C10D"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Cuando una norma especial </w:t>
      </w:r>
      <w:proofErr w:type="spellStart"/>
      <w:r w:rsidRPr="00AD2822">
        <w:rPr>
          <w:rFonts w:ascii="Verdana" w:eastAsia="Century Gothic" w:hAnsi="Verdana" w:cs="Century Gothic"/>
          <w:i/>
          <w:color w:val="000000" w:themeColor="text1"/>
          <w:sz w:val="20"/>
          <w:szCs w:val="20"/>
        </w:rPr>
        <w:t>prohíbe</w:t>
      </w:r>
      <w:proofErr w:type="spellEnd"/>
      <w:r w:rsidRPr="00AD2822">
        <w:rPr>
          <w:rFonts w:ascii="Verdana" w:eastAsia="Century Gothic" w:hAnsi="Verdana" w:cs="Century Gothic"/>
          <w:i/>
          <w:color w:val="000000" w:themeColor="text1"/>
          <w:sz w:val="20"/>
          <w:szCs w:val="20"/>
        </w:rPr>
        <w:t xml:space="preserve"> desarrollar determinada actividad sin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xml:space="preserve"> administrativa previa, ¿</w:t>
      </w:r>
      <w:proofErr w:type="spellStart"/>
      <w:r w:rsidRPr="00AD2822">
        <w:rPr>
          <w:rFonts w:ascii="Verdana" w:eastAsia="Century Gothic" w:hAnsi="Verdana" w:cs="Century Gothic"/>
          <w:i/>
          <w:color w:val="000000" w:themeColor="text1"/>
          <w:sz w:val="20"/>
          <w:szCs w:val="20"/>
        </w:rPr>
        <w:t>cómo</w:t>
      </w:r>
      <w:proofErr w:type="spellEnd"/>
      <w:r w:rsidRPr="00AD2822">
        <w:rPr>
          <w:rFonts w:ascii="Verdana" w:eastAsia="Century Gothic" w:hAnsi="Verdana" w:cs="Century Gothic"/>
          <w:i/>
          <w:color w:val="000000" w:themeColor="text1"/>
          <w:sz w:val="20"/>
          <w:szCs w:val="20"/>
        </w:rPr>
        <w:t xml:space="preserve"> debe interpretarse el principio de selección objetiva respecto de la </w:t>
      </w:r>
      <w:proofErr w:type="spellStart"/>
      <w:r w:rsidRPr="00AD2822">
        <w:rPr>
          <w:rFonts w:ascii="Verdana" w:eastAsia="Century Gothic" w:hAnsi="Verdana" w:cs="Century Gothic"/>
          <w:i/>
          <w:color w:val="000000" w:themeColor="text1"/>
          <w:sz w:val="20"/>
          <w:szCs w:val="20"/>
        </w:rPr>
        <w:t>evaluación</w:t>
      </w:r>
      <w:proofErr w:type="spellEnd"/>
      <w:r w:rsidRPr="00AD2822">
        <w:rPr>
          <w:rFonts w:ascii="Verdana" w:eastAsia="Century Gothic" w:hAnsi="Verdana" w:cs="Century Gothic"/>
          <w:i/>
          <w:color w:val="000000" w:themeColor="text1"/>
          <w:sz w:val="20"/>
          <w:szCs w:val="20"/>
        </w:rPr>
        <w:t xml:space="preserve"> de oferentes que </w:t>
      </w:r>
      <w:proofErr w:type="spellStart"/>
      <w:r w:rsidRPr="00AD2822">
        <w:rPr>
          <w:rFonts w:ascii="Verdana" w:eastAsia="Century Gothic" w:hAnsi="Verdana" w:cs="Century Gothic"/>
          <w:i/>
          <w:color w:val="000000" w:themeColor="text1"/>
          <w:sz w:val="20"/>
          <w:szCs w:val="20"/>
        </w:rPr>
        <w:t>aún</w:t>
      </w:r>
      <w:proofErr w:type="spellEnd"/>
      <w:r w:rsidRPr="00AD2822">
        <w:rPr>
          <w:rFonts w:ascii="Verdana" w:eastAsia="Century Gothic" w:hAnsi="Verdana" w:cs="Century Gothic"/>
          <w:i/>
          <w:color w:val="000000" w:themeColor="text1"/>
          <w:sz w:val="20"/>
          <w:szCs w:val="20"/>
        </w:rPr>
        <w:t xml:space="preserve"> no cuentan con dicha habilitación? </w:t>
      </w:r>
    </w:p>
    <w:p w14:paraId="08E7B50A"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QUINTO </w:t>
      </w:r>
    </w:p>
    <w:p w14:paraId="3C1905A4"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¿Debe la entidad justificar expresamente en los estudios previos la decisión de no exigir como requisito habilitante una </w:t>
      </w:r>
      <w:proofErr w:type="spellStart"/>
      <w:r w:rsidRPr="00AD2822">
        <w:rPr>
          <w:rFonts w:ascii="Verdana" w:eastAsia="Century Gothic" w:hAnsi="Verdana" w:cs="Century Gothic"/>
          <w:i/>
          <w:color w:val="000000" w:themeColor="text1"/>
          <w:sz w:val="20"/>
          <w:szCs w:val="20"/>
        </w:rPr>
        <w:t>resolución</w:t>
      </w:r>
      <w:proofErr w:type="spellEnd"/>
      <w:r w:rsidRPr="00AD2822">
        <w:rPr>
          <w:rFonts w:ascii="Verdana" w:eastAsia="Century Gothic" w:hAnsi="Verdana" w:cs="Century Gothic"/>
          <w:i/>
          <w:color w:val="000000" w:themeColor="text1"/>
          <w:sz w:val="20"/>
          <w:szCs w:val="20"/>
        </w:rPr>
        <w:t xml:space="preserve">, licencia, permiso,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xml:space="preserve">, concepto favorable o cualquier otra habilitación administrativa que la </w:t>
      </w:r>
      <w:proofErr w:type="spellStart"/>
      <w:r w:rsidRPr="00AD2822">
        <w:rPr>
          <w:rFonts w:ascii="Verdana" w:eastAsia="Century Gothic" w:hAnsi="Verdana" w:cs="Century Gothic"/>
          <w:i/>
          <w:color w:val="000000" w:themeColor="text1"/>
          <w:sz w:val="20"/>
          <w:szCs w:val="20"/>
        </w:rPr>
        <w:t>legislación</w:t>
      </w:r>
      <w:proofErr w:type="spellEnd"/>
      <w:r w:rsidRPr="00AD2822">
        <w:rPr>
          <w:rFonts w:ascii="Verdana" w:eastAsia="Century Gothic" w:hAnsi="Verdana" w:cs="Century Gothic"/>
          <w:i/>
          <w:color w:val="000000" w:themeColor="text1"/>
          <w:sz w:val="20"/>
          <w:szCs w:val="20"/>
        </w:rPr>
        <w:t xml:space="preserve"> exige para ejercer la actividad objeto del contrato? </w:t>
      </w:r>
    </w:p>
    <w:p w14:paraId="26FA4995"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SEXTO </w:t>
      </w:r>
    </w:p>
    <w:p w14:paraId="6AE5AD45"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¿Existe diferencia jurídica entre:</w:t>
      </w:r>
      <w:r w:rsidRPr="00AD2822">
        <w:rPr>
          <w:rFonts w:ascii="Verdana" w:eastAsia="Century Gothic" w:hAnsi="Verdana" w:cs="Century Gothic"/>
          <w:i/>
          <w:color w:val="000000" w:themeColor="text1"/>
          <w:sz w:val="20"/>
          <w:szCs w:val="20"/>
        </w:rPr>
        <w:br/>
        <w:t xml:space="preserve">a) requisitos cuya finalidad consiste en mejorar la calidad, eficiencia o desempeño del contrato; y </w:t>
      </w:r>
    </w:p>
    <w:p w14:paraId="08352F99" w14:textId="77777777" w:rsidR="00F90CEA" w:rsidRPr="00DC4951"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b) permisos, resoluciones, licencias, autorizaciones, conceptos favorables, registros y </w:t>
      </w:r>
      <w:proofErr w:type="spellStart"/>
      <w:r w:rsidRPr="00AD2822">
        <w:rPr>
          <w:rFonts w:ascii="Verdana" w:eastAsia="Century Gothic" w:hAnsi="Verdana" w:cs="Century Gothic"/>
          <w:i/>
          <w:color w:val="000000" w:themeColor="text1"/>
          <w:sz w:val="20"/>
          <w:szCs w:val="20"/>
        </w:rPr>
        <w:t>demás</w:t>
      </w:r>
      <w:proofErr w:type="spellEnd"/>
      <w:r w:rsidRPr="00AD2822">
        <w:rPr>
          <w:rFonts w:ascii="Verdana" w:eastAsia="Century Gothic" w:hAnsi="Verdana" w:cs="Century Gothic"/>
          <w:i/>
          <w:color w:val="000000" w:themeColor="text1"/>
          <w:sz w:val="20"/>
          <w:szCs w:val="20"/>
        </w:rPr>
        <w:t xml:space="preserve"> habilitaciones cuya ausencia impide jurídicamente desarrollar la actividad?</w:t>
      </w:r>
      <w:r w:rsidRPr="00AD2822">
        <w:rPr>
          <w:rFonts w:ascii="Verdana" w:eastAsia="Century Gothic" w:hAnsi="Verdana" w:cs="Century Gothic"/>
          <w:i/>
          <w:color w:val="000000" w:themeColor="text1"/>
          <w:sz w:val="20"/>
          <w:szCs w:val="20"/>
        </w:rPr>
        <w:br/>
      </w:r>
      <w:r w:rsidRPr="00DC4951">
        <w:rPr>
          <w:rFonts w:ascii="Verdana" w:eastAsia="Century Gothic" w:hAnsi="Verdana" w:cs="Century Gothic"/>
          <w:i/>
          <w:color w:val="000000" w:themeColor="text1"/>
          <w:sz w:val="20"/>
          <w:szCs w:val="20"/>
        </w:rPr>
        <w:t xml:space="preserve">En caso afirmativo, solicito indicar el fundamento constitucional, legal y reglamentario que sustenta dicha diferencia. </w:t>
      </w:r>
    </w:p>
    <w:p w14:paraId="7B6FBA0C"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SÉPTIMO </w:t>
      </w:r>
    </w:p>
    <w:p w14:paraId="08416AC7"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Cuando la ley condiciona el ejercicio de una actividad a la </w:t>
      </w:r>
      <w:proofErr w:type="spellStart"/>
      <w:r w:rsidRPr="00AD2822">
        <w:rPr>
          <w:rFonts w:ascii="Verdana" w:eastAsia="Century Gothic" w:hAnsi="Verdana" w:cs="Century Gothic"/>
          <w:i/>
          <w:color w:val="000000" w:themeColor="text1"/>
          <w:sz w:val="20"/>
          <w:szCs w:val="20"/>
        </w:rPr>
        <w:t>obtención</w:t>
      </w:r>
      <w:proofErr w:type="spellEnd"/>
      <w:r w:rsidRPr="00AD2822">
        <w:rPr>
          <w:rFonts w:ascii="Verdana" w:eastAsia="Century Gothic" w:hAnsi="Verdana" w:cs="Century Gothic"/>
          <w:i/>
          <w:color w:val="000000" w:themeColor="text1"/>
          <w:sz w:val="20"/>
          <w:szCs w:val="20"/>
        </w:rPr>
        <w:t xml:space="preserve"> previa de una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xml:space="preserve"> administrativa, ¿puede considerarse acreditada la capacidad jurídica o </w:t>
      </w:r>
      <w:proofErr w:type="spellStart"/>
      <w:r w:rsidRPr="00AD2822">
        <w:rPr>
          <w:rFonts w:ascii="Verdana" w:eastAsia="Century Gothic" w:hAnsi="Verdana" w:cs="Century Gothic"/>
          <w:i/>
          <w:color w:val="000000" w:themeColor="text1"/>
          <w:sz w:val="20"/>
          <w:szCs w:val="20"/>
        </w:rPr>
        <w:t>técnica</w:t>
      </w:r>
      <w:proofErr w:type="spellEnd"/>
      <w:r w:rsidRPr="00AD2822">
        <w:rPr>
          <w:rFonts w:ascii="Verdana" w:eastAsia="Century Gothic" w:hAnsi="Verdana" w:cs="Century Gothic"/>
          <w:i/>
          <w:color w:val="000000" w:themeColor="text1"/>
          <w:sz w:val="20"/>
          <w:szCs w:val="20"/>
        </w:rPr>
        <w:t xml:space="preserve"> del oferente sin demostrar la existencia de dicha habilitación, o dicha </w:t>
      </w:r>
      <w:proofErr w:type="spellStart"/>
      <w:r w:rsidRPr="00AD2822">
        <w:rPr>
          <w:rFonts w:ascii="Verdana" w:eastAsia="Century Gothic" w:hAnsi="Verdana" w:cs="Century Gothic"/>
          <w:i/>
          <w:color w:val="000000" w:themeColor="text1"/>
          <w:sz w:val="20"/>
          <w:szCs w:val="20"/>
        </w:rPr>
        <w:t>valoración</w:t>
      </w:r>
      <w:proofErr w:type="spellEnd"/>
      <w:r w:rsidRPr="00AD2822">
        <w:rPr>
          <w:rFonts w:ascii="Verdana" w:eastAsia="Century Gothic" w:hAnsi="Verdana" w:cs="Century Gothic"/>
          <w:i/>
          <w:color w:val="000000" w:themeColor="text1"/>
          <w:sz w:val="20"/>
          <w:szCs w:val="20"/>
        </w:rPr>
        <w:t xml:space="preserve"> </w:t>
      </w:r>
      <w:proofErr w:type="spellStart"/>
      <w:r w:rsidRPr="00AD2822">
        <w:rPr>
          <w:rFonts w:ascii="Verdana" w:eastAsia="Century Gothic" w:hAnsi="Verdana" w:cs="Century Gothic"/>
          <w:i/>
          <w:color w:val="000000" w:themeColor="text1"/>
          <w:sz w:val="20"/>
          <w:szCs w:val="20"/>
        </w:rPr>
        <w:t>dependera</w:t>
      </w:r>
      <w:proofErr w:type="spellEnd"/>
      <w:r w:rsidRPr="00AD2822">
        <w:rPr>
          <w:rFonts w:ascii="Verdana" w:eastAsia="Century Gothic" w:hAnsi="Verdana" w:cs="Century Gothic"/>
          <w:i/>
          <w:color w:val="000000" w:themeColor="text1"/>
          <w:sz w:val="20"/>
          <w:szCs w:val="20"/>
        </w:rPr>
        <w:t xml:space="preserve">́ del momento en que la </w:t>
      </w:r>
      <w:proofErr w:type="spellStart"/>
      <w:r w:rsidRPr="00AD2822">
        <w:rPr>
          <w:rFonts w:ascii="Verdana" w:eastAsia="Century Gothic" w:hAnsi="Verdana" w:cs="Century Gothic"/>
          <w:i/>
          <w:color w:val="000000" w:themeColor="text1"/>
          <w:sz w:val="20"/>
          <w:szCs w:val="20"/>
        </w:rPr>
        <w:t>legislación</w:t>
      </w:r>
      <w:proofErr w:type="spellEnd"/>
      <w:r w:rsidRPr="00AD2822">
        <w:rPr>
          <w:rFonts w:ascii="Verdana" w:eastAsia="Century Gothic" w:hAnsi="Verdana" w:cs="Century Gothic"/>
          <w:i/>
          <w:color w:val="000000" w:themeColor="text1"/>
          <w:sz w:val="20"/>
          <w:szCs w:val="20"/>
        </w:rPr>
        <w:t xml:space="preserve"> especial exige su cumplimiento? </w:t>
      </w:r>
    </w:p>
    <w:p w14:paraId="50AA170E"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OCTAVO </w:t>
      </w:r>
    </w:p>
    <w:p w14:paraId="284347DC"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¿Puede entenderse cumplido el principio de planeación cuando el contrato no puede iniciarse jurídicamente desde el primer día por ausencia de permisos, resoluciones, licencias, autorizaciones, conceptos favorables o </w:t>
      </w:r>
      <w:proofErr w:type="spellStart"/>
      <w:r w:rsidRPr="00AD2822">
        <w:rPr>
          <w:rFonts w:ascii="Verdana" w:eastAsia="Century Gothic" w:hAnsi="Verdana" w:cs="Century Gothic"/>
          <w:i/>
          <w:color w:val="000000" w:themeColor="text1"/>
          <w:sz w:val="20"/>
          <w:szCs w:val="20"/>
        </w:rPr>
        <w:t>demás</w:t>
      </w:r>
      <w:proofErr w:type="spellEnd"/>
      <w:r w:rsidRPr="00AD2822">
        <w:rPr>
          <w:rFonts w:ascii="Verdana" w:eastAsia="Century Gothic" w:hAnsi="Verdana" w:cs="Century Gothic"/>
          <w:i/>
          <w:color w:val="000000" w:themeColor="text1"/>
          <w:sz w:val="20"/>
          <w:szCs w:val="20"/>
        </w:rPr>
        <w:t xml:space="preserve"> habilitaciones obligatorias cuya </w:t>
      </w:r>
      <w:proofErr w:type="spellStart"/>
      <w:r w:rsidRPr="00AD2822">
        <w:rPr>
          <w:rFonts w:ascii="Verdana" w:eastAsia="Century Gothic" w:hAnsi="Verdana" w:cs="Century Gothic"/>
          <w:i/>
          <w:color w:val="000000" w:themeColor="text1"/>
          <w:sz w:val="20"/>
          <w:szCs w:val="20"/>
        </w:rPr>
        <w:t>obtención</w:t>
      </w:r>
      <w:proofErr w:type="spellEnd"/>
      <w:r w:rsidRPr="00AD2822">
        <w:rPr>
          <w:rFonts w:ascii="Verdana" w:eastAsia="Century Gothic" w:hAnsi="Verdana" w:cs="Century Gothic"/>
          <w:i/>
          <w:color w:val="000000" w:themeColor="text1"/>
          <w:sz w:val="20"/>
          <w:szCs w:val="20"/>
        </w:rPr>
        <w:t xml:space="preserve"> depende exclusivamente del contratista? </w:t>
      </w:r>
    </w:p>
    <w:p w14:paraId="3828793F"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NOVENO </w:t>
      </w:r>
    </w:p>
    <w:p w14:paraId="03C033D1"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lastRenderedPageBreak/>
        <w:t xml:space="preserve">¿Qué criterios </w:t>
      </w:r>
      <w:proofErr w:type="spellStart"/>
      <w:r w:rsidRPr="00AD2822">
        <w:rPr>
          <w:rFonts w:ascii="Verdana" w:eastAsia="Century Gothic" w:hAnsi="Verdana" w:cs="Century Gothic"/>
          <w:i/>
          <w:color w:val="000000" w:themeColor="text1"/>
          <w:sz w:val="20"/>
          <w:szCs w:val="20"/>
        </w:rPr>
        <w:t>jurídicos</w:t>
      </w:r>
      <w:proofErr w:type="spellEnd"/>
      <w:r w:rsidRPr="00AD2822">
        <w:rPr>
          <w:rFonts w:ascii="Verdana" w:eastAsia="Century Gothic" w:hAnsi="Verdana" w:cs="Century Gothic"/>
          <w:i/>
          <w:color w:val="000000" w:themeColor="text1"/>
          <w:sz w:val="20"/>
          <w:szCs w:val="20"/>
        </w:rPr>
        <w:t xml:space="preserve"> deben tener en cuenta las entidades estatales para determinar </w:t>
      </w:r>
      <w:proofErr w:type="spellStart"/>
      <w:r w:rsidRPr="00AD2822">
        <w:rPr>
          <w:rFonts w:ascii="Verdana" w:eastAsia="Century Gothic" w:hAnsi="Verdana" w:cs="Century Gothic"/>
          <w:i/>
          <w:color w:val="000000" w:themeColor="text1"/>
          <w:sz w:val="20"/>
          <w:szCs w:val="20"/>
        </w:rPr>
        <w:t>cuándo</w:t>
      </w:r>
      <w:proofErr w:type="spellEnd"/>
      <w:r w:rsidRPr="00AD2822">
        <w:rPr>
          <w:rFonts w:ascii="Verdana" w:eastAsia="Century Gothic" w:hAnsi="Verdana" w:cs="Century Gothic"/>
          <w:i/>
          <w:color w:val="000000" w:themeColor="text1"/>
          <w:sz w:val="20"/>
          <w:szCs w:val="20"/>
        </w:rPr>
        <w:t xml:space="preserve"> una </w:t>
      </w:r>
      <w:proofErr w:type="spellStart"/>
      <w:r w:rsidRPr="00AD2822">
        <w:rPr>
          <w:rFonts w:ascii="Verdana" w:eastAsia="Century Gothic" w:hAnsi="Verdana" w:cs="Century Gothic"/>
          <w:i/>
          <w:color w:val="000000" w:themeColor="text1"/>
          <w:sz w:val="20"/>
          <w:szCs w:val="20"/>
        </w:rPr>
        <w:t>autorización</w:t>
      </w:r>
      <w:proofErr w:type="spellEnd"/>
      <w:r w:rsidRPr="00AD2822">
        <w:rPr>
          <w:rFonts w:ascii="Verdana" w:eastAsia="Century Gothic" w:hAnsi="Verdana" w:cs="Century Gothic"/>
          <w:i/>
          <w:color w:val="000000" w:themeColor="text1"/>
          <w:sz w:val="20"/>
          <w:szCs w:val="20"/>
        </w:rPr>
        <w:t xml:space="preserve"> legal debe acreditarse durante la etapa de selección y </w:t>
      </w:r>
      <w:proofErr w:type="spellStart"/>
      <w:r w:rsidRPr="00AD2822">
        <w:rPr>
          <w:rFonts w:ascii="Verdana" w:eastAsia="Century Gothic" w:hAnsi="Verdana" w:cs="Century Gothic"/>
          <w:i/>
          <w:color w:val="000000" w:themeColor="text1"/>
          <w:sz w:val="20"/>
          <w:szCs w:val="20"/>
        </w:rPr>
        <w:t>cuándo</w:t>
      </w:r>
      <w:proofErr w:type="spellEnd"/>
      <w:r w:rsidRPr="00AD2822">
        <w:rPr>
          <w:rFonts w:ascii="Verdana" w:eastAsia="Century Gothic" w:hAnsi="Verdana" w:cs="Century Gothic"/>
          <w:i/>
          <w:color w:val="000000" w:themeColor="text1"/>
          <w:sz w:val="20"/>
          <w:szCs w:val="20"/>
        </w:rPr>
        <w:t xml:space="preserve"> resulta jurídicamente procedente exigirla </w:t>
      </w:r>
      <w:proofErr w:type="spellStart"/>
      <w:r w:rsidRPr="00AD2822">
        <w:rPr>
          <w:rFonts w:ascii="Verdana" w:eastAsia="Century Gothic" w:hAnsi="Verdana" w:cs="Century Gothic"/>
          <w:i/>
          <w:color w:val="000000" w:themeColor="text1"/>
          <w:sz w:val="20"/>
          <w:szCs w:val="20"/>
        </w:rPr>
        <w:t>únicamente</w:t>
      </w:r>
      <w:proofErr w:type="spellEnd"/>
      <w:r w:rsidRPr="00AD2822">
        <w:rPr>
          <w:rFonts w:ascii="Verdana" w:eastAsia="Century Gothic" w:hAnsi="Verdana" w:cs="Century Gothic"/>
          <w:i/>
          <w:color w:val="000000" w:themeColor="text1"/>
          <w:sz w:val="20"/>
          <w:szCs w:val="20"/>
        </w:rPr>
        <w:t xml:space="preserve"> durante la ejecución del contrato? </w:t>
      </w:r>
    </w:p>
    <w:p w14:paraId="7F9088CD"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DÉCIMO </w:t>
      </w:r>
    </w:p>
    <w:p w14:paraId="66DD234C"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¿La decisión de exigir o no exigir permisos, resoluciones, licencias, autorizaciones, conceptos favorables, registros u otras habilitaciones administrativas depende exclusivamente de la discrecionalidad de la entidad estatal, o dicha decisión encuentra </w:t>
      </w:r>
      <w:proofErr w:type="spellStart"/>
      <w:r w:rsidRPr="00AD2822">
        <w:rPr>
          <w:rFonts w:ascii="Verdana" w:eastAsia="Century Gothic" w:hAnsi="Verdana" w:cs="Century Gothic"/>
          <w:i/>
          <w:color w:val="000000" w:themeColor="text1"/>
          <w:sz w:val="20"/>
          <w:szCs w:val="20"/>
        </w:rPr>
        <w:t>límites</w:t>
      </w:r>
      <w:proofErr w:type="spellEnd"/>
      <w:r w:rsidRPr="00AD2822">
        <w:rPr>
          <w:rFonts w:ascii="Verdana" w:eastAsia="Century Gothic" w:hAnsi="Verdana" w:cs="Century Gothic"/>
          <w:i/>
          <w:color w:val="000000" w:themeColor="text1"/>
          <w:sz w:val="20"/>
          <w:szCs w:val="20"/>
        </w:rPr>
        <w:t xml:space="preserve"> en la </w:t>
      </w:r>
      <w:proofErr w:type="spellStart"/>
      <w:r w:rsidRPr="00AD2822">
        <w:rPr>
          <w:rFonts w:ascii="Verdana" w:eastAsia="Century Gothic" w:hAnsi="Verdana" w:cs="Century Gothic"/>
          <w:i/>
          <w:color w:val="000000" w:themeColor="text1"/>
          <w:sz w:val="20"/>
          <w:szCs w:val="20"/>
        </w:rPr>
        <w:t>legislación</w:t>
      </w:r>
      <w:proofErr w:type="spellEnd"/>
      <w:r w:rsidRPr="00AD2822">
        <w:rPr>
          <w:rFonts w:ascii="Verdana" w:eastAsia="Century Gothic" w:hAnsi="Verdana" w:cs="Century Gothic"/>
          <w:i/>
          <w:color w:val="000000" w:themeColor="text1"/>
          <w:sz w:val="20"/>
          <w:szCs w:val="20"/>
        </w:rPr>
        <w:t xml:space="preserve"> especial que regula la actividad objeto del contrato? </w:t>
      </w:r>
    </w:p>
    <w:p w14:paraId="4C9FFA24"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DÉCIMO PRIMERO </w:t>
      </w:r>
    </w:p>
    <w:p w14:paraId="304C279F"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Cuando la ausencia de una habilitación legal impide iniciar material y jurídicamente la ejecución del objeto contractual, ¿qué alcance tienen los principios de planeación, economía, responsabilidad, eficacia y selección objetiva frente a esa circunstancia? </w:t>
      </w:r>
    </w:p>
    <w:p w14:paraId="7498D1DB"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b/>
          <w:i/>
          <w:color w:val="000000" w:themeColor="text1"/>
          <w:sz w:val="20"/>
          <w:szCs w:val="20"/>
        </w:rPr>
        <w:t xml:space="preserve">DÉCIMO SEGUNDO </w:t>
      </w:r>
    </w:p>
    <w:p w14:paraId="25B7A942" w14:textId="77777777" w:rsidR="00F90CEA" w:rsidRPr="00AD2822" w:rsidRDefault="00F90CEA" w:rsidP="00F90CEA">
      <w:pPr>
        <w:spacing w:after="0"/>
        <w:ind w:left="709" w:right="709"/>
        <w:contextualSpacing/>
        <w:jc w:val="both"/>
        <w:rPr>
          <w:rFonts w:ascii="Verdana" w:eastAsia="Century Gothic" w:hAnsi="Verdana" w:cs="Century Gothic"/>
          <w:i/>
          <w:color w:val="000000" w:themeColor="text1"/>
          <w:sz w:val="20"/>
          <w:szCs w:val="20"/>
        </w:rPr>
      </w:pPr>
      <w:r w:rsidRPr="00AD2822">
        <w:rPr>
          <w:rFonts w:ascii="Verdana" w:eastAsia="Century Gothic" w:hAnsi="Verdana" w:cs="Century Gothic"/>
          <w:i/>
          <w:color w:val="000000" w:themeColor="text1"/>
          <w:sz w:val="20"/>
          <w:szCs w:val="20"/>
        </w:rPr>
        <w:t xml:space="preserve">Respetuosamente solicito precisar si el análisis de la entidad durante la etapa de planeación debe comprender no solo la necesidad del requisito legal, sino también la viabilidad jurídica y material de ejecutar el contrato desde el inicio del plazo contractual, evitando riesgos de </w:t>
      </w:r>
      <w:proofErr w:type="spellStart"/>
      <w:r w:rsidRPr="00AD2822">
        <w:rPr>
          <w:rFonts w:ascii="Verdana" w:eastAsia="Century Gothic" w:hAnsi="Verdana" w:cs="Century Gothic"/>
          <w:i/>
          <w:color w:val="000000" w:themeColor="text1"/>
          <w:sz w:val="20"/>
          <w:szCs w:val="20"/>
        </w:rPr>
        <w:t>suspensión</w:t>
      </w:r>
      <w:proofErr w:type="spellEnd"/>
      <w:r w:rsidRPr="00AD2822">
        <w:rPr>
          <w:rFonts w:ascii="Verdana" w:eastAsia="Century Gothic" w:hAnsi="Verdana" w:cs="Century Gothic"/>
          <w:i/>
          <w:color w:val="000000" w:themeColor="text1"/>
          <w:sz w:val="20"/>
          <w:szCs w:val="20"/>
        </w:rPr>
        <w:t xml:space="preserve">, </w:t>
      </w:r>
      <w:proofErr w:type="spellStart"/>
      <w:r w:rsidRPr="00AD2822">
        <w:rPr>
          <w:rFonts w:ascii="Verdana" w:eastAsia="Century Gothic" w:hAnsi="Verdana" w:cs="Century Gothic"/>
          <w:i/>
          <w:color w:val="000000" w:themeColor="text1"/>
          <w:sz w:val="20"/>
          <w:szCs w:val="20"/>
        </w:rPr>
        <w:t>prórrogas</w:t>
      </w:r>
      <w:proofErr w:type="spellEnd"/>
      <w:r w:rsidRPr="00AD2822">
        <w:rPr>
          <w:rFonts w:ascii="Verdana" w:eastAsia="Century Gothic" w:hAnsi="Verdana" w:cs="Century Gothic"/>
          <w:i/>
          <w:color w:val="000000" w:themeColor="text1"/>
          <w:sz w:val="20"/>
          <w:szCs w:val="20"/>
        </w:rPr>
        <w:t xml:space="preserve"> o imposibilidad de ejecución derivados de la falta de habilitaciones exigidas por la ley</w:t>
      </w:r>
      <w:r>
        <w:rPr>
          <w:rFonts w:ascii="Verdana" w:eastAsia="Century Gothic" w:hAnsi="Verdana" w:cs="Century Gothic"/>
          <w:i/>
          <w:iCs/>
          <w:color w:val="000000" w:themeColor="text1"/>
          <w:sz w:val="20"/>
          <w:szCs w:val="20"/>
          <w:lang w:val="es-ES"/>
        </w:rPr>
        <w:t>”</w:t>
      </w:r>
    </w:p>
    <w:p w14:paraId="11E515A2" w14:textId="77777777" w:rsidR="00F90CEA" w:rsidRPr="00A220B2" w:rsidRDefault="00F90CEA" w:rsidP="00F90CEA">
      <w:pPr>
        <w:spacing w:after="0"/>
        <w:ind w:right="709"/>
        <w:contextualSpacing/>
        <w:jc w:val="both"/>
        <w:rPr>
          <w:rFonts w:ascii="Verdana" w:eastAsia="Century Gothic" w:hAnsi="Verdana" w:cs="Century Gothic"/>
          <w:i/>
          <w:color w:val="000000" w:themeColor="text1"/>
          <w:sz w:val="20"/>
          <w:szCs w:val="20"/>
          <w:lang w:val="es-ES"/>
        </w:rPr>
      </w:pPr>
    </w:p>
    <w:p w14:paraId="1C7B945D" w14:textId="77777777" w:rsidR="00F90CEA" w:rsidRPr="00A220B2" w:rsidRDefault="00F90CEA" w:rsidP="00F90CEA">
      <w:pPr>
        <w:spacing w:after="0" w:line="276" w:lineRule="auto"/>
        <w:contextualSpacing/>
        <w:jc w:val="both"/>
        <w:rPr>
          <w:rFonts w:ascii="Verdana" w:eastAsia="Calibri" w:hAnsi="Verdana" w:cs="Arial"/>
          <w:color w:val="000000" w:themeColor="text1"/>
          <w:szCs w:val="24"/>
          <w:lang w:val="es-ES" w:eastAsia="es-ES_tradnl"/>
        </w:rPr>
      </w:pPr>
      <w:r w:rsidRPr="00A220B2">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220B2">
        <w:rPr>
          <w:rFonts w:ascii="Verdana" w:eastAsia="Calibri" w:hAnsi="Verdana" w:cs="Arial"/>
          <w:color w:val="000000" w:themeColor="text1"/>
          <w:szCs w:val="24"/>
          <w:lang w:val="es-ES" w:eastAsia="es-ES_tradnl"/>
        </w:rPr>
        <w:tab/>
      </w:r>
    </w:p>
    <w:p w14:paraId="4BF76337" w14:textId="77777777" w:rsidR="00F90CEA" w:rsidRPr="00A220B2" w:rsidRDefault="00F90CEA" w:rsidP="00F90CEA">
      <w:pPr>
        <w:spacing w:before="120" w:after="120" w:line="276" w:lineRule="auto"/>
        <w:ind w:firstLine="709"/>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w:t>
      </w:r>
      <w:r w:rsidRPr="00A220B2">
        <w:rPr>
          <w:rFonts w:ascii="Verdana" w:eastAsia="Calibri" w:hAnsi="Verdana" w:cs="Arial"/>
          <w:color w:val="000000" w:themeColor="text1"/>
          <w:lang w:val="es-ES" w:eastAsia="es-ES"/>
        </w:rPr>
        <w:lastRenderedPageBreak/>
        <w:t>sobre las normas generales relacionadas con</w:t>
      </w:r>
      <w:r>
        <w:rPr>
          <w:rFonts w:ascii="Verdana" w:eastAsia="Calibri" w:hAnsi="Verdana" w:cs="Arial"/>
          <w:color w:val="000000" w:themeColor="text1"/>
          <w:lang w:val="es-ES" w:eastAsia="es-ES"/>
        </w:rPr>
        <w:t xml:space="preserve"> los problemas jurídicos de su consulta</w:t>
      </w:r>
      <w:r w:rsidRPr="00A220B2">
        <w:rPr>
          <w:rFonts w:ascii="Verdana" w:eastAsia="Calibri" w:hAnsi="Verdana" w:cs="Arial"/>
          <w:color w:val="000000" w:themeColor="text1"/>
          <w:lang w:val="es-ES" w:eastAsia="es-ES"/>
        </w:rPr>
        <w:t xml:space="preserve">. </w:t>
      </w:r>
    </w:p>
    <w:p w14:paraId="6CA60DFE" w14:textId="77777777" w:rsidR="00F90CEA" w:rsidRPr="00A220B2" w:rsidRDefault="00F90CEA" w:rsidP="00F90CEA">
      <w:pPr>
        <w:spacing w:after="0" w:line="276" w:lineRule="auto"/>
        <w:jc w:val="both"/>
        <w:rPr>
          <w:rFonts w:ascii="Verdana" w:eastAsia="Calibri" w:hAnsi="Verdana" w:cs="Arial"/>
          <w:color w:val="000000" w:themeColor="text1"/>
          <w:lang w:val="es-ES" w:eastAsia="es-ES"/>
        </w:rPr>
      </w:pPr>
    </w:p>
    <w:p w14:paraId="3973C162" w14:textId="77777777" w:rsidR="00F90CEA" w:rsidRPr="00A220B2" w:rsidRDefault="00F90CEA" w:rsidP="00F90CEA">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Problema planteado:</w:t>
      </w:r>
    </w:p>
    <w:p w14:paraId="28CEAD09" w14:textId="77777777" w:rsidR="00F90CEA" w:rsidRPr="00A220B2" w:rsidRDefault="00F90CEA" w:rsidP="00F90CEA">
      <w:pPr>
        <w:tabs>
          <w:tab w:val="left" w:pos="426"/>
        </w:tabs>
        <w:spacing w:after="0" w:line="276" w:lineRule="auto"/>
        <w:jc w:val="both"/>
        <w:rPr>
          <w:rFonts w:ascii="Verdana" w:eastAsia="Century Gothic" w:hAnsi="Verdana" w:cs="Century Gothic"/>
          <w:color w:val="000000" w:themeColor="text1"/>
          <w:lang w:val="es-ES"/>
        </w:rPr>
      </w:pPr>
    </w:p>
    <w:p w14:paraId="7BEBB06C" w14:textId="59ABD40C" w:rsidR="00F90CEA" w:rsidRPr="00AB7423" w:rsidRDefault="00F90CEA" w:rsidP="00DC4951">
      <w:pPr>
        <w:pStyle w:val="ListParagraph"/>
        <w:spacing w:after="0" w:line="276" w:lineRule="auto"/>
        <w:ind w:left="0"/>
        <w:jc w:val="both"/>
        <w:rPr>
          <w:rFonts w:ascii="Verdana" w:eastAsia="Century Gothic" w:hAnsi="Verdana" w:cs="Century Gothic"/>
          <w:color w:val="000000" w:themeColor="text1"/>
        </w:rPr>
      </w:pPr>
      <w:r w:rsidRPr="00A220B2">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los</w:t>
      </w:r>
      <w:r w:rsidRPr="00A220B2">
        <w:rPr>
          <w:rFonts w:ascii="Verdana" w:eastAsia="Century Gothic" w:hAnsi="Verdana" w:cs="Century Gothic"/>
          <w:color w:val="000000" w:themeColor="text1"/>
        </w:rPr>
        <w:t xml:space="preserve"> siguiente</w:t>
      </w:r>
      <w:r>
        <w:rPr>
          <w:rFonts w:ascii="Verdana" w:eastAsia="Century Gothic" w:hAnsi="Verdana" w:cs="Century Gothic"/>
          <w:color w:val="000000" w:themeColor="text1"/>
        </w:rPr>
        <w:t>s</w:t>
      </w:r>
      <w:r w:rsidRPr="00A220B2">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A220B2">
        <w:rPr>
          <w:rFonts w:ascii="Verdana" w:eastAsia="Century Gothic" w:hAnsi="Verdana" w:cs="Century Gothic"/>
          <w:color w:val="000000" w:themeColor="text1"/>
        </w:rPr>
        <w:t xml:space="preserve"> jurídico</w:t>
      </w:r>
      <w:r>
        <w:rPr>
          <w:rFonts w:ascii="Verdana" w:eastAsia="Century Gothic" w:hAnsi="Verdana" w:cs="Century Gothic"/>
          <w:color w:val="000000" w:themeColor="text1"/>
        </w:rPr>
        <w:t>s</w:t>
      </w:r>
      <w:r w:rsidRPr="00A220B2">
        <w:rPr>
          <w:rFonts w:ascii="Verdana" w:eastAsia="Century Gothic" w:hAnsi="Verdana" w:cs="Century Gothic"/>
          <w:color w:val="000000" w:themeColor="text1"/>
        </w:rPr>
        <w:t>:</w:t>
      </w:r>
      <w:r w:rsidRPr="001E14C0">
        <w:rPr>
          <w:rFonts w:ascii="Verdana" w:eastAsia="Century Gothic" w:hAnsi="Verdana" w:cs="Century Gothic"/>
          <w:color w:val="000000" w:themeColor="text1"/>
        </w:rPr>
        <w:t xml:space="preserve"> </w:t>
      </w:r>
      <w:r w:rsidR="005C6A88">
        <w:rPr>
          <w:rFonts w:ascii="Verdana" w:eastAsia="Century Gothic" w:hAnsi="Verdana" w:cs="Century Gothic"/>
          <w:color w:val="000000" w:themeColor="text1"/>
        </w:rPr>
        <w:t xml:space="preserve">i) </w:t>
      </w:r>
      <w:r w:rsidRPr="0063438D">
        <w:rPr>
          <w:rFonts w:ascii="Verdana" w:eastAsia="Century Gothic" w:hAnsi="Verdana" w:cs="Century Gothic"/>
          <w:color w:val="000000" w:themeColor="text1"/>
        </w:rPr>
        <w:t>Cuando una disposición legal condiciona el ejercicio de una actividad a la obtención previa de un permiso, resolución, licencia, autorización, concepto favorable, registro o cualquier otra habilitación administrativa, ¿cómo debe articularse con los principios de planeación y de selección objetiva en la estructuración del proceso de selección?</w:t>
      </w:r>
      <w:r w:rsidR="006E1ECA">
        <w:rPr>
          <w:rFonts w:ascii="Verdana" w:eastAsia="Century Gothic" w:hAnsi="Verdana" w:cs="Century Gothic"/>
          <w:color w:val="000000" w:themeColor="text1"/>
        </w:rPr>
        <w:t>;</w:t>
      </w:r>
      <w:r w:rsidR="00B34978" w:rsidRPr="00B34978">
        <w:rPr>
          <w:rFonts w:ascii="Verdana" w:eastAsia="Century Gothic" w:hAnsi="Verdana" w:cs="Century Gothic"/>
          <w:color w:val="000000" w:themeColor="text1"/>
        </w:rPr>
        <w:t xml:space="preserve"> </w:t>
      </w:r>
      <w:proofErr w:type="spellStart"/>
      <w:r w:rsidR="005C6A88">
        <w:rPr>
          <w:rFonts w:ascii="Verdana" w:eastAsia="Century Gothic" w:hAnsi="Verdana" w:cs="Century Gothic"/>
          <w:color w:val="000000" w:themeColor="text1"/>
        </w:rPr>
        <w:t>ii</w:t>
      </w:r>
      <w:proofErr w:type="spellEnd"/>
      <w:r w:rsidR="005C6A88">
        <w:rPr>
          <w:rFonts w:ascii="Verdana" w:eastAsia="Century Gothic" w:hAnsi="Verdana" w:cs="Century Gothic"/>
          <w:color w:val="000000" w:themeColor="text1"/>
        </w:rPr>
        <w:t xml:space="preserve">) </w:t>
      </w:r>
      <w:r w:rsidR="005C6A88" w:rsidRPr="005C6A88">
        <w:rPr>
          <w:rFonts w:ascii="Verdana" w:eastAsia="Century Gothic" w:hAnsi="Verdana" w:cs="Century Gothic"/>
          <w:color w:val="000000" w:themeColor="text1"/>
        </w:rPr>
        <w:t>¿Cuál es la distinción entre los requisitos habilitantes, los factores ponderables y las especificaciones técnicas, y en qué momento debe acreditar el proponente la habilitación exigida?</w:t>
      </w:r>
      <w:r w:rsidR="006E1ECA">
        <w:rPr>
          <w:rFonts w:ascii="Verdana" w:eastAsia="Century Gothic" w:hAnsi="Verdana" w:cs="Century Gothic"/>
          <w:color w:val="000000" w:themeColor="text1"/>
        </w:rPr>
        <w:t>;</w:t>
      </w:r>
      <w:r w:rsidR="005C6A88" w:rsidRPr="005C6A88">
        <w:rPr>
          <w:rFonts w:ascii="Verdana" w:eastAsia="Century Gothic" w:hAnsi="Verdana" w:cs="Century Gothic"/>
          <w:color w:val="000000" w:themeColor="text1"/>
        </w:rPr>
        <w:t xml:space="preserve"> </w:t>
      </w:r>
      <w:r w:rsidR="005C6A88">
        <w:rPr>
          <w:rFonts w:ascii="Verdana" w:eastAsia="Century Gothic" w:hAnsi="Verdana" w:cs="Century Gothic"/>
          <w:color w:val="000000" w:themeColor="text1"/>
        </w:rPr>
        <w:t xml:space="preserve">y </w:t>
      </w:r>
      <w:proofErr w:type="spellStart"/>
      <w:r w:rsidR="005C6A88">
        <w:rPr>
          <w:rFonts w:ascii="Verdana" w:eastAsia="Century Gothic" w:hAnsi="Verdana" w:cs="Century Gothic"/>
          <w:color w:val="000000" w:themeColor="text1"/>
        </w:rPr>
        <w:t>iii</w:t>
      </w:r>
      <w:proofErr w:type="spellEnd"/>
      <w:r w:rsidR="005C6A88">
        <w:rPr>
          <w:rFonts w:ascii="Verdana" w:eastAsia="Century Gothic" w:hAnsi="Verdana" w:cs="Century Gothic"/>
          <w:color w:val="000000" w:themeColor="text1"/>
        </w:rPr>
        <w:t xml:space="preserve">) </w:t>
      </w:r>
      <w:r>
        <w:rPr>
          <w:rFonts w:ascii="Verdana" w:eastAsia="Century Gothic" w:hAnsi="Verdana" w:cs="Century Gothic"/>
          <w:color w:val="000000" w:themeColor="text1"/>
        </w:rPr>
        <w:t>¿</w:t>
      </w:r>
      <w:r w:rsidR="006E1ECA">
        <w:rPr>
          <w:rFonts w:ascii="Verdana" w:eastAsia="Century Gothic" w:hAnsi="Verdana" w:cs="Century Gothic"/>
          <w:color w:val="000000" w:themeColor="text1"/>
        </w:rPr>
        <w:t>C</w:t>
      </w:r>
      <w:r>
        <w:rPr>
          <w:rFonts w:ascii="Verdana" w:eastAsia="Century Gothic" w:hAnsi="Verdana" w:cs="Century Gothic"/>
          <w:color w:val="000000" w:themeColor="text1"/>
        </w:rPr>
        <w:t xml:space="preserve">uáles son los límites que rigen la determinación de los requisitos en los procesos de contratación? </w:t>
      </w:r>
    </w:p>
    <w:p w14:paraId="1BDC0763" w14:textId="77777777" w:rsidR="00F90CEA" w:rsidRPr="00A220B2" w:rsidRDefault="00F90CEA" w:rsidP="00F90CEA">
      <w:pPr>
        <w:spacing w:after="0" w:line="276" w:lineRule="auto"/>
        <w:jc w:val="both"/>
        <w:rPr>
          <w:rFonts w:ascii="Verdana" w:eastAsia="Calibri" w:hAnsi="Verdana" w:cs="Arial"/>
          <w:color w:val="000000" w:themeColor="text1"/>
          <w:lang w:val="es-ES"/>
        </w:rPr>
      </w:pPr>
    </w:p>
    <w:p w14:paraId="63142705" w14:textId="77777777" w:rsidR="00F90CEA" w:rsidRPr="00A220B2" w:rsidRDefault="00F90CEA" w:rsidP="00F90CEA">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Respuesta:</w:t>
      </w:r>
    </w:p>
    <w:p w14:paraId="1729E4A7" w14:textId="77777777" w:rsidR="00F90CEA" w:rsidRPr="00A220B2" w:rsidRDefault="00F90CEA" w:rsidP="00F90CEA">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90CEA" w:rsidRPr="00A220B2" w14:paraId="0729EC0E" w14:textId="77777777" w:rsidTr="00F90CEA">
        <w:tc>
          <w:tcPr>
            <w:tcW w:w="8828" w:type="dxa"/>
          </w:tcPr>
          <w:p w14:paraId="5AE05CB9" w14:textId="77777777" w:rsidR="00F90CEA" w:rsidRDefault="00F90CEA" w:rsidP="00F90CEA">
            <w:pPr>
              <w:spacing w:after="120" w:line="276" w:lineRule="auto"/>
              <w:jc w:val="both"/>
              <w:rPr>
                <w:rFonts w:ascii="Verdana" w:eastAsia="Arial" w:hAnsi="Verdana" w:cs="Arial"/>
              </w:rPr>
            </w:pPr>
            <w:r>
              <w:rPr>
                <w:rFonts w:ascii="Verdana" w:eastAsia="Arial" w:hAnsi="Verdana" w:cs="Arial"/>
              </w:rPr>
              <w:t xml:space="preserve">i. </w:t>
            </w:r>
            <w:r w:rsidRPr="00572821">
              <w:rPr>
                <w:rFonts w:ascii="Verdana" w:eastAsia="Arial" w:hAnsi="Verdana" w:cs="Arial"/>
              </w:rPr>
              <w:t xml:space="preserve">Cuando una disposición legal condiciona el ejercicio de una actividad a la obtención previa de un permiso, resolución, licencia, autorización, concepto favorable, registro o cualquier otra habilitación administrativa, el principio de planeación exige que la Entidad Estatal conozca e identifique, desde la etapa precontractual, el contexto regulatorio y técnico que rige el bien, obra o servicio que pretende contratar. En efecto, el artículo 25, numerales 7 y 12, de la Ley 80 de 1993 dispone que la conveniencia del objeto a contratar y las autorizaciones y aprobaciones para ello se analicen o impartan con antelación al inicio del proceso de selección o a la firma del contrato, según el caso. En concordancia, los numerales 2 y 8 del artículo 2.2.1.1.2.1.1 del Decreto 1082 de 2015 exigen que los estudios y documentos previos contengan el objeto a contratar con sus especificaciones, </w:t>
            </w:r>
            <w:r w:rsidRPr="00572821">
              <w:rPr>
                <w:rFonts w:ascii="Verdana" w:eastAsia="Arial" w:hAnsi="Verdana" w:cs="Arial"/>
                <w:i/>
                <w:iCs/>
              </w:rPr>
              <w:t>«las autorizaciones, permisos y licencias requeridos para su ejecución»</w:t>
            </w:r>
            <w:r w:rsidRPr="00572821">
              <w:rPr>
                <w:rFonts w:ascii="Verdana" w:eastAsia="Arial" w:hAnsi="Verdana" w:cs="Arial"/>
              </w:rPr>
              <w:t>, así como el análisis de Riesgo y la forma de mitigarlo.</w:t>
            </w:r>
          </w:p>
          <w:p w14:paraId="6C5217B2" w14:textId="77777777" w:rsidR="00F90CEA" w:rsidRDefault="00F90CEA" w:rsidP="00F90CEA">
            <w:pPr>
              <w:spacing w:after="120" w:line="276" w:lineRule="auto"/>
              <w:ind w:firstLine="741"/>
              <w:jc w:val="both"/>
              <w:rPr>
                <w:rFonts w:ascii="Verdana" w:eastAsia="Arial" w:hAnsi="Verdana" w:cs="Arial"/>
              </w:rPr>
            </w:pPr>
            <w:r w:rsidRPr="00572821">
              <w:rPr>
                <w:rFonts w:ascii="Verdana" w:eastAsia="Arial" w:hAnsi="Verdana" w:cs="Arial"/>
              </w:rPr>
              <w:t xml:space="preserve">Este deber se concreta en el análisis del sector. El artículo 2.2.1.1.1.6.1 del Decreto 1082 de 2015 dispone que la Entidad Estatal debe hacer, durante la etapa de planeación, el análisis necesario para conocer el sector relativo al </w:t>
            </w:r>
            <w:r w:rsidRPr="00572821">
              <w:rPr>
                <w:rFonts w:ascii="Verdana" w:eastAsia="Arial" w:hAnsi="Verdana" w:cs="Arial"/>
              </w:rPr>
              <w:lastRenderedPageBreak/>
              <w:t xml:space="preserve">objeto del Proceso de Contratación </w:t>
            </w:r>
            <w:r w:rsidRPr="00572821">
              <w:rPr>
                <w:rFonts w:ascii="Verdana" w:eastAsia="Arial" w:hAnsi="Verdana" w:cs="Arial"/>
                <w:i/>
                <w:iCs/>
              </w:rPr>
              <w:t>desde la perspectiva legal</w:t>
            </w:r>
            <w:r w:rsidRPr="00572821">
              <w:rPr>
                <w:rFonts w:ascii="Verdana" w:eastAsia="Arial" w:hAnsi="Verdana" w:cs="Arial"/>
              </w:rPr>
              <w:t>, comercial, financiera, organizacional, técnica y de análisis de Riesgo, dejando constancia de ello en los Documentos del Proceso. Como se explica en</w:t>
            </w:r>
            <w:r>
              <w:rPr>
                <w:rFonts w:ascii="Verdana" w:eastAsia="Arial" w:hAnsi="Verdana" w:cs="Arial"/>
              </w:rPr>
              <w:t xml:space="preserve"> el presente concepto</w:t>
            </w:r>
            <w:r w:rsidRPr="00572821">
              <w:rPr>
                <w:rFonts w:ascii="Verdana" w:eastAsia="Arial" w:hAnsi="Verdana" w:cs="Arial"/>
              </w:rPr>
              <w:t>, el componente regulatorio de dicho análisis comprende la identificación de la normativa aplicable al mercado del objeto contractual y a la actividad de los proveedores, lo que incluye las normas técnicas sectoriales, los requisitos sanitarios y fitosanitarios, las directrices de las autoridades regulatorias y de los organismos de vigilancia y, en general, las posibles autorizaciones, permisos y licencias requeridos para la ejecución.</w:t>
            </w:r>
          </w:p>
          <w:p w14:paraId="2463F67C" w14:textId="77777777" w:rsidR="00F90CEA" w:rsidRDefault="00F90CEA" w:rsidP="00DC4951">
            <w:pPr>
              <w:spacing w:after="120" w:line="276" w:lineRule="auto"/>
              <w:ind w:firstLine="709"/>
              <w:jc w:val="both"/>
              <w:rPr>
                <w:rFonts w:ascii="Verdana" w:eastAsia="Arial" w:hAnsi="Verdana" w:cs="Arial"/>
              </w:rPr>
            </w:pPr>
            <w:r w:rsidRPr="00572821">
              <w:rPr>
                <w:rFonts w:ascii="Verdana" w:eastAsia="Arial" w:hAnsi="Verdana" w:cs="Arial"/>
              </w:rPr>
              <w:t xml:space="preserve">En consecuencia, hace parte del deber de planeación verificar si la normativa especial que rige la actividad objeto del contrato exige habilitaciones administrativas previas, cuál es la autoridad competente para expedirlas y cuáles son los requisitos, términos y plazos previstos para su gestión y obtención. Con fundamento en ese análisis, la Entidad Estatal deberá determinar cuáles de esas habilitaciones resultan indispensables </w:t>
            </w:r>
            <w:r>
              <w:rPr>
                <w:rFonts w:ascii="Verdana" w:eastAsia="Arial" w:hAnsi="Verdana" w:cs="Arial"/>
              </w:rPr>
              <w:t>(</w:t>
            </w:r>
            <w:r w:rsidRPr="00572821">
              <w:rPr>
                <w:rFonts w:ascii="Verdana" w:eastAsia="Arial" w:hAnsi="Verdana" w:cs="Arial"/>
              </w:rPr>
              <w:t>esto es, aquellas sin las cuales no es jurídica ni materialmente posible ejecutar el objeto contractual</w:t>
            </w:r>
            <w:r>
              <w:rPr>
                <w:rFonts w:ascii="Verdana" w:eastAsia="Arial" w:hAnsi="Verdana" w:cs="Arial"/>
              </w:rPr>
              <w:t>)</w:t>
            </w:r>
            <w:r w:rsidRPr="00572821">
              <w:rPr>
                <w:rFonts w:ascii="Verdana" w:eastAsia="Arial" w:hAnsi="Verdana" w:cs="Arial"/>
              </w:rPr>
              <w:t>, cuáles constituyen condiciones de idoneidad del proponente que deban verificarse como requisitos habilitantes, cuáles corresponden a las condiciones técnicas que debe satisfacer el bien, obra o servicio y cuáles pueden representar una ventaja comparativa susceptible de ponderación.</w:t>
            </w:r>
          </w:p>
          <w:p w14:paraId="1378EB01" w14:textId="3896663B" w:rsidR="00096BEA" w:rsidRDefault="00096BEA" w:rsidP="00DC4951">
            <w:pPr>
              <w:spacing w:after="120" w:line="276" w:lineRule="auto"/>
              <w:ind w:firstLine="709"/>
              <w:jc w:val="both"/>
              <w:rPr>
                <w:rFonts w:ascii="Verdana" w:eastAsia="Arial" w:hAnsi="Verdana" w:cs="Arial"/>
              </w:rPr>
            </w:pPr>
            <w:r w:rsidRPr="00096BEA">
              <w:rPr>
                <w:rFonts w:ascii="Verdana" w:eastAsia="Arial" w:hAnsi="Verdana" w:cs="Arial"/>
              </w:rPr>
              <w:t>Dentro de ese análisis, la entidad debe además identificar a quién corresponde gestionar cada habilitación, pues no todas gravitan sobre el contratista. Cabe distinguir, al menos, tres supuestos: (i) las habilitaciones subjetivas que condicionan la aptitud del proponente para ejercer la actividad —por ejemplo, la inscripción o habilitación sectorial exigida por la ley especial para operar—, que pueden estructurarse como requisitos habilitantes de capacidad jurídica y que, por lo mismo, deben existir a más tardar al cierre; (</w:t>
            </w:r>
            <w:proofErr w:type="spellStart"/>
            <w:r w:rsidRPr="00096BEA">
              <w:rPr>
                <w:rFonts w:ascii="Verdana" w:eastAsia="Arial" w:hAnsi="Verdana" w:cs="Arial"/>
              </w:rPr>
              <w:t>ii</w:t>
            </w:r>
            <w:proofErr w:type="spellEnd"/>
            <w:r w:rsidRPr="00096BEA">
              <w:rPr>
                <w:rFonts w:ascii="Verdana" w:eastAsia="Arial" w:hAnsi="Verdana" w:cs="Arial"/>
              </w:rPr>
              <w:t>) los permisos o autorizaciones asociados a la ejecución concreta del objeto, obtenibles por el contratista una vez adjudicado o en curso el contrato, que se incorporan como obligaciones de ejecución sujetas a verificación de la supervisión o interventoría; y (</w:t>
            </w:r>
            <w:proofErr w:type="spellStart"/>
            <w:r w:rsidRPr="00096BEA">
              <w:rPr>
                <w:rFonts w:ascii="Verdana" w:eastAsia="Arial" w:hAnsi="Verdana" w:cs="Arial"/>
              </w:rPr>
              <w:t>iii</w:t>
            </w:r>
            <w:proofErr w:type="spellEnd"/>
            <w:r w:rsidRPr="00096BEA">
              <w:rPr>
                <w:rFonts w:ascii="Verdana" w:eastAsia="Arial" w:hAnsi="Verdana" w:cs="Arial"/>
              </w:rPr>
              <w:t xml:space="preserve">) las autorizaciones, licencias o condiciones que el ordenamiento pone en cabeza de la propia entidad contratante —como la disponibilidad de predios o la licencia ambiental del proyecto—, cuya gestión oportuna es carga de la Administración y no del proponente. Confundir estas </w:t>
            </w:r>
            <w:r w:rsidRPr="00096BEA">
              <w:rPr>
                <w:rFonts w:ascii="Verdana" w:eastAsia="Arial" w:hAnsi="Verdana" w:cs="Arial"/>
              </w:rPr>
              <w:lastRenderedPageBreak/>
              <w:t>categorías puede conducir a exigir del contratista habilitaciones que la ley no le atribuye, o a iniciar la ejecución sin que la entidad haya asegurado las condiciones que le competían, con las consecuencias jurídicas ya señaladas.</w:t>
            </w:r>
          </w:p>
          <w:p w14:paraId="29F3BF67" w14:textId="77777777" w:rsidR="00F90CEA" w:rsidRPr="00AD2822" w:rsidRDefault="00F90CEA" w:rsidP="00F90CEA">
            <w:pPr>
              <w:spacing w:after="120" w:line="276" w:lineRule="auto"/>
              <w:ind w:firstLine="741"/>
              <w:jc w:val="both"/>
              <w:rPr>
                <w:rFonts w:ascii="Verdana" w:eastAsia="Arial" w:hAnsi="Verdana" w:cs="Arial"/>
              </w:rPr>
            </w:pPr>
            <w:r w:rsidRPr="00AD2822">
              <w:rPr>
                <w:rFonts w:ascii="Verdana" w:eastAsia="Arial" w:hAnsi="Verdana" w:cs="Arial"/>
              </w:rPr>
              <w:t xml:space="preserve">Como parte de dicho análisis, las entidades deben considerar, entre otros aspectos, los plazos previstos para la expedición. Si la Entidad Estatal conoce desde la etapa de planeación que el trámite de una autorización obligatoria puede tardar varias semanas o meses y que ello puede retrasar el inicio de la ejecución, debe valorar esa circunstancia al definir si la habilitación se exige como condición para la celebración del contrato o como una obligación exigible durante la ejecución. Del mismo modo, esa circunstancia debe reflejarse en el análisis de Riesgo del Proceso de Contratación, tipificando el riesgo asociado al trámite, estimándolo y asignándolo, así como en la definición del plazo contractual, del cronograma y de las condiciones de ejecución, de manera que el contrato no se estructure sobre el supuesto de una ejecución inmediata que resulta jurídicamente inviable. </w:t>
            </w:r>
          </w:p>
          <w:p w14:paraId="01F89E42" w14:textId="16F3053B" w:rsidR="00453E23" w:rsidRPr="00AD2822" w:rsidRDefault="005C0730" w:rsidP="00DC4951">
            <w:pPr>
              <w:spacing w:after="120" w:line="276" w:lineRule="auto"/>
              <w:ind w:firstLine="743"/>
              <w:jc w:val="both"/>
              <w:rPr>
                <w:rFonts w:ascii="Verdana" w:eastAsia="Arial" w:hAnsi="Verdana" w:cs="Arial"/>
              </w:rPr>
            </w:pPr>
            <w:r w:rsidRPr="005C0730">
              <w:rPr>
                <w:rFonts w:ascii="Verdana" w:eastAsia="Arial" w:hAnsi="Verdana" w:cs="Arial"/>
              </w:rPr>
              <w:t>La omisión o la deficiencia en la identificación y valoración de estos requisitos, así como de su impacto en el Proceso de Contratación, puede derivar en prácticas indebidas, mayores costos, mayor permanencia de la obra y, en general, en el fracaso de la ejecución del contrato, con las consecuencias que de ello se siguen en materia de responsabilidad de los servidores públicos y de las entidades, conforme al artículo 26 de la Ley 80 de 1993, en particular sus numerales 1, 3 y 4</w:t>
            </w:r>
            <w:r>
              <w:rPr>
                <w:rFonts w:ascii="Verdana" w:eastAsia="Arial" w:hAnsi="Verdana" w:cs="Arial"/>
              </w:rPr>
              <w:t>.</w:t>
            </w:r>
          </w:p>
          <w:p w14:paraId="18011126" w14:textId="3B60DA5E" w:rsidR="005C0730" w:rsidRDefault="00453E23" w:rsidP="00DC4951">
            <w:pPr>
              <w:spacing w:after="120" w:line="276" w:lineRule="auto"/>
              <w:ind w:firstLine="743"/>
              <w:jc w:val="both"/>
              <w:rPr>
                <w:rFonts w:ascii="Verdana" w:eastAsia="Arial" w:hAnsi="Verdana" w:cs="Arial"/>
              </w:rPr>
            </w:pPr>
            <w:r w:rsidRPr="00453E23">
              <w:rPr>
                <w:rFonts w:ascii="Verdana" w:eastAsia="Arial" w:hAnsi="Verdana" w:cs="Arial"/>
              </w:rPr>
              <w:t xml:space="preserve">Frente al interrogante sobre el alcance de los principios de planeación, economía, responsabilidad, eficacia y selección objetiva cuando la ausencia de una habilitación impide iniciar la ejecución, debe señalarse que operan de manera articulada: la planeación y la economía imponen prever y gestionar oportunamente la habilitación (art. 25 de la Ley 80); la eficacia (art. 3 de la Ley 1437 de 2011) exige que el procedimiento se oriente a que el objeto efectivamente se cumpla y no quede frustrado por una imposibilidad previsible; la selección objetiva impide adjudicar a quien, debiendo estar habilitado para participar, no lo está; y la responsabilidad (art. 26 de la Ley 80) determina las consecuencias del desconocimiento de esos deberes. La calificación jurídica de tales consecuencias —incumplimiento contractual o, en su caso, nulidad— dependerá de las circunstancias concretas, conforme a la </w:t>
            </w:r>
            <w:r w:rsidRPr="00453E23">
              <w:rPr>
                <w:rFonts w:ascii="Verdana" w:eastAsia="Arial" w:hAnsi="Verdana" w:cs="Arial"/>
              </w:rPr>
              <w:lastRenderedPageBreak/>
              <w:t>evolución jurisprudencial reseñada, y su definición corresponde a las autoridades competentes y no a esta Agencia por vía consultiva</w:t>
            </w:r>
            <w:r>
              <w:rPr>
                <w:rFonts w:ascii="Verdana" w:eastAsia="Arial" w:hAnsi="Verdana" w:cs="Arial"/>
              </w:rPr>
              <w:t>.</w:t>
            </w:r>
          </w:p>
          <w:p w14:paraId="075E8DCA" w14:textId="7BFBA143" w:rsidR="00F90CEA" w:rsidRDefault="00F90CEA" w:rsidP="00DC4951">
            <w:pPr>
              <w:spacing w:after="120" w:line="276" w:lineRule="auto"/>
              <w:ind w:firstLine="743"/>
              <w:jc w:val="both"/>
              <w:rPr>
                <w:rFonts w:ascii="Verdana" w:eastAsia="Arial" w:hAnsi="Verdana" w:cs="Arial"/>
              </w:rPr>
            </w:pPr>
            <w:r w:rsidRPr="00AD2822">
              <w:rPr>
                <w:rFonts w:ascii="Verdana" w:eastAsia="Arial" w:hAnsi="Verdana" w:cs="Arial"/>
              </w:rPr>
              <w:t>En este sentido, es cierto que el análisis de la Entidad Estatal durante la etapa de planeación debe comprender no solo la necesidad del requisito legal, sino también la viabilidad jurídica y material de ejecutar el contrato desde el inicio del plazo contractual, con el fin de evitar los riesgos de suspensión, prórroga o imposibilidad de ejecución derivados del cumplimiento o la gestión de requisitos, autorizaciones o permisos. Este análisis, junto con la justificación de la decisión que se adopte sobre su exigencia y su impacto en el Proceso de Contratación y en la ejecución del contrato, debe constar en los estudios y documentos previos y en el análisis del sector, en los términos del artículo 2.2.1.1.1.6.1 del Decreto 1082 de 2015.</w:t>
            </w:r>
          </w:p>
          <w:p w14:paraId="190B53BC" w14:textId="70FFB19D" w:rsidR="00020CCA" w:rsidRPr="006E1ECA" w:rsidRDefault="00020CCA" w:rsidP="00F90CEA">
            <w:pPr>
              <w:spacing w:line="276" w:lineRule="auto"/>
              <w:ind w:firstLine="741"/>
              <w:jc w:val="both"/>
              <w:rPr>
                <w:rFonts w:ascii="Verdana" w:eastAsia="Arial" w:hAnsi="Verdana" w:cs="Arial"/>
              </w:rPr>
            </w:pPr>
            <w:r w:rsidRPr="00020CCA">
              <w:rPr>
                <w:rFonts w:ascii="Verdana" w:eastAsia="Arial" w:hAnsi="Verdana" w:cs="Arial"/>
              </w:rPr>
              <w:t>Esta carga de motivación es simétrica: comprende tanto la decisión de exigir la habilitación —y en qué categoría y momento— como la de no exigirla como requisito habilitante. Cuando la entidad, pese a que la normativa especial condiciona el ejercicio de la actividad a una autorización previa, opte por no incorporarla como habilitante —por ejemplo, por tratarse de una condición atinente a la ejecución o por corresponder su gestión a la propia entidad—, deberá dejar constancia expresa y razonada de esa decisión y de su tratamiento alternativo en los documentos del proceso, en armonía con el parág</w:t>
            </w:r>
            <w:r w:rsidRPr="006E1ECA">
              <w:rPr>
                <w:rFonts w:ascii="Verdana" w:eastAsia="Arial" w:hAnsi="Verdana" w:cs="Arial"/>
              </w:rPr>
              <w:t>rafo del artículo 2.2.1.1.2.1.1 del Decreto 1082 de 2015 respecto de las decisiones de no inclusión.</w:t>
            </w:r>
            <w:r w:rsidR="006E1ECA" w:rsidRPr="006E1ECA">
              <w:rPr>
                <w:rFonts w:ascii="Verdana" w:eastAsia="Arial" w:hAnsi="Verdana" w:cs="Arial"/>
              </w:rPr>
              <w:t xml:space="preserve"> </w:t>
            </w:r>
            <w:r w:rsidR="006E1ECA" w:rsidRPr="006E1ECA">
              <w:rPr>
                <w:rFonts w:ascii="Verdana" w:eastAsia="Century Gothic" w:hAnsi="Verdana" w:cs="Century Gothic"/>
                <w:color w:val="000000" w:themeColor="text1"/>
              </w:rPr>
              <w:t>(Respuesta a interrogantes No. 1, 2, 3, 4, 5, 8, 9, 11 y 12)</w:t>
            </w:r>
          </w:p>
          <w:p w14:paraId="51722F89" w14:textId="77777777" w:rsidR="00F90CEA" w:rsidRPr="006E1ECA" w:rsidRDefault="00F90CEA" w:rsidP="00F90CEA">
            <w:pPr>
              <w:spacing w:line="276" w:lineRule="auto"/>
              <w:ind w:firstLine="741"/>
              <w:jc w:val="both"/>
              <w:rPr>
                <w:rFonts w:ascii="Verdana" w:eastAsia="Arial" w:hAnsi="Verdana" w:cs="Arial"/>
              </w:rPr>
            </w:pPr>
          </w:p>
          <w:p w14:paraId="24967A9B" w14:textId="77777777" w:rsidR="00F90CEA" w:rsidRPr="006E1ECA" w:rsidRDefault="00F90CEA" w:rsidP="00F90CEA">
            <w:pPr>
              <w:spacing w:after="120" w:line="276" w:lineRule="auto"/>
              <w:jc w:val="both"/>
              <w:rPr>
                <w:rFonts w:ascii="Verdana" w:eastAsia="Arial" w:hAnsi="Verdana" w:cs="Arial"/>
              </w:rPr>
            </w:pPr>
            <w:proofErr w:type="spellStart"/>
            <w:r w:rsidRPr="006E1ECA">
              <w:rPr>
                <w:rFonts w:ascii="Verdana" w:eastAsia="Arial" w:hAnsi="Verdana" w:cs="Arial"/>
              </w:rPr>
              <w:t>ii</w:t>
            </w:r>
            <w:proofErr w:type="spellEnd"/>
            <w:r w:rsidRPr="006E1ECA">
              <w:rPr>
                <w:rFonts w:ascii="Verdana" w:eastAsia="Arial" w:hAnsi="Verdana" w:cs="Arial"/>
              </w:rPr>
              <w:t xml:space="preserve">. El artículo 5 de la Ley 1150 de 2007 distingue entre los requisitos habilitantes y los factores de escogencia o calificación. Los </w:t>
            </w:r>
            <w:r w:rsidRPr="006E1ECA">
              <w:rPr>
                <w:rFonts w:ascii="Verdana" w:eastAsia="Arial" w:hAnsi="Verdana" w:cs="Arial"/>
                <w:i/>
              </w:rPr>
              <w:t xml:space="preserve">requisitos habilitantes (los cuales incluyen, entre otros, </w:t>
            </w:r>
            <w:r w:rsidRPr="006E1ECA">
              <w:rPr>
                <w:rFonts w:ascii="Verdana" w:eastAsia="Arial" w:hAnsi="Verdana" w:cs="Arial"/>
              </w:rPr>
              <w:t xml:space="preserve">la capacidad jurídica, las condiciones de experiencia, la capacidad financiera y la capacidad de organización) se refieren a la idoneidad y capacidad del oferente para ejecutar el contrato y no a la oferta misma; por ello son objeto de verificación bajo el criterio de admisión o rechazo y, por regla general, no otorgan puntaje. Los </w:t>
            </w:r>
            <w:r w:rsidRPr="006E1ECA">
              <w:rPr>
                <w:rFonts w:ascii="Verdana" w:eastAsia="Arial" w:hAnsi="Verdana" w:cs="Arial"/>
                <w:i/>
              </w:rPr>
              <w:t>factores técnicos y económicos de escogencia</w:t>
            </w:r>
            <w:r w:rsidRPr="006E1ECA">
              <w:rPr>
                <w:rFonts w:ascii="Verdana" w:eastAsia="Arial" w:hAnsi="Verdana" w:cs="Arial"/>
              </w:rPr>
              <w:t xml:space="preserve"> o requisitos ponderables, por el contrario, corresponden a las condiciones de </w:t>
            </w:r>
            <w:r w:rsidRPr="006E1ECA">
              <w:rPr>
                <w:rFonts w:ascii="Verdana" w:eastAsia="Arial" w:hAnsi="Verdana" w:cs="Arial"/>
                <w:i/>
              </w:rPr>
              <w:t>la oferta</w:t>
            </w:r>
            <w:r w:rsidRPr="006E1ECA">
              <w:rPr>
                <w:rFonts w:ascii="Verdana" w:eastAsia="Arial" w:hAnsi="Verdana" w:cs="Arial"/>
              </w:rPr>
              <w:t>, y permiten la comparación entre las propuestas y la determinación del ofrecimiento más favorable, mediante puntajes o fórmulas, o a partir de la mejor relación costo-</w:t>
            </w:r>
            <w:r w:rsidRPr="006E1ECA">
              <w:rPr>
                <w:rFonts w:ascii="Verdana" w:eastAsia="Arial" w:hAnsi="Verdana" w:cs="Arial"/>
              </w:rPr>
              <w:lastRenderedPageBreak/>
              <w:t xml:space="preserve">beneficio. A su turno, las </w:t>
            </w:r>
            <w:r w:rsidRPr="006E1ECA">
              <w:rPr>
                <w:rFonts w:ascii="Verdana" w:eastAsia="Arial" w:hAnsi="Verdana" w:cs="Arial"/>
                <w:i/>
              </w:rPr>
              <w:t>especificaciones o requisitos técnicos</w:t>
            </w:r>
            <w:r w:rsidRPr="006E1ECA">
              <w:rPr>
                <w:rFonts w:ascii="Verdana" w:eastAsia="Arial" w:hAnsi="Verdana" w:cs="Arial"/>
              </w:rPr>
              <w:t>, contenidos en el pliego de condiciones o en la ficha o anexo técnico, definen las características, la calidad mínima y los patrones de desempeño mínimos que debe reunir el bien, obra o servicio a contratar, de modo que se refieren al objeto ofertado y no a las calidades del proponente ni a la ponderación de las ofertas.</w:t>
            </w:r>
          </w:p>
          <w:p w14:paraId="3BEA4C00" w14:textId="77777777" w:rsidR="00F90CEA" w:rsidRPr="006E1ECA" w:rsidRDefault="00F90CEA" w:rsidP="00DC4951">
            <w:pPr>
              <w:spacing w:after="120" w:line="276" w:lineRule="auto"/>
              <w:ind w:firstLine="709"/>
              <w:jc w:val="both"/>
              <w:rPr>
                <w:rFonts w:ascii="Verdana" w:eastAsia="Arial" w:hAnsi="Verdana" w:cs="Arial"/>
              </w:rPr>
            </w:pPr>
            <w:r w:rsidRPr="006E1ECA">
              <w:rPr>
                <w:rFonts w:ascii="Verdana" w:eastAsia="Arial" w:hAnsi="Verdana" w:cs="Arial"/>
              </w:rPr>
              <w:t xml:space="preserve">Conforme a esta distinción, corresponde a la Entidad Estatal determinar, en cada Proceso de Contratación y con fundamento en los resultados de la etapa de planeación, si la habilitación administrativa, requisito, autorización o permiso constituye: i) una condición referida a la idoneidad y a la capacidad del proponente para ejecutar el objeto contractual, caso en el cual podrá incorporarse como requisito habilitante; </w:t>
            </w:r>
            <w:proofErr w:type="spellStart"/>
            <w:r w:rsidRPr="006E1ECA">
              <w:rPr>
                <w:rFonts w:ascii="Verdana" w:eastAsia="Arial" w:hAnsi="Verdana" w:cs="Arial"/>
              </w:rPr>
              <w:t>ii</w:t>
            </w:r>
            <w:proofErr w:type="spellEnd"/>
            <w:r w:rsidRPr="006E1ECA">
              <w:rPr>
                <w:rFonts w:ascii="Verdana" w:eastAsia="Arial" w:hAnsi="Verdana" w:cs="Arial"/>
              </w:rPr>
              <w:t xml:space="preserve">) un aspecto técnico del bien, obra o servicio, evento en el que deberá incluirse dentro de las condiciones técnicas que debe satisfacer la oferta, en el pliego de condiciones, la ficha técnica o el anexo técnico correspondiente; o </w:t>
            </w:r>
            <w:proofErr w:type="spellStart"/>
            <w:r w:rsidRPr="006E1ECA">
              <w:rPr>
                <w:rFonts w:ascii="Verdana" w:eastAsia="Arial" w:hAnsi="Verdana" w:cs="Arial"/>
              </w:rPr>
              <w:t>iii</w:t>
            </w:r>
            <w:proofErr w:type="spellEnd"/>
            <w:r w:rsidRPr="006E1ECA">
              <w:rPr>
                <w:rFonts w:ascii="Verdana" w:eastAsia="Arial" w:hAnsi="Verdana" w:cs="Arial"/>
              </w:rPr>
              <w:t>) un aspecto que evidencie una ventaja comparativa frente a las demás propuestas, supuesto en el cual podrá considerarse y justificarse su inclusión como factor técnico ponderable para determinar la oferta más favorable, en los términos del numeral 2 del artículo 5 de la Ley 1150 de 2007.</w:t>
            </w:r>
          </w:p>
          <w:p w14:paraId="26725E9D" w14:textId="77777777" w:rsidR="00F90CEA" w:rsidRPr="006E1ECA" w:rsidRDefault="00F90CEA" w:rsidP="00F90CEA">
            <w:pPr>
              <w:spacing w:after="120" w:line="276" w:lineRule="auto"/>
              <w:ind w:firstLine="741"/>
              <w:jc w:val="both"/>
              <w:rPr>
                <w:rFonts w:ascii="Verdana" w:eastAsia="Arial" w:hAnsi="Verdana" w:cs="Arial"/>
              </w:rPr>
            </w:pPr>
            <w:r w:rsidRPr="006E1ECA">
              <w:rPr>
                <w:rFonts w:ascii="Verdana" w:eastAsia="Arial" w:hAnsi="Verdana" w:cs="Arial"/>
              </w:rPr>
              <w:t>Así, cuando se trate de una calidad del oferente que este debe reunir para poder ejecutar el objeto contractual, puede tratarse de un requisito relativo a su capacidad que deba verificarse como habilitante, de manera que no podrá resultar adjudicatario quien, debiendo cumplir legalmente con una condición o autorización para el ejercicio de la actividad, no la acredite. En cambio, cuando la habilitación constituye una condición relativa a la ejecución del contrato, y no un requisito habilitante en sentido estricto, la Entidad Estatal podrá incorporarla como parte de las obligaciones contractuales que serán objeto de verificación por la supervisión o la interventoría, previendo las consecuencias jurídicas que se deriven de su incumplimiento.</w:t>
            </w:r>
          </w:p>
          <w:p w14:paraId="0CA472DF" w14:textId="77777777" w:rsidR="00F90CEA" w:rsidRPr="006E1ECA" w:rsidRDefault="00F90CEA" w:rsidP="00F90CEA">
            <w:pPr>
              <w:spacing w:after="120" w:line="276" w:lineRule="auto"/>
              <w:ind w:firstLine="741"/>
              <w:jc w:val="both"/>
              <w:rPr>
                <w:rFonts w:ascii="Verdana" w:eastAsia="Arial" w:hAnsi="Verdana" w:cs="Arial"/>
              </w:rPr>
            </w:pPr>
            <w:r w:rsidRPr="006E1ECA">
              <w:rPr>
                <w:rFonts w:ascii="Verdana" w:eastAsia="Arial" w:hAnsi="Verdana" w:cs="Arial"/>
              </w:rPr>
              <w:t xml:space="preserve">De lo anterior se sigue que la acreditación de la capacidad jurídica o técnica del oferente y el momento en que esta debe demostrarse no admiten una respuesta única. Ello dependerá de la naturaleza del requisito y del objeto del contrato, elementos que la Entidad Estatal debe analizar durante la etapa de planeación para determinar si debe acreditarse durante el procedimiento de selección, por referirse a una condición que el proponente debe reunir para </w:t>
            </w:r>
            <w:r w:rsidRPr="006E1ECA">
              <w:rPr>
                <w:rFonts w:ascii="Verdana" w:eastAsia="Arial" w:hAnsi="Verdana" w:cs="Arial"/>
              </w:rPr>
              <w:lastRenderedPageBreak/>
              <w:t>participar y para resultar adjudicatario, o si resulta jurídicamente procedente exigirla para la celebración del contrato o durante su ejecución.</w:t>
            </w:r>
          </w:p>
          <w:p w14:paraId="1B7552B2" w14:textId="745F1485" w:rsidR="00602221" w:rsidRPr="006E1ECA" w:rsidRDefault="00602221" w:rsidP="00F90CEA">
            <w:pPr>
              <w:spacing w:after="120" w:line="276" w:lineRule="auto"/>
              <w:ind w:firstLine="741"/>
              <w:jc w:val="both"/>
              <w:rPr>
                <w:rFonts w:ascii="Verdana" w:eastAsia="Arial" w:hAnsi="Verdana" w:cs="Arial"/>
              </w:rPr>
            </w:pPr>
            <w:r w:rsidRPr="006E1ECA">
              <w:rPr>
                <w:rFonts w:ascii="Verdana" w:eastAsia="Arial" w:hAnsi="Verdana" w:cs="Arial"/>
              </w:rPr>
              <w:t>Ahora bien, cuando la habilitación se configura como requisito habilitante —esto es, como condición de idoneidad que el proponente debe reunir para ser adjudicatario—, resulta determinante distinguir entre el hecho y su prueba. Conforme al artículo 5 de la Ley 1882 de 2018, lo subsanable es la prueba de las circunstancias existentes a más tardar al momento del cierre del proceso, de modo que no pueden acreditarse hechos ocurridos con posterioridad a este. Por consiguiente, la habilitación exigida como requisito habilitante debe existir a más tardar al vencimiento del término para presentar ofertas; lo que la entidad puede permitir subsanar es la acreditación documental de esa habilitación preexistente, no su obtención sobrevenida</w:t>
            </w:r>
            <w:r w:rsidRPr="006E1ECA">
              <w:rPr>
                <w:rStyle w:val="FootnoteReference"/>
                <w:rFonts w:ascii="Verdana" w:eastAsia="Arial" w:hAnsi="Verdana" w:cs="Arial"/>
              </w:rPr>
              <w:footnoteReference w:id="2"/>
            </w:r>
            <w:r w:rsidRPr="006E1ECA">
              <w:rPr>
                <w:rFonts w:ascii="Verdana" w:eastAsia="Arial" w:hAnsi="Verdana" w:cs="Arial"/>
              </w:rPr>
              <w:t>. De ahí que un proponente que a la fecha de cierre carezca de la habilitación que la ley exige para ejercer la actividad no pueda resultar adjudicatario cuando aquella se ha incorporado como habilitante, sin que la subsanabilidad opere para suplir su ausencia material. Distinto es el supuesto en que la habilitación no condiciona la idoneidad para participar sino la ejecución del contrato: en ese caso no constituye requisito habilitante en sentido estricto, sino condición de ejecución o documento requerido para la celebración, cuya ausencia no habilita el rechazo de la oferta y cuya verificación corresponde a la etapa de perfeccionamiento o de ejecución</w:t>
            </w:r>
            <w:r w:rsidR="00635A4D" w:rsidRPr="006E1ECA">
              <w:rPr>
                <w:rFonts w:ascii="Verdana" w:eastAsia="Arial" w:hAnsi="Verdana" w:cs="Arial"/>
              </w:rPr>
              <w:t>.</w:t>
            </w:r>
            <w:r w:rsidR="006E1ECA" w:rsidRPr="006E1ECA">
              <w:rPr>
                <w:rFonts w:ascii="Verdana" w:eastAsia="Arial" w:hAnsi="Verdana" w:cs="Arial"/>
              </w:rPr>
              <w:t xml:space="preserve"> </w:t>
            </w:r>
            <w:r w:rsidR="006E1ECA" w:rsidRPr="006E1ECA">
              <w:rPr>
                <w:rFonts w:ascii="Verdana" w:eastAsia="Century Gothic" w:hAnsi="Verdana" w:cs="Century Gothic"/>
                <w:color w:val="000000" w:themeColor="text1"/>
              </w:rPr>
              <w:t>(Respuesta a interrogantes No. 6 y 7);</w:t>
            </w:r>
          </w:p>
          <w:p w14:paraId="1BD79394" w14:textId="77777777" w:rsidR="00F90CEA" w:rsidRPr="006E1ECA" w:rsidRDefault="00F90CEA" w:rsidP="00F90CEA">
            <w:pPr>
              <w:spacing w:after="120" w:line="276" w:lineRule="auto"/>
              <w:jc w:val="both"/>
              <w:rPr>
                <w:rFonts w:ascii="Verdana" w:eastAsia="Arial" w:hAnsi="Verdana" w:cs="Arial"/>
              </w:rPr>
            </w:pPr>
            <w:proofErr w:type="spellStart"/>
            <w:r w:rsidRPr="00DC4951">
              <w:rPr>
                <w:rFonts w:ascii="Verdana" w:eastAsia="Arial" w:hAnsi="Verdana" w:cs="Arial"/>
              </w:rPr>
              <w:t>iii</w:t>
            </w:r>
            <w:proofErr w:type="spellEnd"/>
            <w:r w:rsidRPr="00DC4951">
              <w:rPr>
                <w:rFonts w:ascii="Verdana" w:eastAsia="Arial" w:hAnsi="Verdana" w:cs="Arial"/>
              </w:rPr>
              <w:t>.</w:t>
            </w:r>
            <w:r w:rsidRPr="006E1ECA">
              <w:rPr>
                <w:rFonts w:ascii="Verdana" w:eastAsia="Arial" w:hAnsi="Verdana" w:cs="Arial"/>
              </w:rPr>
              <w:t xml:space="preserve"> Con independencia de la categoría en la que se incorporen, la definición de los requisitos habilitantes, de las especificaciones técnicas y de los factores ponderables debe obedecer a un ejercicio razonable y proporcional. Los requisitos habilitantes que determine la Entidad Estatal deben: 1) medir verdaderamente la aptitud del proponente para cumplir con el contrato; 2) ser proporcionales y adecuados al objeto contractual; y 3) no limitar la participación en el Proceso de Contratación convirtiéndose en barreras para la libre competencia. En el mismo sentido, al definir las especificaciones técnicas las entidades deben abstenerse de imponer condiciones restrictivas que impidan el acceso al procedimiento de selección y que no resulten razonables </w:t>
            </w:r>
            <w:r w:rsidRPr="006E1ECA">
              <w:rPr>
                <w:rFonts w:ascii="Verdana" w:eastAsia="Arial" w:hAnsi="Verdana" w:cs="Arial"/>
              </w:rPr>
              <w:lastRenderedPageBreak/>
              <w:t>y proporcionales al objeto del proceso, de modo que los criterios adoptados propendan por la más amplia oportunidad de concurrencia, correspondan a las necesidades reales de la entidad contratante y garanticen el derecho a la igualdad de los oferentes.</w:t>
            </w:r>
          </w:p>
          <w:p w14:paraId="384561F1" w14:textId="77777777" w:rsidR="00F90CEA" w:rsidRPr="006E1ECA" w:rsidRDefault="00F90CEA" w:rsidP="00F90CEA">
            <w:pPr>
              <w:spacing w:after="120" w:line="276" w:lineRule="auto"/>
              <w:ind w:firstLine="741"/>
              <w:jc w:val="both"/>
              <w:rPr>
                <w:rFonts w:ascii="Verdana" w:eastAsia="Arial" w:hAnsi="Verdana" w:cs="Arial"/>
              </w:rPr>
            </w:pPr>
            <w:r w:rsidRPr="006E1ECA">
              <w:rPr>
                <w:rFonts w:ascii="Verdana" w:eastAsia="Arial" w:hAnsi="Verdana" w:cs="Arial"/>
              </w:rPr>
              <w:t xml:space="preserve">Si bien las Entidades Estatales tienen autonomía para estructurar los requisitos de los procesos que adelantan, tal facultad no puede ejercerse de forma arbitraria, caprichosa y, mucho menos, con el ánimo de direccionar el Proceso de Contratación o favorecer, directa o indirectamente, a alguno de los proponentes. Tampoco puede suceder que el ejercicio de dicha atribución desconozca los límites impuestos por la normativa vigente, como, por ejemplo, el parágrafo 2 del artículo 5 de la Ley 1150 de 2007, que prohíbe exigir certificaciones de sistemas de gestión de calidad como requisito habilitante. En este punto conviene reiterar que, según el artículo 44 de la Ley 1437 de 2011 —aplicable a los procedimientos contractuales en virtud del artículo 77 de la Ley 80 de 1993—, </w:t>
            </w:r>
            <w:r w:rsidRPr="006E1ECA">
              <w:rPr>
                <w:rFonts w:ascii="Verdana" w:eastAsia="Arial" w:hAnsi="Verdana" w:cs="Arial"/>
                <w:i/>
              </w:rPr>
              <w:t>«en la medida en que el contenido de una decisión de carácter general o particular sea discrecional, debe ser adecuada a los fines de la norma que la autoriza, y proporcional a los hechos que le sirven de causa»</w:t>
            </w:r>
            <w:r w:rsidRPr="006E1ECA">
              <w:rPr>
                <w:rFonts w:ascii="Verdana" w:eastAsia="Arial" w:hAnsi="Verdana" w:cs="Arial"/>
              </w:rPr>
              <w:t>.</w:t>
            </w:r>
          </w:p>
          <w:p w14:paraId="58CB37D6" w14:textId="6EED48E2" w:rsidR="00F90CEA" w:rsidRPr="00AD2822" w:rsidRDefault="00F90CEA" w:rsidP="00F90CEA">
            <w:pPr>
              <w:spacing w:after="120" w:line="276" w:lineRule="auto"/>
              <w:ind w:firstLine="741"/>
              <w:jc w:val="both"/>
              <w:rPr>
                <w:rFonts w:ascii="Verdana" w:eastAsia="Arial" w:hAnsi="Verdana" w:cs="Arial"/>
              </w:rPr>
            </w:pPr>
            <w:r w:rsidRPr="006E1ECA">
              <w:rPr>
                <w:rFonts w:ascii="Verdana" w:eastAsia="Arial" w:hAnsi="Verdana" w:cs="Arial"/>
              </w:rPr>
              <w:t>Por consiguiente, la decisión de exigir o no una determinada habilitación, permiso, autorización o similares no depende exclusivamente de la discrecionalidad de la Entidad Estatal. Por una parte, encuentra límites en la legislación especial que regula la actividad objeto del contrato, la cual define en qué condiciones esta puede ejercerse; por otra, en los parámetros de adecuación y proporcionalidad del artículo 2.2.1.1.1.6.2 del Decreto 1082 de 2015, conforme al cual los requisitos habilitantes se determinan atendiendo al Riesgo del Proceso de Contratación, al valor del contrato, al análisis del sector económico respectivo y al conocimiento de fondo de los posibles oferentes desde la perspectiva comercial. En todo caso, la Entidad Estatal tiene la carga de justificar en los estudios previos y en el análisis del sector la procedencia de los requisitos que establezca, así como el momento en que deben acreditarse.</w:t>
            </w:r>
            <w:r w:rsidR="006E1ECA" w:rsidRPr="006E1ECA">
              <w:rPr>
                <w:rFonts w:ascii="Verdana" w:eastAsia="Arial" w:hAnsi="Verdana" w:cs="Arial"/>
              </w:rPr>
              <w:t xml:space="preserve"> (Respuesta a interrogante No. 10)</w:t>
            </w:r>
          </w:p>
        </w:tc>
      </w:tr>
    </w:tbl>
    <w:p w14:paraId="54890AE1" w14:textId="77777777" w:rsidR="00F90CEA" w:rsidRPr="00A220B2" w:rsidRDefault="00F90CEA" w:rsidP="00F90CEA">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287335E7" w14:textId="77777777" w:rsidR="00F90CEA" w:rsidRPr="00A220B2" w:rsidRDefault="00F90CEA" w:rsidP="00F90CEA">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Razones de la respuesta:</w:t>
      </w:r>
    </w:p>
    <w:p w14:paraId="66E7A26D" w14:textId="77777777" w:rsidR="00F90CEA" w:rsidRPr="00A220B2" w:rsidRDefault="00F90CEA" w:rsidP="00F90CEA">
      <w:pPr>
        <w:spacing w:after="0" w:line="276" w:lineRule="auto"/>
        <w:jc w:val="both"/>
        <w:rPr>
          <w:rFonts w:ascii="Verdana" w:eastAsia="Calibri" w:hAnsi="Verdana" w:cs="Arial"/>
          <w:color w:val="000000" w:themeColor="text1"/>
          <w:lang w:val="es-ES"/>
        </w:rPr>
      </w:pPr>
    </w:p>
    <w:p w14:paraId="5F4F22B0" w14:textId="77777777" w:rsidR="00F90CEA" w:rsidRPr="00A220B2" w:rsidRDefault="00F90CEA" w:rsidP="00F90CEA">
      <w:pPr>
        <w:spacing w:after="0" w:line="276" w:lineRule="auto"/>
        <w:jc w:val="both"/>
        <w:rPr>
          <w:rFonts w:ascii="Verdana" w:eastAsia="Calibri" w:hAnsi="Verdana" w:cs="Arial"/>
          <w:color w:val="000000" w:themeColor="text1"/>
          <w:lang w:val="es-ES"/>
        </w:rPr>
      </w:pPr>
      <w:r w:rsidRPr="00A220B2">
        <w:rPr>
          <w:rFonts w:ascii="Verdana" w:eastAsia="Calibri" w:hAnsi="Verdana" w:cs="Arial"/>
          <w:color w:val="000000" w:themeColor="text1"/>
          <w:lang w:val="es-ES"/>
        </w:rPr>
        <w:t xml:space="preserve">Lo anterior se sustenta en las siguientes consideraciones: </w:t>
      </w:r>
    </w:p>
    <w:p w14:paraId="79F293C6" w14:textId="77777777" w:rsidR="00F90CEA" w:rsidRPr="00A220B2" w:rsidRDefault="00F90CEA" w:rsidP="00F90CEA">
      <w:pPr>
        <w:spacing w:after="0" w:line="276" w:lineRule="auto"/>
        <w:jc w:val="both"/>
        <w:rPr>
          <w:rFonts w:ascii="Verdana" w:eastAsia="Calibri" w:hAnsi="Verdana" w:cs="Arial"/>
          <w:lang w:val="es-ES"/>
        </w:rPr>
      </w:pPr>
    </w:p>
    <w:p w14:paraId="6A1C0AF6" w14:textId="77777777" w:rsidR="00F90CEA" w:rsidRDefault="00F90CEA" w:rsidP="00F90CEA">
      <w:pPr>
        <w:spacing w:after="120" w:line="276" w:lineRule="auto"/>
        <w:jc w:val="both"/>
        <w:rPr>
          <w:rFonts w:ascii="Verdana" w:eastAsia="Calibri" w:hAnsi="Verdana" w:cs="Arial"/>
          <w:bCs/>
          <w:lang w:val="es-ES_tradnl" w:eastAsia="es-MX"/>
        </w:rPr>
      </w:pPr>
      <w:r>
        <w:rPr>
          <w:rFonts w:ascii="Verdana" w:hAnsi="Verdana" w:cs="Arial"/>
          <w:lang w:val="es-ES"/>
        </w:rPr>
        <w:t xml:space="preserve">i. </w:t>
      </w:r>
      <w:r w:rsidRPr="00B41EE0">
        <w:rPr>
          <w:rFonts w:ascii="Verdana" w:eastAsia="Calibri" w:hAnsi="Verdana" w:cs="Arial"/>
          <w:bCs/>
          <w:lang w:val="es-ES_tradnl" w:eastAsia="es-MX"/>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50DD7F45" w14:textId="373C4D87" w:rsidR="00F90CEA" w:rsidRDefault="00F90CEA" w:rsidP="00F90CEA">
      <w:pPr>
        <w:spacing w:after="0" w:line="276" w:lineRule="auto"/>
        <w:ind w:firstLine="708"/>
        <w:jc w:val="both"/>
        <w:rPr>
          <w:rFonts w:ascii="Verdana" w:eastAsia="Calibri" w:hAnsi="Verdana" w:cs="Arial"/>
          <w:bCs/>
          <w:lang w:val="es-MX"/>
        </w:rPr>
      </w:pPr>
      <w:r w:rsidRPr="00A12F8E">
        <w:rPr>
          <w:rFonts w:ascii="Verdana" w:eastAsia="Calibri" w:hAnsi="Verdana" w:cs="Arial"/>
          <w:bCs/>
          <w:lang w:val="es-MX" w:eastAsia="es-ES_tradnl"/>
        </w:rPr>
        <w:t>El Estatuto General de Contratación de la Administración Pública –</w:t>
      </w:r>
      <w:r>
        <w:rPr>
          <w:rFonts w:ascii="Verdana" w:eastAsia="Calibri" w:hAnsi="Verdana" w:cs="Arial"/>
          <w:bCs/>
          <w:lang w:val="es-MX" w:eastAsia="es-ES_tradnl"/>
        </w:rPr>
        <w:t xml:space="preserve">en adelante </w:t>
      </w:r>
      <w:r w:rsidRPr="00A12F8E">
        <w:rPr>
          <w:rFonts w:ascii="Verdana" w:eastAsia="Calibri" w:hAnsi="Verdana" w:cs="Arial"/>
          <w:bCs/>
          <w:lang w:val="es-MX" w:eastAsia="es-ES_tradnl"/>
        </w:rPr>
        <w:t>EGCAP–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w:t>
      </w:r>
      <w:r w:rsidRPr="00EB3579">
        <w:rPr>
          <w:rFonts w:ascii="Verdana" w:eastAsia="Calibri" w:hAnsi="Verdana" w:cs="Arial"/>
          <w:bCs/>
          <w:lang w:val="es-MX"/>
        </w:rPr>
        <w:t xml:space="preserve"> </w:t>
      </w:r>
      <w:r>
        <w:rPr>
          <w:rFonts w:ascii="Verdana" w:eastAsia="Calibri" w:hAnsi="Verdana" w:cs="Arial"/>
          <w:bCs/>
          <w:lang w:val="es-MX"/>
        </w:rPr>
        <w:t xml:space="preserve">Así, por ejemplo, </w:t>
      </w:r>
      <w:r w:rsidRPr="00AD4F6A">
        <w:rPr>
          <w:rFonts w:ascii="Verdana" w:eastAsia="Calibri" w:hAnsi="Verdana" w:cs="Arial"/>
          <w:bCs/>
          <w:lang w:val="es-MX"/>
        </w:rPr>
        <w:t>el artículo 25 de la Ley 80 de 1993</w:t>
      </w:r>
      <w:r>
        <w:rPr>
          <w:rFonts w:ascii="Verdana" w:eastAsia="Calibri" w:hAnsi="Verdana" w:cs="Arial"/>
          <w:bCs/>
          <w:lang w:val="es-MX"/>
        </w:rPr>
        <w:t xml:space="preserve"> dispone que, en virtud del principio de economía</w:t>
      </w:r>
      <w:r w:rsidRPr="00AD4F6A">
        <w:rPr>
          <w:rFonts w:ascii="Verdana" w:eastAsia="Calibri" w:hAnsi="Verdana" w:cs="Arial"/>
          <w:bCs/>
          <w:lang w:val="es-MX"/>
        </w:rPr>
        <w:t xml:space="preserve">: </w:t>
      </w:r>
    </w:p>
    <w:p w14:paraId="5C68563A" w14:textId="77777777" w:rsidR="00F90CEA" w:rsidRPr="004550BA" w:rsidRDefault="00F90CEA" w:rsidP="00F90CEA">
      <w:pPr>
        <w:spacing w:after="0" w:line="276" w:lineRule="auto"/>
        <w:ind w:firstLine="708"/>
        <w:jc w:val="both"/>
        <w:rPr>
          <w:rFonts w:ascii="Verdana" w:eastAsia="Calibri" w:hAnsi="Verdana" w:cs="Arial"/>
          <w:bCs/>
          <w:lang w:val="es-MX"/>
        </w:rPr>
      </w:pPr>
    </w:p>
    <w:p w14:paraId="29C0D8F2" w14:textId="77777777" w:rsidR="00F90CEA" w:rsidRPr="0036745E" w:rsidRDefault="00F90CEA" w:rsidP="00F90CEA">
      <w:pPr>
        <w:spacing w:after="0" w:line="240" w:lineRule="auto"/>
        <w:ind w:left="709" w:right="709"/>
        <w:jc w:val="both"/>
        <w:rPr>
          <w:rFonts w:ascii="Verdana" w:eastAsia="Calibri" w:hAnsi="Verdana" w:cs="Arial"/>
          <w:sz w:val="20"/>
          <w:szCs w:val="20"/>
          <w:u w:val="single"/>
          <w:lang w:val="es-MX"/>
        </w:rPr>
      </w:pPr>
      <w:r w:rsidRPr="0036745E">
        <w:rPr>
          <w:rFonts w:ascii="Verdana" w:eastAsia="Calibri" w:hAnsi="Verdana" w:cs="Arial"/>
          <w:sz w:val="20"/>
          <w:szCs w:val="20"/>
          <w:lang w:val="es-MX"/>
        </w:rPr>
        <w:t xml:space="preserve">7o. La conveniencia o inconveniencia del objeto a contratar </w:t>
      </w:r>
      <w:r w:rsidRPr="0036745E">
        <w:rPr>
          <w:rFonts w:ascii="Verdana" w:eastAsia="Calibri" w:hAnsi="Verdana" w:cs="Arial"/>
          <w:sz w:val="20"/>
          <w:szCs w:val="20"/>
          <w:u w:val="single"/>
          <w:lang w:val="es-MX"/>
        </w:rPr>
        <w:t>y las autorizaciones y aprobaciones para ello, se analizarán o impartirán con antelación al inicio del proceso de selección del contratista o al de la firma del contrato, según el caso.</w:t>
      </w:r>
    </w:p>
    <w:p w14:paraId="664F88A3" w14:textId="77777777" w:rsidR="00F90CEA" w:rsidRPr="0036745E" w:rsidRDefault="00F90CEA" w:rsidP="00F90CEA">
      <w:pPr>
        <w:spacing w:after="0" w:line="240" w:lineRule="auto"/>
        <w:ind w:left="709" w:right="709"/>
        <w:jc w:val="both"/>
        <w:rPr>
          <w:rFonts w:ascii="Verdana" w:eastAsia="Calibri" w:hAnsi="Verdana" w:cs="Arial"/>
          <w:sz w:val="20"/>
          <w:szCs w:val="20"/>
          <w:u w:val="single"/>
          <w:lang w:val="es-MX"/>
        </w:rPr>
      </w:pPr>
    </w:p>
    <w:p w14:paraId="1439D56C" w14:textId="77777777" w:rsidR="00F90CEA" w:rsidRPr="0036745E" w:rsidRDefault="00F90CEA" w:rsidP="00F90CEA">
      <w:pPr>
        <w:spacing w:after="0" w:line="240" w:lineRule="auto"/>
        <w:ind w:left="709" w:right="709"/>
        <w:jc w:val="both"/>
        <w:rPr>
          <w:rFonts w:ascii="Verdana" w:eastAsia="Calibri" w:hAnsi="Verdana" w:cs="Arial"/>
          <w:sz w:val="20"/>
          <w:szCs w:val="20"/>
          <w:lang w:val="es-MX"/>
        </w:rPr>
      </w:pPr>
      <w:r w:rsidRPr="0036745E">
        <w:rPr>
          <w:rFonts w:ascii="Verdana" w:eastAsia="Calibri" w:hAnsi="Verdana" w:cs="Arial"/>
          <w:sz w:val="20"/>
          <w:szCs w:val="20"/>
          <w:lang w:val="es-MX"/>
        </w:rPr>
        <w:t>[…]</w:t>
      </w:r>
    </w:p>
    <w:p w14:paraId="09BD3B8C" w14:textId="77777777" w:rsidR="00F90CEA" w:rsidRPr="0036745E" w:rsidRDefault="00F90CEA" w:rsidP="00F90CEA">
      <w:pPr>
        <w:spacing w:after="0" w:line="240" w:lineRule="auto"/>
        <w:ind w:left="709" w:right="709"/>
        <w:jc w:val="both"/>
        <w:rPr>
          <w:rFonts w:ascii="Verdana" w:eastAsia="Calibri" w:hAnsi="Verdana" w:cs="Arial"/>
          <w:sz w:val="20"/>
          <w:szCs w:val="20"/>
          <w:lang w:val="es-MX"/>
        </w:rPr>
      </w:pPr>
      <w:r w:rsidRPr="0036745E">
        <w:rPr>
          <w:rFonts w:ascii="Verdana" w:eastAsia="Calibri" w:hAnsi="Verdana" w:cs="Arial"/>
          <w:sz w:val="20"/>
          <w:szCs w:val="20"/>
          <w:lang w:val="es-MX"/>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3BA21CE3" w14:textId="77777777" w:rsidR="00F90CEA" w:rsidRPr="0036745E" w:rsidRDefault="00F90CEA" w:rsidP="00F90CEA">
      <w:pPr>
        <w:spacing w:after="0" w:line="240" w:lineRule="auto"/>
        <w:ind w:left="709" w:right="709"/>
        <w:jc w:val="both"/>
        <w:rPr>
          <w:rFonts w:ascii="Verdana" w:eastAsia="Calibri" w:hAnsi="Verdana" w:cs="Arial"/>
          <w:sz w:val="20"/>
          <w:szCs w:val="20"/>
          <w:lang w:val="es-MX"/>
        </w:rPr>
      </w:pPr>
      <w:r w:rsidRPr="0036745E">
        <w:rPr>
          <w:rFonts w:ascii="Verdana" w:eastAsia="Calibri" w:hAnsi="Verdana" w:cs="Arial"/>
          <w:sz w:val="20"/>
          <w:szCs w:val="20"/>
          <w:lang w:val="es-MX"/>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r w:rsidRPr="0036745E">
        <w:rPr>
          <w:rFonts w:ascii="Verdana" w:hAnsi="Verdana" w:cs="Arial"/>
          <w:sz w:val="20"/>
          <w:szCs w:val="20"/>
        </w:rPr>
        <w:t xml:space="preserve"> […].</w:t>
      </w:r>
    </w:p>
    <w:p w14:paraId="553AFEB0" w14:textId="77777777" w:rsidR="00F90CEA" w:rsidRDefault="00F90CEA" w:rsidP="00F90CEA">
      <w:pPr>
        <w:tabs>
          <w:tab w:val="left" w:pos="426"/>
        </w:tabs>
        <w:spacing w:after="120" w:line="276" w:lineRule="auto"/>
        <w:jc w:val="both"/>
        <w:rPr>
          <w:rFonts w:ascii="Verdana" w:eastAsia="Calibri" w:hAnsi="Verdana" w:cs="Arial"/>
          <w:bCs/>
          <w:lang w:val="es-MX" w:eastAsia="es-ES_tradnl"/>
        </w:rPr>
      </w:pPr>
    </w:p>
    <w:p w14:paraId="5349980D" w14:textId="77777777" w:rsidR="00F90CEA" w:rsidRDefault="00F90CEA" w:rsidP="00F90CEA">
      <w:pPr>
        <w:spacing w:after="0"/>
        <w:ind w:firstLine="709"/>
        <w:jc w:val="both"/>
        <w:rPr>
          <w:rFonts w:ascii="Verdana" w:hAnsi="Verdana" w:cs="Arial"/>
        </w:rPr>
      </w:pPr>
      <w:r w:rsidRPr="00AD4F6A">
        <w:rPr>
          <w:rFonts w:ascii="Verdana" w:hAnsi="Verdana" w:cs="Arial"/>
        </w:rPr>
        <w:t xml:space="preserve">Lo anterior permitirá a la entidad estatal identificar desde el punto de vista técnico y financiero el objeto del contrato, las particularidades de su ejecución, los potenciales proponentes, requisitos mínimos para evaluar la idoneidad del </w:t>
      </w:r>
      <w:r w:rsidRPr="00AD4F6A">
        <w:rPr>
          <w:rFonts w:ascii="Verdana" w:hAnsi="Verdana" w:cs="Arial"/>
        </w:rPr>
        <w:lastRenderedPageBreak/>
        <w:t>contratista, así como analizar todas las variables que puedan afectar el procedimiento de selección, celebración y ejecución del contrato. Tal es la importancia de los estudios y documentos previos que su deficiencia o ausencia,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Pr>
          <w:rFonts w:ascii="Verdana" w:hAnsi="Verdana" w:cs="Arial"/>
        </w:rPr>
        <w:t>”</w:t>
      </w:r>
      <w:r>
        <w:rPr>
          <w:rStyle w:val="FootnoteReference"/>
          <w:rFonts w:ascii="Verdana" w:hAnsi="Verdana" w:cs="Arial"/>
        </w:rPr>
        <w:footnoteReference w:id="3"/>
      </w:r>
    </w:p>
    <w:p w14:paraId="495B1D10" w14:textId="77777777" w:rsidR="00F90CEA" w:rsidRDefault="00F90CEA" w:rsidP="00F90CEA">
      <w:pPr>
        <w:spacing w:before="120" w:after="0" w:line="276" w:lineRule="auto"/>
        <w:ind w:firstLine="709"/>
        <w:jc w:val="both"/>
        <w:rPr>
          <w:rFonts w:ascii="Verdana" w:hAnsi="Verdana" w:cs="Arial"/>
        </w:rPr>
      </w:pPr>
      <w:r w:rsidRPr="00AD4F6A">
        <w:rPr>
          <w:rFonts w:ascii="Verdana" w:hAnsi="Verdana" w:cs="Arial"/>
        </w:rPr>
        <w:t>En congruencia con el artículo 25 de la Ley 80 de 1993, el Decreto Único Reglamentario del Sector Administrativo de Planeación Nacional –Decreto 1082 de 2015–, dispone en el artículo 2.2.1.1.2.1.1 el contenido mínimo de los estudios y documentos previos:</w:t>
      </w:r>
    </w:p>
    <w:p w14:paraId="4776CFB2" w14:textId="77777777" w:rsidR="00F90CEA" w:rsidRPr="00AD4F6A" w:rsidRDefault="00F90CEA" w:rsidP="00F90CEA">
      <w:pPr>
        <w:spacing w:after="0" w:line="276" w:lineRule="auto"/>
        <w:ind w:firstLine="709"/>
        <w:jc w:val="both"/>
        <w:rPr>
          <w:rFonts w:ascii="Verdana" w:hAnsi="Verdana" w:cs="Arial"/>
        </w:rPr>
      </w:pPr>
    </w:p>
    <w:p w14:paraId="340AB42F" w14:textId="77777777" w:rsidR="00F90CEA" w:rsidRPr="0036745E" w:rsidRDefault="00F90CEA" w:rsidP="00F90CEA">
      <w:pPr>
        <w:spacing w:after="0" w:line="240" w:lineRule="auto"/>
        <w:ind w:left="709" w:right="709"/>
        <w:jc w:val="both"/>
        <w:rPr>
          <w:rFonts w:ascii="Verdana" w:hAnsi="Verdana" w:cs="Arial"/>
          <w:sz w:val="20"/>
          <w:szCs w:val="20"/>
        </w:rPr>
      </w:pPr>
      <w:r>
        <w:rPr>
          <w:rFonts w:ascii="Verdana" w:hAnsi="Verdana" w:cs="Arial"/>
          <w:sz w:val="20"/>
          <w:szCs w:val="20"/>
        </w:rPr>
        <w:t>“</w:t>
      </w:r>
      <w:r w:rsidRPr="0036745E">
        <w:rPr>
          <w:rFonts w:ascii="Verdana" w:hAnsi="Verdana" w:cs="Arial"/>
          <w:sz w:val="20"/>
          <w:szCs w:val="20"/>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19AF44B8" w14:textId="77777777" w:rsidR="00F90CEA" w:rsidRPr="0036745E" w:rsidRDefault="00F90CEA" w:rsidP="00F90CEA">
      <w:pPr>
        <w:spacing w:after="0" w:line="240" w:lineRule="auto"/>
        <w:ind w:left="709" w:right="709"/>
        <w:jc w:val="both"/>
        <w:rPr>
          <w:rFonts w:ascii="Verdana" w:hAnsi="Verdana" w:cs="Arial"/>
          <w:sz w:val="20"/>
          <w:szCs w:val="20"/>
        </w:rPr>
      </w:pPr>
      <w:r w:rsidRPr="0036745E">
        <w:rPr>
          <w:rFonts w:ascii="Verdana" w:hAnsi="Verdana" w:cs="Arial"/>
          <w:sz w:val="20"/>
          <w:szCs w:val="20"/>
        </w:rPr>
        <w:t xml:space="preserve">1. </w:t>
      </w:r>
      <w:r w:rsidRPr="0036745E">
        <w:rPr>
          <w:rFonts w:ascii="Verdana" w:eastAsia="Calibri" w:hAnsi="Verdana" w:cs="Arial"/>
          <w:bCs/>
          <w:color w:val="000000" w:themeColor="text1"/>
          <w:sz w:val="20"/>
          <w:szCs w:val="20"/>
        </w:rPr>
        <w:t xml:space="preserve">La descripción de la necesidad que la Entidad Estatal pretende satisfacer con el Proceso de Contratación. </w:t>
      </w:r>
    </w:p>
    <w:p w14:paraId="73EC11EB"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2. El objeto a contratar, con sus especificaciones, las autorizaciones, permisos y licencias requeridos para su ejecución, y cuando el contrato incluye diseño y construcción, los documentos técnicos para el desarrollo del proyecto. </w:t>
      </w:r>
    </w:p>
    <w:p w14:paraId="427864B9"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3. La modalidad de selección del contratista y su justificación, incluyendo los fundamentos jurídicos. </w:t>
      </w:r>
    </w:p>
    <w:p w14:paraId="1FBCECE5"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4. El valor estimado del contrato y la justificación del mismo. Cuando el valor del contrato esté determinado por precios unitarios, la Entidad Estatal debe incluir la forma como los calculó y soportar sus cálculos presupuesta les en la estimación de aquellos. Si el contrato es de concesión, la Entidad Estatal no debe publicar el modelo financiero utilizado en su estructuración. </w:t>
      </w:r>
    </w:p>
    <w:p w14:paraId="2DD8BEF2"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5. El análisis de los impactos económicos, sociales y ambientales, directos e indirectos, asociados a cada etapa del Ciclo de Vida del bien, obra o servicio a contratar, entre otros. </w:t>
      </w:r>
    </w:p>
    <w:p w14:paraId="6F2214C4" w14:textId="1F76FB2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6. El análisis e identificación de las alternativas que promuevan la sostenibilidad social, ambiental y económica que pueden ser incluidas en el Proceso de Contratación. Este análisis incluirá una evaluación de la capacidad del mercado para cumplir con los criterios y/o obligaciones de sostenibilidad que se pretendan incorporar. </w:t>
      </w:r>
    </w:p>
    <w:p w14:paraId="09838EA7"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lastRenderedPageBreak/>
        <w:t xml:space="preserve">7. Los criterios para seleccionar la oferta más favorable, incluyendo los criterios ambientales y sociales que identifique la entidad según cada etapa del Ciclo de Vida del bien, obra o servicio. </w:t>
      </w:r>
    </w:p>
    <w:p w14:paraId="1704626E"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8. El análisis de Riesgo y la forma de mitigarlo. </w:t>
      </w:r>
    </w:p>
    <w:p w14:paraId="1E40CD8F"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9. Las garantías que la Entidad Estatal contempla exigir en el Proceso de Contratación. </w:t>
      </w:r>
    </w:p>
    <w:p w14:paraId="371AB83F"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rPr>
        <w:t xml:space="preserve">10. La indicación de si el Proceso de Contratación está cobijado por un acuerdo comercial. </w:t>
      </w:r>
    </w:p>
    <w:p w14:paraId="171B25CD" w14:textId="77777777" w:rsidR="00F90CEA" w:rsidRPr="0036745E" w:rsidRDefault="00F90CEA" w:rsidP="00F90CEA">
      <w:pPr>
        <w:pStyle w:val="ListParagraph"/>
        <w:spacing w:after="0" w:line="240" w:lineRule="auto"/>
        <w:ind w:left="709" w:right="709"/>
        <w:jc w:val="both"/>
        <w:rPr>
          <w:rFonts w:ascii="Verdana" w:hAnsi="Verdana" w:cs="Arial"/>
          <w:sz w:val="20"/>
          <w:szCs w:val="20"/>
        </w:rPr>
      </w:pPr>
      <w:r w:rsidRPr="0036745E">
        <w:rPr>
          <w:rFonts w:ascii="Verdana" w:eastAsia="Calibri" w:hAnsi="Verdana" w:cs="Arial"/>
          <w:bCs/>
          <w:color w:val="000000" w:themeColor="text1"/>
          <w:sz w:val="20"/>
          <w:szCs w:val="20"/>
        </w:rPr>
        <w:t>El presente artículo no es aplicable a la contratación por mínima cuantía.</w:t>
      </w:r>
    </w:p>
    <w:p w14:paraId="0785E5F2" w14:textId="77777777" w:rsidR="00F90CEA" w:rsidRPr="0036745E" w:rsidRDefault="00F90CEA" w:rsidP="00F90CEA">
      <w:pPr>
        <w:pStyle w:val="ListParagraph"/>
        <w:spacing w:after="0" w:line="240" w:lineRule="auto"/>
        <w:ind w:left="709" w:right="709"/>
        <w:jc w:val="both"/>
        <w:rPr>
          <w:rFonts w:ascii="Verdana" w:eastAsia="Calibri" w:hAnsi="Verdana" w:cs="Arial"/>
          <w:bCs/>
          <w:color w:val="000000" w:themeColor="text1"/>
          <w:sz w:val="20"/>
          <w:szCs w:val="20"/>
        </w:rPr>
      </w:pPr>
      <w:r w:rsidRPr="0036745E">
        <w:rPr>
          <w:rFonts w:ascii="Verdana" w:eastAsia="Calibri" w:hAnsi="Verdana" w:cs="Arial"/>
          <w:bCs/>
          <w:color w:val="000000" w:themeColor="text1"/>
          <w:sz w:val="20"/>
          <w:szCs w:val="20"/>
          <w:lang w:val="es-CO"/>
        </w:rPr>
        <w:t>Parágrafo. La Entidad Estatal deberá justificar en los Documentos del Proceso la decisión de no incluir criterios o cláusulas ambientales o sociales con fundamento en los resultados del estudio previo".</w:t>
      </w:r>
    </w:p>
    <w:p w14:paraId="36D3186E" w14:textId="77777777" w:rsidR="00F90CEA" w:rsidRPr="00A220B2" w:rsidRDefault="00F90CEA" w:rsidP="00F90CEA">
      <w:pPr>
        <w:tabs>
          <w:tab w:val="left" w:pos="426"/>
        </w:tabs>
        <w:spacing w:after="0" w:line="276" w:lineRule="auto"/>
        <w:jc w:val="both"/>
        <w:rPr>
          <w:rFonts w:ascii="Verdana" w:hAnsi="Verdana"/>
          <w:lang w:val="es-ES"/>
        </w:rPr>
      </w:pPr>
    </w:p>
    <w:p w14:paraId="5B5D118C" w14:textId="77777777" w:rsidR="00F90CEA" w:rsidRDefault="00F90CEA" w:rsidP="00F90CEA">
      <w:pPr>
        <w:spacing w:after="0"/>
        <w:ind w:firstLine="709"/>
        <w:jc w:val="both"/>
        <w:rPr>
          <w:rFonts w:ascii="Verdana" w:hAnsi="Verdana" w:cs="Arial"/>
        </w:rPr>
      </w:pPr>
      <w:r w:rsidRPr="00AD4F6A">
        <w:rPr>
          <w:rFonts w:ascii="Verdana" w:hAnsi="Verdana" w:cs="Arial"/>
        </w:rPr>
        <w:t xml:space="preserve">De esta manera, antes de iniciar un procedimiento de selección, la entidad estatal podrá determinar con los estudios previos: i) la verdadera necesidad de la celebración del contrato; </w:t>
      </w:r>
      <w:proofErr w:type="spellStart"/>
      <w:r w:rsidRPr="00AD4F6A">
        <w:rPr>
          <w:rFonts w:ascii="Verdana" w:hAnsi="Verdana" w:cs="Arial"/>
        </w:rPr>
        <w:t>ii</w:t>
      </w:r>
      <w:proofErr w:type="spellEnd"/>
      <w:r w:rsidRPr="00AD4F6A">
        <w:rPr>
          <w:rFonts w:ascii="Verdana" w:hAnsi="Verdana" w:cs="Arial"/>
        </w:rPr>
        <w:t xml:space="preserve">) las modalidades existentes para satisfacer esa necesidad y las razones que justifiquen la modalidad o tipo contractual que se escoja; </w:t>
      </w:r>
      <w:proofErr w:type="spellStart"/>
      <w:r w:rsidRPr="00AD4F6A">
        <w:rPr>
          <w:rFonts w:ascii="Verdana" w:hAnsi="Verdana" w:cs="Arial"/>
        </w:rPr>
        <w:t>iii</w:t>
      </w:r>
      <w:proofErr w:type="spellEnd"/>
      <w:r w:rsidRPr="00AD4F6A">
        <w:rPr>
          <w:rFonts w:ascii="Verdana" w:hAnsi="Verdana" w:cs="Arial"/>
        </w:rPr>
        <w:t xml:space="preserve">) las calidades, especificaciones, cantidades y demás características que puedan o deban reunir los bienes, las obras o los servicios cuya contratación se haya determinado necesaria, </w:t>
      </w:r>
      <w:proofErr w:type="spellStart"/>
      <w:r w:rsidRPr="00AD4F6A">
        <w:rPr>
          <w:rFonts w:ascii="Verdana" w:hAnsi="Verdana" w:cs="Arial"/>
        </w:rPr>
        <w:t>iv</w:t>
      </w:r>
      <w:proofErr w:type="spellEnd"/>
      <w:r w:rsidRPr="00AD4F6A">
        <w:rPr>
          <w:rFonts w:ascii="Verdana" w:hAnsi="Verdana" w:cs="Arial"/>
        </w:rPr>
        <w:t>)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w:t>
      </w:r>
      <w:r>
        <w:rPr>
          <w:rFonts w:ascii="Verdana" w:hAnsi="Verdana" w:cs="Arial"/>
        </w:rPr>
        <w:t>;</w:t>
      </w:r>
      <w:r w:rsidRPr="00AD4F6A">
        <w:rPr>
          <w:rFonts w:ascii="Verdana" w:hAnsi="Verdana" w:cs="Arial"/>
        </w:rPr>
        <w:t xml:space="preserve"> y </w:t>
      </w:r>
      <w:proofErr w:type="spellStart"/>
      <w:r w:rsidRPr="00AD4F6A">
        <w:rPr>
          <w:rFonts w:ascii="Verdana" w:hAnsi="Verdana" w:cs="Arial"/>
        </w:rPr>
        <w:t>vii</w:t>
      </w:r>
      <w:proofErr w:type="spellEnd"/>
      <w:r w:rsidRPr="00AD4F6A">
        <w:rPr>
          <w:rFonts w:ascii="Verdana" w:hAnsi="Verdana" w:cs="Arial"/>
        </w:rPr>
        <w:t xml:space="preserve">) </w:t>
      </w:r>
      <w:r w:rsidRPr="001E14C0">
        <w:rPr>
          <w:rFonts w:ascii="Verdana" w:hAnsi="Verdana" w:cs="Arial"/>
          <w:i/>
          <w:iCs/>
        </w:rPr>
        <w:t>los procedimientos, trámites y requisitos que deban satisfacerse, reunirse u obtenerse para llevar a cabo la selección del respectivo contratista y la celebración del contrato que se pretenda celebrar</w:t>
      </w:r>
      <w:r w:rsidRPr="00AD4F6A">
        <w:rPr>
          <w:rFonts w:ascii="Verdana" w:hAnsi="Verdana" w:cs="Arial"/>
        </w:rPr>
        <w:t>.</w:t>
      </w:r>
    </w:p>
    <w:p w14:paraId="1C76FCAE" w14:textId="77777777" w:rsidR="00F90CEA" w:rsidRPr="00A15705" w:rsidRDefault="00F90CEA" w:rsidP="00F90CEA">
      <w:pPr>
        <w:spacing w:before="120" w:after="120" w:line="276" w:lineRule="auto"/>
        <w:ind w:firstLine="709"/>
        <w:jc w:val="both"/>
        <w:rPr>
          <w:rFonts w:ascii="Verdana" w:hAnsi="Verdana" w:cs="Arial"/>
        </w:rPr>
      </w:pPr>
      <w:r>
        <w:rPr>
          <w:rFonts w:ascii="Verdana" w:hAnsi="Verdana" w:cs="Arial"/>
        </w:rPr>
        <w:t xml:space="preserve">El cumplimiento por parte de las </w:t>
      </w:r>
      <w:r w:rsidRPr="00AD4F6A">
        <w:rPr>
          <w:rFonts w:ascii="Verdana" w:hAnsi="Verdana" w:cs="Arial"/>
        </w:rPr>
        <w:t xml:space="preserve">entidades </w:t>
      </w:r>
      <w:r>
        <w:rPr>
          <w:rFonts w:ascii="Verdana" w:hAnsi="Verdana" w:cs="Arial"/>
        </w:rPr>
        <w:t xml:space="preserve">de </w:t>
      </w:r>
      <w:r w:rsidRPr="00AD4F6A">
        <w:rPr>
          <w:rFonts w:ascii="Verdana" w:hAnsi="Verdana" w:cs="Arial"/>
        </w:rPr>
        <w:t>los elementos mínimos establecidos en la norma</w:t>
      </w:r>
      <w:r>
        <w:rPr>
          <w:rFonts w:ascii="Verdana" w:hAnsi="Verdana" w:cs="Arial"/>
        </w:rPr>
        <w:t>,</w:t>
      </w:r>
      <w:r w:rsidRPr="00AD4F6A">
        <w:rPr>
          <w:rFonts w:ascii="Verdana" w:hAnsi="Verdana" w:cs="Arial"/>
        </w:rPr>
        <w:t xml:space="preserve"> y </w:t>
      </w:r>
      <w:r>
        <w:rPr>
          <w:rFonts w:ascii="Verdana" w:hAnsi="Verdana" w:cs="Arial"/>
        </w:rPr>
        <w:t xml:space="preserve">de </w:t>
      </w:r>
      <w:r w:rsidRPr="00AD4F6A">
        <w:rPr>
          <w:rFonts w:ascii="Verdana" w:hAnsi="Verdana" w:cs="Arial"/>
        </w:rPr>
        <w:t xml:space="preserve">aquellos adicionales que identifiquen en la etapa de planeación de los </w:t>
      </w:r>
      <w:r w:rsidRPr="00AD4F6A">
        <w:rPr>
          <w:rFonts w:ascii="Verdana" w:eastAsia="Calibri" w:hAnsi="Verdana" w:cs="Arial"/>
          <w:bCs/>
          <w:lang w:val="es-ES_tradnl"/>
        </w:rPr>
        <w:t>procedimientos de contratación, permite que los contratos resultantes cuenten</w:t>
      </w:r>
      <w:r>
        <w:rPr>
          <w:rFonts w:ascii="Verdana" w:eastAsia="Calibri" w:hAnsi="Verdana" w:cs="Arial"/>
          <w:bCs/>
          <w:lang w:val="es-ES_tradnl"/>
        </w:rPr>
        <w:t xml:space="preserve"> </w:t>
      </w:r>
      <w:r w:rsidRPr="00AD4F6A">
        <w:rPr>
          <w:rFonts w:ascii="Verdana" w:eastAsia="Calibri" w:hAnsi="Verdana" w:cs="Arial"/>
          <w:bCs/>
          <w:lang w:val="es-ES_tradnl"/>
        </w:rPr>
        <w:t xml:space="preserve">con el sustento técnico, económico y jurídico que incidirá </w:t>
      </w:r>
      <w:r w:rsidRPr="00AD4F6A">
        <w:rPr>
          <w:rFonts w:ascii="Verdana" w:hAnsi="Verdana" w:cs="Arial"/>
        </w:rPr>
        <w:t>en una adecuada ejecución.</w:t>
      </w:r>
    </w:p>
    <w:p w14:paraId="25B5A42B" w14:textId="390AF3C3" w:rsidR="00451551" w:rsidRPr="00A15705" w:rsidRDefault="00451551" w:rsidP="00F90CEA">
      <w:pPr>
        <w:spacing w:before="120" w:after="120" w:line="276" w:lineRule="auto"/>
        <w:ind w:firstLine="709"/>
        <w:jc w:val="both"/>
        <w:rPr>
          <w:rFonts w:ascii="Verdana" w:hAnsi="Verdana" w:cs="Arial"/>
        </w:rPr>
      </w:pPr>
      <w:r w:rsidRPr="00451551">
        <w:rPr>
          <w:rFonts w:ascii="Verdana" w:hAnsi="Verdana" w:cs="Arial"/>
        </w:rPr>
        <w:t xml:space="preserve">En esa dirección, el Consejo de Estado ha entendido la planeación como manifestación del principio de economía, dirigida a asegurar que todo proyecto esté precedido de los estudios técnicos, financieros y jurídicos que establezcan </w:t>
      </w:r>
      <w:r w:rsidRPr="00451551">
        <w:rPr>
          <w:rFonts w:ascii="Verdana" w:hAnsi="Verdana" w:cs="Arial"/>
        </w:rPr>
        <w:lastRenderedPageBreak/>
        <w:t>su viabilidad y la conveniencia del objeto a contratar</w:t>
      </w:r>
      <w:r w:rsidR="00666716">
        <w:rPr>
          <w:rStyle w:val="FootnoteReference"/>
          <w:rFonts w:ascii="Verdana" w:hAnsi="Verdana" w:cs="Arial"/>
        </w:rPr>
        <w:footnoteReference w:id="4"/>
      </w:r>
      <w:r w:rsidRPr="00451551">
        <w:rPr>
          <w:rFonts w:ascii="Verdana" w:hAnsi="Verdana" w:cs="Arial"/>
        </w:rPr>
        <w:t>. La jurisprudencia ha sido especialmente estricta cuando la entidad celebra el contrato a sabiendas de que este no podrá ejecutarse desde el inicio por no haberse gestionado condiciones indispensables previas —como la disponibilidad de los predios o las autorizaciones requeridas—: en tales eventos ha llegado a declarar la nulidad absoluta por ilicitud del objeto derivada de la elusión del deber de planear</w:t>
      </w:r>
      <w:r w:rsidR="002A07F7">
        <w:rPr>
          <w:rStyle w:val="FootnoteReference"/>
          <w:rFonts w:ascii="Verdana" w:hAnsi="Verdana" w:cs="Arial"/>
        </w:rPr>
        <w:footnoteReference w:id="5"/>
      </w:r>
      <w:r w:rsidRPr="00451551">
        <w:rPr>
          <w:rFonts w:ascii="Verdana" w:hAnsi="Verdana" w:cs="Arial"/>
        </w:rPr>
        <w:t>. Con todo, una línea posterior matiza esa consecuencia y reconduce buena parte de esas deficiencias al terreno del incumplimiento contractual antes que al de la nulidad, atendiendo al carácter bifronte del deber de planeación, que también impone cargas a los interesados en participar</w:t>
      </w:r>
      <w:r w:rsidR="005E1EE4">
        <w:rPr>
          <w:rStyle w:val="FootnoteReference"/>
          <w:rFonts w:ascii="Verdana" w:hAnsi="Verdana" w:cs="Arial"/>
        </w:rPr>
        <w:footnoteReference w:id="6"/>
      </w:r>
      <w:r w:rsidRPr="00451551">
        <w:rPr>
          <w:rFonts w:ascii="Verdana" w:hAnsi="Verdana" w:cs="Arial"/>
        </w:rPr>
        <w:t>. Con independencia de la calificación que en cada caso corresponda, el precedente confirma que la ausencia de las habilitaciones necesarias para ejecutar el objeto no es un asunto menor de trámite, sino un factor que la entidad debe prever y resolver en la etapa precontractual.</w:t>
      </w:r>
    </w:p>
    <w:p w14:paraId="1BC86A5E" w14:textId="77777777" w:rsidR="00F90CEA" w:rsidRDefault="00F90CEA" w:rsidP="00F90CEA">
      <w:pPr>
        <w:spacing w:after="120" w:line="276" w:lineRule="auto"/>
        <w:ind w:right="102" w:firstLine="709"/>
        <w:jc w:val="both"/>
        <w:rPr>
          <w:rFonts w:ascii="Verdana" w:eastAsia="Times New Roman" w:hAnsi="Verdana" w:cs="Arial"/>
          <w:lang w:val="es-ES_tradnl" w:eastAsia="es-MX"/>
        </w:rPr>
      </w:pPr>
      <w:r w:rsidRPr="009225F7">
        <w:rPr>
          <w:rFonts w:ascii="Verdana" w:eastAsia="Times New Roman" w:hAnsi="Verdana" w:cs="Arial"/>
          <w:lang w:val="es-ES_tradnl" w:eastAsia="es-MX"/>
        </w:rPr>
        <w:t>Más allá del cumplimiento de la normativa, “los estudios y documentos previos son el soporte para elaborar el proyecto de pliegos, los pliegos de condiciones, y el contrato</w:t>
      </w:r>
      <w:r>
        <w:rPr>
          <w:rFonts w:ascii="Verdana" w:eastAsia="Times New Roman" w:hAnsi="Verdana" w:cs="Arial"/>
          <w:lang w:val="es-ES_tradnl" w:eastAsia="es-MX"/>
        </w:rPr>
        <w:t>”</w:t>
      </w:r>
      <w:r>
        <w:rPr>
          <w:rStyle w:val="FootnoteReference"/>
          <w:rFonts w:ascii="Verdana" w:eastAsia="Times New Roman" w:hAnsi="Verdana" w:cs="Arial"/>
          <w:lang w:val="es-ES_tradnl" w:eastAsia="es-MX"/>
        </w:rPr>
        <w:footnoteReference w:id="7"/>
      </w:r>
      <w:r>
        <w:rPr>
          <w:rFonts w:ascii="Verdana" w:eastAsia="Times New Roman" w:hAnsi="Verdana" w:cs="Arial"/>
          <w:lang w:val="es-ES_tradnl" w:eastAsia="es-MX"/>
        </w:rPr>
        <w:t xml:space="preserve">, </w:t>
      </w:r>
      <w:r w:rsidRPr="009225F7">
        <w:rPr>
          <w:rFonts w:ascii="Verdana" w:eastAsia="Times New Roman" w:hAnsi="Verdana" w:cs="Arial"/>
          <w:lang w:val="es-ES_tradnl" w:eastAsia="es-MX"/>
        </w:rPr>
        <w:t>por lo que deben publicarse en la etapa precontractual y sirven de motivación para los documentos expedidos unilateralmente por la Entidad Estatal tales como el acto administrativo de apertura, los pliegos de condiciones y el acto de adjudicación, entre otros.</w:t>
      </w:r>
    </w:p>
    <w:p w14:paraId="72A552BD" w14:textId="77777777" w:rsidR="00F90CEA" w:rsidRDefault="00F90CEA" w:rsidP="00F90CEA">
      <w:pPr>
        <w:spacing w:after="120" w:line="276" w:lineRule="auto"/>
        <w:ind w:firstLine="708"/>
        <w:jc w:val="both"/>
        <w:rPr>
          <w:rFonts w:ascii="Verdana" w:eastAsia="Calibri" w:hAnsi="Verdana" w:cs="Arial"/>
          <w:lang w:eastAsia="es-MX"/>
        </w:rPr>
      </w:pPr>
      <w:r w:rsidRPr="00AD4F6A">
        <w:rPr>
          <w:rFonts w:ascii="Verdana" w:hAnsi="Verdana" w:cs="Arial"/>
        </w:rPr>
        <w:t xml:space="preserve">Por otra parte, los numerales 2 y 4 del artículo 2.2.1.1.2.1.1 del Decreto 1082 de 2015 exigen que en los estudios previos se determine el objeto a contratar con sus especificaciones, y se señale el valor estimado del contrato y la justificación del mismo. </w:t>
      </w:r>
      <w:r w:rsidRPr="00AD4F6A">
        <w:rPr>
          <w:rFonts w:ascii="Verdana" w:eastAsia="Calibri" w:hAnsi="Verdana" w:cs="Arial"/>
          <w:bCs/>
          <w:lang w:val="es-ES_tradnl"/>
        </w:rPr>
        <w:t xml:space="preserve">Para cumplir este objetivo es necesario el análisis del sector económico y de los oferentes, actividad de planeación previa que sirve para identificar aspectos concretos del mercado que pueden afectar el proceso </w:t>
      </w:r>
      <w:r w:rsidRPr="00AD4F6A">
        <w:rPr>
          <w:rFonts w:ascii="Verdana" w:eastAsia="Calibri" w:hAnsi="Verdana" w:cs="Arial"/>
          <w:bCs/>
          <w:lang w:val="es-ES_tradnl"/>
        </w:rPr>
        <w:lastRenderedPageBreak/>
        <w:t xml:space="preserve">de selección o las condiciones del negocio a realizar mediante el proceso de contratación de bienes, obras o servicios. </w:t>
      </w:r>
      <w:r w:rsidRPr="009225F7">
        <w:rPr>
          <w:rFonts w:ascii="Verdana" w:eastAsia="Calibri" w:hAnsi="Verdana" w:cs="Arial"/>
          <w:lang w:eastAsia="es-MX"/>
        </w:rPr>
        <w:t xml:space="preserve"> </w:t>
      </w:r>
    </w:p>
    <w:p w14:paraId="4B641E83" w14:textId="77777777" w:rsidR="00F90CEA" w:rsidRPr="00C43A2B" w:rsidRDefault="00F90CEA" w:rsidP="00F90CEA">
      <w:pPr>
        <w:spacing w:after="120" w:line="276" w:lineRule="auto"/>
        <w:ind w:firstLine="708"/>
        <w:jc w:val="both"/>
        <w:rPr>
          <w:rFonts w:ascii="Verdana" w:eastAsia="Calibri" w:hAnsi="Verdana" w:cs="Arial"/>
          <w:bCs/>
          <w:lang w:val="es-ES_tradnl"/>
        </w:rPr>
      </w:pPr>
      <w:r w:rsidRPr="00AD4F6A">
        <w:rPr>
          <w:rFonts w:ascii="Verdana" w:eastAsia="Calibri" w:hAnsi="Verdana" w:cs="Arial"/>
          <w:bCs/>
          <w:lang w:val="es-ES_tradnl"/>
        </w:rPr>
        <w:t xml:space="preserve">En este sentido, el artículo </w:t>
      </w:r>
      <w:bookmarkStart w:id="2" w:name="_Hlk36117416"/>
      <w:r w:rsidRPr="00AD4F6A">
        <w:rPr>
          <w:rFonts w:ascii="Verdana" w:eastAsia="Calibri" w:hAnsi="Verdana" w:cs="Arial"/>
          <w:bCs/>
          <w:lang w:val="es-ES_tradnl"/>
        </w:rPr>
        <w:t>2.2.1.1.1.6.1 del Decreto 1082 de 2015</w:t>
      </w:r>
      <w:bookmarkEnd w:id="2"/>
      <w:r w:rsidRPr="00AD4F6A">
        <w:rPr>
          <w:rFonts w:ascii="Verdana" w:eastAsia="Calibri" w:hAnsi="Verdana" w:cs="Arial"/>
          <w:bCs/>
          <w:lang w:val="es-ES_tradnl"/>
        </w:rPr>
        <w:t xml:space="preserve"> dispone que “La Entidad Estatal debe hacer, durante la etapa de planeación, el análisis necesario para conocer el sector relativo al objeto del Proceso de Contratación desde la perspectiva legal, comercial, financiera, organizacional,</w:t>
      </w:r>
      <w:r>
        <w:rPr>
          <w:rFonts w:ascii="Verdana" w:eastAsia="Calibri" w:hAnsi="Verdana" w:cs="Arial"/>
          <w:bCs/>
          <w:lang w:val="es-ES_tradnl"/>
        </w:rPr>
        <w:t xml:space="preserve"> </w:t>
      </w:r>
      <w:r w:rsidRPr="00AD4F6A">
        <w:rPr>
          <w:rFonts w:ascii="Verdana" w:eastAsia="Calibri" w:hAnsi="Verdana" w:cs="Arial"/>
          <w:bCs/>
          <w:lang w:val="es-ES_tradnl"/>
        </w:rPr>
        <w:t>técnica, y de análisis de Riesgo. La Entidad Estatal debe dejar constancia de este análisis en los Documentos del Proceso”.</w:t>
      </w:r>
    </w:p>
    <w:p w14:paraId="5AF3592F" w14:textId="328DC91B" w:rsidR="00F90CEA" w:rsidRDefault="00F90CEA" w:rsidP="00F90CEA">
      <w:pPr>
        <w:spacing w:after="120" w:line="276" w:lineRule="auto"/>
        <w:ind w:right="102" w:firstLine="709"/>
        <w:jc w:val="both"/>
        <w:rPr>
          <w:rFonts w:ascii="Verdana" w:eastAsia="Times New Roman" w:hAnsi="Verdana" w:cs="Arial"/>
          <w:lang w:val="es-ES_tradnl" w:eastAsia="es-MX"/>
        </w:rPr>
      </w:pPr>
      <w:r w:rsidRPr="00B321B0">
        <w:rPr>
          <w:rFonts w:ascii="Verdana" w:eastAsia="Calibri" w:hAnsi="Verdana" w:cs="Arial"/>
          <w:lang w:eastAsia="es-MX"/>
        </w:rPr>
        <w:t>De acuerdo con la norma señalada, la entidad debe realizar el análisis necesario para conocer el sector relativo al objeto del Proceso de Contratación, sin que sea relevante la modalidad de selección. En ese orden de ideas se debe hacer un análisis desde las diferentes perspectivas:</w:t>
      </w:r>
    </w:p>
    <w:p w14:paraId="44B158DC" w14:textId="77777777" w:rsidR="00F90CEA" w:rsidRDefault="00F90CEA" w:rsidP="00F90CEA">
      <w:pPr>
        <w:spacing w:after="120" w:line="276" w:lineRule="auto"/>
        <w:ind w:right="102" w:firstLine="708"/>
        <w:jc w:val="both"/>
        <w:rPr>
          <w:rFonts w:ascii="Verdana" w:eastAsia="Calibri" w:hAnsi="Verdana" w:cs="Arial"/>
          <w:lang w:eastAsia="es-MX"/>
        </w:rPr>
      </w:pPr>
      <w:r>
        <w:rPr>
          <w:rFonts w:ascii="Verdana" w:eastAsia="Times New Roman" w:hAnsi="Verdana" w:cs="Arial"/>
          <w:lang w:val="es-ES_tradnl" w:eastAsia="es-MX"/>
        </w:rPr>
        <w:t xml:space="preserve">a) </w:t>
      </w:r>
      <w:r w:rsidRPr="00B321B0">
        <w:rPr>
          <w:rFonts w:ascii="Verdana" w:eastAsia="Calibri" w:hAnsi="Verdana" w:cs="Arial"/>
          <w:lang w:eastAsia="es-MX"/>
        </w:rPr>
        <w:t>Legal: implica la revisión de la regulación vigente para el mercado dentro del que se encuentra el objeto del contrato.</w:t>
      </w:r>
    </w:p>
    <w:p w14:paraId="62AAC244" w14:textId="77777777" w:rsidR="00F90CEA" w:rsidRDefault="00F90CEA" w:rsidP="00F90CEA">
      <w:pPr>
        <w:spacing w:after="120" w:line="276" w:lineRule="auto"/>
        <w:ind w:right="102" w:firstLine="708"/>
        <w:jc w:val="both"/>
        <w:rPr>
          <w:rFonts w:ascii="Verdana" w:eastAsia="Calibri" w:hAnsi="Verdana" w:cs="Arial"/>
          <w:lang w:eastAsia="es-MX"/>
        </w:rPr>
      </w:pPr>
      <w:r>
        <w:rPr>
          <w:rFonts w:ascii="Verdana" w:eastAsia="Calibri" w:hAnsi="Verdana" w:cs="Arial"/>
          <w:lang w:eastAsia="es-MX"/>
        </w:rPr>
        <w:t xml:space="preserve">b) </w:t>
      </w:r>
      <w:r w:rsidRPr="00B321B0">
        <w:rPr>
          <w:rFonts w:ascii="Verdana" w:eastAsia="Calibri" w:hAnsi="Verdana" w:cs="Arial"/>
          <w:lang w:eastAsia="es-MX"/>
        </w:rPr>
        <w:t>Comercial: hace referencia a analizar quiénes pueden ofrecer el bien o servicio que se quiere contratar, cuáles son sus condiciones, si tienen condiciones especiales que sean relevantes para determinar los requisitos habilitantes, entre otros.</w:t>
      </w:r>
    </w:p>
    <w:p w14:paraId="4BEB9C72" w14:textId="77777777" w:rsidR="00F90CEA" w:rsidRDefault="00F90CEA" w:rsidP="00F90CEA">
      <w:pPr>
        <w:spacing w:after="120" w:line="276" w:lineRule="auto"/>
        <w:ind w:right="102" w:firstLine="708"/>
        <w:jc w:val="both"/>
        <w:rPr>
          <w:rFonts w:ascii="Verdana" w:eastAsia="Calibri" w:hAnsi="Verdana" w:cs="Arial"/>
          <w:lang w:eastAsia="es-MX"/>
        </w:rPr>
      </w:pPr>
      <w:r>
        <w:rPr>
          <w:rFonts w:ascii="Verdana" w:eastAsia="Calibri" w:hAnsi="Verdana" w:cs="Arial"/>
          <w:lang w:eastAsia="es-MX"/>
        </w:rPr>
        <w:t xml:space="preserve">c) </w:t>
      </w:r>
      <w:r w:rsidRPr="00B321B0">
        <w:rPr>
          <w:rFonts w:ascii="Verdana" w:eastAsia="Calibri" w:hAnsi="Verdana" w:cs="Arial"/>
          <w:lang w:eastAsia="es-MX"/>
        </w:rPr>
        <w:t xml:space="preserve">Financiera: el análisis conlleva una revisión de las características financieras que se presentan dentro del mercado del bien o servicio, como por ejemplo el índice de endeudamiento que tienen las empresas o personas naturales que ofrecen dicho bien o servicio. </w:t>
      </w:r>
    </w:p>
    <w:p w14:paraId="28DD90EA" w14:textId="77777777" w:rsidR="00F90CEA" w:rsidRPr="000F5364" w:rsidRDefault="00F90CEA" w:rsidP="00F90CEA">
      <w:pPr>
        <w:spacing w:after="120" w:line="276" w:lineRule="auto"/>
        <w:ind w:right="102" w:firstLine="708"/>
        <w:jc w:val="both"/>
        <w:rPr>
          <w:rFonts w:ascii="Verdana" w:eastAsia="Calibri" w:hAnsi="Verdana" w:cs="Arial"/>
          <w:lang w:eastAsia="es-MX"/>
        </w:rPr>
      </w:pPr>
      <w:r>
        <w:rPr>
          <w:rFonts w:ascii="Verdana" w:eastAsia="Calibri" w:hAnsi="Verdana" w:cs="Arial"/>
          <w:lang w:eastAsia="es-MX"/>
        </w:rPr>
        <w:t xml:space="preserve">d) </w:t>
      </w:r>
      <w:r w:rsidRPr="00B321B0">
        <w:rPr>
          <w:rFonts w:ascii="Verdana" w:eastAsia="Calibri" w:hAnsi="Verdana" w:cs="Arial"/>
          <w:lang w:eastAsia="es-MX"/>
        </w:rPr>
        <w:t>Organizacional: pretende que la Entidad Estatal entienda cómo están organizados internamente los posibles oferentes y de qué manera realizan sus negocios y operaciones.</w:t>
      </w:r>
    </w:p>
    <w:p w14:paraId="570D3022" w14:textId="77777777" w:rsidR="00F90CEA" w:rsidRDefault="00F90CEA" w:rsidP="00F90CEA">
      <w:pPr>
        <w:spacing w:before="120" w:after="0" w:line="276" w:lineRule="auto"/>
        <w:ind w:firstLine="709"/>
        <w:jc w:val="both"/>
        <w:rPr>
          <w:rFonts w:ascii="Verdana" w:eastAsia="Calibri" w:hAnsi="Verdana" w:cs="Arial"/>
          <w:bCs/>
          <w:lang w:val="es-ES_tradnl"/>
        </w:rPr>
      </w:pPr>
      <w:r w:rsidRPr="00AD4F6A">
        <w:rPr>
          <w:rFonts w:ascii="Verdana" w:eastAsia="Calibri" w:hAnsi="Verdana" w:cs="Arial"/>
          <w:bCs/>
          <w:lang w:val="es-ES_tradnl"/>
        </w:rPr>
        <w:t>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contratista. En este último punto, el análisis del sector permite sustentar la decisión de realizar un proceso de contratación desde el punto de vista de la eficiencia, eficacia y economía</w:t>
      </w:r>
      <w:r>
        <w:rPr>
          <w:rFonts w:ascii="Verdana" w:eastAsia="Calibri" w:hAnsi="Verdana" w:cs="Arial"/>
          <w:bCs/>
          <w:lang w:val="es-ES_tradnl"/>
        </w:rPr>
        <w:t>.</w:t>
      </w:r>
    </w:p>
    <w:p w14:paraId="2FFC5B00" w14:textId="77777777" w:rsidR="00F90CEA" w:rsidRDefault="00F90CEA" w:rsidP="00F90CEA">
      <w:pPr>
        <w:spacing w:before="120" w:after="0" w:line="276" w:lineRule="auto"/>
        <w:ind w:firstLine="709"/>
        <w:jc w:val="both"/>
        <w:rPr>
          <w:rFonts w:ascii="Verdana" w:eastAsia="Calibri" w:hAnsi="Verdana" w:cs="Arial"/>
          <w:bCs/>
          <w:lang w:val="es-ES_tradnl"/>
        </w:rPr>
      </w:pPr>
      <w:r w:rsidRPr="00AD4F6A">
        <w:rPr>
          <w:rFonts w:ascii="Verdana" w:eastAsia="Calibri" w:hAnsi="Verdana" w:cs="Arial"/>
          <w:lang w:val="es-ES"/>
        </w:rPr>
        <w:lastRenderedPageBreak/>
        <w:t>Dicho análisis facilita tanto el conocimiento del sector, desde una perspectiva multidisciplinaria, como de los proveedores disponibles en el mercado para satisfacer la necesidad de la entidad contratante. Así mismo,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las entidades</w:t>
      </w:r>
      <w:r>
        <w:rPr>
          <w:rFonts w:ascii="Verdana" w:eastAsia="Calibri" w:hAnsi="Verdana" w:cs="Arial"/>
          <w:lang w:val="es-ES"/>
        </w:rPr>
        <w:t xml:space="preserve"> </w:t>
      </w:r>
      <w:r w:rsidRPr="00AD4F6A">
        <w:rPr>
          <w:rFonts w:ascii="Verdana" w:eastAsia="Calibri" w:hAnsi="Verdana" w:cs="Arial"/>
          <w:lang w:val="es-ES"/>
        </w:rPr>
        <w:t xml:space="preserve">estatales y los particulares cómo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 </w:t>
      </w:r>
    </w:p>
    <w:p w14:paraId="7F3BCFE2" w14:textId="77777777" w:rsidR="00F90CEA" w:rsidRPr="000F2241" w:rsidRDefault="00F90CEA" w:rsidP="00F90CEA">
      <w:pPr>
        <w:spacing w:before="120" w:after="0" w:line="276" w:lineRule="auto"/>
        <w:ind w:firstLine="709"/>
        <w:jc w:val="both"/>
        <w:rPr>
          <w:rFonts w:ascii="Verdana" w:eastAsia="Calibri" w:hAnsi="Verdana" w:cs="Arial"/>
          <w:bCs/>
          <w:lang w:val="es-ES_tradnl"/>
        </w:rPr>
      </w:pPr>
      <w:r w:rsidRPr="00B321B0">
        <w:rPr>
          <w:rFonts w:ascii="Verdana" w:eastAsia="Calibri" w:hAnsi="Verdana" w:cs="Arial"/>
          <w:bCs/>
          <w:lang w:val="es-ES_tradnl" w:eastAsia="es-MX"/>
        </w:rPr>
        <w:t xml:space="preserve">Si bien la normativa en materia de contratación estatal establece la obligatoriedad de realizar el análisis necesario para conocer el sector relativo al objeto del Proceso de Contratación, no determina un procedimiento específico para efectuar dicho análisis por lo que las entidades </w:t>
      </w:r>
      <w:r w:rsidRPr="00B321B0">
        <w:rPr>
          <w:rFonts w:ascii="Verdana" w:eastAsia="Times New Roman" w:hAnsi="Verdana" w:cs="Arial"/>
          <w:lang w:val="es-ES_tradnl" w:eastAsia="es-CO"/>
        </w:rPr>
        <w:t xml:space="preserve">son autónomas para estructurarlo, para lo cual deberán cumplir lo dispuesto en el artículo </w:t>
      </w:r>
      <w:r w:rsidRPr="00B321B0">
        <w:rPr>
          <w:rFonts w:ascii="Verdana" w:eastAsia="Calibri" w:hAnsi="Verdana" w:cs="Arial"/>
          <w:bCs/>
          <w:lang w:val="es-ES_tradnl" w:eastAsia="es-MX"/>
        </w:rPr>
        <w:t xml:space="preserve">2.2.1.1.1.6.1 del Decreto 1082 de 2015 y realizar un análisis integral de planeación que </w:t>
      </w:r>
      <w:r w:rsidRPr="00B321B0">
        <w:rPr>
          <w:rFonts w:ascii="Verdana" w:eastAsia="Times New Roman" w:hAnsi="Verdana" w:cs="Arial"/>
          <w:lang w:val="es-ES_tradnl" w:eastAsia="es-MX"/>
        </w:rPr>
        <w:t xml:space="preserve">sirva de sustento a la decisión de </w:t>
      </w:r>
      <w:r w:rsidRPr="00B321B0">
        <w:rPr>
          <w:rFonts w:ascii="Verdana" w:eastAsia="Times New Roman" w:hAnsi="Verdana" w:cs="Arial"/>
          <w:bCs/>
          <w:lang w:val="es-ES_tradnl" w:eastAsia="es-MX"/>
        </w:rPr>
        <w:t>realizar un Proceso de Contratación.</w:t>
      </w:r>
      <w:bookmarkStart w:id="3" w:name="_Hlk139466113"/>
    </w:p>
    <w:bookmarkEnd w:id="3"/>
    <w:p w14:paraId="34A31CD8" w14:textId="77777777" w:rsidR="00F90CEA" w:rsidRDefault="00F90CEA" w:rsidP="00F90CEA">
      <w:pPr>
        <w:spacing w:after="120" w:line="276" w:lineRule="auto"/>
        <w:ind w:firstLine="709"/>
        <w:jc w:val="both"/>
        <w:rPr>
          <w:rFonts w:ascii="Verdana" w:eastAsia="Calibri" w:hAnsi="Verdana" w:cs="Arial"/>
          <w:bCs/>
          <w:lang w:val="es-ES"/>
        </w:rPr>
      </w:pPr>
      <w:r>
        <w:rPr>
          <w:rFonts w:ascii="Verdana" w:eastAsia="Calibri" w:hAnsi="Verdana" w:cs="Arial"/>
          <w:bCs/>
          <w:lang w:val="es-ES_tradnl"/>
        </w:rPr>
        <w:t>En el marco de lo anterior, l</w:t>
      </w:r>
      <w:r w:rsidRPr="00AD4F6A">
        <w:rPr>
          <w:rFonts w:ascii="Verdana" w:eastAsia="Calibri" w:hAnsi="Verdana" w:cs="Arial"/>
          <w:bCs/>
          <w:lang w:val="es-ES_tradnl"/>
        </w:rPr>
        <w:t xml:space="preserve">a Agencia Nacional de Contratación Pública - Colombia Compra Eficiente dispone de la “Guía </w:t>
      </w:r>
      <w:r>
        <w:rPr>
          <w:rFonts w:ascii="Verdana" w:eastAsia="Calibri" w:hAnsi="Verdana" w:cs="Arial"/>
          <w:bCs/>
          <w:lang w:val="es-ES_tradnl"/>
        </w:rPr>
        <w:t>para la</w:t>
      </w:r>
      <w:r w:rsidRPr="00AD4F6A">
        <w:rPr>
          <w:rFonts w:ascii="Verdana" w:eastAsia="Calibri" w:hAnsi="Verdana" w:cs="Arial"/>
          <w:bCs/>
          <w:lang w:val="es-ES_tradnl"/>
        </w:rPr>
        <w:t xml:space="preserve"> Elaboración de Estudio</w:t>
      </w:r>
      <w:r>
        <w:rPr>
          <w:rFonts w:ascii="Verdana" w:eastAsia="Calibri" w:hAnsi="Verdana" w:cs="Arial"/>
          <w:bCs/>
          <w:lang w:val="es-ES_tradnl"/>
        </w:rPr>
        <w:t>s</w:t>
      </w:r>
      <w:r w:rsidRPr="00AD4F6A">
        <w:rPr>
          <w:rFonts w:ascii="Verdana" w:eastAsia="Calibri" w:hAnsi="Verdana" w:cs="Arial"/>
          <w:bCs/>
          <w:lang w:val="es-ES_tradnl"/>
        </w:rPr>
        <w:t xml:space="preserve"> del Sector”</w:t>
      </w:r>
      <w:r>
        <w:rPr>
          <w:rStyle w:val="FootnoteReference"/>
          <w:rFonts w:ascii="Verdana" w:eastAsia="Calibri" w:hAnsi="Verdana" w:cs="Arial"/>
          <w:bCs/>
          <w:lang w:val="es-ES_tradnl"/>
        </w:rPr>
        <w:footnoteReference w:id="8"/>
      </w:r>
      <w:r w:rsidRPr="00AD4F6A">
        <w:rPr>
          <w:rFonts w:ascii="Verdana" w:eastAsia="Calibri" w:hAnsi="Verdana" w:cs="Arial"/>
          <w:bCs/>
          <w:lang w:val="es-ES_tradnl"/>
        </w:rPr>
        <w:t>, instrumento que sirve de apoyo para entender el mercado del bien, obra o servicio que la entidad estatal pretende adquirir y diseñar el proceso de contratación con la información necesaria para alcanzar los objetivos de eficacia, eficiencia, economía, promoción de la competencia y manejo del riesgo</w:t>
      </w:r>
      <w:r w:rsidRPr="00AD4F6A">
        <w:rPr>
          <w:rFonts w:ascii="Verdana" w:eastAsia="Calibri" w:hAnsi="Verdana" w:cs="Arial"/>
          <w:bCs/>
          <w:vertAlign w:val="superscript"/>
          <w:lang w:val="es-ES_tradnl"/>
        </w:rPr>
        <w:footnoteReference w:id="9"/>
      </w:r>
      <w:r w:rsidRPr="00AD4F6A">
        <w:rPr>
          <w:rFonts w:ascii="Verdana" w:eastAsia="Calibri" w:hAnsi="Verdana" w:cs="Arial"/>
          <w:bCs/>
          <w:lang w:val="es-ES_tradnl"/>
        </w:rPr>
        <w:t xml:space="preserve">. Esta </w:t>
      </w:r>
      <w:r w:rsidRPr="00AD4F6A">
        <w:rPr>
          <w:rFonts w:ascii="Verdana" w:eastAsia="Calibri" w:hAnsi="Verdana" w:cs="Arial"/>
          <w:bCs/>
          <w:lang w:val="es-ES_tradnl"/>
        </w:rPr>
        <w:lastRenderedPageBreak/>
        <w:t>Guía es un insumo para realizar el estudio del sector relativo al Proceso de Contratación, ya 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w:t>
      </w:r>
      <w:r w:rsidRPr="00AD4F6A">
        <w:rPr>
          <w:rFonts w:ascii="Verdana" w:eastAsia="Calibri" w:hAnsi="Verdana" w:cs="Arial"/>
          <w:bCs/>
          <w:lang w:val="es-ES"/>
        </w:rPr>
        <w:t xml:space="preserve"> recomendaciones generales por lo que no debe aplicarse de manera mecánica, pues la profundidad del estudio del sector depende de la complejidad y particularidades de cada proceso de contratación. </w:t>
      </w:r>
    </w:p>
    <w:p w14:paraId="70965B2A" w14:textId="77777777" w:rsidR="00F90CEA" w:rsidRDefault="00F90CEA" w:rsidP="00F90CEA">
      <w:pPr>
        <w:spacing w:after="120" w:line="276" w:lineRule="auto"/>
        <w:ind w:firstLine="709"/>
        <w:jc w:val="both"/>
        <w:rPr>
          <w:rFonts w:ascii="Verdana" w:eastAsia="Calibri" w:hAnsi="Verdana" w:cs="Arial"/>
          <w:bCs/>
        </w:rPr>
      </w:pPr>
      <w:r>
        <w:rPr>
          <w:rFonts w:ascii="Verdana" w:eastAsia="Calibri" w:hAnsi="Verdana" w:cs="Arial"/>
          <w:bCs/>
          <w:lang w:val="es-ES"/>
        </w:rPr>
        <w:t xml:space="preserve">Como parte de las recomendaciones, la guía recomienda que el estudio del sector incluya un análisis de los aspectos generales del mercado. Para lo anterior, propende por la aplicación de un </w:t>
      </w:r>
      <w:r w:rsidRPr="00B95252">
        <w:rPr>
          <w:rFonts w:ascii="Verdana" w:eastAsia="Calibri" w:hAnsi="Verdana" w:cs="Arial"/>
          <w:bCs/>
        </w:rPr>
        <w:t>Modelo de Abastecimiento Estratégico (MAE)</w:t>
      </w:r>
      <w:r>
        <w:rPr>
          <w:rFonts w:ascii="Verdana" w:eastAsia="Calibri" w:hAnsi="Verdana" w:cs="Arial"/>
          <w:bCs/>
        </w:rPr>
        <w:t xml:space="preserve"> que permita a la entidad o</w:t>
      </w:r>
      <w:r w:rsidRPr="00B95252">
        <w:rPr>
          <w:rFonts w:ascii="Verdana" w:eastAsia="Calibri" w:hAnsi="Verdana" w:cs="Arial"/>
          <w:bCs/>
        </w:rPr>
        <w:t>bt</w:t>
      </w:r>
      <w:r>
        <w:rPr>
          <w:rFonts w:ascii="Verdana" w:eastAsia="Calibri" w:hAnsi="Verdana" w:cs="Arial"/>
          <w:bCs/>
        </w:rPr>
        <w:t>ener</w:t>
      </w:r>
      <w:r w:rsidRPr="00B95252">
        <w:rPr>
          <w:rFonts w:ascii="Verdana" w:eastAsia="Calibri" w:hAnsi="Verdana" w:cs="Arial"/>
          <w:bCs/>
        </w:rPr>
        <w:t xml:space="preserve"> una idea general del mercado y revisa</w:t>
      </w:r>
      <w:r>
        <w:rPr>
          <w:rFonts w:ascii="Verdana" w:eastAsia="Calibri" w:hAnsi="Verdana" w:cs="Arial"/>
          <w:bCs/>
        </w:rPr>
        <w:t>r</w:t>
      </w:r>
      <w:r w:rsidRPr="00B95252">
        <w:rPr>
          <w:rFonts w:ascii="Verdana" w:eastAsia="Calibri" w:hAnsi="Verdana" w:cs="Arial"/>
          <w:bCs/>
        </w:rPr>
        <w:t xml:space="preserve"> el escenario del sector relacionado con el bien, obra o servicio</w:t>
      </w:r>
      <w:r>
        <w:rPr>
          <w:rFonts w:ascii="Verdana" w:eastAsia="Calibri" w:hAnsi="Verdana" w:cs="Arial"/>
          <w:bCs/>
        </w:rPr>
        <w:t xml:space="preserve"> objeto de contratación</w:t>
      </w:r>
      <w:r w:rsidRPr="00B95252">
        <w:rPr>
          <w:rFonts w:ascii="Verdana" w:eastAsia="Calibri" w:hAnsi="Verdana" w:cs="Arial"/>
          <w:bCs/>
        </w:rPr>
        <w:t xml:space="preserve">. </w:t>
      </w:r>
      <w:r>
        <w:rPr>
          <w:rFonts w:ascii="Verdana" w:eastAsia="Calibri" w:hAnsi="Verdana" w:cs="Arial"/>
          <w:bCs/>
        </w:rPr>
        <w:t xml:space="preserve">Esto, con el fin de </w:t>
      </w:r>
      <w:r w:rsidRPr="00B95252">
        <w:rPr>
          <w:rFonts w:ascii="Verdana" w:eastAsia="Calibri" w:hAnsi="Verdana" w:cs="Arial"/>
          <w:bCs/>
        </w:rPr>
        <w:t>hacer un perfilamiento del sector a nivel general.</w:t>
      </w:r>
      <w:r>
        <w:rPr>
          <w:rFonts w:ascii="Verdana" w:eastAsia="Calibri" w:hAnsi="Verdana" w:cs="Arial"/>
          <w:bCs/>
        </w:rPr>
        <w:t xml:space="preserve"> Como parte de los contextos que recomienda a las entidades analizar se encuentran:</w:t>
      </w:r>
    </w:p>
    <w:p w14:paraId="53344C26" w14:textId="0468E4A8" w:rsidR="00F90CEA" w:rsidRDefault="00F90CEA" w:rsidP="00F90CEA">
      <w:pPr>
        <w:spacing w:after="120" w:line="276" w:lineRule="auto"/>
        <w:ind w:firstLine="708"/>
        <w:jc w:val="both"/>
        <w:rPr>
          <w:rFonts w:ascii="Verdana" w:eastAsia="Calibri" w:hAnsi="Verdana" w:cs="Arial"/>
          <w:bCs/>
        </w:rPr>
      </w:pPr>
      <w:r>
        <w:rPr>
          <w:rFonts w:ascii="Verdana" w:eastAsia="Calibri" w:hAnsi="Verdana" w:cs="Arial"/>
          <w:bCs/>
        </w:rPr>
        <w:t xml:space="preserve">a) </w:t>
      </w:r>
      <w:r w:rsidRPr="004E007C">
        <w:rPr>
          <w:rFonts w:ascii="Verdana" w:eastAsia="Calibri" w:hAnsi="Verdana" w:cs="Arial"/>
          <w:bCs/>
        </w:rPr>
        <w:t>Económico: implica que la entidad</w:t>
      </w:r>
      <w:r w:rsidRPr="004E007C">
        <w:t xml:space="preserve"> </w:t>
      </w:r>
      <w:r w:rsidRPr="004E007C">
        <w:rPr>
          <w:rFonts w:ascii="Verdana" w:eastAsia="Calibri" w:hAnsi="Verdana" w:cs="Arial"/>
          <w:bCs/>
        </w:rPr>
        <w:t>identifique el sector de economía al que pertenece el bien, obra o servicio y realice un análisis de datos de aspectos tales como: los productos incluidos dentro del sector; los agentes que lo compone</w:t>
      </w:r>
      <w:r>
        <w:rPr>
          <w:rFonts w:ascii="Verdana" w:eastAsia="Calibri" w:hAnsi="Verdana" w:cs="Arial"/>
          <w:bCs/>
        </w:rPr>
        <w:t>n</w:t>
      </w:r>
      <w:r w:rsidRPr="004E007C">
        <w:rPr>
          <w:rFonts w:ascii="Verdana" w:eastAsia="Calibri" w:hAnsi="Verdana" w:cs="Arial"/>
          <w:bCs/>
        </w:rPr>
        <w:t>; cifras totales de ventas; perspectivas de crecimiento, inversión y ventas; variables económicas que pueden afectar el abastecimiento o los precios en el sector, como inflación, variación del SMMLV y la tasa de cambio; la cadena de producción y distribución; dinámica de importaciones, exportaciones y contrabando, en caso de que aplique; barreras de entrada de nuevos actores al mercado; y el análisis de prácticas comerciales, como descuentos por volumen, precios dinámicos o estructuras de costos que pueden influir en la contratación.</w:t>
      </w:r>
    </w:p>
    <w:p w14:paraId="185A2B3E" w14:textId="77777777" w:rsidR="00F90CEA" w:rsidRDefault="00F90CEA" w:rsidP="00F90CEA">
      <w:pPr>
        <w:spacing w:after="120" w:line="276" w:lineRule="auto"/>
        <w:ind w:firstLine="708"/>
        <w:jc w:val="both"/>
        <w:rPr>
          <w:rFonts w:ascii="Verdana" w:eastAsia="Calibri" w:hAnsi="Verdana" w:cs="Arial"/>
          <w:bCs/>
        </w:rPr>
      </w:pPr>
      <w:r>
        <w:rPr>
          <w:rFonts w:ascii="Verdana" w:eastAsia="Calibri" w:hAnsi="Verdana" w:cs="Arial"/>
          <w:bCs/>
        </w:rPr>
        <w:t xml:space="preserve">b) </w:t>
      </w:r>
      <w:r w:rsidRPr="004E007C">
        <w:rPr>
          <w:rFonts w:ascii="Verdana" w:eastAsia="Calibri" w:hAnsi="Verdana" w:cs="Arial"/>
          <w:bCs/>
        </w:rPr>
        <w:t xml:space="preserve">Técnico: incluye las condiciones técnicas y tecnológicas del mercado que impactan al bien o servicio que satisface la necesidad de la Entidad, incluyendo el estado de innovación y desarrollo que permite crear nuevos productos y oportunidades de mercado. Asimismo, nuevas tendencias relacionadas con cambios tecnológicos, diversidad en las características de los </w:t>
      </w:r>
      <w:r w:rsidRPr="004E007C">
        <w:rPr>
          <w:rFonts w:ascii="Verdana" w:eastAsia="Calibri" w:hAnsi="Verdana" w:cs="Arial"/>
          <w:bCs/>
        </w:rPr>
        <w:lastRenderedPageBreak/>
        <w:t>productos, especificaciones de calidad, condiciones especiales para la entrega, tiempos de entrega, entre otros, que puedan aportar eficiencia y valor en la contratación.</w:t>
      </w:r>
    </w:p>
    <w:p w14:paraId="5639B068" w14:textId="77777777" w:rsidR="00F90CEA" w:rsidRDefault="00F90CEA" w:rsidP="00F90CEA">
      <w:pPr>
        <w:spacing w:after="120" w:line="276" w:lineRule="auto"/>
        <w:ind w:firstLine="708"/>
        <w:jc w:val="both"/>
        <w:rPr>
          <w:rFonts w:ascii="Verdana" w:eastAsia="Calibri" w:hAnsi="Verdana" w:cs="Arial"/>
          <w:bCs/>
        </w:rPr>
      </w:pPr>
      <w:r>
        <w:rPr>
          <w:rFonts w:ascii="Verdana" w:eastAsia="Calibri" w:hAnsi="Verdana" w:cs="Arial"/>
          <w:bCs/>
        </w:rPr>
        <w:t xml:space="preserve">c) </w:t>
      </w:r>
      <w:r w:rsidRPr="004E007C">
        <w:rPr>
          <w:rFonts w:ascii="Verdana" w:eastAsia="Calibri" w:hAnsi="Verdana" w:cs="Arial"/>
          <w:bCs/>
        </w:rPr>
        <w:t>Regulatorio</w:t>
      </w:r>
      <w:r>
        <w:rPr>
          <w:rFonts w:ascii="Verdana" w:eastAsia="Calibri" w:hAnsi="Verdana" w:cs="Arial"/>
          <w:bCs/>
        </w:rPr>
        <w:t>: como parte de este componente, l</w:t>
      </w:r>
      <w:r w:rsidRPr="00D14E5D">
        <w:rPr>
          <w:rFonts w:ascii="Verdana" w:eastAsia="Calibri" w:hAnsi="Verdana" w:cs="Arial"/>
          <w:bCs/>
        </w:rPr>
        <w:t xml:space="preserve">a Entidad Estatal debe identificar la regulación aplicable al mercado del objeto correspondiente al Proceso de Contratación, así como la que regula la actividad de los proveedores y compradores de manera particular. </w:t>
      </w:r>
      <w:r>
        <w:rPr>
          <w:rFonts w:ascii="Verdana" w:eastAsia="Calibri" w:hAnsi="Verdana" w:cs="Arial"/>
          <w:bCs/>
        </w:rPr>
        <w:t xml:space="preserve">Las áreas de </w:t>
      </w:r>
      <w:r w:rsidRPr="00D14E5D">
        <w:rPr>
          <w:rFonts w:ascii="Verdana" w:eastAsia="Calibri" w:hAnsi="Verdana" w:cs="Arial"/>
          <w:bCs/>
        </w:rPr>
        <w:t xml:space="preserve">regulación </w:t>
      </w:r>
      <w:r>
        <w:rPr>
          <w:rFonts w:ascii="Verdana" w:eastAsia="Calibri" w:hAnsi="Verdana" w:cs="Arial"/>
          <w:bCs/>
        </w:rPr>
        <w:t xml:space="preserve">relevantes </w:t>
      </w:r>
      <w:r w:rsidRPr="00D14E5D">
        <w:rPr>
          <w:rFonts w:ascii="Verdana" w:eastAsia="Calibri" w:hAnsi="Verdana" w:cs="Arial"/>
          <w:bCs/>
        </w:rPr>
        <w:t>pueden ser de mercado, de precios, ambientales, tributarias y de cualquier otro tipo, además de las modificaciones recientes en estas regulaciones y el impacto en su aplicación.</w:t>
      </w:r>
    </w:p>
    <w:p w14:paraId="36D04595" w14:textId="77777777" w:rsidR="00F90CEA" w:rsidRDefault="00F90CEA" w:rsidP="00F90CEA">
      <w:pPr>
        <w:spacing w:after="120" w:line="276" w:lineRule="auto"/>
        <w:ind w:firstLine="708"/>
        <w:jc w:val="both"/>
        <w:rPr>
          <w:rFonts w:ascii="Verdana" w:eastAsia="Calibri" w:hAnsi="Verdana" w:cs="Arial"/>
          <w:bCs/>
        </w:rPr>
      </w:pPr>
      <w:r>
        <w:rPr>
          <w:rFonts w:ascii="Verdana" w:eastAsia="Calibri" w:hAnsi="Verdana" w:cs="Arial"/>
          <w:bCs/>
        </w:rPr>
        <w:t>Dentro de este análisis se recomienda a las entidades considerar las r</w:t>
      </w:r>
      <w:r w:rsidRPr="00D14E5D">
        <w:rPr>
          <w:rFonts w:ascii="Verdana" w:eastAsia="Calibri" w:hAnsi="Verdana" w:cs="Arial"/>
          <w:bCs/>
        </w:rPr>
        <w:t>egulaciones específicas del sector</w:t>
      </w:r>
      <w:r>
        <w:rPr>
          <w:rFonts w:ascii="Verdana" w:eastAsia="Calibri" w:hAnsi="Verdana" w:cs="Arial"/>
          <w:bCs/>
        </w:rPr>
        <w:t>, lo cual incluye r</w:t>
      </w:r>
      <w:r w:rsidRPr="00D14E5D">
        <w:rPr>
          <w:rFonts w:ascii="Verdana" w:eastAsia="Calibri" w:hAnsi="Verdana" w:cs="Arial"/>
          <w:bCs/>
        </w:rPr>
        <w:t xml:space="preserve">evisar las normas técnicas y regulatorias que puedan influir en la contratación, </w:t>
      </w:r>
      <w:r>
        <w:rPr>
          <w:rFonts w:ascii="Verdana" w:eastAsia="Calibri" w:hAnsi="Verdana" w:cs="Arial"/>
          <w:bCs/>
        </w:rPr>
        <w:t>lo cual comprende: i) las r</w:t>
      </w:r>
      <w:r w:rsidRPr="00D14E5D">
        <w:rPr>
          <w:rFonts w:ascii="Verdana" w:eastAsia="Calibri" w:hAnsi="Verdana" w:cs="Arial"/>
          <w:bCs/>
        </w:rPr>
        <w:t>egulaciones técnicas sectoriales</w:t>
      </w:r>
      <w:r>
        <w:rPr>
          <w:rFonts w:ascii="Verdana" w:eastAsia="Calibri" w:hAnsi="Verdana" w:cs="Arial"/>
          <w:bCs/>
        </w:rPr>
        <w:t>, como es el caso de las n</w:t>
      </w:r>
      <w:r w:rsidRPr="00D14E5D">
        <w:rPr>
          <w:rFonts w:ascii="Verdana" w:eastAsia="Calibri" w:hAnsi="Verdana" w:cs="Arial"/>
          <w:bCs/>
        </w:rPr>
        <w:t>ormas específicas aplicables al objeto del contrato, Normas Técnicas Colombianas (NTC) y estándares internacionales (ISO, ASTM, IEC, entre otros)</w:t>
      </w:r>
      <w:r>
        <w:rPr>
          <w:rFonts w:ascii="Verdana" w:eastAsia="Calibri" w:hAnsi="Verdana" w:cs="Arial"/>
          <w:bCs/>
        </w:rPr>
        <w:t xml:space="preserve">; </w:t>
      </w:r>
      <w:proofErr w:type="spellStart"/>
      <w:r>
        <w:rPr>
          <w:rFonts w:ascii="Verdana" w:eastAsia="Calibri" w:hAnsi="Verdana" w:cs="Arial"/>
          <w:bCs/>
        </w:rPr>
        <w:t>ii</w:t>
      </w:r>
      <w:proofErr w:type="spellEnd"/>
      <w:r>
        <w:rPr>
          <w:rFonts w:ascii="Verdana" w:eastAsia="Calibri" w:hAnsi="Verdana" w:cs="Arial"/>
          <w:bCs/>
        </w:rPr>
        <w:t>) los</w:t>
      </w:r>
      <w:r w:rsidRPr="00D14E5D">
        <w:rPr>
          <w:rFonts w:ascii="Verdana" w:eastAsia="Calibri" w:hAnsi="Verdana" w:cs="Arial"/>
          <w:bCs/>
        </w:rPr>
        <w:t xml:space="preserve"> </w:t>
      </w:r>
      <w:r>
        <w:rPr>
          <w:rFonts w:ascii="Verdana" w:eastAsia="Calibri" w:hAnsi="Verdana" w:cs="Arial"/>
          <w:bCs/>
        </w:rPr>
        <w:t>r</w:t>
      </w:r>
      <w:r w:rsidRPr="00D14E5D">
        <w:rPr>
          <w:rFonts w:ascii="Verdana" w:eastAsia="Calibri" w:hAnsi="Verdana" w:cs="Arial"/>
          <w:bCs/>
        </w:rPr>
        <w:t>equisitos sanitarios y fitosanitarios</w:t>
      </w:r>
      <w:r>
        <w:rPr>
          <w:rFonts w:ascii="Verdana" w:eastAsia="Calibri" w:hAnsi="Verdana" w:cs="Arial"/>
          <w:bCs/>
        </w:rPr>
        <w:t xml:space="preserve">, los cuales incluyen las </w:t>
      </w:r>
      <w:r w:rsidRPr="00D14E5D">
        <w:rPr>
          <w:rFonts w:ascii="Verdana" w:eastAsia="Calibri" w:hAnsi="Verdana" w:cs="Arial"/>
          <w:bCs/>
        </w:rPr>
        <w:t>obligaciones aplicables a productos como alimentos, medicamentos o insumos agrícolas</w:t>
      </w:r>
      <w:r>
        <w:rPr>
          <w:rFonts w:ascii="Verdana" w:eastAsia="Calibri" w:hAnsi="Verdana" w:cs="Arial"/>
          <w:bCs/>
        </w:rPr>
        <w:t xml:space="preserve">; así como </w:t>
      </w:r>
      <w:proofErr w:type="spellStart"/>
      <w:r>
        <w:rPr>
          <w:rFonts w:ascii="Verdana" w:eastAsia="Calibri" w:hAnsi="Verdana" w:cs="Arial"/>
          <w:bCs/>
        </w:rPr>
        <w:t>iii</w:t>
      </w:r>
      <w:proofErr w:type="spellEnd"/>
      <w:r>
        <w:rPr>
          <w:rFonts w:ascii="Verdana" w:eastAsia="Calibri" w:hAnsi="Verdana" w:cs="Arial"/>
          <w:bCs/>
        </w:rPr>
        <w:t>) la n</w:t>
      </w:r>
      <w:r w:rsidRPr="00D14E5D">
        <w:rPr>
          <w:rFonts w:ascii="Verdana" w:eastAsia="Calibri" w:hAnsi="Verdana" w:cs="Arial"/>
          <w:bCs/>
        </w:rPr>
        <w:t>ormativa sobre protección de datos y ciberseguridad</w:t>
      </w:r>
      <w:r>
        <w:rPr>
          <w:rFonts w:ascii="Verdana" w:eastAsia="Calibri" w:hAnsi="Verdana" w:cs="Arial"/>
          <w:bCs/>
        </w:rPr>
        <w:t xml:space="preserve"> a</w:t>
      </w:r>
      <w:r w:rsidRPr="00D14E5D">
        <w:rPr>
          <w:rFonts w:ascii="Verdana" w:eastAsia="Calibri" w:hAnsi="Verdana" w:cs="Arial"/>
          <w:bCs/>
        </w:rPr>
        <w:t>plicable en la contratación de servicios tecnológicos o de procesamiento de información.</w:t>
      </w:r>
    </w:p>
    <w:p w14:paraId="4636F38E" w14:textId="4718BE53" w:rsidR="00F90CEA" w:rsidRDefault="00F90CEA" w:rsidP="00F90CEA">
      <w:pPr>
        <w:spacing w:after="120" w:line="276" w:lineRule="auto"/>
        <w:ind w:firstLine="708"/>
        <w:jc w:val="both"/>
        <w:rPr>
          <w:rFonts w:ascii="Verdana" w:eastAsia="Calibri" w:hAnsi="Verdana" w:cs="Arial"/>
          <w:bCs/>
        </w:rPr>
      </w:pPr>
      <w:r w:rsidRPr="00D14E5D">
        <w:rPr>
          <w:rFonts w:ascii="Verdana" w:eastAsia="Calibri" w:hAnsi="Verdana" w:cs="Arial"/>
          <w:bCs/>
        </w:rPr>
        <w:t>Además de la normativa general, la Entidad Estatal debe verificar si el sector cuenta con</w:t>
      </w:r>
      <w:r>
        <w:rPr>
          <w:rFonts w:ascii="Verdana" w:eastAsia="Calibri" w:hAnsi="Verdana" w:cs="Arial"/>
          <w:bCs/>
        </w:rPr>
        <w:t xml:space="preserve"> n</w:t>
      </w:r>
      <w:r w:rsidRPr="00D14E5D">
        <w:rPr>
          <w:rFonts w:ascii="Verdana" w:eastAsia="Calibri" w:hAnsi="Verdana" w:cs="Arial"/>
          <w:bCs/>
        </w:rPr>
        <w:t>ormas técnicas colombianas, acuerdos o regulaciones internacionales aplicables al bien o servicio del Proceso de Contratación</w:t>
      </w:r>
      <w:r>
        <w:rPr>
          <w:rFonts w:ascii="Verdana" w:eastAsia="Calibri" w:hAnsi="Verdana" w:cs="Arial"/>
          <w:bCs/>
        </w:rPr>
        <w:t>, así como d</w:t>
      </w:r>
      <w:r w:rsidRPr="00D14E5D">
        <w:rPr>
          <w:rFonts w:ascii="Verdana" w:eastAsia="Calibri" w:hAnsi="Verdana" w:cs="Arial"/>
          <w:bCs/>
        </w:rPr>
        <w:t>irectrices de autoridades regulatorias y organismos de vigilancia, que establecen criterios específicos para la adquisición de bienes, obras o servicios. De esta forma, la entidad deberá identificar, como parte del estudio del sector, posibles autorizaciones, permisos y licencias requerid</w:t>
      </w:r>
      <w:r>
        <w:rPr>
          <w:rFonts w:ascii="Verdana" w:eastAsia="Calibri" w:hAnsi="Verdana" w:cs="Arial"/>
          <w:bCs/>
        </w:rPr>
        <w:t>o</w:t>
      </w:r>
      <w:r w:rsidRPr="00D14E5D">
        <w:rPr>
          <w:rFonts w:ascii="Verdana" w:eastAsia="Calibri" w:hAnsi="Verdana" w:cs="Arial"/>
          <w:bCs/>
        </w:rPr>
        <w:t>s para la ejecución; y, cuando el contrato incluya diseño y construcción, los documentos técnicos que son necesarios para el desarrollo del proyecto. El contexto regulatorio permite a la Entidad Estatal estructurar un proceso de contratación alineado con la normativa vigente, minimizando riesgos y asegurando condiciones óptimas para la ejecución del contrato.</w:t>
      </w:r>
    </w:p>
    <w:p w14:paraId="452A711E" w14:textId="77777777" w:rsidR="00F90CEA" w:rsidRDefault="00F90CEA" w:rsidP="00F90CEA">
      <w:pPr>
        <w:tabs>
          <w:tab w:val="left" w:pos="709"/>
          <w:tab w:val="left" w:pos="2662"/>
        </w:tabs>
        <w:spacing w:after="120" w:line="276" w:lineRule="auto"/>
        <w:ind w:firstLine="709"/>
        <w:jc w:val="both"/>
        <w:rPr>
          <w:rFonts w:ascii="Verdana" w:hAnsi="Verdana" w:cs="Arial"/>
          <w:color w:val="0D0D0D" w:themeColor="text1" w:themeTint="F2"/>
        </w:rPr>
      </w:pPr>
      <w:r w:rsidRPr="00054652">
        <w:rPr>
          <w:rFonts w:ascii="Verdana" w:hAnsi="Verdana" w:cs="Arial"/>
          <w:color w:val="0D0D0D" w:themeColor="text1" w:themeTint="F2"/>
        </w:rPr>
        <w:t xml:space="preserve">En este contexto, si de acuerdo con el </w:t>
      </w:r>
      <w:r w:rsidRPr="00054652">
        <w:rPr>
          <w:rFonts w:ascii="Verdana" w:eastAsia="Calibri" w:hAnsi="Verdana" w:cs="Arial"/>
          <w:szCs w:val="24"/>
          <w:lang w:eastAsia="es-ES_tradnl"/>
        </w:rPr>
        <w:t>marco de la formulación del respectivo proyecto y la planeación contractual que se haga del mismo, con base en las especificaciones técnicas</w:t>
      </w:r>
      <w:r>
        <w:rPr>
          <w:rFonts w:ascii="Verdana" w:eastAsia="Calibri" w:hAnsi="Verdana" w:cs="Arial"/>
          <w:szCs w:val="24"/>
          <w:lang w:eastAsia="es-ES_tradnl"/>
        </w:rPr>
        <w:t xml:space="preserve"> y regulatorias identificadas</w:t>
      </w:r>
      <w:r w:rsidRPr="00054652">
        <w:rPr>
          <w:rFonts w:ascii="Verdana" w:eastAsia="Calibri" w:hAnsi="Verdana" w:cs="Arial"/>
          <w:szCs w:val="24"/>
          <w:lang w:eastAsia="es-ES_tradnl"/>
        </w:rPr>
        <w:t xml:space="preserve">, la entidad determina </w:t>
      </w:r>
      <w:r w:rsidRPr="00054652">
        <w:rPr>
          <w:rFonts w:ascii="Verdana" w:hAnsi="Verdana" w:cs="Arial"/>
          <w:color w:val="0D0D0D" w:themeColor="text1" w:themeTint="F2"/>
        </w:rPr>
        <w:lastRenderedPageBreak/>
        <w:t xml:space="preserve">que </w:t>
      </w:r>
      <w:r>
        <w:rPr>
          <w:rFonts w:ascii="Verdana" w:hAnsi="Verdana" w:cs="Arial"/>
          <w:color w:val="0D0D0D" w:themeColor="text1" w:themeTint="F2"/>
        </w:rPr>
        <w:t>es</w:t>
      </w:r>
      <w:r w:rsidRPr="00054652">
        <w:rPr>
          <w:rFonts w:ascii="Verdana" w:hAnsi="Verdana" w:cs="Arial"/>
          <w:color w:val="0D0D0D" w:themeColor="text1" w:themeTint="F2"/>
        </w:rPr>
        <w:t xml:space="preserve"> necesario obtener permisos, licencias y/o autorizaciones por parte de las autoridades competentes, </w:t>
      </w:r>
      <w:r>
        <w:rPr>
          <w:rFonts w:ascii="Verdana" w:hAnsi="Verdana" w:cs="Arial"/>
          <w:color w:val="0D0D0D" w:themeColor="text1" w:themeTint="F2"/>
        </w:rPr>
        <w:t xml:space="preserve">como </w:t>
      </w:r>
      <w:r w:rsidRPr="00054652">
        <w:rPr>
          <w:rFonts w:ascii="Verdana" w:hAnsi="Verdana" w:cs="Arial"/>
          <w:color w:val="0D0D0D" w:themeColor="text1" w:themeTint="F2"/>
        </w:rPr>
        <w:t>requisitos indispensables para la correcta ejecución del contrato y el cumplimiento de las normativas legales vigentes</w:t>
      </w:r>
      <w:r>
        <w:rPr>
          <w:rFonts w:ascii="Verdana" w:hAnsi="Verdana" w:cs="Arial"/>
          <w:color w:val="0D0D0D" w:themeColor="text1" w:themeTint="F2"/>
        </w:rPr>
        <w:t xml:space="preserve">, podrá incluirlos dentro de las condiciones técnicas que debe satisfacer la oferta del bien, obra o servicio. </w:t>
      </w:r>
    </w:p>
    <w:p w14:paraId="08426045" w14:textId="77777777" w:rsidR="00F90CEA" w:rsidRPr="000F2241" w:rsidRDefault="00F90CEA" w:rsidP="00F90CEA">
      <w:pPr>
        <w:tabs>
          <w:tab w:val="left" w:pos="709"/>
          <w:tab w:val="left" w:pos="2662"/>
        </w:tabs>
        <w:spacing w:after="120" w:line="276" w:lineRule="auto"/>
        <w:ind w:firstLine="709"/>
        <w:jc w:val="both"/>
        <w:rPr>
          <w:rFonts w:ascii="Verdana" w:hAnsi="Verdana" w:cs="Arial"/>
          <w:color w:val="0D0D0D" w:themeColor="text1" w:themeTint="F2"/>
        </w:rPr>
      </w:pPr>
      <w:r>
        <w:rPr>
          <w:rFonts w:ascii="Verdana" w:eastAsia="Arial" w:hAnsi="Verdana" w:cs="Arial"/>
          <w:color w:val="000000"/>
          <w:lang w:val="es-ES"/>
        </w:rPr>
        <w:t>Ahora bien, s</w:t>
      </w:r>
      <w:r w:rsidRPr="004C5FFE">
        <w:rPr>
          <w:rFonts w:ascii="Verdana" w:eastAsia="Arial" w:hAnsi="Verdana" w:cs="Arial"/>
          <w:color w:val="000000"/>
          <w:lang w:val="es-ES"/>
        </w:rPr>
        <w:t xml:space="preserve">obre la solicitud de especificaciones técnicas o el cumplimiento de fichas o anexos de esta naturaleza, es importante advertir que </w:t>
      </w:r>
      <w:r w:rsidRPr="004C5FFE">
        <w:rPr>
          <w:rFonts w:ascii="Verdana" w:hAnsi="Verdana"/>
        </w:rPr>
        <w:t xml:space="preserve">no se encuentra definida formalmente en la normativa que regula la contratación pública. El Decreto 1082 de 2015, artículo 2.2.1.2.1.2.1 establece que, para contratar bienes y servicios de características técnicas uniformes, el pliego de condiciones debe indicar las especificaciones que deben estar incluidas en la “ficha técnica”. En particular, esta disposición señala que, para los procesos de selección abreviada para adquirir bienes y servicios de características técnicas uniformes, la ficha técnica debe contemplar los siguientes aspectos: i) la clasificación del bien o servicio de acuerdo con el Clasificador de Bienes y Servicios; </w:t>
      </w:r>
      <w:proofErr w:type="spellStart"/>
      <w:r w:rsidRPr="004C5FFE">
        <w:rPr>
          <w:rFonts w:ascii="Verdana" w:hAnsi="Verdana"/>
        </w:rPr>
        <w:t>ii</w:t>
      </w:r>
      <w:proofErr w:type="spellEnd"/>
      <w:r w:rsidRPr="004C5FFE">
        <w:rPr>
          <w:rFonts w:ascii="Verdana" w:hAnsi="Verdana"/>
        </w:rPr>
        <w:t xml:space="preserve">) la identificación adicional requerida; </w:t>
      </w:r>
      <w:proofErr w:type="spellStart"/>
      <w:r w:rsidRPr="004C5FFE">
        <w:rPr>
          <w:rFonts w:ascii="Verdana" w:hAnsi="Verdana"/>
        </w:rPr>
        <w:t>iii</w:t>
      </w:r>
      <w:proofErr w:type="spellEnd"/>
      <w:r w:rsidRPr="004C5FFE">
        <w:rPr>
          <w:rFonts w:ascii="Verdana" w:hAnsi="Verdana"/>
        </w:rPr>
        <w:t xml:space="preserve">) la unidad de medida; </w:t>
      </w:r>
      <w:proofErr w:type="spellStart"/>
      <w:r w:rsidRPr="004C5FFE">
        <w:rPr>
          <w:rFonts w:ascii="Verdana" w:hAnsi="Verdana"/>
        </w:rPr>
        <w:t>iv</w:t>
      </w:r>
      <w:proofErr w:type="spellEnd"/>
      <w:r w:rsidRPr="004C5FFE">
        <w:rPr>
          <w:rFonts w:ascii="Verdana" w:hAnsi="Verdana"/>
        </w:rPr>
        <w:t>) la calidad mínima, y v) los patrones de desempeño</w:t>
      </w:r>
      <w:r w:rsidRPr="004C5FFE">
        <w:rPr>
          <w:rFonts w:ascii="Verdana" w:hAnsi="Verdana"/>
          <w:spacing w:val="-2"/>
        </w:rPr>
        <w:t xml:space="preserve"> </w:t>
      </w:r>
      <w:r w:rsidRPr="004C5FFE">
        <w:rPr>
          <w:rFonts w:ascii="Verdana" w:hAnsi="Verdana"/>
        </w:rPr>
        <w:t>mínimos</w:t>
      </w:r>
      <w:r w:rsidRPr="004C5FFE">
        <w:rPr>
          <w:rStyle w:val="FootnoteReference"/>
          <w:rFonts w:ascii="Verdana" w:hAnsi="Verdana"/>
        </w:rPr>
        <w:footnoteReference w:id="10"/>
      </w:r>
      <w:r w:rsidRPr="004C5FFE">
        <w:rPr>
          <w:rFonts w:ascii="Verdana" w:hAnsi="Verdana" w:cs="Arial"/>
        </w:rPr>
        <w:t>.</w:t>
      </w:r>
    </w:p>
    <w:p w14:paraId="7573FEC5" w14:textId="77777777" w:rsidR="00F90CEA" w:rsidRPr="004C5FFE" w:rsidRDefault="00F90CEA" w:rsidP="00F90CEA">
      <w:pPr>
        <w:spacing w:after="120" w:line="276" w:lineRule="auto"/>
        <w:ind w:firstLine="709"/>
        <w:jc w:val="both"/>
        <w:rPr>
          <w:rFonts w:ascii="Verdana" w:hAnsi="Verdana"/>
        </w:rPr>
      </w:pPr>
      <w:r w:rsidRPr="004C5FFE">
        <w:rPr>
          <w:rFonts w:ascii="Verdana" w:hAnsi="Verdana"/>
        </w:rPr>
        <w:t>Por su parte, el artículo 2.2.1.1.2.1.1. del Decreto 1082 de 2015, relativo a “Estudios y documentos previos”, aplicable a la mayoría de los procesos de selección, ya no solo para la adquisición de bienes y servicios de características técnicas uniformes, establece que en ellos se indicará el objeto del contrato con sus especificaciones y documentos técnicos, el cual puede revestir el carácter de “ficha técnica”, “anexo técnico” o “especificaciones técnicas”. Además, el proponente con la presentación de la oferta debe señalar</w:t>
      </w:r>
      <w:r w:rsidRPr="004C5FFE">
        <w:rPr>
          <w:rFonts w:ascii="Verdana" w:hAnsi="Verdana"/>
          <w:spacing w:val="-17"/>
        </w:rPr>
        <w:t xml:space="preserve"> </w:t>
      </w:r>
      <w:r w:rsidRPr="004C5FFE">
        <w:rPr>
          <w:rFonts w:ascii="Verdana" w:hAnsi="Verdana"/>
        </w:rPr>
        <w:t>las especificaciones técnicas del bien o servicio que permitan corroborar que cumple con las condiciones exigidas en el pliego de condiciones.</w:t>
      </w:r>
    </w:p>
    <w:p w14:paraId="7E01C53F" w14:textId="77777777" w:rsidR="00F90CEA" w:rsidRDefault="00F90CEA" w:rsidP="00F90CEA">
      <w:pPr>
        <w:spacing w:after="120" w:line="276" w:lineRule="auto"/>
        <w:ind w:firstLine="709"/>
        <w:jc w:val="both"/>
        <w:rPr>
          <w:rFonts w:ascii="Verdana" w:hAnsi="Verdana"/>
        </w:rPr>
      </w:pPr>
      <w:r w:rsidRPr="004C5FFE">
        <w:rPr>
          <w:rFonts w:ascii="Verdana" w:hAnsi="Verdana"/>
        </w:rPr>
        <w:lastRenderedPageBreak/>
        <w:t>En este orden de ideas, la ficha técnica y/o anexo técnico es el documento que contiene las especificaciones técnicas que debe cumplir el bien o servicio a contratar, o aquel documento que indica las especificaciones técnicas respecto del bien o servicio ofertado por el proponente. En otras palabras, en lo relativo al proponente, el documento que anexa como “ficha técnica” y/o “anexo técnico” está estrechamente vinculado con el bien o servicio ofertado, toda vez que es la descripción más minuciosa y detallada de las características, componentes y funcionamiento de los bienes y servicios con los que se busca satisfacer la necesidad de la</w:t>
      </w:r>
      <w:r w:rsidRPr="004C5FFE">
        <w:rPr>
          <w:rFonts w:ascii="Verdana" w:hAnsi="Verdana"/>
          <w:spacing w:val="-10"/>
        </w:rPr>
        <w:t xml:space="preserve"> </w:t>
      </w:r>
      <w:r w:rsidRPr="004C5FFE">
        <w:rPr>
          <w:rFonts w:ascii="Verdana" w:hAnsi="Verdana"/>
        </w:rPr>
        <w:t>entidad.</w:t>
      </w:r>
    </w:p>
    <w:p w14:paraId="24F9017E" w14:textId="1B4A3FF6" w:rsidR="00F90CEA" w:rsidRPr="000F2241" w:rsidRDefault="00F90CEA" w:rsidP="00F90CEA">
      <w:pPr>
        <w:spacing w:after="120" w:line="276" w:lineRule="auto"/>
        <w:ind w:firstLine="709"/>
        <w:jc w:val="both"/>
        <w:rPr>
          <w:rFonts w:ascii="Verdana" w:hAnsi="Verdana"/>
        </w:rPr>
      </w:pPr>
      <w:r>
        <w:rPr>
          <w:rFonts w:ascii="Verdana" w:hAnsi="Verdana" w:cs="Arial"/>
          <w:color w:val="0D0D0D" w:themeColor="text1" w:themeTint="F2"/>
        </w:rPr>
        <w:t xml:space="preserve">Por ejemplo, esta Agencia ha reconocido que ciertas obras para cuya ejecución es obligatoria la aplicación de los Documentos Tipo pueden requerir, </w:t>
      </w:r>
      <w:r w:rsidRPr="00054652">
        <w:rPr>
          <w:rFonts w:ascii="Verdana" w:eastAsia="Calibri" w:hAnsi="Verdana" w:cs="Arial"/>
          <w:szCs w:val="24"/>
          <w:lang w:eastAsia="es-ES_tradnl"/>
        </w:rPr>
        <w:t xml:space="preserve">para </w:t>
      </w:r>
      <w:r>
        <w:rPr>
          <w:rFonts w:ascii="Verdana" w:eastAsia="Calibri" w:hAnsi="Verdana" w:cs="Arial"/>
          <w:szCs w:val="24"/>
          <w:lang w:eastAsia="es-ES_tradnl"/>
        </w:rPr>
        <w:t xml:space="preserve">su ejecución, </w:t>
      </w:r>
      <w:r w:rsidRPr="00054652">
        <w:rPr>
          <w:rFonts w:ascii="Verdana" w:eastAsia="Calibri" w:hAnsi="Verdana" w:cs="Arial"/>
          <w:szCs w:val="24"/>
          <w:lang w:eastAsia="es-ES_tradnl"/>
        </w:rPr>
        <w:t xml:space="preserve">permisos, autorizaciones o licencias que </w:t>
      </w:r>
      <w:r>
        <w:rPr>
          <w:rFonts w:ascii="Verdana" w:eastAsia="Calibri" w:hAnsi="Verdana" w:cs="Arial"/>
          <w:szCs w:val="24"/>
          <w:lang w:eastAsia="es-ES_tradnl"/>
        </w:rPr>
        <w:t xml:space="preserve">se </w:t>
      </w:r>
      <w:r w:rsidRPr="00054652">
        <w:rPr>
          <w:rFonts w:ascii="Verdana" w:eastAsia="Calibri" w:hAnsi="Verdana" w:cs="Arial"/>
          <w:szCs w:val="24"/>
          <w:lang w:eastAsia="es-ES_tradnl"/>
        </w:rPr>
        <w:t>expida</w:t>
      </w:r>
      <w:r>
        <w:rPr>
          <w:rFonts w:ascii="Verdana" w:eastAsia="Calibri" w:hAnsi="Verdana" w:cs="Arial"/>
          <w:szCs w:val="24"/>
          <w:lang w:eastAsia="es-ES_tradnl"/>
        </w:rPr>
        <w:t xml:space="preserve">n </w:t>
      </w:r>
      <w:r w:rsidRPr="00054652">
        <w:rPr>
          <w:rFonts w:ascii="Verdana" w:eastAsia="Calibri" w:hAnsi="Verdana" w:cs="Arial"/>
          <w:szCs w:val="24"/>
          <w:lang w:eastAsia="es-ES_tradnl"/>
        </w:rPr>
        <w:t xml:space="preserve">en el marco de la normativa vigente. </w:t>
      </w:r>
      <w:r>
        <w:rPr>
          <w:rFonts w:ascii="Verdana" w:eastAsia="Calibri" w:hAnsi="Verdana" w:cs="Arial"/>
          <w:szCs w:val="24"/>
          <w:lang w:eastAsia="es-ES_tradnl"/>
        </w:rPr>
        <w:t xml:space="preserve">En este supuesto, la Agencia ha señalado que </w:t>
      </w:r>
      <w:bookmarkStart w:id="4" w:name="_Hlk192057084"/>
      <w:r>
        <w:rPr>
          <w:rFonts w:ascii="Verdana" w:hAnsi="Verdana" w:cs="Arial"/>
          <w:color w:val="0D0D0D" w:themeColor="text1" w:themeTint="F2"/>
        </w:rPr>
        <w:t xml:space="preserve"> las entidades pueden incluir estos </w:t>
      </w:r>
      <w:r w:rsidRPr="00054652">
        <w:rPr>
          <w:rFonts w:ascii="Verdana" w:eastAsia="Calibri" w:hAnsi="Verdana" w:cs="Arial"/>
          <w:bCs/>
          <w:szCs w:val="24"/>
          <w:lang w:val="es-MX" w:eastAsia="es-ES_tradnl"/>
        </w:rPr>
        <w:t xml:space="preserve">permisos o licencias mediante el Anexo </w:t>
      </w:r>
      <w:r>
        <w:rPr>
          <w:rFonts w:ascii="Verdana" w:eastAsia="Calibri" w:hAnsi="Verdana" w:cs="Arial"/>
          <w:bCs/>
          <w:szCs w:val="24"/>
          <w:lang w:val="es-MX" w:eastAsia="es-ES_tradnl"/>
        </w:rPr>
        <w:t>T</w:t>
      </w:r>
      <w:r w:rsidRPr="00054652">
        <w:rPr>
          <w:rFonts w:ascii="Verdana" w:eastAsia="Calibri" w:hAnsi="Verdana" w:cs="Arial"/>
          <w:bCs/>
          <w:szCs w:val="24"/>
          <w:lang w:val="es-MX" w:eastAsia="es-ES_tradnl"/>
        </w:rPr>
        <w:t>écnico</w:t>
      </w:r>
      <w:r>
        <w:rPr>
          <w:rFonts w:ascii="Verdana" w:eastAsia="Calibri" w:hAnsi="Verdana" w:cs="Arial"/>
          <w:bCs/>
          <w:szCs w:val="24"/>
          <w:lang w:val="es-MX" w:eastAsia="es-ES_tradnl"/>
        </w:rPr>
        <w:t xml:space="preserve"> de dichos documentos</w:t>
      </w:r>
      <w:r w:rsidRPr="00054652">
        <w:rPr>
          <w:rFonts w:ascii="Verdana" w:eastAsia="Calibri" w:hAnsi="Verdana" w:cs="Arial"/>
          <w:bCs/>
          <w:szCs w:val="24"/>
          <w:lang w:val="es-MX" w:eastAsia="es-ES_tradnl"/>
        </w:rPr>
        <w:t xml:space="preserve">, específicamente en el numeral 11 referente a </w:t>
      </w:r>
      <w:r w:rsidRPr="00054652">
        <w:rPr>
          <w:rFonts w:ascii="Verdana" w:eastAsia="Calibri" w:hAnsi="Verdana" w:cs="Arial"/>
          <w:szCs w:val="24"/>
          <w:lang w:eastAsia="es-ES_tradnl"/>
        </w:rPr>
        <w:t xml:space="preserve">permisos, licencias y autorizaciones, en el cual se establece un espacio en gris en el que </w:t>
      </w:r>
      <w:r w:rsidRPr="00054652">
        <w:rPr>
          <w:rFonts w:ascii="Verdana" w:eastAsia="Calibri" w:hAnsi="Verdana" w:cs="Arial"/>
          <w:szCs w:val="24"/>
          <w:lang w:val="es-ES" w:eastAsia="es-ES_tradnl"/>
        </w:rPr>
        <w:t>la entidad deberá incluir los permisos, licencias y autorizaciones necesarios para la ejecución del contrato</w:t>
      </w:r>
      <w:r>
        <w:rPr>
          <w:rStyle w:val="FootnoteReference"/>
          <w:rFonts w:ascii="Verdana" w:eastAsia="Calibri" w:hAnsi="Verdana" w:cs="Arial"/>
          <w:szCs w:val="24"/>
          <w:lang w:val="es-ES" w:eastAsia="es-ES_tradnl"/>
        </w:rPr>
        <w:footnoteReference w:id="11"/>
      </w:r>
      <w:r w:rsidRPr="00054652">
        <w:rPr>
          <w:rFonts w:ascii="Verdana" w:eastAsia="Calibri" w:hAnsi="Verdana" w:cs="Arial"/>
          <w:szCs w:val="24"/>
          <w:lang w:val="es-ES" w:eastAsia="es-ES_tradnl"/>
        </w:rPr>
        <w:t xml:space="preserve">. </w:t>
      </w:r>
    </w:p>
    <w:p w14:paraId="7FBAFF22" w14:textId="0A8470A0" w:rsidR="00F90CEA" w:rsidRDefault="00F90CEA" w:rsidP="00F90CEA">
      <w:pPr>
        <w:tabs>
          <w:tab w:val="left" w:pos="709"/>
          <w:tab w:val="left" w:pos="2662"/>
        </w:tabs>
        <w:spacing w:after="120" w:line="276" w:lineRule="auto"/>
        <w:ind w:firstLine="709"/>
        <w:jc w:val="both"/>
        <w:rPr>
          <w:rFonts w:ascii="Verdana" w:eastAsia="Calibri" w:hAnsi="Verdana" w:cs="Arial"/>
          <w:szCs w:val="24"/>
          <w:lang w:eastAsia="es-ES_tradnl"/>
        </w:rPr>
      </w:pPr>
      <w:r w:rsidRPr="00054652">
        <w:rPr>
          <w:rFonts w:ascii="Verdana" w:eastAsia="Calibri" w:hAnsi="Verdana" w:cs="Arial"/>
          <w:szCs w:val="24"/>
          <w:lang w:val="es-ES" w:eastAsia="es-ES_tradnl"/>
        </w:rPr>
        <w:t xml:space="preserve">Para tales efectos, </w:t>
      </w:r>
      <w:r w:rsidRPr="00054652">
        <w:rPr>
          <w:rFonts w:ascii="Verdana" w:eastAsia="Calibri" w:hAnsi="Verdana" w:cs="Arial"/>
          <w:szCs w:val="24"/>
          <w:lang w:eastAsia="es-ES_tradnl"/>
        </w:rPr>
        <w:t xml:space="preserve">las </w:t>
      </w:r>
      <w:r>
        <w:rPr>
          <w:rFonts w:ascii="Verdana" w:eastAsia="Calibri" w:hAnsi="Verdana" w:cs="Arial"/>
          <w:szCs w:val="24"/>
          <w:lang w:eastAsia="es-ES_tradnl"/>
        </w:rPr>
        <w:t>E</w:t>
      </w:r>
      <w:r w:rsidRPr="00054652">
        <w:rPr>
          <w:rFonts w:ascii="Verdana" w:eastAsia="Calibri" w:hAnsi="Verdana" w:cs="Arial"/>
          <w:szCs w:val="24"/>
          <w:lang w:eastAsia="es-ES_tradnl"/>
        </w:rPr>
        <w:t xml:space="preserve">ntidades </w:t>
      </w:r>
      <w:r>
        <w:rPr>
          <w:rFonts w:ascii="Verdana" w:eastAsia="Calibri" w:hAnsi="Verdana" w:cs="Arial"/>
          <w:szCs w:val="24"/>
          <w:lang w:eastAsia="es-ES_tradnl"/>
        </w:rPr>
        <w:t>E</w:t>
      </w:r>
      <w:r w:rsidRPr="00054652">
        <w:rPr>
          <w:rFonts w:ascii="Verdana" w:eastAsia="Calibri" w:hAnsi="Verdana" w:cs="Arial"/>
          <w:szCs w:val="24"/>
          <w:lang w:eastAsia="es-ES_tradnl"/>
        </w:rPr>
        <w:t>statales durante la etapa de planeación del contrato tienen el deber de elaborar los estudios técnicos necesarios para establecer la viabilidad del proyecto en cuanto corresponde a estudios de ingeniería,</w:t>
      </w:r>
      <w:r>
        <w:rPr>
          <w:rFonts w:ascii="Verdana" w:eastAsia="Calibri" w:hAnsi="Verdana" w:cs="Arial"/>
          <w:szCs w:val="24"/>
          <w:lang w:eastAsia="es-ES_tradnl"/>
        </w:rPr>
        <w:t xml:space="preserve"> cuando es procedente, los</w:t>
      </w:r>
      <w:r w:rsidRPr="00054652">
        <w:rPr>
          <w:rFonts w:ascii="Verdana" w:eastAsia="Calibri" w:hAnsi="Verdana" w:cs="Arial"/>
          <w:szCs w:val="24"/>
          <w:lang w:eastAsia="es-ES_tradnl"/>
        </w:rPr>
        <w:t xml:space="preserve"> aspectos presupuestales, el impacto social, económico y ambiental, e identificar los permisos, autorizaciones y licencias requerid</w:t>
      </w:r>
      <w:r>
        <w:rPr>
          <w:rFonts w:ascii="Verdana" w:eastAsia="Calibri" w:hAnsi="Verdana" w:cs="Arial"/>
          <w:szCs w:val="24"/>
          <w:lang w:eastAsia="es-ES_tradnl"/>
        </w:rPr>
        <w:t>o</w:t>
      </w:r>
      <w:r w:rsidRPr="00054652">
        <w:rPr>
          <w:rFonts w:ascii="Verdana" w:eastAsia="Calibri" w:hAnsi="Verdana" w:cs="Arial"/>
          <w:szCs w:val="24"/>
          <w:lang w:eastAsia="es-ES_tradnl"/>
        </w:rPr>
        <w:t>s para la ejecución del proyecto</w:t>
      </w:r>
      <w:bookmarkEnd w:id="4"/>
      <w:r w:rsidRPr="00054652">
        <w:rPr>
          <w:rFonts w:ascii="Verdana" w:eastAsia="Calibri" w:hAnsi="Verdana" w:cs="Arial"/>
          <w:szCs w:val="24"/>
          <w:lang w:eastAsia="es-ES_tradnl"/>
        </w:rPr>
        <w:t>.</w:t>
      </w:r>
      <w:r w:rsidRPr="00054652">
        <w:t xml:space="preserve"> </w:t>
      </w:r>
      <w:r w:rsidRPr="00054652">
        <w:rPr>
          <w:rFonts w:ascii="Verdana" w:eastAsia="Calibri" w:hAnsi="Verdana" w:cs="Arial"/>
          <w:szCs w:val="24"/>
          <w:lang w:eastAsia="es-ES_tradnl"/>
        </w:rPr>
        <w:t>De este modo, si en función de las particularidades del proyecto, la entidad determina que</w:t>
      </w:r>
      <w:r>
        <w:rPr>
          <w:rFonts w:ascii="Verdana" w:eastAsia="Calibri" w:hAnsi="Verdana" w:cs="Arial"/>
          <w:szCs w:val="24"/>
          <w:lang w:eastAsia="es-ES_tradnl"/>
        </w:rPr>
        <w:t>, por ejemplo, se trata de un</w:t>
      </w:r>
      <w:r w:rsidRPr="00054652">
        <w:rPr>
          <w:rFonts w:ascii="Verdana" w:eastAsia="Calibri" w:hAnsi="Verdana" w:cs="Arial"/>
          <w:szCs w:val="24"/>
          <w:lang w:eastAsia="es-ES_tradnl"/>
        </w:rPr>
        <w:t xml:space="preserve"> tipo de infraestructura </w:t>
      </w:r>
      <w:r>
        <w:rPr>
          <w:rFonts w:ascii="Verdana" w:eastAsia="Calibri" w:hAnsi="Verdana" w:cs="Arial"/>
          <w:szCs w:val="24"/>
          <w:lang w:eastAsia="es-ES_tradnl"/>
        </w:rPr>
        <w:t xml:space="preserve">que </w:t>
      </w:r>
      <w:r w:rsidRPr="00054652">
        <w:rPr>
          <w:rFonts w:ascii="Verdana" w:eastAsia="Calibri" w:hAnsi="Verdana" w:cs="Arial"/>
          <w:szCs w:val="24"/>
          <w:lang w:eastAsia="es-ES_tradnl"/>
        </w:rPr>
        <w:t xml:space="preserve">requiere permisos, licencias o autorizaciones conforme a la normativa vigente, deberá especificar de manera clara y precisa </w:t>
      </w:r>
      <w:r>
        <w:rPr>
          <w:rFonts w:ascii="Verdana" w:eastAsia="Calibri" w:hAnsi="Verdana" w:cs="Arial"/>
          <w:szCs w:val="24"/>
          <w:lang w:eastAsia="es-ES_tradnl"/>
        </w:rPr>
        <w:t xml:space="preserve">en el Anexo Técnico </w:t>
      </w:r>
      <w:r w:rsidRPr="00054652">
        <w:rPr>
          <w:rFonts w:ascii="Verdana" w:eastAsia="Calibri" w:hAnsi="Verdana" w:cs="Arial"/>
          <w:szCs w:val="24"/>
          <w:lang w:eastAsia="es-ES_tradnl"/>
        </w:rPr>
        <w:t xml:space="preserve">todas aquellas que sean necesarias para la ejecución del contrato, en cumplimiento del marco legal aplicable. </w:t>
      </w:r>
    </w:p>
    <w:p w14:paraId="43DABCAE" w14:textId="77777777" w:rsidR="00F90CEA" w:rsidRDefault="00F90CEA" w:rsidP="00F90CEA">
      <w:pPr>
        <w:tabs>
          <w:tab w:val="left" w:pos="709"/>
          <w:tab w:val="left" w:pos="2662"/>
        </w:tabs>
        <w:spacing w:after="120" w:line="276" w:lineRule="auto"/>
        <w:ind w:firstLine="709"/>
        <w:jc w:val="both"/>
        <w:rPr>
          <w:rFonts w:ascii="Verdana" w:eastAsia="Calibri" w:hAnsi="Verdana" w:cs="Arial"/>
          <w:bCs/>
          <w:szCs w:val="24"/>
          <w:lang w:eastAsia="es-ES_tradnl"/>
        </w:rPr>
      </w:pPr>
      <w:r w:rsidRPr="00054652">
        <w:rPr>
          <w:rFonts w:ascii="Verdana" w:eastAsia="Calibri" w:hAnsi="Verdana" w:cs="Arial"/>
          <w:bCs/>
          <w:szCs w:val="24"/>
          <w:lang w:eastAsia="es-ES_tradnl"/>
        </w:rPr>
        <w:t xml:space="preserve">Sin perjuicio del análisis anterior, corresponde a la </w:t>
      </w:r>
      <w:r>
        <w:rPr>
          <w:rFonts w:ascii="Verdana" w:eastAsia="Calibri" w:hAnsi="Verdana" w:cs="Arial"/>
          <w:bCs/>
          <w:szCs w:val="24"/>
          <w:lang w:eastAsia="es-ES_tradnl"/>
        </w:rPr>
        <w:t>E</w:t>
      </w:r>
      <w:r w:rsidRPr="00054652">
        <w:rPr>
          <w:rFonts w:ascii="Verdana" w:eastAsia="Calibri" w:hAnsi="Verdana" w:cs="Arial"/>
          <w:bCs/>
          <w:szCs w:val="24"/>
          <w:lang w:eastAsia="es-ES_tradnl"/>
        </w:rPr>
        <w:t xml:space="preserve">ntidad </w:t>
      </w:r>
      <w:r>
        <w:rPr>
          <w:rFonts w:ascii="Verdana" w:eastAsia="Calibri" w:hAnsi="Verdana" w:cs="Arial"/>
          <w:bCs/>
          <w:szCs w:val="24"/>
          <w:lang w:eastAsia="es-ES_tradnl"/>
        </w:rPr>
        <w:t>E</w:t>
      </w:r>
      <w:r w:rsidRPr="00054652">
        <w:rPr>
          <w:rFonts w:ascii="Verdana" w:eastAsia="Calibri" w:hAnsi="Verdana" w:cs="Arial"/>
          <w:bCs/>
          <w:szCs w:val="24"/>
          <w:lang w:eastAsia="es-ES_tradnl"/>
        </w:rPr>
        <w:t xml:space="preserve">statal, en el marco </w:t>
      </w:r>
      <w:r>
        <w:rPr>
          <w:rFonts w:ascii="Verdana" w:eastAsia="Calibri" w:hAnsi="Verdana" w:cs="Arial"/>
          <w:bCs/>
          <w:szCs w:val="24"/>
          <w:lang w:eastAsia="es-ES_tradnl"/>
        </w:rPr>
        <w:t xml:space="preserve">del principio de planeación del </w:t>
      </w:r>
      <w:r w:rsidRPr="00054652">
        <w:rPr>
          <w:rFonts w:ascii="Verdana" w:eastAsia="Calibri" w:hAnsi="Verdana" w:cs="Arial"/>
          <w:bCs/>
          <w:szCs w:val="24"/>
          <w:lang w:eastAsia="es-ES_tradnl"/>
        </w:rPr>
        <w:t xml:space="preserve">contrato y la formulación del respectivo proyecto, definir las especificaciones técnicas, realizar los estudios del sector y </w:t>
      </w:r>
      <w:r w:rsidRPr="00054652">
        <w:rPr>
          <w:rFonts w:ascii="Verdana" w:eastAsia="Calibri" w:hAnsi="Verdana" w:cs="Arial"/>
          <w:bCs/>
          <w:szCs w:val="24"/>
          <w:lang w:eastAsia="es-ES_tradnl"/>
        </w:rPr>
        <w:lastRenderedPageBreak/>
        <w:t>determinar cuáles son las licencias, permisos y autorizaciones requeridas para el desarrollo del proyecto conforme a la normatividad vigente.</w:t>
      </w:r>
    </w:p>
    <w:p w14:paraId="39852678" w14:textId="15E15CB4" w:rsidR="00F90CEA" w:rsidRDefault="00F90CEA" w:rsidP="00F90CEA">
      <w:pPr>
        <w:tabs>
          <w:tab w:val="left" w:pos="709"/>
          <w:tab w:val="left" w:pos="2662"/>
        </w:tabs>
        <w:spacing w:after="0" w:line="276" w:lineRule="auto"/>
        <w:ind w:firstLine="709"/>
        <w:jc w:val="both"/>
        <w:rPr>
          <w:rFonts w:ascii="Verdana" w:eastAsia="Calibri" w:hAnsi="Verdana" w:cs="Arial"/>
          <w:bCs/>
          <w:szCs w:val="24"/>
          <w:lang w:eastAsia="es-ES_tradnl"/>
        </w:rPr>
      </w:pPr>
      <w:r w:rsidRPr="00476314">
        <w:rPr>
          <w:rFonts w:ascii="Verdana" w:eastAsia="Calibri" w:hAnsi="Verdana" w:cs="Arial"/>
          <w:bCs/>
          <w:szCs w:val="24"/>
          <w:lang w:eastAsia="es-ES_tradnl"/>
        </w:rPr>
        <w:t xml:space="preserve">Adicionalmente, en la determinación de estas especificaciones, las entidades deben abstenerse de imponer condiciones restrictivas que impidan el acceso al procedimiento de selección y que no resulten razonables y proporcionales al objeto del proceso. Los criterios adoptados deben propender por la más amplia oportunidad de concurrencia, corresponder a las necesidades reales de la entidad contratante y garantizar el derecho a la igualdad de los oferentes. En este sentido, la entidad debe ser cuidadosa al incluir especificaciones técnicas que excedan aquellas necesarias para determinar la calidad o los patrones mínimos de desempeño del bien o servicio requerido. Con base </w:t>
      </w:r>
      <w:r>
        <w:rPr>
          <w:rFonts w:ascii="Verdana" w:eastAsia="Calibri" w:hAnsi="Verdana" w:cs="Arial"/>
          <w:bCs/>
          <w:szCs w:val="24"/>
          <w:lang w:eastAsia="es-ES_tradnl"/>
        </w:rPr>
        <w:t>en</w:t>
      </w:r>
      <w:r w:rsidRPr="00476314">
        <w:rPr>
          <w:rFonts w:ascii="Verdana" w:eastAsia="Calibri" w:hAnsi="Verdana" w:cs="Arial"/>
          <w:bCs/>
          <w:szCs w:val="24"/>
          <w:lang w:eastAsia="es-ES_tradnl"/>
        </w:rPr>
        <w:t xml:space="preserve"> lo anterior, corresponde a la entidad determinar, según los resultados de la etapa de planeación,</w:t>
      </w:r>
      <w:r w:rsidRPr="004E7D8B">
        <w:rPr>
          <w:rFonts w:ascii="Verdana" w:eastAsia="Calibri" w:hAnsi="Verdana" w:cs="Arial"/>
          <w:bCs/>
          <w:szCs w:val="24"/>
          <w:lang w:eastAsia="es-ES_tradnl"/>
        </w:rPr>
        <w:t xml:space="preserve"> si tales especificaciones constituyen una limitación injustificada a la libre competencia económica</w:t>
      </w:r>
      <w:r w:rsidRPr="00476314">
        <w:rPr>
          <w:rFonts w:ascii="Verdana" w:eastAsia="Calibri" w:hAnsi="Verdana" w:cs="Arial"/>
          <w:bCs/>
          <w:szCs w:val="24"/>
          <w:lang w:eastAsia="es-ES_tradnl"/>
        </w:rPr>
        <w:t>, o si existe una justificación técnica que respalde que dicha exigencia es proporcional y razonable para el cumplimiento del objeto contractual</w:t>
      </w:r>
      <w:r>
        <w:rPr>
          <w:rFonts w:ascii="Verdana" w:eastAsia="Calibri" w:hAnsi="Verdana" w:cs="Arial"/>
          <w:bCs/>
          <w:szCs w:val="24"/>
          <w:lang w:eastAsia="es-ES_tradnl"/>
        </w:rPr>
        <w:t>.</w:t>
      </w:r>
    </w:p>
    <w:p w14:paraId="44219978" w14:textId="77777777" w:rsidR="00F90CEA" w:rsidRPr="00476314" w:rsidRDefault="00F90CEA" w:rsidP="00F90CEA">
      <w:pPr>
        <w:tabs>
          <w:tab w:val="left" w:pos="709"/>
          <w:tab w:val="left" w:pos="2662"/>
        </w:tabs>
        <w:spacing w:after="0" w:line="276" w:lineRule="auto"/>
        <w:ind w:firstLine="709"/>
        <w:jc w:val="both"/>
        <w:rPr>
          <w:rFonts w:ascii="Verdana" w:eastAsia="Calibri" w:hAnsi="Verdana" w:cs="Arial"/>
          <w:bCs/>
          <w:szCs w:val="24"/>
          <w:lang w:eastAsia="es-ES_tradnl"/>
        </w:rPr>
      </w:pPr>
    </w:p>
    <w:p w14:paraId="58095C32" w14:textId="77777777" w:rsidR="00F90CEA" w:rsidRDefault="00F90CEA" w:rsidP="00F90CEA">
      <w:pPr>
        <w:spacing w:after="0" w:line="276" w:lineRule="auto"/>
        <w:ind w:right="49"/>
        <w:jc w:val="both"/>
        <w:rPr>
          <w:rFonts w:ascii="Verdana" w:eastAsia="Calibri" w:hAnsi="Verdana" w:cs="Arial"/>
          <w:bCs/>
          <w:lang w:val="es-ES_tradnl"/>
        </w:rPr>
      </w:pPr>
      <w:proofErr w:type="spellStart"/>
      <w:r>
        <w:rPr>
          <w:rFonts w:ascii="Verdana" w:hAnsi="Verdana" w:cs="Arial"/>
          <w:color w:val="0D0D0D" w:themeColor="text1" w:themeTint="F2"/>
        </w:rPr>
        <w:t>ii</w:t>
      </w:r>
      <w:proofErr w:type="spellEnd"/>
      <w:r>
        <w:rPr>
          <w:rFonts w:ascii="Verdana" w:hAnsi="Verdana" w:cs="Arial"/>
          <w:color w:val="0D0D0D" w:themeColor="text1" w:themeTint="F2"/>
        </w:rPr>
        <w:t xml:space="preserve">. </w:t>
      </w:r>
      <w:r>
        <w:rPr>
          <w:rFonts w:ascii="Verdana" w:eastAsia="Calibri" w:hAnsi="Verdana" w:cs="Arial"/>
          <w:bCs/>
          <w:lang w:val="es-ES_tradnl"/>
        </w:rPr>
        <w:t xml:space="preserve">Uno de los principios transversales de los procedimientos de selección es el de </w:t>
      </w:r>
      <w:r>
        <w:rPr>
          <w:rFonts w:ascii="Verdana" w:eastAsia="Calibri" w:hAnsi="Verdana" w:cs="Arial"/>
          <w:bCs/>
          <w:i/>
          <w:iCs/>
          <w:lang w:val="es-ES_tradnl"/>
        </w:rPr>
        <w:t>selección objetiva</w:t>
      </w:r>
      <w:r>
        <w:rPr>
          <w:rFonts w:ascii="Verdana" w:eastAsia="Calibri" w:hAnsi="Verdana" w:cs="Arial"/>
          <w:bCs/>
          <w:lang w:val="es-ES_tradnl"/>
        </w:rPr>
        <w:t xml:space="preserve">.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7A22CE91" w14:textId="77777777" w:rsidR="00F90CEA" w:rsidRDefault="00F90CEA" w:rsidP="00F90CEA">
      <w:pPr>
        <w:spacing w:before="120" w:after="0" w:line="276" w:lineRule="auto"/>
        <w:ind w:right="51" w:firstLine="709"/>
        <w:jc w:val="both"/>
        <w:rPr>
          <w:rFonts w:ascii="Verdana" w:eastAsia="Calibri" w:hAnsi="Verdana" w:cs="Arial"/>
          <w:bCs/>
          <w:lang w:val="es-MX"/>
        </w:rPr>
      </w:pPr>
      <w:r>
        <w:rPr>
          <w:rFonts w:ascii="Verdana" w:eastAsia="Calibri" w:hAnsi="Verdana" w:cs="Arial"/>
          <w:bCs/>
          <w:lang w:val="es-MX"/>
        </w:rPr>
        <w:t>Si bien dentro de la historia de la contratación pública en Colombia, se vislumbran antecedentes normativos que consagraban dicho principio</w:t>
      </w:r>
      <w:r>
        <w:rPr>
          <w:rFonts w:ascii="Verdana" w:eastAsia="Calibri" w:hAnsi="Verdana" w:cs="Arial"/>
          <w:bCs/>
          <w:vertAlign w:val="superscript"/>
          <w:lang w:val="es-MX"/>
        </w:rPr>
        <w:footnoteReference w:id="12"/>
      </w:r>
      <w:r>
        <w:rPr>
          <w:rFonts w:ascii="Verdana" w:eastAsia="Calibri" w:hAnsi="Verdana" w:cs="Arial"/>
          <w:bCs/>
          <w:lang w:val="es-MX"/>
        </w:rPr>
        <w:t xml:space="preserve">, en la </w:t>
      </w:r>
      <w:r>
        <w:rPr>
          <w:rFonts w:ascii="Verdana" w:eastAsia="Calibri" w:hAnsi="Verdana" w:cs="Arial"/>
          <w:bCs/>
          <w:lang w:val="es-MX"/>
        </w:rPr>
        <w:lastRenderedPageBreak/>
        <w:t xml:space="preserve">actualidad la disposición legal que lo prevé de manera más clara y contundente es el artículo 5 de la Ley 1150 de 2007, modificado por el artículo 88 de la Ley 1474 de 2011 y por el artículo 5 de la Ley 1882 de 2018, enunciado normativo en el que se lee: </w:t>
      </w:r>
    </w:p>
    <w:p w14:paraId="245B79CD" w14:textId="77777777" w:rsidR="00F90CEA" w:rsidRDefault="00F90CEA" w:rsidP="00F90CEA">
      <w:pPr>
        <w:spacing w:after="0" w:line="276" w:lineRule="auto"/>
        <w:ind w:right="51" w:firstLine="709"/>
        <w:jc w:val="both"/>
        <w:rPr>
          <w:rFonts w:ascii="Verdana" w:eastAsia="Calibri" w:hAnsi="Verdana" w:cs="Arial"/>
          <w:bCs/>
          <w:lang w:val="es-MX"/>
        </w:rPr>
      </w:pPr>
    </w:p>
    <w:p w14:paraId="645C8151"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4BD9E414"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010FC370"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54C94FF1"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4A0CA97E"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62CF1D04"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3E98FEEA"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lastRenderedPageBreak/>
        <w:t>En los procesos de selección en los que se tenga en cuenta los factores técnicos y económicos, la oferta más ventajosa será la que resulte de aplicar alguna de las siguientes alternativas:</w:t>
      </w:r>
    </w:p>
    <w:p w14:paraId="0E783665"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34CB7CEF"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a) La ponderación de los elementos de calidad y precio soportados en puntajes o fórmulas señaladas en el pliego de condiciones; o</w:t>
      </w:r>
    </w:p>
    <w:p w14:paraId="7D84B829" w14:textId="77777777" w:rsidR="00F90CEA" w:rsidRPr="00B71DC6"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6799E6D7" w14:textId="77777777" w:rsidR="00F90CEA" w:rsidRPr="00B71DC6"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b) La ponderación de los elementos de calidad y precio que representen la mejor relación de costo-beneficio para la entidad.</w:t>
      </w:r>
    </w:p>
    <w:p w14:paraId="1639C051" w14:textId="77777777" w:rsidR="00F90CEA" w:rsidRPr="00B71DC6"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4093A0B8" w14:textId="77777777" w:rsidR="00F90CEA" w:rsidRPr="00B71DC6"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14:paraId="7A897CA5" w14:textId="77777777" w:rsidR="00F90CEA" w:rsidRDefault="00F90CEA" w:rsidP="00F90CEA">
      <w:pPr>
        <w:spacing w:after="0" w:line="240" w:lineRule="auto"/>
        <w:ind w:left="709" w:right="709"/>
        <w:jc w:val="both"/>
        <w:rPr>
          <w:rFonts w:ascii="Verdana" w:eastAsia="Calibri" w:hAnsi="Verdana" w:cs="Arial"/>
          <w:i/>
          <w:color w:val="000000" w:themeColor="text1"/>
          <w:kern w:val="2"/>
          <w:sz w:val="20"/>
          <w:szCs w:val="20"/>
          <w:lang w:val="es-ES_tradnl"/>
          <w14:ligatures w14:val="standardContextual"/>
        </w:rPr>
      </w:pPr>
    </w:p>
    <w:p w14:paraId="077FC2ED" w14:textId="77777777" w:rsidR="00F90CEA" w:rsidRDefault="00F90CEA" w:rsidP="00F90CEA">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w:t>
      </w:r>
    </w:p>
    <w:p w14:paraId="4B65B0AD" w14:textId="77777777" w:rsidR="00F90CEA" w:rsidRDefault="00F90CEA" w:rsidP="00F90CEA">
      <w:pPr>
        <w:spacing w:after="0" w:line="276" w:lineRule="auto"/>
        <w:ind w:left="709" w:right="709"/>
        <w:jc w:val="both"/>
        <w:rPr>
          <w:rFonts w:ascii="Verdana" w:eastAsia="Calibri" w:hAnsi="Verdana" w:cs="Arial"/>
          <w:color w:val="000000" w:themeColor="text1"/>
          <w:kern w:val="2"/>
          <w:lang w:val="es-ES_tradnl"/>
          <w14:ligatures w14:val="standardContextual"/>
        </w:rPr>
      </w:pPr>
    </w:p>
    <w:p w14:paraId="1737A7A1" w14:textId="77777777" w:rsidR="00F90CEA" w:rsidRDefault="00F90CEA" w:rsidP="00F90CEA">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De acuerdo con esta norma y conforme con lo expresado en el concepto C–166 del 23 de abril de 2021, puede decirse que el deber de selección objetiva supone que las entidades escojan en los procesos de selección el “[…] ofrecimiento más favorable a la entidad y a los fines que ella busca […]”. Tal favorabilidad debe determinarse a partir de criterios que pueden variar, de acuerdo con el objeto contractual o la modalidad de selección aplicable, los cuales, en todo caso, para que la selección sea objetiva, deben estar señalados en el pliego de condiciones o documento equivalente. </w:t>
      </w:r>
    </w:p>
    <w:p w14:paraId="4D26899A" w14:textId="77777777" w:rsidR="00F90CEA" w:rsidRDefault="00F90CEA" w:rsidP="00F90CEA">
      <w:pPr>
        <w:spacing w:after="120" w:line="276" w:lineRule="auto"/>
        <w:ind w:right="51" w:firstLine="709"/>
        <w:jc w:val="both"/>
        <w:rPr>
          <w:rFonts w:ascii="Verdana" w:eastAsia="Calibri" w:hAnsi="Verdana" w:cs="Arial"/>
          <w:bCs/>
          <w:lang w:val="es-MX"/>
        </w:rPr>
      </w:pPr>
      <w:bookmarkStart w:id="5" w:name="_1fob9te"/>
      <w:bookmarkEnd w:id="5"/>
      <w:r>
        <w:rPr>
          <w:rFonts w:ascii="Verdana" w:eastAsia="Calibri" w:hAnsi="Verdana" w:cs="Arial"/>
          <w:bCs/>
          <w:lang w:val="es-MX"/>
        </w:rPr>
        <w:t>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w:t>
      </w:r>
      <w:r>
        <w:rPr>
          <w:rFonts w:ascii="Verdana" w:eastAsia="Calibri" w:hAnsi="Verdana" w:cs="Arial"/>
          <w:bCs/>
          <w:vertAlign w:val="superscript"/>
          <w:lang w:val="es-MX"/>
        </w:rPr>
        <w:footnoteReference w:id="13"/>
      </w:r>
      <w:r>
        <w:rPr>
          <w:rFonts w:ascii="Verdana" w:eastAsia="Calibri" w:hAnsi="Verdana" w:cs="Arial"/>
          <w:bCs/>
          <w:lang w:val="es-MX"/>
        </w:rPr>
        <w:t xml:space="preserve">. Los oferentes que cumplan estos requisitos habilitantes son considerados idóneos para ejecutar el objeto contractual, de manera que sus ofertas pueden ser consideradas en la </w:t>
      </w:r>
      <w:r>
        <w:rPr>
          <w:rFonts w:ascii="Verdana" w:eastAsia="Calibri" w:hAnsi="Verdana" w:cs="Arial"/>
          <w:bCs/>
          <w:lang w:val="es-MX"/>
        </w:rPr>
        <w:lastRenderedPageBreak/>
        <w:t xml:space="preserve">evaluación dirigida a determinar cuál es la más favorable para la entidad y a los fines de la contratación. En este sentido, los requisitos </w:t>
      </w:r>
      <w:r>
        <w:rPr>
          <w:rFonts w:ascii="Verdana" w:eastAsia="Calibri" w:hAnsi="Verdana" w:cs="Arial"/>
          <w:bCs/>
          <w:i/>
          <w:lang w:val="es-MX"/>
        </w:rPr>
        <w:t xml:space="preserve">habilitantes </w:t>
      </w:r>
      <w:r>
        <w:rPr>
          <w:rFonts w:ascii="Verdana" w:eastAsia="Calibri" w:hAnsi="Verdana" w:cs="Arial"/>
          <w:bCs/>
          <w:lang w:val="es-MX"/>
        </w:rPr>
        <w:t>son aquellos que deben cumplir en igualdad de condiciones los proponentes, haciendo que estos se habiliten en el procedimiento de selección y sean susceptibles de ser seleccionados como futuros contratistas.</w:t>
      </w:r>
    </w:p>
    <w:p w14:paraId="5A79C909" w14:textId="01AE302C" w:rsidR="00F90CEA" w:rsidRDefault="00F90CEA" w:rsidP="00F90CEA">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w:t>
      </w:r>
      <w:r>
        <w:rPr>
          <w:rFonts w:ascii="Verdana" w:eastAsia="Calibri" w:hAnsi="Verdana" w:cs="Arial"/>
          <w:bCs/>
          <w:i/>
          <w:iCs/>
          <w:lang w:val="es-MX"/>
        </w:rPr>
        <w:t>puntajes o fórmulas</w:t>
      </w:r>
      <w:r>
        <w:rPr>
          <w:rFonts w:ascii="Verdana" w:eastAsia="Calibri" w:hAnsi="Verdana" w:cs="Arial"/>
          <w:bCs/>
          <w:lang w:val="es-MX"/>
        </w:rPr>
        <w:t xml:space="preserve">, mientras que el literal b) se refiere a la elección de la oferta que represente la mejor relación </w:t>
      </w:r>
      <w:r>
        <w:rPr>
          <w:rFonts w:ascii="Verdana" w:eastAsia="Calibri" w:hAnsi="Verdana" w:cs="Arial"/>
          <w:bCs/>
          <w:i/>
          <w:iCs/>
          <w:lang w:val="es-MX"/>
        </w:rPr>
        <w:t>costo-beneficio</w:t>
      </w:r>
      <w:r>
        <w:rPr>
          <w:rFonts w:ascii="Verdana" w:eastAsia="Calibri" w:hAnsi="Verdana" w:cs="Arial"/>
          <w:bCs/>
          <w:lang w:val="es-MX"/>
        </w:rPr>
        <w:t xml:space="preserve"> para la entidad. </w:t>
      </w:r>
    </w:p>
    <w:p w14:paraId="0F760821" w14:textId="77777777" w:rsidR="00F90CEA" w:rsidRPr="004C5FFE" w:rsidRDefault="00F90CEA" w:rsidP="00F90CEA">
      <w:pPr>
        <w:spacing w:before="120" w:after="0" w:line="276" w:lineRule="auto"/>
        <w:ind w:right="51" w:firstLine="709"/>
        <w:jc w:val="both"/>
        <w:rPr>
          <w:rFonts w:ascii="Verdana" w:eastAsia="Calibri" w:hAnsi="Verdana" w:cs="Arial"/>
          <w:bCs/>
          <w:lang w:val="es-MX"/>
        </w:rPr>
      </w:pPr>
      <w:r w:rsidRPr="004C5FFE">
        <w:rPr>
          <w:rFonts w:ascii="Verdana" w:eastAsia="Calibri" w:hAnsi="Verdana" w:cs="Arial"/>
          <w:bCs/>
          <w:lang w:val="es-MX"/>
        </w:rPr>
        <w:t>Sobre la escogencia de la oferta más favorable a los intereses de la entidad y la evaluación de los factores exigidos en un caso concreto para el efecto, la doctrina explica que:</w:t>
      </w:r>
    </w:p>
    <w:p w14:paraId="3E229A94" w14:textId="77777777" w:rsidR="00F90CEA" w:rsidRPr="004C5FFE" w:rsidRDefault="00F90CEA" w:rsidP="00F90CEA">
      <w:pPr>
        <w:spacing w:after="0" w:line="276" w:lineRule="auto"/>
        <w:ind w:right="51"/>
        <w:jc w:val="both"/>
        <w:rPr>
          <w:rFonts w:ascii="Verdana" w:eastAsia="Calibri" w:hAnsi="Verdana" w:cs="Arial"/>
          <w:bCs/>
          <w:lang w:val="es-MX"/>
        </w:rPr>
      </w:pPr>
    </w:p>
    <w:p w14:paraId="5090E945" w14:textId="77777777" w:rsidR="00F90CEA" w:rsidRPr="004C5FFE" w:rsidRDefault="00F90CEA" w:rsidP="00F90CEA">
      <w:pPr>
        <w:spacing w:after="0" w:line="240" w:lineRule="auto"/>
        <w:ind w:left="709" w:right="709"/>
        <w:jc w:val="both"/>
        <w:rPr>
          <w:rFonts w:ascii="Verdana" w:eastAsia="Calibri" w:hAnsi="Verdana" w:cs="Arial"/>
          <w:bCs/>
          <w:sz w:val="20"/>
          <w:szCs w:val="20"/>
          <w:lang w:val="es-MX"/>
        </w:rPr>
      </w:pPr>
      <w:r w:rsidRPr="004C5FFE">
        <w:rPr>
          <w:rFonts w:ascii="Verdana" w:eastAsia="Calibri" w:hAnsi="Verdana" w:cs="Arial"/>
          <w:bCs/>
          <w:sz w:val="20"/>
          <w:szCs w:val="20"/>
          <w:lang w:val="es-MX"/>
        </w:rPr>
        <w:t xml:space="preserve">“De acuerdo con ese entendimiento, el numeral 2 del artículo 5.° de la Ley  1150 de 2007, modificado por el artículo 88 de la Ley 1474 de 2011, comienza por señalar que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Es decir que los factores de ponderación o de evaluación son los que en realidad determinan la propuesta que mejor satisface las necesidades de la Administración y no simplemente cuál de los proponentes es el más idóneo en la ejecución del contrato, pues, se insiste, todo oferente que supere los requisitos mínimos habilitantes se entiende que es suficientemente idóneo para la ejecución del objeto contractual. </w:t>
      </w:r>
    </w:p>
    <w:p w14:paraId="6251DD2C" w14:textId="77777777" w:rsidR="00F90CEA" w:rsidRPr="004C5FFE" w:rsidRDefault="00F90CEA" w:rsidP="00F90CEA">
      <w:pPr>
        <w:spacing w:after="0" w:line="240" w:lineRule="auto"/>
        <w:ind w:left="709" w:right="709"/>
        <w:jc w:val="both"/>
        <w:rPr>
          <w:rFonts w:ascii="Verdana" w:eastAsia="Calibri" w:hAnsi="Verdana" w:cs="Arial"/>
          <w:bCs/>
          <w:sz w:val="20"/>
          <w:szCs w:val="20"/>
          <w:lang w:val="es-MX"/>
        </w:rPr>
      </w:pPr>
    </w:p>
    <w:p w14:paraId="799ECA68" w14:textId="77777777" w:rsidR="00F90CEA" w:rsidRPr="004C5FFE" w:rsidRDefault="00F90CEA" w:rsidP="00F90CEA">
      <w:pPr>
        <w:spacing w:after="0" w:line="240" w:lineRule="auto"/>
        <w:ind w:left="709" w:right="709"/>
        <w:jc w:val="both"/>
        <w:rPr>
          <w:rFonts w:ascii="Verdana" w:eastAsia="Calibri" w:hAnsi="Verdana" w:cs="Arial"/>
          <w:bCs/>
          <w:sz w:val="20"/>
          <w:szCs w:val="20"/>
          <w:lang w:val="es-MX"/>
        </w:rPr>
      </w:pPr>
      <w:r w:rsidRPr="004C5FFE">
        <w:rPr>
          <w:rFonts w:ascii="Verdana" w:eastAsia="Calibri" w:hAnsi="Verdana" w:cs="Arial"/>
          <w:bCs/>
          <w:sz w:val="20"/>
          <w:szCs w:val="20"/>
          <w:lang w:val="es-MX"/>
        </w:rPr>
        <w:lastRenderedPageBreak/>
        <w:t xml:space="preserve">De nuevo, aquí es preciso señalar que es el pliego de condiciones el que debe determinar cuáles son esos factores que en cada caso concreto permiten hacer una comparación entre las ofertas presentadas y, con base en ello, determinar cuál es la más favorable para la Administración Pública. </w:t>
      </w:r>
    </w:p>
    <w:p w14:paraId="5BC7E76C" w14:textId="77777777" w:rsidR="00F90CEA" w:rsidRPr="004C5FFE" w:rsidRDefault="00F90CEA" w:rsidP="00F90CEA">
      <w:pPr>
        <w:spacing w:after="0" w:line="240" w:lineRule="auto"/>
        <w:ind w:left="709" w:right="709"/>
        <w:jc w:val="both"/>
        <w:rPr>
          <w:rFonts w:ascii="Verdana" w:eastAsia="Calibri" w:hAnsi="Verdana" w:cs="Arial"/>
          <w:bCs/>
          <w:sz w:val="20"/>
          <w:szCs w:val="20"/>
          <w:lang w:val="es-MX"/>
        </w:rPr>
      </w:pPr>
    </w:p>
    <w:p w14:paraId="1F060CF4" w14:textId="77777777" w:rsidR="00F90CEA" w:rsidRDefault="00F90CEA" w:rsidP="00F90CEA">
      <w:pPr>
        <w:spacing w:after="0" w:line="240" w:lineRule="auto"/>
        <w:ind w:left="709" w:right="709"/>
        <w:jc w:val="both"/>
        <w:rPr>
          <w:rFonts w:ascii="Verdana" w:eastAsia="Calibri" w:hAnsi="Verdana" w:cs="Arial"/>
          <w:bCs/>
          <w:sz w:val="20"/>
          <w:szCs w:val="20"/>
          <w:lang w:val="es-MX"/>
        </w:rPr>
      </w:pPr>
      <w:r w:rsidRPr="004C5FFE">
        <w:rPr>
          <w:rFonts w:ascii="Verdana" w:eastAsia="Calibri" w:hAnsi="Verdana" w:cs="Arial"/>
          <w:bCs/>
          <w:sz w:val="20"/>
          <w:szCs w:val="20"/>
          <w:lang w:val="es-MX"/>
        </w:rPr>
        <w:t>[…]Una siguiente conclusión que se deriva de la norma parcialmente transcrita consiste en que los pliegos de condiciones deben determinar dos situaciones por separado: 1. cuáles serán los factores o requisitos que serán evaluados por la Administración y 2. cuáles son los criterios para asignar puntaje a cada uno de los factores de evaluación y, con base en ello, poder hacer la comparación entre las ofertas y concluir cuál de ellas es la más ventajosa para la entidad estatal”</w:t>
      </w:r>
      <w:r w:rsidRPr="004C5FFE">
        <w:rPr>
          <w:rFonts w:ascii="Verdana" w:eastAsia="Calibri" w:hAnsi="Verdana" w:cs="Arial"/>
          <w:bCs/>
          <w:sz w:val="20"/>
          <w:szCs w:val="20"/>
          <w:vertAlign w:val="superscript"/>
          <w:lang w:val="es-MX"/>
        </w:rPr>
        <w:footnoteReference w:id="14"/>
      </w:r>
      <w:r w:rsidRPr="004C5FFE">
        <w:rPr>
          <w:rFonts w:ascii="Verdana" w:eastAsia="Calibri" w:hAnsi="Verdana" w:cs="Arial"/>
          <w:bCs/>
          <w:sz w:val="20"/>
          <w:szCs w:val="20"/>
          <w:lang w:val="es-MX"/>
        </w:rPr>
        <w:t>.</w:t>
      </w:r>
    </w:p>
    <w:p w14:paraId="462BA3A3" w14:textId="77777777" w:rsidR="00F90CEA" w:rsidRPr="00627B92" w:rsidRDefault="00F90CEA" w:rsidP="00F90CEA">
      <w:pPr>
        <w:spacing w:after="0" w:line="240" w:lineRule="auto"/>
        <w:ind w:left="709" w:right="709"/>
        <w:jc w:val="both"/>
        <w:rPr>
          <w:rFonts w:ascii="Verdana" w:eastAsia="Calibri" w:hAnsi="Verdana" w:cs="Arial"/>
          <w:bCs/>
          <w:sz w:val="20"/>
          <w:szCs w:val="20"/>
          <w:lang w:val="es-MX"/>
        </w:rPr>
      </w:pPr>
    </w:p>
    <w:p w14:paraId="13318A7F" w14:textId="77777777" w:rsidR="00F90CEA" w:rsidRDefault="00F90CEA" w:rsidP="00F90CEA">
      <w:pPr>
        <w:spacing w:after="0" w:line="276" w:lineRule="auto"/>
        <w:ind w:firstLine="709"/>
        <w:jc w:val="both"/>
        <w:rPr>
          <w:rFonts w:ascii="Verdana" w:eastAsia="Calibri" w:hAnsi="Verdana" w:cs="Arial"/>
          <w:bCs/>
          <w:lang w:val="es-MX"/>
        </w:rPr>
      </w:pPr>
      <w:r w:rsidRPr="004C5FFE">
        <w:rPr>
          <w:rFonts w:ascii="Verdana" w:eastAsia="Calibri" w:hAnsi="Verdana" w:cs="Arial"/>
          <w:bCs/>
          <w:lang w:val="es-MX"/>
        </w:rPr>
        <w:t xml:space="preserve">De esta forma, es posible asimilar las diferentes categorías a las que hace referencia el artículo 5 de la Ley 1150 de 2007, cuando alude a los factores que, a diferencia de los requisitos habilitantes, determinan la oferta más favorable para la entidad, y que, por lo tanto, hacen que una oferta sea mejor que otra, pese a tener que cumplir todas ellas los requisitos habilitantes. Es frente a aquellos factores, que determinan comparativamente que una oferta sea mejor que otra, que la entidad concibe el otorgamiento de puntajes, como mecanismos para ponderar y comparar los ofrecimientos, con el fin de determinar objetivamente la oferta más favorable, aplicando para ello las reglas establecidas en el pliego o documento equivalente para la ponderación de las ofertas. </w:t>
      </w:r>
    </w:p>
    <w:p w14:paraId="0D225449" w14:textId="77777777" w:rsidR="00F90CEA" w:rsidRDefault="00F90CEA" w:rsidP="00F90CEA">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Por su parte, el numeral tercero establece que en los procesos de selección de bienes y servicios de características técnicas uniformes y de común utilización el único factor de evaluación consiste en el menor precio. Por último, el numeral 4, referente a los procedimientos para la selección de consultores, señala que deben usarse factores de calificación, para valorar los aspectos técnicos de la oferta, permitiendo que entre ellos se pondere la experiencia.</w:t>
      </w:r>
    </w:p>
    <w:p w14:paraId="79082B37" w14:textId="77777777" w:rsidR="00F90CEA" w:rsidRDefault="00F90CEA" w:rsidP="00F90CEA">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De acuerdo con lo expresado, se concluye que el artículo 5 de la Ley 1150 de 2007 define los parámetros conforme a los cuales deben exigirse y evaluarse 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w:t>
      </w:r>
      <w:r>
        <w:rPr>
          <w:rFonts w:ascii="Verdana" w:eastAsia="Calibri" w:hAnsi="Verdana" w:cs="Arial"/>
          <w:bCs/>
          <w:lang w:val="es-MX"/>
        </w:rPr>
        <w:lastRenderedPageBreak/>
        <w:t>la presenta, que sí entrarán a ser evaluadas por la Administración y que, en consecuencia, darán lugar a la escogencia objetiva de la mejor propuesta para la entidad”</w:t>
      </w:r>
      <w:r>
        <w:rPr>
          <w:rFonts w:ascii="Verdana" w:eastAsia="Calibri" w:hAnsi="Verdana" w:cs="Arial"/>
          <w:bCs/>
          <w:vertAlign w:val="superscript"/>
          <w:lang w:val="es-MX"/>
        </w:rPr>
        <w:footnoteReference w:id="15"/>
      </w:r>
      <w:r>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Pr>
          <w:rFonts w:ascii="Verdana" w:eastAsia="Calibri" w:hAnsi="Verdana" w:cs="Arial"/>
          <w:bCs/>
          <w:vertAlign w:val="superscript"/>
          <w:lang w:val="es-MX"/>
        </w:rPr>
        <w:footnoteReference w:id="16"/>
      </w:r>
      <w:r>
        <w:rPr>
          <w:rFonts w:ascii="Verdana" w:eastAsia="Calibri" w:hAnsi="Verdana" w:cs="Arial"/>
          <w:bCs/>
          <w:lang w:val="es-MX"/>
        </w:rPr>
        <w:t xml:space="preserve">. </w:t>
      </w:r>
    </w:p>
    <w:p w14:paraId="11A5A39C" w14:textId="77777777" w:rsidR="00F90CEA" w:rsidRPr="006E3E0D" w:rsidRDefault="00F90CEA" w:rsidP="00F90CEA">
      <w:pPr>
        <w:spacing w:after="120" w:line="276" w:lineRule="auto"/>
        <w:ind w:firstLine="708"/>
        <w:jc w:val="both"/>
        <w:rPr>
          <w:rFonts w:ascii="Verdana" w:eastAsia="Calibri" w:hAnsi="Verdana" w:cs="Arial"/>
          <w:color w:val="000000" w:themeColor="text1"/>
          <w:lang w:val="es-ES"/>
        </w:rPr>
      </w:pPr>
      <w:r w:rsidRPr="006E3E0D">
        <w:rPr>
          <w:rFonts w:ascii="Verdana" w:eastAsia="Calibri" w:hAnsi="Verdana" w:cs="Arial"/>
          <w:color w:val="000000" w:themeColor="text1"/>
          <w:lang w:val="es-ES"/>
        </w:rPr>
        <w:t xml:space="preserve">En efecto, los requisitos habilitantes constituyen </w:t>
      </w:r>
      <w:r>
        <w:rPr>
          <w:rFonts w:ascii="Verdana" w:eastAsia="Calibri" w:hAnsi="Verdana" w:cs="Arial"/>
          <w:color w:val="000000" w:themeColor="text1"/>
          <w:lang w:val="es-ES"/>
        </w:rPr>
        <w:t xml:space="preserve">condiciones o exigencias </w:t>
      </w:r>
      <w:r w:rsidRPr="006E3E0D">
        <w:rPr>
          <w:rFonts w:ascii="Verdana" w:eastAsia="Calibri" w:hAnsi="Verdana" w:cs="Arial"/>
          <w:color w:val="000000" w:themeColor="text1"/>
          <w:lang w:val="es-ES"/>
        </w:rPr>
        <w:t xml:space="preserve">que los proponentes deben cumplir y acreditar para participar en el procedimiento de selección, por lo que no son objeto de evaluación a través de la asignación de un puntaje que determine el orden de escogencia. </w:t>
      </w:r>
      <w:r>
        <w:rPr>
          <w:rFonts w:ascii="Verdana" w:eastAsia="Calibri" w:hAnsi="Verdana" w:cs="Arial"/>
          <w:color w:val="000000" w:themeColor="text1"/>
          <w:lang w:val="es-ES"/>
        </w:rPr>
        <w:t>L</w:t>
      </w:r>
      <w:r w:rsidRPr="006E3E0D">
        <w:rPr>
          <w:rFonts w:ascii="Verdana" w:eastAsia="Calibri" w:hAnsi="Verdana" w:cs="Arial"/>
          <w:color w:val="000000" w:themeColor="text1"/>
          <w:lang w:val="es-ES"/>
        </w:rPr>
        <w:t>os requisitos habilitantes constituyen criterios previos a la evaluación, de manera que quienes no los acrediten no pueden continuar en el procedimiento de selección. Esto sin perjuicio del derecho que tienen los oferentes de subsanar los defectos que presenten en la prueba de tales requisitos, de conformidad con el artículo 5, parágrafos 1º al 4º, de la Ley 1150 de 2007.</w:t>
      </w:r>
    </w:p>
    <w:p w14:paraId="0B96942C" w14:textId="127AC61A" w:rsidR="00F90CEA" w:rsidRDefault="00F90CEA" w:rsidP="00F90CEA">
      <w:pPr>
        <w:spacing w:after="120" w:line="276" w:lineRule="auto"/>
        <w:ind w:firstLine="708"/>
        <w:jc w:val="both"/>
        <w:rPr>
          <w:rFonts w:ascii="Verdana" w:eastAsia="Calibri" w:hAnsi="Verdana" w:cs="Arial"/>
          <w:lang w:val="es-ES" w:eastAsia="es-MX"/>
        </w:rPr>
      </w:pPr>
      <w:r w:rsidRPr="004C5FFE">
        <w:rPr>
          <w:rFonts w:ascii="Verdana" w:eastAsia="Times New Roman" w:hAnsi="Verdana" w:cs="Arial"/>
          <w:lang w:val="es-ES_tradnl" w:eastAsia="es-MX"/>
        </w:rPr>
        <w:t>Con respecto al alcance d</w:t>
      </w:r>
      <w:r>
        <w:rPr>
          <w:rFonts w:ascii="Verdana" w:eastAsia="Times New Roman" w:hAnsi="Verdana" w:cs="Arial"/>
          <w:lang w:val="es-ES_tradnl" w:eastAsia="es-MX"/>
        </w:rPr>
        <w:t>el listado de requisitos habilitantes establecidos en la norma</w:t>
      </w:r>
      <w:r w:rsidRPr="004C5FFE">
        <w:rPr>
          <w:rFonts w:ascii="Verdana" w:eastAsia="Times New Roman" w:hAnsi="Verdana" w:cs="Arial"/>
          <w:lang w:val="es-ES_tradnl" w:eastAsia="es-MX"/>
        </w:rPr>
        <w:t xml:space="preserve">, la Agencia Nacional de Contratación Pública – Colombia Compra Eficiente ha defendido el carácter </w:t>
      </w:r>
      <w:bookmarkStart w:id="6" w:name="_Hlk99547799"/>
      <w:r w:rsidRPr="004C5FFE">
        <w:rPr>
          <w:rFonts w:ascii="Verdana" w:eastAsia="Times New Roman" w:hAnsi="Verdana" w:cs="Arial"/>
          <w:i/>
          <w:iCs/>
          <w:lang w:val="es-ES_tradnl" w:eastAsia="es-MX"/>
        </w:rPr>
        <w:t>enunciativo</w:t>
      </w:r>
      <w:r w:rsidRPr="004C5FFE">
        <w:rPr>
          <w:rFonts w:ascii="Verdana" w:eastAsia="Times New Roman" w:hAnsi="Verdana" w:cs="Arial"/>
          <w:lang w:val="es-ES_tradnl" w:eastAsia="es-MX"/>
        </w:rPr>
        <w:t xml:space="preserve"> del listado de los requisitos habilitantes contenidos en el numeral 1 del artículo 5 de la Ley 1150 de 2007, en la medida en que, al referirse a los requisitos habilitantes, no contiene una expresión como “únicamente” o “solo”, de la que pueda colegirse la taxatividad de los requisitos mencionados. </w:t>
      </w:r>
      <w:bookmarkEnd w:id="6"/>
      <w:r w:rsidRPr="004C5FFE">
        <w:rPr>
          <w:rFonts w:ascii="Verdana" w:eastAsia="Times New Roman" w:hAnsi="Verdana" w:cs="Arial"/>
          <w:lang w:val="es-ES_tradnl" w:eastAsia="es-MX"/>
        </w:rPr>
        <w:t>Esta conclusión además se apoya en una lectura integral de las normas que regulan la contratación estatal, en virtud de la cual es posible evidenciar que existen otras condiciones que deben cumplirse para la contratación con Entidades Públicas, de las que derivan requisitos habilitantes, como sucede, por ejemplo, con la capacidad residual a la que se refiere el artículo 6º, parágrafo 1, de la Ley 1150 de 2007</w:t>
      </w:r>
      <w:r w:rsidRPr="004C5FFE">
        <w:rPr>
          <w:rFonts w:ascii="Verdana" w:eastAsia="Times New Roman" w:hAnsi="Verdana" w:cs="Arial"/>
          <w:vertAlign w:val="superscript"/>
          <w:lang w:val="es-ES_tradnl" w:eastAsia="es-MX"/>
        </w:rPr>
        <w:footnoteReference w:id="17"/>
      </w:r>
      <w:r w:rsidRPr="004C5FFE">
        <w:rPr>
          <w:rFonts w:ascii="Verdana" w:eastAsia="Times New Roman" w:hAnsi="Verdana" w:cs="Arial"/>
          <w:lang w:val="es-ES_tradnl" w:eastAsia="es-MX"/>
        </w:rPr>
        <w:t xml:space="preserve">. </w:t>
      </w:r>
    </w:p>
    <w:p w14:paraId="2ABF25A4" w14:textId="77777777" w:rsidR="00F90CEA" w:rsidRPr="004C5FFE" w:rsidRDefault="00F90CEA" w:rsidP="00F90CEA">
      <w:pPr>
        <w:spacing w:after="120" w:line="276" w:lineRule="auto"/>
        <w:ind w:firstLine="709"/>
        <w:jc w:val="both"/>
        <w:rPr>
          <w:rFonts w:ascii="Verdana" w:eastAsia="Times New Roman" w:hAnsi="Verdana" w:cs="Arial"/>
          <w:lang w:val="es-ES_tradnl" w:eastAsia="es-MX"/>
        </w:rPr>
      </w:pPr>
      <w:r w:rsidRPr="004C5FFE">
        <w:rPr>
          <w:rFonts w:ascii="Verdana" w:eastAsia="Times New Roman" w:hAnsi="Verdana" w:cs="Arial"/>
          <w:lang w:val="es-ES_tradnl" w:eastAsia="es-MX"/>
        </w:rPr>
        <w:lastRenderedPageBreak/>
        <w:t>Por otro lado, el “Manual para determinar y verificar los requisitos habilitantes en los Procesos de Contratación”</w:t>
      </w:r>
      <w:r w:rsidRPr="004C5FFE">
        <w:rPr>
          <w:rFonts w:ascii="Verdana" w:eastAsia="Calibri" w:hAnsi="Verdana" w:cs="Arial"/>
          <w:lang w:val="es-ES_tradnl" w:eastAsia="es-MX"/>
        </w:rPr>
        <w:t>,</w:t>
      </w:r>
      <w:r w:rsidRPr="004C5FFE">
        <w:rPr>
          <w:rFonts w:ascii="Verdana" w:eastAsia="Times New Roman" w:hAnsi="Verdana" w:cs="Arial"/>
          <w:lang w:val="es-ES_tradnl" w:eastAsia="es-MX"/>
        </w:rPr>
        <w:t xml:space="preserve"> expedido por la </w:t>
      </w:r>
      <w:r w:rsidRPr="004C5FFE">
        <w:rPr>
          <w:rFonts w:ascii="Verdana" w:eastAsia="Calibri" w:hAnsi="Verdana" w:cs="Arial"/>
          <w:lang w:val="es-ES_tradnl" w:eastAsia="es-MX"/>
        </w:rPr>
        <w:t>Agencia Nacional de Contratación Pública – Colombia Compra Eficiente,</w:t>
      </w:r>
      <w:r w:rsidRPr="004C5FFE">
        <w:rPr>
          <w:rFonts w:ascii="Verdana" w:eastAsia="Times New Roman" w:hAnsi="Verdana" w:cs="Arial"/>
          <w:lang w:val="es-ES_tradnl" w:eastAsia="es-MX"/>
        </w:rPr>
        <w:t xml:space="preserve"> determina los parámetros para establecer, acreditar y subsanar los requisitos habilitantes. El documento resalta que tienen como fin primordial medir “la aptitud </w:t>
      </w:r>
      <w:r w:rsidRPr="004C5FFE">
        <w:rPr>
          <w:rFonts w:ascii="Verdana" w:eastAsia="Times New Roman" w:hAnsi="Verdana" w:cs="Arial"/>
          <w:i/>
          <w:iCs/>
          <w:lang w:val="es-ES_tradnl" w:eastAsia="es-MX"/>
        </w:rPr>
        <w:t>del proponente</w:t>
      </w:r>
      <w:r w:rsidRPr="004C5FFE">
        <w:rPr>
          <w:rFonts w:ascii="Verdana" w:eastAsia="Times New Roman" w:hAnsi="Verdana" w:cs="Arial"/>
          <w:lang w:val="es-ES_tradnl" w:eastAsia="es-MX"/>
        </w:rPr>
        <w:t xml:space="preserve"> para participar en un proceso de contratación como oferente y están referidos a su capacidad jurídica, financiera, organizacional y su experiencia”. De acuerdo con el Manual, su propósito es “establecer unas condiciones mínimas para los </w:t>
      </w:r>
      <w:r w:rsidRPr="004C5FFE">
        <w:rPr>
          <w:rFonts w:ascii="Verdana" w:eastAsia="Times New Roman" w:hAnsi="Verdana" w:cs="Arial"/>
          <w:i/>
          <w:iCs/>
          <w:lang w:val="es-ES_tradnl" w:eastAsia="es-MX"/>
        </w:rPr>
        <w:t>proponentes</w:t>
      </w:r>
      <w:r w:rsidRPr="004C5FFE">
        <w:rPr>
          <w:rFonts w:ascii="Verdana" w:eastAsia="Times New Roman" w:hAnsi="Verdana" w:cs="Arial"/>
          <w:lang w:val="es-ES_tradnl" w:eastAsia="es-MX"/>
        </w:rPr>
        <w:t xml:space="preserve"> de tal manera que la Entidad Estatal sólo evalúe las ofertas de aquellos que están en condiciones de cumplir con el objeto del Proceso de Contratación”. </w:t>
      </w:r>
    </w:p>
    <w:p w14:paraId="0213CD43" w14:textId="77777777" w:rsidR="00F90CEA" w:rsidRPr="004C5FFE" w:rsidRDefault="00F90CEA" w:rsidP="00F90CEA">
      <w:pPr>
        <w:spacing w:after="120" w:line="276" w:lineRule="auto"/>
        <w:ind w:firstLine="709"/>
        <w:jc w:val="both"/>
        <w:rPr>
          <w:rFonts w:ascii="Verdana" w:eastAsia="Times New Roman" w:hAnsi="Verdana" w:cs="Arial"/>
          <w:lang w:val="es-ES_tradnl" w:eastAsia="es-MX"/>
        </w:rPr>
      </w:pPr>
      <w:r w:rsidRPr="004C5FFE">
        <w:rPr>
          <w:rFonts w:ascii="Verdana" w:eastAsia="Times New Roman" w:hAnsi="Verdana" w:cs="Arial"/>
          <w:lang w:val="es-ES_tradnl" w:eastAsia="es-MX"/>
        </w:rPr>
        <w:t>Así las cosas, al tratarse de condiciones mínimas, las entidades podrían establecer otras, según su autonomía de la voluntad, y teniendo en cuenta el objeto del contrato, los riesgos detectados en los estudios previos, el presupuesto oficial, entre otros factores. Al respecto, en la Sentencia C-004 de 2017, la Corte Constitucional señaló que “[l]a determinación de dichas condiciones habilitantes para participar, es competencia de la entidad que planee la celebración del contrato, a través de la valoración en concreto de las características mínimas de idoneidad, experiencia, capacidad jurídica y financiera para que la realización del objeto contractual resulte eficiente y eficaz frente a la necesidad identificada”.</w:t>
      </w:r>
    </w:p>
    <w:p w14:paraId="4CB63E28" w14:textId="77777777" w:rsidR="00F90CEA" w:rsidRDefault="00F90CEA" w:rsidP="00F90CEA">
      <w:pPr>
        <w:tabs>
          <w:tab w:val="left" w:pos="426"/>
        </w:tabs>
        <w:spacing w:after="120" w:line="276" w:lineRule="auto"/>
        <w:ind w:firstLine="709"/>
        <w:jc w:val="both"/>
        <w:rPr>
          <w:rFonts w:ascii="Verdana" w:eastAsia="Times New Roman" w:hAnsi="Verdana" w:cs="Arial"/>
          <w:lang w:val="es-ES_tradnl" w:eastAsia="es-MX"/>
        </w:rPr>
      </w:pPr>
      <w:r w:rsidRPr="004C5FFE">
        <w:rPr>
          <w:rFonts w:ascii="Verdana" w:eastAsia="Times New Roman" w:hAnsi="Verdana" w:cs="Arial"/>
          <w:lang w:val="es-ES_tradnl" w:eastAsia="es-MX"/>
        </w:rPr>
        <w:t xml:space="preserve">En ese sentido, si bien </w:t>
      </w:r>
      <w:r w:rsidRPr="004C5FFE">
        <w:rPr>
          <w:rFonts w:ascii="Verdana" w:eastAsia="Calibri" w:hAnsi="Verdana" w:cs="Arial"/>
          <w:lang w:val="es-ES_tradnl" w:eastAsia="es-MX"/>
        </w:rPr>
        <w:t xml:space="preserve">la Ley 1150 de 2007 estableció unos requisitos habilitantes para los proponentes –la capacidad jurídica, las condiciones de experiencia, la capacidad financiera y la capacidad de organización–, estos no son taxativos. </w:t>
      </w:r>
      <w:r w:rsidRPr="004C5FFE">
        <w:rPr>
          <w:rFonts w:ascii="Verdana" w:eastAsia="Times New Roman" w:hAnsi="Verdana" w:cs="Arial"/>
          <w:lang w:val="es-ES_tradnl" w:eastAsia="es-MX"/>
        </w:rPr>
        <w:t xml:space="preserve">En consecuencia, corresponde a las Entidades Estatales, durante la etapa de planeación del contrato estatal, estudiar y </w:t>
      </w:r>
      <w:r w:rsidRPr="004C5FFE">
        <w:rPr>
          <w:rFonts w:ascii="Verdana" w:eastAsia="Times New Roman" w:hAnsi="Verdana" w:cs="Arial"/>
          <w:bCs/>
          <w:iCs/>
          <w:lang w:val="es-ES_tradnl" w:eastAsia="es-MX"/>
        </w:rPr>
        <w:t>determinar</w:t>
      </w:r>
      <w:r w:rsidRPr="004C5FFE">
        <w:rPr>
          <w:rFonts w:ascii="Verdana" w:eastAsia="Times New Roman" w:hAnsi="Verdana" w:cs="Arial"/>
          <w:lang w:val="es-ES_tradnl" w:eastAsia="es-MX"/>
        </w:rPr>
        <w:t xml:space="preserve"> los requisitos habilitantes que establecerán en los Pliegos de Condiciones, los cuales deben fijarse de forma adecuada y proporcional. </w:t>
      </w:r>
    </w:p>
    <w:p w14:paraId="067B74EE" w14:textId="0B0E9D2E" w:rsidR="00F90CEA" w:rsidRPr="00AE1346" w:rsidRDefault="00F90CEA" w:rsidP="00F90CEA">
      <w:pPr>
        <w:tabs>
          <w:tab w:val="left" w:pos="426"/>
        </w:tabs>
        <w:spacing w:after="120" w:line="276" w:lineRule="auto"/>
        <w:ind w:firstLine="709"/>
        <w:jc w:val="both"/>
        <w:rPr>
          <w:rFonts w:ascii="Verdana" w:eastAsia="Times New Roman" w:hAnsi="Verdana" w:cs="Arial"/>
          <w:lang w:val="es-ES_tradnl" w:eastAsia="es-MX"/>
        </w:rPr>
      </w:pPr>
      <w:r w:rsidRPr="006E3E0D">
        <w:rPr>
          <w:rFonts w:ascii="Verdana" w:eastAsia="Calibri" w:hAnsi="Verdana" w:cs="Arial"/>
          <w:color w:val="000000" w:themeColor="text1"/>
          <w:lang w:val="es-ES"/>
        </w:rPr>
        <w:t xml:space="preserve">Según el artículo 2.2.1.1.1.6.2 del Decreto 1082 de 2015, las entidades deben hacer lo anterior de acuerdo </w:t>
      </w:r>
      <w:bookmarkStart w:id="7" w:name="_Hlk182863897"/>
      <w:r w:rsidRPr="006E3E0D">
        <w:rPr>
          <w:rFonts w:ascii="Verdana" w:eastAsia="Calibri" w:hAnsi="Verdana" w:cs="Arial"/>
          <w:color w:val="000000" w:themeColor="text1"/>
          <w:lang w:val="es-ES"/>
        </w:rPr>
        <w:t xml:space="preserve">con la naturaleza, el valor del contrato, la forma de pago, los riesgos asociados, el plazo y la complejidad de ejecución del </w:t>
      </w:r>
      <w:r w:rsidRPr="006E3E0D">
        <w:rPr>
          <w:rFonts w:ascii="Verdana" w:eastAsia="Calibri" w:hAnsi="Verdana" w:cs="Arial"/>
          <w:color w:val="000000" w:themeColor="text1"/>
          <w:lang w:val="es-ES"/>
        </w:rPr>
        <w:lastRenderedPageBreak/>
        <w:t>objeto</w:t>
      </w:r>
      <w:r w:rsidRPr="006E3E0D">
        <w:rPr>
          <w:rStyle w:val="FootnoteReference"/>
          <w:rFonts w:ascii="Verdana" w:eastAsia="Calibri" w:hAnsi="Verdana" w:cs="Arial"/>
          <w:color w:val="000000" w:themeColor="text1"/>
          <w:lang w:val="es-ES"/>
        </w:rPr>
        <w:footnoteReference w:id="18"/>
      </w:r>
      <w:r w:rsidRPr="006E3E0D">
        <w:rPr>
          <w:rFonts w:ascii="Verdana" w:eastAsia="Calibri" w:hAnsi="Verdana" w:cs="Arial"/>
          <w:color w:val="000000" w:themeColor="text1"/>
          <w:lang w:val="es-ES"/>
        </w:rPr>
        <w:t>.</w:t>
      </w:r>
      <w:bookmarkEnd w:id="7"/>
      <w:r>
        <w:rPr>
          <w:rFonts w:ascii="Verdana" w:eastAsia="Calibri" w:hAnsi="Verdana" w:cs="Arial"/>
          <w:color w:val="000000" w:themeColor="text1"/>
          <w:lang w:val="es-ES"/>
        </w:rPr>
        <w:t xml:space="preserve"> </w:t>
      </w:r>
      <w:r w:rsidRPr="006E3E0D">
        <w:rPr>
          <w:rFonts w:ascii="Verdana" w:eastAsia="Calibri" w:hAnsi="Verdana" w:cs="Arial"/>
          <w:color w:val="000000" w:themeColor="text1"/>
          <w:lang w:val="es-ES"/>
        </w:rPr>
        <w:t>De esta manera, la facultad de establecer los requisitos habilitantes no puede ejercerse de forma arbitraria, caprichosa, ni con el ánimo de direccionar el proceso de contratación o favorecer (directa o indirectamente) a alguno de los proponentes.</w:t>
      </w:r>
      <w:r>
        <w:rPr>
          <w:rFonts w:ascii="Verdana" w:eastAsia="Calibri" w:hAnsi="Verdana" w:cs="Arial"/>
          <w:color w:val="000000" w:themeColor="text1"/>
          <w:lang w:val="es-ES"/>
        </w:rPr>
        <w:t xml:space="preserve"> </w:t>
      </w:r>
      <w:r w:rsidRPr="006E3E0D">
        <w:rPr>
          <w:rFonts w:ascii="Verdana" w:eastAsia="Calibri" w:hAnsi="Verdana" w:cs="Arial"/>
          <w:color w:val="000000" w:themeColor="text1"/>
          <w:lang w:val="es-ES"/>
        </w:rPr>
        <w:t>Tampoco pueden ejercer esta facultad desconociendo límites legales, como, por ejemplo, el que estable</w:t>
      </w:r>
      <w:r>
        <w:rPr>
          <w:rFonts w:ascii="Verdana" w:eastAsia="Calibri" w:hAnsi="Verdana" w:cs="Arial"/>
          <w:color w:val="000000" w:themeColor="text1"/>
          <w:lang w:val="es-ES"/>
        </w:rPr>
        <w:t>ce</w:t>
      </w:r>
      <w:r w:rsidRPr="006E3E0D">
        <w:rPr>
          <w:rFonts w:ascii="Verdana" w:eastAsia="Calibri" w:hAnsi="Verdana" w:cs="Arial"/>
          <w:color w:val="000000" w:themeColor="text1"/>
          <w:lang w:val="es-ES"/>
        </w:rPr>
        <w:t xml:space="preserve"> el parágrafo 2 del artículo 5 de la Ley 1150 de 2007 sobre la prohibición de exigir certificaciones de sistemas de gestión de calidad como requisito habilitante. </w:t>
      </w:r>
    </w:p>
    <w:p w14:paraId="49418442" w14:textId="77777777" w:rsidR="00F90CEA" w:rsidRPr="006E3E0D" w:rsidRDefault="00F90CEA" w:rsidP="00F90CEA">
      <w:pPr>
        <w:widowControl w:val="0"/>
        <w:autoSpaceDE w:val="0"/>
        <w:autoSpaceDN w:val="0"/>
        <w:spacing w:line="276" w:lineRule="auto"/>
        <w:ind w:firstLine="709"/>
        <w:jc w:val="both"/>
        <w:rPr>
          <w:rFonts w:ascii="Verdana" w:eastAsia="Calibri" w:hAnsi="Verdana" w:cs="Arial"/>
          <w:color w:val="000000" w:themeColor="text1"/>
          <w:lang w:val="es-ES"/>
        </w:rPr>
      </w:pPr>
      <w:r w:rsidRPr="006E3E0D">
        <w:rPr>
          <w:rFonts w:ascii="Verdana" w:eastAsia="Calibri" w:hAnsi="Verdana" w:cs="Arial"/>
          <w:color w:val="000000" w:themeColor="text1"/>
          <w:lang w:val="es-ES"/>
        </w:rPr>
        <w:t>En este sentido, el principio de autonomía de la voluntad, reconocido en los artículos 13, 32 y 40 de la Ley 80 de 1993 para las entidades sometidas al Estatuto General de Contratación de la Administración Pública, y en el artículo 1602 del Código Civil para las exceptuadas, es el fundamento normativo que otorga a las Entidades Estatales competencia para que puedan solicitar requisitos habilitantes adicionales o diferentes a los establecidos en el numeral 1º del artículo 5 de la Ley 1150 de 2007. En realidad, lo que este numeral establece es una limitación a la discrecionalidad administrativa para la estipulación de los requisitos de participación, bajo la óptica de que, si se incluyen los allí señalados, por regla general, no otorgarán puntaje; pero este enunciado no debe interpretarse en el sentido de que las entidades pueden exigir única y exclusivamente los requisitos habilitantes enlistados en el artículo. Esta lectura negaría la autonomía reconocida a los órganos del Estado para construir el pliego de condiciones y definir los requisitos que deben reunir los oferentes según el resultado de los estudios previos, en armonía con los principios de legalidad y proporcionalidad.</w:t>
      </w:r>
    </w:p>
    <w:p w14:paraId="717BC1D9" w14:textId="77777777" w:rsidR="00F90CEA" w:rsidRPr="006E3E0D" w:rsidRDefault="00F90CEA" w:rsidP="00F90CEA">
      <w:pPr>
        <w:widowControl w:val="0"/>
        <w:autoSpaceDE w:val="0"/>
        <w:autoSpaceDN w:val="0"/>
        <w:spacing w:line="276" w:lineRule="auto"/>
        <w:ind w:firstLine="709"/>
        <w:jc w:val="both"/>
        <w:rPr>
          <w:rFonts w:ascii="Verdana" w:eastAsia="Calibri" w:hAnsi="Verdana" w:cs="Arial"/>
          <w:color w:val="000000" w:themeColor="text1"/>
          <w:lang w:val="es-ES"/>
        </w:rPr>
      </w:pPr>
      <w:r w:rsidRPr="006E3E0D">
        <w:rPr>
          <w:rFonts w:ascii="Verdana" w:eastAsia="Calibri" w:hAnsi="Verdana" w:cs="Arial"/>
          <w:color w:val="000000" w:themeColor="text1"/>
          <w:lang w:val="es-ES"/>
        </w:rPr>
        <w:t xml:space="preserve">Considerando la discrecionalidad para establecer requisitos habilitantes, es necesario tener en cuenta que el artículo 44 de la Ley 1437 de 2011, aplicable en los procedimientos contractuales en virtud del artículo 77 de la Ley 80 de 1993, dispone que “En la medida en que el contenido de una decisión de carácter general o particular sea discrecional, debe ser adecuada a los fines de la norma que la autoriza, y proporcional a los hechos que le sirven de causa”. En consecuencia, la Entidad Estatal tiene la carga de justificar en los estudios </w:t>
      </w:r>
      <w:r w:rsidRPr="006E3E0D">
        <w:rPr>
          <w:rFonts w:ascii="Verdana" w:eastAsia="Calibri" w:hAnsi="Verdana" w:cs="Arial"/>
          <w:color w:val="000000" w:themeColor="text1"/>
          <w:lang w:val="es-ES"/>
        </w:rPr>
        <w:lastRenderedPageBreak/>
        <w:t>previos y análisis del sector del proceso de selección los requisitos habilitantes que establezca, de conformidad con el artículo 2.2.1.1.1.6.2 del Decreto 1082 de 2015.</w:t>
      </w:r>
    </w:p>
    <w:p w14:paraId="33C894EC" w14:textId="77777777" w:rsidR="00F90CEA" w:rsidRDefault="00F90CEA" w:rsidP="00F90CEA">
      <w:pPr>
        <w:widowControl w:val="0"/>
        <w:autoSpaceDE w:val="0"/>
        <w:autoSpaceDN w:val="0"/>
        <w:spacing w:line="276" w:lineRule="auto"/>
        <w:ind w:firstLine="709"/>
        <w:jc w:val="both"/>
        <w:rPr>
          <w:rFonts w:ascii="Verdana" w:eastAsia="Calibri" w:hAnsi="Verdana" w:cs="Arial"/>
          <w:color w:val="000000" w:themeColor="text1"/>
          <w:lang w:val="es-ES"/>
        </w:rPr>
      </w:pPr>
      <w:r w:rsidRPr="006E3E0D">
        <w:rPr>
          <w:rFonts w:ascii="Verdana" w:eastAsia="Calibri" w:hAnsi="Verdana" w:cs="Arial"/>
          <w:color w:val="000000" w:themeColor="text1"/>
          <w:lang w:val="es-ES"/>
        </w:rPr>
        <w:t>En conclusión, aunque la Ley 1150 de 2007 estableció la capacidad jurídica, las condiciones de experiencia, la capacidad financiera y la capacidad de organización como requisitos habilitantes, este listado no es taxativo. Corresponde a la Entidad Estatal establecerlos en cada proceso contractual, justificando su procedencia y siguiendo los parámetros fijados en el Decreto 1082 de 2015. Una vez establecidos los requisitos habilitantes, quienes presenten ofertas deben acreditar que cumplen con ellos, so pena de que sus propuestas sean rechazadas, sin perjuicio de la posibilidad de subsanarlas, cuando a ello haya lugar.</w:t>
      </w:r>
    </w:p>
    <w:p w14:paraId="4D910813" w14:textId="77777777" w:rsidR="00F90CEA" w:rsidRPr="004C5FFE" w:rsidRDefault="00F90CEA" w:rsidP="00F90CEA">
      <w:pPr>
        <w:spacing w:after="120" w:line="276" w:lineRule="auto"/>
        <w:ind w:right="51" w:firstLine="709"/>
        <w:jc w:val="both"/>
        <w:rPr>
          <w:rFonts w:ascii="Verdana" w:eastAsia="Calibri" w:hAnsi="Verdana" w:cs="Arial"/>
          <w:bCs/>
          <w:lang w:val="es-MX"/>
        </w:rPr>
      </w:pPr>
      <w:r w:rsidRPr="004C5FFE">
        <w:rPr>
          <w:rFonts w:ascii="Verdana" w:eastAsia="Calibri" w:hAnsi="Verdana" w:cs="Arial"/>
          <w:bCs/>
          <w:lang w:val="es-MX"/>
        </w:rPr>
        <w:t>De acuerdo con lo expresado, el artículo 5 de la Ley 1150 de 2007 define los parámetros conforme a los cuales deben exigirse y evaluarse 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sidRPr="004C5FFE">
        <w:rPr>
          <w:rFonts w:ascii="Verdana" w:eastAsia="Calibri" w:hAnsi="Verdana" w:cs="Arial"/>
          <w:bCs/>
          <w:vertAlign w:val="superscript"/>
          <w:lang w:val="es-MX"/>
        </w:rPr>
        <w:footnoteReference w:id="19"/>
      </w:r>
      <w:r w:rsidRPr="004C5FFE">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sidRPr="004C5FFE">
        <w:rPr>
          <w:rFonts w:ascii="Verdana" w:eastAsia="Calibri" w:hAnsi="Verdana" w:cs="Arial"/>
          <w:bCs/>
          <w:vertAlign w:val="superscript"/>
          <w:lang w:val="es-MX"/>
        </w:rPr>
        <w:footnoteReference w:id="20"/>
      </w:r>
      <w:r w:rsidRPr="004C5FFE">
        <w:rPr>
          <w:rFonts w:ascii="Verdana" w:eastAsia="Calibri" w:hAnsi="Verdana" w:cs="Arial"/>
          <w:bCs/>
          <w:lang w:val="es-MX"/>
        </w:rPr>
        <w:t xml:space="preserve">. </w:t>
      </w:r>
    </w:p>
    <w:p w14:paraId="5BC6367A" w14:textId="77777777" w:rsidR="00F90CEA" w:rsidRPr="00AE1346" w:rsidRDefault="00F90CEA" w:rsidP="00F90CEA">
      <w:pPr>
        <w:spacing w:after="0" w:line="276" w:lineRule="auto"/>
        <w:ind w:firstLine="709"/>
        <w:jc w:val="both"/>
        <w:rPr>
          <w:rFonts w:ascii="Verdana" w:eastAsia="Calibri" w:hAnsi="Verdana" w:cs="Arial"/>
          <w:bCs/>
          <w:lang w:val="es-MX"/>
        </w:rPr>
      </w:pPr>
    </w:p>
    <w:p w14:paraId="5E24C03C" w14:textId="77777777" w:rsidR="00F90CEA" w:rsidRDefault="00F90CEA" w:rsidP="00F90CEA">
      <w:pPr>
        <w:tabs>
          <w:tab w:val="left" w:pos="709"/>
          <w:tab w:val="left" w:pos="2662"/>
        </w:tabs>
        <w:spacing w:after="120" w:line="276" w:lineRule="auto"/>
        <w:jc w:val="both"/>
        <w:rPr>
          <w:rFonts w:ascii="Verdana" w:eastAsia="Calibri" w:hAnsi="Verdana" w:cs="Arial"/>
          <w:bCs/>
          <w:lang w:val="es-ES"/>
        </w:rPr>
      </w:pPr>
      <w:r>
        <w:rPr>
          <w:rFonts w:ascii="Verdana" w:eastAsia="Calibri" w:hAnsi="Verdana" w:cs="Arial"/>
          <w:bCs/>
          <w:lang w:val="es-MX"/>
        </w:rPr>
        <w:t xml:space="preserve">iii. </w:t>
      </w:r>
      <w:r w:rsidRPr="00BA0673">
        <w:rPr>
          <w:rFonts w:ascii="Verdana" w:eastAsia="Calibri" w:hAnsi="Verdana" w:cs="Arial"/>
          <w:bCs/>
          <w:lang w:val="es-MX"/>
        </w:rPr>
        <w:t xml:space="preserve">Lo </w:t>
      </w:r>
      <w:r>
        <w:rPr>
          <w:rFonts w:ascii="Verdana" w:eastAsia="Calibri" w:hAnsi="Verdana" w:cs="Arial"/>
          <w:bCs/>
          <w:lang w:val="es-MX"/>
        </w:rPr>
        <w:t xml:space="preserve">expuesto </w:t>
      </w:r>
      <w:r w:rsidRPr="00BA0673">
        <w:rPr>
          <w:rFonts w:ascii="Verdana" w:eastAsia="Calibri" w:hAnsi="Verdana" w:cs="Arial"/>
          <w:bCs/>
          <w:lang w:val="es-MX"/>
        </w:rPr>
        <w:t>adquiere especial relevancia para el análisis objeto del presente concep</w:t>
      </w:r>
      <w:r>
        <w:rPr>
          <w:rFonts w:ascii="Verdana" w:eastAsia="Calibri" w:hAnsi="Verdana" w:cs="Arial"/>
          <w:bCs/>
          <w:lang w:val="es-MX"/>
        </w:rPr>
        <w:t xml:space="preserve">to. Por una parte, es claro que como parte del deber de planeación las entidades deben conocer el contexto regulatorio y técnico que rige el bien, obra </w:t>
      </w:r>
      <w:r>
        <w:rPr>
          <w:rFonts w:ascii="Verdana" w:eastAsia="Calibri" w:hAnsi="Verdana" w:cs="Arial"/>
          <w:bCs/>
          <w:lang w:val="es-MX"/>
        </w:rPr>
        <w:lastRenderedPageBreak/>
        <w:t xml:space="preserve">o servicio que pretenden </w:t>
      </w:r>
      <w:r w:rsidRPr="005E3502">
        <w:rPr>
          <w:rFonts w:ascii="Verdana" w:eastAsia="Calibri" w:hAnsi="Verdana" w:cs="Arial"/>
          <w:bCs/>
          <w:lang w:val="es-ES"/>
        </w:rPr>
        <w:t xml:space="preserve">contratar para la satisfacción de la necesidad identificada. En efecto, en el estudio del sector debe constar la identificación de los procedimientos, trámites y requisitos que deben satisfacerse, reunirse y obtenerse para seleccionar al contratista y llevar a cabo la ejecución del contrato. Lo anterior incluye la revisión y análisis de las normas técnicas, requisitos sanitarios, normativa de protección de datos, las posibles autorizaciones, permisos o licencias requeridos para la ejecución, así como su impacto en el </w:t>
      </w:r>
      <w:r>
        <w:rPr>
          <w:rFonts w:ascii="Verdana" w:eastAsia="Calibri" w:hAnsi="Verdana" w:cs="Arial"/>
          <w:bCs/>
          <w:lang w:val="es-ES"/>
        </w:rPr>
        <w:t>P</w:t>
      </w:r>
      <w:r w:rsidRPr="005E3502">
        <w:rPr>
          <w:rFonts w:ascii="Verdana" w:eastAsia="Calibri" w:hAnsi="Verdana" w:cs="Arial"/>
          <w:bCs/>
          <w:lang w:val="es-ES"/>
        </w:rPr>
        <w:t xml:space="preserve">roceso de </w:t>
      </w:r>
      <w:r>
        <w:rPr>
          <w:rFonts w:ascii="Verdana" w:eastAsia="Calibri" w:hAnsi="Verdana" w:cs="Arial"/>
          <w:bCs/>
          <w:lang w:val="es-ES"/>
        </w:rPr>
        <w:t>C</w:t>
      </w:r>
      <w:r w:rsidRPr="005E3502">
        <w:rPr>
          <w:rFonts w:ascii="Verdana" w:eastAsia="Calibri" w:hAnsi="Verdana" w:cs="Arial"/>
          <w:bCs/>
          <w:lang w:val="es-ES"/>
        </w:rPr>
        <w:t>ontratación. Esto implica, por ejemplo, considerar los requisitos, términos y plazos requeridos para su gestión y obtención, así como determinar cuáles son indispensables</w:t>
      </w:r>
      <w:r>
        <w:rPr>
          <w:rFonts w:ascii="Verdana" w:eastAsia="Calibri" w:hAnsi="Verdana" w:cs="Arial"/>
          <w:bCs/>
          <w:lang w:val="es-ES"/>
        </w:rPr>
        <w:t xml:space="preserve"> –</w:t>
      </w:r>
      <w:r w:rsidRPr="005E3502">
        <w:rPr>
          <w:rFonts w:ascii="Verdana" w:eastAsia="Calibri" w:hAnsi="Verdana" w:cs="Arial"/>
          <w:bCs/>
          <w:lang w:val="es-ES"/>
        </w:rPr>
        <w:t xml:space="preserve">es decir, </w:t>
      </w:r>
      <w:r>
        <w:rPr>
          <w:rFonts w:ascii="Verdana" w:eastAsia="Calibri" w:hAnsi="Verdana" w:cs="Arial"/>
          <w:bCs/>
          <w:lang w:val="es-ES"/>
        </w:rPr>
        <w:t xml:space="preserve">aquellos </w:t>
      </w:r>
      <w:r w:rsidRPr="005E3502">
        <w:rPr>
          <w:rFonts w:ascii="Verdana" w:eastAsia="Calibri" w:hAnsi="Verdana" w:cs="Arial"/>
          <w:bCs/>
          <w:lang w:val="es-ES"/>
        </w:rPr>
        <w:t xml:space="preserve">sin los cuales será materialmente </w:t>
      </w:r>
      <w:r>
        <w:rPr>
          <w:rFonts w:ascii="Verdana" w:eastAsia="Calibri" w:hAnsi="Verdana" w:cs="Arial"/>
          <w:bCs/>
          <w:lang w:val="es-ES"/>
        </w:rPr>
        <w:t>im</w:t>
      </w:r>
      <w:r w:rsidRPr="005E3502">
        <w:rPr>
          <w:rFonts w:ascii="Verdana" w:eastAsia="Calibri" w:hAnsi="Verdana" w:cs="Arial"/>
          <w:bCs/>
          <w:lang w:val="es-ES"/>
        </w:rPr>
        <w:t>posible la ejecución del contrato</w:t>
      </w:r>
      <w:r>
        <w:rPr>
          <w:rFonts w:ascii="Verdana" w:eastAsia="Calibri" w:hAnsi="Verdana" w:cs="Arial"/>
          <w:bCs/>
          <w:lang w:val="es-ES"/>
        </w:rPr>
        <w:t>–</w:t>
      </w:r>
      <w:r w:rsidRPr="005E3502">
        <w:rPr>
          <w:rFonts w:ascii="Verdana" w:eastAsia="Calibri" w:hAnsi="Verdana" w:cs="Arial"/>
          <w:bCs/>
          <w:lang w:val="es-ES"/>
        </w:rPr>
        <w:t>, y cu</w:t>
      </w:r>
      <w:r>
        <w:rPr>
          <w:rFonts w:ascii="Verdana" w:eastAsia="Calibri" w:hAnsi="Verdana" w:cs="Arial"/>
          <w:bCs/>
          <w:lang w:val="es-ES"/>
        </w:rPr>
        <w:t>á</w:t>
      </w:r>
      <w:r w:rsidRPr="005E3502">
        <w:rPr>
          <w:rFonts w:ascii="Verdana" w:eastAsia="Calibri" w:hAnsi="Verdana" w:cs="Arial"/>
          <w:bCs/>
          <w:lang w:val="es-ES"/>
        </w:rPr>
        <w:t>les pueden representar una ventaja en la determinación de la oferta más favorable y podrán</w:t>
      </w:r>
      <w:r>
        <w:rPr>
          <w:rFonts w:ascii="Verdana" w:eastAsia="Calibri" w:hAnsi="Verdana" w:cs="Arial"/>
          <w:bCs/>
          <w:lang w:val="es-ES"/>
        </w:rPr>
        <w:t>, por esta razón,</w:t>
      </w:r>
      <w:r w:rsidRPr="005E3502">
        <w:rPr>
          <w:rFonts w:ascii="Verdana" w:eastAsia="Calibri" w:hAnsi="Verdana" w:cs="Arial"/>
          <w:bCs/>
          <w:lang w:val="es-ES"/>
        </w:rPr>
        <w:t xml:space="preserve"> materializarse en requisitos ponderables o de calidad, respetando los límites que impone el ordenamiento jurídico.</w:t>
      </w:r>
    </w:p>
    <w:p w14:paraId="75EBC30F" w14:textId="77777777" w:rsidR="00F90CEA" w:rsidRPr="005E3502" w:rsidRDefault="00F90CEA" w:rsidP="00F90CEA">
      <w:pPr>
        <w:tabs>
          <w:tab w:val="left" w:pos="709"/>
          <w:tab w:val="left" w:pos="2662"/>
        </w:tabs>
        <w:spacing w:after="120" w:line="276" w:lineRule="auto"/>
        <w:ind w:firstLine="709"/>
        <w:jc w:val="both"/>
        <w:rPr>
          <w:rFonts w:ascii="Verdana" w:eastAsia="Calibri" w:hAnsi="Verdana" w:cs="Arial"/>
          <w:bCs/>
          <w:lang w:val="es-ES"/>
        </w:rPr>
      </w:pPr>
      <w:r w:rsidRPr="005E3502">
        <w:rPr>
          <w:rFonts w:ascii="Verdana" w:eastAsia="Calibri" w:hAnsi="Verdana" w:cs="Arial"/>
          <w:bCs/>
          <w:lang w:val="es-ES"/>
        </w:rPr>
        <w:t xml:space="preserve">En este análisis es importante resaltar que </w:t>
      </w:r>
      <w:r w:rsidRPr="005E3502">
        <w:rPr>
          <w:rFonts w:ascii="Verdana" w:eastAsia="Calibri" w:hAnsi="Verdana" w:cs="Arial"/>
          <w:color w:val="000000" w:themeColor="text1"/>
          <w:lang w:val="es-ES"/>
        </w:rPr>
        <w:t xml:space="preserve">las entidades deben determinar los requisitos habilitantes del proceso de selección que le permitan verificar que </w:t>
      </w:r>
      <w:r w:rsidRPr="005E3502">
        <w:rPr>
          <w:rFonts w:ascii="Verdana" w:eastAsia="Calibri" w:hAnsi="Verdana" w:cs="Arial"/>
          <w:i/>
          <w:iCs/>
          <w:color w:val="000000" w:themeColor="text1"/>
          <w:lang w:val="es-ES"/>
        </w:rPr>
        <w:t>el proponente</w:t>
      </w:r>
      <w:r w:rsidRPr="005E3502">
        <w:rPr>
          <w:rFonts w:ascii="Verdana" w:eastAsia="Calibri" w:hAnsi="Verdana" w:cs="Arial"/>
          <w:color w:val="000000" w:themeColor="text1"/>
          <w:lang w:val="es-ES"/>
        </w:rPr>
        <w:t xml:space="preserve"> cumple con la capacidad y experiencia</w:t>
      </w:r>
      <w:r w:rsidRPr="004C5FFE">
        <w:rPr>
          <w:rFonts w:ascii="Verdana" w:eastAsia="Calibri" w:hAnsi="Verdana" w:cs="Arial"/>
          <w:color w:val="000000" w:themeColor="text1"/>
          <w:lang w:val="es-ES"/>
        </w:rPr>
        <w:t xml:space="preserve"> necesarias para ejecutar el objeto contractual.</w:t>
      </w:r>
      <w:r w:rsidRPr="004C5FFE">
        <w:rPr>
          <w:rFonts w:ascii="Verdana" w:eastAsia="Times New Roman" w:hAnsi="Verdana" w:cs="Arial"/>
          <w:lang w:val="es-ES" w:eastAsia="es-MX"/>
        </w:rPr>
        <w:t xml:space="preserve"> </w:t>
      </w:r>
      <w:r w:rsidRPr="004C5FFE">
        <w:rPr>
          <w:rFonts w:ascii="Verdana" w:eastAsia="Times New Roman" w:hAnsi="Verdana" w:cs="Arial"/>
          <w:lang w:eastAsia="es-MX"/>
        </w:rPr>
        <w:t xml:space="preserve">En este sentido, se trata de aquellas condiciones referidas a la idoneidad del oferente para asumir adecuadamente la ejecución, en contraposición a los factores técnicos y económicos de escogencia, que se refieren al </w:t>
      </w:r>
      <w:r w:rsidRPr="004C5FFE">
        <w:rPr>
          <w:rFonts w:ascii="Verdana" w:eastAsia="Times New Roman" w:hAnsi="Verdana" w:cs="Arial"/>
          <w:i/>
          <w:iCs/>
          <w:lang w:eastAsia="es-MX"/>
        </w:rPr>
        <w:t>contenido de la oferta</w:t>
      </w:r>
      <w:r w:rsidRPr="004C5FFE">
        <w:rPr>
          <w:rFonts w:ascii="Verdana" w:eastAsia="Times New Roman" w:hAnsi="Verdana" w:cs="Arial"/>
          <w:lang w:eastAsia="es-MX"/>
        </w:rPr>
        <w:t xml:space="preserve"> y no a las calidades de quien la presenta, y que son susceptibles de ponderación mediante puntajes o fórmulas con el fin de determinar el ofrecimiento más favorable para la entidad.</w:t>
      </w:r>
    </w:p>
    <w:p w14:paraId="70A71646" w14:textId="77777777" w:rsidR="00F90CEA" w:rsidRPr="004C5FFE" w:rsidRDefault="00F90CEA" w:rsidP="00F90CEA">
      <w:pPr>
        <w:widowControl w:val="0"/>
        <w:autoSpaceDE w:val="0"/>
        <w:autoSpaceDN w:val="0"/>
        <w:spacing w:line="276" w:lineRule="auto"/>
        <w:ind w:firstLine="709"/>
        <w:jc w:val="both"/>
        <w:rPr>
          <w:rFonts w:ascii="Verdana" w:eastAsia="Calibri" w:hAnsi="Verdana" w:cs="Arial"/>
          <w:color w:val="000000" w:themeColor="text1"/>
        </w:rPr>
      </w:pPr>
      <w:r>
        <w:rPr>
          <w:rFonts w:ascii="Verdana" w:eastAsia="Times New Roman" w:hAnsi="Verdana" w:cs="Arial"/>
          <w:lang w:val="es-ES" w:eastAsia="es-MX"/>
        </w:rPr>
        <w:t xml:space="preserve">En este sentido, si producto de una planeación adecuada la entidad identifica que existen requisitos necesarios para verificar la idoneidad del proponente y que condicionan su capacidad para ejecutar el objeto del contrato, podrá incluirlos como parte de los requisitos habilitantes. </w:t>
      </w:r>
      <w:r w:rsidRPr="004C5FFE">
        <w:rPr>
          <w:rFonts w:ascii="Verdana" w:eastAsia="Calibri" w:hAnsi="Verdana" w:cs="Arial"/>
          <w:color w:val="000000" w:themeColor="text1"/>
          <w:kern w:val="2"/>
          <w:lang w:val="es-ES_tradnl"/>
          <w14:ligatures w14:val="standardContextual"/>
        </w:rPr>
        <w:t xml:space="preserve">Sin embargo, </w:t>
      </w:r>
      <w:r w:rsidRPr="004C5FFE">
        <w:rPr>
          <w:rFonts w:ascii="Verdana" w:eastAsia="Arial" w:hAnsi="Verdana" w:cs="Arial"/>
          <w:color w:val="000000"/>
          <w:lang w:val="es-ES"/>
        </w:rPr>
        <w:t xml:space="preserve">es importante advertir que </w:t>
      </w:r>
      <w:r w:rsidRPr="004C5FFE">
        <w:rPr>
          <w:rFonts w:ascii="Verdana" w:eastAsia="Calibri" w:hAnsi="Verdana" w:cs="Arial"/>
          <w:color w:val="000000" w:themeColor="text1"/>
        </w:rPr>
        <w:t xml:space="preserve">corresponde a las entidades estatales, durante la etapa de planeación del contrato estatal, estudiar y determinar de forma </w:t>
      </w:r>
      <w:r w:rsidRPr="004C5FFE">
        <w:rPr>
          <w:rFonts w:ascii="Verdana" w:eastAsia="Calibri" w:hAnsi="Verdana" w:cs="Arial"/>
          <w:i/>
          <w:iCs/>
          <w:color w:val="000000" w:themeColor="text1"/>
        </w:rPr>
        <w:t>adecuada y proporcional</w:t>
      </w:r>
      <w:r w:rsidRPr="004C5FFE">
        <w:rPr>
          <w:rFonts w:ascii="Verdana" w:eastAsia="Calibri" w:hAnsi="Verdana" w:cs="Arial"/>
          <w:color w:val="000000" w:themeColor="text1"/>
        </w:rPr>
        <w:t xml:space="preserve"> los requisitos habilitantes que establecerán en los pliegos de condiciones. Esto último, según se deriva de la lectura del artículo 2.2.1.1.1.6.2 del Decreto 1082 de 2015, debe hacerse de acuerdo con la naturaleza, el valor del contrato, la forma de pago, los riesgos asociados al contrato, el plazo y la </w:t>
      </w:r>
      <w:r w:rsidRPr="004C5FFE">
        <w:rPr>
          <w:rFonts w:ascii="Verdana" w:eastAsia="Calibri" w:hAnsi="Verdana" w:cs="Arial"/>
          <w:color w:val="000000" w:themeColor="text1"/>
        </w:rPr>
        <w:lastRenderedPageBreak/>
        <w:t>complejidad de ejecución del objeto</w:t>
      </w:r>
      <w:r w:rsidRPr="004C5FFE">
        <w:rPr>
          <w:rStyle w:val="FootnoteReference"/>
          <w:rFonts w:ascii="Verdana" w:eastAsia="Calibri" w:hAnsi="Verdana" w:cs="Arial"/>
          <w:color w:val="000000" w:themeColor="text1"/>
        </w:rPr>
        <w:footnoteReference w:id="21"/>
      </w:r>
      <w:r w:rsidRPr="004C5FFE">
        <w:rPr>
          <w:rFonts w:ascii="Verdana" w:eastAsia="Calibri" w:hAnsi="Verdana" w:cs="Arial"/>
          <w:color w:val="000000" w:themeColor="text1"/>
        </w:rPr>
        <w:t>.</w:t>
      </w:r>
      <w:r>
        <w:rPr>
          <w:rFonts w:ascii="Verdana" w:eastAsia="Calibri" w:hAnsi="Verdana" w:cs="Arial"/>
          <w:color w:val="000000" w:themeColor="text1"/>
          <w:lang w:val="es-ES"/>
        </w:rPr>
        <w:t xml:space="preserve"> En este sentido, </w:t>
      </w:r>
      <w:r w:rsidRPr="004C5FFE">
        <w:rPr>
          <w:rFonts w:ascii="Verdana" w:eastAsia="Calibri" w:hAnsi="Verdana" w:cs="Arial"/>
          <w:color w:val="000000" w:themeColor="text1"/>
        </w:rPr>
        <w:t>para efectos de configurar requisitos habilitantes la Entidad Estatal tiene la carga de justificar en los estudios previos y análisis del sector del proceso de selección su procedencia.</w:t>
      </w:r>
    </w:p>
    <w:p w14:paraId="550E7723" w14:textId="4AB0AE00" w:rsidR="00F90CEA" w:rsidRPr="004C5FFE" w:rsidRDefault="00F90CEA" w:rsidP="00F90CEA">
      <w:pPr>
        <w:tabs>
          <w:tab w:val="left" w:pos="426"/>
        </w:tabs>
        <w:spacing w:after="120" w:line="276" w:lineRule="auto"/>
        <w:ind w:firstLine="709"/>
        <w:jc w:val="both"/>
        <w:rPr>
          <w:rFonts w:ascii="Verdana" w:eastAsia="Times New Roman" w:hAnsi="Verdana" w:cs="Arial"/>
          <w:lang w:val="es-ES" w:eastAsia="es-MX"/>
        </w:rPr>
      </w:pPr>
      <w:r w:rsidRPr="004C5FFE">
        <w:rPr>
          <w:rFonts w:ascii="Verdana" w:eastAsia="Times New Roman" w:hAnsi="Verdana" w:cs="Arial"/>
          <w:lang w:val="es-ES" w:eastAsia="es-MX"/>
        </w:rPr>
        <w:t>En virtud de lo anterior</w:t>
      </w:r>
      <w:r>
        <w:rPr>
          <w:rFonts w:ascii="Verdana" w:eastAsia="Times New Roman" w:hAnsi="Verdana" w:cs="Arial"/>
          <w:lang w:val="es-ES" w:eastAsia="es-MX"/>
        </w:rPr>
        <w:t>,</w:t>
      </w:r>
      <w:r w:rsidRPr="004C5FFE">
        <w:rPr>
          <w:rFonts w:ascii="Verdana" w:eastAsia="Times New Roman" w:hAnsi="Verdana" w:cs="Arial"/>
          <w:lang w:val="es-ES" w:eastAsia="es-MX"/>
        </w:rPr>
        <w:t xml:space="preserve"> los requisitos habilitantes que determine la entidad deben: 1) medir verdaderamente la aptitud del proponente para cumplir con el contrato;  2) ser proporcionales y adecuados al objeto del contrato; y 3) no limitar la participación en el Proceso de </w:t>
      </w:r>
      <w:r>
        <w:rPr>
          <w:rFonts w:ascii="Verdana" w:eastAsia="Times New Roman" w:hAnsi="Verdana" w:cs="Arial"/>
          <w:lang w:val="es-ES" w:eastAsia="es-MX"/>
        </w:rPr>
        <w:t xml:space="preserve">Contratación </w:t>
      </w:r>
      <w:r w:rsidRPr="004C5FFE">
        <w:rPr>
          <w:rFonts w:ascii="Verdana" w:eastAsia="Times New Roman" w:hAnsi="Verdana" w:cs="Arial"/>
          <w:lang w:val="es-ES" w:eastAsia="es-MX"/>
        </w:rPr>
        <w:t>convirtiéndose en barreras para la libre competencia. En ese sentido, las entidades tienen autonomía para estructurar los requisitos habilitantes en los procesos que adelantan, pero tal facultad no puede ejercerse de forma arbitraria, caprichosa y, mucho menos, con el ánimo de direccionar el Proceso de Contratación o favorecer a alguno de los proponentes. Tampoco puede suceder que el ejercicio de dicha atribución desconozca los límites impuestos por la normativa vigente, como, por ejemplo, el parágrafo 2 del artículo 5 de la Ley 1150 de 2007, que prohíbe exigir certificaciones de sistemas de gestión de calidad como requisito habilitante.</w:t>
      </w:r>
    </w:p>
    <w:p w14:paraId="26FD4F5C" w14:textId="77777777" w:rsidR="00F90CEA" w:rsidRPr="004C5FFE" w:rsidRDefault="00F90CEA" w:rsidP="00F90CEA">
      <w:pPr>
        <w:tabs>
          <w:tab w:val="left" w:pos="426"/>
        </w:tabs>
        <w:spacing w:after="120" w:line="276" w:lineRule="auto"/>
        <w:ind w:firstLine="709"/>
        <w:jc w:val="both"/>
        <w:rPr>
          <w:rFonts w:ascii="Verdana" w:eastAsia="Times New Roman" w:hAnsi="Verdana" w:cs="Arial"/>
          <w:lang w:eastAsia="es-MX"/>
        </w:rPr>
      </w:pPr>
      <w:r w:rsidRPr="004C5FFE">
        <w:rPr>
          <w:rFonts w:ascii="Verdana" w:eastAsia="Times New Roman" w:hAnsi="Verdana" w:cs="Arial"/>
          <w:lang w:eastAsia="es-MX"/>
        </w:rPr>
        <w:t xml:space="preserve">De esta manera, frente al supuesto planteado en su consulta, la entidad debe determinar en cada caso si el requisito que pretende incluir </w:t>
      </w:r>
      <w:r>
        <w:rPr>
          <w:rFonts w:ascii="Verdana" w:eastAsia="Times New Roman" w:hAnsi="Verdana" w:cs="Arial"/>
          <w:lang w:eastAsia="es-MX"/>
        </w:rPr>
        <w:t>corresponde a un requisito habilitante, técnico o a un factor ponderable que permite determinar la oferta más favorable en los términos del</w:t>
      </w:r>
      <w:r w:rsidRPr="00AD2822">
        <w:rPr>
          <w:rFonts w:ascii="Verdana" w:eastAsia="Times New Roman" w:hAnsi="Verdana" w:cs="Arial"/>
          <w:lang w:eastAsia="es-MX"/>
        </w:rPr>
        <w:t xml:space="preserve"> numeral 2 del artículo 5 de la Ley 1150 de 2007</w:t>
      </w:r>
      <w:r w:rsidRPr="004C5FFE">
        <w:rPr>
          <w:rFonts w:ascii="Verdana" w:eastAsia="Times New Roman" w:hAnsi="Verdana" w:cs="Arial"/>
          <w:lang w:eastAsia="es-MX"/>
        </w:rPr>
        <w:t>.</w:t>
      </w:r>
      <w:r>
        <w:rPr>
          <w:rFonts w:ascii="Verdana" w:eastAsia="Times New Roman" w:hAnsi="Verdana" w:cs="Arial"/>
          <w:lang w:eastAsia="es-MX"/>
        </w:rPr>
        <w:t xml:space="preserve"> Además</w:t>
      </w:r>
      <w:r w:rsidRPr="004C5FFE">
        <w:rPr>
          <w:rFonts w:ascii="Verdana" w:eastAsia="Times New Roman" w:hAnsi="Verdana" w:cs="Arial"/>
          <w:lang w:eastAsia="es-MX"/>
        </w:rPr>
        <w:t>, la entidad debe establecer si el criterio en cuestión se refiere</w:t>
      </w:r>
      <w:r>
        <w:rPr>
          <w:rFonts w:ascii="Verdana" w:eastAsia="Times New Roman" w:hAnsi="Verdana" w:cs="Arial"/>
          <w:lang w:eastAsia="es-MX"/>
        </w:rPr>
        <w:t xml:space="preserve"> a aspectos que debe acreditar el proponente</w:t>
      </w:r>
      <w:r w:rsidRPr="004C5FFE">
        <w:rPr>
          <w:rFonts w:ascii="Verdana" w:eastAsia="Times New Roman" w:hAnsi="Verdana" w:cs="Arial"/>
          <w:lang w:eastAsia="es-MX"/>
        </w:rPr>
        <w:t>, o si, por el contrario, constituye una condición relativa a la ejecución del contrato. En este último caso, dado que no correspondería a un requisito habilitante en sentido estricto, la entidad podrá incorporarlo como parte de las obligaciones contractuales que serán objeto de verificación por parte de la supervisión o interventoría, previendo las consecuencias jurídicas que se deriven de su incumplimiento; información que deberá conocer y aceptar el proponente que resulte adjudicatario del proceso de selección.</w:t>
      </w:r>
    </w:p>
    <w:p w14:paraId="5EDA4780" w14:textId="77777777" w:rsidR="00F90CEA" w:rsidRPr="00AD2822" w:rsidRDefault="00F90CEA" w:rsidP="00F90CEA">
      <w:pPr>
        <w:tabs>
          <w:tab w:val="left" w:pos="426"/>
        </w:tabs>
        <w:spacing w:after="120" w:line="276" w:lineRule="auto"/>
        <w:ind w:firstLine="709"/>
        <w:jc w:val="both"/>
        <w:rPr>
          <w:rFonts w:ascii="Verdana" w:eastAsia="Times New Roman" w:hAnsi="Verdana" w:cs="Arial"/>
          <w:lang w:eastAsia="es-MX"/>
        </w:rPr>
      </w:pPr>
      <w:r w:rsidRPr="00AD2822">
        <w:rPr>
          <w:rFonts w:ascii="Verdana" w:eastAsia="Times New Roman" w:hAnsi="Verdana" w:cs="Arial"/>
          <w:lang w:eastAsia="es-MX"/>
        </w:rPr>
        <w:lastRenderedPageBreak/>
        <w:t>En cualquier caso, la entidad deberá justificar la inclusión de estos requisitos en los documentos del proceso, verificando que resulte razonable y proporcional con respecto a las particularidades del proceso de selección, y que no imponga una barrera injustificada a la participación que limite la libre competencia económica.</w:t>
      </w:r>
    </w:p>
    <w:p w14:paraId="76F5D37C" w14:textId="77777777" w:rsidR="00F90CEA" w:rsidRPr="00AD2822" w:rsidRDefault="00F90CEA" w:rsidP="00F90CEA">
      <w:pPr>
        <w:tabs>
          <w:tab w:val="left" w:pos="426"/>
        </w:tabs>
        <w:spacing w:after="120" w:line="276" w:lineRule="auto"/>
        <w:ind w:firstLine="709"/>
        <w:jc w:val="both"/>
        <w:rPr>
          <w:rFonts w:ascii="Verdana" w:hAnsi="Verdana"/>
        </w:rPr>
      </w:pPr>
      <w:r w:rsidRPr="00AD2822">
        <w:rPr>
          <w:rFonts w:ascii="Verdana" w:hAnsi="Verdana"/>
        </w:rPr>
        <w:t>Como se mencionó antes, en la etapa de planeación las entidades deberán determinar en los estudios y documentos previos las especificaciones técnicas que deberá cumplir el bien o servicio, las cuales deben resultar adecuadas y proporcionales para verificar que este cumple con las calidades y funcionalidades necesarias para la satisfacción de la necesidad pública. En consecuencia, las entidades pueden establecer especificaciones detalladas en el pliego de condiciones, o en la ficha o anexo técnico, que definan las características mínimas de los equipos a adquirir, tales como la calidad y los patrones de desempeño mínimos; sin embargo, este aspecto corresponde a las condiciones del bien o servicio ofertado y es, por tanto, distinto a los requisitos habilitantes a los cuales se refiere el numeral primero del artículo 5 de la Ley 1150 de 2007.</w:t>
      </w:r>
    </w:p>
    <w:p w14:paraId="4FBF4205" w14:textId="77777777" w:rsidR="00F90CEA" w:rsidRPr="00AD2822" w:rsidRDefault="00F90CEA" w:rsidP="00F90CEA">
      <w:pPr>
        <w:tabs>
          <w:tab w:val="left" w:pos="426"/>
        </w:tabs>
        <w:spacing w:after="120" w:line="276" w:lineRule="auto"/>
        <w:ind w:firstLine="709"/>
        <w:jc w:val="both"/>
        <w:rPr>
          <w:rFonts w:ascii="Verdana" w:hAnsi="Verdana"/>
        </w:rPr>
      </w:pPr>
      <w:r w:rsidRPr="004C5FFE">
        <w:rPr>
          <w:rFonts w:ascii="Verdana" w:hAnsi="Verdana"/>
        </w:rPr>
        <w:t>Adicionalmente, en la determinación de estas especificaciones, las entidades deben abstenerse de imponer condiciones restrictivas que impidan el acceso al procedimiento de selección y que no resulten razonables y proporcionales al objeto del proceso. Los criterios adoptados deben propender por la más amplia oportunidad de concurrencia, corresponder a las necesidades reales de la entidad contratante y garantizar el derecho a la igualdad de los oferentes.</w:t>
      </w:r>
    </w:p>
    <w:p w14:paraId="77548AF6" w14:textId="771009FE" w:rsidR="00F90CEA" w:rsidRDefault="00F90CEA" w:rsidP="00F90CEA">
      <w:pPr>
        <w:tabs>
          <w:tab w:val="left" w:pos="426"/>
        </w:tabs>
        <w:spacing w:after="120" w:line="276" w:lineRule="auto"/>
        <w:ind w:firstLine="709"/>
        <w:jc w:val="both"/>
        <w:rPr>
          <w:rFonts w:ascii="Verdana" w:hAnsi="Verdana" w:cs="Arial"/>
          <w:lang w:val="es-ES" w:eastAsia="es-ES"/>
        </w:rPr>
      </w:pPr>
      <w:r w:rsidRPr="004C5FFE">
        <w:rPr>
          <w:rFonts w:ascii="Verdana" w:eastAsia="Calibri" w:hAnsi="Verdana" w:cs="Arial"/>
          <w:color w:val="000000" w:themeColor="text1"/>
          <w:lang w:val="es-ES"/>
        </w:rPr>
        <w:t xml:space="preserve">Al </w:t>
      </w:r>
      <w:r w:rsidRPr="004C5FFE">
        <w:rPr>
          <w:rFonts w:ascii="Verdana" w:hAnsi="Verdana" w:cs="Arial"/>
          <w:lang w:val="es-ES" w:eastAsia="es-ES"/>
        </w:rPr>
        <w:t xml:space="preserve">margen de la explicación precedente debe advertirse que el análisis requerido para resolver problemas específicos en torno a la definición de los requisitos habilitantes o de las especificaciones técnicas debe realizarse por quienes tengan interés en ello, de acuerdo con lo explicado </w:t>
      </w:r>
      <w:r>
        <w:rPr>
          <w:rFonts w:ascii="Verdana" w:hAnsi="Verdana" w:cs="Arial"/>
          <w:lang w:val="es-ES" w:eastAsia="es-ES"/>
        </w:rPr>
        <w:t xml:space="preserve">en </w:t>
      </w:r>
      <w:r w:rsidRPr="004C5FFE">
        <w:rPr>
          <w:rFonts w:ascii="Verdana" w:hAnsi="Verdana" w:cs="Arial"/>
          <w:lang w:val="es-ES" w:eastAsia="es-ES"/>
        </w:rPr>
        <w:t>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0163F4B6" w14:textId="77777777" w:rsidR="00F90CEA" w:rsidRPr="00AD2822" w:rsidRDefault="00F90CEA" w:rsidP="00F90CEA">
      <w:pPr>
        <w:tabs>
          <w:tab w:val="left" w:pos="426"/>
        </w:tabs>
        <w:spacing w:after="120" w:line="276" w:lineRule="auto"/>
        <w:ind w:firstLine="709"/>
        <w:jc w:val="both"/>
        <w:rPr>
          <w:rFonts w:ascii="Verdana" w:hAnsi="Verdana"/>
        </w:rPr>
      </w:pPr>
      <w:r w:rsidRPr="005E3502">
        <w:rPr>
          <w:rFonts w:ascii="Verdana" w:hAnsi="Verdana" w:cs="Arial"/>
          <w:lang w:eastAsia="es-ES"/>
        </w:rPr>
        <w:t xml:space="preserve">Dentro de este marco, la entidad pública definirá en cada caso concreto lo relacionado con el tema objeto de consulta. </w:t>
      </w:r>
      <w:r w:rsidRPr="005E3502">
        <w:rPr>
          <w:rFonts w:ascii="Verdana" w:hAnsi="Verdana" w:cs="Arial"/>
          <w:color w:val="000000" w:themeColor="text1"/>
        </w:rPr>
        <w:t xml:space="preserve">Al tratarse de un análisis que debe </w:t>
      </w:r>
      <w:r w:rsidRPr="005E3502">
        <w:rPr>
          <w:rFonts w:ascii="Verdana" w:hAnsi="Verdana" w:cs="Arial"/>
          <w:color w:val="000000" w:themeColor="text1"/>
        </w:rPr>
        <w:lastRenderedPageBreak/>
        <w:t>realizarse en un procedimiento contractual específico, esta Agencia no puede definir un criterio universal y absoluto por vía consultiva, sino que brinda elementos de carácter general para que</w:t>
      </w:r>
      <w:r w:rsidRPr="005E3502">
        <w:rPr>
          <w:rFonts w:ascii="Verdana" w:eastAsia="Calibri" w:hAnsi="Verdana" w:cs="Times New Roman"/>
        </w:rPr>
        <w:t xml:space="preserv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72AF889C" w14:textId="77777777" w:rsidR="00F90CEA" w:rsidRPr="00A220B2" w:rsidRDefault="00F90CEA" w:rsidP="00F90CEA">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Referencias normativas, jurisprudenciales y otras fuentes:</w:t>
      </w:r>
    </w:p>
    <w:p w14:paraId="5318C61A" w14:textId="77777777" w:rsidR="00F90CEA" w:rsidRPr="00A220B2" w:rsidRDefault="00F90CEA" w:rsidP="00F90CEA">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90CEA" w:rsidRPr="00A220B2" w14:paraId="5023EDAF" w14:textId="77777777" w:rsidTr="00F90CEA">
        <w:trPr>
          <w:trHeight w:val="870"/>
        </w:trPr>
        <w:tc>
          <w:tcPr>
            <w:tcW w:w="8647" w:type="dxa"/>
          </w:tcPr>
          <w:p w14:paraId="26BC77A2"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Código Civil. Artículo 1602.</w:t>
            </w:r>
          </w:p>
          <w:p w14:paraId="274647FC"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Ley 80 de 1993. Artículos 13, 25, 26, 29 (derogado), 32, 40 y 77.</w:t>
            </w:r>
          </w:p>
          <w:p w14:paraId="4E4468FC"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Ley 1150 de 2007. Artículos 5 (numerales 1, 2, 3 y 4; parágrafos 1º a 4º), 6 (parágrafo 1º) y 32.</w:t>
            </w:r>
          </w:p>
          <w:p w14:paraId="317C6E9A"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Ley 1437 de 2011. Artículos 28 y 44.</w:t>
            </w:r>
          </w:p>
          <w:p w14:paraId="0DABE8BC"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Ley 1474 de 2011. Artículo 88.</w:t>
            </w:r>
          </w:p>
          <w:p w14:paraId="170C1F29"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Ley 1882 de 2018. Artículo 5.</w:t>
            </w:r>
          </w:p>
          <w:p w14:paraId="47141779"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Decreto Ley 4170 de 2011. Artículos 3 (numeral 5º) y 11 (numeral 8º).</w:t>
            </w:r>
          </w:p>
          <w:p w14:paraId="68D563E8"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Decreto 1082 de 2015. Artículos 2.2.1.1.1.3.1, 2.2.1.1.1.6.1, 2.2.1.1.1.6.2, 2.2.1.1.2.1.1 y 2.2.1.2.1.2.1.</w:t>
            </w:r>
          </w:p>
          <w:p w14:paraId="5D66AB26"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Resolución 1707 de 2018 de la Agencia Nacional de Contratación Pública – Colombia Compra Eficiente. Artículo 4.</w:t>
            </w:r>
          </w:p>
          <w:p w14:paraId="46C0B1E9"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Corte Constitucional. Sentencia C-004 de 2017.</w:t>
            </w:r>
          </w:p>
          <w:p w14:paraId="69762111"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Agencia Nacional de Contratación Pública – Colombia Compra Eficiente. Guía para la Elaboración de Estudios del Sector.</w:t>
            </w:r>
          </w:p>
          <w:p w14:paraId="73DF78D1"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Agencia Nacional de Contratación Pública – Colombia Compra Eficiente. Manual para determinar y verificar los requisitos habilitantes en los Procesos de Contratación.</w:t>
            </w:r>
          </w:p>
          <w:p w14:paraId="5F2ADC7D"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DÁVILA VINUEZA, Luis Guillermo. Régimen jurídico de la contratación estatal. Tercera edición. Bogotá: Legis, 2016.</w:t>
            </w:r>
          </w:p>
          <w:p w14:paraId="0A599D47"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DEIK ACOSTAMADIEDO, Carolina. Guía de Contratación Estatal: Deber de planeación y modalidades de selección. Buenos Aires, 2015.</w:t>
            </w:r>
          </w:p>
          <w:p w14:paraId="2AF3558E" w14:textId="77777777" w:rsidR="00F90CEA" w:rsidRPr="00CA4B9F" w:rsidRDefault="00F90CEA" w:rsidP="00F90CEA">
            <w:pPr>
              <w:pStyle w:val="ListParagraph"/>
              <w:widowControl w:val="0"/>
              <w:numPr>
                <w:ilvl w:val="0"/>
                <w:numId w:val="17"/>
              </w:numPr>
              <w:autoSpaceDE w:val="0"/>
              <w:autoSpaceDN w:val="0"/>
              <w:snapToGrid w:val="0"/>
              <w:spacing w:before="120" w:after="120" w:line="276" w:lineRule="auto"/>
              <w:jc w:val="both"/>
              <w:rPr>
                <w:rFonts w:ascii="Verdana" w:hAnsi="Verdana" w:cs="Arial"/>
              </w:rPr>
            </w:pPr>
            <w:r w:rsidRPr="00CA4B9F">
              <w:rPr>
                <w:rFonts w:ascii="Verdana" w:hAnsi="Verdana" w:cs="Arial"/>
              </w:rPr>
              <w:t>EXPÓSITO VÉLEZ, Juan C. El deber de selección objetiva. En: COVILLA MARTÍNEZ, Juan C. y LOZANO VILLEGAS, Germán (Eds.). Del contrato estatal a los sistemas de compras públicas. Bogotá: Universidad Externado de Colombia, 2019.</w:t>
            </w:r>
          </w:p>
          <w:p w14:paraId="5425FB3B" w14:textId="77777777" w:rsidR="00F90CEA" w:rsidRPr="00A220B2" w:rsidRDefault="00F90CEA" w:rsidP="00F90CEA">
            <w:pPr>
              <w:pStyle w:val="ListParagraph"/>
              <w:widowControl w:val="0"/>
              <w:numPr>
                <w:ilvl w:val="0"/>
                <w:numId w:val="17"/>
              </w:numPr>
              <w:autoSpaceDE w:val="0"/>
              <w:autoSpaceDN w:val="0"/>
              <w:snapToGrid w:val="0"/>
              <w:spacing w:before="120" w:after="120" w:line="276" w:lineRule="auto"/>
              <w:contextualSpacing w:val="0"/>
              <w:jc w:val="both"/>
              <w:rPr>
                <w:rFonts w:ascii="Verdana" w:hAnsi="Verdana" w:cs="Arial"/>
              </w:rPr>
            </w:pPr>
            <w:r w:rsidRPr="00CA4B9F">
              <w:rPr>
                <w:rFonts w:ascii="Verdana" w:hAnsi="Verdana" w:cs="Arial"/>
              </w:rPr>
              <w:lastRenderedPageBreak/>
              <w:t>RODRÍGUEZ TAMAYO, Mauricio F. Evaluación y rechazo de ofertas en la Ley 80 de 1993. Primera edición. Medellín: Librería Jurídica Sánchez, 2016.</w:t>
            </w:r>
          </w:p>
        </w:tc>
      </w:tr>
    </w:tbl>
    <w:p w14:paraId="7A01B285" w14:textId="77777777" w:rsidR="00F90CEA" w:rsidRPr="00A220B2" w:rsidRDefault="00F90CEA" w:rsidP="00F90CEA">
      <w:pPr>
        <w:widowControl w:val="0"/>
        <w:autoSpaceDE w:val="0"/>
        <w:autoSpaceDN w:val="0"/>
        <w:spacing w:after="0" w:line="276" w:lineRule="auto"/>
        <w:jc w:val="both"/>
        <w:rPr>
          <w:rFonts w:ascii="Verdana" w:hAnsi="Verdana" w:cs="Arial"/>
          <w:color w:val="000000" w:themeColor="text1"/>
          <w:lang w:val="es-ES"/>
        </w:rPr>
      </w:pPr>
    </w:p>
    <w:p w14:paraId="2E2A9141" w14:textId="77777777" w:rsidR="00F90CEA" w:rsidRPr="00A220B2" w:rsidRDefault="00F90CEA" w:rsidP="00F90CEA">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Doctrina de la Agencia Nacional de Contratación Pública:</w:t>
      </w:r>
    </w:p>
    <w:p w14:paraId="321324AF" w14:textId="77777777" w:rsidR="00F90CEA" w:rsidRPr="00A220B2" w:rsidRDefault="00F90CEA" w:rsidP="00F90CEA">
      <w:pPr>
        <w:widowControl w:val="0"/>
        <w:autoSpaceDE w:val="0"/>
        <w:autoSpaceDN w:val="0"/>
        <w:spacing w:after="0" w:line="276" w:lineRule="auto"/>
        <w:jc w:val="both"/>
        <w:rPr>
          <w:rFonts w:ascii="Verdana" w:hAnsi="Verdana" w:cs="Arial"/>
          <w:color w:val="000000" w:themeColor="text1"/>
          <w:lang w:val="es-ES"/>
        </w:rPr>
      </w:pPr>
    </w:p>
    <w:p w14:paraId="23731EA6" w14:textId="77777777" w:rsidR="00F90CEA" w:rsidRDefault="00F90CEA" w:rsidP="00F90CEA">
      <w:pPr>
        <w:ind w:left="3"/>
        <w:jc w:val="both"/>
        <w:rPr>
          <w:rStyle w:val="normaltextrun"/>
          <w:rFonts w:ascii="Verdana" w:eastAsia="Calibri" w:hAnsi="Verdana" w:cs="Arial"/>
          <w:b/>
          <w:bCs/>
          <w:color w:val="000000" w:themeColor="text1"/>
          <w:lang w:val="es-ES" w:eastAsia="es-ES"/>
        </w:rPr>
      </w:pPr>
      <w:r w:rsidRPr="00A220B2">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A220B2">
        <w:rPr>
          <w:rStyle w:val="normaltextrun"/>
          <w:rFonts w:ascii="Verdana" w:hAnsi="Verdana"/>
          <w:color w:val="000000" w:themeColor="text1"/>
          <w:shd w:val="clear" w:color="auto" w:fill="FFFFFF"/>
          <w:lang w:val="es-ES"/>
        </w:rPr>
        <w:t>sobre</w:t>
      </w:r>
      <w:r>
        <w:rPr>
          <w:rStyle w:val="normaltextrun"/>
          <w:rFonts w:ascii="Verdana" w:hAnsi="Verdana"/>
          <w:color w:val="000000" w:themeColor="text1"/>
          <w:shd w:val="clear" w:color="auto" w:fill="FFFFFF"/>
          <w:lang w:val="es-ES"/>
        </w:rPr>
        <w:t xml:space="preserve"> </w:t>
      </w:r>
      <w:r>
        <w:rPr>
          <w:rFonts w:ascii="Verdana" w:hAnsi="Verdana" w:cs="Arial"/>
          <w:shd w:val="clear" w:color="auto" w:fill="FFFFFF"/>
          <w:lang w:val="es-ES"/>
        </w:rPr>
        <w:t xml:space="preserve">los requisitos habilitantes </w:t>
      </w:r>
      <w:r w:rsidRPr="002C385B">
        <w:rPr>
          <w:rFonts w:ascii="Verdana" w:eastAsia="Calibri" w:hAnsi="Verdana" w:cs="Arial"/>
        </w:rPr>
        <w:t xml:space="preserve">en los conceptos del 15 de noviembre, del 28 de noviembre, 16 de diciembre de 2019 –radicados No. 2201913000008520, 4201912000007329 y 2201913000009295–, así como en los conceptos C-120 del 3 de marzo de 2020, C-204 del 31 de marzo de 2020, C-099 del 6 de abril de 2020, C-195 del 13 de abril de 2020, C-013 del 17 de abril de 2020, </w:t>
      </w:r>
      <w:r>
        <w:rPr>
          <w:rFonts w:ascii="Verdana" w:eastAsia="Calibri" w:hAnsi="Verdana" w:cs="Arial"/>
        </w:rPr>
        <w:t xml:space="preserve">C-107 del 24 de febrero de 2020, </w:t>
      </w:r>
      <w:r w:rsidRPr="002C385B">
        <w:rPr>
          <w:rFonts w:ascii="Verdana" w:eastAsia="Calibri" w:hAnsi="Verdana" w:cs="Arial"/>
        </w:rPr>
        <w:t>C-330 del 27 de mayo de 2020, C-396 de 16 de julio de 2020, C-142 del 30 de marzo de 2022</w:t>
      </w:r>
      <w:r>
        <w:rPr>
          <w:rFonts w:ascii="Verdana" w:eastAsia="Calibri" w:hAnsi="Verdana" w:cs="Arial"/>
        </w:rPr>
        <w:t xml:space="preserve">, </w:t>
      </w:r>
      <w:r w:rsidRPr="004C5FFE">
        <w:rPr>
          <w:rFonts w:ascii="Verdana" w:eastAsia="Calibri" w:hAnsi="Verdana" w:cs="Arial"/>
        </w:rPr>
        <w:t>C-201 de 2024, C-354 de 2024, C-426 de 2024, C-457 de 2024, C-981 de 2024, C-007 de 2025, C-222 de 2025, C-232 de 2025, C-488 de 2025, C-722 de 2025, C-220 de 2026</w:t>
      </w:r>
      <w:r w:rsidRPr="004C5FFE">
        <w:rPr>
          <w:rFonts w:ascii="Verdana" w:hAnsi="Verdana" w:cs="Arial"/>
          <w:shd w:val="clear" w:color="auto" w:fill="FFFFFF"/>
          <w:lang w:val="es-ES"/>
        </w:rPr>
        <w:t xml:space="preserve">, </w:t>
      </w:r>
      <w:r w:rsidRPr="003C43BC">
        <w:rPr>
          <w:rFonts w:ascii="Verdana" w:eastAsia="Calibri" w:hAnsi="Verdana" w:cs="Arial"/>
          <w:color w:val="000000" w:themeColor="text1"/>
          <w:lang w:val="es-ES" w:eastAsia="es-ES"/>
        </w:rPr>
        <w:t>C-344 del 16de abril de 2026,</w:t>
      </w:r>
      <w:r>
        <w:rPr>
          <w:rFonts w:ascii="Verdana" w:eastAsia="Calibri" w:hAnsi="Verdana" w:cs="Arial"/>
          <w:b/>
          <w:bCs/>
          <w:color w:val="000000" w:themeColor="text1"/>
          <w:lang w:val="es-ES" w:eastAsia="es-ES"/>
        </w:rPr>
        <w:t xml:space="preserve"> </w:t>
      </w:r>
      <w:r w:rsidRPr="004C5FFE">
        <w:rPr>
          <w:rFonts w:ascii="Verdana" w:hAnsi="Verdana" w:cs="Arial"/>
          <w:shd w:val="clear" w:color="auto" w:fill="FFFFFF"/>
          <w:lang w:val="es-ES"/>
        </w:rPr>
        <w:t xml:space="preserve">entre otros. </w:t>
      </w:r>
      <w:r>
        <w:rPr>
          <w:rFonts w:ascii="Verdana" w:hAnsi="Verdana" w:cs="Arial"/>
          <w:shd w:val="clear" w:color="auto" w:fill="FFFFFF"/>
          <w:lang w:val="es-ES"/>
        </w:rPr>
        <w:t xml:space="preserve">Sobre el anexo o ficha técnica se refirió en el concepto </w:t>
      </w:r>
      <w:r w:rsidRPr="003754DC">
        <w:rPr>
          <w:rFonts w:ascii="Verdana" w:eastAsia="Calibri" w:hAnsi="Verdana" w:cs="Arial"/>
          <w:lang w:eastAsia="es-ES"/>
        </w:rPr>
        <w:t>C-1076 de 2025</w:t>
      </w:r>
      <w:r w:rsidRPr="00A220B2">
        <w:rPr>
          <w:rFonts w:ascii="Verdana" w:eastAsia="Calibri" w:hAnsi="Verdana" w:cs="Arial"/>
          <w:color w:val="000000" w:themeColor="text1"/>
          <w:lang w:val="es-ES" w:eastAsia="es-ES_tradnl"/>
        </w:rPr>
        <w:t>, entre otros. Estos</w:t>
      </w:r>
      <w:r w:rsidRPr="00A220B2">
        <w:rPr>
          <w:rFonts w:ascii="Verdana" w:hAnsi="Verdana"/>
          <w:lang w:val="es-ES"/>
        </w:rPr>
        <w:t xml:space="preserve"> y otros conceptos se encuentran disponibles para consulta en</w:t>
      </w:r>
      <w:r w:rsidRPr="00A220B2">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2" w:history="1">
        <w:r w:rsidRPr="00A220B2">
          <w:rPr>
            <w:rStyle w:val="Hyperlink"/>
            <w:rFonts w:ascii="Verdana" w:hAnsi="Verdana" w:cs="Arial"/>
            <w:shd w:val="clear" w:color="auto" w:fill="FFFFFF"/>
            <w:lang w:val="es-ES"/>
          </w:rPr>
          <w:t>https://relatoria.colombiacompra.gov.co/busqueda/conceptos</w:t>
        </w:r>
      </w:hyperlink>
      <w:r w:rsidRPr="00A220B2">
        <w:rPr>
          <w:rStyle w:val="normaltextrun"/>
          <w:rFonts w:ascii="Verdana" w:hAnsi="Verdana" w:cs="Arial"/>
          <w:shd w:val="clear" w:color="auto" w:fill="FFFFFF"/>
          <w:lang w:val="es-ES"/>
        </w:rPr>
        <w:t>.</w:t>
      </w:r>
      <w:r w:rsidRPr="00A220B2">
        <w:rPr>
          <w:rStyle w:val="normaltextrun"/>
          <w:rFonts w:ascii="Verdana" w:hAnsi="Verdana" w:cs="Arial"/>
          <w:color w:val="FF0000"/>
          <w:shd w:val="clear" w:color="auto" w:fill="FFFFFF"/>
          <w:lang w:val="es-ES"/>
        </w:rPr>
        <w:t xml:space="preserve"> </w:t>
      </w:r>
    </w:p>
    <w:p w14:paraId="126B8E50" w14:textId="3D5C46DD" w:rsidR="00F90CEA" w:rsidRPr="003C43BC" w:rsidRDefault="00F90CEA" w:rsidP="00F90CEA">
      <w:pPr>
        <w:ind w:left="3"/>
        <w:jc w:val="both"/>
        <w:rPr>
          <w:rFonts w:ascii="Verdana" w:eastAsia="Calibri" w:hAnsi="Verdana" w:cs="Arial"/>
          <w:b/>
          <w:bCs/>
          <w:color w:val="000000" w:themeColor="text1"/>
          <w:lang w:val="es-ES" w:eastAsia="es-ES"/>
        </w:rPr>
      </w:pPr>
      <w:r w:rsidRPr="00AD2822">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D2822">
        <w:rPr>
          <w:rFonts w:ascii="Verdana" w:hAnsi="Verdana"/>
          <w:b/>
        </w:rPr>
        <w:t>Guía para la Exigencia y Constitución de Garantías en los Procesos de Contratación</w:t>
      </w:r>
      <w:r w:rsidRPr="00AD2822">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Original URL: https://www.colombiacompra.gov.co/archivos/manual/guia-de-garantias-en-procesos-de-contratacion. Click or tap if you trust this link." w:history="1">
        <w:r w:rsidRPr="00AD2822">
          <w:rPr>
            <w:rStyle w:val="Hyperlink"/>
            <w:rFonts w:ascii="Verdana" w:hAnsi="Verdana"/>
          </w:rPr>
          <w:t>https://www.colombiacompra.gov.co/archivos/manual/guia-de-garantias-en-procesos-de-contratacion</w:t>
        </w:r>
      </w:hyperlink>
    </w:p>
    <w:p w14:paraId="016D2ABC" w14:textId="77777777" w:rsidR="00F90CEA" w:rsidRPr="00AD2822" w:rsidRDefault="00F90CEA" w:rsidP="00F90CEA">
      <w:pPr>
        <w:spacing w:after="0" w:line="276" w:lineRule="auto"/>
        <w:jc w:val="both"/>
        <w:rPr>
          <w:rFonts w:ascii="Verdana" w:hAnsi="Verdana"/>
        </w:rPr>
      </w:pPr>
    </w:p>
    <w:p w14:paraId="540D1662" w14:textId="77777777" w:rsidR="00F90CEA" w:rsidRPr="00AD2822" w:rsidRDefault="00F90CEA" w:rsidP="00F90CEA">
      <w:pPr>
        <w:spacing w:after="0" w:line="276" w:lineRule="auto"/>
        <w:jc w:val="both"/>
        <w:rPr>
          <w:rFonts w:ascii="Verdana" w:hAnsi="Verdana"/>
        </w:rPr>
      </w:pPr>
      <w:r w:rsidRPr="00AD2822">
        <w:rPr>
          <w:rFonts w:ascii="Verdana" w:hAnsi="Verdana"/>
        </w:rPr>
        <w:t>De otro lado, te contamos que el Decreto 287 del 19 de marzo de 2026 sustituyó los artículos 2.2.1.2.4.2.6., 2.2.1.2.4.2.7. y 2.2.1.2.4.2.8. del Decreto 1082 de 2015 y estructuró el </w:t>
      </w:r>
      <w:r w:rsidRPr="00AD2822">
        <w:rPr>
          <w:rFonts w:ascii="Verdana" w:hAnsi="Verdana"/>
          <w:b/>
        </w:rPr>
        <w:t xml:space="preserve">Sistema Integral de Preferencias en favor de las </w:t>
      </w:r>
      <w:r w:rsidRPr="00AD2822">
        <w:rPr>
          <w:rFonts w:ascii="Verdana" w:hAnsi="Verdana"/>
          <w:b/>
        </w:rPr>
        <w:lastRenderedPageBreak/>
        <w:t>personas con discapacidad</w:t>
      </w:r>
      <w:r w:rsidRPr="00AD2822">
        <w:rPr>
          <w:rFonts w:ascii="Verdana" w:hAnsi="Verdana"/>
        </w:rPr>
        <w:t>, en cumplimiento del artículo 13 de la Ley Estatutaria 1618 de 2013. Para orientar su aplicación, esta Agencia expidió la </w:t>
      </w:r>
      <w:r w:rsidRPr="00AD2822">
        <w:rPr>
          <w:rFonts w:ascii="Verdana" w:hAnsi="Verdana"/>
          <w:b/>
        </w:rPr>
        <w:t>Circular Externa 003 del 12 de mayo de 2026, </w:t>
      </w:r>
      <w:r w:rsidRPr="00AD2822">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Original URL: https://www.colombiacompra.gov.co/archivos/circular/circular-externa-003-de-2026. Click or tap if you trust this link." w:history="1">
        <w:r w:rsidRPr="00AD2822">
          <w:rPr>
            <w:rStyle w:val="Hyperlink"/>
            <w:rFonts w:ascii="Verdana" w:hAnsi="Verdana"/>
          </w:rPr>
          <w:t>https://www.colombiacompra.gov.co/archivos/circular/circular-externa-003-de-2026</w:t>
        </w:r>
      </w:hyperlink>
    </w:p>
    <w:p w14:paraId="15208E43" w14:textId="77777777" w:rsidR="00F90CEA" w:rsidRDefault="00F90CEA" w:rsidP="00F90CEA">
      <w:pPr>
        <w:spacing w:after="0" w:line="276" w:lineRule="auto"/>
        <w:jc w:val="both"/>
        <w:rPr>
          <w:rFonts w:ascii="Verdana" w:hAnsi="Verdana"/>
          <w:lang w:val="es-ES"/>
        </w:rPr>
      </w:pPr>
    </w:p>
    <w:p w14:paraId="1CFE6B6C" w14:textId="77777777" w:rsidR="00F90CEA" w:rsidRPr="00AD2822" w:rsidRDefault="00F90CEA" w:rsidP="00F90CEA">
      <w:pPr>
        <w:spacing w:after="0" w:line="276" w:lineRule="auto"/>
        <w:jc w:val="both"/>
        <w:rPr>
          <w:rFonts w:ascii="Verdana" w:hAnsi="Verdana"/>
        </w:rPr>
      </w:pPr>
      <w:r w:rsidRPr="00AD2822">
        <w:rPr>
          <w:rFonts w:ascii="Verdana" w:hAnsi="Verdana"/>
        </w:rPr>
        <w:t>Recuerda también que la</w:t>
      </w:r>
      <w:r w:rsidRPr="00AD2822">
        <w:rPr>
          <w:rFonts w:ascii="Verdana" w:hAnsi="Verdana"/>
          <w:b/>
        </w:rPr>
        <w:t> información sobre sanciones e inhabilidades </w:t>
      </w:r>
      <w:r w:rsidRPr="00AD2822">
        <w:rPr>
          <w:rFonts w:ascii="Verdana" w:hAnsi="Verdana"/>
        </w:rPr>
        <w:t>solo cumple su función preventiva si llega oportunamente a los registros públicos. Sobre este deber, esta Agencia expidió la </w:t>
      </w:r>
      <w:r w:rsidRPr="00AD2822">
        <w:rPr>
          <w:rFonts w:ascii="Verdana" w:hAnsi="Verdana"/>
          <w:b/>
        </w:rPr>
        <w:t>Circular Externa 002 del 5 de mayo de 2026,</w:t>
      </w:r>
      <w:r w:rsidRPr="00AD2822">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Original URL: https://www.colombiacompra.gov.co/archivos/circular/circular-externa-002-de-2026. Click or tap if you trust this link." w:history="1">
        <w:r w:rsidRPr="00AD2822">
          <w:rPr>
            <w:rStyle w:val="Hyperlink"/>
            <w:rFonts w:ascii="Verdana" w:hAnsi="Verdana"/>
          </w:rPr>
          <w:t>https://www.colombiacompra.gov.co/archivos/circular/circular-externa-002-de-2026</w:t>
        </w:r>
      </w:hyperlink>
    </w:p>
    <w:p w14:paraId="676BC1DC" w14:textId="77777777" w:rsidR="00F90CEA" w:rsidRPr="00AD2822" w:rsidRDefault="00F90CEA" w:rsidP="00F90CEA">
      <w:pPr>
        <w:spacing w:after="0" w:line="276" w:lineRule="auto"/>
        <w:jc w:val="both"/>
        <w:rPr>
          <w:rFonts w:ascii="Verdana" w:hAnsi="Verdana"/>
        </w:rPr>
      </w:pPr>
    </w:p>
    <w:p w14:paraId="2BF8F488" w14:textId="77777777" w:rsidR="00F90CEA" w:rsidRPr="00AD2822" w:rsidRDefault="00F90CEA" w:rsidP="00F90CEA">
      <w:pPr>
        <w:spacing w:after="0" w:line="276" w:lineRule="auto"/>
        <w:jc w:val="both"/>
        <w:rPr>
          <w:rFonts w:ascii="Verdana" w:hAnsi="Verdana"/>
        </w:rPr>
      </w:pPr>
      <w:r w:rsidRPr="00AD2822">
        <w:rPr>
          <w:rFonts w:ascii="Verdana" w:hAnsi="Verdana"/>
        </w:rPr>
        <w:t>Finalmente, si quieres seguir de cerca la actividad de la Agencia, la tercera edición de 2026 del</w:t>
      </w:r>
      <w:r w:rsidRPr="00AD2822">
        <w:rPr>
          <w:rFonts w:ascii="Verdana" w:hAnsi="Verdana"/>
          <w:b/>
        </w:rPr>
        <w:t> Radar de la Compra Pública</w:t>
      </w:r>
      <w:r w:rsidRPr="00AD2822">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Original URL: https://www.colombiacompra.gov.co/archivos/boletin/boletin-edicion-n-3-de-2026-radar-de-la-compra-publica. Click or tap if you trust this link." w:history="1">
        <w:r w:rsidRPr="00AD2822">
          <w:rPr>
            <w:rStyle w:val="Hyperlink"/>
            <w:rFonts w:ascii="Verdana" w:hAnsi="Verdana"/>
          </w:rPr>
          <w:t>https://www.colombiacompra.gov.co/archivos/boletin/boletin-edicion-n-3-de-2026-radar-de-la-compra-publica</w:t>
        </w:r>
      </w:hyperlink>
      <w:r w:rsidRPr="00AD2822">
        <w:rPr>
          <w:rFonts w:ascii="Verdana" w:hAnsi="Verdana"/>
        </w:rPr>
        <w:t>"</w:t>
      </w:r>
    </w:p>
    <w:p w14:paraId="3EFC020A" w14:textId="77777777" w:rsidR="00F90CEA" w:rsidRDefault="00F90CEA" w:rsidP="00F90CEA">
      <w:pPr>
        <w:spacing w:after="0" w:line="276" w:lineRule="auto"/>
        <w:jc w:val="both"/>
        <w:rPr>
          <w:rFonts w:ascii="Verdana" w:hAnsi="Verdana"/>
          <w:lang w:val="es-ES"/>
        </w:rPr>
      </w:pPr>
    </w:p>
    <w:p w14:paraId="64E70EC0" w14:textId="77777777" w:rsidR="00F90CEA" w:rsidRPr="00A220B2" w:rsidRDefault="00F90CEA" w:rsidP="00F90CEA">
      <w:pPr>
        <w:spacing w:after="0" w:line="276" w:lineRule="auto"/>
        <w:jc w:val="both"/>
        <w:rPr>
          <w:rFonts w:ascii="Verdana" w:hAnsi="Verdana"/>
          <w:lang w:val="es-ES"/>
        </w:rPr>
      </w:pPr>
      <w:r w:rsidRPr="00A220B2">
        <w:rPr>
          <w:rFonts w:ascii="Verdana" w:hAnsi="Verdana"/>
          <w:lang w:val="es-ES"/>
        </w:rPr>
        <w:t xml:space="preserve">Por último, lo invitamos a seguirnos en las redes sociales en las cuales se difunde información institucional: </w:t>
      </w:r>
    </w:p>
    <w:p w14:paraId="0F2DC2C8" w14:textId="77777777" w:rsidR="00F90CEA" w:rsidRPr="00A220B2" w:rsidRDefault="00F90CEA" w:rsidP="00F90CEA">
      <w:pPr>
        <w:spacing w:after="0" w:line="276" w:lineRule="auto"/>
        <w:jc w:val="both"/>
        <w:rPr>
          <w:rFonts w:ascii="Verdana" w:hAnsi="Verdana"/>
          <w:lang w:val="es-ES"/>
        </w:rPr>
      </w:pPr>
    </w:p>
    <w:p w14:paraId="69961CC4" w14:textId="77777777" w:rsidR="00F90CEA" w:rsidRPr="00A220B2" w:rsidRDefault="00F90CEA" w:rsidP="00F90CEA">
      <w:pPr>
        <w:spacing w:after="0" w:line="276" w:lineRule="auto"/>
        <w:jc w:val="both"/>
        <w:rPr>
          <w:rFonts w:ascii="Verdana" w:hAnsi="Verdana"/>
          <w:lang w:val="es-ES"/>
        </w:rPr>
      </w:pPr>
      <w:r w:rsidRPr="00A220B2">
        <w:rPr>
          <w:rFonts w:ascii="Verdana" w:hAnsi="Verdana"/>
          <w:lang w:val="es-ES"/>
        </w:rPr>
        <w:t xml:space="preserve">Twitter: </w:t>
      </w:r>
      <w:r w:rsidRPr="00A220B2">
        <w:rPr>
          <w:rStyle w:val="Hyperlink"/>
          <w:rFonts w:ascii="Verdana" w:hAnsi="Verdana" w:cs="Arial"/>
          <w:shd w:val="clear" w:color="auto" w:fill="FFFFFF"/>
          <w:lang w:val="es-ES"/>
        </w:rPr>
        <w:t>@colombiacompra</w:t>
      </w:r>
      <w:r w:rsidRPr="00A220B2">
        <w:rPr>
          <w:rFonts w:ascii="Verdana" w:hAnsi="Verdana"/>
          <w:color w:val="4472C4" w:themeColor="accent1"/>
          <w:lang w:val="es-ES"/>
        </w:rPr>
        <w:t xml:space="preserve"> </w:t>
      </w:r>
    </w:p>
    <w:p w14:paraId="3EDA6831" w14:textId="77777777" w:rsidR="00F90CEA" w:rsidRPr="00A220B2" w:rsidRDefault="00F90CEA" w:rsidP="00F90CEA">
      <w:pPr>
        <w:spacing w:after="0" w:line="276" w:lineRule="auto"/>
        <w:jc w:val="both"/>
        <w:rPr>
          <w:rFonts w:ascii="Verdana" w:hAnsi="Verdana"/>
          <w:lang w:val="es-ES"/>
        </w:rPr>
      </w:pPr>
      <w:r w:rsidRPr="00A220B2">
        <w:rPr>
          <w:rFonts w:ascii="Verdana" w:hAnsi="Verdana"/>
          <w:lang w:val="es-ES"/>
        </w:rPr>
        <w:t xml:space="preserve">Facebook: </w:t>
      </w:r>
      <w:proofErr w:type="spellStart"/>
      <w:r w:rsidRPr="00A220B2">
        <w:rPr>
          <w:rStyle w:val="Hyperlink"/>
          <w:rFonts w:ascii="Verdana" w:hAnsi="Verdana" w:cs="Arial"/>
          <w:shd w:val="clear" w:color="auto" w:fill="FFFFFF"/>
          <w:lang w:val="es-ES"/>
        </w:rPr>
        <w:t>ColombiaCompraEficiente</w:t>
      </w:r>
      <w:proofErr w:type="spellEnd"/>
    </w:p>
    <w:p w14:paraId="5BDBE33C" w14:textId="77777777" w:rsidR="00F90CEA" w:rsidRPr="00A220B2" w:rsidRDefault="00F90CEA" w:rsidP="00F90CEA">
      <w:pPr>
        <w:spacing w:after="0" w:line="276" w:lineRule="auto"/>
        <w:jc w:val="both"/>
        <w:rPr>
          <w:rFonts w:ascii="Verdana" w:hAnsi="Verdana"/>
          <w:lang w:val="es-ES"/>
        </w:rPr>
      </w:pPr>
      <w:r w:rsidRPr="00A220B2">
        <w:rPr>
          <w:rFonts w:ascii="Verdana" w:hAnsi="Verdana"/>
          <w:lang w:val="es-ES"/>
        </w:rPr>
        <w:lastRenderedPageBreak/>
        <w:t xml:space="preserve">LinkedIn: </w:t>
      </w:r>
      <w:r w:rsidRPr="00A220B2">
        <w:rPr>
          <w:rStyle w:val="Hyperlink"/>
          <w:rFonts w:ascii="Verdana" w:hAnsi="Verdana" w:cs="Arial"/>
          <w:shd w:val="clear" w:color="auto" w:fill="FFFFFF"/>
          <w:lang w:val="es-ES"/>
        </w:rPr>
        <w:t xml:space="preserve">Agencia Nacional de Contratación Pública - Colombia Compra Eficiente </w:t>
      </w:r>
      <w:r w:rsidRPr="00A220B2">
        <w:rPr>
          <w:rFonts w:ascii="Verdana" w:hAnsi="Verdana"/>
          <w:lang w:val="es-ES"/>
        </w:rPr>
        <w:t xml:space="preserve">Instagram: </w:t>
      </w:r>
      <w:r w:rsidRPr="00A220B2">
        <w:rPr>
          <w:rStyle w:val="Hyperlink"/>
          <w:rFonts w:ascii="Verdana" w:hAnsi="Verdana" w:cs="Arial"/>
          <w:shd w:val="clear" w:color="auto" w:fill="FFFFFF"/>
          <w:lang w:val="es-ES"/>
        </w:rPr>
        <w:t>@colombiacompraeficiente_cce</w:t>
      </w:r>
    </w:p>
    <w:p w14:paraId="1DA960EC" w14:textId="77777777" w:rsidR="00F90CEA" w:rsidRPr="00A220B2" w:rsidRDefault="00F90CEA" w:rsidP="00F90CEA">
      <w:pPr>
        <w:widowControl w:val="0"/>
        <w:autoSpaceDE w:val="0"/>
        <w:autoSpaceDN w:val="0"/>
        <w:spacing w:after="0" w:line="276" w:lineRule="auto"/>
        <w:jc w:val="both"/>
        <w:rPr>
          <w:rFonts w:ascii="Verdana" w:hAnsi="Verdana" w:cs="Arial"/>
          <w:color w:val="000000" w:themeColor="text1"/>
          <w:lang w:val="es-ES"/>
        </w:rPr>
      </w:pPr>
    </w:p>
    <w:p w14:paraId="05F7F556" w14:textId="77777777" w:rsidR="00F90CEA" w:rsidRPr="00A220B2" w:rsidRDefault="00F90CEA" w:rsidP="00F90CEA">
      <w:pPr>
        <w:widowControl w:val="0"/>
        <w:autoSpaceDE w:val="0"/>
        <w:autoSpaceDN w:val="0"/>
        <w:spacing w:after="0" w:line="276" w:lineRule="auto"/>
        <w:jc w:val="both"/>
        <w:rPr>
          <w:rFonts w:ascii="Verdana" w:hAnsi="Verdana" w:cs="Arial"/>
          <w:color w:val="000000" w:themeColor="text1"/>
          <w:lang w:val="es-ES"/>
        </w:rPr>
      </w:pPr>
      <w:r w:rsidRPr="00A220B2">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48B8F2E" w14:textId="77777777" w:rsidR="00F90CEA" w:rsidRPr="00A220B2" w:rsidRDefault="00F90CEA" w:rsidP="00F90CEA">
      <w:pPr>
        <w:widowControl w:val="0"/>
        <w:autoSpaceDE w:val="0"/>
        <w:autoSpaceDN w:val="0"/>
        <w:spacing w:after="0" w:line="276" w:lineRule="auto"/>
        <w:jc w:val="both"/>
        <w:rPr>
          <w:rFonts w:ascii="Verdana" w:hAnsi="Verdana" w:cs="Arial"/>
          <w:color w:val="000000" w:themeColor="text1"/>
          <w:lang w:val="es-ES"/>
        </w:rPr>
      </w:pPr>
    </w:p>
    <w:p w14:paraId="49008E42" w14:textId="5868DF58" w:rsidR="00F90CEA" w:rsidRPr="00A220B2" w:rsidRDefault="00F90CEA" w:rsidP="00F90CEA">
      <w:pPr>
        <w:spacing w:after="0" w:line="276" w:lineRule="auto"/>
        <w:rPr>
          <w:rFonts w:ascii="Verdana" w:hAnsi="Verdana" w:cs="Arial"/>
          <w:color w:val="000000" w:themeColor="text1"/>
          <w:lang w:val="es-ES" w:eastAsia="es-CO"/>
        </w:rPr>
      </w:pPr>
      <w:r w:rsidRPr="00A220B2">
        <w:rPr>
          <w:rFonts w:ascii="Verdana" w:eastAsia="Times New Roman" w:hAnsi="Verdana" w:cs="Arial"/>
          <w:color w:val="000000" w:themeColor="text1"/>
          <w:lang w:val="es-ES" w:eastAsia="es-CO"/>
        </w:rPr>
        <w:t>Atentamente,</w:t>
      </w:r>
      <w:r w:rsidRPr="00A220B2">
        <w:rPr>
          <w:rFonts w:ascii="Verdana" w:hAnsi="Verdana" w:cs="Arial"/>
          <w:color w:val="000000" w:themeColor="text1"/>
          <w:lang w:val="es-ES" w:eastAsia="es-CO"/>
        </w:rPr>
        <w:t xml:space="preserve"> </w:t>
      </w:r>
    </w:p>
    <w:p w14:paraId="355E5CCF" w14:textId="65D33B63" w:rsidR="00F90CEA" w:rsidRPr="00A220B2" w:rsidRDefault="001842D0" w:rsidP="00F90CEA">
      <w:pPr>
        <w:spacing w:line="276" w:lineRule="auto"/>
        <w:rPr>
          <w:lang w:val="es-ES"/>
        </w:rPr>
      </w:pPr>
      <w:r w:rsidRPr="002C3AD6">
        <w:rPr>
          <w:rFonts w:ascii="Century Gothic" w:hAnsi="Century Gothic"/>
          <w:noProof/>
        </w:rPr>
        <w:drawing>
          <wp:anchor distT="0" distB="0" distL="114300" distR="114300" simplePos="0" relativeHeight="251661313" behindDoc="0" locked="0" layoutInCell="1" allowOverlap="1" wp14:anchorId="739A2ED6" wp14:editId="4AAF5D5D">
            <wp:simplePos x="0" y="0"/>
            <wp:positionH relativeFrom="column">
              <wp:posOffset>1092631</wp:posOffset>
            </wp:positionH>
            <wp:positionV relativeFrom="page">
              <wp:posOffset>3289225</wp:posOffset>
            </wp:positionV>
            <wp:extent cx="3602990" cy="1337310"/>
            <wp:effectExtent l="0" t="0" r="381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602990" cy="133731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90CEA" w:rsidRPr="00A220B2" w14:paraId="3C14D5FE" w14:textId="77777777" w:rsidTr="00F90CEA">
        <w:trPr>
          <w:trHeight w:val="315"/>
        </w:trPr>
        <w:tc>
          <w:tcPr>
            <w:tcW w:w="893" w:type="dxa"/>
            <w:vAlign w:val="center"/>
            <w:hideMark/>
          </w:tcPr>
          <w:p w14:paraId="001B3B15" w14:textId="77777777" w:rsidR="00F90CEA" w:rsidRPr="00A220B2" w:rsidRDefault="00F90CEA" w:rsidP="00F90CEA">
            <w:pPr>
              <w:contextualSpacing/>
              <w:rPr>
                <w:rFonts w:ascii="Verdana" w:hAnsi="Verdana" w:cs="Arial"/>
                <w:sz w:val="15"/>
                <w:szCs w:val="15"/>
                <w:lang w:val="es-ES" w:eastAsia="es-ES"/>
              </w:rPr>
            </w:pPr>
            <w:r w:rsidRPr="00A220B2">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2FB64BDA" w14:textId="77777777" w:rsidR="00F90CEA" w:rsidRPr="00A220B2" w:rsidRDefault="00F90CEA" w:rsidP="00F90CEA">
            <w:pPr>
              <w:contextualSpacing/>
              <w:rPr>
                <w:rFonts w:ascii="Verdana" w:eastAsia="Arial" w:hAnsi="Verdana" w:cs="Arial"/>
                <w:color w:val="000000" w:themeColor="text1"/>
                <w:sz w:val="15"/>
                <w:szCs w:val="15"/>
                <w:lang w:val="es-ES"/>
              </w:rPr>
            </w:pPr>
            <w:r w:rsidRPr="00A220B2">
              <w:rPr>
                <w:rFonts w:ascii="Verdana" w:eastAsia="Arial" w:hAnsi="Verdana" w:cs="Arial"/>
                <w:color w:val="000000" w:themeColor="text1"/>
                <w:sz w:val="15"/>
                <w:szCs w:val="15"/>
                <w:lang w:val="es-ES"/>
              </w:rPr>
              <w:t>Anamaría Bonilla Prieto</w:t>
            </w:r>
          </w:p>
          <w:p w14:paraId="7F88BF03" w14:textId="77777777" w:rsidR="00F90CEA" w:rsidRPr="00A220B2" w:rsidRDefault="00F90CEA" w:rsidP="00F90CEA">
            <w:pPr>
              <w:contextualSpacing/>
              <w:rPr>
                <w:rFonts w:ascii="Verdana" w:eastAsia="Arial" w:hAnsi="Verdana" w:cs="Arial"/>
                <w:sz w:val="15"/>
                <w:szCs w:val="15"/>
                <w:lang w:val="es-ES"/>
              </w:rPr>
            </w:pPr>
            <w:r w:rsidRPr="00A220B2">
              <w:rPr>
                <w:rStyle w:val="normaltextrun"/>
                <w:rFonts w:ascii="Verdana" w:eastAsia="Arial" w:hAnsi="Verdana" w:cs="Arial"/>
                <w:color w:val="000000" w:themeColor="text1"/>
                <w:sz w:val="15"/>
                <w:szCs w:val="15"/>
                <w:lang w:val="es-ES"/>
              </w:rPr>
              <w:t xml:space="preserve">Contratista de la Subdirección </w:t>
            </w:r>
            <w:r w:rsidRPr="00A220B2">
              <w:rPr>
                <w:rStyle w:val="normaltextrun"/>
                <w:rFonts w:ascii="Verdana" w:eastAsia="Arial" w:hAnsi="Verdana" w:cs="Arial"/>
                <w:sz w:val="15"/>
                <w:szCs w:val="15"/>
                <w:lang w:val="es-ES"/>
              </w:rPr>
              <w:t>de Gestión Contractual</w:t>
            </w:r>
          </w:p>
        </w:tc>
      </w:tr>
      <w:tr w:rsidR="00F90CEA" w:rsidRPr="00A220B2" w14:paraId="6107382E" w14:textId="77777777" w:rsidTr="00F90CEA">
        <w:trPr>
          <w:trHeight w:val="330"/>
        </w:trPr>
        <w:tc>
          <w:tcPr>
            <w:tcW w:w="893" w:type="dxa"/>
            <w:vAlign w:val="center"/>
            <w:hideMark/>
          </w:tcPr>
          <w:p w14:paraId="06624D84" w14:textId="77777777" w:rsidR="00F90CEA" w:rsidRPr="00A220B2" w:rsidRDefault="00F90CEA" w:rsidP="00F90CEA">
            <w:pPr>
              <w:contextualSpacing/>
              <w:rPr>
                <w:rFonts w:ascii="Verdana" w:hAnsi="Verdana" w:cs="Arial"/>
                <w:sz w:val="15"/>
                <w:szCs w:val="15"/>
                <w:lang w:val="es-ES" w:eastAsia="es-ES"/>
              </w:rPr>
            </w:pPr>
            <w:r w:rsidRPr="00A220B2">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4446513" w14:textId="77777777" w:rsidR="00F90CEA" w:rsidRPr="00A220B2" w:rsidRDefault="00F90CEA" w:rsidP="00F90CEA">
            <w:pPr>
              <w:contextualSpacing/>
              <w:rPr>
                <w:rFonts w:ascii="Verdana" w:eastAsia="Arial" w:hAnsi="Verdana" w:cs="Arial"/>
                <w:color w:val="000000" w:themeColor="text1"/>
                <w:sz w:val="15"/>
                <w:szCs w:val="15"/>
                <w:lang w:val="es-ES"/>
              </w:rPr>
            </w:pPr>
            <w:r w:rsidRPr="00A220B2">
              <w:rPr>
                <w:rFonts w:ascii="Verdana" w:eastAsia="Arial" w:hAnsi="Verdana" w:cs="Arial"/>
                <w:color w:val="000000" w:themeColor="text1"/>
                <w:sz w:val="15"/>
                <w:szCs w:val="15"/>
                <w:lang w:val="es-ES"/>
              </w:rPr>
              <w:t>Alejandro Sarmiento Cantillo</w:t>
            </w:r>
          </w:p>
          <w:p w14:paraId="4EE62C25" w14:textId="77777777" w:rsidR="00F90CEA" w:rsidRPr="00A220B2" w:rsidRDefault="00F90CEA" w:rsidP="00F90CEA">
            <w:pPr>
              <w:pStyle w:val="paragraph"/>
              <w:spacing w:before="0" w:beforeAutospacing="0" w:after="0" w:afterAutospacing="0"/>
              <w:contextualSpacing/>
              <w:textAlignment w:val="baseline"/>
              <w:rPr>
                <w:rFonts w:ascii="Verdana" w:hAnsi="Verdana" w:cs="Segoe UI"/>
                <w:sz w:val="15"/>
                <w:szCs w:val="15"/>
                <w:lang w:val="es-ES"/>
              </w:rPr>
            </w:pPr>
            <w:r w:rsidRPr="00A220B2">
              <w:rPr>
                <w:rFonts w:ascii="Verdana" w:eastAsia="Arial" w:hAnsi="Verdana" w:cs="Arial"/>
                <w:color w:val="000000" w:themeColor="text1"/>
                <w:sz w:val="15"/>
                <w:szCs w:val="15"/>
                <w:lang w:val="es-ES"/>
              </w:rPr>
              <w:t>Gestor T1 – 15 de la Subdirección de Gestión Contractual</w:t>
            </w:r>
            <w:r w:rsidRPr="00A220B2">
              <w:rPr>
                <w:rFonts w:ascii="Verdana" w:hAnsi="Verdana" w:cs="Segoe UI"/>
                <w:sz w:val="15"/>
                <w:szCs w:val="15"/>
                <w:lang w:val="es-ES"/>
              </w:rPr>
              <w:t> </w:t>
            </w:r>
          </w:p>
          <w:p w14:paraId="6F3861A7" w14:textId="77777777" w:rsidR="00F90CEA" w:rsidRPr="00A220B2" w:rsidRDefault="00F90CEA" w:rsidP="00F90CEA">
            <w:pPr>
              <w:pStyle w:val="paragraph"/>
              <w:spacing w:before="0" w:beforeAutospacing="0" w:after="0" w:afterAutospacing="0"/>
              <w:contextualSpacing/>
              <w:textAlignment w:val="baseline"/>
              <w:rPr>
                <w:rFonts w:ascii="Verdana" w:hAnsi="Verdana" w:cs="Segoe UI"/>
                <w:sz w:val="15"/>
                <w:szCs w:val="15"/>
                <w:lang w:val="es-ES"/>
              </w:rPr>
            </w:pPr>
          </w:p>
        </w:tc>
      </w:tr>
      <w:tr w:rsidR="00F90CEA" w:rsidRPr="00A220B2" w14:paraId="10404324" w14:textId="77777777" w:rsidTr="00F90CEA">
        <w:trPr>
          <w:trHeight w:val="300"/>
        </w:trPr>
        <w:tc>
          <w:tcPr>
            <w:tcW w:w="893" w:type="dxa"/>
            <w:vAlign w:val="center"/>
          </w:tcPr>
          <w:p w14:paraId="6D0327EE" w14:textId="77777777" w:rsidR="00F90CEA" w:rsidRPr="00A220B2" w:rsidRDefault="00F90CEA" w:rsidP="00F90CEA">
            <w:pPr>
              <w:contextualSpacing/>
              <w:rPr>
                <w:rFonts w:ascii="Verdana" w:hAnsi="Verdana" w:cs="Arial"/>
                <w:sz w:val="15"/>
                <w:szCs w:val="15"/>
                <w:lang w:val="es-ES" w:eastAsia="es-ES"/>
              </w:rPr>
            </w:pPr>
            <w:r w:rsidRPr="00A220B2">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D1FD2E4" w14:textId="77777777" w:rsidR="00F90CEA" w:rsidRPr="00A220B2" w:rsidRDefault="00F90CEA" w:rsidP="00F90CEA">
            <w:pPr>
              <w:contextualSpacing/>
              <w:rPr>
                <w:rFonts w:ascii="Verdana" w:eastAsia="Calibri" w:hAnsi="Verdana" w:cs="Arial"/>
                <w:sz w:val="16"/>
                <w:szCs w:val="16"/>
                <w:lang w:val="es-ES" w:eastAsia="es-ES"/>
              </w:rPr>
            </w:pPr>
            <w:r w:rsidRPr="00A220B2">
              <w:rPr>
                <w:rFonts w:ascii="Verdana" w:eastAsia="Calibri" w:hAnsi="Verdana" w:cs="Arial"/>
                <w:sz w:val="16"/>
                <w:szCs w:val="16"/>
                <w:lang w:val="es-ES" w:eastAsia="es-ES"/>
              </w:rPr>
              <w:t>Carolina Quintero Gacharná</w:t>
            </w:r>
          </w:p>
          <w:p w14:paraId="38EA515E" w14:textId="77777777" w:rsidR="00F90CEA" w:rsidRPr="00A220B2" w:rsidRDefault="00F90CEA" w:rsidP="00F90CEA">
            <w:pPr>
              <w:contextualSpacing/>
              <w:rPr>
                <w:rFonts w:ascii="Verdana" w:eastAsia="Calibri" w:hAnsi="Verdana" w:cs="Arial"/>
                <w:sz w:val="15"/>
                <w:szCs w:val="15"/>
                <w:lang w:val="es-ES" w:eastAsia="es-ES"/>
              </w:rPr>
            </w:pPr>
            <w:r w:rsidRPr="00A220B2">
              <w:rPr>
                <w:rFonts w:ascii="Verdana" w:eastAsia="Calibri" w:hAnsi="Verdana" w:cs="Arial"/>
                <w:sz w:val="16"/>
                <w:szCs w:val="16"/>
                <w:lang w:val="es-ES" w:eastAsia="es-ES"/>
              </w:rPr>
              <w:t>Subdirectora de Gestión Contractual ANCP – CCE</w:t>
            </w:r>
          </w:p>
        </w:tc>
      </w:tr>
      <w:bookmarkEnd w:id="0"/>
    </w:tbl>
    <w:p w14:paraId="31A7C5F2" w14:textId="6279095B" w:rsidR="00F90CEA" w:rsidRPr="00A220B2" w:rsidRDefault="00F90CEA" w:rsidP="00F90CEA">
      <w:pPr>
        <w:rPr>
          <w:lang w:val="es-ES"/>
        </w:rPr>
      </w:pPr>
    </w:p>
    <w:p w14:paraId="0F293BF4" w14:textId="7AFB1F31" w:rsidR="00127233" w:rsidRPr="00F90CEA" w:rsidRDefault="00127233" w:rsidP="00F90CEA"/>
    <w:sectPr w:rsidR="00127233" w:rsidRPr="00F90CEA"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DB5E9" w14:textId="77777777" w:rsidR="00F7302D" w:rsidRDefault="00F7302D" w:rsidP="004A1847">
      <w:pPr>
        <w:spacing w:after="0" w:line="240" w:lineRule="auto"/>
      </w:pPr>
      <w:r>
        <w:separator/>
      </w:r>
    </w:p>
  </w:endnote>
  <w:endnote w:type="continuationSeparator" w:id="0">
    <w:p w14:paraId="223F60A5" w14:textId="77777777" w:rsidR="00F7302D" w:rsidRDefault="00F7302D" w:rsidP="004A1847">
      <w:pPr>
        <w:spacing w:after="0" w:line="240" w:lineRule="auto"/>
      </w:pPr>
      <w:r>
        <w:continuationSeparator/>
      </w:r>
    </w:p>
  </w:endnote>
  <w:endnote w:type="continuationNotice" w:id="1">
    <w:p w14:paraId="55D31908" w14:textId="77777777" w:rsidR="00F7302D" w:rsidRDefault="00F73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Arial MT">
    <w:altName w:val="Arial"/>
    <w:panose1 w:val="020B0604020202020204"/>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E2DB5" w14:textId="77777777" w:rsidR="00F7302D" w:rsidRDefault="00F7302D" w:rsidP="004A1847">
      <w:pPr>
        <w:spacing w:after="0" w:line="240" w:lineRule="auto"/>
      </w:pPr>
      <w:r>
        <w:separator/>
      </w:r>
    </w:p>
  </w:footnote>
  <w:footnote w:type="continuationSeparator" w:id="0">
    <w:p w14:paraId="6D7A6633" w14:textId="77777777" w:rsidR="00F7302D" w:rsidRDefault="00F7302D" w:rsidP="004A1847">
      <w:pPr>
        <w:spacing w:after="0" w:line="240" w:lineRule="auto"/>
      </w:pPr>
      <w:r>
        <w:continuationSeparator/>
      </w:r>
    </w:p>
  </w:footnote>
  <w:footnote w:type="continuationNotice" w:id="1">
    <w:p w14:paraId="6AF0551B" w14:textId="77777777" w:rsidR="00F7302D" w:rsidRDefault="00F7302D">
      <w:pPr>
        <w:spacing w:after="0" w:line="240" w:lineRule="auto"/>
      </w:pPr>
    </w:p>
  </w:footnote>
  <w:footnote w:id="2">
    <w:p w14:paraId="3AC87EA9" w14:textId="410C2CC3" w:rsidR="00602221" w:rsidRPr="00DC4951" w:rsidRDefault="00602221" w:rsidP="00DC4951">
      <w:pPr>
        <w:pStyle w:val="FootnoteText"/>
        <w:ind w:firstLine="708"/>
        <w:jc w:val="both"/>
        <w:rPr>
          <w:rFonts w:ascii="Verdana" w:hAnsi="Verdana"/>
          <w:sz w:val="16"/>
          <w:szCs w:val="16"/>
        </w:rPr>
      </w:pPr>
      <w:r w:rsidRPr="00DC4951">
        <w:rPr>
          <w:rStyle w:val="FootnoteReference"/>
          <w:rFonts w:ascii="Verdana" w:hAnsi="Verdana"/>
          <w:sz w:val="16"/>
          <w:szCs w:val="16"/>
        </w:rPr>
        <w:footnoteRef/>
      </w:r>
      <w:r w:rsidRPr="00DC4951">
        <w:rPr>
          <w:rFonts w:ascii="Verdana" w:hAnsi="Verdana"/>
          <w:sz w:val="16"/>
          <w:szCs w:val="16"/>
        </w:rPr>
        <w:t xml:space="preserve"> </w:t>
      </w:r>
      <w:r w:rsidR="009820F0" w:rsidRPr="00DC4951">
        <w:rPr>
          <w:rFonts w:ascii="Verdana" w:hAnsi="Verdana"/>
          <w:sz w:val="16"/>
          <w:szCs w:val="16"/>
          <w:lang w:val="es-CO"/>
        </w:rPr>
        <w:t>AGENCIA NACIONAL DE CONTRATACIÓN PÚBLICA – COLOMBIA COMPRA EFICIENTE. Concepto C-447 de 2024; Concepto C-549 de 2026; Concepto C-680 de 2026, conforme a los cuales lo subsanable es la prueba de las circunstancias ocurridas antes del vencimiento del término para presentar ofertas, no la acreditación de hechos posteriores al cierre. En igual sentido, Ley 1882 de 2018, artículo 5.</w:t>
      </w:r>
    </w:p>
  </w:footnote>
  <w:footnote w:id="3">
    <w:p w14:paraId="206C12EF" w14:textId="77777777" w:rsidR="00F90CEA" w:rsidRPr="00B76029" w:rsidRDefault="00F90CEA" w:rsidP="00F90CEA">
      <w:pPr>
        <w:pStyle w:val="FootnoteText"/>
        <w:snapToGrid w:val="0"/>
        <w:spacing w:before="120" w:after="120"/>
        <w:jc w:val="both"/>
        <w:rPr>
          <w:rFonts w:ascii="Verdana" w:hAnsi="Verdana"/>
          <w:sz w:val="16"/>
          <w:szCs w:val="16"/>
        </w:rPr>
      </w:pPr>
      <w:r w:rsidRPr="00B76029">
        <w:rPr>
          <w:rStyle w:val="FootnoteReference"/>
          <w:rFonts w:ascii="Verdana" w:hAnsi="Verdana"/>
          <w:sz w:val="16"/>
          <w:szCs w:val="16"/>
        </w:rPr>
        <w:footnoteRef/>
      </w:r>
      <w:r w:rsidRPr="00B76029">
        <w:rPr>
          <w:rFonts w:ascii="Verdana" w:hAnsi="Verdana"/>
          <w:sz w:val="16"/>
          <w:szCs w:val="16"/>
        </w:rPr>
        <w:t xml:space="preserve"> </w:t>
      </w:r>
      <w:r w:rsidRPr="00B76029">
        <w:rPr>
          <w:rFonts w:ascii="Verdana" w:hAnsi="Verdana" w:cs="Arial"/>
          <w:sz w:val="16"/>
          <w:szCs w:val="16"/>
        </w:rPr>
        <w:t>DEIK ACOSTAMADIEDO, Carolina, Guía de Contratación Estatal: Deber de planeación y modalidades de selección, Buenos Aires, 2015, p. 59.</w:t>
      </w:r>
    </w:p>
  </w:footnote>
  <w:footnote w:id="4">
    <w:p w14:paraId="4423C7F2" w14:textId="26F82C18" w:rsidR="00666716" w:rsidRPr="00DC4951" w:rsidRDefault="00666716" w:rsidP="00DC4951">
      <w:pPr>
        <w:pStyle w:val="FootnoteText"/>
        <w:ind w:firstLine="708"/>
        <w:jc w:val="both"/>
        <w:rPr>
          <w:rFonts w:ascii="Verdana" w:hAnsi="Verdana"/>
          <w:sz w:val="16"/>
          <w:szCs w:val="16"/>
        </w:rPr>
      </w:pPr>
      <w:r w:rsidRPr="00DC4951">
        <w:rPr>
          <w:rStyle w:val="FootnoteReference"/>
          <w:rFonts w:ascii="Verdana" w:hAnsi="Verdana"/>
          <w:sz w:val="16"/>
          <w:szCs w:val="16"/>
        </w:rPr>
        <w:footnoteRef/>
      </w:r>
      <w:r w:rsidRPr="00DC4951">
        <w:rPr>
          <w:rFonts w:ascii="Verdana" w:hAnsi="Verdana"/>
          <w:sz w:val="16"/>
          <w:szCs w:val="16"/>
        </w:rPr>
        <w:t xml:space="preserve"> </w:t>
      </w:r>
      <w:r w:rsidR="002A07F7" w:rsidRPr="00DC4951">
        <w:rPr>
          <w:rFonts w:ascii="Verdana" w:hAnsi="Verdana"/>
          <w:sz w:val="16"/>
          <w:szCs w:val="16"/>
          <w:lang w:val="es-CO"/>
        </w:rPr>
        <w:t>CONSEJO DE ESTADO. Sección Tercera, Subsección B. Sentencia del 28 de mayo de 2012. Exp. No. 21.489. C.P. Ruth Stella Correa Palacio. En igual sentido, CONSEJO DE ESTADO. Sección Tercera. Sentencia del 31 de agosto de 2006. Exp. No. 14.287. C.P. Mauricio Fajardo Gómez</w:t>
      </w:r>
    </w:p>
  </w:footnote>
  <w:footnote w:id="5">
    <w:p w14:paraId="23A36DE8" w14:textId="1B0C963C" w:rsidR="002A07F7" w:rsidRPr="00DC4951" w:rsidRDefault="002A07F7" w:rsidP="00DC4951">
      <w:pPr>
        <w:pStyle w:val="FootnoteText"/>
        <w:ind w:firstLine="708"/>
        <w:jc w:val="both"/>
        <w:rPr>
          <w:rFonts w:ascii="Verdana" w:hAnsi="Verdana"/>
          <w:sz w:val="16"/>
          <w:szCs w:val="16"/>
        </w:rPr>
      </w:pPr>
      <w:r w:rsidRPr="00DC4951">
        <w:rPr>
          <w:rStyle w:val="FootnoteReference"/>
          <w:rFonts w:ascii="Verdana" w:hAnsi="Verdana"/>
          <w:sz w:val="16"/>
          <w:szCs w:val="16"/>
        </w:rPr>
        <w:footnoteRef/>
      </w:r>
      <w:r w:rsidR="005E1EE4" w:rsidRPr="00DC4951">
        <w:rPr>
          <w:rFonts w:ascii="Verdana" w:hAnsi="Verdana"/>
          <w:sz w:val="16"/>
          <w:szCs w:val="16"/>
        </w:rPr>
        <w:t>CONSEJO DE ESTADO. Sección Tercera, Subsección C. Sentencia del 13 de junio de 2013. Exp. No. 26.637. C.P. Jaime Orlando Santofimio Gamboa. En el mismo sentido, Sentencia del 24 de abril de 2013. Exp. No. 27.315. C.P. Jaime Orlando Santofimio Gamboa.</w:t>
      </w:r>
      <w:r w:rsidRPr="00DC4951">
        <w:rPr>
          <w:rFonts w:ascii="Verdana" w:hAnsi="Verdana"/>
          <w:sz w:val="16"/>
          <w:szCs w:val="16"/>
        </w:rPr>
        <w:t xml:space="preserve"> </w:t>
      </w:r>
    </w:p>
  </w:footnote>
  <w:footnote w:id="6">
    <w:p w14:paraId="743647FE" w14:textId="14000FDF" w:rsidR="005E1EE4" w:rsidRPr="00DC4951" w:rsidRDefault="005E1EE4" w:rsidP="00DC4951">
      <w:pPr>
        <w:pStyle w:val="FootnoteText"/>
        <w:ind w:firstLine="708"/>
        <w:jc w:val="both"/>
        <w:rPr>
          <w:rFonts w:ascii="Verdana" w:hAnsi="Verdana"/>
          <w:sz w:val="16"/>
          <w:szCs w:val="16"/>
        </w:rPr>
      </w:pPr>
      <w:r w:rsidRPr="00DC4951">
        <w:rPr>
          <w:rStyle w:val="FootnoteReference"/>
          <w:rFonts w:ascii="Verdana" w:hAnsi="Verdana"/>
          <w:sz w:val="16"/>
          <w:szCs w:val="16"/>
        </w:rPr>
        <w:footnoteRef/>
      </w:r>
      <w:r w:rsidRPr="00DC4951">
        <w:rPr>
          <w:rFonts w:ascii="Verdana" w:hAnsi="Verdana"/>
          <w:sz w:val="16"/>
          <w:szCs w:val="16"/>
        </w:rPr>
        <w:t xml:space="preserve"> </w:t>
      </w:r>
      <w:r w:rsidR="007A4434" w:rsidRPr="00DC4951">
        <w:rPr>
          <w:rFonts w:ascii="Verdana" w:hAnsi="Verdana"/>
          <w:sz w:val="16"/>
          <w:szCs w:val="16"/>
        </w:rPr>
        <w:t>CONSEJO DE ESTADO. Sección Tercera, Subsección B. Sentencia del 8 de septiembre de 2021. Exp. No. 61.583. C.P. Alberto Montaña Plata.</w:t>
      </w:r>
    </w:p>
  </w:footnote>
  <w:footnote w:id="7">
    <w:p w14:paraId="6D1F284C" w14:textId="77777777" w:rsidR="00F90CEA" w:rsidRPr="00B76029" w:rsidRDefault="00F90CEA" w:rsidP="00DC4951">
      <w:pPr>
        <w:pStyle w:val="FootnoteText"/>
        <w:snapToGrid w:val="0"/>
        <w:spacing w:before="120" w:after="120"/>
        <w:ind w:firstLine="708"/>
        <w:jc w:val="both"/>
        <w:rPr>
          <w:rFonts w:ascii="Verdana" w:hAnsi="Verdana"/>
          <w:sz w:val="16"/>
          <w:szCs w:val="16"/>
        </w:rPr>
      </w:pPr>
      <w:r w:rsidRPr="00B76029">
        <w:rPr>
          <w:rStyle w:val="FootnoteReference"/>
          <w:rFonts w:ascii="Verdana" w:hAnsi="Verdana"/>
          <w:sz w:val="16"/>
          <w:szCs w:val="16"/>
        </w:rPr>
        <w:footnoteRef/>
      </w:r>
      <w:r w:rsidRPr="00B76029">
        <w:rPr>
          <w:rFonts w:ascii="Verdana" w:hAnsi="Verdana"/>
          <w:sz w:val="16"/>
          <w:szCs w:val="16"/>
        </w:rPr>
        <w:t xml:space="preserve"> </w:t>
      </w:r>
      <w:r w:rsidRPr="00B76029">
        <w:rPr>
          <w:rFonts w:ascii="Verdana" w:hAnsi="Verdana" w:cs="Arial"/>
          <w:sz w:val="16"/>
          <w:szCs w:val="16"/>
        </w:rPr>
        <w:t xml:space="preserve">“Artículo </w:t>
      </w:r>
      <w:bookmarkStart w:id="1" w:name="_Hlk54173885"/>
      <w:r w:rsidRPr="00B76029">
        <w:rPr>
          <w:rFonts w:ascii="Verdana" w:hAnsi="Verdana" w:cs="Arial"/>
          <w:sz w:val="16"/>
          <w:szCs w:val="16"/>
        </w:rPr>
        <w:t>2.2.1.1.2.1.1</w:t>
      </w:r>
      <w:bookmarkEnd w:id="1"/>
      <w:r w:rsidRPr="00B76029">
        <w:rPr>
          <w:rFonts w:ascii="Verdana" w:hAnsi="Verdana" w:cs="Arial"/>
          <w:sz w:val="16"/>
          <w:szCs w:val="16"/>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footnote>
  <w:footnote w:id="8">
    <w:p w14:paraId="5F59E4C4" w14:textId="77777777" w:rsidR="00F90CEA" w:rsidRDefault="00F90CEA" w:rsidP="00940337">
      <w:pPr>
        <w:pStyle w:val="FootnoteText"/>
        <w:snapToGrid w:val="0"/>
        <w:spacing w:before="120" w:after="120"/>
        <w:ind w:firstLine="708"/>
        <w:jc w:val="both"/>
        <w:rPr>
          <w:rFonts w:ascii="Verdana" w:hAnsi="Verdana"/>
          <w:sz w:val="16"/>
          <w:szCs w:val="16"/>
          <w:lang w:val="es-ES"/>
        </w:rPr>
      </w:pPr>
      <w:r w:rsidRPr="00B76029">
        <w:rPr>
          <w:rStyle w:val="FootnoteReference"/>
          <w:rFonts w:ascii="Verdana" w:hAnsi="Verdana"/>
          <w:sz w:val="16"/>
          <w:szCs w:val="16"/>
        </w:rPr>
        <w:footnoteRef/>
      </w:r>
    </w:p>
    <w:p w14:paraId="3C4F6439" w14:textId="0DE3EEC6" w:rsidR="00F90CEA" w:rsidRPr="00B76029" w:rsidRDefault="00F90CEA" w:rsidP="00F90CEA">
      <w:pPr>
        <w:pStyle w:val="FootnoteText"/>
        <w:snapToGrid w:val="0"/>
        <w:spacing w:before="120" w:after="120"/>
        <w:ind w:firstLine="708"/>
        <w:jc w:val="both"/>
        <w:rPr>
          <w:rFonts w:ascii="Verdana" w:hAnsi="Verdana"/>
          <w:sz w:val="16"/>
          <w:szCs w:val="16"/>
          <w:lang w:val="es-ES"/>
        </w:rPr>
      </w:pPr>
      <w:r w:rsidRPr="00B76029">
        <w:rPr>
          <w:rFonts w:ascii="Verdana" w:hAnsi="Verdana"/>
          <w:sz w:val="16"/>
          <w:szCs w:val="16"/>
        </w:rPr>
        <w:t xml:space="preserve"> </w:t>
      </w:r>
      <w:r w:rsidRPr="00B76029">
        <w:rPr>
          <w:rFonts w:ascii="Verdana" w:eastAsia="Calibri" w:hAnsi="Verdana" w:cs="Arial"/>
          <w:bCs/>
          <w:sz w:val="16"/>
          <w:szCs w:val="16"/>
          <w:lang w:val="es-ES_tradnl"/>
        </w:rPr>
        <w:t>Agencia Nacional de Contratación Pública - Colombia Compra Eficiente. Guía para la Elaboración de Estudios del Sector</w:t>
      </w:r>
      <w:r w:rsidRPr="00B76029">
        <w:rPr>
          <w:rFonts w:ascii="Verdana" w:hAnsi="Verdana"/>
          <w:sz w:val="16"/>
          <w:szCs w:val="16"/>
        </w:rPr>
        <w:t xml:space="preserve">. Disponible en: </w:t>
      </w:r>
      <w:hyperlink r:id="rId1" w:history="1">
        <w:r w:rsidRPr="006E1ECA">
          <w:rPr>
            <w:rStyle w:val="Hyperlink"/>
            <w:rFonts w:ascii="Verdana" w:hAnsi="Verdana"/>
            <w:sz w:val="16"/>
            <w:szCs w:val="16"/>
          </w:rPr>
          <w:t>https://www.colombiacompra.gov.co/wp-content/uploads/2025/09/Guia-para-la-Elaboracion-de-Estudios-del-Sector-V3.pdf</w:t>
        </w:r>
      </w:hyperlink>
      <w:r w:rsidRPr="006E1ECA">
        <w:rPr>
          <w:rFonts w:ascii="Verdana" w:hAnsi="Verdana"/>
          <w:sz w:val="16"/>
          <w:szCs w:val="16"/>
        </w:rPr>
        <w:t xml:space="preserve"> </w:t>
      </w:r>
    </w:p>
  </w:footnote>
  <w:footnote w:id="9">
    <w:p w14:paraId="16AA2878" w14:textId="77777777" w:rsidR="00F90CEA" w:rsidRPr="00B76029" w:rsidRDefault="00F90CEA" w:rsidP="00F90CEA">
      <w:pPr>
        <w:pStyle w:val="FootnoteText"/>
        <w:snapToGrid w:val="0"/>
        <w:spacing w:before="120" w:after="120"/>
        <w:ind w:firstLine="709"/>
        <w:jc w:val="both"/>
        <w:rPr>
          <w:rFonts w:ascii="Verdana" w:hAnsi="Verdana" w:cs="Arial"/>
          <w:color w:val="000000" w:themeColor="text1"/>
          <w:sz w:val="16"/>
          <w:szCs w:val="16"/>
          <w:lang w:val="es-CO"/>
        </w:rPr>
      </w:pPr>
      <w:r w:rsidRPr="00B76029">
        <w:rPr>
          <w:rStyle w:val="FootnoteReference"/>
          <w:rFonts w:ascii="Verdana" w:hAnsi="Verdana" w:cs="Arial"/>
          <w:sz w:val="16"/>
          <w:szCs w:val="16"/>
        </w:rPr>
        <w:footnoteRef/>
      </w:r>
      <w:r w:rsidRPr="00B76029">
        <w:rPr>
          <w:rFonts w:ascii="Verdana" w:hAnsi="Verdana" w:cs="Arial"/>
          <w:sz w:val="16"/>
          <w:szCs w:val="16"/>
        </w:rPr>
        <w:t xml:space="preserve"> </w:t>
      </w:r>
      <w:r w:rsidRPr="00B76029">
        <w:rPr>
          <w:rFonts w:ascii="Verdana" w:hAnsi="Verdana" w:cs="Arial"/>
          <w:sz w:val="16"/>
          <w:szCs w:val="16"/>
          <w:lang w:val="es-CO"/>
        </w:rPr>
        <w:t xml:space="preserve">La Versión 02 de esta Guía fue adoptada el 24 de junio de 2022. Disponible en </w:t>
      </w:r>
      <w:hyperlink r:id="rId2" w:history="1">
        <w:r w:rsidRPr="00B76029">
          <w:rPr>
            <w:rStyle w:val="Hyperlink"/>
            <w:rFonts w:ascii="Verdana" w:hAnsi="Verdana" w:cs="Arial"/>
            <w:color w:val="000000" w:themeColor="text1"/>
            <w:sz w:val="16"/>
            <w:szCs w:val="16"/>
          </w:rPr>
          <w:t>https://colombiacompra.gov.co/sites/cce_public/files/cce_documentos/cce-eicp-gi-18._gees_v.2_2.pdf</w:t>
        </w:r>
      </w:hyperlink>
      <w:r w:rsidRPr="00B76029">
        <w:rPr>
          <w:rFonts w:ascii="Verdana" w:hAnsi="Verdana" w:cs="Arial"/>
          <w:color w:val="000000" w:themeColor="text1"/>
          <w:sz w:val="16"/>
          <w:szCs w:val="16"/>
        </w:rPr>
        <w:t xml:space="preserve"> . Actualmente esta Guía se encuentra en proceso actualización cuyo borrador puede ser consultado </w:t>
      </w:r>
      <w:r w:rsidRPr="00B76029">
        <w:rPr>
          <w:rFonts w:ascii="Verdana" w:hAnsi="Verdana" w:cs="Arial"/>
          <w:color w:val="000000" w:themeColor="text1"/>
          <w:sz w:val="16"/>
          <w:szCs w:val="16"/>
          <w:lang w:val="es-CO"/>
        </w:rPr>
        <w:t>a través del siguiente enlace: </w:t>
      </w:r>
      <w:hyperlink r:id="rId3" w:history="1">
        <w:r w:rsidRPr="00B76029">
          <w:rPr>
            <w:rStyle w:val="Hyperlink"/>
            <w:rFonts w:ascii="Verdana" w:hAnsi="Verdana" w:cs="Arial"/>
            <w:sz w:val="16"/>
            <w:szCs w:val="16"/>
            <w:lang w:val="es-CO"/>
          </w:rPr>
          <w:t>https://www.colombiacompra.gov.co/archivos/convocatoria/participacion-ciudadana-proyecto-de-la-guia-para-la-</w:t>
        </w:r>
      </w:hyperlink>
    </w:p>
    <w:p w14:paraId="18DF4156" w14:textId="77777777" w:rsidR="00F90CEA" w:rsidRPr="00B76029" w:rsidRDefault="00F90CEA" w:rsidP="00F90CEA">
      <w:pPr>
        <w:pStyle w:val="FootnoteText"/>
        <w:snapToGrid w:val="0"/>
        <w:spacing w:before="120" w:after="120"/>
        <w:ind w:firstLine="709"/>
        <w:jc w:val="both"/>
        <w:rPr>
          <w:rFonts w:ascii="Verdana" w:hAnsi="Verdana" w:cs="Arial"/>
          <w:sz w:val="16"/>
          <w:szCs w:val="16"/>
          <w:lang w:val="es-CO"/>
        </w:rPr>
      </w:pPr>
    </w:p>
  </w:footnote>
  <w:footnote w:id="10">
    <w:p w14:paraId="47DA4D7E" w14:textId="77777777" w:rsidR="00F90CEA" w:rsidRPr="00B76029" w:rsidRDefault="00F90CEA" w:rsidP="00F90CEA">
      <w:pPr>
        <w:snapToGrid w:val="0"/>
        <w:spacing w:before="120" w:after="120" w:line="240" w:lineRule="auto"/>
        <w:ind w:right="51" w:firstLine="709"/>
        <w:jc w:val="both"/>
        <w:rPr>
          <w:rFonts w:ascii="Verdana" w:hAnsi="Verdana"/>
          <w:sz w:val="16"/>
          <w:szCs w:val="16"/>
        </w:rPr>
      </w:pPr>
      <w:r w:rsidRPr="00B76029">
        <w:rPr>
          <w:rStyle w:val="FootnoteReference"/>
          <w:rFonts w:ascii="Verdana" w:hAnsi="Verdana"/>
          <w:sz w:val="16"/>
          <w:szCs w:val="16"/>
        </w:rPr>
        <w:footnoteRef/>
      </w:r>
      <w:r w:rsidRPr="00B76029">
        <w:rPr>
          <w:rFonts w:ascii="Verdana" w:hAnsi="Verdana"/>
          <w:sz w:val="16"/>
          <w:szCs w:val="16"/>
        </w:rPr>
        <w:t xml:space="preserve"> Decreto 1082 de 2015: “Artículo 2.2.1.2.1.2.1. Pliegos de condiciones. En los pliegos de condiciones para contratar Bienes y Servicios de Características Técnicas Uniformes, la Entidad Estatal debe indicar:</w:t>
      </w:r>
    </w:p>
    <w:p w14:paraId="1CDBBF08" w14:textId="77777777" w:rsidR="00F90CEA" w:rsidRPr="00B76029" w:rsidRDefault="00F90CEA" w:rsidP="00F90CEA">
      <w:pPr>
        <w:snapToGrid w:val="0"/>
        <w:spacing w:before="120" w:after="120" w:line="240" w:lineRule="auto"/>
        <w:ind w:right="51" w:firstLine="709"/>
        <w:jc w:val="both"/>
        <w:rPr>
          <w:rFonts w:ascii="Verdana" w:hAnsi="Verdana"/>
          <w:sz w:val="16"/>
          <w:szCs w:val="16"/>
        </w:rPr>
      </w:pPr>
      <w:r w:rsidRPr="00B76029">
        <w:rPr>
          <w:rFonts w:ascii="Verdana" w:hAnsi="Verdana"/>
          <w:sz w:val="16"/>
          <w:szCs w:val="16"/>
        </w:rPr>
        <w:t>“1. La ficha técnica del bien o servicio que debe incluir: a) la clasificación del bien o servicio de acuerdo con el Clasificador de Bienes y Servicios; b) la identificación adicional requerida; c) la unidad de medida; d) la calidad mínima, y e) los patrones de desempeño mínimos.</w:t>
      </w:r>
    </w:p>
    <w:p w14:paraId="353C4ABB" w14:textId="77777777" w:rsidR="00F90CEA" w:rsidRPr="00B76029" w:rsidRDefault="00F90CEA" w:rsidP="00F90CEA">
      <w:pPr>
        <w:snapToGrid w:val="0"/>
        <w:spacing w:before="120" w:after="120" w:line="240" w:lineRule="auto"/>
        <w:ind w:right="51" w:firstLine="709"/>
        <w:jc w:val="both"/>
        <w:rPr>
          <w:rFonts w:ascii="Verdana" w:hAnsi="Verdana"/>
          <w:sz w:val="16"/>
          <w:szCs w:val="16"/>
        </w:rPr>
      </w:pPr>
      <w:r w:rsidRPr="00B76029">
        <w:rPr>
          <w:rFonts w:ascii="Verdana" w:hAnsi="Verdana"/>
          <w:sz w:val="16"/>
          <w:szCs w:val="16"/>
        </w:rPr>
        <w:t>“2. Si el precio del bien o servicio es regulado, la variable sobre la cual se hace la evaluación de las ofertas.</w:t>
      </w:r>
    </w:p>
    <w:p w14:paraId="650BC3F2" w14:textId="77777777" w:rsidR="00F90CEA" w:rsidRPr="00B76029" w:rsidRDefault="00F90CEA" w:rsidP="00F90CEA">
      <w:pPr>
        <w:snapToGrid w:val="0"/>
        <w:spacing w:before="120" w:after="120" w:line="240" w:lineRule="auto"/>
        <w:ind w:right="51" w:firstLine="709"/>
        <w:jc w:val="both"/>
        <w:rPr>
          <w:rFonts w:ascii="Verdana" w:hAnsi="Verdana"/>
          <w:sz w:val="16"/>
          <w:szCs w:val="16"/>
        </w:rPr>
      </w:pPr>
      <w:r w:rsidRPr="00B76029">
        <w:rPr>
          <w:rFonts w:ascii="Verdana" w:hAnsi="Verdana"/>
          <w:sz w:val="16"/>
          <w:szCs w:val="16"/>
        </w:rPr>
        <w:t>“3. Definir el contenido de cada uno de las partes o lotes, si la adquisición se pretende hacer por partes”.</w:t>
      </w:r>
    </w:p>
  </w:footnote>
  <w:footnote w:id="11">
    <w:p w14:paraId="0F68F6DB" w14:textId="77777777" w:rsidR="00F90CEA" w:rsidRPr="00B76029" w:rsidRDefault="00F90CEA" w:rsidP="00F90CEA">
      <w:pPr>
        <w:pStyle w:val="FootnoteText"/>
        <w:snapToGrid w:val="0"/>
        <w:spacing w:before="120" w:after="120"/>
        <w:ind w:firstLine="708"/>
        <w:jc w:val="both"/>
        <w:rPr>
          <w:rFonts w:ascii="Verdana" w:hAnsi="Verdana"/>
          <w:sz w:val="16"/>
          <w:szCs w:val="16"/>
          <w:lang w:val="es-ES"/>
        </w:rPr>
      </w:pPr>
      <w:r w:rsidRPr="00B76029">
        <w:rPr>
          <w:rStyle w:val="FootnoteReference"/>
          <w:rFonts w:ascii="Verdana" w:hAnsi="Verdana"/>
          <w:sz w:val="16"/>
          <w:szCs w:val="16"/>
        </w:rPr>
        <w:footnoteRef/>
      </w:r>
      <w:r w:rsidRPr="00B76029">
        <w:rPr>
          <w:rFonts w:ascii="Verdana" w:hAnsi="Verdana"/>
          <w:sz w:val="16"/>
          <w:szCs w:val="16"/>
        </w:rPr>
        <w:t xml:space="preserve"> </w:t>
      </w:r>
      <w:r w:rsidRPr="00B76029">
        <w:rPr>
          <w:rFonts w:ascii="Verdana" w:hAnsi="Verdana"/>
          <w:sz w:val="16"/>
          <w:szCs w:val="16"/>
          <w:lang w:val="es-ES"/>
        </w:rPr>
        <w:t xml:space="preserve">Para más información consultar el </w:t>
      </w:r>
      <w:r w:rsidRPr="000F2241">
        <w:rPr>
          <w:rFonts w:ascii="Verdana" w:eastAsia="Calibri" w:hAnsi="Verdana" w:cs="Arial"/>
          <w:sz w:val="16"/>
          <w:szCs w:val="16"/>
          <w:lang w:eastAsia="es-ES"/>
        </w:rPr>
        <w:t>C–092 del 04 de marzo de 2025 en el siguiente enlace: https://relatoria.colombiacompra.gov.co/conceptos/c-092-de-2025/</w:t>
      </w:r>
    </w:p>
  </w:footnote>
  <w:footnote w:id="12">
    <w:p w14:paraId="48D2DE2A"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5CA1CA59"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45DC910C"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39B55599"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7CA1990F"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13">
    <w:p w14:paraId="5E79C36B"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DÁVILA VINUEZA, Luis Guillermo. Régimen jurídico de la contratación estatal. Tercera edición, Bogotá: Legis, 2016. p. 355.</w:t>
      </w:r>
    </w:p>
    <w:p w14:paraId="004ABA2A"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p>
  </w:footnote>
  <w:footnote w:id="14">
    <w:p w14:paraId="01F7838E" w14:textId="77777777" w:rsidR="00F90CEA" w:rsidRPr="00B76029" w:rsidRDefault="00F90CEA" w:rsidP="00F90CEA">
      <w:pPr>
        <w:pBdr>
          <w:top w:val="nil"/>
          <w:left w:val="nil"/>
          <w:bottom w:val="nil"/>
          <w:right w:val="nil"/>
          <w:between w:val="nil"/>
        </w:pBd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i/>
          <w:color w:val="000000"/>
          <w:sz w:val="16"/>
          <w:szCs w:val="16"/>
        </w:rPr>
        <w:t xml:space="preserve"> Ibídem.</w:t>
      </w:r>
    </w:p>
  </w:footnote>
  <w:footnote w:id="15">
    <w:p w14:paraId="4DD48C03"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16">
    <w:p w14:paraId="6E0C361D" w14:textId="77777777" w:rsidR="00F90CEA" w:rsidRPr="00B76029" w:rsidRDefault="00F90CEA" w:rsidP="00F90CEA">
      <w:pP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17">
    <w:p w14:paraId="6584FBC1" w14:textId="77777777" w:rsidR="00F90CEA" w:rsidRPr="00B76029" w:rsidRDefault="00F90CEA" w:rsidP="00F90CEA">
      <w:pPr>
        <w:pStyle w:val="NormalWeb"/>
        <w:snapToGrid w:val="0"/>
        <w:spacing w:before="120" w:beforeAutospacing="0" w:after="120" w:afterAutospacing="0"/>
        <w:ind w:firstLine="708"/>
        <w:jc w:val="both"/>
        <w:rPr>
          <w:rFonts w:ascii="Verdana" w:hAnsi="Verdana" w:cs="Arial"/>
          <w:sz w:val="16"/>
          <w:szCs w:val="16"/>
        </w:rPr>
      </w:pPr>
      <w:r w:rsidRPr="00B76029">
        <w:rPr>
          <w:rStyle w:val="FootnoteReference"/>
          <w:rFonts w:ascii="Verdana" w:hAnsi="Verdana" w:cs="Arial"/>
          <w:sz w:val="16"/>
          <w:szCs w:val="16"/>
        </w:rPr>
        <w:footnoteRef/>
      </w:r>
      <w:r w:rsidRPr="00B76029">
        <w:rPr>
          <w:rFonts w:ascii="Verdana" w:hAnsi="Verdana" w:cs="Arial"/>
          <w:sz w:val="16"/>
          <w:szCs w:val="16"/>
        </w:rPr>
        <w:t xml:space="preserve"> </w:t>
      </w:r>
      <w:r w:rsidRPr="00B76029">
        <w:rPr>
          <w:rFonts w:ascii="Verdana" w:hAnsi="Verdana" w:cs="Arial"/>
          <w:sz w:val="16"/>
          <w:szCs w:val="16"/>
          <w:lang w:val="es-ES"/>
        </w:rPr>
        <w:t>“</w:t>
      </w:r>
      <w:r w:rsidRPr="00B76029">
        <w:rPr>
          <w:rFonts w:ascii="Verdana" w:hAnsi="Verdana" w:cs="Arial"/>
          <w:sz w:val="16"/>
          <w:szCs w:val="16"/>
        </w:rPr>
        <w:t xml:space="preserve">Para poder participar en los procesos de selección de los contratos de obra, la capacidad residual del proponente o K de contratación deberá ser igual o superior al que la entidad haya establecido para el efecto en los pliegos de condiciones. </w:t>
      </w:r>
    </w:p>
    <w:p w14:paraId="39BB19D1" w14:textId="77777777" w:rsidR="00F90CEA" w:rsidRPr="00B76029" w:rsidRDefault="00F90CEA" w:rsidP="00F90CEA">
      <w:pPr>
        <w:pStyle w:val="NormalWeb"/>
        <w:snapToGrid w:val="0"/>
        <w:spacing w:before="120" w:beforeAutospacing="0" w:after="120" w:afterAutospacing="0"/>
        <w:ind w:firstLine="567"/>
        <w:jc w:val="both"/>
        <w:rPr>
          <w:rFonts w:ascii="Verdana" w:hAnsi="Verdana" w:cs="Arial"/>
          <w:sz w:val="16"/>
          <w:szCs w:val="16"/>
        </w:rPr>
      </w:pPr>
      <w:r w:rsidRPr="00B76029">
        <w:rPr>
          <w:rFonts w:ascii="Verdana" w:hAnsi="Verdana" w:cs="Arial"/>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footnote>
  <w:footnote w:id="18">
    <w:p w14:paraId="59DA46AF" w14:textId="77777777" w:rsidR="00F90CEA" w:rsidRPr="00B76029" w:rsidRDefault="00F90CEA" w:rsidP="00F90CEA">
      <w:pPr>
        <w:pStyle w:val="FootnoteText"/>
        <w:snapToGrid w:val="0"/>
        <w:spacing w:before="120" w:after="120"/>
        <w:ind w:firstLine="567"/>
        <w:jc w:val="both"/>
        <w:rPr>
          <w:rFonts w:ascii="Verdana" w:hAnsi="Verdana"/>
          <w:sz w:val="16"/>
          <w:szCs w:val="16"/>
          <w:lang w:val="es-CO"/>
        </w:rPr>
      </w:pPr>
      <w:r w:rsidRPr="00B76029">
        <w:rPr>
          <w:rStyle w:val="FootnoteReference"/>
          <w:rFonts w:ascii="Verdana" w:hAnsi="Verdana"/>
          <w:sz w:val="16"/>
          <w:szCs w:val="16"/>
        </w:rPr>
        <w:footnoteRef/>
      </w:r>
      <w:r w:rsidRPr="00B76029">
        <w:rPr>
          <w:rFonts w:ascii="Verdana" w:hAnsi="Verdana"/>
          <w:sz w:val="16"/>
          <w:szCs w:val="16"/>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19">
    <w:p w14:paraId="25D686A9" w14:textId="77777777" w:rsidR="00F90CEA" w:rsidRPr="00B76029" w:rsidRDefault="00F90CEA" w:rsidP="00F90CEA">
      <w:pPr>
        <w:pBdr>
          <w:top w:val="nil"/>
          <w:left w:val="nil"/>
          <w:bottom w:val="nil"/>
          <w:right w:val="nil"/>
          <w:between w:val="nil"/>
        </w:pBd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footnote>
  <w:footnote w:id="20">
    <w:p w14:paraId="31F8C821" w14:textId="77777777" w:rsidR="00F90CEA" w:rsidRPr="00B76029" w:rsidRDefault="00F90CEA" w:rsidP="00F90CEA">
      <w:pPr>
        <w:pBdr>
          <w:top w:val="nil"/>
          <w:left w:val="nil"/>
          <w:bottom w:val="nil"/>
          <w:right w:val="nil"/>
          <w:between w:val="nil"/>
        </w:pBdr>
        <w:snapToGrid w:val="0"/>
        <w:spacing w:before="120" w:after="120" w:line="240" w:lineRule="auto"/>
        <w:ind w:firstLine="709"/>
        <w:jc w:val="both"/>
        <w:rPr>
          <w:rFonts w:ascii="Verdana" w:eastAsia="Arial" w:hAnsi="Verdana" w:cs="Arial"/>
          <w:color w:val="000000"/>
          <w:sz w:val="16"/>
          <w:szCs w:val="16"/>
        </w:rPr>
      </w:pPr>
      <w:r w:rsidRPr="00B76029">
        <w:rPr>
          <w:rFonts w:ascii="Verdana" w:hAnsi="Verdana" w:cs="Arial"/>
          <w:sz w:val="16"/>
          <w:szCs w:val="16"/>
          <w:vertAlign w:val="superscript"/>
        </w:rPr>
        <w:footnoteRef/>
      </w:r>
      <w:r w:rsidRPr="00B76029">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p w14:paraId="30225F73" w14:textId="77777777" w:rsidR="00F90CEA" w:rsidRPr="00B76029" w:rsidRDefault="00F90CEA" w:rsidP="00F90CEA">
      <w:pPr>
        <w:pBdr>
          <w:top w:val="nil"/>
          <w:left w:val="nil"/>
          <w:bottom w:val="nil"/>
          <w:right w:val="nil"/>
          <w:between w:val="nil"/>
        </w:pBdr>
        <w:snapToGrid w:val="0"/>
        <w:spacing w:before="120" w:after="120" w:line="240" w:lineRule="auto"/>
        <w:ind w:firstLine="709"/>
        <w:jc w:val="both"/>
        <w:rPr>
          <w:rFonts w:ascii="Verdana" w:eastAsia="Arial" w:hAnsi="Verdana" w:cs="Arial"/>
          <w:color w:val="000000"/>
          <w:sz w:val="16"/>
          <w:szCs w:val="16"/>
        </w:rPr>
      </w:pPr>
    </w:p>
  </w:footnote>
  <w:footnote w:id="21">
    <w:p w14:paraId="74C08010" w14:textId="77777777" w:rsidR="00F90CEA" w:rsidRPr="00B76029" w:rsidRDefault="00F90CEA" w:rsidP="00F90CEA">
      <w:pPr>
        <w:pStyle w:val="FootnoteText"/>
        <w:snapToGrid w:val="0"/>
        <w:spacing w:before="120" w:after="120"/>
        <w:ind w:firstLine="567"/>
        <w:jc w:val="both"/>
        <w:rPr>
          <w:rFonts w:ascii="Verdana" w:hAnsi="Verdana"/>
          <w:sz w:val="16"/>
          <w:szCs w:val="16"/>
          <w:lang w:val="es-CO"/>
        </w:rPr>
      </w:pPr>
      <w:r w:rsidRPr="00B76029">
        <w:rPr>
          <w:rStyle w:val="FootnoteReference"/>
          <w:rFonts w:ascii="Verdana" w:hAnsi="Verdana"/>
          <w:sz w:val="16"/>
          <w:szCs w:val="16"/>
        </w:rPr>
        <w:footnoteRef/>
      </w:r>
      <w:r w:rsidRPr="00B76029">
        <w:rPr>
          <w:rFonts w:ascii="Verdana" w:hAnsi="Verdana"/>
          <w:sz w:val="16"/>
          <w:szCs w:val="16"/>
        </w:rPr>
        <w:t xml:space="preserve">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15.25pt;height:15.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914E76"/>
    <w:multiLevelType w:val="hybridMultilevel"/>
    <w:tmpl w:val="99FAA004"/>
    <w:lvl w:ilvl="0" w:tplc="6C3A9028">
      <w:start w:val="1"/>
      <w:numFmt w:val="lowerRoman"/>
      <w:lvlText w:val="%1."/>
      <w:lvlJc w:val="left"/>
      <w:pPr>
        <w:ind w:left="1080" w:hanging="720"/>
      </w:pPr>
      <w:rPr>
        <w:rFonts w:ascii="Verdana" w:eastAsia="Century Gothic" w:hAnsi="Verdana" w:cs="Century Goth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1291131537">
    <w:abstractNumId w:val="4"/>
  </w:num>
  <w:num w:numId="18" w16cid:durableId="1111128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CCA"/>
    <w:rsid w:val="000246AC"/>
    <w:rsid w:val="00046945"/>
    <w:rsid w:val="00061B2A"/>
    <w:rsid w:val="00082362"/>
    <w:rsid w:val="00096BEA"/>
    <w:rsid w:val="000A683E"/>
    <w:rsid w:val="000B19B9"/>
    <w:rsid w:val="000D0334"/>
    <w:rsid w:val="000D5DA7"/>
    <w:rsid w:val="000E2D03"/>
    <w:rsid w:val="000F6486"/>
    <w:rsid w:val="00116940"/>
    <w:rsid w:val="00125105"/>
    <w:rsid w:val="00127233"/>
    <w:rsid w:val="001434EE"/>
    <w:rsid w:val="0015699B"/>
    <w:rsid w:val="00160C66"/>
    <w:rsid w:val="001842D0"/>
    <w:rsid w:val="001A33BF"/>
    <w:rsid w:val="001B1E0C"/>
    <w:rsid w:val="001E4177"/>
    <w:rsid w:val="001F0B24"/>
    <w:rsid w:val="001F7DC6"/>
    <w:rsid w:val="00205C26"/>
    <w:rsid w:val="0022400B"/>
    <w:rsid w:val="002421BB"/>
    <w:rsid w:val="00242652"/>
    <w:rsid w:val="0025796E"/>
    <w:rsid w:val="002707A2"/>
    <w:rsid w:val="002951A0"/>
    <w:rsid w:val="002962BC"/>
    <w:rsid w:val="002A07F7"/>
    <w:rsid w:val="002A093D"/>
    <w:rsid w:val="002A0DD0"/>
    <w:rsid w:val="002A49AC"/>
    <w:rsid w:val="002A64FD"/>
    <w:rsid w:val="002C7A84"/>
    <w:rsid w:val="002E2BF8"/>
    <w:rsid w:val="002E4FD9"/>
    <w:rsid w:val="0030657A"/>
    <w:rsid w:val="00322A85"/>
    <w:rsid w:val="00324168"/>
    <w:rsid w:val="00330834"/>
    <w:rsid w:val="003448F4"/>
    <w:rsid w:val="003526AA"/>
    <w:rsid w:val="003727DB"/>
    <w:rsid w:val="00374F5E"/>
    <w:rsid w:val="00377E3E"/>
    <w:rsid w:val="003A37E4"/>
    <w:rsid w:val="003A779E"/>
    <w:rsid w:val="003B7484"/>
    <w:rsid w:val="003D0F4D"/>
    <w:rsid w:val="003D5B0D"/>
    <w:rsid w:val="003E0499"/>
    <w:rsid w:val="003E228F"/>
    <w:rsid w:val="003E4F80"/>
    <w:rsid w:val="003E6439"/>
    <w:rsid w:val="003F0441"/>
    <w:rsid w:val="003F3941"/>
    <w:rsid w:val="00406575"/>
    <w:rsid w:val="0040746B"/>
    <w:rsid w:val="00414C74"/>
    <w:rsid w:val="00426A1F"/>
    <w:rsid w:val="0042722E"/>
    <w:rsid w:val="0044528D"/>
    <w:rsid w:val="00451551"/>
    <w:rsid w:val="00453E23"/>
    <w:rsid w:val="00466E39"/>
    <w:rsid w:val="004A1847"/>
    <w:rsid w:val="004A305D"/>
    <w:rsid w:val="004F21C4"/>
    <w:rsid w:val="004F685F"/>
    <w:rsid w:val="005566E8"/>
    <w:rsid w:val="00565875"/>
    <w:rsid w:val="00574867"/>
    <w:rsid w:val="00591460"/>
    <w:rsid w:val="005A65E0"/>
    <w:rsid w:val="005C0730"/>
    <w:rsid w:val="005C3777"/>
    <w:rsid w:val="005C5CDC"/>
    <w:rsid w:val="005C6A88"/>
    <w:rsid w:val="005D476C"/>
    <w:rsid w:val="005E1EE4"/>
    <w:rsid w:val="00602221"/>
    <w:rsid w:val="006200BF"/>
    <w:rsid w:val="006219F8"/>
    <w:rsid w:val="006302F7"/>
    <w:rsid w:val="00635A4D"/>
    <w:rsid w:val="00646B9F"/>
    <w:rsid w:val="00665D70"/>
    <w:rsid w:val="00666716"/>
    <w:rsid w:val="00671BA5"/>
    <w:rsid w:val="006900D9"/>
    <w:rsid w:val="006A1664"/>
    <w:rsid w:val="006E1ECA"/>
    <w:rsid w:val="00706C16"/>
    <w:rsid w:val="00722BE2"/>
    <w:rsid w:val="00730144"/>
    <w:rsid w:val="007340C3"/>
    <w:rsid w:val="0075235A"/>
    <w:rsid w:val="00756841"/>
    <w:rsid w:val="007649AB"/>
    <w:rsid w:val="00771D0C"/>
    <w:rsid w:val="007833AC"/>
    <w:rsid w:val="007A311B"/>
    <w:rsid w:val="007A4434"/>
    <w:rsid w:val="007B268C"/>
    <w:rsid w:val="007B7171"/>
    <w:rsid w:val="007C0C0F"/>
    <w:rsid w:val="007C3DC2"/>
    <w:rsid w:val="007C6E54"/>
    <w:rsid w:val="007D7E55"/>
    <w:rsid w:val="007E5497"/>
    <w:rsid w:val="007F547C"/>
    <w:rsid w:val="008041FD"/>
    <w:rsid w:val="00806F5F"/>
    <w:rsid w:val="00820278"/>
    <w:rsid w:val="00821441"/>
    <w:rsid w:val="008258C9"/>
    <w:rsid w:val="00844AE9"/>
    <w:rsid w:val="00853E13"/>
    <w:rsid w:val="00867F95"/>
    <w:rsid w:val="008843B6"/>
    <w:rsid w:val="00891928"/>
    <w:rsid w:val="008A446D"/>
    <w:rsid w:val="008B25F1"/>
    <w:rsid w:val="008D180B"/>
    <w:rsid w:val="008F0EA7"/>
    <w:rsid w:val="00923EEF"/>
    <w:rsid w:val="00940337"/>
    <w:rsid w:val="009419F9"/>
    <w:rsid w:val="0095685E"/>
    <w:rsid w:val="00961B09"/>
    <w:rsid w:val="00965334"/>
    <w:rsid w:val="0097093E"/>
    <w:rsid w:val="009820F0"/>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91EF5"/>
    <w:rsid w:val="00AB0ADB"/>
    <w:rsid w:val="00AD2822"/>
    <w:rsid w:val="00AD798A"/>
    <w:rsid w:val="00AE3A4A"/>
    <w:rsid w:val="00B00C0E"/>
    <w:rsid w:val="00B01B1A"/>
    <w:rsid w:val="00B0381D"/>
    <w:rsid w:val="00B34978"/>
    <w:rsid w:val="00B37517"/>
    <w:rsid w:val="00B4026C"/>
    <w:rsid w:val="00B44A47"/>
    <w:rsid w:val="00B7269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07215"/>
    <w:rsid w:val="00D361FD"/>
    <w:rsid w:val="00D423A2"/>
    <w:rsid w:val="00D44E26"/>
    <w:rsid w:val="00D520D8"/>
    <w:rsid w:val="00D63AC2"/>
    <w:rsid w:val="00D7383B"/>
    <w:rsid w:val="00D7788A"/>
    <w:rsid w:val="00DA231B"/>
    <w:rsid w:val="00DC39FC"/>
    <w:rsid w:val="00DC4951"/>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D6CBE"/>
    <w:rsid w:val="00EE1AA8"/>
    <w:rsid w:val="00EF5051"/>
    <w:rsid w:val="00F16E8F"/>
    <w:rsid w:val="00F23FEA"/>
    <w:rsid w:val="00F31EDC"/>
    <w:rsid w:val="00F462B3"/>
    <w:rsid w:val="00F5664F"/>
    <w:rsid w:val="00F6408D"/>
    <w:rsid w:val="00F666C4"/>
    <w:rsid w:val="00F7302D"/>
    <w:rsid w:val="00F74787"/>
    <w:rsid w:val="00F76AFC"/>
    <w:rsid w:val="00F90CEA"/>
    <w:rsid w:val="00F94643"/>
    <w:rsid w:val="00FA47C0"/>
    <w:rsid w:val="00FB5DD1"/>
    <w:rsid w:val="00FC2B5D"/>
    <w:rsid w:val="00FF1449"/>
    <w:rsid w:val="00FF7963"/>
    <w:rsid w:val="071B8F93"/>
    <w:rsid w:val="07C73DD1"/>
    <w:rsid w:val="09908A09"/>
    <w:rsid w:val="0E0AF0F4"/>
    <w:rsid w:val="0EFE6349"/>
    <w:rsid w:val="0FF4CCA8"/>
    <w:rsid w:val="13CFC91B"/>
    <w:rsid w:val="15DE5236"/>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D78C54D8-1BEB-514F-AABF-00D5DCEB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1"/>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940337"/>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1"/>
    <w:qFormat/>
    <w:locked/>
    <w:rsid w:val="00940337"/>
    <w:rPr>
      <w:rFonts w:ascii="Geomanist Light" w:hAnsi="Geomanist Light"/>
      <w:lang w:val="es-ES"/>
    </w:rPr>
  </w:style>
  <w:style w:type="character" w:customStyle="1" w:styleId="NormalWebChar">
    <w:name w:val="Normal (Web) Char"/>
    <w:link w:val="NormalWeb"/>
    <w:uiPriority w:val="99"/>
    <w:locked/>
    <w:rsid w:val="00940337"/>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9765">
      <w:bodyDiv w:val="1"/>
      <w:marLeft w:val="0"/>
      <w:marRight w:val="0"/>
      <w:marTop w:val="0"/>
      <w:marBottom w:val="0"/>
      <w:divBdr>
        <w:top w:val="none" w:sz="0" w:space="0" w:color="auto"/>
        <w:left w:val="none" w:sz="0" w:space="0" w:color="auto"/>
        <w:bottom w:val="none" w:sz="0" w:space="0" w:color="auto"/>
        <w:right w:val="none" w:sz="0" w:space="0" w:color="auto"/>
      </w:divBdr>
      <w:divsChild>
        <w:div w:id="641812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343944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598361">
      <w:bodyDiv w:val="1"/>
      <w:marLeft w:val="0"/>
      <w:marRight w:val="0"/>
      <w:marTop w:val="0"/>
      <w:marBottom w:val="0"/>
      <w:divBdr>
        <w:top w:val="none" w:sz="0" w:space="0" w:color="auto"/>
        <w:left w:val="none" w:sz="0" w:space="0" w:color="auto"/>
        <w:bottom w:val="none" w:sz="0" w:space="0" w:color="auto"/>
        <w:right w:val="none" w:sz="0" w:space="0" w:color="auto"/>
      </w:divBdr>
      <w:divsChild>
        <w:div w:id="127092485">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19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60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3889623">
      <w:bodyDiv w:val="1"/>
      <w:marLeft w:val="0"/>
      <w:marRight w:val="0"/>
      <w:marTop w:val="0"/>
      <w:marBottom w:val="0"/>
      <w:divBdr>
        <w:top w:val="none" w:sz="0" w:space="0" w:color="auto"/>
        <w:left w:val="none" w:sz="0" w:space="0" w:color="auto"/>
        <w:bottom w:val="none" w:sz="0" w:space="0" w:color="auto"/>
        <w:right w:val="none" w:sz="0" w:space="0" w:color="auto"/>
      </w:divBdr>
      <w:divsChild>
        <w:div w:id="172032811">
          <w:blockQuote w:val="1"/>
          <w:marLeft w:val="720"/>
          <w:marRight w:val="720"/>
          <w:marTop w:val="100"/>
          <w:marBottom w:val="100"/>
          <w:divBdr>
            <w:top w:val="none" w:sz="0" w:space="0" w:color="auto"/>
            <w:left w:val="none" w:sz="0" w:space="0" w:color="auto"/>
            <w:bottom w:val="none" w:sz="0" w:space="0" w:color="auto"/>
            <w:right w:val="none" w:sz="0" w:space="0" w:color="auto"/>
          </w:divBdr>
        </w:div>
        <w:div w:id="56256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563936">
      <w:bodyDiv w:val="1"/>
      <w:marLeft w:val="0"/>
      <w:marRight w:val="0"/>
      <w:marTop w:val="0"/>
      <w:marBottom w:val="0"/>
      <w:divBdr>
        <w:top w:val="none" w:sz="0" w:space="0" w:color="auto"/>
        <w:left w:val="none" w:sz="0" w:space="0" w:color="auto"/>
        <w:bottom w:val="none" w:sz="0" w:space="0" w:color="auto"/>
        <w:right w:val="none" w:sz="0" w:space="0" w:color="auto"/>
      </w:divBdr>
      <w:divsChild>
        <w:div w:id="42029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500738">
          <w:blockQuote w:val="1"/>
          <w:marLeft w:val="720"/>
          <w:marRight w:val="720"/>
          <w:marTop w:val="100"/>
          <w:marBottom w:val="100"/>
          <w:divBdr>
            <w:top w:val="none" w:sz="0" w:space="0" w:color="auto"/>
            <w:left w:val="none" w:sz="0" w:space="0" w:color="auto"/>
            <w:bottom w:val="none" w:sz="0" w:space="0" w:color="auto"/>
            <w:right w:val="none" w:sz="0" w:space="0" w:color="auto"/>
          </w:divBdr>
        </w:div>
        <w:div w:id="660352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30930516">
      <w:bodyDiv w:val="1"/>
      <w:marLeft w:val="0"/>
      <w:marRight w:val="0"/>
      <w:marTop w:val="0"/>
      <w:marBottom w:val="0"/>
      <w:divBdr>
        <w:top w:val="none" w:sz="0" w:space="0" w:color="auto"/>
        <w:left w:val="none" w:sz="0" w:space="0" w:color="auto"/>
        <w:bottom w:val="none" w:sz="0" w:space="0" w:color="auto"/>
        <w:right w:val="none" w:sz="0" w:space="0" w:color="auto"/>
      </w:divBdr>
      <w:divsChild>
        <w:div w:id="68775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257368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55212657">
      <w:bodyDiv w:val="1"/>
      <w:marLeft w:val="0"/>
      <w:marRight w:val="0"/>
      <w:marTop w:val="0"/>
      <w:marBottom w:val="0"/>
      <w:divBdr>
        <w:top w:val="none" w:sz="0" w:space="0" w:color="auto"/>
        <w:left w:val="none" w:sz="0" w:space="0" w:color="auto"/>
        <w:bottom w:val="none" w:sz="0" w:space="0" w:color="auto"/>
        <w:right w:val="none" w:sz="0" w:space="0" w:color="auto"/>
      </w:divBdr>
      <w:divsChild>
        <w:div w:id="1664158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157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7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512513">
      <w:bodyDiv w:val="1"/>
      <w:marLeft w:val="0"/>
      <w:marRight w:val="0"/>
      <w:marTop w:val="0"/>
      <w:marBottom w:val="0"/>
      <w:divBdr>
        <w:top w:val="none" w:sz="0" w:space="0" w:color="auto"/>
        <w:left w:val="none" w:sz="0" w:space="0" w:color="auto"/>
        <w:bottom w:val="none" w:sz="0" w:space="0" w:color="auto"/>
        <w:right w:val="none" w:sz="0" w:space="0" w:color="auto"/>
      </w:divBdr>
      <w:divsChild>
        <w:div w:id="6530977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0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128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1754164">
      <w:bodyDiv w:val="1"/>
      <w:marLeft w:val="0"/>
      <w:marRight w:val="0"/>
      <w:marTop w:val="0"/>
      <w:marBottom w:val="0"/>
      <w:divBdr>
        <w:top w:val="none" w:sz="0" w:space="0" w:color="auto"/>
        <w:left w:val="none" w:sz="0" w:space="0" w:color="auto"/>
        <w:bottom w:val="none" w:sz="0" w:space="0" w:color="auto"/>
        <w:right w:val="none" w:sz="0" w:space="0" w:color="auto"/>
      </w:divBdr>
      <w:divsChild>
        <w:div w:id="10805667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744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64486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21266959">
      <w:bodyDiv w:val="1"/>
      <w:marLeft w:val="0"/>
      <w:marRight w:val="0"/>
      <w:marTop w:val="0"/>
      <w:marBottom w:val="0"/>
      <w:divBdr>
        <w:top w:val="none" w:sz="0" w:space="0" w:color="auto"/>
        <w:left w:val="none" w:sz="0" w:space="0" w:color="auto"/>
        <w:bottom w:val="none" w:sz="0" w:space="0" w:color="auto"/>
        <w:right w:val="none" w:sz="0" w:space="0" w:color="auto"/>
      </w:divBdr>
      <w:divsChild>
        <w:div w:id="2024817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29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52655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072885">
      <w:bodyDiv w:val="1"/>
      <w:marLeft w:val="0"/>
      <w:marRight w:val="0"/>
      <w:marTop w:val="0"/>
      <w:marBottom w:val="0"/>
      <w:divBdr>
        <w:top w:val="none" w:sz="0" w:space="0" w:color="auto"/>
        <w:left w:val="none" w:sz="0" w:space="0" w:color="auto"/>
        <w:bottom w:val="none" w:sz="0" w:space="0" w:color="auto"/>
        <w:right w:val="none" w:sz="0" w:space="0" w:color="auto"/>
      </w:divBdr>
      <w:divsChild>
        <w:div w:id="2132556024">
          <w:blockQuote w:val="1"/>
          <w:marLeft w:val="720"/>
          <w:marRight w:val="720"/>
          <w:marTop w:val="100"/>
          <w:marBottom w:val="100"/>
          <w:divBdr>
            <w:top w:val="none" w:sz="0" w:space="0" w:color="auto"/>
            <w:left w:val="none" w:sz="0" w:space="0" w:color="auto"/>
            <w:bottom w:val="none" w:sz="0" w:space="0" w:color="auto"/>
            <w:right w:val="none" w:sz="0" w:space="0" w:color="auto"/>
          </w:divBdr>
        </w:div>
        <w:div w:id="519513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798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620918">
      <w:bodyDiv w:val="1"/>
      <w:marLeft w:val="0"/>
      <w:marRight w:val="0"/>
      <w:marTop w:val="0"/>
      <w:marBottom w:val="0"/>
      <w:divBdr>
        <w:top w:val="none" w:sz="0" w:space="0" w:color="auto"/>
        <w:left w:val="none" w:sz="0" w:space="0" w:color="auto"/>
        <w:bottom w:val="none" w:sz="0" w:space="0" w:color="auto"/>
        <w:right w:val="none" w:sz="0" w:space="0" w:color="auto"/>
      </w:divBdr>
      <w:divsChild>
        <w:div w:id="1732996762">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53086">
          <w:blockQuote w:val="1"/>
          <w:marLeft w:val="720"/>
          <w:marRight w:val="720"/>
          <w:marTop w:val="100"/>
          <w:marBottom w:val="100"/>
          <w:divBdr>
            <w:top w:val="none" w:sz="0" w:space="0" w:color="auto"/>
            <w:left w:val="none" w:sz="0" w:space="0" w:color="auto"/>
            <w:bottom w:val="none" w:sz="0" w:space="0" w:color="auto"/>
            <w:right w:val="none" w:sz="0" w:space="0" w:color="auto"/>
          </w:divBdr>
        </w:div>
        <w:div w:id="943658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4718758">
      <w:bodyDiv w:val="1"/>
      <w:marLeft w:val="0"/>
      <w:marRight w:val="0"/>
      <w:marTop w:val="0"/>
      <w:marBottom w:val="0"/>
      <w:divBdr>
        <w:top w:val="none" w:sz="0" w:space="0" w:color="auto"/>
        <w:left w:val="none" w:sz="0" w:space="0" w:color="auto"/>
        <w:bottom w:val="none" w:sz="0" w:space="0" w:color="auto"/>
        <w:right w:val="none" w:sz="0" w:space="0" w:color="auto"/>
      </w:divBdr>
      <w:divsChild>
        <w:div w:id="1118572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216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873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archivos/convocatoria/participacion-ciudadana-proyecto-de-la-guia-para-la-" TargetMode="External"/><Relationship Id="rId2" Type="http://schemas.openxmlformats.org/officeDocument/2006/relationships/hyperlink" Target="https://colombiacompra.gov.co/sites/cce_public/files/cce_documentos/cce-eicp-gi-18._gees_v.2_2.pdf" TargetMode="External"/><Relationship Id="rId1" Type="http://schemas.openxmlformats.org/officeDocument/2006/relationships/hyperlink" Target="https://www.colombiacompra.gov.co/wp-content/uploads/2025/09/Guia-para-la-Elaboracion-de-Estudios-del-Sector-V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F33A5-DE73-B04C-A66D-A296B72873D1}">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A784F7-ACBC-4FC8-8FA2-B7FB1D275604}"/>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40</Pages>
  <Words>13975</Words>
  <Characters>79664</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93453</CharactersWithSpaces>
  <SharedDoc>false</SharedDoc>
  <HLinks>
    <vt:vector size="48" baseType="variant">
      <vt:variant>
        <vt:i4>2424881</vt:i4>
      </vt:variant>
      <vt:variant>
        <vt:i4>12</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9</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6</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3</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0</vt:i4>
      </vt:variant>
      <vt:variant>
        <vt:i4>0</vt:i4>
      </vt:variant>
      <vt:variant>
        <vt:i4>5</vt:i4>
      </vt:variant>
      <vt:variant>
        <vt:lpwstr>https://relatoria.colombiacompra.gov.co/busqueda/conceptos</vt:lpwstr>
      </vt:variant>
      <vt:variant>
        <vt:lpwstr/>
      </vt:variant>
      <vt:variant>
        <vt:i4>1900623</vt:i4>
      </vt:variant>
      <vt:variant>
        <vt:i4>6</vt:i4>
      </vt:variant>
      <vt:variant>
        <vt:i4>0</vt:i4>
      </vt:variant>
      <vt:variant>
        <vt:i4>5</vt:i4>
      </vt:variant>
      <vt:variant>
        <vt:lpwstr>https://www.colombiacompra.gov.co/archivos/convocatoria/participacion-ciudadana-proyecto-de-la-guia-para-la-</vt:lpwstr>
      </vt:variant>
      <vt:variant>
        <vt:lpwstr/>
      </vt:variant>
      <vt:variant>
        <vt:i4>6488139</vt:i4>
      </vt:variant>
      <vt:variant>
        <vt:i4>3</vt:i4>
      </vt:variant>
      <vt:variant>
        <vt:i4>0</vt:i4>
      </vt:variant>
      <vt:variant>
        <vt:i4>5</vt:i4>
      </vt:variant>
      <vt:variant>
        <vt:lpwstr>https://colombiacompra.gov.co/sites/cce_public/files/cce_documentos/cce-eicp-gi-18._gees_v.2_2.pdf</vt:lpwstr>
      </vt:variant>
      <vt:variant>
        <vt:lpwstr/>
      </vt:variant>
      <vt:variant>
        <vt:i4>6488162</vt:i4>
      </vt:variant>
      <vt:variant>
        <vt:i4>0</vt:i4>
      </vt:variant>
      <vt:variant>
        <vt:i4>0</vt:i4>
      </vt:variant>
      <vt:variant>
        <vt:i4>5</vt:i4>
      </vt:variant>
      <vt:variant>
        <vt:lpwstr>https://www.colombiacompra.gov.co/wp-content/uploads/2025/09/Guia-para-la-Elaboracion-de-Estudios-del-Sector-V3.pdf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10</cp:revision>
  <cp:lastPrinted>2023-01-10T21:18:00Z</cp:lastPrinted>
  <dcterms:created xsi:type="dcterms:W3CDTF">2026-08-14T14:37:00Z</dcterms:created>
  <dcterms:modified xsi:type="dcterms:W3CDTF">2026-08-14T14:59:00Z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