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78FC2" w14:textId="77777777" w:rsidR="004F3424" w:rsidRDefault="004F3424" w:rsidP="004F3424">
      <w:pPr>
        <w:jc w:val="both"/>
        <w:rPr>
          <w:rFonts w:ascii="Verdana" w:eastAsia="Aptos" w:hAnsi="Verdana" w:cs="Times New Roman"/>
          <w:b/>
          <w:bCs/>
        </w:rPr>
      </w:pPr>
      <w:bookmarkStart w:id="0" w:name="_Hlk143780582"/>
      <w:r w:rsidRPr="004F3424">
        <w:rPr>
          <w:rFonts w:ascii="Verdana" w:eastAsia="Aptos" w:hAnsi="Verdana" w:cs="Times New Roman"/>
          <w:b/>
          <w:bCs/>
        </w:rPr>
        <w:t xml:space="preserve">CONTRATO DE PRESTACIÓN DE SERVICIOS – Concepto </w:t>
      </w:r>
    </w:p>
    <w:p w14:paraId="34B9BB0B" w14:textId="68E0867D" w:rsidR="004F3424" w:rsidRPr="004F3424" w:rsidRDefault="004F3424" w:rsidP="004F3424">
      <w:pPr>
        <w:spacing w:after="0" w:line="240" w:lineRule="auto"/>
        <w:jc w:val="both"/>
        <w:rPr>
          <w:rFonts w:ascii="Verdana" w:eastAsia="Calibri" w:hAnsi="Verdana" w:cs="Arial"/>
          <w:color w:val="000000"/>
          <w:sz w:val="20"/>
          <w:szCs w:val="20"/>
        </w:rPr>
      </w:pPr>
      <w:r w:rsidRPr="004F3424">
        <w:rPr>
          <w:rFonts w:ascii="Verdana" w:eastAsia="Calibri" w:hAnsi="Verdana" w:cs="Arial"/>
          <w:color w:val="000000"/>
          <w:sz w:val="20"/>
          <w:szCs w:val="20"/>
        </w:rPr>
        <w:t>El contrato de prestación de servicios es uno de los tipos contractuales consagrados en el Estatuto General de Contratación de la Administración Pública, que pueden celebrar las entidades estatales. Se trata de un contrato típico, ya que se encuentra definido en la ley.</w:t>
      </w:r>
      <w:r w:rsidRPr="004F3424">
        <w:rPr>
          <w:rFonts w:ascii="Verdana" w:eastAsia="Calibri" w:hAnsi="Verdana" w:cs="Arial"/>
          <w:color w:val="000000"/>
          <w:sz w:val="20"/>
          <w:szCs w:val="20"/>
        </w:rPr>
        <w:t xml:space="preserve"> </w:t>
      </w:r>
      <w:r w:rsidRPr="004F3424">
        <w:rPr>
          <w:rFonts w:ascii="Verdana" w:eastAsia="Calibri" w:hAnsi="Verdana" w:cs="Arial"/>
          <w:color w:val="000000"/>
          <w:sz w:val="20"/>
          <w:szCs w:val="20"/>
        </w:rPr>
        <w:t>Concretamente, el artículo 32, numeral 3º, de la Ley 80 de 1993, establece</w:t>
      </w:r>
      <w:r w:rsidRPr="004F3424">
        <w:rPr>
          <w:rFonts w:ascii="Verdana" w:eastAsia="Calibri" w:hAnsi="Verdana" w:cs="Arial"/>
          <w:color w:val="000000"/>
          <w:sz w:val="20"/>
          <w:szCs w:val="20"/>
        </w:rPr>
        <w:t xml:space="preserve">: </w:t>
      </w:r>
      <w:r w:rsidRPr="004F3424">
        <w:rPr>
          <w:rFonts w:ascii="Verdana" w:eastAsia="Calibri" w:hAnsi="Verdana" w:cs="Arial"/>
          <w:color w:val="000000"/>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r w:rsidRPr="004F3424">
        <w:rPr>
          <w:rFonts w:ascii="Verdana" w:eastAsia="Calibri" w:hAnsi="Verdana" w:cs="Arial"/>
          <w:color w:val="000000"/>
          <w:sz w:val="20"/>
          <w:szCs w:val="20"/>
        </w:rPr>
        <w:t xml:space="preserve"> </w:t>
      </w:r>
      <w:r w:rsidRPr="004F3424">
        <w:rPr>
          <w:rFonts w:ascii="Verdana" w:eastAsia="Calibri" w:hAnsi="Verdana" w:cs="Arial"/>
          <w:color w:val="000000"/>
          <w:sz w:val="20"/>
          <w:szCs w:val="20"/>
        </w:rPr>
        <w:t>En ningún caso estos contratos generan relación laboral ni prestaciones sociales y se celebrarán por el término estrictamente indispensable”.</w:t>
      </w:r>
    </w:p>
    <w:p w14:paraId="022C5C8F" w14:textId="77777777" w:rsidR="004F3424" w:rsidRPr="004F3424" w:rsidRDefault="004F3424" w:rsidP="004F3424">
      <w:pPr>
        <w:spacing w:after="0" w:line="240" w:lineRule="auto"/>
        <w:jc w:val="both"/>
        <w:rPr>
          <w:rFonts w:ascii="Verdana" w:eastAsia="Aptos" w:hAnsi="Verdana" w:cs="Times New Roman"/>
        </w:rPr>
      </w:pPr>
    </w:p>
    <w:p w14:paraId="03FBD4D0" w14:textId="77777777" w:rsidR="004F3424" w:rsidRDefault="004F3424" w:rsidP="004F3424">
      <w:pPr>
        <w:jc w:val="both"/>
        <w:rPr>
          <w:rFonts w:ascii="Verdana" w:eastAsia="Aptos" w:hAnsi="Verdana" w:cs="Times New Roman"/>
          <w:b/>
          <w:bCs/>
        </w:rPr>
      </w:pPr>
      <w:r w:rsidRPr="004F3424">
        <w:rPr>
          <w:rFonts w:ascii="Verdana" w:eastAsia="Aptos" w:hAnsi="Verdana" w:cs="Times New Roman"/>
          <w:b/>
          <w:bCs/>
        </w:rPr>
        <w:t xml:space="preserve">CONTRATO DE PRESTACIÓN DE SERVICIOS – Características </w:t>
      </w:r>
    </w:p>
    <w:p w14:paraId="7B7E2610" w14:textId="4F60E8EF" w:rsidR="004F3424" w:rsidRPr="004F3424" w:rsidRDefault="004F3424" w:rsidP="004F3424">
      <w:pPr>
        <w:spacing w:after="0" w:line="240" w:lineRule="auto"/>
        <w:jc w:val="both"/>
        <w:rPr>
          <w:rFonts w:ascii="Verdana" w:eastAsia="Calibri" w:hAnsi="Verdana" w:cs="Arial"/>
          <w:color w:val="000000"/>
          <w:sz w:val="20"/>
          <w:szCs w:val="20"/>
        </w:rPr>
      </w:pPr>
      <w:r w:rsidRPr="004F3424">
        <w:rPr>
          <w:rFonts w:ascii="Verdana" w:eastAsia="Calibri" w:hAnsi="Verdana" w:cs="Arial"/>
          <w:color w:val="000000"/>
          <w:sz w:val="20"/>
          <w:szCs w:val="20"/>
        </w:rPr>
        <w:t>A partir de estos enunciados normativos, entre otros de carácter legal y reglamentario que complementan su regulación, y de los pronunciamientos judiciales más destacados sobre el tema, es posible señalar las siguientes características del contrato de prestación de servicios:</w:t>
      </w:r>
      <w:r w:rsidRPr="004F3424">
        <w:rPr>
          <w:rFonts w:ascii="Verdana" w:eastAsia="Aptos" w:hAnsi="Verdana" w:cs="Times New Roman"/>
          <w:b/>
          <w:bCs/>
          <w:sz w:val="20"/>
          <w:szCs w:val="20"/>
        </w:rPr>
        <w:t xml:space="preserve"> </w:t>
      </w:r>
      <w:r w:rsidRPr="004F3424">
        <w:rPr>
          <w:rFonts w:ascii="Verdana" w:eastAsia="Calibri" w:hAnsi="Verdana" w:cs="Arial"/>
          <w:color w:val="000000"/>
          <w:sz w:val="20"/>
          <w:szCs w:val="20"/>
        </w:rPr>
        <w:t>a) Solo puede celebrarse para realizar “actividades relacionadas con la administración o funcionamiento de la entidad”, es decir, que hagan parte de su giro ordinario o quehacer cotidiano.</w:t>
      </w:r>
      <w:r w:rsidRPr="004F3424">
        <w:rPr>
          <w:rFonts w:ascii="Verdana" w:eastAsia="Aptos" w:hAnsi="Verdana" w:cs="Times New Roman"/>
          <w:b/>
          <w:bCs/>
          <w:sz w:val="20"/>
          <w:szCs w:val="20"/>
        </w:rPr>
        <w:t xml:space="preserve"> </w:t>
      </w:r>
      <w:r w:rsidRPr="004F3424">
        <w:rPr>
          <w:rFonts w:ascii="Verdana" w:eastAsia="Calibri" w:hAnsi="Verdana" w:cs="Arial"/>
          <w:color w:val="000000"/>
          <w:sz w:val="20"/>
          <w:szCs w:val="20"/>
        </w:rPr>
        <w:t>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w:t>
      </w:r>
      <w:r w:rsidRPr="004F3424">
        <w:rPr>
          <w:rFonts w:ascii="Verdana" w:eastAsia="Calibri" w:hAnsi="Verdana" w:cs="Arial"/>
          <w:color w:val="000000"/>
          <w:sz w:val="20"/>
          <w:szCs w:val="20"/>
        </w:rPr>
        <w:t xml:space="preserve"> (…)</w:t>
      </w:r>
      <w:r w:rsidRPr="004F3424">
        <w:rPr>
          <w:rFonts w:ascii="Verdana" w:eastAsia="Aptos" w:hAnsi="Verdana" w:cs="Times New Roman"/>
          <w:b/>
          <w:bCs/>
          <w:sz w:val="20"/>
          <w:szCs w:val="20"/>
        </w:rPr>
        <w:t xml:space="preserve"> </w:t>
      </w:r>
      <w:r w:rsidRPr="004F3424">
        <w:rPr>
          <w:rFonts w:ascii="Verdana" w:eastAsia="Calibri" w:hAnsi="Verdana" w:cs="Arial"/>
          <w:color w:val="000000"/>
          <w:sz w:val="20"/>
          <w:szCs w:val="20"/>
        </w:rPr>
        <w:t>c) Si bien se celebran para obtener la prestación personal de un servicio, se diferencian del contrato de trabajo en que quien celebra el contrato de prestación de servicios profesionales debe mantener autonomía e independencia en la ejecución de la labor, lo que significa que no puede existir la subordinación y dependencia, que es uno de los elementos constitutivos del vínculo laboral.</w:t>
      </w:r>
      <w:r w:rsidRPr="004F3424">
        <w:rPr>
          <w:rFonts w:ascii="Verdana" w:eastAsia="Calibri" w:hAnsi="Verdana" w:cs="Arial"/>
          <w:color w:val="000000"/>
          <w:sz w:val="20"/>
          <w:szCs w:val="20"/>
        </w:rPr>
        <w:t xml:space="preserve"> (…)</w:t>
      </w:r>
      <w:r w:rsidRPr="004F3424">
        <w:rPr>
          <w:rFonts w:ascii="Verdana" w:eastAsia="Aptos" w:hAnsi="Verdana" w:cs="Times New Roman"/>
          <w:b/>
          <w:bCs/>
          <w:sz w:val="20"/>
          <w:szCs w:val="20"/>
        </w:rPr>
        <w:t xml:space="preserve"> </w:t>
      </w:r>
      <w:r w:rsidRPr="004F3424">
        <w:rPr>
          <w:rFonts w:ascii="Verdana" w:eastAsia="Calibri" w:hAnsi="Verdana" w:cs="Arial"/>
          <w:color w:val="000000"/>
          <w:sz w:val="20"/>
          <w:szCs w:val="20"/>
        </w:rPr>
        <w:t xml:space="preserve">d) Deben ser temporales. </w:t>
      </w:r>
      <w:r w:rsidRPr="004F3424">
        <w:rPr>
          <w:rFonts w:ascii="Verdana" w:eastAsia="Calibri" w:hAnsi="Verdana" w:cs="Arial"/>
          <w:color w:val="000000"/>
          <w:sz w:val="20"/>
          <w:szCs w:val="20"/>
        </w:rPr>
        <w:t xml:space="preserve">(…) </w:t>
      </w:r>
      <w:r w:rsidRPr="004F3424">
        <w:rPr>
          <w:rFonts w:ascii="Verdana" w:eastAsia="Calibri" w:hAnsi="Verdana" w:cs="Arial"/>
          <w:color w:val="000000"/>
          <w:sz w:val="20"/>
          <w:szCs w:val="20"/>
        </w:rPr>
        <w:t xml:space="preserve">e) Los contratos de prestación de servicios constituyen un género que incluye, como especies, los contratos de prestación de servicios profesionales, los contratos de prestación de servicios de apoyo a la gestión y los contratos de prestación de servicios artísticos que solo pueden encomendarse a determinadas personas naturales. La diferencia entre el contrato de prestación de servicios profesionales con las otras dos especies del género en el cual se ubican radica en su contenido intelectual intangible y, al mismo tiempo, en la formación profesional que se exige para desempeñar la labor. f) Su celebración debe realizarse a través de la modalidad de contratación directa, independientemente de la cuantía y del tipo de servicio, siempre que este no ingrese dentro del objeto del contrato de consultoría. </w:t>
      </w:r>
      <w:r w:rsidRPr="004F3424">
        <w:rPr>
          <w:rFonts w:ascii="Verdana" w:eastAsia="Calibri" w:hAnsi="Verdana" w:cs="Arial"/>
          <w:color w:val="000000"/>
          <w:sz w:val="20"/>
          <w:szCs w:val="20"/>
        </w:rPr>
        <w:t xml:space="preserve">(…) </w:t>
      </w:r>
      <w:r w:rsidRPr="004F3424">
        <w:rPr>
          <w:rFonts w:ascii="Verdana" w:eastAsia="Calibri" w:hAnsi="Verdana" w:cs="Arial"/>
          <w:color w:val="000000"/>
          <w:sz w:val="20"/>
          <w:szCs w:val="20"/>
        </w:rPr>
        <w:t>g) Para su celebración no se requiere en algunos casos la expedición del acto administrativo de justificación de la contratación directa.</w:t>
      </w:r>
      <w:r w:rsidRPr="004F3424">
        <w:rPr>
          <w:rFonts w:ascii="Verdana" w:eastAsia="Calibri" w:hAnsi="Verdana" w:cs="Arial"/>
          <w:color w:val="000000"/>
          <w:sz w:val="20"/>
          <w:szCs w:val="20"/>
        </w:rPr>
        <w:t xml:space="preserve"> </w:t>
      </w:r>
      <w:r w:rsidRPr="004F3424">
        <w:rPr>
          <w:rFonts w:ascii="Verdana" w:eastAsia="Calibri" w:hAnsi="Verdana" w:cs="Arial"/>
          <w:color w:val="000000"/>
          <w:sz w:val="20"/>
          <w:szCs w:val="20"/>
        </w:rPr>
        <w:t xml:space="preserve">h) Admiten el pacto de cláusulas excepcionales. </w:t>
      </w:r>
      <w:r w:rsidRPr="004F3424">
        <w:rPr>
          <w:rFonts w:ascii="Verdana" w:eastAsia="Calibri" w:hAnsi="Verdana" w:cs="Arial"/>
          <w:color w:val="000000"/>
          <w:sz w:val="20"/>
          <w:szCs w:val="20"/>
        </w:rPr>
        <w:t xml:space="preserve">(…) </w:t>
      </w:r>
      <w:r w:rsidRPr="004F3424">
        <w:rPr>
          <w:rFonts w:ascii="Verdana" w:eastAsia="Calibri" w:hAnsi="Verdana" w:cs="Arial"/>
          <w:color w:val="000000"/>
          <w:sz w:val="20"/>
          <w:szCs w:val="20"/>
        </w:rPr>
        <w:t xml:space="preserve">i) No es obligatoria la liquidación de estos contratos, pues así lo estableció el artículo 217 del Decreto 019 de 2012, que modificó el artículo 60 de la Ley 80 de 1993. j) Para su celebración no se requiere inscripción en el Registro Único </w:t>
      </w:r>
      <w:r w:rsidRPr="004F3424">
        <w:rPr>
          <w:rFonts w:ascii="Verdana" w:eastAsia="Calibri" w:hAnsi="Verdana" w:cs="Arial"/>
          <w:color w:val="000000"/>
          <w:sz w:val="20"/>
          <w:szCs w:val="20"/>
        </w:rPr>
        <w:lastRenderedPageBreak/>
        <w:t>de Proponentes (RUP), según lo prevé el artículo 6 de la Ley 1150 de 2007. xi) En ellos no son necesarias las garantías</w:t>
      </w:r>
      <w:r w:rsidRPr="004F3424">
        <w:rPr>
          <w:rFonts w:ascii="Verdana" w:eastAsia="Calibri" w:hAnsi="Verdana" w:cs="Arial"/>
          <w:color w:val="000000"/>
          <w:sz w:val="20"/>
          <w:szCs w:val="20"/>
        </w:rPr>
        <w:t>.</w:t>
      </w:r>
    </w:p>
    <w:p w14:paraId="03B21949" w14:textId="77777777" w:rsidR="004F3424" w:rsidRDefault="004F3424" w:rsidP="004F3424">
      <w:pPr>
        <w:spacing w:after="0" w:line="240" w:lineRule="auto"/>
        <w:jc w:val="both"/>
        <w:rPr>
          <w:rFonts w:ascii="Verdana" w:eastAsia="Aptos" w:hAnsi="Verdana" w:cs="Times New Roman"/>
          <w:b/>
          <w:bCs/>
        </w:rPr>
      </w:pPr>
    </w:p>
    <w:p w14:paraId="476E9398" w14:textId="49BD7158" w:rsidR="004F3424" w:rsidRDefault="004F3424" w:rsidP="004F3424">
      <w:pPr>
        <w:spacing w:after="0" w:line="240" w:lineRule="auto"/>
        <w:jc w:val="both"/>
        <w:rPr>
          <w:rFonts w:ascii="Verdana" w:eastAsia="Aptos" w:hAnsi="Verdana" w:cs="Times New Roman"/>
          <w:b/>
          <w:bCs/>
        </w:rPr>
      </w:pPr>
      <w:r w:rsidRPr="004F3424">
        <w:rPr>
          <w:rFonts w:ascii="Verdana" w:eastAsia="Aptos" w:hAnsi="Verdana" w:cs="Times New Roman"/>
          <w:b/>
          <w:bCs/>
        </w:rPr>
        <w:t xml:space="preserve">ESTABILIDAD OCUPACIONAL REFORZADA DE MUJER EMBARAZADA – Concepto </w:t>
      </w:r>
    </w:p>
    <w:p w14:paraId="0A6A328C" w14:textId="77777777" w:rsidR="004F3424" w:rsidRDefault="004F3424" w:rsidP="004F3424">
      <w:pPr>
        <w:spacing w:after="0" w:line="240" w:lineRule="auto"/>
        <w:jc w:val="both"/>
        <w:rPr>
          <w:rFonts w:ascii="Verdana" w:eastAsia="Aptos" w:hAnsi="Verdana" w:cs="Times New Roman"/>
          <w:b/>
          <w:bCs/>
        </w:rPr>
      </w:pPr>
    </w:p>
    <w:p w14:paraId="424F55A8" w14:textId="05B1A095" w:rsidR="004F3424" w:rsidRPr="004F3424" w:rsidRDefault="004F3424" w:rsidP="004F3424">
      <w:pPr>
        <w:spacing w:after="0" w:line="240" w:lineRule="auto"/>
        <w:jc w:val="both"/>
        <w:rPr>
          <w:rFonts w:ascii="Verdana" w:eastAsia="Aptos" w:hAnsi="Verdana" w:cs="Times New Roman"/>
          <w:sz w:val="20"/>
          <w:szCs w:val="20"/>
        </w:rPr>
      </w:pPr>
      <w:r w:rsidRPr="004F3424">
        <w:rPr>
          <w:rFonts w:ascii="Verdana" w:eastAsia="Aptos" w:hAnsi="Verdana" w:cs="Times New Roman"/>
          <w:sz w:val="20"/>
          <w:szCs w:val="20"/>
        </w:rPr>
        <w:t>El fuero de maternidad es una figura jurídica que otorga una protección reforzada a la futura madre y a la que acaba de serlo, es decir, a la mujer que se encuentra en estado de embarazo, en licencia de maternidad y en periodo de lactancia. Esto con el fin de que el proceso de gestación no interfiera en 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w:t>
      </w:r>
    </w:p>
    <w:p w14:paraId="5A38789C" w14:textId="77777777" w:rsidR="004F3424" w:rsidRDefault="004F3424" w:rsidP="004F3424">
      <w:pPr>
        <w:spacing w:after="0" w:line="240" w:lineRule="auto"/>
        <w:jc w:val="both"/>
        <w:rPr>
          <w:rFonts w:ascii="Verdana" w:eastAsia="Aptos" w:hAnsi="Verdana" w:cs="Times New Roman"/>
          <w:sz w:val="20"/>
          <w:szCs w:val="20"/>
        </w:rPr>
      </w:pPr>
    </w:p>
    <w:p w14:paraId="61087FA0" w14:textId="4377D73B" w:rsidR="004F3424" w:rsidRPr="004F3424" w:rsidRDefault="004F3424" w:rsidP="004F3424">
      <w:pPr>
        <w:spacing w:after="0" w:line="240" w:lineRule="auto"/>
        <w:jc w:val="both"/>
        <w:rPr>
          <w:rFonts w:ascii="Verdana" w:eastAsia="Aptos" w:hAnsi="Verdana" w:cs="Times New Roman"/>
          <w:sz w:val="20"/>
          <w:szCs w:val="20"/>
        </w:rPr>
      </w:pPr>
      <w:r w:rsidRPr="004F3424">
        <w:rPr>
          <w:rFonts w:ascii="Verdana" w:eastAsia="Aptos" w:hAnsi="Verdana" w:cs="Times New Roman"/>
          <w:sz w:val="20"/>
          <w:szCs w:val="20"/>
        </w:rPr>
        <w:t>Lo anterior, resulta particularmente relevante si se tiene en cuenta que, históricamente, el estado de gravidez ha constituido un motivo de exclusión y discriminación de la mujer en el ámbito laboral, frente al cual el ordenamiento jurídico ha considerado necesario “impedir la discriminación constituida por el despido, la terminación o la no renovación del contrato por causa o con ocasión del embarazo o la lactancia”.</w:t>
      </w:r>
    </w:p>
    <w:p w14:paraId="6434DF23" w14:textId="77777777" w:rsidR="004F3424" w:rsidRDefault="004F3424" w:rsidP="004F3424">
      <w:pPr>
        <w:spacing w:after="0" w:line="240" w:lineRule="auto"/>
        <w:jc w:val="both"/>
        <w:rPr>
          <w:rFonts w:ascii="Verdana" w:eastAsia="Aptos" w:hAnsi="Verdana" w:cs="Times New Roman"/>
          <w:b/>
          <w:bCs/>
        </w:rPr>
      </w:pPr>
    </w:p>
    <w:p w14:paraId="7C9CBEF3" w14:textId="6280B09A" w:rsidR="004F3424" w:rsidRPr="004F3424" w:rsidRDefault="004F3424" w:rsidP="004F3424">
      <w:pPr>
        <w:spacing w:after="0" w:line="240" w:lineRule="auto"/>
        <w:jc w:val="both"/>
        <w:rPr>
          <w:rFonts w:ascii="Verdana" w:eastAsia="Aptos" w:hAnsi="Verdana" w:cs="Times New Roman"/>
          <w:b/>
          <w:bCs/>
        </w:rPr>
      </w:pPr>
      <w:r w:rsidRPr="004F3424">
        <w:rPr>
          <w:rFonts w:ascii="Verdana" w:eastAsia="Aptos" w:hAnsi="Verdana" w:cs="Times New Roman"/>
          <w:b/>
          <w:bCs/>
        </w:rPr>
        <w:t xml:space="preserve">ESTABILIDAD OCUPACIONAL REFORZADA DE MUJER EMBARAZADA – Unificación jurisprudencial </w:t>
      </w:r>
    </w:p>
    <w:p w14:paraId="227AB4EA" w14:textId="77777777" w:rsidR="004F3424" w:rsidRPr="00BF4CCD" w:rsidRDefault="004F3424" w:rsidP="00BF4CCD">
      <w:pPr>
        <w:spacing w:after="0" w:line="240" w:lineRule="auto"/>
        <w:jc w:val="both"/>
        <w:rPr>
          <w:rFonts w:ascii="Verdana" w:eastAsia="Aptos" w:hAnsi="Verdana" w:cs="Times New Roman"/>
          <w:b/>
          <w:bCs/>
          <w:sz w:val="20"/>
          <w:szCs w:val="20"/>
        </w:rPr>
      </w:pPr>
    </w:p>
    <w:p w14:paraId="6E14E10D" w14:textId="7A816830" w:rsidR="00BF4CCD" w:rsidRPr="00BF4CCD" w:rsidRDefault="00BF4CCD" w:rsidP="00BF4CCD">
      <w:pPr>
        <w:spacing w:after="0" w:line="240" w:lineRule="auto"/>
        <w:jc w:val="both"/>
        <w:rPr>
          <w:rFonts w:ascii="Verdana" w:hAnsi="Verdana"/>
          <w:sz w:val="20"/>
          <w:szCs w:val="20"/>
        </w:rPr>
      </w:pPr>
      <w:r>
        <w:rPr>
          <w:rFonts w:ascii="Verdana" w:hAnsi="Verdana"/>
          <w:sz w:val="20"/>
          <w:szCs w:val="20"/>
        </w:rPr>
        <w:t xml:space="preserve">(…) </w:t>
      </w:r>
      <w:r w:rsidRPr="00BF4CCD">
        <w:rPr>
          <w:rFonts w:ascii="Verdana" w:hAnsi="Verdana"/>
          <w:sz w:val="20"/>
          <w:szCs w:val="20"/>
        </w:rPr>
        <w:t xml:space="preserve">la Corte Constitucional profirió la sentencia de unificación SU-075 de 2018, en la cual recogió, entre otras, las sentencias T-350 del 2016 y T-030 de 2018.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4351ACAC" w14:textId="77777777" w:rsidR="00BF4CCD" w:rsidRDefault="00BF4CCD" w:rsidP="00BF4CCD">
      <w:pPr>
        <w:spacing w:after="0" w:line="240" w:lineRule="auto"/>
        <w:jc w:val="both"/>
        <w:rPr>
          <w:rFonts w:ascii="Verdana" w:hAnsi="Verdana"/>
          <w:sz w:val="20"/>
          <w:szCs w:val="20"/>
        </w:rPr>
      </w:pPr>
    </w:p>
    <w:p w14:paraId="320AA609" w14:textId="51870182" w:rsidR="00BF4CCD" w:rsidRPr="00BF4CCD" w:rsidRDefault="00BF4CCD" w:rsidP="00BF4CCD">
      <w:pPr>
        <w:spacing w:after="0" w:line="240" w:lineRule="auto"/>
        <w:jc w:val="both"/>
        <w:rPr>
          <w:rFonts w:ascii="Verdana" w:hAnsi="Verdana"/>
          <w:sz w:val="20"/>
          <w:szCs w:val="20"/>
        </w:rPr>
      </w:pPr>
      <w:r w:rsidRPr="00BF4CCD">
        <w:rPr>
          <w:rFonts w:ascii="Verdana" w:hAnsi="Verdana"/>
          <w:sz w:val="20"/>
          <w:szCs w:val="20"/>
        </w:rPr>
        <w:t xml:space="preserve">Dicha providencia dio paso a establecer que, el denominado “fuero de maternidad” encuentra su sustento no solo en las disposiciones específicas que 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 </w:t>
      </w:r>
    </w:p>
    <w:p w14:paraId="57B0D33E" w14:textId="77777777" w:rsidR="00BF4CCD" w:rsidRDefault="00BF4CCD" w:rsidP="00BF4CCD">
      <w:pPr>
        <w:spacing w:after="0" w:line="240" w:lineRule="auto"/>
        <w:jc w:val="both"/>
        <w:rPr>
          <w:rFonts w:ascii="Verdana" w:eastAsia="Aptos" w:hAnsi="Verdana" w:cs="Times New Roman"/>
          <w:b/>
          <w:bCs/>
        </w:rPr>
      </w:pPr>
    </w:p>
    <w:p w14:paraId="3EC6DC6E" w14:textId="1E665AA9" w:rsidR="004F3424" w:rsidRDefault="004F3424" w:rsidP="004F3424">
      <w:pPr>
        <w:jc w:val="both"/>
        <w:rPr>
          <w:rFonts w:ascii="Verdana" w:eastAsia="Aptos" w:hAnsi="Verdana" w:cs="Times New Roman"/>
          <w:b/>
          <w:bCs/>
        </w:rPr>
      </w:pPr>
      <w:r w:rsidRPr="004F3424">
        <w:rPr>
          <w:rFonts w:ascii="Verdana" w:eastAsia="Aptos" w:hAnsi="Verdana" w:cs="Times New Roman"/>
          <w:b/>
          <w:bCs/>
        </w:rPr>
        <w:t xml:space="preserve">ESTABILIDAD OCUPACIONAL REFORZADA DE MUJER EMBARAZADA – Procedencia – Contratos de prestación de servicios </w:t>
      </w:r>
    </w:p>
    <w:p w14:paraId="262DC07B" w14:textId="77777777" w:rsidR="00FB6304" w:rsidRDefault="00FB6304" w:rsidP="008A5F47">
      <w:pPr>
        <w:spacing w:after="0" w:line="240" w:lineRule="auto"/>
        <w:jc w:val="both"/>
        <w:rPr>
          <w:rFonts w:ascii="Verdana" w:eastAsia="Aptos" w:hAnsi="Verdana" w:cs="Times New Roman"/>
          <w:b/>
          <w:bCs/>
          <w:sz w:val="20"/>
          <w:szCs w:val="20"/>
        </w:rPr>
      </w:pPr>
      <w:r w:rsidRPr="00FB6304">
        <w:rPr>
          <w:rFonts w:ascii="Verdana" w:hAnsi="Verdana"/>
          <w:sz w:val="20"/>
          <w:szCs w:val="20"/>
        </w:rPr>
        <w:t>(…)</w:t>
      </w:r>
      <w:r w:rsidRPr="00FB6304">
        <w:rPr>
          <w:rFonts w:ascii="Verdana" w:hAnsi="Verdana"/>
          <w:sz w:val="20"/>
          <w:szCs w:val="20"/>
        </w:rPr>
        <w:t xml:space="preserve"> la Corte Constitucional ha expuesto dos (2) escenarios frente a los cuales opera la protección del denominado fuero de maternidad de mujeres vinculadas por medio de un contrato de prestación de servicios: i) cuando el juez verifica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FB6304">
        <w:rPr>
          <w:rFonts w:ascii="Verdana" w:hAnsi="Verdana"/>
          <w:sz w:val="20"/>
          <w:szCs w:val="20"/>
        </w:rPr>
        <w:t>ii</w:t>
      </w:r>
      <w:proofErr w:type="spellEnd"/>
      <w:r w:rsidRPr="00FB6304">
        <w:rPr>
          <w:rFonts w:ascii="Verdana" w:hAnsi="Verdana"/>
          <w:sz w:val="20"/>
          <w:szCs w:val="20"/>
        </w:rPr>
        <w:t>) cuando a pesar de no probarse la configuración de un contrato realidad, la terminación del contrato de prestación de servicios se fundamenta en criterios discriminatorios y no en motivos objetivos.</w:t>
      </w:r>
    </w:p>
    <w:p w14:paraId="47EC0273" w14:textId="77777777" w:rsidR="008A5F47" w:rsidRDefault="008A5F47" w:rsidP="008A5F47">
      <w:pPr>
        <w:spacing w:after="0" w:line="240" w:lineRule="auto"/>
        <w:jc w:val="both"/>
        <w:rPr>
          <w:rFonts w:ascii="Verdana" w:eastAsia="Aptos" w:hAnsi="Verdana" w:cs="Times New Roman"/>
          <w:b/>
          <w:bCs/>
        </w:rPr>
      </w:pPr>
    </w:p>
    <w:p w14:paraId="477423E7" w14:textId="30CD1D5B" w:rsidR="004F3424" w:rsidRDefault="004F3424" w:rsidP="008A5F47">
      <w:pPr>
        <w:spacing w:after="0" w:line="240" w:lineRule="auto"/>
        <w:jc w:val="both"/>
        <w:rPr>
          <w:rFonts w:ascii="Verdana" w:eastAsia="Aptos" w:hAnsi="Verdana" w:cs="Times New Roman"/>
          <w:b/>
          <w:bCs/>
        </w:rPr>
      </w:pPr>
      <w:r w:rsidRPr="004F3424">
        <w:rPr>
          <w:rFonts w:ascii="Verdana" w:eastAsia="Aptos" w:hAnsi="Verdana" w:cs="Times New Roman"/>
          <w:b/>
          <w:bCs/>
        </w:rPr>
        <w:t xml:space="preserve">ESTABILIDAD OCUPACIONAL REFORZADA – Periodo de lactancia – Contratos de prestación de servicios </w:t>
      </w:r>
    </w:p>
    <w:p w14:paraId="56F956E8" w14:textId="77777777" w:rsidR="008A5F47" w:rsidRDefault="008A5F47" w:rsidP="008A5F47">
      <w:pPr>
        <w:widowControl w:val="0"/>
        <w:autoSpaceDE w:val="0"/>
        <w:autoSpaceDN w:val="0"/>
        <w:spacing w:after="0" w:line="240" w:lineRule="auto"/>
        <w:jc w:val="both"/>
        <w:rPr>
          <w:rFonts w:ascii="Verdana" w:eastAsia="Arial" w:hAnsi="Verdana" w:cs="Arial"/>
          <w:sz w:val="20"/>
          <w:szCs w:val="20"/>
        </w:rPr>
      </w:pPr>
    </w:p>
    <w:p w14:paraId="7C53EB09" w14:textId="149298B7" w:rsidR="008A5F47" w:rsidRDefault="008A5F47" w:rsidP="008A5F47">
      <w:pPr>
        <w:widowControl w:val="0"/>
        <w:autoSpaceDE w:val="0"/>
        <w:autoSpaceDN w:val="0"/>
        <w:spacing w:after="0" w:line="240" w:lineRule="auto"/>
        <w:jc w:val="both"/>
        <w:rPr>
          <w:rFonts w:ascii="Verdana" w:eastAsia="Arial" w:hAnsi="Verdana" w:cs="Arial"/>
          <w:sz w:val="20"/>
          <w:szCs w:val="20"/>
        </w:rPr>
      </w:pPr>
      <w:r w:rsidRPr="008A5F47">
        <w:rPr>
          <w:rFonts w:ascii="Verdana" w:eastAsia="Arial" w:hAnsi="Verdana" w:cs="Arial"/>
          <w:sz w:val="20"/>
          <w:szCs w:val="20"/>
        </w:rPr>
        <w:t xml:space="preserve">(…) </w:t>
      </w:r>
      <w:r w:rsidR="00E27EB2" w:rsidRPr="008A5F47">
        <w:rPr>
          <w:rFonts w:ascii="Verdana" w:eastAsia="Arial" w:hAnsi="Verdana" w:cs="Arial"/>
          <w:sz w:val="20"/>
          <w:szCs w:val="20"/>
        </w:rPr>
        <w:t xml:space="preserve">esta Agencia precisa que la protección derivada del fuero de maternidad, que como se expuso anteriormente se extiende al periodo de lactancia, es aplicable a todas las madres sin importar la relación laboral o la modalidad de contrato por medio de la cual hayan sido vinculadas. </w:t>
      </w:r>
    </w:p>
    <w:p w14:paraId="775E122B" w14:textId="77777777" w:rsidR="008A5F47" w:rsidRDefault="008A5F47" w:rsidP="008A5F47">
      <w:pPr>
        <w:widowControl w:val="0"/>
        <w:autoSpaceDE w:val="0"/>
        <w:autoSpaceDN w:val="0"/>
        <w:spacing w:after="0" w:line="240" w:lineRule="auto"/>
        <w:jc w:val="both"/>
        <w:rPr>
          <w:rFonts w:ascii="Verdana" w:eastAsia="Arial" w:hAnsi="Verdana" w:cs="Arial"/>
          <w:sz w:val="20"/>
          <w:szCs w:val="20"/>
        </w:rPr>
      </w:pPr>
    </w:p>
    <w:p w14:paraId="49643F04" w14:textId="77777777" w:rsidR="008A5F47" w:rsidRDefault="00E27EB2" w:rsidP="008A5F47">
      <w:pPr>
        <w:widowControl w:val="0"/>
        <w:autoSpaceDE w:val="0"/>
        <w:autoSpaceDN w:val="0"/>
        <w:spacing w:after="0" w:line="240" w:lineRule="auto"/>
        <w:jc w:val="both"/>
        <w:rPr>
          <w:rFonts w:ascii="Verdana" w:eastAsia="Arial" w:hAnsi="Verdana" w:cs="Arial"/>
          <w:sz w:val="20"/>
          <w:szCs w:val="20"/>
        </w:rPr>
      </w:pPr>
      <w:r w:rsidRPr="008A5F47">
        <w:rPr>
          <w:rFonts w:ascii="Verdana" w:eastAsia="Arial" w:hAnsi="Verdana" w:cs="Arial"/>
          <w:sz w:val="20"/>
          <w:szCs w:val="20"/>
        </w:rPr>
        <w:t>Ahora bien, aunque se reconoce que el fuero de maternidad protege a la madre durante el periodo de lactancia – el cual, tras la expedición de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w:t>
      </w:r>
    </w:p>
    <w:p w14:paraId="12E33A4C" w14:textId="77777777" w:rsidR="008A5F47" w:rsidRDefault="008A5F47" w:rsidP="008A5F47">
      <w:pPr>
        <w:widowControl w:val="0"/>
        <w:autoSpaceDE w:val="0"/>
        <w:autoSpaceDN w:val="0"/>
        <w:spacing w:after="0" w:line="240" w:lineRule="auto"/>
        <w:jc w:val="both"/>
        <w:rPr>
          <w:rFonts w:ascii="Verdana" w:eastAsia="Arial" w:hAnsi="Verdana" w:cs="Arial"/>
          <w:sz w:val="20"/>
          <w:szCs w:val="20"/>
        </w:rPr>
      </w:pPr>
    </w:p>
    <w:p w14:paraId="531E1410" w14:textId="77777777" w:rsidR="008A5F47" w:rsidRDefault="00E27EB2" w:rsidP="008A5F47">
      <w:pPr>
        <w:widowControl w:val="0"/>
        <w:autoSpaceDE w:val="0"/>
        <w:autoSpaceDN w:val="0"/>
        <w:spacing w:after="0" w:line="240" w:lineRule="auto"/>
        <w:jc w:val="both"/>
        <w:rPr>
          <w:rFonts w:ascii="Verdana" w:eastAsia="Arial" w:hAnsi="Verdana" w:cs="Arial"/>
          <w:sz w:val="20"/>
          <w:szCs w:val="20"/>
        </w:rPr>
      </w:pPr>
      <w:r w:rsidRPr="008A5F47">
        <w:rPr>
          <w:rFonts w:ascii="Verdana" w:eastAsia="Arial" w:hAnsi="Verdana" w:cs="Arial"/>
          <w:sz w:val="20"/>
          <w:szCs w:val="20"/>
        </w:rPr>
        <w:t xml:space="preserve">De acuerdo con lo establecido en el numeral 2º del artículo 239 del Código Sustantivo del Trabajo, se presume que el despido es discriminatorio cuando ocurre durante el embarazo o dentro de las dieciocho (18) semanas 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 </w:t>
      </w:r>
    </w:p>
    <w:p w14:paraId="181D7BD0" w14:textId="77777777" w:rsidR="008A5F47" w:rsidRDefault="008A5F47" w:rsidP="008A5F47">
      <w:pPr>
        <w:widowControl w:val="0"/>
        <w:autoSpaceDE w:val="0"/>
        <w:autoSpaceDN w:val="0"/>
        <w:spacing w:after="0" w:line="240" w:lineRule="auto"/>
        <w:jc w:val="both"/>
        <w:rPr>
          <w:rFonts w:ascii="Verdana" w:eastAsia="Arial" w:hAnsi="Verdana" w:cs="Arial"/>
          <w:sz w:val="20"/>
          <w:szCs w:val="20"/>
        </w:rPr>
      </w:pPr>
    </w:p>
    <w:p w14:paraId="552B03C1" w14:textId="77777777" w:rsidR="008A5F47" w:rsidRDefault="00E27EB2" w:rsidP="008A5F47">
      <w:pPr>
        <w:widowControl w:val="0"/>
        <w:autoSpaceDE w:val="0"/>
        <w:autoSpaceDN w:val="0"/>
        <w:spacing w:after="0" w:line="240" w:lineRule="auto"/>
        <w:jc w:val="both"/>
        <w:rPr>
          <w:rFonts w:ascii="Verdana" w:eastAsia="Arial" w:hAnsi="Verdana" w:cs="Arial"/>
          <w:sz w:val="20"/>
          <w:szCs w:val="20"/>
        </w:rPr>
      </w:pPr>
      <w:r w:rsidRPr="008A5F47">
        <w:rPr>
          <w:rFonts w:ascii="Verdana" w:eastAsia="Arial" w:hAnsi="Verdana" w:cs="Arial"/>
          <w:sz w:val="20"/>
          <w:szCs w:val="20"/>
        </w:rPr>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no está obligado a solicitar autorización al Ministerio del Trabajo para la terminación del vínculo laboral. Sin embargo, la desvinculación solo será constitucionalmente admisible si se funda en una justa causa debidamente acreditada. </w:t>
      </w:r>
    </w:p>
    <w:p w14:paraId="0CB1AA9F" w14:textId="77777777" w:rsidR="008A5F47" w:rsidRDefault="008A5F47" w:rsidP="008A5F47">
      <w:pPr>
        <w:widowControl w:val="0"/>
        <w:autoSpaceDE w:val="0"/>
        <w:autoSpaceDN w:val="0"/>
        <w:spacing w:after="0" w:line="240" w:lineRule="auto"/>
        <w:jc w:val="both"/>
        <w:rPr>
          <w:rFonts w:ascii="Verdana" w:eastAsia="Arial" w:hAnsi="Verdana" w:cs="Arial"/>
          <w:sz w:val="20"/>
          <w:szCs w:val="20"/>
        </w:rPr>
      </w:pPr>
    </w:p>
    <w:p w14:paraId="28899533" w14:textId="6E3BF1A1" w:rsidR="00E27EB2" w:rsidRPr="008A5F47" w:rsidRDefault="00E27EB2" w:rsidP="008A5F47">
      <w:pPr>
        <w:widowControl w:val="0"/>
        <w:autoSpaceDE w:val="0"/>
        <w:autoSpaceDN w:val="0"/>
        <w:spacing w:after="0" w:line="240" w:lineRule="auto"/>
        <w:jc w:val="both"/>
        <w:rPr>
          <w:rFonts w:ascii="Verdana" w:eastAsia="Arial" w:hAnsi="Verdana" w:cs="Arial"/>
          <w:sz w:val="20"/>
          <w:szCs w:val="20"/>
        </w:rPr>
      </w:pPr>
      <w:r w:rsidRPr="008A5F47">
        <w:rPr>
          <w:rFonts w:ascii="Verdana" w:eastAsia="Arial" w:hAnsi="Verdana" w:cs="Arial"/>
          <w:sz w:val="20"/>
          <w:szCs w:val="20"/>
        </w:rPr>
        <w:t xml:space="preserve">Esta diferenciación ha sido reiterada por la Corte Constitucional, que mantuvo esta regla, después de la entrada en vigor de la Ley 2306 de 2023. En ese sentido, en las Sentencias T-098 de 2024 y T-456 de 2024, la Corte señaló que “en el periodo de lactancia […] no es aplicable la presunción de despido por causa del embarazo, pese a que permanece la prohibición del despido </w:t>
      </w:r>
      <w:proofErr w:type="gramStart"/>
      <w:r w:rsidRPr="008A5F47">
        <w:rPr>
          <w:rFonts w:ascii="Verdana" w:eastAsia="Arial" w:hAnsi="Verdana" w:cs="Arial"/>
          <w:sz w:val="20"/>
          <w:szCs w:val="20"/>
        </w:rPr>
        <w:t>en razón de</w:t>
      </w:r>
      <w:proofErr w:type="gramEnd"/>
      <w:r w:rsidRPr="008A5F47">
        <w:rPr>
          <w:rFonts w:ascii="Verdana" w:eastAsia="Arial" w:hAnsi="Verdana" w:cs="Arial"/>
          <w:sz w:val="20"/>
          <w:szCs w:val="20"/>
        </w:rPr>
        <w:t xml:space="preserve"> la condición de lactancia. Por consiguiente, durante este periodo la trabajadora tiene la carga de probar la ocurrencia de un acto discriminatorio”. </w:t>
      </w:r>
    </w:p>
    <w:p w14:paraId="5D5F6412" w14:textId="77777777" w:rsidR="008A5F47" w:rsidRDefault="008A5F47" w:rsidP="008A5F47">
      <w:pPr>
        <w:widowControl w:val="0"/>
        <w:autoSpaceDE w:val="0"/>
        <w:autoSpaceDN w:val="0"/>
        <w:spacing w:after="0" w:line="240" w:lineRule="auto"/>
        <w:jc w:val="both"/>
        <w:rPr>
          <w:rFonts w:ascii="Verdana" w:eastAsia="Arial" w:hAnsi="Verdana" w:cs="Arial"/>
          <w:sz w:val="20"/>
          <w:szCs w:val="20"/>
        </w:rPr>
      </w:pPr>
    </w:p>
    <w:p w14:paraId="0D96B572" w14:textId="77777777" w:rsidR="008A5F47" w:rsidRDefault="008A5F47" w:rsidP="008A5F47">
      <w:pPr>
        <w:widowControl w:val="0"/>
        <w:autoSpaceDE w:val="0"/>
        <w:autoSpaceDN w:val="0"/>
        <w:spacing w:after="0" w:line="240" w:lineRule="auto"/>
        <w:jc w:val="both"/>
        <w:rPr>
          <w:rFonts w:ascii="Verdana" w:eastAsia="Arial" w:hAnsi="Verdana" w:cs="Arial"/>
          <w:sz w:val="20"/>
          <w:szCs w:val="20"/>
        </w:rPr>
      </w:pPr>
      <w:r w:rsidRPr="008A5F47">
        <w:rPr>
          <w:rFonts w:ascii="Verdana" w:eastAsia="Arial" w:hAnsi="Verdana" w:cs="Arial"/>
          <w:sz w:val="20"/>
          <w:szCs w:val="20"/>
        </w:rPr>
        <w:t>(…)</w:t>
      </w:r>
    </w:p>
    <w:p w14:paraId="5B43DA63" w14:textId="77777777" w:rsidR="008A5F47" w:rsidRDefault="008A5F47" w:rsidP="008A5F47">
      <w:pPr>
        <w:widowControl w:val="0"/>
        <w:autoSpaceDE w:val="0"/>
        <w:autoSpaceDN w:val="0"/>
        <w:spacing w:after="0" w:line="240" w:lineRule="auto"/>
        <w:jc w:val="both"/>
        <w:rPr>
          <w:rFonts w:ascii="Verdana" w:eastAsia="Arial" w:hAnsi="Verdana" w:cs="Arial"/>
          <w:sz w:val="20"/>
          <w:szCs w:val="20"/>
        </w:rPr>
      </w:pPr>
    </w:p>
    <w:p w14:paraId="61F8E322" w14:textId="77777777" w:rsidR="008A5F47" w:rsidRDefault="00E27EB2" w:rsidP="008A5F47">
      <w:pPr>
        <w:widowControl w:val="0"/>
        <w:autoSpaceDE w:val="0"/>
        <w:autoSpaceDN w:val="0"/>
        <w:spacing w:after="0" w:line="240" w:lineRule="auto"/>
        <w:jc w:val="both"/>
        <w:rPr>
          <w:rFonts w:ascii="Verdana" w:eastAsia="Arial" w:hAnsi="Verdana" w:cs="Arial"/>
          <w:sz w:val="20"/>
          <w:szCs w:val="20"/>
        </w:rPr>
      </w:pPr>
      <w:r w:rsidRPr="008A5F47">
        <w:rPr>
          <w:rFonts w:ascii="Verdana" w:eastAsia="Arial" w:hAnsi="Verdana" w:cs="Arial"/>
          <w:sz w:val="20"/>
          <w:szCs w:val="20"/>
        </w:rPr>
        <w:t>En este escenario, para acreditar que la desvinculación vulnera la prohibición general de despido discriminatorio, se requiere: (i) el contratante conoce el estado de embarazo de la contratista, (</w:t>
      </w:r>
      <w:proofErr w:type="spellStart"/>
      <w:r w:rsidRPr="008A5F47">
        <w:rPr>
          <w:rFonts w:ascii="Verdana" w:eastAsia="Arial" w:hAnsi="Verdana" w:cs="Arial"/>
          <w:sz w:val="20"/>
          <w:szCs w:val="20"/>
        </w:rPr>
        <w:t>ii</w:t>
      </w:r>
      <w:proofErr w:type="spellEnd"/>
      <w:r w:rsidRPr="008A5F47">
        <w:rPr>
          <w:rFonts w:ascii="Verdana" w:eastAsia="Arial" w:hAnsi="Verdana" w:cs="Arial"/>
          <w:sz w:val="20"/>
          <w:szCs w:val="20"/>
        </w:rPr>
        <w:t>) subsiste la causa del contrato y (</w:t>
      </w:r>
      <w:proofErr w:type="spellStart"/>
      <w:r w:rsidRPr="008A5F47">
        <w:rPr>
          <w:rFonts w:ascii="Verdana" w:eastAsia="Arial" w:hAnsi="Verdana" w:cs="Arial"/>
          <w:sz w:val="20"/>
          <w:szCs w:val="20"/>
        </w:rPr>
        <w:t>iii</w:t>
      </w:r>
      <w:proofErr w:type="spellEnd"/>
      <w:r w:rsidRPr="008A5F47">
        <w:rPr>
          <w:rFonts w:ascii="Verdana" w:eastAsia="Arial" w:hAnsi="Verdana" w:cs="Arial"/>
          <w:sz w:val="20"/>
          <w:szCs w:val="20"/>
        </w:rPr>
        <w:t xml:space="preserve">) no cuenta con permiso del inspector del trabajo para terminar el contrato- salvo el periodo posterior a las dieciocho (18) semanas del parto y hasta los dos (2) años de lactancia, donde no requiere permiso del inspector-. En estos eventos procede la garantía de estabilidad reforzada por lo que la entidad deberá proceder a la renovación de la relación contractual, previo análisis del juez. </w:t>
      </w:r>
    </w:p>
    <w:p w14:paraId="241BC7C0" w14:textId="77777777" w:rsidR="008A5F47" w:rsidRDefault="008A5F47" w:rsidP="008A5F47">
      <w:pPr>
        <w:widowControl w:val="0"/>
        <w:autoSpaceDE w:val="0"/>
        <w:autoSpaceDN w:val="0"/>
        <w:spacing w:after="0" w:line="240" w:lineRule="auto"/>
        <w:jc w:val="both"/>
        <w:rPr>
          <w:rFonts w:ascii="Verdana" w:eastAsia="Arial" w:hAnsi="Verdana" w:cs="Arial"/>
          <w:sz w:val="20"/>
          <w:szCs w:val="20"/>
        </w:rPr>
      </w:pPr>
    </w:p>
    <w:p w14:paraId="66380F03" w14:textId="242E6D17" w:rsidR="00E27EB2" w:rsidRPr="008A5F47" w:rsidRDefault="00E27EB2" w:rsidP="008A5F47">
      <w:pPr>
        <w:widowControl w:val="0"/>
        <w:autoSpaceDE w:val="0"/>
        <w:autoSpaceDN w:val="0"/>
        <w:spacing w:after="0" w:line="240" w:lineRule="auto"/>
        <w:jc w:val="both"/>
        <w:rPr>
          <w:rFonts w:ascii="Verdana" w:eastAsia="Arial" w:hAnsi="Verdana" w:cs="Arial"/>
          <w:sz w:val="20"/>
          <w:szCs w:val="20"/>
        </w:rPr>
      </w:pPr>
      <w:r w:rsidRPr="008A5F47">
        <w:rPr>
          <w:rFonts w:ascii="Verdana" w:eastAsia="Arial" w:hAnsi="Verdana" w:cs="Arial"/>
          <w:sz w:val="20"/>
          <w:szCs w:val="20"/>
        </w:rPr>
        <w:t xml:space="preserve">En conclusión,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entidades estatales, en el marco de su autonomía y conforme a los lineamientos jurisprudenciales, garantizar dicha protección, evitando decisiones contractuales discriminatorias y observando los principios que rigen la contratación estatal y la función administrativa. </w:t>
      </w:r>
    </w:p>
    <w:p w14:paraId="0FA4DE94" w14:textId="77777777" w:rsidR="00E27EB2" w:rsidRDefault="00E27EB2" w:rsidP="00E27EB2">
      <w:pPr>
        <w:widowControl w:val="0"/>
        <w:autoSpaceDE w:val="0"/>
        <w:autoSpaceDN w:val="0"/>
        <w:spacing w:after="0" w:line="276" w:lineRule="auto"/>
        <w:jc w:val="both"/>
        <w:rPr>
          <w:rFonts w:ascii="Verdana" w:eastAsia="Arial" w:hAnsi="Verdana" w:cs="Arial"/>
        </w:rPr>
      </w:pPr>
    </w:p>
    <w:p w14:paraId="5DC04853" w14:textId="35F9406B" w:rsidR="004F3424" w:rsidRDefault="004F3424" w:rsidP="004F3424">
      <w:pPr>
        <w:jc w:val="both"/>
        <w:rPr>
          <w:rFonts w:ascii="Verdana" w:eastAsia="Aptos" w:hAnsi="Verdana" w:cs="Times New Roman"/>
          <w:b/>
          <w:bCs/>
        </w:rPr>
      </w:pPr>
      <w:r w:rsidRPr="004F3424">
        <w:rPr>
          <w:rFonts w:ascii="Verdana" w:eastAsia="Aptos" w:hAnsi="Verdana" w:cs="Times New Roman"/>
          <w:b/>
          <w:bCs/>
        </w:rPr>
        <w:t>SUSPENSIÓN DEL CONTRATO – Estado de embarazo</w:t>
      </w:r>
    </w:p>
    <w:p w14:paraId="3120675A" w14:textId="262159BD" w:rsidR="008A5F47" w:rsidRPr="008A5F47" w:rsidRDefault="008A5F47" w:rsidP="008A5F47">
      <w:pPr>
        <w:spacing w:after="0" w:line="240" w:lineRule="auto"/>
        <w:jc w:val="both"/>
        <w:rPr>
          <w:rFonts w:ascii="Verdana" w:eastAsia="Arial" w:hAnsi="Verdana" w:cs="Arial"/>
          <w:sz w:val="20"/>
          <w:szCs w:val="20"/>
        </w:rPr>
      </w:pPr>
      <w:r w:rsidRPr="008A5F47">
        <w:rPr>
          <w:rFonts w:ascii="Verdana" w:eastAsia="Arial" w:hAnsi="Verdana" w:cs="Arial"/>
          <w:sz w:val="20"/>
          <w:szCs w:val="20"/>
        </w:rPr>
        <w:t>Finalmente, en lo que atañe a la suspensión del contrato de prestación de servicios, es importante manifestar que frente a la consulta planteada acerca de si es procedente o no suspender un contrato de prestación de servicios cuando la contratista está en estado de embarazo o durante la licencia de maternidad debe señalarse que, no existe disposición normativa que consagre de forma expresa las causales de suspensión del contrato, mucho menos en virtud del estado de embarazo o de la licencia de maternidad</w:t>
      </w:r>
      <w:r w:rsidRPr="008A5F47">
        <w:rPr>
          <w:rFonts w:ascii="Verdana" w:eastAsia="Arial" w:hAnsi="Verdana" w:cs="Arial"/>
          <w:sz w:val="20"/>
          <w:szCs w:val="20"/>
        </w:rPr>
        <w:t>.</w:t>
      </w:r>
    </w:p>
    <w:p w14:paraId="2BBBB439" w14:textId="77777777" w:rsidR="008A5F47" w:rsidRDefault="008A5F47" w:rsidP="008A5F47">
      <w:pPr>
        <w:spacing w:after="0" w:line="240" w:lineRule="auto"/>
        <w:jc w:val="both"/>
        <w:rPr>
          <w:rFonts w:ascii="Verdana" w:eastAsia="Arial" w:hAnsi="Verdana" w:cs="Arial"/>
          <w:sz w:val="20"/>
          <w:szCs w:val="20"/>
        </w:rPr>
      </w:pPr>
    </w:p>
    <w:p w14:paraId="0E0085EC" w14:textId="014413E4" w:rsidR="008A5F47" w:rsidRPr="008A5F47" w:rsidRDefault="008A5F47" w:rsidP="008A5F47">
      <w:pPr>
        <w:spacing w:after="0" w:line="240" w:lineRule="auto"/>
        <w:jc w:val="both"/>
        <w:rPr>
          <w:rFonts w:ascii="Verdana" w:eastAsia="Arial" w:hAnsi="Verdana" w:cs="Arial"/>
          <w:sz w:val="20"/>
          <w:szCs w:val="20"/>
        </w:rPr>
      </w:pPr>
      <w:r w:rsidRPr="008A5F47">
        <w:rPr>
          <w:rFonts w:ascii="Verdana" w:eastAsia="Arial" w:hAnsi="Verdana" w:cs="Arial"/>
          <w:sz w:val="20"/>
          <w:szCs w:val="20"/>
        </w:rPr>
        <w:t>(…)</w:t>
      </w:r>
    </w:p>
    <w:p w14:paraId="5168C98C" w14:textId="77777777" w:rsidR="008A5F47" w:rsidRDefault="008A5F47" w:rsidP="008A5F47">
      <w:pPr>
        <w:spacing w:after="0" w:line="240" w:lineRule="auto"/>
        <w:jc w:val="both"/>
        <w:rPr>
          <w:rFonts w:ascii="Verdana" w:eastAsia="Times New Roman" w:hAnsi="Verdana" w:cs="Arial"/>
          <w:sz w:val="20"/>
          <w:szCs w:val="20"/>
          <w:lang w:eastAsia="es-ES_tradnl"/>
        </w:rPr>
      </w:pPr>
    </w:p>
    <w:p w14:paraId="1E6C9B9F" w14:textId="77777777" w:rsidR="008A5F47" w:rsidRDefault="008A5F47" w:rsidP="008A5F47">
      <w:pPr>
        <w:spacing w:after="0" w:line="240" w:lineRule="auto"/>
        <w:jc w:val="both"/>
        <w:rPr>
          <w:rFonts w:ascii="Verdana" w:eastAsia="Times New Roman" w:hAnsi="Verdana" w:cs="Arial"/>
          <w:sz w:val="20"/>
          <w:szCs w:val="20"/>
          <w:lang w:eastAsia="es-ES_tradnl"/>
        </w:rPr>
      </w:pPr>
      <w:r w:rsidRPr="008A5F47">
        <w:rPr>
          <w:rFonts w:ascii="Verdana" w:eastAsia="Times New Roman" w:hAnsi="Verdana" w:cs="Arial"/>
          <w:sz w:val="20"/>
          <w:szCs w:val="20"/>
          <w:lang w:eastAsia="es-ES_tradnl"/>
        </w:rPr>
        <w:t>En ejercicio de la autonomía de las partes contratantes, las mismas podrán convenir la cláusula de suspensión del contrato de prestación de servicios, fijando las reglas por las cuales procederán las mismas teniendo en cuenta las disposiciones referidas en la Ley 80 de 1993 y Ley 1150 de 2007. Así las cosas, las partes son quienes determinan las condiciones y términos según los cuales deben llevarse a cabo la suspensión del contrato, por lo que ninguna de las partes de manera unilateral puede declararla por fuera de lo convenido.</w:t>
      </w:r>
    </w:p>
    <w:p w14:paraId="19E5F62A" w14:textId="77777777" w:rsidR="008A5F47" w:rsidRDefault="008A5F47" w:rsidP="008A5F47">
      <w:pPr>
        <w:spacing w:after="0" w:line="240" w:lineRule="auto"/>
        <w:jc w:val="both"/>
        <w:rPr>
          <w:rFonts w:ascii="Verdana" w:eastAsia="Times New Roman" w:hAnsi="Verdana" w:cs="Arial"/>
          <w:sz w:val="20"/>
          <w:szCs w:val="20"/>
          <w:lang w:eastAsia="es-ES_tradnl"/>
        </w:rPr>
      </w:pPr>
    </w:p>
    <w:p w14:paraId="0FAD88AE" w14:textId="479AD4E3" w:rsidR="008A5F47" w:rsidRPr="008A5F47" w:rsidRDefault="008A5F47" w:rsidP="008A5F47">
      <w:pPr>
        <w:spacing w:after="0" w:line="240" w:lineRule="auto"/>
        <w:jc w:val="both"/>
        <w:rPr>
          <w:rFonts w:ascii="Verdana" w:eastAsia="Times New Roman" w:hAnsi="Verdana" w:cs="Arial"/>
          <w:sz w:val="20"/>
          <w:szCs w:val="20"/>
          <w:lang w:eastAsia="es-ES_tradnl"/>
        </w:rPr>
      </w:pPr>
      <w:r w:rsidRPr="008A5F47">
        <w:rPr>
          <w:rFonts w:ascii="Verdana" w:eastAsia="Times New Roman" w:hAnsi="Verdana" w:cs="Arial"/>
          <w:sz w:val="20"/>
          <w:szCs w:val="20"/>
          <w:lang w:eastAsia="es-ES_tradnl"/>
        </w:rPr>
        <w:t>Conforme lo anterior, cuando se presenten el tipo de situaciones descritas en la consulta, la entidad estatal, a través del supervisor del contrato, determinará si las obligaciones contractuales no pueden desarrollarse temporalmente por parte de la contratista con ocasión de alguna disposición médica que dificulte la ejecución de las actividades en el desarrollo del contrato de prestación de servicios y, en consecuencia, procederá la suspensión del contrato durante su estado de embarazo o en el periodo de la licencia de maternidad. En ese sentido, si a pesar del estado de embarazo o la licencia, las partes acuerdan no suspender el contrato y la contratista acredita el cumplimiento de las actividades contratadas, habría lugar al pago de honorarios, pues el objeto contractual estaría siendo ejecutado. Por el contrario, si deciden suspenderlo, teniendo en cuenta que no se estarían cumpliendo las obligaciones contractuales no habría lugar al pago de honorarios y la prestación económica sería asumida por el Sistema General de Seguridad Social en salud, es decir, estaría a cargo de las ESP.</w:t>
      </w:r>
    </w:p>
    <w:p w14:paraId="43E49700" w14:textId="77777777" w:rsidR="008A5F47" w:rsidRPr="004F3424" w:rsidRDefault="008A5F47" w:rsidP="008A5F47">
      <w:pPr>
        <w:spacing w:after="0" w:line="240" w:lineRule="auto"/>
        <w:jc w:val="both"/>
        <w:rPr>
          <w:rFonts w:ascii="Verdana" w:eastAsia="Aptos" w:hAnsi="Verdana" w:cs="Times New Roman"/>
          <w:b/>
          <w:bCs/>
        </w:rPr>
      </w:pPr>
    </w:p>
    <w:p w14:paraId="5B2CB8F4" w14:textId="77777777" w:rsidR="004F3424" w:rsidRDefault="004F3424" w:rsidP="007869E6">
      <w:pPr>
        <w:spacing w:after="0" w:line="240" w:lineRule="auto"/>
        <w:rPr>
          <w:rFonts w:ascii="Verdana" w:eastAsia="Verdana" w:hAnsi="Verdana" w:cs="Verdana"/>
        </w:rPr>
      </w:pPr>
    </w:p>
    <w:p w14:paraId="08C09CDC" w14:textId="77777777" w:rsidR="008A5F47" w:rsidRDefault="008A5F47" w:rsidP="007869E6">
      <w:pPr>
        <w:spacing w:after="0" w:line="240" w:lineRule="auto"/>
        <w:rPr>
          <w:rFonts w:ascii="Verdana" w:eastAsia="Verdana" w:hAnsi="Verdana" w:cs="Verdana"/>
        </w:rPr>
      </w:pPr>
    </w:p>
    <w:p w14:paraId="3A3F016C" w14:textId="77777777" w:rsidR="008A5F47" w:rsidRDefault="008A5F47" w:rsidP="007869E6">
      <w:pPr>
        <w:spacing w:after="0" w:line="240" w:lineRule="auto"/>
        <w:rPr>
          <w:rFonts w:ascii="Verdana" w:eastAsia="Verdana" w:hAnsi="Verdana" w:cs="Verdana"/>
        </w:rPr>
      </w:pPr>
    </w:p>
    <w:p w14:paraId="42DBD06D" w14:textId="77777777" w:rsidR="008A5F47" w:rsidRDefault="008A5F47" w:rsidP="007869E6">
      <w:pPr>
        <w:spacing w:after="0" w:line="240" w:lineRule="auto"/>
        <w:rPr>
          <w:rFonts w:ascii="Verdana" w:eastAsia="Verdana" w:hAnsi="Verdana" w:cs="Verdana"/>
        </w:rPr>
      </w:pPr>
    </w:p>
    <w:p w14:paraId="421CCEBF" w14:textId="77777777" w:rsidR="008A5F47" w:rsidRDefault="008A5F47" w:rsidP="007869E6">
      <w:pPr>
        <w:spacing w:after="0" w:line="240" w:lineRule="auto"/>
        <w:rPr>
          <w:rFonts w:ascii="Verdana" w:eastAsia="Verdana" w:hAnsi="Verdana" w:cs="Verdana"/>
        </w:rPr>
      </w:pPr>
    </w:p>
    <w:p w14:paraId="7EF2DFB2" w14:textId="77777777" w:rsidR="008A5F47" w:rsidRDefault="008A5F47" w:rsidP="007869E6">
      <w:pPr>
        <w:spacing w:after="0" w:line="240" w:lineRule="auto"/>
        <w:rPr>
          <w:rFonts w:ascii="Verdana" w:eastAsia="Verdana" w:hAnsi="Verdana" w:cs="Verdana"/>
        </w:rPr>
      </w:pPr>
    </w:p>
    <w:p w14:paraId="39F1F81F" w14:textId="77777777" w:rsidR="008A5F47" w:rsidRDefault="008A5F47" w:rsidP="007869E6">
      <w:pPr>
        <w:spacing w:after="0" w:line="240" w:lineRule="auto"/>
        <w:rPr>
          <w:rFonts w:ascii="Verdana" w:eastAsia="Verdana" w:hAnsi="Verdana" w:cs="Verdana"/>
        </w:rPr>
      </w:pPr>
    </w:p>
    <w:p w14:paraId="32A1C5E8" w14:textId="77777777" w:rsidR="008A5F47" w:rsidRDefault="008A5F47" w:rsidP="007869E6">
      <w:pPr>
        <w:spacing w:after="0" w:line="240" w:lineRule="auto"/>
        <w:rPr>
          <w:rFonts w:ascii="Verdana" w:eastAsia="Verdana" w:hAnsi="Verdana" w:cs="Verdana"/>
        </w:rPr>
      </w:pPr>
    </w:p>
    <w:p w14:paraId="33F69016" w14:textId="77777777" w:rsidR="008A5F47" w:rsidRDefault="008A5F47" w:rsidP="007869E6">
      <w:pPr>
        <w:spacing w:after="0" w:line="240" w:lineRule="auto"/>
        <w:rPr>
          <w:rFonts w:ascii="Verdana" w:eastAsia="Verdana" w:hAnsi="Verdana" w:cs="Verdana"/>
        </w:rPr>
      </w:pPr>
    </w:p>
    <w:p w14:paraId="18950A65" w14:textId="77777777" w:rsidR="008A5F47" w:rsidRDefault="008A5F47" w:rsidP="007869E6">
      <w:pPr>
        <w:spacing w:after="0" w:line="240" w:lineRule="auto"/>
        <w:rPr>
          <w:rFonts w:ascii="Verdana" w:eastAsia="Verdana" w:hAnsi="Verdana" w:cs="Verdana"/>
        </w:rPr>
      </w:pPr>
    </w:p>
    <w:p w14:paraId="64183BBC" w14:textId="77777777" w:rsidR="008A5F47" w:rsidRDefault="008A5F47" w:rsidP="007869E6">
      <w:pPr>
        <w:spacing w:after="0" w:line="240" w:lineRule="auto"/>
        <w:rPr>
          <w:rFonts w:ascii="Verdana" w:eastAsia="Verdana" w:hAnsi="Verdana" w:cs="Verdana"/>
        </w:rPr>
      </w:pPr>
    </w:p>
    <w:p w14:paraId="13EA9DEB" w14:textId="77777777" w:rsidR="008A5F47" w:rsidRDefault="008A5F47" w:rsidP="007869E6">
      <w:pPr>
        <w:spacing w:after="0" w:line="240" w:lineRule="auto"/>
        <w:rPr>
          <w:rFonts w:ascii="Verdana" w:eastAsia="Verdana" w:hAnsi="Verdana" w:cs="Verdana"/>
        </w:rPr>
      </w:pPr>
    </w:p>
    <w:p w14:paraId="15C88DFD" w14:textId="77777777" w:rsidR="008A5F47" w:rsidRDefault="008A5F47" w:rsidP="007869E6">
      <w:pPr>
        <w:spacing w:after="0" w:line="240" w:lineRule="auto"/>
        <w:rPr>
          <w:rFonts w:ascii="Verdana" w:eastAsia="Verdana" w:hAnsi="Verdana" w:cs="Verdana"/>
        </w:rPr>
      </w:pPr>
    </w:p>
    <w:p w14:paraId="5DEC1F2B" w14:textId="77777777" w:rsidR="008A5F47" w:rsidRDefault="008A5F47" w:rsidP="007869E6">
      <w:pPr>
        <w:spacing w:after="0" w:line="240" w:lineRule="auto"/>
        <w:rPr>
          <w:rFonts w:ascii="Verdana" w:eastAsia="Verdana" w:hAnsi="Verdana" w:cs="Verdana"/>
        </w:rPr>
      </w:pPr>
    </w:p>
    <w:p w14:paraId="04166DAD" w14:textId="77777777" w:rsidR="008A5F47" w:rsidRDefault="008A5F47" w:rsidP="007869E6">
      <w:pPr>
        <w:spacing w:after="0" w:line="240" w:lineRule="auto"/>
        <w:rPr>
          <w:rFonts w:ascii="Verdana" w:eastAsia="Verdana" w:hAnsi="Verdana" w:cs="Verdana"/>
        </w:rPr>
      </w:pPr>
    </w:p>
    <w:p w14:paraId="4B3533FB" w14:textId="77777777" w:rsidR="008A5F47" w:rsidRDefault="008A5F47" w:rsidP="007869E6">
      <w:pPr>
        <w:spacing w:after="0" w:line="240" w:lineRule="auto"/>
        <w:rPr>
          <w:rFonts w:ascii="Verdana" w:eastAsia="Verdana" w:hAnsi="Verdana" w:cs="Verdana"/>
        </w:rPr>
      </w:pPr>
    </w:p>
    <w:p w14:paraId="585116AE" w14:textId="77777777" w:rsidR="008A5F47" w:rsidRDefault="008A5F47" w:rsidP="007869E6">
      <w:pPr>
        <w:spacing w:after="0" w:line="240" w:lineRule="auto"/>
        <w:rPr>
          <w:rFonts w:ascii="Verdana" w:eastAsia="Verdana" w:hAnsi="Verdana" w:cs="Verdana"/>
        </w:rPr>
      </w:pPr>
    </w:p>
    <w:p w14:paraId="61CFBAC9" w14:textId="77777777" w:rsidR="008A5F47" w:rsidRDefault="008A5F47" w:rsidP="007869E6">
      <w:pPr>
        <w:spacing w:after="0" w:line="240" w:lineRule="auto"/>
        <w:rPr>
          <w:rFonts w:ascii="Verdana" w:eastAsia="Verdana" w:hAnsi="Verdana" w:cs="Verdana"/>
        </w:rPr>
      </w:pPr>
    </w:p>
    <w:p w14:paraId="4A805A86" w14:textId="77777777" w:rsidR="008A5F47" w:rsidRDefault="008A5F47" w:rsidP="007869E6">
      <w:pPr>
        <w:spacing w:after="0" w:line="240" w:lineRule="auto"/>
        <w:rPr>
          <w:rFonts w:ascii="Verdana" w:eastAsia="Verdana" w:hAnsi="Verdana" w:cs="Verdana"/>
        </w:rPr>
      </w:pPr>
    </w:p>
    <w:p w14:paraId="3F8FEC67" w14:textId="77777777" w:rsidR="008A5F47" w:rsidRDefault="008A5F47" w:rsidP="007869E6">
      <w:pPr>
        <w:spacing w:after="0" w:line="240" w:lineRule="auto"/>
        <w:rPr>
          <w:rFonts w:ascii="Verdana" w:eastAsia="Verdana" w:hAnsi="Verdana" w:cs="Verdana"/>
        </w:rPr>
      </w:pPr>
    </w:p>
    <w:p w14:paraId="662A32BB" w14:textId="77777777" w:rsidR="008A5F47" w:rsidRDefault="008A5F47" w:rsidP="007869E6">
      <w:pPr>
        <w:spacing w:after="0" w:line="240" w:lineRule="auto"/>
        <w:rPr>
          <w:rFonts w:ascii="Verdana" w:eastAsia="Verdana" w:hAnsi="Verdana" w:cs="Verdana"/>
        </w:rPr>
      </w:pPr>
    </w:p>
    <w:p w14:paraId="38B8251E" w14:textId="77777777" w:rsidR="008A5F47" w:rsidRDefault="008A5F47" w:rsidP="007869E6">
      <w:pPr>
        <w:spacing w:after="0" w:line="240" w:lineRule="auto"/>
        <w:rPr>
          <w:rFonts w:ascii="Verdana" w:eastAsia="Verdana" w:hAnsi="Verdana" w:cs="Verdana"/>
        </w:rPr>
      </w:pPr>
    </w:p>
    <w:p w14:paraId="178C4A71" w14:textId="77777777" w:rsidR="008A5F47" w:rsidRDefault="008A5F47" w:rsidP="007869E6">
      <w:pPr>
        <w:spacing w:after="0" w:line="240" w:lineRule="auto"/>
        <w:rPr>
          <w:rFonts w:ascii="Verdana" w:eastAsia="Verdana" w:hAnsi="Verdana" w:cs="Verdana"/>
        </w:rPr>
      </w:pPr>
    </w:p>
    <w:p w14:paraId="2387A063" w14:textId="77777777" w:rsidR="008A5F47" w:rsidRDefault="008A5F47" w:rsidP="007869E6">
      <w:pPr>
        <w:spacing w:after="0" w:line="240" w:lineRule="auto"/>
        <w:rPr>
          <w:rFonts w:ascii="Verdana" w:eastAsia="Verdana" w:hAnsi="Verdana" w:cs="Verdana"/>
        </w:rPr>
      </w:pPr>
    </w:p>
    <w:p w14:paraId="71D49CED" w14:textId="77777777" w:rsidR="008A5F47" w:rsidRDefault="008A5F47" w:rsidP="007869E6">
      <w:pPr>
        <w:spacing w:after="0" w:line="240" w:lineRule="auto"/>
        <w:rPr>
          <w:rFonts w:ascii="Verdana" w:eastAsia="Verdana" w:hAnsi="Verdana" w:cs="Verdana"/>
        </w:rPr>
      </w:pPr>
    </w:p>
    <w:p w14:paraId="689920AB" w14:textId="77777777" w:rsidR="008A5F47" w:rsidRDefault="008A5F47" w:rsidP="007869E6">
      <w:pPr>
        <w:spacing w:after="0" w:line="240" w:lineRule="auto"/>
        <w:rPr>
          <w:rFonts w:ascii="Verdana" w:eastAsia="Verdana" w:hAnsi="Verdana" w:cs="Verdana"/>
        </w:rPr>
      </w:pPr>
    </w:p>
    <w:p w14:paraId="3E45FE26" w14:textId="77777777" w:rsidR="008A5F47" w:rsidRDefault="008A5F47" w:rsidP="007869E6">
      <w:pPr>
        <w:spacing w:after="0" w:line="240" w:lineRule="auto"/>
        <w:rPr>
          <w:rFonts w:ascii="Verdana" w:eastAsia="Verdana" w:hAnsi="Verdana" w:cs="Verdana"/>
        </w:rPr>
      </w:pPr>
    </w:p>
    <w:p w14:paraId="4232B8D1" w14:textId="77777777" w:rsidR="008A5F47" w:rsidRDefault="008A5F47" w:rsidP="007869E6">
      <w:pPr>
        <w:spacing w:after="0" w:line="240" w:lineRule="auto"/>
        <w:rPr>
          <w:rFonts w:ascii="Verdana" w:eastAsia="Verdana" w:hAnsi="Verdana" w:cs="Verdana"/>
        </w:rPr>
      </w:pPr>
    </w:p>
    <w:p w14:paraId="3ABE3956" w14:textId="77777777" w:rsidR="008A5F47" w:rsidRDefault="008A5F47" w:rsidP="007869E6">
      <w:pPr>
        <w:spacing w:after="0" w:line="240" w:lineRule="auto"/>
        <w:rPr>
          <w:rFonts w:ascii="Verdana" w:eastAsia="Verdana" w:hAnsi="Verdana" w:cs="Verdana"/>
        </w:rPr>
      </w:pPr>
    </w:p>
    <w:p w14:paraId="58F9230E" w14:textId="77777777" w:rsidR="008A5F47" w:rsidRDefault="008A5F47" w:rsidP="007869E6">
      <w:pPr>
        <w:spacing w:after="0" w:line="240" w:lineRule="auto"/>
        <w:rPr>
          <w:rFonts w:ascii="Verdana" w:eastAsia="Verdana" w:hAnsi="Verdana" w:cs="Verdana"/>
        </w:rPr>
      </w:pPr>
    </w:p>
    <w:p w14:paraId="0F231917" w14:textId="77777777" w:rsidR="008A5F47" w:rsidRDefault="008A5F47" w:rsidP="007869E6">
      <w:pPr>
        <w:spacing w:after="0" w:line="240" w:lineRule="auto"/>
        <w:rPr>
          <w:rFonts w:ascii="Verdana" w:eastAsia="Verdana" w:hAnsi="Verdana" w:cs="Verdana"/>
        </w:rPr>
      </w:pPr>
    </w:p>
    <w:p w14:paraId="4BF2C7DD" w14:textId="77777777" w:rsidR="008A5F47" w:rsidRDefault="008A5F47" w:rsidP="007869E6">
      <w:pPr>
        <w:spacing w:after="0" w:line="240" w:lineRule="auto"/>
        <w:rPr>
          <w:rFonts w:ascii="Verdana" w:eastAsia="Verdana" w:hAnsi="Verdana" w:cs="Verdana"/>
        </w:rPr>
      </w:pPr>
    </w:p>
    <w:p w14:paraId="27A4B733" w14:textId="77777777" w:rsidR="008A5F47" w:rsidRDefault="008A5F47" w:rsidP="007869E6">
      <w:pPr>
        <w:spacing w:after="0" w:line="240" w:lineRule="auto"/>
        <w:rPr>
          <w:rFonts w:ascii="Verdana" w:eastAsia="Verdana" w:hAnsi="Verdana" w:cs="Verdana"/>
        </w:rPr>
      </w:pPr>
    </w:p>
    <w:p w14:paraId="3FA408D9" w14:textId="77777777" w:rsidR="008A5F47" w:rsidRDefault="008A5F47" w:rsidP="007869E6">
      <w:pPr>
        <w:spacing w:after="0" w:line="240" w:lineRule="auto"/>
        <w:rPr>
          <w:rFonts w:ascii="Verdana" w:eastAsia="Verdana" w:hAnsi="Verdana" w:cs="Verdana"/>
        </w:rPr>
      </w:pPr>
    </w:p>
    <w:p w14:paraId="1832ABDB" w14:textId="77777777" w:rsidR="008A5F47" w:rsidRDefault="008A5F47" w:rsidP="007869E6">
      <w:pPr>
        <w:spacing w:after="0" w:line="240" w:lineRule="auto"/>
        <w:rPr>
          <w:rFonts w:ascii="Verdana" w:eastAsia="Verdana" w:hAnsi="Verdana" w:cs="Verdana"/>
        </w:rPr>
      </w:pPr>
    </w:p>
    <w:p w14:paraId="402B4773" w14:textId="77777777" w:rsidR="008A5F47" w:rsidRDefault="008A5F47" w:rsidP="007869E6">
      <w:pPr>
        <w:spacing w:after="0" w:line="240" w:lineRule="auto"/>
        <w:rPr>
          <w:rFonts w:ascii="Verdana" w:eastAsia="Verdana" w:hAnsi="Verdana" w:cs="Verdana"/>
        </w:rPr>
      </w:pPr>
    </w:p>
    <w:p w14:paraId="3AEA9034" w14:textId="113C8E53" w:rsidR="004F3424" w:rsidRDefault="0084476C" w:rsidP="007869E6">
      <w:pPr>
        <w:spacing w:after="0" w:line="240" w:lineRule="auto"/>
        <w:rPr>
          <w:rFonts w:ascii="Verdana" w:eastAsia="Verdana" w:hAnsi="Verdana" w:cs="Verdana"/>
        </w:rPr>
      </w:pPr>
      <w:r w:rsidRPr="30821638">
        <w:rPr>
          <w:rFonts w:ascii="Verdana" w:eastAsia="Verdana" w:hAnsi="Verdana" w:cs="Verdana"/>
        </w:rPr>
        <w:t xml:space="preserve">Bogotá D.C., </w:t>
      </w:r>
      <w:r w:rsidR="004F3424">
        <w:rPr>
          <w:rFonts w:ascii="Verdana" w:eastAsia="Verdana" w:hAnsi="Verdana" w:cs="Verdana"/>
        </w:rPr>
        <w:t xml:space="preserve">11 </w:t>
      </w:r>
      <w:proofErr w:type="gramStart"/>
      <w:r w:rsidR="004F3424">
        <w:rPr>
          <w:rFonts w:ascii="Verdana" w:eastAsia="Verdana" w:hAnsi="Verdana" w:cs="Verdana"/>
        </w:rPr>
        <w:t>Agosto</w:t>
      </w:r>
      <w:proofErr w:type="gramEnd"/>
      <w:r w:rsidR="004F3424">
        <w:rPr>
          <w:rFonts w:ascii="Verdana" w:eastAsia="Verdana" w:hAnsi="Verdana" w:cs="Verdana"/>
        </w:rPr>
        <w:t xml:space="preserve"> 2026</w:t>
      </w:r>
    </w:p>
    <w:p w14:paraId="70BD123A" w14:textId="59449BA0" w:rsidR="0084476C" w:rsidRPr="009F5E7D" w:rsidRDefault="004F3424" w:rsidP="004F3424">
      <w:pPr>
        <w:spacing w:after="0" w:line="240" w:lineRule="auto"/>
        <w:jc w:val="right"/>
      </w:pPr>
      <w:r w:rsidRPr="004F3424">
        <w:drawing>
          <wp:inline distT="0" distB="0" distL="0" distR="0" wp14:anchorId="3813353F" wp14:editId="37B74B16">
            <wp:extent cx="1876508" cy="502372"/>
            <wp:effectExtent l="0" t="0" r="0" b="0"/>
            <wp:docPr id="6771455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45513" name=""/>
                    <pic:cNvPicPr/>
                  </pic:nvPicPr>
                  <pic:blipFill>
                    <a:blip r:embed="rId10"/>
                    <a:stretch>
                      <a:fillRect/>
                    </a:stretch>
                  </pic:blipFill>
                  <pic:spPr>
                    <a:xfrm>
                      <a:off x="0" y="0"/>
                      <a:ext cx="1895737" cy="507520"/>
                    </a:xfrm>
                    <a:prstGeom prst="rect">
                      <a:avLst/>
                    </a:prstGeom>
                  </pic:spPr>
                </pic:pic>
              </a:graphicData>
            </a:graphic>
          </wp:inline>
        </w:drawing>
      </w:r>
      <w:r w:rsidR="0084476C">
        <w:tab/>
      </w:r>
      <w:r w:rsidR="0084476C">
        <w:br/>
      </w:r>
      <w:bookmarkEnd w:id="0"/>
      <w:r w:rsidR="0084476C">
        <w:tab/>
      </w:r>
    </w:p>
    <w:p w14:paraId="20713B6D" w14:textId="77777777" w:rsidR="0084476C" w:rsidRDefault="0084476C" w:rsidP="0084476C">
      <w:pPr>
        <w:spacing w:after="0" w:line="240" w:lineRule="auto"/>
        <w:jc w:val="both"/>
        <w:rPr>
          <w:rFonts w:ascii="Verdana" w:eastAsia="Calibri" w:hAnsi="Verdana" w:cs="Arial"/>
          <w:b/>
          <w:bCs/>
          <w:lang w:eastAsia="es-ES"/>
        </w:rPr>
      </w:pPr>
      <w:bookmarkStart w:id="1" w:name="_Hlk214366482"/>
      <w:r>
        <w:rPr>
          <w:rFonts w:ascii="Verdana" w:eastAsia="Calibri" w:hAnsi="Verdana" w:cs="Arial"/>
          <w:b/>
          <w:bCs/>
          <w:lang w:eastAsia="es-ES"/>
        </w:rPr>
        <w:t xml:space="preserve">Señora </w:t>
      </w:r>
    </w:p>
    <w:p w14:paraId="33017DEB" w14:textId="77777777" w:rsidR="0084476C" w:rsidRPr="0022356D" w:rsidRDefault="0084476C" w:rsidP="0084476C">
      <w:pPr>
        <w:spacing w:after="0" w:line="240" w:lineRule="auto"/>
        <w:jc w:val="both"/>
        <w:rPr>
          <w:rFonts w:ascii="Verdana" w:eastAsia="Calibri" w:hAnsi="Verdana" w:cs="Arial"/>
          <w:b/>
          <w:bCs/>
          <w:lang w:val="it-CH" w:eastAsia="es-ES"/>
        </w:rPr>
      </w:pPr>
      <w:r w:rsidRPr="0022356D">
        <w:rPr>
          <w:rFonts w:ascii="Verdana" w:eastAsia="Calibri" w:hAnsi="Verdana" w:cs="Arial"/>
          <w:b/>
          <w:bCs/>
          <w:lang w:val="it-CH" w:eastAsia="es-ES"/>
        </w:rPr>
        <w:t>Laura Stephanie Peñuela Castro</w:t>
      </w:r>
    </w:p>
    <w:p w14:paraId="5B48787C" w14:textId="77777777" w:rsidR="0084476C" w:rsidRPr="0022356D" w:rsidRDefault="0084476C" w:rsidP="0084476C">
      <w:pPr>
        <w:spacing w:after="0" w:line="240" w:lineRule="auto"/>
        <w:jc w:val="both"/>
        <w:rPr>
          <w:rFonts w:ascii="Verdana" w:hAnsi="Verdana"/>
          <w:b/>
          <w:bCs/>
          <w:lang w:val="it-CH"/>
        </w:rPr>
      </w:pPr>
      <w:hyperlink r:id="rId11" w:history="1">
        <w:r w:rsidRPr="0022356D">
          <w:rPr>
            <w:rStyle w:val="Hipervnculo"/>
            <w:rFonts w:ascii="Verdana" w:hAnsi="Verdana"/>
            <w:b/>
            <w:bCs/>
            <w:lang w:val="it-CH"/>
          </w:rPr>
          <w:t>laura.penuela1081@gmail.com</w:t>
        </w:r>
      </w:hyperlink>
    </w:p>
    <w:p w14:paraId="06431E44" w14:textId="77777777" w:rsidR="0084476C" w:rsidRDefault="0084476C" w:rsidP="0084476C">
      <w:pPr>
        <w:spacing w:after="0" w:line="240" w:lineRule="auto"/>
        <w:jc w:val="both"/>
        <w:rPr>
          <w:rFonts w:ascii="Verdana" w:hAnsi="Verdana"/>
        </w:rPr>
      </w:pPr>
      <w:r>
        <w:rPr>
          <w:rFonts w:ascii="Verdana" w:hAnsi="Verdana"/>
        </w:rPr>
        <w:t>Ciudad</w:t>
      </w:r>
    </w:p>
    <w:p w14:paraId="57ECDBC9" w14:textId="77777777" w:rsidR="0084476C" w:rsidRPr="007F2AEC" w:rsidRDefault="0084476C" w:rsidP="0084476C">
      <w:pPr>
        <w:spacing w:after="0" w:line="240" w:lineRule="auto"/>
        <w:jc w:val="both"/>
        <w:rPr>
          <w:rFonts w:ascii="Verdana" w:hAnsi="Verdana"/>
        </w:rPr>
      </w:pPr>
    </w:p>
    <w:p w14:paraId="34B899FE" w14:textId="77777777" w:rsidR="0084476C" w:rsidRPr="007F2AEC" w:rsidRDefault="0084476C" w:rsidP="0084476C">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84476C" w:rsidRPr="005644FE" w14:paraId="3730549B" w14:textId="77777777" w:rsidTr="006F12F3">
        <w:trPr>
          <w:trHeight w:val="162"/>
        </w:trPr>
        <w:tc>
          <w:tcPr>
            <w:tcW w:w="3119" w:type="dxa"/>
          </w:tcPr>
          <w:p w14:paraId="28F8754C" w14:textId="77777777" w:rsidR="0084476C" w:rsidRPr="007F2AEC" w:rsidRDefault="0084476C" w:rsidP="006F12F3">
            <w:pPr>
              <w:jc w:val="both"/>
              <w:rPr>
                <w:rFonts w:ascii="Verdana" w:eastAsia="Calibri" w:hAnsi="Verdana" w:cs="Arial"/>
                <w:b/>
                <w:bCs/>
                <w:color w:val="7030A0"/>
                <w:lang w:eastAsia="es-ES_tradnl"/>
              </w:rPr>
            </w:pPr>
          </w:p>
        </w:tc>
        <w:tc>
          <w:tcPr>
            <w:tcW w:w="5670" w:type="dxa"/>
          </w:tcPr>
          <w:p w14:paraId="5EB8BE26" w14:textId="77777777" w:rsidR="0084476C" w:rsidRPr="005644FE" w:rsidRDefault="0084476C" w:rsidP="006F12F3">
            <w:pPr>
              <w:jc w:val="both"/>
              <w:rPr>
                <w:rFonts w:ascii="Verdana" w:eastAsia="Calibri" w:hAnsi="Verdana" w:cs="Arial"/>
                <w:b/>
                <w:bCs/>
                <w:lang w:eastAsia="es-ES"/>
              </w:rPr>
            </w:pPr>
            <w:r w:rsidRPr="005644FE">
              <w:rPr>
                <w:rFonts w:ascii="Verdana" w:eastAsia="Calibri" w:hAnsi="Verdana" w:cs="Arial"/>
                <w:b/>
                <w:bCs/>
                <w:lang w:eastAsia="es-ES"/>
              </w:rPr>
              <w:t>Concepto C</w:t>
            </w:r>
            <w:r w:rsidRPr="00D260F1">
              <w:rPr>
                <w:rFonts w:ascii="Verdana" w:eastAsia="Calibri" w:hAnsi="Verdana" w:cs="Arial"/>
                <w:b/>
                <w:bCs/>
                <w:lang w:eastAsia="es-ES"/>
              </w:rPr>
              <w:t>-</w:t>
            </w:r>
            <w:r>
              <w:rPr>
                <w:rFonts w:ascii="Verdana" w:eastAsia="Calibri" w:hAnsi="Verdana" w:cs="Arial"/>
                <w:b/>
                <w:bCs/>
                <w:lang w:eastAsia="es-ES"/>
              </w:rPr>
              <w:t>1039 de 2026</w:t>
            </w:r>
          </w:p>
          <w:p w14:paraId="706393F7" w14:textId="77777777" w:rsidR="0084476C" w:rsidRPr="005644FE" w:rsidRDefault="0084476C" w:rsidP="006F12F3">
            <w:pPr>
              <w:jc w:val="both"/>
              <w:rPr>
                <w:rFonts w:ascii="Verdana" w:eastAsia="Calibri" w:hAnsi="Verdana" w:cs="Arial"/>
                <w:b/>
                <w:bCs/>
                <w:color w:val="7030A0"/>
                <w:lang w:eastAsia="es-ES"/>
              </w:rPr>
            </w:pPr>
          </w:p>
        </w:tc>
      </w:tr>
      <w:tr w:rsidR="0084476C" w:rsidRPr="005644FE" w14:paraId="33536123" w14:textId="77777777" w:rsidTr="006F12F3">
        <w:trPr>
          <w:trHeight w:val="884"/>
        </w:trPr>
        <w:tc>
          <w:tcPr>
            <w:tcW w:w="3119" w:type="dxa"/>
          </w:tcPr>
          <w:p w14:paraId="542A8B1C" w14:textId="77777777" w:rsidR="0084476C" w:rsidRPr="005644FE" w:rsidRDefault="0084476C" w:rsidP="006F12F3">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670" w:type="dxa"/>
          </w:tcPr>
          <w:p w14:paraId="7F2791FA" w14:textId="77777777" w:rsidR="0084476C" w:rsidRPr="00070EC3" w:rsidRDefault="0084476C" w:rsidP="007869E6">
            <w:pPr>
              <w:jc w:val="both"/>
              <w:rPr>
                <w:rFonts w:ascii="Verdana" w:eastAsia="Aptos" w:hAnsi="Verdana" w:cs="Times New Roman"/>
              </w:rPr>
            </w:pPr>
            <w:r w:rsidRPr="00070EC3">
              <w:rPr>
                <w:rFonts w:ascii="Verdana" w:eastAsia="Aptos" w:hAnsi="Verdana" w:cs="Times New Roman"/>
              </w:rPr>
              <w:t>CONTRATO DE PRESTACIÓN DE SERVICIOS – Concepto / CONTRATO DE PRESTACIÓN DE SERVICIOS – Características / ESTABILIDAD OCUPACIONAL REFORZADA DE MUJER EMBARAZADA – Concepto / ESTABILIDAD OCUPACIONAL REFORZADA DE MUJER EMBARAZADA – Unificación jurisprudencial / ESTABILIDAD OCUPACIONAL REFORZADA DE MUJER EMBARAZADA – Procedencia – Contratos de prestación de servicios / ESTABILIDAD OCUPACIONAL REFORZADA – Periodo de lactancia – Contratos de prestación de servicios / SUSPENSIÓN DEL CONTRATO – Estado de embarazo</w:t>
            </w:r>
          </w:p>
          <w:p w14:paraId="2C1817BC" w14:textId="77777777" w:rsidR="0084476C" w:rsidRPr="00205703" w:rsidRDefault="0084476C" w:rsidP="007869E6">
            <w:pPr>
              <w:jc w:val="both"/>
              <w:rPr>
                <w:rFonts w:ascii="Verdana" w:hAnsi="Verdana" w:cs="Arial"/>
                <w:bCs/>
                <w:lang w:eastAsia="es-ES" w:bidi="es-ES"/>
              </w:rPr>
            </w:pPr>
          </w:p>
        </w:tc>
      </w:tr>
      <w:tr w:rsidR="0084476C" w:rsidRPr="005644FE" w14:paraId="2E8A7949" w14:textId="77777777" w:rsidTr="006F12F3">
        <w:tc>
          <w:tcPr>
            <w:tcW w:w="3119" w:type="dxa"/>
          </w:tcPr>
          <w:p w14:paraId="20C24D64" w14:textId="77777777" w:rsidR="0084476C" w:rsidRPr="005644FE" w:rsidRDefault="0084476C" w:rsidP="006F12F3">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670" w:type="dxa"/>
          </w:tcPr>
          <w:p w14:paraId="591FA85A" w14:textId="77777777" w:rsidR="0084476C" w:rsidRPr="00F04657" w:rsidRDefault="0084476C" w:rsidP="007869E6">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22356D">
              <w:rPr>
                <w:rFonts w:ascii="Verdana" w:eastAsia="Calibri" w:hAnsi="Verdana" w:cs="Arial"/>
                <w:lang w:eastAsia="es-ES"/>
              </w:rPr>
              <w:t>1_2026_06_30_008672</w:t>
            </w:r>
          </w:p>
        </w:tc>
      </w:tr>
    </w:tbl>
    <w:p w14:paraId="115BB146" w14:textId="77777777" w:rsidR="0084476C" w:rsidRPr="005644FE" w:rsidRDefault="0084476C" w:rsidP="0084476C">
      <w:pPr>
        <w:spacing w:after="0" w:line="276" w:lineRule="auto"/>
        <w:jc w:val="both"/>
        <w:rPr>
          <w:rFonts w:ascii="Verdana" w:eastAsia="Calibri" w:hAnsi="Verdana" w:cs="Arial"/>
          <w:lang w:eastAsia="es-ES_tradnl"/>
        </w:rPr>
      </w:pPr>
      <w:r>
        <w:rPr>
          <w:rFonts w:ascii="Verdana" w:eastAsia="Calibri" w:hAnsi="Verdana" w:cs="Arial"/>
          <w:lang w:eastAsia="es-ES_tradnl"/>
        </w:rPr>
        <w:t xml:space="preserve"> </w:t>
      </w:r>
    </w:p>
    <w:p w14:paraId="05AC9669" w14:textId="77777777" w:rsidR="0084476C" w:rsidRPr="005644FE" w:rsidRDefault="0084476C" w:rsidP="0084476C">
      <w:pPr>
        <w:spacing w:after="0" w:line="276" w:lineRule="auto"/>
        <w:jc w:val="both"/>
        <w:rPr>
          <w:rFonts w:ascii="Verdana" w:eastAsia="Calibri" w:hAnsi="Verdana" w:cs="Arial"/>
          <w:lang w:eastAsia="es-ES"/>
        </w:rPr>
      </w:pPr>
      <w:r>
        <w:rPr>
          <w:rFonts w:ascii="Verdana" w:eastAsia="Calibri" w:hAnsi="Verdana" w:cs="Arial"/>
          <w:lang w:eastAsia="es-ES"/>
        </w:rPr>
        <w:t xml:space="preserve">Estimada señora </w:t>
      </w:r>
      <w:r w:rsidRPr="0022356D">
        <w:rPr>
          <w:rFonts w:ascii="Verdana" w:eastAsia="Calibri" w:hAnsi="Verdana" w:cs="Arial"/>
          <w:lang w:eastAsia="es-ES"/>
        </w:rPr>
        <w:t>Laura Stephanie</w:t>
      </w:r>
      <w:r>
        <w:rPr>
          <w:rFonts w:ascii="Verdana" w:eastAsia="Calibri" w:hAnsi="Verdana" w:cs="Arial"/>
          <w:lang w:eastAsia="es-ES"/>
        </w:rPr>
        <w:t>:</w:t>
      </w:r>
    </w:p>
    <w:p w14:paraId="4912F4AA" w14:textId="77777777" w:rsidR="0084476C" w:rsidRPr="00E02524" w:rsidRDefault="0084476C" w:rsidP="007869E6">
      <w:pPr>
        <w:spacing w:after="0" w:line="276" w:lineRule="auto"/>
        <w:jc w:val="both"/>
        <w:rPr>
          <w:rFonts w:ascii="Verdana" w:hAnsi="Verdana"/>
          <w:lang w:val="es-MX"/>
        </w:rPr>
      </w:pPr>
    </w:p>
    <w:p w14:paraId="7740F246" w14:textId="4084FA97" w:rsidR="0084476C" w:rsidRPr="0084712D" w:rsidRDefault="0084476C" w:rsidP="003D193A">
      <w:pPr>
        <w:spacing w:after="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w:t>
      </w:r>
      <w:r>
        <w:rPr>
          <w:rFonts w:ascii="Verdana" w:hAnsi="Verdana"/>
        </w:rPr>
        <w:t xml:space="preserve">su </w:t>
      </w:r>
      <w:r w:rsidRPr="0084712D">
        <w:rPr>
          <w:rFonts w:ascii="Verdana" w:hAnsi="Verdana"/>
        </w:rPr>
        <w:t>solicitud de consulta</w:t>
      </w:r>
      <w:r>
        <w:rPr>
          <w:rFonts w:ascii="Verdana" w:hAnsi="Verdana"/>
        </w:rPr>
        <w:t xml:space="preserve"> de 30 de junio de 2026 </w:t>
      </w:r>
      <w:r w:rsidRPr="0084712D">
        <w:rPr>
          <w:rFonts w:ascii="Verdana" w:hAnsi="Verdana"/>
        </w:rPr>
        <w:t>en la cual manifiesta lo siguiente:</w:t>
      </w:r>
    </w:p>
    <w:p w14:paraId="488E5948" w14:textId="77777777" w:rsidR="003D193A" w:rsidRPr="0084712D" w:rsidRDefault="003D193A" w:rsidP="007869E6">
      <w:pPr>
        <w:spacing w:after="0" w:line="276" w:lineRule="auto"/>
        <w:jc w:val="both"/>
        <w:rPr>
          <w:rFonts w:ascii="Verdana" w:hAnsi="Verdana"/>
        </w:rPr>
      </w:pPr>
    </w:p>
    <w:p w14:paraId="119B6370" w14:textId="77777777" w:rsidR="0084476C" w:rsidRDefault="0084476C" w:rsidP="007869E6">
      <w:pPr>
        <w:spacing w:after="0" w:line="276" w:lineRule="auto"/>
        <w:jc w:val="both"/>
        <w:rPr>
          <w:rFonts w:ascii="Verdana" w:hAnsi="Verdana"/>
        </w:rPr>
      </w:pPr>
      <w:r w:rsidRPr="00E02524">
        <w:rPr>
          <w:rFonts w:ascii="Verdana" w:hAnsi="Verdana"/>
        </w:rPr>
        <w:t xml:space="preserve">PETICIÓN REALIZADA </w:t>
      </w:r>
    </w:p>
    <w:p w14:paraId="6D31AC43" w14:textId="77777777" w:rsidR="003D193A" w:rsidRDefault="003D193A" w:rsidP="0084476C">
      <w:pPr>
        <w:spacing w:after="0" w:line="240" w:lineRule="auto"/>
        <w:ind w:left="851" w:right="758"/>
        <w:jc w:val="both"/>
        <w:rPr>
          <w:rFonts w:ascii="Verdana" w:hAnsi="Verdana"/>
          <w:sz w:val="20"/>
          <w:szCs w:val="20"/>
        </w:rPr>
      </w:pPr>
    </w:p>
    <w:p w14:paraId="11428AD8" w14:textId="1804049D" w:rsidR="0084476C" w:rsidRDefault="0084476C" w:rsidP="007869E6">
      <w:pPr>
        <w:spacing w:after="0" w:line="240" w:lineRule="auto"/>
        <w:ind w:left="709" w:right="709"/>
        <w:jc w:val="both"/>
        <w:rPr>
          <w:rFonts w:ascii="Verdana" w:hAnsi="Verdana"/>
          <w:sz w:val="20"/>
          <w:szCs w:val="20"/>
        </w:rPr>
      </w:pPr>
      <w:r w:rsidRPr="0022356D">
        <w:rPr>
          <w:rFonts w:ascii="Verdana" w:hAnsi="Verdana"/>
          <w:sz w:val="20"/>
          <w:szCs w:val="20"/>
        </w:rPr>
        <w:t xml:space="preserve">1. ¿Resulta jurídicamente procedente suspender un contrato de prestación de servicios suscrito con una contratista en estado de embarazo, con fundamento en la proximidad de la licencia de maternidad o el estado de embarazo de alto riesgo? </w:t>
      </w:r>
    </w:p>
    <w:p w14:paraId="40D53B10" w14:textId="77777777" w:rsidR="0084476C" w:rsidRDefault="0084476C" w:rsidP="007869E6">
      <w:pPr>
        <w:spacing w:after="0" w:line="240" w:lineRule="auto"/>
        <w:ind w:left="709" w:right="709"/>
        <w:jc w:val="both"/>
        <w:rPr>
          <w:rFonts w:ascii="Verdana" w:hAnsi="Verdana"/>
          <w:sz w:val="20"/>
          <w:szCs w:val="20"/>
        </w:rPr>
      </w:pPr>
    </w:p>
    <w:p w14:paraId="4F47B04D" w14:textId="77777777" w:rsidR="0084476C" w:rsidRDefault="0084476C" w:rsidP="007869E6">
      <w:pPr>
        <w:spacing w:after="0" w:line="240" w:lineRule="auto"/>
        <w:ind w:left="709" w:right="709"/>
        <w:jc w:val="both"/>
        <w:rPr>
          <w:rFonts w:ascii="Verdana" w:hAnsi="Verdana"/>
          <w:sz w:val="20"/>
          <w:szCs w:val="20"/>
        </w:rPr>
      </w:pPr>
      <w:r w:rsidRPr="0022356D">
        <w:rPr>
          <w:rFonts w:ascii="Verdana" w:hAnsi="Verdana"/>
          <w:sz w:val="20"/>
          <w:szCs w:val="20"/>
        </w:rPr>
        <w:t xml:space="preserve">2. ¿La suspensión contractual derivada del estado de embarazo o licencia de maternidad debe obedecer necesariamente al mutuo acuerdo de las partes o puede ser impuesta unilateralmente por la supervisión contractual? </w:t>
      </w:r>
    </w:p>
    <w:p w14:paraId="0C434B80" w14:textId="77777777" w:rsidR="0084476C" w:rsidRDefault="0084476C" w:rsidP="007869E6">
      <w:pPr>
        <w:spacing w:after="0" w:line="240" w:lineRule="auto"/>
        <w:ind w:left="709" w:right="709"/>
        <w:jc w:val="both"/>
        <w:rPr>
          <w:rFonts w:ascii="Verdana" w:hAnsi="Verdana"/>
          <w:sz w:val="20"/>
          <w:szCs w:val="20"/>
        </w:rPr>
      </w:pPr>
    </w:p>
    <w:p w14:paraId="0CB41298" w14:textId="03D38DC5" w:rsidR="0084476C" w:rsidRDefault="0084476C" w:rsidP="003D193A">
      <w:pPr>
        <w:spacing w:after="0" w:line="240" w:lineRule="auto"/>
        <w:ind w:left="709" w:right="709"/>
        <w:jc w:val="both"/>
        <w:rPr>
          <w:rFonts w:ascii="Verdana" w:hAnsi="Verdana"/>
          <w:sz w:val="20"/>
          <w:szCs w:val="20"/>
        </w:rPr>
      </w:pPr>
      <w:r w:rsidRPr="0022356D">
        <w:rPr>
          <w:rFonts w:ascii="Verdana" w:hAnsi="Verdana"/>
          <w:sz w:val="20"/>
          <w:szCs w:val="20"/>
        </w:rPr>
        <w:t xml:space="preserve">3. ¿La imposición de una suspensión contractual en estas circunstancias podría afectar las garantías constitucionales de protección reforzada a la maternidad, estabilidad ocupacional reforzada y mínimo vital de la contratista y su núcleo familiar? </w:t>
      </w:r>
    </w:p>
    <w:p w14:paraId="65F27809" w14:textId="77777777" w:rsidR="003D193A" w:rsidRDefault="003D193A" w:rsidP="007869E6">
      <w:pPr>
        <w:spacing w:after="0" w:line="240" w:lineRule="auto"/>
        <w:ind w:left="709" w:right="709"/>
        <w:jc w:val="both"/>
        <w:rPr>
          <w:rFonts w:ascii="Verdana" w:hAnsi="Verdana"/>
          <w:sz w:val="20"/>
          <w:szCs w:val="20"/>
        </w:rPr>
      </w:pPr>
    </w:p>
    <w:p w14:paraId="733A0152" w14:textId="77777777" w:rsidR="0084476C" w:rsidRDefault="0084476C" w:rsidP="007869E6">
      <w:pPr>
        <w:spacing w:after="0" w:line="240" w:lineRule="auto"/>
        <w:ind w:left="709" w:right="709"/>
        <w:jc w:val="both"/>
        <w:rPr>
          <w:rFonts w:ascii="Verdana" w:hAnsi="Verdana"/>
          <w:sz w:val="20"/>
          <w:szCs w:val="20"/>
        </w:rPr>
      </w:pPr>
      <w:r w:rsidRPr="0022356D">
        <w:rPr>
          <w:rFonts w:ascii="Verdana" w:hAnsi="Verdana"/>
          <w:sz w:val="20"/>
          <w:szCs w:val="20"/>
        </w:rPr>
        <w:t xml:space="preserve">4. ¿En aquellos eventos en los cuales el objeto contractual permita el desarrollo remoto o virtual de las actividades y no exista incumplimiento contractual, resulta jurídicamente viable exigir presencialidad física a una contratista con diagnóstico médico de embarazo de alto riesgo? </w:t>
      </w:r>
    </w:p>
    <w:p w14:paraId="13519829" w14:textId="77777777" w:rsidR="0084476C" w:rsidRDefault="0084476C" w:rsidP="007869E6">
      <w:pPr>
        <w:spacing w:after="0" w:line="240" w:lineRule="auto"/>
        <w:ind w:left="709" w:right="709"/>
        <w:jc w:val="both"/>
        <w:rPr>
          <w:rFonts w:ascii="Verdana" w:hAnsi="Verdana"/>
          <w:sz w:val="20"/>
          <w:szCs w:val="20"/>
        </w:rPr>
      </w:pPr>
    </w:p>
    <w:p w14:paraId="3C4709A1" w14:textId="77777777" w:rsidR="0084476C" w:rsidRDefault="0084476C" w:rsidP="007869E6">
      <w:pPr>
        <w:spacing w:after="0" w:line="240" w:lineRule="auto"/>
        <w:ind w:left="709" w:right="709"/>
        <w:jc w:val="both"/>
        <w:rPr>
          <w:rFonts w:ascii="Verdana" w:hAnsi="Verdana"/>
          <w:sz w:val="20"/>
          <w:szCs w:val="20"/>
        </w:rPr>
      </w:pPr>
      <w:r w:rsidRPr="0022356D">
        <w:rPr>
          <w:rFonts w:ascii="Verdana" w:hAnsi="Verdana"/>
          <w:sz w:val="20"/>
          <w:szCs w:val="20"/>
        </w:rPr>
        <w:t xml:space="preserve">5. ¿Qué alcance tienen las garantías constitucionales y jurisprudenciales relacionadas con el fuero de maternidad respecto de las contratistas vinculadas mediante contratos de prestación de servicios en entidades públicas? </w:t>
      </w:r>
    </w:p>
    <w:p w14:paraId="0C4929D4" w14:textId="77777777" w:rsidR="0084476C" w:rsidRDefault="0084476C" w:rsidP="007869E6">
      <w:pPr>
        <w:spacing w:after="0" w:line="240" w:lineRule="auto"/>
        <w:ind w:left="709" w:right="709"/>
        <w:jc w:val="both"/>
        <w:rPr>
          <w:rFonts w:ascii="Verdana" w:hAnsi="Verdana"/>
          <w:sz w:val="20"/>
          <w:szCs w:val="20"/>
        </w:rPr>
      </w:pPr>
    </w:p>
    <w:p w14:paraId="6DD6504D" w14:textId="77777777" w:rsidR="0084476C" w:rsidRPr="0022356D" w:rsidRDefault="0084476C" w:rsidP="007869E6">
      <w:pPr>
        <w:spacing w:after="0" w:line="240" w:lineRule="auto"/>
        <w:ind w:left="709" w:right="709"/>
        <w:jc w:val="both"/>
        <w:rPr>
          <w:rFonts w:ascii="Verdana" w:hAnsi="Verdana"/>
          <w:sz w:val="20"/>
          <w:szCs w:val="20"/>
        </w:rPr>
      </w:pPr>
      <w:r w:rsidRPr="0022356D">
        <w:rPr>
          <w:rFonts w:ascii="Verdana" w:hAnsi="Verdana"/>
          <w:sz w:val="20"/>
          <w:szCs w:val="20"/>
        </w:rPr>
        <w:t>6. ¿Qué mecanismos jurídicos y administrativos deben adoptar las entidades públicas para garantizar la protección de los derechos fundamentales de las mujeres gestantes contratistas, particularmente frente al acceso al ingreso económico y la continuidad de sus honorarios durante la etapa de maternidad? (…)”.</w:t>
      </w:r>
    </w:p>
    <w:p w14:paraId="51D39335" w14:textId="77777777" w:rsidR="0084476C" w:rsidRPr="00647D77" w:rsidRDefault="0084476C" w:rsidP="0084476C">
      <w:pPr>
        <w:spacing w:after="0" w:line="240" w:lineRule="auto"/>
        <w:ind w:right="709"/>
        <w:jc w:val="both"/>
        <w:rPr>
          <w:rFonts w:ascii="Verdana" w:hAnsi="Verdana"/>
        </w:rPr>
      </w:pPr>
    </w:p>
    <w:p w14:paraId="3CC32E32" w14:textId="77777777" w:rsidR="0084476C" w:rsidRPr="00990488" w:rsidRDefault="0084476C" w:rsidP="0084476C">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w:t>
      </w:r>
      <w:r w:rsidRPr="00990488">
        <w:rPr>
          <w:rFonts w:ascii="Verdana" w:eastAsia="Calibri" w:hAnsi="Verdana" w:cs="Arial"/>
          <w:color w:val="000000"/>
          <w:lang w:eastAsia="es-ES"/>
        </w:rPr>
        <w:t xml:space="preserve">pública. Esta competencia de interpretación de normas generales, por definición, no puede extenderse a la resolución de controversias, ni a brindar asesorías sobre casos puntuales. </w:t>
      </w:r>
    </w:p>
    <w:p w14:paraId="26D01B1E" w14:textId="581D5C61" w:rsidR="0084476C" w:rsidRPr="00990488" w:rsidRDefault="0084476C" w:rsidP="003D193A">
      <w:pPr>
        <w:spacing w:after="0" w:line="276" w:lineRule="auto"/>
        <w:ind w:firstLine="709"/>
        <w:jc w:val="both"/>
        <w:rPr>
          <w:rFonts w:ascii="Verdana" w:eastAsia="Calibri" w:hAnsi="Verdana" w:cs="Arial"/>
          <w:lang w:eastAsia="es-ES"/>
        </w:rPr>
      </w:pPr>
      <w:r w:rsidRPr="00990488">
        <w:rPr>
          <w:rFonts w:ascii="Verdana" w:eastAsia="Calibri" w:hAnsi="Verdana" w:cs="Arial"/>
          <w:color w:val="000000"/>
          <w:lang w:eastAsia="es-ES"/>
        </w:rPr>
        <w:t>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a los problemas jurídicos de su consulta.</w:t>
      </w:r>
      <w:r w:rsidRPr="00990488">
        <w:rPr>
          <w:rFonts w:ascii="Verdana" w:eastAsia="Calibri" w:hAnsi="Verdana" w:cs="Arial"/>
          <w:lang w:eastAsia="es-ES"/>
        </w:rPr>
        <w:t xml:space="preserve"> </w:t>
      </w:r>
    </w:p>
    <w:p w14:paraId="796DC961" w14:textId="77777777" w:rsidR="003D193A" w:rsidRPr="00990488" w:rsidRDefault="003D193A" w:rsidP="007869E6">
      <w:pPr>
        <w:spacing w:after="0" w:line="276" w:lineRule="auto"/>
        <w:ind w:firstLine="709"/>
        <w:jc w:val="both"/>
        <w:rPr>
          <w:rFonts w:ascii="Verdana" w:eastAsia="Calibri" w:hAnsi="Verdana" w:cs="Arial"/>
          <w:lang w:eastAsia="es-ES"/>
        </w:rPr>
      </w:pPr>
    </w:p>
    <w:p w14:paraId="18AD1768" w14:textId="77777777" w:rsidR="0084476C" w:rsidRPr="00990488" w:rsidRDefault="0084476C" w:rsidP="0084476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990488">
        <w:rPr>
          <w:rFonts w:ascii="Verdana" w:eastAsia="Century Gothic" w:hAnsi="Verdana" w:cs="Century Gothic"/>
          <w:b/>
          <w:bCs/>
        </w:rPr>
        <w:t>Problema planteado:</w:t>
      </w:r>
    </w:p>
    <w:p w14:paraId="4367AB86" w14:textId="77777777" w:rsidR="0084476C" w:rsidRPr="00B207E1" w:rsidRDefault="0084476C" w:rsidP="0084476C">
      <w:pPr>
        <w:spacing w:after="0" w:line="240" w:lineRule="auto"/>
        <w:jc w:val="both"/>
        <w:rPr>
          <w:rFonts w:ascii="Verdana" w:eastAsia="Calibri" w:hAnsi="Verdana" w:cs="Arial"/>
          <w:color w:val="000000"/>
          <w:lang w:eastAsia="es-ES"/>
        </w:rPr>
      </w:pPr>
    </w:p>
    <w:p w14:paraId="7B2C1D1A" w14:textId="77777777" w:rsidR="0084476C" w:rsidRDefault="0084476C" w:rsidP="0084476C">
      <w:pPr>
        <w:spacing w:after="120" w:line="276" w:lineRule="auto"/>
        <w:jc w:val="both"/>
        <w:rPr>
          <w:rFonts w:ascii="Verdana" w:eastAsia="Century Gothic" w:hAnsi="Verdana" w:cs="Century Gothic"/>
        </w:rPr>
      </w:pPr>
      <w:r w:rsidRPr="00B207E1">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 xml:space="preserve">los siguientes </w:t>
      </w:r>
      <w:r w:rsidRPr="00B207E1">
        <w:rPr>
          <w:rFonts w:ascii="Verdana" w:eastAsia="Calibri" w:hAnsi="Verdana" w:cs="Arial"/>
          <w:color w:val="000000"/>
          <w:lang w:eastAsia="es-ES"/>
        </w:rPr>
        <w:t>problema</w:t>
      </w:r>
      <w:r>
        <w:rPr>
          <w:rFonts w:ascii="Verdana" w:eastAsia="Calibri" w:hAnsi="Verdana" w:cs="Arial"/>
          <w:color w:val="000000"/>
          <w:lang w:eastAsia="es-ES"/>
        </w:rPr>
        <w:t>s</w:t>
      </w:r>
      <w:r w:rsidRPr="00B207E1">
        <w:rPr>
          <w:rFonts w:ascii="Verdana" w:eastAsia="Calibri" w:hAnsi="Verdana" w:cs="Arial"/>
          <w:color w:val="000000"/>
          <w:lang w:eastAsia="es-ES"/>
        </w:rPr>
        <w:t xml:space="preserve"> jurídico</w:t>
      </w:r>
      <w:r>
        <w:rPr>
          <w:rFonts w:ascii="Verdana" w:eastAsia="Calibri" w:hAnsi="Verdana" w:cs="Arial"/>
          <w:color w:val="000000"/>
          <w:lang w:eastAsia="es-ES"/>
        </w:rPr>
        <w:t>s</w:t>
      </w:r>
      <w:r w:rsidRPr="00B207E1">
        <w:rPr>
          <w:rFonts w:ascii="Verdana" w:eastAsia="Calibri" w:hAnsi="Verdana" w:cs="Arial"/>
          <w:color w:val="000000"/>
          <w:lang w:eastAsia="es-ES"/>
        </w:rPr>
        <w:t>:</w:t>
      </w:r>
      <w:r>
        <w:rPr>
          <w:rFonts w:ascii="Verdana" w:eastAsia="Calibri" w:hAnsi="Verdana" w:cs="Arial"/>
          <w:color w:val="000000"/>
          <w:lang w:eastAsia="es-ES"/>
        </w:rPr>
        <w:t xml:space="preserve"> </w:t>
      </w:r>
      <w:r w:rsidRPr="00070EC3">
        <w:rPr>
          <w:rFonts w:ascii="Verdana" w:eastAsia="Century Gothic" w:hAnsi="Verdana" w:cs="Century Gothic"/>
        </w:rPr>
        <w:t xml:space="preserve">i) ¿Cuál es el alcance de la protección constitucional derivada de la estabilidad ocupacional reforzada por fuero de maternidad respecto de las mujeres vinculadas mediante contratos de prestación de servicios?; </w:t>
      </w:r>
      <w:proofErr w:type="spellStart"/>
      <w:r w:rsidRPr="00070EC3">
        <w:rPr>
          <w:rFonts w:ascii="Verdana" w:eastAsia="Century Gothic" w:hAnsi="Verdana" w:cs="Century Gothic"/>
        </w:rPr>
        <w:t>ii</w:t>
      </w:r>
      <w:proofErr w:type="spellEnd"/>
      <w:r w:rsidRPr="00070EC3">
        <w:rPr>
          <w:rFonts w:ascii="Verdana" w:eastAsia="Century Gothic" w:hAnsi="Verdana" w:cs="Century Gothic"/>
        </w:rPr>
        <w:t xml:space="preserve">) ¿Hasta qué momento se extiende la protección del fuero de maternidad en los contratos de prestación de servicios: se limita al período de gestación y licencia de maternidad, o se extiende también al periodo de lactancia hasta los dos (2) años, previsto en la Ley 2306 de 2023? y; </w:t>
      </w:r>
      <w:proofErr w:type="spellStart"/>
      <w:r w:rsidRPr="00070EC3">
        <w:rPr>
          <w:rFonts w:ascii="Verdana" w:eastAsia="Century Gothic" w:hAnsi="Verdana" w:cs="Century Gothic"/>
        </w:rPr>
        <w:t>iii</w:t>
      </w:r>
      <w:proofErr w:type="spellEnd"/>
      <w:r w:rsidRPr="00070EC3">
        <w:rPr>
          <w:rFonts w:ascii="Verdana" w:eastAsia="Century Gothic" w:hAnsi="Verdana" w:cs="Century Gothic"/>
        </w:rPr>
        <w:t>) ¿Es procedente la suspensión de un contrato de prestación de servicios durante</w:t>
      </w:r>
      <w:r>
        <w:rPr>
          <w:rFonts w:ascii="Verdana" w:eastAsia="Century Gothic" w:hAnsi="Verdana" w:cs="Century Gothic"/>
        </w:rPr>
        <w:t xml:space="preserve"> el embarazo </w:t>
      </w:r>
      <w:r>
        <w:rPr>
          <w:rFonts w:ascii="Verdana" w:eastAsia="Arial" w:hAnsi="Verdana" w:cs="Arial"/>
        </w:rPr>
        <w:t>o</w:t>
      </w:r>
      <w:r>
        <w:rPr>
          <w:rFonts w:ascii="Verdana" w:eastAsia="Century Gothic" w:hAnsi="Verdana" w:cs="Century Gothic"/>
        </w:rPr>
        <w:t xml:space="preserve"> e</w:t>
      </w:r>
      <w:r w:rsidRPr="00070EC3">
        <w:rPr>
          <w:rFonts w:ascii="Verdana" w:eastAsia="Century Gothic" w:hAnsi="Verdana" w:cs="Century Gothic"/>
        </w:rPr>
        <w:t>s posible continuar con la ejecución de un contrato de prestación de servicios</w:t>
      </w:r>
      <w:r>
        <w:rPr>
          <w:rFonts w:ascii="Verdana" w:eastAsia="Century Gothic" w:hAnsi="Verdana" w:cs="Century Gothic"/>
        </w:rPr>
        <w:t>?</w:t>
      </w:r>
    </w:p>
    <w:p w14:paraId="66655E16" w14:textId="77777777" w:rsidR="0084476C" w:rsidRPr="00990488" w:rsidRDefault="0084476C" w:rsidP="0084476C">
      <w:pPr>
        <w:spacing w:after="120" w:line="276" w:lineRule="auto"/>
        <w:jc w:val="both"/>
        <w:rPr>
          <w:rFonts w:ascii="Verdana" w:eastAsia="Calibri" w:hAnsi="Verdana" w:cs="Times New Roman"/>
          <w:iCs/>
          <w:lang w:val="es-ES"/>
        </w:rPr>
      </w:pPr>
      <w:r w:rsidRPr="00B33011">
        <w:rPr>
          <w:rFonts w:ascii="Verdana" w:eastAsia="Century Gothic" w:hAnsi="Verdana" w:cs="Century Gothic"/>
          <w:b/>
          <w:bCs/>
        </w:rPr>
        <w:t>2. Respuesta:</w:t>
      </w:r>
    </w:p>
    <w:p w14:paraId="59D764B5" w14:textId="77777777" w:rsidR="0084476C" w:rsidRPr="00185290" w:rsidRDefault="0084476C" w:rsidP="0084476C">
      <w:pPr>
        <w:spacing w:after="0" w:line="276" w:lineRule="auto"/>
        <w:jc w:val="both"/>
        <w:rPr>
          <w:rFonts w:ascii="Verdana" w:eastAsia="Century Gothic" w:hAnsi="Verdana" w:cs="Century Gothic"/>
        </w:rPr>
      </w:pPr>
    </w:p>
    <w:tbl>
      <w:tblPr>
        <w:tblStyle w:val="Tablaconcuadrcula"/>
        <w:tblW w:w="0" w:type="auto"/>
        <w:tblLook w:val="04A0" w:firstRow="1" w:lastRow="0" w:firstColumn="1" w:lastColumn="0" w:noHBand="0" w:noVBand="1"/>
      </w:tblPr>
      <w:tblGrid>
        <w:gridCol w:w="8828"/>
      </w:tblGrid>
      <w:tr w:rsidR="0084476C" w:rsidRPr="005644FE" w14:paraId="7BBDB1E5" w14:textId="77777777" w:rsidTr="006F12F3">
        <w:tc>
          <w:tcPr>
            <w:tcW w:w="8828" w:type="dxa"/>
          </w:tcPr>
          <w:p w14:paraId="175C27AE" w14:textId="77777777" w:rsidR="003D193A" w:rsidRDefault="003D193A" w:rsidP="003D193A">
            <w:pPr>
              <w:spacing w:line="276" w:lineRule="auto"/>
              <w:jc w:val="both"/>
              <w:rPr>
                <w:rFonts w:ascii="Verdana" w:hAnsi="Verdana" w:cs="Arial"/>
              </w:rPr>
            </w:pPr>
            <w:r w:rsidRPr="00A8263A">
              <w:rPr>
                <w:rFonts w:ascii="Verdana" w:hAnsi="Verdana" w:cs="Arial"/>
              </w:rPr>
              <w:t>En respuesta a los problemas antes planteados esta Subdirección manifiesta lo siguiente:</w:t>
            </w:r>
          </w:p>
          <w:p w14:paraId="38FE85B4" w14:textId="77777777" w:rsidR="003D193A" w:rsidRDefault="003D193A" w:rsidP="007869E6">
            <w:pPr>
              <w:jc w:val="both"/>
              <w:rPr>
                <w:rFonts w:ascii="Verdana" w:hAnsi="Verdana"/>
              </w:rPr>
            </w:pPr>
          </w:p>
          <w:p w14:paraId="373F511E" w14:textId="48492433" w:rsidR="0084476C" w:rsidRPr="00CA6037" w:rsidRDefault="0084476C" w:rsidP="006F12F3">
            <w:pPr>
              <w:spacing w:after="120" w:line="276" w:lineRule="auto"/>
              <w:jc w:val="both"/>
              <w:rPr>
                <w:rFonts w:ascii="Verdana" w:hAnsi="Verdana"/>
              </w:rPr>
            </w:pPr>
            <w:r w:rsidRPr="00CA6037">
              <w:rPr>
                <w:rFonts w:ascii="Verdana" w:hAnsi="Verdana"/>
              </w:rPr>
              <w:t xml:space="preserve">i) La Corte Constitucional ha expuesto dos (2) posiciones frente a los cuales opera la protección del denominado fuero de maternidad de mujeres vinculadas por medio de un contrato de prestación de servicios: i) cuando el juez prueba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CA6037">
              <w:rPr>
                <w:rFonts w:ascii="Verdana" w:hAnsi="Verdana"/>
              </w:rPr>
              <w:t>ii</w:t>
            </w:r>
            <w:proofErr w:type="spellEnd"/>
            <w:r w:rsidRPr="00CA6037">
              <w:rPr>
                <w:rFonts w:ascii="Verdana" w:hAnsi="Verdana"/>
              </w:rPr>
              <w:t xml:space="preserve">) cuando a pesar de no probarse la configuración de un contrato realidad, la terminación del contrato de prestación de servicios se fundamenta en criterios discriminatorios, y no en motivos objetivos. </w:t>
            </w:r>
          </w:p>
          <w:p w14:paraId="1317ABD1" w14:textId="77777777" w:rsidR="0084476C" w:rsidRPr="00CA6037" w:rsidRDefault="0084476C" w:rsidP="006F12F3">
            <w:pPr>
              <w:spacing w:after="120" w:line="276" w:lineRule="auto"/>
              <w:ind w:firstLine="737"/>
              <w:jc w:val="both"/>
              <w:rPr>
                <w:rFonts w:ascii="Verdana" w:hAnsi="Verdana"/>
              </w:rPr>
            </w:pPr>
            <w:r w:rsidRPr="00CA6037">
              <w:rPr>
                <w:rFonts w:ascii="Verdana" w:hAnsi="Verdana"/>
              </w:rPr>
              <w:t xml:space="preserve">En concordancia con lo anterior, la protección constitucional derivada del fuero de maternidad y de la estabilidad ocupacional reforzada es plenamente aplicable a las mujeres vinculadas mediante contratos de prestación de servicios. De acuerdo con la jurisprudencia reiterada de la Corte Constitucional —entre otras, en las sentencias SU-070 de 2013, SU-075 de 2018, T-239 de 2022, T-119 de 2023 y T-014 de 2026—, el fuero de maternidad no se circunscribe de manera exclusiva a los contratos laborales, sino que se extiende a otras formas de vinculación, como es el contrato de prestación de servicios. </w:t>
            </w:r>
          </w:p>
          <w:p w14:paraId="0E272215" w14:textId="77777777" w:rsidR="0084476C" w:rsidRPr="00CA6037" w:rsidRDefault="0084476C" w:rsidP="006F12F3">
            <w:pPr>
              <w:spacing w:after="120" w:line="276" w:lineRule="auto"/>
              <w:ind w:firstLine="737"/>
              <w:jc w:val="both"/>
              <w:rPr>
                <w:rFonts w:ascii="Verdana" w:hAnsi="Verdana"/>
              </w:rPr>
            </w:pPr>
            <w:r w:rsidRPr="00CA6037">
              <w:rPr>
                <w:rFonts w:ascii="Verdana" w:hAnsi="Verdana"/>
              </w:rPr>
              <w:t xml:space="preserve">En este tipo de contratos, la estabilidad ocupacional reforzada tiene como finalidad prevenir y sancionar decisiones contractuales discriminatorias, tales como la terminación o la no renovación del contrato por causa o con ocasión del embarazo, la licencia de maternidad o el período de lactancia, garantizando así la permanencia del vínculo cuando subsiste la necesidad que dio origen a la contratación, teniendo en cuenta el carácter temporal de este tipo de contratos. </w:t>
            </w:r>
          </w:p>
          <w:p w14:paraId="0E53391A" w14:textId="77777777" w:rsidR="0084476C" w:rsidRPr="00CA6037" w:rsidRDefault="0084476C" w:rsidP="006F12F3">
            <w:pPr>
              <w:spacing w:after="120" w:line="276" w:lineRule="auto"/>
              <w:ind w:firstLine="737"/>
              <w:jc w:val="both"/>
              <w:rPr>
                <w:rFonts w:ascii="Verdana" w:hAnsi="Verdana"/>
              </w:rPr>
            </w:pPr>
            <w:r w:rsidRPr="00CA6037">
              <w:rPr>
                <w:rFonts w:ascii="Verdana" w:eastAsia="Arial" w:hAnsi="Verdana" w:cs="Arial"/>
              </w:rPr>
              <w:t xml:space="preserve">Particularmente, en la Sentencia de Unificación SU-075 de 2018, la Core Constitucional fijó los criterios generales para la procedencia de la protección reforzada a la maternidad y la lactancia, al señalar que esta </w:t>
            </w:r>
            <w:proofErr w:type="spellStart"/>
            <w:r w:rsidRPr="00CA6037">
              <w:rPr>
                <w:rFonts w:ascii="Verdana" w:eastAsia="Arial" w:hAnsi="Verdana" w:cs="Arial"/>
              </w:rPr>
              <w:t>opera</w:t>
            </w:r>
            <w:proofErr w:type="spellEnd"/>
            <w:r w:rsidRPr="00CA6037">
              <w:rPr>
                <w:rFonts w:ascii="Verdana" w:eastAsia="Arial" w:hAnsi="Verdana" w:cs="Arial"/>
              </w:rPr>
              <w:t xml:space="preserve"> cuando se acredita lo siguiente: i) la existencia de una relación laboral o de un contrato de prestación de servicios; y </w:t>
            </w:r>
            <w:proofErr w:type="spellStart"/>
            <w:r w:rsidRPr="00CA6037">
              <w:rPr>
                <w:rFonts w:ascii="Verdana" w:eastAsia="Arial" w:hAnsi="Verdana" w:cs="Arial"/>
              </w:rPr>
              <w:t>ii</w:t>
            </w:r>
            <w:proofErr w:type="spellEnd"/>
            <w:r w:rsidRPr="00CA6037">
              <w:rPr>
                <w:rFonts w:ascii="Verdana" w:eastAsia="Arial" w:hAnsi="Verdana" w:cs="Arial"/>
              </w:rPr>
              <w:t xml:space="preserve">) que la mujer se encuentre en estado de embarazo, dentro de los tres (3) meses siguientes al parto o el periodo de lactancia, durante la vigencia de dicha relación. No obstante, como se expondrá en el presente concepto, en cada etapa cambian las reglas de la protección. </w:t>
            </w:r>
          </w:p>
          <w:p w14:paraId="29C25A23" w14:textId="77777777" w:rsidR="0084476C" w:rsidRPr="00CA6037" w:rsidRDefault="0084476C" w:rsidP="006F12F3">
            <w:pPr>
              <w:widowControl w:val="0"/>
              <w:autoSpaceDE w:val="0"/>
              <w:autoSpaceDN w:val="0"/>
              <w:spacing w:after="120" w:line="276" w:lineRule="auto"/>
              <w:ind w:firstLine="743"/>
              <w:jc w:val="both"/>
              <w:rPr>
                <w:rFonts w:ascii="Verdana" w:eastAsia="Arial" w:hAnsi="Verdana" w:cs="Arial"/>
              </w:rPr>
            </w:pPr>
            <w:r w:rsidRPr="00CA6037">
              <w:rPr>
                <w:rFonts w:ascii="Verdana" w:eastAsia="Arial" w:hAnsi="Verdana" w:cs="Arial"/>
              </w:rPr>
              <w:t xml:space="preserve">Ahora bien, la Corte precisó que el alcance concreto de la protección debe determinarse atendiendo a dos factores relevantes: i) el conocimiento del estado de embarazo o lactancia por parte del empleador o contratante; y </w:t>
            </w:r>
            <w:proofErr w:type="spellStart"/>
            <w:r w:rsidRPr="00CA6037">
              <w:rPr>
                <w:rFonts w:ascii="Verdana" w:eastAsia="Arial" w:hAnsi="Verdana" w:cs="Arial"/>
              </w:rPr>
              <w:t>ii</w:t>
            </w:r>
            <w:proofErr w:type="spellEnd"/>
            <w:r w:rsidRPr="00CA6037">
              <w:rPr>
                <w:rFonts w:ascii="Verdana" w:eastAsia="Arial" w:hAnsi="Verdana" w:cs="Arial"/>
              </w:rPr>
              <w:t xml:space="preserve">) la modalidad de vinculación a través de la cual se encontraba relacionada la mujer, lo cual incide en la intensidad de las garantías aplicables. </w:t>
            </w:r>
          </w:p>
          <w:p w14:paraId="2008B354" w14:textId="77777777" w:rsidR="0084476C" w:rsidRPr="00CA6037" w:rsidRDefault="0084476C" w:rsidP="006F12F3">
            <w:pPr>
              <w:widowControl w:val="0"/>
              <w:autoSpaceDE w:val="0"/>
              <w:autoSpaceDN w:val="0"/>
              <w:spacing w:line="276" w:lineRule="auto"/>
              <w:ind w:firstLine="743"/>
              <w:jc w:val="both"/>
              <w:rPr>
                <w:rFonts w:ascii="Verdana" w:eastAsia="Arial" w:hAnsi="Verdana" w:cs="Arial"/>
              </w:rPr>
            </w:pPr>
            <w:r w:rsidRPr="00CA6037">
              <w:rPr>
                <w:rFonts w:ascii="Verdana" w:eastAsia="Arial" w:hAnsi="Verdana" w:cs="Arial"/>
              </w:rPr>
              <w:t>En consecuencia, corresponde a las entidades estatales, en ejercicio de su autonomía y conforme a los lineamientos fijados por la Corte Constitucional, así como a las normas del Estatuto General de Contratación de la Administración Pública, garantizar la estabilidad ocupacional reforzada de las mujeres embarazadas y lactantes vinculadas mediante contratos de prestación de servicios, conforme a los lineamientos explicados en el presente concepto.</w:t>
            </w:r>
          </w:p>
          <w:p w14:paraId="08D4635A" w14:textId="77777777" w:rsidR="0084476C" w:rsidRPr="00CA6037" w:rsidRDefault="0084476C" w:rsidP="006F12F3">
            <w:pPr>
              <w:widowControl w:val="0"/>
              <w:autoSpaceDE w:val="0"/>
              <w:autoSpaceDN w:val="0"/>
              <w:spacing w:line="276" w:lineRule="auto"/>
              <w:ind w:firstLine="743"/>
              <w:jc w:val="both"/>
              <w:rPr>
                <w:rFonts w:ascii="Verdana" w:eastAsia="Arial" w:hAnsi="Verdana" w:cs="Arial"/>
              </w:rPr>
            </w:pPr>
            <w:r w:rsidRPr="00CA6037">
              <w:rPr>
                <w:rFonts w:ascii="Verdana" w:eastAsia="Arial" w:hAnsi="Verdana" w:cs="Arial"/>
              </w:rPr>
              <w:t xml:space="preserve"> </w:t>
            </w:r>
          </w:p>
          <w:p w14:paraId="56F43242" w14:textId="77777777" w:rsidR="0084476C" w:rsidRPr="00CA6037" w:rsidRDefault="0084476C" w:rsidP="006F12F3">
            <w:pPr>
              <w:widowControl w:val="0"/>
              <w:autoSpaceDE w:val="0"/>
              <w:autoSpaceDN w:val="0"/>
              <w:spacing w:after="120" w:line="276" w:lineRule="auto"/>
              <w:jc w:val="both"/>
              <w:rPr>
                <w:rFonts w:ascii="Verdana" w:eastAsia="Arial" w:hAnsi="Verdana" w:cs="Arial"/>
              </w:rPr>
            </w:pPr>
            <w:proofErr w:type="spellStart"/>
            <w:r w:rsidRPr="00CA6037">
              <w:rPr>
                <w:rFonts w:ascii="Verdana" w:eastAsia="Arial" w:hAnsi="Verdana" w:cs="Arial"/>
              </w:rPr>
              <w:t>ii</w:t>
            </w:r>
            <w:proofErr w:type="spellEnd"/>
            <w:r w:rsidRPr="00CA6037">
              <w:rPr>
                <w:rFonts w:ascii="Verdana" w:eastAsia="Arial" w:hAnsi="Verdana" w:cs="Arial"/>
              </w:rPr>
              <w:t>) Ahora bien, la Corte ha señalado que el mecanismo a través del cual se concreta la protección del derecho fundamental a la estabilidad ocupacional reforzada es el denominado “fuero de maternidad”, el cual se compone principalmente por tres garantías: (i) la prohibición general de despido por motivos de embarazo y lactancia; (</w:t>
            </w:r>
            <w:proofErr w:type="spellStart"/>
            <w:r w:rsidRPr="00CA6037">
              <w:rPr>
                <w:rFonts w:ascii="Verdana" w:eastAsia="Arial" w:hAnsi="Verdana" w:cs="Arial"/>
              </w:rPr>
              <w:t>ii</w:t>
            </w:r>
            <w:proofErr w:type="spellEnd"/>
            <w:r w:rsidRPr="00CA6037">
              <w:rPr>
                <w:rFonts w:ascii="Verdana" w:eastAsia="Arial" w:hAnsi="Verdana" w:cs="Arial"/>
              </w:rPr>
              <w:t>) la prohibición específica de despido durante la licencia de maternidad preparto y postparto; y (</w:t>
            </w:r>
            <w:proofErr w:type="spellStart"/>
            <w:r w:rsidRPr="00CA6037">
              <w:rPr>
                <w:rFonts w:ascii="Verdana" w:eastAsia="Arial" w:hAnsi="Verdana" w:cs="Arial"/>
              </w:rPr>
              <w:t>iii</w:t>
            </w:r>
            <w:proofErr w:type="spellEnd"/>
            <w:r w:rsidRPr="00CA6037">
              <w:rPr>
                <w:rFonts w:ascii="Verdana" w:eastAsia="Arial" w:hAnsi="Verdana" w:cs="Arial"/>
              </w:rPr>
              <w:t xml:space="preserve">) la presunción de despido discriminatorio. Estas garantías, desarrolladas en los artículos 238, 239, 240 y 241 del Código Sustantivo del Trabajo, integran el contenido constitucionalmente protegido del derecho fundamental a la estabilidad laboral reforzada de la mujer gestante y lactante. </w:t>
            </w:r>
          </w:p>
          <w:p w14:paraId="71390183" w14:textId="77777777" w:rsidR="0084476C" w:rsidRPr="00CA6037" w:rsidRDefault="0084476C" w:rsidP="006F12F3">
            <w:pPr>
              <w:widowControl w:val="0"/>
              <w:autoSpaceDE w:val="0"/>
              <w:autoSpaceDN w:val="0"/>
              <w:spacing w:after="120" w:line="276" w:lineRule="auto"/>
              <w:ind w:firstLine="743"/>
              <w:jc w:val="both"/>
              <w:rPr>
                <w:rFonts w:ascii="Verdana" w:eastAsia="Arial" w:hAnsi="Verdana" w:cs="Arial"/>
              </w:rPr>
            </w:pPr>
            <w:r w:rsidRPr="00CA6037">
              <w:rPr>
                <w:rFonts w:ascii="Verdana" w:eastAsia="Arial" w:hAnsi="Verdana" w:cs="Arial"/>
              </w:rPr>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32FC023D" w14:textId="77777777" w:rsidR="0084476C" w:rsidRPr="00CA6037" w:rsidRDefault="0084476C" w:rsidP="006F12F3">
            <w:pPr>
              <w:widowControl w:val="0"/>
              <w:autoSpaceDE w:val="0"/>
              <w:autoSpaceDN w:val="0"/>
              <w:spacing w:after="120" w:line="276" w:lineRule="auto"/>
              <w:ind w:firstLine="743"/>
              <w:jc w:val="both"/>
              <w:rPr>
                <w:rFonts w:ascii="Verdana" w:eastAsia="Arial" w:hAnsi="Verdana" w:cs="Arial"/>
              </w:rPr>
            </w:pPr>
            <w:r w:rsidRPr="00CA6037">
              <w:rPr>
                <w:rFonts w:ascii="Verdana" w:eastAsia="Arial" w:hAnsi="Verdana" w:cs="Arial"/>
              </w:rPr>
              <w:t xml:space="preserve">Teniendo en cuenta lo anterior, esta Agencia aclara la postura sostenida en otros conceptos, para precisar que la protección derivada del fuero de maternidad, que como se expuso anteriormente se extiende al periodo de lactancia, es aplicable a todas las madres sin importar la relación laboral o la modalidad de contrato por medio de la cual hayan sido vinculadas. </w:t>
            </w:r>
          </w:p>
          <w:p w14:paraId="08EEBD8C" w14:textId="77777777" w:rsidR="0084476C" w:rsidRPr="00CA6037" w:rsidRDefault="0084476C" w:rsidP="006F12F3">
            <w:pPr>
              <w:widowControl w:val="0"/>
              <w:autoSpaceDE w:val="0"/>
              <w:autoSpaceDN w:val="0"/>
              <w:spacing w:after="120" w:line="276" w:lineRule="auto"/>
              <w:ind w:firstLine="743"/>
              <w:jc w:val="both"/>
              <w:rPr>
                <w:rFonts w:ascii="Verdana" w:eastAsia="Arial" w:hAnsi="Verdana" w:cs="Arial"/>
              </w:rPr>
            </w:pPr>
            <w:r w:rsidRPr="00CA6037">
              <w:rPr>
                <w:rFonts w:ascii="Verdana" w:eastAsia="Arial" w:hAnsi="Verdana" w:cs="Arial"/>
              </w:rPr>
              <w:t xml:space="preserve">Ahora bien, aunque se reconoce que el fuero de maternidad protege a la madre durante el periodo de lactancia – el cual, tras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 </w:t>
            </w:r>
          </w:p>
          <w:p w14:paraId="49EA601A" w14:textId="77777777" w:rsidR="0084476C" w:rsidRPr="00CA6037" w:rsidRDefault="0084476C" w:rsidP="006F12F3">
            <w:pPr>
              <w:widowControl w:val="0"/>
              <w:autoSpaceDE w:val="0"/>
              <w:autoSpaceDN w:val="0"/>
              <w:spacing w:after="120" w:line="276" w:lineRule="auto"/>
              <w:ind w:firstLine="743"/>
              <w:jc w:val="both"/>
              <w:rPr>
                <w:rFonts w:ascii="Verdana" w:eastAsia="Arial" w:hAnsi="Verdana" w:cs="Arial"/>
              </w:rPr>
            </w:pPr>
            <w:r w:rsidRPr="00CA6037">
              <w:rPr>
                <w:rFonts w:ascii="Verdana" w:eastAsia="Arial" w:hAnsi="Verdana" w:cs="Arial"/>
              </w:rPr>
              <w:t xml:space="preserve">De acuerdo con lo establecido en el numeral 2º del artículo 239 del Código Sustantivo del Trabajo, se presume que el despido es discriminatorio cuando ocurre durante el embarazo o dentro de las dieciocho (18) semanas 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 </w:t>
            </w:r>
          </w:p>
          <w:p w14:paraId="3F75A0C9" w14:textId="77777777" w:rsidR="0084476C" w:rsidRPr="00CA6037" w:rsidRDefault="0084476C" w:rsidP="006F12F3">
            <w:pPr>
              <w:widowControl w:val="0"/>
              <w:autoSpaceDE w:val="0"/>
              <w:autoSpaceDN w:val="0"/>
              <w:spacing w:after="120" w:line="276" w:lineRule="auto"/>
              <w:ind w:firstLine="743"/>
              <w:jc w:val="both"/>
              <w:rPr>
                <w:rFonts w:ascii="Verdana" w:eastAsia="Arial" w:hAnsi="Verdana" w:cs="Arial"/>
              </w:rPr>
            </w:pPr>
            <w:r w:rsidRPr="00CA6037">
              <w:rPr>
                <w:rFonts w:ascii="Verdana" w:eastAsia="Arial" w:hAnsi="Verdana" w:cs="Arial"/>
              </w:rPr>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o entidad contratante no está obligado a solicitar autorización al Ministerio del Trabajo para la terminación del vínculo laboral o contractual. Sin embargo, la desvinculación solo será constitucionalmente admisible si se funda en una justa causa debidamente acreditada. </w:t>
            </w:r>
          </w:p>
          <w:p w14:paraId="1EA6029B" w14:textId="77777777" w:rsidR="0084476C" w:rsidRPr="00CA6037" w:rsidRDefault="0084476C" w:rsidP="006F12F3">
            <w:pPr>
              <w:widowControl w:val="0"/>
              <w:autoSpaceDE w:val="0"/>
              <w:autoSpaceDN w:val="0"/>
              <w:spacing w:after="120" w:line="276" w:lineRule="auto"/>
              <w:ind w:firstLine="743"/>
              <w:jc w:val="both"/>
              <w:rPr>
                <w:rFonts w:ascii="Verdana" w:eastAsia="Arial" w:hAnsi="Verdana" w:cs="Arial"/>
              </w:rPr>
            </w:pPr>
            <w:r w:rsidRPr="00CA6037">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T-456 de 2024, T-014 de 2026 la Corte señaló que “en el periodo de lactancia […] no es aplicable la presunción de despido por causa del embarazo, pese a que permanece la prohibición del despido </w:t>
            </w:r>
            <w:proofErr w:type="gramStart"/>
            <w:r w:rsidRPr="00CA6037">
              <w:rPr>
                <w:rFonts w:ascii="Verdana" w:eastAsia="Arial" w:hAnsi="Verdana" w:cs="Arial"/>
              </w:rPr>
              <w:t>en razón de</w:t>
            </w:r>
            <w:proofErr w:type="gramEnd"/>
            <w:r w:rsidRPr="00CA6037">
              <w:rPr>
                <w:rFonts w:ascii="Verdana" w:eastAsia="Arial" w:hAnsi="Verdana" w:cs="Arial"/>
              </w:rPr>
              <w:t xml:space="preserve"> la condición de lactancia. Por consiguiente, durante este periodo la trabajadora tiene la carga de probar la ocurrencia de un acto discriminatorio”. </w:t>
            </w:r>
          </w:p>
          <w:p w14:paraId="61BEC800" w14:textId="77777777" w:rsidR="0084476C" w:rsidRPr="00CA6037" w:rsidRDefault="0084476C" w:rsidP="006F12F3">
            <w:pPr>
              <w:widowControl w:val="0"/>
              <w:autoSpaceDE w:val="0"/>
              <w:autoSpaceDN w:val="0"/>
              <w:spacing w:after="120" w:line="276" w:lineRule="auto"/>
              <w:ind w:firstLine="743"/>
              <w:jc w:val="both"/>
              <w:rPr>
                <w:rFonts w:ascii="Verdana" w:eastAsia="Arial" w:hAnsi="Verdana" w:cs="Arial"/>
              </w:rPr>
            </w:pPr>
            <w:r w:rsidRPr="00CA6037">
              <w:rPr>
                <w:rFonts w:ascii="Verdana" w:eastAsia="Arial" w:hAnsi="Verdana" w:cs="Arial"/>
              </w:rPr>
              <w:t>Ahora bien,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discriminatorio.</w:t>
            </w:r>
          </w:p>
          <w:p w14:paraId="6F0BA414" w14:textId="77777777" w:rsidR="0084476C" w:rsidRPr="00CA6037" w:rsidRDefault="0084476C" w:rsidP="006F12F3">
            <w:pPr>
              <w:widowControl w:val="0"/>
              <w:autoSpaceDE w:val="0"/>
              <w:autoSpaceDN w:val="0"/>
              <w:spacing w:line="276" w:lineRule="auto"/>
              <w:ind w:firstLine="743"/>
              <w:jc w:val="both"/>
              <w:rPr>
                <w:rFonts w:ascii="Verdana" w:eastAsia="Arial" w:hAnsi="Verdana" w:cs="Arial"/>
              </w:rPr>
            </w:pPr>
            <w:r w:rsidRPr="00CA6037">
              <w:rPr>
                <w:rFonts w:ascii="Verdana" w:eastAsia="Arial" w:hAnsi="Verdana" w:cs="Arial"/>
              </w:rPr>
              <w:t xml:space="preserve">En conclusión, se tiene que la protección de la estabilidad ocupacional reforzada de las mujeres vinculadas mediante contratos de prestación de servicios opera durante el embarazo, la licencia de maternidad y el período de lactancia, aunque con alcances diferenciados según la etapa. En ese contexto, corresponde a las Entidades Estatales, en el marco de su autonomía y conforme a los lineamientos jurisprudenciales, garantizar dicha protección, evitando decisiones contractuales discriminatorias y observando los principios que rigen la contratación estatal y la función administrativa. </w:t>
            </w:r>
          </w:p>
          <w:p w14:paraId="2CA28BAD" w14:textId="77777777" w:rsidR="0084476C" w:rsidRPr="00CA6037" w:rsidRDefault="0084476C" w:rsidP="006F12F3">
            <w:pPr>
              <w:widowControl w:val="0"/>
              <w:autoSpaceDE w:val="0"/>
              <w:autoSpaceDN w:val="0"/>
              <w:spacing w:line="276" w:lineRule="auto"/>
              <w:ind w:firstLine="743"/>
              <w:jc w:val="both"/>
              <w:rPr>
                <w:rFonts w:ascii="Verdana" w:eastAsia="Arial" w:hAnsi="Verdana" w:cs="Arial"/>
              </w:rPr>
            </w:pPr>
          </w:p>
          <w:p w14:paraId="72D541CA" w14:textId="339F82D3" w:rsidR="0084476C" w:rsidRPr="007869E6" w:rsidRDefault="0084476C" w:rsidP="007869E6">
            <w:pPr>
              <w:pStyle w:val="Textoindependiente"/>
              <w:spacing w:after="120" w:line="276" w:lineRule="auto"/>
              <w:jc w:val="both"/>
              <w:rPr>
                <w:rFonts w:eastAsia="Arial" w:cs="Arial"/>
              </w:rPr>
            </w:pPr>
            <w:proofErr w:type="spellStart"/>
            <w:r w:rsidRPr="00CA6037">
              <w:rPr>
                <w:rFonts w:eastAsia="Arial" w:cs="Arial"/>
              </w:rPr>
              <w:t>iii</w:t>
            </w:r>
            <w:proofErr w:type="spellEnd"/>
            <w:r w:rsidRPr="00CA6037">
              <w:rPr>
                <w:rFonts w:eastAsia="Arial" w:cs="Arial"/>
              </w:rPr>
              <w:t>) En cuanto a la suspensión del contrato de prestación de servicios de la futura madre, e</w:t>
            </w:r>
            <w:r w:rsidRPr="00CA6037">
              <w:rPr>
                <w:rFonts w:eastAsia="Times New Roman" w:cs="Arial"/>
                <w:lang w:eastAsia="es-ES_tradnl"/>
              </w:rPr>
              <w:t>n ejercicio</w:t>
            </w:r>
            <w:r w:rsidRPr="00407ADD">
              <w:rPr>
                <w:rFonts w:eastAsia="Times New Roman" w:cs="Arial"/>
                <w:lang w:eastAsia="es-ES_tradnl"/>
              </w:rPr>
              <w:t xml:space="preserve"> de la autonomía de las partes contratantes, las mismas podrán convenir la cláusula de suspensión del contrato de prestación de servicios, fijando las reglas por las cuales procederán las mismas teniendo en cuenta las disposiciones referidas en la Ley 80 de 1993 y Ley 1150 de 2007. Así las cosas, las partes son quienes determinan las condiciones y términos según los cuales deben llevarse a cabo la suspensión del contrato, por lo que ninguna de las partes de manera unilateral puede declararla por fuera de lo convenido.</w:t>
            </w:r>
            <w:r w:rsidR="00876B79">
              <w:rPr>
                <w:rFonts w:eastAsia="Times New Roman" w:cs="Arial"/>
                <w:lang w:eastAsia="es-ES_tradnl"/>
              </w:rPr>
              <w:t xml:space="preserve"> </w:t>
            </w:r>
            <w:r w:rsidR="00746E84">
              <w:rPr>
                <w:rFonts w:eastAsia="Times New Roman" w:cs="Arial"/>
                <w:lang w:eastAsia="es-ES_tradnl"/>
              </w:rPr>
              <w:t>Por ejemplo, e</w:t>
            </w:r>
            <w:r w:rsidR="00876B79" w:rsidRPr="00A8263A">
              <w:rPr>
                <w:rFonts w:eastAsia="Arial" w:cs="Arial"/>
                <w:lang w:val="es-CO"/>
              </w:rPr>
              <w:t>n ejercicio de sus facultades negociales, es esta última quien decide si hace uso de la figura de la suspensión, o si, por el contrario, opta por no tomar las dieciocho (18) semanas de licencia de maternidad legalmente reconocidas y dar continuidad a la ejecución del contrato.</w:t>
            </w:r>
          </w:p>
          <w:p w14:paraId="7A49C955" w14:textId="595D6AD6" w:rsidR="0084476C" w:rsidRPr="00CA6037" w:rsidRDefault="0084476C" w:rsidP="006F12F3">
            <w:pPr>
              <w:spacing w:after="120" w:line="276" w:lineRule="auto"/>
              <w:ind w:firstLine="709"/>
              <w:jc w:val="both"/>
              <w:rPr>
                <w:rFonts w:ascii="Verdana" w:eastAsia="Times New Roman" w:hAnsi="Verdana" w:cs="Arial"/>
                <w:lang w:eastAsia="es-ES_tradnl"/>
              </w:rPr>
            </w:pPr>
            <w:r w:rsidRPr="00407ADD">
              <w:rPr>
                <w:rFonts w:ascii="Verdana" w:eastAsia="Times New Roman" w:hAnsi="Verdana" w:cs="Arial"/>
                <w:lang w:eastAsia="es-ES_tradnl"/>
              </w:rPr>
              <w:t>Conforme lo anterior, cuando se presenten el tipo de situaciones descritas en la consulta, la entidad estatal, a través del supervisor del contrato, determinará si las obligaciones contractuales no pueden desarrollarse temporalmente por parte de la contratista</w:t>
            </w:r>
            <w:r>
              <w:rPr>
                <w:rFonts w:ascii="Verdana" w:eastAsia="Times New Roman" w:hAnsi="Verdana" w:cs="Arial"/>
                <w:lang w:eastAsia="es-ES_tradnl"/>
              </w:rPr>
              <w:t xml:space="preserve"> con ocasión de alguna disposición médica que dificulte la ejecución de las actividades en el desarrollo del contrato de prestación de servicios</w:t>
            </w:r>
            <w:r w:rsidRPr="00407ADD">
              <w:rPr>
                <w:rFonts w:ascii="Verdana" w:eastAsia="Times New Roman" w:hAnsi="Verdana" w:cs="Arial"/>
                <w:lang w:eastAsia="es-ES_tradnl"/>
              </w:rPr>
              <w:t xml:space="preserve"> y, en consecuencia, </w:t>
            </w:r>
            <w:r>
              <w:rPr>
                <w:rFonts w:ascii="Verdana" w:eastAsia="Times New Roman" w:hAnsi="Verdana" w:cs="Arial"/>
                <w:lang w:eastAsia="es-ES_tradnl"/>
              </w:rPr>
              <w:t>procederá</w:t>
            </w:r>
            <w:r w:rsidRPr="00407ADD">
              <w:rPr>
                <w:rFonts w:ascii="Verdana" w:eastAsia="Times New Roman" w:hAnsi="Verdana" w:cs="Arial"/>
                <w:lang w:eastAsia="es-ES_tradnl"/>
              </w:rPr>
              <w:t xml:space="preserve"> la suspensión del contrato durante su estado de embarazo o en el periodo de la licencia de maternidad. En ese sentido, si a pesar </w:t>
            </w:r>
            <w:r>
              <w:rPr>
                <w:rFonts w:ascii="Verdana" w:eastAsia="Times New Roman" w:hAnsi="Verdana" w:cs="Arial"/>
                <w:lang w:eastAsia="es-ES_tradnl"/>
              </w:rPr>
              <w:t>del</w:t>
            </w:r>
            <w:r w:rsidRPr="00407ADD">
              <w:rPr>
                <w:rFonts w:ascii="Verdana" w:eastAsia="Times New Roman" w:hAnsi="Verdana" w:cs="Arial"/>
                <w:lang w:eastAsia="es-ES_tradnl"/>
              </w:rPr>
              <w:t xml:space="preserve"> estado de embarazo o la licencia, las partes acuerdan no suspender el contrato y la contratista acredita el cumplimiento de las actividades contratadas, habría lugar al pago de honorarios, pues el objeto contractual estaría siendo ejecutado. Por el contrario, si deciden suspenderlo, teniendo en cuenta que no se estarían cumpliendo las obligaciones contractuales no habría lugar al pago de honorarios y la prestación económica sería asumida por el Sistema General de Seguridad Social en salud, es decir, estaría a cargo de las E</w:t>
            </w:r>
            <w:r w:rsidR="00746E84">
              <w:rPr>
                <w:rFonts w:ascii="Verdana" w:eastAsia="Times New Roman" w:hAnsi="Verdana" w:cs="Arial"/>
                <w:lang w:eastAsia="es-ES_tradnl"/>
              </w:rPr>
              <w:t>.</w:t>
            </w:r>
            <w:r w:rsidRPr="00407ADD">
              <w:rPr>
                <w:rFonts w:ascii="Verdana" w:eastAsia="Times New Roman" w:hAnsi="Verdana" w:cs="Arial"/>
                <w:lang w:eastAsia="es-ES_tradnl"/>
              </w:rPr>
              <w:t>S</w:t>
            </w:r>
            <w:r w:rsidR="00746E84">
              <w:rPr>
                <w:rFonts w:ascii="Verdana" w:eastAsia="Times New Roman" w:hAnsi="Verdana" w:cs="Arial"/>
                <w:lang w:eastAsia="es-ES_tradnl"/>
              </w:rPr>
              <w:t>.</w:t>
            </w:r>
            <w:r w:rsidRPr="00407ADD">
              <w:rPr>
                <w:rFonts w:ascii="Verdana" w:eastAsia="Times New Roman" w:hAnsi="Verdana" w:cs="Arial"/>
                <w:lang w:eastAsia="es-ES_tradnl"/>
              </w:rPr>
              <w:t>P</w:t>
            </w:r>
            <w:r>
              <w:rPr>
                <w:rFonts w:ascii="Verdana" w:eastAsia="Times New Roman" w:hAnsi="Verdana" w:cs="Arial"/>
                <w:lang w:eastAsia="es-ES_tradnl"/>
              </w:rPr>
              <w:t>.</w:t>
            </w:r>
          </w:p>
        </w:tc>
      </w:tr>
    </w:tbl>
    <w:p w14:paraId="375E8D50" w14:textId="77777777" w:rsidR="0084476C" w:rsidRDefault="0084476C" w:rsidP="0084476C">
      <w:pPr>
        <w:tabs>
          <w:tab w:val="left" w:pos="142"/>
          <w:tab w:val="left" w:pos="284"/>
        </w:tabs>
        <w:spacing w:after="0" w:line="276" w:lineRule="auto"/>
        <w:jc w:val="both"/>
        <w:rPr>
          <w:rFonts w:ascii="Verdana" w:eastAsia="Century Gothic" w:hAnsi="Verdana" w:cs="Century Gothic"/>
          <w:b/>
          <w:bCs/>
        </w:rPr>
      </w:pPr>
    </w:p>
    <w:p w14:paraId="415FF7ED" w14:textId="77777777" w:rsidR="0084476C" w:rsidRDefault="0084476C" w:rsidP="0084476C">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19B70BFA" w14:textId="77777777" w:rsidR="0084476C" w:rsidRPr="005644FE" w:rsidRDefault="0084476C" w:rsidP="0084476C">
      <w:pPr>
        <w:tabs>
          <w:tab w:val="left" w:pos="142"/>
          <w:tab w:val="left" w:pos="284"/>
        </w:tabs>
        <w:spacing w:after="0" w:line="276" w:lineRule="auto"/>
        <w:jc w:val="both"/>
        <w:rPr>
          <w:rFonts w:ascii="Verdana" w:eastAsia="Century Gothic" w:hAnsi="Verdana" w:cs="Century Gothic"/>
          <w:b/>
          <w:bCs/>
        </w:rPr>
      </w:pPr>
    </w:p>
    <w:p w14:paraId="1E53373C" w14:textId="77777777" w:rsidR="0084476C" w:rsidRDefault="0084476C" w:rsidP="0084476C">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797AC239" w14:textId="77777777" w:rsidR="0084476C" w:rsidRPr="00070EC3" w:rsidRDefault="0084476C" w:rsidP="0084476C">
      <w:pPr>
        <w:spacing w:after="0" w:line="276" w:lineRule="auto"/>
        <w:jc w:val="both"/>
        <w:rPr>
          <w:rFonts w:ascii="Verdana" w:eastAsia="Verdana" w:hAnsi="Verdana" w:cs="Verdana"/>
          <w:lang w:val="es-ES"/>
        </w:rPr>
      </w:pPr>
    </w:p>
    <w:p w14:paraId="757A0535" w14:textId="77777777" w:rsidR="0084476C" w:rsidRPr="00070EC3" w:rsidRDefault="0084476C" w:rsidP="0084476C">
      <w:pPr>
        <w:tabs>
          <w:tab w:val="left" w:pos="3276"/>
        </w:tabs>
        <w:spacing w:after="0" w:line="276" w:lineRule="auto"/>
        <w:jc w:val="both"/>
        <w:rPr>
          <w:rFonts w:ascii="Verdana" w:eastAsia="Calibri" w:hAnsi="Verdana" w:cs="Arial"/>
          <w:color w:val="000000"/>
        </w:rPr>
      </w:pPr>
      <w:r w:rsidRPr="00070EC3">
        <w:rPr>
          <w:rFonts w:ascii="Verdana" w:eastAsia="Calibri" w:hAnsi="Verdana" w:cs="Arial"/>
          <w:color w:val="000000"/>
          <w:lang w:val="es-ES"/>
        </w:rPr>
        <w:t xml:space="preserve">i) </w:t>
      </w:r>
      <w:r w:rsidRPr="00070EC3">
        <w:rPr>
          <w:rFonts w:ascii="Verdana" w:eastAsia="Calibri" w:hAnsi="Verdana" w:cs="Arial"/>
          <w:color w:val="000000"/>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6526AFDF" w14:textId="77777777" w:rsidR="0084476C" w:rsidRPr="00070EC3" w:rsidRDefault="0084476C" w:rsidP="0084476C">
      <w:pPr>
        <w:tabs>
          <w:tab w:val="left" w:pos="3276"/>
        </w:tabs>
        <w:spacing w:after="0" w:line="276" w:lineRule="auto"/>
        <w:jc w:val="both"/>
        <w:rPr>
          <w:rFonts w:ascii="Verdana" w:eastAsia="Calibri" w:hAnsi="Verdana" w:cs="Arial"/>
          <w:color w:val="000000"/>
          <w:sz w:val="20"/>
          <w:szCs w:val="20"/>
        </w:rPr>
      </w:pPr>
    </w:p>
    <w:p w14:paraId="1835F454"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themeColor="text1"/>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68EAE6B9"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p>
    <w:p w14:paraId="16A2277E"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themeColor="text1"/>
          <w:sz w:val="20"/>
          <w:szCs w:val="20"/>
        </w:rPr>
        <w:t>En ningún caso estos contratos generan relación laboral ni prestaciones sociales y se celebrarán por el término estrictamente indispensable”.</w:t>
      </w:r>
    </w:p>
    <w:p w14:paraId="65D1CFE8" w14:textId="77777777" w:rsidR="0084476C" w:rsidRPr="00070EC3" w:rsidRDefault="0084476C" w:rsidP="0084476C">
      <w:pPr>
        <w:tabs>
          <w:tab w:val="left" w:pos="284"/>
          <w:tab w:val="left" w:pos="3276"/>
        </w:tabs>
        <w:spacing w:after="0" w:line="276" w:lineRule="auto"/>
        <w:contextualSpacing/>
        <w:jc w:val="both"/>
        <w:rPr>
          <w:rFonts w:ascii="Verdana" w:eastAsia="Calibri" w:hAnsi="Verdana" w:cs="Arial"/>
          <w:b/>
          <w:color w:val="000000"/>
        </w:rPr>
      </w:pPr>
    </w:p>
    <w:p w14:paraId="3D21EDE5" w14:textId="77777777" w:rsidR="0084476C" w:rsidRPr="00070EC3" w:rsidRDefault="0084476C" w:rsidP="0084476C">
      <w:pPr>
        <w:tabs>
          <w:tab w:val="left" w:pos="3276"/>
        </w:tabs>
        <w:spacing w:after="0" w:line="276" w:lineRule="auto"/>
        <w:ind w:firstLine="709"/>
        <w:jc w:val="both"/>
        <w:rPr>
          <w:rFonts w:ascii="Verdana" w:eastAsia="Calibri" w:hAnsi="Verdana" w:cs="Arial"/>
          <w:color w:val="000000"/>
        </w:rPr>
      </w:pPr>
      <w:r w:rsidRPr="00070EC3">
        <w:rPr>
          <w:rFonts w:ascii="Verdana" w:eastAsia="Calibri" w:hAnsi="Verdana" w:cs="Arial"/>
          <w:color w:val="000000"/>
        </w:rPr>
        <w:t>La celebración de dicho contrato debe efectuarse mediante la modalidad de la contratación directa. Así lo prevé el artículo 2, numeral 4º, literal h) de la Ley 1150 de 2007, que dispone:</w:t>
      </w:r>
    </w:p>
    <w:p w14:paraId="59B03245" w14:textId="77777777" w:rsidR="0084476C" w:rsidRPr="00070EC3" w:rsidRDefault="0084476C" w:rsidP="0084476C">
      <w:pPr>
        <w:tabs>
          <w:tab w:val="left" w:pos="3276"/>
        </w:tabs>
        <w:spacing w:after="0" w:line="276" w:lineRule="auto"/>
        <w:ind w:firstLine="709"/>
        <w:jc w:val="both"/>
        <w:rPr>
          <w:rFonts w:ascii="Verdana" w:eastAsia="Calibri" w:hAnsi="Verdana" w:cs="Arial"/>
          <w:color w:val="000000"/>
        </w:rPr>
      </w:pPr>
    </w:p>
    <w:p w14:paraId="5785773A"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themeColor="text1"/>
          <w:sz w:val="20"/>
          <w:szCs w:val="20"/>
        </w:rPr>
        <w:t>“[…]Contratación directa. La modalidad de selección de contratación directa solamente procederá en los siguientes casos:</w:t>
      </w:r>
    </w:p>
    <w:p w14:paraId="363BD712"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themeColor="text1"/>
          <w:sz w:val="20"/>
          <w:szCs w:val="20"/>
        </w:rPr>
        <w:t>[…]</w:t>
      </w:r>
    </w:p>
    <w:p w14:paraId="30B68FB4"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themeColor="text1"/>
          <w:sz w:val="20"/>
          <w:szCs w:val="20"/>
        </w:rPr>
        <w:t>h) Para la prestación de servicios profesionales y de apoyo a la gestión, o para la ejecución de trabajos artísticos que sólo puedan encomendarse a determinadas personas naturales;”</w:t>
      </w:r>
    </w:p>
    <w:p w14:paraId="66B3AEC6" w14:textId="77777777" w:rsidR="0084476C" w:rsidRPr="00070EC3" w:rsidRDefault="0084476C" w:rsidP="0084476C">
      <w:pPr>
        <w:tabs>
          <w:tab w:val="left" w:pos="3276"/>
        </w:tabs>
        <w:spacing w:after="0" w:line="240" w:lineRule="auto"/>
        <w:ind w:right="709"/>
        <w:jc w:val="both"/>
        <w:rPr>
          <w:rFonts w:ascii="Verdana" w:eastAsia="Calibri" w:hAnsi="Verdana" w:cs="Arial"/>
          <w:color w:val="000000"/>
        </w:rPr>
      </w:pPr>
    </w:p>
    <w:p w14:paraId="1644DF96" w14:textId="77777777" w:rsidR="0084476C" w:rsidRPr="00070EC3" w:rsidRDefault="0084476C" w:rsidP="0084476C">
      <w:pPr>
        <w:tabs>
          <w:tab w:val="left" w:pos="3276"/>
        </w:tabs>
        <w:spacing w:after="0" w:line="276" w:lineRule="auto"/>
        <w:ind w:firstLine="709"/>
        <w:jc w:val="both"/>
        <w:rPr>
          <w:rFonts w:ascii="Verdana" w:eastAsia="Calibri" w:hAnsi="Verdana" w:cs="Arial"/>
          <w:color w:val="000000"/>
        </w:rPr>
      </w:pPr>
      <w:r w:rsidRPr="00070EC3">
        <w:rPr>
          <w:rFonts w:ascii="Verdana" w:eastAsia="Calibri" w:hAnsi="Verdana" w:cs="Arial"/>
          <w:color w:val="000000"/>
        </w:rPr>
        <w:t>En consonancia con la disposición anterior, el artículo 2.2.1.2.1.4.9 del Decreto 1082 de 2015 reglamentó la contratación directa para los contratos de servicios profesionales y de apoyo a la gestión, o para la ejecución de trabajos artísticos que sólo pueden encomendarse a determinadas personas naturales, en los siguientes términos:</w:t>
      </w:r>
    </w:p>
    <w:p w14:paraId="6B42486B" w14:textId="77777777" w:rsidR="0084476C" w:rsidRDefault="0084476C" w:rsidP="0084476C">
      <w:pPr>
        <w:tabs>
          <w:tab w:val="left" w:pos="3276"/>
        </w:tabs>
        <w:spacing w:after="0" w:line="240" w:lineRule="auto"/>
        <w:ind w:left="709" w:right="709"/>
        <w:jc w:val="both"/>
        <w:rPr>
          <w:rFonts w:ascii="Verdana" w:eastAsia="Calibri" w:hAnsi="Verdana" w:cs="Arial"/>
          <w:color w:val="000000"/>
          <w:sz w:val="20"/>
          <w:szCs w:val="20"/>
        </w:rPr>
      </w:pPr>
    </w:p>
    <w:p w14:paraId="68E12349"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sz w:val="20"/>
          <w:szCs w:val="20"/>
        </w:rPr>
        <w:t xml:space="preserve">“Las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w:t>
      </w:r>
    </w:p>
    <w:p w14:paraId="20138F73"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p>
    <w:p w14:paraId="2972DFC8"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sz w:val="20"/>
          <w:szCs w:val="20"/>
        </w:rPr>
        <w:t xml:space="preserve">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w:t>
      </w:r>
    </w:p>
    <w:p w14:paraId="36FFCD8E"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p>
    <w:p w14:paraId="0E7D8885"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sz w:val="20"/>
          <w:szCs w:val="20"/>
        </w:rPr>
        <w:t>La Entidad Estatal, para la contratación de trabajos artísticos que solamente puedan encomendarse a determinadas personas naturales, debe justificar esta situación en los estudios y documentos previos”.</w:t>
      </w:r>
    </w:p>
    <w:p w14:paraId="00EB182F" w14:textId="77777777" w:rsidR="0084476C" w:rsidRPr="00070EC3" w:rsidRDefault="0084476C" w:rsidP="0084476C">
      <w:pPr>
        <w:tabs>
          <w:tab w:val="left" w:pos="3276"/>
        </w:tabs>
        <w:spacing w:after="0" w:line="276" w:lineRule="auto"/>
        <w:ind w:firstLine="709"/>
        <w:jc w:val="both"/>
        <w:rPr>
          <w:rFonts w:ascii="Verdana" w:eastAsia="Calibri" w:hAnsi="Verdana" w:cs="Arial"/>
          <w:color w:val="000000"/>
        </w:rPr>
      </w:pPr>
    </w:p>
    <w:p w14:paraId="560B6996"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A partir de estos enunciados normativos, entre otros de carácter legal y reglamentario que complementan su regulación, y de los pronunciamientos judiciales más destacados sobre el tema, es posible señalar las siguientes características del contrato de prestación de servicios:</w:t>
      </w:r>
    </w:p>
    <w:p w14:paraId="0EDE8746"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a) Solo puede celebrarse para realizar “actividades relacionadas con la administración o funcionamiento de la entidad”, es decir, que hagan parte de su giro ordinario o quehacer cotidiano.</w:t>
      </w:r>
    </w:p>
    <w:p w14:paraId="09F836F7"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12614D7E"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c) Si bien se celebran para obtener la prestación personal de un servicio, se diferencian del contrato de trabajo</w:t>
      </w:r>
      <w:r w:rsidRPr="00070EC3">
        <w:rPr>
          <w:rStyle w:val="Refdenotaalpie"/>
          <w:rFonts w:ascii="Verdana" w:eastAsia="Calibri" w:hAnsi="Verdana" w:cs="Arial"/>
          <w:color w:val="000000"/>
        </w:rPr>
        <w:footnoteReference w:id="1"/>
      </w:r>
      <w:r w:rsidRPr="00070EC3">
        <w:rPr>
          <w:rFonts w:ascii="Verdana" w:eastAsia="Calibri" w:hAnsi="Verdana" w:cs="Arial"/>
          <w:color w:val="000000"/>
        </w:rPr>
        <w:t xml:space="preserve"> en que quien celebra el contrato de prestación de servicios profesionales debe mantener autonomía e independencia en la ejecución de la labor, lo que significa que no puede existir la subordinación y dependencia, que es uno de los elementos constitutivos del vínculo laboral.</w:t>
      </w:r>
    </w:p>
    <w:p w14:paraId="39E6913F"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 xml:space="preserve">Por lo anterior,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no pueden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 </w:t>
      </w:r>
    </w:p>
    <w:p w14:paraId="5D5EF9BF"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No obstante, es posible que, a pesar de este mandato deontológico, en la práctica se configure una la relación laboral, pues, como se sabe, el contrato de trabajo es un contrato realidad, ya que para su perfeccionamiento rige el principio de la prevalencia de la realidad sobre las formalidades. En esa perspectiva, la Corte Constitucional declaró la constitucionalidad condicionada del segundo inciso del numeral 3º del artículo 32, indicando que “las expresiones acusadas del numeral 3o. del artículo 32 de la Ley 80 de 1993, no vulneran los preceptos constitucionales, razón por la cual deberán ser declaradas exequibles, salvo que se acredite por parte del contratista la existencia de una relación laboral subordinada”</w:t>
      </w:r>
      <w:r w:rsidRPr="00070EC3">
        <w:rPr>
          <w:rStyle w:val="Refdenotaalpie"/>
          <w:rFonts w:ascii="Verdana" w:eastAsia="Calibri" w:hAnsi="Verdana" w:cs="Arial"/>
          <w:color w:val="000000"/>
        </w:rPr>
        <w:footnoteReference w:id="2"/>
      </w:r>
      <w:r w:rsidRPr="00070EC3">
        <w:rPr>
          <w:rFonts w:ascii="Verdana" w:eastAsia="Calibri" w:hAnsi="Verdana" w:cs="Arial"/>
          <w:color w:val="000000"/>
        </w:rPr>
        <w:t>.</w:t>
      </w:r>
    </w:p>
    <w:p w14:paraId="1FA008C1"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d) Deben ser temporales. La Sentencia de Unificación Jurisprudencial de 09 de septiembre de 2021, proferida por el Consejo de Estado</w:t>
      </w:r>
      <w:r w:rsidRPr="00070EC3">
        <w:rPr>
          <w:rStyle w:val="Refdenotaalpie"/>
          <w:rFonts w:ascii="Verdana" w:eastAsia="Calibri" w:hAnsi="Verdana" w:cs="Arial"/>
          <w:color w:val="000000"/>
        </w:rPr>
        <w:footnoteReference w:id="3"/>
      </w:r>
      <w:r w:rsidRPr="00070EC3">
        <w:rPr>
          <w:rFonts w:ascii="Verdana" w:eastAsia="Calibri" w:hAnsi="Verdana" w:cs="Arial"/>
          <w:color w:val="000000"/>
        </w:rPr>
        <w:t xml:space="preserve">, frente a la duración del contrato de prestación de servicios señaló que, solo puede celebrarse por un “término estrictamente indispensable”. En ese entendido, la citada sentencia unificó el sentido y 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 De igual manera, señaló que “no cabe su empleo para la cobertura indefinida de necesidades permanentes o recurrentes”. </w:t>
      </w:r>
    </w:p>
    <w:p w14:paraId="597C8AF6" w14:textId="77777777" w:rsidR="0084476C" w:rsidRPr="00070EC3" w:rsidRDefault="0084476C" w:rsidP="0084476C">
      <w:pPr>
        <w:tabs>
          <w:tab w:val="left" w:pos="3276"/>
        </w:tabs>
        <w:spacing w:before="120" w:after="0" w:line="276" w:lineRule="auto"/>
        <w:ind w:firstLine="709"/>
        <w:jc w:val="both"/>
        <w:rPr>
          <w:rFonts w:ascii="Verdana" w:eastAsia="Calibri" w:hAnsi="Verdana" w:cs="Arial"/>
          <w:color w:val="000000"/>
        </w:rPr>
      </w:pPr>
      <w:r w:rsidRPr="00070EC3">
        <w:rPr>
          <w:rFonts w:ascii="Verdana" w:eastAsia="Calibri" w:hAnsi="Verdana" w:cs="Arial"/>
          <w:color w:val="000000"/>
        </w:rPr>
        <w:t>De forma similar, se manifestó la Corte Constitucional, en la sentencia C-154 de 1997, expresando que:</w:t>
      </w:r>
    </w:p>
    <w:p w14:paraId="19EBD7B6" w14:textId="77777777" w:rsidR="0084476C" w:rsidRPr="00070EC3" w:rsidRDefault="0084476C" w:rsidP="0084476C">
      <w:pPr>
        <w:tabs>
          <w:tab w:val="left" w:pos="3276"/>
        </w:tabs>
        <w:spacing w:after="0" w:line="276" w:lineRule="auto"/>
        <w:ind w:firstLine="709"/>
        <w:jc w:val="both"/>
        <w:rPr>
          <w:rFonts w:ascii="Verdana" w:eastAsia="Calibri" w:hAnsi="Verdana" w:cs="Arial"/>
          <w:color w:val="000000"/>
        </w:rPr>
      </w:pPr>
    </w:p>
    <w:p w14:paraId="07BF1A84"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sz w:val="20"/>
          <w:szCs w:val="20"/>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070EC3">
        <w:rPr>
          <w:rStyle w:val="Refdenotaalpie"/>
          <w:rFonts w:ascii="Verdana" w:eastAsia="Calibri" w:hAnsi="Verdana" w:cs="Arial"/>
          <w:color w:val="000000"/>
          <w:sz w:val="20"/>
          <w:szCs w:val="20"/>
        </w:rPr>
        <w:footnoteReference w:id="4"/>
      </w:r>
      <w:r w:rsidRPr="00070EC3">
        <w:rPr>
          <w:rFonts w:ascii="Verdana" w:eastAsia="Calibri" w:hAnsi="Verdana" w:cs="Arial"/>
          <w:color w:val="000000"/>
          <w:sz w:val="20"/>
          <w:szCs w:val="20"/>
        </w:rPr>
        <w:t>.</w:t>
      </w:r>
    </w:p>
    <w:p w14:paraId="4968F2AC" w14:textId="77777777" w:rsidR="0084476C" w:rsidRPr="00070EC3" w:rsidRDefault="0084476C" w:rsidP="0084476C">
      <w:pPr>
        <w:tabs>
          <w:tab w:val="left" w:pos="3276"/>
        </w:tabs>
        <w:spacing w:after="0" w:line="240" w:lineRule="auto"/>
        <w:ind w:left="709" w:right="709"/>
        <w:jc w:val="both"/>
        <w:rPr>
          <w:rFonts w:ascii="Verdana" w:eastAsia="Calibri" w:hAnsi="Verdana" w:cs="Arial"/>
          <w:color w:val="000000"/>
          <w:sz w:val="20"/>
          <w:szCs w:val="20"/>
        </w:rPr>
      </w:pPr>
    </w:p>
    <w:p w14:paraId="5A329D94"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e) Los contratos de prestación de servicios constituyen un género que incluye, como especies, los contratos de prestación de servicios profesionales, los contratos de prestación de servicios de apoyo a la gestión y los contratos de prestación de servicios artísticos que solo pueden encomendarse a determinadas personas naturales</w:t>
      </w:r>
      <w:r w:rsidRPr="00070EC3">
        <w:rPr>
          <w:rStyle w:val="Refdenotaalpie"/>
          <w:rFonts w:ascii="Verdana" w:eastAsia="Calibri" w:hAnsi="Verdana" w:cs="Arial"/>
          <w:color w:val="000000"/>
        </w:rPr>
        <w:footnoteReference w:id="5"/>
      </w:r>
      <w:r w:rsidRPr="00070EC3">
        <w:rPr>
          <w:rFonts w:ascii="Verdana" w:eastAsia="Calibri" w:hAnsi="Verdana" w:cs="Arial"/>
          <w:color w:val="000000"/>
        </w:rPr>
        <w:t>. La diferencia entre el contrato de prestación de servicios profesionales con las otras dos especies del género en el cual se ubican radica en su contenido intelectual intangible y, al mismo tiempo, en la formación profesional que se exige para desempeñar la labor</w:t>
      </w:r>
      <w:r w:rsidRPr="00070EC3">
        <w:rPr>
          <w:rStyle w:val="Refdenotaalpie"/>
          <w:rFonts w:ascii="Verdana" w:eastAsia="Calibri" w:hAnsi="Verdana" w:cs="Arial"/>
          <w:color w:val="000000"/>
        </w:rPr>
        <w:footnoteReference w:id="6"/>
      </w:r>
      <w:r w:rsidRPr="00070EC3">
        <w:rPr>
          <w:rFonts w:ascii="Verdana" w:eastAsia="Calibri" w:hAnsi="Verdana" w:cs="Arial"/>
          <w:color w:val="000000"/>
        </w:rPr>
        <w:t xml:space="preserve">. </w:t>
      </w:r>
    </w:p>
    <w:p w14:paraId="62D42296"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f) Su celebración debe realizarse a través de la modalidad de contratación directa, independientemente de la cuantía y del tipo de servicio, siempre que este no ingrese dentro del objeto del contrato de consultoría. Esto, por cuanto, como lo indicó el Consejo de Estado, en la sentencia de unificación jurisprudencial, si bien en ambos existe un componente intelectual intangible, el objeto del contrato de consultoría es especial y debe celebrarse, por regla general, precedido de un concurso de méritos</w:t>
      </w:r>
      <w:r w:rsidRPr="00070EC3">
        <w:rPr>
          <w:rStyle w:val="Refdenotaalpie"/>
          <w:rFonts w:ascii="Verdana" w:eastAsia="Calibri" w:hAnsi="Verdana" w:cs="Arial"/>
          <w:color w:val="000000"/>
        </w:rPr>
        <w:footnoteReference w:id="7"/>
      </w:r>
      <w:r w:rsidRPr="00070EC3">
        <w:rPr>
          <w:rFonts w:ascii="Verdana" w:eastAsia="Calibri" w:hAnsi="Verdana" w:cs="Arial"/>
          <w:color w:val="000000"/>
        </w:rPr>
        <w:t xml:space="preserve">. Pero, tampoco puede suscribirse un contrato de prestación de servicios profesionales para que el contratista ejecute labores que </w:t>
      </w:r>
      <w:proofErr w:type="gramStart"/>
      <w:r w:rsidRPr="00070EC3">
        <w:rPr>
          <w:rFonts w:ascii="Verdana" w:eastAsia="Calibri" w:hAnsi="Verdana" w:cs="Arial"/>
          <w:color w:val="000000"/>
        </w:rPr>
        <w:t>se enmarcan dentro de</w:t>
      </w:r>
      <w:proofErr w:type="gramEnd"/>
      <w:r w:rsidRPr="00070EC3">
        <w:rPr>
          <w:rFonts w:ascii="Verdana" w:eastAsia="Calibri" w:hAnsi="Verdana" w:cs="Arial"/>
          <w:color w:val="000000"/>
        </w:rPr>
        <w:t xml:space="preserve"> los otros contratos tipificados en el artículo 32 de la Ley 80 de 1993, como, por ejemplo, para que el contratista de prestación de servicios construya una obra. </w:t>
      </w:r>
    </w:p>
    <w:p w14:paraId="7F3FBCF0"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g) Para su celebración no se requiere en algunos casos la expedición del acto administrativo de justificación de la contratación directa</w:t>
      </w:r>
      <w:r w:rsidRPr="00070EC3">
        <w:rPr>
          <w:rStyle w:val="Refdenotaalpie"/>
          <w:rFonts w:ascii="Verdana" w:eastAsia="Calibri" w:hAnsi="Verdana" w:cs="Arial"/>
          <w:color w:val="000000"/>
        </w:rPr>
        <w:footnoteReference w:id="8"/>
      </w:r>
      <w:r w:rsidRPr="00070EC3">
        <w:rPr>
          <w:rFonts w:ascii="Verdana" w:eastAsia="Calibri" w:hAnsi="Verdana" w:cs="Arial"/>
          <w:color w:val="000000"/>
        </w:rPr>
        <w:t>.</w:t>
      </w:r>
    </w:p>
    <w:p w14:paraId="4B404B55"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h) 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070EC3">
        <w:rPr>
          <w:rStyle w:val="Refdenotaalpie"/>
          <w:rFonts w:ascii="Verdana" w:eastAsia="Calibri" w:hAnsi="Verdana" w:cs="Arial"/>
          <w:color w:val="000000"/>
        </w:rPr>
        <w:footnoteReference w:id="9"/>
      </w:r>
      <w:r w:rsidRPr="00070EC3">
        <w:rPr>
          <w:rFonts w:ascii="Verdana" w:eastAsia="Calibri" w:hAnsi="Verdana" w:cs="Arial"/>
          <w:color w:val="000000"/>
        </w:rPr>
        <w:t xml:space="preserve">. </w:t>
      </w:r>
    </w:p>
    <w:p w14:paraId="7C96D75D"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i) No es obligatoria la liquidación de estos contratos, pues así lo estableció el artículo 217 del Decreto 019 de 2012, que modificó el artículo 60 de la Ley 80 de 1993</w:t>
      </w:r>
      <w:r w:rsidRPr="00070EC3">
        <w:rPr>
          <w:rStyle w:val="Refdenotaalpie"/>
          <w:rFonts w:ascii="Verdana" w:eastAsia="Calibri" w:hAnsi="Verdana" w:cs="Arial"/>
          <w:color w:val="000000"/>
        </w:rPr>
        <w:footnoteReference w:id="10"/>
      </w:r>
      <w:r w:rsidRPr="00070EC3">
        <w:rPr>
          <w:rFonts w:ascii="Verdana" w:eastAsia="Calibri" w:hAnsi="Verdana" w:cs="Arial"/>
          <w:color w:val="000000"/>
        </w:rPr>
        <w:t xml:space="preserve">. </w:t>
      </w:r>
    </w:p>
    <w:p w14:paraId="41D102AC"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j) Para su celebración no se requiere inscripción en el Registro Único de Proponentes (RUP), según lo prevé el artículo 6 de la Ley 1150 de 2007</w:t>
      </w:r>
      <w:r w:rsidRPr="00070EC3">
        <w:rPr>
          <w:rStyle w:val="Refdenotaalpie"/>
          <w:rFonts w:ascii="Verdana" w:eastAsia="Calibri" w:hAnsi="Verdana" w:cs="Arial"/>
          <w:color w:val="000000"/>
        </w:rPr>
        <w:footnoteReference w:id="11"/>
      </w:r>
      <w:r w:rsidRPr="00070EC3">
        <w:rPr>
          <w:rFonts w:ascii="Verdana" w:eastAsia="Calibri" w:hAnsi="Verdana" w:cs="Arial"/>
          <w:color w:val="000000"/>
        </w:rPr>
        <w:t xml:space="preserve">. </w:t>
      </w:r>
    </w:p>
    <w:p w14:paraId="0A604BF1" w14:textId="77777777" w:rsidR="0084476C" w:rsidRPr="00070EC3" w:rsidRDefault="0084476C" w:rsidP="0084476C">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xi) En ellos no son necesarias las garantías</w:t>
      </w:r>
      <w:r w:rsidRPr="00070EC3">
        <w:rPr>
          <w:rStyle w:val="Refdenotaalpie"/>
          <w:rFonts w:ascii="Verdana" w:eastAsia="Calibri" w:hAnsi="Verdana" w:cs="Arial"/>
          <w:color w:val="000000"/>
        </w:rPr>
        <w:footnoteReference w:id="12"/>
      </w:r>
      <w:r w:rsidRPr="00070EC3">
        <w:rPr>
          <w:rFonts w:ascii="Verdana" w:eastAsia="Calibri" w:hAnsi="Verdana" w:cs="Arial"/>
          <w:color w:val="000000"/>
        </w:rPr>
        <w:t xml:space="preserve">. </w:t>
      </w:r>
    </w:p>
    <w:p w14:paraId="2B4E0CA8" w14:textId="77777777" w:rsidR="0084476C" w:rsidRPr="00070EC3" w:rsidRDefault="0084476C" w:rsidP="0084476C">
      <w:pPr>
        <w:tabs>
          <w:tab w:val="left" w:pos="3276"/>
        </w:tabs>
        <w:spacing w:before="120" w:after="0" w:line="276" w:lineRule="auto"/>
        <w:ind w:firstLine="709"/>
        <w:jc w:val="both"/>
        <w:rPr>
          <w:rFonts w:ascii="Verdana" w:eastAsia="Calibri" w:hAnsi="Verdana" w:cs="Arial"/>
          <w:color w:val="000000"/>
        </w:rPr>
      </w:pPr>
      <w:r w:rsidRPr="00070EC3">
        <w:rPr>
          <w:rFonts w:ascii="Verdana" w:eastAsia="Calibri" w:hAnsi="Verdana" w:cs="Arial"/>
          <w:color w:val="000000"/>
        </w:rPr>
        <w:t xml:space="preserve">Analizadas las características del contrato de prestación de servicios, se </w:t>
      </w:r>
      <w:r>
        <w:rPr>
          <w:rFonts w:ascii="Verdana" w:eastAsia="Calibri" w:hAnsi="Verdana" w:cs="Arial"/>
          <w:color w:val="000000"/>
        </w:rPr>
        <w:t>efectuará</w:t>
      </w:r>
      <w:r w:rsidRPr="00070EC3">
        <w:rPr>
          <w:rFonts w:ascii="Verdana" w:eastAsia="Calibri" w:hAnsi="Verdana" w:cs="Arial"/>
          <w:color w:val="000000"/>
        </w:rPr>
        <w:t xml:space="preserve"> al estudio </w:t>
      </w:r>
      <w:r>
        <w:rPr>
          <w:rFonts w:ascii="Verdana" w:eastAsia="Calibri" w:hAnsi="Verdana" w:cs="Arial"/>
          <w:color w:val="000000"/>
        </w:rPr>
        <w:t>sobre</w:t>
      </w:r>
      <w:r w:rsidRPr="00070EC3">
        <w:rPr>
          <w:rFonts w:ascii="Verdana" w:eastAsia="Calibri" w:hAnsi="Verdana" w:cs="Arial"/>
          <w:color w:val="000000"/>
        </w:rPr>
        <w:t xml:space="preserve"> la procedencia de la estabilidad ocupacional reforzada de las mujeres en estado de embarazo y periodo de lactancia en este tipo de relaciones jurídicas.</w:t>
      </w:r>
    </w:p>
    <w:p w14:paraId="6C485408" w14:textId="77777777" w:rsidR="0084476C" w:rsidRPr="00070EC3" w:rsidRDefault="0084476C" w:rsidP="0084476C">
      <w:pPr>
        <w:tabs>
          <w:tab w:val="left" w:pos="3276"/>
        </w:tabs>
        <w:spacing w:after="0" w:line="276" w:lineRule="auto"/>
        <w:ind w:firstLine="709"/>
        <w:jc w:val="both"/>
        <w:rPr>
          <w:rFonts w:ascii="Verdana" w:eastAsia="Calibri" w:hAnsi="Verdana" w:cs="Arial"/>
          <w:color w:val="000000"/>
        </w:rPr>
      </w:pPr>
    </w:p>
    <w:p w14:paraId="2DCCB04B" w14:textId="77777777" w:rsidR="0084476C" w:rsidRPr="00070EC3" w:rsidRDefault="0084476C" w:rsidP="0084476C">
      <w:pPr>
        <w:spacing w:after="120" w:line="276" w:lineRule="auto"/>
        <w:jc w:val="both"/>
        <w:rPr>
          <w:rFonts w:ascii="Verdana" w:hAnsi="Verdana"/>
        </w:rPr>
      </w:pPr>
      <w:proofErr w:type="spellStart"/>
      <w:r w:rsidRPr="00070EC3">
        <w:rPr>
          <w:rFonts w:ascii="Verdana" w:eastAsia="Calibri" w:hAnsi="Verdana" w:cs="Arial"/>
          <w:color w:val="000000" w:themeColor="text1"/>
          <w:lang w:val="es-ES"/>
        </w:rPr>
        <w:t>ii</w:t>
      </w:r>
      <w:proofErr w:type="spellEnd"/>
      <w:r>
        <w:rPr>
          <w:rFonts w:ascii="Verdana" w:eastAsia="Calibri" w:hAnsi="Verdana" w:cs="Arial"/>
          <w:color w:val="000000" w:themeColor="text1"/>
          <w:lang w:val="es-ES"/>
        </w:rPr>
        <w:t>)</w:t>
      </w:r>
      <w:r w:rsidRPr="00070EC3">
        <w:rPr>
          <w:rFonts w:ascii="Verdana" w:eastAsia="Calibri" w:hAnsi="Verdana" w:cs="Arial"/>
          <w:color w:val="000000" w:themeColor="text1"/>
          <w:lang w:val="es-ES"/>
        </w:rPr>
        <w:t xml:space="preserve"> </w:t>
      </w:r>
      <w:r w:rsidRPr="00070EC3">
        <w:rPr>
          <w:rFonts w:ascii="Verdana" w:hAnsi="Verdana"/>
          <w:lang w:val="es-ES"/>
        </w:rPr>
        <w:t>El</w:t>
      </w:r>
      <w:r w:rsidRPr="00070EC3">
        <w:rPr>
          <w:rFonts w:ascii="Verdana" w:hAnsi="Verdana"/>
        </w:rPr>
        <w:t xml:space="preserve"> fuero de maternidad es una figura jurídica que otorga una protección reforzada a la futura madre y a la que acaba de serlo, es decir, a la mujer</w:t>
      </w:r>
      <w:r w:rsidRPr="00070EC3">
        <w:rPr>
          <w:rFonts w:ascii="Verdana" w:hAnsi="Verdana"/>
          <w:spacing w:val="-6"/>
        </w:rPr>
        <w:t xml:space="preserve"> </w:t>
      </w:r>
      <w:r w:rsidRPr="00070EC3">
        <w:rPr>
          <w:rFonts w:ascii="Verdana" w:hAnsi="Verdana"/>
        </w:rPr>
        <w:t>que</w:t>
      </w:r>
      <w:r w:rsidRPr="00070EC3">
        <w:rPr>
          <w:rFonts w:ascii="Verdana" w:hAnsi="Verdana"/>
          <w:spacing w:val="-7"/>
        </w:rPr>
        <w:t xml:space="preserve"> </w:t>
      </w:r>
      <w:r w:rsidRPr="00070EC3">
        <w:rPr>
          <w:rFonts w:ascii="Verdana" w:hAnsi="Verdana"/>
        </w:rPr>
        <w:t>se</w:t>
      </w:r>
      <w:r w:rsidRPr="00070EC3">
        <w:rPr>
          <w:rFonts w:ascii="Verdana" w:hAnsi="Verdana"/>
          <w:spacing w:val="-7"/>
        </w:rPr>
        <w:t xml:space="preserve"> </w:t>
      </w:r>
      <w:r w:rsidRPr="00070EC3">
        <w:rPr>
          <w:rFonts w:ascii="Verdana" w:hAnsi="Verdana"/>
        </w:rPr>
        <w:t>encuentra</w:t>
      </w:r>
      <w:r w:rsidRPr="00070EC3">
        <w:rPr>
          <w:rFonts w:ascii="Verdana" w:hAnsi="Verdana"/>
          <w:spacing w:val="-5"/>
        </w:rPr>
        <w:t xml:space="preserve"> </w:t>
      </w:r>
      <w:r w:rsidRPr="00070EC3">
        <w:rPr>
          <w:rFonts w:ascii="Verdana" w:hAnsi="Verdana"/>
        </w:rPr>
        <w:t>en</w:t>
      </w:r>
      <w:r w:rsidRPr="00070EC3">
        <w:rPr>
          <w:rFonts w:ascii="Verdana" w:hAnsi="Verdana"/>
          <w:spacing w:val="-7"/>
        </w:rPr>
        <w:t xml:space="preserve"> </w:t>
      </w:r>
      <w:r w:rsidRPr="00070EC3">
        <w:rPr>
          <w:rFonts w:ascii="Verdana" w:hAnsi="Verdana"/>
        </w:rPr>
        <w:t>estado</w:t>
      </w:r>
      <w:r w:rsidRPr="00070EC3">
        <w:rPr>
          <w:rFonts w:ascii="Verdana" w:hAnsi="Verdana"/>
          <w:spacing w:val="-6"/>
        </w:rPr>
        <w:t xml:space="preserve"> </w:t>
      </w:r>
      <w:r w:rsidRPr="00070EC3">
        <w:rPr>
          <w:rFonts w:ascii="Verdana" w:hAnsi="Verdana"/>
        </w:rPr>
        <w:t>de</w:t>
      </w:r>
      <w:r w:rsidRPr="00070EC3">
        <w:rPr>
          <w:rFonts w:ascii="Verdana" w:hAnsi="Verdana"/>
          <w:spacing w:val="-7"/>
        </w:rPr>
        <w:t xml:space="preserve"> </w:t>
      </w:r>
      <w:r w:rsidRPr="00070EC3">
        <w:rPr>
          <w:rFonts w:ascii="Verdana" w:hAnsi="Verdana"/>
        </w:rPr>
        <w:t>embarazo,</w:t>
      </w:r>
      <w:r w:rsidRPr="00070EC3">
        <w:rPr>
          <w:rFonts w:ascii="Verdana" w:hAnsi="Verdana"/>
          <w:spacing w:val="-7"/>
        </w:rPr>
        <w:t xml:space="preserve"> </w:t>
      </w:r>
      <w:r w:rsidRPr="00070EC3">
        <w:rPr>
          <w:rFonts w:ascii="Verdana" w:hAnsi="Verdana"/>
        </w:rPr>
        <w:t>en</w:t>
      </w:r>
      <w:r w:rsidRPr="00070EC3">
        <w:rPr>
          <w:rFonts w:ascii="Verdana" w:hAnsi="Verdana"/>
          <w:spacing w:val="-7"/>
        </w:rPr>
        <w:t xml:space="preserve"> </w:t>
      </w:r>
      <w:r w:rsidRPr="00070EC3">
        <w:rPr>
          <w:rFonts w:ascii="Verdana" w:hAnsi="Verdana"/>
        </w:rPr>
        <w:t>licencia</w:t>
      </w:r>
      <w:r w:rsidRPr="00070EC3">
        <w:rPr>
          <w:rFonts w:ascii="Verdana" w:hAnsi="Verdana"/>
          <w:spacing w:val="-5"/>
        </w:rPr>
        <w:t xml:space="preserve"> </w:t>
      </w:r>
      <w:r w:rsidRPr="00070EC3">
        <w:rPr>
          <w:rFonts w:ascii="Verdana" w:hAnsi="Verdana"/>
        </w:rPr>
        <w:t>de</w:t>
      </w:r>
      <w:r w:rsidRPr="00070EC3">
        <w:rPr>
          <w:rFonts w:ascii="Verdana" w:hAnsi="Verdana"/>
          <w:spacing w:val="-7"/>
        </w:rPr>
        <w:t xml:space="preserve"> </w:t>
      </w:r>
      <w:r w:rsidRPr="00070EC3">
        <w:rPr>
          <w:rFonts w:ascii="Verdana" w:hAnsi="Verdana"/>
        </w:rPr>
        <w:t>maternidad</w:t>
      </w:r>
      <w:r w:rsidRPr="00070EC3">
        <w:rPr>
          <w:rFonts w:ascii="Verdana" w:hAnsi="Verdana"/>
          <w:spacing w:val="-5"/>
        </w:rPr>
        <w:t xml:space="preserve"> </w:t>
      </w:r>
      <w:r w:rsidRPr="00070EC3">
        <w:rPr>
          <w:rFonts w:ascii="Verdana" w:hAnsi="Verdana"/>
        </w:rPr>
        <w:t>y</w:t>
      </w:r>
      <w:r w:rsidRPr="00070EC3">
        <w:rPr>
          <w:rFonts w:ascii="Verdana" w:hAnsi="Verdana"/>
          <w:spacing w:val="-7"/>
        </w:rPr>
        <w:t xml:space="preserve"> </w:t>
      </w:r>
      <w:r w:rsidRPr="00070EC3">
        <w:rPr>
          <w:rFonts w:ascii="Verdana" w:hAnsi="Verdana"/>
        </w:rPr>
        <w:t>en periodo</w:t>
      </w:r>
      <w:r w:rsidRPr="00070EC3">
        <w:rPr>
          <w:rFonts w:ascii="Verdana" w:hAnsi="Verdana"/>
          <w:spacing w:val="-10"/>
        </w:rPr>
        <w:t xml:space="preserve"> </w:t>
      </w:r>
      <w:r w:rsidRPr="00070EC3">
        <w:rPr>
          <w:rFonts w:ascii="Verdana" w:hAnsi="Verdana"/>
        </w:rPr>
        <w:t>de</w:t>
      </w:r>
      <w:r w:rsidRPr="00070EC3">
        <w:rPr>
          <w:rFonts w:ascii="Verdana" w:hAnsi="Verdana"/>
          <w:spacing w:val="-11"/>
        </w:rPr>
        <w:t xml:space="preserve"> </w:t>
      </w:r>
      <w:r w:rsidRPr="00070EC3">
        <w:rPr>
          <w:rFonts w:ascii="Verdana" w:hAnsi="Verdana"/>
        </w:rPr>
        <w:t>lactancia. Esto</w:t>
      </w:r>
      <w:r w:rsidRPr="00070EC3">
        <w:rPr>
          <w:rFonts w:ascii="Verdana" w:hAnsi="Verdana"/>
          <w:spacing w:val="-12"/>
        </w:rPr>
        <w:t xml:space="preserve"> </w:t>
      </w:r>
      <w:r w:rsidRPr="00070EC3">
        <w:rPr>
          <w:rFonts w:ascii="Verdana" w:hAnsi="Verdana"/>
        </w:rPr>
        <w:t>con</w:t>
      </w:r>
      <w:r w:rsidRPr="00070EC3">
        <w:rPr>
          <w:rFonts w:ascii="Verdana" w:hAnsi="Verdana"/>
          <w:spacing w:val="-11"/>
        </w:rPr>
        <w:t xml:space="preserve"> </w:t>
      </w:r>
      <w:r w:rsidRPr="00070EC3">
        <w:rPr>
          <w:rFonts w:ascii="Verdana" w:hAnsi="Verdana"/>
        </w:rPr>
        <w:t>el</w:t>
      </w:r>
      <w:r w:rsidRPr="00070EC3">
        <w:rPr>
          <w:rFonts w:ascii="Verdana" w:hAnsi="Verdana"/>
          <w:spacing w:val="-11"/>
        </w:rPr>
        <w:t xml:space="preserve"> </w:t>
      </w:r>
      <w:r w:rsidRPr="00070EC3">
        <w:rPr>
          <w:rFonts w:ascii="Verdana" w:hAnsi="Verdana"/>
        </w:rPr>
        <w:t>fin</w:t>
      </w:r>
      <w:r w:rsidRPr="00070EC3">
        <w:rPr>
          <w:rFonts w:ascii="Verdana" w:hAnsi="Verdana"/>
          <w:spacing w:val="-11"/>
        </w:rPr>
        <w:t xml:space="preserve"> </w:t>
      </w:r>
      <w:r w:rsidRPr="00070EC3">
        <w:rPr>
          <w:rFonts w:ascii="Verdana" w:hAnsi="Verdana"/>
        </w:rPr>
        <w:t>de</w:t>
      </w:r>
      <w:r w:rsidRPr="00070EC3">
        <w:rPr>
          <w:rFonts w:ascii="Verdana" w:hAnsi="Verdana"/>
          <w:spacing w:val="-11"/>
        </w:rPr>
        <w:t xml:space="preserve"> </w:t>
      </w:r>
      <w:r w:rsidRPr="00070EC3">
        <w:rPr>
          <w:rFonts w:ascii="Verdana" w:hAnsi="Verdana"/>
        </w:rPr>
        <w:t>que</w:t>
      </w:r>
      <w:r w:rsidRPr="00070EC3">
        <w:rPr>
          <w:rFonts w:ascii="Verdana" w:hAnsi="Verdana"/>
          <w:spacing w:val="-11"/>
        </w:rPr>
        <w:t xml:space="preserve"> </w:t>
      </w:r>
      <w:r w:rsidRPr="00070EC3">
        <w:rPr>
          <w:rFonts w:ascii="Verdana" w:hAnsi="Verdana"/>
        </w:rPr>
        <w:t>el</w:t>
      </w:r>
      <w:r w:rsidRPr="00070EC3">
        <w:rPr>
          <w:rFonts w:ascii="Verdana" w:hAnsi="Verdana"/>
          <w:spacing w:val="-11"/>
        </w:rPr>
        <w:t xml:space="preserve"> </w:t>
      </w:r>
      <w:r w:rsidRPr="00070EC3">
        <w:rPr>
          <w:rFonts w:ascii="Verdana" w:hAnsi="Verdana"/>
        </w:rPr>
        <w:t>proceso</w:t>
      </w:r>
      <w:r w:rsidRPr="00070EC3">
        <w:rPr>
          <w:rFonts w:ascii="Verdana" w:hAnsi="Verdana"/>
          <w:spacing w:val="-9"/>
        </w:rPr>
        <w:t xml:space="preserve"> </w:t>
      </w:r>
      <w:r w:rsidRPr="00070EC3">
        <w:rPr>
          <w:rFonts w:ascii="Verdana" w:hAnsi="Verdana"/>
        </w:rPr>
        <w:t>de</w:t>
      </w:r>
      <w:r w:rsidRPr="00070EC3">
        <w:rPr>
          <w:rFonts w:ascii="Verdana" w:hAnsi="Verdana"/>
          <w:spacing w:val="-11"/>
        </w:rPr>
        <w:t xml:space="preserve"> </w:t>
      </w:r>
      <w:r w:rsidRPr="00070EC3">
        <w:rPr>
          <w:rFonts w:ascii="Verdana" w:hAnsi="Verdana"/>
        </w:rPr>
        <w:t>gestación</w:t>
      </w:r>
      <w:r w:rsidRPr="00070EC3">
        <w:rPr>
          <w:rFonts w:ascii="Verdana" w:hAnsi="Verdana"/>
          <w:spacing w:val="-8"/>
        </w:rPr>
        <w:t xml:space="preserve"> </w:t>
      </w:r>
      <w:r w:rsidRPr="00070EC3">
        <w:rPr>
          <w:rFonts w:ascii="Verdana" w:hAnsi="Verdana"/>
        </w:rPr>
        <w:t>no</w:t>
      </w:r>
      <w:r w:rsidRPr="00070EC3">
        <w:rPr>
          <w:rFonts w:ascii="Verdana" w:hAnsi="Verdana"/>
          <w:spacing w:val="-11"/>
        </w:rPr>
        <w:t xml:space="preserve"> </w:t>
      </w:r>
      <w:r w:rsidRPr="00070EC3">
        <w:rPr>
          <w:rFonts w:ascii="Verdana" w:hAnsi="Verdana"/>
        </w:rPr>
        <w:t>interfiera</w:t>
      </w:r>
      <w:r w:rsidRPr="00070EC3">
        <w:rPr>
          <w:rFonts w:ascii="Verdana" w:hAnsi="Verdana"/>
          <w:spacing w:val="-9"/>
        </w:rPr>
        <w:t xml:space="preserve"> </w:t>
      </w:r>
      <w:r w:rsidRPr="00070EC3">
        <w:rPr>
          <w:rFonts w:ascii="Verdana" w:hAnsi="Verdana"/>
        </w:rPr>
        <w:t>en</w:t>
      </w:r>
      <w:r w:rsidRPr="00070EC3">
        <w:rPr>
          <w:rFonts w:ascii="Verdana" w:hAnsi="Verdana"/>
          <w:spacing w:val="-11"/>
        </w:rPr>
        <w:t xml:space="preserve"> </w:t>
      </w:r>
      <w:r w:rsidRPr="00070EC3">
        <w:rPr>
          <w:rFonts w:ascii="Verdana" w:hAnsi="Verdana"/>
        </w:rPr>
        <w:t>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w:t>
      </w:r>
    </w:p>
    <w:p w14:paraId="2093EA9D" w14:textId="77777777" w:rsidR="0084476C" w:rsidRPr="00070EC3" w:rsidRDefault="0084476C" w:rsidP="0084476C">
      <w:pPr>
        <w:spacing w:after="120" w:line="276" w:lineRule="auto"/>
        <w:ind w:firstLine="708"/>
        <w:jc w:val="both"/>
        <w:rPr>
          <w:rFonts w:ascii="Verdana" w:hAnsi="Verdana"/>
        </w:rPr>
      </w:pPr>
      <w:r w:rsidRPr="00070EC3">
        <w:rPr>
          <w:rFonts w:ascii="Verdana" w:hAnsi="Verdana"/>
        </w:rPr>
        <w:t>Lo anterior, resulta particularmente relevante si se tiene en cuenta que, históricamente, el estado de gravidez ha constituido un motivo de exclusión y discriminación de la mujer en el ámbito laboral, frente al cual el ordenamiento jurídico ha considerado necesario “impedir la discriminación constituida por el despido, la terminación o la no renovación del contrato por causa o con ocasión del embarazo o la lactancia”</w:t>
      </w:r>
      <w:r w:rsidRPr="00070EC3">
        <w:rPr>
          <w:rStyle w:val="Refdenotaalpie"/>
          <w:rFonts w:ascii="Verdana" w:hAnsi="Verdana"/>
        </w:rPr>
        <w:footnoteReference w:id="13"/>
      </w:r>
      <w:r w:rsidRPr="00070EC3">
        <w:rPr>
          <w:rFonts w:ascii="Verdana" w:hAnsi="Verdana"/>
        </w:rPr>
        <w:t>.</w:t>
      </w:r>
    </w:p>
    <w:p w14:paraId="659C59CE" w14:textId="77777777" w:rsidR="0084476C" w:rsidRPr="00070EC3" w:rsidRDefault="0084476C" w:rsidP="0084476C">
      <w:pPr>
        <w:spacing w:after="120" w:line="276" w:lineRule="auto"/>
        <w:ind w:firstLine="708"/>
        <w:jc w:val="both"/>
        <w:rPr>
          <w:rFonts w:ascii="Verdana" w:hAnsi="Verdana"/>
        </w:rPr>
      </w:pPr>
      <w:r w:rsidRPr="00070EC3">
        <w:rPr>
          <w:rFonts w:ascii="Verdana" w:hAnsi="Verdana"/>
        </w:rPr>
        <w:t>Con el propósito de aclarar el objeto bajo consulta, a continuación, se expondrán las dos (2) posiciones jurisprudenciales que ha definido la Corte Constitucional para proteger el fuero de maternidad cuando una mujer se encuentra vinculada a través de un contrato de prestación de servicios. Lo anterior, para identificar cuál ha sido la posición del Alto Tribunal Constitucional frente a la garantía del derecho a la estabilidad ocupacional reforzada en este tipo de vinculaciones.</w:t>
      </w:r>
    </w:p>
    <w:p w14:paraId="3A2E2CB2" w14:textId="77777777" w:rsidR="0084476C" w:rsidRPr="00070EC3" w:rsidRDefault="0084476C" w:rsidP="0084476C">
      <w:pPr>
        <w:spacing w:after="120" w:line="276" w:lineRule="auto"/>
        <w:ind w:firstLine="708"/>
        <w:jc w:val="both"/>
        <w:rPr>
          <w:rFonts w:ascii="Verdana" w:hAnsi="Verdana"/>
        </w:rPr>
      </w:pPr>
      <w:r w:rsidRPr="00070EC3">
        <w:rPr>
          <w:rFonts w:ascii="Verdana" w:hAnsi="Verdana"/>
        </w:rPr>
        <w:t>En primer lugar, la Corte Constitucional, en la Sentencia SU-070 de 2013, con ponencia de la Magistrada Gloria Stella Ortiz Delgado, fijó la primera posición frente a la protección del fuero de maternidad en el marco de los contratos de prestación de servicios. En dicha providencia, el Alto Tribunal sostuvo que esta protección no cobijaba de manera automática a las trabajadoras que laboraban de manera independiente, y sólo procedía su protección si el juez de tutela, al analizar las condiciones propias del contrato de prestación de servicios, comprobaba que entre las partes existía en realidad una relación laboral</w:t>
      </w:r>
      <w:r w:rsidRPr="00070EC3">
        <w:rPr>
          <w:rStyle w:val="Refdenotaalpie"/>
          <w:rFonts w:ascii="Verdana" w:hAnsi="Verdana"/>
        </w:rPr>
        <w:footnoteReference w:id="14"/>
      </w:r>
      <w:r w:rsidRPr="00070EC3">
        <w:rPr>
          <w:rFonts w:ascii="Verdana" w:hAnsi="Verdana"/>
        </w:rPr>
        <w:t>.</w:t>
      </w:r>
    </w:p>
    <w:p w14:paraId="1192BCDF" w14:textId="77777777" w:rsidR="0084476C" w:rsidRDefault="0084476C" w:rsidP="0084476C">
      <w:pPr>
        <w:spacing w:after="120" w:line="276" w:lineRule="auto"/>
        <w:ind w:firstLine="708"/>
        <w:jc w:val="both"/>
        <w:rPr>
          <w:rFonts w:ascii="Verdana" w:hAnsi="Verdana"/>
        </w:rPr>
      </w:pPr>
      <w:r w:rsidRPr="00070EC3">
        <w:rPr>
          <w:rFonts w:ascii="Verdana" w:hAnsi="Verdana"/>
        </w:rPr>
        <w:t>De esta forma, conforme al criterio fijado por la Corte, en la Sentencia SU-070 de 20</w:t>
      </w:r>
      <w:r>
        <w:rPr>
          <w:rFonts w:ascii="Verdana" w:hAnsi="Verdana"/>
        </w:rPr>
        <w:t>1</w:t>
      </w:r>
      <w:r w:rsidRPr="00070EC3">
        <w:rPr>
          <w:rFonts w:ascii="Verdana" w:hAnsi="Verdana"/>
        </w:rPr>
        <w:t xml:space="preserve">3, la protección a la estabilidad ocupacional reforzada de mujeres vinculadas a través de un contrato de prestación de servicios sólo procedía en aquellos casos donde se verificará la concurrencia de los tres (3) elementos del contrato de trabajo, a saber: la prestación personal del servicio, la subordinación o dependencia continua y; la remuneración como contraprestación del servicio prestado. </w:t>
      </w:r>
    </w:p>
    <w:p w14:paraId="6F084170" w14:textId="18AF2107" w:rsidR="0084476C" w:rsidRPr="00070EC3" w:rsidRDefault="0084476C" w:rsidP="0084476C">
      <w:pPr>
        <w:spacing w:after="120" w:line="276" w:lineRule="auto"/>
        <w:ind w:firstLine="708"/>
        <w:jc w:val="both"/>
        <w:rPr>
          <w:rFonts w:ascii="Verdana" w:hAnsi="Verdana"/>
        </w:rPr>
      </w:pPr>
      <w:r w:rsidRPr="00070EC3">
        <w:rPr>
          <w:rFonts w:ascii="Verdana" w:hAnsi="Verdana"/>
        </w:rPr>
        <w:t>Posteriormente, el Alto Tribunal Constitucional, en las sentencias T-102 de 2016</w:t>
      </w:r>
      <w:r w:rsidRPr="00070EC3">
        <w:rPr>
          <w:rStyle w:val="Refdenotaalpie"/>
          <w:rFonts w:ascii="Verdana" w:hAnsi="Verdana"/>
        </w:rPr>
        <w:footnoteReference w:id="15"/>
      </w:r>
      <w:r w:rsidRPr="00070EC3">
        <w:rPr>
          <w:rFonts w:ascii="Verdana" w:hAnsi="Verdana"/>
        </w:rPr>
        <w:t xml:space="preserve"> y T-564 de 2017</w:t>
      </w:r>
      <w:r w:rsidRPr="00070EC3">
        <w:rPr>
          <w:rStyle w:val="Refdenotaalpie"/>
          <w:rFonts w:ascii="Verdana" w:hAnsi="Verdana"/>
        </w:rPr>
        <w:footnoteReference w:id="16"/>
      </w:r>
      <w:r w:rsidRPr="00070EC3">
        <w:rPr>
          <w:rFonts w:ascii="Verdana" w:hAnsi="Verdana"/>
        </w:rPr>
        <w:t xml:space="preserve">, adoptó una segunda postura jurisprudencial frente a aquellos eventos en los que no se logra acreditar la configuración del contrato realidad en el marco de un contrato de prestación de servicios. En dichas providencias, la Corte sostuvo que la ausencia de prueba del vínculo laboral no constituye, por sí sola, un motivo suficiente para desproteger los derechos derivados de la estabilidad ocupacional reforzada de la mujer en estado de embarazo, cuando se comprueba que la terminación del contrato obedece a motivos discriminatorios y no atiende a una causa objetiva. </w:t>
      </w:r>
    </w:p>
    <w:p w14:paraId="2AC35BED" w14:textId="77777777" w:rsidR="0084476C" w:rsidRPr="00070EC3" w:rsidRDefault="0084476C" w:rsidP="0084476C">
      <w:pPr>
        <w:spacing w:after="120" w:line="276" w:lineRule="auto"/>
        <w:ind w:firstLine="708"/>
        <w:jc w:val="both"/>
        <w:rPr>
          <w:rFonts w:ascii="Verdana" w:hAnsi="Verdana"/>
        </w:rPr>
      </w:pPr>
      <w:r w:rsidRPr="00070EC3">
        <w:rPr>
          <w:rFonts w:ascii="Verdana" w:hAnsi="Verdana"/>
        </w:rPr>
        <w:t>En particular, en la sentencia T-564 de 2017, la Corte determinó que, aun cuando no se acredit</w:t>
      </w:r>
      <w:r>
        <w:rPr>
          <w:rFonts w:ascii="Verdana" w:hAnsi="Verdana"/>
        </w:rPr>
        <w:t>ara</w:t>
      </w:r>
      <w:r w:rsidRPr="00070EC3">
        <w:rPr>
          <w:rFonts w:ascii="Verdana" w:hAnsi="Verdana"/>
        </w:rPr>
        <w:t xml:space="preserve"> la configuración del contrato realidad, era procedente proteger a la mujer en estado embarazo vinculada a través de un contrato de prestación de servicios, toda vez que, pese a que la contratista informó de su estado de gestación, la entidad contratante terminó anticipadamente su contrato, configurándose así una terminación por motivos discriminatorios. </w:t>
      </w:r>
    </w:p>
    <w:p w14:paraId="23AA5EDA" w14:textId="77777777" w:rsidR="0084476C" w:rsidRPr="00070EC3" w:rsidRDefault="0084476C" w:rsidP="0084476C">
      <w:pPr>
        <w:spacing w:after="120" w:line="276" w:lineRule="auto"/>
        <w:ind w:firstLine="708"/>
        <w:jc w:val="both"/>
        <w:rPr>
          <w:rFonts w:ascii="Verdana" w:hAnsi="Verdana"/>
        </w:rPr>
      </w:pPr>
      <w:r w:rsidRPr="00070EC3">
        <w:rPr>
          <w:rFonts w:ascii="Verdana" w:hAnsi="Verdana"/>
        </w:rPr>
        <w:t>Por su parte, en la sentencia T-102 de 2016, si bien se reconoció la existencia de un contrato realidad, la Corte reiteró que la entidad contratante no demostró la existencia de un motivo objetivo que justificara la terminación del contrato, ya fuera porque la actividad que venía realizando ya no era necesaria, o porque no probó que las causas que originaron la contratación desaparecieron, entre otros supuestos.</w:t>
      </w:r>
    </w:p>
    <w:p w14:paraId="5A059D2C" w14:textId="77777777" w:rsidR="0084476C" w:rsidRPr="00070EC3" w:rsidRDefault="0084476C" w:rsidP="0084476C">
      <w:pPr>
        <w:spacing w:after="120" w:line="276" w:lineRule="auto"/>
        <w:ind w:firstLine="708"/>
        <w:jc w:val="both"/>
        <w:rPr>
          <w:rFonts w:ascii="Verdana" w:hAnsi="Verdana"/>
        </w:rPr>
      </w:pPr>
      <w:r w:rsidRPr="00070EC3">
        <w:rPr>
          <w:rFonts w:ascii="Verdana" w:hAnsi="Verdana"/>
        </w:rPr>
        <w:t xml:space="preserve">En el mismo sentido, en el salvamento de voto a la sentencia T-743 de 2017, se reiteró que la protección del fuero de maternidad en favor de la mujer vinculada mediante un contrato de prestación de servicios no se limita exclusivamente a los casos en que se demuestre la configuración de contrato realidad, sino que también procede cuando se demuestre que la decisión de la terminación es discriminatoria y carece de una justificación objetiva, reforzando así el alcance del derecho a la estabilidad ocupacional reforzada. Al respecto indicó: </w:t>
      </w:r>
    </w:p>
    <w:p w14:paraId="246B81DE" w14:textId="77777777" w:rsidR="0084476C" w:rsidRPr="00070EC3" w:rsidRDefault="0084476C" w:rsidP="0084476C">
      <w:pPr>
        <w:spacing w:after="0" w:line="240" w:lineRule="auto"/>
        <w:ind w:left="709" w:right="709"/>
        <w:jc w:val="both"/>
        <w:rPr>
          <w:rFonts w:ascii="Verdana" w:hAnsi="Verdana"/>
          <w:i/>
          <w:iCs/>
          <w:sz w:val="20"/>
          <w:szCs w:val="20"/>
        </w:rPr>
      </w:pPr>
      <w:r w:rsidRPr="00070EC3">
        <w:rPr>
          <w:rFonts w:ascii="Verdana" w:hAnsi="Verdana"/>
          <w:sz w:val="20"/>
          <w:szCs w:val="20"/>
        </w:rPr>
        <w:t xml:space="preserve">“Pues bien, el objeto de la aclaración que presento es la necesidad de subrayar la línea jurisprudencial vigente en materia estabilidad laboral reforzada de mujer embarazada en el marco de un contrato de prestación de servicios. A diferencia de las consideraciones de la sentencia, en las cuales se concluye que si no se comprueban los elementos del contrato laboral en la relación contractual no es posible alegar la violación del derecho a la estabilidad laboral reforzada, considero que existen sentencias recientes de las diferentes Salas de Revisión que han establecido que en el marco de relaciones de prestación de servicios, el juez de tutela, </w:t>
      </w:r>
      <w:r w:rsidRPr="00070EC3">
        <w:rPr>
          <w:rFonts w:ascii="Verdana" w:hAnsi="Verdana"/>
          <w:i/>
          <w:iCs/>
          <w:sz w:val="20"/>
          <w:szCs w:val="20"/>
        </w:rPr>
        <w:t xml:space="preserve">a pesar de no encontrar probados los elementos del contrato realidad, sí puede garantizar la estabilidad laboral reforzada de la mujer embarazada, siempre y cuando se demuestre que la decisión de la desvinculación es discriminatoria y no atiende a un motivo objetivo. </w:t>
      </w:r>
    </w:p>
    <w:p w14:paraId="4B61F62B" w14:textId="77777777" w:rsidR="0084476C" w:rsidRPr="00070EC3" w:rsidRDefault="0084476C" w:rsidP="0084476C">
      <w:pPr>
        <w:spacing w:after="0" w:line="240" w:lineRule="auto"/>
        <w:ind w:left="709" w:right="709"/>
        <w:jc w:val="both"/>
        <w:rPr>
          <w:rFonts w:ascii="Verdana" w:hAnsi="Verdana"/>
          <w:i/>
          <w:iCs/>
          <w:sz w:val="20"/>
          <w:szCs w:val="20"/>
        </w:rPr>
      </w:pPr>
    </w:p>
    <w:p w14:paraId="082DA545" w14:textId="77777777" w:rsidR="0084476C" w:rsidRDefault="0084476C" w:rsidP="0084476C">
      <w:pPr>
        <w:spacing w:after="0" w:line="240" w:lineRule="auto"/>
        <w:ind w:left="709" w:right="709"/>
        <w:jc w:val="both"/>
        <w:rPr>
          <w:rFonts w:ascii="Verdana" w:hAnsi="Verdana"/>
          <w:sz w:val="20"/>
          <w:szCs w:val="20"/>
        </w:rPr>
      </w:pPr>
      <w:r w:rsidRPr="00070EC3">
        <w:rPr>
          <w:rFonts w:ascii="Verdana" w:hAnsi="Verdana"/>
          <w:sz w:val="20"/>
          <w:szCs w:val="20"/>
        </w:rPr>
        <w:t>Son un ejemplo de esta tesis jurisprudencial las sentencias T-102 de 2016, T-350 de 2016 y T-564 de 2017, que sostienen que en el marco de relaciones de contratos de prestación de servicios independientemente de la prueba sobre los elementos del contrato realidad, si se demuestra la necesidad de la función o continuidad del objeto del contrato, se presume que la desvinculación fue en razón del estado de embarazo, y en consecuencia, procede con todos sus efectos el numeral 2º del artículo 239 del Código Sustantivo de Trabajo”. (Énfasis fuera del texto).</w:t>
      </w:r>
    </w:p>
    <w:p w14:paraId="5A29ECC8" w14:textId="77777777" w:rsidR="0084476C" w:rsidRPr="009C2E54" w:rsidRDefault="0084476C" w:rsidP="0084476C">
      <w:pPr>
        <w:spacing w:after="0" w:line="240" w:lineRule="auto"/>
        <w:ind w:left="709" w:right="709"/>
        <w:jc w:val="both"/>
        <w:rPr>
          <w:rFonts w:ascii="Verdana" w:hAnsi="Verdana"/>
          <w:sz w:val="20"/>
          <w:szCs w:val="20"/>
        </w:rPr>
      </w:pPr>
    </w:p>
    <w:p w14:paraId="156D8EA6" w14:textId="77777777" w:rsidR="0084476C" w:rsidRPr="00070EC3" w:rsidRDefault="0084476C" w:rsidP="0084476C">
      <w:pPr>
        <w:spacing w:after="120" w:line="276" w:lineRule="auto"/>
        <w:ind w:firstLine="708"/>
        <w:jc w:val="both"/>
        <w:rPr>
          <w:rFonts w:ascii="Verdana" w:hAnsi="Verdana"/>
        </w:rPr>
      </w:pPr>
      <w:r w:rsidRPr="00070EC3">
        <w:rPr>
          <w:rFonts w:ascii="Verdana" w:hAnsi="Verdana"/>
        </w:rPr>
        <w:t>Finalmente, la Corte Constitucional profirió la sentencia de unificación SU-075 de 2018</w:t>
      </w:r>
      <w:r w:rsidRPr="00070EC3">
        <w:rPr>
          <w:rStyle w:val="Refdenotaalpie"/>
          <w:rFonts w:ascii="Verdana" w:hAnsi="Verdana"/>
        </w:rPr>
        <w:footnoteReference w:id="17"/>
      </w:r>
      <w:r w:rsidRPr="00070EC3">
        <w:rPr>
          <w:rFonts w:ascii="Verdana" w:hAnsi="Verdana"/>
        </w:rPr>
        <w:t>, en la cual recogió, entre otras, las sentencias T-350 del 2016</w:t>
      </w:r>
      <w:r w:rsidRPr="00070EC3">
        <w:rPr>
          <w:rStyle w:val="Refdenotaalpie"/>
          <w:rFonts w:ascii="Verdana" w:hAnsi="Verdana"/>
        </w:rPr>
        <w:footnoteReference w:id="18"/>
      </w:r>
      <w:r w:rsidRPr="00070EC3">
        <w:rPr>
          <w:rFonts w:ascii="Verdana" w:hAnsi="Verdana"/>
        </w:rPr>
        <w:t xml:space="preserve"> y T-030 de 2018</w:t>
      </w:r>
      <w:r w:rsidRPr="00070EC3">
        <w:rPr>
          <w:rStyle w:val="Refdenotaalpie"/>
          <w:rFonts w:ascii="Verdana" w:hAnsi="Verdana"/>
        </w:rPr>
        <w:footnoteReference w:id="19"/>
      </w:r>
      <w:r w:rsidRPr="00070EC3">
        <w:rPr>
          <w:rFonts w:ascii="Verdana" w:hAnsi="Verdana"/>
        </w:rPr>
        <w:t xml:space="preserve">.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27062F8D" w14:textId="77777777" w:rsidR="0084476C" w:rsidRPr="00070EC3" w:rsidRDefault="0084476C" w:rsidP="0084476C">
      <w:pPr>
        <w:spacing w:after="120" w:line="276" w:lineRule="auto"/>
        <w:ind w:firstLine="708"/>
        <w:jc w:val="both"/>
        <w:rPr>
          <w:rFonts w:ascii="Verdana" w:hAnsi="Verdana"/>
        </w:rPr>
      </w:pPr>
      <w:r w:rsidRPr="00070EC3">
        <w:rPr>
          <w:rFonts w:ascii="Verdana" w:hAnsi="Verdana"/>
        </w:rPr>
        <w:t xml:space="preserve">Dicha providencia dio paso a establecer que, el denominado “fuero de maternidad” encuentra su sustento no solo en las disposiciones específicas que 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 </w:t>
      </w:r>
    </w:p>
    <w:p w14:paraId="335B055F" w14:textId="77777777" w:rsidR="0084476C" w:rsidRPr="00070EC3" w:rsidRDefault="0084476C" w:rsidP="0084476C">
      <w:pPr>
        <w:spacing w:after="0" w:line="276" w:lineRule="auto"/>
        <w:ind w:firstLine="708"/>
        <w:jc w:val="both"/>
        <w:rPr>
          <w:rFonts w:ascii="Verdana" w:hAnsi="Verdana"/>
        </w:rPr>
      </w:pPr>
      <w:r w:rsidRPr="00070EC3">
        <w:rPr>
          <w:rFonts w:ascii="Verdana" w:hAnsi="Verdana"/>
        </w:rPr>
        <w:t xml:space="preserve">Así mismo, la Sentencia de Unificación SU-075 de 2018 determinó el tratamiento que deberían darles las entidades a sus trabajadoras o contratistas cuando se encuentren en estado de embarazo o lactancia, estableciendo su procedencia en los siguientes términos: </w:t>
      </w:r>
    </w:p>
    <w:p w14:paraId="45E9DC7C" w14:textId="77777777" w:rsidR="0084476C" w:rsidRPr="00070EC3" w:rsidRDefault="0084476C" w:rsidP="0084476C">
      <w:pPr>
        <w:spacing w:after="0" w:line="276" w:lineRule="auto"/>
        <w:ind w:firstLine="708"/>
        <w:jc w:val="both"/>
        <w:rPr>
          <w:rFonts w:ascii="Verdana" w:hAnsi="Verdana"/>
        </w:rPr>
      </w:pPr>
    </w:p>
    <w:p w14:paraId="37BC6C1F" w14:textId="77777777" w:rsidR="0084476C" w:rsidRPr="00070EC3" w:rsidRDefault="0084476C" w:rsidP="0084476C">
      <w:pPr>
        <w:spacing w:after="120" w:line="240" w:lineRule="auto"/>
        <w:ind w:left="709" w:right="616"/>
        <w:jc w:val="both"/>
        <w:rPr>
          <w:rFonts w:ascii="Verdana" w:hAnsi="Verdana"/>
          <w:sz w:val="20"/>
          <w:szCs w:val="20"/>
        </w:rPr>
      </w:pPr>
      <w:r w:rsidRPr="00070EC3">
        <w:rPr>
          <w:rFonts w:ascii="Verdana" w:hAnsi="Verdana"/>
          <w:sz w:val="20"/>
          <w:szCs w:val="20"/>
        </w:rPr>
        <w:t>“La protección reforzada a la maternidad y la lactancia en el ámbito del trabajo procede cuando se demuestre, sin ninguna otra exigencia adicional, lo siguiente:</w:t>
      </w:r>
    </w:p>
    <w:p w14:paraId="528CAA64" w14:textId="77777777" w:rsidR="0084476C" w:rsidRPr="00070EC3" w:rsidRDefault="0084476C" w:rsidP="0084476C">
      <w:pPr>
        <w:pStyle w:val="Prrafodelista"/>
        <w:numPr>
          <w:ilvl w:val="0"/>
          <w:numId w:val="21"/>
        </w:numPr>
        <w:spacing w:after="120" w:line="240" w:lineRule="auto"/>
        <w:ind w:right="616"/>
        <w:jc w:val="both"/>
        <w:rPr>
          <w:rFonts w:ascii="Verdana" w:hAnsi="Verdana"/>
          <w:sz w:val="20"/>
          <w:szCs w:val="20"/>
        </w:rPr>
      </w:pPr>
      <w:r w:rsidRPr="00070EC3">
        <w:rPr>
          <w:rFonts w:ascii="Verdana" w:hAnsi="Verdana"/>
          <w:sz w:val="20"/>
          <w:szCs w:val="20"/>
        </w:rPr>
        <w:t>La existencia de una relación laboral o de prestación de servicios y;</w:t>
      </w:r>
    </w:p>
    <w:p w14:paraId="7971A2F4" w14:textId="77777777" w:rsidR="0084476C" w:rsidRPr="00070EC3" w:rsidRDefault="0084476C" w:rsidP="0084476C">
      <w:pPr>
        <w:pStyle w:val="Prrafodelista"/>
        <w:numPr>
          <w:ilvl w:val="0"/>
          <w:numId w:val="21"/>
        </w:numPr>
        <w:spacing w:after="120" w:line="240" w:lineRule="auto"/>
        <w:ind w:right="616"/>
        <w:jc w:val="both"/>
        <w:rPr>
          <w:rFonts w:ascii="Verdana" w:hAnsi="Verdana"/>
          <w:sz w:val="20"/>
          <w:szCs w:val="20"/>
        </w:rPr>
      </w:pPr>
      <w:r w:rsidRPr="00070EC3">
        <w:rPr>
          <w:rFonts w:ascii="Verdana" w:hAnsi="Verdana"/>
          <w:sz w:val="20"/>
          <w:szCs w:val="20"/>
        </w:rPr>
        <w:t>Que la mujer se encuentra en estado de embarazo o dentro de los tres meses siguientes al parto, en vigencia de dicha relación laboral o de prestación.</w:t>
      </w:r>
    </w:p>
    <w:p w14:paraId="178568AC" w14:textId="77777777" w:rsidR="0084476C" w:rsidRPr="00070EC3" w:rsidRDefault="0084476C" w:rsidP="0084476C">
      <w:pPr>
        <w:spacing w:after="0" w:line="240" w:lineRule="auto"/>
        <w:ind w:left="709" w:right="618"/>
        <w:jc w:val="both"/>
        <w:rPr>
          <w:rFonts w:ascii="Verdana" w:hAnsi="Verdana"/>
          <w:sz w:val="20"/>
          <w:szCs w:val="20"/>
        </w:rPr>
      </w:pPr>
      <w:r w:rsidRPr="00070EC3">
        <w:rPr>
          <w:rFonts w:ascii="Verdana" w:hAnsi="Verdana"/>
          <w:sz w:val="20"/>
          <w:szCs w:val="20"/>
        </w:rPr>
        <w:t>No obstante, el alcance de la protección se debe determinar a partir de dos factores:</w:t>
      </w:r>
    </w:p>
    <w:p w14:paraId="740D560A" w14:textId="77777777" w:rsidR="0084476C" w:rsidRPr="00070EC3" w:rsidRDefault="0084476C" w:rsidP="0084476C">
      <w:pPr>
        <w:spacing w:after="0" w:line="240" w:lineRule="auto"/>
        <w:ind w:left="709" w:right="618"/>
        <w:jc w:val="both"/>
        <w:rPr>
          <w:rFonts w:ascii="Verdana" w:hAnsi="Verdana"/>
          <w:sz w:val="20"/>
          <w:szCs w:val="20"/>
        </w:rPr>
      </w:pPr>
      <w:r w:rsidRPr="00070EC3">
        <w:rPr>
          <w:rFonts w:ascii="Verdana" w:hAnsi="Verdana"/>
          <w:sz w:val="20"/>
          <w:szCs w:val="20"/>
        </w:rPr>
        <w:t>(a) El conocimiento del embarazo por parte del empleador; y</w:t>
      </w:r>
    </w:p>
    <w:p w14:paraId="3EAAA961" w14:textId="77777777" w:rsidR="0084476C" w:rsidRPr="00070EC3" w:rsidRDefault="0084476C" w:rsidP="0084476C">
      <w:pPr>
        <w:spacing w:after="120" w:line="240" w:lineRule="auto"/>
        <w:ind w:left="709" w:right="616"/>
        <w:jc w:val="both"/>
        <w:rPr>
          <w:rFonts w:ascii="Verdana" w:hAnsi="Verdana"/>
          <w:sz w:val="20"/>
          <w:szCs w:val="20"/>
        </w:rPr>
      </w:pPr>
      <w:r w:rsidRPr="00070EC3">
        <w:rPr>
          <w:rFonts w:ascii="Verdana" w:hAnsi="Verdana"/>
          <w:sz w:val="20"/>
          <w:szCs w:val="20"/>
        </w:rPr>
        <w:t>(b) La alternativa laboral mediante la cual se encontraba vinculada la mujer embarazada”.</w:t>
      </w:r>
      <w:r w:rsidRPr="00070EC3">
        <w:rPr>
          <w:rStyle w:val="Refdenotaalpie"/>
          <w:rFonts w:ascii="Verdana" w:hAnsi="Verdana"/>
          <w:sz w:val="20"/>
          <w:szCs w:val="20"/>
        </w:rPr>
        <w:footnoteReference w:id="20"/>
      </w:r>
    </w:p>
    <w:p w14:paraId="3430CFDF" w14:textId="77777777" w:rsidR="0084476C" w:rsidRPr="00070EC3" w:rsidRDefault="0084476C" w:rsidP="0084476C">
      <w:pPr>
        <w:spacing w:after="120" w:line="276" w:lineRule="auto"/>
        <w:ind w:right="616" w:firstLine="708"/>
        <w:jc w:val="both"/>
        <w:rPr>
          <w:rFonts w:ascii="Verdana" w:hAnsi="Verdana"/>
        </w:rPr>
      </w:pPr>
      <w:r w:rsidRPr="00070EC3">
        <w:rPr>
          <w:rFonts w:ascii="Verdana" w:hAnsi="Verdana"/>
        </w:rPr>
        <w:t xml:space="preserve">Como se evidencia en el texto referido, el criterio adoptado por la Corte establece que, solo se requiere acreditar la relación laboral o la existencia de un contrato de prestación de servicios y el estado de embarazo o lactancia para acceder a la protección denominada estabilidad ocupacional reforzada de la mujer embarazada, en licencia de maternidad o en periodo de lactancia. En consecuencia, no resulta exigible, en todos los casos, la demostración previa de un contrato realidad para que opere dicha protección. </w:t>
      </w:r>
    </w:p>
    <w:p w14:paraId="4FA36B7D" w14:textId="77777777" w:rsidR="0084476C" w:rsidRPr="00070EC3" w:rsidRDefault="0084476C" w:rsidP="0084476C">
      <w:pPr>
        <w:spacing w:after="240" w:line="276" w:lineRule="auto"/>
        <w:ind w:right="616" w:firstLine="708"/>
        <w:jc w:val="both"/>
        <w:rPr>
          <w:rFonts w:ascii="Verdana" w:hAnsi="Verdana"/>
        </w:rPr>
      </w:pPr>
      <w:r w:rsidRPr="00070EC3">
        <w:rPr>
          <w:rFonts w:ascii="Verdana" w:hAnsi="Verdana"/>
        </w:rPr>
        <w:t>En particular, para el caso concreto de los contratos de prestación de servicios, la sentencia en mención determina:</w:t>
      </w:r>
    </w:p>
    <w:p w14:paraId="4B5F6D35" w14:textId="77777777" w:rsidR="0084476C" w:rsidRPr="00070EC3" w:rsidRDefault="0084476C" w:rsidP="0084476C">
      <w:pPr>
        <w:spacing w:after="240" w:line="240" w:lineRule="auto"/>
        <w:ind w:left="567" w:right="900"/>
        <w:jc w:val="both"/>
        <w:rPr>
          <w:rFonts w:ascii="Verdana" w:hAnsi="Verdana"/>
          <w:sz w:val="20"/>
          <w:szCs w:val="20"/>
        </w:rPr>
      </w:pPr>
      <w:r w:rsidRPr="00070EC3">
        <w:rPr>
          <w:rFonts w:ascii="Verdana" w:hAnsi="Verdana"/>
          <w:sz w:val="20"/>
          <w:szCs w:val="20"/>
        </w:rPr>
        <w:t>“[…] en el supuesto en que la trabajadora gestante o lactante haya estado vinculada mediante un contrato de prestación de servicios y logre demostrar la existencia de un contrato realidad, se deberán aplicar las reglas propuestas para los contratos a término fijo, toda vez que, “dentro las características del contrato de prestación de servicios, según lo ha entendido esta Corporación, se encuentran que se trata de un contrato temporal, cuya duración es por un tiempo limitado, que es además el indispensable para ejecutar el objeto contractual convenido […]”.</w:t>
      </w:r>
    </w:p>
    <w:p w14:paraId="26ED5915" w14:textId="77777777" w:rsidR="0084476C" w:rsidRPr="00070EC3" w:rsidRDefault="0084476C" w:rsidP="0084476C">
      <w:pPr>
        <w:spacing w:after="120" w:line="276" w:lineRule="auto"/>
        <w:ind w:firstLine="708"/>
        <w:jc w:val="both"/>
        <w:rPr>
          <w:rFonts w:ascii="Verdana" w:hAnsi="Verdana"/>
        </w:rPr>
      </w:pPr>
      <w:r w:rsidRPr="00070EC3">
        <w:rPr>
          <w:rFonts w:ascii="Verdana" w:hAnsi="Verdana"/>
        </w:rPr>
        <w:t xml:space="preserve">Conforme a lo expuesto, se concluye que, la Corte Constitucional ha expuesto dos (2) escenarios frente a los cuales opera la protección del denominado fuero de maternidad de mujeres vinculadas por medio de un contrato de prestación de servicios: i) cuando el juez verifica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070EC3">
        <w:rPr>
          <w:rFonts w:ascii="Verdana" w:hAnsi="Verdana"/>
        </w:rPr>
        <w:t>ii</w:t>
      </w:r>
      <w:proofErr w:type="spellEnd"/>
      <w:r w:rsidRPr="00070EC3">
        <w:rPr>
          <w:rFonts w:ascii="Verdana" w:hAnsi="Verdana"/>
        </w:rPr>
        <w:t xml:space="preserve">) cuando a pesar de no probarse la configuración de un contrato realidad, la terminación del contrato de prestación de servicios se fundamenta en criterios discriminatorios y no en motivos objetivos. </w:t>
      </w:r>
    </w:p>
    <w:p w14:paraId="7A7F3166" w14:textId="77777777" w:rsidR="0084476C" w:rsidRPr="00070EC3" w:rsidRDefault="0084476C" w:rsidP="0084476C">
      <w:pPr>
        <w:spacing w:after="120" w:line="276" w:lineRule="auto"/>
        <w:ind w:firstLine="708"/>
        <w:jc w:val="both"/>
        <w:rPr>
          <w:rFonts w:ascii="Verdana" w:hAnsi="Verdana"/>
        </w:rPr>
      </w:pPr>
      <w:r w:rsidRPr="00070EC3">
        <w:rPr>
          <w:rFonts w:ascii="Verdana" w:hAnsi="Verdana"/>
        </w:rPr>
        <w:t xml:space="preserve">Esta línea interpretativa fue reiterada por la Corte, en la sentencia T-239 de 2022, donde el Alto Tribunal consideró que, en los casos de vinculación mediante contrato de prestación de servicios, aun cuando en sede de tutela no se logren acreditar los elementos del contrato realidad, hay lugar a la protección derivada del fuero de maternidad. En criterio de la Corte, dicha protección encuentra su sustento en consideraciones constitucionales orientadas a salvaguardar los derechos fundamentales de la mujer gestante o lactante. En palabras de la Corte Constitucional: </w:t>
      </w:r>
    </w:p>
    <w:p w14:paraId="7C970DC9" w14:textId="77777777" w:rsidR="0084476C" w:rsidRPr="00070EC3" w:rsidRDefault="0084476C" w:rsidP="0084476C">
      <w:pPr>
        <w:spacing w:after="0" w:line="240" w:lineRule="auto"/>
        <w:ind w:left="709" w:right="709"/>
        <w:jc w:val="both"/>
        <w:rPr>
          <w:rFonts w:ascii="Verdana" w:hAnsi="Verdana"/>
          <w:sz w:val="20"/>
          <w:szCs w:val="20"/>
        </w:rPr>
      </w:pPr>
      <w:r w:rsidRPr="00070EC3">
        <w:rPr>
          <w:rFonts w:ascii="Verdana" w:hAnsi="Verdana"/>
          <w:sz w:val="20"/>
          <w:szCs w:val="20"/>
        </w:rPr>
        <w:t>“(i) la protección de la mujer gestante o en periodo de lactancia se deriva de, entre otros, los artículos 43, 53 y 13 de la Constitución Nacional; (</w:t>
      </w:r>
      <w:proofErr w:type="spellStart"/>
      <w:r w:rsidRPr="00070EC3">
        <w:rPr>
          <w:rFonts w:ascii="Verdana" w:hAnsi="Verdana"/>
          <w:sz w:val="20"/>
          <w:szCs w:val="20"/>
        </w:rPr>
        <w:t>ii</w:t>
      </w:r>
      <w:proofErr w:type="spellEnd"/>
      <w:r w:rsidRPr="00070EC3">
        <w:rPr>
          <w:rFonts w:ascii="Verdana" w:hAnsi="Verdana"/>
          <w:sz w:val="20"/>
          <w:szCs w:val="20"/>
        </w:rPr>
        <w:t>) la Sentencia SU-070 de 2013 reiteró la protección a la mujer embarazada en todas las alternativas laborales o de trabajo en las que se incluye el contrato de prestación de servicios; (</w:t>
      </w:r>
      <w:proofErr w:type="spellStart"/>
      <w:r w:rsidRPr="00070EC3">
        <w:rPr>
          <w:rFonts w:ascii="Verdana" w:hAnsi="Verdana"/>
          <w:sz w:val="20"/>
          <w:szCs w:val="20"/>
        </w:rPr>
        <w:t>iii</w:t>
      </w:r>
      <w:proofErr w:type="spellEnd"/>
      <w:r w:rsidRPr="00070EC3">
        <w:rPr>
          <w:rFonts w:ascii="Verdana" w:hAnsi="Verdana"/>
          <w:sz w:val="20"/>
          <w:szCs w:val="20"/>
        </w:rPr>
        <w:t>) la Sentencia SU-075 de 2018 reiteró que las condiciones para la protección de la mujer embarazada son la existencia de una relación laboral o de prestación de servicios y que la mujer se encuentre en estado de embarazo o dentro de los tres meses siguientes al parto, en vigencia de dicha relación laboral o de prestación de servicios; y (</w:t>
      </w:r>
      <w:proofErr w:type="spellStart"/>
      <w:r w:rsidRPr="00070EC3">
        <w:rPr>
          <w:rFonts w:ascii="Verdana" w:hAnsi="Verdana"/>
          <w:sz w:val="20"/>
          <w:szCs w:val="20"/>
        </w:rPr>
        <w:t>iv</w:t>
      </w:r>
      <w:proofErr w:type="spellEnd"/>
      <w:r w:rsidRPr="00070EC3">
        <w:rPr>
          <w:rFonts w:ascii="Verdana" w:hAnsi="Verdana"/>
          <w:sz w:val="20"/>
          <w:szCs w:val="20"/>
        </w:rPr>
        <w:t>) las salas de revisión de la Corte Constitucional reconocen la protección derivada del fuero de maternidad en los contratos de prestación de servicios”</w:t>
      </w:r>
      <w:r w:rsidRPr="00070EC3">
        <w:rPr>
          <w:rStyle w:val="Refdenotaalpie"/>
          <w:rFonts w:ascii="Verdana" w:hAnsi="Verdana"/>
          <w:sz w:val="20"/>
          <w:szCs w:val="20"/>
        </w:rPr>
        <w:footnoteReference w:id="21"/>
      </w:r>
      <w:r w:rsidRPr="00070EC3">
        <w:rPr>
          <w:rFonts w:ascii="Verdana" w:hAnsi="Verdana"/>
          <w:sz w:val="20"/>
          <w:szCs w:val="20"/>
        </w:rPr>
        <w:t xml:space="preserve">. </w:t>
      </w:r>
    </w:p>
    <w:p w14:paraId="49F8E269" w14:textId="77777777" w:rsidR="0084476C" w:rsidRPr="00070EC3" w:rsidRDefault="0084476C" w:rsidP="0084476C">
      <w:pPr>
        <w:spacing w:after="0" w:line="276" w:lineRule="auto"/>
        <w:ind w:left="709" w:right="709"/>
        <w:jc w:val="both"/>
        <w:rPr>
          <w:rFonts w:ascii="Verdana" w:hAnsi="Verdana"/>
          <w:sz w:val="20"/>
          <w:szCs w:val="20"/>
        </w:rPr>
      </w:pPr>
    </w:p>
    <w:p w14:paraId="6C12C2DD" w14:textId="77777777" w:rsidR="0084476C" w:rsidRPr="00070EC3" w:rsidRDefault="0084476C" w:rsidP="0084476C">
      <w:pPr>
        <w:spacing w:after="0" w:line="276" w:lineRule="auto"/>
        <w:ind w:firstLine="708"/>
        <w:jc w:val="both"/>
        <w:rPr>
          <w:rFonts w:ascii="Verdana" w:hAnsi="Verdana"/>
        </w:rPr>
      </w:pPr>
      <w:r w:rsidRPr="00070EC3">
        <w:rPr>
          <w:rFonts w:ascii="Verdana" w:hAnsi="Verdana"/>
        </w:rPr>
        <w:t>En línea con lo anterior, resulta relevante relacionar las reglas establecidas en la jurisprudencia constitucional para la protección de las mujeres vinculadas mediante este tipo contratos a quienes no se les renueva el vínculo o es terminado mientras se encuentran en estado de embarazo, en licencia de maternidad o en el periodo de lactancia:</w:t>
      </w:r>
    </w:p>
    <w:p w14:paraId="26CA87A1" w14:textId="77777777" w:rsidR="0084476C" w:rsidRPr="00070EC3" w:rsidRDefault="0084476C" w:rsidP="0084476C">
      <w:pPr>
        <w:spacing w:after="0" w:line="276" w:lineRule="auto"/>
        <w:ind w:firstLine="708"/>
        <w:jc w:val="both"/>
        <w:rPr>
          <w:rFonts w:ascii="Verdana" w:hAnsi="Verdana"/>
        </w:rPr>
      </w:pPr>
    </w:p>
    <w:tbl>
      <w:tblPr>
        <w:tblStyle w:val="TableNormal1"/>
        <w:tblW w:w="883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2830"/>
        <w:gridCol w:w="6007"/>
      </w:tblGrid>
      <w:tr w:rsidR="0084476C" w:rsidRPr="00070EC3" w14:paraId="08706E22" w14:textId="77777777" w:rsidTr="006F12F3">
        <w:trPr>
          <w:trHeight w:val="729"/>
          <w:jc w:val="center"/>
        </w:trPr>
        <w:tc>
          <w:tcPr>
            <w:tcW w:w="2830" w:type="dxa"/>
            <w:tcBorders>
              <w:top w:val="single" w:sz="4" w:space="0" w:color="auto"/>
              <w:left w:val="single" w:sz="4" w:space="0" w:color="auto"/>
              <w:bottom w:val="single" w:sz="4" w:space="0" w:color="auto"/>
            </w:tcBorders>
            <w:shd w:val="clear" w:color="auto" w:fill="D9E2F3" w:themeFill="accent1" w:themeFillTint="33"/>
            <w:vAlign w:val="center"/>
          </w:tcPr>
          <w:p w14:paraId="42C20255" w14:textId="77777777" w:rsidR="0084476C" w:rsidRPr="00070EC3" w:rsidRDefault="0084476C" w:rsidP="006F12F3">
            <w:pPr>
              <w:ind w:left="438" w:right="428" w:firstLine="58"/>
              <w:jc w:val="center"/>
              <w:rPr>
                <w:rFonts w:ascii="Verdana" w:eastAsia="Calibri" w:hAnsi="Verdana" w:cs="Calibri"/>
                <w:b/>
                <w:sz w:val="20"/>
                <w:szCs w:val="20"/>
              </w:rPr>
            </w:pPr>
            <w:r w:rsidRPr="00070EC3">
              <w:rPr>
                <w:rFonts w:ascii="Verdana" w:eastAsia="Calibri" w:hAnsi="Verdana" w:cs="Calibri"/>
                <w:b/>
                <w:sz w:val="20"/>
                <w:szCs w:val="20"/>
              </w:rPr>
              <w:t xml:space="preserve">Tipo de </w:t>
            </w:r>
            <w:r w:rsidRPr="00070EC3">
              <w:rPr>
                <w:rFonts w:ascii="Verdana" w:eastAsia="Calibri" w:hAnsi="Verdana" w:cs="Calibri"/>
                <w:b/>
                <w:spacing w:val="-2"/>
                <w:sz w:val="20"/>
                <w:szCs w:val="20"/>
              </w:rPr>
              <w:t>relación material</w:t>
            </w:r>
          </w:p>
        </w:tc>
        <w:tc>
          <w:tcPr>
            <w:tcW w:w="6007" w:type="dxa"/>
            <w:tcBorders>
              <w:top w:val="single" w:sz="4" w:space="0" w:color="auto"/>
              <w:bottom w:val="single" w:sz="4" w:space="0" w:color="auto"/>
              <w:right w:val="single" w:sz="4" w:space="0" w:color="auto"/>
            </w:tcBorders>
            <w:shd w:val="clear" w:color="auto" w:fill="D9E2F3" w:themeFill="accent1" w:themeFillTint="33"/>
          </w:tcPr>
          <w:p w14:paraId="27E03E5D" w14:textId="77777777" w:rsidR="0084476C" w:rsidRPr="00070EC3" w:rsidRDefault="0084476C" w:rsidP="006F12F3">
            <w:pPr>
              <w:ind w:left="119"/>
              <w:jc w:val="center"/>
              <w:rPr>
                <w:rFonts w:ascii="Verdana" w:eastAsia="Calibri" w:hAnsi="Verdana" w:cs="Calibri"/>
                <w:sz w:val="20"/>
                <w:szCs w:val="20"/>
              </w:rPr>
            </w:pPr>
          </w:p>
          <w:p w14:paraId="60C53433" w14:textId="77777777" w:rsidR="0084476C" w:rsidRPr="00070EC3" w:rsidRDefault="0084476C" w:rsidP="006F12F3">
            <w:pPr>
              <w:ind w:left="4"/>
              <w:jc w:val="center"/>
              <w:rPr>
                <w:rFonts w:ascii="Verdana" w:eastAsia="Calibri" w:hAnsi="Verdana" w:cs="Calibri"/>
                <w:b/>
                <w:sz w:val="20"/>
                <w:szCs w:val="20"/>
              </w:rPr>
            </w:pPr>
            <w:r w:rsidRPr="00070EC3">
              <w:rPr>
                <w:rFonts w:ascii="Verdana" w:eastAsia="Calibri" w:hAnsi="Verdana" w:cs="Calibri"/>
                <w:b/>
                <w:sz w:val="20"/>
                <w:szCs w:val="20"/>
              </w:rPr>
              <w:t>Alcance</w:t>
            </w:r>
            <w:r w:rsidRPr="00070EC3">
              <w:rPr>
                <w:rFonts w:ascii="Verdana" w:eastAsia="Calibri" w:hAnsi="Verdana" w:cs="Calibri"/>
                <w:b/>
                <w:spacing w:val="-9"/>
                <w:sz w:val="20"/>
                <w:szCs w:val="20"/>
              </w:rPr>
              <w:t xml:space="preserve"> </w:t>
            </w:r>
            <w:r w:rsidRPr="00070EC3">
              <w:rPr>
                <w:rFonts w:ascii="Verdana" w:eastAsia="Calibri" w:hAnsi="Verdana" w:cs="Calibri"/>
                <w:b/>
                <w:sz w:val="20"/>
                <w:szCs w:val="20"/>
              </w:rPr>
              <w:t>de</w:t>
            </w:r>
            <w:r w:rsidRPr="00070EC3">
              <w:rPr>
                <w:rFonts w:ascii="Verdana" w:eastAsia="Calibri" w:hAnsi="Verdana" w:cs="Calibri"/>
                <w:b/>
                <w:spacing w:val="-8"/>
                <w:sz w:val="20"/>
                <w:szCs w:val="20"/>
              </w:rPr>
              <w:t xml:space="preserve"> </w:t>
            </w:r>
            <w:r w:rsidRPr="00070EC3">
              <w:rPr>
                <w:rFonts w:ascii="Verdana" w:eastAsia="Calibri" w:hAnsi="Verdana" w:cs="Calibri"/>
                <w:b/>
                <w:sz w:val="20"/>
                <w:szCs w:val="20"/>
              </w:rPr>
              <w:t>la</w:t>
            </w:r>
            <w:r w:rsidRPr="00070EC3">
              <w:rPr>
                <w:rFonts w:ascii="Verdana" w:eastAsia="Calibri" w:hAnsi="Verdana" w:cs="Calibri"/>
                <w:b/>
                <w:spacing w:val="-8"/>
                <w:sz w:val="20"/>
                <w:szCs w:val="20"/>
              </w:rPr>
              <w:t xml:space="preserve"> </w:t>
            </w:r>
            <w:r w:rsidRPr="00070EC3">
              <w:rPr>
                <w:rFonts w:ascii="Verdana" w:eastAsia="Calibri" w:hAnsi="Verdana" w:cs="Calibri"/>
                <w:b/>
                <w:spacing w:val="-2"/>
                <w:sz w:val="20"/>
                <w:szCs w:val="20"/>
              </w:rPr>
              <w:t>protección</w:t>
            </w:r>
          </w:p>
        </w:tc>
      </w:tr>
      <w:tr w:rsidR="0084476C" w:rsidRPr="00070EC3" w14:paraId="170C8460" w14:textId="77777777" w:rsidTr="006F12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jc w:val="center"/>
        </w:trPr>
        <w:tc>
          <w:tcPr>
            <w:tcW w:w="2830" w:type="dxa"/>
            <w:tcBorders>
              <w:top w:val="single" w:sz="4" w:space="0" w:color="auto"/>
              <w:left w:val="single" w:sz="4" w:space="0" w:color="auto"/>
              <w:bottom w:val="single" w:sz="4" w:space="0" w:color="auto"/>
              <w:right w:val="single" w:sz="4" w:space="0" w:color="auto"/>
            </w:tcBorders>
          </w:tcPr>
          <w:p w14:paraId="5C3DCD84" w14:textId="77777777" w:rsidR="0084476C" w:rsidRPr="00070EC3" w:rsidRDefault="0084476C" w:rsidP="006F12F3">
            <w:pPr>
              <w:ind w:left="89" w:right="80"/>
              <w:jc w:val="center"/>
              <w:rPr>
                <w:rFonts w:ascii="Verdana" w:eastAsia="Calibri" w:hAnsi="Verdana" w:cs="Calibri"/>
                <w:b/>
                <w:sz w:val="20"/>
                <w:szCs w:val="20"/>
                <w:lang w:val="es-CO"/>
              </w:rPr>
            </w:pPr>
          </w:p>
          <w:p w14:paraId="4A021F83" w14:textId="77777777" w:rsidR="0084476C" w:rsidRPr="00070EC3" w:rsidRDefault="0084476C" w:rsidP="006F12F3">
            <w:pPr>
              <w:ind w:left="89" w:right="80"/>
              <w:jc w:val="center"/>
              <w:rPr>
                <w:rFonts w:ascii="Verdana" w:eastAsia="Calibri" w:hAnsi="Verdana" w:cs="Calibri"/>
                <w:b/>
                <w:sz w:val="20"/>
                <w:szCs w:val="20"/>
                <w:lang w:val="es-CO"/>
              </w:rPr>
            </w:pPr>
            <w:r w:rsidRPr="00070EC3">
              <w:rPr>
                <w:rFonts w:ascii="Verdana" w:eastAsia="Calibri" w:hAnsi="Verdana" w:cs="Calibri"/>
                <w:b/>
                <w:sz w:val="20"/>
                <w:szCs w:val="20"/>
                <w:lang w:val="es-CO"/>
              </w:rPr>
              <w:t>Se</w:t>
            </w:r>
            <w:r w:rsidRPr="00070EC3">
              <w:rPr>
                <w:rFonts w:ascii="Verdana" w:eastAsia="Calibri" w:hAnsi="Verdana" w:cs="Calibri"/>
                <w:b/>
                <w:spacing w:val="-18"/>
                <w:sz w:val="20"/>
                <w:szCs w:val="20"/>
                <w:lang w:val="es-CO"/>
              </w:rPr>
              <w:t xml:space="preserve"> </w:t>
            </w:r>
            <w:r w:rsidRPr="00070EC3">
              <w:rPr>
                <w:rFonts w:ascii="Verdana" w:eastAsia="Calibri" w:hAnsi="Verdana" w:cs="Calibri"/>
                <w:b/>
                <w:sz w:val="20"/>
                <w:szCs w:val="20"/>
                <w:lang w:val="es-CO"/>
              </w:rPr>
              <w:t xml:space="preserve">configura un contrato </w:t>
            </w:r>
            <w:r w:rsidRPr="00070EC3">
              <w:rPr>
                <w:rFonts w:ascii="Verdana" w:eastAsia="Calibri" w:hAnsi="Verdana" w:cs="Calibri"/>
                <w:b/>
                <w:spacing w:val="-2"/>
                <w:sz w:val="20"/>
                <w:szCs w:val="20"/>
                <w:lang w:val="es-CO"/>
              </w:rPr>
              <w:t>realidad</w:t>
            </w:r>
          </w:p>
        </w:tc>
        <w:tc>
          <w:tcPr>
            <w:tcW w:w="6007" w:type="dxa"/>
            <w:tcBorders>
              <w:top w:val="single" w:sz="4" w:space="0" w:color="auto"/>
              <w:left w:val="single" w:sz="4" w:space="0" w:color="auto"/>
              <w:bottom w:val="single" w:sz="4" w:space="0" w:color="auto"/>
              <w:right w:val="single" w:sz="4" w:space="0" w:color="auto"/>
            </w:tcBorders>
          </w:tcPr>
          <w:p w14:paraId="4E7FC745" w14:textId="77777777" w:rsidR="0084476C" w:rsidRPr="00070EC3" w:rsidRDefault="0084476C" w:rsidP="006F12F3">
            <w:pPr>
              <w:ind w:left="108" w:right="95"/>
              <w:jc w:val="both"/>
              <w:rPr>
                <w:rFonts w:ascii="Verdana" w:eastAsia="Calibri" w:hAnsi="Verdana" w:cs="Calibri"/>
                <w:sz w:val="20"/>
                <w:szCs w:val="20"/>
                <w:lang w:val="es-CO"/>
              </w:rPr>
            </w:pPr>
            <w:r w:rsidRPr="00070EC3">
              <w:rPr>
                <w:rFonts w:ascii="Verdana" w:eastAsia="Calibri" w:hAnsi="Verdana" w:cs="Calibri"/>
                <w:sz w:val="20"/>
                <w:szCs w:val="20"/>
                <w:lang w:val="es-CO"/>
              </w:rPr>
              <w:t>El juez de tutela deberá aplicar las reglas establecidas para el contrato laboral a término fijo, debido a que este contrato, por sus características de temporalidad, es el que mejor se asemeja al contrato de prestación de servicios</w:t>
            </w:r>
            <w:r w:rsidRPr="00070EC3">
              <w:rPr>
                <w:rFonts w:ascii="Verdana" w:eastAsia="Calibri" w:hAnsi="Verdana" w:cs="Calibri"/>
                <w:sz w:val="20"/>
                <w:szCs w:val="20"/>
                <w:vertAlign w:val="superscript"/>
              </w:rPr>
              <w:footnoteReference w:id="22"/>
            </w:r>
            <w:r w:rsidRPr="00070EC3">
              <w:rPr>
                <w:rFonts w:ascii="Verdana" w:eastAsia="Calibri" w:hAnsi="Verdana" w:cs="Calibri"/>
                <w:sz w:val="20"/>
                <w:szCs w:val="20"/>
                <w:lang w:val="es-CO"/>
              </w:rPr>
              <w:t>.</w:t>
            </w:r>
          </w:p>
        </w:tc>
      </w:tr>
      <w:tr w:rsidR="0084476C" w:rsidRPr="00070EC3" w14:paraId="0A5FB947" w14:textId="77777777" w:rsidTr="006F12F3">
        <w:trPr>
          <w:trHeight w:val="267"/>
          <w:jc w:val="center"/>
        </w:trPr>
        <w:tc>
          <w:tcPr>
            <w:tcW w:w="2830" w:type="dxa"/>
            <w:tcBorders>
              <w:top w:val="single" w:sz="4" w:space="0" w:color="auto"/>
              <w:left w:val="single" w:sz="4" w:space="0" w:color="auto"/>
              <w:bottom w:val="single" w:sz="4" w:space="0" w:color="auto"/>
              <w:right w:val="single" w:sz="4" w:space="0" w:color="auto"/>
            </w:tcBorders>
          </w:tcPr>
          <w:p w14:paraId="563F1657" w14:textId="77777777" w:rsidR="0084476C" w:rsidRPr="00070EC3" w:rsidRDefault="0084476C" w:rsidP="006F12F3">
            <w:pPr>
              <w:rPr>
                <w:rFonts w:ascii="Verdana" w:eastAsia="Calibri" w:hAnsi="Verdana" w:cs="Calibri"/>
                <w:sz w:val="20"/>
                <w:szCs w:val="20"/>
                <w:lang w:val="es-CO"/>
              </w:rPr>
            </w:pPr>
          </w:p>
          <w:p w14:paraId="4D48DBAD" w14:textId="77777777" w:rsidR="0084476C" w:rsidRPr="00070EC3" w:rsidRDefault="0084476C" w:rsidP="006F12F3">
            <w:pPr>
              <w:ind w:left="198" w:right="189"/>
              <w:jc w:val="center"/>
              <w:rPr>
                <w:rFonts w:ascii="Verdana" w:eastAsia="Calibri" w:hAnsi="Verdana" w:cs="Calibri"/>
                <w:b/>
                <w:sz w:val="20"/>
                <w:szCs w:val="20"/>
                <w:lang w:val="es-CO"/>
              </w:rPr>
            </w:pPr>
            <w:r w:rsidRPr="00070EC3">
              <w:rPr>
                <w:rFonts w:ascii="Verdana" w:eastAsia="Calibri" w:hAnsi="Verdana" w:cs="Calibri"/>
                <w:b/>
                <w:sz w:val="20"/>
                <w:szCs w:val="20"/>
                <w:lang w:val="es-CO"/>
              </w:rPr>
              <w:t>No se configura</w:t>
            </w:r>
            <w:r w:rsidRPr="00070EC3">
              <w:rPr>
                <w:rFonts w:ascii="Verdana" w:eastAsia="Calibri" w:hAnsi="Verdana" w:cs="Calibri"/>
                <w:b/>
                <w:spacing w:val="-18"/>
                <w:sz w:val="20"/>
                <w:szCs w:val="20"/>
                <w:lang w:val="es-CO"/>
              </w:rPr>
              <w:t xml:space="preserve"> </w:t>
            </w:r>
            <w:r w:rsidRPr="00070EC3">
              <w:rPr>
                <w:rFonts w:ascii="Verdana" w:eastAsia="Calibri" w:hAnsi="Verdana" w:cs="Calibri"/>
                <w:b/>
                <w:sz w:val="20"/>
                <w:szCs w:val="20"/>
                <w:lang w:val="es-CO"/>
              </w:rPr>
              <w:t xml:space="preserve">un </w:t>
            </w:r>
            <w:r w:rsidRPr="00070EC3">
              <w:rPr>
                <w:rFonts w:ascii="Verdana" w:eastAsia="Calibri" w:hAnsi="Verdana" w:cs="Calibri"/>
                <w:b/>
                <w:spacing w:val="-2"/>
                <w:sz w:val="20"/>
                <w:szCs w:val="20"/>
                <w:lang w:val="es-CO"/>
              </w:rPr>
              <w:t>contrato realidad</w:t>
            </w:r>
          </w:p>
        </w:tc>
        <w:tc>
          <w:tcPr>
            <w:tcW w:w="6007" w:type="dxa"/>
            <w:tcBorders>
              <w:top w:val="single" w:sz="4" w:space="0" w:color="auto"/>
              <w:left w:val="single" w:sz="4" w:space="0" w:color="auto"/>
              <w:bottom w:val="single" w:sz="4" w:space="0" w:color="auto"/>
              <w:right w:val="single" w:sz="4" w:space="0" w:color="auto"/>
            </w:tcBorders>
          </w:tcPr>
          <w:p w14:paraId="7F204E0A" w14:textId="77777777" w:rsidR="0084476C" w:rsidRPr="00070EC3" w:rsidRDefault="0084476C" w:rsidP="006F12F3">
            <w:pPr>
              <w:tabs>
                <w:tab w:val="left" w:pos="828"/>
              </w:tabs>
              <w:ind w:left="119" w:right="96"/>
              <w:jc w:val="both"/>
              <w:rPr>
                <w:rFonts w:ascii="Verdana" w:eastAsia="Calibri" w:hAnsi="Verdana" w:cs="Calibri"/>
                <w:sz w:val="20"/>
                <w:szCs w:val="20"/>
                <w:lang w:val="es-CO"/>
              </w:rPr>
            </w:pPr>
          </w:p>
          <w:p w14:paraId="155EDFCE" w14:textId="77777777" w:rsidR="0084476C" w:rsidRPr="00070EC3" w:rsidRDefault="0084476C" w:rsidP="006F12F3">
            <w:pPr>
              <w:tabs>
                <w:tab w:val="left" w:pos="828"/>
              </w:tabs>
              <w:ind w:left="119" w:right="96"/>
              <w:jc w:val="both"/>
              <w:rPr>
                <w:rFonts w:ascii="Verdana" w:eastAsia="Calibri" w:hAnsi="Verdana" w:cs="Calibri"/>
                <w:spacing w:val="-2"/>
                <w:sz w:val="20"/>
                <w:szCs w:val="20"/>
                <w:lang w:val="es-CO"/>
              </w:rPr>
            </w:pPr>
            <w:r w:rsidRPr="00070EC3">
              <w:rPr>
                <w:rFonts w:ascii="Verdana" w:eastAsia="Calibri" w:hAnsi="Verdana" w:cs="Calibri"/>
                <w:sz w:val="20"/>
                <w:szCs w:val="20"/>
                <w:lang w:val="es-CO"/>
              </w:rPr>
              <w:t>Si</w:t>
            </w:r>
            <w:r w:rsidRPr="00070EC3">
              <w:rPr>
                <w:rFonts w:ascii="Verdana" w:eastAsia="Calibri" w:hAnsi="Verdana" w:cs="Calibri"/>
                <w:spacing w:val="-14"/>
                <w:sz w:val="20"/>
                <w:szCs w:val="20"/>
                <w:lang w:val="es-CO"/>
              </w:rPr>
              <w:t xml:space="preserve"> </w:t>
            </w:r>
            <w:r w:rsidRPr="00070EC3">
              <w:rPr>
                <w:rFonts w:ascii="Verdana" w:eastAsia="Calibri" w:hAnsi="Verdana" w:cs="Calibri"/>
                <w:sz w:val="20"/>
                <w:szCs w:val="20"/>
                <w:lang w:val="es-CO"/>
              </w:rPr>
              <w:t>(i)</w:t>
            </w:r>
            <w:r w:rsidRPr="00070EC3">
              <w:rPr>
                <w:rFonts w:ascii="Verdana" w:eastAsia="Calibri" w:hAnsi="Verdana" w:cs="Calibri"/>
                <w:spacing w:val="-14"/>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13"/>
                <w:sz w:val="20"/>
                <w:szCs w:val="20"/>
                <w:lang w:val="es-CO"/>
              </w:rPr>
              <w:t xml:space="preserve"> </w:t>
            </w:r>
            <w:r w:rsidRPr="00070EC3">
              <w:rPr>
                <w:rFonts w:ascii="Verdana" w:eastAsia="Calibri" w:hAnsi="Verdana" w:cs="Calibri"/>
                <w:sz w:val="20"/>
                <w:szCs w:val="20"/>
                <w:lang w:val="es-CO"/>
              </w:rPr>
              <w:t>contratante</w:t>
            </w:r>
            <w:r w:rsidRPr="00070EC3">
              <w:rPr>
                <w:rFonts w:ascii="Verdana" w:eastAsia="Calibri" w:hAnsi="Verdana" w:cs="Calibri"/>
                <w:spacing w:val="-11"/>
                <w:sz w:val="20"/>
                <w:szCs w:val="20"/>
                <w:lang w:val="es-CO"/>
              </w:rPr>
              <w:t xml:space="preserve"> </w:t>
            </w:r>
            <w:r w:rsidRPr="00070EC3">
              <w:rPr>
                <w:rFonts w:ascii="Verdana" w:eastAsia="Calibri" w:hAnsi="Verdana" w:cs="Calibri"/>
                <w:sz w:val="20"/>
                <w:szCs w:val="20"/>
                <w:lang w:val="es-CO"/>
              </w:rPr>
              <w:t>conoce</w:t>
            </w:r>
            <w:r w:rsidRPr="00070EC3">
              <w:rPr>
                <w:rFonts w:ascii="Verdana" w:eastAsia="Calibri" w:hAnsi="Verdana" w:cs="Calibri"/>
                <w:spacing w:val="-13"/>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14"/>
                <w:sz w:val="20"/>
                <w:szCs w:val="20"/>
                <w:lang w:val="es-CO"/>
              </w:rPr>
              <w:t xml:space="preserve"> </w:t>
            </w:r>
            <w:r w:rsidRPr="00070EC3">
              <w:rPr>
                <w:rFonts w:ascii="Verdana" w:eastAsia="Calibri" w:hAnsi="Verdana" w:cs="Calibri"/>
                <w:sz w:val="20"/>
                <w:szCs w:val="20"/>
                <w:lang w:val="es-CO"/>
              </w:rPr>
              <w:t>estado</w:t>
            </w:r>
            <w:r w:rsidRPr="00070EC3">
              <w:rPr>
                <w:rFonts w:ascii="Verdana" w:eastAsia="Calibri" w:hAnsi="Verdana" w:cs="Calibri"/>
                <w:spacing w:val="-12"/>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14"/>
                <w:sz w:val="20"/>
                <w:szCs w:val="20"/>
                <w:lang w:val="es-CO"/>
              </w:rPr>
              <w:t xml:space="preserve"> </w:t>
            </w:r>
            <w:r w:rsidRPr="00070EC3">
              <w:rPr>
                <w:rFonts w:ascii="Verdana" w:eastAsia="Calibri" w:hAnsi="Verdana" w:cs="Calibri"/>
                <w:sz w:val="20"/>
                <w:szCs w:val="20"/>
                <w:lang w:val="es-CO"/>
              </w:rPr>
              <w:t>embarazo</w:t>
            </w:r>
            <w:r w:rsidRPr="00070EC3">
              <w:rPr>
                <w:rFonts w:ascii="Verdana" w:eastAsia="Calibri" w:hAnsi="Verdana" w:cs="Calibri"/>
                <w:spacing w:val="-12"/>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13"/>
                <w:sz w:val="20"/>
                <w:szCs w:val="20"/>
                <w:lang w:val="es-CO"/>
              </w:rPr>
              <w:t xml:space="preserve"> </w:t>
            </w:r>
            <w:r w:rsidRPr="00070EC3">
              <w:rPr>
                <w:rFonts w:ascii="Verdana" w:eastAsia="Calibri" w:hAnsi="Verdana" w:cs="Calibri"/>
                <w:sz w:val="20"/>
                <w:szCs w:val="20"/>
                <w:lang w:val="es-CO"/>
              </w:rPr>
              <w:t>la</w:t>
            </w:r>
            <w:r w:rsidRPr="00070EC3">
              <w:rPr>
                <w:rFonts w:ascii="Verdana" w:eastAsia="Calibri" w:hAnsi="Verdana" w:cs="Calibri"/>
                <w:spacing w:val="-14"/>
                <w:sz w:val="20"/>
                <w:szCs w:val="20"/>
                <w:lang w:val="es-CO"/>
              </w:rPr>
              <w:t xml:space="preserve"> </w:t>
            </w:r>
            <w:r w:rsidRPr="00070EC3">
              <w:rPr>
                <w:rFonts w:ascii="Verdana" w:eastAsia="Calibri" w:hAnsi="Verdana" w:cs="Calibri"/>
                <w:spacing w:val="-2"/>
                <w:sz w:val="20"/>
                <w:szCs w:val="20"/>
                <w:lang w:val="es-CO"/>
              </w:rPr>
              <w:t>contratista,</w:t>
            </w:r>
            <w:r w:rsidRPr="00070EC3">
              <w:rPr>
                <w:rFonts w:ascii="Verdana" w:eastAsia="Calibri" w:hAnsi="Verdana" w:cs="Calibri"/>
                <w:sz w:val="20"/>
                <w:szCs w:val="20"/>
                <w:lang w:val="es-CO"/>
              </w:rPr>
              <w:t xml:space="preserve"> (</w:t>
            </w:r>
            <w:proofErr w:type="spellStart"/>
            <w:r w:rsidRPr="00070EC3">
              <w:rPr>
                <w:rFonts w:ascii="Verdana" w:eastAsia="Calibri" w:hAnsi="Verdana" w:cs="Calibri"/>
                <w:sz w:val="20"/>
                <w:szCs w:val="20"/>
                <w:lang w:val="es-CO"/>
              </w:rPr>
              <w:t>ii</w:t>
            </w:r>
            <w:proofErr w:type="spellEnd"/>
            <w:r w:rsidRPr="00070EC3">
              <w:rPr>
                <w:rFonts w:ascii="Verdana" w:eastAsia="Calibri" w:hAnsi="Verdana" w:cs="Calibri"/>
                <w:sz w:val="20"/>
                <w:szCs w:val="20"/>
                <w:lang w:val="es-CO"/>
              </w:rPr>
              <w:t xml:space="preserve">) subsiste la causa del contrato, el juez deberá </w:t>
            </w:r>
            <w:r w:rsidRPr="00070EC3">
              <w:rPr>
                <w:rFonts w:ascii="Verdana" w:eastAsia="Calibri" w:hAnsi="Verdana" w:cs="Calibri"/>
                <w:spacing w:val="-2"/>
                <w:sz w:val="20"/>
                <w:szCs w:val="20"/>
                <w:lang w:val="es-CO"/>
              </w:rPr>
              <w:t>ordenar:</w:t>
            </w:r>
          </w:p>
          <w:p w14:paraId="73BC9336" w14:textId="77777777" w:rsidR="0084476C" w:rsidRPr="00070EC3" w:rsidRDefault="0084476C" w:rsidP="006F12F3">
            <w:pPr>
              <w:tabs>
                <w:tab w:val="left" w:pos="828"/>
              </w:tabs>
              <w:ind w:left="119" w:right="96"/>
              <w:jc w:val="both"/>
              <w:rPr>
                <w:rFonts w:ascii="Verdana" w:eastAsia="Calibri" w:hAnsi="Verdana" w:cs="Calibri"/>
                <w:spacing w:val="-2"/>
                <w:sz w:val="20"/>
                <w:szCs w:val="20"/>
                <w:lang w:val="es-CO"/>
              </w:rPr>
            </w:pPr>
          </w:p>
          <w:p w14:paraId="2468735C" w14:textId="77777777" w:rsidR="0084476C" w:rsidRPr="00070EC3" w:rsidRDefault="0084476C" w:rsidP="0084476C">
            <w:pPr>
              <w:numPr>
                <w:ilvl w:val="0"/>
                <w:numId w:val="20"/>
              </w:numPr>
              <w:tabs>
                <w:tab w:val="left" w:pos="828"/>
              </w:tabs>
              <w:ind w:right="96"/>
              <w:jc w:val="both"/>
              <w:rPr>
                <w:rFonts w:ascii="Verdana" w:eastAsia="Calibri" w:hAnsi="Verdana" w:cs="Calibri"/>
                <w:sz w:val="20"/>
                <w:szCs w:val="20"/>
                <w:lang w:val="es-CO"/>
              </w:rPr>
            </w:pPr>
            <w:r w:rsidRPr="00070EC3">
              <w:rPr>
                <w:rFonts w:ascii="Verdana" w:eastAsia="Calibri" w:hAnsi="Verdana" w:cs="Calibri"/>
                <w:sz w:val="20"/>
                <w:szCs w:val="20"/>
                <w:lang w:val="es-CO"/>
              </w:rPr>
              <w:t>La</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renovación</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17"/>
                <w:sz w:val="20"/>
                <w:szCs w:val="20"/>
                <w:lang w:val="es-CO"/>
              </w:rPr>
              <w:t xml:space="preserve"> </w:t>
            </w:r>
            <w:r w:rsidRPr="00070EC3">
              <w:rPr>
                <w:rFonts w:ascii="Verdana" w:eastAsia="Calibri" w:hAnsi="Verdana" w:cs="Calibri"/>
                <w:sz w:val="20"/>
                <w:szCs w:val="20"/>
                <w:lang w:val="es-CO"/>
              </w:rPr>
              <w:t>la</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relación</w:t>
            </w:r>
            <w:r w:rsidRPr="00070EC3">
              <w:rPr>
                <w:rFonts w:ascii="Verdana" w:eastAsia="Calibri" w:hAnsi="Verdana" w:cs="Calibri"/>
                <w:spacing w:val="-17"/>
                <w:sz w:val="20"/>
                <w:szCs w:val="20"/>
                <w:lang w:val="es-CO"/>
              </w:rPr>
              <w:t xml:space="preserve"> </w:t>
            </w:r>
            <w:r w:rsidRPr="00070EC3">
              <w:rPr>
                <w:rFonts w:ascii="Verdana" w:eastAsia="Calibri" w:hAnsi="Verdana" w:cs="Calibri"/>
                <w:sz w:val="20"/>
                <w:szCs w:val="20"/>
                <w:lang w:val="es-CO"/>
              </w:rPr>
              <w:t>contractual,</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la</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cual</w:t>
            </w:r>
            <w:r w:rsidRPr="00070EC3">
              <w:rPr>
                <w:rFonts w:ascii="Verdana" w:eastAsia="Calibri" w:hAnsi="Verdana" w:cs="Calibri"/>
                <w:spacing w:val="-17"/>
                <w:sz w:val="20"/>
                <w:szCs w:val="20"/>
                <w:lang w:val="es-CO"/>
              </w:rPr>
              <w:t xml:space="preserve"> </w:t>
            </w:r>
            <w:r w:rsidRPr="00070EC3">
              <w:rPr>
                <w:rFonts w:ascii="Verdana" w:eastAsia="Calibri" w:hAnsi="Verdana" w:cs="Calibri"/>
                <w:sz w:val="20"/>
                <w:szCs w:val="20"/>
                <w:lang w:val="es-CO"/>
              </w:rPr>
              <w:t>se</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dará</w:t>
            </w:r>
            <w:r w:rsidRPr="00070EC3">
              <w:rPr>
                <w:rFonts w:ascii="Verdana" w:eastAsia="Calibri" w:hAnsi="Verdana" w:cs="Calibri"/>
                <w:spacing w:val="-17"/>
                <w:sz w:val="20"/>
                <w:szCs w:val="20"/>
                <w:lang w:val="es-CO"/>
              </w:rPr>
              <w:t xml:space="preserve"> </w:t>
            </w:r>
            <w:r w:rsidRPr="00070EC3">
              <w:rPr>
                <w:rFonts w:ascii="Verdana" w:eastAsia="Calibri" w:hAnsi="Verdana" w:cs="Calibri"/>
                <w:sz w:val="20"/>
                <w:szCs w:val="20"/>
                <w:lang w:val="es-CO"/>
              </w:rPr>
              <w:t>hasta por el término del periodo de lactancia.</w:t>
            </w:r>
          </w:p>
          <w:p w14:paraId="561E43E6" w14:textId="77777777" w:rsidR="0084476C" w:rsidRPr="00070EC3" w:rsidRDefault="0084476C" w:rsidP="0084476C">
            <w:pPr>
              <w:numPr>
                <w:ilvl w:val="0"/>
                <w:numId w:val="20"/>
              </w:numPr>
              <w:tabs>
                <w:tab w:val="left" w:pos="828"/>
              </w:tabs>
              <w:ind w:right="96"/>
              <w:jc w:val="both"/>
              <w:rPr>
                <w:rFonts w:ascii="Verdana" w:eastAsia="Calibri" w:hAnsi="Verdana" w:cs="Calibri"/>
                <w:sz w:val="20"/>
                <w:szCs w:val="20"/>
                <w:lang w:val="es-CO"/>
              </w:rPr>
            </w:pPr>
            <w:r w:rsidRPr="00070EC3">
              <w:rPr>
                <w:rFonts w:ascii="Verdana" w:eastAsia="Calibri" w:hAnsi="Verdana" w:cs="Calibri"/>
                <w:sz w:val="20"/>
                <w:szCs w:val="20"/>
                <w:lang w:val="es-CO"/>
              </w:rPr>
              <w:t>El</w:t>
            </w:r>
            <w:r w:rsidRPr="00070EC3">
              <w:rPr>
                <w:rFonts w:ascii="Verdana" w:eastAsia="Calibri" w:hAnsi="Verdana" w:cs="Calibri"/>
                <w:spacing w:val="-1"/>
                <w:sz w:val="20"/>
                <w:szCs w:val="20"/>
                <w:lang w:val="es-CO"/>
              </w:rPr>
              <w:t xml:space="preserve"> </w:t>
            </w:r>
            <w:r w:rsidRPr="00070EC3">
              <w:rPr>
                <w:rFonts w:ascii="Verdana" w:eastAsia="Calibri" w:hAnsi="Verdana" w:cs="Calibri"/>
                <w:sz w:val="20"/>
                <w:szCs w:val="20"/>
                <w:lang w:val="es-CO"/>
              </w:rPr>
              <w:t>pago de</w:t>
            </w:r>
            <w:r w:rsidRPr="00070EC3">
              <w:rPr>
                <w:rFonts w:ascii="Verdana" w:eastAsia="Calibri" w:hAnsi="Verdana" w:cs="Calibri"/>
                <w:spacing w:val="-1"/>
                <w:sz w:val="20"/>
                <w:szCs w:val="20"/>
                <w:lang w:val="es-CO"/>
              </w:rPr>
              <w:t xml:space="preserve"> </w:t>
            </w:r>
            <w:r w:rsidRPr="00070EC3">
              <w:rPr>
                <w:rFonts w:ascii="Verdana" w:eastAsia="Calibri" w:hAnsi="Verdana" w:cs="Calibri"/>
                <w:sz w:val="20"/>
                <w:szCs w:val="20"/>
                <w:lang w:val="es-CO"/>
              </w:rPr>
              <w:t>los</w:t>
            </w:r>
            <w:r w:rsidRPr="00070EC3">
              <w:rPr>
                <w:rFonts w:ascii="Verdana" w:eastAsia="Calibri" w:hAnsi="Verdana" w:cs="Calibri"/>
                <w:spacing w:val="-1"/>
                <w:sz w:val="20"/>
                <w:szCs w:val="20"/>
                <w:lang w:val="es-CO"/>
              </w:rPr>
              <w:t xml:space="preserve"> </w:t>
            </w:r>
            <w:r w:rsidRPr="00070EC3">
              <w:rPr>
                <w:rFonts w:ascii="Verdana" w:eastAsia="Calibri" w:hAnsi="Verdana" w:cs="Calibri"/>
                <w:sz w:val="20"/>
                <w:szCs w:val="20"/>
                <w:lang w:val="es-CO"/>
              </w:rPr>
              <w:t>honorarios dejados de</w:t>
            </w:r>
            <w:r w:rsidRPr="00070EC3">
              <w:rPr>
                <w:rFonts w:ascii="Verdana" w:eastAsia="Calibri" w:hAnsi="Verdana" w:cs="Calibri"/>
                <w:spacing w:val="-1"/>
                <w:sz w:val="20"/>
                <w:szCs w:val="20"/>
                <w:lang w:val="es-CO"/>
              </w:rPr>
              <w:t xml:space="preserve"> </w:t>
            </w:r>
            <w:r w:rsidRPr="00070EC3">
              <w:rPr>
                <w:rFonts w:ascii="Verdana" w:eastAsia="Calibri" w:hAnsi="Verdana" w:cs="Calibri"/>
                <w:sz w:val="20"/>
                <w:szCs w:val="20"/>
                <w:lang w:val="es-CO"/>
              </w:rPr>
              <w:t>percibir desde la</w:t>
            </w:r>
            <w:r w:rsidRPr="00070EC3">
              <w:rPr>
                <w:rFonts w:ascii="Verdana" w:eastAsia="Calibri" w:hAnsi="Verdana" w:cs="Calibri"/>
                <w:spacing w:val="-1"/>
                <w:sz w:val="20"/>
                <w:szCs w:val="20"/>
                <w:lang w:val="es-CO"/>
              </w:rPr>
              <w:t xml:space="preserve"> </w:t>
            </w:r>
            <w:r w:rsidRPr="00070EC3">
              <w:rPr>
                <w:rFonts w:ascii="Verdana" w:eastAsia="Calibri" w:hAnsi="Verdana" w:cs="Calibri"/>
                <w:sz w:val="20"/>
                <w:szCs w:val="20"/>
                <w:lang w:val="es-CO"/>
              </w:rPr>
              <w:t xml:space="preserve">fecha de no renovación del contrato, hasta la renovación </w:t>
            </w:r>
            <w:proofErr w:type="gramStart"/>
            <w:r w:rsidRPr="00070EC3">
              <w:rPr>
                <w:rFonts w:ascii="Verdana" w:eastAsia="Calibri" w:hAnsi="Verdana" w:cs="Calibri"/>
                <w:sz w:val="20"/>
                <w:szCs w:val="20"/>
                <w:lang w:val="es-CO"/>
              </w:rPr>
              <w:t xml:space="preserve">del </w:t>
            </w:r>
            <w:r w:rsidRPr="00070EC3">
              <w:rPr>
                <w:rFonts w:ascii="Verdana" w:eastAsia="Calibri" w:hAnsi="Verdana" w:cs="Calibri"/>
                <w:spacing w:val="-2"/>
                <w:sz w:val="20"/>
                <w:szCs w:val="20"/>
                <w:lang w:val="es-CO"/>
              </w:rPr>
              <w:t>mismo</w:t>
            </w:r>
            <w:proofErr w:type="gramEnd"/>
            <w:r w:rsidRPr="00070EC3">
              <w:rPr>
                <w:rFonts w:ascii="Verdana" w:eastAsia="Calibri" w:hAnsi="Verdana" w:cs="Calibri"/>
                <w:spacing w:val="-2"/>
                <w:sz w:val="20"/>
                <w:szCs w:val="20"/>
                <w:lang w:val="es-CO"/>
              </w:rPr>
              <w:t>;</w:t>
            </w:r>
          </w:p>
          <w:p w14:paraId="621FA03A" w14:textId="77777777" w:rsidR="0084476C" w:rsidRPr="00070EC3" w:rsidRDefault="0084476C" w:rsidP="0084476C">
            <w:pPr>
              <w:numPr>
                <w:ilvl w:val="0"/>
                <w:numId w:val="20"/>
              </w:numPr>
              <w:tabs>
                <w:tab w:val="left" w:pos="826"/>
                <w:tab w:val="left" w:pos="828"/>
              </w:tabs>
              <w:ind w:right="97"/>
              <w:jc w:val="both"/>
              <w:rPr>
                <w:rFonts w:ascii="Verdana" w:eastAsia="Calibri" w:hAnsi="Verdana" w:cs="Calibri"/>
                <w:sz w:val="20"/>
                <w:szCs w:val="20"/>
                <w:lang w:val="es-CO"/>
              </w:rPr>
            </w:pPr>
            <w:r w:rsidRPr="00070EC3">
              <w:rPr>
                <w:rFonts w:ascii="Verdana" w:eastAsia="Calibri" w:hAnsi="Verdana" w:cs="Calibri"/>
                <w:sz w:val="20"/>
                <w:szCs w:val="20"/>
                <w:lang w:val="es-CO"/>
              </w:rPr>
              <w:t>El pago por concepto de la indemnización por despido discriminatorio</w:t>
            </w:r>
            <w:r w:rsidRPr="00070EC3">
              <w:rPr>
                <w:rFonts w:ascii="Verdana" w:eastAsia="Calibri" w:hAnsi="Verdana" w:cs="Calibri"/>
                <w:sz w:val="20"/>
                <w:szCs w:val="20"/>
                <w:vertAlign w:val="superscript"/>
              </w:rPr>
              <w:footnoteReference w:id="23"/>
            </w:r>
            <w:r w:rsidRPr="00070EC3">
              <w:rPr>
                <w:rFonts w:ascii="Verdana" w:eastAsia="Calibri" w:hAnsi="Verdana" w:cs="Calibri"/>
                <w:sz w:val="20"/>
                <w:szCs w:val="20"/>
                <w:lang w:val="es-CO"/>
              </w:rPr>
              <w:t>; y</w:t>
            </w:r>
          </w:p>
          <w:p w14:paraId="7252AA75" w14:textId="77777777" w:rsidR="0084476C" w:rsidRPr="00070EC3" w:rsidRDefault="0084476C" w:rsidP="0084476C">
            <w:pPr>
              <w:numPr>
                <w:ilvl w:val="0"/>
                <w:numId w:val="20"/>
              </w:numPr>
              <w:tabs>
                <w:tab w:val="left" w:pos="826"/>
                <w:tab w:val="left" w:pos="828"/>
              </w:tabs>
              <w:ind w:right="95"/>
              <w:jc w:val="both"/>
              <w:rPr>
                <w:rFonts w:ascii="Verdana" w:eastAsia="Calibri" w:hAnsi="Verdana" w:cs="Calibri"/>
                <w:sz w:val="20"/>
                <w:szCs w:val="20"/>
                <w:lang w:val="es-CO"/>
              </w:rPr>
            </w:pPr>
            <w:r w:rsidRPr="00070EC3">
              <w:rPr>
                <w:rFonts w:ascii="Verdana" w:eastAsia="Calibri" w:hAnsi="Verdana" w:cs="Calibri"/>
                <w:sz w:val="20"/>
                <w:szCs w:val="20"/>
                <w:lang w:val="es-CO"/>
              </w:rPr>
              <w:t>El pago de la licencia de maternidad. Este pago no se realizará</w:t>
            </w:r>
            <w:r w:rsidRPr="00070EC3">
              <w:rPr>
                <w:rFonts w:ascii="Verdana" w:eastAsia="Calibri" w:hAnsi="Verdana" w:cs="Calibri"/>
                <w:spacing w:val="-7"/>
                <w:sz w:val="20"/>
                <w:szCs w:val="20"/>
                <w:lang w:val="es-CO"/>
              </w:rPr>
              <w:t xml:space="preserve"> </w:t>
            </w:r>
            <w:r w:rsidRPr="00070EC3">
              <w:rPr>
                <w:rFonts w:ascii="Verdana" w:eastAsia="Calibri" w:hAnsi="Verdana" w:cs="Calibri"/>
                <w:sz w:val="20"/>
                <w:szCs w:val="20"/>
                <w:lang w:val="es-CO"/>
              </w:rPr>
              <w:t>si</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en</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caso</w:t>
            </w:r>
            <w:r w:rsidRPr="00070EC3">
              <w:rPr>
                <w:rFonts w:ascii="Verdana" w:eastAsia="Calibri" w:hAnsi="Verdana" w:cs="Calibri"/>
                <w:spacing w:val="-8"/>
                <w:sz w:val="20"/>
                <w:szCs w:val="20"/>
                <w:lang w:val="es-CO"/>
              </w:rPr>
              <w:t xml:space="preserve"> </w:t>
            </w:r>
            <w:r w:rsidRPr="00070EC3">
              <w:rPr>
                <w:rFonts w:ascii="Verdana" w:eastAsia="Calibri" w:hAnsi="Verdana" w:cs="Calibri"/>
                <w:sz w:val="20"/>
                <w:szCs w:val="20"/>
                <w:lang w:val="es-CO"/>
              </w:rPr>
              <w:t>se</w:t>
            </w:r>
            <w:r w:rsidRPr="00070EC3">
              <w:rPr>
                <w:rFonts w:ascii="Verdana" w:eastAsia="Calibri" w:hAnsi="Verdana" w:cs="Calibri"/>
                <w:spacing w:val="-8"/>
                <w:sz w:val="20"/>
                <w:szCs w:val="20"/>
                <w:lang w:val="es-CO"/>
              </w:rPr>
              <w:t xml:space="preserve"> </w:t>
            </w:r>
            <w:r w:rsidRPr="00070EC3">
              <w:rPr>
                <w:rFonts w:ascii="Verdana" w:eastAsia="Calibri" w:hAnsi="Verdana" w:cs="Calibri"/>
                <w:sz w:val="20"/>
                <w:szCs w:val="20"/>
                <w:lang w:val="es-CO"/>
              </w:rPr>
              <w:t>acredita</w:t>
            </w:r>
            <w:r w:rsidRPr="00070EC3">
              <w:rPr>
                <w:rFonts w:ascii="Verdana" w:eastAsia="Calibri" w:hAnsi="Verdana" w:cs="Calibri"/>
                <w:spacing w:val="-7"/>
                <w:sz w:val="20"/>
                <w:szCs w:val="20"/>
                <w:lang w:val="es-CO"/>
              </w:rPr>
              <w:t xml:space="preserve"> </w:t>
            </w:r>
            <w:r w:rsidRPr="00070EC3">
              <w:rPr>
                <w:rFonts w:ascii="Verdana" w:eastAsia="Calibri" w:hAnsi="Verdana" w:cs="Calibri"/>
                <w:sz w:val="20"/>
                <w:szCs w:val="20"/>
                <w:lang w:val="es-CO"/>
              </w:rPr>
              <w:t>que</w:t>
            </w:r>
            <w:r w:rsidRPr="00070EC3">
              <w:rPr>
                <w:rFonts w:ascii="Verdana" w:eastAsia="Calibri" w:hAnsi="Verdana" w:cs="Calibri"/>
                <w:spacing w:val="-8"/>
                <w:sz w:val="20"/>
                <w:szCs w:val="20"/>
                <w:lang w:val="es-CO"/>
              </w:rPr>
              <w:t xml:space="preserve"> </w:t>
            </w:r>
            <w:r w:rsidRPr="00070EC3">
              <w:rPr>
                <w:rFonts w:ascii="Verdana" w:eastAsia="Calibri" w:hAnsi="Verdana" w:cs="Calibri"/>
                <w:sz w:val="20"/>
                <w:szCs w:val="20"/>
                <w:lang w:val="es-CO"/>
              </w:rPr>
              <w:t>la</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madre</w:t>
            </w:r>
            <w:r w:rsidRPr="00070EC3">
              <w:rPr>
                <w:rFonts w:ascii="Verdana" w:eastAsia="Calibri" w:hAnsi="Verdana" w:cs="Calibri"/>
                <w:spacing w:val="-8"/>
                <w:sz w:val="20"/>
                <w:szCs w:val="20"/>
                <w:lang w:val="es-CO"/>
              </w:rPr>
              <w:t xml:space="preserve"> </w:t>
            </w:r>
            <w:r w:rsidRPr="00070EC3">
              <w:rPr>
                <w:rFonts w:ascii="Verdana" w:eastAsia="Calibri" w:hAnsi="Verdana" w:cs="Calibri"/>
                <w:sz w:val="20"/>
                <w:szCs w:val="20"/>
                <w:lang w:val="es-CO"/>
              </w:rPr>
              <w:t>disfrutó</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la licencia de maternidad</w:t>
            </w:r>
            <w:r w:rsidRPr="00070EC3">
              <w:rPr>
                <w:rFonts w:ascii="Verdana" w:eastAsia="Calibri" w:hAnsi="Verdana" w:cs="Calibri"/>
                <w:sz w:val="20"/>
                <w:szCs w:val="20"/>
                <w:vertAlign w:val="superscript"/>
              </w:rPr>
              <w:footnoteReference w:id="24"/>
            </w:r>
            <w:r w:rsidRPr="00070EC3">
              <w:rPr>
                <w:rFonts w:ascii="Verdana" w:eastAsia="Calibri" w:hAnsi="Verdana" w:cs="Calibri"/>
                <w:sz w:val="20"/>
                <w:szCs w:val="20"/>
                <w:lang w:val="es-CO"/>
              </w:rPr>
              <w:t>.</w:t>
            </w:r>
          </w:p>
          <w:p w14:paraId="68623F17" w14:textId="77777777" w:rsidR="0084476C" w:rsidRPr="00070EC3" w:rsidRDefault="0084476C" w:rsidP="0084476C">
            <w:pPr>
              <w:numPr>
                <w:ilvl w:val="0"/>
                <w:numId w:val="20"/>
              </w:numPr>
              <w:tabs>
                <w:tab w:val="left" w:pos="828"/>
              </w:tabs>
              <w:ind w:right="95"/>
              <w:jc w:val="both"/>
              <w:rPr>
                <w:rFonts w:ascii="Verdana" w:eastAsia="Calibri" w:hAnsi="Verdana" w:cs="Calibri"/>
                <w:sz w:val="20"/>
                <w:szCs w:val="20"/>
                <w:lang w:val="es-CO"/>
              </w:rPr>
            </w:pPr>
            <w:r w:rsidRPr="00070EC3">
              <w:rPr>
                <w:rFonts w:ascii="Verdana" w:eastAsia="Calibri" w:hAnsi="Verdana" w:cs="Calibri"/>
                <w:sz w:val="20"/>
                <w:szCs w:val="20"/>
                <w:lang w:val="es-CO"/>
              </w:rPr>
              <w:t>En</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evento</w:t>
            </w:r>
            <w:r w:rsidRPr="00070EC3">
              <w:rPr>
                <w:rFonts w:ascii="Verdana" w:eastAsia="Calibri" w:hAnsi="Verdana" w:cs="Calibri"/>
                <w:spacing w:val="-5"/>
                <w:sz w:val="20"/>
                <w:szCs w:val="20"/>
                <w:lang w:val="es-CO"/>
              </w:rPr>
              <w:t xml:space="preserve"> </w:t>
            </w:r>
            <w:r w:rsidRPr="00070EC3">
              <w:rPr>
                <w:rFonts w:ascii="Verdana" w:eastAsia="Calibri" w:hAnsi="Verdana" w:cs="Calibri"/>
                <w:sz w:val="20"/>
                <w:szCs w:val="20"/>
                <w:lang w:val="es-CO"/>
              </w:rPr>
              <w:t>en</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que</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término</w:t>
            </w:r>
            <w:r w:rsidRPr="00070EC3">
              <w:rPr>
                <w:rFonts w:ascii="Verdana" w:eastAsia="Calibri" w:hAnsi="Verdana" w:cs="Calibri"/>
                <w:spacing w:val="-5"/>
                <w:sz w:val="20"/>
                <w:szCs w:val="20"/>
                <w:lang w:val="es-CO"/>
              </w:rPr>
              <w:t xml:space="preserve"> </w:t>
            </w:r>
            <w:r w:rsidRPr="00070EC3">
              <w:rPr>
                <w:rFonts w:ascii="Verdana" w:eastAsia="Calibri" w:hAnsi="Verdana" w:cs="Calibri"/>
                <w:sz w:val="20"/>
                <w:szCs w:val="20"/>
                <w:lang w:val="es-CO"/>
              </w:rPr>
              <w:t>del</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periodo</w:t>
            </w:r>
            <w:r w:rsidRPr="00070EC3">
              <w:rPr>
                <w:rFonts w:ascii="Verdana" w:eastAsia="Calibri" w:hAnsi="Verdana" w:cs="Calibri"/>
                <w:spacing w:val="-5"/>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lactancia</w:t>
            </w:r>
            <w:r w:rsidRPr="00070EC3">
              <w:rPr>
                <w:rFonts w:ascii="Verdana" w:eastAsia="Calibri" w:hAnsi="Verdana" w:cs="Calibri"/>
                <w:spacing w:val="-5"/>
                <w:sz w:val="20"/>
                <w:szCs w:val="20"/>
                <w:lang w:val="es-CO"/>
              </w:rPr>
              <w:t xml:space="preserve"> </w:t>
            </w:r>
            <w:r w:rsidRPr="00070EC3">
              <w:rPr>
                <w:rFonts w:ascii="Verdana" w:eastAsia="Calibri" w:hAnsi="Verdana" w:cs="Calibri"/>
                <w:sz w:val="20"/>
                <w:szCs w:val="20"/>
                <w:lang w:val="es-CO"/>
              </w:rPr>
              <w:t>ya haya terminado, procederá el reconocimiento de los honorarios dejados de percibir hasta la terminación de periodo de lactancia</w:t>
            </w:r>
            <w:r w:rsidRPr="00070EC3">
              <w:rPr>
                <w:rFonts w:ascii="Verdana" w:eastAsia="Calibri" w:hAnsi="Verdana" w:cs="Calibri"/>
                <w:sz w:val="20"/>
                <w:szCs w:val="20"/>
                <w:vertAlign w:val="superscript"/>
              </w:rPr>
              <w:footnoteReference w:id="25"/>
            </w:r>
            <w:r w:rsidRPr="00070EC3">
              <w:rPr>
                <w:rFonts w:ascii="Verdana" w:eastAsia="Calibri" w:hAnsi="Verdana" w:cs="Calibri"/>
                <w:sz w:val="20"/>
                <w:szCs w:val="20"/>
                <w:lang w:val="es-CO"/>
              </w:rPr>
              <w:t xml:space="preserve">. </w:t>
            </w:r>
          </w:p>
          <w:p w14:paraId="1C1B4779" w14:textId="77777777" w:rsidR="0084476C" w:rsidRPr="00070EC3" w:rsidRDefault="0084476C" w:rsidP="006F12F3">
            <w:pPr>
              <w:tabs>
                <w:tab w:val="left" w:pos="828"/>
              </w:tabs>
              <w:ind w:left="360" w:right="95"/>
              <w:jc w:val="both"/>
              <w:rPr>
                <w:rFonts w:ascii="Verdana" w:eastAsia="Calibri" w:hAnsi="Verdana" w:cs="Calibri"/>
                <w:sz w:val="20"/>
                <w:szCs w:val="20"/>
                <w:lang w:val="es-CO"/>
              </w:rPr>
            </w:pPr>
          </w:p>
          <w:p w14:paraId="5D91B8EF" w14:textId="77777777" w:rsidR="0084476C" w:rsidRPr="00070EC3" w:rsidRDefault="0084476C" w:rsidP="006F12F3">
            <w:pPr>
              <w:tabs>
                <w:tab w:val="left" w:pos="828"/>
              </w:tabs>
              <w:ind w:left="119" w:right="95"/>
              <w:jc w:val="both"/>
              <w:rPr>
                <w:rFonts w:ascii="Verdana" w:eastAsia="Calibri" w:hAnsi="Verdana" w:cs="Calibri"/>
                <w:sz w:val="20"/>
                <w:szCs w:val="20"/>
                <w:lang w:val="es-CO"/>
              </w:rPr>
            </w:pPr>
            <w:r w:rsidRPr="00070EC3">
              <w:rPr>
                <w:rFonts w:ascii="Verdana" w:eastAsia="Calibri" w:hAnsi="Verdana" w:cs="Calibri"/>
                <w:sz w:val="20"/>
                <w:szCs w:val="20"/>
                <w:lang w:val="es-CO"/>
              </w:rPr>
              <w:t>En</w:t>
            </w:r>
            <w:r w:rsidRPr="00070EC3">
              <w:rPr>
                <w:rFonts w:ascii="Verdana" w:eastAsia="Calibri" w:hAnsi="Verdana" w:cs="Calibri"/>
                <w:spacing w:val="-10"/>
                <w:sz w:val="20"/>
                <w:szCs w:val="20"/>
                <w:lang w:val="es-CO"/>
              </w:rPr>
              <w:t xml:space="preserve"> </w:t>
            </w:r>
            <w:r w:rsidRPr="00070EC3">
              <w:rPr>
                <w:rFonts w:ascii="Verdana" w:eastAsia="Calibri" w:hAnsi="Verdana" w:cs="Calibri"/>
                <w:sz w:val="20"/>
                <w:szCs w:val="20"/>
                <w:lang w:val="es-CO"/>
              </w:rPr>
              <w:t>todo</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caso,</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10"/>
                <w:sz w:val="20"/>
                <w:szCs w:val="20"/>
                <w:lang w:val="es-CO"/>
              </w:rPr>
              <w:t xml:space="preserve"> </w:t>
            </w:r>
            <w:r w:rsidRPr="00070EC3">
              <w:rPr>
                <w:rFonts w:ascii="Verdana" w:eastAsia="Calibri" w:hAnsi="Verdana" w:cs="Calibri"/>
                <w:sz w:val="20"/>
                <w:szCs w:val="20"/>
                <w:lang w:val="es-CO"/>
              </w:rPr>
              <w:t>juez</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deberá</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estudiar</w:t>
            </w:r>
            <w:r w:rsidRPr="00070EC3">
              <w:rPr>
                <w:rFonts w:ascii="Verdana" w:eastAsia="Calibri" w:hAnsi="Verdana" w:cs="Calibri"/>
                <w:spacing w:val="-8"/>
                <w:sz w:val="20"/>
                <w:szCs w:val="20"/>
                <w:lang w:val="es-CO"/>
              </w:rPr>
              <w:t xml:space="preserve"> </w:t>
            </w:r>
            <w:r w:rsidRPr="00070EC3">
              <w:rPr>
                <w:rFonts w:ascii="Verdana" w:eastAsia="Calibri" w:hAnsi="Verdana" w:cs="Calibri"/>
                <w:sz w:val="20"/>
                <w:szCs w:val="20"/>
                <w:lang w:val="es-CO"/>
              </w:rPr>
              <w:t>la</w:t>
            </w:r>
            <w:r w:rsidRPr="00070EC3">
              <w:rPr>
                <w:rFonts w:ascii="Verdana" w:eastAsia="Calibri" w:hAnsi="Verdana" w:cs="Calibri"/>
                <w:spacing w:val="-10"/>
                <w:sz w:val="20"/>
                <w:szCs w:val="20"/>
                <w:lang w:val="es-CO"/>
              </w:rPr>
              <w:t xml:space="preserve"> </w:t>
            </w:r>
            <w:r w:rsidRPr="00070EC3">
              <w:rPr>
                <w:rFonts w:ascii="Verdana" w:eastAsia="Calibri" w:hAnsi="Verdana" w:cs="Calibri"/>
                <w:sz w:val="20"/>
                <w:szCs w:val="20"/>
                <w:lang w:val="es-CO"/>
              </w:rPr>
              <w:t>procedencia</w:t>
            </w:r>
            <w:r w:rsidRPr="00070EC3">
              <w:rPr>
                <w:rFonts w:ascii="Verdana" w:eastAsia="Calibri" w:hAnsi="Verdana" w:cs="Calibri"/>
                <w:spacing w:val="-7"/>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10"/>
                <w:sz w:val="20"/>
                <w:szCs w:val="20"/>
                <w:lang w:val="es-CO"/>
              </w:rPr>
              <w:t xml:space="preserve"> </w:t>
            </w:r>
            <w:r w:rsidRPr="00070EC3">
              <w:rPr>
                <w:rFonts w:ascii="Verdana" w:eastAsia="Calibri" w:hAnsi="Verdana" w:cs="Calibri"/>
                <w:sz w:val="20"/>
                <w:szCs w:val="20"/>
                <w:lang w:val="es-CO"/>
              </w:rPr>
              <w:t>cada</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una</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de estas medidas de protección para lo cual tendrá en cuenta las particularidades del caso</w:t>
            </w:r>
            <w:r w:rsidRPr="00070EC3">
              <w:rPr>
                <w:rFonts w:ascii="Verdana" w:eastAsia="Calibri" w:hAnsi="Verdana" w:cs="Calibri"/>
                <w:sz w:val="20"/>
                <w:szCs w:val="20"/>
                <w:vertAlign w:val="superscript"/>
              </w:rPr>
              <w:footnoteReference w:id="26"/>
            </w:r>
            <w:r w:rsidRPr="00070EC3">
              <w:rPr>
                <w:rFonts w:ascii="Verdana" w:eastAsia="Calibri" w:hAnsi="Verdana" w:cs="Calibri"/>
                <w:sz w:val="20"/>
                <w:szCs w:val="20"/>
                <w:lang w:val="es-CO"/>
              </w:rPr>
              <w:t>.</w:t>
            </w:r>
          </w:p>
          <w:p w14:paraId="3A7089B5" w14:textId="77777777" w:rsidR="0084476C" w:rsidRPr="00070EC3" w:rsidRDefault="0084476C" w:rsidP="006F12F3">
            <w:pPr>
              <w:tabs>
                <w:tab w:val="left" w:pos="828"/>
              </w:tabs>
              <w:ind w:left="119" w:right="95"/>
              <w:jc w:val="both"/>
              <w:rPr>
                <w:rFonts w:ascii="Verdana" w:eastAsia="Calibri" w:hAnsi="Verdana" w:cs="Calibri"/>
                <w:sz w:val="20"/>
                <w:szCs w:val="20"/>
                <w:lang w:val="es-CO"/>
              </w:rPr>
            </w:pPr>
          </w:p>
        </w:tc>
      </w:tr>
    </w:tbl>
    <w:p w14:paraId="15538813" w14:textId="77777777" w:rsidR="0084476C" w:rsidRPr="00070EC3" w:rsidRDefault="0084476C" w:rsidP="0084476C">
      <w:pPr>
        <w:spacing w:after="0"/>
        <w:ind w:right="49"/>
        <w:jc w:val="center"/>
        <w:rPr>
          <w:rFonts w:ascii="Verdana" w:hAnsi="Verdana"/>
          <w:bCs/>
          <w:sz w:val="16"/>
          <w:szCs w:val="16"/>
        </w:rPr>
      </w:pPr>
      <w:r w:rsidRPr="00070EC3">
        <w:rPr>
          <w:rFonts w:ascii="Verdana" w:hAnsi="Verdana"/>
          <w:b/>
          <w:sz w:val="16"/>
          <w:szCs w:val="16"/>
        </w:rPr>
        <w:t>Tabla:</w:t>
      </w:r>
      <w:r w:rsidRPr="00070EC3">
        <w:rPr>
          <w:rFonts w:ascii="Verdana" w:hAnsi="Verdana"/>
          <w:b/>
          <w:spacing w:val="-5"/>
          <w:sz w:val="16"/>
          <w:szCs w:val="16"/>
        </w:rPr>
        <w:t xml:space="preserve"> </w:t>
      </w:r>
      <w:r w:rsidRPr="00070EC3">
        <w:rPr>
          <w:rFonts w:ascii="Verdana" w:hAnsi="Verdana"/>
          <w:bCs/>
          <w:sz w:val="16"/>
          <w:szCs w:val="16"/>
        </w:rPr>
        <w:t>Reglas</w:t>
      </w:r>
      <w:r w:rsidRPr="00070EC3">
        <w:rPr>
          <w:rFonts w:ascii="Verdana" w:hAnsi="Verdana"/>
          <w:bCs/>
          <w:spacing w:val="-5"/>
          <w:sz w:val="16"/>
          <w:szCs w:val="16"/>
        </w:rPr>
        <w:t xml:space="preserve"> </w:t>
      </w:r>
      <w:r w:rsidRPr="00070EC3">
        <w:rPr>
          <w:rFonts w:ascii="Verdana" w:hAnsi="Verdana"/>
          <w:bCs/>
          <w:sz w:val="16"/>
          <w:szCs w:val="16"/>
        </w:rPr>
        <w:t>para</w:t>
      </w:r>
      <w:r w:rsidRPr="00070EC3">
        <w:rPr>
          <w:rFonts w:ascii="Verdana" w:hAnsi="Verdana"/>
          <w:bCs/>
          <w:spacing w:val="-5"/>
          <w:sz w:val="16"/>
          <w:szCs w:val="16"/>
        </w:rPr>
        <w:t xml:space="preserve"> </w:t>
      </w:r>
      <w:r w:rsidRPr="00070EC3">
        <w:rPr>
          <w:rFonts w:ascii="Verdana" w:hAnsi="Verdana"/>
          <w:bCs/>
          <w:sz w:val="16"/>
          <w:szCs w:val="16"/>
        </w:rPr>
        <w:t>la</w:t>
      </w:r>
      <w:r w:rsidRPr="00070EC3">
        <w:rPr>
          <w:rFonts w:ascii="Verdana" w:hAnsi="Verdana"/>
          <w:bCs/>
          <w:spacing w:val="-5"/>
          <w:sz w:val="16"/>
          <w:szCs w:val="16"/>
        </w:rPr>
        <w:t xml:space="preserve"> </w:t>
      </w:r>
      <w:r w:rsidRPr="00070EC3">
        <w:rPr>
          <w:rFonts w:ascii="Verdana" w:hAnsi="Verdana"/>
          <w:bCs/>
          <w:sz w:val="16"/>
          <w:szCs w:val="16"/>
        </w:rPr>
        <w:t>protección</w:t>
      </w:r>
      <w:r w:rsidRPr="00070EC3">
        <w:rPr>
          <w:rFonts w:ascii="Verdana" w:hAnsi="Verdana"/>
          <w:bCs/>
          <w:spacing w:val="-5"/>
          <w:sz w:val="16"/>
          <w:szCs w:val="16"/>
        </w:rPr>
        <w:t xml:space="preserve"> </w:t>
      </w:r>
      <w:r w:rsidRPr="00070EC3">
        <w:rPr>
          <w:rFonts w:ascii="Verdana" w:hAnsi="Verdana"/>
          <w:bCs/>
          <w:sz w:val="16"/>
          <w:szCs w:val="16"/>
        </w:rPr>
        <w:t>de</w:t>
      </w:r>
      <w:r w:rsidRPr="00070EC3">
        <w:rPr>
          <w:rFonts w:ascii="Verdana" w:hAnsi="Verdana"/>
          <w:bCs/>
          <w:spacing w:val="-5"/>
          <w:sz w:val="16"/>
          <w:szCs w:val="16"/>
        </w:rPr>
        <w:t xml:space="preserve"> </w:t>
      </w:r>
      <w:r w:rsidRPr="00070EC3">
        <w:rPr>
          <w:rFonts w:ascii="Verdana" w:hAnsi="Verdana"/>
          <w:bCs/>
          <w:sz w:val="16"/>
          <w:szCs w:val="16"/>
        </w:rPr>
        <w:t>la</w:t>
      </w:r>
      <w:r w:rsidRPr="00070EC3">
        <w:rPr>
          <w:rFonts w:ascii="Verdana" w:hAnsi="Verdana"/>
          <w:bCs/>
          <w:spacing w:val="-5"/>
          <w:sz w:val="16"/>
          <w:szCs w:val="16"/>
        </w:rPr>
        <w:t xml:space="preserve"> </w:t>
      </w:r>
      <w:r w:rsidRPr="00070EC3">
        <w:rPr>
          <w:rFonts w:ascii="Verdana" w:hAnsi="Verdana"/>
          <w:bCs/>
          <w:sz w:val="16"/>
          <w:szCs w:val="16"/>
        </w:rPr>
        <w:t>mujer</w:t>
      </w:r>
      <w:r w:rsidRPr="00070EC3">
        <w:rPr>
          <w:rFonts w:ascii="Verdana" w:hAnsi="Verdana"/>
          <w:bCs/>
          <w:spacing w:val="-5"/>
          <w:sz w:val="16"/>
          <w:szCs w:val="16"/>
        </w:rPr>
        <w:t xml:space="preserve"> </w:t>
      </w:r>
      <w:r w:rsidRPr="00070EC3">
        <w:rPr>
          <w:rFonts w:ascii="Verdana" w:hAnsi="Verdana"/>
          <w:bCs/>
          <w:sz w:val="16"/>
          <w:szCs w:val="16"/>
        </w:rPr>
        <w:t>embarazada</w:t>
      </w:r>
      <w:r w:rsidRPr="00070EC3">
        <w:rPr>
          <w:rFonts w:ascii="Verdana" w:hAnsi="Verdana"/>
          <w:bCs/>
          <w:spacing w:val="-5"/>
          <w:sz w:val="16"/>
          <w:szCs w:val="16"/>
        </w:rPr>
        <w:t xml:space="preserve"> </w:t>
      </w:r>
      <w:r w:rsidRPr="00070EC3">
        <w:rPr>
          <w:rFonts w:ascii="Verdana" w:hAnsi="Verdana"/>
          <w:bCs/>
          <w:sz w:val="16"/>
          <w:szCs w:val="16"/>
        </w:rPr>
        <w:t>en</w:t>
      </w:r>
      <w:r w:rsidRPr="00070EC3">
        <w:rPr>
          <w:rFonts w:ascii="Verdana" w:hAnsi="Verdana"/>
          <w:bCs/>
          <w:spacing w:val="-5"/>
          <w:sz w:val="16"/>
          <w:szCs w:val="16"/>
        </w:rPr>
        <w:t xml:space="preserve"> </w:t>
      </w:r>
      <w:r w:rsidRPr="00070EC3">
        <w:rPr>
          <w:rFonts w:ascii="Verdana" w:hAnsi="Verdana"/>
          <w:bCs/>
          <w:sz w:val="16"/>
          <w:szCs w:val="16"/>
        </w:rPr>
        <w:t>contratos</w:t>
      </w:r>
      <w:r w:rsidRPr="00070EC3">
        <w:rPr>
          <w:rFonts w:ascii="Verdana" w:hAnsi="Verdana"/>
          <w:bCs/>
          <w:spacing w:val="-5"/>
          <w:sz w:val="16"/>
          <w:szCs w:val="16"/>
        </w:rPr>
        <w:t xml:space="preserve"> </w:t>
      </w:r>
      <w:r w:rsidRPr="00070EC3">
        <w:rPr>
          <w:rFonts w:ascii="Verdana" w:hAnsi="Verdana"/>
          <w:bCs/>
          <w:sz w:val="16"/>
          <w:szCs w:val="16"/>
        </w:rPr>
        <w:t>de</w:t>
      </w:r>
      <w:r w:rsidRPr="00070EC3">
        <w:rPr>
          <w:rFonts w:ascii="Verdana" w:hAnsi="Verdana"/>
          <w:bCs/>
          <w:spacing w:val="-5"/>
          <w:sz w:val="16"/>
          <w:szCs w:val="16"/>
        </w:rPr>
        <w:t xml:space="preserve"> </w:t>
      </w:r>
      <w:r w:rsidRPr="00070EC3">
        <w:rPr>
          <w:rFonts w:ascii="Verdana" w:hAnsi="Verdana"/>
          <w:bCs/>
          <w:sz w:val="16"/>
          <w:szCs w:val="16"/>
        </w:rPr>
        <w:t>prestación</w:t>
      </w:r>
      <w:r w:rsidRPr="00070EC3">
        <w:rPr>
          <w:rFonts w:ascii="Verdana" w:hAnsi="Verdana"/>
          <w:bCs/>
          <w:spacing w:val="-5"/>
          <w:sz w:val="16"/>
          <w:szCs w:val="16"/>
        </w:rPr>
        <w:t xml:space="preserve"> </w:t>
      </w:r>
      <w:r w:rsidRPr="00070EC3">
        <w:rPr>
          <w:rFonts w:ascii="Verdana" w:hAnsi="Verdana"/>
          <w:bCs/>
          <w:sz w:val="16"/>
          <w:szCs w:val="16"/>
        </w:rPr>
        <w:t>de</w:t>
      </w:r>
      <w:r w:rsidRPr="00070EC3">
        <w:rPr>
          <w:rFonts w:ascii="Verdana" w:hAnsi="Verdana"/>
          <w:bCs/>
          <w:spacing w:val="-5"/>
          <w:sz w:val="16"/>
          <w:szCs w:val="16"/>
        </w:rPr>
        <w:t xml:space="preserve"> </w:t>
      </w:r>
      <w:r w:rsidRPr="00070EC3">
        <w:rPr>
          <w:rFonts w:ascii="Verdana" w:hAnsi="Verdana"/>
          <w:bCs/>
          <w:sz w:val="16"/>
          <w:szCs w:val="16"/>
        </w:rPr>
        <w:t>servicios. – Tomada de la Sentencia T-239 de 2022.</w:t>
      </w:r>
    </w:p>
    <w:p w14:paraId="40980BFB" w14:textId="77777777" w:rsidR="0084476C" w:rsidRPr="00070EC3" w:rsidRDefault="0084476C" w:rsidP="0084476C">
      <w:pPr>
        <w:spacing w:after="0" w:line="240" w:lineRule="auto"/>
        <w:ind w:firstLine="708"/>
        <w:jc w:val="both"/>
        <w:rPr>
          <w:rFonts w:ascii="Verdana" w:hAnsi="Verdana"/>
        </w:rPr>
      </w:pPr>
    </w:p>
    <w:p w14:paraId="2410762D" w14:textId="77777777" w:rsidR="0084476C" w:rsidRPr="00070EC3" w:rsidRDefault="0084476C" w:rsidP="0084476C">
      <w:pPr>
        <w:spacing w:after="120" w:line="276" w:lineRule="auto"/>
        <w:jc w:val="both"/>
        <w:rPr>
          <w:rFonts w:ascii="Verdana" w:eastAsia="Arial" w:hAnsi="Verdana" w:cs="Arial"/>
        </w:rPr>
      </w:pPr>
      <w:proofErr w:type="spellStart"/>
      <w:r>
        <w:rPr>
          <w:rFonts w:ascii="Verdana" w:eastAsia="Arial" w:hAnsi="Verdana" w:cs="Arial"/>
          <w:lang w:val="es-ES"/>
        </w:rPr>
        <w:t>iii</w:t>
      </w:r>
      <w:proofErr w:type="spellEnd"/>
      <w:r>
        <w:rPr>
          <w:rFonts w:ascii="Verdana" w:eastAsia="Arial" w:hAnsi="Verdana" w:cs="Arial"/>
          <w:lang w:val="es-ES"/>
        </w:rPr>
        <w:t xml:space="preserve">) </w:t>
      </w:r>
      <w:r w:rsidRPr="00070EC3">
        <w:rPr>
          <w:rFonts w:ascii="Verdana" w:eastAsia="Arial" w:hAnsi="Verdana" w:cs="Arial"/>
          <w:lang w:val="es-ES"/>
        </w:rPr>
        <w:t xml:space="preserve">Ahora bien, </w:t>
      </w:r>
      <w:r>
        <w:rPr>
          <w:rFonts w:ascii="Verdana" w:eastAsia="Arial" w:hAnsi="Verdana" w:cs="Arial"/>
          <w:lang w:val="es-ES"/>
        </w:rPr>
        <w:t>en cuanto al</w:t>
      </w:r>
      <w:r w:rsidRPr="00070EC3">
        <w:rPr>
          <w:rFonts w:ascii="Verdana" w:eastAsia="Arial" w:hAnsi="Verdana" w:cs="Arial"/>
          <w:lang w:val="es-ES"/>
        </w:rPr>
        <w:t xml:space="preserve"> ámbito temporal de la protección del fuero de maternidad, en particular con la forma en que dicha protección opera durante el periodo de lactancia, resulta </w:t>
      </w:r>
      <w:r w:rsidRPr="00070EC3">
        <w:rPr>
          <w:rFonts w:ascii="Verdana" w:eastAsia="Arial" w:hAnsi="Verdana" w:cs="Arial"/>
        </w:rPr>
        <w:t xml:space="preserve">necesario referirse a las modificaciones introducidas por la Ley 2306 de 2023. Al respecto, debe señalarse que, el Congreso de la República expidió dicha Ley “Por medio de la cual se promueve la protección de la maternidad y la primera infancia, se crean incentivos y normas para la construcción de áreas que permitan la lactancia materna en el espacio público y se dictan otras disposiciones”. </w:t>
      </w:r>
    </w:p>
    <w:p w14:paraId="26925598" w14:textId="77777777" w:rsidR="0084476C" w:rsidRPr="00070EC3" w:rsidRDefault="0084476C" w:rsidP="0084476C">
      <w:pPr>
        <w:spacing w:after="120" w:line="276" w:lineRule="auto"/>
        <w:ind w:right="51" w:firstLine="709"/>
        <w:jc w:val="both"/>
        <w:rPr>
          <w:rFonts w:ascii="Verdana" w:eastAsia="Arial" w:hAnsi="Verdana" w:cs="Arial"/>
        </w:rPr>
      </w:pPr>
      <w:r w:rsidRPr="00070EC3">
        <w:rPr>
          <w:rFonts w:ascii="Verdana" w:eastAsia="Arial" w:hAnsi="Verdana" w:cs="Arial"/>
        </w:rPr>
        <w:t>El artículo 6 de la mencionada Ley modificó el artículo 238 del Código Sustantivo del Trabajo, el cual quedo redactado en los siguientes términos:</w:t>
      </w:r>
    </w:p>
    <w:p w14:paraId="56EA795D"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pacing w:val="-2"/>
          <w:sz w:val="20"/>
          <w:szCs w:val="20"/>
          <w:lang w:val="es-ES"/>
        </w:rPr>
      </w:pPr>
      <w:r w:rsidRPr="00070EC3">
        <w:rPr>
          <w:rFonts w:ascii="Verdana" w:eastAsia="Arial" w:hAnsi="Verdana" w:cs="Arial"/>
          <w:sz w:val="20"/>
          <w:szCs w:val="20"/>
          <w:lang w:val="es-ES"/>
        </w:rPr>
        <w:t>“Artículo</w:t>
      </w:r>
      <w:r w:rsidRPr="00070EC3">
        <w:rPr>
          <w:rFonts w:ascii="Verdana" w:eastAsia="Arial" w:hAnsi="Verdana" w:cs="Arial"/>
          <w:spacing w:val="-16"/>
          <w:sz w:val="20"/>
          <w:szCs w:val="20"/>
          <w:lang w:val="es-ES"/>
        </w:rPr>
        <w:t xml:space="preserve"> </w:t>
      </w:r>
      <w:r w:rsidRPr="00070EC3">
        <w:rPr>
          <w:rFonts w:ascii="Verdana" w:eastAsia="Arial" w:hAnsi="Verdana" w:cs="Arial"/>
          <w:sz w:val="20"/>
          <w:szCs w:val="20"/>
          <w:lang w:val="es-ES"/>
        </w:rPr>
        <w:t>238.</w:t>
      </w:r>
      <w:r w:rsidRPr="00070EC3">
        <w:rPr>
          <w:rFonts w:ascii="Verdana" w:eastAsia="Arial" w:hAnsi="Verdana" w:cs="Arial"/>
          <w:spacing w:val="-15"/>
          <w:sz w:val="20"/>
          <w:szCs w:val="20"/>
          <w:lang w:val="es-ES"/>
        </w:rPr>
        <w:t xml:space="preserve"> </w:t>
      </w:r>
      <w:r w:rsidRPr="00070EC3">
        <w:rPr>
          <w:rFonts w:ascii="Verdana" w:eastAsia="Arial" w:hAnsi="Verdana" w:cs="Arial"/>
          <w:sz w:val="20"/>
          <w:szCs w:val="20"/>
          <w:lang w:val="es-ES"/>
        </w:rPr>
        <w:t>Descanso</w:t>
      </w:r>
      <w:r w:rsidRPr="00070EC3">
        <w:rPr>
          <w:rFonts w:ascii="Verdana" w:eastAsia="Arial" w:hAnsi="Verdana" w:cs="Arial"/>
          <w:spacing w:val="-16"/>
          <w:sz w:val="20"/>
          <w:szCs w:val="20"/>
          <w:lang w:val="es-ES"/>
        </w:rPr>
        <w:t xml:space="preserve"> </w:t>
      </w:r>
      <w:r w:rsidRPr="00070EC3">
        <w:rPr>
          <w:rFonts w:ascii="Verdana" w:eastAsia="Arial" w:hAnsi="Verdana" w:cs="Arial"/>
          <w:sz w:val="20"/>
          <w:szCs w:val="20"/>
          <w:lang w:val="es-ES"/>
        </w:rPr>
        <w:t>remunerado</w:t>
      </w:r>
      <w:r w:rsidRPr="00070EC3">
        <w:rPr>
          <w:rFonts w:ascii="Verdana" w:eastAsia="Arial" w:hAnsi="Verdana" w:cs="Arial"/>
          <w:spacing w:val="-15"/>
          <w:sz w:val="20"/>
          <w:szCs w:val="20"/>
          <w:lang w:val="es-ES"/>
        </w:rPr>
        <w:t xml:space="preserve"> </w:t>
      </w:r>
      <w:r w:rsidRPr="00070EC3">
        <w:rPr>
          <w:rFonts w:ascii="Verdana" w:eastAsia="Arial" w:hAnsi="Verdana" w:cs="Arial"/>
          <w:sz w:val="20"/>
          <w:szCs w:val="20"/>
          <w:lang w:val="es-ES"/>
        </w:rPr>
        <w:t>durante</w:t>
      </w:r>
      <w:r w:rsidRPr="00070EC3">
        <w:rPr>
          <w:rFonts w:ascii="Verdana" w:eastAsia="Arial" w:hAnsi="Verdana" w:cs="Arial"/>
          <w:spacing w:val="-16"/>
          <w:sz w:val="20"/>
          <w:szCs w:val="20"/>
          <w:lang w:val="es-ES"/>
        </w:rPr>
        <w:t xml:space="preserve"> </w:t>
      </w:r>
      <w:r w:rsidRPr="00070EC3">
        <w:rPr>
          <w:rFonts w:ascii="Verdana" w:eastAsia="Arial" w:hAnsi="Verdana" w:cs="Arial"/>
          <w:sz w:val="20"/>
          <w:szCs w:val="20"/>
          <w:lang w:val="es-ES"/>
        </w:rPr>
        <w:t>la</w:t>
      </w:r>
      <w:r w:rsidRPr="00070EC3">
        <w:rPr>
          <w:rFonts w:ascii="Verdana" w:eastAsia="Arial" w:hAnsi="Verdana" w:cs="Arial"/>
          <w:spacing w:val="-15"/>
          <w:sz w:val="20"/>
          <w:szCs w:val="20"/>
          <w:lang w:val="es-ES"/>
        </w:rPr>
        <w:t xml:space="preserve"> </w:t>
      </w:r>
      <w:r w:rsidRPr="00070EC3">
        <w:rPr>
          <w:rFonts w:ascii="Verdana" w:eastAsia="Arial" w:hAnsi="Verdana" w:cs="Arial"/>
          <w:spacing w:val="-2"/>
          <w:sz w:val="20"/>
          <w:szCs w:val="20"/>
          <w:lang w:val="es-ES"/>
        </w:rPr>
        <w:t>lactancia.</w:t>
      </w:r>
    </w:p>
    <w:p w14:paraId="7C3EDA1F"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z w:val="20"/>
          <w:szCs w:val="20"/>
          <w:lang w:val="es-ES"/>
        </w:rPr>
      </w:pPr>
    </w:p>
    <w:p w14:paraId="1242C256" w14:textId="77777777" w:rsidR="0084476C" w:rsidRDefault="0084476C" w:rsidP="0084476C">
      <w:pPr>
        <w:widowControl w:val="0"/>
        <w:numPr>
          <w:ilvl w:val="0"/>
          <w:numId w:val="19"/>
        </w:numPr>
        <w:tabs>
          <w:tab w:val="left" w:pos="1167"/>
        </w:tabs>
        <w:autoSpaceDE w:val="0"/>
        <w:autoSpaceDN w:val="0"/>
        <w:spacing w:after="0" w:line="240" w:lineRule="auto"/>
        <w:ind w:left="709" w:right="709" w:firstLine="0"/>
        <w:contextualSpacing/>
        <w:jc w:val="both"/>
        <w:rPr>
          <w:rFonts w:ascii="Verdana" w:hAnsi="Verdana"/>
          <w:sz w:val="20"/>
          <w:szCs w:val="20"/>
          <w:lang w:val="es-ES"/>
        </w:rPr>
      </w:pPr>
      <w:r w:rsidRPr="00070EC3">
        <w:rPr>
          <w:rFonts w:ascii="Verdana" w:hAnsi="Verdana"/>
          <w:sz w:val="20"/>
          <w:szCs w:val="20"/>
          <w:lang w:val="es-ES"/>
        </w:rPr>
        <w:t xml:space="preserve">El empleador está en la obligación de conceder a la trabajadora dos (2) descansos, de treinta (30) minutos cada uno, dentro de la jornada para </w:t>
      </w:r>
      <w:r w:rsidRPr="00070EC3">
        <w:rPr>
          <w:rFonts w:ascii="Verdana" w:hAnsi="Verdana"/>
          <w:spacing w:val="-2"/>
          <w:sz w:val="20"/>
          <w:szCs w:val="20"/>
          <w:lang w:val="es-ES"/>
        </w:rPr>
        <w:t>amamantar</w:t>
      </w:r>
      <w:r w:rsidRPr="00070EC3">
        <w:rPr>
          <w:rFonts w:ascii="Verdana" w:hAnsi="Verdana"/>
          <w:spacing w:val="-9"/>
          <w:sz w:val="20"/>
          <w:szCs w:val="20"/>
          <w:lang w:val="es-ES"/>
        </w:rPr>
        <w:t xml:space="preserve"> </w:t>
      </w:r>
      <w:r w:rsidRPr="00070EC3">
        <w:rPr>
          <w:rFonts w:ascii="Verdana" w:hAnsi="Verdana"/>
          <w:spacing w:val="-2"/>
          <w:sz w:val="20"/>
          <w:szCs w:val="20"/>
          <w:lang w:val="es-ES"/>
        </w:rPr>
        <w:t>a</w:t>
      </w:r>
      <w:r w:rsidRPr="00070EC3">
        <w:rPr>
          <w:rFonts w:ascii="Verdana" w:hAnsi="Verdana"/>
          <w:spacing w:val="-12"/>
          <w:sz w:val="20"/>
          <w:szCs w:val="20"/>
          <w:lang w:val="es-ES"/>
        </w:rPr>
        <w:t xml:space="preserve"> </w:t>
      </w:r>
      <w:r w:rsidRPr="00070EC3">
        <w:rPr>
          <w:rFonts w:ascii="Verdana" w:hAnsi="Verdana"/>
          <w:spacing w:val="-2"/>
          <w:sz w:val="20"/>
          <w:szCs w:val="20"/>
          <w:lang w:val="es-ES"/>
        </w:rPr>
        <w:t>su</w:t>
      </w:r>
      <w:r w:rsidRPr="00070EC3">
        <w:rPr>
          <w:rFonts w:ascii="Verdana" w:hAnsi="Verdana"/>
          <w:spacing w:val="-11"/>
          <w:sz w:val="20"/>
          <w:szCs w:val="20"/>
          <w:lang w:val="es-ES"/>
        </w:rPr>
        <w:t xml:space="preserve"> </w:t>
      </w:r>
      <w:r w:rsidRPr="00070EC3">
        <w:rPr>
          <w:rFonts w:ascii="Verdana" w:hAnsi="Verdana"/>
          <w:spacing w:val="-2"/>
          <w:sz w:val="20"/>
          <w:szCs w:val="20"/>
          <w:lang w:val="es-ES"/>
        </w:rPr>
        <w:t>hijo,</w:t>
      </w:r>
      <w:r w:rsidRPr="00070EC3">
        <w:rPr>
          <w:rFonts w:ascii="Verdana" w:hAnsi="Verdana"/>
          <w:spacing w:val="-11"/>
          <w:sz w:val="20"/>
          <w:szCs w:val="20"/>
          <w:lang w:val="es-ES"/>
        </w:rPr>
        <w:t xml:space="preserve"> </w:t>
      </w:r>
      <w:r w:rsidRPr="00070EC3">
        <w:rPr>
          <w:rFonts w:ascii="Verdana" w:hAnsi="Verdana"/>
          <w:spacing w:val="-2"/>
          <w:sz w:val="20"/>
          <w:szCs w:val="20"/>
          <w:lang w:val="es-ES"/>
        </w:rPr>
        <w:t>sin</w:t>
      </w:r>
      <w:r w:rsidRPr="00070EC3">
        <w:rPr>
          <w:rFonts w:ascii="Verdana" w:hAnsi="Verdana"/>
          <w:spacing w:val="-11"/>
          <w:sz w:val="20"/>
          <w:szCs w:val="20"/>
          <w:lang w:val="es-ES"/>
        </w:rPr>
        <w:t xml:space="preserve"> </w:t>
      </w:r>
      <w:r w:rsidRPr="00070EC3">
        <w:rPr>
          <w:rFonts w:ascii="Verdana" w:hAnsi="Verdana"/>
          <w:spacing w:val="-2"/>
          <w:sz w:val="20"/>
          <w:szCs w:val="20"/>
          <w:lang w:val="es-ES"/>
        </w:rPr>
        <w:t>descuento</w:t>
      </w:r>
      <w:r w:rsidRPr="00070EC3">
        <w:rPr>
          <w:rFonts w:ascii="Verdana" w:hAnsi="Verdana"/>
          <w:spacing w:val="-9"/>
          <w:sz w:val="20"/>
          <w:szCs w:val="20"/>
          <w:lang w:val="es-ES"/>
        </w:rPr>
        <w:t xml:space="preserve"> </w:t>
      </w:r>
      <w:r w:rsidRPr="00070EC3">
        <w:rPr>
          <w:rFonts w:ascii="Verdana" w:hAnsi="Verdana"/>
          <w:spacing w:val="-2"/>
          <w:sz w:val="20"/>
          <w:szCs w:val="20"/>
          <w:lang w:val="es-ES"/>
        </w:rPr>
        <w:t>alguno</w:t>
      </w:r>
      <w:r w:rsidRPr="00070EC3">
        <w:rPr>
          <w:rFonts w:ascii="Verdana" w:hAnsi="Verdana"/>
          <w:spacing w:val="-10"/>
          <w:sz w:val="20"/>
          <w:szCs w:val="20"/>
          <w:lang w:val="es-ES"/>
        </w:rPr>
        <w:t xml:space="preserve"> </w:t>
      </w:r>
      <w:r w:rsidRPr="00070EC3">
        <w:rPr>
          <w:rFonts w:ascii="Verdana" w:hAnsi="Verdana"/>
          <w:spacing w:val="-2"/>
          <w:sz w:val="20"/>
          <w:szCs w:val="20"/>
          <w:lang w:val="es-ES"/>
        </w:rPr>
        <w:t>en</w:t>
      </w:r>
      <w:r w:rsidRPr="00070EC3">
        <w:rPr>
          <w:rFonts w:ascii="Verdana" w:hAnsi="Verdana"/>
          <w:spacing w:val="-11"/>
          <w:sz w:val="20"/>
          <w:szCs w:val="20"/>
          <w:lang w:val="es-ES"/>
        </w:rPr>
        <w:t xml:space="preserve"> </w:t>
      </w:r>
      <w:r w:rsidRPr="00070EC3">
        <w:rPr>
          <w:rFonts w:ascii="Verdana" w:hAnsi="Verdana"/>
          <w:spacing w:val="-2"/>
          <w:sz w:val="20"/>
          <w:szCs w:val="20"/>
          <w:lang w:val="es-ES"/>
        </w:rPr>
        <w:t>el</w:t>
      </w:r>
      <w:r w:rsidRPr="00070EC3">
        <w:rPr>
          <w:rFonts w:ascii="Verdana" w:hAnsi="Verdana"/>
          <w:spacing w:val="-11"/>
          <w:sz w:val="20"/>
          <w:szCs w:val="20"/>
          <w:lang w:val="es-ES"/>
        </w:rPr>
        <w:t xml:space="preserve"> </w:t>
      </w:r>
      <w:r w:rsidRPr="00070EC3">
        <w:rPr>
          <w:rFonts w:ascii="Verdana" w:hAnsi="Verdana"/>
          <w:spacing w:val="-2"/>
          <w:sz w:val="20"/>
          <w:szCs w:val="20"/>
          <w:lang w:val="es-ES"/>
        </w:rPr>
        <w:t>salario</w:t>
      </w:r>
      <w:r w:rsidRPr="00070EC3">
        <w:rPr>
          <w:rFonts w:ascii="Verdana" w:hAnsi="Verdana"/>
          <w:spacing w:val="-10"/>
          <w:sz w:val="20"/>
          <w:szCs w:val="20"/>
          <w:lang w:val="es-ES"/>
        </w:rPr>
        <w:t xml:space="preserve"> </w:t>
      </w:r>
      <w:r w:rsidRPr="00070EC3">
        <w:rPr>
          <w:rFonts w:ascii="Verdana" w:hAnsi="Verdana"/>
          <w:spacing w:val="-2"/>
          <w:sz w:val="20"/>
          <w:szCs w:val="20"/>
          <w:lang w:val="es-ES"/>
        </w:rPr>
        <w:t>por</w:t>
      </w:r>
      <w:r w:rsidRPr="00070EC3">
        <w:rPr>
          <w:rFonts w:ascii="Verdana" w:hAnsi="Verdana"/>
          <w:spacing w:val="-11"/>
          <w:sz w:val="20"/>
          <w:szCs w:val="20"/>
          <w:lang w:val="es-ES"/>
        </w:rPr>
        <w:t xml:space="preserve"> </w:t>
      </w:r>
      <w:r w:rsidRPr="00070EC3">
        <w:rPr>
          <w:rFonts w:ascii="Verdana" w:hAnsi="Verdana"/>
          <w:spacing w:val="-2"/>
          <w:sz w:val="20"/>
          <w:szCs w:val="20"/>
          <w:lang w:val="es-ES"/>
        </w:rPr>
        <w:t>dicho</w:t>
      </w:r>
      <w:r w:rsidRPr="00070EC3">
        <w:rPr>
          <w:rFonts w:ascii="Verdana" w:hAnsi="Verdana"/>
          <w:spacing w:val="-10"/>
          <w:sz w:val="20"/>
          <w:szCs w:val="20"/>
          <w:lang w:val="es-ES"/>
        </w:rPr>
        <w:t xml:space="preserve"> </w:t>
      </w:r>
      <w:r w:rsidRPr="00070EC3">
        <w:rPr>
          <w:rFonts w:ascii="Verdana" w:hAnsi="Verdana"/>
          <w:spacing w:val="-2"/>
          <w:sz w:val="20"/>
          <w:szCs w:val="20"/>
          <w:lang w:val="es-ES"/>
        </w:rPr>
        <w:t xml:space="preserve">concepto, </w:t>
      </w:r>
      <w:r w:rsidRPr="00070EC3">
        <w:rPr>
          <w:rFonts w:ascii="Verdana" w:hAnsi="Verdana"/>
          <w:sz w:val="20"/>
          <w:szCs w:val="20"/>
          <w:lang w:val="es-ES"/>
        </w:rPr>
        <w:t>durante los primeros seis (6) meses de edad, y una vez cumplido este</w:t>
      </w:r>
      <w:r w:rsidRPr="00070EC3">
        <w:rPr>
          <w:rFonts w:ascii="Verdana" w:hAnsi="Verdana"/>
          <w:spacing w:val="80"/>
          <w:sz w:val="20"/>
          <w:szCs w:val="20"/>
          <w:lang w:val="es-ES"/>
        </w:rPr>
        <w:t xml:space="preserve"> </w:t>
      </w:r>
      <w:r w:rsidRPr="00070EC3">
        <w:rPr>
          <w:rFonts w:ascii="Verdana" w:hAnsi="Verdana"/>
          <w:sz w:val="20"/>
          <w:szCs w:val="20"/>
          <w:lang w:val="es-ES"/>
        </w:rPr>
        <w:t>periodo, un (1) descanso de treinta (30) minutos en los mismos términos hasta</w:t>
      </w:r>
      <w:r w:rsidRPr="00070EC3">
        <w:rPr>
          <w:rFonts w:ascii="Verdana" w:hAnsi="Verdana"/>
          <w:spacing w:val="-9"/>
          <w:sz w:val="20"/>
          <w:szCs w:val="20"/>
          <w:lang w:val="es-ES"/>
        </w:rPr>
        <w:t xml:space="preserve"> </w:t>
      </w:r>
      <w:r w:rsidRPr="00070EC3">
        <w:rPr>
          <w:rFonts w:ascii="Verdana" w:hAnsi="Verdana"/>
          <w:sz w:val="20"/>
          <w:szCs w:val="20"/>
          <w:lang w:val="es-ES"/>
        </w:rPr>
        <w:t>los</w:t>
      </w:r>
      <w:r w:rsidRPr="00070EC3">
        <w:rPr>
          <w:rFonts w:ascii="Verdana" w:hAnsi="Verdana"/>
          <w:spacing w:val="-9"/>
          <w:sz w:val="20"/>
          <w:szCs w:val="20"/>
          <w:lang w:val="es-ES"/>
        </w:rPr>
        <w:t xml:space="preserve"> </w:t>
      </w:r>
      <w:r w:rsidRPr="00070EC3">
        <w:rPr>
          <w:rFonts w:ascii="Verdana" w:hAnsi="Verdana"/>
          <w:sz w:val="20"/>
          <w:szCs w:val="20"/>
          <w:lang w:val="es-ES"/>
        </w:rPr>
        <w:t>dos</w:t>
      </w:r>
      <w:r w:rsidRPr="00070EC3">
        <w:rPr>
          <w:rFonts w:ascii="Verdana" w:hAnsi="Verdana"/>
          <w:spacing w:val="-9"/>
          <w:sz w:val="20"/>
          <w:szCs w:val="20"/>
          <w:lang w:val="es-ES"/>
        </w:rPr>
        <w:t xml:space="preserve"> </w:t>
      </w:r>
      <w:r w:rsidRPr="00070EC3">
        <w:rPr>
          <w:rFonts w:ascii="Verdana" w:hAnsi="Verdana"/>
          <w:sz w:val="20"/>
          <w:szCs w:val="20"/>
          <w:lang w:val="es-ES"/>
        </w:rPr>
        <w:t>(2)</w:t>
      </w:r>
      <w:r w:rsidRPr="00070EC3">
        <w:rPr>
          <w:rFonts w:ascii="Verdana" w:hAnsi="Verdana"/>
          <w:spacing w:val="-9"/>
          <w:sz w:val="20"/>
          <w:szCs w:val="20"/>
          <w:lang w:val="es-ES"/>
        </w:rPr>
        <w:t xml:space="preserve"> </w:t>
      </w:r>
      <w:proofErr w:type="gramStart"/>
      <w:r w:rsidRPr="00070EC3">
        <w:rPr>
          <w:rFonts w:ascii="Verdana" w:hAnsi="Verdana"/>
          <w:sz w:val="20"/>
          <w:szCs w:val="20"/>
          <w:lang w:val="es-ES"/>
        </w:rPr>
        <w:t>años</w:t>
      </w:r>
      <w:r w:rsidRPr="00070EC3">
        <w:rPr>
          <w:rFonts w:ascii="Verdana" w:hAnsi="Verdana"/>
          <w:spacing w:val="-9"/>
          <w:sz w:val="20"/>
          <w:szCs w:val="20"/>
          <w:lang w:val="es-ES"/>
        </w:rPr>
        <w:t xml:space="preserve"> </w:t>
      </w:r>
      <w:r w:rsidRPr="00070EC3">
        <w:rPr>
          <w:rFonts w:ascii="Verdana" w:hAnsi="Verdana"/>
          <w:sz w:val="20"/>
          <w:szCs w:val="20"/>
          <w:lang w:val="es-ES"/>
        </w:rPr>
        <w:t>de</w:t>
      </w:r>
      <w:r w:rsidRPr="00070EC3">
        <w:rPr>
          <w:rFonts w:ascii="Verdana" w:hAnsi="Verdana"/>
          <w:spacing w:val="-10"/>
          <w:sz w:val="20"/>
          <w:szCs w:val="20"/>
          <w:lang w:val="es-ES"/>
        </w:rPr>
        <w:t xml:space="preserve"> </w:t>
      </w:r>
      <w:r w:rsidRPr="00070EC3">
        <w:rPr>
          <w:rFonts w:ascii="Verdana" w:hAnsi="Verdana"/>
          <w:sz w:val="20"/>
          <w:szCs w:val="20"/>
          <w:lang w:val="es-ES"/>
        </w:rPr>
        <w:t>edad</w:t>
      </w:r>
      <w:proofErr w:type="gramEnd"/>
      <w:r w:rsidRPr="00070EC3">
        <w:rPr>
          <w:rFonts w:ascii="Verdana" w:hAnsi="Verdana"/>
          <w:spacing w:val="-9"/>
          <w:sz w:val="20"/>
          <w:szCs w:val="20"/>
          <w:lang w:val="es-ES"/>
        </w:rPr>
        <w:t xml:space="preserve"> </w:t>
      </w:r>
      <w:r w:rsidRPr="00070EC3">
        <w:rPr>
          <w:rFonts w:ascii="Verdana" w:hAnsi="Verdana"/>
          <w:sz w:val="20"/>
          <w:szCs w:val="20"/>
          <w:lang w:val="es-ES"/>
        </w:rPr>
        <w:t>de/</w:t>
      </w:r>
      <w:r w:rsidRPr="00070EC3">
        <w:rPr>
          <w:rFonts w:ascii="Verdana" w:hAnsi="Verdana"/>
          <w:spacing w:val="-9"/>
          <w:sz w:val="20"/>
          <w:szCs w:val="20"/>
          <w:lang w:val="es-ES"/>
        </w:rPr>
        <w:t xml:space="preserve"> </w:t>
      </w:r>
      <w:r w:rsidRPr="00070EC3">
        <w:rPr>
          <w:rFonts w:ascii="Verdana" w:hAnsi="Verdana"/>
          <w:sz w:val="20"/>
          <w:szCs w:val="20"/>
          <w:lang w:val="es-ES"/>
        </w:rPr>
        <w:t>menor:</w:t>
      </w:r>
      <w:r w:rsidRPr="00070EC3">
        <w:rPr>
          <w:rFonts w:ascii="Verdana" w:hAnsi="Verdana"/>
          <w:spacing w:val="-9"/>
          <w:sz w:val="20"/>
          <w:szCs w:val="20"/>
          <w:lang w:val="es-ES"/>
        </w:rPr>
        <w:t xml:space="preserve"> </w:t>
      </w:r>
      <w:r w:rsidRPr="00070EC3">
        <w:rPr>
          <w:rFonts w:ascii="Verdana" w:hAnsi="Verdana"/>
          <w:sz w:val="20"/>
          <w:szCs w:val="20"/>
          <w:lang w:val="es-ES"/>
        </w:rPr>
        <w:t>siempre</w:t>
      </w:r>
      <w:r w:rsidRPr="00070EC3">
        <w:rPr>
          <w:rFonts w:ascii="Verdana" w:hAnsi="Verdana"/>
          <w:spacing w:val="-8"/>
          <w:sz w:val="20"/>
          <w:szCs w:val="20"/>
          <w:lang w:val="es-ES"/>
        </w:rPr>
        <w:t xml:space="preserve"> </w:t>
      </w:r>
      <w:r w:rsidRPr="00070EC3">
        <w:rPr>
          <w:rFonts w:ascii="Verdana" w:hAnsi="Verdana"/>
          <w:sz w:val="20"/>
          <w:szCs w:val="20"/>
          <w:lang w:val="es-ES"/>
        </w:rPr>
        <w:t>y</w:t>
      </w:r>
      <w:r w:rsidRPr="00070EC3">
        <w:rPr>
          <w:rFonts w:ascii="Verdana" w:hAnsi="Verdana"/>
          <w:spacing w:val="-10"/>
          <w:sz w:val="20"/>
          <w:szCs w:val="20"/>
          <w:lang w:val="es-ES"/>
        </w:rPr>
        <w:t xml:space="preserve"> </w:t>
      </w:r>
      <w:r w:rsidRPr="00070EC3">
        <w:rPr>
          <w:rFonts w:ascii="Verdana" w:hAnsi="Verdana"/>
          <w:sz w:val="20"/>
          <w:szCs w:val="20"/>
          <w:lang w:val="es-ES"/>
        </w:rPr>
        <w:t>cuando</w:t>
      </w:r>
      <w:r w:rsidRPr="00070EC3">
        <w:rPr>
          <w:rFonts w:ascii="Verdana" w:hAnsi="Verdana"/>
          <w:spacing w:val="-8"/>
          <w:sz w:val="20"/>
          <w:szCs w:val="20"/>
          <w:lang w:val="es-ES"/>
        </w:rPr>
        <w:t xml:space="preserve"> </w:t>
      </w:r>
      <w:r w:rsidRPr="00070EC3">
        <w:rPr>
          <w:rFonts w:ascii="Verdana" w:hAnsi="Verdana"/>
          <w:sz w:val="20"/>
          <w:szCs w:val="20"/>
          <w:lang w:val="es-ES"/>
        </w:rPr>
        <w:t>se</w:t>
      </w:r>
      <w:r w:rsidRPr="00070EC3">
        <w:rPr>
          <w:rFonts w:ascii="Verdana" w:hAnsi="Verdana"/>
          <w:spacing w:val="-9"/>
          <w:sz w:val="20"/>
          <w:szCs w:val="20"/>
          <w:lang w:val="es-ES"/>
        </w:rPr>
        <w:t xml:space="preserve"> </w:t>
      </w:r>
      <w:r w:rsidRPr="00070EC3">
        <w:rPr>
          <w:rFonts w:ascii="Verdana" w:hAnsi="Verdana"/>
          <w:sz w:val="20"/>
          <w:szCs w:val="20"/>
          <w:lang w:val="es-ES"/>
        </w:rPr>
        <w:t>mantenga y manifieste una adecuada lactancia materno-continua.</w:t>
      </w:r>
    </w:p>
    <w:p w14:paraId="26262673" w14:textId="77777777" w:rsidR="0084476C" w:rsidRPr="0068056F" w:rsidRDefault="0084476C" w:rsidP="0084476C">
      <w:pPr>
        <w:widowControl w:val="0"/>
        <w:numPr>
          <w:ilvl w:val="0"/>
          <w:numId w:val="19"/>
        </w:numPr>
        <w:tabs>
          <w:tab w:val="left" w:pos="1167"/>
        </w:tabs>
        <w:autoSpaceDE w:val="0"/>
        <w:autoSpaceDN w:val="0"/>
        <w:spacing w:after="0" w:line="240" w:lineRule="auto"/>
        <w:ind w:left="709" w:right="709" w:firstLine="0"/>
        <w:contextualSpacing/>
        <w:jc w:val="both"/>
        <w:rPr>
          <w:rFonts w:ascii="Verdana" w:hAnsi="Verdana"/>
          <w:sz w:val="20"/>
          <w:szCs w:val="20"/>
          <w:lang w:val="es-ES"/>
        </w:rPr>
      </w:pPr>
      <w:r w:rsidRPr="0068056F">
        <w:rPr>
          <w:rFonts w:ascii="Verdana" w:hAnsi="Verdana"/>
          <w:sz w:val="20"/>
          <w:szCs w:val="20"/>
        </w:rPr>
        <w:t>El</w:t>
      </w:r>
      <w:r w:rsidRPr="0068056F">
        <w:rPr>
          <w:rFonts w:ascii="Verdana" w:hAnsi="Verdana"/>
          <w:spacing w:val="-2"/>
          <w:sz w:val="20"/>
          <w:szCs w:val="20"/>
        </w:rPr>
        <w:t xml:space="preserve"> </w:t>
      </w:r>
      <w:r w:rsidRPr="0068056F">
        <w:rPr>
          <w:rFonts w:ascii="Verdana" w:hAnsi="Verdana"/>
          <w:sz w:val="20"/>
          <w:szCs w:val="20"/>
        </w:rPr>
        <w:t>empleador está</w:t>
      </w:r>
      <w:r w:rsidRPr="0068056F">
        <w:rPr>
          <w:rFonts w:ascii="Verdana" w:hAnsi="Verdana"/>
          <w:spacing w:val="-1"/>
          <w:sz w:val="20"/>
          <w:szCs w:val="20"/>
        </w:rPr>
        <w:t xml:space="preserve"> </w:t>
      </w:r>
      <w:r w:rsidRPr="0068056F">
        <w:rPr>
          <w:rFonts w:ascii="Verdana" w:hAnsi="Verdana"/>
          <w:sz w:val="20"/>
          <w:szCs w:val="20"/>
        </w:rPr>
        <w:t>en</w:t>
      </w:r>
      <w:r w:rsidRPr="0068056F">
        <w:rPr>
          <w:rFonts w:ascii="Verdana" w:hAnsi="Verdana"/>
          <w:spacing w:val="-2"/>
          <w:sz w:val="20"/>
          <w:szCs w:val="20"/>
        </w:rPr>
        <w:t xml:space="preserve"> </w:t>
      </w:r>
      <w:r w:rsidRPr="0068056F">
        <w:rPr>
          <w:rFonts w:ascii="Verdana" w:hAnsi="Verdana"/>
          <w:sz w:val="20"/>
          <w:szCs w:val="20"/>
        </w:rPr>
        <w:t>la</w:t>
      </w:r>
      <w:r w:rsidRPr="0068056F">
        <w:rPr>
          <w:rFonts w:ascii="Verdana" w:hAnsi="Verdana"/>
          <w:spacing w:val="-2"/>
          <w:sz w:val="20"/>
          <w:szCs w:val="20"/>
        </w:rPr>
        <w:t xml:space="preserve"> </w:t>
      </w:r>
      <w:r w:rsidRPr="0068056F">
        <w:rPr>
          <w:rFonts w:ascii="Verdana" w:hAnsi="Verdana"/>
          <w:sz w:val="20"/>
          <w:szCs w:val="20"/>
        </w:rPr>
        <w:t>obligación de</w:t>
      </w:r>
      <w:r w:rsidRPr="0068056F">
        <w:rPr>
          <w:rFonts w:ascii="Verdana" w:hAnsi="Verdana"/>
          <w:spacing w:val="-2"/>
          <w:sz w:val="20"/>
          <w:szCs w:val="20"/>
        </w:rPr>
        <w:t xml:space="preserve"> </w:t>
      </w:r>
      <w:r w:rsidRPr="0068056F">
        <w:rPr>
          <w:rFonts w:ascii="Verdana" w:hAnsi="Verdana"/>
          <w:sz w:val="20"/>
          <w:szCs w:val="20"/>
        </w:rPr>
        <w:t>conceder más</w:t>
      </w:r>
      <w:r w:rsidRPr="0068056F">
        <w:rPr>
          <w:rFonts w:ascii="Verdana" w:hAnsi="Verdana"/>
          <w:spacing w:val="-2"/>
          <w:sz w:val="20"/>
          <w:szCs w:val="20"/>
        </w:rPr>
        <w:t xml:space="preserve"> </w:t>
      </w:r>
      <w:r w:rsidRPr="0068056F">
        <w:rPr>
          <w:rFonts w:ascii="Verdana" w:hAnsi="Verdana"/>
          <w:sz w:val="20"/>
          <w:szCs w:val="20"/>
        </w:rPr>
        <w:t>descansos que</w:t>
      </w:r>
      <w:r w:rsidRPr="0068056F">
        <w:rPr>
          <w:rFonts w:ascii="Verdana" w:hAnsi="Verdana"/>
          <w:spacing w:val="-2"/>
          <w:sz w:val="20"/>
          <w:szCs w:val="20"/>
        </w:rPr>
        <w:t xml:space="preserve"> </w:t>
      </w:r>
      <w:r w:rsidRPr="0068056F">
        <w:rPr>
          <w:rFonts w:ascii="Verdana" w:hAnsi="Verdana"/>
          <w:sz w:val="20"/>
          <w:szCs w:val="20"/>
        </w:rPr>
        <w:t>los establecidos en el inciso anterior si lo trabajadora presenta certificado médico en el cual se expongan las razones que justifiquen ese mayor número de descansos.</w:t>
      </w:r>
    </w:p>
    <w:p w14:paraId="209DCF03"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z w:val="20"/>
          <w:szCs w:val="20"/>
          <w:lang w:val="es-ES"/>
        </w:rPr>
      </w:pPr>
    </w:p>
    <w:p w14:paraId="611B79A2" w14:textId="77777777" w:rsidR="0084476C" w:rsidRPr="00070EC3" w:rsidRDefault="0084476C" w:rsidP="0084476C">
      <w:pPr>
        <w:widowControl w:val="0"/>
        <w:numPr>
          <w:ilvl w:val="0"/>
          <w:numId w:val="19"/>
        </w:numPr>
        <w:tabs>
          <w:tab w:val="left" w:pos="1247"/>
        </w:tabs>
        <w:autoSpaceDE w:val="0"/>
        <w:autoSpaceDN w:val="0"/>
        <w:spacing w:after="0" w:line="240" w:lineRule="auto"/>
        <w:ind w:left="709" w:right="709" w:firstLine="0"/>
        <w:contextualSpacing/>
        <w:jc w:val="both"/>
        <w:rPr>
          <w:rFonts w:ascii="Verdana" w:hAnsi="Verdana"/>
          <w:sz w:val="20"/>
          <w:szCs w:val="20"/>
          <w:lang w:val="es-ES"/>
        </w:rPr>
      </w:pPr>
      <w:r w:rsidRPr="00070EC3">
        <w:rPr>
          <w:rFonts w:ascii="Verdana" w:hAnsi="Verdana"/>
          <w:sz w:val="20"/>
          <w:szCs w:val="20"/>
          <w:lang w:val="es-ES"/>
        </w:rPr>
        <w:t>Para dar cumplimiento a la obligación consagrada en este artículo, los empleadores deben establecer en un local contiguo a aquel en donde la mujer</w:t>
      </w:r>
      <w:r w:rsidRPr="00070EC3">
        <w:rPr>
          <w:rFonts w:ascii="Verdana" w:hAnsi="Verdana"/>
          <w:spacing w:val="-4"/>
          <w:sz w:val="20"/>
          <w:szCs w:val="20"/>
          <w:lang w:val="es-ES"/>
        </w:rPr>
        <w:t xml:space="preserve"> </w:t>
      </w:r>
      <w:r w:rsidRPr="00070EC3">
        <w:rPr>
          <w:rFonts w:ascii="Verdana" w:hAnsi="Verdana"/>
          <w:sz w:val="20"/>
          <w:szCs w:val="20"/>
          <w:lang w:val="es-ES"/>
        </w:rPr>
        <w:t>trabaja,</w:t>
      </w:r>
      <w:r w:rsidRPr="00070EC3">
        <w:rPr>
          <w:rFonts w:ascii="Verdana" w:hAnsi="Verdana"/>
          <w:spacing w:val="-3"/>
          <w:sz w:val="20"/>
          <w:szCs w:val="20"/>
          <w:lang w:val="es-ES"/>
        </w:rPr>
        <w:t xml:space="preserve"> </w:t>
      </w:r>
      <w:r w:rsidRPr="00070EC3">
        <w:rPr>
          <w:rFonts w:ascii="Verdana" w:hAnsi="Verdana"/>
          <w:sz w:val="20"/>
          <w:szCs w:val="20"/>
          <w:lang w:val="es-ES"/>
        </w:rPr>
        <w:t>una</w:t>
      </w:r>
      <w:r w:rsidRPr="00070EC3">
        <w:rPr>
          <w:rFonts w:ascii="Verdana" w:hAnsi="Verdana"/>
          <w:spacing w:val="-5"/>
          <w:sz w:val="20"/>
          <w:szCs w:val="20"/>
          <w:lang w:val="es-ES"/>
        </w:rPr>
        <w:t xml:space="preserve"> </w:t>
      </w:r>
      <w:r w:rsidRPr="00070EC3">
        <w:rPr>
          <w:rFonts w:ascii="Verdana" w:hAnsi="Verdana"/>
          <w:sz w:val="20"/>
          <w:szCs w:val="20"/>
          <w:lang w:val="es-ES"/>
        </w:rPr>
        <w:t>sala</w:t>
      </w:r>
      <w:r w:rsidRPr="00070EC3">
        <w:rPr>
          <w:rFonts w:ascii="Verdana" w:hAnsi="Verdana"/>
          <w:spacing w:val="-5"/>
          <w:sz w:val="20"/>
          <w:szCs w:val="20"/>
          <w:lang w:val="es-ES"/>
        </w:rPr>
        <w:t xml:space="preserve"> </w:t>
      </w:r>
      <w:r w:rsidRPr="00070EC3">
        <w:rPr>
          <w:rFonts w:ascii="Verdana" w:hAnsi="Verdana"/>
          <w:sz w:val="20"/>
          <w:szCs w:val="20"/>
          <w:lang w:val="es-ES"/>
        </w:rPr>
        <w:t>de</w:t>
      </w:r>
      <w:r w:rsidRPr="00070EC3">
        <w:rPr>
          <w:rFonts w:ascii="Verdana" w:hAnsi="Verdana"/>
          <w:spacing w:val="-5"/>
          <w:sz w:val="20"/>
          <w:szCs w:val="20"/>
          <w:lang w:val="es-ES"/>
        </w:rPr>
        <w:t xml:space="preserve"> </w:t>
      </w:r>
      <w:r w:rsidRPr="00070EC3">
        <w:rPr>
          <w:rFonts w:ascii="Verdana" w:hAnsi="Verdana"/>
          <w:sz w:val="20"/>
          <w:szCs w:val="20"/>
          <w:lang w:val="es-ES"/>
        </w:rPr>
        <w:t>lactancia</w:t>
      </w:r>
      <w:r w:rsidRPr="00070EC3">
        <w:rPr>
          <w:rFonts w:ascii="Verdana" w:hAnsi="Verdana"/>
          <w:spacing w:val="-3"/>
          <w:sz w:val="20"/>
          <w:szCs w:val="20"/>
          <w:lang w:val="es-ES"/>
        </w:rPr>
        <w:t xml:space="preserve"> </w:t>
      </w:r>
      <w:r w:rsidRPr="00070EC3">
        <w:rPr>
          <w:rFonts w:ascii="Verdana" w:hAnsi="Verdana"/>
          <w:sz w:val="20"/>
          <w:szCs w:val="20"/>
          <w:lang w:val="es-ES"/>
        </w:rPr>
        <w:t>o</w:t>
      </w:r>
      <w:r w:rsidRPr="00070EC3">
        <w:rPr>
          <w:rFonts w:ascii="Verdana" w:hAnsi="Verdana"/>
          <w:spacing w:val="-6"/>
          <w:sz w:val="20"/>
          <w:szCs w:val="20"/>
          <w:lang w:val="es-ES"/>
        </w:rPr>
        <w:t xml:space="preserve"> </w:t>
      </w:r>
      <w:r w:rsidRPr="00070EC3">
        <w:rPr>
          <w:rFonts w:ascii="Verdana" w:hAnsi="Verdana"/>
          <w:sz w:val="20"/>
          <w:szCs w:val="20"/>
          <w:lang w:val="es-ES"/>
        </w:rPr>
        <w:t>un</w:t>
      </w:r>
      <w:r w:rsidRPr="00070EC3">
        <w:rPr>
          <w:rFonts w:ascii="Verdana" w:hAnsi="Verdana"/>
          <w:spacing w:val="-5"/>
          <w:sz w:val="20"/>
          <w:szCs w:val="20"/>
          <w:lang w:val="es-ES"/>
        </w:rPr>
        <w:t xml:space="preserve"> </w:t>
      </w:r>
      <w:r w:rsidRPr="00070EC3">
        <w:rPr>
          <w:rFonts w:ascii="Verdana" w:hAnsi="Verdana"/>
          <w:sz w:val="20"/>
          <w:szCs w:val="20"/>
          <w:lang w:val="es-ES"/>
        </w:rPr>
        <w:t>lugar</w:t>
      </w:r>
      <w:r w:rsidRPr="00070EC3">
        <w:rPr>
          <w:rFonts w:ascii="Verdana" w:hAnsi="Verdana"/>
          <w:spacing w:val="-4"/>
          <w:sz w:val="20"/>
          <w:szCs w:val="20"/>
          <w:lang w:val="es-ES"/>
        </w:rPr>
        <w:t xml:space="preserve"> </w:t>
      </w:r>
      <w:r w:rsidRPr="00070EC3">
        <w:rPr>
          <w:rFonts w:ascii="Verdana" w:hAnsi="Verdana"/>
          <w:sz w:val="20"/>
          <w:szCs w:val="20"/>
          <w:lang w:val="es-ES"/>
        </w:rPr>
        <w:t>apropiado</w:t>
      </w:r>
      <w:r w:rsidRPr="00070EC3">
        <w:rPr>
          <w:rFonts w:ascii="Verdana" w:hAnsi="Verdana"/>
          <w:spacing w:val="-3"/>
          <w:sz w:val="20"/>
          <w:szCs w:val="20"/>
          <w:lang w:val="es-ES"/>
        </w:rPr>
        <w:t xml:space="preserve"> </w:t>
      </w:r>
      <w:r w:rsidRPr="00070EC3">
        <w:rPr>
          <w:rFonts w:ascii="Verdana" w:hAnsi="Verdana"/>
          <w:sz w:val="20"/>
          <w:szCs w:val="20"/>
          <w:lang w:val="es-ES"/>
        </w:rPr>
        <w:t>para</w:t>
      </w:r>
      <w:r w:rsidRPr="00070EC3">
        <w:rPr>
          <w:rFonts w:ascii="Verdana" w:hAnsi="Verdana"/>
          <w:spacing w:val="-5"/>
          <w:sz w:val="20"/>
          <w:szCs w:val="20"/>
          <w:lang w:val="es-ES"/>
        </w:rPr>
        <w:t xml:space="preserve"> </w:t>
      </w:r>
      <w:r w:rsidRPr="00070EC3">
        <w:rPr>
          <w:rFonts w:ascii="Verdana" w:hAnsi="Verdana"/>
          <w:sz w:val="20"/>
          <w:szCs w:val="20"/>
          <w:lang w:val="es-ES"/>
        </w:rPr>
        <w:t>guardar</w:t>
      </w:r>
      <w:r w:rsidRPr="00070EC3">
        <w:rPr>
          <w:rFonts w:ascii="Verdana" w:hAnsi="Verdana"/>
          <w:spacing w:val="-4"/>
          <w:sz w:val="20"/>
          <w:szCs w:val="20"/>
          <w:lang w:val="es-ES"/>
        </w:rPr>
        <w:t xml:space="preserve"> </w:t>
      </w:r>
      <w:r w:rsidRPr="00070EC3">
        <w:rPr>
          <w:rFonts w:ascii="Verdana" w:hAnsi="Verdana"/>
          <w:sz w:val="20"/>
          <w:szCs w:val="20"/>
          <w:lang w:val="es-ES"/>
        </w:rPr>
        <w:t xml:space="preserve">al </w:t>
      </w:r>
      <w:r w:rsidRPr="00070EC3">
        <w:rPr>
          <w:rFonts w:ascii="Verdana" w:hAnsi="Verdana"/>
          <w:spacing w:val="-2"/>
          <w:sz w:val="20"/>
          <w:szCs w:val="20"/>
          <w:lang w:val="es-ES"/>
        </w:rPr>
        <w:t>niño.</w:t>
      </w:r>
    </w:p>
    <w:p w14:paraId="761629FE"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z w:val="20"/>
          <w:szCs w:val="20"/>
          <w:lang w:val="es-ES"/>
        </w:rPr>
      </w:pPr>
    </w:p>
    <w:p w14:paraId="4B55F5ED" w14:textId="77777777" w:rsidR="0084476C" w:rsidRPr="00070EC3" w:rsidRDefault="0084476C" w:rsidP="0084476C">
      <w:pPr>
        <w:widowControl w:val="0"/>
        <w:numPr>
          <w:ilvl w:val="0"/>
          <w:numId w:val="19"/>
        </w:numPr>
        <w:tabs>
          <w:tab w:val="left" w:pos="1253"/>
        </w:tabs>
        <w:autoSpaceDE w:val="0"/>
        <w:autoSpaceDN w:val="0"/>
        <w:spacing w:after="0" w:line="240" w:lineRule="auto"/>
        <w:ind w:left="709" w:right="709" w:firstLine="0"/>
        <w:contextualSpacing/>
        <w:jc w:val="both"/>
        <w:rPr>
          <w:rFonts w:ascii="Verdana" w:hAnsi="Verdana"/>
          <w:sz w:val="20"/>
          <w:szCs w:val="20"/>
          <w:lang w:val="es-ES"/>
        </w:rPr>
      </w:pPr>
      <w:r w:rsidRPr="00070EC3">
        <w:rPr>
          <w:rFonts w:ascii="Verdana" w:hAnsi="Verdana"/>
          <w:sz w:val="20"/>
          <w:szCs w:val="20"/>
          <w:lang w:val="es-ES"/>
        </w:rPr>
        <w:t>Los empleadores pueden contratar con las instituciones de protección infantil el inciso anterior”.</w:t>
      </w:r>
    </w:p>
    <w:p w14:paraId="3BC85A4B" w14:textId="77777777" w:rsidR="0084476C" w:rsidRPr="00070EC3" w:rsidRDefault="0084476C" w:rsidP="0084476C">
      <w:pPr>
        <w:spacing w:after="0" w:line="240" w:lineRule="auto"/>
        <w:ind w:right="49" w:firstLine="709"/>
        <w:jc w:val="both"/>
        <w:rPr>
          <w:rFonts w:ascii="Verdana" w:eastAsia="Arial" w:hAnsi="Verdana" w:cs="Arial"/>
          <w:lang w:val="es-ES"/>
        </w:rPr>
      </w:pPr>
    </w:p>
    <w:p w14:paraId="103CB6E1"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lang w:val="es-ES"/>
        </w:rPr>
      </w:pPr>
      <w:r w:rsidRPr="00070EC3">
        <w:rPr>
          <w:rFonts w:ascii="Verdana" w:eastAsia="Arial" w:hAnsi="Verdana" w:cs="Arial"/>
          <w:lang w:val="es-ES"/>
        </w:rPr>
        <w:t xml:space="preserve">Según se deprende del texto transcrito, la norma concede un descanso remunerado para las trabajadoras durante el periodo de lactancia de la siguiente forma: i) hasta los seis (6) meses de edad, los empleadores deben conceder dos (2) descansos de treinta (30) minutos cada uno durante la jornada laboral y; </w:t>
      </w:r>
      <w:proofErr w:type="spellStart"/>
      <w:r w:rsidRPr="00070EC3">
        <w:rPr>
          <w:rFonts w:ascii="Verdana" w:eastAsia="Arial" w:hAnsi="Verdana" w:cs="Arial"/>
          <w:lang w:val="es-ES"/>
        </w:rPr>
        <w:t>ii</w:t>
      </w:r>
      <w:proofErr w:type="spellEnd"/>
      <w:r w:rsidRPr="00070EC3">
        <w:rPr>
          <w:rFonts w:ascii="Verdana" w:eastAsia="Arial" w:hAnsi="Verdana" w:cs="Arial"/>
          <w:lang w:val="es-ES"/>
        </w:rPr>
        <w:t>) de los seis (6) en adelante y hasta los dos (2) años de edad, se debe conceder a la trabajadora un descanso de treinta (30) minutos durante la jornada laboral, sin que estos descansos impliquen una disminución en el salario devengado.</w:t>
      </w:r>
    </w:p>
    <w:p w14:paraId="0440A218"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lang w:val="es-ES"/>
        </w:rPr>
        <w:t xml:space="preserve">Ahora bien, </w:t>
      </w:r>
      <w:r w:rsidRPr="00070EC3">
        <w:rPr>
          <w:rFonts w:ascii="Verdana" w:eastAsia="Arial" w:hAnsi="Verdana" w:cs="Arial"/>
        </w:rPr>
        <w:t xml:space="preserve">en relación con la prohibición de despido consagrada en el artículo 239 del Código Sustantivo de Trabajo por motivo del embarazo o la lactancia, y a la luz de la modificación introducida por la Ley 2306 de 2023, la Agencia Nacional de Contratación Pública – Colombia Compra Eficiente– se ha pronunciado en diferentes conceptos. En particular, se ha planteado el interrogante acerca si el derecho regulado en el artículo 6 de la Ley 2306 de 2023 también debe garantizarse a las contratistas del Estado en la modalidad prestación de servicio. </w:t>
      </w:r>
    </w:p>
    <w:p w14:paraId="3E9729B7"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Sobre este punto, en el concepto C-078 de 2024, así como en los conceptos C-300 del 21 de agosto de 2024, C-922 del 8 de diciembre de 2024, C-1003 del 30 de enero de 2025, C-142 del 14 de marzo de 2025, C- 192 del 25 de marzo de 2025, C- 414 del 12 de mayo de 2025, C-1271 del 17 de octubre de 2025, C-1415 del 11 de noviembre de 2025, C-1602 del 11 de diciembre de 2025, C-1672 del 19 de diciembre de 2025, la Agencia emitió una respuesta negativa a dicho problema jurídica, al considerar que la Ley 2306 de 2023 no extendió el fuero de maternidad hasta los dos (2) años de edad del menor, sino que se limitó a reconocer un descanso especial de lactancia, el cual constituye un derecho propio de las relaciones laborales. En dichas ocasiones, la Agencia consideró que el referido derecho no resultaba extensible a los contratos de prestación de servicios, en la medida en que no generan un vínculo laboral. </w:t>
      </w:r>
      <w:r>
        <w:rPr>
          <w:rFonts w:ascii="Verdana" w:eastAsia="Arial" w:hAnsi="Verdana" w:cs="Arial"/>
        </w:rPr>
        <w:t xml:space="preserve">Al respecto señaló en repetidas ocasiones: </w:t>
      </w:r>
    </w:p>
    <w:p w14:paraId="482837C2"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 xml:space="preserve">“[…] las modificaciones introducidas por el artículo 6 de la Ley 2306 de 2023 son aplicables a las mujeres vinculadas por contrato laboral, en la medida que, por un lado, como se ha venido señalando, la referida disposición modificó el artículo 238 del Código Sustantivo de Trabajo, el cual regula relaciones laborales. Por otro lado, se deduce de la lectura literal del artículo objeto de estudio, el cual hace referencia a los sujetos propios de la relación laboral - “empleador”, “trabajadora”. Asimismo, regula unos “descansos remunerados”, que son un derecho propio de una relación laboral. </w:t>
      </w:r>
    </w:p>
    <w:p w14:paraId="49EFE4FE"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z w:val="20"/>
          <w:szCs w:val="20"/>
        </w:rPr>
      </w:pPr>
    </w:p>
    <w:p w14:paraId="1330C41C"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 xml:space="preserve">El contrato de prestación de servicios no pertenece al ámbito jurídico laboral y, en consecuencia, no se rige por el Código Sustantivo del Trabajo, razón por la cual, entre el contratante y el contratista no existe un vínculo laboral sino una relación de orden civil, comercial o de contratación estatal. Así las cosas, en el contrato de prestación de servicios no se generan las prerrogativas propias del contrato de trabajo como es el caso de los descansos remunerados en el periodo de lactancia y la extensión del fuero de maternidad que da en virtud de dicha prerrogativa. </w:t>
      </w:r>
    </w:p>
    <w:p w14:paraId="50E025DC"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z w:val="20"/>
          <w:szCs w:val="20"/>
        </w:rPr>
      </w:pPr>
    </w:p>
    <w:p w14:paraId="421951E6"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Habiendo efectuado la precisión anterior, puede afirmarse que lo previsto en la Ley 2306 de 2023, específicamente en el artículo 6, no se aplica a las relaciones contractuales de las Entidades Estatales que no generan una relación laboral. En otras palabras, el derecho consagrado en esta Ley tiene como destinatarios a los sujetos que ostentan la calidad de trabajadores, es decir, aquellos que han celebrado con estas un contrato de trabajo o del que emerge una relación laboral”.</w:t>
      </w:r>
    </w:p>
    <w:p w14:paraId="6067AA63" w14:textId="77777777" w:rsidR="0084476C" w:rsidRPr="00070EC3" w:rsidRDefault="0084476C" w:rsidP="0084476C">
      <w:pPr>
        <w:widowControl w:val="0"/>
        <w:autoSpaceDE w:val="0"/>
        <w:autoSpaceDN w:val="0"/>
        <w:spacing w:after="0" w:line="240" w:lineRule="auto"/>
        <w:ind w:left="709" w:right="616"/>
        <w:jc w:val="both"/>
        <w:rPr>
          <w:rFonts w:ascii="Verdana" w:eastAsia="Arial" w:hAnsi="Verdana" w:cs="Arial"/>
          <w:sz w:val="20"/>
          <w:szCs w:val="20"/>
        </w:rPr>
      </w:pPr>
    </w:p>
    <w:p w14:paraId="04007CE6"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Finalmente, la Agencia precisó que, a la fecha de emisión del concepto, no existía un precedente judicial específico que hubiera resuelto situaciones análogas en relación con la aplicación del artículo 238 del Código Sustantivo del Trabajo —modificado por la Ley 2306 de 2023— a los contratos de prestación de servicios. En consecuencia, sostuvo que no resultaba jurídicamente viable extender, por vía interpretativa, el derecho a los descansos remunerados durante el período de lactancia ni una eventual ampliación del fuero de maternidad a favor de las contratistas del Estado que no ostentan la calidad de trabajadoras. </w:t>
      </w:r>
    </w:p>
    <w:p w14:paraId="21C42A5F"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No </w:t>
      </w:r>
      <w:proofErr w:type="gramStart"/>
      <w:r w:rsidRPr="00070EC3">
        <w:rPr>
          <w:rFonts w:ascii="Verdana" w:eastAsia="Arial" w:hAnsi="Verdana" w:cs="Arial"/>
        </w:rPr>
        <w:t>obstante</w:t>
      </w:r>
      <w:proofErr w:type="gramEnd"/>
      <w:r w:rsidRPr="00070EC3">
        <w:rPr>
          <w:rFonts w:ascii="Verdana" w:eastAsia="Arial" w:hAnsi="Verdana" w:cs="Arial"/>
        </w:rPr>
        <w:t xml:space="preserve"> lo anterior, a partir de los pronunciamientos más recientes de la Corte Constitucional y luego de un análisis más detallado del alcance constitucional de la protección a la maternidad, esta Agencia</w:t>
      </w:r>
      <w:r>
        <w:rPr>
          <w:rFonts w:ascii="Verdana" w:eastAsia="Arial" w:hAnsi="Verdana" w:cs="Arial"/>
        </w:rPr>
        <w:t xml:space="preserve">, mediante Concepto CU-308 de 2026, </w:t>
      </w:r>
      <w:r w:rsidRPr="00070EC3">
        <w:rPr>
          <w:rFonts w:ascii="Verdana" w:eastAsia="Arial" w:hAnsi="Verdana" w:cs="Arial"/>
        </w:rPr>
        <w:t>aclar</w:t>
      </w:r>
      <w:r>
        <w:rPr>
          <w:rFonts w:ascii="Verdana" w:eastAsia="Arial" w:hAnsi="Verdana" w:cs="Arial"/>
        </w:rPr>
        <w:t>ó</w:t>
      </w:r>
      <w:r w:rsidRPr="00070EC3">
        <w:rPr>
          <w:rFonts w:ascii="Verdana" w:eastAsia="Arial" w:hAnsi="Verdana" w:cs="Arial"/>
        </w:rPr>
        <w:t xml:space="preserve"> su postura frente a la aplicación del fuero de maternidad durante el periodo de lactancia en los términos que se exponen a continuación. </w:t>
      </w:r>
    </w:p>
    <w:p w14:paraId="7D9A356E"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En primer lugar, es importante mencionar que, el Alto Tribunal Constitucional ha resaltado de manera reiterada la especial relevancia de la lactancia materna para el desarrollo humano y la protección reforzada que esta práctica recibe en el ordenamiento jurídico colombiano. La Corte ha señalado que la lactancia constituye un derecho fundamental, cuya efectividad exige que el entorno laboral ofrezca condiciones reales para su ejercicio, sin generar discriminación ni poner en riesgo la estabilidad de las mujeres</w:t>
      </w:r>
      <w:r w:rsidRPr="00070EC3">
        <w:rPr>
          <w:rStyle w:val="Refdenotaalpie"/>
          <w:rFonts w:ascii="Verdana" w:eastAsia="Arial" w:hAnsi="Verdana" w:cs="Arial"/>
        </w:rPr>
        <w:footnoteReference w:id="27"/>
      </w:r>
      <w:r w:rsidRPr="00070EC3">
        <w:rPr>
          <w:rFonts w:ascii="Verdana" w:eastAsia="Arial" w:hAnsi="Verdana" w:cs="Arial"/>
        </w:rPr>
        <w:t xml:space="preserve">. </w:t>
      </w:r>
    </w:p>
    <w:p w14:paraId="2000C2A3"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En este sentido, la Corte ha precisado que la lactancia materna no solo es una práctica esencial para la salud y el desarrollo integral de la primera infancia, sino también un componente estructural de las políticas de igualdad de género y de conciliación entre la vida laboral y familiar. Por ello, su protección constituye una obligación del Estado, orientada a garantizar el ejercicio pleno de los derechos de las mujeres y de </w:t>
      </w:r>
      <w:proofErr w:type="gramStart"/>
      <w:r w:rsidRPr="00070EC3">
        <w:rPr>
          <w:rFonts w:ascii="Verdana" w:eastAsia="Arial" w:hAnsi="Verdana" w:cs="Arial"/>
        </w:rPr>
        <w:t>los niños y niñas</w:t>
      </w:r>
      <w:proofErr w:type="gramEnd"/>
      <w:r w:rsidRPr="00070EC3">
        <w:rPr>
          <w:rFonts w:ascii="Verdana" w:eastAsia="Arial" w:hAnsi="Verdana" w:cs="Arial"/>
        </w:rPr>
        <w:t xml:space="preserve">. </w:t>
      </w:r>
    </w:p>
    <w:p w14:paraId="58379C7D"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Lo anterior se refuerza si se tiene en cuenta que tanto del Sistema Interamericano de Derechos Humanos como de los organismos de Naciones Unidas han reconocido que el derecho a la lactancia se encuentra estrechamente vinculado con el derecho al trabajo digno, el principio de no discriminación y el derecho al cuidado. </w:t>
      </w:r>
    </w:p>
    <w:p w14:paraId="687B46DE"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Desde esta perspectiva, la especial protección y asistencia a la mujer gestante y lactante se erige como un mandato constitucional y convencional de carácter reforzado, que obliga tanto al Estado como a los particulares a adoptar medidas positivas para garantizar el mínimo vital, la igualdad real y efectiva y la no discriminación. Así, este mandato, que no solo se restringe exclusivamente al ámbito laboral, sino que se proyecta sobre todas las esferas de la vida social, reconoce la vulnerabilidad histórica y estructural de las mujeres en estas condiciones. </w:t>
      </w:r>
    </w:p>
    <w:p w14:paraId="5C5A9C39"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En segundo lugar, y conforme a la importancia que tiene la lactancia materna, la Corte ha señalado que el mecanismo a través del cual se concreta la protección del derecho fundamental a la estabilidad ocupacional reforzada es el denominado “fuero de maternidad”</w:t>
      </w:r>
      <w:r w:rsidRPr="00070EC3">
        <w:rPr>
          <w:rStyle w:val="Refdenotaalpie"/>
          <w:rFonts w:ascii="Verdana" w:eastAsia="Arial" w:hAnsi="Verdana" w:cs="Arial"/>
        </w:rPr>
        <w:footnoteReference w:id="28"/>
      </w:r>
      <w:r w:rsidRPr="00070EC3">
        <w:rPr>
          <w:rFonts w:ascii="Verdana" w:eastAsia="Arial" w:hAnsi="Verdana" w:cs="Arial"/>
        </w:rPr>
        <w:t>, el cual se compone principalmente por tres garantías: (i) la prohibición general de despido por motivos de embarazo y lactancia; (</w:t>
      </w:r>
      <w:proofErr w:type="spellStart"/>
      <w:r w:rsidRPr="00070EC3">
        <w:rPr>
          <w:rFonts w:ascii="Verdana" w:eastAsia="Arial" w:hAnsi="Verdana" w:cs="Arial"/>
        </w:rPr>
        <w:t>ii</w:t>
      </w:r>
      <w:proofErr w:type="spellEnd"/>
      <w:r w:rsidRPr="00070EC3">
        <w:rPr>
          <w:rFonts w:ascii="Verdana" w:eastAsia="Arial" w:hAnsi="Verdana" w:cs="Arial"/>
        </w:rPr>
        <w:t>) la prohibición específica de despido durante la licencia de maternidad preparto y postparto; y (</w:t>
      </w:r>
      <w:proofErr w:type="spellStart"/>
      <w:r w:rsidRPr="00070EC3">
        <w:rPr>
          <w:rFonts w:ascii="Verdana" w:eastAsia="Arial" w:hAnsi="Verdana" w:cs="Arial"/>
        </w:rPr>
        <w:t>iii</w:t>
      </w:r>
      <w:proofErr w:type="spellEnd"/>
      <w:r w:rsidRPr="00070EC3">
        <w:rPr>
          <w:rFonts w:ascii="Verdana" w:eastAsia="Arial" w:hAnsi="Verdana" w:cs="Arial"/>
        </w:rPr>
        <w:t xml:space="preserve">) la presunción de despido discriminatorio. Estas garantías, desarrolladas en los artículos 238, 239, 240 y 241 del Código Sustantivo del Trabajo, integran el contenido constitucionalmente protegido del derecho fundamental a la estabilidad laboral reforzada de la mujer gestante y lactante. </w:t>
      </w:r>
    </w:p>
    <w:p w14:paraId="1B280DED"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6AAB010E"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Teniendo en cuenta lo anterior, esta Agencia precisa que la protección derivada del fuero de maternidad, que como se expuso anteriormente se extiende al periodo de lactancia, es aplicable a todas las madres sin importar la relación laboral o la modalidad de contrato por medio de la cual hayan sido vinculadas. </w:t>
      </w:r>
    </w:p>
    <w:p w14:paraId="3D546C9F"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Ahora bien, aunque se reconoce que el fuero de maternidad protege a la madre durante el periodo de lactancia – el cual, tras la expedición de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 </w:t>
      </w:r>
    </w:p>
    <w:p w14:paraId="6AD7F73C"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De acuerdo con lo establecido en el numeral 2º del artículo 239 del Código Sustantivo del Trabajo, se presume que el despido es discriminatorio cuando ocurre durante el embarazo o dentro de las dieciocho (18) semanas 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w:t>
      </w:r>
      <w:r w:rsidRPr="00070EC3">
        <w:rPr>
          <w:rStyle w:val="Refdenotaalpie"/>
          <w:rFonts w:ascii="Verdana" w:eastAsia="Arial" w:hAnsi="Verdana" w:cs="Arial"/>
        </w:rPr>
        <w:footnoteReference w:id="29"/>
      </w:r>
      <w:r w:rsidRPr="00070EC3">
        <w:rPr>
          <w:rFonts w:ascii="Verdana" w:eastAsia="Arial" w:hAnsi="Verdana" w:cs="Arial"/>
        </w:rPr>
        <w:t xml:space="preserve">. </w:t>
      </w:r>
    </w:p>
    <w:p w14:paraId="7A34B314"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no está obligado a solicitar autorización al Ministerio del Trabajo para la terminación del vínculo laboral. Sin embargo, la desvinculación solo será constitucionalmente admisible si se funda en una justa causa debidamente acreditada. </w:t>
      </w:r>
    </w:p>
    <w:p w14:paraId="52C6F0E3"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y T-456 de 2024, la Corte señaló que “en el periodo de lactancia […] no es aplicable la presunción de despido por causa del embarazo, pese a que permanece la prohibición del despido </w:t>
      </w:r>
      <w:proofErr w:type="gramStart"/>
      <w:r w:rsidRPr="00070EC3">
        <w:rPr>
          <w:rFonts w:ascii="Verdana" w:eastAsia="Arial" w:hAnsi="Verdana" w:cs="Arial"/>
        </w:rPr>
        <w:t>en razón de</w:t>
      </w:r>
      <w:proofErr w:type="gramEnd"/>
      <w:r w:rsidRPr="00070EC3">
        <w:rPr>
          <w:rFonts w:ascii="Verdana" w:eastAsia="Arial" w:hAnsi="Verdana" w:cs="Arial"/>
        </w:rPr>
        <w:t xml:space="preserve"> la condición de lactancia. Por consiguiente, durante este periodo la trabajadora tiene la carga de probar la ocurrencia de un acto discriminatorio”. </w:t>
      </w:r>
    </w:p>
    <w:p w14:paraId="35142096"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Igualmente, en la Sentencia T-333 de 2025, en la cual se precisó que el fuero de maternidad no constituye una regla única e indivisible, sino un conjunto de garantías, cuyo alcance varía según la etapa de protección. En particular, se aclaró que la presunción de despido discriminatorio y la exigencia de autorización administrativa se limitan temporalmente al embarazo y a las dieciocho (18) semanas posteriores al parto, mientras que, con posterioridad, el fuero subsiste de forma parcial, recayendo en la trabajadora o contratista, según corresponda, la carga de acreditar el carácter discriminatorio del despido, con libertad probatoria y a partir de una valoración integral del contexto laboral. </w:t>
      </w:r>
    </w:p>
    <w:p w14:paraId="6032F873" w14:textId="77777777" w:rsidR="0084476C" w:rsidRPr="00070EC3" w:rsidRDefault="0084476C" w:rsidP="0084476C">
      <w:pPr>
        <w:widowControl w:val="0"/>
        <w:autoSpaceDE w:val="0"/>
        <w:autoSpaceDN w:val="0"/>
        <w:spacing w:after="0" w:line="276" w:lineRule="auto"/>
        <w:ind w:firstLine="709"/>
        <w:jc w:val="both"/>
        <w:rPr>
          <w:rFonts w:ascii="Verdana" w:eastAsia="Arial" w:hAnsi="Verdana" w:cs="Arial"/>
        </w:rPr>
      </w:pPr>
      <w:r w:rsidRPr="00070EC3">
        <w:rPr>
          <w:rFonts w:ascii="Verdana" w:eastAsia="Arial" w:hAnsi="Verdana" w:cs="Arial"/>
        </w:rPr>
        <w:t>Este entendimiento fue reafirmado en la Sentencia T-014 de 2026, en la cual la Corte analizó de manera conjunta varios expedientes, en los cuales estaban incluidos casos referentes a contratos de prestación de servicios, y reiteró que el fuero de maternidad protege a la mujer durante el embarazo, el parto y la lactancia, aunque con diferencias en las garantías aplicables en cada etapa. En dicha providencia, la Corte sistematizó las medidas de protección previstas en los artículos 239, 240 y 241 del Código Sustantivo del Trabajo y aclaró que, si bien la Ley 2306 de 2023 amplió el descanso remunerado por lactancia, no modificó el período de la presunción de despido discriminatorio ni el término de autorización previa. Al respecto señaló:</w:t>
      </w:r>
    </w:p>
    <w:p w14:paraId="1E724B71" w14:textId="77777777" w:rsidR="0084476C" w:rsidRPr="00070EC3" w:rsidRDefault="0084476C" w:rsidP="0084476C">
      <w:pPr>
        <w:widowControl w:val="0"/>
        <w:autoSpaceDE w:val="0"/>
        <w:autoSpaceDN w:val="0"/>
        <w:spacing w:after="0" w:line="276" w:lineRule="auto"/>
        <w:ind w:firstLine="709"/>
        <w:jc w:val="both"/>
        <w:rPr>
          <w:rFonts w:ascii="Verdana" w:eastAsia="Arial" w:hAnsi="Verdana" w:cs="Arial"/>
        </w:rPr>
      </w:pPr>
    </w:p>
    <w:p w14:paraId="21C4E49A"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rPr>
      </w:pPr>
      <w:r w:rsidRPr="00070EC3">
        <w:rPr>
          <w:rFonts w:ascii="Verdana" w:eastAsia="Arial" w:hAnsi="Verdana" w:cs="Arial"/>
          <w:sz w:val="20"/>
          <w:szCs w:val="20"/>
        </w:rPr>
        <w:t>“De acuerdo con los artículos 239, 240 y 241 del Código Sustantivo del Trabajo y la jurisprudencia constitucional, el fuero de maternidad ofrece a las gestantes las siguientes medidas de protección: (i) impone una prohibición general de despido por motivo de embarazo; (</w:t>
      </w:r>
      <w:proofErr w:type="spellStart"/>
      <w:r w:rsidRPr="00070EC3">
        <w:rPr>
          <w:rFonts w:ascii="Verdana" w:eastAsia="Arial" w:hAnsi="Verdana" w:cs="Arial"/>
          <w:sz w:val="20"/>
          <w:szCs w:val="20"/>
        </w:rPr>
        <w:t>ii</w:t>
      </w:r>
      <w:proofErr w:type="spellEnd"/>
      <w:r w:rsidRPr="00070EC3">
        <w:rPr>
          <w:rFonts w:ascii="Verdana" w:eastAsia="Arial" w:hAnsi="Verdana" w:cs="Arial"/>
          <w:sz w:val="20"/>
          <w:szCs w:val="20"/>
        </w:rPr>
        <w:t>) dispone que, para que sea legal el despido de una trabajadora durante el período de embarazo, el empleador necesita a) demostrar una justa causa y b) contar con la autorización del inspector del trabajo; (</w:t>
      </w:r>
      <w:proofErr w:type="spellStart"/>
      <w:r w:rsidRPr="00070EC3">
        <w:rPr>
          <w:rFonts w:ascii="Verdana" w:eastAsia="Arial" w:hAnsi="Verdana" w:cs="Arial"/>
          <w:sz w:val="20"/>
          <w:szCs w:val="20"/>
        </w:rPr>
        <w:t>iii</w:t>
      </w:r>
      <w:proofErr w:type="spellEnd"/>
      <w:r w:rsidRPr="00070EC3">
        <w:rPr>
          <w:rFonts w:ascii="Verdana" w:eastAsia="Arial" w:hAnsi="Verdana" w:cs="Arial"/>
          <w:sz w:val="20"/>
          <w:szCs w:val="20"/>
        </w:rPr>
        <w:t>) prevé una indemnización por despido sin autorización del Ministerio del Trabajo, la cual es independiente de los salarios y prestaciones a los cuales tiene derecho la trabajadora de acuerdo con el contrato de trabajo; (</w:t>
      </w:r>
      <w:proofErr w:type="spellStart"/>
      <w:r w:rsidRPr="00070EC3">
        <w:rPr>
          <w:rFonts w:ascii="Verdana" w:eastAsia="Arial" w:hAnsi="Verdana" w:cs="Arial"/>
          <w:sz w:val="20"/>
          <w:szCs w:val="20"/>
        </w:rPr>
        <w:t>iv</w:t>
      </w:r>
      <w:proofErr w:type="spellEnd"/>
      <w:r w:rsidRPr="00070EC3">
        <w:rPr>
          <w:rFonts w:ascii="Verdana" w:eastAsia="Arial" w:hAnsi="Verdana" w:cs="Arial"/>
          <w:sz w:val="20"/>
          <w:szCs w:val="20"/>
        </w:rPr>
        <w:t>) garantiza el disfrute de la licencia de maternidad; (v) impone la obligación para el empleador de mantener vinculada a la trabajadora que disfruta de la licencia de maternidad o lactancia. Además, sanciona con la ineficacia “el despido que el empleador comunique a la trabajadora en tales períodos”.</w:t>
      </w:r>
    </w:p>
    <w:p w14:paraId="1982A46A" w14:textId="77777777" w:rsidR="0084476C" w:rsidRDefault="0084476C" w:rsidP="0084476C">
      <w:pPr>
        <w:widowControl w:val="0"/>
        <w:autoSpaceDE w:val="0"/>
        <w:autoSpaceDN w:val="0"/>
        <w:spacing w:after="0" w:line="276" w:lineRule="auto"/>
        <w:ind w:firstLine="709"/>
        <w:jc w:val="both"/>
        <w:rPr>
          <w:rFonts w:ascii="Verdana" w:eastAsia="Arial" w:hAnsi="Verdana" w:cs="Arial"/>
        </w:rPr>
      </w:pPr>
    </w:p>
    <w:p w14:paraId="43EA4063"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Incluso, al momento en que se expidió la Sentencia de Unificación 075 de 2018, los artículos 238 y 239 del Código Sustantivo del Trabajo contemplaron períodos distintos para la lactancia y para la presunción de despido discriminatorio, siendo el período de lactancia mayor al fijado para la presunción. Desde aquella oportunidad, la Corte Constitucional ha considerado que el período del fuero de maternidad abarca el estado de gestación y el período de lactancia contemplado en el artículo 238 del Código, pero que la presunción de despido discriminatorio abarca el (menor) tiempo establecido en numeral 2º del artículo 239. </w:t>
      </w:r>
    </w:p>
    <w:p w14:paraId="0CB4F38E"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En concordancia con esta línea, la Corte ha sostenido —incluso después de la entrada en vigor de la Ley 2306 de 2023— que durante el período de lactancia posterior a las dieciocho (18) semanas no es aplicable la presunción de despido por causa del embarazo, aunque permanece la prohibición general de despido discriminatorio. En consecuencia, corresponde a la trabajadora o contratista acreditar el carácter discriminatorio de la desvinculación, con libertad probatoria y a partir de una valoración integral del contexto. Así mismo, la Corte señaló: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discriminatorio”</w:t>
      </w:r>
      <w:r w:rsidRPr="00070EC3">
        <w:rPr>
          <w:rStyle w:val="Refdenotaalpie"/>
          <w:rFonts w:ascii="Verdana" w:eastAsia="Arial" w:hAnsi="Verdana" w:cs="Arial"/>
        </w:rPr>
        <w:footnoteReference w:id="30"/>
      </w:r>
      <w:r w:rsidRPr="00070EC3">
        <w:rPr>
          <w:rFonts w:ascii="Verdana" w:eastAsia="Arial" w:hAnsi="Verdana" w:cs="Arial"/>
        </w:rPr>
        <w:t xml:space="preserve">. </w:t>
      </w:r>
    </w:p>
    <w:p w14:paraId="14F03D0B" w14:textId="77777777" w:rsidR="0084476C" w:rsidRPr="00070EC3" w:rsidRDefault="0084476C" w:rsidP="0084476C">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En este escenario, para acreditar que la desvinculación vulnera la prohibición general de despido discriminatorio, se requiere: (i) el contratante conoce el estado de embarazo de la contratista, (</w:t>
      </w:r>
      <w:proofErr w:type="spellStart"/>
      <w:r w:rsidRPr="00070EC3">
        <w:rPr>
          <w:rFonts w:ascii="Verdana" w:eastAsia="Arial" w:hAnsi="Verdana" w:cs="Arial"/>
        </w:rPr>
        <w:t>ii</w:t>
      </w:r>
      <w:proofErr w:type="spellEnd"/>
      <w:r w:rsidRPr="00070EC3">
        <w:rPr>
          <w:rFonts w:ascii="Verdana" w:eastAsia="Arial" w:hAnsi="Verdana" w:cs="Arial"/>
        </w:rPr>
        <w:t>) subsiste la causa del contrato y (</w:t>
      </w:r>
      <w:proofErr w:type="spellStart"/>
      <w:r w:rsidRPr="00070EC3">
        <w:rPr>
          <w:rFonts w:ascii="Verdana" w:eastAsia="Arial" w:hAnsi="Verdana" w:cs="Arial"/>
        </w:rPr>
        <w:t>iii</w:t>
      </w:r>
      <w:proofErr w:type="spellEnd"/>
      <w:r w:rsidRPr="00070EC3">
        <w:rPr>
          <w:rFonts w:ascii="Verdana" w:eastAsia="Arial" w:hAnsi="Verdana" w:cs="Arial"/>
        </w:rPr>
        <w:t xml:space="preserve">) no cuenta con permiso del inspector del trabajo para terminar el contrato- salvo el periodo posterior a las dieciocho (18) semanas del parto y hasta los dos (2) años de lactancia, donde no requiere permiso del inspector-. En estos eventos procede la garantía de estabilidad reforzada por lo que la entidad deberá proceder a la renovación de la relación contractual, previo análisis del juez. </w:t>
      </w:r>
    </w:p>
    <w:p w14:paraId="5F629A26" w14:textId="77777777" w:rsidR="0084476C" w:rsidRPr="00070EC3" w:rsidRDefault="0084476C" w:rsidP="0084476C">
      <w:pPr>
        <w:widowControl w:val="0"/>
        <w:autoSpaceDE w:val="0"/>
        <w:autoSpaceDN w:val="0"/>
        <w:spacing w:after="0" w:line="276" w:lineRule="auto"/>
        <w:ind w:firstLine="709"/>
        <w:jc w:val="both"/>
        <w:rPr>
          <w:rFonts w:ascii="Verdana" w:eastAsia="Arial" w:hAnsi="Verdana" w:cs="Arial"/>
        </w:rPr>
      </w:pPr>
      <w:r w:rsidRPr="00070EC3">
        <w:rPr>
          <w:rFonts w:ascii="Verdana" w:eastAsia="Arial" w:hAnsi="Verdana" w:cs="Arial"/>
        </w:rPr>
        <w:t xml:space="preserve">En conclusión,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entidades estatales, en el marco de su autonomía y conforme a los lineamientos jurisprudenciales, garantizar dicha protección, evitando decisiones contractuales discriminatorias y observando los principios que rigen la contratación estatal y la función administrativa. </w:t>
      </w:r>
    </w:p>
    <w:p w14:paraId="64C084C3" w14:textId="77777777" w:rsidR="0084476C" w:rsidRDefault="0084476C" w:rsidP="0084476C">
      <w:pPr>
        <w:widowControl w:val="0"/>
        <w:autoSpaceDE w:val="0"/>
        <w:autoSpaceDN w:val="0"/>
        <w:spacing w:after="0" w:line="276" w:lineRule="auto"/>
        <w:jc w:val="both"/>
        <w:rPr>
          <w:rFonts w:ascii="Verdana" w:eastAsia="Arial" w:hAnsi="Verdana" w:cs="Arial"/>
        </w:rPr>
      </w:pPr>
    </w:p>
    <w:p w14:paraId="48B20854" w14:textId="77777777" w:rsidR="0084476C" w:rsidRPr="00070EC3" w:rsidRDefault="0084476C" w:rsidP="0084476C">
      <w:pPr>
        <w:widowControl w:val="0"/>
        <w:autoSpaceDE w:val="0"/>
        <w:autoSpaceDN w:val="0"/>
        <w:spacing w:after="120" w:line="276" w:lineRule="auto"/>
        <w:jc w:val="both"/>
        <w:rPr>
          <w:rFonts w:ascii="Verdana" w:eastAsia="Arial" w:hAnsi="Verdana" w:cs="Arial"/>
        </w:rPr>
      </w:pPr>
      <w:proofErr w:type="spellStart"/>
      <w:r>
        <w:rPr>
          <w:rFonts w:ascii="Verdana" w:eastAsia="Arial" w:hAnsi="Verdana" w:cs="Arial"/>
        </w:rPr>
        <w:t>iv</w:t>
      </w:r>
      <w:proofErr w:type="spellEnd"/>
      <w:r>
        <w:rPr>
          <w:rFonts w:ascii="Verdana" w:eastAsia="Arial" w:hAnsi="Verdana" w:cs="Arial"/>
        </w:rPr>
        <w:t>)</w:t>
      </w:r>
      <w:r w:rsidRPr="00070EC3">
        <w:rPr>
          <w:rFonts w:ascii="Verdana" w:eastAsia="Arial" w:hAnsi="Verdana" w:cs="Arial"/>
        </w:rPr>
        <w:t xml:space="preserve"> Finalmente, en lo que atañe a la suspensión del contrato de prestación de servicios, es importante manifestar que frente a la consulta planteada acerca de si es procedente o no suspender un contrato de prestación de servicios cuando la contratista está en estado de embarazo o durante la licencia de maternidad</w:t>
      </w:r>
      <w:r w:rsidRPr="00070EC3">
        <w:rPr>
          <w:rStyle w:val="Refdenotaalpie"/>
          <w:rFonts w:ascii="Verdana" w:eastAsia="Arial" w:hAnsi="Verdana" w:cs="Arial"/>
        </w:rPr>
        <w:footnoteReference w:id="31"/>
      </w:r>
      <w:r w:rsidRPr="00070EC3">
        <w:rPr>
          <w:rFonts w:ascii="Verdana" w:eastAsia="Arial" w:hAnsi="Verdana" w:cs="Arial"/>
        </w:rPr>
        <w:t xml:space="preserve"> debe señalarse que, no existe disposición normativa que consagre de forma expresa las causales de suspensión del contrato, mucho menos en virtud del estado de embarazo o de la licencia de maternidad. </w:t>
      </w:r>
    </w:p>
    <w:p w14:paraId="70F65009" w14:textId="77777777" w:rsidR="0084476C" w:rsidRPr="00070EC3" w:rsidRDefault="0084476C" w:rsidP="0084476C">
      <w:pPr>
        <w:widowControl w:val="0"/>
        <w:autoSpaceDE w:val="0"/>
        <w:autoSpaceDN w:val="0"/>
        <w:spacing w:after="0" w:line="276" w:lineRule="auto"/>
        <w:ind w:firstLine="709"/>
        <w:jc w:val="both"/>
        <w:rPr>
          <w:rFonts w:ascii="Verdana" w:eastAsia="Arial" w:hAnsi="Verdana" w:cs="Arial"/>
        </w:rPr>
      </w:pPr>
      <w:r w:rsidRPr="00070EC3">
        <w:rPr>
          <w:rFonts w:ascii="Verdana" w:eastAsia="Arial" w:hAnsi="Verdana" w:cs="Arial"/>
        </w:rPr>
        <w:t>El Consejo de Estado, en sentencia proferida por el CP. Dr. Enrique Gil Botero, en sentencia del 28 de abril de 2010, se refirió a las causales que suspenden el contrato, en los siguientes términos:</w:t>
      </w:r>
    </w:p>
    <w:p w14:paraId="34695B16" w14:textId="77777777" w:rsidR="0084476C" w:rsidRPr="00070EC3" w:rsidRDefault="0084476C" w:rsidP="0084476C">
      <w:pPr>
        <w:widowControl w:val="0"/>
        <w:autoSpaceDE w:val="0"/>
        <w:autoSpaceDN w:val="0"/>
        <w:spacing w:after="0" w:line="276" w:lineRule="auto"/>
        <w:ind w:firstLine="709"/>
        <w:jc w:val="both"/>
        <w:rPr>
          <w:rFonts w:ascii="Verdana" w:eastAsia="Arial" w:hAnsi="Verdana" w:cs="Arial"/>
        </w:rPr>
      </w:pPr>
    </w:p>
    <w:p w14:paraId="48D83189"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 xml:space="preserve">“En efecto, la finalidad de la suspensión del contrato estatal, como medida excepcional, está encaminada a reconocer la ocurrencia de situaciones de fuerza mayor, caso fortuito o de interés público que impiden la ejecución temporal del negocio jurídico, y es precisamente por ese motivo que la misma no puede ser indefinida, sino que debe estar sujeta al vencimiento de un plazo o al cumplimiento de una condición. Por lo tanto, la suspensión no adiciona el contrato en su vigencia o plazo, sino que se delimita como una medida de tipo provisional y excepcional que debe ajustarse a los criterios de necesidad y </w:t>
      </w:r>
      <w:proofErr w:type="gramStart"/>
      <w:r w:rsidRPr="00070EC3">
        <w:rPr>
          <w:rFonts w:ascii="Verdana" w:eastAsia="Arial" w:hAnsi="Verdana" w:cs="Arial"/>
          <w:sz w:val="20"/>
          <w:szCs w:val="20"/>
        </w:rPr>
        <w:t>proporcionalidad,</w:t>
      </w:r>
      <w:proofErr w:type="gramEnd"/>
      <w:r w:rsidRPr="00070EC3">
        <w:rPr>
          <w:rFonts w:ascii="Verdana" w:eastAsia="Arial" w:hAnsi="Verdana" w:cs="Arial"/>
          <w:sz w:val="20"/>
          <w:szCs w:val="20"/>
        </w:rPr>
        <w:t xml:space="preserve"> sujeta a un término o condición, período este durante el que las obligaciones contenidas en el contrato no se ejecutan, pero sin que se impute ese tiempo al plazo pactado inicialmente por las partes. […]”.</w:t>
      </w:r>
    </w:p>
    <w:p w14:paraId="28F126BE" w14:textId="77777777" w:rsidR="0084476C" w:rsidRPr="00070EC3" w:rsidRDefault="0084476C" w:rsidP="0084476C">
      <w:pPr>
        <w:widowControl w:val="0"/>
        <w:autoSpaceDE w:val="0"/>
        <w:autoSpaceDN w:val="0"/>
        <w:spacing w:after="0" w:line="276" w:lineRule="auto"/>
        <w:ind w:left="709" w:right="709"/>
        <w:jc w:val="both"/>
        <w:rPr>
          <w:rFonts w:ascii="Verdana" w:eastAsia="Arial" w:hAnsi="Verdana" w:cs="Arial"/>
          <w:sz w:val="20"/>
          <w:szCs w:val="20"/>
        </w:rPr>
      </w:pPr>
    </w:p>
    <w:p w14:paraId="466815EC" w14:textId="77777777" w:rsidR="0084476C" w:rsidRPr="00070EC3" w:rsidRDefault="0084476C" w:rsidP="0084476C">
      <w:pPr>
        <w:widowControl w:val="0"/>
        <w:autoSpaceDE w:val="0"/>
        <w:autoSpaceDN w:val="0"/>
        <w:spacing w:after="0" w:line="276" w:lineRule="auto"/>
        <w:ind w:firstLine="709"/>
        <w:jc w:val="both"/>
        <w:rPr>
          <w:rFonts w:ascii="Verdana" w:eastAsia="Arial" w:hAnsi="Verdana" w:cs="Arial"/>
        </w:rPr>
      </w:pPr>
      <w:r w:rsidRPr="00070EC3">
        <w:rPr>
          <w:rFonts w:ascii="Verdana" w:eastAsia="Arial" w:hAnsi="Verdana" w:cs="Arial"/>
        </w:rPr>
        <w:t>Por otro lado, el Ministerio de Trabajo al absolver una consulta en relación con la suspensión del contrato de prestación de servicios, por licencia de maternidad, conceptuó:</w:t>
      </w:r>
    </w:p>
    <w:p w14:paraId="221DE2D7" w14:textId="77777777" w:rsidR="0084476C" w:rsidRDefault="0084476C" w:rsidP="0084476C">
      <w:pPr>
        <w:widowControl w:val="0"/>
        <w:autoSpaceDE w:val="0"/>
        <w:autoSpaceDN w:val="0"/>
        <w:spacing w:after="0" w:line="240" w:lineRule="auto"/>
        <w:ind w:left="709" w:right="758"/>
        <w:jc w:val="both"/>
        <w:rPr>
          <w:rFonts w:ascii="Verdana" w:eastAsia="Arial" w:hAnsi="Verdana" w:cs="Arial"/>
          <w:sz w:val="20"/>
          <w:szCs w:val="20"/>
        </w:rPr>
      </w:pPr>
    </w:p>
    <w:p w14:paraId="6F941F5B"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 xml:space="preserve">“La legislación que regula la contratación estatal, concretamente la Ley 80 de 1993, modificada por la Ley 1150 de 2007 y sus Decretos Reglamentarios, no contempló las causales de suspensión del contrato de prestación de servicios celebrado con entidad pública, motivo por el cual debe señalarse que no existe ninguna disposición normativa que consagre de forma expresa, la suspensión del contrato en virtud de la licencia de maternidad de la contratista […] </w:t>
      </w:r>
    </w:p>
    <w:p w14:paraId="2083CA51" w14:textId="77777777" w:rsidR="0084476C" w:rsidRDefault="0084476C" w:rsidP="0084476C">
      <w:pPr>
        <w:widowControl w:val="0"/>
        <w:autoSpaceDE w:val="0"/>
        <w:autoSpaceDN w:val="0"/>
        <w:spacing w:after="0" w:line="240" w:lineRule="auto"/>
        <w:ind w:left="709" w:right="709"/>
        <w:jc w:val="both"/>
        <w:rPr>
          <w:rFonts w:ascii="Verdana" w:eastAsia="Arial" w:hAnsi="Verdana" w:cs="Arial"/>
          <w:sz w:val="20"/>
          <w:szCs w:val="20"/>
        </w:rPr>
      </w:pPr>
    </w:p>
    <w:p w14:paraId="7AF53A66" w14:textId="77777777" w:rsidR="0084476C" w:rsidRPr="00070EC3" w:rsidRDefault="0084476C" w:rsidP="0084476C">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De conformidad con lo anterior, las partes podrán suspender el contrato de prestación de servicios cuando se determinen eventos que constituyen fuerza mayor o caso fortuito o de interés público que impida, temporalmente cumplir con el objeto de las obligaciones a cargo de las partes contratantes, como es el caso de la contratista que se encuentra en estado de embarazo y se encuentra incapacitada”.</w:t>
      </w:r>
      <w:r w:rsidRPr="00070EC3">
        <w:rPr>
          <w:rStyle w:val="Refdenotaalpie"/>
          <w:rFonts w:ascii="Verdana" w:eastAsia="Arial" w:hAnsi="Verdana" w:cs="Arial"/>
          <w:sz w:val="20"/>
          <w:szCs w:val="20"/>
        </w:rPr>
        <w:footnoteReference w:id="32"/>
      </w:r>
    </w:p>
    <w:p w14:paraId="2CCE4501" w14:textId="77777777" w:rsidR="0084476C" w:rsidRDefault="0084476C" w:rsidP="0084476C">
      <w:pPr>
        <w:spacing w:after="0" w:line="240" w:lineRule="auto"/>
        <w:jc w:val="both"/>
        <w:rPr>
          <w:rFonts w:ascii="Verdana" w:eastAsia="Arial" w:hAnsi="Verdana" w:cs="Arial"/>
        </w:rPr>
      </w:pPr>
    </w:p>
    <w:p w14:paraId="003A0B36" w14:textId="77777777" w:rsidR="0084476C" w:rsidRPr="00407ADD" w:rsidRDefault="0084476C" w:rsidP="0084476C">
      <w:pPr>
        <w:spacing w:after="120" w:line="276" w:lineRule="auto"/>
        <w:ind w:firstLine="709"/>
        <w:jc w:val="both"/>
        <w:rPr>
          <w:rFonts w:ascii="Verdana" w:eastAsia="Times New Roman" w:hAnsi="Verdana" w:cs="Arial"/>
          <w:lang w:eastAsia="es-ES_tradnl"/>
        </w:rPr>
      </w:pPr>
      <w:r w:rsidRPr="00407ADD">
        <w:rPr>
          <w:rFonts w:ascii="Verdana" w:eastAsia="Times New Roman" w:hAnsi="Verdana" w:cs="Arial"/>
          <w:lang w:eastAsia="es-ES_tradnl"/>
        </w:rPr>
        <w:t>En ejercicio de la autonomía de las partes contratantes, las mismas podrán convenir la cláusula de suspensión del contrato de prestación de servicios, fijando las reglas por las cuales procederán las mismas teniendo en cuenta las disposiciones referidas en la Ley 80 de 1993 y Ley 1150 de 2007. Así las cosas, las partes son quienes determinan las condiciones y términos según los cuales deben llevarse a cabo la suspensión del contrato, por lo que ninguna de las partes de manera unilateral puede declararla por fuera de lo convenido.</w:t>
      </w:r>
    </w:p>
    <w:p w14:paraId="4DCCD3E8" w14:textId="77777777" w:rsidR="0084476C" w:rsidRDefault="0084476C" w:rsidP="0084476C">
      <w:pPr>
        <w:spacing w:after="120" w:line="276" w:lineRule="auto"/>
        <w:ind w:firstLine="709"/>
        <w:jc w:val="both"/>
        <w:rPr>
          <w:rFonts w:ascii="Verdana" w:eastAsia="Times New Roman" w:hAnsi="Verdana" w:cs="Arial"/>
          <w:lang w:eastAsia="es-ES_tradnl"/>
        </w:rPr>
      </w:pPr>
      <w:r w:rsidRPr="00407ADD">
        <w:rPr>
          <w:rFonts w:ascii="Verdana" w:eastAsia="Times New Roman" w:hAnsi="Verdana" w:cs="Arial"/>
          <w:lang w:eastAsia="es-ES_tradnl"/>
        </w:rPr>
        <w:t>Conforme lo anterior, cuando se presenten el tipo de situaciones descritas en la consulta, la entidad estatal, a través del supervisor del contrato, determinará si las obligaciones contractuales no pueden desarrollarse temporalmente por parte de la contratista</w:t>
      </w:r>
      <w:r>
        <w:rPr>
          <w:rFonts w:ascii="Verdana" w:eastAsia="Times New Roman" w:hAnsi="Verdana" w:cs="Arial"/>
          <w:lang w:eastAsia="es-ES_tradnl"/>
        </w:rPr>
        <w:t xml:space="preserve"> con ocasión de alguna disposición médica que dificulte la ejecución de las actividades en el desarrollo del contrato de prestación de servicios</w:t>
      </w:r>
      <w:r w:rsidRPr="00407ADD">
        <w:rPr>
          <w:rFonts w:ascii="Verdana" w:eastAsia="Times New Roman" w:hAnsi="Verdana" w:cs="Arial"/>
          <w:lang w:eastAsia="es-ES_tradnl"/>
        </w:rPr>
        <w:t xml:space="preserve"> y, en consecuencia, </w:t>
      </w:r>
      <w:r>
        <w:rPr>
          <w:rFonts w:ascii="Verdana" w:eastAsia="Times New Roman" w:hAnsi="Verdana" w:cs="Arial"/>
          <w:lang w:eastAsia="es-ES_tradnl"/>
        </w:rPr>
        <w:t>procederá</w:t>
      </w:r>
      <w:r w:rsidRPr="00407ADD">
        <w:rPr>
          <w:rFonts w:ascii="Verdana" w:eastAsia="Times New Roman" w:hAnsi="Verdana" w:cs="Arial"/>
          <w:lang w:eastAsia="es-ES_tradnl"/>
        </w:rPr>
        <w:t xml:space="preserve"> la suspensión del contrato durante su estado de embarazo o en el periodo de la licencia de maternidad. En ese sentido, si a pesar </w:t>
      </w:r>
      <w:r>
        <w:rPr>
          <w:rFonts w:ascii="Verdana" w:eastAsia="Times New Roman" w:hAnsi="Verdana" w:cs="Arial"/>
          <w:lang w:eastAsia="es-ES_tradnl"/>
        </w:rPr>
        <w:t>del</w:t>
      </w:r>
      <w:r w:rsidRPr="00407ADD">
        <w:rPr>
          <w:rFonts w:ascii="Verdana" w:eastAsia="Times New Roman" w:hAnsi="Verdana" w:cs="Arial"/>
          <w:lang w:eastAsia="es-ES_tradnl"/>
        </w:rPr>
        <w:t xml:space="preserve"> estado de embarazo o la licencia, las partes acuerdan no suspender el contrato y la contratista acredita el cumplimiento de las actividades contratadas, habría lugar al pago de honorarios, pues el objeto contractual estaría siendo ejecutado. Por el contrario, si deciden suspenderlo, teniendo en cuenta que no se estarían cumpliendo las obligaciones contractuales no habría lugar al pago de honorarios y la prestación económica sería asumida por el Sistema General de Seguridad Social en salud, es decir, estaría a cargo de las ESP.</w:t>
      </w:r>
    </w:p>
    <w:p w14:paraId="45EA5B73" w14:textId="77777777" w:rsidR="0084476C" w:rsidRPr="00407ADD" w:rsidRDefault="0084476C" w:rsidP="0084476C">
      <w:pPr>
        <w:spacing w:after="120" w:line="276" w:lineRule="auto"/>
        <w:ind w:firstLine="709"/>
        <w:jc w:val="both"/>
        <w:rPr>
          <w:rFonts w:ascii="Verdana" w:eastAsia="Times New Roman" w:hAnsi="Verdana" w:cs="Arial"/>
          <w:lang w:eastAsia="es-ES_tradnl"/>
        </w:rPr>
      </w:pPr>
      <w:r w:rsidRPr="00070EC3">
        <w:rPr>
          <w:rFonts w:ascii="Verdana" w:hAnsi="Verdana" w:cs="Arial"/>
          <w:lang w:eastAsia="es-ES"/>
        </w:rPr>
        <w:t xml:space="preserve">Al margen de la explicación precedente debe advertirse que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4AC32FC8" w14:textId="77777777" w:rsidR="0084476C" w:rsidRDefault="0084476C" w:rsidP="0084476C">
      <w:pPr>
        <w:spacing w:after="0" w:line="276" w:lineRule="auto"/>
        <w:ind w:firstLine="360"/>
        <w:jc w:val="both"/>
        <w:rPr>
          <w:rFonts w:ascii="Verdana" w:hAnsi="Verdana" w:cs="Arial"/>
          <w:lang w:eastAsia="es-ES"/>
        </w:rPr>
      </w:pPr>
      <w:r w:rsidRPr="00070EC3">
        <w:rPr>
          <w:rFonts w:ascii="Verdana" w:hAnsi="Verdana" w:cs="Arial"/>
          <w:lang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3D0CDFCD" w14:textId="77777777" w:rsidR="0084476C" w:rsidRPr="009E51D7" w:rsidRDefault="0084476C" w:rsidP="0084476C">
      <w:pPr>
        <w:tabs>
          <w:tab w:val="left" w:pos="142"/>
          <w:tab w:val="left" w:pos="284"/>
        </w:tabs>
        <w:spacing w:after="0" w:line="276" w:lineRule="auto"/>
        <w:jc w:val="both"/>
        <w:rPr>
          <w:rFonts w:ascii="Verdana" w:eastAsia="Century Gothic" w:hAnsi="Verdana" w:cs="Century Gothic"/>
          <w:b/>
          <w:bCs/>
        </w:rPr>
      </w:pPr>
      <w:r w:rsidRPr="009E51D7">
        <w:rPr>
          <w:rFonts w:ascii="Verdana" w:eastAsia="Calibri" w:hAnsi="Verdana" w:cs="Arial"/>
          <w:b/>
          <w:color w:val="000000" w:themeColor="text1"/>
        </w:rPr>
        <w:t xml:space="preserve">4. </w:t>
      </w:r>
      <w:r w:rsidRPr="009E51D7">
        <w:rPr>
          <w:rFonts w:ascii="Verdana" w:eastAsia="Century Gothic" w:hAnsi="Verdana" w:cs="Century Gothic"/>
          <w:b/>
          <w:bCs/>
        </w:rPr>
        <w:t>Referencias normativas, jurisprudenciales y otras fuentes:</w:t>
      </w:r>
    </w:p>
    <w:p w14:paraId="31F294A3" w14:textId="77777777" w:rsidR="0084476C" w:rsidRPr="00E5656D" w:rsidRDefault="0084476C" w:rsidP="0084476C">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4476C" w:rsidRPr="002D2C18" w14:paraId="6265E704" w14:textId="77777777" w:rsidTr="006F12F3">
        <w:trPr>
          <w:trHeight w:val="56"/>
          <w:jc w:val="center"/>
        </w:trPr>
        <w:tc>
          <w:tcPr>
            <w:tcW w:w="8647" w:type="dxa"/>
          </w:tcPr>
          <w:p w14:paraId="423D10E6"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Código Sustantivo del Trabajo. Artículo</w:t>
            </w:r>
            <w:r>
              <w:rPr>
                <w:rFonts w:ascii="Verdana" w:hAnsi="Verdana" w:cs="Arial"/>
              </w:rPr>
              <w:t>s</w:t>
            </w:r>
            <w:r w:rsidRPr="00070EC3">
              <w:rPr>
                <w:rFonts w:ascii="Verdana" w:hAnsi="Verdana" w:cs="Arial"/>
              </w:rPr>
              <w:t xml:space="preserve"> </w:t>
            </w:r>
            <w:r>
              <w:rPr>
                <w:rFonts w:ascii="Verdana" w:hAnsi="Verdana" w:cs="Arial"/>
              </w:rPr>
              <w:t xml:space="preserve">22, </w:t>
            </w:r>
            <w:r w:rsidRPr="00070EC3">
              <w:rPr>
                <w:rFonts w:ascii="Verdana" w:hAnsi="Verdana" w:cs="Arial"/>
              </w:rPr>
              <w:t xml:space="preserve">238, 239, 240 y 241A, numeral 1. </w:t>
            </w:r>
          </w:p>
          <w:p w14:paraId="3BBE1FAC"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Ley 80 de 1993. Artículo 32 numeral 3. </w:t>
            </w:r>
          </w:p>
          <w:p w14:paraId="07D1D457"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Ley 1150 de 2007. Artículo 2 numeral 4 literal h). </w:t>
            </w:r>
          </w:p>
          <w:p w14:paraId="17CBD2B1" w14:textId="77777777" w:rsidR="0084476C"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Decreto 1082 de 2015. Artículo 2.2.1.2.1.4.9.</w:t>
            </w:r>
          </w:p>
          <w:p w14:paraId="015E95EA"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Ley 2306 de 2023. Artículo 6. </w:t>
            </w:r>
          </w:p>
          <w:p w14:paraId="24A9DBAC"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Corte Constitucional. Sentencia C-154 de 1997. M.P. Hernando Herrera Vergara. </w:t>
            </w:r>
          </w:p>
          <w:p w14:paraId="235D08AA"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Sentencia SU-070 de 2013. Fund. 6. Reiterado en las sentencias SU-040 de 2018 y SU-075 de 2018. </w:t>
            </w:r>
          </w:p>
          <w:p w14:paraId="4322230F"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Corte Constitucional. Sentencia T-102 de 2016. M.P: María Victoria Calle Correa. </w:t>
            </w:r>
          </w:p>
          <w:p w14:paraId="0FA7C89D"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Corte Constitucional. Sentencia T-350 del 2016. M.P: María Victoria Calle Correa. </w:t>
            </w:r>
          </w:p>
          <w:p w14:paraId="32C7D5D9"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Corte Constitucional, sentencia T-564 de 2017. M.P: Cristina Pardo Schlesinger </w:t>
            </w:r>
          </w:p>
          <w:p w14:paraId="3763C31E"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Corte Constitucional. Sentencia T-743 de 2017. M.P: Gloria Stella Ortiz Delgado. </w:t>
            </w:r>
          </w:p>
          <w:p w14:paraId="09413536"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Corte Constitucional. Sentencia T-030 de 2018. M.P: José Fernando Reyes Cuartas. </w:t>
            </w:r>
          </w:p>
          <w:p w14:paraId="25A30DE5"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Corte Constitucional. Sentencia SU-075 de 2018. M.P: Gloria Stella Ortiz Delgado. </w:t>
            </w:r>
          </w:p>
          <w:p w14:paraId="7B58C349"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Corte Constitucional. Sentencia T-329 del 19 de septiembre de 2022. M.P: Natalia Ángel Cabo. </w:t>
            </w:r>
          </w:p>
          <w:p w14:paraId="1748B119" w14:textId="77777777" w:rsidR="0084476C" w:rsidRPr="00070EC3" w:rsidRDefault="0084476C" w:rsidP="0084476C">
            <w:pPr>
              <w:pStyle w:val="Prrafodelista"/>
              <w:numPr>
                <w:ilvl w:val="0"/>
                <w:numId w:val="18"/>
              </w:numPr>
              <w:spacing w:after="120" w:line="276" w:lineRule="auto"/>
              <w:ind w:left="714" w:hanging="357"/>
              <w:jc w:val="both"/>
              <w:rPr>
                <w:rFonts w:ascii="Verdana" w:hAnsi="Verdana" w:cs="Arial"/>
              </w:rPr>
            </w:pPr>
            <w:r w:rsidRPr="00070EC3">
              <w:rPr>
                <w:rFonts w:ascii="Verdana" w:hAnsi="Verdana" w:cs="Arial"/>
              </w:rPr>
              <w:t xml:space="preserve">Corte Constitucional. Sentencia T-014 de 2026. </w:t>
            </w:r>
            <w:r>
              <w:rPr>
                <w:rFonts w:ascii="Verdana" w:hAnsi="Verdana" w:cs="Arial"/>
              </w:rPr>
              <w:t xml:space="preserve">M.P: </w:t>
            </w:r>
            <w:r w:rsidRPr="000D5C99">
              <w:rPr>
                <w:rFonts w:ascii="Verdana" w:hAnsi="Verdana" w:cs="Arial"/>
                <w:lang w:val="es-CO"/>
              </w:rPr>
              <w:t>Lina Marcela Escobar Martínez</w:t>
            </w:r>
            <w:r>
              <w:rPr>
                <w:rFonts w:ascii="Verdana" w:hAnsi="Verdana" w:cs="Arial"/>
                <w:lang w:val="es-CO"/>
              </w:rPr>
              <w:t>.</w:t>
            </w:r>
          </w:p>
          <w:p w14:paraId="5ABEBD02" w14:textId="77777777" w:rsidR="0084476C" w:rsidRPr="00453C30" w:rsidRDefault="0084476C" w:rsidP="0084476C">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070EC3">
              <w:rPr>
                <w:rFonts w:ascii="Verdana" w:hAnsi="Verdana" w:cs="Arial"/>
              </w:rPr>
              <w:t xml:space="preserve">Consejo de Estado. Sección Tercera. Subsección C. Sentencia del 2 de diciembre de 2013. </w:t>
            </w:r>
            <w:proofErr w:type="spellStart"/>
            <w:r w:rsidRPr="00070EC3">
              <w:rPr>
                <w:rFonts w:ascii="Verdana" w:hAnsi="Verdana" w:cs="Arial"/>
              </w:rPr>
              <w:t>Exp</w:t>
            </w:r>
            <w:proofErr w:type="spellEnd"/>
            <w:r w:rsidRPr="00070EC3">
              <w:rPr>
                <w:rFonts w:ascii="Verdana" w:hAnsi="Verdana" w:cs="Arial"/>
              </w:rPr>
              <w:t>. 41719. C.P. Jaime Orlando Santofimio Gamboa.</w:t>
            </w:r>
          </w:p>
        </w:tc>
      </w:tr>
    </w:tbl>
    <w:p w14:paraId="7A5C76DE" w14:textId="77777777" w:rsidR="0084476C" w:rsidRDefault="0084476C" w:rsidP="0084476C">
      <w:pPr>
        <w:tabs>
          <w:tab w:val="left" w:pos="142"/>
          <w:tab w:val="left" w:pos="284"/>
          <w:tab w:val="left" w:pos="3828"/>
        </w:tabs>
        <w:spacing w:after="0" w:line="276" w:lineRule="auto"/>
        <w:jc w:val="both"/>
        <w:rPr>
          <w:rFonts w:ascii="Verdana" w:eastAsia="Century Gothic" w:hAnsi="Verdana" w:cs="Century Gothic"/>
          <w:b/>
          <w:bCs/>
        </w:rPr>
      </w:pPr>
    </w:p>
    <w:p w14:paraId="48490A80" w14:textId="77777777" w:rsidR="0084476C" w:rsidRPr="0091091D" w:rsidRDefault="0084476C" w:rsidP="0084476C">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3524A10D" w14:textId="77777777" w:rsidR="0084476C" w:rsidRPr="007A3DD4" w:rsidRDefault="0084476C" w:rsidP="0084476C">
      <w:pPr>
        <w:widowControl w:val="0"/>
        <w:autoSpaceDE w:val="0"/>
        <w:autoSpaceDN w:val="0"/>
        <w:spacing w:after="0" w:line="240" w:lineRule="auto"/>
        <w:jc w:val="both"/>
        <w:rPr>
          <w:rStyle w:val="normaltextrun"/>
          <w:rFonts w:ascii="Verdana" w:hAnsi="Verdana" w:cs="Arial"/>
          <w:shd w:val="clear" w:color="auto" w:fill="FFFFFF"/>
        </w:rPr>
      </w:pPr>
    </w:p>
    <w:p w14:paraId="59432D50" w14:textId="77777777" w:rsidR="0084476C" w:rsidRDefault="0084476C" w:rsidP="0084476C">
      <w:pPr>
        <w:spacing w:after="120" w:line="276" w:lineRule="auto"/>
        <w:jc w:val="both"/>
        <w:rPr>
          <w:rFonts w:ascii="Verdana" w:eastAsia="Calibri" w:hAnsi="Verdana" w:cs="Arial"/>
          <w:lang w:eastAsia="es-ES_tradnl"/>
        </w:rPr>
      </w:pPr>
      <w:r w:rsidRPr="00567CE1">
        <w:rPr>
          <w:rFonts w:ascii="Verdana" w:hAnsi="Verdana" w:cs="Arial"/>
          <w:bCs/>
          <w:shd w:val="clear" w:color="auto" w:fill="FFFFFF"/>
        </w:rPr>
        <w:t xml:space="preserve">La </w:t>
      </w:r>
      <w:r w:rsidRPr="008D44CE">
        <w:rPr>
          <w:rFonts w:ascii="Verdana" w:hAnsi="Verdana" w:cs="Arial"/>
          <w:bCs/>
          <w:shd w:val="clear" w:color="auto" w:fill="FFFFFF"/>
        </w:rPr>
        <w:t>Agencia Nacional de Contratación Pública – Colombia Compra Eficiente se ha pronunciado la estabilidad laboral reforzada en mujer embarazada que tiene un vínculo a través de un contrato de prestación de servicios</w:t>
      </w:r>
      <w:r w:rsidRPr="008D44CE">
        <w:rPr>
          <w:rStyle w:val="normaltextrun"/>
          <w:rFonts w:ascii="Verdana" w:hAnsi="Verdana" w:cs="Arial"/>
          <w:shd w:val="clear" w:color="auto" w:fill="FFFFFF"/>
          <w:lang w:val="es-ES_tradnl"/>
        </w:rPr>
        <w:t xml:space="preserve"> en los conceptos </w:t>
      </w:r>
      <w:r w:rsidRPr="008D44CE">
        <w:rPr>
          <w:rFonts w:ascii="Verdana" w:hAnsi="Verdana" w:cs="Arial"/>
          <w:bCs/>
          <w:shd w:val="clear" w:color="auto" w:fill="FFFFFF"/>
        </w:rPr>
        <w:t>C-712 del 7 de diciembre de 2022, C-789 del 22 de noviembre de 2022, C-920 del</w:t>
      </w:r>
      <w:r w:rsidRPr="00070EC3">
        <w:rPr>
          <w:rFonts w:ascii="Verdana" w:hAnsi="Verdana" w:cs="Arial"/>
          <w:bCs/>
          <w:shd w:val="clear" w:color="auto" w:fill="FFFFFF"/>
        </w:rPr>
        <w:t xml:space="preserve"> 14 de febrero de 2023, C-031 del 17 de marzo de 2023, C-213 de 26 de junio de 2023, C-463 del 11 de noviembre de 2023, C- 015 del 13 de febrero de 2024, C-076 del 8 de julio de 2024, C-300 del 21 de agosto de 2024, C-922 del 8 de diciembre de 2024, C-1003 del 30 de enero de 2025, C-142 del 14 de marzo de 2025, C- 192 del 25 de marzo de 2025, C- 414 del 12 de mayo de 2025, C-1271 del 17 de octubre de 2025</w:t>
      </w:r>
      <w:r w:rsidRPr="00070EC3">
        <w:rPr>
          <w:rFonts w:ascii="Verdana" w:hAnsi="Verdana" w:cs="Arial"/>
          <w:shd w:val="clear" w:color="auto" w:fill="FFFFFF"/>
        </w:rPr>
        <w:t xml:space="preserve">, C-1415 del 11 de noviembre de 2025, </w:t>
      </w:r>
      <w:r>
        <w:rPr>
          <w:rFonts w:ascii="Verdana" w:hAnsi="Verdana" w:cs="Arial"/>
          <w:shd w:val="clear" w:color="auto" w:fill="FFFFFF"/>
        </w:rPr>
        <w:t xml:space="preserve">C-1272 del 14 de octubre de 2025, C-1471 del 28 de octubre de 2025, </w:t>
      </w:r>
      <w:r w:rsidRPr="00070EC3">
        <w:rPr>
          <w:rFonts w:ascii="Verdana" w:hAnsi="Verdana" w:cs="Arial"/>
          <w:shd w:val="clear" w:color="auto" w:fill="FFFFFF"/>
        </w:rPr>
        <w:t xml:space="preserve">C-1602 del 11 de diciembre de 2025, </w:t>
      </w:r>
      <w:r>
        <w:rPr>
          <w:rFonts w:ascii="Verdana" w:hAnsi="Verdana" w:cs="Arial"/>
          <w:shd w:val="clear" w:color="auto" w:fill="FFFFFF"/>
        </w:rPr>
        <w:t>C</w:t>
      </w:r>
      <w:r w:rsidRPr="00070EC3">
        <w:rPr>
          <w:rFonts w:ascii="Verdana" w:hAnsi="Verdana" w:cs="Arial"/>
          <w:shd w:val="clear" w:color="auto" w:fill="FFFFFF"/>
        </w:rPr>
        <w:t>-1672 del 19 de diciembre de 2025, C-1</w:t>
      </w:r>
      <w:r>
        <w:rPr>
          <w:rFonts w:ascii="Verdana" w:hAnsi="Verdana" w:cs="Arial"/>
          <w:shd w:val="clear" w:color="auto" w:fill="FFFFFF"/>
        </w:rPr>
        <w:t>691 del 18 de diciembre de 2025</w:t>
      </w:r>
      <w:r w:rsidRPr="00070EC3">
        <w:rPr>
          <w:rFonts w:ascii="Verdana" w:hAnsi="Verdana" w:cs="Arial"/>
          <w:shd w:val="clear" w:color="auto" w:fill="FFFFFF"/>
        </w:rPr>
        <w:t>, C-1836 del 5 de enero de 2026, C-1848 del 29 de enero de 2026</w:t>
      </w:r>
      <w:r>
        <w:rPr>
          <w:rFonts w:ascii="Verdana" w:hAnsi="Verdana" w:cs="Arial"/>
          <w:shd w:val="clear" w:color="auto" w:fill="FFFFFF"/>
        </w:rPr>
        <w:t>,</w:t>
      </w:r>
      <w:r w:rsidRPr="00070EC3">
        <w:rPr>
          <w:rFonts w:ascii="Verdana" w:hAnsi="Verdana" w:cs="Arial"/>
          <w:shd w:val="clear" w:color="auto" w:fill="FFFFFF"/>
        </w:rPr>
        <w:t xml:space="preserve"> CU-308 del 13 de abril del 2026</w:t>
      </w:r>
      <w:r>
        <w:rPr>
          <w:rFonts w:ascii="Verdana" w:hAnsi="Verdana" w:cs="Arial"/>
          <w:bCs/>
          <w:shd w:val="clear" w:color="auto" w:fill="FFFFFF"/>
        </w:rPr>
        <w:t>,</w:t>
      </w:r>
      <w:r w:rsidRPr="00FA6472">
        <w:rPr>
          <w:rFonts w:ascii="Verdana" w:hAnsi="Verdana" w:cs="Arial"/>
          <w:bCs/>
          <w:shd w:val="clear" w:color="auto" w:fill="FFFFFF"/>
        </w:rPr>
        <w:t xml:space="preserve"> </w:t>
      </w:r>
      <w:r>
        <w:rPr>
          <w:rFonts w:ascii="Verdana" w:hAnsi="Verdana" w:cs="Arial"/>
          <w:bCs/>
          <w:shd w:val="clear" w:color="auto" w:fill="FFFFFF"/>
        </w:rPr>
        <w:t xml:space="preserve">C-961 del 16 de julio de 2026, </w:t>
      </w:r>
      <w:r w:rsidRPr="00185290">
        <w:rPr>
          <w:rFonts w:ascii="Verdana" w:hAnsi="Verdana" w:cs="Arial"/>
          <w:shd w:val="clear" w:color="auto" w:fill="FFFFFF"/>
        </w:rPr>
        <w:t>entre otros</w:t>
      </w:r>
      <w:r w:rsidRPr="00185290">
        <w:rPr>
          <w:rFonts w:ascii="Verdana" w:eastAsia="Calibri" w:hAnsi="Verdana" w:cs="Arial"/>
          <w:color w:val="000000" w:themeColor="text1"/>
          <w:lang w:eastAsia="es-ES_tradnl"/>
        </w:rPr>
        <w:t xml:space="preserve">. </w:t>
      </w:r>
      <w:r w:rsidRPr="00185290">
        <w:rPr>
          <w:rFonts w:ascii="Verdana" w:hAnsi="Verdana" w:cs="Arial"/>
        </w:rPr>
        <w:t xml:space="preserve">Estos y otros </w:t>
      </w:r>
      <w:r w:rsidRPr="00185290">
        <w:rPr>
          <w:rFonts w:ascii="Verdana" w:hAnsi="Verdana"/>
        </w:rPr>
        <w:t>conceptos se encuentran disponibles para consulta en el Sistema de relatoría de la Agencia, al cual se puede acceder a través del siguiente enlace:</w:t>
      </w:r>
      <w:r w:rsidRPr="00185290">
        <w:rPr>
          <w:rFonts w:ascii="Verdana" w:hAnsi="Verdana" w:cs="Arial"/>
          <w:shd w:val="clear" w:color="auto" w:fill="FFFFFF"/>
        </w:rPr>
        <w:t xml:space="preserve"> </w:t>
      </w:r>
      <w:hyperlink r:id="rId12" w:history="1">
        <w:r w:rsidRPr="00185290">
          <w:rPr>
            <w:rFonts w:ascii="Verdana" w:hAnsi="Verdana" w:cs="Arial"/>
            <w:color w:val="0563C1" w:themeColor="hyperlink"/>
            <w:u w:val="single"/>
            <w:shd w:val="clear" w:color="auto" w:fill="FFFFFF"/>
          </w:rPr>
          <w:t>https://relatoria.colombiacompra.gov.co/busqueda/conceptos</w:t>
        </w:r>
      </w:hyperlink>
      <w:r w:rsidRPr="00185290">
        <w:rPr>
          <w:rFonts w:ascii="Verdana" w:hAnsi="Verdana" w:cs="Arial"/>
          <w:shd w:val="clear" w:color="auto" w:fill="FFFFFF"/>
        </w:rPr>
        <w:t>.</w:t>
      </w:r>
      <w:r w:rsidRPr="00185290">
        <w:rPr>
          <w:rFonts w:ascii="Verdana" w:hAnsi="Verdana" w:cs="Arial"/>
          <w:color w:val="FF0000"/>
          <w:shd w:val="clear" w:color="auto" w:fill="FFFFFF"/>
        </w:rPr>
        <w:t xml:space="preserve"> </w:t>
      </w:r>
    </w:p>
    <w:p w14:paraId="012E3BBF" w14:textId="77777777" w:rsidR="0084476C" w:rsidRPr="00986400" w:rsidRDefault="0084476C" w:rsidP="0084476C">
      <w:pPr>
        <w:spacing w:after="120" w:line="276" w:lineRule="auto"/>
        <w:jc w:val="both"/>
        <w:rPr>
          <w:rFonts w:ascii="Verdana" w:eastAsia="Calibri" w:hAnsi="Verdana" w:cs="Arial"/>
          <w:lang w:eastAsia="es-ES_tradnl"/>
        </w:rPr>
      </w:pPr>
      <w:r w:rsidRPr="00986400">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986400">
        <w:rPr>
          <w:rFonts w:ascii="Verdana" w:hAnsi="Verdana"/>
          <w:b/>
          <w:bCs/>
        </w:rPr>
        <w:t>Guía para la Exigencia y Constitución de Garantías en los Procesos de Contratación</w:t>
      </w:r>
      <w:r w:rsidRPr="00986400">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Dirección URL original: https://www.colombiacompra.gov.co/archivos/manual/guia-de-garantias-en-procesos-de-contratacion. Haga clic o pulse si confía en este vínculo." w:history="1">
        <w:r w:rsidRPr="00986400">
          <w:rPr>
            <w:rStyle w:val="Hipervnculo"/>
            <w:rFonts w:ascii="Verdana" w:hAnsi="Verdana"/>
          </w:rPr>
          <w:t>https://www.colombiacompra.gov.co/archivos/manual/guia-de-garantias-en-procesos-de-contratacion</w:t>
        </w:r>
      </w:hyperlink>
    </w:p>
    <w:p w14:paraId="65B6AE28" w14:textId="77777777" w:rsidR="0084476C" w:rsidRPr="00986400" w:rsidRDefault="0084476C" w:rsidP="0084476C">
      <w:pPr>
        <w:widowControl w:val="0"/>
        <w:autoSpaceDE w:val="0"/>
        <w:autoSpaceDN w:val="0"/>
        <w:spacing w:after="120" w:line="276" w:lineRule="auto"/>
        <w:jc w:val="both"/>
        <w:rPr>
          <w:rFonts w:ascii="Verdana" w:hAnsi="Verdana"/>
        </w:rPr>
      </w:pPr>
      <w:r w:rsidRPr="00986400">
        <w:rPr>
          <w:rFonts w:ascii="Verdana" w:hAnsi="Verdana"/>
        </w:rPr>
        <w:t>De otro lado, te contamos que el Decreto 287 del 19 de marzo de 2026 sustituyó los artículos 2.2.1.2.4.2.6., 2.2.1.2.4.2.7. y 2.2.1.2.4.2.8. del Decreto 1082 de 2015 y estructuró el </w:t>
      </w:r>
      <w:r w:rsidRPr="00986400">
        <w:rPr>
          <w:rFonts w:ascii="Verdana" w:hAnsi="Verdana"/>
          <w:b/>
          <w:bCs/>
        </w:rPr>
        <w:t>Sistema Integral de Preferencias en favor de las personas con discapacidad</w:t>
      </w:r>
      <w:r w:rsidRPr="00986400">
        <w:rPr>
          <w:rFonts w:ascii="Verdana" w:hAnsi="Verdana"/>
        </w:rPr>
        <w:t>, en cumplimiento del artículo 13 de la Ley Estatutaria 1618 de 2013. Para orientar su aplicación, esta Agencia expidió la </w:t>
      </w:r>
      <w:r w:rsidRPr="00986400">
        <w:rPr>
          <w:rFonts w:ascii="Verdana" w:hAnsi="Verdana"/>
          <w:b/>
          <w:bCs/>
        </w:rPr>
        <w:t>Circular Externa 003 del 12 de mayo de 2026, </w:t>
      </w:r>
      <w:r w:rsidRPr="00986400">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986400">
          <w:rPr>
            <w:rStyle w:val="Hipervnculo"/>
            <w:rFonts w:ascii="Verdana" w:hAnsi="Verdana"/>
          </w:rPr>
          <w:t>https://www.colombiacompra.gov.co/archivos/circular/circular-externa-003-de-2026</w:t>
        </w:r>
      </w:hyperlink>
    </w:p>
    <w:p w14:paraId="2C440EF9" w14:textId="77777777" w:rsidR="0084476C" w:rsidRDefault="0084476C" w:rsidP="0084476C">
      <w:pPr>
        <w:widowControl w:val="0"/>
        <w:autoSpaceDE w:val="0"/>
        <w:autoSpaceDN w:val="0"/>
        <w:spacing w:after="120" w:line="276" w:lineRule="auto"/>
        <w:jc w:val="both"/>
        <w:rPr>
          <w:rFonts w:ascii="Verdana" w:hAnsi="Verdana"/>
        </w:rPr>
      </w:pPr>
      <w:r w:rsidRPr="00986400">
        <w:rPr>
          <w:rFonts w:ascii="Verdana" w:hAnsi="Verdana"/>
        </w:rPr>
        <w:t>Recuerda también que la</w:t>
      </w:r>
      <w:r w:rsidRPr="00986400">
        <w:rPr>
          <w:rFonts w:ascii="Verdana" w:hAnsi="Verdana"/>
          <w:b/>
          <w:bCs/>
        </w:rPr>
        <w:t> información sobre sanciones e inhabilidades </w:t>
      </w:r>
      <w:r w:rsidRPr="00986400">
        <w:rPr>
          <w:rFonts w:ascii="Verdana" w:hAnsi="Verdana"/>
        </w:rPr>
        <w:t>solo cumple su función preventiva si llega oportunamente a los registros públicos. Sobre este deber, esta Agencia expidió la </w:t>
      </w:r>
      <w:r w:rsidRPr="00986400">
        <w:rPr>
          <w:rFonts w:ascii="Verdana" w:hAnsi="Verdana"/>
          <w:b/>
          <w:bCs/>
        </w:rPr>
        <w:t>Circular Externa 002 del 5 de mayo de 2026,</w:t>
      </w:r>
      <w:r w:rsidRPr="00986400">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Dirección URL original: https://www.colombiacompra.gov.co/archivos/circular/circular-externa-002-de-2026. Haga clic o pulse si confía en este vínculo." w:history="1">
        <w:r w:rsidRPr="00986400">
          <w:rPr>
            <w:rStyle w:val="Hipervnculo"/>
            <w:rFonts w:ascii="Verdana" w:hAnsi="Verdana"/>
          </w:rPr>
          <w:t>https://www.colombiacompra.gov.co/archivos/circular/circular-externa-002-de-2026</w:t>
        </w:r>
      </w:hyperlink>
    </w:p>
    <w:p w14:paraId="49FF2E9D" w14:textId="77777777" w:rsidR="0084476C" w:rsidRDefault="0084476C" w:rsidP="0084476C">
      <w:pPr>
        <w:widowControl w:val="0"/>
        <w:autoSpaceDE w:val="0"/>
        <w:autoSpaceDN w:val="0"/>
        <w:spacing w:after="120" w:line="276" w:lineRule="auto"/>
        <w:jc w:val="both"/>
        <w:rPr>
          <w:rFonts w:ascii="Verdana" w:hAnsi="Verdana"/>
        </w:rPr>
      </w:pPr>
      <w:r w:rsidRPr="00986400">
        <w:rPr>
          <w:rFonts w:ascii="Verdana" w:hAnsi="Verdana"/>
        </w:rPr>
        <w:t>Finalmente, si quieres seguir de cerca la actividad de la Agencia, la tercera edición de 2026 del</w:t>
      </w:r>
      <w:r w:rsidRPr="00986400">
        <w:rPr>
          <w:rFonts w:ascii="Verdana" w:hAnsi="Verdana"/>
          <w:b/>
          <w:bCs/>
        </w:rPr>
        <w:t> Radar de la Compra Pública</w:t>
      </w:r>
      <w:r w:rsidRPr="00986400">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gtFrame="_blank" w:tooltip="Dirección URL original: https://www.colombiacompra.gov.co/archivos/boletin/boletin-edicion-n-3-de-2026-radar-de-la-compra-publica. Haga clic o pulse si confía en este vínculo." w:history="1">
        <w:r w:rsidRPr="00986400">
          <w:rPr>
            <w:rStyle w:val="Hipervnculo"/>
            <w:rFonts w:ascii="Verdana" w:hAnsi="Verdana"/>
          </w:rPr>
          <w:t>https://www.colombiacompra.gov.co/archivos/boletin/boletin-edicion-n-3-de-2026-radar-de-la-compra-publica</w:t>
        </w:r>
      </w:hyperlink>
      <w:r w:rsidRPr="00986400">
        <w:rPr>
          <w:rFonts w:ascii="Verdana" w:hAnsi="Verdana"/>
        </w:rPr>
        <w:t>"</w:t>
      </w:r>
    </w:p>
    <w:p w14:paraId="5DAC13CD" w14:textId="77777777" w:rsidR="0084476C" w:rsidRDefault="0084476C" w:rsidP="0084476C">
      <w:pPr>
        <w:widowControl w:val="0"/>
        <w:autoSpaceDE w:val="0"/>
        <w:autoSpaceDN w:val="0"/>
        <w:spacing w:after="0" w:line="240" w:lineRule="auto"/>
        <w:jc w:val="both"/>
        <w:rPr>
          <w:rFonts w:ascii="Verdana" w:hAnsi="Verdana"/>
        </w:rPr>
      </w:pPr>
    </w:p>
    <w:p w14:paraId="2D80865A" w14:textId="77777777" w:rsidR="0084476C" w:rsidRPr="00986400" w:rsidRDefault="0084476C" w:rsidP="0084476C">
      <w:pPr>
        <w:widowControl w:val="0"/>
        <w:autoSpaceDE w:val="0"/>
        <w:autoSpaceDN w:val="0"/>
        <w:spacing w:after="120" w:line="276" w:lineRule="auto"/>
        <w:jc w:val="both"/>
        <w:rPr>
          <w:rFonts w:ascii="Verdana" w:hAnsi="Verdana"/>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36AEED3C" w14:textId="77777777" w:rsidR="0084476C" w:rsidRPr="00116940" w:rsidRDefault="0084476C" w:rsidP="0084476C">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6FCFD5A9" w14:textId="77777777" w:rsidR="0084476C" w:rsidRPr="00116940" w:rsidRDefault="0084476C" w:rsidP="0084476C">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13449D72" w14:textId="77777777" w:rsidR="0084476C" w:rsidRPr="00116940" w:rsidRDefault="0084476C" w:rsidP="0084476C">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4A58EB5D" w14:textId="77777777" w:rsidR="0084476C" w:rsidRPr="00116940" w:rsidRDefault="0084476C" w:rsidP="0084476C">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6C549EC2" w14:textId="77777777" w:rsidR="00E55F85" w:rsidRDefault="00E55F85" w:rsidP="0084476C">
      <w:pPr>
        <w:spacing w:after="0" w:line="276" w:lineRule="auto"/>
        <w:jc w:val="both"/>
        <w:rPr>
          <w:rFonts w:ascii="Verdana" w:hAnsi="Verdana"/>
        </w:rPr>
      </w:pPr>
    </w:p>
    <w:p w14:paraId="4B274FB7" w14:textId="30529CC2" w:rsidR="0084476C" w:rsidRDefault="0084476C" w:rsidP="0084476C">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19"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3E29F9FF" w14:textId="77777777" w:rsidR="0084476C" w:rsidRDefault="0084476C" w:rsidP="0084476C">
      <w:pPr>
        <w:spacing w:after="0" w:line="240" w:lineRule="auto"/>
        <w:jc w:val="both"/>
        <w:rPr>
          <w:rFonts w:ascii="Verdana" w:hAnsi="Verdana"/>
        </w:rPr>
      </w:pPr>
    </w:p>
    <w:p w14:paraId="6B686F4B" w14:textId="77777777" w:rsidR="0084476C" w:rsidRPr="00116940" w:rsidRDefault="0084476C" w:rsidP="0084476C">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20829146" w14:textId="77777777" w:rsidR="0084476C" w:rsidRPr="008746BD" w:rsidRDefault="0084476C" w:rsidP="0084476C">
      <w:pPr>
        <w:spacing w:after="0" w:line="240" w:lineRule="auto"/>
        <w:jc w:val="both"/>
        <w:rPr>
          <w:rFonts w:ascii="Verdana" w:hAnsi="Verdana"/>
        </w:rPr>
      </w:pPr>
    </w:p>
    <w:p w14:paraId="4C0BFC2D" w14:textId="77777777" w:rsidR="0084476C" w:rsidRPr="00116940" w:rsidRDefault="0084476C" w:rsidP="0084476C">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02D62AB6" w14:textId="77777777" w:rsidR="0084476C" w:rsidRPr="00116940" w:rsidRDefault="0084476C" w:rsidP="0084476C">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6D312BDB" w14:textId="77777777" w:rsidR="0084476C" w:rsidRPr="00116940" w:rsidRDefault="0084476C" w:rsidP="0084476C">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126C630E" w14:textId="77777777" w:rsidR="0084476C" w:rsidRDefault="0084476C" w:rsidP="0084476C">
      <w:pPr>
        <w:spacing w:after="0" w:line="276" w:lineRule="auto"/>
        <w:jc w:val="both"/>
        <w:rPr>
          <w:rFonts w:ascii="Century Gothic" w:eastAsia="Century Gothic" w:hAnsi="Century Gothic" w:cs="Century Gothic"/>
          <w:lang w:val="es-ES" w:eastAsia="es-ES_tradnl"/>
        </w:rPr>
      </w:pPr>
    </w:p>
    <w:p w14:paraId="6320C941" w14:textId="77777777" w:rsidR="0084476C" w:rsidRPr="00842775" w:rsidRDefault="0084476C" w:rsidP="0084476C">
      <w:pPr>
        <w:spacing w:after="12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7BD5B327" w14:textId="77777777" w:rsidR="0084476C" w:rsidRDefault="0084476C" w:rsidP="0084476C">
      <w:pPr>
        <w:spacing w:after="0" w:line="276" w:lineRule="auto"/>
        <w:jc w:val="both"/>
        <w:rPr>
          <w:rFonts w:ascii="Verdana" w:hAnsi="Verdana"/>
          <w:lang w:val="es-MX"/>
        </w:rPr>
      </w:pPr>
    </w:p>
    <w:p w14:paraId="5046D8A0" w14:textId="77777777" w:rsidR="0084476C" w:rsidRPr="00330029" w:rsidRDefault="0084476C" w:rsidP="0084476C">
      <w:pPr>
        <w:spacing w:after="0" w:line="276" w:lineRule="auto"/>
        <w:jc w:val="both"/>
        <w:rPr>
          <w:rFonts w:ascii="Verdana" w:hAnsi="Verdana"/>
          <w:lang w:val="es-MX"/>
        </w:rPr>
      </w:pPr>
      <w:r w:rsidRPr="00E02524">
        <w:rPr>
          <w:rFonts w:ascii="Verdana" w:hAnsi="Verdana"/>
          <w:lang w:val="es-MX"/>
        </w:rPr>
        <w:t>Cordialmente,</w:t>
      </w:r>
    </w:p>
    <w:p w14:paraId="48F15CE6" w14:textId="0775289B" w:rsidR="0084476C" w:rsidRDefault="0084476C" w:rsidP="0084476C">
      <w:pPr>
        <w:spacing w:after="0" w:line="256" w:lineRule="auto"/>
        <w:jc w:val="center"/>
        <w:rPr>
          <w:rFonts w:ascii="Verdana" w:eastAsia="Calibri" w:hAnsi="Verdana" w:cs="Times New Roman"/>
        </w:rPr>
      </w:pPr>
    </w:p>
    <w:p w14:paraId="6E85B72C" w14:textId="6215B5E3" w:rsidR="0084476C" w:rsidRDefault="004F3424" w:rsidP="0084476C">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75EFC211" wp14:editId="79459D3F">
            <wp:extent cx="3178008" cy="1497330"/>
            <wp:effectExtent l="0" t="0" r="3810" b="7620"/>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0"/>
                    <a:stretch>
                      <a:fillRect/>
                    </a:stretch>
                  </pic:blipFill>
                  <pic:spPr>
                    <a:xfrm>
                      <a:off x="0" y="0"/>
                      <a:ext cx="3191466" cy="1503671"/>
                    </a:xfrm>
                    <a:prstGeom prst="rect">
                      <a:avLst/>
                    </a:prstGeom>
                  </pic:spPr>
                </pic:pic>
              </a:graphicData>
            </a:graphic>
          </wp:inline>
        </w:drawing>
      </w:r>
    </w:p>
    <w:p w14:paraId="7CDC506B" w14:textId="77777777" w:rsidR="004F3424" w:rsidRDefault="004F3424" w:rsidP="0084476C">
      <w:pPr>
        <w:spacing w:after="0" w:line="256" w:lineRule="auto"/>
        <w:jc w:val="center"/>
        <w:rPr>
          <w:rFonts w:ascii="Verdana" w:eastAsia="Calibri" w:hAnsi="Verdana" w:cs="Times New Roman"/>
        </w:rPr>
      </w:pP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84476C" w:rsidRPr="00C9162A" w14:paraId="49F8276B" w14:textId="77777777" w:rsidTr="006F12F3">
        <w:trPr>
          <w:trHeight w:val="288"/>
        </w:trPr>
        <w:tc>
          <w:tcPr>
            <w:tcW w:w="893" w:type="dxa"/>
            <w:vAlign w:val="center"/>
            <w:hideMark/>
          </w:tcPr>
          <w:p w14:paraId="1AD1081A" w14:textId="77777777" w:rsidR="0084476C" w:rsidRPr="00C9162A" w:rsidRDefault="0084476C" w:rsidP="006F12F3">
            <w:pPr>
              <w:contextualSpacing/>
              <w:rPr>
                <w:rFonts w:ascii="Verdana" w:hAnsi="Verdana" w:cs="Arial"/>
                <w:sz w:val="14"/>
                <w:szCs w:val="14"/>
                <w:lang w:eastAsia="es-ES"/>
              </w:rPr>
            </w:pPr>
            <w:r w:rsidRPr="00C9162A">
              <w:rPr>
                <w:rFonts w:ascii="Verdana" w:hAnsi="Verdana" w:cs="Arial"/>
                <w:sz w:val="14"/>
                <w:szCs w:val="14"/>
                <w:lang w:eastAsia="es-ES"/>
              </w:rPr>
              <w:t>Elaboró:</w:t>
            </w:r>
          </w:p>
        </w:tc>
        <w:tc>
          <w:tcPr>
            <w:tcW w:w="5061" w:type="dxa"/>
            <w:tcBorders>
              <w:top w:val="nil"/>
              <w:left w:val="nil"/>
              <w:bottom w:val="dotted" w:sz="4" w:space="0" w:color="7F7F7F" w:themeColor="text1" w:themeTint="80"/>
              <w:right w:val="nil"/>
            </w:tcBorders>
            <w:vAlign w:val="center"/>
            <w:hideMark/>
          </w:tcPr>
          <w:p w14:paraId="60307D53" w14:textId="77777777" w:rsidR="0084476C" w:rsidRPr="00C9162A" w:rsidRDefault="0084476C" w:rsidP="006F12F3">
            <w:pPr>
              <w:contextualSpacing/>
              <w:rPr>
                <w:rStyle w:val="normaltextrun"/>
                <w:rFonts w:ascii="Verdana" w:hAnsi="Verdana"/>
                <w:sz w:val="14"/>
                <w:szCs w:val="14"/>
              </w:rPr>
            </w:pPr>
            <w:r w:rsidRPr="00C9162A">
              <w:rPr>
                <w:rStyle w:val="normaltextrun"/>
                <w:rFonts w:ascii="Verdana" w:hAnsi="Verdana"/>
                <w:sz w:val="14"/>
                <w:szCs w:val="14"/>
              </w:rPr>
              <w:t xml:space="preserve">Esperanza Contreras P </w:t>
            </w:r>
          </w:p>
          <w:p w14:paraId="3F44B59D" w14:textId="77777777" w:rsidR="0084476C" w:rsidRPr="00C9162A" w:rsidRDefault="0084476C" w:rsidP="006F12F3">
            <w:pPr>
              <w:contextualSpacing/>
              <w:rPr>
                <w:rFonts w:ascii="Verdana" w:eastAsia="Arial" w:hAnsi="Verdana" w:cs="Arial"/>
                <w:sz w:val="14"/>
                <w:szCs w:val="14"/>
              </w:rPr>
            </w:pPr>
            <w:r w:rsidRPr="00C9162A">
              <w:rPr>
                <w:rStyle w:val="normaltextrun"/>
                <w:rFonts w:ascii="Verdana" w:hAnsi="Verdana" w:cs="Arial"/>
                <w:sz w:val="14"/>
                <w:szCs w:val="14"/>
              </w:rPr>
              <w:t>Contratista de la Subdirección de Gestión Contractual</w:t>
            </w:r>
            <w:r w:rsidRPr="00C9162A">
              <w:rPr>
                <w:rStyle w:val="eop"/>
                <w:rFonts w:ascii="Verdana" w:hAnsi="Verdana" w:cs="Arial"/>
                <w:sz w:val="14"/>
                <w:szCs w:val="14"/>
              </w:rPr>
              <w:t> </w:t>
            </w:r>
          </w:p>
        </w:tc>
      </w:tr>
      <w:tr w:rsidR="0084476C" w:rsidRPr="00C9162A" w14:paraId="700757E0" w14:textId="77777777" w:rsidTr="006F12F3">
        <w:trPr>
          <w:trHeight w:val="330"/>
        </w:trPr>
        <w:tc>
          <w:tcPr>
            <w:tcW w:w="893" w:type="dxa"/>
            <w:vAlign w:val="center"/>
            <w:hideMark/>
          </w:tcPr>
          <w:p w14:paraId="500D167A" w14:textId="77777777" w:rsidR="0084476C" w:rsidRPr="00C9162A" w:rsidRDefault="0084476C" w:rsidP="006F12F3">
            <w:pPr>
              <w:contextualSpacing/>
              <w:rPr>
                <w:rFonts w:ascii="Verdana" w:hAnsi="Verdana" w:cs="Arial"/>
                <w:sz w:val="14"/>
                <w:szCs w:val="14"/>
                <w:lang w:eastAsia="es-ES"/>
              </w:rPr>
            </w:pPr>
            <w:r w:rsidRPr="00C9162A">
              <w:rPr>
                <w:rFonts w:ascii="Verdana" w:hAnsi="Verdana" w:cs="Arial"/>
                <w:sz w:val="14"/>
                <w:szCs w:val="14"/>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212421A9" w14:textId="77777777" w:rsidR="0084476C" w:rsidRPr="00C9162A" w:rsidRDefault="0084476C" w:rsidP="006F12F3">
            <w:pPr>
              <w:pStyle w:val="paragraph"/>
              <w:spacing w:before="0" w:beforeAutospacing="0" w:after="0" w:afterAutospacing="0"/>
              <w:contextualSpacing/>
              <w:textAlignment w:val="baseline"/>
              <w:rPr>
                <w:rStyle w:val="normaltextrun"/>
                <w:rFonts w:ascii="Verdana" w:hAnsi="Verdana"/>
                <w:sz w:val="14"/>
                <w:szCs w:val="14"/>
              </w:rPr>
            </w:pPr>
            <w:r w:rsidRPr="00C9162A">
              <w:rPr>
                <w:rStyle w:val="normaltextrun"/>
                <w:rFonts w:ascii="Verdana" w:hAnsi="Verdana"/>
                <w:sz w:val="14"/>
                <w:szCs w:val="14"/>
              </w:rPr>
              <w:t xml:space="preserve">Diana Lucía Saavedra Castañeda. </w:t>
            </w:r>
          </w:p>
          <w:p w14:paraId="022C13FC" w14:textId="77777777" w:rsidR="0084476C" w:rsidRPr="00C9162A" w:rsidRDefault="0084476C" w:rsidP="006F12F3">
            <w:pPr>
              <w:pStyle w:val="paragraph"/>
              <w:spacing w:before="0" w:beforeAutospacing="0" w:after="0" w:afterAutospacing="0"/>
              <w:contextualSpacing/>
              <w:textAlignment w:val="baseline"/>
              <w:rPr>
                <w:rFonts w:ascii="Verdana" w:hAnsi="Verdana" w:cs="Segoe UI"/>
                <w:sz w:val="14"/>
                <w:szCs w:val="14"/>
              </w:rPr>
            </w:pPr>
            <w:r w:rsidRPr="00C9162A">
              <w:rPr>
                <w:rStyle w:val="normaltextrun"/>
                <w:rFonts w:ascii="Verdana" w:hAnsi="Verdana"/>
                <w:sz w:val="14"/>
                <w:szCs w:val="14"/>
              </w:rPr>
              <w:t xml:space="preserve">Contratista Subdirección Gestión Contractual  </w:t>
            </w:r>
          </w:p>
        </w:tc>
      </w:tr>
      <w:tr w:rsidR="0084476C" w:rsidRPr="00C9162A" w14:paraId="6E1EE5A9" w14:textId="77777777" w:rsidTr="006F12F3">
        <w:trPr>
          <w:trHeight w:val="300"/>
        </w:trPr>
        <w:tc>
          <w:tcPr>
            <w:tcW w:w="893" w:type="dxa"/>
            <w:vAlign w:val="center"/>
          </w:tcPr>
          <w:p w14:paraId="64C32875" w14:textId="77777777" w:rsidR="0084476C" w:rsidRPr="00C9162A" w:rsidRDefault="0084476C" w:rsidP="006F12F3">
            <w:pPr>
              <w:contextualSpacing/>
              <w:rPr>
                <w:rFonts w:ascii="Verdana" w:hAnsi="Verdana" w:cs="Arial"/>
                <w:sz w:val="14"/>
                <w:szCs w:val="14"/>
                <w:lang w:eastAsia="es-ES"/>
              </w:rPr>
            </w:pPr>
            <w:r w:rsidRPr="00C9162A">
              <w:rPr>
                <w:rFonts w:ascii="Verdana" w:hAnsi="Verdana" w:cs="Arial"/>
                <w:sz w:val="14"/>
                <w:szCs w:val="14"/>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2DF3F9A1" w14:textId="77777777" w:rsidR="0084476C" w:rsidRPr="00C9162A" w:rsidRDefault="0084476C" w:rsidP="006F12F3">
            <w:pPr>
              <w:contextualSpacing/>
              <w:rPr>
                <w:rFonts w:ascii="Verdana" w:eastAsia="Calibri" w:hAnsi="Verdana" w:cs="Arial"/>
                <w:sz w:val="14"/>
                <w:szCs w:val="14"/>
                <w:lang w:eastAsia="es-ES"/>
              </w:rPr>
            </w:pPr>
            <w:r w:rsidRPr="00C9162A">
              <w:rPr>
                <w:rFonts w:ascii="Verdana" w:eastAsia="Calibri" w:hAnsi="Verdana" w:cs="Arial"/>
                <w:sz w:val="14"/>
                <w:szCs w:val="14"/>
                <w:lang w:eastAsia="es-ES"/>
              </w:rPr>
              <w:t>Carolina Quintero Gacharná</w:t>
            </w:r>
          </w:p>
          <w:p w14:paraId="03BC6943" w14:textId="77777777" w:rsidR="0084476C" w:rsidRPr="00C9162A" w:rsidRDefault="0084476C" w:rsidP="006F12F3">
            <w:pPr>
              <w:contextualSpacing/>
              <w:rPr>
                <w:rFonts w:ascii="Verdana" w:eastAsia="Calibri" w:hAnsi="Verdana" w:cs="Arial"/>
                <w:sz w:val="14"/>
                <w:szCs w:val="14"/>
                <w:lang w:eastAsia="es-ES"/>
              </w:rPr>
            </w:pPr>
            <w:r w:rsidRPr="00C9162A">
              <w:rPr>
                <w:rFonts w:ascii="Verdana" w:eastAsia="Calibri" w:hAnsi="Verdana" w:cs="Arial"/>
                <w:sz w:val="14"/>
                <w:szCs w:val="14"/>
                <w:lang w:eastAsia="es-ES"/>
              </w:rPr>
              <w:t>Subdirectora de Gestión Contractual ANCP – CCE</w:t>
            </w:r>
          </w:p>
        </w:tc>
      </w:tr>
      <w:bookmarkEnd w:id="1"/>
    </w:tbl>
    <w:p w14:paraId="325D78AF" w14:textId="77777777" w:rsidR="0084476C" w:rsidRPr="00C9162A" w:rsidRDefault="0084476C" w:rsidP="0084476C">
      <w:pPr>
        <w:spacing w:after="0"/>
        <w:rPr>
          <w:rFonts w:ascii="Verdana" w:eastAsia="Verdana" w:hAnsi="Verdana" w:cs="Verdana"/>
          <w:sz w:val="14"/>
          <w:szCs w:val="14"/>
        </w:rPr>
      </w:pPr>
    </w:p>
    <w:p w14:paraId="46EBA7D1" w14:textId="77777777" w:rsidR="0084476C" w:rsidRPr="00C9162A" w:rsidRDefault="0084476C" w:rsidP="0084476C">
      <w:pPr>
        <w:spacing w:after="0"/>
        <w:rPr>
          <w:rFonts w:ascii="Verdana" w:eastAsia="Verdana" w:hAnsi="Verdana" w:cs="Verdana"/>
          <w:sz w:val="14"/>
          <w:szCs w:val="14"/>
        </w:rPr>
      </w:pPr>
    </w:p>
    <w:p w14:paraId="0F293BF4" w14:textId="0CE731BC" w:rsidR="00127233" w:rsidRPr="00AC0E63" w:rsidRDefault="00127233" w:rsidP="00AC0E63"/>
    <w:sectPr w:rsidR="00127233" w:rsidRPr="00AC0E63"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0F0E3" w14:textId="77777777" w:rsidR="007410B1" w:rsidRDefault="007410B1" w:rsidP="004A1847">
      <w:pPr>
        <w:spacing w:after="0" w:line="240" w:lineRule="auto"/>
      </w:pPr>
      <w:r>
        <w:separator/>
      </w:r>
    </w:p>
  </w:endnote>
  <w:endnote w:type="continuationSeparator" w:id="0">
    <w:p w14:paraId="2384EA2D" w14:textId="77777777" w:rsidR="007410B1" w:rsidRDefault="007410B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52371" w14:textId="77777777" w:rsidR="007410B1" w:rsidRDefault="007410B1" w:rsidP="004A1847">
      <w:pPr>
        <w:spacing w:after="0" w:line="240" w:lineRule="auto"/>
      </w:pPr>
      <w:r>
        <w:separator/>
      </w:r>
    </w:p>
  </w:footnote>
  <w:footnote w:type="continuationSeparator" w:id="0">
    <w:p w14:paraId="77AD03A3" w14:textId="77777777" w:rsidR="007410B1" w:rsidRDefault="007410B1" w:rsidP="004A1847">
      <w:pPr>
        <w:spacing w:after="0" w:line="240" w:lineRule="auto"/>
      </w:pPr>
      <w:r>
        <w:continuationSeparator/>
      </w:r>
    </w:p>
  </w:footnote>
  <w:footnote w:id="1">
    <w:p w14:paraId="704AF2B3" w14:textId="77777777" w:rsidR="0084476C" w:rsidRDefault="0084476C" w:rsidP="0084476C">
      <w:pPr>
        <w:pStyle w:val="Textonotapie"/>
        <w:ind w:firstLine="708"/>
        <w:jc w:val="both"/>
        <w:rPr>
          <w:rFonts w:ascii="Verdana" w:hAnsi="Verdana"/>
          <w:sz w:val="16"/>
          <w:szCs w:val="16"/>
        </w:rPr>
      </w:pPr>
      <w:r w:rsidRPr="009C2E54">
        <w:rPr>
          <w:rStyle w:val="Refdenotaalpie"/>
          <w:rFonts w:ascii="Verdana" w:hAnsi="Verdana"/>
          <w:sz w:val="16"/>
          <w:szCs w:val="16"/>
        </w:rPr>
        <w:footnoteRef/>
      </w:r>
      <w:r w:rsidRPr="009C2E54">
        <w:rPr>
          <w:rFonts w:ascii="Verdana" w:hAnsi="Verdana"/>
          <w:sz w:val="16"/>
          <w:szCs w:val="16"/>
        </w:rPr>
        <w:t xml:space="preserve"> 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p w14:paraId="064DBE0F" w14:textId="77777777" w:rsidR="0084476C" w:rsidRPr="009C2E54" w:rsidRDefault="0084476C" w:rsidP="0084476C">
      <w:pPr>
        <w:pStyle w:val="Textonotapie"/>
        <w:ind w:firstLine="708"/>
        <w:jc w:val="both"/>
        <w:rPr>
          <w:rFonts w:ascii="Verdana" w:hAnsi="Verdana"/>
          <w:sz w:val="16"/>
          <w:szCs w:val="16"/>
        </w:rPr>
      </w:pPr>
    </w:p>
  </w:footnote>
  <w:footnote w:id="2">
    <w:p w14:paraId="6F80F0D5" w14:textId="77777777" w:rsidR="0084476C" w:rsidRPr="009C2E54" w:rsidRDefault="0084476C" w:rsidP="0084476C">
      <w:pPr>
        <w:pStyle w:val="Textonotapie"/>
        <w:ind w:firstLine="708"/>
        <w:jc w:val="both"/>
        <w:rPr>
          <w:rFonts w:ascii="Verdana" w:hAnsi="Verdana"/>
          <w:sz w:val="16"/>
          <w:szCs w:val="16"/>
        </w:rPr>
      </w:pPr>
      <w:r w:rsidRPr="009C2E54">
        <w:rPr>
          <w:rStyle w:val="Refdenotaalpie"/>
          <w:rFonts w:ascii="Verdana" w:hAnsi="Verdana"/>
          <w:sz w:val="16"/>
          <w:szCs w:val="16"/>
        </w:rPr>
        <w:footnoteRef/>
      </w:r>
      <w:r w:rsidRPr="009C2E54">
        <w:rPr>
          <w:rFonts w:ascii="Verdana" w:hAnsi="Verdana"/>
          <w:sz w:val="16"/>
          <w:szCs w:val="16"/>
        </w:rPr>
        <w:t xml:space="preserve"> Corte Constitucional. Sentencia C-154 de 1997. M.P. Hernando Herrera Vergara.</w:t>
      </w:r>
    </w:p>
    <w:p w14:paraId="40A3FBBD" w14:textId="77777777" w:rsidR="0084476C" w:rsidRPr="009C2E54" w:rsidRDefault="0084476C" w:rsidP="0084476C">
      <w:pPr>
        <w:pStyle w:val="Textonotapie"/>
        <w:ind w:firstLine="708"/>
        <w:jc w:val="both"/>
        <w:rPr>
          <w:rFonts w:ascii="Verdana" w:hAnsi="Verdana"/>
          <w:sz w:val="16"/>
          <w:szCs w:val="16"/>
        </w:rPr>
      </w:pPr>
    </w:p>
  </w:footnote>
  <w:footnote w:id="3">
    <w:p w14:paraId="6DFD4BE9"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 xml:space="preserve">Consejo de Estado. Sala de lo contencioso Administrativo. Sección Tercera. Subsección C. Sentencia del 2 de diciembre de 2013. </w:t>
      </w:r>
      <w:proofErr w:type="spellStart"/>
      <w:r w:rsidRPr="009C2E54">
        <w:rPr>
          <w:rFonts w:ascii="Verdana" w:hAnsi="Verdana"/>
          <w:sz w:val="16"/>
          <w:szCs w:val="16"/>
          <w:lang w:val="es-CO"/>
        </w:rPr>
        <w:t>Exp</w:t>
      </w:r>
      <w:proofErr w:type="spellEnd"/>
      <w:r w:rsidRPr="009C2E54">
        <w:rPr>
          <w:rFonts w:ascii="Verdana" w:hAnsi="Verdana"/>
          <w:sz w:val="16"/>
          <w:szCs w:val="16"/>
          <w:lang w:val="es-CO"/>
        </w:rPr>
        <w:t>. 41719. C.P. Jaime Orlando Santofimio Gamboa.</w:t>
      </w:r>
    </w:p>
  </w:footnote>
  <w:footnote w:id="4">
    <w:p w14:paraId="29562A13" w14:textId="77777777" w:rsidR="0084476C" w:rsidRPr="009C2E54" w:rsidRDefault="0084476C" w:rsidP="0084476C">
      <w:pPr>
        <w:pStyle w:val="Textonotapie"/>
        <w:ind w:firstLine="708"/>
        <w:jc w:val="both"/>
        <w:rPr>
          <w:rFonts w:ascii="Verdana" w:hAnsi="Verdana"/>
          <w:sz w:val="16"/>
          <w:szCs w:val="16"/>
        </w:rPr>
      </w:pPr>
      <w:r w:rsidRPr="009C2E54">
        <w:rPr>
          <w:rStyle w:val="Refdenotaalpie"/>
          <w:rFonts w:ascii="Verdana" w:hAnsi="Verdana"/>
          <w:sz w:val="16"/>
          <w:szCs w:val="16"/>
        </w:rPr>
        <w:footnoteRef/>
      </w:r>
      <w:r w:rsidRPr="009C2E54">
        <w:rPr>
          <w:rFonts w:ascii="Verdana" w:hAnsi="Verdana"/>
          <w:sz w:val="16"/>
          <w:szCs w:val="16"/>
        </w:rPr>
        <w:t xml:space="preserve"> Corte Constitucional. Sentencia C-154 de 1997. M.P. Hernando Herrera Vergara.</w:t>
      </w:r>
    </w:p>
    <w:p w14:paraId="6998DB43" w14:textId="77777777" w:rsidR="0084476C" w:rsidRPr="009C2E54" w:rsidRDefault="0084476C" w:rsidP="0084476C">
      <w:pPr>
        <w:pStyle w:val="Textonotapie"/>
        <w:ind w:firstLine="708"/>
        <w:jc w:val="both"/>
        <w:rPr>
          <w:rFonts w:ascii="Verdana" w:hAnsi="Verdana"/>
          <w:sz w:val="16"/>
          <w:szCs w:val="16"/>
        </w:rPr>
      </w:pPr>
    </w:p>
  </w:footnote>
  <w:footnote w:id="5">
    <w:p w14:paraId="28209AAB"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 xml:space="preserve">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La Entidad Estatal, para la contratación de trabajos artísticos que solamente puedan en-comendarse a determinadas personas naturales, debe justificar esta situación en los estudios y documentos previos”. </w:t>
      </w:r>
    </w:p>
    <w:p w14:paraId="05DA593B" w14:textId="77777777" w:rsidR="0084476C" w:rsidRPr="009C2E54" w:rsidRDefault="0084476C" w:rsidP="0084476C">
      <w:pPr>
        <w:pStyle w:val="Textonotapie"/>
        <w:ind w:firstLine="708"/>
        <w:jc w:val="both"/>
        <w:rPr>
          <w:rFonts w:ascii="Verdana" w:hAnsi="Verdana"/>
          <w:sz w:val="16"/>
          <w:szCs w:val="16"/>
        </w:rPr>
      </w:pPr>
      <w:r w:rsidRPr="009C2E54">
        <w:rPr>
          <w:rFonts w:ascii="Verdana" w:hAnsi="Verdana"/>
          <w:sz w:val="16"/>
          <w:szCs w:val="16"/>
          <w:lang w:val="es-CO"/>
        </w:rPr>
        <w:t xml:space="preserve"> </w:t>
      </w:r>
    </w:p>
  </w:footnote>
  <w:footnote w:id="6">
    <w:p w14:paraId="249DEE5F"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 xml:space="preserve">Consejo de Estado. Sala de lo Contencioso Administrativo. Sección Tercera. Subsección C. Sentencia del 2 de diciembre de 2013. </w:t>
      </w:r>
      <w:proofErr w:type="spellStart"/>
      <w:r w:rsidRPr="009C2E54">
        <w:rPr>
          <w:rFonts w:ascii="Verdana" w:hAnsi="Verdana"/>
          <w:sz w:val="16"/>
          <w:szCs w:val="16"/>
          <w:lang w:val="es-CO"/>
        </w:rPr>
        <w:t>Exp</w:t>
      </w:r>
      <w:proofErr w:type="spellEnd"/>
      <w:r w:rsidRPr="009C2E54">
        <w:rPr>
          <w:rFonts w:ascii="Verdana" w:hAnsi="Verdana"/>
          <w:sz w:val="16"/>
          <w:szCs w:val="16"/>
          <w:lang w:val="es-CO"/>
        </w:rPr>
        <w:t>. 41719. C.P. Jaime Orlando Santofimio Gamboa.</w:t>
      </w:r>
    </w:p>
    <w:p w14:paraId="59CE865B" w14:textId="77777777" w:rsidR="0084476C" w:rsidRPr="009C2E54" w:rsidRDefault="0084476C" w:rsidP="0084476C">
      <w:pPr>
        <w:pStyle w:val="Textonotapie"/>
        <w:ind w:firstLine="708"/>
        <w:jc w:val="both"/>
        <w:rPr>
          <w:rFonts w:ascii="Verdana" w:hAnsi="Verdana"/>
          <w:sz w:val="16"/>
          <w:szCs w:val="16"/>
          <w:lang w:val="es-CO"/>
        </w:rPr>
      </w:pPr>
    </w:p>
  </w:footnote>
  <w:footnote w:id="7">
    <w:p w14:paraId="630534B6"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proofErr w:type="spellStart"/>
      <w:r w:rsidRPr="009C2E54">
        <w:rPr>
          <w:rFonts w:ascii="Verdana" w:hAnsi="Verdana"/>
          <w:sz w:val="16"/>
          <w:szCs w:val="16"/>
          <w:lang w:val="es-CO"/>
        </w:rPr>
        <w:t>Ibíd</w:t>
      </w:r>
      <w:proofErr w:type="spellEnd"/>
      <w:r w:rsidRPr="009C2E54">
        <w:rPr>
          <w:rFonts w:ascii="Verdana" w:hAnsi="Verdana"/>
          <w:sz w:val="16"/>
          <w:szCs w:val="16"/>
          <w:lang w:val="es-CO"/>
        </w:rPr>
        <w:t xml:space="preserve">.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 </w:t>
      </w:r>
    </w:p>
    <w:p w14:paraId="59C41A49" w14:textId="77777777" w:rsidR="0084476C" w:rsidRPr="009C2E54" w:rsidRDefault="0084476C" w:rsidP="0084476C">
      <w:pPr>
        <w:pStyle w:val="Textonotapie"/>
        <w:jc w:val="both"/>
        <w:rPr>
          <w:rFonts w:ascii="Verdana" w:hAnsi="Verdana"/>
          <w:sz w:val="16"/>
          <w:szCs w:val="16"/>
          <w:lang w:val="es-CO"/>
        </w:rPr>
      </w:pPr>
      <w:r w:rsidRPr="009C2E54">
        <w:rPr>
          <w:rFonts w:ascii="Verdana" w:hAnsi="Verdana"/>
          <w:sz w:val="16"/>
          <w:szCs w:val="16"/>
          <w:lang w:val="es-CO"/>
        </w:rPr>
        <w:t xml:space="preserve">Son también contratos de consultoría los que tienen por objeto la interventoría, asesoría, gerencia de obra o de proyectos, dirección, programación y la ejecución de diseños, planos, anteproyectos y proyectos. </w:t>
      </w:r>
    </w:p>
    <w:p w14:paraId="53313923" w14:textId="77777777" w:rsidR="0084476C" w:rsidRPr="009C2E54" w:rsidRDefault="0084476C" w:rsidP="0084476C">
      <w:pPr>
        <w:pStyle w:val="Textonotapie"/>
        <w:jc w:val="both"/>
        <w:rPr>
          <w:rFonts w:ascii="Verdana" w:hAnsi="Verdana"/>
          <w:sz w:val="16"/>
          <w:szCs w:val="16"/>
          <w:lang w:val="es-CO"/>
        </w:rPr>
      </w:pPr>
      <w:r w:rsidRPr="009C2E54">
        <w:rPr>
          <w:rFonts w:ascii="Verdana" w:hAnsi="Verdana"/>
          <w:sz w:val="16"/>
          <w:szCs w:val="16"/>
          <w:lang w:val="es-CO"/>
        </w:rPr>
        <w:t xml:space="preserve">Ninguna orden del interventor de una obra podrá darse verbalmente. Es obligatorio para el interventor entregar por escrito sus órdenes o sugerencias y ellas deben </w:t>
      </w:r>
      <w:proofErr w:type="gramStart"/>
      <w:r w:rsidRPr="009C2E54">
        <w:rPr>
          <w:rFonts w:ascii="Verdana" w:hAnsi="Verdana"/>
          <w:sz w:val="16"/>
          <w:szCs w:val="16"/>
          <w:lang w:val="es-CO"/>
        </w:rPr>
        <w:t>enmarcarse dentro de</w:t>
      </w:r>
      <w:proofErr w:type="gramEnd"/>
      <w:r w:rsidRPr="009C2E54">
        <w:rPr>
          <w:rFonts w:ascii="Verdana" w:hAnsi="Verdana"/>
          <w:sz w:val="16"/>
          <w:szCs w:val="16"/>
          <w:lang w:val="es-CO"/>
        </w:rPr>
        <w:t xml:space="preserve"> los términos del respectivo contrato”.</w:t>
      </w:r>
    </w:p>
  </w:footnote>
  <w:footnote w:id="8">
    <w:p w14:paraId="2269CCA8" w14:textId="77777777" w:rsidR="0084476C" w:rsidRPr="009C2E54" w:rsidRDefault="0084476C" w:rsidP="0084476C">
      <w:pPr>
        <w:pStyle w:val="Textonotapie"/>
        <w:ind w:firstLine="708"/>
        <w:jc w:val="both"/>
        <w:rPr>
          <w:rFonts w:ascii="Verdana" w:hAnsi="Verdana"/>
          <w:sz w:val="16"/>
          <w:szCs w:val="16"/>
        </w:rPr>
      </w:pPr>
    </w:p>
    <w:p w14:paraId="4FDD13CF"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 xml:space="preserve">Así lo prevé el artículo 2.2.1.2.1.4.1. del Decreto 1082 de 2015: “La Entidad Estatal debe señalar en un acto administrativo la justificación para contratar bajo la modalidad de contratación directa, el cual debe contener: </w:t>
      </w:r>
    </w:p>
    <w:p w14:paraId="6F4DD0AD" w14:textId="77777777" w:rsidR="0084476C" w:rsidRPr="009C2E54" w:rsidRDefault="0084476C" w:rsidP="0084476C">
      <w:pPr>
        <w:pStyle w:val="Textonotapie"/>
        <w:ind w:left="851"/>
        <w:jc w:val="both"/>
        <w:rPr>
          <w:rFonts w:ascii="Verdana" w:hAnsi="Verdana"/>
          <w:sz w:val="16"/>
          <w:szCs w:val="16"/>
          <w:lang w:val="es-CO"/>
        </w:rPr>
      </w:pPr>
      <w:r w:rsidRPr="009C2E54">
        <w:rPr>
          <w:rFonts w:ascii="Verdana" w:hAnsi="Verdana"/>
          <w:sz w:val="16"/>
          <w:szCs w:val="16"/>
          <w:lang w:val="es-CO"/>
        </w:rPr>
        <w:t xml:space="preserve">1. La causal que invoca para contratar directamente. </w:t>
      </w:r>
    </w:p>
    <w:p w14:paraId="174B6CF1" w14:textId="77777777" w:rsidR="0084476C" w:rsidRPr="009C2E54" w:rsidRDefault="0084476C" w:rsidP="0084476C">
      <w:pPr>
        <w:pStyle w:val="Textonotapie"/>
        <w:ind w:left="851"/>
        <w:jc w:val="both"/>
        <w:rPr>
          <w:rFonts w:ascii="Verdana" w:hAnsi="Verdana"/>
          <w:sz w:val="16"/>
          <w:szCs w:val="16"/>
          <w:lang w:val="es-CO"/>
        </w:rPr>
      </w:pPr>
      <w:r w:rsidRPr="009C2E54">
        <w:rPr>
          <w:rFonts w:ascii="Verdana" w:hAnsi="Verdana"/>
          <w:sz w:val="16"/>
          <w:szCs w:val="16"/>
          <w:lang w:val="es-CO"/>
        </w:rPr>
        <w:t xml:space="preserve">2. El objeto del contrato. </w:t>
      </w:r>
    </w:p>
    <w:p w14:paraId="439F2933" w14:textId="77777777" w:rsidR="0084476C" w:rsidRPr="009C2E54" w:rsidRDefault="0084476C" w:rsidP="0084476C">
      <w:pPr>
        <w:pStyle w:val="Textonotapie"/>
        <w:ind w:left="851"/>
        <w:jc w:val="both"/>
        <w:rPr>
          <w:rFonts w:ascii="Verdana" w:hAnsi="Verdana"/>
          <w:sz w:val="16"/>
          <w:szCs w:val="16"/>
          <w:lang w:val="es-CO"/>
        </w:rPr>
      </w:pPr>
      <w:r w:rsidRPr="009C2E54">
        <w:rPr>
          <w:rFonts w:ascii="Verdana" w:hAnsi="Verdana"/>
          <w:sz w:val="16"/>
          <w:szCs w:val="16"/>
          <w:lang w:val="es-CO"/>
        </w:rPr>
        <w:t xml:space="preserve">3. El presupuesto para la contratación y las condiciones que exigirá al contratista. </w:t>
      </w:r>
    </w:p>
    <w:p w14:paraId="4BFC6696" w14:textId="77777777" w:rsidR="0084476C" w:rsidRPr="009C2E54" w:rsidRDefault="0084476C" w:rsidP="0084476C">
      <w:pPr>
        <w:pStyle w:val="Textonotapie"/>
        <w:ind w:left="851"/>
        <w:jc w:val="both"/>
        <w:rPr>
          <w:rFonts w:ascii="Verdana" w:hAnsi="Verdana"/>
          <w:sz w:val="16"/>
          <w:szCs w:val="16"/>
          <w:lang w:val="es-CO"/>
        </w:rPr>
      </w:pPr>
      <w:r w:rsidRPr="009C2E54">
        <w:rPr>
          <w:rFonts w:ascii="Verdana" w:hAnsi="Verdana"/>
          <w:sz w:val="16"/>
          <w:szCs w:val="16"/>
          <w:lang w:val="es-CO"/>
        </w:rPr>
        <w:t>4. El lugar en el cual los interesados pueden consultar los estudios y documentos previos.</w:t>
      </w:r>
    </w:p>
    <w:p w14:paraId="2CF87943" w14:textId="77777777" w:rsidR="0084476C" w:rsidRPr="009C2E54" w:rsidRDefault="0084476C" w:rsidP="0084476C">
      <w:pPr>
        <w:pStyle w:val="Textonotapie"/>
        <w:jc w:val="both"/>
        <w:rPr>
          <w:rFonts w:ascii="Verdana" w:hAnsi="Verdana"/>
          <w:sz w:val="16"/>
          <w:szCs w:val="16"/>
          <w:lang w:val="es-CO"/>
        </w:rPr>
      </w:pPr>
      <w:r w:rsidRPr="009C2E54">
        <w:rPr>
          <w:rFonts w:ascii="Verdana" w:hAnsi="Verdana"/>
          <w:sz w:val="16"/>
          <w:szCs w:val="16"/>
          <w:lang w:val="es-CO"/>
        </w:rPr>
        <w:t>Este acto administrativo no es necesario cuando el contrato a celebrar es de prestación de servicios profesionales y de apoyo a la gestión, y para los contratos de que tratan los literales (a) y (b) del artículo 2.2.1.2.1.4.3 del presente decreto”.</w:t>
      </w:r>
    </w:p>
    <w:p w14:paraId="5350C0FA" w14:textId="77777777" w:rsidR="0084476C" w:rsidRPr="009C2E54" w:rsidRDefault="0084476C" w:rsidP="0084476C">
      <w:pPr>
        <w:pStyle w:val="Textonotapie"/>
        <w:ind w:left="851"/>
        <w:jc w:val="both"/>
        <w:rPr>
          <w:rFonts w:ascii="Verdana" w:hAnsi="Verdana"/>
          <w:sz w:val="16"/>
          <w:szCs w:val="16"/>
        </w:rPr>
      </w:pPr>
    </w:p>
  </w:footnote>
  <w:footnote w:id="9">
    <w:p w14:paraId="5C081527"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 xml:space="preserve">Esta norma expresa: “Para el cumplimiento de los fines de la contratación, las entidades estatales al celebrar un contrato:[…] 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 </w:t>
      </w:r>
    </w:p>
    <w:p w14:paraId="3D206D4F" w14:textId="77777777" w:rsidR="0084476C" w:rsidRPr="009C2E54" w:rsidRDefault="0084476C" w:rsidP="0084476C">
      <w:pPr>
        <w:pStyle w:val="Textonotapie"/>
        <w:jc w:val="both"/>
        <w:rPr>
          <w:rFonts w:ascii="Verdana" w:hAnsi="Verdana"/>
          <w:sz w:val="16"/>
          <w:szCs w:val="16"/>
          <w:lang w:val="es-CO"/>
        </w:rPr>
      </w:pPr>
      <w:r w:rsidRPr="009C2E54">
        <w:rPr>
          <w:rFonts w:ascii="Verdana" w:hAnsi="Verdana"/>
          <w:sz w:val="16"/>
          <w:szCs w:val="16"/>
          <w:lang w:val="es-CO"/>
        </w:rPr>
        <w:t>Las entidades estatales podrán pactar estas cláusulas en los contratos de suministro y de prestación de servicios. […]”.</w:t>
      </w:r>
    </w:p>
    <w:p w14:paraId="200E3802" w14:textId="77777777" w:rsidR="0084476C" w:rsidRPr="009C2E54" w:rsidRDefault="0084476C" w:rsidP="0084476C">
      <w:pPr>
        <w:pStyle w:val="Textonotapie"/>
        <w:jc w:val="both"/>
        <w:rPr>
          <w:rFonts w:ascii="Verdana" w:hAnsi="Verdana"/>
          <w:sz w:val="16"/>
          <w:szCs w:val="16"/>
          <w:lang w:val="es-CO"/>
        </w:rPr>
      </w:pPr>
    </w:p>
  </w:footnote>
  <w:footnote w:id="10">
    <w:p w14:paraId="5C876311"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La norma dispone: “La liquidación a que se refiere el presente artículo no será obligatoria en los contratos de prestación de servicios profesionales y de apoyo a la gestión”.</w:t>
      </w:r>
    </w:p>
    <w:p w14:paraId="50F061CF" w14:textId="77777777" w:rsidR="0084476C" w:rsidRPr="009C2E54" w:rsidRDefault="0084476C" w:rsidP="0084476C">
      <w:pPr>
        <w:pStyle w:val="Textonotapie"/>
        <w:ind w:firstLine="708"/>
        <w:jc w:val="both"/>
        <w:rPr>
          <w:rFonts w:ascii="Verdana" w:hAnsi="Verdana"/>
          <w:sz w:val="16"/>
          <w:szCs w:val="16"/>
          <w:lang w:val="es-CO"/>
        </w:rPr>
      </w:pPr>
    </w:p>
  </w:footnote>
  <w:footnote w:id="11">
    <w:p w14:paraId="30E52BD9"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w:t>
      </w:r>
    </w:p>
    <w:p w14:paraId="62D00204" w14:textId="77777777" w:rsidR="0084476C" w:rsidRPr="009C2E54" w:rsidRDefault="0084476C" w:rsidP="0084476C">
      <w:pPr>
        <w:pStyle w:val="Textonotapie"/>
        <w:ind w:firstLine="708"/>
        <w:jc w:val="both"/>
        <w:rPr>
          <w:rFonts w:ascii="Verdana" w:hAnsi="Verdana"/>
          <w:sz w:val="16"/>
          <w:szCs w:val="16"/>
          <w:lang w:val="es-CO"/>
        </w:rPr>
      </w:pPr>
    </w:p>
  </w:footnote>
  <w:footnote w:id="12">
    <w:p w14:paraId="60EA39A7"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14B2B295" w14:textId="77777777" w:rsidR="0084476C" w:rsidRPr="009C2E54" w:rsidRDefault="0084476C" w:rsidP="0084476C">
      <w:pPr>
        <w:pStyle w:val="Textonotapie"/>
        <w:ind w:firstLine="708"/>
        <w:jc w:val="both"/>
        <w:rPr>
          <w:rFonts w:ascii="Verdana" w:hAnsi="Verdana"/>
          <w:sz w:val="16"/>
          <w:szCs w:val="16"/>
          <w:lang w:val="es-CO"/>
        </w:rPr>
      </w:pPr>
    </w:p>
  </w:footnote>
  <w:footnote w:id="13">
    <w:p w14:paraId="2679BBB9"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Corte Constitucional. Sentencia T-743 de 2017. M.P: Gloria Stella Ortiz Delgado.</w:t>
      </w:r>
    </w:p>
    <w:p w14:paraId="27236786" w14:textId="77777777" w:rsidR="0084476C" w:rsidRPr="009C2E54" w:rsidRDefault="0084476C" w:rsidP="0084476C">
      <w:pPr>
        <w:pStyle w:val="Textonotapie"/>
        <w:ind w:firstLine="708"/>
        <w:jc w:val="both"/>
        <w:rPr>
          <w:rFonts w:ascii="Verdana" w:hAnsi="Verdana"/>
          <w:sz w:val="16"/>
          <w:szCs w:val="16"/>
          <w:lang w:val="es-CO"/>
        </w:rPr>
      </w:pPr>
    </w:p>
  </w:footnote>
  <w:footnote w:id="14">
    <w:p w14:paraId="144745D1"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La sentencia explica lo siguiente: “En el supuesto de vinculación de la mujer gestante o lactante mediante contrato de prestación de servicios, el juez de tutela deberá analizar las circunstancias fácticas que rodean cada caso, para determinar si bajo dicha figura contractual no se está ocultando la existencia de una auténtica relación laboral.</w:t>
      </w:r>
    </w:p>
    <w:p w14:paraId="0D4E1701" w14:textId="77777777" w:rsidR="0084476C" w:rsidRPr="009C2E54" w:rsidRDefault="0084476C" w:rsidP="0084476C">
      <w:pPr>
        <w:pStyle w:val="Textonotapie"/>
        <w:ind w:firstLine="708"/>
        <w:jc w:val="both"/>
        <w:rPr>
          <w:rFonts w:ascii="Verdana" w:hAnsi="Verdana"/>
          <w:sz w:val="16"/>
          <w:szCs w:val="16"/>
          <w:lang w:val="es-CO"/>
        </w:rPr>
      </w:pPr>
      <w:r w:rsidRPr="009C2E54">
        <w:rPr>
          <w:rFonts w:ascii="Verdana" w:hAnsi="Verdana"/>
          <w:sz w:val="16"/>
          <w:szCs w:val="16"/>
          <w:lang w:val="es-CO"/>
        </w:rPr>
        <w:t>“Bajo esta lógica, deberá verificarse la estructuración material de los elementos fundamentales de un contrato de trabajo, ‘independientemente de la vinculación o denominación que el empleador adopte para el tipo de contrato que suscriba con el trabajador´. Así, la jurisprudencia de la Corte ha reconocido que los elementos que configuran la existencia de un contrato de trabajo son (i) el salario, (</w:t>
      </w:r>
      <w:proofErr w:type="spellStart"/>
      <w:r w:rsidRPr="009C2E54">
        <w:rPr>
          <w:rFonts w:ascii="Verdana" w:hAnsi="Verdana"/>
          <w:sz w:val="16"/>
          <w:szCs w:val="16"/>
          <w:lang w:val="es-CO"/>
        </w:rPr>
        <w:t>ii</w:t>
      </w:r>
      <w:proofErr w:type="spellEnd"/>
      <w:r w:rsidRPr="009C2E54">
        <w:rPr>
          <w:rFonts w:ascii="Verdana" w:hAnsi="Verdana"/>
          <w:sz w:val="16"/>
          <w:szCs w:val="16"/>
          <w:lang w:val="es-CO"/>
        </w:rPr>
        <w:t>) la continua subordinación o dependencia y (</w:t>
      </w:r>
      <w:proofErr w:type="spellStart"/>
      <w:r w:rsidRPr="009C2E54">
        <w:rPr>
          <w:rFonts w:ascii="Verdana" w:hAnsi="Verdana"/>
          <w:sz w:val="16"/>
          <w:szCs w:val="16"/>
          <w:lang w:val="es-CO"/>
        </w:rPr>
        <w:t>iii</w:t>
      </w:r>
      <w:proofErr w:type="spellEnd"/>
      <w:r w:rsidRPr="009C2E54">
        <w:rPr>
          <w:rFonts w:ascii="Verdana" w:hAnsi="Verdana"/>
          <w:sz w:val="16"/>
          <w:szCs w:val="16"/>
          <w:lang w:val="es-CO"/>
        </w:rPr>
        <w:t xml:space="preserve">) la prestación personal del servicio. Por lo tanto, si el juez de tutela concluye la concurrencia de estos tres elementos en una vinculación mediante contrato de prestación de servicios de una trabajadora gestante o lactante, podrá concluirse que se está en presencia de un verdadero contrato de trabajo”. </w:t>
      </w:r>
    </w:p>
    <w:p w14:paraId="07D53E0F" w14:textId="77777777" w:rsidR="0084476C" w:rsidRPr="009C2E54" w:rsidRDefault="0084476C" w:rsidP="0084476C">
      <w:pPr>
        <w:pStyle w:val="Textonotapie"/>
        <w:ind w:firstLine="708"/>
        <w:jc w:val="both"/>
        <w:rPr>
          <w:rFonts w:ascii="Verdana" w:hAnsi="Verdana"/>
          <w:sz w:val="16"/>
          <w:szCs w:val="16"/>
        </w:rPr>
      </w:pPr>
      <w:r w:rsidRPr="009C2E54">
        <w:rPr>
          <w:rFonts w:ascii="Verdana" w:hAnsi="Verdana"/>
          <w:sz w:val="16"/>
          <w:szCs w:val="16"/>
          <w:lang w:val="es-CO"/>
        </w:rPr>
        <w:t xml:space="preserve"> </w:t>
      </w:r>
    </w:p>
  </w:footnote>
  <w:footnote w:id="15">
    <w:p w14:paraId="1ABA7DDF"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La Corte Constitucional en la sentencia T-102 del 1 de marzo de 2016 (M.P: María Victoria Calle Correa) protegió el derecho a la estabilidad laboral reforzada a dos mujeres que se encontraban en fuero de maternidad por demostrarse la existencia de un contrato realidad. En el expediente T-5.208.798 la Sala asumió la existencia de un contrato laboral de cara a la subordinación, pues estaba demostrado que la accionante, entre otras, cumplía un horario establecido por el contratante: ´Obsérvese que el empleador no demostró, por ningún medio, la existencia de una causal objetiva relevante que justificara la terminación del contrato, por ejemplo, que la actividad que venía realizando la trabajadora ya no fuera necesaria para la asociación sindical, o de una justa causa de terminación de la relación laboral. Por el contrario, la labor asignada como asistente administrativa hace parte de las tareas cotidianas del sindicato’”.</w:t>
      </w:r>
    </w:p>
    <w:p w14:paraId="7F7BA53B" w14:textId="77777777" w:rsidR="0084476C" w:rsidRPr="009C2E54" w:rsidRDefault="0084476C" w:rsidP="0084476C">
      <w:pPr>
        <w:pStyle w:val="Textonotapie"/>
        <w:ind w:firstLine="708"/>
        <w:jc w:val="both"/>
        <w:rPr>
          <w:rFonts w:ascii="Verdana" w:hAnsi="Verdana"/>
          <w:sz w:val="16"/>
          <w:szCs w:val="16"/>
          <w:lang w:val="es-CO"/>
        </w:rPr>
      </w:pPr>
    </w:p>
  </w:footnote>
  <w:footnote w:id="16">
    <w:p w14:paraId="457EC4BD"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 xml:space="preserve">Corte Constitucional, sentencia T-564 del 6 de septiembre de 2017, M.P: Cristina Pardo Schlesinger: “La Sala advierte, que ante las contradicciones respecto a los hechos en las cuales incurren las partes involucradas en el asunto de la referencia, en el presente caso no existen suficientes elementos de juicio para la demostración de la relación de trabajo afirmada por la accionante en el escrito de impugnación. La precariedad de las pruebas, los indicios sobre un contrato realidad encubierto y la validez de los documentos aportados al proceso, son asuntos que necesariamente deben ser estudiados por el juez ordinario laboral”. </w:t>
      </w:r>
    </w:p>
    <w:p w14:paraId="2B4E6DB0" w14:textId="77777777" w:rsidR="0084476C" w:rsidRPr="009C2E54" w:rsidRDefault="0084476C" w:rsidP="0084476C">
      <w:pPr>
        <w:pStyle w:val="Textonotapie"/>
        <w:ind w:firstLine="708"/>
        <w:jc w:val="both"/>
        <w:rPr>
          <w:rFonts w:ascii="Verdana" w:hAnsi="Verdana"/>
          <w:sz w:val="16"/>
          <w:szCs w:val="16"/>
          <w:lang w:val="es-CO"/>
        </w:rPr>
      </w:pPr>
    </w:p>
    <w:p w14:paraId="7AD2C968" w14:textId="77777777" w:rsidR="0084476C" w:rsidRPr="009C2E54" w:rsidRDefault="0084476C" w:rsidP="0084476C">
      <w:pPr>
        <w:pStyle w:val="Textonotapie"/>
        <w:jc w:val="both"/>
        <w:rPr>
          <w:rFonts w:ascii="Verdana" w:hAnsi="Verdana"/>
          <w:sz w:val="16"/>
          <w:szCs w:val="16"/>
          <w:lang w:val="es-CO"/>
        </w:rPr>
      </w:pPr>
      <w:r w:rsidRPr="009C2E54">
        <w:rPr>
          <w:rFonts w:ascii="Verdana" w:hAnsi="Verdana"/>
          <w:sz w:val="16"/>
          <w:szCs w:val="16"/>
          <w:lang w:val="es-CO"/>
        </w:rPr>
        <w:t xml:space="preserve">[…] </w:t>
      </w:r>
    </w:p>
    <w:p w14:paraId="03859E22" w14:textId="77777777" w:rsidR="0084476C" w:rsidRPr="009C2E54" w:rsidRDefault="0084476C" w:rsidP="0084476C">
      <w:pPr>
        <w:pStyle w:val="Textonotapie"/>
        <w:jc w:val="both"/>
        <w:rPr>
          <w:rFonts w:ascii="Verdana" w:hAnsi="Verdana"/>
          <w:sz w:val="16"/>
          <w:szCs w:val="16"/>
          <w:lang w:val="es-CO"/>
        </w:rPr>
      </w:pPr>
    </w:p>
    <w:p w14:paraId="381041DD" w14:textId="77777777" w:rsidR="0084476C" w:rsidRPr="009C2E54" w:rsidRDefault="0084476C" w:rsidP="0084476C">
      <w:pPr>
        <w:pStyle w:val="Textonotapie"/>
        <w:ind w:firstLine="708"/>
        <w:jc w:val="both"/>
        <w:rPr>
          <w:rFonts w:ascii="Verdana" w:hAnsi="Verdana"/>
          <w:sz w:val="16"/>
          <w:szCs w:val="16"/>
          <w:lang w:val="es-CO"/>
        </w:rPr>
      </w:pPr>
      <w:r w:rsidRPr="009C2E54">
        <w:rPr>
          <w:rFonts w:ascii="Verdana" w:hAnsi="Verdana"/>
          <w:sz w:val="16"/>
          <w:szCs w:val="16"/>
          <w:lang w:val="es-CO"/>
        </w:rPr>
        <w:t>“Así las cosas, encuentra la Sala que se cumplen los criterios determinados por la Corporación para proceder al amparo de los derechos fundamentales de la contratista: (i) existió una relación de prestación de servicios entre las partes; (</w:t>
      </w:r>
      <w:proofErr w:type="spellStart"/>
      <w:r w:rsidRPr="009C2E54">
        <w:rPr>
          <w:rFonts w:ascii="Verdana" w:hAnsi="Verdana"/>
          <w:sz w:val="16"/>
          <w:szCs w:val="16"/>
          <w:lang w:val="es-CO"/>
        </w:rPr>
        <w:t>ii</w:t>
      </w:r>
      <w:proofErr w:type="spellEnd"/>
      <w:r w:rsidRPr="009C2E54">
        <w:rPr>
          <w:rFonts w:ascii="Verdana" w:hAnsi="Verdana"/>
          <w:sz w:val="16"/>
          <w:szCs w:val="16"/>
          <w:lang w:val="es-CO"/>
        </w:rPr>
        <w:t>) la accionante se encontraba en estado de embarazo y dicha situación fue informada a la accionada en el mes de noviembre de 2016, y (</w:t>
      </w:r>
      <w:proofErr w:type="spellStart"/>
      <w:r w:rsidRPr="009C2E54">
        <w:rPr>
          <w:rFonts w:ascii="Verdana" w:hAnsi="Verdana"/>
          <w:sz w:val="16"/>
          <w:szCs w:val="16"/>
          <w:lang w:val="es-CO"/>
        </w:rPr>
        <w:t>iii</w:t>
      </w:r>
      <w:proofErr w:type="spellEnd"/>
      <w:r w:rsidRPr="009C2E54">
        <w:rPr>
          <w:rFonts w:ascii="Verdana" w:hAnsi="Verdana"/>
          <w:sz w:val="16"/>
          <w:szCs w:val="16"/>
          <w:lang w:val="es-CO"/>
        </w:rPr>
        <w:t>) a pocos días de conocerse el estado de gestación de la peticionaria, la relación contractual que había sido continua durante ocho (8) meses aproximadamente, se terminó por decisión de la parte contratante y sin que mediara autorización del inspector del trabajo, requisito necesario en el presente caso concreto, aun cuando se trate de un contrato de prestación de servicios, pues el amparo constitucional de la estabilidad laboral reforzada de las mujeres embarazadas también es aplicable a este tipo de vinculación contractual, acudiendo a la asimilación de estas alternativas a una relación laboral sin condiciones específicas de terminación”.</w:t>
      </w:r>
    </w:p>
  </w:footnote>
  <w:footnote w:id="17">
    <w:p w14:paraId="62BB8803"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Corte Constitucional. Sentencia SU-075 de 2018. M.P: Gloria Stella Ortiz Delgado.</w:t>
      </w:r>
    </w:p>
    <w:p w14:paraId="4F5DB4EE" w14:textId="77777777" w:rsidR="0084476C" w:rsidRPr="009C2E54" w:rsidRDefault="0084476C" w:rsidP="0084476C">
      <w:pPr>
        <w:pStyle w:val="Textonotapie"/>
        <w:ind w:firstLine="708"/>
        <w:jc w:val="both"/>
        <w:rPr>
          <w:rFonts w:ascii="Verdana" w:hAnsi="Verdana"/>
          <w:sz w:val="16"/>
          <w:szCs w:val="16"/>
        </w:rPr>
      </w:pPr>
    </w:p>
  </w:footnote>
  <w:footnote w:id="18">
    <w:p w14:paraId="58F2E022"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Corte Constitucional. Sentencia T-350 del 2016. M.P: María Victoria Calle Correa.</w:t>
      </w:r>
    </w:p>
    <w:p w14:paraId="788D51BD" w14:textId="77777777" w:rsidR="0084476C" w:rsidRPr="009C2E54" w:rsidRDefault="0084476C" w:rsidP="0084476C">
      <w:pPr>
        <w:pStyle w:val="Textonotapie"/>
        <w:ind w:firstLine="708"/>
        <w:jc w:val="both"/>
        <w:rPr>
          <w:rFonts w:ascii="Verdana" w:hAnsi="Verdana"/>
          <w:sz w:val="16"/>
          <w:szCs w:val="16"/>
        </w:rPr>
      </w:pPr>
    </w:p>
  </w:footnote>
  <w:footnote w:id="19">
    <w:p w14:paraId="6085B43F" w14:textId="77777777" w:rsidR="0084476C" w:rsidRPr="009C2E54" w:rsidRDefault="0084476C" w:rsidP="0084476C">
      <w:pPr>
        <w:pStyle w:val="Textonotapie"/>
        <w:ind w:firstLine="709"/>
        <w:jc w:val="both"/>
        <w:rPr>
          <w:rFonts w:ascii="Verdana" w:hAnsi="Verdana"/>
          <w:sz w:val="16"/>
          <w:szCs w:val="16"/>
          <w:lang w:val="es-ES"/>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ES"/>
        </w:rPr>
        <w:t xml:space="preserve">Corte Constitucional. Sentencia T-030 de 2018. M.P: </w:t>
      </w:r>
      <w:r w:rsidRPr="009C2E54">
        <w:rPr>
          <w:rFonts w:ascii="Verdana" w:hAnsi="Verdana"/>
          <w:sz w:val="16"/>
          <w:szCs w:val="16"/>
          <w:lang w:val="es-CO"/>
        </w:rPr>
        <w:t>José Fernando Reyes Cuartas.</w:t>
      </w:r>
    </w:p>
    <w:p w14:paraId="0460C702" w14:textId="77777777" w:rsidR="0084476C" w:rsidRPr="009C2E54" w:rsidRDefault="0084476C" w:rsidP="0084476C">
      <w:pPr>
        <w:pStyle w:val="Textonotapie"/>
        <w:jc w:val="both"/>
        <w:rPr>
          <w:rFonts w:ascii="Verdana" w:hAnsi="Verdana"/>
          <w:sz w:val="16"/>
          <w:szCs w:val="16"/>
        </w:rPr>
      </w:pPr>
    </w:p>
  </w:footnote>
  <w:footnote w:id="20">
    <w:p w14:paraId="0FBF3D58" w14:textId="77777777" w:rsidR="0084476C" w:rsidRPr="009C2E54" w:rsidRDefault="0084476C" w:rsidP="0084476C">
      <w:pPr>
        <w:pStyle w:val="Textonotapie"/>
        <w:ind w:firstLine="708"/>
        <w:jc w:val="both"/>
        <w:rPr>
          <w:rFonts w:ascii="Verdana" w:hAnsi="Verdana"/>
          <w:sz w:val="16"/>
          <w:szCs w:val="16"/>
        </w:rPr>
      </w:pPr>
      <w:r w:rsidRPr="009C2E54">
        <w:rPr>
          <w:rStyle w:val="Refdenotaalpie"/>
          <w:rFonts w:ascii="Verdana" w:hAnsi="Verdana"/>
          <w:sz w:val="16"/>
          <w:szCs w:val="16"/>
        </w:rPr>
        <w:footnoteRef/>
      </w:r>
      <w:r w:rsidRPr="009C2E54">
        <w:rPr>
          <w:rFonts w:ascii="Verdana" w:hAnsi="Verdana"/>
          <w:sz w:val="16"/>
          <w:szCs w:val="16"/>
        </w:rPr>
        <w:t xml:space="preserve"> Corte Constitucional. Sentencia SU-075 de 2018. M.P: Gloria Stella Ortiz Delgado.</w:t>
      </w:r>
    </w:p>
  </w:footnote>
  <w:footnote w:id="21">
    <w:p w14:paraId="36A1137D"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Corte Constitucional. Sentencia T-329 del 19 de septiembre de 2022. M.P: Natalia Ángel Cabo.</w:t>
      </w:r>
    </w:p>
    <w:p w14:paraId="5C7576EE" w14:textId="77777777" w:rsidR="0084476C" w:rsidRPr="009C2E54" w:rsidRDefault="0084476C" w:rsidP="0084476C">
      <w:pPr>
        <w:pStyle w:val="Textonotapie"/>
        <w:ind w:firstLine="708"/>
        <w:jc w:val="both"/>
        <w:rPr>
          <w:rFonts w:ascii="Verdana" w:hAnsi="Verdana"/>
          <w:sz w:val="16"/>
          <w:szCs w:val="16"/>
        </w:rPr>
      </w:pPr>
    </w:p>
  </w:footnote>
  <w:footnote w:id="22">
    <w:p w14:paraId="21605E1B" w14:textId="77777777" w:rsidR="0084476C" w:rsidRDefault="0084476C" w:rsidP="0084476C">
      <w:pPr>
        <w:pStyle w:val="Textonotapie"/>
        <w:ind w:firstLine="709"/>
        <w:jc w:val="both"/>
        <w:rPr>
          <w:rFonts w:ascii="Verdana" w:hAnsi="Verdana"/>
          <w:spacing w:val="-2"/>
          <w:sz w:val="16"/>
          <w:szCs w:val="16"/>
          <w:lang w:val="es-CO"/>
        </w:rPr>
      </w:pPr>
      <w:r w:rsidRPr="009C2E54">
        <w:rPr>
          <w:rStyle w:val="Refdenotaalpie"/>
          <w:rFonts w:ascii="Verdana" w:hAnsi="Verdana"/>
          <w:sz w:val="16"/>
          <w:szCs w:val="16"/>
          <w:lang w:val="es-CO"/>
        </w:rPr>
        <w:footnoteRef/>
      </w:r>
      <w:r w:rsidRPr="009C2E54">
        <w:rPr>
          <w:rFonts w:ascii="Verdana" w:hAnsi="Verdana"/>
          <w:sz w:val="16"/>
          <w:szCs w:val="16"/>
          <w:lang w:val="es-CO"/>
        </w:rPr>
        <w:t xml:space="preserve"> Sentencia</w:t>
      </w:r>
      <w:r w:rsidRPr="009C2E54">
        <w:rPr>
          <w:rFonts w:ascii="Verdana" w:hAnsi="Verdana"/>
          <w:spacing w:val="-7"/>
          <w:sz w:val="16"/>
          <w:szCs w:val="16"/>
          <w:lang w:val="es-CO"/>
        </w:rPr>
        <w:t xml:space="preserve"> </w:t>
      </w:r>
      <w:r w:rsidRPr="009C2E54">
        <w:rPr>
          <w:rFonts w:ascii="Verdana" w:hAnsi="Verdana"/>
          <w:sz w:val="16"/>
          <w:szCs w:val="16"/>
          <w:lang w:val="es-CO"/>
        </w:rPr>
        <w:t>SU-070</w:t>
      </w:r>
      <w:r w:rsidRPr="009C2E54">
        <w:rPr>
          <w:rFonts w:ascii="Verdana" w:hAnsi="Verdana"/>
          <w:spacing w:val="-8"/>
          <w:sz w:val="16"/>
          <w:szCs w:val="16"/>
          <w:lang w:val="es-CO"/>
        </w:rPr>
        <w:t xml:space="preserve"> </w:t>
      </w:r>
      <w:r w:rsidRPr="009C2E54">
        <w:rPr>
          <w:rFonts w:ascii="Verdana" w:hAnsi="Verdana"/>
          <w:sz w:val="16"/>
          <w:szCs w:val="16"/>
          <w:lang w:val="es-CO"/>
        </w:rPr>
        <w:t>de</w:t>
      </w:r>
      <w:r w:rsidRPr="009C2E54">
        <w:rPr>
          <w:rFonts w:ascii="Verdana" w:hAnsi="Verdana"/>
          <w:spacing w:val="-7"/>
          <w:sz w:val="16"/>
          <w:szCs w:val="16"/>
          <w:lang w:val="es-CO"/>
        </w:rPr>
        <w:t xml:space="preserve"> </w:t>
      </w:r>
      <w:r w:rsidRPr="009C2E54">
        <w:rPr>
          <w:rFonts w:ascii="Verdana" w:hAnsi="Verdana"/>
          <w:sz w:val="16"/>
          <w:szCs w:val="16"/>
          <w:lang w:val="es-CO"/>
        </w:rPr>
        <w:t>2013.</w:t>
      </w:r>
      <w:r w:rsidRPr="009C2E54">
        <w:rPr>
          <w:rFonts w:ascii="Verdana" w:hAnsi="Verdana"/>
          <w:spacing w:val="-7"/>
          <w:sz w:val="16"/>
          <w:szCs w:val="16"/>
          <w:lang w:val="es-CO"/>
        </w:rPr>
        <w:t xml:space="preserve"> </w:t>
      </w:r>
      <w:r w:rsidRPr="009C2E54">
        <w:rPr>
          <w:rFonts w:ascii="Verdana" w:hAnsi="Verdana"/>
          <w:sz w:val="16"/>
          <w:szCs w:val="16"/>
          <w:lang w:val="es-CO"/>
        </w:rPr>
        <w:t>Fund.</w:t>
      </w:r>
      <w:r w:rsidRPr="009C2E54">
        <w:rPr>
          <w:rFonts w:ascii="Verdana" w:hAnsi="Verdana"/>
          <w:spacing w:val="-8"/>
          <w:sz w:val="16"/>
          <w:szCs w:val="16"/>
          <w:lang w:val="es-CO"/>
        </w:rPr>
        <w:t xml:space="preserve"> </w:t>
      </w:r>
      <w:r w:rsidRPr="009C2E54">
        <w:rPr>
          <w:rFonts w:ascii="Verdana" w:hAnsi="Verdana"/>
          <w:sz w:val="16"/>
          <w:szCs w:val="16"/>
          <w:lang w:val="es-CO"/>
        </w:rPr>
        <w:t>6.</w:t>
      </w:r>
      <w:r w:rsidRPr="009C2E54">
        <w:rPr>
          <w:rFonts w:ascii="Verdana" w:hAnsi="Verdana"/>
          <w:spacing w:val="-7"/>
          <w:sz w:val="16"/>
          <w:szCs w:val="16"/>
          <w:lang w:val="es-CO"/>
        </w:rPr>
        <w:t xml:space="preserve"> </w:t>
      </w:r>
      <w:r w:rsidRPr="009C2E54">
        <w:rPr>
          <w:rFonts w:ascii="Verdana" w:hAnsi="Verdana"/>
          <w:sz w:val="16"/>
          <w:szCs w:val="16"/>
          <w:lang w:val="es-CO"/>
        </w:rPr>
        <w:t>Reiterado</w:t>
      </w:r>
      <w:r w:rsidRPr="009C2E54">
        <w:rPr>
          <w:rFonts w:ascii="Verdana" w:hAnsi="Verdana"/>
          <w:spacing w:val="-7"/>
          <w:sz w:val="16"/>
          <w:szCs w:val="16"/>
          <w:lang w:val="es-CO"/>
        </w:rPr>
        <w:t xml:space="preserve"> </w:t>
      </w:r>
      <w:r w:rsidRPr="009C2E54">
        <w:rPr>
          <w:rFonts w:ascii="Verdana" w:hAnsi="Verdana"/>
          <w:sz w:val="16"/>
          <w:szCs w:val="16"/>
          <w:lang w:val="es-CO"/>
        </w:rPr>
        <w:t>en</w:t>
      </w:r>
      <w:r w:rsidRPr="009C2E54">
        <w:rPr>
          <w:rFonts w:ascii="Verdana" w:hAnsi="Verdana"/>
          <w:spacing w:val="-8"/>
          <w:sz w:val="16"/>
          <w:szCs w:val="16"/>
          <w:lang w:val="es-CO"/>
        </w:rPr>
        <w:t xml:space="preserve"> </w:t>
      </w:r>
      <w:r w:rsidRPr="009C2E54">
        <w:rPr>
          <w:rFonts w:ascii="Verdana" w:hAnsi="Verdana"/>
          <w:sz w:val="16"/>
          <w:szCs w:val="16"/>
          <w:lang w:val="es-CO"/>
        </w:rPr>
        <w:t>las</w:t>
      </w:r>
      <w:r w:rsidRPr="009C2E54">
        <w:rPr>
          <w:rFonts w:ascii="Verdana" w:hAnsi="Verdana"/>
          <w:spacing w:val="1"/>
          <w:sz w:val="16"/>
          <w:szCs w:val="16"/>
          <w:lang w:val="es-CO"/>
        </w:rPr>
        <w:t xml:space="preserve"> </w:t>
      </w:r>
      <w:r w:rsidRPr="009C2E54">
        <w:rPr>
          <w:rFonts w:ascii="Verdana" w:hAnsi="Verdana"/>
          <w:sz w:val="16"/>
          <w:szCs w:val="16"/>
          <w:lang w:val="es-CO"/>
        </w:rPr>
        <w:t>sentencias</w:t>
      </w:r>
      <w:r w:rsidRPr="009C2E54">
        <w:rPr>
          <w:rFonts w:ascii="Verdana" w:hAnsi="Verdana"/>
          <w:spacing w:val="-7"/>
          <w:sz w:val="16"/>
          <w:szCs w:val="16"/>
          <w:lang w:val="es-CO"/>
        </w:rPr>
        <w:t xml:space="preserve"> </w:t>
      </w:r>
      <w:r w:rsidRPr="009C2E54">
        <w:rPr>
          <w:rFonts w:ascii="Verdana" w:hAnsi="Verdana"/>
          <w:sz w:val="16"/>
          <w:szCs w:val="16"/>
          <w:lang w:val="es-CO"/>
        </w:rPr>
        <w:t>SU-040</w:t>
      </w:r>
      <w:r w:rsidRPr="009C2E54">
        <w:rPr>
          <w:rFonts w:ascii="Verdana" w:hAnsi="Verdana"/>
          <w:spacing w:val="-7"/>
          <w:sz w:val="16"/>
          <w:szCs w:val="16"/>
          <w:lang w:val="es-CO"/>
        </w:rPr>
        <w:t xml:space="preserve"> </w:t>
      </w:r>
      <w:r w:rsidRPr="009C2E54">
        <w:rPr>
          <w:rFonts w:ascii="Verdana" w:hAnsi="Verdana"/>
          <w:sz w:val="16"/>
          <w:szCs w:val="16"/>
          <w:lang w:val="es-CO"/>
        </w:rPr>
        <w:t>de</w:t>
      </w:r>
      <w:r w:rsidRPr="009C2E54">
        <w:rPr>
          <w:rFonts w:ascii="Verdana" w:hAnsi="Verdana"/>
          <w:spacing w:val="-8"/>
          <w:sz w:val="16"/>
          <w:szCs w:val="16"/>
          <w:lang w:val="es-CO"/>
        </w:rPr>
        <w:t xml:space="preserve"> </w:t>
      </w:r>
      <w:r w:rsidRPr="009C2E54">
        <w:rPr>
          <w:rFonts w:ascii="Verdana" w:hAnsi="Verdana"/>
          <w:sz w:val="16"/>
          <w:szCs w:val="16"/>
          <w:lang w:val="es-CO"/>
        </w:rPr>
        <w:t>2018</w:t>
      </w:r>
      <w:r w:rsidRPr="009C2E54">
        <w:rPr>
          <w:rFonts w:ascii="Verdana" w:hAnsi="Verdana"/>
          <w:spacing w:val="-7"/>
          <w:sz w:val="16"/>
          <w:szCs w:val="16"/>
          <w:lang w:val="es-CO"/>
        </w:rPr>
        <w:t xml:space="preserve"> </w:t>
      </w:r>
      <w:r w:rsidRPr="009C2E54">
        <w:rPr>
          <w:rFonts w:ascii="Verdana" w:hAnsi="Verdana"/>
          <w:sz w:val="16"/>
          <w:szCs w:val="16"/>
          <w:lang w:val="es-CO"/>
        </w:rPr>
        <w:t>y</w:t>
      </w:r>
      <w:r w:rsidRPr="009C2E54">
        <w:rPr>
          <w:rFonts w:ascii="Verdana" w:hAnsi="Verdana"/>
          <w:spacing w:val="-7"/>
          <w:sz w:val="16"/>
          <w:szCs w:val="16"/>
          <w:lang w:val="es-CO"/>
        </w:rPr>
        <w:t xml:space="preserve"> </w:t>
      </w:r>
      <w:r w:rsidRPr="009C2E54">
        <w:rPr>
          <w:rFonts w:ascii="Verdana" w:hAnsi="Verdana"/>
          <w:sz w:val="16"/>
          <w:szCs w:val="16"/>
          <w:lang w:val="es-CO"/>
        </w:rPr>
        <w:t>SU-075</w:t>
      </w:r>
      <w:r w:rsidRPr="009C2E54">
        <w:rPr>
          <w:rFonts w:ascii="Verdana" w:hAnsi="Verdana"/>
          <w:spacing w:val="-8"/>
          <w:sz w:val="16"/>
          <w:szCs w:val="16"/>
          <w:lang w:val="es-CO"/>
        </w:rPr>
        <w:t xml:space="preserve"> </w:t>
      </w:r>
      <w:r w:rsidRPr="009C2E54">
        <w:rPr>
          <w:rFonts w:ascii="Verdana" w:hAnsi="Verdana"/>
          <w:sz w:val="16"/>
          <w:szCs w:val="16"/>
          <w:lang w:val="es-CO"/>
        </w:rPr>
        <w:t>de</w:t>
      </w:r>
      <w:r w:rsidRPr="009C2E54">
        <w:rPr>
          <w:rFonts w:ascii="Verdana" w:hAnsi="Verdana"/>
          <w:spacing w:val="-7"/>
          <w:sz w:val="16"/>
          <w:szCs w:val="16"/>
          <w:lang w:val="es-CO"/>
        </w:rPr>
        <w:t xml:space="preserve"> </w:t>
      </w:r>
      <w:r w:rsidRPr="009C2E54">
        <w:rPr>
          <w:rFonts w:ascii="Verdana" w:hAnsi="Verdana"/>
          <w:spacing w:val="-2"/>
          <w:sz w:val="16"/>
          <w:szCs w:val="16"/>
          <w:lang w:val="es-CO"/>
        </w:rPr>
        <w:t>2018.</w:t>
      </w:r>
    </w:p>
    <w:p w14:paraId="0906FCE4" w14:textId="77777777" w:rsidR="0084476C" w:rsidRPr="009C2E54" w:rsidRDefault="0084476C" w:rsidP="0084476C">
      <w:pPr>
        <w:pStyle w:val="Textonotapie"/>
        <w:ind w:firstLine="709"/>
        <w:jc w:val="both"/>
        <w:rPr>
          <w:rFonts w:ascii="Verdana" w:hAnsi="Verdana"/>
          <w:spacing w:val="-2"/>
          <w:sz w:val="16"/>
          <w:szCs w:val="16"/>
          <w:lang w:val="es-CO"/>
        </w:rPr>
      </w:pPr>
    </w:p>
  </w:footnote>
  <w:footnote w:id="23">
    <w:p w14:paraId="6C206A74" w14:textId="77777777" w:rsidR="0084476C" w:rsidRDefault="0084476C" w:rsidP="0084476C">
      <w:pPr>
        <w:pStyle w:val="Textonotapie"/>
        <w:ind w:firstLine="709"/>
        <w:jc w:val="both"/>
        <w:rPr>
          <w:rFonts w:ascii="Verdana" w:hAnsi="Verdana"/>
          <w:sz w:val="16"/>
          <w:szCs w:val="16"/>
          <w:lang w:val="es-CO"/>
        </w:rPr>
      </w:pPr>
      <w:r w:rsidRPr="009C2E54">
        <w:rPr>
          <w:rStyle w:val="Refdenotaalpie"/>
          <w:rFonts w:ascii="Verdana" w:hAnsi="Verdana"/>
          <w:sz w:val="16"/>
          <w:szCs w:val="16"/>
          <w:lang w:val="es-CO"/>
        </w:rPr>
        <w:footnoteRef/>
      </w:r>
      <w:r w:rsidRPr="009C2E54">
        <w:rPr>
          <w:rFonts w:ascii="Verdana" w:hAnsi="Verdana"/>
          <w:sz w:val="16"/>
          <w:szCs w:val="16"/>
          <w:lang w:val="es-CO"/>
        </w:rPr>
        <w:t xml:space="preserve"> Esta indemnización se ha reconocido en contratos de prestación de servicios, entre otras las sentencias T-564 de 2017, T -316 de 2016, T-102 de 2016 y T-346 de 2013. </w:t>
      </w:r>
    </w:p>
    <w:p w14:paraId="32A0C3C0" w14:textId="77777777" w:rsidR="0084476C" w:rsidRPr="009C2E54" w:rsidRDefault="0084476C" w:rsidP="0084476C">
      <w:pPr>
        <w:pStyle w:val="Textonotapie"/>
        <w:ind w:firstLine="709"/>
        <w:jc w:val="both"/>
        <w:rPr>
          <w:rFonts w:ascii="Verdana" w:hAnsi="Verdana"/>
          <w:sz w:val="16"/>
          <w:szCs w:val="16"/>
          <w:lang w:val="es-CO"/>
        </w:rPr>
      </w:pPr>
    </w:p>
  </w:footnote>
  <w:footnote w:id="24">
    <w:p w14:paraId="5C826DE5" w14:textId="77777777" w:rsidR="0084476C" w:rsidRDefault="0084476C" w:rsidP="0084476C">
      <w:pPr>
        <w:pStyle w:val="Textonotapie"/>
        <w:ind w:firstLine="709"/>
        <w:jc w:val="both"/>
        <w:rPr>
          <w:rFonts w:ascii="Verdana" w:hAnsi="Verdana"/>
          <w:sz w:val="16"/>
          <w:szCs w:val="16"/>
          <w:lang w:val="es-CO"/>
        </w:rPr>
      </w:pPr>
      <w:r w:rsidRPr="009C2E54">
        <w:rPr>
          <w:rStyle w:val="Refdenotaalpie"/>
          <w:rFonts w:ascii="Verdana" w:hAnsi="Verdana"/>
          <w:sz w:val="16"/>
          <w:szCs w:val="16"/>
          <w:lang w:val="es-CO"/>
        </w:rPr>
        <w:footnoteRef/>
      </w:r>
      <w:r w:rsidRPr="009C2E54">
        <w:rPr>
          <w:rFonts w:ascii="Verdana" w:hAnsi="Verdana"/>
          <w:sz w:val="16"/>
          <w:szCs w:val="16"/>
          <w:lang w:val="es-CO"/>
        </w:rPr>
        <w:t xml:space="preserve"> En las sentencias T-238 de 2015 y T-350 de 2016 la Corte Constitucional determinó que no procede el pago de la licencia de maternidad cuando en el caso se observe que la licencia de maternidad ya fue disfrutada.</w:t>
      </w:r>
    </w:p>
    <w:p w14:paraId="12BEDF88" w14:textId="77777777" w:rsidR="0084476C" w:rsidRPr="009C2E54" w:rsidRDefault="0084476C" w:rsidP="0084476C">
      <w:pPr>
        <w:pStyle w:val="Textonotapie"/>
        <w:ind w:firstLine="709"/>
        <w:jc w:val="both"/>
        <w:rPr>
          <w:rFonts w:ascii="Verdana" w:hAnsi="Verdana"/>
          <w:sz w:val="16"/>
          <w:szCs w:val="16"/>
          <w:lang w:val="es-CO"/>
        </w:rPr>
      </w:pPr>
    </w:p>
  </w:footnote>
  <w:footnote w:id="25">
    <w:p w14:paraId="3F92291E" w14:textId="77777777" w:rsidR="0084476C" w:rsidRDefault="0084476C" w:rsidP="0084476C">
      <w:pPr>
        <w:pStyle w:val="Textonotapie"/>
        <w:ind w:firstLine="709"/>
        <w:jc w:val="both"/>
        <w:rPr>
          <w:rFonts w:ascii="Verdana" w:hAnsi="Verdana"/>
          <w:sz w:val="16"/>
          <w:szCs w:val="16"/>
          <w:lang w:val="es-CO"/>
        </w:rPr>
      </w:pPr>
      <w:r w:rsidRPr="009C2E54">
        <w:rPr>
          <w:rStyle w:val="Refdenotaalpie"/>
          <w:rFonts w:ascii="Verdana" w:hAnsi="Verdana"/>
          <w:sz w:val="16"/>
          <w:szCs w:val="16"/>
          <w:lang w:val="es-CO"/>
        </w:rPr>
        <w:footnoteRef/>
      </w:r>
      <w:r w:rsidRPr="009C2E54">
        <w:rPr>
          <w:rFonts w:ascii="Verdana" w:hAnsi="Verdana"/>
          <w:sz w:val="16"/>
          <w:szCs w:val="16"/>
          <w:lang w:val="es-CO"/>
        </w:rPr>
        <w:t xml:space="preserve"> Esta</w:t>
      </w:r>
      <w:r w:rsidRPr="009C2E54">
        <w:rPr>
          <w:rFonts w:ascii="Verdana" w:hAnsi="Verdana"/>
          <w:spacing w:val="-9"/>
          <w:sz w:val="16"/>
          <w:szCs w:val="16"/>
          <w:lang w:val="es-CO"/>
        </w:rPr>
        <w:t xml:space="preserve"> </w:t>
      </w:r>
      <w:r w:rsidRPr="009C2E54">
        <w:rPr>
          <w:rFonts w:ascii="Verdana" w:hAnsi="Verdana"/>
          <w:sz w:val="16"/>
          <w:szCs w:val="16"/>
          <w:lang w:val="es-CO"/>
        </w:rPr>
        <w:t>media</w:t>
      </w:r>
      <w:r w:rsidRPr="009C2E54">
        <w:rPr>
          <w:rFonts w:ascii="Verdana" w:hAnsi="Verdana"/>
          <w:spacing w:val="-8"/>
          <w:sz w:val="16"/>
          <w:szCs w:val="16"/>
          <w:lang w:val="es-CO"/>
        </w:rPr>
        <w:t xml:space="preserve"> </w:t>
      </w:r>
      <w:r w:rsidRPr="009C2E54">
        <w:rPr>
          <w:rFonts w:ascii="Verdana" w:hAnsi="Verdana"/>
          <w:sz w:val="16"/>
          <w:szCs w:val="16"/>
          <w:lang w:val="es-CO"/>
        </w:rPr>
        <w:t>fue</w:t>
      </w:r>
      <w:r w:rsidRPr="009C2E54">
        <w:rPr>
          <w:rFonts w:ascii="Verdana" w:hAnsi="Verdana"/>
          <w:spacing w:val="-8"/>
          <w:sz w:val="16"/>
          <w:szCs w:val="16"/>
          <w:lang w:val="es-CO"/>
        </w:rPr>
        <w:t xml:space="preserve"> </w:t>
      </w:r>
      <w:r w:rsidRPr="009C2E54">
        <w:rPr>
          <w:rFonts w:ascii="Verdana" w:hAnsi="Verdana"/>
          <w:sz w:val="16"/>
          <w:szCs w:val="16"/>
          <w:lang w:val="es-CO"/>
        </w:rPr>
        <w:t>aplicada</w:t>
      </w:r>
      <w:r w:rsidRPr="009C2E54">
        <w:rPr>
          <w:rFonts w:ascii="Verdana" w:hAnsi="Verdana"/>
          <w:spacing w:val="-8"/>
          <w:sz w:val="16"/>
          <w:szCs w:val="16"/>
          <w:lang w:val="es-CO"/>
        </w:rPr>
        <w:t xml:space="preserve"> </w:t>
      </w:r>
      <w:r w:rsidRPr="009C2E54">
        <w:rPr>
          <w:rFonts w:ascii="Verdana" w:hAnsi="Verdana"/>
          <w:sz w:val="16"/>
          <w:szCs w:val="16"/>
          <w:lang w:val="es-CO"/>
        </w:rPr>
        <w:t>en</w:t>
      </w:r>
      <w:r w:rsidRPr="009C2E54">
        <w:rPr>
          <w:rFonts w:ascii="Verdana" w:hAnsi="Verdana"/>
          <w:spacing w:val="-8"/>
          <w:sz w:val="16"/>
          <w:szCs w:val="16"/>
          <w:lang w:val="es-CO"/>
        </w:rPr>
        <w:t xml:space="preserve"> </w:t>
      </w:r>
      <w:r w:rsidRPr="009C2E54">
        <w:rPr>
          <w:rFonts w:ascii="Verdana" w:hAnsi="Verdana"/>
          <w:sz w:val="16"/>
          <w:szCs w:val="16"/>
          <w:lang w:val="es-CO"/>
        </w:rPr>
        <w:t>la</w:t>
      </w:r>
      <w:r w:rsidRPr="009C2E54">
        <w:rPr>
          <w:rFonts w:ascii="Verdana" w:hAnsi="Verdana"/>
          <w:spacing w:val="-8"/>
          <w:sz w:val="16"/>
          <w:szCs w:val="16"/>
          <w:lang w:val="es-CO"/>
        </w:rPr>
        <w:t xml:space="preserve"> </w:t>
      </w:r>
      <w:r w:rsidRPr="009C2E54">
        <w:rPr>
          <w:rFonts w:ascii="Verdana" w:hAnsi="Verdana"/>
          <w:sz w:val="16"/>
          <w:szCs w:val="16"/>
          <w:lang w:val="es-CO"/>
        </w:rPr>
        <w:t xml:space="preserve">Sentencia de la Corte Constitucional </w:t>
      </w:r>
      <w:r w:rsidRPr="009C2E54">
        <w:rPr>
          <w:rFonts w:ascii="Verdana" w:hAnsi="Verdana"/>
          <w:spacing w:val="-8"/>
          <w:sz w:val="16"/>
          <w:szCs w:val="16"/>
          <w:lang w:val="es-CO"/>
        </w:rPr>
        <w:t>T</w:t>
      </w:r>
      <w:r w:rsidRPr="009C2E54">
        <w:rPr>
          <w:rFonts w:ascii="Verdana" w:hAnsi="Verdana"/>
          <w:sz w:val="16"/>
          <w:szCs w:val="16"/>
          <w:lang w:val="es-CO"/>
        </w:rPr>
        <w:t>-030</w:t>
      </w:r>
      <w:r w:rsidRPr="009C2E54">
        <w:rPr>
          <w:rFonts w:ascii="Verdana" w:hAnsi="Verdana"/>
          <w:spacing w:val="-8"/>
          <w:sz w:val="16"/>
          <w:szCs w:val="16"/>
          <w:lang w:val="es-CO"/>
        </w:rPr>
        <w:t xml:space="preserve"> </w:t>
      </w:r>
      <w:r w:rsidRPr="009C2E54">
        <w:rPr>
          <w:rFonts w:ascii="Verdana" w:hAnsi="Verdana"/>
          <w:sz w:val="16"/>
          <w:szCs w:val="16"/>
          <w:lang w:val="es-CO"/>
        </w:rPr>
        <w:t>de</w:t>
      </w:r>
      <w:r w:rsidRPr="009C2E54">
        <w:rPr>
          <w:rFonts w:ascii="Verdana" w:hAnsi="Verdana"/>
          <w:spacing w:val="-8"/>
          <w:sz w:val="16"/>
          <w:szCs w:val="16"/>
          <w:lang w:val="es-CO"/>
        </w:rPr>
        <w:t xml:space="preserve"> </w:t>
      </w:r>
      <w:r w:rsidRPr="009C2E54">
        <w:rPr>
          <w:rFonts w:ascii="Verdana" w:hAnsi="Verdana"/>
          <w:sz w:val="16"/>
          <w:szCs w:val="16"/>
          <w:lang w:val="es-CO"/>
        </w:rPr>
        <w:t>2018.</w:t>
      </w:r>
    </w:p>
    <w:p w14:paraId="65402D07" w14:textId="77777777" w:rsidR="0084476C" w:rsidRPr="009C2E54" w:rsidRDefault="0084476C" w:rsidP="0084476C">
      <w:pPr>
        <w:pStyle w:val="Textonotapie"/>
        <w:ind w:firstLine="709"/>
        <w:jc w:val="both"/>
        <w:rPr>
          <w:rFonts w:ascii="Verdana" w:hAnsi="Verdana"/>
          <w:sz w:val="16"/>
          <w:szCs w:val="16"/>
          <w:lang w:val="es-CO"/>
        </w:rPr>
      </w:pPr>
    </w:p>
  </w:footnote>
  <w:footnote w:id="26">
    <w:p w14:paraId="6A0C4A2B" w14:textId="77777777" w:rsidR="0084476C" w:rsidRPr="009C2E54" w:rsidRDefault="0084476C" w:rsidP="0084476C">
      <w:pPr>
        <w:pStyle w:val="Textonotapie"/>
        <w:ind w:firstLine="709"/>
        <w:jc w:val="both"/>
        <w:rPr>
          <w:rFonts w:ascii="Verdana" w:hAnsi="Verdana"/>
          <w:sz w:val="16"/>
          <w:szCs w:val="16"/>
          <w:lang w:val="es-CO"/>
        </w:rPr>
      </w:pPr>
      <w:r w:rsidRPr="009C2E54">
        <w:rPr>
          <w:rStyle w:val="Refdenotaalpie"/>
          <w:rFonts w:ascii="Verdana" w:hAnsi="Verdana"/>
          <w:sz w:val="16"/>
          <w:szCs w:val="16"/>
          <w:lang w:val="es-CO"/>
        </w:rPr>
        <w:footnoteRef/>
      </w:r>
      <w:r w:rsidRPr="009C2E54">
        <w:rPr>
          <w:rFonts w:ascii="Verdana" w:hAnsi="Verdana"/>
          <w:sz w:val="16"/>
          <w:szCs w:val="16"/>
          <w:lang w:val="es-CO"/>
        </w:rPr>
        <w:t xml:space="preserve"> En algunas oportunidades las salas de revisión han reconocido el pago de las prestaciones en materia de seguridad social en salud como en la sentencia T-305 de 2020. M.P: Alberto Rojas Ríos. </w:t>
      </w:r>
    </w:p>
  </w:footnote>
  <w:footnote w:id="27">
    <w:p w14:paraId="748651A6" w14:textId="77777777" w:rsidR="0084476C" w:rsidRPr="009C2E54" w:rsidRDefault="0084476C" w:rsidP="0084476C">
      <w:pPr>
        <w:pStyle w:val="Textonotapie"/>
        <w:ind w:firstLine="708"/>
        <w:jc w:val="both"/>
        <w:rPr>
          <w:rFonts w:ascii="Verdana" w:hAnsi="Verdana"/>
          <w:sz w:val="16"/>
          <w:szCs w:val="16"/>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Corte Constitucional. Sentencia T-014 de 2026.</w:t>
      </w:r>
    </w:p>
  </w:footnote>
  <w:footnote w:id="28">
    <w:p w14:paraId="5FF73B13" w14:textId="77777777" w:rsidR="0084476C" w:rsidRPr="009C2E54"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Corte Constitucional, Sentencia C-118 de 2020. Ver también, Sentencias T-438 de 2020, SU-075 de 2018, y SU-070 de 2013.</w:t>
      </w:r>
    </w:p>
  </w:footnote>
  <w:footnote w:id="29">
    <w:p w14:paraId="2AA225CA" w14:textId="77777777" w:rsidR="0084476C" w:rsidRPr="009C2E54" w:rsidRDefault="0084476C" w:rsidP="0084476C">
      <w:pPr>
        <w:pStyle w:val="Textonotapie"/>
        <w:ind w:firstLine="708"/>
        <w:jc w:val="both"/>
        <w:rPr>
          <w:rFonts w:ascii="Verdana" w:hAnsi="Verdana"/>
          <w:sz w:val="16"/>
          <w:szCs w:val="16"/>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 xml:space="preserve">Al respecto, el numeral 2º del citado artículo 239 establece que “[s]e presume el despido efectuado por motivo de embarazo o lactancia, cuando este haya tenido lugar dentro del período de embarazo y/o dentro de las dieciocho (18) semanas posteriores al parto”. Por su parte, el artículo 240 consagra que “[p]ara poder despedir a una trabajadora durante el período de embarazo o las dieciocho (18) semanas posteriores al parto, el empleador necesita la autorización del Inspector del Trabajo, o del </w:t>
      </w:r>
      <w:proofErr w:type="gramStart"/>
      <w:r w:rsidRPr="009C2E54">
        <w:rPr>
          <w:rFonts w:ascii="Verdana" w:hAnsi="Verdana"/>
          <w:sz w:val="16"/>
          <w:szCs w:val="16"/>
          <w:lang w:val="es-CO"/>
        </w:rPr>
        <w:t>Alcalde</w:t>
      </w:r>
      <w:proofErr w:type="gramEnd"/>
      <w:r w:rsidRPr="009C2E54">
        <w:rPr>
          <w:rFonts w:ascii="Verdana" w:hAnsi="Verdana"/>
          <w:sz w:val="16"/>
          <w:szCs w:val="16"/>
          <w:lang w:val="es-CO"/>
        </w:rPr>
        <w:t xml:space="preserve"> Municipal en los lugares donde no existiere aquel funcionario […]”</w:t>
      </w:r>
    </w:p>
  </w:footnote>
  <w:footnote w:id="30">
    <w:p w14:paraId="299080B7" w14:textId="77777777" w:rsidR="0084476C" w:rsidRDefault="0084476C" w:rsidP="0084476C">
      <w:pPr>
        <w:pStyle w:val="Textonotapie"/>
        <w:ind w:firstLine="708"/>
        <w:jc w:val="both"/>
        <w:rPr>
          <w:rFonts w:ascii="Verdana" w:hAnsi="Verdana"/>
          <w:sz w:val="16"/>
          <w:szCs w:val="16"/>
          <w:lang w:val="es-CO"/>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Corte Constitucional. Sentencia T-014-2026.</w:t>
      </w:r>
    </w:p>
    <w:p w14:paraId="27A6A727" w14:textId="77777777" w:rsidR="0084476C" w:rsidRPr="009C2E54" w:rsidRDefault="0084476C" w:rsidP="0084476C">
      <w:pPr>
        <w:pStyle w:val="Textonotapie"/>
        <w:ind w:firstLine="708"/>
        <w:jc w:val="both"/>
        <w:rPr>
          <w:rFonts w:ascii="Verdana" w:hAnsi="Verdana"/>
          <w:sz w:val="16"/>
          <w:szCs w:val="16"/>
        </w:rPr>
      </w:pPr>
    </w:p>
  </w:footnote>
  <w:footnote w:id="31">
    <w:p w14:paraId="3F673F43" w14:textId="77777777" w:rsidR="0084476C" w:rsidRPr="009C2E54" w:rsidRDefault="0084476C" w:rsidP="0084476C">
      <w:pPr>
        <w:pStyle w:val="Textonotapie"/>
        <w:ind w:firstLine="708"/>
        <w:jc w:val="both"/>
        <w:rPr>
          <w:rFonts w:ascii="Verdana" w:hAnsi="Verdana"/>
          <w:sz w:val="16"/>
          <w:szCs w:val="16"/>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La licencia de maternidad es un descanso remunerado que la ley confiere a la mujer que tiene un hijo, el cual aplica tanto para mujeres vinculadas por contrato de trabajo, como a las que están vinculadas por un contrato de prestación de servicios.</w:t>
      </w:r>
    </w:p>
  </w:footnote>
  <w:footnote w:id="32">
    <w:p w14:paraId="76F2BABD" w14:textId="77777777" w:rsidR="0084476C" w:rsidRPr="009C2E54" w:rsidRDefault="0084476C" w:rsidP="0084476C">
      <w:pPr>
        <w:pStyle w:val="Textonotapie"/>
        <w:ind w:firstLine="708"/>
        <w:jc w:val="both"/>
        <w:rPr>
          <w:rFonts w:ascii="Verdana" w:hAnsi="Verdana"/>
          <w:sz w:val="16"/>
          <w:szCs w:val="16"/>
        </w:rPr>
      </w:pPr>
      <w:r w:rsidRPr="009C2E54">
        <w:rPr>
          <w:rStyle w:val="Refdenotaalpie"/>
          <w:rFonts w:ascii="Verdana" w:hAnsi="Verdana"/>
          <w:sz w:val="16"/>
          <w:szCs w:val="16"/>
        </w:rPr>
        <w:footnoteRef/>
      </w:r>
      <w:r w:rsidRPr="009C2E54">
        <w:rPr>
          <w:rFonts w:ascii="Verdana" w:hAnsi="Verdana"/>
          <w:sz w:val="16"/>
          <w:szCs w:val="16"/>
        </w:rPr>
        <w:t xml:space="preserve"> </w:t>
      </w:r>
      <w:r w:rsidRPr="009C2E54">
        <w:rPr>
          <w:rFonts w:ascii="Verdana" w:hAnsi="Verdana"/>
          <w:sz w:val="16"/>
          <w:szCs w:val="16"/>
          <w:lang w:val="es-CO"/>
        </w:rPr>
        <w:t>Ministerio del Trabajo. Concepto 9972 de 5 de marzo de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0BE7546"/>
    <w:multiLevelType w:val="hybridMultilevel"/>
    <w:tmpl w:val="ADC0507C"/>
    <w:lvl w:ilvl="0" w:tplc="1570C1C2">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1" w15:restartNumberingAfterBreak="0">
    <w:nsid w:val="494936A6"/>
    <w:multiLevelType w:val="hybridMultilevel"/>
    <w:tmpl w:val="D730E3DE"/>
    <w:lvl w:ilvl="0" w:tplc="416AD218">
      <w:start w:val="1"/>
      <w:numFmt w:val="decimal"/>
      <w:lvlText w:val="%1."/>
      <w:lvlJc w:val="left"/>
      <w:pPr>
        <w:ind w:left="970" w:hanging="201"/>
      </w:pPr>
      <w:rPr>
        <w:rFonts w:ascii="Verdana" w:eastAsia="Verdana" w:hAnsi="Verdana" w:cs="Verdana" w:hint="default"/>
        <w:b w:val="0"/>
        <w:bCs w:val="0"/>
        <w:i w:val="0"/>
        <w:iCs w:val="0"/>
        <w:spacing w:val="-1"/>
        <w:w w:val="98"/>
        <w:sz w:val="22"/>
        <w:szCs w:val="22"/>
        <w:lang w:val="es-ES" w:eastAsia="en-US" w:bidi="ar-SA"/>
      </w:rPr>
    </w:lvl>
    <w:lvl w:ilvl="1" w:tplc="588ED99A">
      <w:numFmt w:val="bullet"/>
      <w:lvlText w:val="•"/>
      <w:lvlJc w:val="left"/>
      <w:pPr>
        <w:ind w:left="1890" w:hanging="201"/>
      </w:pPr>
      <w:rPr>
        <w:rFonts w:hint="default"/>
        <w:lang w:val="es-ES" w:eastAsia="en-US" w:bidi="ar-SA"/>
      </w:rPr>
    </w:lvl>
    <w:lvl w:ilvl="2" w:tplc="69E86FE8">
      <w:numFmt w:val="bullet"/>
      <w:lvlText w:val="•"/>
      <w:lvlJc w:val="left"/>
      <w:pPr>
        <w:ind w:left="2800" w:hanging="201"/>
      </w:pPr>
      <w:rPr>
        <w:rFonts w:hint="default"/>
        <w:lang w:val="es-ES" w:eastAsia="en-US" w:bidi="ar-SA"/>
      </w:rPr>
    </w:lvl>
    <w:lvl w:ilvl="3" w:tplc="B23ADEB0">
      <w:numFmt w:val="bullet"/>
      <w:lvlText w:val="•"/>
      <w:lvlJc w:val="left"/>
      <w:pPr>
        <w:ind w:left="3710" w:hanging="201"/>
      </w:pPr>
      <w:rPr>
        <w:rFonts w:hint="default"/>
        <w:lang w:val="es-ES" w:eastAsia="en-US" w:bidi="ar-SA"/>
      </w:rPr>
    </w:lvl>
    <w:lvl w:ilvl="4" w:tplc="C9B002AC">
      <w:numFmt w:val="bullet"/>
      <w:lvlText w:val="•"/>
      <w:lvlJc w:val="left"/>
      <w:pPr>
        <w:ind w:left="4620" w:hanging="201"/>
      </w:pPr>
      <w:rPr>
        <w:rFonts w:hint="default"/>
        <w:lang w:val="es-ES" w:eastAsia="en-US" w:bidi="ar-SA"/>
      </w:rPr>
    </w:lvl>
    <w:lvl w:ilvl="5" w:tplc="C0FABD90">
      <w:numFmt w:val="bullet"/>
      <w:lvlText w:val="•"/>
      <w:lvlJc w:val="left"/>
      <w:pPr>
        <w:ind w:left="5530" w:hanging="201"/>
      </w:pPr>
      <w:rPr>
        <w:rFonts w:hint="default"/>
        <w:lang w:val="es-ES" w:eastAsia="en-US" w:bidi="ar-SA"/>
      </w:rPr>
    </w:lvl>
    <w:lvl w:ilvl="6" w:tplc="B49EA4DE">
      <w:numFmt w:val="bullet"/>
      <w:lvlText w:val="•"/>
      <w:lvlJc w:val="left"/>
      <w:pPr>
        <w:ind w:left="6440" w:hanging="201"/>
      </w:pPr>
      <w:rPr>
        <w:rFonts w:hint="default"/>
        <w:lang w:val="es-ES" w:eastAsia="en-US" w:bidi="ar-SA"/>
      </w:rPr>
    </w:lvl>
    <w:lvl w:ilvl="7" w:tplc="89EA7374">
      <w:numFmt w:val="bullet"/>
      <w:lvlText w:val="•"/>
      <w:lvlJc w:val="left"/>
      <w:pPr>
        <w:ind w:left="7350" w:hanging="201"/>
      </w:pPr>
      <w:rPr>
        <w:rFonts w:hint="default"/>
        <w:lang w:val="es-ES" w:eastAsia="en-US" w:bidi="ar-SA"/>
      </w:rPr>
    </w:lvl>
    <w:lvl w:ilvl="8" w:tplc="A9CC812E">
      <w:numFmt w:val="bullet"/>
      <w:lvlText w:val="•"/>
      <w:lvlJc w:val="left"/>
      <w:pPr>
        <w:ind w:left="8260" w:hanging="201"/>
      </w:pPr>
      <w:rPr>
        <w:rFonts w:hint="default"/>
        <w:lang w:val="es-ES" w:eastAsia="en-US" w:bidi="ar-SA"/>
      </w:rPr>
    </w:lvl>
  </w:abstractNum>
  <w:abstractNum w:abstractNumId="12" w15:restartNumberingAfterBreak="0">
    <w:nsid w:val="5CDB15FB"/>
    <w:multiLevelType w:val="hybridMultilevel"/>
    <w:tmpl w:val="C8ACE6BC"/>
    <w:lvl w:ilvl="0" w:tplc="FFFFFFFF">
      <w:start w:val="1"/>
      <w:numFmt w:val="lowerLetter"/>
      <w:lvlText w:val="%1."/>
      <w:lvlJc w:val="left"/>
      <w:pPr>
        <w:ind w:left="360" w:hanging="360"/>
      </w:pPr>
      <w:rPr>
        <w:rFonts w:ascii="Verdana" w:eastAsia="Verdana" w:hAnsi="Verdana" w:cs="Verdana" w:hint="default"/>
        <w:b w:val="0"/>
        <w:bCs w:val="0"/>
        <w:i w:val="0"/>
        <w:iCs w:val="0"/>
        <w:spacing w:val="-1"/>
        <w:w w:val="99"/>
        <w:sz w:val="20"/>
        <w:szCs w:val="20"/>
        <w:lang w:val="es-ES" w:eastAsia="en-US" w:bidi="ar-SA"/>
      </w:rPr>
    </w:lvl>
    <w:lvl w:ilvl="1" w:tplc="FFFFFFFF">
      <w:numFmt w:val="bullet"/>
      <w:lvlText w:val="•"/>
      <w:lvlJc w:val="left"/>
      <w:pPr>
        <w:ind w:left="971" w:hanging="360"/>
      </w:pPr>
      <w:rPr>
        <w:rFonts w:hint="default"/>
        <w:lang w:val="es-ES" w:eastAsia="en-US" w:bidi="ar-SA"/>
      </w:rPr>
    </w:lvl>
    <w:lvl w:ilvl="2" w:tplc="FFFFFFFF">
      <w:numFmt w:val="bullet"/>
      <w:lvlText w:val="•"/>
      <w:lvlJc w:val="left"/>
      <w:pPr>
        <w:ind w:left="1590" w:hanging="360"/>
      </w:pPr>
      <w:rPr>
        <w:rFonts w:hint="default"/>
        <w:lang w:val="es-ES" w:eastAsia="en-US" w:bidi="ar-SA"/>
      </w:rPr>
    </w:lvl>
    <w:lvl w:ilvl="3" w:tplc="FFFFFFFF">
      <w:numFmt w:val="bullet"/>
      <w:lvlText w:val="•"/>
      <w:lvlJc w:val="left"/>
      <w:pPr>
        <w:ind w:left="2209" w:hanging="360"/>
      </w:pPr>
      <w:rPr>
        <w:rFonts w:hint="default"/>
        <w:lang w:val="es-ES" w:eastAsia="en-US" w:bidi="ar-SA"/>
      </w:rPr>
    </w:lvl>
    <w:lvl w:ilvl="4" w:tplc="FFFFFFFF">
      <w:numFmt w:val="bullet"/>
      <w:lvlText w:val="•"/>
      <w:lvlJc w:val="left"/>
      <w:pPr>
        <w:ind w:left="2828" w:hanging="360"/>
      </w:pPr>
      <w:rPr>
        <w:rFonts w:hint="default"/>
        <w:lang w:val="es-ES" w:eastAsia="en-US" w:bidi="ar-SA"/>
      </w:rPr>
    </w:lvl>
    <w:lvl w:ilvl="5" w:tplc="FFFFFFFF">
      <w:numFmt w:val="bullet"/>
      <w:lvlText w:val="•"/>
      <w:lvlJc w:val="left"/>
      <w:pPr>
        <w:ind w:left="3448" w:hanging="360"/>
      </w:pPr>
      <w:rPr>
        <w:rFonts w:hint="default"/>
        <w:lang w:val="es-ES" w:eastAsia="en-US" w:bidi="ar-SA"/>
      </w:rPr>
    </w:lvl>
    <w:lvl w:ilvl="6" w:tplc="FFFFFFFF">
      <w:numFmt w:val="bullet"/>
      <w:lvlText w:val="•"/>
      <w:lvlJc w:val="left"/>
      <w:pPr>
        <w:ind w:left="4067" w:hanging="360"/>
      </w:pPr>
      <w:rPr>
        <w:rFonts w:hint="default"/>
        <w:lang w:val="es-ES" w:eastAsia="en-US" w:bidi="ar-SA"/>
      </w:rPr>
    </w:lvl>
    <w:lvl w:ilvl="7" w:tplc="FFFFFFFF">
      <w:numFmt w:val="bullet"/>
      <w:lvlText w:val="•"/>
      <w:lvlJc w:val="left"/>
      <w:pPr>
        <w:ind w:left="4686" w:hanging="360"/>
      </w:pPr>
      <w:rPr>
        <w:rFonts w:hint="default"/>
        <w:lang w:val="es-ES" w:eastAsia="en-US" w:bidi="ar-SA"/>
      </w:rPr>
    </w:lvl>
    <w:lvl w:ilvl="8" w:tplc="FFFFFFFF">
      <w:numFmt w:val="bullet"/>
      <w:lvlText w:val="•"/>
      <w:lvlJc w:val="left"/>
      <w:pPr>
        <w:ind w:left="5305" w:hanging="360"/>
      </w:pPr>
      <w:rPr>
        <w:rFonts w:hint="default"/>
        <w:lang w:val="es-ES" w:eastAsia="en-US" w:bidi="ar-SA"/>
      </w:rPr>
    </w:lvl>
  </w:abstractNum>
  <w:abstractNum w:abstractNumId="13"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7642455"/>
    <w:multiLevelType w:val="hybridMultilevel"/>
    <w:tmpl w:val="F9CA70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7"/>
  </w:num>
  <w:num w:numId="7" w16cid:durableId="1946422806">
    <w:abstractNumId w:val="5"/>
  </w:num>
  <w:num w:numId="8" w16cid:durableId="152644682">
    <w:abstractNumId w:val="16"/>
  </w:num>
  <w:num w:numId="9" w16cid:durableId="1317221377">
    <w:abstractNumId w:val="7"/>
  </w:num>
  <w:num w:numId="10" w16cid:durableId="1471245386">
    <w:abstractNumId w:val="15"/>
  </w:num>
  <w:num w:numId="11" w16cid:durableId="289172385">
    <w:abstractNumId w:val="8"/>
  </w:num>
  <w:num w:numId="12" w16cid:durableId="1470781324">
    <w:abstractNumId w:val="1"/>
  </w:num>
  <w:num w:numId="13" w16cid:durableId="1512908409">
    <w:abstractNumId w:val="3"/>
  </w:num>
  <w:num w:numId="14" w16cid:durableId="895897244">
    <w:abstractNumId w:val="18"/>
  </w:num>
  <w:num w:numId="15" w16cid:durableId="390349800">
    <w:abstractNumId w:val="13"/>
  </w:num>
  <w:num w:numId="16" w16cid:durableId="341274352">
    <w:abstractNumId w:val="0"/>
  </w:num>
  <w:num w:numId="17" w16cid:durableId="103350507">
    <w:abstractNumId w:val="14"/>
  </w:num>
  <w:num w:numId="18" w16cid:durableId="679089576">
    <w:abstractNumId w:val="9"/>
  </w:num>
  <w:num w:numId="19" w16cid:durableId="536621656">
    <w:abstractNumId w:val="11"/>
  </w:num>
  <w:num w:numId="20" w16cid:durableId="148255080">
    <w:abstractNumId w:val="12"/>
  </w:num>
  <w:num w:numId="21" w16cid:durableId="3092101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304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193A"/>
    <w:rsid w:val="003D5B0D"/>
    <w:rsid w:val="003E0499"/>
    <w:rsid w:val="003E4F80"/>
    <w:rsid w:val="003E6439"/>
    <w:rsid w:val="003F3941"/>
    <w:rsid w:val="00406575"/>
    <w:rsid w:val="00414C74"/>
    <w:rsid w:val="0042722E"/>
    <w:rsid w:val="0044528D"/>
    <w:rsid w:val="00466E39"/>
    <w:rsid w:val="00471797"/>
    <w:rsid w:val="004A1847"/>
    <w:rsid w:val="004A305D"/>
    <w:rsid w:val="004F21C4"/>
    <w:rsid w:val="004F3424"/>
    <w:rsid w:val="004F685F"/>
    <w:rsid w:val="005566E8"/>
    <w:rsid w:val="00574867"/>
    <w:rsid w:val="00591460"/>
    <w:rsid w:val="005A65E0"/>
    <w:rsid w:val="005C3777"/>
    <w:rsid w:val="005C5CDC"/>
    <w:rsid w:val="005D476C"/>
    <w:rsid w:val="006200BF"/>
    <w:rsid w:val="006219F8"/>
    <w:rsid w:val="006302F7"/>
    <w:rsid w:val="00646B9F"/>
    <w:rsid w:val="00665D70"/>
    <w:rsid w:val="00683379"/>
    <w:rsid w:val="006900D9"/>
    <w:rsid w:val="00706C16"/>
    <w:rsid w:val="007340C3"/>
    <w:rsid w:val="007410B1"/>
    <w:rsid w:val="00746E84"/>
    <w:rsid w:val="0075235A"/>
    <w:rsid w:val="00756841"/>
    <w:rsid w:val="007649AB"/>
    <w:rsid w:val="00771D0C"/>
    <w:rsid w:val="007833AC"/>
    <w:rsid w:val="007869E6"/>
    <w:rsid w:val="007B268C"/>
    <w:rsid w:val="007B7171"/>
    <w:rsid w:val="007C0C0F"/>
    <w:rsid w:val="007C3DC2"/>
    <w:rsid w:val="007E5497"/>
    <w:rsid w:val="00806F5F"/>
    <w:rsid w:val="00820278"/>
    <w:rsid w:val="008258C9"/>
    <w:rsid w:val="0084476C"/>
    <w:rsid w:val="00844AE9"/>
    <w:rsid w:val="00867F95"/>
    <w:rsid w:val="00876B79"/>
    <w:rsid w:val="008843B6"/>
    <w:rsid w:val="00891928"/>
    <w:rsid w:val="008A446D"/>
    <w:rsid w:val="008A5F47"/>
    <w:rsid w:val="008B25F1"/>
    <w:rsid w:val="008D180B"/>
    <w:rsid w:val="008F0EA7"/>
    <w:rsid w:val="00923EEF"/>
    <w:rsid w:val="009419F9"/>
    <w:rsid w:val="00950BD9"/>
    <w:rsid w:val="0095685E"/>
    <w:rsid w:val="00961B09"/>
    <w:rsid w:val="00965334"/>
    <w:rsid w:val="0097093E"/>
    <w:rsid w:val="00981338"/>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AC0E63"/>
    <w:rsid w:val="00AF0BFB"/>
    <w:rsid w:val="00B00C0E"/>
    <w:rsid w:val="00B01B1A"/>
    <w:rsid w:val="00B0381D"/>
    <w:rsid w:val="00B44A47"/>
    <w:rsid w:val="00B72CD3"/>
    <w:rsid w:val="00B72FFF"/>
    <w:rsid w:val="00BC3D36"/>
    <w:rsid w:val="00BD54A6"/>
    <w:rsid w:val="00BD7F72"/>
    <w:rsid w:val="00BF4CCD"/>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D7F2D"/>
    <w:rsid w:val="00DF5254"/>
    <w:rsid w:val="00E02524"/>
    <w:rsid w:val="00E1253F"/>
    <w:rsid w:val="00E16408"/>
    <w:rsid w:val="00E20894"/>
    <w:rsid w:val="00E245AB"/>
    <w:rsid w:val="00E2764C"/>
    <w:rsid w:val="00E27EB2"/>
    <w:rsid w:val="00E27F2E"/>
    <w:rsid w:val="00E50AFE"/>
    <w:rsid w:val="00E55F85"/>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B6304"/>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4476C"/>
    <w:rPr>
      <w:rFonts w:ascii="Geomanist Light" w:hAnsi="Geomanist Light"/>
      <w:lang w:val="es-ES"/>
    </w:rPr>
  </w:style>
  <w:style w:type="paragraph" w:customStyle="1" w:styleId="Appelnotedebasde">
    <w:name w:val="Appel note de bas de..."/>
    <w:basedOn w:val="Normal"/>
    <w:link w:val="Refdenotaalpie"/>
    <w:uiPriority w:val="99"/>
    <w:rsid w:val="0084476C"/>
    <w:pPr>
      <w:spacing w:line="240" w:lineRule="exact"/>
    </w:pPr>
    <w:rPr>
      <w:vertAlign w:val="superscript"/>
    </w:rPr>
  </w:style>
  <w:style w:type="table" w:customStyle="1" w:styleId="TableNormal1">
    <w:name w:val="Table Normal1"/>
    <w:uiPriority w:val="2"/>
    <w:semiHidden/>
    <w:unhideWhenUsed/>
    <w:qFormat/>
    <w:rsid w:val="008447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50BD9"/>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950BD9"/>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esperanza.contreras%40colombiacompra.gov.co%7C7128555136e04fa6887d08dee99e1b50%7C7b09041e245149d08cb179d5e3d8c1be%7C0%7C0%7C639205062485036641%7CUnknown%7CTWFpbGZsb3d8eyJFbXB0eU1hcGkiOnRydWUsIlYiOiIwLjAuMDAwMCIsIlAiOiJXaW4zMiIsIkFOIjoiTWFpbCIsIldUIjoyfQ%3D%3D%7C0%7C%7C%7C&amp;sdata=AnypC5I3TGh%2BWml%2BUt7T2E%2FXP7eZzrcFMomcr6q4cfE%3D&amp;reserved=0"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esperanza.contreras%40colombiacompra.gov.co%7C7128555136e04fa6887d08dee99e1b50%7C7b09041e245149d08cb179d5e3d8c1be%7C0%7C0%7C639205062485178807%7CUnknown%7CTWFpbGZsb3d8eyJFbXB0eU1hcGkiOnRydWUsIlYiOiIwLjAuMDAwMCIsIlAiOiJXaW4zMiIsIkFOIjoiTWFpbCIsIldUIjoyfQ%3D%3D%7C0%7C%7C%7C&amp;sdata=KExWmxKYC15dvy2jid%2B7icvX72jaaIwv%2FUvWJBWDhBM%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ura.penuela1081@gmai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esperanza.contreras%40colombiacompra.gov.co%7C7128555136e04fa6887d08dee99e1b50%7C7b09041e245149d08cb179d5e3d8c1be%7C0%7C0%7C639205062485163401%7CUnknown%7CTWFpbGZsb3d8eyJFbXB0eU1hcGkiOnRydWUsIlYiOiIwLjAuMDAwMCIsIlAiOiJXaW4zMiIsIkFOIjoiTWFpbCIsIldUIjoyfQ%3D%3D%7C0%7C%7C%7C&amp;sdata=dPUVvFXdjvXbzKwhb4CxB8iVxGYr%2BrUIGKHRaYfEtmY%3D&amp;reserved=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esperanza.contreras%40colombiacompra.gov.co%7C7128555136e04fa6887d08dee99e1b50%7C7b09041e245149d08cb179d5e3d8c1be%7C0%7C0%7C639205062485135726%7CUnknown%7CTWFpbGZsb3d8eyJFbXB0eU1hcGkiOnRydWUsIlYiOiIwLjAuMDAwMCIsIlAiOiJXaW4zMiIsIkFOIjoiTWFpbCIsIldUIjoyfQ%3D%3D%7C0%7C%7C%7C&amp;sdata=4Es%2BEbneNUJS7UkXWiNoLQ4L8kTy804yLg5KKyYtV%2Fs%3D&amp;reserved=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BB9E4680-2416-44C8-BC47-B94B31C38841}"/>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40</TotalTime>
  <Pages>39</Pages>
  <Words>13025</Words>
  <Characters>71640</Characters>
  <Application>Microsoft Office Word</Application>
  <DocSecurity>0</DocSecurity>
  <Lines>597</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3</cp:revision>
  <cp:lastPrinted>2023-01-10T21:18:00Z</cp:lastPrinted>
  <dcterms:created xsi:type="dcterms:W3CDTF">2026-08-11T10:51:00Z</dcterms:created>
  <dcterms:modified xsi:type="dcterms:W3CDTF">2026-08-11T13:09:00Z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