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C4135" w14:textId="77777777" w:rsidR="00E15FD8" w:rsidRPr="00E15FD8" w:rsidRDefault="00E15FD8" w:rsidP="00E15FD8">
      <w:pPr>
        <w:spacing w:after="0"/>
        <w:rPr>
          <w:rFonts w:ascii="Verdana" w:eastAsia="Aptos" w:hAnsi="Verdana" w:cs="Times New Roman"/>
        </w:rPr>
      </w:pPr>
      <w:bookmarkStart w:id="0" w:name="_Hlk143780582"/>
      <w:r w:rsidRPr="00E15FD8">
        <w:rPr>
          <w:rFonts w:ascii="Verdana" w:eastAsia="Aptos" w:hAnsi="Verdana" w:cs="Times New Roman"/>
          <w:b/>
          <w:bCs/>
          <w:color w:val="000000"/>
        </w:rPr>
        <w:t xml:space="preserve">DOCUMENTOS TIPO – Fundamento normativo – Obligatoriedad </w:t>
      </w:r>
    </w:p>
    <w:p w14:paraId="503E773A" w14:textId="77777777" w:rsidR="00E15FD8" w:rsidRPr="00E15FD8" w:rsidRDefault="00E15FD8" w:rsidP="00E15FD8">
      <w:pPr>
        <w:spacing w:after="0" w:line="276" w:lineRule="auto"/>
        <w:jc w:val="both"/>
        <w:rPr>
          <w:rFonts w:ascii="Verdana" w:eastAsia="Calibri" w:hAnsi="Verdana" w:cs="Arial"/>
          <w:b/>
          <w:bCs/>
          <w:sz w:val="20"/>
          <w:szCs w:val="20"/>
          <w:lang w:val="es-ES_tradnl"/>
        </w:rPr>
      </w:pPr>
    </w:p>
    <w:p w14:paraId="0770D845" w14:textId="77777777" w:rsidR="00E15FD8" w:rsidRPr="00E15FD8" w:rsidRDefault="00E15FD8" w:rsidP="00E15FD8">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E15FD8">
        <w:rPr>
          <w:rFonts w:ascii="Verdana" w:eastAsia="Times New Roman" w:hAnsi="Verdana" w:cs="Arial"/>
          <w:sz w:val="20"/>
          <w:szCs w:val="20"/>
          <w:shd w:val="clear" w:color="auto" w:fill="FFFFFF"/>
          <w:lang w:val="es-ES_tradnl" w:eastAsia="es-ES_tradnl"/>
        </w:rPr>
        <w:t xml:space="preserve">Los documentos tipo expedidos por la Agencia Nacional de Contratación Pública </w:t>
      </w:r>
      <w:r w:rsidRPr="00E15FD8">
        <w:rPr>
          <w:rFonts w:ascii="Symbol" w:eastAsia="Symbol" w:hAnsi="Symbol" w:cs="Symbol"/>
          <w:sz w:val="20"/>
          <w:szCs w:val="20"/>
          <w:shd w:val="clear" w:color="auto" w:fill="FFFFFF"/>
          <w:lang w:val="es-ES_tradnl" w:eastAsia="es-ES_tradnl"/>
        </w:rPr>
        <w:t>-</w:t>
      </w:r>
      <w:r w:rsidRPr="00E15FD8">
        <w:rPr>
          <w:rFonts w:ascii="Verdana" w:eastAsia="Times New Roman" w:hAnsi="Verdana"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0F258DA3" w14:textId="77777777" w:rsidR="00E15FD8" w:rsidRPr="00E15FD8" w:rsidRDefault="00E15FD8" w:rsidP="00E15FD8">
      <w:pPr>
        <w:spacing w:after="0" w:line="276" w:lineRule="auto"/>
        <w:jc w:val="both"/>
        <w:rPr>
          <w:rFonts w:ascii="Verdana" w:eastAsia="Geomanist Light" w:hAnsi="Verdana" w:cs="Arial"/>
          <w:highlight w:val="yellow"/>
          <w:lang w:val="es-ES_tradnl"/>
        </w:rPr>
      </w:pPr>
    </w:p>
    <w:p w14:paraId="2EB74D07" w14:textId="77777777" w:rsidR="00E15FD8" w:rsidRPr="00E15FD8" w:rsidRDefault="00E15FD8" w:rsidP="00E15FD8">
      <w:pPr>
        <w:spacing w:after="0"/>
        <w:jc w:val="both"/>
        <w:rPr>
          <w:rFonts w:ascii="Verdana" w:eastAsia="Aptos" w:hAnsi="Verdana" w:cs="Times New Roman"/>
          <w:b/>
          <w:bCs/>
          <w:color w:val="000000"/>
        </w:rPr>
      </w:pPr>
      <w:r w:rsidRPr="00E15FD8">
        <w:rPr>
          <w:rFonts w:ascii="Verdana" w:eastAsia="Aptos" w:hAnsi="Verdana" w:cs="Times New Roman"/>
          <w:b/>
          <w:bCs/>
          <w:color w:val="000000"/>
        </w:rPr>
        <w:t>EXPERIENCIA – Acreditación − documentos tipo − Licitación de obra pública de infraestructura de transporte – Versión 4</w:t>
      </w:r>
    </w:p>
    <w:p w14:paraId="4912E2D4" w14:textId="77777777" w:rsidR="00E15FD8" w:rsidRPr="00E15FD8" w:rsidRDefault="00E15FD8" w:rsidP="00E15FD8">
      <w:pPr>
        <w:tabs>
          <w:tab w:val="left" w:pos="0"/>
        </w:tabs>
        <w:spacing w:after="0" w:line="240" w:lineRule="auto"/>
        <w:ind w:left="11"/>
        <w:jc w:val="both"/>
        <w:rPr>
          <w:rFonts w:ascii="Arial" w:eastAsia="Aptos" w:hAnsi="Arial" w:cs="Arial"/>
          <w:b/>
          <w:bCs/>
          <w:color w:val="000000"/>
          <w:kern w:val="2"/>
          <w:sz w:val="24"/>
          <w:szCs w:val="24"/>
          <w14:ligatures w14:val="standardContextual"/>
        </w:rPr>
      </w:pPr>
    </w:p>
    <w:p w14:paraId="7494BE52" w14:textId="77777777" w:rsidR="00E15FD8" w:rsidRPr="00E15FD8" w:rsidRDefault="00E15FD8" w:rsidP="00E15FD8">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E15FD8">
        <w:rPr>
          <w:rFonts w:ascii="Verdana" w:eastAsia="Times New Roman" w:hAnsi="Verdana" w:cs="Arial"/>
          <w:sz w:val="20"/>
          <w:szCs w:val="20"/>
          <w:shd w:val="clear" w:color="auto" w:fill="FFFFFF"/>
          <w:lang w:val="es-ES_tradnl" w:eastAsia="es-ES_tradnl"/>
        </w:rPr>
        <w:t>La parte introductoria del pliego de condiciones de los documentos tipo analizados dispone que estos se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4 de la Resolución 465 de 2024, relacionado con la posibilidad de exigir experiencia adicional en determinados supuestos.</w:t>
      </w:r>
    </w:p>
    <w:p w14:paraId="095651CB" w14:textId="77777777" w:rsidR="00E15FD8" w:rsidRPr="00E15FD8" w:rsidRDefault="00E15FD8" w:rsidP="00E15FD8">
      <w:pPr>
        <w:snapToGrid w:val="0"/>
        <w:spacing w:after="0" w:line="240" w:lineRule="auto"/>
        <w:jc w:val="both"/>
        <w:rPr>
          <w:rFonts w:ascii="Verdana" w:eastAsia="Times New Roman" w:hAnsi="Verdana" w:cs="Arial"/>
          <w:sz w:val="20"/>
          <w:szCs w:val="20"/>
          <w:shd w:val="clear" w:color="auto" w:fill="FFFFFF"/>
          <w:lang w:val="es-ES_tradnl" w:eastAsia="es-ES_tradnl"/>
        </w:rPr>
      </w:pPr>
    </w:p>
    <w:p w14:paraId="4F8C91EA" w14:textId="77777777" w:rsidR="00E15FD8" w:rsidRPr="00E15FD8" w:rsidRDefault="00E15FD8" w:rsidP="00E15FD8">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E15FD8">
        <w:rPr>
          <w:rFonts w:ascii="Verdana" w:eastAsia="Times New Roman" w:hAnsi="Verdana" w:cs="Arial"/>
          <w:sz w:val="20"/>
          <w:szCs w:val="20"/>
          <w:shd w:val="clear" w:color="auto" w:fill="FFFFFF"/>
          <w:lang w:val="es-ES_tradnl" w:eastAsia="es-ES_tradnl"/>
        </w:rPr>
        <w:t xml:space="preserve">De acuerdo con las condiciones fijadas en el “Documento Base” de la Resolución No. 465 del 10 de septiembre de 2024,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El número de contratos aportados por el proponente debe certificar un valor mínimo correspondiente a un porcentaje del presupuesto oficial del proceso de obra expresado en SMMLV, cuya verificación se hará de acuerdo con la sumatoria de los valores totales ejecutados de los contratos que cumplan con los requisitos establecidos en el pliego de condiciones. </w:t>
      </w:r>
    </w:p>
    <w:p w14:paraId="5EC6AE8C" w14:textId="77777777" w:rsidR="00E15FD8" w:rsidRPr="00E15FD8" w:rsidRDefault="00E15FD8" w:rsidP="00E15FD8">
      <w:pPr>
        <w:spacing w:after="0" w:line="240" w:lineRule="auto"/>
        <w:jc w:val="both"/>
        <w:rPr>
          <w:rFonts w:ascii="Verdana" w:eastAsia="Aptos" w:hAnsi="Verdana" w:cs="ArialMT"/>
          <w:sz w:val="20"/>
          <w:szCs w:val="20"/>
          <w:highlight w:val="yellow"/>
        </w:rPr>
      </w:pPr>
    </w:p>
    <w:p w14:paraId="07232A52" w14:textId="77777777" w:rsidR="00E15FD8" w:rsidRPr="00E15FD8" w:rsidRDefault="00E15FD8" w:rsidP="00E15FD8">
      <w:pPr>
        <w:spacing w:after="0" w:line="240" w:lineRule="auto"/>
        <w:jc w:val="both"/>
        <w:rPr>
          <w:rFonts w:ascii="Verdana" w:eastAsia="Aptos" w:hAnsi="Verdana" w:cs="ArialMT"/>
          <w:b/>
          <w:bCs/>
        </w:rPr>
      </w:pPr>
      <w:r w:rsidRPr="00E15FD8">
        <w:rPr>
          <w:rFonts w:ascii="Verdana" w:eastAsia="Aptos" w:hAnsi="Verdana" w:cs="ArialMT"/>
          <w:b/>
          <w:bCs/>
        </w:rPr>
        <w:t xml:space="preserve">DOCUMENTOS TIPO  – Infraestructura de transporte – Versión 4 – Matriz 1 – Experiencia – Actividad 4.3 – Alcance </w:t>
      </w:r>
    </w:p>
    <w:p w14:paraId="6B1B501F" w14:textId="77777777" w:rsidR="00E15FD8" w:rsidRPr="00E15FD8" w:rsidRDefault="00E15FD8" w:rsidP="00E15FD8">
      <w:pPr>
        <w:spacing w:after="0" w:line="240" w:lineRule="auto"/>
        <w:jc w:val="both"/>
        <w:rPr>
          <w:rFonts w:ascii="Verdana" w:eastAsia="Aptos" w:hAnsi="Verdana" w:cs="ArialMT"/>
          <w:sz w:val="20"/>
          <w:szCs w:val="20"/>
          <w:highlight w:val="yellow"/>
        </w:rPr>
      </w:pPr>
    </w:p>
    <w:p w14:paraId="11DDA848" w14:textId="77777777" w:rsidR="00E15FD8" w:rsidRPr="00E15FD8" w:rsidRDefault="00E15FD8" w:rsidP="00E15FD8">
      <w:pPr>
        <w:spacing w:after="0" w:line="240" w:lineRule="auto"/>
        <w:jc w:val="both"/>
        <w:rPr>
          <w:rFonts w:ascii="Verdana" w:eastAsia="Calibri" w:hAnsi="Verdana" w:cs="Times New Roman"/>
          <w:sz w:val="20"/>
          <w:szCs w:val="20"/>
        </w:rPr>
      </w:pPr>
      <w:r w:rsidRPr="00E15FD8">
        <w:rPr>
          <w:rFonts w:ascii="Verdana" w:eastAsia="Calibri" w:hAnsi="Verdana" w:cs="Arial"/>
          <w:kern w:val="2"/>
          <w:sz w:val="20"/>
          <w:szCs w:val="20"/>
          <w14:ligatures w14:val="standardContextual"/>
        </w:rPr>
        <w:t xml:space="preserve">(…) 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w:t>
      </w:r>
      <w:r w:rsidRPr="00E15FD8">
        <w:rPr>
          <w:rFonts w:ascii="Verdana" w:eastAsia="Aptos" w:hAnsi="Verdana" w:cs="Arial"/>
          <w:color w:val="000000"/>
          <w:sz w:val="20"/>
          <w:szCs w:val="20"/>
          <w:lang w:val="es-ES_tradnl"/>
        </w:rPr>
        <w:t>incluye cinco (5) actividades dentro de las cuales, se encuentra la dispuesta en el numeral 4.3 relacionada con “</w:t>
      </w:r>
      <w:r w:rsidRPr="00E15FD8">
        <w:rPr>
          <w:rFonts w:ascii="Verdana" w:eastAsia="Aptos" w:hAnsi="Verdana" w:cs="Times New Roman"/>
          <w:kern w:val="2"/>
          <w:sz w:val="20"/>
          <w:szCs w:val="20"/>
          <w14:ligatures w14:val="standardContextual"/>
        </w:rPr>
        <w:t xml:space="preserve">PROYECTOS DE ATENCION, PREVENCIÓN O MITIGACIÓN DE OBRAS DE </w:t>
      </w:r>
      <w:r w:rsidRPr="00E15FD8">
        <w:rPr>
          <w:rFonts w:ascii="Verdana" w:eastAsia="Aptos" w:hAnsi="Verdana" w:cs="Times New Roman"/>
          <w:kern w:val="2"/>
          <w:sz w:val="20"/>
          <w:szCs w:val="20"/>
          <w14:ligatures w14:val="standardContextual"/>
        </w:rPr>
        <w:lastRenderedPageBreak/>
        <w:t>EMERGENCIAS MEDIANTE OBRAS DE REMOCIÓN DE DERRUMBES</w:t>
      </w:r>
      <w:r w:rsidRPr="00E15FD8">
        <w:rPr>
          <w:rFonts w:ascii="Verdana" w:eastAsia="Aptos" w:hAnsi="Verdana" w:cs="Arial"/>
          <w:color w:val="000000"/>
          <w:sz w:val="20"/>
          <w:szCs w:val="20"/>
          <w:lang w:val="es-ES_tradnl"/>
        </w:rPr>
        <w:t xml:space="preserve">”. </w:t>
      </w:r>
      <w:r w:rsidRPr="00E15FD8">
        <w:rPr>
          <w:rFonts w:ascii="Verdana" w:eastAsia="Aptos" w:hAnsi="Verdana" w:cs="Times New Roman"/>
          <w:kern w:val="2"/>
          <w:sz w:val="20"/>
          <w:szCs w:val="20"/>
          <w14:ligatures w14:val="standardContextual"/>
        </w:rPr>
        <w:t>Para esta actividad, en proyectos de alta 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7F8D7EBC" w14:textId="77777777" w:rsidR="00E15FD8" w:rsidRPr="00E15FD8" w:rsidRDefault="00E15FD8" w:rsidP="00E15FD8">
      <w:pPr>
        <w:spacing w:after="0" w:line="240" w:lineRule="auto"/>
        <w:ind w:right="709"/>
        <w:jc w:val="both"/>
        <w:rPr>
          <w:rFonts w:ascii="Verdana" w:eastAsia="Aptos" w:hAnsi="Verdana" w:cs="Arial"/>
          <w:color w:val="000000"/>
          <w:sz w:val="20"/>
          <w:szCs w:val="20"/>
          <w:lang w:val="es-ES_tradnl"/>
        </w:rPr>
      </w:pPr>
    </w:p>
    <w:p w14:paraId="7243F56B" w14:textId="77777777" w:rsidR="00E15FD8" w:rsidRPr="00E15FD8" w:rsidRDefault="00E15FD8" w:rsidP="00E15FD8">
      <w:pPr>
        <w:spacing w:after="0" w:line="240" w:lineRule="auto"/>
        <w:ind w:right="709"/>
        <w:jc w:val="both"/>
        <w:rPr>
          <w:rFonts w:ascii="Verdana" w:eastAsia="Calibri" w:hAnsi="Verdana" w:cs="Calibri"/>
          <w:sz w:val="20"/>
          <w:szCs w:val="20"/>
        </w:rPr>
      </w:pPr>
      <w:r w:rsidRPr="00E15FD8">
        <w:rPr>
          <w:rFonts w:ascii="Verdana" w:eastAsia="Aptos" w:hAnsi="Verdana" w:cs="Arial"/>
          <w:color w:val="000000"/>
          <w:sz w:val="20"/>
          <w:szCs w:val="20"/>
          <w:lang w:val="es-ES_tradnl"/>
        </w:rPr>
        <w:t>(…)</w:t>
      </w:r>
    </w:p>
    <w:p w14:paraId="342B0521" w14:textId="77777777" w:rsidR="00E15FD8" w:rsidRPr="00E15FD8" w:rsidRDefault="00E15FD8" w:rsidP="00E15FD8">
      <w:pPr>
        <w:spacing w:after="0" w:line="240" w:lineRule="auto"/>
        <w:jc w:val="both"/>
        <w:rPr>
          <w:rFonts w:ascii="Verdana" w:eastAsia="Aptos" w:hAnsi="Verdana" w:cs="Times New Roman"/>
          <w:kern w:val="2"/>
          <w:sz w:val="20"/>
          <w:szCs w:val="20"/>
          <w14:ligatures w14:val="standardContextual"/>
        </w:rPr>
      </w:pPr>
    </w:p>
    <w:p w14:paraId="7170952F" w14:textId="77777777" w:rsidR="00E15FD8" w:rsidRPr="00E15FD8" w:rsidRDefault="00E15FD8" w:rsidP="00E15FD8">
      <w:pPr>
        <w:spacing w:after="0" w:line="240" w:lineRule="auto"/>
        <w:jc w:val="both"/>
        <w:rPr>
          <w:rFonts w:ascii="Verdana" w:eastAsia="Aptos" w:hAnsi="Verdana" w:cs="Arial"/>
          <w:color w:val="000000"/>
          <w:sz w:val="20"/>
          <w:szCs w:val="20"/>
          <w:lang w:val="es-ES_tradnl"/>
        </w:rPr>
      </w:pPr>
      <w:r w:rsidRPr="00E15FD8">
        <w:rPr>
          <w:rFonts w:ascii="Verdana" w:eastAsia="Aptos" w:hAnsi="Verdana" w:cs="Times New Roman"/>
          <w:kern w:val="2"/>
          <w:sz w:val="20"/>
          <w:szCs w:val="20"/>
          <w14:ligatures w14:val="standardContextual"/>
        </w:rPr>
        <w:t xml:space="preserve">De acuerdo con lo señalado en la Matriz 1 – Experiencia, para la actividad 4.3, la experiencia general podrá acreditarse con proyectos que correspondan o hayan contenido actividades de remoción de derrumbes o movimiento de tierras. Por su parte, para la experiencia específica, por lo menos uno (1) de los contratos aportados como experiencia general debe corresponder a proyectos de atención, prevención o mitigación de emergencias, y el valor ejecutado del ítem de remoción de derrumbes </w:t>
      </w:r>
      <w:r w:rsidRPr="00E15FD8">
        <w:rPr>
          <w:rFonts w:ascii="Verdana" w:eastAsia="Aptos" w:hAnsi="Verdana" w:cs="Arial"/>
          <w:color w:val="000000"/>
          <w:sz w:val="20"/>
          <w:szCs w:val="20"/>
          <w:lang w:val="es-ES_tradnl"/>
        </w:rPr>
        <w:t xml:space="preserve">de uno de los contratos debe corresponde como mínimo del XX% del presupuesto oficial. Ahora bien, el porcentaje del presupuesto oficial se determinará por parte de la entidad dependiendo la naturaleza del proyecto. </w:t>
      </w:r>
    </w:p>
    <w:p w14:paraId="07180FE2" w14:textId="77777777" w:rsidR="00E15FD8" w:rsidRPr="00E15FD8" w:rsidRDefault="00E15FD8" w:rsidP="00E15FD8">
      <w:pPr>
        <w:spacing w:after="0" w:line="276" w:lineRule="auto"/>
        <w:jc w:val="both"/>
        <w:rPr>
          <w:rFonts w:ascii="Verdana" w:eastAsia="Calibri" w:hAnsi="Verdana" w:cs="Calibri"/>
          <w:b/>
          <w:bCs/>
          <w:kern w:val="2"/>
          <w14:ligatures w14:val="standardContextual"/>
        </w:rPr>
      </w:pPr>
    </w:p>
    <w:p w14:paraId="4126027B" w14:textId="0F087B8D" w:rsidR="00E15FD8" w:rsidRPr="00E15FD8" w:rsidRDefault="00E15FD8" w:rsidP="00E15FD8">
      <w:pPr>
        <w:spacing w:after="0" w:line="276" w:lineRule="auto"/>
        <w:jc w:val="center"/>
        <w:rPr>
          <w:rFonts w:ascii="Verdana" w:eastAsia="Calibri" w:hAnsi="Verdana" w:cs="Calibri"/>
          <w:b/>
          <w:bCs/>
          <w:kern w:val="2"/>
          <w14:ligatures w14:val="standardContextual"/>
        </w:rPr>
      </w:pPr>
      <w:r w:rsidRPr="00E15FD8">
        <w:rPr>
          <w:rFonts w:ascii="Verdana" w:eastAsia="Calibri" w:hAnsi="Verdana" w:cs="Calibri"/>
          <w:b/>
          <w:bCs/>
          <w:kern w:val="2"/>
          <w14:ligatures w14:val="standardContextual"/>
        </w:rPr>
        <w:t>REMOCIÓN DE DERRUMBES – Anexo 3 – Glosario –</w:t>
      </w:r>
      <w:r w:rsidR="00C10DBA">
        <w:rPr>
          <w:rFonts w:ascii="Verdana" w:eastAsia="Calibri" w:hAnsi="Verdana" w:cs="Calibri"/>
          <w:b/>
          <w:bCs/>
          <w:kern w:val="2"/>
          <w14:ligatures w14:val="standardContextual"/>
        </w:rPr>
        <w:t xml:space="preserve"> </w:t>
      </w:r>
      <w:r w:rsidRPr="00E15FD8">
        <w:rPr>
          <w:rFonts w:ascii="Verdana" w:eastAsia="Calibri" w:hAnsi="Verdana" w:cs="Calibri"/>
          <w:b/>
          <w:bCs/>
          <w:kern w:val="2"/>
          <w14:ligatures w14:val="standardContextual"/>
        </w:rPr>
        <w:t>Definición – Alcance</w:t>
      </w:r>
    </w:p>
    <w:p w14:paraId="6A39F70E" w14:textId="77777777" w:rsidR="00E15FD8" w:rsidRPr="00E15FD8" w:rsidRDefault="00E15FD8" w:rsidP="00E15FD8">
      <w:pPr>
        <w:spacing w:after="0" w:line="276" w:lineRule="auto"/>
        <w:jc w:val="center"/>
        <w:rPr>
          <w:rFonts w:ascii="Verdana" w:eastAsia="Calibri" w:hAnsi="Verdana" w:cs="Calibri"/>
          <w:b/>
          <w:bCs/>
          <w:kern w:val="2"/>
          <w14:ligatures w14:val="standardContextual"/>
        </w:rPr>
      </w:pPr>
    </w:p>
    <w:p w14:paraId="4CC7D423" w14:textId="77777777" w:rsidR="00E15FD8" w:rsidRPr="00E15FD8" w:rsidRDefault="00E15FD8" w:rsidP="00E15FD8">
      <w:pPr>
        <w:spacing w:after="0" w:line="240" w:lineRule="auto"/>
        <w:jc w:val="both"/>
        <w:rPr>
          <w:rFonts w:ascii="Verdana" w:eastAsia="Aptos" w:hAnsi="Verdana" w:cs="Times New Roman"/>
          <w:kern w:val="2"/>
          <w:sz w:val="20"/>
          <w:szCs w:val="20"/>
          <w14:ligatures w14:val="standardContextual"/>
        </w:rPr>
      </w:pPr>
      <w:r w:rsidRPr="00E15FD8">
        <w:rPr>
          <w:rFonts w:ascii="Verdana" w:eastAsia="Calibri" w:hAnsi="Verdana" w:cs="Calibri"/>
          <w:kern w:val="2"/>
          <w:sz w:val="20"/>
          <w:szCs w:val="20"/>
          <w14:ligatures w14:val="standardContextual"/>
        </w:rPr>
        <w:t>Para comprender el alcance y aplicación de la expresión “remoción de Derrumbes”, es necesario tener en cuenta las definiciones del “Anexo – Glosario” del sector de infraestructura de transporte. Lo anterior, en razón a que el numeral 1.10 del documento base dispone que “Para los fines de este pliego de condiciones, a 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29222CD1" w14:textId="77777777" w:rsidR="00E15FD8" w:rsidRPr="00E15FD8" w:rsidRDefault="00E15FD8" w:rsidP="00E15FD8">
      <w:pPr>
        <w:spacing w:after="0" w:line="240" w:lineRule="auto"/>
        <w:jc w:val="both"/>
        <w:rPr>
          <w:rFonts w:ascii="Verdana" w:eastAsia="Calibri" w:hAnsi="Verdana" w:cs="Calibri"/>
          <w:kern w:val="2"/>
          <w:sz w:val="20"/>
          <w:szCs w:val="20"/>
          <w14:ligatures w14:val="standardContextual"/>
        </w:rPr>
      </w:pPr>
    </w:p>
    <w:p w14:paraId="1F1E0932" w14:textId="77777777" w:rsidR="00E15FD8" w:rsidRPr="00E15FD8" w:rsidRDefault="00E15FD8" w:rsidP="00E15FD8">
      <w:pPr>
        <w:spacing w:after="0" w:line="240" w:lineRule="auto"/>
        <w:jc w:val="both"/>
        <w:rPr>
          <w:rFonts w:ascii="Verdana" w:eastAsia="Calibri" w:hAnsi="Verdana" w:cs="Calibri"/>
          <w:kern w:val="2"/>
          <w:sz w:val="20"/>
          <w:szCs w:val="20"/>
          <w14:ligatures w14:val="standardContextual"/>
        </w:rPr>
      </w:pPr>
      <w:r w:rsidRPr="00E15FD8">
        <w:rPr>
          <w:rFonts w:ascii="Verdana" w:eastAsia="Calibri" w:hAnsi="Verdana" w:cs="Calibri"/>
          <w:kern w:val="2"/>
          <w:sz w:val="20"/>
          <w:szCs w:val="20"/>
          <w14:ligatures w14:val="standardContextual"/>
        </w:rPr>
        <w:t>Para estos efectos, en el numeral “2.138” del “Anexo – Glosario” de los documentos tipo de licitación de obra pública de infraestructura de transporte – versión 4, se definen “remoción de Derrumbes” en los siguientes términos:</w:t>
      </w:r>
    </w:p>
    <w:p w14:paraId="5E5390A3" w14:textId="77777777" w:rsidR="00E15FD8" w:rsidRPr="00E15FD8" w:rsidRDefault="00E15FD8" w:rsidP="00E15FD8">
      <w:pPr>
        <w:spacing w:after="0" w:line="240" w:lineRule="auto"/>
        <w:ind w:firstLine="708"/>
        <w:jc w:val="both"/>
        <w:rPr>
          <w:rFonts w:ascii="Verdana" w:eastAsia="Calibri" w:hAnsi="Verdana" w:cs="Calibri"/>
          <w:kern w:val="2"/>
          <w:sz w:val="20"/>
          <w:szCs w:val="20"/>
          <w14:ligatures w14:val="standardContextual"/>
        </w:rPr>
      </w:pPr>
    </w:p>
    <w:p w14:paraId="46E0B660" w14:textId="77777777" w:rsidR="00E15FD8" w:rsidRPr="00E15FD8" w:rsidRDefault="00E15FD8" w:rsidP="00E15FD8">
      <w:pPr>
        <w:autoSpaceDE w:val="0"/>
        <w:autoSpaceDN w:val="0"/>
        <w:adjustRightInd w:val="0"/>
        <w:spacing w:after="0" w:line="240" w:lineRule="auto"/>
        <w:ind w:right="709"/>
        <w:jc w:val="both"/>
        <w:rPr>
          <w:rFonts w:ascii="Verdana" w:eastAsia="Times New Roman" w:hAnsi="Verdana" w:cs="Arial"/>
          <w:sz w:val="20"/>
          <w:szCs w:val="20"/>
          <w:lang w:val="es-ES" w:eastAsia="es-ES"/>
        </w:rPr>
      </w:pPr>
      <w:r w:rsidRPr="00E15FD8">
        <w:rPr>
          <w:rFonts w:ascii="Verdana" w:eastAsia="Times New Roman" w:hAnsi="Verdana" w:cs="Arial"/>
          <w:sz w:val="20"/>
          <w:szCs w:val="20"/>
          <w:lang w:val="es-ES" w:eastAsia="es-ES"/>
        </w:rPr>
        <w:t>(…)</w:t>
      </w:r>
    </w:p>
    <w:p w14:paraId="35C14FB3" w14:textId="77777777" w:rsidR="00E15FD8" w:rsidRPr="00E15FD8" w:rsidRDefault="00E15FD8" w:rsidP="00E15FD8">
      <w:pPr>
        <w:autoSpaceDE w:val="0"/>
        <w:autoSpaceDN w:val="0"/>
        <w:adjustRightInd w:val="0"/>
        <w:spacing w:after="0" w:line="240" w:lineRule="auto"/>
        <w:ind w:right="709"/>
        <w:jc w:val="both"/>
        <w:rPr>
          <w:rFonts w:ascii="Verdana" w:eastAsia="Times New Roman" w:hAnsi="Verdana" w:cs="Arial"/>
          <w:b/>
          <w:bCs/>
          <w:i/>
          <w:iCs/>
          <w:sz w:val="20"/>
          <w:szCs w:val="20"/>
          <w:lang w:val="es-ES" w:eastAsia="es-ES"/>
        </w:rPr>
      </w:pPr>
    </w:p>
    <w:p w14:paraId="541B632A" w14:textId="77777777" w:rsidR="00E15FD8" w:rsidRPr="00E15FD8" w:rsidRDefault="00E15FD8" w:rsidP="00E15FD8">
      <w:pPr>
        <w:snapToGrid w:val="0"/>
        <w:spacing w:after="120" w:line="240" w:lineRule="auto"/>
        <w:jc w:val="both"/>
        <w:rPr>
          <w:rFonts w:ascii="Verdana" w:eastAsia="Times New Roman" w:hAnsi="Verdana" w:cs="Times New Roman"/>
          <w:sz w:val="20"/>
          <w:szCs w:val="20"/>
          <w:lang w:eastAsia="es-MX"/>
        </w:rPr>
      </w:pPr>
      <w:r w:rsidRPr="00E15FD8">
        <w:rPr>
          <w:rFonts w:ascii="Verdana" w:eastAsia="Times New Roman" w:hAnsi="Verdana" w:cs="Times New Roman"/>
          <w:sz w:val="20"/>
          <w:szCs w:val="20"/>
          <w:lang w:eastAsia="es-MX"/>
        </w:rPr>
        <w:t>De la definición contenida en el Anexo 3 – Glosario se evidencia que la actividad de remoción de derrumbes comprende un conjunto de labores técnicas encaminadas al retiro y disposición de los materiales provenientes del desplazamiento de taludes o del terreno natural, incluyendo actividades asociadas como el cargue, transporte, descargue y disposición de dichos materiales.</w:t>
      </w:r>
    </w:p>
    <w:p w14:paraId="39B813A1" w14:textId="77777777" w:rsidR="00E15FD8" w:rsidRPr="00E15FD8" w:rsidRDefault="00E15FD8" w:rsidP="00E15FD8">
      <w:pPr>
        <w:spacing w:after="0" w:line="240" w:lineRule="auto"/>
        <w:jc w:val="both"/>
        <w:rPr>
          <w:rFonts w:ascii="Verdana" w:eastAsia="Aptos" w:hAnsi="Verdana" w:cs="Arial"/>
          <w:color w:val="000000"/>
          <w:highlight w:val="yellow"/>
          <w:lang w:val="es-ES_tradnl"/>
        </w:rPr>
      </w:pPr>
    </w:p>
    <w:p w14:paraId="65D5EB5E" w14:textId="77777777" w:rsidR="00E15FD8" w:rsidRPr="00E15FD8" w:rsidRDefault="00E15FD8" w:rsidP="00E15FD8">
      <w:pPr>
        <w:spacing w:after="0" w:line="240" w:lineRule="auto"/>
        <w:jc w:val="both"/>
        <w:rPr>
          <w:rFonts w:ascii="Verdana" w:eastAsia="Aptos" w:hAnsi="Verdana" w:cs="Arial"/>
          <w:color w:val="000000"/>
          <w:highlight w:val="yellow"/>
          <w:lang w:val="es-ES_tradnl"/>
        </w:rPr>
      </w:pPr>
    </w:p>
    <w:p w14:paraId="5AB353DB" w14:textId="6723F493" w:rsidR="00E15FD8" w:rsidRDefault="00E15FD8" w:rsidP="00E15FD8">
      <w:pPr>
        <w:spacing w:after="0" w:line="240" w:lineRule="auto"/>
        <w:jc w:val="both"/>
        <w:rPr>
          <w:rFonts w:ascii="Verdana" w:eastAsia="Verdana" w:hAnsi="Verdana" w:cs="Verdana"/>
          <w:kern w:val="2"/>
          <w14:ligatures w14:val="standardContextual"/>
        </w:rPr>
      </w:pPr>
      <w:bookmarkStart w:id="1" w:name="_Hlk117695077"/>
      <w:r w:rsidRPr="00E15FD8">
        <w:rPr>
          <w:rFonts w:ascii="Verdana" w:eastAsia="Verdana" w:hAnsi="Verdana" w:cs="Verdana"/>
          <w:kern w:val="2"/>
          <w14:ligatures w14:val="standardContextual"/>
        </w:rPr>
        <w:lastRenderedPageBreak/>
        <w:t xml:space="preserve">Bogotá D.C., </w:t>
      </w:r>
      <w:r w:rsidR="005144E6">
        <w:rPr>
          <w:rFonts w:ascii="Verdana" w:eastAsia="Verdana" w:hAnsi="Verdana" w:cs="Verdana"/>
          <w:kern w:val="2"/>
          <w14:ligatures w14:val="standardContextual"/>
        </w:rPr>
        <w:t>12 de agosto de 2026</w:t>
      </w:r>
    </w:p>
    <w:p w14:paraId="36F96806" w14:textId="77777777" w:rsidR="005144E6" w:rsidRDefault="005144E6" w:rsidP="00E15FD8">
      <w:pPr>
        <w:spacing w:after="0" w:line="240" w:lineRule="auto"/>
        <w:jc w:val="both"/>
        <w:rPr>
          <w:rFonts w:ascii="Verdana" w:eastAsia="Verdana" w:hAnsi="Verdana" w:cs="Verdana"/>
          <w:kern w:val="2"/>
          <w14:ligatures w14:val="standardContextual"/>
        </w:rPr>
      </w:pPr>
    </w:p>
    <w:p w14:paraId="5B60CDEC" w14:textId="3D2AABAA" w:rsidR="005144E6" w:rsidRPr="00E15FD8" w:rsidRDefault="005144E6" w:rsidP="005144E6">
      <w:pPr>
        <w:spacing w:after="0" w:line="240" w:lineRule="auto"/>
        <w:jc w:val="right"/>
        <w:rPr>
          <w:rFonts w:ascii="Verdana" w:eastAsia="Verdana" w:hAnsi="Verdana" w:cs="Verdana"/>
          <w:kern w:val="2"/>
          <w14:ligatures w14:val="standardContextual"/>
        </w:rPr>
      </w:pPr>
    </w:p>
    <w:p w14:paraId="2CA4E92D" w14:textId="29087F1D" w:rsidR="00E15FD8" w:rsidRPr="00E15FD8" w:rsidRDefault="00C10DBA" w:rsidP="00E15FD8">
      <w:pPr>
        <w:spacing w:after="0" w:line="240" w:lineRule="auto"/>
        <w:jc w:val="both"/>
        <w:rPr>
          <w:rFonts w:ascii="Verdana" w:eastAsia="Calibri" w:hAnsi="Verdana" w:cs="Arial"/>
          <w:lang w:eastAsia="es-ES"/>
        </w:rPr>
      </w:pPr>
      <w:r w:rsidRPr="005144E6">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572A8414" wp14:editId="460133A8">
            <wp:simplePos x="0" y="0"/>
            <wp:positionH relativeFrom="margin">
              <wp:align>right</wp:align>
            </wp:positionH>
            <wp:positionV relativeFrom="paragraph">
              <wp:posOffset>8780</wp:posOffset>
            </wp:positionV>
            <wp:extent cx="2536190" cy="782955"/>
            <wp:effectExtent l="0" t="0" r="0" b="0"/>
            <wp:wrapSquare wrapText="bothSides"/>
            <wp:docPr id="112435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5553" name=""/>
                    <pic:cNvPicPr/>
                  </pic:nvPicPr>
                  <pic:blipFill>
                    <a:blip r:embed="rId10">
                      <a:extLst>
                        <a:ext uri="{28A0092B-C50C-407E-A947-70E740481C1C}">
                          <a14:useLocalDpi xmlns:a14="http://schemas.microsoft.com/office/drawing/2010/main" val="0"/>
                        </a:ext>
                      </a:extLst>
                    </a:blip>
                    <a:stretch>
                      <a:fillRect/>
                    </a:stretch>
                  </pic:blipFill>
                  <pic:spPr>
                    <a:xfrm>
                      <a:off x="0" y="0"/>
                      <a:ext cx="2536190" cy="782955"/>
                    </a:xfrm>
                    <a:prstGeom prst="rect">
                      <a:avLst/>
                    </a:prstGeom>
                  </pic:spPr>
                </pic:pic>
              </a:graphicData>
            </a:graphic>
            <wp14:sizeRelH relativeFrom="margin">
              <wp14:pctWidth>0</wp14:pctWidth>
            </wp14:sizeRelH>
            <wp14:sizeRelV relativeFrom="margin">
              <wp14:pctHeight>0</wp14:pctHeight>
            </wp14:sizeRelV>
          </wp:anchor>
        </w:drawing>
      </w:r>
    </w:p>
    <w:p w14:paraId="4D923D69" w14:textId="46CB16C9" w:rsidR="00E15FD8" w:rsidRPr="00184FA0" w:rsidRDefault="00E15FD8" w:rsidP="00E15FD8">
      <w:pPr>
        <w:spacing w:after="0" w:line="276" w:lineRule="auto"/>
        <w:jc w:val="both"/>
        <w:rPr>
          <w:rFonts w:ascii="Verdana" w:eastAsia="Calibri" w:hAnsi="Verdana" w:cs="Arial"/>
          <w:lang w:eastAsia="es-ES"/>
        </w:rPr>
      </w:pPr>
      <w:r w:rsidRPr="00E15FD8">
        <w:rPr>
          <w:rFonts w:ascii="Verdana" w:eastAsia="Calibri" w:hAnsi="Verdana" w:cs="Arial"/>
          <w:lang w:val="es-ES_tradnl" w:eastAsia="es-ES"/>
        </w:rPr>
        <w:t>Señor</w:t>
      </w:r>
    </w:p>
    <w:p w14:paraId="7E4ACBB8" w14:textId="77777777" w:rsidR="00E15FD8" w:rsidRPr="00E15FD8" w:rsidRDefault="00E15FD8" w:rsidP="00E15FD8">
      <w:pPr>
        <w:spacing w:after="0" w:line="276" w:lineRule="auto"/>
        <w:jc w:val="both"/>
        <w:rPr>
          <w:rFonts w:ascii="Verdana" w:eastAsia="Aptos" w:hAnsi="Verdana" w:cs="Times New Roman"/>
          <w:b/>
          <w:bCs/>
          <w:kern w:val="2"/>
          <w14:ligatures w14:val="standardContextual"/>
        </w:rPr>
      </w:pPr>
      <w:r w:rsidRPr="00E15FD8">
        <w:rPr>
          <w:rFonts w:ascii="Verdana" w:eastAsia="Aptos" w:hAnsi="Verdana" w:cs="Times New Roman"/>
          <w:b/>
          <w:bCs/>
          <w:kern w:val="2"/>
          <w14:ligatures w14:val="standardContextual"/>
        </w:rPr>
        <w:t>Jairo Luis Socarras Bonilla</w:t>
      </w:r>
    </w:p>
    <w:p w14:paraId="1676453C" w14:textId="77777777" w:rsidR="00E15FD8" w:rsidRPr="00E15FD8" w:rsidRDefault="00E15FD8" w:rsidP="00E15FD8">
      <w:pPr>
        <w:spacing w:after="0" w:line="276" w:lineRule="auto"/>
        <w:jc w:val="both"/>
        <w:rPr>
          <w:rFonts w:ascii="Verdana" w:eastAsia="Calibri" w:hAnsi="Verdana" w:cs="Arial"/>
        </w:rPr>
      </w:pPr>
      <w:r w:rsidRPr="00E15FD8">
        <w:rPr>
          <w:rFonts w:ascii="Verdana" w:eastAsia="Calibri" w:hAnsi="Verdana" w:cs="Arial"/>
        </w:rPr>
        <w:t>Valledupar, Cesar</w:t>
      </w:r>
    </w:p>
    <w:p w14:paraId="524ADE25" w14:textId="77777777" w:rsidR="00E15FD8" w:rsidRPr="00E15FD8" w:rsidRDefault="00E15FD8" w:rsidP="00E15FD8">
      <w:pPr>
        <w:spacing w:after="0" w:line="240" w:lineRule="auto"/>
        <w:jc w:val="both"/>
        <w:rPr>
          <w:rFonts w:ascii="Verdana" w:eastAsia="Calibri" w:hAnsi="Verdana" w:cs="Arial"/>
          <w:b/>
          <w:bCs/>
          <w:lang w:eastAsia="es-ES"/>
        </w:rPr>
      </w:pPr>
    </w:p>
    <w:tbl>
      <w:tblPr>
        <w:tblStyle w:val="Tablaconcuadrcula"/>
        <w:tblW w:w="8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5"/>
        <w:gridCol w:w="6183"/>
      </w:tblGrid>
      <w:tr w:rsidR="00E15FD8" w:rsidRPr="00E15FD8" w14:paraId="0100091E" w14:textId="77777777" w:rsidTr="00933CEA">
        <w:trPr>
          <w:trHeight w:val="910"/>
        </w:trPr>
        <w:tc>
          <w:tcPr>
            <w:tcW w:w="2725" w:type="dxa"/>
          </w:tcPr>
          <w:p w14:paraId="1D3918FF" w14:textId="77777777" w:rsidR="00E15FD8" w:rsidRPr="00E15FD8" w:rsidRDefault="00E15FD8" w:rsidP="00E15FD8">
            <w:pPr>
              <w:jc w:val="both"/>
              <w:rPr>
                <w:rFonts w:ascii="Verdana" w:eastAsia="Calibri" w:hAnsi="Verdana" w:cs="Arial"/>
                <w:b/>
                <w:bCs/>
                <w:color w:val="7030A0"/>
                <w:lang w:eastAsia="es-ES_tradnl"/>
              </w:rPr>
            </w:pPr>
          </w:p>
        </w:tc>
        <w:tc>
          <w:tcPr>
            <w:tcW w:w="6183" w:type="dxa"/>
          </w:tcPr>
          <w:p w14:paraId="3280A32A" w14:textId="77777777" w:rsidR="00E15FD8" w:rsidRPr="00E15FD8" w:rsidRDefault="00E15FD8" w:rsidP="00E15FD8">
            <w:pPr>
              <w:snapToGrid w:val="0"/>
              <w:jc w:val="both"/>
              <w:rPr>
                <w:rFonts w:ascii="Verdana" w:eastAsia="Calibri" w:hAnsi="Verdana" w:cs="Arial"/>
                <w:b/>
                <w:bCs/>
                <w:lang w:eastAsia="es-ES"/>
              </w:rPr>
            </w:pPr>
            <w:r w:rsidRPr="00E15FD8">
              <w:rPr>
                <w:rFonts w:ascii="Verdana" w:eastAsia="Calibri" w:hAnsi="Verdana" w:cs="Arial"/>
                <w:b/>
                <w:bCs/>
                <w:lang w:eastAsia="es-ES"/>
              </w:rPr>
              <w:t>Concepto C-1040 de 2026</w:t>
            </w:r>
          </w:p>
          <w:p w14:paraId="0C004266" w14:textId="77777777" w:rsidR="00E15FD8" w:rsidRPr="00E15FD8" w:rsidRDefault="00E15FD8" w:rsidP="00E15FD8">
            <w:pPr>
              <w:snapToGrid w:val="0"/>
              <w:jc w:val="both"/>
              <w:rPr>
                <w:rFonts w:ascii="Verdana" w:eastAsia="Calibri" w:hAnsi="Verdana" w:cs="Arial"/>
                <w:b/>
                <w:bCs/>
                <w:lang w:eastAsia="es-ES"/>
              </w:rPr>
            </w:pPr>
          </w:p>
        </w:tc>
      </w:tr>
      <w:tr w:rsidR="00E15FD8" w:rsidRPr="00E15FD8" w14:paraId="3005BB74" w14:textId="77777777" w:rsidTr="00933CEA">
        <w:trPr>
          <w:trHeight w:val="910"/>
        </w:trPr>
        <w:tc>
          <w:tcPr>
            <w:tcW w:w="2725" w:type="dxa"/>
          </w:tcPr>
          <w:p w14:paraId="796A7101" w14:textId="77777777" w:rsidR="00E15FD8" w:rsidRPr="00E15FD8" w:rsidRDefault="00E15FD8" w:rsidP="00E15FD8">
            <w:pPr>
              <w:jc w:val="both"/>
              <w:rPr>
                <w:rFonts w:ascii="Verdana" w:eastAsia="Calibri" w:hAnsi="Verdana" w:cs="Arial"/>
                <w:color w:val="000000"/>
                <w:lang w:eastAsia="es-ES_tradnl"/>
              </w:rPr>
            </w:pPr>
            <w:r w:rsidRPr="00E15FD8">
              <w:rPr>
                <w:rFonts w:ascii="Verdana" w:eastAsia="Calibri" w:hAnsi="Verdana" w:cs="Arial"/>
                <w:b/>
                <w:color w:val="000000"/>
                <w:lang w:eastAsia="es-ES_tradnl"/>
              </w:rPr>
              <w:t>Temas:</w:t>
            </w:r>
            <w:r w:rsidRPr="00E15FD8">
              <w:rPr>
                <w:rFonts w:ascii="Verdana" w:eastAsia="Calibri" w:hAnsi="Verdana" w:cs="Arial"/>
                <w:color w:val="000000"/>
                <w:lang w:eastAsia="es-ES_tradnl"/>
              </w:rPr>
              <w:t xml:space="preserve">                   </w:t>
            </w:r>
          </w:p>
        </w:tc>
        <w:tc>
          <w:tcPr>
            <w:tcW w:w="6183" w:type="dxa"/>
          </w:tcPr>
          <w:p w14:paraId="037E1A8B" w14:textId="77777777" w:rsidR="00E15FD8" w:rsidRPr="00E15FD8" w:rsidRDefault="00E15FD8" w:rsidP="00E15FD8">
            <w:pPr>
              <w:jc w:val="both"/>
              <w:rPr>
                <w:rFonts w:ascii="Verdana" w:eastAsia="Aptos" w:hAnsi="Verdana" w:cs="ArialMT"/>
                <w:b/>
                <w:bCs/>
              </w:rPr>
            </w:pPr>
            <w:r w:rsidRPr="00E15FD8">
              <w:rPr>
                <w:rFonts w:ascii="Verdana" w:eastAsia="Aptos" w:hAnsi="Verdana" w:cs="Times New Roman"/>
                <w:color w:val="000000"/>
              </w:rPr>
              <w:t xml:space="preserve">DOCUMENTOS TIPO – Fundamento normativo – Obligatoriedad </w:t>
            </w:r>
            <w:r w:rsidRPr="00E15FD8">
              <w:rPr>
                <w:rFonts w:ascii="Verdana" w:eastAsia="Aptos" w:hAnsi="Verdana" w:cs="Times New Roman"/>
              </w:rPr>
              <w:t xml:space="preserve">/ </w:t>
            </w:r>
            <w:r w:rsidRPr="00E15FD8">
              <w:rPr>
                <w:rFonts w:ascii="Verdana" w:eastAsia="Aptos" w:hAnsi="Verdana" w:cs="Times New Roman"/>
                <w:color w:val="000000"/>
              </w:rPr>
              <w:t xml:space="preserve">EXPERIENCIA – Acreditación − documentos tipo − Licitación de obra pública de infraestructura de transporte – Versión 4 / </w:t>
            </w:r>
            <w:r w:rsidRPr="00E15FD8">
              <w:rPr>
                <w:rFonts w:ascii="Verdana" w:eastAsia="Aptos" w:hAnsi="Verdana" w:cs="ArialMT"/>
              </w:rPr>
              <w:t xml:space="preserve">DOCUMENTOS TIPO  – Infraestructura de transporte – Versión 4 – Matriz 1 – Experiencia – Actividad 4.3 – Alcance </w:t>
            </w:r>
            <w:r w:rsidRPr="00E15FD8">
              <w:rPr>
                <w:rFonts w:ascii="Verdana" w:eastAsia="Calibri" w:hAnsi="Verdana" w:cs="Calibri"/>
              </w:rPr>
              <w:t>/ REMOCIÓN DE DERRUMBES – Anexo 3 – Glosario –Definición – Alcance</w:t>
            </w:r>
          </w:p>
          <w:p w14:paraId="17CD0A02" w14:textId="77777777" w:rsidR="00E15FD8" w:rsidRPr="00E15FD8" w:rsidRDefault="00E15FD8" w:rsidP="00E15FD8">
            <w:pPr>
              <w:snapToGrid w:val="0"/>
              <w:jc w:val="both"/>
              <w:rPr>
                <w:rFonts w:ascii="Verdana" w:eastAsia="Calibri" w:hAnsi="Verdana" w:cs="Arial"/>
                <w:lang w:eastAsia="es-ES"/>
              </w:rPr>
            </w:pPr>
          </w:p>
        </w:tc>
      </w:tr>
      <w:tr w:rsidR="00E15FD8" w:rsidRPr="00E15FD8" w14:paraId="25539AF3" w14:textId="77777777" w:rsidTr="00933CEA">
        <w:trPr>
          <w:trHeight w:val="556"/>
        </w:trPr>
        <w:tc>
          <w:tcPr>
            <w:tcW w:w="2725" w:type="dxa"/>
          </w:tcPr>
          <w:p w14:paraId="66F52AFA" w14:textId="77777777" w:rsidR="00E15FD8" w:rsidRPr="00E15FD8" w:rsidRDefault="00E15FD8" w:rsidP="00E15FD8">
            <w:pPr>
              <w:jc w:val="both"/>
              <w:rPr>
                <w:rFonts w:ascii="Verdana" w:eastAsia="Calibri" w:hAnsi="Verdana" w:cs="Arial"/>
                <w:b/>
                <w:bCs/>
                <w:lang w:eastAsia="es-ES_tradnl"/>
              </w:rPr>
            </w:pPr>
            <w:r w:rsidRPr="00E15FD8">
              <w:rPr>
                <w:rFonts w:ascii="Verdana" w:eastAsia="Calibri" w:hAnsi="Verdana" w:cs="Arial"/>
                <w:b/>
                <w:bCs/>
                <w:lang w:eastAsia="es-ES_tradnl"/>
              </w:rPr>
              <w:t xml:space="preserve">Radicación:               </w:t>
            </w:r>
          </w:p>
        </w:tc>
        <w:tc>
          <w:tcPr>
            <w:tcW w:w="6183" w:type="dxa"/>
          </w:tcPr>
          <w:p w14:paraId="667EB0DA" w14:textId="77777777" w:rsidR="00E15FD8" w:rsidRPr="00E15FD8" w:rsidRDefault="00E15FD8" w:rsidP="00E15FD8">
            <w:pPr>
              <w:snapToGrid w:val="0"/>
              <w:jc w:val="both"/>
              <w:rPr>
                <w:rFonts w:ascii="Verdana" w:eastAsia="Calibri" w:hAnsi="Verdana" w:cs="Arial"/>
                <w:lang w:eastAsia="es-ES_tradnl"/>
              </w:rPr>
            </w:pPr>
            <w:r w:rsidRPr="00E15FD8">
              <w:rPr>
                <w:rFonts w:ascii="Verdana" w:eastAsia="Calibri" w:hAnsi="Verdana" w:cs="Arial"/>
                <w:lang w:eastAsia="es-ES_tradnl"/>
              </w:rPr>
              <w:t xml:space="preserve">Respuesta a consulta con radicado No. </w:t>
            </w:r>
            <w:r w:rsidRPr="00E15FD8">
              <w:rPr>
                <w:rFonts w:ascii="Verdana" w:eastAsia="Calibri" w:hAnsi="Verdana" w:cs="Vrinda"/>
                <w:color w:val="000000"/>
                <w:lang w:val="es-ES_tradnl" w:eastAsia="es-ES_tradnl"/>
              </w:rPr>
              <w:t>1_2026_06_30_008646</w:t>
            </w:r>
          </w:p>
        </w:tc>
      </w:tr>
    </w:tbl>
    <w:p w14:paraId="136C2A81" w14:textId="77777777" w:rsidR="00E15FD8" w:rsidRPr="00E15FD8" w:rsidRDefault="00E15FD8" w:rsidP="00E15FD8">
      <w:pPr>
        <w:spacing w:after="0" w:line="240" w:lineRule="auto"/>
        <w:jc w:val="both"/>
        <w:rPr>
          <w:rFonts w:ascii="Verdana" w:eastAsia="Calibri" w:hAnsi="Verdana" w:cs="Arial"/>
          <w:b/>
          <w:bCs/>
          <w:lang w:eastAsia="es-ES"/>
        </w:rPr>
      </w:pPr>
      <w:r w:rsidRPr="00E15FD8">
        <w:rPr>
          <w:rFonts w:ascii="Verdana" w:eastAsia="Calibri" w:hAnsi="Verdana" w:cs="Arial"/>
          <w:b/>
          <w:bCs/>
          <w:lang w:eastAsia="es-ES"/>
        </w:rPr>
        <w:tab/>
      </w:r>
    </w:p>
    <w:p w14:paraId="37A7629E" w14:textId="77777777" w:rsidR="00E15FD8" w:rsidRPr="00E15FD8" w:rsidRDefault="00E15FD8" w:rsidP="00E15FD8">
      <w:pPr>
        <w:spacing w:after="0" w:line="240" w:lineRule="auto"/>
        <w:jc w:val="both"/>
        <w:rPr>
          <w:rFonts w:ascii="Verdana" w:eastAsia="Aptos" w:hAnsi="Verdana" w:cs="Times New Roman"/>
          <w:b/>
          <w:bCs/>
          <w:kern w:val="2"/>
          <w14:ligatures w14:val="standardContextual"/>
        </w:rPr>
      </w:pPr>
      <w:r w:rsidRPr="00E15FD8">
        <w:rPr>
          <w:rFonts w:ascii="Verdana" w:eastAsia="Calibri" w:hAnsi="Verdana" w:cs="Vrinda"/>
          <w:lang w:val="es-ES" w:eastAsia="es-ES"/>
        </w:rPr>
        <w:t xml:space="preserve">Estimado señor </w:t>
      </w:r>
      <w:r w:rsidRPr="00E15FD8">
        <w:rPr>
          <w:rFonts w:ascii="Verdana" w:eastAsia="Aptos" w:hAnsi="Verdana" w:cs="Times New Roman"/>
          <w:kern w:val="2"/>
          <w14:ligatures w14:val="standardContextual"/>
        </w:rPr>
        <w:t>Socarras Bonilla:</w:t>
      </w:r>
    </w:p>
    <w:p w14:paraId="2B7F1361" w14:textId="77777777" w:rsidR="00E15FD8" w:rsidRPr="00E15FD8" w:rsidRDefault="00E15FD8" w:rsidP="00E15FD8">
      <w:pPr>
        <w:spacing w:after="0" w:line="240" w:lineRule="auto"/>
        <w:jc w:val="both"/>
        <w:rPr>
          <w:rFonts w:ascii="Verdana" w:eastAsia="Aptos" w:hAnsi="Verdana" w:cs="Times New Roman"/>
          <w:b/>
          <w:bCs/>
          <w:kern w:val="2"/>
          <w14:ligatures w14:val="standardContextual"/>
        </w:rPr>
      </w:pPr>
    </w:p>
    <w:p w14:paraId="45172AC2" w14:textId="77777777" w:rsidR="00E15FD8" w:rsidRPr="00E15FD8" w:rsidRDefault="00E15FD8" w:rsidP="00E15FD8">
      <w:pPr>
        <w:spacing w:after="0" w:line="276" w:lineRule="auto"/>
        <w:jc w:val="both"/>
        <w:rPr>
          <w:rFonts w:ascii="Verdana" w:eastAsia="Calibri" w:hAnsi="Verdana" w:cs="Arial"/>
          <w:lang w:val="es-ES" w:eastAsia="es-ES"/>
        </w:rPr>
      </w:pPr>
      <w:r w:rsidRPr="00E15FD8">
        <w:rPr>
          <w:rFonts w:ascii="Verdana" w:eastAsia="Calibri" w:hAnsi="Verdana" w:cs="Arial"/>
          <w:lang w:val="es-ES" w:eastAsia="es-ES"/>
        </w:rPr>
        <w:t>En ejercicio de la competencia otorgada por los artículos 3, numeral 5º, y 11, numeral 8º, del Decreto Ley 4170 de 2011,</w:t>
      </w:r>
      <w:r w:rsidRPr="00E15FD8">
        <w:rPr>
          <w:rFonts w:ascii="Verdana" w:eastAsia="Arial MT" w:hAnsi="Verdana" w:cs="Arial MT"/>
          <w:lang w:val="es-ES" w:eastAsia="es-ES"/>
        </w:rPr>
        <w:t xml:space="preserve"> </w:t>
      </w:r>
      <w:r w:rsidRPr="00E15FD8">
        <w:rPr>
          <w:rFonts w:ascii="Verdana" w:eastAsia="Calibri" w:hAnsi="Verdana" w:cs="Arial"/>
          <w:lang w:eastAsia="es-MX"/>
        </w:rPr>
        <w:t xml:space="preserve">así como lo establecido por la </w:t>
      </w:r>
      <w:r w:rsidRPr="00E15FD8">
        <w:rPr>
          <w:rFonts w:ascii="Verdana" w:eastAsia="Aptos" w:hAnsi="Verdana" w:cs="Arial"/>
          <w:bCs/>
          <w:lang w:eastAsia="es-ES" w:bidi="es-ES"/>
        </w:rPr>
        <w:t>Resolución 469 de 2025 expedida por esta Entidad</w:t>
      </w:r>
      <w:r w:rsidRPr="00E15FD8">
        <w:rPr>
          <w:rFonts w:ascii="Verdana" w:eastAsia="Calibri" w:hAnsi="Verdana" w:cs="Arial"/>
          <w:lang w:eastAsia="es-MX"/>
        </w:rPr>
        <w:t xml:space="preserve">, </w:t>
      </w:r>
      <w:r w:rsidRPr="00E15FD8">
        <w:rPr>
          <w:rFonts w:ascii="Verdana" w:eastAsia="Calibri" w:hAnsi="Verdana" w:cs="Arial"/>
          <w:lang w:val="es-ES" w:eastAsia="es-ES"/>
        </w:rPr>
        <w:t xml:space="preserve">la Agencia Nacional de Contratación Pública – Colombia Compra Eficiente– responde su solicitud de consulta del 30 de junio de 2026, en la cual manifiesta lo siguiente: </w:t>
      </w:r>
    </w:p>
    <w:p w14:paraId="24D028FF" w14:textId="77777777" w:rsidR="00E15FD8" w:rsidRPr="00E15FD8" w:rsidRDefault="00E15FD8" w:rsidP="00E15FD8">
      <w:pPr>
        <w:spacing w:after="0" w:line="276" w:lineRule="auto"/>
        <w:jc w:val="both"/>
        <w:rPr>
          <w:rFonts w:ascii="Verdana" w:eastAsia="Calibri" w:hAnsi="Verdana" w:cs="Vrinda"/>
          <w:lang w:val="es-ES" w:eastAsia="es-ES"/>
        </w:rPr>
      </w:pPr>
    </w:p>
    <w:p w14:paraId="60C19447"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Arial"/>
          <w:color w:val="000000"/>
          <w:sz w:val="20"/>
          <w:szCs w:val="20"/>
          <w:lang w:val="es-MX"/>
          <w14:ligatures w14:val="standardContextual"/>
        </w:rPr>
        <w:t>“</w:t>
      </w:r>
      <w:r w:rsidRPr="00E15FD8">
        <w:rPr>
          <w:rFonts w:ascii="Verdana" w:eastAsia="Aptos" w:hAnsi="Verdana" w:cs="Times New Roman"/>
          <w:kern w:val="2"/>
          <w:sz w:val="20"/>
          <w:szCs w:val="20"/>
          <w14:ligatures w14:val="standardContextual"/>
        </w:rPr>
        <w:t xml:space="preserve">De manera atenten solicito hacer lo mejor posible de aclarar la MATRIZ 1 - EXPERIENCIA PARA PROYECTOS DE INFRAESTRUCTURA DE TRANSPORTE CUYA COMPLEJIDAD TÉCNICA CORRESPONDA A UN NIVEL ALTO y BAJO numeral 4.3 PROYECTOS DE ATENCION, PREVENCIÓN O MITIGACIÓN DE OBRAS DE EMERGENCIAS MEDIANTE OBRAS DE REMOCIÓN DE DERRUMBES. En cuanto a la EXPERIENCIA ESPECIFICA. Por lo menos uno de los contratos aportados como experiencia general, debe haber sido ejecutado en Proyectos de Atención o Prevención o Mitigación de Emergencias y El valor ejecutado del ítem de remoción de </w:t>
      </w:r>
      <w:r w:rsidRPr="00E15FD8">
        <w:rPr>
          <w:rFonts w:ascii="Verdana" w:eastAsia="Aptos" w:hAnsi="Verdana" w:cs="Times New Roman"/>
          <w:kern w:val="2"/>
          <w:sz w:val="20"/>
          <w:szCs w:val="20"/>
          <w14:ligatures w14:val="standardContextual"/>
        </w:rPr>
        <w:lastRenderedPageBreak/>
        <w:t xml:space="preserve">derrumbes de uno de los contratos debe corresponder como mínimo del XX% del Presupuesto Oficial. </w:t>
      </w:r>
    </w:p>
    <w:p w14:paraId="7D62593B"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[La entidad determinara el XX% del Presupuesto Oficial, dependiendo la naturaleza del proyecto] </w:t>
      </w:r>
    </w:p>
    <w:p w14:paraId="41062CC9"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La siguiente solicitud la hago no para que me resuelvan una consulta particular, es que ya se me ha presentado en varios procesos y cada evaluador interpreta de acuerdo a su criterio, para evitar las constante discusiones solicito de ustedes aclarar </w:t>
      </w:r>
      <w:proofErr w:type="spellStart"/>
      <w:r w:rsidRPr="00E15FD8">
        <w:rPr>
          <w:rFonts w:ascii="Verdana" w:eastAsia="Aptos" w:hAnsi="Verdana" w:cs="Times New Roman"/>
          <w:kern w:val="2"/>
          <w:sz w:val="20"/>
          <w:szCs w:val="20"/>
          <w14:ligatures w14:val="standardContextual"/>
        </w:rPr>
        <w:t>cual</w:t>
      </w:r>
      <w:proofErr w:type="spellEnd"/>
      <w:r w:rsidRPr="00E15FD8">
        <w:rPr>
          <w:rFonts w:ascii="Verdana" w:eastAsia="Aptos" w:hAnsi="Verdana" w:cs="Times New Roman"/>
          <w:kern w:val="2"/>
          <w:sz w:val="20"/>
          <w:szCs w:val="20"/>
          <w14:ligatures w14:val="standardContextual"/>
        </w:rPr>
        <w:t xml:space="preserve"> es el alcance a esta experiencia especifica. </w:t>
      </w:r>
    </w:p>
    <w:p w14:paraId="24F0FAB4"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Anexo para mayor claridad lo que se </w:t>
      </w:r>
      <w:proofErr w:type="spellStart"/>
      <w:r w:rsidRPr="00E15FD8">
        <w:rPr>
          <w:rFonts w:ascii="Verdana" w:eastAsia="Aptos" w:hAnsi="Verdana" w:cs="Times New Roman"/>
          <w:kern w:val="2"/>
          <w:sz w:val="20"/>
          <w:szCs w:val="20"/>
          <w14:ligatures w14:val="standardContextual"/>
        </w:rPr>
        <w:t>esta</w:t>
      </w:r>
      <w:proofErr w:type="spellEnd"/>
      <w:r w:rsidRPr="00E15FD8">
        <w:rPr>
          <w:rFonts w:ascii="Verdana" w:eastAsia="Aptos" w:hAnsi="Verdana" w:cs="Times New Roman"/>
          <w:kern w:val="2"/>
          <w:sz w:val="20"/>
          <w:szCs w:val="20"/>
          <w14:ligatures w14:val="standardContextual"/>
        </w:rPr>
        <w:t xml:space="preserve"> presentando con la interpretación de la EXPERIENCIA ESPECIFICA: Por lo menos uno de los contratos aportados como experiencia general, debe haber sido ejecutado en Proyectos de Atención o Prevención o Mitigación de Emergencias y El valor ejecutado del ítem de remoción de derrumbes de uno de los contratos debe corresponder como mínimo del 100% del Presupuesto Oficial.</w:t>
      </w:r>
    </w:p>
    <w:p w14:paraId="4BCEA382"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Con el objeto como lo exige el pliego para la experiencia especifica, el cual contiene de forma expresa .Objeto: </w:t>
      </w:r>
      <w:proofErr w:type="spellStart"/>
      <w:r w:rsidRPr="00E15FD8">
        <w:rPr>
          <w:rFonts w:ascii="Verdana" w:eastAsia="Aptos" w:hAnsi="Verdana" w:cs="Times New Roman"/>
          <w:kern w:val="2"/>
          <w:sz w:val="20"/>
          <w:szCs w:val="20"/>
          <w14:ligatures w14:val="standardContextual"/>
        </w:rPr>
        <w:t>Atencion</w:t>
      </w:r>
      <w:proofErr w:type="spellEnd"/>
      <w:r w:rsidRPr="00E15FD8">
        <w:rPr>
          <w:rFonts w:ascii="Verdana" w:eastAsia="Aptos" w:hAnsi="Verdana" w:cs="Times New Roman"/>
          <w:kern w:val="2"/>
          <w:sz w:val="20"/>
          <w:szCs w:val="20"/>
          <w14:ligatures w14:val="standardContextual"/>
        </w:rPr>
        <w:t xml:space="preserve"> obras de emergencia en la carretera… y literal tres ítems ejecutados: </w:t>
      </w:r>
    </w:p>
    <w:p w14:paraId="51637D14"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 Ítem X: Remoción de derrumbes. </w:t>
      </w:r>
    </w:p>
    <w:p w14:paraId="70C253B6"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 Item Y: Derecho y </w:t>
      </w:r>
      <w:proofErr w:type="spellStart"/>
      <w:r w:rsidRPr="00E15FD8">
        <w:rPr>
          <w:rFonts w:ascii="Verdana" w:eastAsia="Aptos" w:hAnsi="Verdana" w:cs="Times New Roman"/>
          <w:kern w:val="2"/>
          <w:sz w:val="20"/>
          <w:szCs w:val="20"/>
          <w14:ligatures w14:val="standardContextual"/>
        </w:rPr>
        <w:t>conformacion</w:t>
      </w:r>
      <w:proofErr w:type="spellEnd"/>
      <w:r w:rsidRPr="00E15FD8">
        <w:rPr>
          <w:rFonts w:ascii="Verdana" w:eastAsia="Aptos" w:hAnsi="Verdana" w:cs="Times New Roman"/>
          <w:kern w:val="2"/>
          <w:sz w:val="20"/>
          <w:szCs w:val="20"/>
          <w14:ligatures w14:val="standardContextual"/>
        </w:rPr>
        <w:t xml:space="preserve"> de sitios de disposición de material de derrumbe</w:t>
      </w:r>
    </w:p>
    <w:p w14:paraId="6A125916"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 Ítem Z: Transporte de materiales proveniente de derrumbes. </w:t>
      </w:r>
    </w:p>
    <w:p w14:paraId="5CF09774"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El Comité Evaluador incurre en un formalismo excesivo y en un error técnico si pretende restar valor a los Ítem Y </w:t>
      </w:r>
      <w:proofErr w:type="spellStart"/>
      <w:r w:rsidRPr="00E15FD8">
        <w:rPr>
          <w:rFonts w:ascii="Verdana" w:eastAsia="Aptos" w:hAnsi="Verdana" w:cs="Times New Roman"/>
          <w:kern w:val="2"/>
          <w:sz w:val="20"/>
          <w:szCs w:val="20"/>
          <w14:ligatures w14:val="standardContextual"/>
        </w:rPr>
        <w:t>y</w:t>
      </w:r>
      <w:proofErr w:type="spellEnd"/>
      <w:r w:rsidRPr="00E15FD8">
        <w:rPr>
          <w:rFonts w:ascii="Verdana" w:eastAsia="Aptos" w:hAnsi="Verdana" w:cs="Times New Roman"/>
          <w:kern w:val="2"/>
          <w:sz w:val="20"/>
          <w:szCs w:val="20"/>
          <w14:ligatures w14:val="standardContextual"/>
        </w:rPr>
        <w:t xml:space="preserve"> Z. el Comité Evaluador, solamente acepta el </w:t>
      </w:r>
      <w:proofErr w:type="spellStart"/>
      <w:r w:rsidRPr="00E15FD8">
        <w:rPr>
          <w:rFonts w:ascii="Verdana" w:eastAsia="Aptos" w:hAnsi="Verdana" w:cs="Times New Roman"/>
          <w:kern w:val="2"/>
          <w:sz w:val="20"/>
          <w:szCs w:val="20"/>
          <w14:ligatures w14:val="standardContextual"/>
        </w:rPr>
        <w:t>el</w:t>
      </w:r>
      <w:proofErr w:type="spellEnd"/>
      <w:r w:rsidRPr="00E15FD8">
        <w:rPr>
          <w:rFonts w:ascii="Verdana" w:eastAsia="Aptos" w:hAnsi="Verdana" w:cs="Times New Roman"/>
          <w:kern w:val="2"/>
          <w:sz w:val="20"/>
          <w:szCs w:val="20"/>
          <w14:ligatures w14:val="standardContextual"/>
        </w:rPr>
        <w:t xml:space="preserve"> </w:t>
      </w:r>
      <w:proofErr w:type="spellStart"/>
      <w:r w:rsidRPr="00E15FD8">
        <w:rPr>
          <w:rFonts w:ascii="Verdana" w:eastAsia="Aptos" w:hAnsi="Verdana" w:cs="Times New Roman"/>
          <w:kern w:val="2"/>
          <w:sz w:val="20"/>
          <w:szCs w:val="20"/>
          <w14:ligatures w14:val="standardContextual"/>
        </w:rPr>
        <w:t>item</w:t>
      </w:r>
      <w:proofErr w:type="spellEnd"/>
      <w:r w:rsidRPr="00E15FD8">
        <w:rPr>
          <w:rFonts w:ascii="Verdana" w:eastAsia="Aptos" w:hAnsi="Verdana" w:cs="Times New Roman"/>
          <w:kern w:val="2"/>
          <w:sz w:val="20"/>
          <w:szCs w:val="20"/>
          <w14:ligatures w14:val="standardContextual"/>
        </w:rPr>
        <w:t xml:space="preserve"> X. por lo tanto no se cumple con el 100% del presupuesto oficial. Conforme al Artículo 211 del Manual de Especificaciones Técnicas Generales de Construcción de Carreteras del INVIAS (normativa que rige los Pliegos Tipo de Infraestructura), la actividad de remoción de derrumbes se define técnicamente como:</w:t>
      </w:r>
    </w:p>
    <w:p w14:paraId="14EF1DA7"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 xml:space="preserve">“Este trabajo consiste en la remoción, desecho y disposición o en la remoción, cargue, transporte hasta la distancia de acarreo libre, descargue y disposición de los materiales provenientes del desplazamiento de taludes…” </w:t>
      </w:r>
    </w:p>
    <w:p w14:paraId="34514159"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09" w:right="709"/>
        <w:jc w:val="both"/>
        <w:rPr>
          <w:rFonts w:ascii="Verdana" w:eastAsia="Aptos" w:hAnsi="Verdana" w:cs="Times New Roman"/>
          <w:kern w:val="2"/>
          <w:sz w:val="20"/>
          <w:szCs w:val="20"/>
          <w14:ligatures w14:val="standardContextual"/>
        </w:rPr>
      </w:pPr>
      <w:r w:rsidRPr="00E15FD8">
        <w:rPr>
          <w:rFonts w:ascii="Verdana" w:eastAsia="Aptos" w:hAnsi="Verdana" w:cs="Times New Roman"/>
          <w:kern w:val="2"/>
          <w:sz w:val="20"/>
          <w:szCs w:val="20"/>
          <w14:ligatures w14:val="standardContextual"/>
        </w:rPr>
        <w:t>De igual forma, el Artículo 211.7.1 del INVIAS y la práctica de la ingeniería civil dictaminan que el ítem principal solo cubre el acarreo libre hasta 100 metros. Si el sitio de disposición final (botadero) supera esa distancia, la contabilidad contractual obliga a pagar el remanente bajo el ítem específico de “Transporte de material proveniente de derrumbes”</w:t>
      </w:r>
      <w:r w:rsidRPr="00E15FD8">
        <w:rPr>
          <w:rFonts w:ascii="Verdana" w:eastAsia="Aptos" w:hAnsi="Verdana" w:cs="Arial"/>
          <w:color w:val="000000"/>
          <w:sz w:val="20"/>
          <w:szCs w:val="20"/>
          <w:lang w:val="es-MX"/>
          <w14:ligatures w14:val="standardContextual"/>
        </w:rPr>
        <w:t xml:space="preserve">”. </w:t>
      </w:r>
    </w:p>
    <w:p w14:paraId="2C44B738" w14:textId="77777777" w:rsidR="00E15FD8" w:rsidRPr="00E15FD8" w:rsidRDefault="00E15FD8" w:rsidP="00E15FD8">
      <w:pPr>
        <w:spacing w:after="0" w:line="240" w:lineRule="auto"/>
        <w:jc w:val="both"/>
        <w:rPr>
          <w:rFonts w:ascii="Verdana" w:eastAsia="Calibri" w:hAnsi="Verdana" w:cs="Arial"/>
          <w:color w:val="000000"/>
          <w:sz w:val="21"/>
          <w:szCs w:val="21"/>
          <w:lang w:eastAsia="es-ES"/>
        </w:rPr>
      </w:pPr>
    </w:p>
    <w:p w14:paraId="6335A88C" w14:textId="77777777" w:rsidR="00E15FD8" w:rsidRPr="00E15FD8" w:rsidRDefault="00E15FD8" w:rsidP="00E15FD8">
      <w:pPr>
        <w:spacing w:after="120" w:line="276" w:lineRule="auto"/>
        <w:ind w:firstLine="709"/>
        <w:jc w:val="both"/>
        <w:rPr>
          <w:rFonts w:ascii="Verdana" w:eastAsia="Calibri" w:hAnsi="Verdana" w:cs="Arial"/>
          <w:color w:val="000000"/>
          <w:lang w:eastAsia="es-ES"/>
        </w:rPr>
      </w:pPr>
      <w:r w:rsidRPr="00E15FD8">
        <w:rPr>
          <w:rFonts w:ascii="Verdana" w:eastAsia="Calibri" w:hAnsi="Verdana" w:cs="Arial"/>
          <w:color w:val="000000"/>
          <w:lang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15FD8">
        <w:rPr>
          <w:rFonts w:ascii="Verdana" w:eastAsia="Calibri" w:hAnsi="Verdana" w:cs="Arial"/>
          <w:color w:val="000000"/>
          <w:lang w:eastAsia="es-ES"/>
        </w:rPr>
        <w:tab/>
      </w:r>
    </w:p>
    <w:p w14:paraId="1C8FEE75" w14:textId="77777777" w:rsidR="00E15FD8" w:rsidRPr="00E15FD8" w:rsidRDefault="00E15FD8" w:rsidP="00E15FD8">
      <w:pPr>
        <w:spacing w:after="0" w:line="276" w:lineRule="auto"/>
        <w:ind w:firstLine="709"/>
        <w:jc w:val="both"/>
        <w:rPr>
          <w:rFonts w:ascii="Verdana" w:eastAsia="Calibri" w:hAnsi="Verdana" w:cs="Arial"/>
          <w:color w:val="000000"/>
          <w:lang w:eastAsia="es-ES"/>
        </w:rPr>
      </w:pPr>
      <w:r w:rsidRPr="00E15FD8">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58BBD20C" w14:textId="77777777" w:rsidR="00E15FD8" w:rsidRPr="00E15FD8" w:rsidRDefault="00E15FD8" w:rsidP="00E15FD8">
      <w:pPr>
        <w:spacing w:after="0" w:line="276" w:lineRule="auto"/>
        <w:jc w:val="both"/>
        <w:rPr>
          <w:rFonts w:ascii="Verdana" w:eastAsia="Calibri" w:hAnsi="Verdana" w:cs="Arial"/>
          <w:color w:val="000000"/>
          <w:lang w:eastAsia="es-ES"/>
        </w:rPr>
      </w:pPr>
    </w:p>
    <w:p w14:paraId="38760481" w14:textId="77777777" w:rsidR="00E15FD8" w:rsidRPr="00E15FD8" w:rsidRDefault="00E15FD8" w:rsidP="00E15FD8">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Problema planteado:</w:t>
      </w:r>
    </w:p>
    <w:p w14:paraId="2297A327" w14:textId="77777777" w:rsidR="00E15FD8" w:rsidRPr="00E15FD8" w:rsidRDefault="00E15FD8" w:rsidP="00E15FD8">
      <w:pPr>
        <w:tabs>
          <w:tab w:val="left" w:pos="142"/>
          <w:tab w:val="left" w:pos="284"/>
        </w:tabs>
        <w:spacing w:after="0" w:line="276" w:lineRule="auto"/>
        <w:jc w:val="both"/>
        <w:rPr>
          <w:rFonts w:ascii="Verdana" w:eastAsia="Century Gothic" w:hAnsi="Verdana" w:cs="Century Gothic"/>
          <w:b/>
          <w:bCs/>
        </w:rPr>
      </w:pPr>
    </w:p>
    <w:p w14:paraId="2E5AE44A" w14:textId="77777777" w:rsidR="00E15FD8" w:rsidRPr="00E15FD8" w:rsidRDefault="00E15FD8" w:rsidP="00E15FD8">
      <w:pPr>
        <w:spacing w:after="0" w:line="276" w:lineRule="auto"/>
        <w:jc w:val="both"/>
        <w:rPr>
          <w:rFonts w:ascii="Verdana" w:eastAsia="Century Gothic" w:hAnsi="Verdana" w:cs="Century Gothic"/>
          <w:lang w:val="es-ES_tradnl"/>
        </w:rPr>
      </w:pPr>
      <w:r w:rsidRPr="00E15FD8">
        <w:rPr>
          <w:rFonts w:ascii="Verdana" w:eastAsia="Century Gothic" w:hAnsi="Verdana" w:cs="Century Gothic"/>
        </w:rPr>
        <w:t xml:space="preserve">De acuerdo con el contenido de su solicitud, en relación con los </w:t>
      </w:r>
      <w:r w:rsidRPr="00E15FD8">
        <w:rPr>
          <w:rFonts w:ascii="Verdana" w:eastAsia="Aptos" w:hAnsi="Verdana" w:cs="Times New Roman"/>
        </w:rPr>
        <w:t xml:space="preserve">documentos tipo de licitación de obra pública de infraestructura de transporte – versión 4, </w:t>
      </w:r>
      <w:r w:rsidRPr="00E15FD8">
        <w:rPr>
          <w:rFonts w:ascii="Verdana" w:eastAsia="Century Gothic" w:hAnsi="Verdana" w:cs="Century Gothic"/>
        </w:rPr>
        <w:t xml:space="preserve">esta Agencia resolverá el siguiente problema jurídico: i) ¿Cuál es el alcance de lo dispuesto en la actividad 4.3 de la Matriz 1 – Experiencia en relación con la experiencia general y específica? </w:t>
      </w:r>
    </w:p>
    <w:p w14:paraId="6FF4AB8B" w14:textId="77777777" w:rsidR="00E15FD8" w:rsidRPr="00E15FD8" w:rsidRDefault="00E15FD8" w:rsidP="00E15FD8">
      <w:pPr>
        <w:tabs>
          <w:tab w:val="left" w:pos="142"/>
          <w:tab w:val="left" w:pos="284"/>
        </w:tabs>
        <w:spacing w:after="0" w:line="276" w:lineRule="auto"/>
        <w:jc w:val="both"/>
        <w:rPr>
          <w:rFonts w:ascii="Verdana" w:eastAsia="Calibri" w:hAnsi="Verdana" w:cs="Arial"/>
          <w:color w:val="7030A0"/>
          <w:lang w:val="es-ES_tradnl"/>
        </w:rPr>
      </w:pPr>
    </w:p>
    <w:p w14:paraId="1865EA56" w14:textId="77777777" w:rsidR="00E15FD8" w:rsidRPr="00E15FD8" w:rsidRDefault="00E15FD8" w:rsidP="00E15FD8">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Respuesta:</w:t>
      </w:r>
    </w:p>
    <w:p w14:paraId="18DB9BDE" w14:textId="77777777" w:rsidR="00E15FD8" w:rsidRPr="00E15FD8" w:rsidRDefault="00E15FD8" w:rsidP="00E15FD8">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15FD8" w:rsidRPr="00E15FD8" w14:paraId="41965DB9" w14:textId="77777777" w:rsidTr="00933CEA">
        <w:tc>
          <w:tcPr>
            <w:tcW w:w="8828" w:type="dxa"/>
          </w:tcPr>
          <w:p w14:paraId="3BF75716" w14:textId="77777777" w:rsidR="00E15FD8" w:rsidRPr="00E15FD8" w:rsidRDefault="00E15FD8" w:rsidP="00E15FD8">
            <w:pPr>
              <w:spacing w:line="276" w:lineRule="auto"/>
              <w:jc w:val="both"/>
              <w:rPr>
                <w:rFonts w:ascii="Verdana" w:eastAsia="Calibri" w:hAnsi="Verdana" w:cs="Times New Roman"/>
              </w:rPr>
            </w:pPr>
            <w:r w:rsidRPr="00E15FD8">
              <w:rPr>
                <w:rFonts w:ascii="Verdana" w:eastAsia="Calibri" w:hAnsi="Verdana" w:cs="Arial"/>
              </w:rPr>
              <w:t xml:space="preserve">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w:t>
            </w:r>
            <w:r w:rsidRPr="00E15FD8">
              <w:rPr>
                <w:rFonts w:ascii="Verdana" w:eastAsia="Aptos" w:hAnsi="Verdana" w:cs="Arial"/>
                <w:color w:val="000000"/>
                <w:lang w:val="es-ES_tradnl"/>
              </w:rPr>
              <w:t>incluye cinco (5) actividades dentro de las cuales, se encuentra la dispuesta en el numeral 4.3 relacionada con “</w:t>
            </w:r>
            <w:r w:rsidRPr="00E15FD8">
              <w:rPr>
                <w:rFonts w:ascii="Aptos" w:eastAsia="Aptos" w:hAnsi="Aptos" w:cs="Times New Roman"/>
              </w:rPr>
              <w:t>PROYECTOS DE ATENCION, PREVENCIÓN O MITIGACIÓN DE OBRAS DE EMERGENCIAS MEDIANTE OBRAS DE REMOCIÓN DE DERRUMBES</w:t>
            </w:r>
            <w:r w:rsidRPr="00E15FD8">
              <w:rPr>
                <w:rFonts w:ascii="Verdana" w:eastAsia="Aptos" w:hAnsi="Verdana" w:cs="Arial"/>
                <w:color w:val="000000"/>
                <w:lang w:val="es-ES_tradnl"/>
              </w:rPr>
              <w:t xml:space="preserve">”. </w:t>
            </w:r>
            <w:r w:rsidRPr="00E15FD8">
              <w:rPr>
                <w:rFonts w:ascii="Verdana" w:eastAsia="Aptos" w:hAnsi="Verdana" w:cs="Times New Roman"/>
              </w:rPr>
              <w:t xml:space="preserve">Para esta actividad, en proyectos de alta </w:t>
            </w:r>
            <w:r w:rsidRPr="00E15FD8">
              <w:rPr>
                <w:rFonts w:ascii="Verdana" w:eastAsia="Aptos" w:hAnsi="Verdana" w:cs="Times New Roman"/>
              </w:rPr>
              <w:lastRenderedPageBreak/>
              <w:t>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1AD4ACC1" w14:textId="77777777" w:rsidR="00E15FD8" w:rsidRPr="00E15FD8" w:rsidRDefault="00E15FD8" w:rsidP="00E15FD8">
            <w:pPr>
              <w:spacing w:line="276" w:lineRule="auto"/>
              <w:ind w:firstLine="709"/>
              <w:jc w:val="both"/>
              <w:rPr>
                <w:rFonts w:ascii="Verdana" w:eastAsia="Aptos" w:hAnsi="Verdana" w:cs="Arial"/>
                <w:color w:val="000000"/>
                <w:lang w:val="es-ES_tradnl"/>
              </w:rPr>
            </w:pPr>
          </w:p>
          <w:p w14:paraId="6BF41FB5" w14:textId="77777777" w:rsidR="00E15FD8" w:rsidRPr="00E15FD8" w:rsidRDefault="00E15FD8" w:rsidP="00E15FD8">
            <w:pPr>
              <w:spacing w:after="120"/>
              <w:ind w:left="709" w:right="709"/>
              <w:jc w:val="both"/>
              <w:rPr>
                <w:rFonts w:ascii="Verdana" w:eastAsia="Calibri" w:hAnsi="Verdana" w:cs="Calibri"/>
                <w:b/>
                <w:bCs/>
                <w:i/>
                <w:iCs/>
                <w:sz w:val="21"/>
                <w:szCs w:val="21"/>
                <w:u w:val="single"/>
              </w:rPr>
            </w:pPr>
            <w:r w:rsidRPr="00E15FD8">
              <w:rPr>
                <w:rFonts w:ascii="Verdana" w:eastAsia="Calibri" w:hAnsi="Verdana" w:cs="Calibri"/>
                <w:b/>
                <w:bCs/>
                <w:sz w:val="21"/>
                <w:szCs w:val="21"/>
                <w:u w:val="single"/>
              </w:rPr>
              <w:t>“</w:t>
            </w:r>
            <w:r w:rsidRPr="00E15FD8">
              <w:rPr>
                <w:rFonts w:ascii="Verdana" w:eastAsia="Calibri" w:hAnsi="Verdana" w:cs="Calibri"/>
                <w:b/>
                <w:bCs/>
                <w:i/>
                <w:iCs/>
                <w:sz w:val="21"/>
                <w:szCs w:val="21"/>
                <w:u w:val="single"/>
              </w:rPr>
              <w:t>GENERAL</w:t>
            </w:r>
          </w:p>
          <w:p w14:paraId="0F715A6B" w14:textId="77777777" w:rsidR="00E15FD8" w:rsidRPr="00E15FD8" w:rsidRDefault="00E15FD8" w:rsidP="00E15FD8">
            <w:pPr>
              <w:spacing w:after="120"/>
              <w:ind w:left="709" w:right="709"/>
              <w:jc w:val="both"/>
              <w:rPr>
                <w:rFonts w:ascii="Verdana" w:eastAsia="Calibri" w:hAnsi="Verdana" w:cs="Times New Roman"/>
                <w:i/>
                <w:iCs/>
                <w:sz w:val="21"/>
                <w:szCs w:val="21"/>
              </w:rPr>
            </w:pPr>
            <w:r w:rsidRPr="00E15FD8">
              <w:rPr>
                <w:rFonts w:ascii="Verdana" w:eastAsia="Calibri" w:hAnsi="Verdana" w:cs="Times New Roman"/>
                <w:i/>
                <w:iCs/>
                <w:sz w:val="21"/>
                <w:szCs w:val="21"/>
              </w:rPr>
              <w:t>PROYECTOS QUE CORRESPONDAN O HAYAN CONTENIDO ACTIVIDADES DE: REMOCIÓN DE DERRUMBES O MOVIMIENTO DE TIERRAS.</w:t>
            </w:r>
          </w:p>
          <w:p w14:paraId="0AA6717F" w14:textId="77777777" w:rsidR="00E15FD8" w:rsidRPr="00E15FD8" w:rsidRDefault="00E15FD8" w:rsidP="00E15FD8">
            <w:pPr>
              <w:spacing w:after="120"/>
              <w:ind w:left="709" w:right="709"/>
              <w:jc w:val="both"/>
              <w:rPr>
                <w:rFonts w:ascii="Verdana" w:eastAsia="Calibri" w:hAnsi="Verdana" w:cs="Calibri"/>
                <w:i/>
                <w:iCs/>
                <w:sz w:val="21"/>
                <w:szCs w:val="21"/>
              </w:rPr>
            </w:pPr>
            <w:r w:rsidRPr="00E15FD8">
              <w:rPr>
                <w:rFonts w:ascii="Verdana" w:eastAsia="Calibri" w:hAnsi="Verdana" w:cs="Calibri"/>
                <w:b/>
                <w:bCs/>
                <w:i/>
                <w:iCs/>
                <w:sz w:val="21"/>
                <w:szCs w:val="21"/>
                <w:u w:val="single"/>
              </w:rPr>
              <w:t>ESPECIFICA</w:t>
            </w:r>
          </w:p>
          <w:p w14:paraId="2E5CD893" w14:textId="77777777" w:rsidR="00E15FD8" w:rsidRPr="00E15FD8" w:rsidRDefault="00E15FD8" w:rsidP="00E15FD8">
            <w:pPr>
              <w:ind w:left="709" w:right="709"/>
              <w:jc w:val="both"/>
              <w:rPr>
                <w:rFonts w:ascii="Verdana" w:eastAsia="Calibri" w:hAnsi="Verdana" w:cs="Calibri"/>
                <w:i/>
                <w:iCs/>
                <w:sz w:val="21"/>
                <w:szCs w:val="21"/>
              </w:rPr>
            </w:pPr>
            <w:r w:rsidRPr="00E15FD8">
              <w:rPr>
                <w:rFonts w:ascii="Verdana" w:eastAsia="Calibri" w:hAnsi="Verdana" w:cs="Calibri"/>
                <w:i/>
                <w:iCs/>
                <w:sz w:val="21"/>
                <w:szCs w:val="21"/>
              </w:rPr>
              <w:t xml:space="preserve">Por lo menos uno de los contratos aportados como experiencia general, debe haber sido ejecutado en Proyectos de Atención o Prevención o Mitigación de Emergencias y El valor ejecutado del ítem de remoción de derrumbes de uno de los contratos debe corresponder como mínimo del XX% del Presupuesto Oficial. </w:t>
            </w:r>
          </w:p>
          <w:p w14:paraId="3AED4529" w14:textId="77777777" w:rsidR="00E15FD8" w:rsidRPr="00E15FD8" w:rsidRDefault="00E15FD8" w:rsidP="00E15FD8">
            <w:pPr>
              <w:ind w:left="709" w:right="709"/>
              <w:jc w:val="both"/>
              <w:rPr>
                <w:rFonts w:ascii="Verdana" w:eastAsia="Calibri" w:hAnsi="Verdana" w:cs="Calibri"/>
                <w:i/>
                <w:iCs/>
                <w:sz w:val="21"/>
                <w:szCs w:val="21"/>
              </w:rPr>
            </w:pPr>
            <w:r w:rsidRPr="00E15FD8">
              <w:rPr>
                <w:rFonts w:ascii="Verdana" w:eastAsia="Calibri" w:hAnsi="Verdana" w:cs="Calibri"/>
                <w:i/>
                <w:iCs/>
                <w:sz w:val="21"/>
                <w:szCs w:val="21"/>
              </w:rPr>
              <w:t>[La entidad determinara el XX% del Presupuesto Oficial, dependiendo la naturaleza del proyecto]”.</w:t>
            </w:r>
          </w:p>
          <w:p w14:paraId="3B8313DB" w14:textId="77777777" w:rsidR="00E15FD8" w:rsidRPr="00E15FD8" w:rsidRDefault="00E15FD8" w:rsidP="00E15FD8">
            <w:pPr>
              <w:ind w:left="709" w:right="709"/>
              <w:jc w:val="both"/>
              <w:rPr>
                <w:rFonts w:ascii="Verdana" w:eastAsia="Calibri" w:hAnsi="Verdana" w:cs="Calibri"/>
                <w:sz w:val="21"/>
                <w:szCs w:val="21"/>
              </w:rPr>
            </w:pPr>
          </w:p>
          <w:p w14:paraId="2E9D89DB" w14:textId="77777777" w:rsidR="00E15FD8" w:rsidRPr="00E15FD8" w:rsidRDefault="00E15FD8" w:rsidP="00E15FD8">
            <w:pPr>
              <w:spacing w:after="120"/>
              <w:ind w:left="709" w:right="709"/>
              <w:jc w:val="both"/>
              <w:rPr>
                <w:rFonts w:ascii="Verdana" w:eastAsia="Calibri" w:hAnsi="Verdana" w:cs="Times New Roman"/>
                <w:i/>
                <w:iCs/>
                <w:sz w:val="21"/>
                <w:szCs w:val="21"/>
              </w:rPr>
            </w:pPr>
            <w:r w:rsidRPr="00E15FD8">
              <w:rPr>
                <w:rFonts w:ascii="Verdana" w:eastAsia="Calibri" w:hAnsi="Verdana" w:cs="Times New Roman"/>
                <w:i/>
                <w:iCs/>
                <w:sz w:val="21"/>
                <w:szCs w:val="21"/>
              </w:rPr>
              <w:t xml:space="preserve">%: de dimensionamiento: i) &lt; 100 SMMLV, Entre 100 y 1.000 SMMLV: 100%; </w:t>
            </w:r>
            <w:proofErr w:type="spellStart"/>
            <w:r w:rsidRPr="00E15FD8">
              <w:rPr>
                <w:rFonts w:ascii="Verdana" w:eastAsia="Calibri" w:hAnsi="Verdana" w:cs="Times New Roman"/>
                <w:i/>
                <w:iCs/>
                <w:sz w:val="21"/>
                <w:szCs w:val="21"/>
              </w:rPr>
              <w:t>ii</w:t>
            </w:r>
            <w:proofErr w:type="spellEnd"/>
            <w:r w:rsidRPr="00E15FD8">
              <w:rPr>
                <w:rFonts w:ascii="Verdana" w:eastAsia="Calibri" w:hAnsi="Verdana" w:cs="Times New Roman"/>
                <w:i/>
                <w:iCs/>
                <w:sz w:val="21"/>
                <w:szCs w:val="21"/>
              </w:rPr>
              <w:t xml:space="preserve">) Entre 1.001 y 13.000 SMMLV, Entre 13.001 y 27.000 SMMLV: 85%; y </w:t>
            </w:r>
            <w:proofErr w:type="spellStart"/>
            <w:r w:rsidRPr="00E15FD8">
              <w:rPr>
                <w:rFonts w:ascii="Verdana" w:eastAsia="Calibri" w:hAnsi="Verdana" w:cs="Times New Roman"/>
                <w:i/>
                <w:iCs/>
                <w:sz w:val="21"/>
                <w:szCs w:val="21"/>
              </w:rPr>
              <w:t>iii</w:t>
            </w:r>
            <w:proofErr w:type="spellEnd"/>
            <w:r w:rsidRPr="00E15FD8">
              <w:rPr>
                <w:rFonts w:ascii="Verdana" w:eastAsia="Calibri" w:hAnsi="Verdana" w:cs="Times New Roman"/>
                <w:i/>
                <w:iCs/>
                <w:sz w:val="21"/>
                <w:szCs w:val="21"/>
              </w:rPr>
              <w:t>) Mayor o igual a 27.001 SMMLV: 70%.</w:t>
            </w:r>
          </w:p>
          <w:p w14:paraId="6CBE7378" w14:textId="77777777" w:rsidR="00E15FD8" w:rsidRPr="00E15FD8" w:rsidRDefault="00E15FD8" w:rsidP="00E15FD8">
            <w:pPr>
              <w:ind w:left="709" w:right="709"/>
              <w:jc w:val="both"/>
              <w:rPr>
                <w:rFonts w:ascii="Verdana" w:eastAsia="Calibri" w:hAnsi="Verdana" w:cs="Calibri"/>
                <w:sz w:val="21"/>
                <w:szCs w:val="21"/>
              </w:rPr>
            </w:pPr>
          </w:p>
          <w:p w14:paraId="6160A56C" w14:textId="77777777" w:rsidR="00E15FD8" w:rsidRPr="00E15FD8" w:rsidRDefault="00E15FD8" w:rsidP="00E15FD8">
            <w:pPr>
              <w:spacing w:after="120" w:line="276" w:lineRule="auto"/>
              <w:ind w:firstLine="709"/>
              <w:jc w:val="both"/>
              <w:rPr>
                <w:rFonts w:ascii="Verdana" w:eastAsia="Aptos" w:hAnsi="Verdana" w:cs="Arial"/>
                <w:color w:val="000000"/>
                <w:lang w:val="es-ES_tradnl"/>
              </w:rPr>
            </w:pPr>
            <w:r w:rsidRPr="00E15FD8">
              <w:rPr>
                <w:rFonts w:ascii="Verdana" w:eastAsia="Aptos" w:hAnsi="Verdana" w:cs="Times New Roman"/>
              </w:rPr>
              <w:t xml:space="preserve">De acuerdo con lo señalado en la Matriz 1 – Experiencia, para la actividad 4.3, la experiencia general podrá acreditarse con proyectos que correspondan o hayan contenido actividades de remoción de derrumbes o movimiento de tierras. Por su parte, para la experiencia específica, por lo menos uno (1) de los contratos aportados como experiencia general debe corresponder a proyectos de atención, prevención o mitigación de emergencias, y el valor ejecutado del ítem de remoción de derrumbes </w:t>
            </w:r>
            <w:r w:rsidRPr="00E15FD8">
              <w:rPr>
                <w:rFonts w:ascii="Verdana" w:eastAsia="Aptos" w:hAnsi="Verdana" w:cs="Arial"/>
                <w:color w:val="000000"/>
                <w:lang w:val="es-ES_tradnl"/>
              </w:rPr>
              <w:t xml:space="preserve">de uno de los contratos debe corresponde como mínimo del XX% del presupuesto oficial. Ahora bien, el porcentaje del presupuesto oficial se determinará por parte de la entidad dependiendo la naturaleza del proyecto. </w:t>
            </w:r>
          </w:p>
          <w:p w14:paraId="53B7108D" w14:textId="77777777" w:rsidR="00E15FD8" w:rsidRPr="00E15FD8" w:rsidRDefault="00E15FD8" w:rsidP="00E15FD8">
            <w:pPr>
              <w:spacing w:after="120" w:line="276" w:lineRule="auto"/>
              <w:ind w:firstLine="709"/>
              <w:jc w:val="both"/>
              <w:rPr>
                <w:rFonts w:ascii="Verdana" w:eastAsia="Aptos" w:hAnsi="Verdana" w:cs="Times New Roman"/>
              </w:rPr>
            </w:pPr>
            <w:r w:rsidRPr="00E15FD8">
              <w:rPr>
                <w:rFonts w:ascii="Verdana" w:eastAsia="Calibri" w:hAnsi="Verdana" w:cs="Calibri"/>
              </w:rPr>
              <w:t xml:space="preserve">Para comprender el alcance y aplicación de la expresión “remoción de Derrumbes”, es necesario tener en cuenta las definiciones del “Anexo – Glosario” del sector de infraestructura de transporte. Lo anterior, en razón a que el numeral 1.10 del documento base dispone que “Para los fines de este </w:t>
            </w:r>
            <w:r w:rsidRPr="00E15FD8">
              <w:rPr>
                <w:rFonts w:ascii="Verdana" w:eastAsia="Calibri" w:hAnsi="Verdana" w:cs="Calibri"/>
              </w:rPr>
              <w:lastRenderedPageBreak/>
              <w:t>pliego de condiciones, a 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3102D5C7" w14:textId="77777777" w:rsidR="00E15FD8" w:rsidRPr="00E15FD8" w:rsidRDefault="00E15FD8" w:rsidP="00E15FD8">
            <w:pPr>
              <w:spacing w:line="276" w:lineRule="auto"/>
              <w:ind w:firstLine="708"/>
              <w:jc w:val="both"/>
              <w:rPr>
                <w:rFonts w:ascii="Verdana" w:eastAsia="Calibri" w:hAnsi="Verdana" w:cs="Calibri"/>
              </w:rPr>
            </w:pPr>
            <w:r w:rsidRPr="00E15FD8">
              <w:rPr>
                <w:rFonts w:ascii="Verdana" w:eastAsia="Calibri" w:hAnsi="Verdana" w:cs="Calibri"/>
              </w:rPr>
              <w:t>Para estos efectos, en el numeral “2.138” del “Anexo – Glosario” de los documentos tipo de licitación de obra pública de infraestructura de transporte – versión 4, se definen “remoción de Derrumbes” en los siguientes términos:</w:t>
            </w:r>
          </w:p>
          <w:p w14:paraId="54D003FD" w14:textId="77777777" w:rsidR="00E15FD8" w:rsidRPr="00E15FD8" w:rsidRDefault="00E15FD8" w:rsidP="00E15FD8">
            <w:pPr>
              <w:ind w:firstLine="708"/>
              <w:jc w:val="both"/>
              <w:rPr>
                <w:rFonts w:ascii="Verdana" w:eastAsia="Calibri" w:hAnsi="Verdana" w:cs="Calibri"/>
              </w:rPr>
            </w:pPr>
          </w:p>
          <w:p w14:paraId="4B35F2CD" w14:textId="77777777" w:rsidR="00E15FD8" w:rsidRPr="00E15FD8" w:rsidRDefault="00E15FD8" w:rsidP="00E15FD8">
            <w:pPr>
              <w:autoSpaceDE w:val="0"/>
              <w:autoSpaceDN w:val="0"/>
              <w:adjustRightInd w:val="0"/>
              <w:ind w:left="709" w:right="709"/>
              <w:jc w:val="both"/>
              <w:rPr>
                <w:rFonts w:ascii="Verdana" w:eastAsia="Times New Roman" w:hAnsi="Verdana" w:cs="Arial"/>
                <w:i/>
                <w:iCs/>
                <w:sz w:val="21"/>
                <w:szCs w:val="21"/>
                <w:lang w:val="es-ES" w:eastAsia="es-ES"/>
              </w:rPr>
            </w:pPr>
            <w:r w:rsidRPr="00E15FD8">
              <w:rPr>
                <w:rFonts w:ascii="Verdana" w:eastAsia="Times New Roman" w:hAnsi="Verdana" w:cs="Arial"/>
                <w:i/>
                <w:iCs/>
                <w:sz w:val="21"/>
                <w:szCs w:val="21"/>
                <w:lang w:val="es-ES" w:eastAsia="es-ES"/>
              </w:rPr>
              <w:t>“</w:t>
            </w:r>
            <w:r w:rsidRPr="00E15FD8">
              <w:rPr>
                <w:rFonts w:ascii="Verdana" w:eastAsia="Times New Roman" w:hAnsi="Verdana" w:cs="Times New Roman"/>
                <w:b/>
                <w:bCs/>
                <w:color w:val="000000"/>
                <w:sz w:val="21"/>
                <w:szCs w:val="21"/>
                <w:lang w:eastAsia="es-MX"/>
              </w:rPr>
              <w:t>2.138. Remoción de Derrumbes:</w:t>
            </w:r>
            <w:r w:rsidRPr="00E15FD8">
              <w:rPr>
                <w:rFonts w:ascii="Verdana" w:eastAsia="Times New Roman" w:hAnsi="Verdana" w:cs="Times New Roman"/>
                <w:color w:val="000000"/>
                <w:sz w:val="21"/>
                <w:szCs w:val="21"/>
                <w:lang w:eastAsia="es-MX"/>
              </w:rPr>
              <w:t> Este trabajo consiste en la remoción, desecho y disposición o en la remoción, cargue, transporte hasta la distancia de acarreo libre, descargue y disposición de los materiales provenientes del desplazamiento de taludes o del terreno natural, depositados sobre una vía existente o en construcción, y que se convierten en obstáculo para la utilización normal de la vía o para la ejecución de las obras</w:t>
            </w:r>
            <w:r w:rsidRPr="00E15FD8">
              <w:rPr>
                <w:rFonts w:ascii="Verdana" w:eastAsia="Times New Roman" w:hAnsi="Verdana" w:cs="Arial"/>
                <w:i/>
                <w:iCs/>
                <w:sz w:val="21"/>
                <w:szCs w:val="21"/>
                <w:lang w:val="es-ES" w:eastAsia="es-ES"/>
              </w:rPr>
              <w:t>”.</w:t>
            </w:r>
          </w:p>
          <w:p w14:paraId="6FB07FE8" w14:textId="77777777" w:rsidR="00E15FD8" w:rsidRPr="00E15FD8" w:rsidRDefault="00E15FD8" w:rsidP="00E15FD8">
            <w:pPr>
              <w:autoSpaceDE w:val="0"/>
              <w:autoSpaceDN w:val="0"/>
              <w:adjustRightInd w:val="0"/>
              <w:ind w:right="709"/>
              <w:jc w:val="both"/>
              <w:rPr>
                <w:rFonts w:ascii="Verdana" w:eastAsia="Times New Roman" w:hAnsi="Verdana" w:cs="Arial"/>
                <w:b/>
                <w:bCs/>
                <w:i/>
                <w:iCs/>
                <w:sz w:val="21"/>
                <w:szCs w:val="21"/>
                <w:lang w:val="es-ES" w:eastAsia="es-ES"/>
              </w:rPr>
            </w:pPr>
          </w:p>
          <w:p w14:paraId="6127D486" w14:textId="77777777" w:rsidR="00E15FD8" w:rsidRPr="00E15FD8" w:rsidRDefault="00E15FD8" w:rsidP="00E15FD8">
            <w:pPr>
              <w:snapToGrid w:val="0"/>
              <w:spacing w:after="120"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De la definición contenida en el Anexo 3 – Glosario se evidencia que la actividad de remoción de derrumbes comprende un conjunto de labores técnicas encaminadas al retiro y disposición de los materiales provenientes del desplazamiento de taludes o del terreno natural, incluyendo actividades asociadas como el cargue, transporte, descargue y disposición de dichos materiales.</w:t>
            </w:r>
          </w:p>
          <w:p w14:paraId="50111270" w14:textId="77777777" w:rsidR="00E15FD8" w:rsidRPr="00E15FD8" w:rsidRDefault="00E15FD8" w:rsidP="00E15FD8">
            <w:pPr>
              <w:snapToGrid w:val="0"/>
              <w:spacing w:after="120"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Por lo anterior, cuando la documentación aportada para acreditar la experiencia permita establecer sin equívocos que determinadas actividades o ítems ejecutados corresponden material y funcionalmente a la ejecución de la remoción de derrumbes, la evaluación deberá atender al alcance técnico de la actividad exigida y no únicamente a la denominación particular de cada ítem dentro de la estructura presupuestal del contrato.</w:t>
            </w:r>
          </w:p>
          <w:p w14:paraId="39FD32E5" w14:textId="77777777" w:rsidR="00E15FD8" w:rsidRPr="00E15FD8" w:rsidRDefault="00E15FD8" w:rsidP="00E15FD8">
            <w:pPr>
              <w:snapToGrid w:val="0"/>
              <w:spacing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 xml:space="preserve">Así las cosas, corresponderá al proponente demostrar, mediante los documentos válidos para la acreditación de experiencia, la relación directa de las actividades ejecutadas con la remoción de derrumbes y el valor efectivamente asociado a dicha actividad, para efectos de verificar el cumplimiento del porcentaje mínimo exigido respecto del Presupuesto Oficial. </w:t>
            </w:r>
            <w:r w:rsidRPr="00E15FD8">
              <w:rPr>
                <w:rFonts w:ascii="Verdana" w:eastAsia="Times New Roman" w:hAnsi="Verdana" w:cs="Times New Roman"/>
                <w:lang w:eastAsia="es-MX"/>
              </w:rPr>
              <w:lastRenderedPageBreak/>
              <w:t>En todo caso, la valoración de la experiencia se realizará de manera individual, conforme a la documentación aportada en cada proceso de selección.</w:t>
            </w:r>
            <w:r w:rsidRPr="00E15FD8">
              <w:rPr>
                <w:rFonts w:ascii="Verdana" w:eastAsia="Century Gothic" w:hAnsi="Verdana" w:cs="Century Gothic"/>
                <w:lang w:eastAsia="es-MX"/>
              </w:rPr>
              <w:t xml:space="preserve"> </w:t>
            </w:r>
          </w:p>
        </w:tc>
      </w:tr>
    </w:tbl>
    <w:p w14:paraId="40965694" w14:textId="77777777" w:rsidR="00E15FD8" w:rsidRPr="00E15FD8" w:rsidRDefault="00E15FD8" w:rsidP="00E15FD8">
      <w:pPr>
        <w:tabs>
          <w:tab w:val="left" w:pos="142"/>
          <w:tab w:val="left" w:pos="284"/>
        </w:tabs>
        <w:spacing w:after="0" w:line="276" w:lineRule="auto"/>
        <w:jc w:val="both"/>
        <w:rPr>
          <w:rFonts w:ascii="Verdana" w:eastAsia="Century Gothic" w:hAnsi="Verdana" w:cs="Century Gothic"/>
          <w:b/>
          <w:bCs/>
        </w:rPr>
      </w:pPr>
    </w:p>
    <w:p w14:paraId="62843378" w14:textId="77777777" w:rsidR="00E15FD8" w:rsidRPr="00E15FD8" w:rsidRDefault="00E15FD8" w:rsidP="00E15FD8">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Razones de la respuesta:</w:t>
      </w:r>
    </w:p>
    <w:p w14:paraId="04B77C48" w14:textId="77777777" w:rsidR="00E15FD8" w:rsidRPr="00E15FD8" w:rsidRDefault="00E15FD8" w:rsidP="00E15F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eastAsia="Calibri" w:hAnsi="Verdana" w:cs="Helvetica"/>
          <w:color w:val="000000"/>
          <w:sz w:val="21"/>
          <w:szCs w:val="21"/>
        </w:rPr>
      </w:pPr>
    </w:p>
    <w:p w14:paraId="0E278909" w14:textId="77777777" w:rsidR="00E15FD8" w:rsidRPr="00E15FD8" w:rsidRDefault="00E15FD8" w:rsidP="00E15FD8">
      <w:pPr>
        <w:spacing w:after="0" w:line="276" w:lineRule="auto"/>
        <w:jc w:val="both"/>
        <w:rPr>
          <w:rFonts w:ascii="Verdana" w:eastAsia="Calibri" w:hAnsi="Verdana" w:cs="Arial"/>
        </w:rPr>
      </w:pPr>
      <w:r w:rsidRPr="00E15FD8">
        <w:rPr>
          <w:rFonts w:ascii="Verdana" w:eastAsia="Calibri" w:hAnsi="Verdana" w:cs="Arial"/>
        </w:rPr>
        <w:t xml:space="preserve">Lo anterior se sustenta en las siguientes consideraciones: </w:t>
      </w:r>
    </w:p>
    <w:p w14:paraId="1DC0DE8F" w14:textId="77777777" w:rsidR="00E15FD8" w:rsidRPr="00E15FD8" w:rsidRDefault="00E15FD8" w:rsidP="00E15FD8">
      <w:pPr>
        <w:spacing w:after="0" w:line="276" w:lineRule="auto"/>
        <w:jc w:val="both"/>
        <w:rPr>
          <w:rFonts w:ascii="Verdana" w:eastAsia="Calibri" w:hAnsi="Verdana" w:cs="Arial"/>
        </w:rPr>
      </w:pPr>
    </w:p>
    <w:p w14:paraId="0B26E7F3" w14:textId="77777777" w:rsidR="00E15FD8" w:rsidRPr="00E15FD8" w:rsidRDefault="00E15FD8" w:rsidP="00E15FD8">
      <w:pPr>
        <w:spacing w:after="120"/>
        <w:jc w:val="both"/>
        <w:rPr>
          <w:rFonts w:ascii="Verdana" w:eastAsia="Aptos" w:hAnsi="Verdana" w:cs="ArialMT"/>
        </w:rPr>
      </w:pPr>
      <w:r w:rsidRPr="00E15FD8">
        <w:rPr>
          <w:rFonts w:ascii="Verdana" w:eastAsia="Aptos" w:hAnsi="Verdana" w:cs="Arial"/>
        </w:rPr>
        <w:t xml:space="preserve">Los documentos tipo expedidos por la Agencia Nacional de Contratación Pública </w:t>
      </w:r>
      <w:r w:rsidRPr="00E15FD8">
        <w:rPr>
          <w:rFonts w:ascii="Verdana" w:eastAsia="Aptos" w:hAnsi="Verdana" w:cs="ArialMT"/>
        </w:rPr>
        <w:t xml:space="preserve">– Colombia Compra Eficiente </w:t>
      </w:r>
      <w:r w:rsidRPr="00E15FD8">
        <w:rPr>
          <w:rFonts w:ascii="Verdana" w:eastAsia="Aptos" w:hAnsi="Verdana" w:cs="Arial"/>
        </w:rPr>
        <w:t>en ejercicio de la potestad otorgada</w:t>
      </w:r>
      <w:r w:rsidRPr="00E15FD8">
        <w:rPr>
          <w:rFonts w:ascii="Verdana" w:eastAsia="Aptos" w:hAnsi="Verdana" w:cs="ArialMT"/>
        </w:rPr>
        <w:t xml:space="preserve">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Así mismo, los sujetos obligados a su aplicación, no podrán variar los requisitos que en ellos sean fijados, ni establecer reglas o requisitos adicionales a los establecidos en estos para la presentación de las ofertas y la acreditación de los requisitos habilitantes.</w:t>
      </w:r>
    </w:p>
    <w:p w14:paraId="6E9CFA24" w14:textId="77777777" w:rsidR="00E15FD8" w:rsidRPr="00E15FD8" w:rsidRDefault="00E15FD8" w:rsidP="00E15FD8">
      <w:pPr>
        <w:spacing w:after="120"/>
        <w:ind w:firstLine="708"/>
        <w:jc w:val="both"/>
        <w:rPr>
          <w:rFonts w:ascii="Verdana" w:eastAsia="Aptos" w:hAnsi="Verdana" w:cs="ArialMT"/>
        </w:rPr>
      </w:pPr>
      <w:r w:rsidRPr="00E15FD8">
        <w:rPr>
          <w:rFonts w:ascii="Verdana" w:eastAsia="Aptos" w:hAnsi="Verdana" w:cs="ArialMT"/>
        </w:rPr>
        <w:t>La Agencia Nacional de Contratación Pública – Colombia Compra Eficiente expidió documentos tipo para los sectores de infraestructura de transporte, agua potable y saneamiento básico y social. Asimismo, esta Agencia expidió los documentos tipo de gestión catastral con enfoque multipropósito y para la contratación directa de convenios solidarios para la ejecución de obras hasta la menor cuantía con organismos de acción comunal</w:t>
      </w:r>
      <w:r w:rsidRPr="00E15FD8">
        <w:rPr>
          <w:rFonts w:ascii="Calibri" w:eastAsia="Calibri" w:hAnsi="Calibri" w:cs="Times New Roman"/>
          <w:vertAlign w:val="superscript"/>
        </w:rPr>
        <w:footnoteReference w:id="1"/>
      </w:r>
      <w:r w:rsidRPr="00E15FD8">
        <w:rPr>
          <w:rFonts w:ascii="Verdana" w:eastAsia="Aptos" w:hAnsi="Verdana" w:cs="ArialMT"/>
        </w:rPr>
        <w:t xml:space="preserve">. </w:t>
      </w:r>
    </w:p>
    <w:p w14:paraId="17351F02" w14:textId="77777777" w:rsidR="00E15FD8" w:rsidRPr="00E15FD8" w:rsidRDefault="00E15FD8" w:rsidP="00E15FD8">
      <w:pPr>
        <w:spacing w:after="120"/>
        <w:ind w:firstLine="708"/>
        <w:jc w:val="both"/>
        <w:rPr>
          <w:rFonts w:ascii="Verdana" w:eastAsia="Aptos" w:hAnsi="Verdana" w:cs="ArialMT"/>
        </w:rPr>
      </w:pPr>
      <w:r w:rsidRPr="00E15FD8">
        <w:rPr>
          <w:rFonts w:ascii="Verdana" w:eastAsia="Aptos" w:hAnsi="Verdana" w:cs="ArialMT"/>
        </w:rPr>
        <w:t>En el sector de infraestructura de transporte, la Agencia Nacional de Contratación Pública – Colombia Compra Eficiente expidió documentos tipo para contratar obras públicas de infraestructura de transporte bajo las modalidades de selección de licitación pública, selección abreviada de menor cuantía y mínima cuantía. Así mismo, esta Agencia expidió documentos tipo de concurso de méritos para contratar la interventoría y la consultoría de estudios de ingeniería de infraestructura de transporte</w:t>
      </w:r>
      <w:r w:rsidRPr="00E15FD8">
        <w:rPr>
          <w:rFonts w:ascii="Calibri" w:eastAsia="Calibri" w:hAnsi="Calibri" w:cs="Times New Roman"/>
          <w:vertAlign w:val="superscript"/>
        </w:rPr>
        <w:footnoteReference w:id="2"/>
      </w:r>
      <w:r w:rsidRPr="00E15FD8">
        <w:rPr>
          <w:rFonts w:ascii="Verdana" w:eastAsia="Aptos" w:hAnsi="Verdana" w:cs="ArialMT"/>
        </w:rPr>
        <w:t xml:space="preserve">. </w:t>
      </w:r>
    </w:p>
    <w:p w14:paraId="6BF340CD" w14:textId="77777777" w:rsidR="00E15FD8" w:rsidRPr="00E15FD8" w:rsidRDefault="00E15FD8" w:rsidP="00E15FD8">
      <w:pPr>
        <w:spacing w:after="120"/>
        <w:ind w:firstLine="708"/>
        <w:jc w:val="both"/>
        <w:rPr>
          <w:rFonts w:ascii="Verdana" w:eastAsia="Aptos" w:hAnsi="Verdana" w:cs="ArialMT"/>
        </w:rPr>
      </w:pPr>
      <w:r w:rsidRPr="00E15FD8">
        <w:rPr>
          <w:rFonts w:ascii="Verdana" w:eastAsia="Aptos" w:hAnsi="Verdana" w:cs="ArialMT"/>
        </w:rPr>
        <w:lastRenderedPageBreak/>
        <w:t xml:space="preserve">La Ley 2022 de 2020 indicó que la Agencia Nacional de Contratación Pública – Colombia Compra Eficiente, debe revisar constantemente el contenido de los documentos tipo que expida. En desarrollo de este deber, esta Agencia estableció un procedimiento para recibir y revisar los comentarios a los documentos tipo de infraestructura de transporte, realizados por todos los partícipes del sistema de la compra pública en el primero y parte del segundo semestre del año 2024. Como consecuencia de ello, se expidieron los diferentes actos administrativos por medio de los cuales se adoptaron y/o modificaron los documentos tipo de este sector, y en simultaneo se publicaron las respuestas a todas las observaciones y/o comentarios realizados a los proyectos de documentos tipo. </w:t>
      </w:r>
    </w:p>
    <w:p w14:paraId="6E09F7B3" w14:textId="77777777" w:rsidR="00E15FD8" w:rsidRPr="00E15FD8" w:rsidRDefault="00E15FD8" w:rsidP="00E15FD8">
      <w:pPr>
        <w:spacing w:after="120"/>
        <w:ind w:firstLine="708"/>
        <w:jc w:val="both"/>
        <w:rPr>
          <w:rFonts w:ascii="Verdana" w:eastAsia="Aptos" w:hAnsi="Verdana" w:cs="ArialMT"/>
        </w:rPr>
      </w:pPr>
      <w:r w:rsidRPr="00E15FD8">
        <w:rPr>
          <w:rFonts w:ascii="Verdana" w:eastAsia="Aptos" w:hAnsi="Verdana" w:cs="ArialMT"/>
        </w:rPr>
        <w:t xml:space="preserve">Así, los documentos tipo del sector de infraestructura de transporte fueron modificados después de surtir el procedimiento interno establecido por esta Agencia. En la actualización de estos documentos tipo, participaron entidades técnicas y especializadas del sector transporte, tales como el Instituto Nacional de Vías – INVIAS, el Instituto de Desarrollo Urbano – IDU, el Instituto de Infraestructura y Concesiones de Cundinamarca – ICCU, entre otras. </w:t>
      </w:r>
    </w:p>
    <w:p w14:paraId="0F707834"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Aptos" w:hAnsi="Verdana" w:cs="Arial"/>
          <w:lang w:val="es-ES"/>
        </w:rPr>
        <w:t xml:space="preserve">En relación con los documentos tipo de licitación de obra pública de infraestructura de transporte, mediante la Resolución 465 del 10 de septiembre </w:t>
      </w:r>
      <w:r w:rsidRPr="00E15FD8">
        <w:rPr>
          <w:rFonts w:ascii="Verdana" w:eastAsia="Aptos" w:hAnsi="Verdana" w:cs="Arial"/>
          <w:lang w:val="es-ES"/>
        </w:rPr>
        <w:lastRenderedPageBreak/>
        <w:t xml:space="preserve">de 2024, se adoptó la </w:t>
      </w:r>
      <w:r w:rsidRPr="00E15FD8">
        <w:rPr>
          <w:rFonts w:ascii="Verdana" w:eastAsia="Calibri" w:hAnsi="Verdana" w:cs="Arial"/>
          <w:kern w:val="2"/>
          <w14:ligatures w14:val="standardContextual"/>
        </w:rPr>
        <w:t xml:space="preserve">versión 4 de estos documentos y se derogó la Resolución 240 de 2020. </w:t>
      </w:r>
    </w:p>
    <w:p w14:paraId="68C02533"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Aptos" w:hAnsi="Verdana" w:cs="Arial"/>
          <w:lang w:val="es-ES"/>
        </w:rPr>
        <w:t>La parte introductoria del pliego de condiciones de los documentos tipo analizados dispone que estos se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465 de 2024, relacionados con la posibilidad de exigir experiencia adicional en determinados supuestos</w:t>
      </w:r>
      <w:r w:rsidRPr="00E15FD8">
        <w:rPr>
          <w:rFonts w:ascii="Verdana" w:eastAsia="Aptos" w:hAnsi="Verdana" w:cs="Times New Roman"/>
          <w:sz w:val="24"/>
          <w:szCs w:val="24"/>
          <w:vertAlign w:val="superscript"/>
          <w:lang w:val="es-ES"/>
        </w:rPr>
        <w:footnoteReference w:id="3"/>
      </w:r>
      <w:r w:rsidRPr="00E15FD8">
        <w:rPr>
          <w:rFonts w:ascii="Verdana" w:eastAsia="Aptos" w:hAnsi="Verdana" w:cs="Arial"/>
          <w:lang w:val="es-ES"/>
        </w:rPr>
        <w:t>.</w:t>
      </w:r>
    </w:p>
    <w:p w14:paraId="2E600C37"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De acuerdo con las condiciones fijadas en el “Documento Base” de la Resolución No. 465 del 10 de septiembre de 2024,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w:t>
      </w:r>
    </w:p>
    <w:p w14:paraId="35C16908"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Para fijar las condiciones que deben cumplir los contratos aportados, en términos de actividades ejecutadas, las entidades deberán emplear la Matriz 1, documento que estandariza las condiciones de experiencia general y/o experiencia específica que deben requerir las entidades estatales de acuerdo con: i) el tipo de obra de infraestructura de transporte; </w:t>
      </w:r>
      <w:proofErr w:type="spellStart"/>
      <w:r w:rsidRPr="00E15FD8">
        <w:rPr>
          <w:rFonts w:ascii="Verdana" w:eastAsia="Calibri" w:hAnsi="Verdana" w:cs="Arial"/>
          <w:kern w:val="2"/>
          <w14:ligatures w14:val="standardContextual"/>
        </w:rPr>
        <w:t>ii</w:t>
      </w:r>
      <w:proofErr w:type="spellEnd"/>
      <w:r w:rsidRPr="00E15FD8">
        <w:rPr>
          <w:rFonts w:ascii="Verdana" w:eastAsia="Calibri" w:hAnsi="Verdana" w:cs="Arial"/>
          <w:kern w:val="2"/>
          <w14:ligatures w14:val="standardContextual"/>
        </w:rPr>
        <w:t xml:space="preserve">) la actividad a contratar, y </w:t>
      </w:r>
      <w:proofErr w:type="spellStart"/>
      <w:r w:rsidRPr="00E15FD8">
        <w:rPr>
          <w:rFonts w:ascii="Verdana" w:eastAsia="Calibri" w:hAnsi="Verdana" w:cs="Arial"/>
          <w:kern w:val="2"/>
          <w14:ligatures w14:val="standardContextual"/>
        </w:rPr>
        <w:t>iii</w:t>
      </w:r>
      <w:proofErr w:type="spellEnd"/>
      <w:r w:rsidRPr="00E15FD8">
        <w:rPr>
          <w:rFonts w:ascii="Verdana" w:eastAsia="Calibri" w:hAnsi="Verdana" w:cs="Arial"/>
          <w:kern w:val="2"/>
          <w14:ligatures w14:val="standardContextual"/>
        </w:rPr>
        <w:t>) la cuantía del Proceso de Contratación.</w:t>
      </w:r>
    </w:p>
    <w:p w14:paraId="57E72395"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En relación con el primer aspecto, la Matriz 1 está constituida por nueve (9) tipos de obras de infraestructura de transporte, identificadas con un número y su descripción, los cuales son: 1) obras en vías primarias o secundarias, 2) obras en vías terciarias, 3) obras marítimas y fluviales, 4) obras en vías primarias o secundarias o terciarias o urbanas para atención, prevención o mitigación de </w:t>
      </w:r>
      <w:r w:rsidRPr="00E15FD8">
        <w:rPr>
          <w:rFonts w:ascii="Verdana" w:eastAsia="Calibri" w:hAnsi="Verdana" w:cs="Arial"/>
          <w:kern w:val="2"/>
          <w14:ligatures w14:val="standardContextual"/>
        </w:rPr>
        <w:lastRenderedPageBreak/>
        <w:t>emergencias diferentes a contratación directa, 5) obras férreas, 6) obras de infraestructura vial urbana, 7) obras en puentes, 8) obras aeroportuarias y 9) obras en túneles. Estas determinan el marco para la aplicación de los documentos tipo, dado que comprenden todas aquellas actividades que constituyen obra pública de infraestructura de transporte y que han sido objeto de estandarización mediante la Resolución No. 465 del 10 de septiembre de 2024 para los procesos de licitación pública.</w:t>
      </w:r>
    </w:p>
    <w:p w14:paraId="594CF680"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Respecto a la actividad a contratar, la Matriz 1 establece cuáles son las que corresponden a cada uno de los tipos de infraestructura mencionados, con el fin de que la entidad identifique aquellas en las cuales puede encuadrarse, de mejor forma, el objeto que pretende ejecutar y determinar los requisitos de experiencia exigibles. Por ejemplo, para el tipo de infraestructura “4. OBRAS EN VIAS PRIMARIAS O SECUNDARIAS O TERCIARIAS O URBANAS PARA ATENCIÓN, PREVENCIÓN O MITIGACIÓN DE EMERGENCIAS DIFERENTES A CONTRATACIÓN DIRECTA”, la entidad podrá verificar la experiencia requerida en su proceso, de acuerdo con las cinco (5) actividades identificadas en la matriz 1.</w:t>
      </w:r>
    </w:p>
    <w:p w14:paraId="78997180"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De otra parte, el documento establece los rangos dentro de los cuales se debe identificar el presupuesto del Proceso de Contratación. Estos abarcan las cuantías mínimas y máximas que son frecuentes en los procesos de contratación de obra pública de infraestructura de transporte, y son resultado de las exigencias señaladas en el inciso 3 del parágrafo 7 del artículo 2 de la Ley 1150 de 2007 –modificado por el artículo 1 de la Ley 2022 de 2020–, conforme al cual las condiciones fijadas en los documentos tipo deben tener en cuenta la cuantía, la naturaleza y la especialidad de la contratación. </w:t>
      </w:r>
    </w:p>
    <w:p w14:paraId="31A43602"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Estos tres factores determinan el requisito de experiencia establecido en los documentos tipo desarrollados por la Agencia Nacional de Contratación Pública – Colombia Compra Eficiente, e incluido en la Matriz 1, que es resultado del mandato establecido en la Ley 2022 de 2020, por lo que son de obligatorio cumplimiento. Igualmente, se encuentran sometidos a la regulación prevista en la Resolución No. 465 del 10 de septiembre de 2024 y, por tanto, la regla general es que no pueden ser alterados, modificados o adicionados en su contenido. </w:t>
      </w:r>
    </w:p>
    <w:p w14:paraId="03B8C3F8"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 xml:space="preserve">Ahora bien, en el documento base o pliego tipo adoptado por la Resolución No. 465 del 10 de septiembre de 2024, se desarrolla el numeral 3.5.1 “Determinación de los requisitos mínimos de experiencia según la Matriz 1 – Experiencia”, en el que la entidad debe justificar, expresa y suficientemente la </w:t>
      </w:r>
      <w:r w:rsidRPr="00E15FD8">
        <w:rPr>
          <w:rFonts w:ascii="Verdana" w:eastAsia="Calibri" w:hAnsi="Verdana" w:cs="Arial"/>
          <w:kern w:val="2"/>
          <w14:ligatures w14:val="standardContextual"/>
        </w:rPr>
        <w:lastRenderedPageBreak/>
        <w:t xml:space="preserve">complejidad del proyecto, determinando si es de baja–media o alta complejidad, y en función de ello implementar alguna de las variantes de la “Matriz 1 – Experiencia”, ya sea la de proyectos de baja–media o la elaborada para proyectos de alta complejidad técnica. En otras palabras, se crean dos matrices de experiencia: i) una para proyectos de complejidad técnica baja o media y </w:t>
      </w:r>
      <w:proofErr w:type="spellStart"/>
      <w:r w:rsidRPr="00E15FD8">
        <w:rPr>
          <w:rFonts w:ascii="Verdana" w:eastAsia="Calibri" w:hAnsi="Verdana" w:cs="Arial"/>
          <w:kern w:val="2"/>
          <w14:ligatures w14:val="standardContextual"/>
        </w:rPr>
        <w:t>ii</w:t>
      </w:r>
      <w:proofErr w:type="spellEnd"/>
      <w:r w:rsidRPr="00E15FD8">
        <w:rPr>
          <w:rFonts w:ascii="Verdana" w:eastAsia="Calibri" w:hAnsi="Verdana" w:cs="Arial"/>
          <w:kern w:val="2"/>
          <w14:ligatures w14:val="standardContextual"/>
        </w:rPr>
        <w:t xml:space="preserve">) otra para proyectos de complejidad técnica alta. Es decir, corresponde a la entidad determinar la complejidad técnica del proceso, a partir de diversas condiciones o circunstancias geográficas, geológicas, hidrológicas, climáticas, así como el alcance físico del proyecto de infraestructura de transporte, entre otros, como lo dispone el numeral 3.5.1. del Documento Base, dejando constancia de su análisis realizado para establecer la complejidad técnica del proyecto sin limitarse exclusivamente a la cuantía del proceso. </w:t>
      </w:r>
    </w:p>
    <w:p w14:paraId="6242C161" w14:textId="77777777" w:rsidR="00E15FD8" w:rsidRPr="00E15FD8" w:rsidRDefault="00E15FD8" w:rsidP="00E15FD8">
      <w:pPr>
        <w:spacing w:before="120" w:after="120" w:line="276" w:lineRule="auto"/>
        <w:ind w:firstLine="709"/>
        <w:jc w:val="both"/>
        <w:rPr>
          <w:rFonts w:ascii="Verdana" w:eastAsia="Calibri" w:hAnsi="Verdana" w:cs="Arial"/>
          <w:kern w:val="2"/>
          <w14:ligatures w14:val="standardContextual"/>
        </w:rPr>
      </w:pPr>
      <w:r w:rsidRPr="00E15FD8">
        <w:rPr>
          <w:rFonts w:ascii="Verdana" w:eastAsia="Calibri" w:hAnsi="Verdana" w:cs="Arial"/>
          <w:kern w:val="2"/>
          <w14:ligatures w14:val="standardContextual"/>
        </w:rPr>
        <w:t>Asimismo, en el referido numeral se indica que la entidad indicará el número y nombre de la actividad a contratar, para lo cual transcribirá textualmente lo indicado en la “Matriz 1-Experiencia”. Además, se señala que, en caso de requerir combinar experiencia se procederá según lo establecido en el literal A) del numeral 3.5.2.</w:t>
      </w:r>
    </w:p>
    <w:p w14:paraId="3601A099" w14:textId="77777777" w:rsidR="00E15FD8" w:rsidRPr="00E15FD8" w:rsidRDefault="00E15FD8" w:rsidP="00E15FD8">
      <w:pPr>
        <w:spacing w:after="0" w:line="276" w:lineRule="auto"/>
        <w:ind w:firstLine="708"/>
        <w:jc w:val="both"/>
        <w:rPr>
          <w:rFonts w:ascii="Verdana" w:eastAsia="Calibri" w:hAnsi="Verdana" w:cs="Times New Roman"/>
        </w:rPr>
      </w:pPr>
      <w:r w:rsidRPr="00E15FD8">
        <w:rPr>
          <w:rFonts w:ascii="Verdana" w:eastAsia="Calibri" w:hAnsi="Verdana" w:cs="Arial"/>
          <w:kern w:val="2"/>
          <w14:ligatures w14:val="standardContextual"/>
        </w:rPr>
        <w:t xml:space="preserve">Considerando el marco señalado con anterioridad sobre la experiencia en los documentos tipo de licitación de obra pública de infraestructura de transporte – versión 4. Para responder a su solicitud, </w:t>
      </w:r>
      <w:r w:rsidRPr="00E15FD8">
        <w:rPr>
          <w:rFonts w:ascii="Verdana" w:eastAsia="Calibri" w:hAnsi="Verdana" w:cs="Times New Roman"/>
        </w:rPr>
        <w:t xml:space="preserve">le indicamos que, </w:t>
      </w:r>
      <w:r w:rsidRPr="00E15FD8">
        <w:rPr>
          <w:rFonts w:ascii="Verdana" w:eastAsia="Calibri" w:hAnsi="Verdana" w:cs="Arial"/>
          <w:kern w:val="2"/>
          <w14:ligatures w14:val="standardContextual"/>
        </w:rPr>
        <w:t xml:space="preserve">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w:t>
      </w:r>
      <w:r w:rsidRPr="00E15FD8">
        <w:rPr>
          <w:rFonts w:ascii="Verdana" w:eastAsia="Aptos" w:hAnsi="Verdana" w:cs="Arial"/>
          <w:color w:val="000000"/>
          <w:lang w:val="es-ES_tradnl"/>
        </w:rPr>
        <w:t>incluye cinco (5) actividades dentro de las cuales, se encuentra la dispuesta en el numeral 4.3 relacionada con “</w:t>
      </w:r>
      <w:r w:rsidRPr="00E15FD8">
        <w:rPr>
          <w:rFonts w:ascii="Aptos" w:eastAsia="Aptos" w:hAnsi="Aptos" w:cs="Times New Roman"/>
          <w:kern w:val="2"/>
          <w:sz w:val="24"/>
          <w:szCs w:val="24"/>
          <w14:ligatures w14:val="standardContextual"/>
        </w:rPr>
        <w:t>PROYECTOS DE ATENCION, PREVENCIÓN O MITIGACIÓN DE OBRAS DE EMERGENCIAS MEDIANTE OBRAS DE REMOCIÓN DE DERRUMBES</w:t>
      </w:r>
      <w:r w:rsidRPr="00E15FD8">
        <w:rPr>
          <w:rFonts w:ascii="Verdana" w:eastAsia="Aptos" w:hAnsi="Verdana" w:cs="Arial"/>
          <w:color w:val="000000"/>
          <w:lang w:val="es-ES_tradnl"/>
        </w:rPr>
        <w:t xml:space="preserve">”. </w:t>
      </w:r>
      <w:r w:rsidRPr="00E15FD8">
        <w:rPr>
          <w:rFonts w:ascii="Verdana" w:eastAsia="Aptos" w:hAnsi="Verdana" w:cs="Times New Roman"/>
          <w:kern w:val="2"/>
          <w14:ligatures w14:val="standardContextual"/>
        </w:rPr>
        <w:t>Para esta actividad, en proyectos de alta 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777AD8CF" w14:textId="77777777" w:rsidR="00E15FD8" w:rsidRPr="00E15FD8" w:rsidRDefault="00E15FD8" w:rsidP="00E15FD8">
      <w:pPr>
        <w:spacing w:after="0" w:line="276" w:lineRule="auto"/>
        <w:ind w:firstLine="709"/>
        <w:jc w:val="both"/>
        <w:rPr>
          <w:rFonts w:ascii="Verdana" w:eastAsia="Aptos" w:hAnsi="Verdana" w:cs="Arial"/>
          <w:color w:val="000000"/>
          <w:lang w:val="es-ES_tradnl"/>
        </w:rPr>
      </w:pPr>
    </w:p>
    <w:p w14:paraId="3EDC6520" w14:textId="77777777" w:rsidR="00E15FD8" w:rsidRPr="00E15FD8" w:rsidRDefault="00E15FD8" w:rsidP="00E15FD8">
      <w:pPr>
        <w:spacing w:after="120" w:line="240" w:lineRule="auto"/>
        <w:ind w:left="709" w:right="709"/>
        <w:jc w:val="both"/>
        <w:rPr>
          <w:rFonts w:ascii="Verdana" w:eastAsia="Calibri" w:hAnsi="Verdana" w:cs="Calibri"/>
          <w:b/>
          <w:bCs/>
          <w:i/>
          <w:iCs/>
          <w:sz w:val="21"/>
          <w:szCs w:val="21"/>
          <w:u w:val="single"/>
        </w:rPr>
      </w:pPr>
      <w:r w:rsidRPr="00E15FD8">
        <w:rPr>
          <w:rFonts w:ascii="Verdana" w:eastAsia="Calibri" w:hAnsi="Verdana" w:cs="Calibri"/>
          <w:b/>
          <w:bCs/>
          <w:sz w:val="21"/>
          <w:szCs w:val="21"/>
          <w:u w:val="single"/>
        </w:rPr>
        <w:t>“</w:t>
      </w:r>
      <w:r w:rsidRPr="00E15FD8">
        <w:rPr>
          <w:rFonts w:ascii="Verdana" w:eastAsia="Calibri" w:hAnsi="Verdana" w:cs="Calibri"/>
          <w:b/>
          <w:bCs/>
          <w:i/>
          <w:iCs/>
          <w:sz w:val="21"/>
          <w:szCs w:val="21"/>
          <w:u w:val="single"/>
        </w:rPr>
        <w:t>GENERAL</w:t>
      </w:r>
    </w:p>
    <w:p w14:paraId="28205411" w14:textId="77777777" w:rsidR="00E15FD8" w:rsidRPr="00E15FD8" w:rsidRDefault="00E15FD8" w:rsidP="00E15FD8">
      <w:pPr>
        <w:spacing w:after="120" w:line="240" w:lineRule="auto"/>
        <w:ind w:left="709" w:right="709"/>
        <w:jc w:val="both"/>
        <w:rPr>
          <w:rFonts w:ascii="Verdana" w:eastAsia="Calibri" w:hAnsi="Verdana" w:cs="Times New Roman"/>
          <w:i/>
          <w:iCs/>
          <w:sz w:val="21"/>
          <w:szCs w:val="21"/>
        </w:rPr>
      </w:pPr>
      <w:r w:rsidRPr="00E15FD8">
        <w:rPr>
          <w:rFonts w:ascii="Verdana" w:eastAsia="Calibri" w:hAnsi="Verdana" w:cs="Times New Roman"/>
          <w:i/>
          <w:iCs/>
          <w:sz w:val="21"/>
          <w:szCs w:val="21"/>
        </w:rPr>
        <w:lastRenderedPageBreak/>
        <w:t>PROYECTOS QUE CORRESPONDAN O HAYAN CONTENIDO ACTIVIDADES DE: REMOCIÓN DE DERRUMBES O MOVIMIENTO DE TIERRAS.</w:t>
      </w:r>
    </w:p>
    <w:p w14:paraId="7B45E90A" w14:textId="77777777" w:rsidR="00E15FD8" w:rsidRPr="00E15FD8" w:rsidRDefault="00E15FD8" w:rsidP="00E15FD8">
      <w:pPr>
        <w:spacing w:after="120" w:line="240" w:lineRule="auto"/>
        <w:ind w:left="709" w:right="709"/>
        <w:jc w:val="both"/>
        <w:rPr>
          <w:rFonts w:ascii="Verdana" w:eastAsia="Calibri" w:hAnsi="Verdana" w:cs="Calibri"/>
          <w:i/>
          <w:iCs/>
          <w:sz w:val="21"/>
          <w:szCs w:val="21"/>
        </w:rPr>
      </w:pPr>
      <w:r w:rsidRPr="00E15FD8">
        <w:rPr>
          <w:rFonts w:ascii="Verdana" w:eastAsia="Calibri" w:hAnsi="Verdana" w:cs="Calibri"/>
          <w:b/>
          <w:bCs/>
          <w:i/>
          <w:iCs/>
          <w:sz w:val="21"/>
          <w:szCs w:val="21"/>
          <w:u w:val="single"/>
        </w:rPr>
        <w:t>ESPECIFICA</w:t>
      </w:r>
    </w:p>
    <w:p w14:paraId="440A0ECE" w14:textId="77777777" w:rsidR="00E15FD8" w:rsidRPr="00E15FD8" w:rsidRDefault="00E15FD8" w:rsidP="00E15FD8">
      <w:pPr>
        <w:spacing w:after="0" w:line="240" w:lineRule="auto"/>
        <w:ind w:left="709" w:right="709"/>
        <w:jc w:val="both"/>
        <w:rPr>
          <w:rFonts w:ascii="Verdana" w:eastAsia="Calibri" w:hAnsi="Verdana" w:cs="Calibri"/>
          <w:i/>
          <w:iCs/>
          <w:sz w:val="21"/>
          <w:szCs w:val="21"/>
        </w:rPr>
      </w:pPr>
      <w:r w:rsidRPr="00E15FD8">
        <w:rPr>
          <w:rFonts w:ascii="Verdana" w:eastAsia="Calibri" w:hAnsi="Verdana" w:cs="Calibri"/>
          <w:i/>
          <w:iCs/>
          <w:sz w:val="21"/>
          <w:szCs w:val="21"/>
        </w:rPr>
        <w:t xml:space="preserve">Por lo menos uno de los contratos aportados como experiencia general, debe haber sido ejecutado en Proyectos de Atención o Prevención o Mitigación de Emergencias y El valor ejecutado del ítem de remoción de derrumbes de uno de los contratos debe corresponder como mínimo del XX% del Presupuesto Oficial. </w:t>
      </w:r>
    </w:p>
    <w:p w14:paraId="50E6DD83" w14:textId="77777777" w:rsidR="00E15FD8" w:rsidRPr="00E15FD8" w:rsidRDefault="00E15FD8" w:rsidP="00E15FD8">
      <w:pPr>
        <w:spacing w:after="0" w:line="240" w:lineRule="auto"/>
        <w:ind w:left="709" w:right="709"/>
        <w:jc w:val="both"/>
        <w:rPr>
          <w:rFonts w:ascii="Verdana" w:eastAsia="Calibri" w:hAnsi="Verdana" w:cs="Calibri"/>
          <w:i/>
          <w:iCs/>
          <w:sz w:val="21"/>
          <w:szCs w:val="21"/>
        </w:rPr>
      </w:pPr>
      <w:r w:rsidRPr="00E15FD8">
        <w:rPr>
          <w:rFonts w:ascii="Verdana" w:eastAsia="Calibri" w:hAnsi="Verdana" w:cs="Calibri"/>
          <w:i/>
          <w:iCs/>
          <w:sz w:val="21"/>
          <w:szCs w:val="21"/>
        </w:rPr>
        <w:t>[La entidad determinara el XX% del Presupuesto Oficial, dependiendo la naturaleza del proyecto]”.</w:t>
      </w:r>
    </w:p>
    <w:p w14:paraId="43CCBAEA" w14:textId="77777777" w:rsidR="00E15FD8" w:rsidRPr="00E15FD8" w:rsidRDefault="00E15FD8" w:rsidP="00E15FD8">
      <w:pPr>
        <w:spacing w:after="0" w:line="240" w:lineRule="auto"/>
        <w:ind w:left="709" w:right="709"/>
        <w:jc w:val="both"/>
        <w:rPr>
          <w:rFonts w:ascii="Verdana" w:eastAsia="Calibri" w:hAnsi="Verdana" w:cs="Calibri"/>
          <w:sz w:val="21"/>
          <w:szCs w:val="21"/>
        </w:rPr>
      </w:pPr>
    </w:p>
    <w:p w14:paraId="202B720F" w14:textId="77777777" w:rsidR="00E15FD8" w:rsidRPr="00E15FD8" w:rsidRDefault="00E15FD8" w:rsidP="00E15FD8">
      <w:pPr>
        <w:spacing w:after="120" w:line="240" w:lineRule="auto"/>
        <w:ind w:left="709" w:right="709"/>
        <w:jc w:val="both"/>
        <w:rPr>
          <w:rFonts w:ascii="Verdana" w:eastAsia="Calibri" w:hAnsi="Verdana" w:cs="Times New Roman"/>
          <w:i/>
          <w:iCs/>
          <w:sz w:val="21"/>
          <w:szCs w:val="21"/>
        </w:rPr>
      </w:pPr>
      <w:r w:rsidRPr="00E15FD8">
        <w:rPr>
          <w:rFonts w:ascii="Verdana" w:eastAsia="Calibri" w:hAnsi="Verdana" w:cs="Times New Roman"/>
          <w:i/>
          <w:iCs/>
          <w:sz w:val="21"/>
          <w:szCs w:val="21"/>
        </w:rPr>
        <w:t xml:space="preserve">%: de dimensionamiento: i) &lt; 100 SMMLV, Entre 100 y 1.000 SMMLV: 100%; </w:t>
      </w:r>
      <w:proofErr w:type="spellStart"/>
      <w:r w:rsidRPr="00E15FD8">
        <w:rPr>
          <w:rFonts w:ascii="Verdana" w:eastAsia="Calibri" w:hAnsi="Verdana" w:cs="Times New Roman"/>
          <w:i/>
          <w:iCs/>
          <w:sz w:val="21"/>
          <w:szCs w:val="21"/>
        </w:rPr>
        <w:t>ii</w:t>
      </w:r>
      <w:proofErr w:type="spellEnd"/>
      <w:r w:rsidRPr="00E15FD8">
        <w:rPr>
          <w:rFonts w:ascii="Verdana" w:eastAsia="Calibri" w:hAnsi="Verdana" w:cs="Times New Roman"/>
          <w:i/>
          <w:iCs/>
          <w:sz w:val="21"/>
          <w:szCs w:val="21"/>
        </w:rPr>
        <w:t xml:space="preserve">) Entre 1.001 y 13.000 SMMLV, Entre 13.001 y 27.000 SMMLV: 85%; y </w:t>
      </w:r>
      <w:proofErr w:type="spellStart"/>
      <w:r w:rsidRPr="00E15FD8">
        <w:rPr>
          <w:rFonts w:ascii="Verdana" w:eastAsia="Calibri" w:hAnsi="Verdana" w:cs="Times New Roman"/>
          <w:i/>
          <w:iCs/>
          <w:sz w:val="21"/>
          <w:szCs w:val="21"/>
        </w:rPr>
        <w:t>iii</w:t>
      </w:r>
      <w:proofErr w:type="spellEnd"/>
      <w:r w:rsidRPr="00E15FD8">
        <w:rPr>
          <w:rFonts w:ascii="Verdana" w:eastAsia="Calibri" w:hAnsi="Verdana" w:cs="Times New Roman"/>
          <w:i/>
          <w:iCs/>
          <w:sz w:val="21"/>
          <w:szCs w:val="21"/>
        </w:rPr>
        <w:t>) Mayor o igual a 27.001 SMMLV: 70%.</w:t>
      </w:r>
    </w:p>
    <w:p w14:paraId="3DC37521" w14:textId="77777777" w:rsidR="00E15FD8" w:rsidRPr="00E15FD8" w:rsidRDefault="00E15FD8" w:rsidP="00E15FD8">
      <w:pPr>
        <w:spacing w:after="0" w:line="240" w:lineRule="auto"/>
        <w:ind w:left="709" w:right="709"/>
        <w:jc w:val="both"/>
        <w:rPr>
          <w:rFonts w:ascii="Verdana" w:eastAsia="Calibri" w:hAnsi="Verdana" w:cs="Calibri"/>
          <w:sz w:val="21"/>
          <w:szCs w:val="21"/>
        </w:rPr>
      </w:pPr>
    </w:p>
    <w:p w14:paraId="0E713800" w14:textId="77777777" w:rsidR="00E15FD8" w:rsidRPr="00E15FD8" w:rsidRDefault="00E15FD8" w:rsidP="00E15FD8">
      <w:pPr>
        <w:spacing w:after="120" w:line="276" w:lineRule="auto"/>
        <w:ind w:firstLine="709"/>
        <w:jc w:val="both"/>
        <w:rPr>
          <w:rFonts w:ascii="Verdana" w:eastAsia="Aptos" w:hAnsi="Verdana" w:cs="Arial"/>
          <w:color w:val="000000"/>
          <w:lang w:val="es-ES_tradnl"/>
        </w:rPr>
      </w:pPr>
      <w:r w:rsidRPr="00E15FD8">
        <w:rPr>
          <w:rFonts w:ascii="Verdana" w:eastAsia="Aptos" w:hAnsi="Verdana" w:cs="Times New Roman"/>
          <w:kern w:val="2"/>
          <w14:ligatures w14:val="standardContextual"/>
        </w:rPr>
        <w:t xml:space="preserve">De acuerdo con lo señalado en la Matriz 1 – Experiencia, para la actividad 4.3, la experiencia general podrá acreditarse con proyectos que correspondan o hayan contenido actividades de remoción de derrumbes o movimiento de tierras. Por su parte, para la experiencia específica, por lo menos uno (1) de los contratos aportados como experiencia general debe corresponder a proyectos de atención, prevención o mitigación de emergencias, y el valor ejecutado del ítem de remoción de derrumbes </w:t>
      </w:r>
      <w:r w:rsidRPr="00E15FD8">
        <w:rPr>
          <w:rFonts w:ascii="Verdana" w:eastAsia="Aptos" w:hAnsi="Verdana" w:cs="Arial"/>
          <w:color w:val="000000"/>
          <w:lang w:val="es-ES_tradnl"/>
        </w:rPr>
        <w:t xml:space="preserve">de uno de los contratos debe corresponde como mínimo del XX% del presupuesto oficial. Ahora bien, el porcentaje del presupuesto oficial se determinará por parte de la entidad dependiendo la naturaleza del proyecto. </w:t>
      </w:r>
    </w:p>
    <w:p w14:paraId="287E16A4" w14:textId="77777777" w:rsidR="00E15FD8" w:rsidRPr="00E15FD8" w:rsidRDefault="00E15FD8" w:rsidP="00E15FD8">
      <w:pPr>
        <w:spacing w:after="120" w:line="276" w:lineRule="auto"/>
        <w:ind w:firstLine="709"/>
        <w:jc w:val="both"/>
        <w:rPr>
          <w:rFonts w:ascii="Verdana" w:eastAsia="Aptos" w:hAnsi="Verdana" w:cs="Times New Roman"/>
          <w:kern w:val="2"/>
          <w14:ligatures w14:val="standardContextual"/>
        </w:rPr>
      </w:pPr>
      <w:r w:rsidRPr="00E15FD8">
        <w:rPr>
          <w:rFonts w:ascii="Verdana" w:eastAsia="Calibri" w:hAnsi="Verdana" w:cs="Calibri"/>
          <w:kern w:val="2"/>
          <w14:ligatures w14:val="standardContextual"/>
        </w:rPr>
        <w:t>Para comprender el alcance y aplicación de la expresión “remoción de Derrumbes”, es necesario tener en cuenta las definiciones del “Anexo – Glosario” del sector de infraestructura de transporte. Lo anterior, en razón a que el numeral 1.10 del documento base dispone que “Para los fines de este pliego de condiciones, a 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083765BA" w14:textId="77777777" w:rsidR="00E15FD8" w:rsidRPr="00E15FD8" w:rsidRDefault="00E15FD8" w:rsidP="00E15FD8">
      <w:pPr>
        <w:spacing w:after="0" w:line="276" w:lineRule="auto"/>
        <w:ind w:firstLine="708"/>
        <w:jc w:val="both"/>
        <w:rPr>
          <w:rFonts w:ascii="Verdana" w:eastAsia="Calibri" w:hAnsi="Verdana" w:cs="Calibri"/>
          <w:kern w:val="2"/>
          <w14:ligatures w14:val="standardContextual"/>
        </w:rPr>
      </w:pPr>
      <w:r w:rsidRPr="00E15FD8">
        <w:rPr>
          <w:rFonts w:ascii="Verdana" w:eastAsia="Calibri" w:hAnsi="Verdana" w:cs="Calibri"/>
          <w:kern w:val="2"/>
          <w14:ligatures w14:val="standardContextual"/>
        </w:rPr>
        <w:lastRenderedPageBreak/>
        <w:t>Para estos efectos, en el numeral “2.138” del “Anexo – Glosario” de los documentos tipo de licitación de obra pública de infraestructura de transporte – versión 4, se definen “remoción de Derrumbes” en los siguientes términos:</w:t>
      </w:r>
    </w:p>
    <w:p w14:paraId="5046435F" w14:textId="77777777" w:rsidR="00E15FD8" w:rsidRPr="00E15FD8" w:rsidRDefault="00E15FD8" w:rsidP="00E15FD8">
      <w:pPr>
        <w:spacing w:after="0" w:line="240" w:lineRule="auto"/>
        <w:ind w:firstLine="708"/>
        <w:jc w:val="both"/>
        <w:rPr>
          <w:rFonts w:ascii="Verdana" w:eastAsia="Calibri" w:hAnsi="Verdana" w:cs="Calibri"/>
          <w:kern w:val="2"/>
          <w14:ligatures w14:val="standardContextual"/>
        </w:rPr>
      </w:pPr>
    </w:p>
    <w:p w14:paraId="32937332" w14:textId="77777777" w:rsidR="00E15FD8" w:rsidRPr="00E15FD8" w:rsidRDefault="00E15FD8" w:rsidP="00E15FD8">
      <w:pPr>
        <w:autoSpaceDE w:val="0"/>
        <w:autoSpaceDN w:val="0"/>
        <w:adjustRightInd w:val="0"/>
        <w:spacing w:after="0" w:line="240" w:lineRule="auto"/>
        <w:ind w:left="709" w:right="709"/>
        <w:jc w:val="both"/>
        <w:rPr>
          <w:rFonts w:ascii="Verdana" w:eastAsia="Times New Roman" w:hAnsi="Verdana" w:cs="Arial"/>
          <w:i/>
          <w:iCs/>
          <w:sz w:val="21"/>
          <w:szCs w:val="21"/>
          <w:lang w:val="es-ES" w:eastAsia="es-ES"/>
        </w:rPr>
      </w:pPr>
      <w:r w:rsidRPr="00E15FD8">
        <w:rPr>
          <w:rFonts w:ascii="Verdana" w:eastAsia="Times New Roman" w:hAnsi="Verdana" w:cs="Arial"/>
          <w:i/>
          <w:iCs/>
          <w:sz w:val="21"/>
          <w:szCs w:val="21"/>
          <w:lang w:val="es-ES" w:eastAsia="es-ES"/>
        </w:rPr>
        <w:t>“</w:t>
      </w:r>
      <w:r w:rsidRPr="00E15FD8">
        <w:rPr>
          <w:rFonts w:ascii="Verdana" w:eastAsia="Times New Roman" w:hAnsi="Verdana" w:cs="Times New Roman"/>
          <w:b/>
          <w:bCs/>
          <w:color w:val="000000"/>
          <w:sz w:val="21"/>
          <w:szCs w:val="21"/>
          <w:lang w:eastAsia="es-MX"/>
        </w:rPr>
        <w:t>2.138. Remoción de Derrumbes:</w:t>
      </w:r>
      <w:r w:rsidRPr="00E15FD8">
        <w:rPr>
          <w:rFonts w:ascii="Verdana" w:eastAsia="Times New Roman" w:hAnsi="Verdana" w:cs="Times New Roman"/>
          <w:color w:val="000000"/>
          <w:sz w:val="21"/>
          <w:szCs w:val="21"/>
          <w:lang w:eastAsia="es-MX"/>
        </w:rPr>
        <w:t> Este trabajo consiste en la remoción, desecho y disposición o en la remoción, cargue, transporte hasta la distancia de acarreo libre, descargue y disposición de los materiales provenientes del desplazamiento de taludes o del terreno natural, depositados sobre una vía existente o en construcción, y que se convierten en obstáculo para la utilización normal de la vía o para la ejecución de las obras</w:t>
      </w:r>
      <w:r w:rsidRPr="00E15FD8">
        <w:rPr>
          <w:rFonts w:ascii="Verdana" w:eastAsia="Times New Roman" w:hAnsi="Verdana" w:cs="Arial"/>
          <w:i/>
          <w:iCs/>
          <w:sz w:val="21"/>
          <w:szCs w:val="21"/>
          <w:lang w:val="es-ES" w:eastAsia="es-ES"/>
        </w:rPr>
        <w:t>”.</w:t>
      </w:r>
    </w:p>
    <w:p w14:paraId="5DB71D47" w14:textId="77777777" w:rsidR="00E15FD8" w:rsidRPr="00E15FD8" w:rsidRDefault="00E15FD8" w:rsidP="00E15FD8">
      <w:pPr>
        <w:autoSpaceDE w:val="0"/>
        <w:autoSpaceDN w:val="0"/>
        <w:adjustRightInd w:val="0"/>
        <w:spacing w:after="0" w:line="240" w:lineRule="auto"/>
        <w:ind w:right="709"/>
        <w:jc w:val="both"/>
        <w:rPr>
          <w:rFonts w:ascii="Verdana" w:eastAsia="Times New Roman" w:hAnsi="Verdana" w:cs="Arial"/>
          <w:b/>
          <w:bCs/>
          <w:i/>
          <w:iCs/>
          <w:sz w:val="21"/>
          <w:szCs w:val="21"/>
          <w:lang w:val="es-ES" w:eastAsia="es-ES"/>
        </w:rPr>
      </w:pPr>
    </w:p>
    <w:p w14:paraId="54EB1E02" w14:textId="77777777" w:rsidR="00E15FD8" w:rsidRPr="00E15FD8" w:rsidRDefault="00E15FD8" w:rsidP="00E15FD8">
      <w:pPr>
        <w:snapToGrid w:val="0"/>
        <w:spacing w:after="120"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De la definición contenida en el Anexo 3 – Glosario se evidencia que la actividad de remoción de derrumbes comprende un conjunto de labores técnicas encaminadas al retiro y disposición de los materiales provenientes del desplazamiento de taludes o del terreno natural, incluyendo actividades asociadas como el cargue, transporte, descargue y disposición de dichos materiales.</w:t>
      </w:r>
    </w:p>
    <w:p w14:paraId="5AEB1E2C" w14:textId="77777777" w:rsidR="00E15FD8" w:rsidRPr="00E15FD8" w:rsidRDefault="00E15FD8" w:rsidP="00E15FD8">
      <w:pPr>
        <w:snapToGrid w:val="0"/>
        <w:spacing w:after="120"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Por lo anterior, cuando la documentación aportada para acreditar la experiencia permita establecer sin equívocos que determinadas actividades o ítems ejecutados corresponden material y funcionalmente a la ejecución de la remoción de derrumbes, la evaluación deberá atender al alcance técnico de la actividad exigida y no únicamente a la denominación particular de cada ítem dentro de la estructura presupuestal del contrato.</w:t>
      </w:r>
    </w:p>
    <w:p w14:paraId="08F169F6" w14:textId="77777777" w:rsidR="00E15FD8" w:rsidRPr="00E15FD8" w:rsidRDefault="00E15FD8" w:rsidP="00E15FD8">
      <w:pPr>
        <w:snapToGrid w:val="0"/>
        <w:spacing w:after="0" w:line="276" w:lineRule="auto"/>
        <w:ind w:firstLine="708"/>
        <w:jc w:val="both"/>
        <w:rPr>
          <w:rFonts w:ascii="Verdana" w:eastAsia="Times New Roman" w:hAnsi="Verdana" w:cs="Times New Roman"/>
          <w:lang w:eastAsia="es-MX"/>
        </w:rPr>
      </w:pPr>
      <w:r w:rsidRPr="00E15FD8">
        <w:rPr>
          <w:rFonts w:ascii="Verdana" w:eastAsia="Times New Roman" w:hAnsi="Verdana" w:cs="Times New Roman"/>
          <w:lang w:eastAsia="es-MX"/>
        </w:rPr>
        <w:t>Así las cosas, corresponderá al proponente demostrar, mediante los documentos válidos para la acreditación de experiencia, la relación directa de las actividades ejecutadas con la remoción de derrumbes y el valor efectivamente asociado a dicha actividad, para efectos de verificar el cumplimiento del porcentaje mínimo exigido respecto del Presupuesto Oficial. En todo caso, la valoración de la experiencia se realizará de manera individual, conforme a la documentación aportada en cada proceso de selección.</w:t>
      </w:r>
    </w:p>
    <w:p w14:paraId="307AAC07" w14:textId="77777777" w:rsidR="00E15FD8" w:rsidRPr="00E15FD8" w:rsidRDefault="00E15FD8" w:rsidP="00E15FD8">
      <w:pPr>
        <w:spacing w:after="0" w:line="276" w:lineRule="auto"/>
        <w:rPr>
          <w:rFonts w:ascii="Times New Roman" w:eastAsia="Times New Roman" w:hAnsi="Times New Roman" w:cs="Times New Roman"/>
          <w:sz w:val="24"/>
          <w:szCs w:val="24"/>
          <w:lang w:eastAsia="es-MX"/>
        </w:rPr>
      </w:pPr>
    </w:p>
    <w:p w14:paraId="6D266214" w14:textId="77777777" w:rsidR="00E15FD8" w:rsidRPr="00E15FD8" w:rsidRDefault="00E15FD8" w:rsidP="00E15FD8">
      <w:pPr>
        <w:tabs>
          <w:tab w:val="left" w:pos="709"/>
        </w:tabs>
        <w:snapToGrid w:val="0"/>
        <w:spacing w:after="120" w:line="276" w:lineRule="auto"/>
        <w:jc w:val="both"/>
        <w:rPr>
          <w:rFonts w:ascii="Verdana" w:eastAsia="Calibri" w:hAnsi="Verdana" w:cs="Arial"/>
          <w:color w:val="000000"/>
          <w:kern w:val="2"/>
          <w:lang w:val="es-ES"/>
          <w14:ligatures w14:val="standardContextual"/>
        </w:rPr>
      </w:pPr>
      <w:proofErr w:type="spellStart"/>
      <w:r w:rsidRPr="00E15FD8">
        <w:rPr>
          <w:rFonts w:ascii="Verdana" w:eastAsia="Calibri" w:hAnsi="Verdana" w:cs="Arial"/>
          <w:color w:val="000000"/>
          <w:kern w:val="2"/>
          <w:lang w:val="es-ES"/>
          <w14:ligatures w14:val="standardContextual"/>
        </w:rPr>
        <w:t>ii</w:t>
      </w:r>
      <w:proofErr w:type="spellEnd"/>
      <w:r w:rsidRPr="00E15FD8">
        <w:rPr>
          <w:rFonts w:ascii="Verdana" w:eastAsia="Calibri" w:hAnsi="Verdana" w:cs="Arial"/>
          <w:color w:val="000000"/>
          <w:kern w:val="2"/>
          <w:lang w:val="es-ES"/>
          <w14:ligatures w14:val="standardContextual"/>
        </w:rPr>
        <w:t xml:space="preserve">. 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w:t>
      </w:r>
      <w:r w:rsidRPr="00E15FD8">
        <w:rPr>
          <w:rFonts w:ascii="Verdana" w:eastAsia="Calibri" w:hAnsi="Verdana" w:cs="Arial"/>
          <w:color w:val="000000"/>
          <w:kern w:val="2"/>
          <w:lang w:val="es-ES"/>
          <w14:ligatures w14:val="standardContextual"/>
        </w:rPr>
        <w:lastRenderedPageBreak/>
        <w:t>Por lo anterior, previo concepto de sus asesores, la solución de situaciones particulares corresponde a los interesados adoptar la decisión correspondiente y, en caso de conflicto, a las autoridades judiciales, fiscales y disciplinarias.</w:t>
      </w:r>
    </w:p>
    <w:p w14:paraId="748D9BCA" w14:textId="77777777" w:rsidR="00E15FD8" w:rsidRPr="00E15FD8" w:rsidRDefault="00E15FD8" w:rsidP="00E15FD8">
      <w:pPr>
        <w:tabs>
          <w:tab w:val="left" w:pos="709"/>
        </w:tabs>
        <w:snapToGrid w:val="0"/>
        <w:spacing w:after="0" w:line="276" w:lineRule="auto"/>
        <w:ind w:firstLine="709"/>
        <w:jc w:val="both"/>
        <w:rPr>
          <w:rFonts w:ascii="Verdana" w:eastAsia="Calibri" w:hAnsi="Verdana" w:cs="Arial"/>
          <w:color w:val="000000"/>
          <w:kern w:val="2"/>
          <w:lang w:val="es-ES"/>
          <w14:ligatures w14:val="standardContextual"/>
        </w:rPr>
      </w:pPr>
      <w:r w:rsidRPr="00E15FD8">
        <w:rPr>
          <w:rFonts w:ascii="Verdana" w:eastAsia="Calibri" w:hAnsi="Verdana" w:cs="Arial"/>
          <w:color w:val="000000"/>
          <w:kern w:val="2"/>
          <w:lang w:val="es-ES"/>
          <w14:ligatures w14:val="standardContextual"/>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79E7E41" w14:textId="77777777" w:rsidR="00E15FD8" w:rsidRPr="00E15FD8" w:rsidRDefault="00E15FD8" w:rsidP="00E15FD8">
      <w:pPr>
        <w:spacing w:after="0"/>
        <w:ind w:firstLine="708"/>
        <w:jc w:val="both"/>
        <w:rPr>
          <w:rFonts w:ascii="Verdana" w:eastAsia="Aptos" w:hAnsi="Verdana" w:cs="Arial"/>
          <w:color w:val="000000"/>
          <w:lang w:val="es-ES"/>
        </w:rPr>
      </w:pPr>
    </w:p>
    <w:p w14:paraId="165E76C8" w14:textId="77777777" w:rsidR="00E15FD8" w:rsidRPr="00E15FD8" w:rsidRDefault="00E15FD8" w:rsidP="00E15FD8">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Referencias normativas, jurisprudenciales y otras fuentes:</w:t>
      </w:r>
    </w:p>
    <w:p w14:paraId="40FF912D" w14:textId="77777777" w:rsidR="00E15FD8" w:rsidRPr="00E15FD8" w:rsidRDefault="00E15FD8" w:rsidP="00E15FD8">
      <w:pPr>
        <w:spacing w:after="0"/>
        <w:ind w:left="-15840"/>
        <w:jc w:val="both"/>
        <w:rPr>
          <w:rFonts w:ascii="Verdana" w:eastAsia="Calibri" w:hAnsi="Verdana" w:cs="Arial"/>
          <w:b/>
          <w:bCs/>
        </w:rPr>
      </w:pPr>
      <w:r w:rsidRPr="00E15FD8">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15FD8" w:rsidRPr="00E15FD8" w14:paraId="75D6D723" w14:textId="77777777" w:rsidTr="00933CEA">
        <w:trPr>
          <w:trHeight w:val="870"/>
        </w:trPr>
        <w:tc>
          <w:tcPr>
            <w:tcW w:w="8647" w:type="dxa"/>
            <w:tcBorders>
              <w:top w:val="dotted" w:sz="4" w:space="0" w:color="auto"/>
              <w:left w:val="dotted" w:sz="4" w:space="0" w:color="auto"/>
              <w:bottom w:val="dotted" w:sz="4" w:space="0" w:color="auto"/>
              <w:right w:val="dotted" w:sz="4" w:space="0" w:color="auto"/>
            </w:tcBorders>
          </w:tcPr>
          <w:p w14:paraId="27713FDE" w14:textId="77777777" w:rsidR="00E15FD8" w:rsidRPr="00E15FD8" w:rsidRDefault="00E15FD8" w:rsidP="00E15FD8">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E15FD8">
              <w:rPr>
                <w:rFonts w:ascii="Verdana" w:eastAsia="Calibri" w:hAnsi="Verdana" w:cs="Arial"/>
                <w:lang w:val="es-ES_tradnl"/>
              </w:rPr>
              <w:t xml:space="preserve">Ley 2022 de 2020, artículo 1. </w:t>
            </w:r>
          </w:p>
          <w:p w14:paraId="3EABFD4B" w14:textId="77777777" w:rsidR="00E15FD8" w:rsidRPr="00E15FD8" w:rsidRDefault="00E15FD8" w:rsidP="00E15FD8">
            <w:pPr>
              <w:widowControl w:val="0"/>
              <w:numPr>
                <w:ilvl w:val="0"/>
                <w:numId w:val="17"/>
              </w:numPr>
              <w:autoSpaceDE w:val="0"/>
              <w:autoSpaceDN w:val="0"/>
              <w:spacing w:line="276" w:lineRule="auto"/>
              <w:jc w:val="both"/>
              <w:rPr>
                <w:rFonts w:ascii="Verdana" w:eastAsia="Calibri" w:hAnsi="Verdana" w:cs="Arial"/>
              </w:rPr>
            </w:pPr>
            <w:r w:rsidRPr="00E15FD8">
              <w:rPr>
                <w:rFonts w:ascii="Verdana" w:eastAsia="Calibri" w:hAnsi="Verdana" w:cs="Arial"/>
              </w:rPr>
              <w:t>Ley 1150 de 2007, artículo 2.</w:t>
            </w:r>
          </w:p>
          <w:p w14:paraId="6720F152" w14:textId="77777777" w:rsidR="00E15FD8" w:rsidRPr="00E15FD8" w:rsidRDefault="00E15FD8" w:rsidP="00E15FD8">
            <w:pPr>
              <w:widowControl w:val="0"/>
              <w:numPr>
                <w:ilvl w:val="0"/>
                <w:numId w:val="17"/>
              </w:numPr>
              <w:autoSpaceDE w:val="0"/>
              <w:autoSpaceDN w:val="0"/>
              <w:spacing w:line="276" w:lineRule="auto"/>
              <w:contextualSpacing/>
              <w:jc w:val="both"/>
              <w:rPr>
                <w:rFonts w:ascii="Verdana" w:eastAsia="Calibri" w:hAnsi="Verdana" w:cs="Arial"/>
                <w:lang w:val="es-ES"/>
              </w:rPr>
            </w:pPr>
            <w:r w:rsidRPr="00E15FD8">
              <w:rPr>
                <w:rFonts w:ascii="Verdana" w:eastAsia="Calibri" w:hAnsi="Verdana" w:cs="Arial"/>
                <w:lang w:val="es-ES_tradnl"/>
              </w:rPr>
              <w:t xml:space="preserve">Documentos Tipo. Disponibles en: </w:t>
            </w:r>
            <w:hyperlink r:id="rId11" w:history="1">
              <w:r w:rsidRPr="00E15FD8">
                <w:rPr>
                  <w:rFonts w:ascii="Verdana" w:eastAsia="Calibri" w:hAnsi="Verdana" w:cs="Arial"/>
                  <w:color w:val="0000FF"/>
                  <w:u w:val="single"/>
                  <w:lang w:val="es-ES_tradnl"/>
                </w:rPr>
                <w:t>https://www.colombiacompra.gov.co/documentos-tipo/documentos-tipo</w:t>
              </w:r>
            </w:hyperlink>
            <w:r w:rsidRPr="00E15FD8">
              <w:rPr>
                <w:rFonts w:ascii="Verdana" w:eastAsia="Calibri" w:hAnsi="Verdana" w:cs="Arial"/>
                <w:lang w:val="es-ES_tradnl"/>
              </w:rPr>
              <w:t>.</w:t>
            </w:r>
          </w:p>
        </w:tc>
      </w:tr>
    </w:tbl>
    <w:p w14:paraId="4E085FB0" w14:textId="77777777" w:rsidR="00E15FD8" w:rsidRPr="00E15FD8" w:rsidRDefault="00E15FD8" w:rsidP="00E15FD8">
      <w:pPr>
        <w:tabs>
          <w:tab w:val="left" w:pos="142"/>
          <w:tab w:val="left" w:pos="284"/>
        </w:tabs>
        <w:spacing w:after="0" w:line="276" w:lineRule="auto"/>
        <w:jc w:val="both"/>
        <w:rPr>
          <w:rFonts w:ascii="Verdana" w:eastAsia="Calibri" w:hAnsi="Verdana" w:cs="Arial"/>
        </w:rPr>
      </w:pPr>
    </w:p>
    <w:p w14:paraId="324BB416" w14:textId="77777777" w:rsidR="00E15FD8" w:rsidRPr="00E15FD8" w:rsidRDefault="00E15FD8" w:rsidP="00E15FD8">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Doctrina de la Agencia Nacional de Contratación Pública:</w:t>
      </w:r>
    </w:p>
    <w:p w14:paraId="1D487EF8" w14:textId="77777777" w:rsidR="00E15FD8" w:rsidRPr="00E15FD8" w:rsidRDefault="00E15FD8" w:rsidP="00E15FD8">
      <w:pPr>
        <w:widowControl w:val="0"/>
        <w:autoSpaceDE w:val="0"/>
        <w:autoSpaceDN w:val="0"/>
        <w:spacing w:after="0" w:line="276" w:lineRule="auto"/>
        <w:jc w:val="both"/>
        <w:rPr>
          <w:rFonts w:ascii="Verdana" w:eastAsia="Calibri" w:hAnsi="Verdana" w:cs="Arial"/>
        </w:rPr>
      </w:pPr>
    </w:p>
    <w:p w14:paraId="013BB4CF" w14:textId="77777777" w:rsidR="00E15FD8" w:rsidRPr="00E15FD8" w:rsidRDefault="00E15FD8" w:rsidP="00E15FD8">
      <w:pPr>
        <w:widowControl w:val="0"/>
        <w:autoSpaceDE w:val="0"/>
        <w:autoSpaceDN w:val="0"/>
        <w:spacing w:after="120" w:line="276" w:lineRule="auto"/>
        <w:jc w:val="both"/>
        <w:rPr>
          <w:rFonts w:ascii="Verdana" w:eastAsia="Times New Roman" w:hAnsi="Verdana" w:cs="Arial"/>
          <w:shd w:val="clear" w:color="auto" w:fill="FFFFFF"/>
          <w:lang w:val="es-ES"/>
        </w:rPr>
      </w:pPr>
      <w:r w:rsidRPr="00E15FD8">
        <w:rPr>
          <w:rFonts w:ascii="Verdana" w:eastAsia="Calibri" w:hAnsi="Verdana" w:cs="Arial"/>
          <w:shd w:val="clear" w:color="auto" w:fill="FFFFFF"/>
        </w:rPr>
        <w:t>L</w:t>
      </w:r>
      <w:r w:rsidRPr="00E15FD8">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E15FD8">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w:t>
      </w:r>
      <w:r w:rsidRPr="00E15FD8">
        <w:rPr>
          <w:rFonts w:ascii="Verdana" w:eastAsia="Times New Roman" w:hAnsi="Verdana" w:cs="Arial"/>
          <w:shd w:val="clear" w:color="auto" w:fill="FFFFFF"/>
          <w:lang w:val="es-ES"/>
        </w:rPr>
        <w:lastRenderedPageBreak/>
        <w:t xml:space="preserve">del 6 de julio de 2022, C-654 del 7 de octubre de 2022, C-874 del 22 de 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 C-753 del 4 de enero de 2024 y C-133 del 10 de marzo de 2025. </w:t>
      </w:r>
    </w:p>
    <w:p w14:paraId="6A940BF7" w14:textId="77777777" w:rsidR="00E15FD8" w:rsidRPr="00E15FD8" w:rsidRDefault="00E15FD8" w:rsidP="00E15FD8">
      <w:pPr>
        <w:spacing w:after="120" w:line="278" w:lineRule="auto"/>
        <w:jc w:val="both"/>
        <w:rPr>
          <w:rFonts w:ascii="Verdana" w:eastAsia="Times New Roman" w:hAnsi="Verdana" w:cs="Arial"/>
          <w:shd w:val="clear" w:color="auto" w:fill="FFFFFF"/>
          <w:lang w:val="es-ES"/>
        </w:rPr>
      </w:pPr>
      <w:r w:rsidRPr="00E15FD8">
        <w:rPr>
          <w:rFonts w:ascii="Verdana" w:eastAsia="Times New Roman" w:hAnsi="Verdana" w:cs="Arial"/>
          <w:shd w:val="clear" w:color="auto" w:fill="FFFFFF"/>
          <w:lang w:val="es-ES"/>
        </w:rPr>
        <w:t xml:space="preserve">Así mismo, en los conceptos C-085 del 10 de abril de 2023, C-375 del 2 de noviembre de 2023, C-063 del 17 de mayo de 2024, C-120 del 11 de junio de 2024, C-092 del 14 de junio de 2024, C-127 del 28 de junio de 2024, C-276 del 5 de julio de 2024, C-153 del 12 de julio de 2024, C-147 del 17 de julio de 2024, C-229 del 09 de agosto de 2024, C-549 del 15 de octubre de 2024, C-400 del 18 de octubre de 2024, C-587 del 23 de octubre de 2024, C-753 del 4 de diciembre de 2024, C-753 del 4 de diciembre de 2024, C-213 del 6 de marzo de 2025, C-283 del 14 de abril de 2025, C-168 del 12 de septiembre de 2025 , C-581 del 24 de junio de 2025, C-1093 del 15 de septiembre del 2025, C-1286 del 15 de septiembre de 2025, C-1360 del 9 de octubre de 2025 y C-1532 del 2 de diciembre de 2025, esta Agencia se pronunció sobre la Matriz 1 – Experiencia de los documentos tipo de infraestructura de transporte. </w:t>
      </w:r>
    </w:p>
    <w:p w14:paraId="4C9BE75C" w14:textId="77777777" w:rsidR="00E15FD8" w:rsidRPr="00E15FD8" w:rsidRDefault="00E15FD8" w:rsidP="00E15FD8">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E15FD8">
        <w:rPr>
          <w:rFonts w:ascii="Verdana" w:eastAsia="Times New Roman" w:hAnsi="Verdana" w:cs="Arial"/>
          <w:shd w:val="clear" w:color="auto" w:fill="FFFFFF"/>
          <w:lang w:val="es-ES"/>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E15FD8">
          <w:rPr>
            <w:rFonts w:ascii="Verdana" w:eastAsia="Calibri" w:hAnsi="Verdana" w:cs="Arial"/>
            <w:color w:val="0000FF"/>
            <w:kern w:val="2"/>
            <w:u w:val="single"/>
            <w:shd w:val="clear" w:color="auto" w:fill="FFFFFF"/>
            <w14:ligatures w14:val="standardContextual"/>
          </w:rPr>
          <w:t>https://relatoria.colombiacompra.gov.co/</w:t>
        </w:r>
      </w:hyperlink>
      <w:r w:rsidRPr="00E15FD8">
        <w:rPr>
          <w:rFonts w:ascii="Verdana" w:eastAsia="Calibri" w:hAnsi="Verdana" w:cs="Arial"/>
          <w:color w:val="0000FF"/>
          <w:kern w:val="2"/>
          <w:u w:val="single"/>
          <w:shd w:val="clear" w:color="auto" w:fill="FFFFFF"/>
          <w14:ligatures w14:val="standardContextual"/>
        </w:rPr>
        <w:t> .</w:t>
      </w:r>
    </w:p>
    <w:bookmarkEnd w:id="1"/>
    <w:p w14:paraId="1407978E" w14:textId="77777777" w:rsidR="00E15FD8" w:rsidRPr="00E15FD8" w:rsidRDefault="00E15FD8" w:rsidP="00E15FD8">
      <w:pPr>
        <w:spacing w:after="120" w:line="276" w:lineRule="auto"/>
        <w:jc w:val="both"/>
        <w:rPr>
          <w:rFonts w:ascii="Aptos" w:eastAsia="Aptos" w:hAnsi="Aptos" w:cs="Times New Roman"/>
          <w:kern w:val="2"/>
          <w:sz w:val="24"/>
          <w:szCs w:val="24"/>
          <w14:ligatures w14:val="standardContextual"/>
        </w:rPr>
      </w:pPr>
      <w:r w:rsidRPr="00E15FD8">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15FD8">
        <w:rPr>
          <w:rFonts w:ascii="Verdana" w:eastAsia="Aptos" w:hAnsi="Verdana" w:cs="Times New Roman"/>
          <w:b/>
          <w:bCs/>
          <w:color w:val="000000"/>
          <w:kern w:val="2"/>
          <w14:ligatures w14:val="standardContextual"/>
        </w:rPr>
        <w:t>Guía para la Exigencia y Constitución de Garantías en los Procesos de Contratación</w:t>
      </w:r>
      <w:r w:rsidRPr="00E15FD8">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E15FD8">
          <w:rPr>
            <w:rFonts w:ascii="Verdana" w:eastAsia="Aptos" w:hAnsi="Verdana" w:cs="Times New Roman"/>
            <w:color w:val="0078D7"/>
            <w:kern w:val="2"/>
            <w:u w:val="single"/>
            <w14:ligatures w14:val="standardContextual"/>
          </w:rPr>
          <w:t>https://www.colombiacompra.gov.co/archivos/manual/guia-de-garantias-en-procesos-de-contratacion</w:t>
        </w:r>
      </w:hyperlink>
    </w:p>
    <w:p w14:paraId="024DE1FB" w14:textId="77777777" w:rsidR="00E15FD8" w:rsidRPr="00E15FD8" w:rsidRDefault="00E15FD8" w:rsidP="00E15FD8">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lastRenderedPageBreak/>
        <w:t>De otro lado, te contamos que el Decreto 287 del 19 de marzo de 2026 sustituyó los artículos 2.2.1.2.4.2.6., 2.2.1.2.4.2.7. y 2.2.1.2.4.2.8. del Decreto 1082 de 2015 y estructuró el </w:t>
      </w:r>
      <w:r w:rsidRPr="00E15FD8">
        <w:rPr>
          <w:rFonts w:ascii="Verdana" w:eastAsia="Aptos" w:hAnsi="Verdana" w:cs="Times New Roman"/>
          <w:b/>
          <w:bCs/>
          <w:color w:val="000000"/>
          <w:kern w:val="2"/>
          <w14:ligatures w14:val="standardContextual"/>
        </w:rPr>
        <w:t>Sistema Integral de Preferencias en favor de las personas con discapacidad</w:t>
      </w:r>
      <w:r w:rsidRPr="00E15FD8">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E15FD8">
        <w:rPr>
          <w:rFonts w:ascii="Verdana" w:eastAsia="Aptos" w:hAnsi="Verdana" w:cs="Times New Roman"/>
          <w:b/>
          <w:bCs/>
          <w:color w:val="000000"/>
          <w:kern w:val="2"/>
          <w14:ligatures w14:val="standardContextual"/>
        </w:rPr>
        <w:t>Circular Externa 003 del 12 de mayo de 2026, </w:t>
      </w:r>
      <w:r w:rsidRPr="00E15FD8">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E15FD8">
          <w:rPr>
            <w:rFonts w:ascii="Verdana" w:eastAsia="Aptos" w:hAnsi="Verdana" w:cs="Times New Roman"/>
            <w:color w:val="0078D7"/>
            <w:kern w:val="2"/>
            <w:u w:val="single"/>
            <w14:ligatures w14:val="standardContextual"/>
          </w:rPr>
          <w:t>https://www.colombiacompra.gov.co/archivos/circular/circular-externa-003-de-2026</w:t>
        </w:r>
      </w:hyperlink>
    </w:p>
    <w:p w14:paraId="00E300ED" w14:textId="77777777" w:rsidR="00E15FD8" w:rsidRPr="00E15FD8" w:rsidRDefault="00E15FD8" w:rsidP="00E15FD8">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Recuerda también que la</w:t>
      </w:r>
      <w:r w:rsidRPr="00E15FD8">
        <w:rPr>
          <w:rFonts w:ascii="Verdana" w:eastAsia="Aptos" w:hAnsi="Verdana" w:cs="Times New Roman"/>
          <w:b/>
          <w:bCs/>
          <w:color w:val="000000"/>
          <w:kern w:val="2"/>
          <w14:ligatures w14:val="standardContextual"/>
        </w:rPr>
        <w:t> información sobre sanciones e inhabilidades </w:t>
      </w:r>
      <w:r w:rsidRPr="00E15FD8">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E15FD8">
        <w:rPr>
          <w:rFonts w:ascii="Verdana" w:eastAsia="Aptos" w:hAnsi="Verdana" w:cs="Times New Roman"/>
          <w:b/>
          <w:bCs/>
          <w:color w:val="000000"/>
          <w:kern w:val="2"/>
          <w14:ligatures w14:val="standardContextual"/>
        </w:rPr>
        <w:t>Circular Externa 002 del 5 de mayo de 2026,</w:t>
      </w:r>
      <w:r w:rsidRPr="00E15FD8">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E15FD8">
          <w:rPr>
            <w:rFonts w:ascii="Verdana" w:eastAsia="Aptos" w:hAnsi="Verdana" w:cs="Times New Roman"/>
            <w:color w:val="0078D7"/>
            <w:kern w:val="2"/>
            <w:u w:val="single"/>
            <w14:ligatures w14:val="standardContextual"/>
          </w:rPr>
          <w:t>https://www.colombiacompra.gov.co/archivos/circular/circular-externa-002-de-2026</w:t>
        </w:r>
      </w:hyperlink>
    </w:p>
    <w:p w14:paraId="1FA7340E" w14:textId="77777777" w:rsidR="00E15FD8" w:rsidRPr="00E15FD8" w:rsidRDefault="00E15FD8" w:rsidP="00E15FD8">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Finalmente, si quieres seguir de cerca la actividad de la Agencia, la tercera edición de 2026 del</w:t>
      </w:r>
      <w:r w:rsidRPr="00E15FD8">
        <w:rPr>
          <w:rFonts w:ascii="Verdana" w:eastAsia="Aptos" w:hAnsi="Verdana" w:cs="Times New Roman"/>
          <w:b/>
          <w:bCs/>
          <w:color w:val="000000"/>
          <w:kern w:val="2"/>
          <w14:ligatures w14:val="standardContextual"/>
        </w:rPr>
        <w:t> Radar de la Compra Pública</w:t>
      </w:r>
      <w:r w:rsidRPr="00E15FD8">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E15FD8">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E15FD8">
        <w:rPr>
          <w:rFonts w:ascii="Verdana" w:eastAsia="Aptos" w:hAnsi="Verdana" w:cs="Times New Roman"/>
          <w:color w:val="000000"/>
          <w:kern w:val="2"/>
          <w14:ligatures w14:val="standardContextual"/>
        </w:rPr>
        <w:t>"</w:t>
      </w:r>
    </w:p>
    <w:p w14:paraId="6C84D126" w14:textId="77777777" w:rsidR="00E15FD8" w:rsidRPr="00E15FD8" w:rsidRDefault="00E15FD8" w:rsidP="00E15FD8">
      <w:pPr>
        <w:spacing w:after="120" w:line="240" w:lineRule="auto"/>
        <w:jc w:val="both"/>
        <w:rPr>
          <w:rFonts w:ascii="Verdana" w:eastAsia="Calibri" w:hAnsi="Verdana" w:cs="Times New Roman"/>
          <w:lang w:eastAsia="es-MX"/>
        </w:rPr>
      </w:pPr>
      <w:r w:rsidRPr="00E15FD8">
        <w:rPr>
          <w:rFonts w:ascii="Verdana" w:eastAsia="Aptos" w:hAnsi="Verdana" w:cs="Times New Roman"/>
          <w:lang w:eastAsia="es-MX"/>
        </w:rPr>
        <w:t xml:space="preserve">Por último, lo invitamos a seguirnos en las redes sociales en las cuales se difunde información institucional: </w:t>
      </w:r>
    </w:p>
    <w:p w14:paraId="3E588442" w14:textId="77777777" w:rsidR="00E15FD8" w:rsidRPr="00E15FD8" w:rsidRDefault="00E15FD8" w:rsidP="00E15FD8">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t xml:space="preserve">Twitter: </w:t>
      </w:r>
      <w:r w:rsidRPr="00E15FD8">
        <w:rPr>
          <w:rFonts w:ascii="Verdana" w:eastAsia="Calibri" w:hAnsi="Verdana" w:cs="Times New Roman"/>
          <w:color w:val="156082"/>
          <w:u w:val="single"/>
          <w:lang w:eastAsia="es-MX"/>
        </w:rPr>
        <w:t>@colombiacompra</w:t>
      </w:r>
      <w:r w:rsidRPr="00E15FD8">
        <w:rPr>
          <w:rFonts w:ascii="Verdana" w:eastAsia="Calibri" w:hAnsi="Verdana" w:cs="Times New Roman"/>
          <w:color w:val="156082"/>
          <w:lang w:eastAsia="es-MX"/>
        </w:rPr>
        <w:t xml:space="preserve"> </w:t>
      </w:r>
    </w:p>
    <w:p w14:paraId="64D6AF91" w14:textId="77777777" w:rsidR="00E15FD8" w:rsidRPr="00E15FD8" w:rsidRDefault="00E15FD8" w:rsidP="00E15FD8">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t xml:space="preserve">Facebook: </w:t>
      </w:r>
      <w:proofErr w:type="spellStart"/>
      <w:r w:rsidRPr="00E15FD8">
        <w:rPr>
          <w:rFonts w:ascii="Verdana" w:eastAsia="Calibri" w:hAnsi="Verdana" w:cs="Times New Roman"/>
          <w:color w:val="156082"/>
          <w:u w:val="single"/>
          <w:lang w:eastAsia="es-MX"/>
        </w:rPr>
        <w:t>ColombiaCompraEficiente</w:t>
      </w:r>
      <w:proofErr w:type="spellEnd"/>
    </w:p>
    <w:p w14:paraId="1B1A347B" w14:textId="77777777" w:rsidR="00E15FD8" w:rsidRPr="00E15FD8" w:rsidRDefault="00E15FD8" w:rsidP="00E15FD8">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lastRenderedPageBreak/>
        <w:t xml:space="preserve">LinkedIn: </w:t>
      </w:r>
      <w:r w:rsidRPr="00E15FD8">
        <w:rPr>
          <w:rFonts w:ascii="Verdana" w:eastAsia="Calibri" w:hAnsi="Verdana" w:cs="Times New Roman"/>
          <w:color w:val="156082"/>
          <w:u w:val="single"/>
          <w:lang w:eastAsia="es-MX"/>
        </w:rPr>
        <w:t>Agencia Nacional de Contratación Pública - Colombia Compra Eficiente</w:t>
      </w:r>
      <w:r w:rsidRPr="00E15FD8">
        <w:rPr>
          <w:rFonts w:ascii="Verdana" w:eastAsia="Calibri" w:hAnsi="Verdana" w:cs="Times New Roman"/>
          <w:color w:val="156082"/>
          <w:lang w:eastAsia="es-MX"/>
        </w:rPr>
        <w:t xml:space="preserve"> </w:t>
      </w:r>
      <w:r w:rsidRPr="00E15FD8">
        <w:rPr>
          <w:rFonts w:ascii="Verdana" w:eastAsia="Aptos" w:hAnsi="Verdana" w:cs="Times New Roman"/>
          <w:lang w:eastAsia="es-MX"/>
        </w:rPr>
        <w:t xml:space="preserve">Instagram: </w:t>
      </w:r>
      <w:r w:rsidRPr="00E15FD8">
        <w:rPr>
          <w:rFonts w:ascii="Verdana" w:eastAsia="Calibri" w:hAnsi="Verdana" w:cs="Times New Roman"/>
          <w:color w:val="156082"/>
          <w:u w:val="single"/>
          <w:lang w:eastAsia="es-MX"/>
        </w:rPr>
        <w:t>@colombiacompraeficiente_cce</w:t>
      </w:r>
    </w:p>
    <w:p w14:paraId="575C0E40" w14:textId="77777777" w:rsidR="00E15FD8" w:rsidRPr="00E15FD8" w:rsidRDefault="00E15FD8" w:rsidP="00E15FD8">
      <w:pPr>
        <w:spacing w:after="0" w:line="276" w:lineRule="auto"/>
        <w:jc w:val="both"/>
        <w:rPr>
          <w:rFonts w:ascii="Verdana" w:eastAsia="Aptos" w:hAnsi="Verdana" w:cs="Times New Roman"/>
          <w:lang w:eastAsia="es-MX"/>
        </w:rPr>
      </w:pPr>
    </w:p>
    <w:p w14:paraId="019B969A" w14:textId="77777777" w:rsidR="00E15FD8" w:rsidRPr="00E15FD8" w:rsidRDefault="00E15FD8" w:rsidP="00E15FD8">
      <w:pPr>
        <w:spacing w:after="0" w:line="276" w:lineRule="auto"/>
        <w:jc w:val="both"/>
        <w:rPr>
          <w:rFonts w:ascii="Verdana" w:eastAsia="Calibri" w:hAnsi="Verdana" w:cs="Times New Roman"/>
          <w:bCs/>
          <w:lang w:val="es-ES_tradnl" w:eastAsia="es-MX"/>
        </w:rPr>
      </w:pPr>
      <w:r w:rsidRPr="00E15FD8">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8ED5442" w14:textId="77777777" w:rsidR="00E15FD8" w:rsidRPr="00E15FD8" w:rsidRDefault="00E15FD8" w:rsidP="00E15FD8">
      <w:pPr>
        <w:spacing w:after="0" w:line="276" w:lineRule="auto"/>
        <w:jc w:val="both"/>
        <w:rPr>
          <w:rFonts w:ascii="Verdana" w:eastAsia="Calibri" w:hAnsi="Verdana" w:cs="Times New Roman"/>
          <w:lang w:eastAsia="es-MX"/>
        </w:rPr>
      </w:pPr>
    </w:p>
    <w:p w14:paraId="53C6384D" w14:textId="77777777" w:rsidR="00E15FD8" w:rsidRPr="00E15FD8" w:rsidRDefault="00E15FD8" w:rsidP="00E15FD8">
      <w:pPr>
        <w:spacing w:after="0" w:line="276" w:lineRule="auto"/>
        <w:jc w:val="both"/>
        <w:rPr>
          <w:rFonts w:ascii="Verdana" w:eastAsia="Calibri" w:hAnsi="Verdana" w:cs="Times New Roman"/>
          <w:lang w:eastAsia="es-MX"/>
        </w:rPr>
      </w:pPr>
      <w:r w:rsidRPr="00E15FD8">
        <w:rPr>
          <w:rFonts w:ascii="Verdana" w:eastAsia="Calibri" w:hAnsi="Verdana" w:cs="Times New Roman"/>
          <w:lang w:eastAsia="es-MX"/>
        </w:rPr>
        <w:t>Atentamente,</w:t>
      </w:r>
    </w:p>
    <w:p w14:paraId="766ABC7C" w14:textId="47D2A126" w:rsidR="00E15FD8" w:rsidRPr="00E15FD8" w:rsidRDefault="004175F2" w:rsidP="00E15FD8">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767D1A2D" wp14:editId="3862155A">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77CDCB11" w14:textId="77777777" w:rsidR="00E15FD8" w:rsidRPr="00E15FD8" w:rsidRDefault="00E15FD8" w:rsidP="00E15FD8">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E15FD8" w:rsidRPr="00E15FD8" w14:paraId="25904886" w14:textId="77777777" w:rsidTr="00933CEA">
        <w:trPr>
          <w:trHeight w:val="323"/>
        </w:trPr>
        <w:tc>
          <w:tcPr>
            <w:tcW w:w="1041" w:type="dxa"/>
            <w:vAlign w:val="center"/>
            <w:hideMark/>
          </w:tcPr>
          <w:p w14:paraId="2CF44C47" w14:textId="77777777" w:rsidR="00E15FD8" w:rsidRPr="00E15FD8" w:rsidRDefault="00E15FD8" w:rsidP="00E15FD8">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331F186F" w14:textId="77777777" w:rsidR="00E15FD8" w:rsidRPr="00E15FD8" w:rsidRDefault="00E15FD8" w:rsidP="00E15FD8">
            <w:pPr>
              <w:rPr>
                <w:rFonts w:ascii="Verdana" w:eastAsia="Arial" w:hAnsi="Verdana" w:cs="Arial"/>
                <w:sz w:val="16"/>
                <w:szCs w:val="16"/>
                <w:lang w:val="es-ES" w:eastAsia="es-MX"/>
              </w:rPr>
            </w:pPr>
            <w:r w:rsidRPr="00E15FD8">
              <w:rPr>
                <w:rFonts w:ascii="Verdana" w:eastAsia="Arial" w:hAnsi="Verdana" w:cs="Arial"/>
                <w:sz w:val="16"/>
                <w:szCs w:val="16"/>
                <w:lang w:val="es-ES" w:eastAsia="es-MX"/>
              </w:rPr>
              <w:t xml:space="preserve">Carlos Mario Castrillón Endo </w:t>
            </w:r>
          </w:p>
          <w:p w14:paraId="4AF92F98" w14:textId="77777777" w:rsidR="00E15FD8" w:rsidRPr="00E15FD8" w:rsidRDefault="00E15FD8" w:rsidP="00E15FD8">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Contratista de la Subdirección de Gestión Contractual</w:t>
            </w:r>
          </w:p>
          <w:p w14:paraId="54A3A8D1" w14:textId="77777777" w:rsidR="00E15FD8" w:rsidRPr="00E15FD8" w:rsidRDefault="00E15FD8" w:rsidP="00E15FD8">
            <w:pPr>
              <w:rPr>
                <w:rFonts w:ascii="Verdana" w:eastAsia="Arial" w:hAnsi="Verdana" w:cs="Arial"/>
                <w:sz w:val="16"/>
                <w:szCs w:val="16"/>
                <w:lang w:val="es-ES_tradnl" w:eastAsia="es-MX"/>
              </w:rPr>
            </w:pPr>
          </w:p>
        </w:tc>
      </w:tr>
      <w:tr w:rsidR="00E15FD8" w:rsidRPr="00E15FD8" w14:paraId="6CB4042E" w14:textId="77777777" w:rsidTr="00933CEA">
        <w:trPr>
          <w:trHeight w:val="338"/>
        </w:trPr>
        <w:tc>
          <w:tcPr>
            <w:tcW w:w="1041" w:type="dxa"/>
            <w:vAlign w:val="center"/>
            <w:hideMark/>
          </w:tcPr>
          <w:p w14:paraId="2B3AF40E" w14:textId="77777777" w:rsidR="00E15FD8" w:rsidRPr="00E15FD8" w:rsidRDefault="00E15FD8" w:rsidP="00E15FD8">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0FB1797B" w14:textId="77777777" w:rsidR="00E15FD8" w:rsidRPr="00E15FD8" w:rsidRDefault="00E15FD8" w:rsidP="00E15FD8">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Alexandra Rodríguez Motta</w:t>
            </w:r>
          </w:p>
          <w:p w14:paraId="268E2699" w14:textId="77777777" w:rsidR="00E15FD8" w:rsidRPr="00E15FD8" w:rsidRDefault="00E15FD8" w:rsidP="00E15FD8">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Contratista de la Subdirección de Gestión Contractual</w:t>
            </w:r>
          </w:p>
          <w:p w14:paraId="366B76ED" w14:textId="77777777" w:rsidR="00E15FD8" w:rsidRPr="00E15FD8" w:rsidRDefault="00E15FD8" w:rsidP="00E15FD8">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Martha Alicia Romero Vargas</w:t>
            </w:r>
          </w:p>
          <w:p w14:paraId="53BE368A" w14:textId="77777777" w:rsidR="00E15FD8" w:rsidRPr="00E15FD8" w:rsidRDefault="00E15FD8" w:rsidP="00E15FD8">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Gestor T1-15 de la Subdirección de Gestión Contractual</w:t>
            </w:r>
          </w:p>
          <w:p w14:paraId="433F412C" w14:textId="77777777" w:rsidR="00E15FD8" w:rsidRPr="00E15FD8" w:rsidRDefault="00E15FD8" w:rsidP="00E15FD8">
            <w:pPr>
              <w:rPr>
                <w:rFonts w:ascii="Verdana" w:eastAsia="Arial" w:hAnsi="Verdana" w:cs="Arial"/>
                <w:sz w:val="16"/>
                <w:szCs w:val="16"/>
                <w:lang w:val="es-ES_tradnl" w:eastAsia="es-MX"/>
              </w:rPr>
            </w:pPr>
          </w:p>
        </w:tc>
      </w:tr>
      <w:tr w:rsidR="00E15FD8" w:rsidRPr="00E15FD8" w14:paraId="2FF3D790" w14:textId="77777777" w:rsidTr="00933CEA">
        <w:trPr>
          <w:trHeight w:val="308"/>
        </w:trPr>
        <w:tc>
          <w:tcPr>
            <w:tcW w:w="1041" w:type="dxa"/>
            <w:vAlign w:val="center"/>
          </w:tcPr>
          <w:p w14:paraId="511158B0" w14:textId="77777777" w:rsidR="00E15FD8" w:rsidRPr="00E15FD8" w:rsidRDefault="00E15FD8" w:rsidP="00E15FD8">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21843B12" w14:textId="77777777" w:rsidR="00E15FD8" w:rsidRPr="00E15FD8" w:rsidRDefault="00E15FD8" w:rsidP="00E15FD8">
            <w:pPr>
              <w:rPr>
                <w:rFonts w:ascii="Verdana" w:eastAsia="Calibri" w:hAnsi="Verdana" w:cs="Arial"/>
                <w:sz w:val="16"/>
                <w:szCs w:val="16"/>
                <w:lang w:val="es-ES" w:eastAsia="es-ES"/>
              </w:rPr>
            </w:pPr>
            <w:r w:rsidRPr="00E15FD8">
              <w:rPr>
                <w:rFonts w:ascii="Verdana" w:eastAsia="Calibri" w:hAnsi="Verdana" w:cs="Arial"/>
                <w:sz w:val="16"/>
                <w:szCs w:val="16"/>
                <w:lang w:val="es-ES" w:eastAsia="es-ES"/>
              </w:rPr>
              <w:t>Carolina Quintero Gacharná</w:t>
            </w:r>
          </w:p>
          <w:p w14:paraId="68DAE0ED" w14:textId="77777777" w:rsidR="00E15FD8" w:rsidRPr="00E15FD8" w:rsidRDefault="00E15FD8" w:rsidP="00E15FD8">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Subdirectora de Gestión Contractual ANCP – CCE</w:t>
            </w:r>
          </w:p>
        </w:tc>
      </w:tr>
    </w:tbl>
    <w:p w14:paraId="38A185A1" w14:textId="77777777" w:rsidR="00E15FD8" w:rsidRPr="00E15FD8" w:rsidRDefault="00E15FD8" w:rsidP="00E15FD8">
      <w:pPr>
        <w:spacing w:after="0" w:line="240" w:lineRule="auto"/>
        <w:jc w:val="both"/>
        <w:textAlignment w:val="baseline"/>
        <w:rPr>
          <w:rFonts w:ascii="Verdana" w:eastAsia="Verdana" w:hAnsi="Verdana" w:cs="Verdana"/>
          <w:lang w:eastAsia="es-CO"/>
        </w:rPr>
      </w:pPr>
    </w:p>
    <w:p w14:paraId="7C9026E2" w14:textId="409D4A1F" w:rsidR="002A0DD0" w:rsidRPr="00E15FD8" w:rsidRDefault="002A0DD0" w:rsidP="00E15FD8">
      <w:pPr>
        <w:spacing w:after="0" w:line="240" w:lineRule="auto"/>
        <w:textAlignment w:val="baseline"/>
        <w:rPr>
          <w:rFonts w:ascii="Verdana" w:eastAsia="Verdana" w:hAnsi="Verdana" w:cs="Verdana"/>
          <w:b/>
          <w:bCs/>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0AE647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2E03D" w14:textId="77777777" w:rsidR="00212F23" w:rsidRDefault="00212F23" w:rsidP="004A1847">
      <w:pPr>
        <w:spacing w:after="0" w:line="240" w:lineRule="auto"/>
      </w:pPr>
      <w:r>
        <w:separator/>
      </w:r>
    </w:p>
  </w:endnote>
  <w:endnote w:type="continuationSeparator" w:id="0">
    <w:p w14:paraId="69E33D4A" w14:textId="77777777" w:rsidR="00212F23" w:rsidRDefault="00212F2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MT">
    <w:altName w:val="Heiti TC Light"/>
    <w:charset w:val="00"/>
    <w:family w:val="roman"/>
    <w:pitch w:val="default"/>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E15FD8">
      <w:rPr>
        <w:rFonts w:ascii="Verdana" w:eastAsia="Verdana" w:hAnsi="Verdana" w:cs="Verdana"/>
        <w:b/>
        <w:bCs/>
        <w:color w:val="000000"/>
        <w:sz w:val="18"/>
        <w:szCs w:val="18"/>
        <w:lang w:eastAsia="es-CO"/>
      </w:rPr>
      <w:t xml:space="preserve">Código: </w:t>
    </w:r>
    <w:r w:rsidRPr="00E15FD8">
      <w:rPr>
        <w:rFonts w:ascii="Verdana" w:eastAsia="Verdana" w:hAnsi="Verdana" w:cs="Verdana"/>
        <w:color w:val="000000"/>
        <w:sz w:val="18"/>
        <w:szCs w:val="18"/>
        <w:lang w:eastAsia="es-CO"/>
      </w:rPr>
      <w:t xml:space="preserve">CCE-REC-FM-17 </w:t>
    </w:r>
    <w:r w:rsidRPr="00E15FD8">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25EE" w14:textId="77777777" w:rsidR="00212F23" w:rsidRDefault="00212F23" w:rsidP="004A1847">
      <w:pPr>
        <w:spacing w:after="0" w:line="240" w:lineRule="auto"/>
      </w:pPr>
      <w:r>
        <w:separator/>
      </w:r>
    </w:p>
  </w:footnote>
  <w:footnote w:type="continuationSeparator" w:id="0">
    <w:p w14:paraId="1DAD8E4F" w14:textId="77777777" w:rsidR="00212F23" w:rsidRDefault="00212F23" w:rsidP="004A1847">
      <w:pPr>
        <w:spacing w:after="0" w:line="240" w:lineRule="auto"/>
      </w:pPr>
      <w:r>
        <w:continuationSeparator/>
      </w:r>
    </w:p>
  </w:footnote>
  <w:footnote w:id="1">
    <w:p w14:paraId="2F7CD5CC" w14:textId="77777777" w:rsidR="00E15FD8" w:rsidRPr="0048541D" w:rsidRDefault="00E15FD8" w:rsidP="00E15FD8">
      <w:pPr>
        <w:pStyle w:val="Textonotapie"/>
        <w:ind w:firstLine="708"/>
        <w:jc w:val="both"/>
        <w:rPr>
          <w:rFonts w:ascii="Verdana" w:hAnsi="Verdana"/>
          <w:sz w:val="18"/>
          <w:szCs w:val="18"/>
          <w:lang w:val="es-CO"/>
        </w:rPr>
      </w:pPr>
      <w:r w:rsidRPr="0048541D">
        <w:rPr>
          <w:rStyle w:val="Refdenotaalpie"/>
          <w:rFonts w:ascii="Verdana" w:hAnsi="Verdana"/>
          <w:sz w:val="18"/>
          <w:szCs w:val="18"/>
          <w:lang w:val="es-CO"/>
        </w:rPr>
        <w:footnoteRef/>
      </w:r>
      <w:r w:rsidRPr="0048541D">
        <w:rPr>
          <w:rFonts w:ascii="Verdana" w:hAnsi="Verdana"/>
          <w:sz w:val="18"/>
          <w:szCs w:val="18"/>
          <w:lang w:val="es-CO"/>
        </w:rPr>
        <w:t xml:space="preserve"> Estos Documentos Tipo pueden ser consultados en la página web de Colombia Compra Eficiente, a través del siguiente enlace: </w:t>
      </w:r>
      <w:hyperlink r:id="rId1" w:history="1">
        <w:r w:rsidRPr="0048541D">
          <w:rPr>
            <w:rStyle w:val="Hipervnculo"/>
            <w:rFonts w:ascii="Verdana" w:hAnsi="Verdana"/>
            <w:sz w:val="18"/>
            <w:szCs w:val="18"/>
            <w:lang w:val="es-CO"/>
          </w:rPr>
          <w:t>https://www.colombiacompra.gov.co/documentos-tipo/documentos-tipo</w:t>
        </w:r>
      </w:hyperlink>
      <w:r w:rsidRPr="0048541D">
        <w:rPr>
          <w:rFonts w:ascii="Verdana" w:hAnsi="Verdana"/>
          <w:sz w:val="18"/>
          <w:szCs w:val="18"/>
          <w:lang w:val="es-CO"/>
        </w:rPr>
        <w:t xml:space="preserve"> </w:t>
      </w:r>
    </w:p>
  </w:footnote>
  <w:footnote w:id="2">
    <w:p w14:paraId="6322CE38" w14:textId="77777777" w:rsidR="00E15FD8" w:rsidRPr="0048541D" w:rsidRDefault="00E15FD8" w:rsidP="00E15FD8">
      <w:pPr>
        <w:spacing w:after="0" w:line="276" w:lineRule="auto"/>
        <w:jc w:val="both"/>
        <w:rPr>
          <w:rFonts w:ascii="Verdana" w:hAnsi="Verdana"/>
          <w:sz w:val="18"/>
          <w:szCs w:val="18"/>
        </w:rPr>
      </w:pPr>
    </w:p>
    <w:p w14:paraId="494E35C0" w14:textId="77777777" w:rsidR="00E15FD8" w:rsidRDefault="00E15FD8" w:rsidP="00E15FD8">
      <w:pPr>
        <w:spacing w:after="0" w:line="276" w:lineRule="auto"/>
        <w:ind w:firstLine="708"/>
        <w:jc w:val="both"/>
        <w:rPr>
          <w:rFonts w:ascii="Verdana" w:eastAsia="Calibri" w:hAnsi="Verdana" w:cs="Arial"/>
          <w:bCs/>
          <w:sz w:val="18"/>
          <w:szCs w:val="18"/>
        </w:rPr>
      </w:pPr>
      <w:r w:rsidRPr="0048541D">
        <w:rPr>
          <w:rStyle w:val="Refdenotaalpie"/>
          <w:rFonts w:ascii="Verdana" w:hAnsi="Verdana"/>
          <w:sz w:val="18"/>
          <w:szCs w:val="18"/>
        </w:rPr>
        <w:footnoteRef/>
      </w:r>
      <w:r w:rsidRPr="0048541D">
        <w:rPr>
          <w:rFonts w:ascii="Verdana" w:hAnsi="Verdana"/>
          <w:sz w:val="18"/>
          <w:szCs w:val="18"/>
        </w:rPr>
        <w:t xml:space="preserve"> </w:t>
      </w:r>
      <w:r w:rsidRPr="0048541D">
        <w:rPr>
          <w:rFonts w:ascii="Verdana" w:eastAsia="Calibri" w:hAnsi="Verdana" w:cs="Arial"/>
          <w:bCs/>
          <w:sz w:val="18"/>
          <w:szCs w:val="18"/>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5870E6CF" w14:textId="77777777" w:rsidR="00E15FD8" w:rsidRDefault="00E15FD8" w:rsidP="00E15FD8">
      <w:pPr>
        <w:spacing w:after="0" w:line="276" w:lineRule="auto"/>
        <w:ind w:firstLine="708"/>
        <w:jc w:val="both"/>
        <w:rPr>
          <w:rFonts w:ascii="Verdana" w:eastAsia="Calibri" w:hAnsi="Verdana" w:cs="Arial"/>
          <w:bCs/>
          <w:sz w:val="18"/>
          <w:szCs w:val="18"/>
        </w:rPr>
      </w:pPr>
    </w:p>
    <w:p w14:paraId="7E5367CA" w14:textId="77777777" w:rsidR="00E15FD8" w:rsidRPr="0048541D" w:rsidRDefault="00E15FD8" w:rsidP="00E15FD8">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60C1B35B" w14:textId="77777777" w:rsidR="00E15FD8" w:rsidRDefault="00E15FD8" w:rsidP="00E15FD8">
      <w:pPr>
        <w:spacing w:after="0" w:line="276" w:lineRule="auto"/>
        <w:jc w:val="both"/>
        <w:rPr>
          <w:rFonts w:ascii="Verdana" w:eastAsia="Calibri" w:hAnsi="Verdana" w:cs="Arial"/>
          <w:bCs/>
          <w:sz w:val="18"/>
          <w:szCs w:val="18"/>
        </w:rPr>
      </w:pPr>
    </w:p>
    <w:p w14:paraId="020A9762" w14:textId="77777777" w:rsidR="00E15FD8" w:rsidRDefault="00E15FD8" w:rsidP="00E15FD8">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 xml:space="preserve">Resolución 464 del 10 de septiembre de 2024: “Por la cual se actualizan los documentos tipo para los procesos de obra pública de infraestructura de transporte adelantados bajo la modalidad de mínima cuantía”. </w:t>
      </w:r>
    </w:p>
    <w:p w14:paraId="6B5E3E99" w14:textId="77777777" w:rsidR="00E15FD8" w:rsidRPr="0048541D" w:rsidRDefault="00E15FD8" w:rsidP="00E15FD8">
      <w:pPr>
        <w:spacing w:after="0" w:line="276" w:lineRule="auto"/>
        <w:jc w:val="both"/>
        <w:rPr>
          <w:rFonts w:ascii="Verdana" w:eastAsia="Calibri" w:hAnsi="Verdana" w:cs="Arial"/>
          <w:bCs/>
          <w:sz w:val="18"/>
          <w:szCs w:val="18"/>
        </w:rPr>
      </w:pPr>
    </w:p>
    <w:p w14:paraId="1994760A" w14:textId="77777777" w:rsidR="00E15FD8" w:rsidRDefault="00E15FD8" w:rsidP="00E15FD8">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6F810AD0" w14:textId="77777777" w:rsidR="00E15FD8" w:rsidRPr="0048541D" w:rsidRDefault="00E15FD8" w:rsidP="00E15FD8">
      <w:pPr>
        <w:spacing w:after="0" w:line="276" w:lineRule="auto"/>
        <w:ind w:firstLine="708"/>
        <w:jc w:val="both"/>
        <w:rPr>
          <w:rFonts w:ascii="Verdana" w:eastAsia="Calibri" w:hAnsi="Verdana" w:cs="Arial"/>
          <w:bCs/>
          <w:sz w:val="18"/>
          <w:szCs w:val="18"/>
        </w:rPr>
      </w:pPr>
    </w:p>
    <w:p w14:paraId="4488BBB5" w14:textId="77777777" w:rsidR="00E15FD8" w:rsidRPr="0048541D" w:rsidRDefault="00E15FD8" w:rsidP="00E15FD8">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456 del 10 de septiembre de 2024: “Por la cual se adopta la versión 4 de los documentos tipo para los procesos de selección de licitación de obra pública de infraestructura de transporte y se deroga la Resolución 240 de 2020”.</w:t>
      </w:r>
    </w:p>
    <w:p w14:paraId="4C95E90B" w14:textId="77777777" w:rsidR="00E15FD8" w:rsidRPr="0048541D" w:rsidRDefault="00E15FD8" w:rsidP="00E15FD8">
      <w:pPr>
        <w:spacing w:after="0" w:line="276" w:lineRule="auto"/>
        <w:ind w:firstLine="708"/>
        <w:jc w:val="both"/>
        <w:rPr>
          <w:rFonts w:ascii="Verdana" w:eastAsia="Calibri" w:hAnsi="Verdana" w:cs="Arial"/>
          <w:bCs/>
          <w:sz w:val="18"/>
          <w:szCs w:val="18"/>
        </w:rPr>
      </w:pPr>
    </w:p>
    <w:p w14:paraId="2E1A201E" w14:textId="77777777" w:rsidR="00E15FD8" w:rsidRPr="0048541D" w:rsidRDefault="00E15FD8" w:rsidP="00E15FD8">
      <w:pPr>
        <w:pStyle w:val="Textonotapie"/>
        <w:rPr>
          <w:rFonts w:ascii="Verdana" w:hAnsi="Verdana"/>
          <w:sz w:val="18"/>
          <w:szCs w:val="18"/>
          <w:lang w:val="es-CO"/>
        </w:rPr>
      </w:pPr>
    </w:p>
  </w:footnote>
  <w:footnote w:id="3">
    <w:p w14:paraId="3B4EDF90" w14:textId="77777777" w:rsidR="00E15FD8" w:rsidRPr="002B5CC2" w:rsidRDefault="00E15FD8" w:rsidP="00E15FD8">
      <w:pPr>
        <w:pStyle w:val="Textonotapie"/>
        <w:ind w:firstLine="708"/>
        <w:jc w:val="both"/>
        <w:rPr>
          <w:rFonts w:ascii="Arial" w:hAnsi="Arial" w:cs="Arial"/>
          <w:sz w:val="18"/>
          <w:szCs w:val="18"/>
        </w:rPr>
      </w:pPr>
      <w:r w:rsidRPr="002B5CC2">
        <w:rPr>
          <w:rStyle w:val="Refdenotaalpie"/>
          <w:rFonts w:ascii="Arial" w:hAnsi="Arial" w:cs="Arial"/>
          <w:sz w:val="18"/>
          <w:szCs w:val="18"/>
        </w:rPr>
        <w:footnoteRef/>
      </w:r>
      <w:r w:rsidRPr="002B5CC2">
        <w:rPr>
          <w:rFonts w:ascii="Arial" w:hAnsi="Arial" w:cs="Arial"/>
          <w:sz w:val="18"/>
          <w:szCs w:val="18"/>
        </w:rPr>
        <w:t xml:space="preserve"> En relación con los documentos tipo para los procesos de selección abreviada de menor cuantía de obra pública de infraestructura de transporte, esta posibilidad se encuentra establecida en el artículo 4 de la Resolución 463 de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928" w:hanging="360"/>
      </w:pPr>
      <w:rPr>
        <w:b/>
        <w:color w:val="000000" w:themeColor="text1"/>
      </w:rPr>
    </w:lvl>
    <w:lvl w:ilvl="1">
      <w:start w:val="2"/>
      <w:numFmt w:val="decimal"/>
      <w:isLgl/>
      <w:lvlText w:val="%1.%2"/>
      <w:lvlJc w:val="left"/>
      <w:pPr>
        <w:ind w:left="56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82798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84FA0"/>
    <w:rsid w:val="001A33BF"/>
    <w:rsid w:val="001E4177"/>
    <w:rsid w:val="001F0B24"/>
    <w:rsid w:val="001F2521"/>
    <w:rsid w:val="001F7DC6"/>
    <w:rsid w:val="00212F23"/>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175F2"/>
    <w:rsid w:val="0042722E"/>
    <w:rsid w:val="0044528D"/>
    <w:rsid w:val="00466E39"/>
    <w:rsid w:val="004A1847"/>
    <w:rsid w:val="004A305D"/>
    <w:rsid w:val="004F21C4"/>
    <w:rsid w:val="004F685F"/>
    <w:rsid w:val="005144E6"/>
    <w:rsid w:val="005566E8"/>
    <w:rsid w:val="00560A25"/>
    <w:rsid w:val="0056408C"/>
    <w:rsid w:val="00574867"/>
    <w:rsid w:val="00591460"/>
    <w:rsid w:val="00596007"/>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89B"/>
    <w:rsid w:val="00891928"/>
    <w:rsid w:val="00891A0A"/>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E00F2"/>
    <w:rsid w:val="00B00C0E"/>
    <w:rsid w:val="00B01B1A"/>
    <w:rsid w:val="00B0381D"/>
    <w:rsid w:val="00B44A47"/>
    <w:rsid w:val="00B72CD3"/>
    <w:rsid w:val="00B72FFF"/>
    <w:rsid w:val="00BC0423"/>
    <w:rsid w:val="00BC3D36"/>
    <w:rsid w:val="00BD54A6"/>
    <w:rsid w:val="00BD7F72"/>
    <w:rsid w:val="00BF7425"/>
    <w:rsid w:val="00C04FB3"/>
    <w:rsid w:val="00C10DBA"/>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5FD8"/>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E1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E15FD8"/>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CFBE7-F861-4696-9139-29F4BD94B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TotalTime>
  <Pages>18</Pages>
  <Words>6576</Words>
  <Characters>36168</Characters>
  <Application>Microsoft Office Word</Application>
  <DocSecurity>0</DocSecurity>
  <Lines>301</Lines>
  <Paragraphs>85</Paragraphs>
  <ScaleCrop>false</ScaleCrop>
  <Company/>
  <LinksUpToDate>false</LinksUpToDate>
  <CharactersWithSpaces>42659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2026-08-11T21:29:00Z</dcterms:created>
  <dcterms:modified xsi:type="dcterms:W3CDTF">2026-08-12T21:12:00Z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