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A2CD"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bookmarkStart w:id="0" w:name="_Hlk143780582"/>
      <w:r w:rsidRPr="00701346">
        <w:rPr>
          <w:rFonts w:ascii="Verdana" w:eastAsia="Aptos" w:hAnsi="Verdana" w:cs="Times New Roman"/>
          <w:b/>
          <w:bCs/>
          <w:kern w:val="2"/>
          <w:lang w:val="es-ES"/>
          <w14:ligatures w14:val="standardContextual"/>
        </w:rPr>
        <w:t>PROPONENTE PLURAL ‒ Consorcio ‒ Unión temporal ‒ Concepto – Diferencias </w:t>
      </w:r>
      <w:r w:rsidRPr="00701346">
        <w:rPr>
          <w:rFonts w:ascii="Verdana" w:eastAsia="Aptos" w:hAnsi="Verdana" w:cs="Times New Roman"/>
          <w:kern w:val="2"/>
          <w14:ligatures w14:val="standardContextual"/>
        </w:rPr>
        <w:t> </w:t>
      </w:r>
    </w:p>
    <w:p w14:paraId="62918449"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038CE15B"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w:t>
      </w:r>
    </w:p>
    <w:p w14:paraId="4EAE04B3"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b/>
          <w:bCs/>
          <w:kern w:val="2"/>
          <w:lang w:val="es-ES"/>
          <w14:ligatures w14:val="standardContextual"/>
        </w:rPr>
        <w:t>SUBCONTRATACIÓN – Concepto – Limitaciones jurídicas </w:t>
      </w:r>
      <w:r w:rsidRPr="00701346">
        <w:rPr>
          <w:rFonts w:ascii="Verdana" w:eastAsia="Aptos" w:hAnsi="Verdana" w:cs="Times New Roman"/>
          <w:kern w:val="2"/>
          <w14:ligatures w14:val="standardContextual"/>
        </w:rPr>
        <w:t> </w:t>
      </w:r>
    </w:p>
    <w:p w14:paraId="04F71A0D"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la subcontratación implica la celebración de un contrato derivado de otro principal cuyo propósito es ejecutar parcialmente este último. Dentro de este marco, podrían presentarse niveles de subcontratación, es decir, los escalones en que se estructura el proceso de subcontratación. Estos niveles no excluyen el carácter de contrato derivado de estos subcontratos, puesto que sus objetos se encuentran en función de la realización material del contrato principal.  </w:t>
      </w:r>
    </w:p>
    <w:p w14:paraId="16AF2217"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w:t>
      </w:r>
    </w:p>
    <w:p w14:paraId="57BB9D21"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lang w:val="es-ES"/>
          <w14:ligatures w14:val="standardContextual"/>
        </w:rPr>
        <w:t>Debido a la escasa regulación normativa, la subcontratación en materia de contratación pública estará supeditada a lo dispuesto en el pliego de condiciones y en el contrato, sin perjuicio de las limitaciones establecidas por la ley. De esta manera, su configuración dependerá de las condiciones definidas en el acuerdo de voluntades, de tal forma que, si esta no se permite para determinadas actividades, está sujeta a la autorización previa de la entidad o al cumplimiento de algún otro requisito, el contratista no podrá subcontratar sin su autorización o sin el cumplimiento de la condición establecida en el negocio jurídico. </w:t>
      </w:r>
      <w:r w:rsidRPr="00701346">
        <w:rPr>
          <w:rFonts w:ascii="Verdana" w:eastAsia="Aptos" w:hAnsi="Verdana" w:cs="Times New Roman"/>
          <w:kern w:val="2"/>
          <w14:ligatures w14:val="standardContextual"/>
        </w:rPr>
        <w:t> </w:t>
      </w:r>
    </w:p>
    <w:p w14:paraId="5387CD7C"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w:t>
      </w:r>
    </w:p>
    <w:p w14:paraId="1BE2E75D"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b/>
          <w:bCs/>
          <w:kern w:val="2"/>
          <w:lang w:val="es-ES"/>
          <w14:ligatures w14:val="standardContextual"/>
        </w:rPr>
        <w:t>INTEGRANTES DE ESTRUCTURA PLURAL – Subcontratación – Terceros – Imposibilidad de fungir como subcontratistas   </w:t>
      </w:r>
      <w:r w:rsidRPr="00701346">
        <w:rPr>
          <w:rFonts w:ascii="Verdana" w:eastAsia="Aptos" w:hAnsi="Verdana" w:cs="Times New Roman"/>
          <w:kern w:val="2"/>
          <w14:ligatures w14:val="standardContextual"/>
        </w:rPr>
        <w:t> </w:t>
      </w:r>
    </w:p>
    <w:p w14:paraId="6AD2A20A"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no es posible que los integrantes de la estructura plural conformen el consorcio o la unión temporal y, de manera simultánea, uno o varios de aquellos tengan la calidad de subcontratistas. Pensar lo contrario resulta absurdo de cara al principio lógico de no contradicción, criterio bajo el cual “Una cosa no puede ser ella misma y su contrario, en el mismo aspecto y en el mismo momento”.  </w:t>
      </w:r>
    </w:p>
    <w:p w14:paraId="2D9F4FDF"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lastRenderedPageBreak/>
        <w:t> </w:t>
      </w:r>
    </w:p>
    <w:p w14:paraId="53C7E9C3" w14:textId="259E9268"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Esto significa que quien ocupa la posición de parte en el negocio jurídico, por exclusión, no puede tener la naturaleza de tercero para efectos de la subcontratación. Por tanto, desde el punto de vista de los sujetos, la calidad de tercero corresponde a cualquier persona distinta al contratista o a los integrantes del consorcio o unión temporal y a la entidad estatal contratante. En este contexto, sólo la experiencia adquirida por lo integrantes del proponente plural puede acreditarse en otros procesos de selección, pues –por sustracción de materia– no pueden fungir como subcontratistas del consorcio o unión temporal del que hacen parte.   </w:t>
      </w:r>
    </w:p>
    <w:p w14:paraId="375FD02E" w14:textId="77777777" w:rsidR="00701346" w:rsidRP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 </w:t>
      </w:r>
    </w:p>
    <w:p w14:paraId="71C25597" w14:textId="77777777" w:rsidR="00701346" w:rsidRDefault="00701346" w:rsidP="00701346">
      <w:pPr>
        <w:widowControl w:val="0"/>
        <w:autoSpaceDE w:val="0"/>
        <w:autoSpaceDN w:val="0"/>
        <w:spacing w:after="120" w:line="240" w:lineRule="auto"/>
        <w:jc w:val="both"/>
        <w:rPr>
          <w:rFonts w:ascii="Verdana" w:eastAsia="Aptos" w:hAnsi="Verdana" w:cs="Times New Roman"/>
          <w:kern w:val="2"/>
          <w14:ligatures w14:val="standardContextual"/>
        </w:rPr>
      </w:pPr>
      <w:r w:rsidRPr="00701346">
        <w:rPr>
          <w:rFonts w:ascii="Verdana" w:eastAsia="Aptos" w:hAnsi="Verdana" w:cs="Times New Roman"/>
          <w:kern w:val="2"/>
          <w14:ligatures w14:val="standardContextual"/>
        </w:rPr>
        <w:t>En este contexto, las personas naturales o jurídicas que se unen para la conformación de un consorcio o una unión temporal, cuyo propósito consiste en la presentación de propuestas, adjudicación, celebración del contrato así como la ejecución de éste, definido las actividades y obligaciones previamente en la carta de conformación, resulta contrario a la naturaleza propia de dicha forma de colaboración que ellas mismas subcontraten a quienes hacen parte de esta forma asociativa de colaboración, por cuanto como se indicó previamente, la subcontratación requiere que sea un tercero quien cumplan con el objeto de dicha subcontratación.  </w:t>
      </w:r>
    </w:p>
    <w:p w14:paraId="28E5F38C" w14:textId="1F32D321"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45618494"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1F8D083B"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0380AB08" w14:textId="66D096F4"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546BA86E"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6D957566"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4FCB4751" w14:textId="676197A1"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5A06DE29"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287D55E8" w14:textId="1325A8A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1621326A"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633F919F"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7608D5DC" w14:textId="77777777"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48204F46" w14:textId="6DD8A7C1"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54891D9E" w14:textId="2ACD0065" w:rsidR="008963F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78351CD8" w14:textId="256CD63C" w:rsidR="008963F6" w:rsidRPr="00701346" w:rsidRDefault="008963F6" w:rsidP="00701346">
      <w:pPr>
        <w:widowControl w:val="0"/>
        <w:autoSpaceDE w:val="0"/>
        <w:autoSpaceDN w:val="0"/>
        <w:spacing w:after="120" w:line="240" w:lineRule="auto"/>
        <w:jc w:val="both"/>
        <w:rPr>
          <w:rFonts w:ascii="Verdana" w:eastAsia="Aptos" w:hAnsi="Verdana" w:cs="Times New Roman"/>
          <w:kern w:val="2"/>
          <w14:ligatures w14:val="standardContextual"/>
        </w:rPr>
      </w:pPr>
    </w:p>
    <w:p w14:paraId="2D645F20" w14:textId="393B7079" w:rsidR="00506AA8" w:rsidRDefault="008963F6" w:rsidP="00DD139C">
      <w:pPr>
        <w:widowControl w:val="0"/>
        <w:autoSpaceDE w:val="0"/>
        <w:autoSpaceDN w:val="0"/>
        <w:spacing w:after="120" w:line="240" w:lineRule="auto"/>
        <w:jc w:val="both"/>
        <w:rPr>
          <w:rFonts w:ascii="Verdana" w:eastAsia="Calibri" w:hAnsi="Verdana" w:cs="Arial"/>
          <w:kern w:val="2"/>
          <w:lang w:eastAsia="es-ES"/>
          <w14:ligatures w14:val="standardContextual"/>
        </w:rPr>
      </w:pPr>
      <w:r w:rsidRPr="00EA5B68">
        <w:rPr>
          <w:rFonts w:ascii="Verdana" w:eastAsia="Calibri" w:hAnsi="Verdana" w:cs="Arial"/>
          <w:noProof/>
          <w:kern w:val="2"/>
          <w:lang w:eastAsia="es-ES"/>
          <w14:ligatures w14:val="standardContextual"/>
        </w:rPr>
        <w:drawing>
          <wp:anchor distT="0" distB="0" distL="114300" distR="114300" simplePos="0" relativeHeight="251658240" behindDoc="0" locked="0" layoutInCell="1" allowOverlap="1" wp14:anchorId="40F396B6" wp14:editId="49960FE1">
            <wp:simplePos x="0" y="0"/>
            <wp:positionH relativeFrom="margin">
              <wp:posOffset>3353585</wp:posOffset>
            </wp:positionH>
            <wp:positionV relativeFrom="margin">
              <wp:posOffset>361065</wp:posOffset>
            </wp:positionV>
            <wp:extent cx="2439670" cy="708660"/>
            <wp:effectExtent l="0" t="0" r="0" b="0"/>
            <wp:wrapSquare wrapText="bothSides"/>
            <wp:docPr id="1074620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20840" name=""/>
                    <pic:cNvPicPr/>
                  </pic:nvPicPr>
                  <pic:blipFill rotWithShape="1">
                    <a:blip r:embed="rId10">
                      <a:extLst>
                        <a:ext uri="{28A0092B-C50C-407E-A947-70E740481C1C}">
                          <a14:useLocalDpi xmlns:a14="http://schemas.microsoft.com/office/drawing/2010/main" val="0"/>
                        </a:ext>
                      </a:extLst>
                    </a:blip>
                    <a:srcRect l="3389" r="-3389"/>
                    <a:stretch>
                      <a:fillRect/>
                    </a:stretch>
                  </pic:blipFill>
                  <pic:spPr>
                    <a:xfrm>
                      <a:off x="0" y="0"/>
                      <a:ext cx="2439670" cy="708660"/>
                    </a:xfrm>
                    <a:prstGeom prst="rect">
                      <a:avLst/>
                    </a:prstGeom>
                  </pic:spPr>
                </pic:pic>
              </a:graphicData>
            </a:graphic>
            <wp14:sizeRelH relativeFrom="margin">
              <wp14:pctWidth>0</wp14:pctWidth>
            </wp14:sizeRelH>
            <wp14:sizeRelV relativeFrom="margin">
              <wp14:pctHeight>0</wp14:pctHeight>
            </wp14:sizeRelV>
          </wp:anchor>
        </w:drawing>
      </w:r>
      <w:r w:rsidR="00506AA8" w:rsidRPr="00F949C0">
        <w:rPr>
          <w:rFonts w:ascii="Verdana" w:eastAsia="Aptos" w:hAnsi="Verdana" w:cs="Times New Roman"/>
          <w:kern w:val="2"/>
          <w14:ligatures w14:val="standardContextual"/>
        </w:rPr>
        <w:t xml:space="preserve">Bogotá D.C., </w:t>
      </w:r>
      <w:r w:rsidR="00DD139C" w:rsidRPr="00DD139C">
        <w:rPr>
          <w:rFonts w:ascii="Verdana" w:eastAsia="Aptos" w:hAnsi="Verdana" w:cs="Times New Roman"/>
          <w:kern w:val="2"/>
          <w14:ligatures w14:val="standardContextual"/>
        </w:rPr>
        <w:t xml:space="preserve">12 </w:t>
      </w:r>
      <w:r w:rsidR="008A029B" w:rsidRPr="00DD139C">
        <w:rPr>
          <w:rFonts w:ascii="Verdana" w:eastAsia="Aptos" w:hAnsi="Verdana" w:cs="Times New Roman"/>
          <w:kern w:val="2"/>
          <w14:ligatures w14:val="standardContextual"/>
        </w:rPr>
        <w:t>agosto</w:t>
      </w:r>
      <w:r w:rsidR="00DD139C" w:rsidRPr="00DD139C">
        <w:rPr>
          <w:rFonts w:ascii="Verdana" w:eastAsia="Aptos" w:hAnsi="Verdana" w:cs="Times New Roman"/>
          <w:kern w:val="2"/>
          <w14:ligatures w14:val="standardContextual"/>
        </w:rPr>
        <w:t xml:space="preserve"> 2026</w:t>
      </w:r>
    </w:p>
    <w:p w14:paraId="7EA22277" w14:textId="4CADC462" w:rsidR="00506AA8" w:rsidRPr="0066715C" w:rsidRDefault="00506AA8" w:rsidP="00506AA8">
      <w:pPr>
        <w:spacing w:after="0" w:line="240" w:lineRule="auto"/>
        <w:rPr>
          <w:rFonts w:ascii="Verdana" w:eastAsia="Calibri" w:hAnsi="Verdana" w:cs="Arial"/>
          <w:b/>
          <w:bCs/>
          <w:kern w:val="2"/>
          <w:lang w:eastAsia="es-ES"/>
          <w14:ligatures w14:val="standardContextual"/>
        </w:rPr>
      </w:pPr>
      <w:r w:rsidRPr="0066715C">
        <w:rPr>
          <w:rFonts w:ascii="Verdana" w:eastAsia="Calibri" w:hAnsi="Verdana" w:cs="Arial"/>
          <w:kern w:val="2"/>
          <w:lang w:eastAsia="es-ES"/>
          <w14:ligatures w14:val="standardContextual"/>
        </w:rPr>
        <w:t>Señor</w:t>
      </w:r>
    </w:p>
    <w:p w14:paraId="2D113940" w14:textId="088E9A31" w:rsidR="00506AA8" w:rsidRPr="0066715C" w:rsidRDefault="00506AA8" w:rsidP="00506AA8">
      <w:pPr>
        <w:spacing w:after="0" w:line="240" w:lineRule="auto"/>
        <w:rPr>
          <w:rFonts w:ascii="Verdana" w:eastAsia="Calibri" w:hAnsi="Verdana" w:cs="Arial"/>
          <w:b/>
          <w:bCs/>
          <w:kern w:val="2"/>
          <w:lang w:eastAsia="es-ES"/>
          <w14:ligatures w14:val="standardContextual"/>
        </w:rPr>
      </w:pPr>
      <w:r>
        <w:rPr>
          <w:rFonts w:ascii="Verdana" w:eastAsia="Calibri" w:hAnsi="Verdana" w:cs="Arial"/>
          <w:b/>
          <w:bCs/>
          <w:kern w:val="2"/>
          <w:lang w:eastAsia="es-ES"/>
          <w14:ligatures w14:val="standardContextual"/>
        </w:rPr>
        <w:t>Daniel Alejandro Viveros Torres</w:t>
      </w:r>
    </w:p>
    <w:p w14:paraId="08CE160F" w14:textId="2E070568" w:rsidR="00506AA8" w:rsidRPr="0066715C" w:rsidRDefault="00506AA8" w:rsidP="00506AA8">
      <w:pPr>
        <w:spacing w:after="0" w:line="240" w:lineRule="auto"/>
        <w:rPr>
          <w:rFonts w:ascii="Verdana" w:hAnsi="Verdana"/>
        </w:rPr>
      </w:pPr>
      <w:hyperlink r:id="rId11" w:history="1">
        <w:r>
          <w:rPr>
            <w:rStyle w:val="Hipervnculo"/>
            <w:rFonts w:ascii="Verdana" w:hAnsi="Verdana"/>
          </w:rPr>
          <w:t>daniel</w:t>
        </w:r>
      </w:hyperlink>
      <w:r>
        <w:rPr>
          <w:rStyle w:val="Hipervnculo"/>
          <w:rFonts w:ascii="Verdana" w:hAnsi="Verdana"/>
        </w:rPr>
        <w:t>.viveros1608@gmail.com</w:t>
      </w:r>
    </w:p>
    <w:p w14:paraId="6530EDB3" w14:textId="77777777" w:rsidR="00506AA8" w:rsidRPr="0066715C" w:rsidRDefault="00506AA8" w:rsidP="00506AA8">
      <w:pPr>
        <w:spacing w:after="0" w:line="240" w:lineRule="auto"/>
        <w:rPr>
          <w:rFonts w:ascii="Verdana" w:eastAsia="Calibri" w:hAnsi="Verdana" w:cs="Arial"/>
          <w:kern w:val="2"/>
          <w:lang w:val="es-ES" w:eastAsia="es-ES"/>
          <w14:ligatures w14:val="standardContextual"/>
        </w:rPr>
      </w:pPr>
      <w:r w:rsidRPr="0066715C">
        <w:rPr>
          <w:rFonts w:ascii="Verdana" w:eastAsia="Calibri" w:hAnsi="Verdana" w:cs="Arial"/>
          <w:kern w:val="2"/>
          <w:lang w:val="es-ES" w:eastAsia="es-ES"/>
          <w14:ligatures w14:val="standardContextual"/>
        </w:rPr>
        <w:t>Bogotá D.C.</w:t>
      </w:r>
    </w:p>
    <w:p w14:paraId="211BEB55" w14:textId="77777777" w:rsidR="00506AA8" w:rsidRPr="00C518CE" w:rsidRDefault="00506AA8" w:rsidP="00506AA8">
      <w:pPr>
        <w:spacing w:after="0" w:line="240" w:lineRule="auto"/>
        <w:rPr>
          <w:rFonts w:ascii="Verdana" w:eastAsia="Calibri" w:hAnsi="Verdana" w:cs="Arial"/>
          <w:b/>
          <w:bCs/>
          <w:color w:val="6699FF"/>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506AA8" w:rsidRPr="00C24A9D" w14:paraId="2BFFD8C0" w14:textId="77777777" w:rsidTr="00506AA8">
        <w:trPr>
          <w:trHeight w:val="229"/>
        </w:trPr>
        <w:tc>
          <w:tcPr>
            <w:tcW w:w="1985" w:type="dxa"/>
          </w:tcPr>
          <w:p w14:paraId="471FE6A8" w14:textId="77777777" w:rsidR="00506AA8" w:rsidRPr="00C03160" w:rsidRDefault="00506AA8" w:rsidP="00506AA8">
            <w:pPr>
              <w:jc w:val="both"/>
              <w:rPr>
                <w:rFonts w:ascii="Verdana" w:eastAsia="Calibri" w:hAnsi="Verdana" w:cs="Arial"/>
                <w:b/>
                <w:bCs/>
                <w:lang w:val="es-ES_tradnl" w:eastAsia="es-ES_tradnl"/>
              </w:rPr>
            </w:pPr>
          </w:p>
        </w:tc>
        <w:tc>
          <w:tcPr>
            <w:tcW w:w="6383" w:type="dxa"/>
          </w:tcPr>
          <w:p w14:paraId="2DE09F83" w14:textId="77777777" w:rsidR="00506AA8" w:rsidRPr="00C03160" w:rsidRDefault="00506AA8" w:rsidP="00506AA8">
            <w:pPr>
              <w:jc w:val="both"/>
              <w:rPr>
                <w:rFonts w:ascii="Verdana" w:eastAsia="Calibri" w:hAnsi="Verdana" w:cs="Arial"/>
                <w:b/>
                <w:bCs/>
                <w:lang w:val="es-ES" w:eastAsia="es-ES"/>
              </w:rPr>
            </w:pPr>
            <w:r w:rsidRPr="086DB1EB">
              <w:rPr>
                <w:rFonts w:ascii="Verdana" w:eastAsia="Calibri" w:hAnsi="Verdana" w:cs="Arial"/>
                <w:b/>
                <w:bCs/>
                <w:lang w:val="es-ES" w:eastAsia="es-ES"/>
              </w:rPr>
              <w:t>Con</w:t>
            </w:r>
            <w:r w:rsidRPr="00FD6A62">
              <w:rPr>
                <w:rFonts w:ascii="Verdana" w:eastAsia="Calibri" w:hAnsi="Verdana" w:cs="Arial"/>
                <w:b/>
                <w:bCs/>
                <w:lang w:val="es-ES" w:eastAsia="es-ES"/>
              </w:rPr>
              <w:t>cepto C–</w:t>
            </w:r>
            <w:r>
              <w:rPr>
                <w:rFonts w:ascii="Verdana" w:eastAsia="Calibri" w:hAnsi="Verdana" w:cs="Arial"/>
                <w:b/>
                <w:bCs/>
                <w:lang w:val="es-ES" w:eastAsia="es-ES"/>
              </w:rPr>
              <w:t>1042</w:t>
            </w:r>
            <w:r w:rsidRPr="00FD6A62">
              <w:rPr>
                <w:rFonts w:ascii="Verdana" w:eastAsia="Calibri" w:hAnsi="Verdana" w:cs="Arial"/>
                <w:b/>
                <w:bCs/>
                <w:lang w:val="es-ES" w:eastAsia="es-ES"/>
              </w:rPr>
              <w:t xml:space="preserve"> de 2026</w:t>
            </w:r>
          </w:p>
          <w:p w14:paraId="1D542E52" w14:textId="77777777" w:rsidR="00506AA8" w:rsidRPr="00C03160" w:rsidRDefault="00506AA8" w:rsidP="00506AA8">
            <w:pPr>
              <w:jc w:val="both"/>
              <w:rPr>
                <w:rFonts w:ascii="Verdana" w:eastAsia="Calibri" w:hAnsi="Verdana" w:cs="Arial"/>
                <w:b/>
                <w:bCs/>
                <w:lang w:val="es-ES" w:eastAsia="es-ES"/>
              </w:rPr>
            </w:pPr>
          </w:p>
          <w:p w14:paraId="4181CF70" w14:textId="77777777" w:rsidR="00506AA8" w:rsidRPr="00C03160" w:rsidRDefault="00506AA8" w:rsidP="00506AA8">
            <w:pPr>
              <w:jc w:val="both"/>
              <w:rPr>
                <w:rFonts w:ascii="Verdana" w:eastAsia="Calibri" w:hAnsi="Verdana" w:cs="Arial"/>
                <w:b/>
                <w:bCs/>
                <w:lang w:val="es-ES" w:eastAsia="es-ES"/>
              </w:rPr>
            </w:pPr>
          </w:p>
        </w:tc>
      </w:tr>
      <w:tr w:rsidR="00506AA8" w:rsidRPr="00C24A9D" w14:paraId="347F1FC8" w14:textId="77777777" w:rsidTr="00506AA8">
        <w:trPr>
          <w:trHeight w:val="884"/>
        </w:trPr>
        <w:tc>
          <w:tcPr>
            <w:tcW w:w="1985" w:type="dxa"/>
          </w:tcPr>
          <w:p w14:paraId="112B0828" w14:textId="77777777" w:rsidR="00506AA8" w:rsidRPr="00C24A9D" w:rsidRDefault="00506AA8" w:rsidP="00506AA8">
            <w:pPr>
              <w:jc w:val="both"/>
              <w:rPr>
                <w:rFonts w:ascii="Verdana" w:eastAsia="Calibri" w:hAnsi="Verdana" w:cs="Arial"/>
                <w:color w:val="99CCFF"/>
                <w:lang w:val="es-ES_tradnl" w:eastAsia="es-ES_tradnl"/>
              </w:rPr>
            </w:pPr>
            <w:r w:rsidRPr="00D760F2">
              <w:rPr>
                <w:rFonts w:ascii="Verdana" w:eastAsia="Calibri" w:hAnsi="Verdana" w:cs="Arial"/>
                <w:b/>
                <w:lang w:val="es-ES_tradnl" w:eastAsia="es-ES_tradnl"/>
              </w:rPr>
              <w:t>Temas:</w:t>
            </w:r>
            <w:r w:rsidRPr="00D760F2">
              <w:rPr>
                <w:rFonts w:ascii="Verdana" w:eastAsia="Calibri" w:hAnsi="Verdana" w:cs="Arial"/>
                <w:lang w:val="es-ES_tradnl" w:eastAsia="es-ES_tradnl"/>
              </w:rPr>
              <w:t xml:space="preserve">                   </w:t>
            </w:r>
          </w:p>
        </w:tc>
        <w:tc>
          <w:tcPr>
            <w:tcW w:w="6383" w:type="dxa"/>
          </w:tcPr>
          <w:p w14:paraId="31FB18EB" w14:textId="77777777" w:rsidR="004D1098" w:rsidRPr="004D1098" w:rsidRDefault="00506AA8" w:rsidP="004D1098">
            <w:pPr>
              <w:widowControl w:val="0"/>
              <w:autoSpaceDE w:val="0"/>
              <w:autoSpaceDN w:val="0"/>
              <w:spacing w:after="120"/>
              <w:jc w:val="both"/>
              <w:rPr>
                <w:rFonts w:ascii="Verdana" w:eastAsia="Aptos" w:hAnsi="Verdana" w:cs="Times New Roman"/>
                <w:b/>
                <w:bCs/>
                <w:color w:val="00B0F0"/>
                <w:kern w:val="2"/>
                <w:lang w:val="es-ES"/>
                <w14:ligatures w14:val="standardContextual"/>
              </w:rPr>
            </w:pPr>
            <w:r w:rsidRPr="009D6A6F">
              <w:rPr>
                <w:rFonts w:ascii="Verdana" w:eastAsia="Calibri" w:hAnsi="Verdana" w:cs="Arial"/>
                <w:lang w:val="es-ES" w:eastAsia="es-ES"/>
              </w:rPr>
              <w:t xml:space="preserve">PROPONENTE PLURAL ‒ Consorcio ‒ Unión temporal ‒ Concepto – Diferencias / SUBCONTRATACIÓN – Concepto – Limitaciones jurídicas / INTEGRANTES DE ESTRUCTURA PLURAL – Subcontratación – Terceros – Imposibilidad de fungir como subcontratistas </w:t>
            </w:r>
            <w:r w:rsidR="004D1098">
              <w:rPr>
                <w:rFonts w:ascii="Verdana" w:eastAsia="Calibri" w:hAnsi="Verdana" w:cs="Arial"/>
                <w:lang w:val="es-ES" w:eastAsia="es-ES"/>
              </w:rPr>
              <w:t xml:space="preserve">/ </w:t>
            </w:r>
            <w:r w:rsidR="004D1098" w:rsidRPr="004D1098">
              <w:rPr>
                <w:rFonts w:ascii="Verdana" w:eastAsia="Aptos" w:hAnsi="Verdana" w:cs="Times New Roman"/>
                <w:kern w:val="2"/>
                <w:lang w:val="es-ES"/>
                <w14:ligatures w14:val="standardContextual"/>
              </w:rPr>
              <w:t>INTEGRANTES DE ESTRUCTURA PLURAL – Subcontratación – Terceros – Imposibilidad de fungir como subcontratistas - Documentos Tipos</w:t>
            </w:r>
          </w:p>
          <w:p w14:paraId="711457F4" w14:textId="1CF15B4A" w:rsidR="00506AA8" w:rsidRPr="009D6A6F" w:rsidRDefault="00506AA8" w:rsidP="004D1098">
            <w:pPr>
              <w:jc w:val="both"/>
              <w:rPr>
                <w:rFonts w:ascii="Verdana" w:eastAsia="Calibri" w:hAnsi="Verdana" w:cs="Arial"/>
                <w:lang w:val="es-ES" w:eastAsia="es-ES"/>
              </w:rPr>
            </w:pPr>
          </w:p>
        </w:tc>
      </w:tr>
      <w:tr w:rsidR="00506AA8" w:rsidRPr="00C24A9D" w14:paraId="22A38FA3" w14:textId="77777777" w:rsidTr="00506AA8">
        <w:tc>
          <w:tcPr>
            <w:tcW w:w="1985" w:type="dxa"/>
          </w:tcPr>
          <w:p w14:paraId="0BF303F7" w14:textId="77777777" w:rsidR="00506AA8" w:rsidRPr="001B05A5" w:rsidRDefault="00506AA8" w:rsidP="00506AA8">
            <w:pPr>
              <w:jc w:val="both"/>
              <w:rPr>
                <w:rFonts w:ascii="Verdana" w:eastAsia="Calibri" w:hAnsi="Verdana" w:cs="Arial"/>
                <w:b/>
                <w:lang w:val="es-ES_tradnl" w:eastAsia="es-ES_tradnl"/>
              </w:rPr>
            </w:pPr>
            <w:r w:rsidRPr="001B05A5">
              <w:rPr>
                <w:rFonts w:ascii="Verdana" w:eastAsia="Calibri" w:hAnsi="Verdana" w:cs="Arial"/>
                <w:b/>
                <w:lang w:val="es-ES_tradnl" w:eastAsia="es-ES_tradnl"/>
              </w:rPr>
              <w:t>Radicación:</w:t>
            </w:r>
            <w:r w:rsidRPr="001B05A5">
              <w:rPr>
                <w:rFonts w:ascii="Verdana" w:eastAsia="Calibri" w:hAnsi="Verdana" w:cs="Arial"/>
                <w:lang w:val="es-ES_tradnl" w:eastAsia="es-ES_tradnl"/>
              </w:rPr>
              <w:t xml:space="preserve">               </w:t>
            </w:r>
          </w:p>
        </w:tc>
        <w:tc>
          <w:tcPr>
            <w:tcW w:w="6383" w:type="dxa"/>
          </w:tcPr>
          <w:p w14:paraId="04EBD913" w14:textId="77777777" w:rsidR="00506AA8" w:rsidRPr="001B05A5" w:rsidRDefault="00506AA8" w:rsidP="00506AA8">
            <w:pPr>
              <w:ind w:left="3" w:hanging="3"/>
              <w:jc w:val="both"/>
              <w:rPr>
                <w:rFonts w:ascii="Verdana" w:eastAsia="Calibri" w:hAnsi="Verdana" w:cs="Arial"/>
                <w:lang w:val="es-ES_tradnl" w:eastAsia="es-ES_tradnl"/>
              </w:rPr>
            </w:pPr>
            <w:r w:rsidRPr="001B05A5">
              <w:rPr>
                <w:rFonts w:ascii="Verdana" w:eastAsia="Calibri" w:hAnsi="Verdana" w:cs="Arial"/>
                <w:lang w:val="es-ES_tradnl" w:eastAsia="es-ES_tradnl"/>
              </w:rPr>
              <w:t xml:space="preserve">Respuesta a consulta con radicado No. </w:t>
            </w:r>
            <w:r w:rsidRPr="00F76CAC">
              <w:rPr>
                <w:rFonts w:ascii="Verdana" w:eastAsia="Calibri" w:hAnsi="Verdana" w:cs="Arial"/>
                <w:lang w:val="es-ES_tradnl" w:eastAsia="es-ES_tradnl"/>
              </w:rPr>
              <w:t>1_2026_06_30_008686</w:t>
            </w:r>
          </w:p>
          <w:p w14:paraId="66F3662C" w14:textId="77777777" w:rsidR="00506AA8" w:rsidRPr="001B05A5" w:rsidRDefault="00506AA8" w:rsidP="00506AA8">
            <w:pPr>
              <w:ind w:left="3" w:hanging="3"/>
              <w:jc w:val="both"/>
              <w:rPr>
                <w:rFonts w:ascii="Verdana" w:eastAsia="Calibri" w:hAnsi="Verdana" w:cs="Arial"/>
                <w:lang w:eastAsia="es-ES_tradnl"/>
              </w:rPr>
            </w:pPr>
          </w:p>
        </w:tc>
      </w:tr>
    </w:tbl>
    <w:p w14:paraId="77CA1809" w14:textId="77777777" w:rsidR="00506AA8" w:rsidRPr="00EA679B" w:rsidRDefault="00506AA8" w:rsidP="00506AA8">
      <w:pPr>
        <w:spacing w:after="0" w:line="240" w:lineRule="auto"/>
        <w:rPr>
          <w:rFonts w:ascii="Verdana" w:eastAsia="Calibri" w:hAnsi="Verdana" w:cs="Arial"/>
          <w:kern w:val="2"/>
          <w:lang w:eastAsia="es-ES"/>
          <w14:ligatures w14:val="standardContextual"/>
        </w:rPr>
      </w:pPr>
      <w:r w:rsidRPr="00EA679B">
        <w:rPr>
          <w:rFonts w:ascii="Verdana" w:eastAsia="Calibri" w:hAnsi="Verdana" w:cs="Arial"/>
          <w:lang w:val="es-ES" w:eastAsia="es-ES"/>
        </w:rPr>
        <w:t xml:space="preserve">Estimado Señor </w:t>
      </w:r>
      <w:r>
        <w:rPr>
          <w:rFonts w:ascii="Verdana" w:eastAsia="Calibri" w:hAnsi="Verdana" w:cs="Arial"/>
          <w:lang w:val="es-ES" w:eastAsia="es-ES"/>
        </w:rPr>
        <w:t>Alejandro</w:t>
      </w:r>
      <w:r w:rsidRPr="00EA679B">
        <w:rPr>
          <w:rFonts w:ascii="Verdana" w:eastAsia="Calibri" w:hAnsi="Verdana" w:cs="Arial"/>
          <w:kern w:val="2"/>
          <w:lang w:eastAsia="es-ES_tradnl"/>
          <w14:ligatures w14:val="standardContextual"/>
        </w:rPr>
        <w:t>:</w:t>
      </w:r>
      <w:r w:rsidRPr="00EA679B">
        <w:rPr>
          <w:rFonts w:ascii="Verdana" w:eastAsia="Calibri" w:hAnsi="Verdana" w:cs="Arial"/>
          <w:lang w:val="es-ES" w:eastAsia="es-ES"/>
        </w:rPr>
        <w:t xml:space="preserve"> </w:t>
      </w:r>
    </w:p>
    <w:p w14:paraId="1F08F779" w14:textId="77777777" w:rsidR="00506AA8" w:rsidRPr="00EA679B" w:rsidRDefault="00506AA8" w:rsidP="00506AA8">
      <w:pPr>
        <w:tabs>
          <w:tab w:val="left" w:pos="3768"/>
        </w:tabs>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 xml:space="preserve"> </w:t>
      </w:r>
    </w:p>
    <w:p w14:paraId="360AAD82" w14:textId="77777777" w:rsidR="00506AA8" w:rsidRPr="00EA679B" w:rsidRDefault="00506AA8" w:rsidP="00506AA8">
      <w:pPr>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En ejercicio de la competencia otorgada por los artículos 3, numeral 5º, y 11, numeral 8º, del Decreto Ley 4170 de 2011,</w:t>
      </w:r>
      <w:r w:rsidRPr="00EA679B">
        <w:rPr>
          <w:rFonts w:ascii="Verdana" w:eastAsia="Arial MT" w:hAnsi="Verdana" w:cs="Arial MT"/>
          <w:lang w:val="es-ES" w:eastAsia="es-ES"/>
        </w:rPr>
        <w:t xml:space="preserve"> </w:t>
      </w:r>
      <w:r w:rsidRPr="00EA679B">
        <w:rPr>
          <w:rFonts w:ascii="Verdana" w:eastAsia="Calibri" w:hAnsi="Verdana" w:cs="Arial"/>
        </w:rPr>
        <w:t xml:space="preserve">así como lo establecido en la Resolución No. 469 del 2025 expedida por esta Entidad, </w:t>
      </w:r>
      <w:r w:rsidRPr="00EA679B">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 xml:space="preserve">30 de junio </w:t>
      </w:r>
      <w:r w:rsidRPr="00EA679B">
        <w:rPr>
          <w:rFonts w:ascii="Verdana" w:eastAsia="Calibri" w:hAnsi="Verdana" w:cs="Arial"/>
          <w:lang w:val="es-ES" w:eastAsia="es-ES"/>
        </w:rPr>
        <w:t>de 2026, en la cuales manifiesta lo siguiente:</w:t>
      </w:r>
    </w:p>
    <w:p w14:paraId="52AF11D1" w14:textId="77777777" w:rsidR="00506AA8" w:rsidRPr="00C24A9D" w:rsidRDefault="00506AA8" w:rsidP="00506AA8">
      <w:pPr>
        <w:spacing w:after="0" w:line="276" w:lineRule="auto"/>
        <w:jc w:val="both"/>
        <w:rPr>
          <w:rFonts w:ascii="Verdana" w:eastAsia="Calibri" w:hAnsi="Verdana" w:cs="Arial"/>
          <w:color w:val="99CCFF"/>
          <w:lang w:val="es-ES" w:eastAsia="es-ES"/>
        </w:rPr>
      </w:pPr>
    </w:p>
    <w:p w14:paraId="214B649B" w14:textId="77777777" w:rsidR="00506AA8" w:rsidRPr="00A5657C" w:rsidRDefault="00506AA8" w:rsidP="00506AA8">
      <w:pPr>
        <w:spacing w:after="0" w:line="240" w:lineRule="auto"/>
        <w:ind w:left="709" w:right="709"/>
        <w:jc w:val="both"/>
        <w:rPr>
          <w:rFonts w:ascii="Verdana" w:eastAsia="Aptos" w:hAnsi="Verdana" w:cs="Helvetica"/>
          <w:i/>
          <w:iCs/>
          <w:sz w:val="20"/>
          <w:szCs w:val="20"/>
          <w14:ligatures w14:val="standardContextual"/>
        </w:rPr>
      </w:pPr>
      <w:r w:rsidRPr="00A5657C">
        <w:rPr>
          <w:rFonts w:ascii="Verdana" w:eastAsia="Aptos" w:hAnsi="Verdana" w:cs="Helvetica"/>
          <w:i/>
          <w:iCs/>
          <w:sz w:val="20"/>
          <w:szCs w:val="20"/>
          <w14:ligatures w14:val="standardContextual"/>
        </w:rPr>
        <w:t>“ (…)</w:t>
      </w:r>
    </w:p>
    <w:p w14:paraId="645F5471" w14:textId="77777777" w:rsidR="00506AA8" w:rsidRPr="00A5657C" w:rsidRDefault="00506AA8" w:rsidP="00506AA8">
      <w:pPr>
        <w:spacing w:after="0" w:line="240" w:lineRule="auto"/>
        <w:ind w:left="709" w:right="709"/>
        <w:jc w:val="both"/>
        <w:rPr>
          <w:rFonts w:ascii="Verdana" w:eastAsia="Aptos" w:hAnsi="Verdana" w:cs="Helvetica"/>
          <w:i/>
          <w:iCs/>
          <w:sz w:val="20"/>
          <w:szCs w:val="20"/>
          <w14:ligatures w14:val="standardContextual"/>
        </w:rPr>
      </w:pPr>
    </w:p>
    <w:p w14:paraId="38374D7D" w14:textId="77777777" w:rsidR="00506AA8" w:rsidRPr="00F76CAC" w:rsidRDefault="00506AA8" w:rsidP="00506AA8">
      <w:pPr>
        <w:spacing w:after="0" w:line="240" w:lineRule="auto"/>
        <w:ind w:left="709" w:right="709"/>
        <w:jc w:val="both"/>
        <w:rPr>
          <w:rFonts w:ascii="Verdana" w:eastAsia="Aptos" w:hAnsi="Verdana" w:cs="Helvetica"/>
          <w:i/>
          <w:iCs/>
          <w:sz w:val="20"/>
          <w:szCs w:val="20"/>
          <w14:ligatures w14:val="standardContextual"/>
        </w:rPr>
      </w:pPr>
      <w:r w:rsidRPr="00F76CAC">
        <w:rPr>
          <w:rFonts w:ascii="Verdana" w:eastAsia="Aptos" w:hAnsi="Verdana" w:cs="Helvetica"/>
          <w:i/>
          <w:iCs/>
          <w:sz w:val="20"/>
          <w:szCs w:val="20"/>
          <w14:ligatures w14:val="standardContextual"/>
        </w:rPr>
        <w:t>En un proceso regido por documentos tipo de obra pública, un consorcio</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celebró y ejecutó un contrato estatal. Uno de sus integrantes era la</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sociedad A, con participación del X%. Durante la ejecución, el mismo</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consorcio habría suscrito un subcontrato con A para actividades</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específicas y por valor determinado. Luego, A pretende acreditar esa</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experiencia mediante certificación expedida por el consorcio contratista</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principal.</w:t>
      </w:r>
    </w:p>
    <w:p w14:paraId="3CA49777" w14:textId="77777777" w:rsidR="00506AA8" w:rsidRPr="00F76CAC" w:rsidRDefault="00506AA8" w:rsidP="00506AA8">
      <w:pPr>
        <w:spacing w:after="0" w:line="240" w:lineRule="auto"/>
        <w:ind w:left="709" w:right="709"/>
        <w:jc w:val="both"/>
        <w:rPr>
          <w:rFonts w:ascii="Verdana" w:eastAsia="Aptos" w:hAnsi="Verdana" w:cs="Helvetica"/>
          <w:i/>
          <w:iCs/>
          <w:sz w:val="20"/>
          <w:szCs w:val="20"/>
          <w14:ligatures w14:val="standardContextual"/>
        </w:rPr>
      </w:pPr>
      <w:r w:rsidRPr="00F76CAC">
        <w:rPr>
          <w:rFonts w:ascii="Verdana" w:eastAsia="Aptos" w:hAnsi="Verdana" w:cs="Helvetica"/>
          <w:i/>
          <w:iCs/>
          <w:sz w:val="20"/>
          <w:szCs w:val="20"/>
          <w14:ligatures w14:val="standardContextual"/>
        </w:rPr>
        <w:t>Con base en el numeral 3.5.8 de los documentos tipo, sobre experiencia</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derivada de subcontratos, y en el literal K del numeral 3.5.3, sobre</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lastRenderedPageBreak/>
        <w:t>autocertificaciones, consulto: ¿puede validarse ese subcontrato como</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experiencia propia de A, pese a que A integraba el consorcio contratista?</w:t>
      </w:r>
    </w:p>
    <w:p w14:paraId="11538F05" w14:textId="77777777" w:rsidR="00506AA8" w:rsidRPr="00A5657C" w:rsidRDefault="00506AA8" w:rsidP="00506AA8">
      <w:pPr>
        <w:spacing w:after="0" w:line="240" w:lineRule="auto"/>
        <w:ind w:left="709" w:right="709"/>
        <w:jc w:val="both"/>
        <w:rPr>
          <w:rFonts w:ascii="Verdana" w:eastAsia="Aptos" w:hAnsi="Verdana" w:cs="Helvetica"/>
          <w:i/>
          <w:iCs/>
          <w:sz w:val="20"/>
          <w:szCs w:val="20"/>
          <w14:ligatures w14:val="standardContextual"/>
        </w:rPr>
      </w:pPr>
      <w:r w:rsidRPr="00F76CAC">
        <w:rPr>
          <w:rFonts w:ascii="Verdana" w:eastAsia="Aptos" w:hAnsi="Verdana" w:cs="Helvetica"/>
          <w:i/>
          <w:iCs/>
          <w:sz w:val="20"/>
          <w:szCs w:val="20"/>
          <w14:ligatures w14:val="standardContextual"/>
        </w:rPr>
        <w:t>¿La certificación del consorcio configura autocertificación o ausencia de</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tercero independiente? ¿Debe reconocerse la experiencia solo según el</w:t>
      </w:r>
      <w:r>
        <w:rPr>
          <w:rFonts w:ascii="Verdana" w:eastAsia="Aptos" w:hAnsi="Verdana" w:cs="Helvetica"/>
          <w:i/>
          <w:iCs/>
          <w:sz w:val="20"/>
          <w:szCs w:val="20"/>
          <w14:ligatures w14:val="standardContextual"/>
        </w:rPr>
        <w:t xml:space="preserve"> </w:t>
      </w:r>
      <w:r w:rsidRPr="00F76CAC">
        <w:rPr>
          <w:rFonts w:ascii="Verdana" w:eastAsia="Aptos" w:hAnsi="Verdana" w:cs="Helvetica"/>
          <w:i/>
          <w:iCs/>
          <w:sz w:val="20"/>
          <w:szCs w:val="20"/>
          <w14:ligatures w14:val="standardContextual"/>
        </w:rPr>
        <w:t>porcentaje de participación de A?</w:t>
      </w:r>
      <w:r w:rsidRPr="00A5657C">
        <w:rPr>
          <w:rFonts w:ascii="Verdana" w:eastAsia="Aptos" w:hAnsi="Verdana" w:cs="Helvetica"/>
          <w:i/>
          <w:iCs/>
          <w:sz w:val="20"/>
          <w:szCs w:val="20"/>
          <w14:ligatures w14:val="standardContextual"/>
        </w:rPr>
        <w:t xml:space="preserve"> (…)¨</w:t>
      </w:r>
    </w:p>
    <w:p w14:paraId="4DA25DAD" w14:textId="77777777" w:rsidR="00506AA8" w:rsidRPr="00C24A9D" w:rsidRDefault="00506AA8" w:rsidP="00506AA8">
      <w:pPr>
        <w:spacing w:after="0" w:line="276" w:lineRule="auto"/>
        <w:ind w:hanging="283"/>
        <w:jc w:val="both"/>
        <w:rPr>
          <w:rFonts w:ascii="Verdana" w:eastAsia="Calibri" w:hAnsi="Verdana" w:cs="Arial"/>
          <w:color w:val="99CCFF"/>
          <w:lang w:val="es-ES" w:eastAsia="es-ES"/>
        </w:rPr>
      </w:pPr>
    </w:p>
    <w:p w14:paraId="68F08BCA" w14:textId="77777777" w:rsidR="00506AA8" w:rsidRPr="00A5657C" w:rsidRDefault="00506AA8" w:rsidP="00506AA8">
      <w:pPr>
        <w:spacing w:after="12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6F2FAB55" w14:textId="77777777" w:rsidR="00506AA8" w:rsidRPr="00A5657C" w:rsidRDefault="00506AA8" w:rsidP="00506AA8">
      <w:pPr>
        <w:spacing w:after="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 problema jurídico de su consulta. </w:t>
      </w:r>
    </w:p>
    <w:p w14:paraId="12CCCBC0" w14:textId="77777777" w:rsidR="00506AA8" w:rsidRPr="0058533C" w:rsidRDefault="00506AA8" w:rsidP="00506AA8">
      <w:pPr>
        <w:tabs>
          <w:tab w:val="left" w:pos="142"/>
          <w:tab w:val="left" w:pos="284"/>
        </w:tabs>
        <w:spacing w:after="0" w:line="276" w:lineRule="auto"/>
        <w:contextualSpacing/>
        <w:jc w:val="both"/>
        <w:rPr>
          <w:rFonts w:ascii="Verdana" w:eastAsia="Century Gothic" w:hAnsi="Verdana" w:cs="Century Gothic"/>
          <w:b/>
          <w:bCs/>
          <w:lang w:val="es-ES"/>
        </w:rPr>
      </w:pPr>
    </w:p>
    <w:p w14:paraId="55B13F91" w14:textId="77777777" w:rsidR="00506AA8" w:rsidRPr="0058533C" w:rsidRDefault="00506AA8" w:rsidP="00506AA8">
      <w:pPr>
        <w:tabs>
          <w:tab w:val="left" w:pos="142"/>
          <w:tab w:val="left" w:pos="284"/>
        </w:tabs>
        <w:spacing w:after="0" w:line="276" w:lineRule="auto"/>
        <w:contextualSpacing/>
        <w:jc w:val="both"/>
        <w:rPr>
          <w:rFonts w:ascii="Verdana" w:eastAsia="Century Gothic" w:hAnsi="Verdana" w:cs="Century Gothic"/>
          <w:b/>
          <w:bCs/>
          <w:lang w:val="es-ES"/>
        </w:rPr>
      </w:pPr>
      <w:r w:rsidRPr="0058533C">
        <w:rPr>
          <w:rFonts w:ascii="Verdana" w:eastAsia="Century Gothic" w:hAnsi="Verdana" w:cs="Century Gothic"/>
          <w:b/>
          <w:bCs/>
          <w:lang w:val="es-ES"/>
        </w:rPr>
        <w:t>1. Problema planteado:</w:t>
      </w:r>
    </w:p>
    <w:p w14:paraId="0BE08E12" w14:textId="77777777" w:rsidR="00506AA8" w:rsidRPr="0058533C" w:rsidRDefault="00506AA8" w:rsidP="00506AA8">
      <w:pPr>
        <w:tabs>
          <w:tab w:val="left" w:pos="426"/>
        </w:tabs>
        <w:spacing w:after="0" w:line="276" w:lineRule="auto"/>
        <w:jc w:val="both"/>
        <w:rPr>
          <w:rFonts w:ascii="Verdana" w:eastAsia="Century Gothic" w:hAnsi="Verdana" w:cs="Century Gothic"/>
          <w:lang w:val="es-ES"/>
        </w:rPr>
      </w:pPr>
    </w:p>
    <w:p w14:paraId="6E502D95" w14:textId="022E8DC3" w:rsidR="00E31754" w:rsidRDefault="00506AA8" w:rsidP="00E31754">
      <w:pPr>
        <w:spacing w:after="0" w:line="276" w:lineRule="auto"/>
        <w:jc w:val="both"/>
        <w:rPr>
          <w:rStyle w:val="Refdecomentario"/>
        </w:rPr>
      </w:pPr>
      <w:r w:rsidRPr="468EB212">
        <w:rPr>
          <w:rFonts w:ascii="Verdana" w:eastAsia="Century Gothic" w:hAnsi="Verdana" w:cs="Century Gothic"/>
        </w:rPr>
        <w:t>De acuerdo con el contenido de su solicitud, esta Agencia resolverá los siguientes problemas jurídicos:</w:t>
      </w:r>
      <w:r w:rsidR="00D02D34">
        <w:rPr>
          <w:rFonts w:ascii="Verdana" w:eastAsia="Century Gothic" w:hAnsi="Verdana" w:cs="Century Gothic"/>
        </w:rPr>
        <w:t xml:space="preserve"> I). </w:t>
      </w:r>
      <w:r w:rsidR="00D02D34" w:rsidRPr="00D02D34">
        <w:rPr>
          <w:rFonts w:ascii="Verdana" w:eastAsia="Century Gothic" w:hAnsi="Verdana" w:cs="Century Gothic"/>
        </w:rPr>
        <w:t>¿Puede un integrante de un consorcio acreditar como propia, en un proceso regido por Documentos Tipo, la experiencia derivada de un subcontrato celebrado con el mismo consorcio del que hacía parte, mediante certificación expedida por este?</w:t>
      </w:r>
    </w:p>
    <w:p w14:paraId="16C7254D" w14:textId="77777777" w:rsidR="00E31754" w:rsidRDefault="00E31754" w:rsidP="00E31754">
      <w:pPr>
        <w:spacing w:after="0" w:line="276" w:lineRule="auto"/>
        <w:jc w:val="both"/>
        <w:rPr>
          <w:rStyle w:val="Refdecomentario"/>
        </w:rPr>
      </w:pPr>
    </w:p>
    <w:p w14:paraId="4995589B" w14:textId="14F1AEAF" w:rsidR="00506AA8" w:rsidRPr="00C24A9D" w:rsidRDefault="00E31754" w:rsidP="00E31754">
      <w:pPr>
        <w:spacing w:after="0" w:line="276" w:lineRule="auto"/>
        <w:jc w:val="both"/>
        <w:rPr>
          <w:rFonts w:ascii="Verdana" w:eastAsia="Century Gothic" w:hAnsi="Verdana" w:cs="Century Gothic"/>
          <w:color w:val="99CCFF"/>
        </w:rPr>
      </w:pPr>
      <w:r w:rsidRPr="00C24A9D">
        <w:rPr>
          <w:rFonts w:ascii="Verdana" w:eastAsia="Century Gothic" w:hAnsi="Verdana" w:cs="Century Gothic"/>
          <w:color w:val="99CCFF"/>
        </w:rPr>
        <w:t xml:space="preserve"> </w:t>
      </w:r>
    </w:p>
    <w:p w14:paraId="0174FE37" w14:textId="77777777" w:rsidR="00506AA8" w:rsidRPr="00C13670" w:rsidRDefault="00506AA8" w:rsidP="00506AA8">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r w:rsidRPr="00C13670">
        <w:rPr>
          <w:rFonts w:ascii="Verdana" w:eastAsia="Century Gothic" w:hAnsi="Verdana" w:cs="Century Gothic"/>
          <w:b/>
          <w:bCs/>
          <w:color w:val="000000" w:themeColor="text1"/>
          <w:lang w:val="es-ES"/>
        </w:rPr>
        <w:t>2. Respuestas:</w:t>
      </w:r>
    </w:p>
    <w:p w14:paraId="00493789" w14:textId="77777777" w:rsidR="00506AA8" w:rsidRPr="00C24A9D" w:rsidRDefault="00506AA8" w:rsidP="00506AA8">
      <w:pPr>
        <w:tabs>
          <w:tab w:val="left" w:pos="142"/>
          <w:tab w:val="left" w:pos="284"/>
        </w:tabs>
        <w:spacing w:after="0" w:line="276" w:lineRule="auto"/>
        <w:contextualSpacing/>
        <w:jc w:val="both"/>
        <w:rPr>
          <w:rFonts w:ascii="Verdana" w:eastAsia="Century Gothic" w:hAnsi="Verdana" w:cs="Century Gothic"/>
          <w:b/>
          <w:bCs/>
          <w:color w:val="99CCFF"/>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06AA8" w:rsidRPr="00C24A9D" w14:paraId="22C9DDD7" w14:textId="77777777" w:rsidTr="468EB212">
        <w:trPr>
          <w:trHeight w:val="40"/>
        </w:trPr>
        <w:tc>
          <w:tcPr>
            <w:tcW w:w="8828" w:type="dxa"/>
            <w:tcBorders>
              <w:top w:val="dotted" w:sz="4" w:space="0" w:color="auto"/>
              <w:left w:val="dotted" w:sz="4" w:space="0" w:color="auto"/>
              <w:bottom w:val="dotted" w:sz="4" w:space="0" w:color="auto"/>
              <w:right w:val="dotted" w:sz="4" w:space="0" w:color="auto"/>
            </w:tcBorders>
          </w:tcPr>
          <w:p w14:paraId="105AEB64" w14:textId="73AC5435" w:rsidR="00673BC0" w:rsidRPr="00927E9D" w:rsidRDefault="00506AA8" w:rsidP="793BE627">
            <w:pPr>
              <w:spacing w:after="120" w:line="276" w:lineRule="auto"/>
              <w:jc w:val="both"/>
              <w:rPr>
                <w:rFonts w:ascii="Verdana" w:eastAsia="Calibri" w:hAnsi="Verdana" w:cs="Arial"/>
              </w:rPr>
            </w:pPr>
            <w:r w:rsidRPr="468EB212">
              <w:rPr>
                <w:rFonts w:ascii="Verdana" w:eastAsia="Aptos" w:hAnsi="Verdana" w:cs="Times New Roman"/>
                <w:color w:val="000000" w:themeColor="text1"/>
                <w:lang w:val="es-ES"/>
              </w:rPr>
              <w:lastRenderedPageBreak/>
              <w:t xml:space="preserve">I). </w:t>
            </w:r>
            <w:r w:rsidRPr="468EB212">
              <w:rPr>
                <w:rFonts w:ascii="Verdana" w:eastAsia="Calibri" w:hAnsi="Verdana" w:cs="Arial"/>
              </w:rPr>
              <w:t xml:space="preserve"> </w:t>
            </w:r>
            <w:r w:rsidR="00673BC0" w:rsidRPr="468EB212">
              <w:rPr>
                <w:rFonts w:ascii="Verdana" w:eastAsia="Calibri" w:hAnsi="Verdana" w:cs="Arial"/>
              </w:rPr>
              <w:t>En relación con las reglas previstas en los numerales 3.5.3. “Consideraciones para la validez de la experiencia requerida” y 3.5.8. “Para subcontratos” de</w:t>
            </w:r>
            <w:r w:rsidR="12980A57" w:rsidRPr="468EB212">
              <w:rPr>
                <w:rFonts w:ascii="Verdana" w:eastAsia="Calibri" w:hAnsi="Verdana" w:cs="Arial"/>
              </w:rPr>
              <w:t>l documento base de</w:t>
            </w:r>
            <w:r w:rsidR="00D02D34">
              <w:rPr>
                <w:rFonts w:ascii="Verdana" w:eastAsia="Calibri" w:hAnsi="Verdana" w:cs="Arial"/>
              </w:rPr>
              <w:t xml:space="preserve"> </w:t>
            </w:r>
            <w:r w:rsidR="00673BC0" w:rsidRPr="468EB212">
              <w:rPr>
                <w:rFonts w:ascii="Verdana" w:eastAsia="Calibri" w:hAnsi="Verdana" w:cs="Arial"/>
              </w:rPr>
              <w:t>los Documentos Tipo, resulta necesario precisar el alcance de estas disposiciones cuando la experiencia que se pretende acreditar involucra a un integrante de un consorcio o unión temporal.</w:t>
            </w:r>
          </w:p>
          <w:p w14:paraId="13E4350D" w14:textId="01395ABE" w:rsidR="00506AA8" w:rsidRPr="00927E9D" w:rsidRDefault="00506AA8" w:rsidP="793BE627">
            <w:pPr>
              <w:spacing w:after="120" w:line="276" w:lineRule="auto"/>
              <w:jc w:val="both"/>
              <w:rPr>
                <w:rFonts w:ascii="Verdana" w:eastAsia="Calibri" w:hAnsi="Verdana" w:cs="Arial"/>
                <w:color w:val="000000"/>
                <w:lang w:val="es-MX" w:eastAsia="es-ES"/>
              </w:rPr>
            </w:pPr>
            <w:r w:rsidRPr="00927E9D">
              <w:rPr>
                <w:rFonts w:ascii="Verdana" w:eastAsia="Calibri" w:hAnsi="Verdana" w:cs="Arial"/>
                <w:color w:val="000000" w:themeColor="text1"/>
                <w:lang w:val="es-MX" w:eastAsia="es-ES"/>
              </w:rPr>
              <w:t>En materia de contratación estatal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34D3EE21" w14:textId="77777777" w:rsidR="00506AA8" w:rsidRDefault="00506AA8" w:rsidP="00506AA8">
            <w:pPr>
              <w:spacing w:after="120" w:line="276" w:lineRule="auto"/>
              <w:ind w:firstLine="709"/>
              <w:jc w:val="both"/>
              <w:rPr>
                <w:rFonts w:ascii="Verdana" w:eastAsia="Calibri" w:hAnsi="Verdana" w:cs="Arial"/>
                <w:color w:val="000000"/>
                <w:lang w:val="es-MX" w:eastAsia="es-ES_tradnl"/>
              </w:rPr>
            </w:pPr>
            <w:r>
              <w:rPr>
                <w:rFonts w:ascii="Verdana" w:eastAsia="Calibri" w:hAnsi="Verdana" w:cs="Arial"/>
                <w:color w:val="000000"/>
                <w:lang w:val="es-MX" w:eastAsia="es-ES_tradnl"/>
              </w:rPr>
              <w:t xml:space="preserve">De lo anterior, el legislador expresamente dotó a las figuras asociativas como los consorcios y uniones temporales de capacidad para participar dentro de los procesos de selección definidos en el EGCAP.   </w:t>
            </w:r>
          </w:p>
          <w:p w14:paraId="4163311E" w14:textId="77777777" w:rsidR="00506AA8"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Debido a que los consorcios y las uniones temporales no son personas jurídicas, </w:t>
            </w:r>
            <w:r>
              <w:rPr>
                <w:rFonts w:ascii="Verdana" w:eastAsia="Calibri" w:hAnsi="Verdana" w:cs="Arial"/>
                <w:color w:val="000000"/>
                <w:lang w:eastAsia="es-ES_tradnl"/>
              </w:rPr>
              <w:t xml:space="preserve">en tanto que </w:t>
            </w:r>
            <w:r w:rsidRPr="00B05BE8">
              <w:rPr>
                <w:rFonts w:ascii="Verdana" w:eastAsia="Calibri" w:hAnsi="Verdana" w:cs="Arial"/>
                <w:color w:val="000000"/>
                <w:lang w:eastAsia="es-ES_tradnl"/>
              </w:rPr>
              <w:t>carecen de personalidad jurídica diferente de aquella que acompaña a las personas naturales y/o morales que los integran</w:t>
            </w:r>
            <w:r>
              <w:rPr>
                <w:rFonts w:ascii="Verdana" w:eastAsia="Calibri" w:hAnsi="Verdana" w:cs="Arial"/>
                <w:color w:val="000000"/>
                <w:lang w:eastAsia="es-ES_tradnl"/>
              </w:rPr>
              <w:t xml:space="preserve">, </w:t>
            </w:r>
            <w:r w:rsidRPr="00043FE7">
              <w:rPr>
                <w:rFonts w:ascii="Verdana" w:eastAsia="Calibri" w:hAnsi="Verdana" w:cs="Arial"/>
                <w:color w:val="000000"/>
                <w:lang w:eastAsia="es-ES_tradnl"/>
              </w:rPr>
              <w:t>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w:t>
            </w:r>
            <w:r>
              <w:rPr>
                <w:rFonts w:ascii="Verdana" w:eastAsia="Calibri" w:hAnsi="Verdana" w:cs="Arial"/>
                <w:color w:val="000000"/>
                <w:lang w:eastAsia="es-ES_tradnl"/>
              </w:rPr>
              <w:t>.</w:t>
            </w:r>
          </w:p>
          <w:p w14:paraId="6001C95A" w14:textId="77777777" w:rsidR="000D6E5A" w:rsidRPr="00927E9D" w:rsidRDefault="000D6E5A" w:rsidP="00506AA8">
            <w:pPr>
              <w:spacing w:after="120" w:line="276" w:lineRule="auto"/>
              <w:ind w:firstLine="709"/>
              <w:jc w:val="both"/>
              <w:rPr>
                <w:rFonts w:ascii="Verdana" w:eastAsia="Calibri" w:hAnsi="Verdana" w:cs="Arial"/>
                <w:color w:val="000000"/>
                <w:lang w:eastAsia="es-ES_tradnl"/>
              </w:rPr>
            </w:pPr>
            <w:r w:rsidRPr="00927E9D">
              <w:rPr>
                <w:rFonts w:ascii="Verdana" w:eastAsia="Calibri" w:hAnsi="Verdana" w:cs="Arial"/>
                <w:color w:val="000000"/>
                <w:lang w:eastAsia="es-ES_tradnl"/>
              </w:rPr>
              <w:t>En este contexto, debe precisarse que, de acuerdo con las reglas previstas en los numerales 3.5.3. “Consideraciones para la validez de la experiencia requerida” y 3.5.8. “Para subcontratos” de los Documentos Tipo, la subcontratación supone la celebración de un contrato entre el contratista y un tercero, mediante el cual este último ejecuta, total o parcialmente, determinadas actividades relacionadas con el objeto contractual. Por consiguiente, la condición de tercero constituye un elemento necesario para que pueda configurarse una relación de subcontratación y, en consecuencia, para que resulte aplicable el régimen de acreditación de experiencia previsto en el numeral 3.5.8.</w:t>
            </w:r>
          </w:p>
          <w:p w14:paraId="263282B6" w14:textId="5CC3D651" w:rsidR="00506AA8" w:rsidRPr="00927E9D" w:rsidRDefault="00506AA8" w:rsidP="00506AA8">
            <w:pPr>
              <w:spacing w:after="120" w:line="276" w:lineRule="auto"/>
              <w:ind w:firstLine="709"/>
              <w:jc w:val="both"/>
              <w:rPr>
                <w:rFonts w:ascii="Verdana" w:eastAsia="Calibri" w:hAnsi="Verdana" w:cs="Arial"/>
                <w:color w:val="000000"/>
                <w:lang w:eastAsia="es-ES_tradnl"/>
              </w:rPr>
            </w:pPr>
            <w:r w:rsidRPr="00927E9D">
              <w:rPr>
                <w:rFonts w:ascii="Verdana" w:eastAsia="Calibri" w:hAnsi="Verdana" w:cs="Arial"/>
                <w:color w:val="000000"/>
                <w:lang w:eastAsia="es-ES_tradnl"/>
              </w:rPr>
              <w:t xml:space="preserve">Tratándose de consorcios y uniones temporales, esta consideración adquiere especial relevancia, toda vez que estas figuras asociativas carecen </w:t>
            </w:r>
            <w:r w:rsidRPr="00927E9D">
              <w:rPr>
                <w:rFonts w:ascii="Verdana" w:eastAsia="Calibri" w:hAnsi="Verdana" w:cs="Arial"/>
                <w:color w:val="000000"/>
                <w:lang w:eastAsia="es-ES_tradnl"/>
              </w:rPr>
              <w:lastRenderedPageBreak/>
              <w:t>de personería jurídica independiente de sus integrantes. En consecuencia, la calidad de contratista frente a la entidad estatal se predica de los integrantes del consorcio o unión temporal, en los términos establecidos en el respectivo contrato estatal.</w:t>
            </w:r>
          </w:p>
          <w:p w14:paraId="7ACD4785" w14:textId="77777777" w:rsidR="00506AA8" w:rsidRPr="00927E9D" w:rsidRDefault="00506AA8" w:rsidP="00506AA8">
            <w:pPr>
              <w:spacing w:after="120" w:line="276" w:lineRule="auto"/>
              <w:ind w:right="51" w:firstLine="733"/>
              <w:jc w:val="both"/>
              <w:rPr>
                <w:rFonts w:ascii="Verdana" w:eastAsia="Calibri" w:hAnsi="Verdana" w:cs="Arial"/>
                <w:color w:val="000000" w:themeColor="text1"/>
              </w:rPr>
            </w:pPr>
            <w:r w:rsidRPr="00927E9D">
              <w:rPr>
                <w:rFonts w:ascii="Verdana" w:eastAsia="Calibri" w:hAnsi="Verdana" w:cs="Arial"/>
                <w:color w:val="000000" w:themeColor="text1"/>
              </w:rPr>
              <w:t xml:space="preserve">De acuerdo con el principio lógico de no contradicción, esto significa que quien ocupa la posición de parte en el negocio jurídico, por exclusión, no puede tener la naturaleza de tercero para efectos de la subcontratación. Por tanto, desde el punto de vista de los sujetos, la calidad de tercero corresponde a cualquier persona distinta al contratista o a los integrantes del consorcio o unión temporal y a la entidad estatal contratante. En este contexto, sólo la experiencia adquirida por lo integrantes del proponente plural puede acreditarse en otros procesos de selección, pues –por sustracción de materia– no pueden fungir como subcontratistas del consorcio o unión temporal del que hacen parte.  </w:t>
            </w:r>
          </w:p>
          <w:p w14:paraId="65DEEB99" w14:textId="77777777" w:rsidR="00655EDB" w:rsidRPr="00927E9D" w:rsidRDefault="00655EDB" w:rsidP="00506AA8">
            <w:pPr>
              <w:spacing w:after="120" w:line="276" w:lineRule="auto"/>
              <w:ind w:right="51" w:firstLine="733"/>
              <w:jc w:val="both"/>
              <w:rPr>
                <w:rFonts w:ascii="Verdana" w:eastAsia="Calibri" w:hAnsi="Verdana" w:cs="Arial"/>
                <w:color w:val="000000" w:themeColor="text1"/>
              </w:rPr>
            </w:pPr>
            <w:r w:rsidRPr="00927E9D">
              <w:rPr>
                <w:rFonts w:ascii="Verdana" w:eastAsia="Calibri" w:hAnsi="Verdana" w:cs="Arial"/>
                <w:color w:val="000000" w:themeColor="text1"/>
              </w:rPr>
              <w:t>En este contexto, y específicamente para efectos de la aplicación de los numerales 3.5.3 y 3.5.8 de los Documentos Tipo, un integrante de un consorcio o unión temporal no puede ser considerado subcontratista del mismo proponente plural del cual hace parte, pues no ostenta la condición de tercero respecto de este. Por lo tanto, las actividades ejecutadas por dicho integrante en desarrollo del contrato estatal celebrado por el consorcio o unión temporal no pueden acreditarse como experiencia derivada de un subcontrato celebrado con el mismo proponente plural.</w:t>
            </w:r>
          </w:p>
          <w:p w14:paraId="303DBD7E" w14:textId="025A864D" w:rsidR="00506AA8" w:rsidRPr="009D6A6F" w:rsidRDefault="00506AA8" w:rsidP="00506AA8">
            <w:pPr>
              <w:spacing w:after="120" w:line="276" w:lineRule="auto"/>
              <w:ind w:right="51" w:firstLine="733"/>
              <w:jc w:val="both"/>
              <w:rPr>
                <w:rFonts w:ascii="Verdana" w:eastAsia="Calibri" w:hAnsi="Verdana" w:cs="Arial"/>
                <w:color w:val="000000" w:themeColor="text1"/>
                <w:lang w:val="es-ES"/>
              </w:rPr>
            </w:pPr>
            <w:r w:rsidRPr="009D6A6F">
              <w:rPr>
                <w:rFonts w:ascii="Verdana" w:eastAsia="Calibri" w:hAnsi="Verdana" w:cs="Arial"/>
                <w:color w:val="000000" w:themeColor="text1"/>
                <w:lang w:val="es-ES"/>
              </w:rPr>
              <w:t>En ese sentido, no resulta jurídicamente procedente que un integrante de un consorcio acredite como experiencia propia un supuesto subcontrato celebrado con el mismo consorcio del que hace parte, pues dicha relación no reúne el presupuesto subjetivo propio de la subcontratación, esto es, la intervención de un tercero distinto del contratista.</w:t>
            </w:r>
          </w:p>
          <w:p w14:paraId="78D48C46" w14:textId="60C7C850" w:rsidR="00322642" w:rsidRPr="00322642" w:rsidRDefault="00322642" w:rsidP="00322642">
            <w:pPr>
              <w:spacing w:after="120" w:line="276" w:lineRule="auto"/>
              <w:ind w:right="51" w:firstLine="733"/>
              <w:jc w:val="both"/>
              <w:rPr>
                <w:rFonts w:ascii="Verdana" w:eastAsia="Calibri" w:hAnsi="Verdana" w:cs="Arial"/>
                <w:color w:val="000000" w:themeColor="text1"/>
                <w:lang w:val="es-ES"/>
              </w:rPr>
            </w:pPr>
            <w:r w:rsidRPr="00322642">
              <w:rPr>
                <w:rFonts w:ascii="Verdana" w:eastAsia="Calibri" w:hAnsi="Verdana" w:cs="Arial"/>
                <w:color w:val="000000" w:themeColor="text1"/>
                <w:lang w:val="es-ES"/>
              </w:rPr>
              <w:t xml:space="preserve">De igual manera, la certificación que eventualmente expida el propio consorcio no podría, por sí sola, conferir la naturaleza de subcontrato a una relación que jurídicamente no reúne las condiciones para ser considerada como tal. Esta circunstancia, además, resulta concordante con lo dispuesto en el numeral 3.5.3, literal K, de los Documentos Tipo, según el cual las auto certificaciones no sirven para acreditar la experiencia requerida, entendiéndose por estas aquellas expedidas por el mismo Proponente, sus representantes, los integrantes del Proponente Plural o del mismo segmento </w:t>
            </w:r>
            <w:r w:rsidRPr="00322642">
              <w:rPr>
                <w:rFonts w:ascii="Verdana" w:eastAsia="Calibri" w:hAnsi="Verdana" w:cs="Arial"/>
                <w:color w:val="000000" w:themeColor="text1"/>
                <w:lang w:val="es-ES"/>
              </w:rPr>
              <w:lastRenderedPageBreak/>
              <w:t>empresarial para demostrar su propia experiencia. En consecuencia, dicha certificación no permitiría acreditar, bajo la modalidad de experiencia derivada de un subcontrato, una experiencia que provenga de una relación contractual entre el consorcio y uno de sus propios integrantes.</w:t>
            </w:r>
          </w:p>
          <w:p w14:paraId="2372F4E2" w14:textId="04DACECD" w:rsidR="00322642" w:rsidRPr="00322642" w:rsidRDefault="00322642" w:rsidP="00322642">
            <w:pPr>
              <w:spacing w:after="120" w:line="276" w:lineRule="auto"/>
              <w:ind w:right="51" w:firstLine="733"/>
              <w:jc w:val="both"/>
              <w:rPr>
                <w:rFonts w:ascii="Verdana" w:eastAsia="Calibri" w:hAnsi="Verdana" w:cs="Arial"/>
                <w:color w:val="000000" w:themeColor="text1"/>
                <w:lang w:val="es-ES"/>
              </w:rPr>
            </w:pPr>
            <w:r w:rsidRPr="00322642">
              <w:rPr>
                <w:rFonts w:ascii="Verdana" w:eastAsia="Calibri" w:hAnsi="Verdana" w:cs="Arial"/>
                <w:color w:val="000000" w:themeColor="text1"/>
                <w:lang w:val="es-ES"/>
              </w:rPr>
              <w:t>Lo anterior no significa que la experiencia efectivamente adquirida por el integrante en su condición de miembro del consorcio carezca de valor o no pueda ser acreditada. Por el contrario, la experiencia deberá analizarse y acreditarse conforme a las reglas aplicables a la experiencia adquirida por los integrantes de estructuras plurales, atendiendo a las condiciones y porcentajes de participación que correspondan y a las exigencias previstas en los Documentos Tipo y en los documentos del proceso respectivo.</w:t>
            </w:r>
          </w:p>
          <w:p w14:paraId="27FB7245" w14:textId="4D6BE3F8" w:rsidR="00322642" w:rsidRPr="00322642" w:rsidRDefault="00322642" w:rsidP="00322642">
            <w:pPr>
              <w:spacing w:after="120" w:line="276" w:lineRule="auto"/>
              <w:ind w:right="51" w:firstLine="733"/>
              <w:jc w:val="both"/>
              <w:rPr>
                <w:rFonts w:ascii="Verdana" w:eastAsia="Calibri" w:hAnsi="Verdana" w:cs="Arial"/>
                <w:color w:val="000000" w:themeColor="text1"/>
                <w:lang w:val="es-ES"/>
              </w:rPr>
            </w:pPr>
            <w:r w:rsidRPr="00322642">
              <w:rPr>
                <w:rFonts w:ascii="Verdana" w:eastAsia="Calibri" w:hAnsi="Verdana" w:cs="Arial"/>
                <w:color w:val="000000" w:themeColor="text1"/>
                <w:lang w:val="es-ES"/>
              </w:rPr>
              <w:t>En consecuencia, las reglas contenidas en los numerales 3.5.3 y 3.5.8 de los Documentos Tipo deben entenderse en el sentido de que la acreditación de experiencia mediante subcontratos exige la existencia de una verdadera relación de subcontratación con un tercero y el cumplimiento de los documentos y condiciones establecidos en el numeral 3.5.8. Por ello, no resulta procedente acudir a dicha modalidad para acreditar actividades ejecutadas por uno de los integrantes del proponente plural dentro del contrato estatal celebrado por el mismo consorcio o unión temporal.</w:t>
            </w:r>
          </w:p>
          <w:p w14:paraId="5004F280" w14:textId="77777777" w:rsidR="002676B1" w:rsidRPr="00D70DA6" w:rsidRDefault="002676B1" w:rsidP="002676B1">
            <w:pPr>
              <w:pStyle w:val="NormalWeb"/>
              <w:spacing w:before="120" w:beforeAutospacing="0" w:after="120" w:afterAutospacing="0" w:line="276" w:lineRule="auto"/>
              <w:ind w:firstLine="709"/>
              <w:jc w:val="both"/>
              <w:rPr>
                <w:rFonts w:ascii="Verdana" w:hAnsi="Verdana" w:cs="Arial"/>
                <w:color w:val="000000" w:themeColor="text1"/>
                <w:sz w:val="22"/>
                <w:szCs w:val="22"/>
              </w:rPr>
            </w:pPr>
            <w:r w:rsidRPr="0048565C">
              <w:rPr>
                <w:rFonts w:ascii="Verdana" w:hAnsi="Verdana" w:cs="Arial"/>
                <w:color w:val="000000" w:themeColor="text1"/>
                <w:sz w:val="22"/>
                <w:szCs w:val="22"/>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Por tanto, cada entidad definirá la forma de adelantar su gestión contractual, sin que sea atribución de Colombia Compra Eficiente validar sus actuaciones.</w:t>
            </w:r>
          </w:p>
          <w:p w14:paraId="53BD5DF2" w14:textId="7687BA59" w:rsidR="00506AA8" w:rsidRPr="002676B1" w:rsidRDefault="00506AA8" w:rsidP="00322642">
            <w:pPr>
              <w:spacing w:after="120" w:line="276" w:lineRule="auto"/>
              <w:ind w:right="51" w:firstLine="733"/>
              <w:jc w:val="both"/>
              <w:rPr>
                <w:rFonts w:ascii="Verdana" w:eastAsia="Calibri" w:hAnsi="Verdana" w:cs="Arial"/>
                <w:color w:val="000000" w:themeColor="text1"/>
              </w:rPr>
            </w:pPr>
          </w:p>
        </w:tc>
      </w:tr>
    </w:tbl>
    <w:p w14:paraId="35503B2D" w14:textId="77777777" w:rsidR="00506AA8" w:rsidRPr="00187857" w:rsidRDefault="00506AA8" w:rsidP="00506AA8">
      <w:pPr>
        <w:tabs>
          <w:tab w:val="left" w:pos="142"/>
          <w:tab w:val="left" w:pos="284"/>
        </w:tabs>
        <w:spacing w:after="0" w:line="276" w:lineRule="auto"/>
        <w:jc w:val="both"/>
        <w:rPr>
          <w:rFonts w:ascii="Verdana" w:eastAsia="Century Gothic" w:hAnsi="Verdana" w:cs="Century Gothic"/>
          <w:b/>
          <w:bCs/>
          <w:lang w:val="es-ES"/>
        </w:rPr>
      </w:pPr>
    </w:p>
    <w:p w14:paraId="61FAFE6B" w14:textId="77777777" w:rsidR="00506AA8" w:rsidRPr="00187857" w:rsidRDefault="00506AA8" w:rsidP="00506AA8">
      <w:pPr>
        <w:tabs>
          <w:tab w:val="left" w:pos="142"/>
          <w:tab w:val="left" w:pos="284"/>
        </w:tabs>
        <w:spacing w:after="0" w:line="276" w:lineRule="auto"/>
        <w:jc w:val="both"/>
        <w:rPr>
          <w:rFonts w:ascii="Verdana" w:eastAsia="Century Gothic" w:hAnsi="Verdana" w:cs="Century Gothic"/>
          <w:b/>
          <w:bCs/>
          <w:lang w:val="es-ES"/>
        </w:rPr>
      </w:pPr>
      <w:r w:rsidRPr="00187857">
        <w:rPr>
          <w:rFonts w:ascii="Verdana" w:eastAsia="Century Gothic" w:hAnsi="Verdana" w:cs="Century Gothic"/>
          <w:b/>
          <w:bCs/>
          <w:lang w:val="es-ES"/>
        </w:rPr>
        <w:t>3. Razones de la respuesta:</w:t>
      </w:r>
    </w:p>
    <w:p w14:paraId="74FF3D3D" w14:textId="77777777" w:rsidR="00506AA8" w:rsidRPr="00187857" w:rsidRDefault="00506AA8" w:rsidP="00506AA8">
      <w:pPr>
        <w:spacing w:after="0" w:line="276" w:lineRule="auto"/>
        <w:jc w:val="both"/>
        <w:rPr>
          <w:rFonts w:ascii="Verdana" w:eastAsia="Calibri" w:hAnsi="Verdana" w:cs="Arial"/>
          <w:lang w:val="es-ES"/>
        </w:rPr>
      </w:pPr>
    </w:p>
    <w:p w14:paraId="7EDD3C5A" w14:textId="77777777" w:rsidR="00506AA8" w:rsidRPr="00187857" w:rsidRDefault="00506AA8" w:rsidP="00506AA8">
      <w:pPr>
        <w:spacing w:after="0" w:line="276" w:lineRule="auto"/>
        <w:jc w:val="both"/>
        <w:rPr>
          <w:rFonts w:ascii="Verdana" w:eastAsia="Calibri" w:hAnsi="Verdana" w:cs="Arial"/>
          <w:lang w:val="es-ES"/>
        </w:rPr>
      </w:pPr>
      <w:r w:rsidRPr="00187857">
        <w:rPr>
          <w:rFonts w:ascii="Verdana" w:eastAsia="Calibri" w:hAnsi="Verdana" w:cs="Arial"/>
          <w:lang w:val="es-ES"/>
        </w:rPr>
        <w:t xml:space="preserve">Lo anterior se sustenta en las siguientes consideraciones: </w:t>
      </w:r>
    </w:p>
    <w:p w14:paraId="086137D1" w14:textId="77777777" w:rsidR="00506AA8" w:rsidRPr="00187857" w:rsidRDefault="00506AA8" w:rsidP="00506AA8">
      <w:pPr>
        <w:widowControl w:val="0"/>
        <w:autoSpaceDE w:val="0"/>
        <w:autoSpaceDN w:val="0"/>
        <w:spacing w:after="0" w:line="276" w:lineRule="auto"/>
        <w:jc w:val="both"/>
        <w:rPr>
          <w:rFonts w:ascii="Verdana" w:eastAsia="Calibri" w:hAnsi="Verdana" w:cs="Times New Roman"/>
          <w:lang w:val="es-ES"/>
        </w:rPr>
      </w:pPr>
      <w:bookmarkStart w:id="1" w:name="_Hlk113022941"/>
    </w:p>
    <w:p w14:paraId="14A70ECA" w14:textId="77777777" w:rsidR="00506AA8" w:rsidRPr="002B61C0" w:rsidRDefault="00506AA8" w:rsidP="00506AA8">
      <w:pPr>
        <w:spacing w:after="120" w:line="276" w:lineRule="auto"/>
        <w:contextualSpacing/>
        <w:jc w:val="both"/>
        <w:rPr>
          <w:rFonts w:ascii="Verdana" w:eastAsia="Calibri" w:hAnsi="Verdana" w:cs="Arial"/>
          <w:lang w:val="es-MX"/>
        </w:rPr>
      </w:pPr>
      <w:r w:rsidRPr="00187857">
        <w:rPr>
          <w:rFonts w:ascii="Aptos" w:eastAsia="Aptos" w:hAnsi="Aptos" w:cs="Times New Roman"/>
          <w:kern w:val="2"/>
          <w:sz w:val="24"/>
          <w:szCs w:val="24"/>
          <w:lang w:val="es-ES"/>
          <w14:ligatures w14:val="standardContextual"/>
        </w:rPr>
        <w:lastRenderedPageBreak/>
        <w:t>I).</w:t>
      </w:r>
      <w:r>
        <w:rPr>
          <w:rFonts w:ascii="Aptos" w:eastAsia="Aptos" w:hAnsi="Aptos" w:cs="Times New Roman"/>
          <w:kern w:val="2"/>
          <w:sz w:val="24"/>
          <w:szCs w:val="24"/>
          <w:lang w:val="es-ES"/>
          <w14:ligatures w14:val="standardContextual"/>
        </w:rPr>
        <w:t xml:space="preserve">  </w:t>
      </w:r>
      <w:r w:rsidRPr="002B61C0">
        <w:rPr>
          <w:rFonts w:ascii="Verdana" w:hAnsi="Verdana" w:cs="Arial"/>
          <w:lang w:val="es-ES_tradnl"/>
        </w:rPr>
        <w:t xml:space="preserve">Si bien las personas pueden presentarse individualmente a los procesos de selección, también pueden hacerlo en forma plural a través de consorcios o uniones temporales. En efecto, </w:t>
      </w:r>
      <w:r w:rsidRPr="002B61C0">
        <w:rPr>
          <w:rFonts w:ascii="Verdana" w:eastAsia="Calibri" w:hAnsi="Verdana" w:cs="Arial"/>
          <w:lang w:val="es-MX"/>
        </w:rPr>
        <w:t>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67EF2842" w14:textId="77777777" w:rsidR="00506AA8" w:rsidRPr="002B61C0" w:rsidRDefault="00506AA8" w:rsidP="00506AA8">
      <w:pPr>
        <w:spacing w:after="120" w:line="276" w:lineRule="auto"/>
        <w:ind w:left="720"/>
        <w:contextualSpacing/>
        <w:jc w:val="both"/>
        <w:rPr>
          <w:rFonts w:ascii="Verdana" w:eastAsia="Calibri" w:hAnsi="Verdana" w:cs="Arial"/>
          <w:lang w:val="es-MX"/>
        </w:rPr>
      </w:pPr>
    </w:p>
    <w:p w14:paraId="5CE853C0" w14:textId="77777777" w:rsidR="00506AA8" w:rsidRPr="002B61C0" w:rsidRDefault="00506AA8" w:rsidP="00506AA8">
      <w:pPr>
        <w:spacing w:after="0" w:line="276" w:lineRule="auto"/>
        <w:ind w:firstLine="709"/>
        <w:contextualSpacing/>
        <w:jc w:val="both"/>
        <w:rPr>
          <w:rFonts w:ascii="Verdana" w:eastAsia="Calibri" w:hAnsi="Verdana" w:cs="Arial"/>
          <w:bCs/>
          <w:color w:val="000000" w:themeColor="text1"/>
          <w:lang w:val="es-ES"/>
        </w:rPr>
      </w:pPr>
      <w:r w:rsidRPr="002B61C0">
        <w:rPr>
          <w:rFonts w:ascii="Verdana" w:eastAsia="Calibri" w:hAnsi="Verdana" w:cs="Arial"/>
          <w:color w:val="000000" w:themeColor="text1"/>
          <w:lang w:val="es-ES"/>
        </w:rPr>
        <w:t>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57E1DC8B" w14:textId="77777777" w:rsidR="00506AA8" w:rsidRPr="002B61C0" w:rsidRDefault="00506AA8" w:rsidP="00506AA8">
      <w:pPr>
        <w:spacing w:after="0" w:line="276" w:lineRule="auto"/>
        <w:jc w:val="both"/>
        <w:rPr>
          <w:rFonts w:ascii="Verdana" w:eastAsia="Calibri" w:hAnsi="Verdana" w:cs="Arial"/>
          <w:bCs/>
          <w:color w:val="000000" w:themeColor="text1"/>
          <w:lang w:val="es-ES"/>
        </w:rPr>
      </w:pPr>
    </w:p>
    <w:p w14:paraId="0ED69AA3"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szCs w:val="21"/>
        </w:rPr>
      </w:pPr>
      <w:r w:rsidRPr="002B61C0">
        <w:rPr>
          <w:rFonts w:ascii="Verdana" w:eastAsia="Calibri" w:hAnsi="Verdana" w:cs="Arial"/>
          <w:bCs/>
          <w:color w:val="000000" w:themeColor="text1"/>
          <w:sz w:val="21"/>
          <w:szCs w:val="21"/>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59F72665" w14:textId="77777777" w:rsidR="00506AA8" w:rsidRPr="002B61C0" w:rsidRDefault="00506AA8" w:rsidP="00506AA8">
      <w:pPr>
        <w:spacing w:after="120" w:line="240" w:lineRule="auto"/>
        <w:ind w:left="709" w:right="709"/>
        <w:jc w:val="both"/>
        <w:rPr>
          <w:rFonts w:ascii="Verdana" w:eastAsia="Calibri" w:hAnsi="Verdana" w:cs="Arial"/>
          <w:bCs/>
          <w:color w:val="000000" w:themeColor="text1"/>
          <w:sz w:val="21"/>
          <w:szCs w:val="21"/>
        </w:rPr>
      </w:pPr>
      <w:r w:rsidRPr="002B61C0">
        <w:rPr>
          <w:rFonts w:ascii="Verdana" w:eastAsia="Calibri" w:hAnsi="Verdana" w:cs="Arial"/>
          <w:bCs/>
          <w:color w:val="000000" w:themeColor="text1"/>
          <w:sz w:val="21"/>
          <w:szCs w:val="21"/>
        </w:rPr>
        <w:t>[…]</w:t>
      </w:r>
    </w:p>
    <w:p w14:paraId="7988DFF5"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szCs w:val="21"/>
        </w:rPr>
      </w:pPr>
      <w:r w:rsidRPr="002B61C0">
        <w:rPr>
          <w:rFonts w:ascii="Verdana" w:eastAsia="Calibri" w:hAnsi="Verdana" w:cs="Arial"/>
          <w:bCs/>
          <w:color w:val="000000" w:themeColor="text1"/>
          <w:sz w:val="21"/>
          <w:szCs w:val="21"/>
        </w:rPr>
        <w:t xml:space="preserve">En torno a la capacidad contractual de los consorcios y uniones temporales la jurisprudencia constitucional ha expresado que el Estatuto de contratación les reconoce este atributo sin exigirles como </w:t>
      </w:r>
      <w:r w:rsidRPr="002B61C0">
        <w:rPr>
          <w:rFonts w:ascii="Verdana" w:eastAsia="Calibri" w:hAnsi="Verdana" w:cs="Arial"/>
          <w:bCs/>
          <w:color w:val="000000" w:themeColor="text1"/>
          <w:sz w:val="21"/>
          <w:szCs w:val="21"/>
        </w:rPr>
        <w:lastRenderedPageBreak/>
        <w:t>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2B61C0">
        <w:rPr>
          <w:rFonts w:ascii="Verdana" w:eastAsia="Calibri" w:hAnsi="Verdana" w:cs="Arial"/>
          <w:bCs/>
          <w:color w:val="000000" w:themeColor="text1"/>
          <w:sz w:val="21"/>
          <w:szCs w:val="21"/>
          <w:vertAlign w:val="superscript"/>
        </w:rPr>
        <w:footnoteReference w:id="2"/>
      </w:r>
      <w:r w:rsidRPr="002B61C0">
        <w:rPr>
          <w:rFonts w:ascii="Verdana" w:eastAsia="Calibri" w:hAnsi="Verdana" w:cs="Arial"/>
          <w:bCs/>
          <w:color w:val="000000" w:themeColor="text1"/>
          <w:sz w:val="21"/>
          <w:szCs w:val="21"/>
        </w:rPr>
        <w:t>.</w:t>
      </w:r>
    </w:p>
    <w:p w14:paraId="1304B018" w14:textId="77777777" w:rsidR="00506AA8" w:rsidRPr="002B61C0" w:rsidRDefault="00506AA8" w:rsidP="00506AA8">
      <w:pPr>
        <w:spacing w:after="0" w:line="240" w:lineRule="auto"/>
        <w:ind w:left="720" w:right="730" w:firstLine="709"/>
        <w:jc w:val="both"/>
        <w:rPr>
          <w:rFonts w:ascii="Verdana" w:eastAsia="Calibri" w:hAnsi="Verdana" w:cs="Arial"/>
          <w:bCs/>
          <w:color w:val="000000" w:themeColor="text1"/>
          <w:sz w:val="21"/>
          <w:szCs w:val="21"/>
        </w:rPr>
      </w:pPr>
    </w:p>
    <w:p w14:paraId="35E44663" w14:textId="77777777" w:rsidR="00506AA8" w:rsidRDefault="00506AA8" w:rsidP="00506AA8">
      <w:pPr>
        <w:spacing w:after="120" w:line="240" w:lineRule="auto"/>
        <w:ind w:firstLine="709"/>
        <w:contextualSpacing/>
        <w:jc w:val="both"/>
        <w:rPr>
          <w:rFonts w:ascii="Verdana" w:eastAsia="Calibri" w:hAnsi="Verdana" w:cs="Arial"/>
          <w:bCs/>
          <w:color w:val="000000" w:themeColor="text1"/>
          <w:lang w:val="es-ES"/>
        </w:rPr>
      </w:pPr>
      <w:bookmarkStart w:id="2" w:name="_Hlk135067740"/>
      <w:r w:rsidRPr="002B61C0">
        <w:rPr>
          <w:rFonts w:ascii="Verdana" w:eastAsia="Calibri" w:hAnsi="Verdana" w:cs="Arial"/>
          <w:color w:val="000000" w:themeColor="text1"/>
          <w:lang w:val="es-ES"/>
        </w:rPr>
        <w:t>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bookmarkEnd w:id="2"/>
    </w:p>
    <w:p w14:paraId="116D0A40" w14:textId="77777777" w:rsidR="00506AA8" w:rsidRDefault="00506AA8" w:rsidP="00506AA8">
      <w:pPr>
        <w:spacing w:after="120" w:line="240" w:lineRule="auto"/>
        <w:ind w:firstLine="709"/>
        <w:contextualSpacing/>
        <w:jc w:val="both"/>
        <w:rPr>
          <w:rFonts w:ascii="Verdana" w:eastAsia="Calibri" w:hAnsi="Verdana" w:cs="Arial"/>
          <w:bCs/>
          <w:color w:val="000000" w:themeColor="text1"/>
          <w:lang w:val="es-ES"/>
        </w:rPr>
      </w:pPr>
    </w:p>
    <w:p w14:paraId="1F2EFB44" w14:textId="77777777" w:rsidR="00506AA8" w:rsidRPr="00A53B63" w:rsidRDefault="00506AA8" w:rsidP="00506AA8">
      <w:pPr>
        <w:spacing w:after="120" w:line="240" w:lineRule="auto"/>
        <w:ind w:firstLine="709"/>
        <w:contextualSpacing/>
        <w:jc w:val="both"/>
        <w:rPr>
          <w:rFonts w:ascii="Verdana" w:eastAsia="Calibri" w:hAnsi="Verdana" w:cs="Arial"/>
          <w:bCs/>
          <w:color w:val="000000" w:themeColor="text1"/>
          <w:lang w:val="es-ES"/>
        </w:rPr>
      </w:pPr>
      <w:r w:rsidRPr="002B61C0">
        <w:rPr>
          <w:rFonts w:ascii="Verdana" w:hAnsi="Verdana" w:cs="Arial"/>
          <w:lang w:val="es-ES"/>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En lo pertinente, la norma precitada dispone que:</w:t>
      </w:r>
    </w:p>
    <w:p w14:paraId="686A1427" w14:textId="77777777" w:rsidR="00506AA8" w:rsidRPr="002B61C0" w:rsidRDefault="00506AA8" w:rsidP="00506AA8">
      <w:pPr>
        <w:spacing w:after="0" w:line="276" w:lineRule="auto"/>
        <w:ind w:firstLine="709"/>
        <w:jc w:val="both"/>
        <w:rPr>
          <w:rFonts w:ascii="Verdana" w:eastAsia="Calibri" w:hAnsi="Verdana" w:cs="Arial"/>
          <w:bCs/>
          <w:color w:val="000000" w:themeColor="text1"/>
          <w:lang w:val="es-ES"/>
        </w:rPr>
      </w:pPr>
    </w:p>
    <w:p w14:paraId="4893FBB4"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“Artículo 7º.- ENTIDADES A CONTRATAR. Artículo modificado por el artículo 3 de la Ley 2160 de 2021. Para los efectos de esta Ley se entiende por:</w:t>
      </w:r>
    </w:p>
    <w:p w14:paraId="702BF291" w14:textId="77777777" w:rsidR="00506AA8" w:rsidRPr="002B61C0" w:rsidRDefault="00506AA8" w:rsidP="00506AA8">
      <w:pPr>
        <w:spacing w:after="12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w:t>
      </w:r>
    </w:p>
    <w:p w14:paraId="61059E22" w14:textId="77777777" w:rsidR="00506AA8" w:rsidRPr="002B61C0" w:rsidRDefault="00506AA8" w:rsidP="00506AA8">
      <w:pPr>
        <w:spacing w:after="12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6. Consorcio: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2F906920"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 xml:space="preserve">7. Unión Temporal: Cuando dos o más personas en forma conjunta presentan una misma propuesta para la adjudicación, celebración y ejecución de un contrato, respondiendo solidariamente por el </w:t>
      </w:r>
      <w:r w:rsidRPr="002B61C0">
        <w:rPr>
          <w:rFonts w:ascii="Verdana" w:eastAsia="Calibri" w:hAnsi="Verdana" w:cs="Arial"/>
          <w:bCs/>
          <w:color w:val="000000" w:themeColor="text1"/>
          <w:sz w:val="21"/>
          <w:lang w:val="es-ES"/>
        </w:rPr>
        <w:lastRenderedPageBreak/>
        <w:t>cumplimiento total de la propuesta y del objeto contratado, pero las sanciones por el incumplimiento de las obligaciones derivadas de la propuesta y del contrato se impondrán de acuerdo con la participación en la ejecución de cada uno de los miembros de la unión temporal. </w:t>
      </w:r>
    </w:p>
    <w:p w14:paraId="521DC43F" w14:textId="77777777" w:rsidR="00506AA8" w:rsidRPr="002B61C0" w:rsidRDefault="00506AA8" w:rsidP="00506AA8">
      <w:pPr>
        <w:spacing w:after="12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w:t>
      </w:r>
    </w:p>
    <w:p w14:paraId="5AFE73A3" w14:textId="77777777" w:rsidR="00506AA8" w:rsidRPr="002B61C0" w:rsidRDefault="00506AA8" w:rsidP="00506AA8">
      <w:pPr>
        <w:spacing w:after="12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Parágrafo 1º.-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w:t>
      </w:r>
    </w:p>
    <w:p w14:paraId="6EA70A61"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Los miembros del consorcio y de la unión temporal deberán designar la persona que, para todos los efectos, representará al consorcio o unión temporal y señalarán las reglas básicas que regulen las relaciones entre ellos y su responsabilidad.</w:t>
      </w:r>
    </w:p>
    <w:p w14:paraId="19462719" w14:textId="77777777" w:rsidR="00506AA8" w:rsidRPr="002B61C0" w:rsidRDefault="00506AA8" w:rsidP="00506AA8">
      <w:pPr>
        <w:spacing w:after="0" w:line="240" w:lineRule="auto"/>
        <w:ind w:left="709" w:right="709"/>
        <w:jc w:val="both"/>
        <w:rPr>
          <w:rFonts w:ascii="Verdana" w:eastAsia="Calibri" w:hAnsi="Verdana" w:cs="Arial"/>
          <w:bCs/>
          <w:color w:val="000000" w:themeColor="text1"/>
          <w:sz w:val="21"/>
          <w:lang w:val="es-ES"/>
        </w:rPr>
      </w:pPr>
      <w:r w:rsidRPr="002B61C0">
        <w:rPr>
          <w:rFonts w:ascii="Verdana" w:eastAsia="Calibri" w:hAnsi="Verdana" w:cs="Arial"/>
          <w:bCs/>
          <w:color w:val="000000" w:themeColor="text1"/>
          <w:sz w:val="21"/>
          <w:lang w:val="es-ES"/>
        </w:rPr>
        <w:t>[…]”.</w:t>
      </w:r>
    </w:p>
    <w:p w14:paraId="3356A74D" w14:textId="77777777" w:rsidR="00506AA8" w:rsidRPr="002B61C0" w:rsidRDefault="00506AA8" w:rsidP="00506AA8">
      <w:pPr>
        <w:spacing w:after="0" w:line="276" w:lineRule="auto"/>
        <w:ind w:left="720" w:right="731"/>
        <w:jc w:val="both"/>
        <w:rPr>
          <w:rFonts w:ascii="Verdana" w:eastAsia="Calibri" w:hAnsi="Verdana" w:cs="Arial"/>
          <w:bCs/>
          <w:color w:val="000000" w:themeColor="text1"/>
          <w:lang w:val="es-ES"/>
        </w:rPr>
      </w:pPr>
    </w:p>
    <w:p w14:paraId="1E5CF7D0" w14:textId="77777777" w:rsidR="00506AA8" w:rsidRDefault="00506AA8" w:rsidP="005D3AD1">
      <w:pPr>
        <w:spacing w:after="120" w:line="276" w:lineRule="auto"/>
        <w:ind w:firstLine="709"/>
        <w:contextualSpacing/>
        <w:jc w:val="both"/>
        <w:rPr>
          <w:rFonts w:ascii="Verdana" w:hAnsi="Verdana" w:cs="Arial"/>
          <w:color w:val="000000" w:themeColor="text1"/>
          <w:lang w:val="es-ES"/>
        </w:rPr>
      </w:pPr>
      <w:r w:rsidRPr="002B61C0">
        <w:rPr>
          <w:rFonts w:ascii="Verdana" w:eastAsia="Calibri" w:hAnsi="Verdana" w:cs="Arial"/>
          <w:bCs/>
          <w:color w:val="000000" w:themeColor="text1"/>
          <w:lang w:val="es-ES"/>
        </w:rPr>
        <w:t>Como se observa, el artículo citado señala que el consorcio o la unión temporal se da “Cuando dos o más personas en forma conjunta presentan una misma propuesta para la adjudicación, celebración y ejecución de un contrato […]”.</w:t>
      </w:r>
      <w:r w:rsidRPr="002B61C0">
        <w:rPr>
          <w:rFonts w:ascii="Verdana" w:hAnsi="Verdana" w:cs="Arial"/>
          <w:color w:val="000000" w:themeColor="text1"/>
          <w:lang w:val="es-ES"/>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w:t>
      </w:r>
    </w:p>
    <w:p w14:paraId="6F9B9AEF" w14:textId="77777777" w:rsidR="00506AA8" w:rsidRDefault="00506AA8" w:rsidP="005D3AD1">
      <w:pPr>
        <w:spacing w:after="120" w:line="276" w:lineRule="auto"/>
        <w:ind w:firstLine="709"/>
        <w:contextualSpacing/>
        <w:jc w:val="both"/>
        <w:rPr>
          <w:rFonts w:ascii="Verdana" w:hAnsi="Verdana" w:cs="Arial"/>
          <w:color w:val="000000" w:themeColor="text1"/>
          <w:lang w:val="es-ES"/>
        </w:rPr>
      </w:pPr>
    </w:p>
    <w:p w14:paraId="3F93C1C1" w14:textId="77777777" w:rsidR="00506AA8" w:rsidRDefault="00506AA8" w:rsidP="005D3AD1">
      <w:pPr>
        <w:spacing w:after="120" w:line="276" w:lineRule="auto"/>
        <w:ind w:firstLine="709"/>
        <w:contextualSpacing/>
        <w:jc w:val="both"/>
        <w:rPr>
          <w:rFonts w:ascii="Verdana" w:hAnsi="Verdana" w:cs="Arial"/>
          <w:color w:val="000000" w:themeColor="text1"/>
          <w:lang w:val="es-ES"/>
        </w:rPr>
      </w:pPr>
      <w:r w:rsidRPr="002B61C0">
        <w:rPr>
          <w:rFonts w:ascii="Verdana" w:hAnsi="Verdana" w:cs="Arial"/>
          <w:color w:val="000000" w:themeColor="text1"/>
          <w:lang w:val="es-ES"/>
        </w:rPr>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227CD76A" w14:textId="77777777" w:rsidR="00506AA8" w:rsidRDefault="00506AA8" w:rsidP="005D3AD1">
      <w:pPr>
        <w:spacing w:after="120" w:line="276" w:lineRule="auto"/>
        <w:ind w:firstLine="709"/>
        <w:contextualSpacing/>
        <w:jc w:val="both"/>
        <w:rPr>
          <w:rFonts w:ascii="Verdana" w:hAnsi="Verdana" w:cs="Arial"/>
          <w:color w:val="000000" w:themeColor="text1"/>
          <w:lang w:val="es-ES"/>
        </w:rPr>
      </w:pPr>
    </w:p>
    <w:p w14:paraId="3EA05800" w14:textId="77777777" w:rsidR="005D3AD1" w:rsidRDefault="00506AA8" w:rsidP="005D3AD1">
      <w:pPr>
        <w:spacing w:after="120" w:line="276" w:lineRule="auto"/>
        <w:ind w:firstLine="709"/>
        <w:contextualSpacing/>
        <w:jc w:val="both"/>
        <w:rPr>
          <w:rFonts w:ascii="Verdana" w:hAnsi="Verdana" w:cs="Arial"/>
          <w:color w:val="000000" w:themeColor="text1"/>
          <w:lang w:val="es-ES"/>
        </w:rPr>
      </w:pPr>
      <w:r w:rsidRPr="002B61C0">
        <w:rPr>
          <w:rFonts w:ascii="Verdana" w:hAnsi="Verdana" w:cs="Arial"/>
          <w:color w:val="000000" w:themeColor="text1"/>
          <w:lang w:val="es-ES"/>
        </w:rPr>
        <w:lastRenderedPageBreak/>
        <w:t xml:space="preserve">En conclusión, </w:t>
      </w:r>
      <w:bookmarkStart w:id="3" w:name="_Hlk170989338"/>
      <w:r w:rsidRPr="002B61C0">
        <w:rPr>
          <w:rFonts w:ascii="Verdana" w:hAnsi="Verdana" w:cs="Arial"/>
          <w:color w:val="000000" w:themeColor="text1"/>
          <w:lang w:val="es-ES"/>
        </w:rPr>
        <w:t>la capacidad jurídica de los proponentes plurales se limita al campo de la contratación estatal de las entidades sometidas al EGCAP, es decir, a las relaciones en consorcios y las uniones temporales con las entidades estatales del artículo 2 de la Ley 80 de 1993. Esta precisión es importante, porque la habilitación de los numerales 6 y 7 del artículo 7 de la Ley 80 de 1993 se restringe a las actividades allí dispuestas sin que se extienda, por ejemplo, a la celebración de contratos de fiducia, cesiones de crédito, cesiones de contrato o subcontratos. En estos casos, la celebración de dichos negocios jurídicos no corresponde a la estructura plural, sino a todos sus integrantes de forma conjunta. Es decir, fuera de las actividades descritas en el EGCAP, son los participantes –no estructura plural– los que tienen personería y capacidad para actuar.</w:t>
      </w:r>
    </w:p>
    <w:p w14:paraId="17200B24" w14:textId="1159D72B" w:rsidR="00506AA8" w:rsidRPr="002B61C0" w:rsidRDefault="00506AA8" w:rsidP="005D3AD1">
      <w:pPr>
        <w:spacing w:after="120" w:line="276" w:lineRule="auto"/>
        <w:ind w:firstLine="709"/>
        <w:contextualSpacing/>
        <w:jc w:val="both"/>
        <w:rPr>
          <w:rFonts w:ascii="Verdana" w:hAnsi="Verdana" w:cs="Arial"/>
          <w:color w:val="000000" w:themeColor="text1"/>
          <w:lang w:val="es-ES"/>
        </w:rPr>
      </w:pPr>
      <w:r w:rsidRPr="002B61C0">
        <w:rPr>
          <w:rFonts w:ascii="Verdana" w:eastAsia="Calibri" w:hAnsi="Verdana" w:cs="Arial"/>
          <w:color w:val="000000" w:themeColor="text1"/>
          <w:lang w:val="es-ES"/>
        </w:rPr>
        <w:t xml:space="preserve">De lo anterior se concluye que: i) los consorcios tienen capacidad jurídica a pesar de no tener personería jurídica porque la ley así lo determinó, y para tener capacidad jurídica no es requisito ser persona, </w:t>
      </w:r>
      <w:proofErr w:type="spellStart"/>
      <w:r w:rsidRPr="002B61C0">
        <w:rPr>
          <w:rFonts w:ascii="Verdana" w:eastAsia="Calibri" w:hAnsi="Verdana" w:cs="Arial"/>
          <w:color w:val="000000" w:themeColor="text1"/>
          <w:lang w:val="es-ES"/>
        </w:rPr>
        <w:t>ii</w:t>
      </w:r>
      <w:proofErr w:type="spellEnd"/>
      <w:r w:rsidRPr="002B61C0">
        <w:rPr>
          <w:rFonts w:ascii="Verdana" w:eastAsia="Calibri" w:hAnsi="Verdana" w:cs="Arial"/>
          <w:color w:val="000000" w:themeColor="text1"/>
          <w:lang w:val="es-ES"/>
        </w:rPr>
        <w:t xml:space="preserve">) la capacidad para obrar como demandante en el Código Contencioso Administrativo (ahora Código de Procedimiento Administrativo y de lo Contencioso Administrativo) no exige personalidad jurídica independiente, </w:t>
      </w:r>
      <w:proofErr w:type="spellStart"/>
      <w:r w:rsidRPr="002B61C0">
        <w:rPr>
          <w:rFonts w:ascii="Verdana" w:eastAsia="Calibri" w:hAnsi="Verdana" w:cs="Arial"/>
          <w:color w:val="000000" w:themeColor="text1"/>
          <w:lang w:val="es-ES"/>
        </w:rPr>
        <w:t>iii</w:t>
      </w:r>
      <w:proofErr w:type="spellEnd"/>
      <w:r w:rsidRPr="002B61C0">
        <w:rPr>
          <w:rFonts w:ascii="Verdana" w:eastAsia="Calibri" w:hAnsi="Verdana" w:cs="Arial"/>
          <w:color w:val="000000" w:themeColor="text1"/>
          <w:lang w:val="es-ES"/>
        </w:rPr>
        <w:t xml:space="preserve">) la personería jurídica no es un requisito para ejercer acciones judiciales, </w:t>
      </w:r>
      <w:proofErr w:type="spellStart"/>
      <w:r w:rsidRPr="002B61C0">
        <w:rPr>
          <w:rFonts w:ascii="Verdana" w:eastAsia="Calibri" w:hAnsi="Verdana" w:cs="Arial"/>
          <w:color w:val="000000" w:themeColor="text1"/>
          <w:lang w:val="es-ES"/>
        </w:rPr>
        <w:t>iv</w:t>
      </w:r>
      <w:proofErr w:type="spellEnd"/>
      <w:r w:rsidRPr="002B61C0">
        <w:rPr>
          <w:rFonts w:ascii="Verdana" w:eastAsia="Calibri" w:hAnsi="Verdana" w:cs="Arial"/>
          <w:color w:val="000000" w:themeColor="text1"/>
          <w:lang w:val="es-ES"/>
        </w:rPr>
        <w:t xml:space="preserve">) la capacidad jurídica otorgada por la Ley 80 de 1993 a los proponentes plurales proyecta sus efectos en el campo procesal para ser parte en procesos judiciales relacionados con los procedimientos de selección contractual o con el contrato estatal propiamente, ya que sería contradictorio que tuvieran capacidad jurídica para celebrar contratos pero no para defender los derechos y obligaciones derivados de estos en el ámbito judicial, v) el legislador no limitó el alcance de las facultades del representante legal de un consorcio, por lo que la jurisprudencia no puede limitar la representación legal a la celebración y ejecución del contrato estatal, y </w:t>
      </w:r>
      <w:proofErr w:type="spellStart"/>
      <w:r w:rsidRPr="002B61C0">
        <w:rPr>
          <w:rFonts w:ascii="Verdana" w:eastAsia="Calibri" w:hAnsi="Verdana" w:cs="Arial"/>
          <w:color w:val="000000" w:themeColor="text1"/>
          <w:lang w:val="es-ES"/>
        </w:rPr>
        <w:t>iv</w:t>
      </w:r>
      <w:proofErr w:type="spellEnd"/>
      <w:r w:rsidRPr="002B61C0">
        <w:rPr>
          <w:rFonts w:ascii="Verdana" w:eastAsia="Calibri" w:hAnsi="Verdana" w:cs="Arial"/>
          <w:color w:val="000000" w:themeColor="text1"/>
          <w:lang w:val="es-ES"/>
        </w:rPr>
        <w:t>) la rectificación jurisprudencial no se opone a que los integrantes del proponente plural, individualmente considerados, comparezcan a los procesos judiciales.</w:t>
      </w:r>
    </w:p>
    <w:p w14:paraId="43583513" w14:textId="77777777" w:rsidR="00506AA8" w:rsidRDefault="00506AA8" w:rsidP="00506AA8">
      <w:pPr>
        <w:spacing w:after="120" w:line="276" w:lineRule="auto"/>
        <w:jc w:val="both"/>
        <w:rPr>
          <w:rFonts w:ascii="Verdana" w:hAnsi="Verdana" w:cs="Arial"/>
          <w:color w:val="000000" w:themeColor="text1"/>
          <w:lang w:val="es-ES"/>
        </w:rPr>
      </w:pPr>
    </w:p>
    <w:p w14:paraId="29F9014E" w14:textId="77777777" w:rsidR="00506AA8" w:rsidRDefault="00506AA8" w:rsidP="00506AA8">
      <w:pPr>
        <w:spacing w:after="120" w:line="276" w:lineRule="auto"/>
        <w:jc w:val="both"/>
        <w:rPr>
          <w:rFonts w:ascii="Verdana" w:eastAsia="Calibri" w:hAnsi="Verdana" w:cs="Arial"/>
          <w:color w:val="000000"/>
          <w:lang w:eastAsia="es-ES_tradnl"/>
        </w:rPr>
      </w:pPr>
      <w:r>
        <w:rPr>
          <w:rFonts w:ascii="Verdana" w:hAnsi="Verdana" w:cs="Arial"/>
          <w:color w:val="000000" w:themeColor="text1"/>
          <w:lang w:val="es-ES"/>
        </w:rPr>
        <w:t xml:space="preserve">II). </w:t>
      </w:r>
      <w:r>
        <w:rPr>
          <w:rFonts w:ascii="Verdana" w:eastAsia="Calibri" w:hAnsi="Verdana" w:cs="Arial"/>
          <w:color w:val="000000"/>
          <w:lang w:eastAsia="es-ES_tradnl"/>
        </w:rPr>
        <w:t xml:space="preserve">En cuanto a la subcontratación, según la definición de la Real Academia de la Lengua Española, subcontratar es: </w:t>
      </w:r>
      <w:r w:rsidRPr="00C369AB">
        <w:rPr>
          <w:rFonts w:ascii="Verdana" w:eastAsia="Calibri" w:hAnsi="Verdana" w:cs="Arial"/>
          <w:i/>
          <w:iCs/>
          <w:color w:val="000000"/>
          <w:lang w:eastAsia="es-ES_tradnl"/>
        </w:rPr>
        <w:t xml:space="preserve">Dicho del adjudicatario de una contrata: </w:t>
      </w:r>
      <w:r w:rsidRPr="00C369AB">
        <w:rPr>
          <w:rFonts w:ascii="Verdana" w:eastAsia="Calibri" w:hAnsi="Verdana" w:cs="Arial"/>
          <w:i/>
          <w:iCs/>
          <w:color w:val="000000"/>
          <w:lang w:eastAsia="es-ES_tradnl"/>
        </w:rPr>
        <w:lastRenderedPageBreak/>
        <w:t>Firmar un contrato con otra persona o con otra empresa para que realice trabajos relacionados con la contrata original</w:t>
      </w:r>
      <w:r>
        <w:rPr>
          <w:rStyle w:val="Refdenotaalpie"/>
          <w:rFonts w:ascii="Verdana" w:eastAsia="Calibri" w:hAnsi="Verdana" w:cs="Arial"/>
          <w:i/>
          <w:iCs/>
          <w:color w:val="000000"/>
          <w:lang w:eastAsia="es-ES_tradnl"/>
        </w:rPr>
        <w:footnoteReference w:id="3"/>
      </w:r>
      <w:r>
        <w:rPr>
          <w:rFonts w:ascii="Verdana" w:eastAsia="Calibri" w:hAnsi="Verdana" w:cs="Arial"/>
          <w:color w:val="000000"/>
          <w:lang w:eastAsia="es-ES_tradnl"/>
        </w:rPr>
        <w:t xml:space="preserve">. </w:t>
      </w:r>
    </w:p>
    <w:p w14:paraId="50B3DA49"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La figura jurídica de la subcontratación no ha tenido un desarrollo regulatorio sustancial en el derecho colombiano. Aunque en materia de contratación estatal hay algunas referencias a esta institución en las Leyes 80 de 1993</w:t>
      </w:r>
      <w:r w:rsidRPr="00043FE7">
        <w:rPr>
          <w:rFonts w:ascii="Verdana" w:eastAsia="Calibri" w:hAnsi="Verdana" w:cs="Arial"/>
          <w:color w:val="000000"/>
          <w:vertAlign w:val="superscript"/>
          <w:lang w:eastAsia="es-ES_tradnl"/>
        </w:rPr>
        <w:footnoteReference w:id="4"/>
      </w:r>
      <w:r w:rsidRPr="00043FE7">
        <w:rPr>
          <w:rFonts w:ascii="Verdana" w:eastAsia="Calibri" w:hAnsi="Verdana" w:cs="Arial"/>
          <w:color w:val="000000"/>
          <w:vertAlign w:val="superscript"/>
          <w:lang w:eastAsia="es-ES_tradnl"/>
        </w:rPr>
        <w:t xml:space="preserve"> </w:t>
      </w:r>
      <w:r w:rsidRPr="00043FE7">
        <w:rPr>
          <w:rFonts w:ascii="Verdana" w:eastAsia="Calibri" w:hAnsi="Verdana" w:cs="Arial"/>
          <w:color w:val="000000"/>
          <w:lang w:eastAsia="es-ES_tradnl"/>
        </w:rPr>
        <w:t>y 1150 de 2007</w:t>
      </w:r>
      <w:r w:rsidRPr="00043FE7">
        <w:rPr>
          <w:rFonts w:ascii="Verdana" w:eastAsia="Calibri" w:hAnsi="Verdana" w:cs="Arial"/>
          <w:color w:val="000000"/>
          <w:vertAlign w:val="superscript"/>
          <w:lang w:eastAsia="es-ES_tradnl"/>
        </w:rPr>
        <w:footnoteReference w:id="5"/>
      </w:r>
      <w:r w:rsidRPr="00043FE7">
        <w:rPr>
          <w:rFonts w:ascii="Verdana" w:eastAsia="Calibri" w:hAnsi="Verdana" w:cs="Arial"/>
          <w:color w:val="000000"/>
          <w:lang w:eastAsia="es-ES_tradnl"/>
        </w:rPr>
        <w:t>, así como en el Decreto 1082 de 2015</w:t>
      </w:r>
      <w:r w:rsidRPr="00043FE7">
        <w:rPr>
          <w:rFonts w:ascii="Verdana" w:eastAsia="Calibri" w:hAnsi="Verdana" w:cs="Arial"/>
          <w:color w:val="000000"/>
          <w:vertAlign w:val="superscript"/>
          <w:lang w:eastAsia="es-ES_tradnl"/>
        </w:rPr>
        <w:footnoteReference w:id="6"/>
      </w:r>
      <w:r w:rsidRPr="00043FE7">
        <w:rPr>
          <w:rFonts w:ascii="Verdana" w:eastAsia="Calibri" w:hAnsi="Verdana" w:cs="Arial"/>
          <w:color w:val="000000"/>
          <w:lang w:eastAsia="es-ES_tradnl"/>
        </w:rPr>
        <w:t xml:space="preserve">, y en </w:t>
      </w:r>
      <w:r w:rsidRPr="00043FE7">
        <w:rPr>
          <w:rFonts w:ascii="Verdana" w:eastAsia="Calibri" w:hAnsi="Verdana" w:cs="Arial"/>
          <w:color w:val="000000"/>
          <w:lang w:val="es-ES" w:eastAsia="es-ES_tradnl"/>
        </w:rPr>
        <w:t>el Decreto 092 de 2017</w:t>
      </w:r>
      <w:r w:rsidRPr="00043FE7">
        <w:rPr>
          <w:rFonts w:ascii="Verdana" w:eastAsia="Calibri" w:hAnsi="Verdana" w:cs="Arial"/>
          <w:color w:val="000000"/>
          <w:vertAlign w:val="superscript"/>
          <w:lang w:val="es-ES" w:eastAsia="es-ES_tradnl"/>
        </w:rPr>
        <w:footnoteReference w:id="7"/>
      </w:r>
      <w:r w:rsidRPr="00043FE7">
        <w:rPr>
          <w:rFonts w:ascii="Verdana" w:eastAsia="Calibri" w:hAnsi="Verdana" w:cs="Arial"/>
          <w:color w:val="000000"/>
          <w:lang w:val="es-ES" w:eastAsia="es-ES_tradnl"/>
        </w:rPr>
        <w:t xml:space="preserve">, </w:t>
      </w:r>
      <w:r w:rsidRPr="00043FE7">
        <w:rPr>
          <w:rFonts w:ascii="Verdana" w:eastAsia="Calibri" w:hAnsi="Verdana" w:cs="Arial"/>
          <w:color w:val="000000"/>
          <w:lang w:eastAsia="es-ES_tradnl"/>
        </w:rPr>
        <w:t xml:space="preserve">el ordenamiento jurídico carece de una disposición legal que brinde una definición de subcontratación. Sin embargo, la jurisprudencia y la doctrina se han encargado de estudiar y analizar la naturaleza de esta figura y han construido los elementos y características propias de la subcontratación. </w:t>
      </w:r>
    </w:p>
    <w:p w14:paraId="1ECA1144"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La doctrina ha analizado la subcontratación en la contratación estatal, señalando que “supone la celebración de un contrato eventual y accesorio, entre un contratista del Estado y un tercero, sin que aquel tenga el deber, por regla general, de agotar un procedimiento previo de selección, por medio del cual el segundo sustituye parcial y materialmente al primero, quien conserva la dirección general del proyecto y es responsable ante la entidad estatal contratante por el cumplimiento íntegro de las obligaciones derivadas del </w:t>
      </w:r>
      <w:r w:rsidRPr="00043FE7">
        <w:rPr>
          <w:rFonts w:ascii="Verdana" w:eastAsia="Calibri" w:hAnsi="Verdana" w:cs="Arial"/>
          <w:color w:val="000000"/>
          <w:lang w:eastAsia="es-ES_tradnl"/>
        </w:rPr>
        <w:lastRenderedPageBreak/>
        <w:t>contrato adjudicado”</w:t>
      </w:r>
      <w:r w:rsidRPr="00043FE7">
        <w:rPr>
          <w:rFonts w:ascii="Verdana" w:eastAsia="Calibri" w:hAnsi="Verdana" w:cs="Arial"/>
          <w:color w:val="000000"/>
          <w:vertAlign w:val="superscript"/>
          <w:lang w:eastAsia="es-ES_tradnl"/>
        </w:rPr>
        <w:footnoteReference w:id="8"/>
      </w:r>
      <w:r w:rsidRPr="00043FE7">
        <w:rPr>
          <w:rFonts w:ascii="Verdana" w:eastAsia="Calibri" w:hAnsi="Verdana" w:cs="Arial"/>
          <w:color w:val="000000"/>
          <w:lang w:eastAsia="es-ES_tradnl"/>
        </w:rPr>
        <w:t>. En el ámbito internacional se ha entendido a la subcontratación como “La práctica mercantil de organización productiva en virtud de la cual el contratista o subcontratista encarga a otro subcontratista o trabajador autónomo parte de lo que a él se le ha encomendado”</w:t>
      </w:r>
      <w:r w:rsidRPr="00043FE7">
        <w:rPr>
          <w:rFonts w:ascii="Verdana" w:eastAsia="Calibri" w:hAnsi="Verdana" w:cs="Arial"/>
          <w:color w:val="000000"/>
          <w:vertAlign w:val="superscript"/>
          <w:lang w:eastAsia="es-ES_tradnl"/>
        </w:rPr>
        <w:footnoteReference w:id="9"/>
      </w:r>
      <w:r w:rsidRPr="00043FE7">
        <w:rPr>
          <w:rFonts w:ascii="Verdana" w:eastAsia="Calibri" w:hAnsi="Verdana" w:cs="Arial"/>
          <w:color w:val="000000"/>
          <w:vertAlign w:val="superscript"/>
          <w:lang w:eastAsia="es-ES_tradnl"/>
        </w:rPr>
        <w:t>.</w:t>
      </w:r>
      <w:r w:rsidRPr="00043FE7">
        <w:rPr>
          <w:rFonts w:ascii="Verdana" w:eastAsia="Calibri" w:hAnsi="Verdana" w:cs="Arial"/>
          <w:color w:val="000000"/>
          <w:lang w:eastAsia="es-ES_tradnl"/>
        </w:rPr>
        <w:t xml:space="preserve"> En el marco de esta figura, se define el nivel de subcontratación como “Cada uno de los escalones en que se estructura el proceso de subcontratación que se desarrolla para la ejecución de la totalidad o parte de la obra asumida contractualmente por el contratista con el promotor”</w:t>
      </w:r>
      <w:r w:rsidRPr="00043FE7">
        <w:rPr>
          <w:rFonts w:ascii="Verdana" w:eastAsia="Calibri" w:hAnsi="Verdana" w:cs="Arial"/>
          <w:color w:val="000000"/>
          <w:vertAlign w:val="superscript"/>
          <w:lang w:eastAsia="es-ES_tradnl"/>
        </w:rPr>
        <w:footnoteReference w:id="10"/>
      </w:r>
      <w:r w:rsidRPr="00043FE7">
        <w:rPr>
          <w:rFonts w:ascii="Verdana" w:eastAsia="Calibri" w:hAnsi="Verdana" w:cs="Arial"/>
          <w:color w:val="000000"/>
          <w:lang w:eastAsia="es-ES_tradnl"/>
        </w:rPr>
        <w:t xml:space="preserve">. </w:t>
      </w:r>
    </w:p>
    <w:p w14:paraId="49052303"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Por su parte, la Sección Tercera del Consejo de Estado, en Sentencia del 12 de agosto de 2013</w:t>
      </w:r>
      <w:r w:rsidRPr="00043FE7">
        <w:rPr>
          <w:rFonts w:ascii="Verdana" w:eastAsia="Calibri" w:hAnsi="Verdana" w:cs="Arial"/>
          <w:color w:val="000000"/>
          <w:vertAlign w:val="superscript"/>
          <w:lang w:eastAsia="es-ES_tradnl"/>
        </w:rPr>
        <w:footnoteReference w:id="11"/>
      </w:r>
      <w:r w:rsidRPr="00043FE7">
        <w:rPr>
          <w:rFonts w:ascii="Verdana" w:eastAsia="Calibri" w:hAnsi="Verdana" w:cs="Arial"/>
          <w:color w:val="000000"/>
          <w:lang w:eastAsia="es-ES_tradnl"/>
        </w:rPr>
        <w:t xml:space="preserve">, estructuró la definición y naturaleza del subcontrato reiterando lo señalado por la doctrina. Al respecto, indicó: </w:t>
      </w:r>
    </w:p>
    <w:p w14:paraId="651D049A" w14:textId="77777777" w:rsidR="00506AA8" w:rsidRPr="00591B48" w:rsidRDefault="00506AA8" w:rsidP="00506AA8">
      <w:pPr>
        <w:spacing w:after="0" w:line="240" w:lineRule="auto"/>
        <w:ind w:left="709" w:right="618"/>
        <w:jc w:val="both"/>
        <w:rPr>
          <w:rFonts w:ascii="Verdana" w:eastAsia="Calibri" w:hAnsi="Verdana" w:cs="Arial"/>
          <w:color w:val="000000"/>
          <w:sz w:val="20"/>
          <w:szCs w:val="20"/>
          <w:lang w:eastAsia="es-ES_tradnl"/>
        </w:rPr>
      </w:pPr>
      <w:r w:rsidRPr="00FF5128">
        <w:rPr>
          <w:rFonts w:ascii="Verdana" w:eastAsia="Calibri" w:hAnsi="Verdana" w:cs="Arial"/>
          <w:color w:val="000000"/>
          <w:sz w:val="20"/>
          <w:szCs w:val="20"/>
          <w:lang w:eastAsia="es-ES_tradnl"/>
        </w:rPr>
        <w:t>“Esta institución hace surgir una relación jurídica autónoma entre el contratista del Estado y el sub contratista, es decir, independiente de la relación que preexiste entre el Estado y el contratista. En este sentido, las obligaciones que adquiere el sub contratista con el contratista sólo son exigibles entre ellos, y no vinculan a la entidad estatal –contratante-, en virtud del principio de relatividad del contrato –sólo produce efectos para las partes, no para terceros-, pero sin que ello limite o restrinja a la entidad estatal en la dirección general para ejercer el control y vigilancia de la ejecución del contrato, a que se refiere el artículo 14 de la Ley 80</w:t>
      </w:r>
      <w:r>
        <w:rPr>
          <w:rFonts w:ascii="Verdana" w:eastAsia="Calibri" w:hAnsi="Verdana" w:cs="Arial"/>
          <w:color w:val="000000"/>
          <w:sz w:val="20"/>
          <w:szCs w:val="20"/>
          <w:lang w:eastAsia="es-ES_tradnl"/>
        </w:rPr>
        <w:t>”</w:t>
      </w:r>
      <w:r w:rsidRPr="00FF5128">
        <w:rPr>
          <w:rFonts w:ascii="Verdana" w:eastAsia="Calibri" w:hAnsi="Verdana" w:cs="Arial"/>
          <w:color w:val="000000"/>
          <w:sz w:val="20"/>
          <w:szCs w:val="20"/>
          <w:lang w:eastAsia="es-ES_tradnl"/>
        </w:rPr>
        <w:t xml:space="preserve">. </w:t>
      </w:r>
    </w:p>
    <w:p w14:paraId="254671F9" w14:textId="77777777" w:rsidR="00506AA8" w:rsidRPr="00FF5128" w:rsidRDefault="00506AA8" w:rsidP="00506AA8">
      <w:pPr>
        <w:spacing w:after="0" w:line="240" w:lineRule="auto"/>
        <w:ind w:left="708" w:right="616"/>
        <w:jc w:val="both"/>
        <w:rPr>
          <w:rFonts w:ascii="Verdana" w:eastAsia="Calibri" w:hAnsi="Verdana" w:cs="Arial"/>
          <w:color w:val="000000"/>
          <w:sz w:val="20"/>
          <w:szCs w:val="20"/>
          <w:lang w:eastAsia="es-ES_tradnl"/>
        </w:rPr>
      </w:pPr>
      <w:r w:rsidRPr="00FF5128">
        <w:rPr>
          <w:rFonts w:ascii="Verdana" w:eastAsia="Calibri" w:hAnsi="Verdana" w:cs="Arial"/>
          <w:color w:val="000000"/>
          <w:sz w:val="20"/>
          <w:szCs w:val="20"/>
          <w:lang w:eastAsia="es-ES_tradnl"/>
        </w:rPr>
        <w:t>En este sentido, el contratista conserva frente a la entidad pública la responsabilidad por la ejecución del contrato, así que desde el punto de vista subjetivo la sub contratación es material y no jurídica, porque traslada el cumplimiento del contrato a un tercero, pero no sustituye al contratista.</w:t>
      </w:r>
    </w:p>
    <w:p w14:paraId="1A8F11C2" w14:textId="77777777" w:rsidR="00506AA8" w:rsidRDefault="00506AA8" w:rsidP="00506AA8">
      <w:pPr>
        <w:spacing w:after="0" w:line="240" w:lineRule="auto"/>
        <w:ind w:left="708" w:right="616"/>
        <w:jc w:val="both"/>
        <w:rPr>
          <w:rFonts w:ascii="Verdana" w:eastAsia="Calibri" w:hAnsi="Verdana" w:cs="Arial"/>
          <w:color w:val="000000"/>
          <w:sz w:val="20"/>
          <w:szCs w:val="20"/>
          <w:lang w:eastAsia="es-ES_tradnl"/>
        </w:rPr>
      </w:pPr>
    </w:p>
    <w:p w14:paraId="7DA91112" w14:textId="77777777" w:rsidR="00506AA8" w:rsidRDefault="00506AA8" w:rsidP="00506AA8">
      <w:pPr>
        <w:spacing w:after="0" w:line="240" w:lineRule="auto"/>
        <w:ind w:left="708" w:right="616"/>
        <w:jc w:val="both"/>
        <w:rPr>
          <w:rFonts w:ascii="Verdana" w:eastAsia="Calibri" w:hAnsi="Verdana" w:cs="Arial"/>
          <w:color w:val="000000"/>
          <w:sz w:val="20"/>
          <w:szCs w:val="20"/>
          <w:lang w:eastAsia="es-ES_tradnl"/>
        </w:rPr>
      </w:pPr>
      <w:r w:rsidRPr="00FF5128">
        <w:rPr>
          <w:rFonts w:ascii="Verdana" w:eastAsia="Calibri" w:hAnsi="Verdana" w:cs="Arial"/>
          <w:color w:val="000000"/>
          <w:sz w:val="20"/>
          <w:szCs w:val="20"/>
          <w:lang w:eastAsia="es-ES_tradnl"/>
        </w:rPr>
        <w:t xml:space="preserve">La Subcontratación es la celebración de un contrato accesorio a otro principal, entre un contratista del Estado y un tercero, en virtud del cual el subcontratista o tercero sustituye parcial y materialmente al primero, quien conserva la dirección general del proyecto y es responsable ante la entidad estatal contratante por el cumplimiento íntegro de las obligaciones derivadas del contrato adjudicado. Esta institución hace surgir una relación </w:t>
      </w:r>
      <w:r w:rsidRPr="00FF5128">
        <w:rPr>
          <w:rFonts w:ascii="Verdana" w:eastAsia="Calibri" w:hAnsi="Verdana" w:cs="Arial"/>
          <w:color w:val="000000"/>
          <w:sz w:val="20"/>
          <w:szCs w:val="20"/>
          <w:lang w:eastAsia="es-ES_tradnl"/>
        </w:rPr>
        <w:lastRenderedPageBreak/>
        <w:t>jurídica autónoma entre el contratista del Estado y el subcontratista, es decir, independiente de la relación que preexiste entre el Estado y el contratista. En este sentido, las obligaciones que adquiere el sub contratista con el contratista sólo son exigibles entre ellos, y no vinculan a la entidad estatal –contratante-, en virtud del principio de relatividad del contrato –sólo produce efectos para las partes, no para terceros-, pero sin que ello limite o restrinja a la entidad estatal en la dirección general para ejercer el control y vigilancia de la ejecución del contrato, a que se refiere el artículo 14 de la Ley 80”.</w:t>
      </w:r>
    </w:p>
    <w:p w14:paraId="5A00D852" w14:textId="77777777" w:rsidR="00506AA8" w:rsidRPr="00FF5128" w:rsidRDefault="00506AA8" w:rsidP="00506AA8">
      <w:pPr>
        <w:spacing w:after="0" w:line="240" w:lineRule="auto"/>
        <w:ind w:left="708" w:right="616"/>
        <w:jc w:val="both"/>
        <w:rPr>
          <w:rFonts w:ascii="Verdana" w:eastAsia="Calibri" w:hAnsi="Verdana" w:cs="Arial"/>
          <w:color w:val="000000"/>
          <w:sz w:val="20"/>
          <w:szCs w:val="20"/>
          <w:lang w:eastAsia="es-ES_tradnl"/>
        </w:rPr>
      </w:pPr>
    </w:p>
    <w:p w14:paraId="6D77BA7F"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De lo expuesto se resaltan, como características esenciales de la subcontratación, las siguientes: i) es un contrato eventual, </w:t>
      </w:r>
      <w:proofErr w:type="spellStart"/>
      <w:r w:rsidRPr="00043FE7">
        <w:rPr>
          <w:rFonts w:ascii="Verdana" w:eastAsia="Calibri" w:hAnsi="Verdana" w:cs="Arial"/>
          <w:color w:val="000000"/>
          <w:lang w:eastAsia="es-ES_tradnl"/>
        </w:rPr>
        <w:t>ii</w:t>
      </w:r>
      <w:proofErr w:type="spellEnd"/>
      <w:r w:rsidRPr="00043FE7">
        <w:rPr>
          <w:rFonts w:ascii="Verdana" w:eastAsia="Calibri" w:hAnsi="Verdana" w:cs="Arial"/>
          <w:color w:val="000000"/>
          <w:lang w:eastAsia="es-ES_tradnl"/>
        </w:rPr>
        <w:t xml:space="preserve">) es un contrato accesorio, pues asegura el cumplimiento de otro contrato –principal–, </w:t>
      </w:r>
      <w:proofErr w:type="spellStart"/>
      <w:r w:rsidRPr="00043FE7">
        <w:rPr>
          <w:rFonts w:ascii="Verdana" w:eastAsia="Calibri" w:hAnsi="Verdana" w:cs="Arial"/>
          <w:color w:val="000000"/>
          <w:lang w:eastAsia="es-ES_tradnl"/>
        </w:rPr>
        <w:t>iii</w:t>
      </w:r>
      <w:proofErr w:type="spellEnd"/>
      <w:r w:rsidRPr="00043FE7">
        <w:rPr>
          <w:rFonts w:ascii="Verdana" w:eastAsia="Calibri" w:hAnsi="Verdana" w:cs="Arial"/>
          <w:color w:val="000000"/>
          <w:lang w:eastAsia="es-ES_tradnl"/>
        </w:rPr>
        <w:t xml:space="preserve">) la relación jurídica que surge entre el contratista del Estado y el tercero es independiente y autónoma de la entidad contratante, </w:t>
      </w:r>
      <w:proofErr w:type="spellStart"/>
      <w:r w:rsidRPr="00043FE7">
        <w:rPr>
          <w:rFonts w:ascii="Verdana" w:eastAsia="Calibri" w:hAnsi="Verdana" w:cs="Arial"/>
          <w:color w:val="000000"/>
          <w:lang w:eastAsia="es-ES_tradnl"/>
        </w:rPr>
        <w:t>iv</w:t>
      </w:r>
      <w:proofErr w:type="spellEnd"/>
      <w:r w:rsidRPr="00043FE7">
        <w:rPr>
          <w:rFonts w:ascii="Verdana" w:eastAsia="Calibri" w:hAnsi="Verdana" w:cs="Arial"/>
          <w:color w:val="000000"/>
          <w:lang w:eastAsia="es-ES_tradnl"/>
        </w:rPr>
        <w:t>) la sustitución es parcial, lo que significa que no podrán subcontratar la ejecución total del contrato principal y v) la sustitución es material y no jurídica; por lo tanto, no relevará al contratista del Estado de las responsabilidades emanadas del contrato principal.</w:t>
      </w:r>
    </w:p>
    <w:p w14:paraId="253A8BE1"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En este sentido, la subcontratación implica la celebración de un contrato derivado de otro principal cuyo propósito es ejecutar parcialmente este último. Dentro de este marco, podrían presentarse niveles de subcontratación, es decir, los escalones en que se estructura el proceso de subcontratación. Estos niveles no excluyen el carácter de contrato derivado de estos subcontratos, puesto que sus objetos se encuentran en función de la realización material del contrato principal. </w:t>
      </w:r>
    </w:p>
    <w:p w14:paraId="5215063D" w14:textId="77777777" w:rsidR="00506AA8" w:rsidRDefault="00506AA8" w:rsidP="00506AA8">
      <w:pPr>
        <w:spacing w:after="120" w:line="276" w:lineRule="auto"/>
        <w:ind w:firstLine="709"/>
        <w:jc w:val="both"/>
        <w:rPr>
          <w:rFonts w:ascii="Verdana" w:eastAsia="Calibri" w:hAnsi="Verdana" w:cs="Arial"/>
          <w:color w:val="000000"/>
          <w:lang w:val="es-ES" w:eastAsia="es-ES_tradnl"/>
        </w:rPr>
      </w:pPr>
      <w:r w:rsidRPr="00043FE7">
        <w:rPr>
          <w:rFonts w:ascii="Verdana" w:eastAsia="Calibri" w:hAnsi="Verdana" w:cs="Arial"/>
          <w:color w:val="000000"/>
          <w:lang w:val="es-ES" w:eastAsia="es-ES_tradnl"/>
        </w:rPr>
        <w:t>Debido a la escasa regulación normativa, la subcontratación en materia de contratación pública estará supeditada a lo dispuesto en el pliego de condiciones y en el contrato, sin perjuicio de las limitaciones establecidas por la ley</w:t>
      </w:r>
      <w:r w:rsidRPr="00043FE7">
        <w:rPr>
          <w:rFonts w:ascii="Verdana" w:eastAsia="Calibri" w:hAnsi="Verdana" w:cs="Arial"/>
          <w:color w:val="000000"/>
          <w:vertAlign w:val="superscript"/>
          <w:lang w:val="es-ES" w:eastAsia="es-ES_tradnl"/>
        </w:rPr>
        <w:footnoteReference w:id="12"/>
      </w:r>
      <w:r w:rsidRPr="00043FE7">
        <w:rPr>
          <w:rFonts w:ascii="Verdana" w:eastAsia="Calibri" w:hAnsi="Verdana" w:cs="Arial"/>
          <w:color w:val="000000"/>
          <w:lang w:val="es-ES" w:eastAsia="es-ES_tradnl"/>
        </w:rPr>
        <w:t xml:space="preserve">. De esta manera, su configuración dependerá de las condiciones definidas en el acuerdo de voluntades, de tal forma que, si esta no se permite para determinadas actividades, está sujeta a la autorización previa de la entidad o al cumplimiento de algún otro requisito, el contratista no podrá subcontratar sin su </w:t>
      </w:r>
      <w:r w:rsidRPr="00043FE7">
        <w:rPr>
          <w:rFonts w:ascii="Verdana" w:eastAsia="Calibri" w:hAnsi="Verdana" w:cs="Arial"/>
          <w:color w:val="000000"/>
          <w:lang w:val="es-ES" w:eastAsia="es-ES_tradnl"/>
        </w:rPr>
        <w:lastRenderedPageBreak/>
        <w:t xml:space="preserve">autorización o sin el cumplimiento de la condición establecida en el negocio jurídico. </w:t>
      </w:r>
    </w:p>
    <w:p w14:paraId="0B9D214A" w14:textId="77777777" w:rsidR="00506AA8" w:rsidRPr="00043FE7" w:rsidRDefault="00506AA8" w:rsidP="00506AA8">
      <w:pPr>
        <w:spacing w:after="120" w:line="276" w:lineRule="auto"/>
        <w:ind w:firstLine="709"/>
        <w:jc w:val="both"/>
        <w:rPr>
          <w:rFonts w:ascii="Verdana" w:eastAsia="Calibri" w:hAnsi="Verdana" w:cs="Arial"/>
          <w:color w:val="000000"/>
          <w:lang w:val="es-ES" w:eastAsia="es-ES_tradnl"/>
        </w:rPr>
      </w:pPr>
      <w:r w:rsidRPr="00043FE7">
        <w:rPr>
          <w:rFonts w:ascii="Verdana" w:eastAsia="Calibri" w:hAnsi="Verdana" w:cs="Arial"/>
          <w:color w:val="000000"/>
          <w:lang w:val="es-ES" w:eastAsia="es-ES_tradnl"/>
        </w:rPr>
        <w:t>Por su parte, si en el contrato no se estipula esta figura, se entiende que en principio está permitida y, por tanto, el contratista podrá subcontratar parcialmente con fundamento en la libertad de empresa, sin perjuicio de las limitaciones establecidas por ley.</w:t>
      </w:r>
    </w:p>
    <w:p w14:paraId="2612C02B"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Aunque el subcontrato es un contrato autónomo e independiente del contrato principal, en materia de contratación estatal, es recomendable –en ciertos eventos–, que las Entidades Estatales, exijan en el contrato la autorización previa y expresa para la subcontratación. Esto permite a la Entidad Estatal controlar las condiciones bajo las cuales se ejecutará el contrato, asegurar el cumplimiento de este bajo un esquema de transparencia y garantizar que no se infrinjan los principios de la contratación estatal. </w:t>
      </w:r>
    </w:p>
    <w:p w14:paraId="3862F283"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De esta manera, la autorización de la entidad contratante es importante –aunque no obligatoria de acuerdo con la ley– para que las actividades contratadas puedan ejecutarse de forma parcial por un tercero, sin que el contratista se desprenda de las responsabilidades derivadas del contrato. Por consiguiente, en el evento en que en el contrato principal se haya pactado dicha autorización, los subcontratos que se celebren deberán respetar esta estipulación, so pena de un posible incumplimiento del contrato. Así las cosas, </w:t>
      </w:r>
      <w:r w:rsidRPr="00043FE7">
        <w:rPr>
          <w:rFonts w:ascii="Verdana" w:eastAsia="Calibri" w:hAnsi="Verdana" w:cs="Arial"/>
          <w:bCs/>
          <w:color w:val="000000"/>
          <w:lang w:eastAsia="es-ES_tradnl"/>
        </w:rPr>
        <w:t>se colige que,</w:t>
      </w:r>
      <w:r w:rsidRPr="00043FE7">
        <w:rPr>
          <w:rFonts w:ascii="Verdana" w:eastAsia="Calibri" w:hAnsi="Verdana" w:cs="Arial"/>
          <w:color w:val="000000"/>
          <w:lang w:val="es-ES" w:eastAsia="es-ES_tradnl"/>
        </w:rPr>
        <w:t xml:space="preserve"> </w:t>
      </w:r>
      <w:bookmarkStart w:id="4" w:name="_Hlk113478384"/>
      <w:r w:rsidRPr="00043FE7">
        <w:rPr>
          <w:rFonts w:ascii="Verdana" w:eastAsia="Calibri" w:hAnsi="Verdana" w:cs="Arial"/>
          <w:color w:val="000000"/>
          <w:lang w:val="es-ES" w:eastAsia="es-ES_tradnl"/>
        </w:rPr>
        <w:t xml:space="preserve">aunque hay ausencia de regulación específica de la subcontratación, </w:t>
      </w:r>
      <w:r w:rsidRPr="00043FE7">
        <w:rPr>
          <w:rFonts w:ascii="Verdana" w:eastAsia="Calibri" w:hAnsi="Verdana" w:cs="Arial"/>
          <w:bCs/>
          <w:color w:val="000000"/>
          <w:lang w:eastAsia="es-ES_tradnl"/>
        </w:rPr>
        <w:t xml:space="preserve">esta no se encuentra proscrita en materia de contratación pública; pero sí encuentra límites para su aplicación en </w:t>
      </w:r>
      <w:bookmarkStart w:id="5" w:name="_Hlk113472119"/>
      <w:r w:rsidRPr="00043FE7">
        <w:rPr>
          <w:rFonts w:ascii="Verdana" w:eastAsia="Calibri" w:hAnsi="Verdana" w:cs="Arial"/>
          <w:bCs/>
          <w:color w:val="000000"/>
          <w:lang w:eastAsia="es-ES_tradnl"/>
        </w:rPr>
        <w:t>el principio de la autonomía de la voluntad, representada en lo pactado en el contrato principal</w:t>
      </w:r>
      <w:bookmarkEnd w:id="5"/>
      <w:r w:rsidRPr="00043FE7">
        <w:rPr>
          <w:rFonts w:ascii="Verdana" w:eastAsia="Calibri" w:hAnsi="Verdana" w:cs="Arial"/>
          <w:bCs/>
          <w:color w:val="000000"/>
          <w:lang w:eastAsia="es-ES_tradnl"/>
        </w:rPr>
        <w:t>, y en algunas normas específicas</w:t>
      </w:r>
      <w:bookmarkEnd w:id="4"/>
      <w:r w:rsidRPr="00043FE7">
        <w:rPr>
          <w:rFonts w:ascii="Verdana" w:eastAsia="Calibri" w:hAnsi="Verdana" w:cs="Arial"/>
          <w:color w:val="000000"/>
          <w:lang w:eastAsia="es-ES_tradnl"/>
        </w:rPr>
        <w:t xml:space="preserve">. </w:t>
      </w:r>
    </w:p>
    <w:p w14:paraId="46FE4A9B" w14:textId="77777777" w:rsidR="00506AA8" w:rsidRPr="00043FE7" w:rsidRDefault="00506AA8" w:rsidP="00506AA8">
      <w:pPr>
        <w:spacing w:after="120" w:line="276" w:lineRule="auto"/>
        <w:ind w:firstLine="709"/>
        <w:jc w:val="both"/>
        <w:rPr>
          <w:rFonts w:ascii="Verdana" w:eastAsia="Calibri" w:hAnsi="Verdana" w:cs="Arial"/>
          <w:color w:val="000000"/>
          <w:lang w:val="es-ES" w:eastAsia="es-ES_tradnl"/>
        </w:rPr>
      </w:pPr>
      <w:r w:rsidRPr="00043FE7">
        <w:rPr>
          <w:rFonts w:ascii="Verdana" w:eastAsia="Calibri" w:hAnsi="Verdana" w:cs="Arial"/>
          <w:color w:val="000000"/>
          <w:lang w:val="es-ES" w:eastAsia="es-ES_tradnl"/>
        </w:rPr>
        <w:t>La subcontratación es distinta a la cesión del contrato. En el primer caso, a diferencia del segundo, no existe traslado de la posición contractual de una parte a otra; por ello, en la subcontratación, al contrato principal se le suma un nuevo acuerdo, cuyo propósito es establecer relaciones jurídicas que se derivan del contrato original</w:t>
      </w:r>
      <w:r w:rsidRPr="00043FE7">
        <w:rPr>
          <w:rFonts w:ascii="Verdana" w:eastAsia="Calibri" w:hAnsi="Verdana" w:cs="Arial"/>
          <w:color w:val="000000"/>
          <w:vertAlign w:val="superscript"/>
          <w:lang w:val="es-ES" w:eastAsia="es-ES_tradnl"/>
        </w:rPr>
        <w:footnoteReference w:id="13"/>
      </w:r>
      <w:r w:rsidRPr="00043FE7">
        <w:rPr>
          <w:rFonts w:ascii="Verdana" w:eastAsia="Calibri" w:hAnsi="Verdana" w:cs="Arial"/>
          <w:color w:val="000000"/>
          <w:lang w:val="es-ES" w:eastAsia="es-ES_tradnl"/>
        </w:rPr>
        <w:t xml:space="preserve">. Sin embargo, la aplicación de ambas figuras requiere que </w:t>
      </w:r>
      <w:r w:rsidRPr="00043FE7">
        <w:rPr>
          <w:rFonts w:ascii="Verdana" w:eastAsia="Calibri" w:hAnsi="Verdana" w:cs="Arial"/>
          <w:color w:val="000000"/>
          <w:lang w:val="es-ES" w:eastAsia="es-ES_tradnl"/>
        </w:rPr>
        <w:lastRenderedPageBreak/>
        <w:t>tanto el subcontrato como la cesión recaigan sobre un tercero ajeno a la relación originaria</w:t>
      </w:r>
      <w:r w:rsidRPr="00043FE7">
        <w:rPr>
          <w:rFonts w:ascii="Verdana" w:eastAsia="Calibri" w:hAnsi="Verdana" w:cs="Arial"/>
          <w:color w:val="000000"/>
          <w:vertAlign w:val="superscript"/>
          <w:lang w:val="es-ES" w:eastAsia="es-ES_tradnl"/>
        </w:rPr>
        <w:footnoteReference w:id="14"/>
      </w:r>
      <w:r w:rsidRPr="00043FE7">
        <w:rPr>
          <w:rFonts w:ascii="Verdana" w:eastAsia="Calibri" w:hAnsi="Verdana" w:cs="Arial"/>
          <w:color w:val="000000"/>
          <w:lang w:val="es-ES" w:eastAsia="es-ES_tradnl"/>
        </w:rPr>
        <w:t xml:space="preserve">. </w:t>
      </w:r>
    </w:p>
    <w:p w14:paraId="2480ECEF"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w:t>
      </w:r>
      <w:r>
        <w:rPr>
          <w:rFonts w:ascii="Verdana" w:eastAsia="Calibri" w:hAnsi="Verdana" w:cs="Arial"/>
          <w:color w:val="000000"/>
          <w:lang w:eastAsia="es-ES_tradnl"/>
        </w:rPr>
        <w:t>(…)</w:t>
      </w:r>
      <w:r w:rsidRPr="00043FE7">
        <w:rPr>
          <w:rFonts w:ascii="Verdana" w:eastAsia="Calibri" w:hAnsi="Verdana" w:cs="Arial"/>
          <w:color w:val="000000"/>
          <w:lang w:eastAsia="es-ES_tradnl"/>
        </w:rPr>
        <w:t xml:space="preserve"> este cederá su participación a un tercero previa autorización escrita de la entidad contratante </w:t>
      </w:r>
      <w:r>
        <w:rPr>
          <w:rFonts w:ascii="Verdana" w:eastAsia="Calibri" w:hAnsi="Verdana" w:cs="Arial"/>
          <w:color w:val="000000"/>
          <w:lang w:eastAsia="es-ES_tradnl"/>
        </w:rPr>
        <w:t>(…)</w:t>
      </w:r>
      <w:r w:rsidRPr="00043FE7">
        <w:rPr>
          <w:rFonts w:ascii="Verdana" w:eastAsia="Calibri" w:hAnsi="Verdana" w:cs="Arial"/>
          <w:color w:val="000000"/>
          <w:lang w:eastAsia="es-ES_tradnl"/>
        </w:rPr>
        <w:t>”, y establece que “</w:t>
      </w:r>
      <w:r>
        <w:rPr>
          <w:rFonts w:ascii="Verdana" w:eastAsia="Calibri" w:hAnsi="Verdana" w:cs="Arial"/>
          <w:color w:val="000000"/>
          <w:lang w:eastAsia="es-ES_tradnl"/>
        </w:rPr>
        <w:t>(…)</w:t>
      </w:r>
      <w:r w:rsidRPr="00043FE7">
        <w:rPr>
          <w:rFonts w:ascii="Verdana" w:eastAsia="Calibri" w:hAnsi="Verdana" w:cs="Arial"/>
          <w:color w:val="000000"/>
          <w:lang w:eastAsia="es-ES_tradnl"/>
        </w:rPr>
        <w:t xml:space="preserve"> En ningún caso, podrá haber cesión del contrato entre quienes integran el consorcio o unión temporal”. En esta última hipótesis, para la doctrina no existe un tercero como requisito de la cesión, y agrega lo siguiente:</w:t>
      </w:r>
    </w:p>
    <w:p w14:paraId="010E5163" w14:textId="77777777" w:rsidR="00506AA8" w:rsidRDefault="00506AA8" w:rsidP="00506AA8">
      <w:pPr>
        <w:spacing w:after="0" w:line="240" w:lineRule="auto"/>
        <w:ind w:left="709" w:right="616"/>
        <w:jc w:val="both"/>
        <w:rPr>
          <w:rFonts w:ascii="Verdana" w:eastAsia="Calibri" w:hAnsi="Verdana" w:cs="Arial"/>
          <w:color w:val="000000"/>
          <w:sz w:val="20"/>
          <w:szCs w:val="20"/>
          <w:lang w:eastAsia="es-ES_tradnl"/>
        </w:rPr>
      </w:pPr>
      <w:r w:rsidRPr="00A41D52">
        <w:rPr>
          <w:rFonts w:ascii="Verdana" w:eastAsia="Calibri" w:hAnsi="Verdana" w:cs="Arial"/>
          <w:color w:val="000000"/>
          <w:sz w:val="20"/>
          <w:szCs w:val="20"/>
          <w:lang w:eastAsia="es-ES_tradnl"/>
        </w:rPr>
        <w:t>“</w:t>
      </w:r>
      <w:r>
        <w:rPr>
          <w:rFonts w:ascii="Verdana" w:eastAsia="Calibri" w:hAnsi="Verdana" w:cs="Arial"/>
          <w:color w:val="000000"/>
          <w:sz w:val="20"/>
          <w:szCs w:val="20"/>
          <w:lang w:eastAsia="es-ES_tradnl"/>
        </w:rPr>
        <w:t>(…)</w:t>
      </w:r>
      <w:r w:rsidRPr="00A41D52">
        <w:rPr>
          <w:rFonts w:ascii="Verdana" w:eastAsia="Calibri" w:hAnsi="Verdana" w:cs="Arial"/>
          <w:color w:val="000000"/>
          <w:sz w:val="20"/>
          <w:szCs w:val="20"/>
          <w:lang w:eastAsia="es-ES_tradnl"/>
        </w:rPr>
        <w:t xml:space="preserve"> supóngase que no existiera la restricción aludida; en este caso tampoco es válida la cesión en un integrante de un consorcio o unión temporal dado que los consorcios o uniones temporales no tienen personalidad jurídica, sino solo capacidad para celebrar contratos estatales, en virtud de la habilitación contenida en el artículo 6 de la Ley 80 de 1993. </w:t>
      </w:r>
      <w:r w:rsidRPr="00A41D52">
        <w:rPr>
          <w:rFonts w:ascii="Verdana" w:eastAsia="Calibri" w:hAnsi="Verdana" w:cs="Arial"/>
          <w:i/>
          <w:iCs/>
          <w:color w:val="000000"/>
          <w:sz w:val="20"/>
          <w:szCs w:val="20"/>
          <w:lang w:eastAsia="es-ES_tradnl"/>
        </w:rPr>
        <w:t xml:space="preserve">En estos casos se está en presencia, por tanto, de un contratista plural; esto es, la calidad de contratista se predica de cada uno de los integrantes del consorcio o unión temporal, de allí que </w:t>
      </w:r>
      <w:r>
        <w:rPr>
          <w:rFonts w:ascii="Verdana" w:eastAsia="Calibri" w:hAnsi="Verdana" w:cs="Arial"/>
          <w:i/>
          <w:iCs/>
          <w:color w:val="000000"/>
          <w:sz w:val="20"/>
          <w:szCs w:val="20"/>
          <w:lang w:eastAsia="es-ES_tradnl"/>
        </w:rPr>
        <w:t>(…)</w:t>
      </w:r>
      <w:r w:rsidRPr="00A41D52">
        <w:rPr>
          <w:rFonts w:ascii="Verdana" w:eastAsia="Calibri" w:hAnsi="Verdana" w:cs="Arial"/>
          <w:i/>
          <w:iCs/>
          <w:color w:val="000000"/>
          <w:sz w:val="20"/>
          <w:szCs w:val="20"/>
          <w:lang w:eastAsia="es-ES_tradnl"/>
        </w:rPr>
        <w:t xml:space="preserve"> no es válida la cesión en el propio contratista</w:t>
      </w:r>
      <w:r w:rsidRPr="00A41D52">
        <w:rPr>
          <w:rFonts w:ascii="Verdana" w:eastAsia="Calibri" w:hAnsi="Verdana" w:cs="Arial"/>
          <w:color w:val="000000"/>
          <w:sz w:val="20"/>
          <w:szCs w:val="20"/>
          <w:lang w:eastAsia="es-ES_tradnl"/>
        </w:rPr>
        <w:t>”</w:t>
      </w:r>
      <w:r w:rsidRPr="00A41D52">
        <w:rPr>
          <w:rFonts w:ascii="Verdana" w:eastAsia="Calibri" w:hAnsi="Verdana" w:cs="Arial"/>
          <w:color w:val="000000"/>
          <w:sz w:val="20"/>
          <w:szCs w:val="20"/>
          <w:vertAlign w:val="superscript"/>
          <w:lang w:eastAsia="es-ES_tradnl"/>
        </w:rPr>
        <w:footnoteReference w:id="15"/>
      </w:r>
      <w:r w:rsidRPr="00A41D52">
        <w:rPr>
          <w:rFonts w:ascii="Verdana" w:eastAsia="Calibri" w:hAnsi="Verdana" w:cs="Arial"/>
          <w:color w:val="000000"/>
          <w:sz w:val="20"/>
          <w:szCs w:val="20"/>
          <w:lang w:eastAsia="es-ES_tradnl"/>
        </w:rPr>
        <w:t xml:space="preserve">. (Énfasis fuera de texto)  </w:t>
      </w:r>
    </w:p>
    <w:p w14:paraId="1D54FE29" w14:textId="77777777" w:rsidR="00506AA8" w:rsidRPr="00A41D52" w:rsidRDefault="00506AA8" w:rsidP="00506AA8">
      <w:pPr>
        <w:spacing w:after="0" w:line="240" w:lineRule="auto"/>
        <w:ind w:left="709" w:right="616"/>
        <w:jc w:val="both"/>
        <w:rPr>
          <w:rFonts w:ascii="Verdana" w:eastAsia="Calibri" w:hAnsi="Verdana" w:cs="Arial"/>
          <w:color w:val="000000"/>
          <w:sz w:val="20"/>
          <w:szCs w:val="20"/>
          <w:lang w:eastAsia="es-ES_tradnl"/>
        </w:rPr>
      </w:pPr>
    </w:p>
    <w:p w14:paraId="60A73167" w14:textId="77777777" w:rsidR="00506AA8" w:rsidRPr="00043FE7"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 xml:space="preserve">De esta manera, si está prohibida la cesión entre quienes integren el proponente plural, significa que está permitida la cesión de sus integrantes a un tercero distinto a los miembros del consorcio o la unión temporal. Este </w:t>
      </w:r>
      <w:r w:rsidRPr="00043FE7">
        <w:rPr>
          <w:rFonts w:ascii="Verdana" w:eastAsia="Calibri" w:hAnsi="Verdana" w:cs="Arial"/>
          <w:color w:val="000000"/>
          <w:lang w:eastAsia="es-ES_tradnl"/>
        </w:rPr>
        <w:lastRenderedPageBreak/>
        <w:t xml:space="preserve">razonamiento es aplicable </w:t>
      </w:r>
      <w:r w:rsidRPr="00043FE7">
        <w:rPr>
          <w:rFonts w:ascii="Verdana" w:eastAsia="Calibri" w:hAnsi="Verdana" w:cs="Arial"/>
          <w:i/>
          <w:iCs/>
          <w:color w:val="000000"/>
          <w:lang w:eastAsia="es-ES_tradnl"/>
        </w:rPr>
        <w:t>mutatis mutandis</w:t>
      </w:r>
      <w:r w:rsidRPr="00043FE7">
        <w:rPr>
          <w:rFonts w:ascii="Verdana" w:eastAsia="Calibri" w:hAnsi="Verdana" w:cs="Arial"/>
          <w:color w:val="000000"/>
          <w:lang w:eastAsia="es-ES_tradnl"/>
        </w:rPr>
        <w:t xml:space="preserve"> a la subcontratación, pues también depende de la existencia de un tercero. En este caso, no es posible que los integrantes de la estructura plural conformen el consorcio o la unión temporal y, de manera simultánea, uno o varios de aquellos tengan la calidad de subcontratistas. Pensar lo contrario resulta absurdo de cara al principio lógico de no contradicción, criterio bajo el cual “Una cosa no puede ser ella misma y su contrario, en el mismo aspecto y en el mismo momento”. </w:t>
      </w:r>
    </w:p>
    <w:p w14:paraId="091F1ED7" w14:textId="77777777" w:rsidR="00506AA8"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color w:val="000000"/>
          <w:lang w:eastAsia="es-ES_tradnl"/>
        </w:rPr>
        <w:t>Esto significa que quien ocupa la posición de parte en el negocio jurídico, por exclusión, no puede tener la naturaleza de tercero para efectos de la subcontratación. Por tanto, desde el punto de vista de los sujetos, la calidad de tercero corresponde a cualquier persona distinta al contratista o a los integrantes del consorcio o unión temporal y a la entidad estatal contratante</w:t>
      </w:r>
      <w:r w:rsidRPr="00043FE7">
        <w:rPr>
          <w:rFonts w:ascii="Verdana" w:eastAsia="Calibri" w:hAnsi="Verdana" w:cs="Arial"/>
          <w:color w:val="000000"/>
          <w:vertAlign w:val="superscript"/>
          <w:lang w:eastAsia="es-ES_tradnl"/>
        </w:rPr>
        <w:footnoteReference w:id="16"/>
      </w:r>
      <w:r w:rsidRPr="00043FE7">
        <w:rPr>
          <w:rFonts w:ascii="Verdana" w:eastAsia="Calibri" w:hAnsi="Verdana" w:cs="Arial"/>
          <w:color w:val="000000"/>
          <w:lang w:eastAsia="es-ES_tradnl"/>
        </w:rPr>
        <w:t xml:space="preserve">. En este contexto, sólo la experiencia adquirida por lo integrantes del proponente plural puede acreditarse en otros procesos de selección, pues –por sustracción de materia– no pueden fungir como subcontratistas del consorcio o unión temporal del que hacen parte.  </w:t>
      </w:r>
    </w:p>
    <w:p w14:paraId="09EED4E2" w14:textId="77777777" w:rsidR="00506AA8" w:rsidRDefault="00506AA8" w:rsidP="00506AA8">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En este contexto, las personas naturales o jurídicas que se unen para la conformación de un consorcio o una unión temporal, cuyo propósito consiste en la presentación de propuestas, </w:t>
      </w:r>
      <w:r w:rsidRPr="00894F46">
        <w:rPr>
          <w:rFonts w:ascii="Verdana" w:eastAsia="Calibri" w:hAnsi="Verdana" w:cs="Arial"/>
          <w:color w:val="000000"/>
          <w:lang w:eastAsia="es-ES_tradnl"/>
        </w:rPr>
        <w:t xml:space="preserve">adjudicación, celebración </w:t>
      </w:r>
      <w:r>
        <w:rPr>
          <w:rFonts w:ascii="Verdana" w:eastAsia="Calibri" w:hAnsi="Verdana" w:cs="Arial"/>
          <w:color w:val="000000"/>
          <w:lang w:eastAsia="es-ES_tradnl"/>
        </w:rPr>
        <w:t xml:space="preserve">del contrato así como la </w:t>
      </w:r>
      <w:r w:rsidRPr="00894F46">
        <w:rPr>
          <w:rFonts w:ascii="Verdana" w:eastAsia="Calibri" w:hAnsi="Verdana" w:cs="Arial"/>
          <w:color w:val="000000"/>
          <w:lang w:eastAsia="es-ES_tradnl"/>
        </w:rPr>
        <w:t xml:space="preserve">ejecución </w:t>
      </w:r>
      <w:r>
        <w:rPr>
          <w:rFonts w:ascii="Verdana" w:eastAsia="Calibri" w:hAnsi="Verdana" w:cs="Arial"/>
          <w:color w:val="000000"/>
          <w:lang w:eastAsia="es-ES_tradnl"/>
        </w:rPr>
        <w:t xml:space="preserve">de éste, definido las actividades y obligaciones previamente en la carta de conformación, resulta contrario a la naturaleza propia de dicha forma de colaboración que ellas mismas subcontraten a quienes hacen parte de esta forma asociativa de colaboración, por cuanto como se indicó previamente, la subcontratación requiere que sea un tercero quien cumplan con el objeto de dicha subcontratación. </w:t>
      </w:r>
    </w:p>
    <w:p w14:paraId="2A698D1D" w14:textId="77777777" w:rsidR="00506AA8" w:rsidRDefault="00506AA8" w:rsidP="00506AA8">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bCs/>
          <w:color w:val="000000"/>
          <w:lang w:eastAsia="es-ES_tradnl"/>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043FE7">
        <w:rPr>
          <w:rFonts w:ascii="Verdana" w:eastAsia="Calibri" w:hAnsi="Verdana" w:cs="Arial"/>
          <w:bCs/>
          <w:color w:val="000000"/>
          <w:lang w:eastAsia="es-ES_tradnl"/>
        </w:rPr>
        <w:lastRenderedPageBreak/>
        <w:t>correspondiente y, en caso de conflicto, a las autoridades judiciales, fiscales y disciplinarias.</w:t>
      </w:r>
    </w:p>
    <w:p w14:paraId="6680846E" w14:textId="56B2FA9C" w:rsidR="00506AA8" w:rsidRPr="005D3AD1" w:rsidRDefault="00506AA8" w:rsidP="005D3AD1">
      <w:pPr>
        <w:spacing w:after="120" w:line="276" w:lineRule="auto"/>
        <w:ind w:firstLine="709"/>
        <w:jc w:val="both"/>
        <w:rPr>
          <w:rFonts w:ascii="Verdana" w:eastAsia="Calibri" w:hAnsi="Verdana" w:cs="Arial"/>
          <w:color w:val="000000"/>
          <w:lang w:eastAsia="es-ES_tradnl"/>
        </w:rPr>
      </w:pPr>
      <w:r w:rsidRPr="00043FE7">
        <w:rPr>
          <w:rFonts w:ascii="Verdana" w:eastAsia="Calibri" w:hAnsi="Verdana" w:cs="Arial"/>
          <w:bCs/>
          <w:color w:val="000000"/>
          <w:lang w:eastAsia="es-ES_tradnl"/>
        </w:rPr>
        <w:t xml:space="preserve">Dentro de este marco, la entidad contratante definirá en cada caso concreto lo relacionado con los aspectos puntuales del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bookmarkEnd w:id="3"/>
    <w:p w14:paraId="6B656093" w14:textId="77777777" w:rsidR="00506AA8" w:rsidRPr="0048565C" w:rsidRDefault="00506AA8" w:rsidP="00506AA8">
      <w:pPr>
        <w:pStyle w:val="Prrafodelista"/>
        <w:numPr>
          <w:ilvl w:val="0"/>
          <w:numId w:val="17"/>
        </w:numPr>
        <w:tabs>
          <w:tab w:val="left" w:pos="142"/>
          <w:tab w:val="left" w:pos="284"/>
        </w:tabs>
        <w:spacing w:after="0" w:line="276" w:lineRule="auto"/>
        <w:contextualSpacing w:val="0"/>
        <w:jc w:val="both"/>
        <w:rPr>
          <w:rFonts w:ascii="Verdana" w:eastAsia="Century Gothic" w:hAnsi="Verdana" w:cs="Century Gothic"/>
          <w:b/>
          <w:bCs/>
        </w:rPr>
      </w:pPr>
      <w:r w:rsidRPr="0048565C">
        <w:rPr>
          <w:rFonts w:ascii="Verdana" w:eastAsia="Century Gothic" w:hAnsi="Verdana" w:cs="Century Gothic"/>
          <w:b/>
          <w:bCs/>
        </w:rPr>
        <w:t>Referencias normativas:</w:t>
      </w:r>
    </w:p>
    <w:p w14:paraId="2B36E7D5" w14:textId="77777777" w:rsidR="00506AA8" w:rsidRPr="0048565C" w:rsidRDefault="00506AA8" w:rsidP="00506AA8">
      <w:pPr>
        <w:widowControl w:val="0"/>
        <w:autoSpaceDE w:val="0"/>
        <w:autoSpaceDN w:val="0"/>
        <w:spacing w:before="240"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06AA8" w:rsidRPr="0048565C" w14:paraId="07B0700C" w14:textId="77777777" w:rsidTr="00506AA8">
        <w:trPr>
          <w:trHeight w:val="870"/>
          <w:jc w:val="center"/>
        </w:trPr>
        <w:tc>
          <w:tcPr>
            <w:tcW w:w="8647" w:type="dxa"/>
          </w:tcPr>
          <w:p w14:paraId="74689697"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Código Civil. Artículos 1502, 1503, 1504.</w:t>
            </w:r>
          </w:p>
          <w:p w14:paraId="6B66123E"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 xml:space="preserve">Código de Comercio. Artículo 99. </w:t>
            </w:r>
          </w:p>
          <w:p w14:paraId="45D6CA3C"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Ley 80 de 1993. Artículos 6, 7, 9, 32 numeral 5.</w:t>
            </w:r>
          </w:p>
          <w:p w14:paraId="5C19476C"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 xml:space="preserve">Ley 1150 de 2007. Artículo 2 numeral 4 literal c. </w:t>
            </w:r>
          </w:p>
          <w:p w14:paraId="50D5DC17"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 xml:space="preserve">Decreto 1082 de 2015. Artículo </w:t>
            </w:r>
            <w:r w:rsidRPr="004D0D9F">
              <w:rPr>
                <w:rFonts w:ascii="Verdana" w:hAnsi="Verdana"/>
              </w:rPr>
              <w:t>2.2.1.2.3.1.5</w:t>
            </w:r>
            <w:r>
              <w:rPr>
                <w:rFonts w:ascii="Verdana" w:hAnsi="Verdana"/>
              </w:rPr>
              <w:t>.</w:t>
            </w:r>
          </w:p>
          <w:p w14:paraId="376940BD"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Pr>
                <w:rFonts w:ascii="Verdana" w:hAnsi="Verdana"/>
              </w:rPr>
              <w:t>Decreto 019 de 2012. Artículo 7.</w:t>
            </w:r>
          </w:p>
          <w:p w14:paraId="5BE55917"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Consejo de Estado, Sala de lo Contencioso Administrativo. Sección Tercera. Subsección A. Sentencia del 10 de febrero de 2011. Radicación: 63001-23-31-000-1997-04685- 01 (16306). C.P:: Hernán Andrade Rincón.</w:t>
            </w:r>
          </w:p>
          <w:p w14:paraId="0897BDAC" w14:textId="77777777" w:rsidR="00506AA8" w:rsidRPr="004D0D9F"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Consejo de Estado. Sala de lo Contencioso Administrativo. Sección Tercera. Subsección C. Sentencia del 12 de agosto de 2013. Radicación número: 52001-23-31-000-1999-00985-01 (23.088) C.P. Enrique Gil Botero.</w:t>
            </w:r>
          </w:p>
          <w:p w14:paraId="40541BB1"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 xml:space="preserve">Corte Constitucional. Sentencia C-949 del 5 de septiembre de 2001. M.P: Clara Inés Vargas Hernández.  </w:t>
            </w:r>
          </w:p>
          <w:p w14:paraId="75B73595"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RAMÍREZ GRISALES, Richard Steve. La Subcontratación. Serie: Las cláusulas del contrato estatal. Librería Jurídica Sánchez R. Ltda. y Centro de Estudios de Derecho Administrativo –CEDA-, Medellín, 2012</w:t>
            </w:r>
            <w:r>
              <w:rPr>
                <w:rFonts w:ascii="Verdana" w:eastAsia="Arial MT" w:hAnsi="Verdana" w:cs="Arial"/>
                <w:lang w:val="es-CO" w:eastAsia="es-ES" w:bidi="es-ES"/>
              </w:rPr>
              <w:t>.</w:t>
            </w:r>
          </w:p>
          <w:p w14:paraId="108F7EA2"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lastRenderedPageBreak/>
              <w:t>TRABALÓN Cristóbal. Tratado Legal de Construcción. Editorial Tébar Flores. Madrid. 2015</w:t>
            </w:r>
            <w:r>
              <w:rPr>
                <w:rFonts w:ascii="Verdana" w:eastAsia="Arial MT" w:hAnsi="Verdana" w:cs="Arial"/>
                <w:lang w:val="es-CO" w:eastAsia="es-ES" w:bidi="es-ES"/>
              </w:rPr>
              <w:t>.</w:t>
            </w:r>
          </w:p>
          <w:p w14:paraId="6BF9B6BC"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BIANCA, Massimo. Derecho civil III: el contrato. Segunda edición. Bogotá: Universidad Externado de Colombia, 2007.</w:t>
            </w:r>
          </w:p>
          <w:p w14:paraId="65E438BD" w14:textId="77777777" w:rsidR="00506AA8" w:rsidRDefault="00506AA8" w:rsidP="00506AA8">
            <w:pPr>
              <w:pStyle w:val="Prrafodelista"/>
              <w:numPr>
                <w:ilvl w:val="0"/>
                <w:numId w:val="16"/>
              </w:numPr>
              <w:spacing w:before="240" w:line="276" w:lineRule="auto"/>
              <w:jc w:val="both"/>
              <w:rPr>
                <w:rFonts w:ascii="Verdana" w:eastAsia="Arial MT" w:hAnsi="Verdana" w:cs="Arial"/>
                <w:lang w:val="es-CO" w:eastAsia="es-ES" w:bidi="es-ES"/>
              </w:rPr>
            </w:pPr>
            <w:r w:rsidRPr="004D0D9F">
              <w:rPr>
                <w:rFonts w:ascii="Verdana" w:eastAsia="Arial MT" w:hAnsi="Verdana" w:cs="Arial"/>
                <w:lang w:val="es-CO" w:eastAsia="es-ES" w:bidi="es-ES"/>
              </w:rPr>
              <w:t>RAMÍREZ GRISALES, Richard. La cesión. Serie: Las cláusulas del contrato estatal. Medellín: Centro de Estudios de Derecho Administrativo –CEDA– y Librería Jurídica Sánchez R., 2014</w:t>
            </w:r>
            <w:r>
              <w:rPr>
                <w:rFonts w:ascii="Verdana" w:eastAsia="Arial MT" w:hAnsi="Verdana" w:cs="Arial"/>
                <w:lang w:val="es-CO" w:eastAsia="es-ES" w:bidi="es-ES"/>
              </w:rPr>
              <w:t>.</w:t>
            </w:r>
          </w:p>
          <w:p w14:paraId="7F61A0D2" w14:textId="77777777" w:rsidR="00506AA8" w:rsidRPr="009D6A6F" w:rsidRDefault="00506AA8" w:rsidP="00506AA8">
            <w:pPr>
              <w:pStyle w:val="Prrafodelista"/>
              <w:numPr>
                <w:ilvl w:val="0"/>
                <w:numId w:val="16"/>
              </w:numPr>
              <w:spacing w:before="240" w:line="276" w:lineRule="auto"/>
              <w:jc w:val="both"/>
              <w:rPr>
                <w:rStyle w:val="Hipervnculo"/>
                <w:rFonts w:ascii="Verdana" w:eastAsia="Arial MT" w:hAnsi="Verdana" w:cs="Arial"/>
                <w:color w:val="auto"/>
                <w:u w:val="none"/>
                <w:lang w:val="es-CO" w:eastAsia="es-ES" w:bidi="es-ES"/>
              </w:rPr>
            </w:pPr>
            <w:r w:rsidRPr="009D6A6F">
              <w:rPr>
                <w:rFonts w:ascii="Verdana" w:eastAsia="Arial MT" w:hAnsi="Verdana" w:cs="Arial"/>
                <w:lang w:eastAsia="es-ES" w:bidi="es-ES"/>
              </w:rPr>
              <w:t xml:space="preserve">Real academia de la lengua Española. </w:t>
            </w:r>
            <w:r w:rsidRPr="009D6A6F">
              <w:rPr>
                <w:rFonts w:ascii="Verdana" w:hAnsi="Verdana"/>
              </w:rPr>
              <w:t xml:space="preserve">Disponible en </w:t>
            </w:r>
            <w:hyperlink r:id="rId12" w:history="1">
              <w:r w:rsidRPr="009D6A6F">
                <w:rPr>
                  <w:rStyle w:val="Hipervnculo"/>
                  <w:rFonts w:ascii="Verdana" w:hAnsi="Verdana"/>
                  <w:lang w:val="es-CO"/>
                </w:rPr>
                <w:t>subcontratar | Definición | Diccionario de la lengua española | RAE - ASALE</w:t>
              </w:r>
            </w:hyperlink>
          </w:p>
          <w:p w14:paraId="5F638349" w14:textId="77777777" w:rsidR="00506AA8" w:rsidRPr="0048565C" w:rsidRDefault="00506AA8" w:rsidP="00506AA8">
            <w:pPr>
              <w:pStyle w:val="Prrafodelista"/>
              <w:widowControl w:val="0"/>
              <w:autoSpaceDE w:val="0"/>
              <w:autoSpaceDN w:val="0"/>
              <w:spacing w:before="240" w:line="276" w:lineRule="auto"/>
              <w:contextualSpacing w:val="0"/>
              <w:jc w:val="both"/>
              <w:rPr>
                <w:rFonts w:ascii="Verdana" w:hAnsi="Verdana" w:cs="Arial"/>
              </w:rPr>
            </w:pPr>
          </w:p>
        </w:tc>
      </w:tr>
    </w:tbl>
    <w:p w14:paraId="16C73EC0" w14:textId="77777777" w:rsidR="00506AA8" w:rsidRPr="0048565C" w:rsidRDefault="00506AA8" w:rsidP="00506AA8">
      <w:pPr>
        <w:widowControl w:val="0"/>
        <w:autoSpaceDE w:val="0"/>
        <w:autoSpaceDN w:val="0"/>
        <w:spacing w:after="0" w:line="276" w:lineRule="auto"/>
        <w:jc w:val="both"/>
        <w:rPr>
          <w:rFonts w:ascii="Verdana" w:hAnsi="Verdana" w:cs="Arial"/>
        </w:rPr>
      </w:pPr>
    </w:p>
    <w:p w14:paraId="74BEFCAD" w14:textId="77777777" w:rsidR="00506AA8" w:rsidRPr="0048565C" w:rsidRDefault="00506AA8" w:rsidP="00506AA8">
      <w:pPr>
        <w:pStyle w:val="Prrafodelista"/>
        <w:numPr>
          <w:ilvl w:val="0"/>
          <w:numId w:val="17"/>
        </w:numPr>
        <w:tabs>
          <w:tab w:val="left" w:pos="142"/>
          <w:tab w:val="left" w:pos="284"/>
        </w:tabs>
        <w:spacing w:after="0" w:line="276" w:lineRule="auto"/>
        <w:jc w:val="both"/>
        <w:rPr>
          <w:rFonts w:ascii="Verdana" w:eastAsia="Century Gothic" w:hAnsi="Verdana" w:cs="Century Gothic"/>
          <w:b/>
          <w:bCs/>
        </w:rPr>
      </w:pPr>
      <w:r w:rsidRPr="0048565C">
        <w:rPr>
          <w:rFonts w:ascii="Verdana" w:eastAsia="Century Gothic" w:hAnsi="Verdana" w:cs="Century Gothic"/>
          <w:b/>
          <w:bCs/>
        </w:rPr>
        <w:t>Doctrina de la Agencia Nacional de Contratación Pública:</w:t>
      </w:r>
    </w:p>
    <w:p w14:paraId="5DF06A23" w14:textId="77777777" w:rsidR="00506AA8" w:rsidRPr="0048565C" w:rsidRDefault="00506AA8" w:rsidP="00506AA8">
      <w:pPr>
        <w:widowControl w:val="0"/>
        <w:autoSpaceDE w:val="0"/>
        <w:autoSpaceDN w:val="0"/>
        <w:spacing w:after="0" w:line="276" w:lineRule="auto"/>
        <w:jc w:val="both"/>
        <w:rPr>
          <w:rFonts w:ascii="Verdana" w:hAnsi="Verdana" w:cs="Arial"/>
        </w:rPr>
      </w:pPr>
    </w:p>
    <w:bookmarkEnd w:id="1"/>
    <w:p w14:paraId="6B24B321" w14:textId="77777777" w:rsidR="00506AA8" w:rsidRDefault="00506AA8" w:rsidP="00506AA8">
      <w:pPr>
        <w:widowControl w:val="0"/>
        <w:autoSpaceDE w:val="0"/>
        <w:autoSpaceDN w:val="0"/>
        <w:spacing w:after="0" w:line="276" w:lineRule="auto"/>
        <w:jc w:val="both"/>
        <w:rPr>
          <w:rFonts w:ascii="Verdana" w:hAnsi="Verdana" w:cs="Arial"/>
          <w:shd w:val="clear" w:color="auto" w:fill="FFFFFF"/>
          <w:lang w:val="es-ES"/>
        </w:rPr>
      </w:pPr>
      <w:r w:rsidRPr="00A53B63">
        <w:rPr>
          <w:rFonts w:ascii="Verdana" w:hAnsi="Verdana" w:cs="Arial"/>
          <w:shd w:val="clear" w:color="auto" w:fill="FFFFFF"/>
          <w:lang w:val="es-ES"/>
        </w:rPr>
        <w:t>Esta Subdirección se ha pronunciado sobre la capacidad jurídica de los consorcios y las uniones temporales en los conceptos</w:t>
      </w:r>
      <w:r w:rsidRPr="00A53B63">
        <w:rPr>
          <w:rFonts w:ascii="Verdana" w:hAnsi="Verdana" w:cs="Calibri"/>
          <w:shd w:val="clear" w:color="auto" w:fill="FFFFFF"/>
        </w:rPr>
        <w:t xml:space="preserve"> </w:t>
      </w:r>
      <w:r w:rsidRPr="00A53B63">
        <w:rPr>
          <w:rFonts w:ascii="Verdana" w:hAnsi="Verdana" w:cs="Arial"/>
          <w:shd w:val="clear" w:color="auto" w:fill="FFFFFF"/>
          <w:lang w:val="es-ES"/>
        </w:rPr>
        <w:t xml:space="preserve">4201913000007643 del 26 de diciembre de 2019, C-343 del 17 de junio de 2020, C-518 del 9 de septiembre de 2020, C-614 del 5 de octubre de 2022, C-882 del 21 de diciembre de 2022, C-172 del 6 de junio de 2023, C-032 del 16 de abril de 2024, C-100 del 12 de junio de 2024, C-238 del 9 de julio de 2024, C-1109 del 24 de agosto de 2025, </w:t>
      </w:r>
      <w:r w:rsidRPr="00A53B63">
        <w:rPr>
          <w:rFonts w:ascii="Verdana" w:eastAsia="Calibri" w:hAnsi="Verdana" w:cs="Arial"/>
          <w:lang w:val="es-ES" w:eastAsia="es-ES"/>
        </w:rPr>
        <w:t>C – 1330 del 27 de octubre de 2025</w:t>
      </w:r>
      <w:r>
        <w:rPr>
          <w:rFonts w:ascii="Verdana" w:eastAsia="Calibri" w:hAnsi="Verdana" w:cs="Arial"/>
          <w:lang w:val="es-ES" w:eastAsia="es-ES"/>
        </w:rPr>
        <w:t xml:space="preserve">. </w:t>
      </w:r>
      <w:r>
        <w:rPr>
          <w:rFonts w:ascii="Verdana" w:hAnsi="Verdana" w:cs="Arial"/>
          <w:shd w:val="clear" w:color="auto" w:fill="FFFFFF"/>
        </w:rPr>
        <w:t xml:space="preserve">También </w:t>
      </w:r>
      <w:r w:rsidRPr="004035E6">
        <w:rPr>
          <w:rFonts w:ascii="Verdana" w:hAnsi="Verdana" w:cs="Arial"/>
          <w:shd w:val="clear" w:color="auto" w:fill="FFFFFF"/>
        </w:rPr>
        <w:t>se ha pronunciado sobre el alcance de la subcontratación o contratación derivada en los Conceptos C-599 del 26 de octubre de 2021, C-581 del 16 de septiembre de 2022, C-702 del 9 de noviembre de 2022, C-808 del 25 de noviembre de 2022, C-240 del 14 de septiembre de 2023</w:t>
      </w:r>
      <w:r>
        <w:rPr>
          <w:rFonts w:ascii="Verdana" w:hAnsi="Verdana" w:cs="Arial"/>
          <w:shd w:val="clear" w:color="auto" w:fill="FFFFFF"/>
        </w:rPr>
        <w:t>,</w:t>
      </w:r>
      <w:r w:rsidRPr="004035E6">
        <w:rPr>
          <w:rFonts w:ascii="Verdana" w:hAnsi="Verdana" w:cs="Arial"/>
          <w:shd w:val="clear" w:color="auto" w:fill="FFFFFF"/>
        </w:rPr>
        <w:t xml:space="preserve"> </w:t>
      </w:r>
      <w:r>
        <w:rPr>
          <w:rFonts w:ascii="Verdana" w:hAnsi="Verdana" w:cs="Arial"/>
          <w:shd w:val="clear" w:color="auto" w:fill="FFFFFF"/>
        </w:rPr>
        <w:t xml:space="preserve">C-238 del 9 de julio de 2024, C-475 del 27 de agosto de 2024, </w:t>
      </w:r>
      <w:r w:rsidRPr="004035E6">
        <w:rPr>
          <w:rFonts w:ascii="Verdana" w:hAnsi="Verdana" w:cs="Arial"/>
          <w:shd w:val="clear" w:color="auto" w:fill="FFFFFF"/>
        </w:rPr>
        <w:t>C-444 del 18 de septiembre de 2024</w:t>
      </w:r>
      <w:r>
        <w:rPr>
          <w:rFonts w:ascii="Verdana" w:hAnsi="Verdana" w:cs="Arial"/>
          <w:shd w:val="clear" w:color="auto" w:fill="FFFFFF"/>
        </w:rPr>
        <w:t xml:space="preserve"> y C-794 del 2 de julio de </w:t>
      </w:r>
      <w:r w:rsidRPr="00FB06B4">
        <w:rPr>
          <w:rFonts w:ascii="Verdana" w:hAnsi="Verdana" w:cs="Arial"/>
          <w:shd w:val="clear" w:color="auto" w:fill="FFFFFF"/>
        </w:rPr>
        <w:t>2025</w:t>
      </w:r>
      <w:r w:rsidRPr="00FB06B4">
        <w:rPr>
          <w:rFonts w:ascii="Verdana" w:eastAsia="Times New Roman" w:hAnsi="Verdana" w:cs="Arial"/>
          <w:shd w:val="clear" w:color="auto" w:fill="FFFFFF"/>
          <w:lang w:val="es-ES"/>
        </w:rPr>
        <w:t xml:space="preserve">, C-924 del 18 de julio de 2025, </w:t>
      </w:r>
      <w:r>
        <w:rPr>
          <w:rFonts w:ascii="Verdana" w:eastAsia="Times New Roman" w:hAnsi="Verdana" w:cs="Arial"/>
          <w:shd w:val="clear" w:color="auto" w:fill="FFFFFF"/>
          <w:lang w:val="es-ES"/>
        </w:rPr>
        <w:t xml:space="preserve">C-1265 del </w:t>
      </w:r>
      <w:r w:rsidRPr="009D6A6F">
        <w:rPr>
          <w:rFonts w:ascii="Verdana" w:eastAsia="Times New Roman" w:hAnsi="Verdana" w:cs="Arial"/>
          <w:shd w:val="clear" w:color="auto" w:fill="FFFFFF"/>
          <w:lang w:val="es-ES"/>
        </w:rPr>
        <w:t>3 de octubre de 2025</w:t>
      </w:r>
      <w:r>
        <w:rPr>
          <w:rFonts w:ascii="Verdana" w:eastAsia="Times New Roman" w:hAnsi="Verdana" w:cs="Arial"/>
          <w:shd w:val="clear" w:color="auto" w:fill="FFFFFF"/>
          <w:lang w:val="es-ES"/>
        </w:rPr>
        <w:t xml:space="preserve"> y </w:t>
      </w:r>
      <w:r w:rsidRPr="00FB06B4">
        <w:rPr>
          <w:rFonts w:ascii="Verdana" w:eastAsia="Times New Roman" w:hAnsi="Verdana" w:cs="Arial"/>
          <w:shd w:val="clear" w:color="auto" w:fill="FFFFFF"/>
          <w:lang w:val="es-ES"/>
        </w:rPr>
        <w:t xml:space="preserve">entre otros. </w:t>
      </w:r>
      <w:r>
        <w:rPr>
          <w:rFonts w:ascii="Verdana" w:hAnsi="Verdana" w:cs="Arial"/>
          <w:shd w:val="clear" w:color="auto" w:fill="FFFFFF"/>
          <w:lang w:val="es-ES"/>
        </w:rPr>
        <w:t xml:space="preserve"> </w:t>
      </w:r>
    </w:p>
    <w:p w14:paraId="79F8E0D6" w14:textId="77777777" w:rsidR="00506AA8" w:rsidRPr="009D6A6F" w:rsidRDefault="00506AA8" w:rsidP="00506AA8">
      <w:pPr>
        <w:widowControl w:val="0"/>
        <w:autoSpaceDE w:val="0"/>
        <w:autoSpaceDN w:val="0"/>
        <w:spacing w:after="0" w:line="276" w:lineRule="auto"/>
        <w:jc w:val="both"/>
        <w:rPr>
          <w:rFonts w:ascii="Verdana" w:hAnsi="Verdana" w:cs="Arial"/>
          <w:shd w:val="clear" w:color="auto" w:fill="FFFFFF"/>
          <w:lang w:val="es-ES"/>
        </w:rPr>
      </w:pPr>
    </w:p>
    <w:p w14:paraId="5BD66881" w14:textId="77777777" w:rsidR="00506AA8" w:rsidRPr="007E1D38" w:rsidRDefault="00506AA8" w:rsidP="00506AA8">
      <w:pPr>
        <w:widowControl w:val="0"/>
        <w:autoSpaceDE w:val="0"/>
        <w:autoSpaceDN w:val="0"/>
        <w:spacing w:after="0" w:line="276" w:lineRule="auto"/>
        <w:jc w:val="both"/>
        <w:rPr>
          <w:rFonts w:ascii="Verdana" w:eastAsia="Times New Roman" w:hAnsi="Verdana" w:cs="Arial"/>
          <w:shd w:val="clear" w:color="auto" w:fill="FFFFFF"/>
          <w:lang w:val="es-ES"/>
        </w:rPr>
      </w:pPr>
      <w:r w:rsidRPr="00C518CE">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C518CE">
          <w:rPr>
            <w:rFonts w:ascii="Verdana" w:eastAsia="Aptos" w:hAnsi="Verdana" w:cs="Arial"/>
            <w:color w:val="0000FF"/>
            <w:kern w:val="2"/>
            <w:u w:val="single"/>
            <w:shd w:val="clear" w:color="auto" w:fill="FFFFFF"/>
            <w14:ligatures w14:val="standardContextual"/>
          </w:rPr>
          <w:t>https://relatoria.colombiacompra.gov.co/busqueda/conceptos</w:t>
        </w:r>
      </w:hyperlink>
      <w:r w:rsidRPr="00C518CE">
        <w:rPr>
          <w:rFonts w:ascii="Verdana" w:eastAsia="Aptos" w:hAnsi="Verdana" w:cs="Arial"/>
          <w:kern w:val="2"/>
          <w:shd w:val="clear" w:color="auto" w:fill="FFFFFF"/>
          <w14:ligatures w14:val="standardContextual"/>
        </w:rPr>
        <w:t xml:space="preserve">. </w:t>
      </w:r>
      <w:r w:rsidRPr="00C518CE">
        <w:rPr>
          <w:rFonts w:ascii="Verdana" w:eastAsia="Aptos" w:hAnsi="Verdana" w:cs="Arial"/>
          <w:color w:val="FF0000"/>
          <w:kern w:val="2"/>
          <w:shd w:val="clear" w:color="auto" w:fill="FFFFFF"/>
          <w:lang w:val="es-ES"/>
          <w14:ligatures w14:val="standardContextual"/>
        </w:rPr>
        <w:t xml:space="preserve">  </w:t>
      </w:r>
    </w:p>
    <w:p w14:paraId="4B73F2F5" w14:textId="77777777" w:rsidR="00506AA8" w:rsidRDefault="00506AA8" w:rsidP="00506AA8">
      <w:pPr>
        <w:spacing w:after="0"/>
        <w:jc w:val="both"/>
        <w:rPr>
          <w:rFonts w:ascii="Verdana" w:eastAsia="Times New Roman" w:hAnsi="Verdana" w:cs="Arial"/>
          <w:lang w:eastAsia="es-MX"/>
        </w:rPr>
      </w:pPr>
    </w:p>
    <w:p w14:paraId="3A3C6F88" w14:textId="77777777" w:rsidR="00506AA8" w:rsidRDefault="00506AA8" w:rsidP="00506AA8">
      <w:pPr>
        <w:spacing w:after="0"/>
        <w:jc w:val="both"/>
        <w:rPr>
          <w:rFonts w:ascii="Verdana" w:eastAsia="Times New Roman" w:hAnsi="Verdana" w:cs="Arial"/>
          <w:lang w:eastAsia="es-MX"/>
        </w:rPr>
      </w:pPr>
      <w:r>
        <w:rPr>
          <w:rFonts w:ascii="Verdana" w:eastAsia="Times New Roman" w:hAnsi="Verdana" w:cs="Arial"/>
          <w:lang w:val="es-ES" w:eastAsia="es-MX"/>
        </w:rPr>
        <w:t>L</w:t>
      </w:r>
      <w:r w:rsidRPr="007E1D38">
        <w:rPr>
          <w:rFonts w:ascii="Verdana" w:eastAsia="Times New Roman" w:hAnsi="Verdana" w:cs="Arial"/>
          <w:lang w:val="es-ES" w:eastAsia="es-MX"/>
        </w:rPr>
        <w:t xml:space="preserve">as garantías no son un requisito formal: son el instrumento con el que se protege el patrimonio público frente a los riesgos del contrato. Por ello, la </w:t>
      </w:r>
      <w:r w:rsidRPr="007E1D38">
        <w:rPr>
          <w:rFonts w:ascii="Verdana" w:eastAsia="Times New Roman" w:hAnsi="Verdana" w:cs="Arial"/>
          <w:lang w:val="es-ES" w:eastAsia="es-MX"/>
        </w:rPr>
        <w:lastRenderedPageBreak/>
        <w:t>Agencia Nacional de Contratación Pública –Colombia Compra Eficiente– te invita a consultar la nueva versión de la </w:t>
      </w:r>
      <w:r w:rsidRPr="007E1D38">
        <w:rPr>
          <w:rFonts w:ascii="Verdana" w:eastAsia="Times New Roman" w:hAnsi="Verdana" w:cs="Arial"/>
          <w:b/>
          <w:bCs/>
          <w:lang w:val="es-ES" w:eastAsia="es-MX"/>
        </w:rPr>
        <w:t>Guía para la Exigencia y Constitución de Garantías en los Procesos de Contratación</w:t>
      </w:r>
      <w:r w:rsidRPr="007E1D38">
        <w:rPr>
          <w:rFonts w:ascii="Verdana" w:eastAsia="Times New Roman" w:hAnsi="Verdana" w:cs="Arial"/>
          <w:lang w:val="es-ES"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7E1D38">
          <w:rPr>
            <w:rStyle w:val="Hipervnculo"/>
            <w:rFonts w:ascii="Verdana" w:eastAsia="Times New Roman" w:hAnsi="Verdana" w:cs="Arial"/>
            <w:lang w:val="es-ES" w:eastAsia="es-MX"/>
          </w:rPr>
          <w:t>https://www.colombiacompra.gov.co/archivos/manual/guia-de-garantias-en-procesos-de-contratacion</w:t>
        </w:r>
      </w:hyperlink>
    </w:p>
    <w:p w14:paraId="3B8F75AB" w14:textId="77777777" w:rsidR="00506AA8" w:rsidRPr="007E1D38" w:rsidRDefault="00506AA8" w:rsidP="00506AA8">
      <w:pPr>
        <w:spacing w:after="0"/>
        <w:jc w:val="both"/>
        <w:rPr>
          <w:rFonts w:ascii="Verdana" w:eastAsia="Times New Roman" w:hAnsi="Verdana" w:cs="Arial"/>
          <w:lang w:val="es-ES" w:eastAsia="es-MX"/>
        </w:rPr>
      </w:pPr>
    </w:p>
    <w:p w14:paraId="09A202FB" w14:textId="77777777" w:rsidR="00506AA8" w:rsidRDefault="00506AA8" w:rsidP="00506AA8">
      <w:pPr>
        <w:spacing w:after="0"/>
        <w:jc w:val="both"/>
        <w:rPr>
          <w:rFonts w:ascii="Verdana" w:eastAsia="Times New Roman" w:hAnsi="Verdana" w:cs="Arial"/>
          <w:lang w:eastAsia="es-MX"/>
        </w:rPr>
      </w:pPr>
      <w:r w:rsidRPr="007E1D38">
        <w:rPr>
          <w:rFonts w:ascii="Verdana" w:eastAsia="Times New Roman" w:hAnsi="Verdana" w:cs="Arial"/>
          <w:lang w:val="es-ES" w:eastAsia="es-MX"/>
        </w:rPr>
        <w:t>De otro lado, te contamos que el Decreto 287 del 19 de marzo de 2026 sustituyó los artículos 2.2.1.2.4.2.6., 2.2.1.2.4.2.7. y 2.2.1.2.4.2.8. del Decreto 1082 de 2015 y estructuró el </w:t>
      </w:r>
      <w:r w:rsidRPr="007E1D38">
        <w:rPr>
          <w:rFonts w:ascii="Verdana" w:eastAsia="Times New Roman" w:hAnsi="Verdana" w:cs="Arial"/>
          <w:b/>
          <w:bCs/>
          <w:lang w:val="es-ES" w:eastAsia="es-MX"/>
        </w:rPr>
        <w:t>Sistema Integral de Preferencias en favor de las personas con discapacidad</w:t>
      </w:r>
      <w:r w:rsidRPr="007E1D38">
        <w:rPr>
          <w:rFonts w:ascii="Verdana" w:eastAsia="Times New Roman" w:hAnsi="Verdana" w:cs="Arial"/>
          <w:lang w:val="es-ES" w:eastAsia="es-MX"/>
        </w:rPr>
        <w:t>, en cumplimiento del artículo 13 de la Ley Estatutaria 1618 de 2013. Para orientar su aplicación, esta Agencia expidió la </w:t>
      </w:r>
      <w:r w:rsidRPr="007E1D38">
        <w:rPr>
          <w:rFonts w:ascii="Verdana" w:eastAsia="Times New Roman" w:hAnsi="Verdana" w:cs="Arial"/>
          <w:b/>
          <w:bCs/>
          <w:lang w:val="es-ES" w:eastAsia="es-MX"/>
        </w:rPr>
        <w:t>Circular Externa 003 del 12 de mayo de 2026, </w:t>
      </w:r>
      <w:r w:rsidRPr="007E1D38">
        <w:rPr>
          <w:rFonts w:ascii="Verdana" w:eastAsia="Times New Roman" w:hAnsi="Verdana" w:cs="Arial"/>
          <w:lang w:val="es-ES" w:eastAsia="es-MX"/>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7E1D38">
          <w:rPr>
            <w:rStyle w:val="Hipervnculo"/>
            <w:rFonts w:ascii="Verdana" w:eastAsia="Times New Roman" w:hAnsi="Verdana" w:cs="Arial"/>
            <w:lang w:val="es-ES" w:eastAsia="es-MX"/>
          </w:rPr>
          <w:t>https://www.colombiacompra.gov.co/archivos/circular/circular-externa-003-de-2026</w:t>
        </w:r>
      </w:hyperlink>
    </w:p>
    <w:p w14:paraId="27591334" w14:textId="77777777" w:rsidR="00506AA8" w:rsidRPr="007E1D38" w:rsidRDefault="00506AA8" w:rsidP="00506AA8">
      <w:pPr>
        <w:spacing w:after="0"/>
        <w:jc w:val="both"/>
        <w:rPr>
          <w:rFonts w:ascii="Verdana" w:eastAsia="Times New Roman" w:hAnsi="Verdana" w:cs="Arial"/>
          <w:lang w:val="es-ES" w:eastAsia="es-MX"/>
        </w:rPr>
      </w:pPr>
    </w:p>
    <w:p w14:paraId="1F427853" w14:textId="77777777" w:rsidR="00506AA8" w:rsidRDefault="00506AA8" w:rsidP="00506AA8">
      <w:pPr>
        <w:spacing w:after="0"/>
        <w:jc w:val="both"/>
        <w:rPr>
          <w:rFonts w:ascii="Verdana" w:eastAsia="Times New Roman" w:hAnsi="Verdana" w:cs="Arial"/>
          <w:lang w:eastAsia="es-MX"/>
        </w:rPr>
      </w:pPr>
      <w:r w:rsidRPr="007E1D38">
        <w:rPr>
          <w:rFonts w:ascii="Verdana" w:eastAsia="Times New Roman" w:hAnsi="Verdana" w:cs="Arial"/>
          <w:lang w:val="es-ES" w:eastAsia="es-MX"/>
        </w:rPr>
        <w:t>Recuerda también que la</w:t>
      </w:r>
      <w:r w:rsidRPr="007E1D38">
        <w:rPr>
          <w:rFonts w:ascii="Verdana" w:eastAsia="Times New Roman" w:hAnsi="Verdana" w:cs="Arial"/>
          <w:b/>
          <w:bCs/>
          <w:lang w:val="es-ES" w:eastAsia="es-MX"/>
        </w:rPr>
        <w:t> información sobre sanciones e inhabilidades </w:t>
      </w:r>
      <w:r w:rsidRPr="007E1D38">
        <w:rPr>
          <w:rFonts w:ascii="Verdana" w:eastAsia="Times New Roman" w:hAnsi="Verdana" w:cs="Arial"/>
          <w:lang w:val="es-ES" w:eastAsia="es-MX"/>
        </w:rPr>
        <w:t>solo cumple su función preventiva si llega oportunamente a los registros públicos. Sobre este deber, esta Agencia expidió la </w:t>
      </w:r>
      <w:r w:rsidRPr="007E1D38">
        <w:rPr>
          <w:rFonts w:ascii="Verdana" w:eastAsia="Times New Roman" w:hAnsi="Verdana" w:cs="Arial"/>
          <w:b/>
          <w:bCs/>
          <w:lang w:val="es-ES" w:eastAsia="es-MX"/>
        </w:rPr>
        <w:t>Circular Externa 002 del 5 de mayo de 2026,</w:t>
      </w:r>
      <w:r w:rsidRPr="007E1D38">
        <w:rPr>
          <w:rFonts w:ascii="Verdana" w:eastAsia="Times New Roman" w:hAnsi="Verdana" w:cs="Arial"/>
          <w:lang w:val="es-ES" w:eastAsia="es-MX"/>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7E1D38">
          <w:rPr>
            <w:rStyle w:val="Hipervnculo"/>
            <w:rFonts w:ascii="Verdana" w:eastAsia="Times New Roman" w:hAnsi="Verdana" w:cs="Arial"/>
            <w:lang w:val="es-ES" w:eastAsia="es-MX"/>
          </w:rPr>
          <w:t>https://www.colombiacompra.gov.co/archivos/circular/circular-externa-002-de-2026</w:t>
        </w:r>
      </w:hyperlink>
    </w:p>
    <w:p w14:paraId="540ED81A" w14:textId="77777777" w:rsidR="00506AA8" w:rsidRPr="007E1D38" w:rsidRDefault="00506AA8" w:rsidP="00506AA8">
      <w:pPr>
        <w:spacing w:after="0"/>
        <w:jc w:val="both"/>
        <w:rPr>
          <w:rFonts w:ascii="Verdana" w:eastAsia="Times New Roman" w:hAnsi="Verdana" w:cs="Arial"/>
          <w:lang w:val="es-ES" w:eastAsia="es-MX"/>
        </w:rPr>
      </w:pPr>
    </w:p>
    <w:p w14:paraId="58853004" w14:textId="77777777" w:rsidR="00506AA8" w:rsidRPr="009D6A6F" w:rsidRDefault="00506AA8" w:rsidP="00506AA8">
      <w:pPr>
        <w:spacing w:after="0"/>
        <w:jc w:val="both"/>
        <w:rPr>
          <w:rFonts w:ascii="Verdana" w:eastAsia="Times New Roman" w:hAnsi="Verdana" w:cs="Arial"/>
          <w:lang w:val="es-ES" w:eastAsia="es-MX"/>
        </w:rPr>
      </w:pPr>
      <w:r w:rsidRPr="007E1D38">
        <w:rPr>
          <w:rFonts w:ascii="Verdana" w:eastAsia="Times New Roman" w:hAnsi="Verdana" w:cs="Arial"/>
          <w:lang w:val="es-ES" w:eastAsia="es-MX"/>
        </w:rPr>
        <w:t>Finalmente, si quieres seguir de cerca la actividad de la Agencia, la tercera edición de 2026 del</w:t>
      </w:r>
      <w:r w:rsidRPr="007E1D38">
        <w:rPr>
          <w:rFonts w:ascii="Verdana" w:eastAsia="Times New Roman" w:hAnsi="Verdana" w:cs="Arial"/>
          <w:b/>
          <w:bCs/>
          <w:lang w:val="es-ES" w:eastAsia="es-MX"/>
        </w:rPr>
        <w:t> Radar de la Compra Pública</w:t>
      </w:r>
      <w:r w:rsidRPr="007E1D38">
        <w:rPr>
          <w:rFonts w:ascii="Verdana" w:eastAsia="Times New Roman" w:hAnsi="Verdana" w:cs="Arial"/>
          <w:lang w:val="es-ES" w:eastAsia="es-MX"/>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w:t>
      </w:r>
      <w:r w:rsidRPr="007E1D38">
        <w:rPr>
          <w:rFonts w:ascii="Verdana" w:eastAsia="Times New Roman" w:hAnsi="Verdana" w:cs="Arial"/>
          <w:lang w:val="es-ES" w:eastAsia="es-MX"/>
        </w:rPr>
        <w:lastRenderedPageBreak/>
        <w:t>Virtual ANCP-CCE. Descárgalo aquí: </w:t>
      </w:r>
      <w:hyperlink r:id="rId17" w:tgtFrame="_blank" w:tooltip="Dirección URL original: https://www.colombiacompra.gov.co/archivos/boletin/boletin-edicion-n-3-de-2026-radar-de-la-compra-publica. Haga clic o pulse si confía en este vínculo." w:history="1">
        <w:r w:rsidRPr="007E1D38">
          <w:rPr>
            <w:rStyle w:val="Hipervnculo"/>
            <w:rFonts w:ascii="Verdana" w:eastAsia="Times New Roman" w:hAnsi="Verdana" w:cs="Arial"/>
            <w:lang w:val="es-ES" w:eastAsia="es-MX"/>
          </w:rPr>
          <w:t>https://www.colombiacompra.gov.co/archivos/boletin/boletin-edicion-n-3-de-2026-radar-de-la-compra-publica</w:t>
        </w:r>
      </w:hyperlink>
      <w:r w:rsidRPr="007E1D38">
        <w:rPr>
          <w:rFonts w:ascii="Verdana" w:eastAsia="Times New Roman" w:hAnsi="Verdana" w:cs="Arial"/>
          <w:lang w:val="es-ES" w:eastAsia="es-MX"/>
        </w:rPr>
        <w:t>"</w:t>
      </w:r>
    </w:p>
    <w:p w14:paraId="088FE9BD" w14:textId="77777777" w:rsidR="00506AA8" w:rsidRPr="00C518CE" w:rsidRDefault="00506AA8" w:rsidP="00506AA8">
      <w:pPr>
        <w:spacing w:after="0"/>
        <w:jc w:val="both"/>
        <w:rPr>
          <w:rFonts w:ascii="Verdana" w:eastAsia="Aptos" w:hAnsi="Verdana" w:cs="Times New Roman"/>
          <w:color w:val="212121"/>
          <w:lang w:eastAsia="es-MX"/>
        </w:rPr>
      </w:pPr>
    </w:p>
    <w:p w14:paraId="1406BACD" w14:textId="77777777" w:rsidR="00506AA8" w:rsidRPr="00C518CE" w:rsidRDefault="00506AA8" w:rsidP="00506AA8">
      <w:pPr>
        <w:spacing w:after="0" w:line="240" w:lineRule="auto"/>
        <w:jc w:val="both"/>
        <w:rPr>
          <w:rFonts w:ascii="Verdana" w:eastAsia="Calibri" w:hAnsi="Verdana" w:cs="Times New Roman"/>
          <w:lang w:eastAsia="es-MX"/>
        </w:rPr>
      </w:pPr>
      <w:r w:rsidRPr="00C518CE">
        <w:rPr>
          <w:rFonts w:ascii="Verdana" w:eastAsia="Aptos" w:hAnsi="Verdana" w:cs="Times New Roman"/>
          <w:lang w:eastAsia="es-MX"/>
        </w:rPr>
        <w:t xml:space="preserve">Por último, lo invitamos a seguirnos en las redes sociales en las cuales se difunde información institucional: </w:t>
      </w:r>
    </w:p>
    <w:p w14:paraId="6138F45B" w14:textId="77777777" w:rsidR="00506AA8" w:rsidRPr="00C518CE" w:rsidRDefault="00506AA8" w:rsidP="00506AA8">
      <w:pPr>
        <w:spacing w:after="0" w:line="240" w:lineRule="auto"/>
        <w:jc w:val="both"/>
        <w:rPr>
          <w:rFonts w:ascii="Verdana" w:eastAsia="Aptos" w:hAnsi="Verdana" w:cs="Times New Roman"/>
          <w:lang w:eastAsia="es-MX"/>
        </w:rPr>
      </w:pPr>
    </w:p>
    <w:p w14:paraId="61033580" w14:textId="77777777" w:rsidR="00506AA8" w:rsidRPr="00C518CE" w:rsidRDefault="00506AA8" w:rsidP="00506AA8">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Twitter: </w:t>
      </w:r>
      <w:r w:rsidRPr="00C518CE">
        <w:rPr>
          <w:rFonts w:ascii="Verdana" w:eastAsia="Calibri" w:hAnsi="Verdana" w:cs="Times New Roman"/>
          <w:color w:val="0000FF"/>
          <w:u w:val="single"/>
          <w:lang w:eastAsia="es-MX"/>
        </w:rPr>
        <w:t>@colombiacompra</w:t>
      </w:r>
      <w:r w:rsidRPr="00C518CE">
        <w:rPr>
          <w:rFonts w:ascii="Verdana" w:eastAsia="Calibri" w:hAnsi="Verdana" w:cs="Times New Roman"/>
          <w:color w:val="0000FF"/>
          <w:lang w:eastAsia="es-MX"/>
        </w:rPr>
        <w:t xml:space="preserve"> </w:t>
      </w:r>
    </w:p>
    <w:p w14:paraId="532865A9" w14:textId="77777777" w:rsidR="00506AA8" w:rsidRPr="00C518CE" w:rsidRDefault="00506AA8" w:rsidP="00506AA8">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Facebook: </w:t>
      </w:r>
      <w:proofErr w:type="spellStart"/>
      <w:r w:rsidRPr="00C518CE">
        <w:rPr>
          <w:rFonts w:ascii="Verdana" w:eastAsia="Calibri" w:hAnsi="Verdana" w:cs="Times New Roman"/>
          <w:color w:val="0000FF"/>
          <w:u w:val="single"/>
          <w:lang w:eastAsia="es-MX"/>
        </w:rPr>
        <w:t>ColombiaCompraEficiente</w:t>
      </w:r>
      <w:proofErr w:type="spellEnd"/>
    </w:p>
    <w:p w14:paraId="4FD0EF64" w14:textId="77777777" w:rsidR="00506AA8" w:rsidRPr="00C518CE" w:rsidRDefault="00506AA8" w:rsidP="00506AA8">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LinkedIn: </w:t>
      </w:r>
      <w:r w:rsidRPr="00C518CE">
        <w:rPr>
          <w:rFonts w:ascii="Verdana" w:eastAsia="Calibri" w:hAnsi="Verdana" w:cs="Times New Roman"/>
          <w:color w:val="0000FF"/>
          <w:u w:val="single"/>
          <w:lang w:eastAsia="es-MX"/>
        </w:rPr>
        <w:t>Agencia Nacional de Contratación Pública - Colombia Compra Eficiente</w:t>
      </w:r>
      <w:r w:rsidRPr="00C518CE">
        <w:rPr>
          <w:rFonts w:ascii="Verdana" w:eastAsia="Calibri" w:hAnsi="Verdana" w:cs="Times New Roman"/>
          <w:color w:val="0000FF"/>
          <w:lang w:eastAsia="es-MX"/>
        </w:rPr>
        <w:t xml:space="preserve"> </w:t>
      </w:r>
      <w:r w:rsidRPr="00C518CE">
        <w:rPr>
          <w:rFonts w:ascii="Verdana" w:eastAsia="Aptos" w:hAnsi="Verdana" w:cs="Times New Roman"/>
          <w:lang w:eastAsia="es-MX"/>
        </w:rPr>
        <w:t xml:space="preserve">Instagram: </w:t>
      </w:r>
      <w:r w:rsidRPr="00C518CE">
        <w:rPr>
          <w:rFonts w:ascii="Verdana" w:eastAsia="Calibri" w:hAnsi="Verdana" w:cs="Times New Roman"/>
          <w:color w:val="0000FF"/>
          <w:u w:val="single"/>
          <w:lang w:eastAsia="es-MX"/>
        </w:rPr>
        <w:t>@colombiacompraeficiente_cce</w:t>
      </w:r>
    </w:p>
    <w:p w14:paraId="1D7CB7DB" w14:textId="77777777" w:rsidR="00506AA8" w:rsidRPr="00C518CE" w:rsidRDefault="00506AA8" w:rsidP="00506AA8">
      <w:pPr>
        <w:spacing w:after="0" w:line="276" w:lineRule="auto"/>
        <w:jc w:val="both"/>
        <w:rPr>
          <w:rFonts w:ascii="Verdana" w:eastAsia="Aptos" w:hAnsi="Verdana" w:cs="Times New Roman"/>
          <w:color w:val="0000FF"/>
          <w:lang w:eastAsia="es-MX"/>
        </w:rPr>
      </w:pPr>
    </w:p>
    <w:p w14:paraId="54A60EF2" w14:textId="3E1F4BB0" w:rsidR="00506AA8" w:rsidRPr="00C518CE" w:rsidRDefault="00506AA8" w:rsidP="00506AA8">
      <w:pPr>
        <w:spacing w:after="0" w:line="276" w:lineRule="auto"/>
        <w:jc w:val="both"/>
        <w:rPr>
          <w:rFonts w:ascii="Verdana" w:eastAsia="Calibri" w:hAnsi="Verdana" w:cs="Times New Roman"/>
          <w:bCs/>
          <w:lang w:val="es-ES_tradnl" w:eastAsia="es-MX"/>
        </w:rPr>
      </w:pPr>
      <w:r w:rsidRPr="00C518C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1983136" w14:textId="4E111295" w:rsidR="00506AA8" w:rsidRPr="00C518CE" w:rsidRDefault="00506AA8" w:rsidP="00506AA8">
      <w:pPr>
        <w:spacing w:after="0" w:line="276" w:lineRule="auto"/>
        <w:jc w:val="both"/>
        <w:rPr>
          <w:rFonts w:ascii="Verdana" w:eastAsia="Calibri" w:hAnsi="Verdana" w:cs="Times New Roman"/>
          <w:lang w:eastAsia="es-MX"/>
        </w:rPr>
      </w:pPr>
    </w:p>
    <w:p w14:paraId="46A4892F" w14:textId="3555BD7F" w:rsidR="00506AA8" w:rsidRPr="00C518CE" w:rsidRDefault="00506AA8" w:rsidP="00506AA8">
      <w:pPr>
        <w:spacing w:after="0" w:line="276" w:lineRule="auto"/>
        <w:jc w:val="both"/>
        <w:rPr>
          <w:rFonts w:ascii="Verdana" w:eastAsia="Calibri" w:hAnsi="Verdana" w:cs="Times New Roman"/>
          <w:lang w:eastAsia="es-MX"/>
        </w:rPr>
      </w:pPr>
      <w:r w:rsidRPr="00C518CE">
        <w:rPr>
          <w:rFonts w:ascii="Verdana" w:eastAsia="Calibri" w:hAnsi="Verdana" w:cs="Times New Roman"/>
          <w:lang w:eastAsia="es-MX"/>
        </w:rPr>
        <w:t>Cordialmente,</w:t>
      </w:r>
    </w:p>
    <w:p w14:paraId="00A87B95" w14:textId="3BC98C5F" w:rsidR="00506AA8" w:rsidRPr="00DD139C" w:rsidRDefault="00DD139C" w:rsidP="00DD139C">
      <w:pPr>
        <w:tabs>
          <w:tab w:val="left" w:pos="1320"/>
        </w:tabs>
        <w:spacing w:after="0"/>
        <w:jc w:val="center"/>
        <w:rPr>
          <w:rFonts w:ascii="Verdana" w:eastAsia="Calibri" w:hAnsi="Verdana" w:cs="Times New Roman"/>
          <w:lang w:eastAsia="es-MX"/>
        </w:rPr>
      </w:pPr>
      <w:r>
        <w:rPr>
          <w:rFonts w:ascii="Verdana" w:eastAsia="Calibri" w:hAnsi="Verdana" w:cs="Times New Roman"/>
          <w:noProof/>
          <w:lang w:eastAsia="es-MX"/>
        </w:rPr>
        <w:drawing>
          <wp:inline distT="0" distB="0" distL="0" distR="0" wp14:anchorId="4F91B059" wp14:editId="2FCAA0FE">
            <wp:extent cx="3493311" cy="1298561"/>
            <wp:effectExtent l="0" t="0" r="0" b="0"/>
            <wp:docPr id="1901669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69808" name="Imagen 1901669808"/>
                    <pic:cNvPicPr/>
                  </pic:nvPicPr>
                  <pic:blipFill>
                    <a:blip r:embed="rId18">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p>
    <w:p w14:paraId="56553F06" w14:textId="77777777" w:rsidR="00506AA8" w:rsidRPr="00C518CE" w:rsidRDefault="00506AA8" w:rsidP="00506AA8">
      <w:pPr>
        <w:spacing w:after="0"/>
        <w:jc w:val="both"/>
        <w:rPr>
          <w:rFonts w:ascii="Verdana" w:hAnsi="Verdana"/>
          <w:sz w:val="16"/>
          <w:szCs w:val="16"/>
          <w:lang w:val="es-MX"/>
        </w:rPr>
      </w:pPr>
    </w:p>
    <w:tbl>
      <w:tblPr>
        <w:tblW w:w="6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6"/>
        <w:gridCol w:w="5126"/>
      </w:tblGrid>
      <w:tr w:rsidR="00506AA8" w:rsidRPr="00C518CE" w14:paraId="79B6FE6B" w14:textId="77777777" w:rsidTr="00506AA8">
        <w:trPr>
          <w:trHeight w:val="193"/>
        </w:trPr>
        <w:tc>
          <w:tcPr>
            <w:tcW w:w="1456" w:type="dxa"/>
            <w:tcBorders>
              <w:top w:val="nil"/>
              <w:left w:val="nil"/>
              <w:bottom w:val="nil"/>
              <w:right w:val="nil"/>
            </w:tcBorders>
            <w:vAlign w:val="center"/>
          </w:tcPr>
          <w:p w14:paraId="1F5F9B87"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Elaboró: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31DE556C"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Denis Andrea Cárdenas Hernández</w:t>
            </w:r>
          </w:p>
          <w:p w14:paraId="397FDFBC"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Analista T2-1 de la Subdirección de Gestión Contractual</w:t>
            </w:r>
          </w:p>
        </w:tc>
      </w:tr>
      <w:tr w:rsidR="00506AA8" w:rsidRPr="00C518CE" w14:paraId="5BC0D557" w14:textId="77777777" w:rsidTr="00506AA8">
        <w:trPr>
          <w:trHeight w:val="320"/>
        </w:trPr>
        <w:tc>
          <w:tcPr>
            <w:tcW w:w="1456" w:type="dxa"/>
            <w:tcBorders>
              <w:top w:val="nil"/>
              <w:left w:val="nil"/>
              <w:bottom w:val="nil"/>
              <w:right w:val="nil"/>
            </w:tcBorders>
            <w:vAlign w:val="center"/>
          </w:tcPr>
          <w:p w14:paraId="7C4B47E0"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Revisó: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6F116A10"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Martha Alicia Romero Vargas</w:t>
            </w:r>
          </w:p>
          <w:p w14:paraId="0A1ED43D"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Gestor T1-15 de la Subdirección de Gestión Contractual</w:t>
            </w:r>
          </w:p>
        </w:tc>
      </w:tr>
      <w:tr w:rsidR="00506AA8" w:rsidRPr="007877F2" w14:paraId="023F88C8" w14:textId="77777777" w:rsidTr="00506AA8">
        <w:trPr>
          <w:trHeight w:val="239"/>
        </w:trPr>
        <w:tc>
          <w:tcPr>
            <w:tcW w:w="1456" w:type="dxa"/>
            <w:tcBorders>
              <w:top w:val="nil"/>
              <w:left w:val="nil"/>
              <w:bottom w:val="nil"/>
              <w:right w:val="nil"/>
            </w:tcBorders>
            <w:vAlign w:val="center"/>
          </w:tcPr>
          <w:p w14:paraId="0FC558C1"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Aprobó: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20EA980A" w14:textId="77777777" w:rsidR="00506AA8" w:rsidRPr="00C518CE"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Carolina Quintero Gacharna</w:t>
            </w:r>
          </w:p>
          <w:p w14:paraId="62D78CC0" w14:textId="77777777" w:rsidR="00506AA8" w:rsidRPr="007877F2" w:rsidRDefault="00506AA8" w:rsidP="00506AA8">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Subdirectora de Gestión Contractual ANCP – CCE</w:t>
            </w:r>
            <w:r>
              <w:rPr>
                <w:rFonts w:ascii="Verdana" w:eastAsia="Times New Roman" w:hAnsi="Verdana" w:cs="Arial"/>
                <w:sz w:val="16"/>
                <w:szCs w:val="16"/>
                <w:lang w:eastAsia="es-CO"/>
              </w:rPr>
              <w:t xml:space="preserve"> </w:t>
            </w:r>
          </w:p>
        </w:tc>
      </w:tr>
    </w:tbl>
    <w:p w14:paraId="70FCDE30" w14:textId="7C93DC83" w:rsidR="00506AA8" w:rsidRPr="00D40955" w:rsidRDefault="00506AA8" w:rsidP="00506AA8">
      <w:pPr>
        <w:spacing w:after="0"/>
        <w:jc w:val="both"/>
        <w:rPr>
          <w:rFonts w:ascii="Verdana" w:hAnsi="Verdana"/>
          <w:color w:val="0000FF"/>
          <w:u w:val="single"/>
        </w:rPr>
      </w:pPr>
    </w:p>
    <w:p w14:paraId="2FE4D83E" w14:textId="26BE5F8B" w:rsidR="00506AA8" w:rsidRPr="00A31155" w:rsidRDefault="00506AA8" w:rsidP="00506AA8">
      <w:pPr>
        <w:spacing w:after="0" w:line="240" w:lineRule="auto"/>
        <w:jc w:val="both"/>
        <w:rPr>
          <w:rFonts w:ascii="Verdana" w:eastAsia="Verdana" w:hAnsi="Verdana" w:cs="Verdana"/>
          <w:b/>
          <w:bCs/>
          <w:lang w:val="es-MX"/>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bookmarkEnd w:id="0"/>
    <w:p w14:paraId="69BC4D14" w14:textId="7607384A"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8DEF" w14:textId="77777777" w:rsidR="00657040" w:rsidRDefault="00657040" w:rsidP="004A1847">
      <w:pPr>
        <w:spacing w:after="0" w:line="240" w:lineRule="auto"/>
      </w:pPr>
      <w:r>
        <w:separator/>
      </w:r>
    </w:p>
  </w:endnote>
  <w:endnote w:type="continuationSeparator" w:id="0">
    <w:p w14:paraId="52AA2B0A" w14:textId="77777777" w:rsidR="00657040" w:rsidRDefault="00657040" w:rsidP="004A1847">
      <w:pPr>
        <w:spacing w:after="0" w:line="240" w:lineRule="auto"/>
      </w:pPr>
      <w:r>
        <w:continuationSeparator/>
      </w:r>
    </w:p>
  </w:endnote>
  <w:endnote w:type="continuationNotice" w:id="1">
    <w:p w14:paraId="2D481E41" w14:textId="77777777" w:rsidR="00657040" w:rsidRDefault="00657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70AB" w14:textId="77777777" w:rsidR="00657040" w:rsidRDefault="00657040" w:rsidP="004A1847">
      <w:pPr>
        <w:spacing w:after="0" w:line="240" w:lineRule="auto"/>
      </w:pPr>
      <w:r>
        <w:separator/>
      </w:r>
    </w:p>
  </w:footnote>
  <w:footnote w:type="continuationSeparator" w:id="0">
    <w:p w14:paraId="2E6DC087" w14:textId="77777777" w:rsidR="00657040" w:rsidRDefault="00657040" w:rsidP="004A1847">
      <w:pPr>
        <w:spacing w:after="0" w:line="240" w:lineRule="auto"/>
      </w:pPr>
      <w:r>
        <w:continuationSeparator/>
      </w:r>
    </w:p>
  </w:footnote>
  <w:footnote w:type="continuationNotice" w:id="1">
    <w:p w14:paraId="19C077A8" w14:textId="77777777" w:rsidR="00657040" w:rsidRDefault="00657040">
      <w:pPr>
        <w:spacing w:after="0" w:line="240" w:lineRule="auto"/>
      </w:pPr>
    </w:p>
  </w:footnote>
  <w:footnote w:id="2">
    <w:p w14:paraId="41E1D654" w14:textId="77777777" w:rsidR="00506AA8" w:rsidRPr="00D9788E" w:rsidRDefault="00506AA8" w:rsidP="00506AA8">
      <w:pPr>
        <w:pStyle w:val="Textonotapie"/>
        <w:ind w:firstLine="720"/>
        <w:jc w:val="both"/>
        <w:rPr>
          <w:rFonts w:ascii="Verdana" w:hAnsi="Verdana" w:cs="Arial"/>
          <w:sz w:val="16"/>
          <w:szCs w:val="16"/>
        </w:rPr>
      </w:pPr>
      <w:r w:rsidRPr="00D9788E">
        <w:rPr>
          <w:rStyle w:val="Refdenotaalpie"/>
          <w:rFonts w:ascii="Verdana" w:hAnsi="Verdana" w:cs="Arial"/>
          <w:sz w:val="16"/>
          <w:szCs w:val="16"/>
        </w:rPr>
        <w:footnoteRef/>
      </w:r>
      <w:r w:rsidRPr="00D9788E">
        <w:rPr>
          <w:rFonts w:ascii="Verdana" w:hAnsi="Verdana" w:cs="Arial"/>
          <w:sz w:val="16"/>
          <w:szCs w:val="16"/>
        </w:rPr>
        <w:t xml:space="preserve"> CORTE CONSTITUCIONAL. Sentencia C-949 del 5 de septiembre de 2001. M.P. Clara Inés Vargas Hernández.  </w:t>
      </w:r>
    </w:p>
  </w:footnote>
  <w:footnote w:id="3">
    <w:p w14:paraId="0FE81C4D" w14:textId="77777777" w:rsidR="00506AA8" w:rsidRPr="00C369AB" w:rsidRDefault="00506AA8" w:rsidP="00506AA8">
      <w:pPr>
        <w:pStyle w:val="Textonotapie"/>
        <w:ind w:firstLine="709"/>
        <w:rPr>
          <w:rFonts w:ascii="Verdana" w:hAnsi="Verdana"/>
          <w:sz w:val="16"/>
          <w:szCs w:val="16"/>
        </w:rPr>
      </w:pPr>
      <w:r w:rsidRPr="00C369AB">
        <w:rPr>
          <w:rStyle w:val="Refdenotaalpie"/>
          <w:rFonts w:ascii="Verdana" w:hAnsi="Verdana"/>
          <w:sz w:val="16"/>
          <w:szCs w:val="16"/>
        </w:rPr>
        <w:footnoteRef/>
      </w:r>
      <w:r w:rsidRPr="00C369AB">
        <w:rPr>
          <w:rFonts w:ascii="Verdana" w:hAnsi="Verdana"/>
          <w:sz w:val="16"/>
          <w:szCs w:val="16"/>
        </w:rPr>
        <w:t xml:space="preserve"> Disponible en </w:t>
      </w:r>
      <w:hyperlink r:id="rId1" w:history="1">
        <w:r w:rsidRPr="00C369AB">
          <w:rPr>
            <w:rStyle w:val="Hipervnculo"/>
            <w:rFonts w:ascii="Verdana" w:hAnsi="Verdana"/>
            <w:sz w:val="16"/>
            <w:szCs w:val="16"/>
            <w:lang w:val="es-CO"/>
          </w:rPr>
          <w:t>subcontratar | Definición | Diccionario de la lengua española | RAE - ASALE</w:t>
        </w:r>
      </w:hyperlink>
    </w:p>
    <w:p w14:paraId="569269E6" w14:textId="77777777" w:rsidR="00506AA8" w:rsidRPr="00C369AB" w:rsidRDefault="00506AA8" w:rsidP="00506AA8">
      <w:pPr>
        <w:pStyle w:val="Textonotapie"/>
      </w:pPr>
    </w:p>
  </w:footnote>
  <w:footnote w:id="4">
    <w:p w14:paraId="49F571AC"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vertAlign w:val="superscript"/>
        </w:rPr>
        <w:t xml:space="preserve"> </w:t>
      </w:r>
      <w:r>
        <w:rPr>
          <w:rFonts w:ascii="Verdana" w:hAnsi="Verdana" w:cs="Arial"/>
          <w:sz w:val="16"/>
          <w:szCs w:val="16"/>
        </w:rPr>
        <w:t>El inciso final del numeral 5 “encargos fiduciarios y fiducia pública” del artículo 32 de la Ley 80 de 1993 señala lo siguiente: “So pena de nulidad no podrán celebrarse contratos de fiducia o subcontratos en contravención del artículo 355 de la Constitución Política. Si tal evento se diese, la entidad fideicomitente deberá repetir contra la persona, natural o jurídica, adjudicataria del respectivo contrato”.</w:t>
      </w:r>
    </w:p>
    <w:p w14:paraId="6816BA82" w14:textId="77777777" w:rsidR="00506AA8" w:rsidRDefault="00506AA8" w:rsidP="00506AA8">
      <w:pPr>
        <w:pStyle w:val="Textonotapie"/>
        <w:ind w:firstLine="708"/>
        <w:jc w:val="both"/>
        <w:rPr>
          <w:rFonts w:ascii="Verdana" w:hAnsi="Verdana" w:cs="Arial"/>
          <w:sz w:val="16"/>
          <w:szCs w:val="16"/>
        </w:rPr>
      </w:pPr>
    </w:p>
  </w:footnote>
  <w:footnote w:id="5">
    <w:p w14:paraId="4AFE0410"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rPr>
        <w:t xml:space="preserve">  El literal c del numeral 4 del artículo 2 de la Ley 1150 de 2007 dispone que: “En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p w14:paraId="0DEEB6CD" w14:textId="77777777" w:rsidR="00506AA8" w:rsidRDefault="00506AA8" w:rsidP="00506AA8">
      <w:pPr>
        <w:pStyle w:val="Textonotapie"/>
        <w:ind w:firstLine="708"/>
        <w:jc w:val="both"/>
        <w:rPr>
          <w:rFonts w:ascii="Verdana" w:hAnsi="Verdana" w:cs="Arial"/>
          <w:sz w:val="16"/>
          <w:szCs w:val="16"/>
        </w:rPr>
      </w:pPr>
    </w:p>
  </w:footnote>
  <w:footnote w:id="6">
    <w:p w14:paraId="19E799E9"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rPr>
        <w:t xml:space="preserve"> El artículo 2.2.1.2.3.1.5 del Decreto 1082 de 2015 hace mención a la subcontratación en lo relacionado con las garantías, particularmente en los riesgos a los que se encuentran expuestas las entidades estatales, derivados de la responsabilidad extracontractual que pueda surgir por las actuaciones, hechos u omisiones de sus contratistas y subcontratistas. </w:t>
      </w:r>
    </w:p>
    <w:p w14:paraId="65084567" w14:textId="77777777" w:rsidR="00506AA8" w:rsidRDefault="00506AA8" w:rsidP="00506AA8">
      <w:pPr>
        <w:pStyle w:val="Textonotapie"/>
        <w:ind w:firstLine="708"/>
        <w:jc w:val="both"/>
        <w:rPr>
          <w:rFonts w:ascii="Verdana" w:hAnsi="Verdana" w:cs="Arial"/>
          <w:sz w:val="16"/>
          <w:szCs w:val="16"/>
        </w:rPr>
      </w:pPr>
    </w:p>
  </w:footnote>
  <w:footnote w:id="7">
    <w:p w14:paraId="095B5E62" w14:textId="77777777" w:rsidR="00506AA8" w:rsidRDefault="00506AA8" w:rsidP="00506AA8">
      <w:pPr>
        <w:pStyle w:val="Textonotapie"/>
        <w:ind w:firstLine="709"/>
        <w:jc w:val="both"/>
        <w:rPr>
          <w:rFonts w:ascii="Verdana" w:hAnsi="Verdana" w:cs="Arial"/>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cs="Arial"/>
          <w:sz w:val="16"/>
          <w:szCs w:val="16"/>
        </w:rPr>
        <w:t>El artículo 7 del Decreto 092 de 2017 señala lo siguiente: “La contratación a la que hace referencia el presente decreto está sujeta a los principios de la contratación estatal y a las normas presupuestales aplicables. En consecuencia, las normas relativas a la publicidad son de obligatorio cumplimiento, por lo cual, la actividad contractual y los Documentos del Proceso de que trata el presente decreto deberán ser objeto de publicación en el Sistema Electrónico de Contratación Pública (SECOP). Adicionalmente, la entidad privada sin ánimo de lucro contratista deberá entregar a la Entidad Estatal, y esta publicar en el SECOP, la información relativa a los subcontratos que suscriba para desarrollar el programa o actividad de interés público previsto en el Plan Nacional o seccional de Desarrollo, incluyendo los datos referentes a la existencia y representación legal de la entidad con quien contrató y la información de pagos” (Énfasis por fuera de texto).</w:t>
      </w:r>
    </w:p>
    <w:p w14:paraId="1140808A" w14:textId="77777777" w:rsidR="00506AA8" w:rsidRDefault="00506AA8" w:rsidP="00506AA8">
      <w:pPr>
        <w:pStyle w:val="Textonotapie"/>
        <w:ind w:firstLine="709"/>
        <w:jc w:val="both"/>
        <w:rPr>
          <w:rFonts w:ascii="Verdana" w:hAnsi="Verdana" w:cs="Arial"/>
          <w:sz w:val="16"/>
          <w:szCs w:val="16"/>
        </w:rPr>
      </w:pPr>
    </w:p>
  </w:footnote>
  <w:footnote w:id="8">
    <w:p w14:paraId="728FE4AE"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vertAlign w:val="superscript"/>
        </w:rPr>
        <w:t xml:space="preserve"> </w:t>
      </w:r>
      <w:r>
        <w:rPr>
          <w:rFonts w:ascii="Verdana" w:hAnsi="Verdana" w:cs="Arial"/>
          <w:sz w:val="16"/>
          <w:szCs w:val="16"/>
        </w:rPr>
        <w:t xml:space="preserve">RAMÍREZ GRISALES, Richard Steve. La Subcontratación. Serie: Las cláusulas del contrato estatal. Librería Jurídica Sánchez R. Ltda. y Centro de Estudios de Derecho Administrativo –CEDA-, Medellín, 2012, p. 26. </w:t>
      </w:r>
    </w:p>
    <w:p w14:paraId="1544CA0B" w14:textId="77777777" w:rsidR="00506AA8" w:rsidRDefault="00506AA8" w:rsidP="00506AA8">
      <w:pPr>
        <w:pStyle w:val="Textonotapie"/>
        <w:ind w:firstLine="708"/>
        <w:jc w:val="both"/>
        <w:rPr>
          <w:rFonts w:ascii="Verdana" w:hAnsi="Verdana" w:cs="Arial"/>
          <w:sz w:val="16"/>
          <w:szCs w:val="16"/>
        </w:rPr>
      </w:pPr>
    </w:p>
  </w:footnote>
  <w:footnote w:id="9">
    <w:p w14:paraId="0B07D1F4"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vertAlign w:val="superscript"/>
        </w:rPr>
        <w:t xml:space="preserve"> </w:t>
      </w:r>
      <w:r>
        <w:rPr>
          <w:rFonts w:ascii="Verdana" w:hAnsi="Verdana" w:cs="Arial"/>
          <w:sz w:val="16"/>
          <w:szCs w:val="16"/>
        </w:rPr>
        <w:t>TRABALÓN Cristóbal. Tratado Legal de Construcción. Editorial Tébar Flores. Madrid. 2015.</w:t>
      </w:r>
    </w:p>
    <w:p w14:paraId="460E3BD5" w14:textId="77777777" w:rsidR="00506AA8" w:rsidRDefault="00506AA8" w:rsidP="00506AA8">
      <w:pPr>
        <w:pStyle w:val="Textonotapie"/>
        <w:ind w:firstLine="708"/>
        <w:jc w:val="both"/>
        <w:rPr>
          <w:rFonts w:ascii="Verdana" w:hAnsi="Verdana" w:cs="Arial"/>
          <w:sz w:val="16"/>
          <w:szCs w:val="16"/>
        </w:rPr>
      </w:pPr>
    </w:p>
  </w:footnote>
  <w:footnote w:id="10">
    <w:p w14:paraId="2B1A2B14"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vertAlign w:val="superscript"/>
        </w:rPr>
        <w:t xml:space="preserve"> </w:t>
      </w:r>
      <w:r>
        <w:rPr>
          <w:rFonts w:ascii="Verdana" w:hAnsi="Verdana" w:cs="Arial"/>
          <w:i/>
          <w:iCs/>
          <w:sz w:val="16"/>
          <w:szCs w:val="16"/>
        </w:rPr>
        <w:t>Ibidem</w:t>
      </w:r>
      <w:r>
        <w:rPr>
          <w:rFonts w:ascii="Verdana" w:hAnsi="Verdana" w:cs="Arial"/>
          <w:sz w:val="16"/>
          <w:szCs w:val="16"/>
        </w:rPr>
        <w:t xml:space="preserve">. </w:t>
      </w:r>
    </w:p>
    <w:p w14:paraId="25F369CC" w14:textId="77777777" w:rsidR="00506AA8" w:rsidRDefault="00506AA8" w:rsidP="00506AA8">
      <w:pPr>
        <w:pStyle w:val="Textonotapie"/>
        <w:ind w:firstLine="708"/>
        <w:jc w:val="both"/>
        <w:rPr>
          <w:rFonts w:ascii="Verdana" w:hAnsi="Verdana" w:cs="Arial"/>
          <w:sz w:val="16"/>
          <w:szCs w:val="16"/>
        </w:rPr>
      </w:pPr>
    </w:p>
  </w:footnote>
  <w:footnote w:id="11">
    <w:p w14:paraId="062E6E2F" w14:textId="77777777" w:rsidR="00506AA8" w:rsidRDefault="00506AA8" w:rsidP="00506AA8">
      <w:pPr>
        <w:pStyle w:val="Textonotapie"/>
        <w:ind w:firstLine="708"/>
        <w:jc w:val="both"/>
        <w:rPr>
          <w:rFonts w:ascii="Verdana" w:hAnsi="Verdana" w:cs="Arial"/>
          <w:sz w:val="16"/>
          <w:szCs w:val="16"/>
        </w:rPr>
      </w:pPr>
      <w:r>
        <w:rPr>
          <w:rFonts w:ascii="Verdana" w:hAnsi="Verdana"/>
          <w:sz w:val="16"/>
          <w:szCs w:val="16"/>
          <w:vertAlign w:val="superscript"/>
        </w:rPr>
        <w:footnoteRef/>
      </w:r>
      <w:r>
        <w:rPr>
          <w:rFonts w:ascii="Verdana" w:hAnsi="Verdana" w:cs="Arial"/>
          <w:sz w:val="16"/>
          <w:szCs w:val="16"/>
        </w:rPr>
        <w:t xml:space="preserve"> Consejo de Estado. Sala de lo Contencioso Administrativo. Sección Tercera. Subsección C. Sentencia del 12 de agosto de 2013. Radicación número: 52001-23-31-000-1999-00985-01 (23.088) C.P. Enrique Gil Botero. </w:t>
      </w:r>
    </w:p>
    <w:p w14:paraId="3E45C7F5" w14:textId="77777777" w:rsidR="00506AA8" w:rsidRDefault="00506AA8" w:rsidP="00506AA8">
      <w:pPr>
        <w:pStyle w:val="Textonotapie"/>
        <w:ind w:firstLine="708"/>
        <w:jc w:val="both"/>
        <w:rPr>
          <w:rFonts w:ascii="Verdana" w:hAnsi="Verdana" w:cs="Arial"/>
          <w:sz w:val="16"/>
          <w:szCs w:val="16"/>
        </w:rPr>
      </w:pPr>
    </w:p>
  </w:footnote>
  <w:footnote w:id="12">
    <w:p w14:paraId="1614D567" w14:textId="77777777" w:rsidR="00506AA8" w:rsidRDefault="00506AA8" w:rsidP="00506AA8">
      <w:pPr>
        <w:pStyle w:val="Textonotapie"/>
        <w:ind w:firstLine="708"/>
        <w:jc w:val="both"/>
        <w:rPr>
          <w:rFonts w:ascii="Verdana" w:hAnsi="Verdana"/>
          <w:sz w:val="16"/>
          <w:szCs w:val="16"/>
          <w:lang w:val="es-CO"/>
        </w:rPr>
      </w:pPr>
      <w:r>
        <w:rPr>
          <w:rStyle w:val="Refdenotaalpie"/>
          <w:rFonts w:ascii="Verdana" w:hAnsi="Verdana"/>
          <w:sz w:val="16"/>
          <w:szCs w:val="16"/>
        </w:rPr>
        <w:footnoteRef/>
      </w:r>
      <w:r>
        <w:rPr>
          <w:rFonts w:ascii="Verdana" w:hAnsi="Verdana"/>
          <w:sz w:val="16"/>
          <w:szCs w:val="16"/>
        </w:rPr>
        <w:t xml:space="preserve"> Por ejemplo, </w:t>
      </w:r>
      <w:r>
        <w:rPr>
          <w:rFonts w:ascii="Verdana" w:hAnsi="Verdana"/>
          <w:sz w:val="16"/>
          <w:szCs w:val="16"/>
          <w:lang w:val="es-CO"/>
        </w:rPr>
        <w:t>el inciso 4 del literal c del numeral 4 del artículo 2 de la Ley 1150 de 2007 dispone que, tratándose de contratos interadministrativos, “En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footnote>
  <w:footnote w:id="13">
    <w:p w14:paraId="384B8A43" w14:textId="77777777" w:rsidR="00506AA8" w:rsidRDefault="00506AA8" w:rsidP="00506AA8">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BIANCA, Massimo. Derecho civil III: el contrato. Segunda edición. Bogotá: Universidad Externado de Colombia, 2007. p. 748.</w:t>
      </w:r>
    </w:p>
    <w:p w14:paraId="45040EDF" w14:textId="77777777" w:rsidR="00506AA8" w:rsidRDefault="00506AA8" w:rsidP="00506AA8">
      <w:pPr>
        <w:pStyle w:val="Textonotapie"/>
        <w:ind w:firstLine="708"/>
        <w:jc w:val="both"/>
        <w:rPr>
          <w:rFonts w:ascii="Verdana" w:hAnsi="Verdana"/>
          <w:sz w:val="16"/>
          <w:szCs w:val="16"/>
          <w:lang w:val="es-CO"/>
        </w:rPr>
      </w:pPr>
    </w:p>
  </w:footnote>
  <w:footnote w:id="14">
    <w:p w14:paraId="47BB5561" w14:textId="77777777" w:rsidR="00506AA8" w:rsidRDefault="00506AA8" w:rsidP="00506AA8">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En efecto, BIANCA define la subcontratación como “[…] el contrato mediante el cual una parte vuelve a emplear frente a un </w:t>
      </w:r>
      <w:r>
        <w:rPr>
          <w:rFonts w:ascii="Verdana" w:hAnsi="Verdana"/>
          <w:i/>
          <w:iCs/>
          <w:sz w:val="16"/>
          <w:szCs w:val="16"/>
        </w:rPr>
        <w:t>tercero</w:t>
      </w:r>
      <w:r>
        <w:rPr>
          <w:rFonts w:ascii="Verdana" w:hAnsi="Verdana"/>
          <w:sz w:val="16"/>
          <w:szCs w:val="16"/>
        </w:rPr>
        <w:t xml:space="preserve"> la posición que ella misma tiene en un contrato en curso, llamado contrato base. El subcontrato reproduce el mismo tipo de operación económica del contrato base, pero la parte asume con el </w:t>
      </w:r>
      <w:r>
        <w:rPr>
          <w:rFonts w:ascii="Verdana" w:hAnsi="Verdana"/>
          <w:i/>
          <w:iCs/>
          <w:sz w:val="16"/>
          <w:szCs w:val="16"/>
        </w:rPr>
        <w:t>tercero</w:t>
      </w:r>
      <w:r>
        <w:rPr>
          <w:rFonts w:ascii="Verdana" w:hAnsi="Verdana"/>
          <w:sz w:val="16"/>
          <w:szCs w:val="16"/>
        </w:rPr>
        <w:t xml:space="preserve"> el papel contrario de aquel que tiene en tal contrato […]” (</w:t>
      </w:r>
      <w:r>
        <w:rPr>
          <w:rFonts w:ascii="Verdana" w:hAnsi="Verdana"/>
          <w:i/>
          <w:iCs/>
          <w:sz w:val="16"/>
          <w:szCs w:val="16"/>
        </w:rPr>
        <w:t>ibidem</w:t>
      </w:r>
      <w:r>
        <w:rPr>
          <w:rFonts w:ascii="Verdana" w:hAnsi="Verdana"/>
          <w:sz w:val="16"/>
          <w:szCs w:val="16"/>
        </w:rPr>
        <w:t xml:space="preserve">. Énfasis fuera de texto). </w:t>
      </w:r>
    </w:p>
    <w:p w14:paraId="78C7584E" w14:textId="77777777" w:rsidR="00506AA8" w:rsidRDefault="00506AA8" w:rsidP="00506AA8">
      <w:pPr>
        <w:pStyle w:val="Textonotapie"/>
        <w:ind w:firstLine="708"/>
        <w:jc w:val="both"/>
        <w:rPr>
          <w:rFonts w:ascii="Verdana" w:hAnsi="Verdana"/>
          <w:sz w:val="16"/>
          <w:szCs w:val="16"/>
          <w:lang w:val="es-CO"/>
        </w:rPr>
      </w:pPr>
      <w:r>
        <w:rPr>
          <w:rFonts w:ascii="Verdana" w:hAnsi="Verdana"/>
          <w:sz w:val="16"/>
          <w:szCs w:val="16"/>
        </w:rPr>
        <w:t xml:space="preserve">De forma similar, para ANDREOLI, la cesión corresponde al “[…] </w:t>
      </w:r>
      <w:r>
        <w:rPr>
          <w:rFonts w:ascii="Verdana" w:hAnsi="Verdana"/>
          <w:sz w:val="16"/>
          <w:szCs w:val="16"/>
          <w:lang w:val="es-CO"/>
        </w:rPr>
        <w:t xml:space="preserve">instrumento que permite realizar la llamada </w:t>
      </w:r>
      <w:r>
        <w:rPr>
          <w:rFonts w:ascii="Verdana" w:hAnsi="Verdana"/>
          <w:i/>
          <w:iCs/>
          <w:sz w:val="16"/>
          <w:szCs w:val="16"/>
          <w:lang w:val="es-CO"/>
        </w:rPr>
        <w:t>circulación del contrato</w:t>
      </w:r>
      <w:r>
        <w:rPr>
          <w:rFonts w:ascii="Verdana" w:hAnsi="Verdana"/>
          <w:sz w:val="16"/>
          <w:szCs w:val="16"/>
          <w:lang w:val="es-CO"/>
        </w:rPr>
        <w:t xml:space="preserve">, es decir, la transferencia negocial a un tercero (llamado </w:t>
      </w:r>
      <w:r>
        <w:rPr>
          <w:rFonts w:ascii="Verdana" w:hAnsi="Verdana"/>
          <w:i/>
          <w:iCs/>
          <w:sz w:val="16"/>
          <w:szCs w:val="16"/>
          <w:lang w:val="es-CO"/>
        </w:rPr>
        <w:t>cesionario</w:t>
      </w:r>
      <w:r>
        <w:rPr>
          <w:rFonts w:ascii="Verdana" w:hAnsi="Verdana"/>
          <w:sz w:val="16"/>
          <w:szCs w:val="16"/>
          <w:lang w:val="es-CO"/>
        </w:rPr>
        <w:t xml:space="preserve">) del conjunto de posiciones contractuales (entendido como resultante unitario de derechos y obligaciones orgánicamente interdependientes), constituida en la persona de uno de los originarios contratantes (llamado </w:t>
      </w:r>
      <w:r>
        <w:rPr>
          <w:rFonts w:ascii="Verdana" w:hAnsi="Verdana"/>
          <w:i/>
          <w:iCs/>
          <w:sz w:val="16"/>
          <w:szCs w:val="16"/>
          <w:lang w:val="es-CO"/>
        </w:rPr>
        <w:t>cedente</w:t>
      </w:r>
      <w:r>
        <w:rPr>
          <w:rFonts w:ascii="Verdana" w:hAnsi="Verdana"/>
          <w:sz w:val="16"/>
          <w:szCs w:val="16"/>
          <w:lang w:val="es-CO"/>
        </w:rPr>
        <w:t xml:space="preserve">); de tal forma que, a través de esa sustitución </w:t>
      </w:r>
      <w:r>
        <w:rPr>
          <w:rFonts w:ascii="Verdana" w:hAnsi="Verdana"/>
          <w:i/>
          <w:iCs/>
          <w:sz w:val="16"/>
          <w:szCs w:val="16"/>
          <w:lang w:val="es-CO"/>
        </w:rPr>
        <w:t>negocial</w:t>
      </w:r>
      <w:r>
        <w:rPr>
          <w:rFonts w:ascii="Verdana" w:hAnsi="Verdana"/>
          <w:sz w:val="16"/>
          <w:szCs w:val="16"/>
          <w:lang w:val="es-CO"/>
        </w:rPr>
        <w:t xml:space="preserve"> del tercero en la posición de ‘parte’ del contrato, en lugar del cedente, dicho tercero subentra en la totalidad de los derechos y obligaciones que en su orgánica interdependencia se derivan del contrato estipulado por el cedente” (ANDREOLI, Marcello. La cesión del contrato. Santiago: Ediciones Olejnik, 2019. p. 12. Énfasis dentro del texto).</w:t>
      </w:r>
    </w:p>
    <w:p w14:paraId="1293A206" w14:textId="77777777" w:rsidR="00506AA8" w:rsidRDefault="00506AA8" w:rsidP="00506AA8">
      <w:pPr>
        <w:pStyle w:val="Textonotapie"/>
        <w:ind w:firstLine="708"/>
        <w:jc w:val="both"/>
        <w:rPr>
          <w:rFonts w:ascii="Verdana" w:hAnsi="Verdana"/>
          <w:sz w:val="16"/>
          <w:szCs w:val="16"/>
          <w:lang w:val="es-CO"/>
        </w:rPr>
      </w:pPr>
    </w:p>
  </w:footnote>
  <w:footnote w:id="15">
    <w:p w14:paraId="44BB730E" w14:textId="77777777" w:rsidR="00506AA8" w:rsidRDefault="00506AA8" w:rsidP="00506AA8">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hAnsi="Verdana" w:cs="Arial"/>
          <w:sz w:val="16"/>
          <w:szCs w:val="16"/>
          <w:lang w:val="es-CO"/>
        </w:rPr>
        <w:t>RAMÍREZ GRISALES, Richard. La cesión. Serie: Las cláusulas del contrato estatal. Medellín: Centro de Estudios de Derecho Administrativo –CEDA– y Librería Jurídica Sánchez R., 2014.</w:t>
      </w:r>
      <w:r>
        <w:rPr>
          <w:rFonts w:ascii="Verdana" w:hAnsi="Verdana" w:cs="Arial"/>
          <w:sz w:val="16"/>
          <w:szCs w:val="16"/>
        </w:rPr>
        <w:t xml:space="preserve"> pp.162-163. </w:t>
      </w:r>
    </w:p>
  </w:footnote>
  <w:footnote w:id="16">
    <w:p w14:paraId="6639C6BC" w14:textId="77777777" w:rsidR="00506AA8" w:rsidRPr="00043FE7" w:rsidRDefault="00506AA8" w:rsidP="00506AA8">
      <w:pPr>
        <w:pStyle w:val="Textonotapie"/>
        <w:ind w:firstLine="708"/>
        <w:jc w:val="both"/>
        <w:rPr>
          <w:rFonts w:ascii="Verdana" w:hAnsi="Verdana"/>
          <w:sz w:val="16"/>
          <w:szCs w:val="16"/>
          <w:lang w:val="es-CO"/>
        </w:rPr>
      </w:pPr>
      <w:r>
        <w:rPr>
          <w:rStyle w:val="Refdenotaalpie"/>
          <w:rFonts w:ascii="Verdana" w:hAnsi="Verdana"/>
          <w:sz w:val="16"/>
          <w:szCs w:val="16"/>
        </w:rPr>
        <w:footnoteRef/>
      </w:r>
      <w:r>
        <w:rPr>
          <w:rFonts w:ascii="Verdana" w:hAnsi="Verdana"/>
          <w:sz w:val="16"/>
          <w:szCs w:val="16"/>
        </w:rPr>
        <w:t xml:space="preserve"> </w:t>
      </w:r>
      <w:r>
        <w:rPr>
          <w:rFonts w:ascii="Verdana" w:hAnsi="Verdana"/>
          <w:i/>
          <w:iCs/>
          <w:sz w:val="16"/>
          <w:szCs w:val="16"/>
        </w:rPr>
        <w:t>Ibidem</w:t>
      </w:r>
      <w:r>
        <w:rPr>
          <w:rFonts w:ascii="Verdana" w:hAnsi="Verdana"/>
          <w:sz w:val="16"/>
          <w:szCs w:val="16"/>
        </w:rPr>
        <w:t xml:space="preserve">, p. 159.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5D5896"/>
    <w:multiLevelType w:val="hybridMultilevel"/>
    <w:tmpl w:val="7B8AED0A"/>
    <w:lvl w:ilvl="0" w:tplc="168A19B8">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9"/>
  </w:num>
  <w:num w:numId="16" w16cid:durableId="56830172">
    <w:abstractNumId w:val="8"/>
  </w:num>
  <w:num w:numId="17" w16cid:durableId="2043244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2547"/>
    <w:rsid w:val="0003111B"/>
    <w:rsid w:val="00034B05"/>
    <w:rsid w:val="000402DF"/>
    <w:rsid w:val="00046945"/>
    <w:rsid w:val="00061B2A"/>
    <w:rsid w:val="00082362"/>
    <w:rsid w:val="000A683E"/>
    <w:rsid w:val="000B19B9"/>
    <w:rsid w:val="000B373B"/>
    <w:rsid w:val="000D0334"/>
    <w:rsid w:val="000D5DA7"/>
    <w:rsid w:val="000D6E5A"/>
    <w:rsid w:val="000F6486"/>
    <w:rsid w:val="00116940"/>
    <w:rsid w:val="00125105"/>
    <w:rsid w:val="00127233"/>
    <w:rsid w:val="00134A20"/>
    <w:rsid w:val="0015699B"/>
    <w:rsid w:val="00164C5A"/>
    <w:rsid w:val="00166F17"/>
    <w:rsid w:val="001A33BF"/>
    <w:rsid w:val="001C5BAC"/>
    <w:rsid w:val="001C6E98"/>
    <w:rsid w:val="001E4177"/>
    <w:rsid w:val="001F0B24"/>
    <w:rsid w:val="001F7DC6"/>
    <w:rsid w:val="0022380F"/>
    <w:rsid w:val="0022400B"/>
    <w:rsid w:val="002421BB"/>
    <w:rsid w:val="00242F9E"/>
    <w:rsid w:val="0025796E"/>
    <w:rsid w:val="002676B1"/>
    <w:rsid w:val="002707A2"/>
    <w:rsid w:val="00283889"/>
    <w:rsid w:val="0029154C"/>
    <w:rsid w:val="002951A0"/>
    <w:rsid w:val="002962BC"/>
    <w:rsid w:val="002979EB"/>
    <w:rsid w:val="002A093D"/>
    <w:rsid w:val="002A0DD0"/>
    <w:rsid w:val="002A49AC"/>
    <w:rsid w:val="002A64FD"/>
    <w:rsid w:val="002C7A84"/>
    <w:rsid w:val="002D408F"/>
    <w:rsid w:val="002D519C"/>
    <w:rsid w:val="002E2BF8"/>
    <w:rsid w:val="002E4FD9"/>
    <w:rsid w:val="0030657A"/>
    <w:rsid w:val="00322642"/>
    <w:rsid w:val="00322A85"/>
    <w:rsid w:val="00324168"/>
    <w:rsid w:val="00326BF4"/>
    <w:rsid w:val="00330834"/>
    <w:rsid w:val="003448F4"/>
    <w:rsid w:val="00355FA6"/>
    <w:rsid w:val="00374F5E"/>
    <w:rsid w:val="00377E3E"/>
    <w:rsid w:val="003A019D"/>
    <w:rsid w:val="003A779E"/>
    <w:rsid w:val="003B73F6"/>
    <w:rsid w:val="003C44EF"/>
    <w:rsid w:val="003D0F4D"/>
    <w:rsid w:val="003D5B0D"/>
    <w:rsid w:val="003E0499"/>
    <w:rsid w:val="003E4F80"/>
    <w:rsid w:val="003E6439"/>
    <w:rsid w:val="003F3941"/>
    <w:rsid w:val="00406575"/>
    <w:rsid w:val="00407698"/>
    <w:rsid w:val="00414C74"/>
    <w:rsid w:val="0042722E"/>
    <w:rsid w:val="00443D96"/>
    <w:rsid w:val="0044528D"/>
    <w:rsid w:val="00466E39"/>
    <w:rsid w:val="004A1847"/>
    <w:rsid w:val="004A305D"/>
    <w:rsid w:val="004A45BC"/>
    <w:rsid w:val="004C0A58"/>
    <w:rsid w:val="004D1098"/>
    <w:rsid w:val="004D7EC7"/>
    <w:rsid w:val="004E61BC"/>
    <w:rsid w:val="004F21C4"/>
    <w:rsid w:val="004F685F"/>
    <w:rsid w:val="00506AA8"/>
    <w:rsid w:val="005566E8"/>
    <w:rsid w:val="00574867"/>
    <w:rsid w:val="00591460"/>
    <w:rsid w:val="005A348D"/>
    <w:rsid w:val="005A65E0"/>
    <w:rsid w:val="005B3F05"/>
    <w:rsid w:val="005C3777"/>
    <w:rsid w:val="005C5CDC"/>
    <w:rsid w:val="005D3AD1"/>
    <w:rsid w:val="005D476C"/>
    <w:rsid w:val="005D6587"/>
    <w:rsid w:val="005E25E9"/>
    <w:rsid w:val="005E6B37"/>
    <w:rsid w:val="006174F9"/>
    <w:rsid w:val="006200BF"/>
    <w:rsid w:val="006219F8"/>
    <w:rsid w:val="006302F7"/>
    <w:rsid w:val="00646B9F"/>
    <w:rsid w:val="00653865"/>
    <w:rsid w:val="00655EDB"/>
    <w:rsid w:val="00657040"/>
    <w:rsid w:val="00665D70"/>
    <w:rsid w:val="00673BC0"/>
    <w:rsid w:val="006900D9"/>
    <w:rsid w:val="00690998"/>
    <w:rsid w:val="006C4953"/>
    <w:rsid w:val="006C7438"/>
    <w:rsid w:val="006D6423"/>
    <w:rsid w:val="006E7022"/>
    <w:rsid w:val="00701346"/>
    <w:rsid w:val="0070547A"/>
    <w:rsid w:val="00706C16"/>
    <w:rsid w:val="007202C0"/>
    <w:rsid w:val="00720D23"/>
    <w:rsid w:val="00722CD4"/>
    <w:rsid w:val="007340C3"/>
    <w:rsid w:val="00735F59"/>
    <w:rsid w:val="00743E99"/>
    <w:rsid w:val="0075235A"/>
    <w:rsid w:val="00756841"/>
    <w:rsid w:val="007649AB"/>
    <w:rsid w:val="00771D0C"/>
    <w:rsid w:val="00775F5C"/>
    <w:rsid w:val="007833AC"/>
    <w:rsid w:val="007B268C"/>
    <w:rsid w:val="007B7171"/>
    <w:rsid w:val="007C0C0F"/>
    <w:rsid w:val="007C3DC2"/>
    <w:rsid w:val="007E5497"/>
    <w:rsid w:val="007F311C"/>
    <w:rsid w:val="00806F5F"/>
    <w:rsid w:val="00816BDC"/>
    <w:rsid w:val="00820278"/>
    <w:rsid w:val="008258C9"/>
    <w:rsid w:val="00844AE9"/>
    <w:rsid w:val="0086362E"/>
    <w:rsid w:val="00867F95"/>
    <w:rsid w:val="00872BCB"/>
    <w:rsid w:val="00883BE5"/>
    <w:rsid w:val="008843B6"/>
    <w:rsid w:val="00887C5D"/>
    <w:rsid w:val="00891928"/>
    <w:rsid w:val="008963F6"/>
    <w:rsid w:val="008A029B"/>
    <w:rsid w:val="008A296C"/>
    <w:rsid w:val="008A446D"/>
    <w:rsid w:val="008B25F1"/>
    <w:rsid w:val="008D180B"/>
    <w:rsid w:val="008F0EA7"/>
    <w:rsid w:val="00923EEF"/>
    <w:rsid w:val="00927E9D"/>
    <w:rsid w:val="009405D6"/>
    <w:rsid w:val="009419F9"/>
    <w:rsid w:val="0095271E"/>
    <w:rsid w:val="0095685E"/>
    <w:rsid w:val="00961B09"/>
    <w:rsid w:val="009650A1"/>
    <w:rsid w:val="00965334"/>
    <w:rsid w:val="0097093E"/>
    <w:rsid w:val="009727DF"/>
    <w:rsid w:val="00982772"/>
    <w:rsid w:val="009A0DFA"/>
    <w:rsid w:val="009A1C6F"/>
    <w:rsid w:val="009B2D26"/>
    <w:rsid w:val="009C71FA"/>
    <w:rsid w:val="009C72E7"/>
    <w:rsid w:val="009C7F7E"/>
    <w:rsid w:val="009D3058"/>
    <w:rsid w:val="009E0D63"/>
    <w:rsid w:val="009F3A13"/>
    <w:rsid w:val="00A122D3"/>
    <w:rsid w:val="00A14468"/>
    <w:rsid w:val="00A17355"/>
    <w:rsid w:val="00A17F13"/>
    <w:rsid w:val="00A20739"/>
    <w:rsid w:val="00A23AF9"/>
    <w:rsid w:val="00A2771D"/>
    <w:rsid w:val="00A33C78"/>
    <w:rsid w:val="00A42ADA"/>
    <w:rsid w:val="00A63B86"/>
    <w:rsid w:val="00A827ED"/>
    <w:rsid w:val="00A87C39"/>
    <w:rsid w:val="00AA5098"/>
    <w:rsid w:val="00AB0ADB"/>
    <w:rsid w:val="00AD0A13"/>
    <w:rsid w:val="00AE1B70"/>
    <w:rsid w:val="00B00C0E"/>
    <w:rsid w:val="00B01B1A"/>
    <w:rsid w:val="00B0381D"/>
    <w:rsid w:val="00B2034B"/>
    <w:rsid w:val="00B3191A"/>
    <w:rsid w:val="00B3474F"/>
    <w:rsid w:val="00B44683"/>
    <w:rsid w:val="00B44A47"/>
    <w:rsid w:val="00B46573"/>
    <w:rsid w:val="00B577BF"/>
    <w:rsid w:val="00B57B92"/>
    <w:rsid w:val="00B66C70"/>
    <w:rsid w:val="00B72CD3"/>
    <w:rsid w:val="00B72FFF"/>
    <w:rsid w:val="00B9001B"/>
    <w:rsid w:val="00B90C4D"/>
    <w:rsid w:val="00BB1350"/>
    <w:rsid w:val="00BB688E"/>
    <w:rsid w:val="00BC3D36"/>
    <w:rsid w:val="00BD54A6"/>
    <w:rsid w:val="00BD7F72"/>
    <w:rsid w:val="00BF7425"/>
    <w:rsid w:val="00C04FB3"/>
    <w:rsid w:val="00C11D8B"/>
    <w:rsid w:val="00C123A1"/>
    <w:rsid w:val="00C15139"/>
    <w:rsid w:val="00C2094D"/>
    <w:rsid w:val="00C330EB"/>
    <w:rsid w:val="00C50D69"/>
    <w:rsid w:val="00C5365C"/>
    <w:rsid w:val="00C60F14"/>
    <w:rsid w:val="00C708E7"/>
    <w:rsid w:val="00C754BE"/>
    <w:rsid w:val="00C76B1C"/>
    <w:rsid w:val="00C925AC"/>
    <w:rsid w:val="00CA57BA"/>
    <w:rsid w:val="00CB1ECF"/>
    <w:rsid w:val="00CB6357"/>
    <w:rsid w:val="00CC1B26"/>
    <w:rsid w:val="00D02D34"/>
    <w:rsid w:val="00D361FD"/>
    <w:rsid w:val="00D423A2"/>
    <w:rsid w:val="00D44233"/>
    <w:rsid w:val="00D44E26"/>
    <w:rsid w:val="00D520D8"/>
    <w:rsid w:val="00D63AC2"/>
    <w:rsid w:val="00D7383B"/>
    <w:rsid w:val="00D7788A"/>
    <w:rsid w:val="00D854E8"/>
    <w:rsid w:val="00DA0580"/>
    <w:rsid w:val="00DA231B"/>
    <w:rsid w:val="00DB795B"/>
    <w:rsid w:val="00DC39FC"/>
    <w:rsid w:val="00DD139C"/>
    <w:rsid w:val="00DF40E3"/>
    <w:rsid w:val="00DF5254"/>
    <w:rsid w:val="00E02524"/>
    <w:rsid w:val="00E07004"/>
    <w:rsid w:val="00E16408"/>
    <w:rsid w:val="00E20894"/>
    <w:rsid w:val="00E245AB"/>
    <w:rsid w:val="00E2764C"/>
    <w:rsid w:val="00E27F2E"/>
    <w:rsid w:val="00E302C8"/>
    <w:rsid w:val="00E31754"/>
    <w:rsid w:val="00E344A2"/>
    <w:rsid w:val="00E42F88"/>
    <w:rsid w:val="00E50AFE"/>
    <w:rsid w:val="00E63E2A"/>
    <w:rsid w:val="00E75C92"/>
    <w:rsid w:val="00E771DC"/>
    <w:rsid w:val="00E773F7"/>
    <w:rsid w:val="00E8772A"/>
    <w:rsid w:val="00E90F6B"/>
    <w:rsid w:val="00E92C27"/>
    <w:rsid w:val="00EA0E3D"/>
    <w:rsid w:val="00EA5B68"/>
    <w:rsid w:val="00EC38A7"/>
    <w:rsid w:val="00ED51E1"/>
    <w:rsid w:val="00EE1AA8"/>
    <w:rsid w:val="00EE1E2B"/>
    <w:rsid w:val="00F23FEA"/>
    <w:rsid w:val="00F31EDC"/>
    <w:rsid w:val="00F462B3"/>
    <w:rsid w:val="00F5664F"/>
    <w:rsid w:val="00F666C4"/>
    <w:rsid w:val="00F76AFC"/>
    <w:rsid w:val="00F93CA8"/>
    <w:rsid w:val="00FA47C0"/>
    <w:rsid w:val="00FB2B31"/>
    <w:rsid w:val="00FB5DD1"/>
    <w:rsid w:val="00FC2B5D"/>
    <w:rsid w:val="00FF1449"/>
    <w:rsid w:val="00FF7963"/>
    <w:rsid w:val="071B8F93"/>
    <w:rsid w:val="07C73DD1"/>
    <w:rsid w:val="09908A09"/>
    <w:rsid w:val="0E0AF0F4"/>
    <w:rsid w:val="0EFE6349"/>
    <w:rsid w:val="0FF4CCA8"/>
    <w:rsid w:val="12980A57"/>
    <w:rsid w:val="13CFC91B"/>
    <w:rsid w:val="19A2EC2C"/>
    <w:rsid w:val="21779BE6"/>
    <w:rsid w:val="2859CA1B"/>
    <w:rsid w:val="2C4D2425"/>
    <w:rsid w:val="2EE1E026"/>
    <w:rsid w:val="2F44F38F"/>
    <w:rsid w:val="30821638"/>
    <w:rsid w:val="32A4F9CF"/>
    <w:rsid w:val="33A1FF93"/>
    <w:rsid w:val="356CEDFD"/>
    <w:rsid w:val="3C591AFD"/>
    <w:rsid w:val="42183F0A"/>
    <w:rsid w:val="468EB212"/>
    <w:rsid w:val="545B112A"/>
    <w:rsid w:val="5BEB1497"/>
    <w:rsid w:val="69614A15"/>
    <w:rsid w:val="74BA017B"/>
    <w:rsid w:val="7677286E"/>
    <w:rsid w:val="793BE627"/>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76D3FE91-76EC-4001-88F9-EA66945F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0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506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506AA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06AA8"/>
    <w:rPr>
      <w:rFonts w:ascii="Geomanist Light" w:hAnsi="Geomanist Light"/>
      <w:lang w:val="es-ES"/>
    </w:rPr>
  </w:style>
  <w:style w:type="character" w:customStyle="1" w:styleId="s15">
    <w:name w:val="s15"/>
    <w:basedOn w:val="Fuentedeprrafopredeter"/>
    <w:rsid w:val="00506AA8"/>
  </w:style>
  <w:style w:type="character" w:customStyle="1" w:styleId="apple-converted-space">
    <w:name w:val="apple-converted-space"/>
    <w:basedOn w:val="Fuentedeprrafopredeter"/>
    <w:rsid w:val="00506AA8"/>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NormalWebCar">
    <w:name w:val="Normal (Web) Car"/>
    <w:link w:val="NormalWeb"/>
    <w:uiPriority w:val="99"/>
    <w:rsid w:val="002676B1"/>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le.rae.es/subcontratar" TargetMode="External"/><Relationship Id="rId17" Type="http://schemas.openxmlformats.org/officeDocument/2006/relationships/hyperlink" Target="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icitacionessas@gmail.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subcontrat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6C40953B-B072-432D-9573-A54B60DF5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TotalTime>
  <Pages>21</Pages>
  <Words>7162</Words>
  <Characters>39397</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46467</CharactersWithSpaces>
  <SharedDoc>false</SharedDoc>
  <HLinks>
    <vt:vector size="48" baseType="variant">
      <vt:variant>
        <vt:i4>6488172</vt:i4>
      </vt:variant>
      <vt:variant>
        <vt:i4>18</vt:i4>
      </vt:variant>
      <vt:variant>
        <vt:i4>0</vt:i4>
      </vt:variant>
      <vt:variant>
        <vt:i4>5</vt:i4>
      </vt:variant>
      <vt:variant>
        <vt:lpwstr>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vt:lpwstr>
      </vt:variant>
      <vt:variant>
        <vt:lpwstr/>
      </vt:variant>
      <vt:variant>
        <vt:i4>6291507</vt:i4>
      </vt:variant>
      <vt:variant>
        <vt:i4>15</vt:i4>
      </vt:variant>
      <vt:variant>
        <vt:i4>0</vt:i4>
      </vt:variant>
      <vt:variant>
        <vt:i4>5</vt:i4>
      </vt:variant>
      <vt:variant>
        <vt:lpwstr>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vt:lpwstr>
      </vt:variant>
      <vt:variant>
        <vt:lpwstr/>
      </vt:variant>
      <vt:variant>
        <vt:i4>6357043</vt:i4>
      </vt:variant>
      <vt:variant>
        <vt:i4>12</vt:i4>
      </vt:variant>
      <vt:variant>
        <vt:i4>0</vt:i4>
      </vt:variant>
      <vt:variant>
        <vt:i4>5</vt:i4>
      </vt:variant>
      <vt:variant>
        <vt:lpwstr>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vt:lpwstr>
      </vt:variant>
      <vt:variant>
        <vt:lpwstr/>
      </vt:variant>
      <vt:variant>
        <vt:i4>3997731</vt:i4>
      </vt:variant>
      <vt:variant>
        <vt:i4>9</vt:i4>
      </vt:variant>
      <vt:variant>
        <vt:i4>0</vt:i4>
      </vt:variant>
      <vt:variant>
        <vt:i4>5</vt:i4>
      </vt:variant>
      <vt:variant>
        <vt:lpwstr>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6619234</vt:i4>
      </vt:variant>
      <vt:variant>
        <vt:i4>3</vt:i4>
      </vt:variant>
      <vt:variant>
        <vt:i4>0</vt:i4>
      </vt:variant>
      <vt:variant>
        <vt:i4>5</vt:i4>
      </vt:variant>
      <vt:variant>
        <vt:lpwstr>https://dle.rae.es/subcontratar</vt:lpwstr>
      </vt:variant>
      <vt:variant>
        <vt:lpwstr/>
      </vt:variant>
      <vt:variant>
        <vt:i4>7733333</vt:i4>
      </vt:variant>
      <vt:variant>
        <vt:i4>0</vt:i4>
      </vt:variant>
      <vt:variant>
        <vt:i4>0</vt:i4>
      </vt:variant>
      <vt:variant>
        <vt:i4>5</vt:i4>
      </vt:variant>
      <vt:variant>
        <vt:lpwstr>mailto:infolicitacionessas@gmail.co</vt:lpwstr>
      </vt:variant>
      <vt:variant>
        <vt:lpwstr/>
      </vt:variant>
      <vt:variant>
        <vt:i4>6619234</vt:i4>
      </vt:variant>
      <vt:variant>
        <vt:i4>0</vt:i4>
      </vt:variant>
      <vt:variant>
        <vt:i4>0</vt:i4>
      </vt:variant>
      <vt:variant>
        <vt:i4>5</vt:i4>
      </vt:variant>
      <vt:variant>
        <vt:lpwstr>https://dle.rae.es/subcontratar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9</cp:revision>
  <cp:lastPrinted>2023-01-11T06:18:00Z</cp:lastPrinted>
  <dcterms:created xsi:type="dcterms:W3CDTF">2026-08-12T21:53:00Z</dcterms:created>
  <dcterms:modified xsi:type="dcterms:W3CDTF">2026-08-20T21:47:00Z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