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3A1F3" w14:textId="77777777" w:rsidR="00BE72C0" w:rsidRPr="006263D8" w:rsidRDefault="00BE72C0" w:rsidP="00156658">
      <w:pPr>
        <w:spacing w:after="0"/>
        <w:rPr>
          <w:rFonts w:ascii="Verdana" w:eastAsia="Calibri" w:hAnsi="Verdana" w:cs="Arial"/>
          <w:b/>
          <w:bCs/>
          <w:lang w:val="es-MX" w:eastAsia="es-ES_tradnl"/>
          <w14:ligatures w14:val="standardContextual"/>
        </w:rPr>
      </w:pPr>
      <w:bookmarkStart w:id="0" w:name="_Hlk143780582"/>
      <w:r w:rsidRPr="006263D8">
        <w:rPr>
          <w:rFonts w:ascii="Verdana" w:eastAsia="Calibri" w:hAnsi="Verdana" w:cs="Arial"/>
          <w:b/>
          <w:bCs/>
          <w:lang w:val="es-MX" w:eastAsia="es-ES_tradnl"/>
          <w14:ligatures w14:val="standardContextual"/>
        </w:rPr>
        <w:t>URGENCIA MANIFIESTA – Causal de contratación directa – Definición</w:t>
      </w:r>
    </w:p>
    <w:p w14:paraId="15B8AD57" w14:textId="77777777" w:rsidR="00BE72C0" w:rsidRPr="006263D8" w:rsidRDefault="00BE72C0" w:rsidP="00156658">
      <w:pPr>
        <w:spacing w:after="0" w:line="240" w:lineRule="auto"/>
        <w:contextualSpacing/>
        <w:jc w:val="both"/>
        <w:rPr>
          <w:rFonts w:ascii="Verdana" w:eastAsia="Calibri" w:hAnsi="Verdana" w:cs="Arial"/>
          <w:b/>
          <w:bCs/>
          <w:lang w:val="es-MX" w:eastAsia="es-ES_tradnl"/>
          <w14:ligatures w14:val="standardContextual"/>
        </w:rPr>
      </w:pPr>
    </w:p>
    <w:p w14:paraId="68DE8FB6" w14:textId="77777777" w:rsidR="00BE72C0" w:rsidRPr="006263D8" w:rsidRDefault="00BE72C0" w:rsidP="00156658">
      <w:pPr>
        <w:spacing w:after="0" w:line="240" w:lineRule="auto"/>
        <w:contextualSpacing/>
        <w:jc w:val="both"/>
        <w:rPr>
          <w:rFonts w:ascii="Verdana" w:eastAsia="Times New Roman" w:hAnsi="Verdana" w:cs="Arial"/>
          <w:noProof/>
          <w:sz w:val="20"/>
          <w:szCs w:val="20"/>
          <w:lang w:val="es-ES_tradnl" w:eastAsia="es-ES_tradnl"/>
          <w14:ligatures w14:val="standardContextual"/>
        </w:rPr>
      </w:pPr>
      <w:r w:rsidRPr="006263D8">
        <w:rPr>
          <w:rFonts w:ascii="Verdana" w:eastAsia="Times New Roman" w:hAnsi="Verdana" w:cs="Arial"/>
          <w:noProof/>
          <w:sz w:val="20"/>
          <w:szCs w:val="20"/>
          <w:lang w:val="es-ES_tradnl" w:eastAsia="es-ES_tradnl"/>
          <w14:ligatures w14:val="standardContextual"/>
        </w:rPr>
        <w:t>Si bien la licitación pública es la modalidad de selección que constituye la regla general para las entidades regidas por el Estatuto General de Contratación de la Administración Pública, el artículo 2.4 de la Ley 1150 de 2007 consagra algunas excepciones, que atienden a la necesidad de proteger principios como la eficiencia, la eficacia, la economía, la celeridad o la integridad de las personas. Una de las excepciones es la causal de contratación directa prevista en el literal a) del mencionado numeral, denominada por la ley como “urgencia manifiesta”. Esta causal debe leerse en concordancia con los artículos 42 de la Ley 80 de 1993, que define el concepto y establece el procedimiento para su declaratoria, así como para la celebración de los contratos que se derivan de aquella.</w:t>
      </w:r>
    </w:p>
    <w:p w14:paraId="3D3C204B" w14:textId="77777777" w:rsidR="00BE72C0" w:rsidRPr="006263D8" w:rsidRDefault="00BE72C0" w:rsidP="00BE72C0">
      <w:pPr>
        <w:spacing w:after="0" w:line="240" w:lineRule="auto"/>
        <w:contextualSpacing/>
        <w:jc w:val="both"/>
        <w:rPr>
          <w:rFonts w:ascii="Verdana" w:eastAsia="Times New Roman" w:hAnsi="Verdana" w:cs="Arial"/>
          <w:noProof/>
          <w:sz w:val="20"/>
          <w:szCs w:val="20"/>
          <w:lang w:val="es-ES_tradnl" w:eastAsia="es-ES_tradnl"/>
          <w14:ligatures w14:val="standardContextual"/>
        </w:rPr>
      </w:pPr>
    </w:p>
    <w:p w14:paraId="46AFBBA8" w14:textId="77777777" w:rsidR="00BE72C0" w:rsidRPr="006263D8" w:rsidRDefault="00BE72C0" w:rsidP="00BE72C0">
      <w:pPr>
        <w:spacing w:after="0" w:line="240" w:lineRule="auto"/>
        <w:contextualSpacing/>
        <w:jc w:val="both"/>
        <w:rPr>
          <w:rFonts w:ascii="Verdana" w:eastAsia="Times New Roman" w:hAnsi="Verdana" w:cs="Arial"/>
          <w:noProof/>
          <w:sz w:val="20"/>
          <w:szCs w:val="20"/>
          <w:lang w:val="es-ES_tradnl" w:eastAsia="es-ES_tradnl"/>
          <w14:ligatures w14:val="standardContextual"/>
        </w:rPr>
      </w:pPr>
      <w:r w:rsidRPr="006263D8">
        <w:rPr>
          <w:rFonts w:ascii="Verdana" w:eastAsia="Times New Roman" w:hAnsi="Verdana" w:cs="Arial"/>
          <w:noProof/>
          <w:sz w:val="20"/>
          <w:szCs w:val="20"/>
          <w:lang w:val="es-ES_tradnl" w:eastAsia="es-ES_tradnl"/>
          <w14:ligatures w14:val="standardContextual"/>
        </w:rPr>
        <w:t>De esta manera, el artículo 42 de la Ley 80 define la urgencia manifiesta como una circunstancia que exige, con carácter apremiante, preservar la continuidad del servicio, cuando se afecta por situaciones de fuerza mayor, desastres, calamidades o hechos relacionados con los estados de excepción. No en vano, para la doctrina, las situaciones de urgencia manifiesta deben ser concretas, inmediatas, objetivas y probadas, pues se trata de circunstancias de hecho actuales, debidamente acreditadas y fundadas por estudios técnicos, verificadas por la autoridad competente.</w:t>
      </w:r>
    </w:p>
    <w:p w14:paraId="5EBEF0C6" w14:textId="77777777" w:rsidR="00BE72C0" w:rsidRPr="006263D8" w:rsidRDefault="00BE72C0" w:rsidP="00BE72C0">
      <w:pPr>
        <w:spacing w:after="0" w:line="240" w:lineRule="auto"/>
        <w:contextualSpacing/>
        <w:jc w:val="both"/>
        <w:rPr>
          <w:rFonts w:ascii="Verdana" w:eastAsia="Times New Roman" w:hAnsi="Verdana" w:cs="Arial"/>
          <w:noProof/>
          <w:sz w:val="20"/>
          <w:szCs w:val="20"/>
          <w:lang w:val="es-ES_tradnl" w:eastAsia="es-ES_tradnl"/>
          <w14:ligatures w14:val="standardContextual"/>
        </w:rPr>
      </w:pPr>
    </w:p>
    <w:p w14:paraId="5E27C67A" w14:textId="77777777" w:rsidR="00BE72C0" w:rsidRPr="006263D8" w:rsidRDefault="00BE72C0" w:rsidP="00BE72C0">
      <w:pPr>
        <w:spacing w:after="0" w:line="240" w:lineRule="auto"/>
        <w:jc w:val="both"/>
        <w:rPr>
          <w:rFonts w:ascii="Verdana" w:eastAsia="Calibri" w:hAnsi="Verdana" w:cs="Arial"/>
          <w:b/>
          <w:color w:val="000000" w:themeColor="text1"/>
          <w:lang w:val="es-ES_tradnl"/>
        </w:rPr>
      </w:pPr>
      <w:r w:rsidRPr="006263D8">
        <w:rPr>
          <w:rFonts w:ascii="Verdana" w:eastAsia="Calibri" w:hAnsi="Verdana" w:cs="Arial"/>
          <w:b/>
          <w:color w:val="000000" w:themeColor="text1"/>
          <w:lang w:val="es-ES_tradnl"/>
        </w:rPr>
        <w:t xml:space="preserve">URGENCIA MANIFIESTA – Situación de calamidad o desastre </w:t>
      </w:r>
    </w:p>
    <w:p w14:paraId="36F61B66" w14:textId="77777777" w:rsidR="00BE72C0" w:rsidRPr="006263D8" w:rsidRDefault="00BE72C0" w:rsidP="00BE72C0">
      <w:pPr>
        <w:spacing w:after="0" w:line="240" w:lineRule="auto"/>
        <w:jc w:val="both"/>
        <w:rPr>
          <w:rFonts w:ascii="Verdana" w:eastAsia="Calibri" w:hAnsi="Verdana" w:cs="Arial"/>
          <w:bCs/>
          <w:color w:val="000000" w:themeColor="text1"/>
          <w:sz w:val="20"/>
          <w:szCs w:val="20"/>
          <w:lang w:val="es-ES_tradnl"/>
        </w:rPr>
      </w:pPr>
    </w:p>
    <w:p w14:paraId="1A85F32C" w14:textId="77777777" w:rsidR="00BE72C0" w:rsidRPr="006263D8" w:rsidRDefault="00BE72C0" w:rsidP="00BE72C0">
      <w:pPr>
        <w:spacing w:after="0" w:line="240" w:lineRule="auto"/>
        <w:jc w:val="both"/>
        <w:rPr>
          <w:rFonts w:ascii="Verdana" w:eastAsia="Calibri" w:hAnsi="Verdana" w:cs="Arial"/>
          <w:bCs/>
          <w:color w:val="000000" w:themeColor="text1"/>
          <w:sz w:val="20"/>
          <w:szCs w:val="20"/>
          <w:lang w:val="es-ES_tradnl" w:eastAsia="es-ES_tradnl"/>
        </w:rPr>
      </w:pPr>
      <w:r w:rsidRPr="006263D8">
        <w:rPr>
          <w:rFonts w:ascii="Verdana" w:eastAsia="Calibri" w:hAnsi="Verdana" w:cs="Arial"/>
          <w:bCs/>
          <w:color w:val="000000" w:themeColor="text1"/>
          <w:sz w:val="20"/>
          <w:szCs w:val="20"/>
          <w:lang w:val="es-ES_tradnl" w:eastAsia="es-ES_tradnl"/>
        </w:rPr>
        <w:t xml:space="preserve">Declarada la situación de calamidad o la situación de desastre bajo los criterios señalados en el artículo 59 de la Ley 1523 de 2012, por parte de la autoridad competente, las demás entidades estatales –de conformidad con el artículo 42 de la Ley 80 de 1993– quedan facultadas para declarar, a continuación, la causal de contratación directa denominada “urgencia manifiesta”, mediante un acto administrativo propio, autónomo, que tiene como fundamento fáctico y jurídico la declaración de situación de calamidad o la situación de desastre. </w:t>
      </w:r>
    </w:p>
    <w:p w14:paraId="1FCE8DAB" w14:textId="77777777" w:rsidR="00BE72C0" w:rsidRPr="006263D8" w:rsidRDefault="00BE72C0" w:rsidP="00BE72C0">
      <w:pPr>
        <w:spacing w:after="0" w:line="240" w:lineRule="auto"/>
        <w:jc w:val="both"/>
        <w:rPr>
          <w:rFonts w:ascii="Verdana" w:eastAsia="Calibri" w:hAnsi="Verdana" w:cs="Arial"/>
          <w:bCs/>
          <w:color w:val="000000" w:themeColor="text1"/>
          <w:sz w:val="20"/>
          <w:szCs w:val="20"/>
          <w:lang w:val="es-ES_tradnl" w:eastAsia="es-ES_tradnl"/>
        </w:rPr>
      </w:pPr>
    </w:p>
    <w:p w14:paraId="521D92D1" w14:textId="77777777" w:rsidR="00BE72C0" w:rsidRPr="006263D8" w:rsidRDefault="00BE72C0" w:rsidP="00BE72C0">
      <w:pPr>
        <w:spacing w:after="0" w:line="240" w:lineRule="auto"/>
        <w:jc w:val="both"/>
        <w:rPr>
          <w:rFonts w:ascii="Verdana" w:eastAsia="Calibri" w:hAnsi="Verdana" w:cs="Arial"/>
          <w:color w:val="000000" w:themeColor="text1"/>
          <w:sz w:val="20"/>
          <w:szCs w:val="20"/>
          <w:lang w:val="es-ES" w:eastAsia="es-ES"/>
        </w:rPr>
      </w:pPr>
      <w:r w:rsidRPr="006263D8">
        <w:rPr>
          <w:rFonts w:ascii="Verdana" w:eastAsia="Calibri" w:hAnsi="Verdana" w:cs="Arial"/>
          <w:color w:val="000000" w:themeColor="text1"/>
          <w:sz w:val="20"/>
          <w:szCs w:val="20"/>
          <w:lang w:val="es-ES" w:eastAsia="es-ES"/>
        </w:rPr>
        <w:t xml:space="preserve">Lo anterior significa que para contratar directamente no basta con la declaración de desastre o de calamidad. Es decir, se necesitan dos (2) actos administrativos concurrentes para que pueda contratarse directamente por urgencia manifiesta: i) el primero en el tiempo, la declaración de la situación de calamidad pública o la declaración de la situación de desastre, de conformidad con lo establecido en el Capítulo VI de la Ley 1523 de 2012; y </w:t>
      </w:r>
      <w:proofErr w:type="spellStart"/>
      <w:r w:rsidRPr="006263D8">
        <w:rPr>
          <w:rFonts w:ascii="Verdana" w:eastAsia="Calibri" w:hAnsi="Verdana" w:cs="Arial"/>
          <w:color w:val="000000" w:themeColor="text1"/>
          <w:sz w:val="20"/>
          <w:szCs w:val="20"/>
          <w:lang w:val="es-ES" w:eastAsia="es-ES"/>
        </w:rPr>
        <w:t>ii</w:t>
      </w:r>
      <w:proofErr w:type="spellEnd"/>
      <w:r w:rsidRPr="006263D8">
        <w:rPr>
          <w:rFonts w:ascii="Verdana" w:eastAsia="Calibri" w:hAnsi="Verdana" w:cs="Arial"/>
          <w:color w:val="000000" w:themeColor="text1"/>
          <w:sz w:val="20"/>
          <w:szCs w:val="20"/>
          <w:lang w:val="es-ES" w:eastAsia="es-ES"/>
        </w:rPr>
        <w:t xml:space="preserve">) el segundo, la declaración propiamente dicha de “urgencia manifiesta” de que trata el artículo 42 del Estatuto General de Contratación, amparado o fundamentado en la declaración previa del desastre o calamidad. </w:t>
      </w:r>
    </w:p>
    <w:p w14:paraId="53963085" w14:textId="77777777" w:rsidR="00BE72C0" w:rsidRPr="006263D8" w:rsidRDefault="00BE72C0" w:rsidP="00BE72C0">
      <w:pPr>
        <w:spacing w:after="0" w:line="240" w:lineRule="auto"/>
        <w:rPr>
          <w:rFonts w:ascii="Verdana" w:eastAsia="Geomanist Light" w:hAnsi="Verdana" w:cs="Arial"/>
          <w:lang w:val="es-MX"/>
        </w:rPr>
      </w:pPr>
    </w:p>
    <w:p w14:paraId="43D03AEE" w14:textId="77777777" w:rsidR="00BE72C0" w:rsidRPr="006263D8" w:rsidRDefault="00BE72C0" w:rsidP="00BE72C0">
      <w:pPr>
        <w:spacing w:after="0" w:line="240" w:lineRule="auto"/>
        <w:jc w:val="both"/>
        <w:rPr>
          <w:rFonts w:ascii="Verdana" w:eastAsia="Geomanist Light" w:hAnsi="Verdana" w:cs="Arial"/>
          <w:b/>
          <w:bCs/>
          <w:lang w:val="es-MX"/>
        </w:rPr>
      </w:pPr>
      <w:r w:rsidRPr="006263D8">
        <w:rPr>
          <w:rFonts w:ascii="Verdana" w:eastAsia="Geomanist Light" w:hAnsi="Verdana" w:cs="Arial"/>
          <w:b/>
          <w:bCs/>
          <w:lang w:val="es-MX"/>
        </w:rPr>
        <w:t>CONTRATO ESTATAL – Requisitos de perfeccionamiento – Requisitos de ejecución</w:t>
      </w:r>
    </w:p>
    <w:p w14:paraId="2671836B" w14:textId="77777777" w:rsidR="00BE72C0" w:rsidRPr="006263D8" w:rsidRDefault="00BE72C0" w:rsidP="00BE72C0">
      <w:pPr>
        <w:spacing w:after="0" w:line="240" w:lineRule="auto"/>
        <w:jc w:val="both"/>
        <w:rPr>
          <w:rFonts w:ascii="Verdana" w:eastAsia="Geomanist Light" w:hAnsi="Verdana" w:cs="Arial"/>
          <w:b/>
          <w:bCs/>
          <w:lang w:val="es-MX"/>
        </w:rPr>
      </w:pPr>
    </w:p>
    <w:p w14:paraId="6BCB7A3B" w14:textId="77777777" w:rsidR="00BE72C0" w:rsidRPr="006263D8" w:rsidRDefault="00BE72C0" w:rsidP="00BE72C0">
      <w:pPr>
        <w:spacing w:after="0" w:line="240" w:lineRule="auto"/>
        <w:jc w:val="both"/>
        <w:rPr>
          <w:rFonts w:ascii="Verdana" w:eastAsia="Calibri" w:hAnsi="Verdana" w:cs="Arial"/>
          <w:sz w:val="20"/>
          <w:szCs w:val="20"/>
          <w:lang w:val="es-ES"/>
        </w:rPr>
      </w:pPr>
      <w:r w:rsidRPr="006263D8">
        <w:rPr>
          <w:rFonts w:ascii="Verdana" w:eastAsia="Calibri" w:hAnsi="Verdana" w:cs="Arial"/>
          <w:sz w:val="20"/>
          <w:szCs w:val="20"/>
          <w:lang w:val="es-ES"/>
        </w:rPr>
        <w:lastRenderedPageBreak/>
        <w:t>Los requisitos de perfeccionamiento del contrato estatal son mandatos normativos que determinan cuándo se entiende celebrado. Es decir, se trata de prescripciones que establecen en qué momento existe el contrato.</w:t>
      </w:r>
    </w:p>
    <w:p w14:paraId="781D2BE1" w14:textId="77777777" w:rsidR="00BE72C0" w:rsidRPr="006263D8" w:rsidRDefault="00BE72C0" w:rsidP="00BE72C0">
      <w:pPr>
        <w:spacing w:after="0" w:line="240" w:lineRule="auto"/>
        <w:jc w:val="both"/>
        <w:rPr>
          <w:rFonts w:ascii="Verdana" w:hAnsi="Verdana"/>
          <w:sz w:val="20"/>
          <w:szCs w:val="20"/>
        </w:rPr>
      </w:pPr>
      <w:r w:rsidRPr="006263D8">
        <w:rPr>
          <w:rFonts w:ascii="Verdana" w:hAnsi="Verdana"/>
          <w:sz w:val="20"/>
          <w:szCs w:val="20"/>
        </w:rPr>
        <w:t>[…]</w:t>
      </w:r>
    </w:p>
    <w:p w14:paraId="12296016" w14:textId="77777777" w:rsidR="00BE72C0" w:rsidRPr="006263D8" w:rsidRDefault="00BE72C0" w:rsidP="00BE72C0">
      <w:pPr>
        <w:spacing w:after="0" w:line="240" w:lineRule="auto"/>
        <w:jc w:val="both"/>
        <w:rPr>
          <w:rFonts w:ascii="Verdana" w:hAnsi="Verdana"/>
          <w:sz w:val="20"/>
          <w:szCs w:val="20"/>
        </w:rPr>
      </w:pPr>
      <w:r w:rsidRPr="006263D8">
        <w:rPr>
          <w:rFonts w:ascii="Verdana" w:hAnsi="Verdana"/>
          <w:sz w:val="20"/>
          <w:szCs w:val="20"/>
        </w:rPr>
        <w:t xml:space="preserve">el primer inciso del artículo 41 de la Ley 80 de 1993 establece que “Los contratos del Estado se perfeccionan cuando se logre acuerdo sobre el objeto y la contraprestación y éste se eleve a escrito”. Como se advierte, el legislador dispuso que para que el contrato estatal exista, no solo debe haber un acuerdo sobre la obligación principal del negocio –es decir, sobre el “objeto”– y sobre la contraprestación, sino que se debe plasmar por escrito. Tal circunstancia le ha permitido a la doctrina concluir que el contrato estatal regulado en Estatuto </w:t>
      </w:r>
      <w:proofErr w:type="spellStart"/>
      <w:r w:rsidRPr="006263D8">
        <w:rPr>
          <w:rFonts w:ascii="Verdana" w:hAnsi="Verdana"/>
          <w:sz w:val="20"/>
          <w:szCs w:val="20"/>
        </w:rPr>
        <w:t>Genaral</w:t>
      </w:r>
      <w:proofErr w:type="spellEnd"/>
      <w:r w:rsidRPr="006263D8">
        <w:rPr>
          <w:rFonts w:ascii="Verdana" w:hAnsi="Verdana"/>
          <w:sz w:val="20"/>
          <w:szCs w:val="20"/>
        </w:rPr>
        <w:t xml:space="preserve"> de Contratación de la Administración Pública es “[…] principalmente, solemne, ya que la manifestación de voluntad, si no se expresa bajo la forma ad </w:t>
      </w:r>
      <w:proofErr w:type="spellStart"/>
      <w:r w:rsidRPr="006263D8">
        <w:rPr>
          <w:rFonts w:ascii="Verdana" w:hAnsi="Verdana"/>
          <w:sz w:val="20"/>
          <w:szCs w:val="20"/>
        </w:rPr>
        <w:t>solemnitatem</w:t>
      </w:r>
      <w:proofErr w:type="spellEnd"/>
      <w:r w:rsidRPr="006263D8">
        <w:rPr>
          <w:rFonts w:ascii="Verdana" w:hAnsi="Verdana"/>
          <w:sz w:val="20"/>
          <w:szCs w:val="20"/>
        </w:rPr>
        <w:t xml:space="preserve"> o ad </w:t>
      </w:r>
      <w:proofErr w:type="spellStart"/>
      <w:r w:rsidRPr="006263D8">
        <w:rPr>
          <w:rFonts w:ascii="Verdana" w:hAnsi="Verdana"/>
          <w:sz w:val="20"/>
          <w:szCs w:val="20"/>
        </w:rPr>
        <w:t>substantiam</w:t>
      </w:r>
      <w:proofErr w:type="spellEnd"/>
      <w:r w:rsidRPr="006263D8">
        <w:rPr>
          <w:rFonts w:ascii="Verdana" w:hAnsi="Verdana"/>
          <w:sz w:val="20"/>
          <w:szCs w:val="20"/>
        </w:rPr>
        <w:t xml:space="preserve"> </w:t>
      </w:r>
      <w:proofErr w:type="spellStart"/>
      <w:r w:rsidRPr="006263D8">
        <w:rPr>
          <w:rFonts w:ascii="Verdana" w:hAnsi="Verdana"/>
          <w:sz w:val="20"/>
          <w:szCs w:val="20"/>
        </w:rPr>
        <w:t>actus</w:t>
      </w:r>
      <w:proofErr w:type="spellEnd"/>
      <w:r w:rsidRPr="006263D8">
        <w:rPr>
          <w:rFonts w:ascii="Verdana" w:hAnsi="Verdana"/>
          <w:sz w:val="20"/>
          <w:szCs w:val="20"/>
        </w:rPr>
        <w:t xml:space="preserve"> exigida por la ley, es inexistente, es decir, se entiende que el contrato jamás ha sido creado para el mundo jurídico”.</w:t>
      </w:r>
    </w:p>
    <w:p w14:paraId="5857DD85" w14:textId="77777777" w:rsidR="00BE72C0" w:rsidRPr="006263D8" w:rsidRDefault="00BE72C0" w:rsidP="00BE72C0">
      <w:pPr>
        <w:spacing w:after="0" w:line="240" w:lineRule="auto"/>
        <w:jc w:val="both"/>
        <w:rPr>
          <w:rFonts w:ascii="Verdana" w:hAnsi="Verdana"/>
          <w:sz w:val="20"/>
          <w:szCs w:val="20"/>
        </w:rPr>
      </w:pPr>
      <w:r w:rsidRPr="006263D8">
        <w:rPr>
          <w:rFonts w:ascii="Verdana" w:hAnsi="Verdana"/>
          <w:sz w:val="20"/>
          <w:szCs w:val="20"/>
        </w:rPr>
        <w:t>[…]</w:t>
      </w:r>
    </w:p>
    <w:p w14:paraId="3DDA13A1" w14:textId="77777777" w:rsidR="00BE72C0" w:rsidRPr="006263D8" w:rsidRDefault="00BE72C0" w:rsidP="00BE72C0">
      <w:pPr>
        <w:spacing w:after="0" w:line="240" w:lineRule="auto"/>
        <w:jc w:val="both"/>
        <w:rPr>
          <w:rFonts w:ascii="Verdana" w:hAnsi="Verdana"/>
          <w:sz w:val="20"/>
          <w:szCs w:val="20"/>
        </w:rPr>
      </w:pPr>
      <w:r w:rsidRPr="006263D8">
        <w:rPr>
          <w:rFonts w:ascii="Verdana" w:hAnsi="Verdana"/>
          <w:sz w:val="20"/>
          <w:szCs w:val="20"/>
        </w:rPr>
        <w:t>[…] los requisitos de ejecución de los contratos estatales pueden ser “legales” o “convencionales”. Los primeros son aquellos que se encuentran previstos en la ley. Los segundos son estipulados por las partes. En otros términos, los requisitos legales de ejecución son elementos de la naturaleza, mientras que los requisitos convencionales de ejecución son elementos accidentales. Teniendo en cuenta que en la consulta se indaga por el acta de inicio, es importante precisar si se trata de un requisito de ejecución legal o convencional. Para determinar lo anterior, conviene hacer referencia al segundo inciso del artículo 41 de la Ley 80 de 1993, modificado por el artículo 23 de la ley 1150 de 2007.</w:t>
      </w:r>
    </w:p>
    <w:p w14:paraId="722FD8EF" w14:textId="77777777" w:rsidR="00BE72C0" w:rsidRPr="006263D8" w:rsidRDefault="00BE72C0" w:rsidP="00BE72C0">
      <w:pPr>
        <w:spacing w:after="0" w:line="240" w:lineRule="auto"/>
        <w:jc w:val="both"/>
        <w:rPr>
          <w:rFonts w:ascii="Verdana" w:hAnsi="Verdana"/>
          <w:sz w:val="20"/>
          <w:szCs w:val="20"/>
        </w:rPr>
      </w:pPr>
      <w:r w:rsidRPr="006263D8">
        <w:rPr>
          <w:rFonts w:ascii="Verdana" w:hAnsi="Verdana"/>
          <w:sz w:val="20"/>
          <w:szCs w:val="20"/>
        </w:rPr>
        <w:t>[…]</w:t>
      </w:r>
    </w:p>
    <w:p w14:paraId="30A233AC" w14:textId="77777777" w:rsidR="00BE72C0" w:rsidRPr="006263D8" w:rsidRDefault="00BE72C0" w:rsidP="00BE72C0">
      <w:pPr>
        <w:spacing w:after="0" w:line="240" w:lineRule="auto"/>
        <w:jc w:val="both"/>
        <w:rPr>
          <w:rFonts w:ascii="Verdana" w:hAnsi="Verdana"/>
          <w:sz w:val="20"/>
          <w:szCs w:val="20"/>
        </w:rPr>
      </w:pPr>
      <w:r w:rsidRPr="006263D8">
        <w:rPr>
          <w:rFonts w:ascii="Verdana" w:hAnsi="Verdana"/>
          <w:sz w:val="20"/>
          <w:szCs w:val="20"/>
        </w:rPr>
        <w:t xml:space="preserve">[…] los requisitos legales de ejecución son: i) la aprobación de las garantías exigidas en el contrato, </w:t>
      </w:r>
      <w:proofErr w:type="spellStart"/>
      <w:r w:rsidRPr="006263D8">
        <w:rPr>
          <w:rFonts w:ascii="Verdana" w:hAnsi="Verdana"/>
          <w:sz w:val="20"/>
          <w:szCs w:val="20"/>
        </w:rPr>
        <w:t>ii</w:t>
      </w:r>
      <w:proofErr w:type="spellEnd"/>
      <w:r w:rsidRPr="006263D8">
        <w:rPr>
          <w:rFonts w:ascii="Verdana" w:hAnsi="Verdana"/>
          <w:sz w:val="20"/>
          <w:szCs w:val="20"/>
        </w:rPr>
        <w:t xml:space="preserve">) la existencia de la apropiación presupuestal correspondiente y </w:t>
      </w:r>
      <w:proofErr w:type="spellStart"/>
      <w:r w:rsidRPr="006263D8">
        <w:rPr>
          <w:rFonts w:ascii="Verdana" w:hAnsi="Verdana"/>
          <w:sz w:val="20"/>
          <w:szCs w:val="20"/>
        </w:rPr>
        <w:t>iii</w:t>
      </w:r>
      <w:proofErr w:type="spellEnd"/>
      <w:r w:rsidRPr="006263D8">
        <w:rPr>
          <w:rFonts w:ascii="Verdana" w:hAnsi="Verdana"/>
          <w:sz w:val="20"/>
          <w:szCs w:val="20"/>
        </w:rPr>
        <w:t>) la acreditación del cumplimiento de las obligaciones con el Sistema de Seguridad Social Integral. Por su parte, serán requisitos convencionales aquellos que no se encuentran consagrados en la ley sino que se pactan en la minuta del contrato o que el contratista acepta al momento de adherirse al clausulado del pliego de condiciones o documento equivalente, como por ejemplo, la suscripción del acta de inicio.</w:t>
      </w:r>
    </w:p>
    <w:p w14:paraId="59A52839" w14:textId="77777777" w:rsidR="00BE72C0" w:rsidRPr="006263D8" w:rsidRDefault="00BE72C0" w:rsidP="00BE72C0">
      <w:pPr>
        <w:spacing w:after="0" w:line="240" w:lineRule="auto"/>
        <w:rPr>
          <w:rFonts w:ascii="Verdana" w:eastAsia="Geomanist Light" w:hAnsi="Verdana" w:cs="Arial"/>
          <w:lang w:val="es-MX"/>
        </w:rPr>
      </w:pPr>
    </w:p>
    <w:p w14:paraId="3004EB46" w14:textId="77777777" w:rsidR="00BE72C0" w:rsidRPr="006263D8" w:rsidRDefault="00BE72C0" w:rsidP="00BE72C0">
      <w:pPr>
        <w:spacing w:after="0" w:line="240" w:lineRule="auto"/>
        <w:rPr>
          <w:rFonts w:ascii="Verdana" w:eastAsia="Geomanist Light" w:hAnsi="Verdana" w:cs="Arial"/>
          <w:lang w:val="es-MX"/>
        </w:rPr>
      </w:pPr>
    </w:p>
    <w:p w14:paraId="47C2AABB" w14:textId="77777777" w:rsidR="00BE72C0" w:rsidRPr="006263D8" w:rsidRDefault="00BE72C0" w:rsidP="00BE72C0">
      <w:pPr>
        <w:spacing w:after="0" w:line="240" w:lineRule="auto"/>
        <w:rPr>
          <w:rFonts w:ascii="Verdana" w:eastAsia="Geomanist Light" w:hAnsi="Verdana" w:cs="Arial"/>
          <w:lang w:val="es-MX"/>
        </w:rPr>
      </w:pPr>
    </w:p>
    <w:p w14:paraId="121C9AA8" w14:textId="77777777" w:rsidR="00BE72C0" w:rsidRPr="006263D8" w:rsidRDefault="00BE72C0" w:rsidP="00BE72C0">
      <w:pPr>
        <w:spacing w:after="0" w:line="240" w:lineRule="auto"/>
        <w:rPr>
          <w:rFonts w:ascii="Verdana" w:eastAsia="Geomanist Light" w:hAnsi="Verdana" w:cs="Arial"/>
          <w:lang w:val="es-MX"/>
        </w:rPr>
      </w:pPr>
    </w:p>
    <w:p w14:paraId="6E65E6E3" w14:textId="77777777" w:rsidR="00BE72C0" w:rsidRPr="006263D8" w:rsidRDefault="00BE72C0" w:rsidP="00BE72C0">
      <w:pPr>
        <w:spacing w:after="0" w:line="240" w:lineRule="auto"/>
        <w:rPr>
          <w:rFonts w:ascii="Verdana" w:eastAsia="Geomanist Light" w:hAnsi="Verdana" w:cs="Arial"/>
          <w:lang w:val="es-MX"/>
        </w:rPr>
      </w:pPr>
    </w:p>
    <w:p w14:paraId="565773B9" w14:textId="77777777" w:rsidR="00BE72C0" w:rsidRPr="006263D8" w:rsidRDefault="00BE72C0" w:rsidP="00BE72C0">
      <w:pPr>
        <w:spacing w:after="0" w:line="240" w:lineRule="auto"/>
        <w:rPr>
          <w:rFonts w:ascii="Verdana" w:eastAsia="Geomanist Light" w:hAnsi="Verdana" w:cs="Arial"/>
          <w:lang w:val="es-MX"/>
        </w:rPr>
      </w:pPr>
    </w:p>
    <w:p w14:paraId="73FF515A" w14:textId="77777777" w:rsidR="00BE72C0" w:rsidRPr="006263D8" w:rsidRDefault="00BE72C0" w:rsidP="00BE72C0">
      <w:pPr>
        <w:spacing w:after="0" w:line="240" w:lineRule="auto"/>
        <w:rPr>
          <w:rFonts w:ascii="Verdana" w:eastAsia="Geomanist Light" w:hAnsi="Verdana" w:cs="Arial"/>
          <w:lang w:val="es-MX"/>
        </w:rPr>
      </w:pPr>
    </w:p>
    <w:p w14:paraId="24E0DF09" w14:textId="77777777" w:rsidR="00BE72C0" w:rsidRPr="006263D8" w:rsidRDefault="00BE72C0" w:rsidP="00BE72C0">
      <w:pPr>
        <w:spacing w:after="0" w:line="240" w:lineRule="auto"/>
        <w:rPr>
          <w:rFonts w:ascii="Verdana" w:eastAsia="Geomanist Light" w:hAnsi="Verdana" w:cs="Arial"/>
          <w:lang w:val="es-MX"/>
        </w:rPr>
      </w:pPr>
    </w:p>
    <w:p w14:paraId="61D92120" w14:textId="77777777" w:rsidR="00BE72C0" w:rsidRPr="006263D8" w:rsidRDefault="00BE72C0" w:rsidP="00BE72C0">
      <w:pPr>
        <w:spacing w:after="0" w:line="240" w:lineRule="auto"/>
        <w:rPr>
          <w:rFonts w:ascii="Verdana" w:eastAsia="Geomanist Light" w:hAnsi="Verdana" w:cs="Arial"/>
          <w:lang w:val="es-MX"/>
        </w:rPr>
      </w:pPr>
    </w:p>
    <w:p w14:paraId="61D8C60E" w14:textId="77777777" w:rsidR="00BE72C0" w:rsidRDefault="00BE72C0" w:rsidP="00BE72C0">
      <w:pPr>
        <w:rPr>
          <w:rFonts w:ascii="Verdana" w:eastAsia="Geomanist Light" w:hAnsi="Verdana" w:cs="Arial"/>
          <w:lang w:val="es-MX"/>
        </w:rPr>
      </w:pPr>
      <w:r>
        <w:rPr>
          <w:rFonts w:ascii="Verdana" w:eastAsia="Geomanist Light" w:hAnsi="Verdana" w:cs="Arial"/>
          <w:lang w:val="es-MX"/>
        </w:rPr>
        <w:br w:type="page"/>
      </w:r>
    </w:p>
    <w:p w14:paraId="5432E379" w14:textId="1600942F" w:rsidR="00BE72C0" w:rsidRPr="009E342B" w:rsidRDefault="00BE72C0" w:rsidP="00BE72C0">
      <w:pPr>
        <w:spacing w:after="0" w:line="240" w:lineRule="auto"/>
        <w:rPr>
          <w:rFonts w:ascii="Verdana" w:eastAsia="Geomanist Light" w:hAnsi="Verdana" w:cs="Arial"/>
          <w:lang w:val="es-MX"/>
        </w:rPr>
      </w:pPr>
      <w:r w:rsidRPr="009E342B">
        <w:rPr>
          <w:rFonts w:ascii="Verdana" w:eastAsia="Geomanist Light" w:hAnsi="Verdana" w:cs="Arial"/>
          <w:lang w:val="es-MX"/>
        </w:rPr>
        <w:lastRenderedPageBreak/>
        <w:t>Bogotá D.C., </w:t>
      </w:r>
      <w:r w:rsidR="002054F2">
        <w:rPr>
          <w:rFonts w:ascii="Verdana" w:eastAsia="Geomanist Light" w:hAnsi="Verdana" w:cs="Arial"/>
          <w:lang w:val="es-MX"/>
        </w:rPr>
        <w:t>12 de agosto de 2026</w:t>
      </w:r>
    </w:p>
    <w:p w14:paraId="3F4D715F" w14:textId="77777777" w:rsidR="00BE72C0" w:rsidRDefault="00BE72C0" w:rsidP="00BE72C0">
      <w:pPr>
        <w:spacing w:after="0" w:line="240" w:lineRule="auto"/>
        <w:jc w:val="both"/>
        <w:rPr>
          <w:rFonts w:ascii="Verdana" w:eastAsia="Calibri" w:hAnsi="Verdana" w:cs="Arial"/>
          <w:lang w:val="es-ES"/>
        </w:rPr>
      </w:pPr>
    </w:p>
    <w:p w14:paraId="0167BCFE" w14:textId="55FD2752" w:rsidR="001F5D2C" w:rsidRDefault="001B33CB" w:rsidP="001B33CB">
      <w:pPr>
        <w:spacing w:after="0" w:line="240" w:lineRule="auto"/>
        <w:jc w:val="right"/>
        <w:rPr>
          <w:rFonts w:ascii="Verdana" w:eastAsia="Calibri" w:hAnsi="Verdana" w:cs="Arial"/>
          <w:lang w:val="es-ES"/>
        </w:rPr>
      </w:pPr>
      <w:r w:rsidRPr="001B33CB">
        <w:rPr>
          <w:rFonts w:ascii="Verdana" w:eastAsia="Calibri" w:hAnsi="Verdana" w:cs="Arial"/>
          <w:lang w:val="es-ES"/>
        </w:rPr>
        <w:drawing>
          <wp:inline distT="0" distB="0" distL="0" distR="0" wp14:anchorId="6BDA519F" wp14:editId="257FC1AF">
            <wp:extent cx="2350798" cy="669851"/>
            <wp:effectExtent l="0" t="0" r="0" b="0"/>
            <wp:docPr id="5612372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237274" name=""/>
                    <pic:cNvPicPr/>
                  </pic:nvPicPr>
                  <pic:blipFill>
                    <a:blip r:embed="rId10"/>
                    <a:stretch>
                      <a:fillRect/>
                    </a:stretch>
                  </pic:blipFill>
                  <pic:spPr>
                    <a:xfrm>
                      <a:off x="0" y="0"/>
                      <a:ext cx="2351126" cy="669944"/>
                    </a:xfrm>
                    <a:prstGeom prst="rect">
                      <a:avLst/>
                    </a:prstGeom>
                  </pic:spPr>
                </pic:pic>
              </a:graphicData>
            </a:graphic>
          </wp:inline>
        </w:drawing>
      </w:r>
    </w:p>
    <w:p w14:paraId="11191E28" w14:textId="77777777" w:rsidR="001F5D2C" w:rsidRPr="009E342B" w:rsidRDefault="001F5D2C" w:rsidP="00BE72C0">
      <w:pPr>
        <w:spacing w:after="0" w:line="240" w:lineRule="auto"/>
        <w:jc w:val="both"/>
        <w:rPr>
          <w:rFonts w:ascii="Verdana" w:eastAsia="Calibri" w:hAnsi="Verdana" w:cs="Arial"/>
          <w:lang w:val="es-ES"/>
        </w:rPr>
      </w:pPr>
    </w:p>
    <w:p w14:paraId="1903303E" w14:textId="77777777" w:rsidR="00BE72C0" w:rsidRPr="009E342B" w:rsidRDefault="00BE72C0" w:rsidP="00BE72C0">
      <w:pPr>
        <w:spacing w:after="0" w:line="240" w:lineRule="auto"/>
        <w:jc w:val="both"/>
        <w:rPr>
          <w:rFonts w:ascii="Verdana" w:eastAsia="Calibri" w:hAnsi="Verdana" w:cs="Arial"/>
          <w:lang w:val="es-ES" w:eastAsia="es-ES"/>
        </w:rPr>
      </w:pPr>
      <w:r w:rsidRPr="009E342B">
        <w:rPr>
          <w:rFonts w:ascii="Verdana" w:eastAsia="Calibri" w:hAnsi="Verdana" w:cs="Arial"/>
          <w:lang w:val="es-ES" w:eastAsia="es-ES"/>
        </w:rPr>
        <w:t>Señora</w:t>
      </w:r>
    </w:p>
    <w:p w14:paraId="2A5E6F20" w14:textId="77777777" w:rsidR="00BE72C0" w:rsidRPr="009E342B" w:rsidRDefault="00BE72C0" w:rsidP="00BE72C0">
      <w:pPr>
        <w:spacing w:after="0" w:line="240" w:lineRule="auto"/>
        <w:rPr>
          <w:rFonts w:ascii="Verdana" w:eastAsia="Calibri" w:hAnsi="Verdana" w:cs="Arial"/>
          <w:b/>
          <w:bCs/>
          <w:lang w:val="es-ES" w:eastAsia="es-ES"/>
        </w:rPr>
      </w:pPr>
      <w:r w:rsidRPr="009E342B">
        <w:rPr>
          <w:rFonts w:ascii="Verdana" w:eastAsia="Calibri" w:hAnsi="Verdana" w:cs="Arial"/>
          <w:b/>
          <w:bCs/>
          <w:lang w:val="es-ES" w:eastAsia="es-ES"/>
        </w:rPr>
        <w:t>Amparo Pareja López</w:t>
      </w:r>
    </w:p>
    <w:p w14:paraId="03D9E5BC" w14:textId="77777777" w:rsidR="00BE72C0" w:rsidRPr="009E342B" w:rsidRDefault="00BE72C0" w:rsidP="00BE72C0">
      <w:pPr>
        <w:spacing w:after="0" w:line="240" w:lineRule="auto"/>
        <w:rPr>
          <w:rFonts w:ascii="Verdana" w:hAnsi="Verdana"/>
        </w:rPr>
      </w:pPr>
      <w:hyperlink r:id="rId11" w:history="1">
        <w:r w:rsidRPr="009E342B">
          <w:rPr>
            <w:rStyle w:val="Hipervnculo"/>
            <w:rFonts w:ascii="Verdana" w:hAnsi="Verdana"/>
          </w:rPr>
          <w:t>amparo_parejalopez@yahoo.es</w:t>
        </w:r>
      </w:hyperlink>
      <w:r w:rsidRPr="009E342B">
        <w:rPr>
          <w:rFonts w:ascii="Verdana" w:hAnsi="Verdana"/>
        </w:rPr>
        <w:t xml:space="preserve">  </w:t>
      </w:r>
    </w:p>
    <w:p w14:paraId="594F1F3C" w14:textId="77777777" w:rsidR="00BE72C0" w:rsidRPr="009E342B" w:rsidRDefault="00BE72C0" w:rsidP="00BE72C0">
      <w:pPr>
        <w:spacing w:after="0" w:line="240" w:lineRule="auto"/>
        <w:rPr>
          <w:rFonts w:ascii="Verdana" w:eastAsia="Calibri" w:hAnsi="Verdana" w:cs="Arial"/>
          <w:b/>
          <w:bCs/>
          <w:lang w:val="es-ES" w:eastAsia="es-ES"/>
        </w:rPr>
      </w:pPr>
      <w:r w:rsidRPr="009E342B">
        <w:rPr>
          <w:rFonts w:ascii="Verdana" w:eastAsia="Calibri" w:hAnsi="Verdana" w:cs="Arial"/>
          <w:lang w:val="es-ES" w:eastAsia="es-ES"/>
        </w:rPr>
        <w:t>Popayán, Cauca</w:t>
      </w:r>
    </w:p>
    <w:p w14:paraId="4B6E14A4" w14:textId="77777777" w:rsidR="00BE72C0" w:rsidRPr="009E342B" w:rsidRDefault="00BE72C0" w:rsidP="00BE72C0">
      <w:pPr>
        <w:spacing w:after="0" w:line="240" w:lineRule="auto"/>
        <w:rPr>
          <w:rFonts w:ascii="Verdana" w:eastAsia="Calibri" w:hAnsi="Verdana" w:cs="Arial"/>
          <w:b/>
          <w:bCs/>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BE72C0" w:rsidRPr="009E342B" w14:paraId="5D8C5540" w14:textId="77777777" w:rsidTr="007D2F57">
        <w:trPr>
          <w:trHeight w:val="312"/>
        </w:trPr>
        <w:tc>
          <w:tcPr>
            <w:tcW w:w="2689" w:type="dxa"/>
          </w:tcPr>
          <w:p w14:paraId="591ABB3B" w14:textId="77777777" w:rsidR="00BE72C0" w:rsidRPr="009E342B" w:rsidRDefault="00BE72C0" w:rsidP="007D2F57">
            <w:pPr>
              <w:jc w:val="both"/>
              <w:rPr>
                <w:rFonts w:ascii="Verdana" w:eastAsia="Calibri" w:hAnsi="Verdana" w:cs="Arial"/>
                <w:b/>
                <w:bCs/>
                <w:lang w:val="es-ES_tradnl" w:eastAsia="es-ES_tradnl"/>
              </w:rPr>
            </w:pPr>
          </w:p>
        </w:tc>
        <w:tc>
          <w:tcPr>
            <w:tcW w:w="6100" w:type="dxa"/>
          </w:tcPr>
          <w:p w14:paraId="718DB699" w14:textId="77777777" w:rsidR="00BE72C0" w:rsidRPr="009E342B" w:rsidRDefault="00BE72C0" w:rsidP="007D2F57">
            <w:pPr>
              <w:jc w:val="both"/>
              <w:rPr>
                <w:rFonts w:ascii="Verdana" w:eastAsia="Calibri" w:hAnsi="Verdana" w:cs="Arial"/>
                <w:b/>
                <w:bCs/>
                <w:lang w:val="es-ES" w:eastAsia="es-ES"/>
              </w:rPr>
            </w:pPr>
            <w:r w:rsidRPr="009E342B">
              <w:rPr>
                <w:rFonts w:ascii="Verdana" w:eastAsia="Calibri" w:hAnsi="Verdana" w:cs="Arial"/>
                <w:b/>
                <w:bCs/>
                <w:lang w:val="es-ES" w:eastAsia="es-ES"/>
              </w:rPr>
              <w:t>Concepto C- 1044 de 2026</w:t>
            </w:r>
          </w:p>
          <w:p w14:paraId="64A3088F" w14:textId="77777777" w:rsidR="00BE72C0" w:rsidRPr="009E342B" w:rsidRDefault="00BE72C0" w:rsidP="007D2F57">
            <w:pPr>
              <w:jc w:val="both"/>
              <w:rPr>
                <w:rFonts w:ascii="Verdana" w:eastAsia="Calibri" w:hAnsi="Verdana" w:cs="Arial"/>
                <w:b/>
                <w:bCs/>
                <w:lang w:val="es-ES" w:eastAsia="es-ES"/>
              </w:rPr>
            </w:pPr>
          </w:p>
        </w:tc>
      </w:tr>
      <w:tr w:rsidR="00BE72C0" w:rsidRPr="009E342B" w14:paraId="27691CFB" w14:textId="77777777" w:rsidTr="007D2F57">
        <w:trPr>
          <w:trHeight w:val="884"/>
        </w:trPr>
        <w:tc>
          <w:tcPr>
            <w:tcW w:w="2689" w:type="dxa"/>
          </w:tcPr>
          <w:p w14:paraId="6BAF6964" w14:textId="77777777" w:rsidR="00BE72C0" w:rsidRPr="009E342B" w:rsidRDefault="00BE72C0" w:rsidP="007D2F57">
            <w:pPr>
              <w:jc w:val="both"/>
              <w:rPr>
                <w:rFonts w:ascii="Verdana" w:eastAsia="Calibri" w:hAnsi="Verdana" w:cs="Arial"/>
                <w:lang w:val="es-ES_tradnl" w:eastAsia="es-ES_tradnl"/>
              </w:rPr>
            </w:pPr>
            <w:r w:rsidRPr="009E342B">
              <w:rPr>
                <w:rFonts w:ascii="Verdana" w:eastAsia="Calibri" w:hAnsi="Verdana" w:cs="Arial"/>
                <w:b/>
                <w:lang w:val="es-ES_tradnl" w:eastAsia="es-ES_tradnl"/>
              </w:rPr>
              <w:t>Temas:</w:t>
            </w:r>
            <w:r w:rsidRPr="009E342B">
              <w:rPr>
                <w:rFonts w:ascii="Verdana" w:eastAsia="Calibri" w:hAnsi="Verdana" w:cs="Arial"/>
                <w:lang w:val="es-ES_tradnl" w:eastAsia="es-ES_tradnl"/>
              </w:rPr>
              <w:t xml:space="preserve">                   </w:t>
            </w:r>
          </w:p>
        </w:tc>
        <w:tc>
          <w:tcPr>
            <w:tcW w:w="6100" w:type="dxa"/>
          </w:tcPr>
          <w:p w14:paraId="436B05CF" w14:textId="77777777" w:rsidR="00BE72C0" w:rsidRPr="009E342B" w:rsidRDefault="00BE72C0" w:rsidP="007D2F57">
            <w:pPr>
              <w:spacing w:line="240" w:lineRule="auto"/>
              <w:jc w:val="both"/>
              <w:rPr>
                <w:rFonts w:ascii="Verdana" w:eastAsia="Calibri" w:hAnsi="Verdana" w:cs="Arial"/>
                <w:lang w:val="es-ES" w:eastAsia="es-ES"/>
              </w:rPr>
            </w:pPr>
            <w:r w:rsidRPr="009E342B">
              <w:rPr>
                <w:rFonts w:ascii="Verdana" w:eastAsia="Calibri" w:hAnsi="Verdana" w:cs="Arial"/>
                <w:lang w:val="es-ES" w:eastAsia="es-ES"/>
              </w:rPr>
              <w:t>URGENCIA MANIFIESTA – Causal de contratación directa – Definición/ URGENCIA MANIFIESTA – Situación de calamidad o desastre / CONTRATO ESTATAL – Requisitos de perfeccionamiento – Requisitos de ejecución</w:t>
            </w:r>
          </w:p>
          <w:p w14:paraId="7BCAA000" w14:textId="77777777" w:rsidR="00BE72C0" w:rsidRPr="009E342B" w:rsidRDefault="00BE72C0" w:rsidP="007D2F57">
            <w:pPr>
              <w:spacing w:line="240" w:lineRule="auto"/>
              <w:jc w:val="both"/>
              <w:rPr>
                <w:rFonts w:ascii="Verdana" w:eastAsia="Calibri" w:hAnsi="Verdana" w:cs="Arial"/>
                <w:lang w:val="es-ES" w:eastAsia="es-ES"/>
              </w:rPr>
            </w:pPr>
          </w:p>
        </w:tc>
      </w:tr>
      <w:tr w:rsidR="00BE72C0" w:rsidRPr="009E342B" w14:paraId="296E03E6" w14:textId="77777777" w:rsidTr="007D2F57">
        <w:tc>
          <w:tcPr>
            <w:tcW w:w="2689" w:type="dxa"/>
          </w:tcPr>
          <w:p w14:paraId="0689A221" w14:textId="77777777" w:rsidR="00BE72C0" w:rsidRPr="009E342B" w:rsidRDefault="00BE72C0" w:rsidP="007D2F57">
            <w:pPr>
              <w:jc w:val="both"/>
              <w:rPr>
                <w:rFonts w:ascii="Verdana" w:eastAsia="Calibri" w:hAnsi="Verdana" w:cs="Arial"/>
                <w:b/>
                <w:lang w:val="es-ES_tradnl" w:eastAsia="es-ES_tradnl"/>
              </w:rPr>
            </w:pPr>
            <w:r w:rsidRPr="009E342B">
              <w:rPr>
                <w:rFonts w:ascii="Verdana" w:eastAsia="Calibri" w:hAnsi="Verdana" w:cs="Arial"/>
                <w:b/>
                <w:lang w:val="es-ES_tradnl" w:eastAsia="es-ES_tradnl"/>
              </w:rPr>
              <w:t>Radicación:</w:t>
            </w:r>
            <w:r w:rsidRPr="009E342B">
              <w:rPr>
                <w:rFonts w:ascii="Verdana" w:eastAsia="Calibri" w:hAnsi="Verdana" w:cs="Arial"/>
                <w:lang w:val="es-ES_tradnl" w:eastAsia="es-ES_tradnl"/>
              </w:rPr>
              <w:t xml:space="preserve">               </w:t>
            </w:r>
          </w:p>
        </w:tc>
        <w:tc>
          <w:tcPr>
            <w:tcW w:w="6100" w:type="dxa"/>
          </w:tcPr>
          <w:p w14:paraId="691D7067" w14:textId="77777777" w:rsidR="00BE72C0" w:rsidRPr="009E342B" w:rsidRDefault="00BE72C0" w:rsidP="007D2F57">
            <w:pPr>
              <w:jc w:val="both"/>
              <w:rPr>
                <w:rFonts w:ascii="Verdana" w:eastAsia="Calibri" w:hAnsi="Verdana" w:cs="Arial"/>
                <w:lang w:val="es-ES_tradnl" w:eastAsia="es-ES_tradnl"/>
              </w:rPr>
            </w:pPr>
            <w:r w:rsidRPr="009E342B">
              <w:rPr>
                <w:rFonts w:ascii="Verdana" w:eastAsia="Calibri" w:hAnsi="Verdana" w:cs="Arial"/>
                <w:lang w:val="es-ES_tradnl" w:eastAsia="es-ES_tradnl"/>
              </w:rPr>
              <w:t>Respuesta a consulta con radicado No. 1_2026_06_30_008699</w:t>
            </w:r>
          </w:p>
        </w:tc>
      </w:tr>
    </w:tbl>
    <w:p w14:paraId="7C985848" w14:textId="77777777" w:rsidR="00BE72C0" w:rsidRPr="009E342B" w:rsidRDefault="00BE72C0" w:rsidP="00BE72C0">
      <w:pPr>
        <w:spacing w:after="0" w:line="240" w:lineRule="auto"/>
        <w:jc w:val="both"/>
        <w:rPr>
          <w:rFonts w:ascii="Verdana" w:eastAsia="Calibri" w:hAnsi="Verdana" w:cs="Arial"/>
          <w:lang w:val="es-ES_tradnl" w:eastAsia="es-ES_tradnl"/>
        </w:rPr>
      </w:pPr>
    </w:p>
    <w:p w14:paraId="7B7FB82A" w14:textId="77777777" w:rsidR="00BE72C0" w:rsidRPr="009E342B" w:rsidRDefault="00BE72C0" w:rsidP="00BE72C0">
      <w:pPr>
        <w:spacing w:after="0" w:line="240" w:lineRule="auto"/>
        <w:jc w:val="both"/>
        <w:rPr>
          <w:rFonts w:ascii="Verdana" w:eastAsia="Calibri" w:hAnsi="Verdana" w:cs="Arial"/>
          <w:lang w:val="es-ES_tradnl" w:eastAsia="es-ES_tradnl"/>
        </w:rPr>
      </w:pPr>
    </w:p>
    <w:p w14:paraId="6DC926C1" w14:textId="77777777" w:rsidR="00BE72C0" w:rsidRPr="009E342B" w:rsidRDefault="00BE72C0" w:rsidP="00BE72C0">
      <w:pPr>
        <w:spacing w:after="0" w:line="276" w:lineRule="auto"/>
        <w:jc w:val="both"/>
        <w:rPr>
          <w:rFonts w:ascii="Verdana" w:eastAsia="Calibri" w:hAnsi="Verdana" w:cs="Arial"/>
          <w:lang w:val="es-ES" w:eastAsia="es-ES"/>
        </w:rPr>
      </w:pPr>
      <w:r w:rsidRPr="009E342B">
        <w:rPr>
          <w:rFonts w:ascii="Verdana" w:eastAsia="Calibri" w:hAnsi="Verdana" w:cs="Arial"/>
          <w:lang w:val="es-ES" w:eastAsia="es-ES"/>
        </w:rPr>
        <w:t xml:space="preserve">Estimada señora Pareja: </w:t>
      </w:r>
    </w:p>
    <w:p w14:paraId="58E0B1EC" w14:textId="77777777" w:rsidR="00BE72C0" w:rsidRPr="009E342B" w:rsidRDefault="00BE72C0" w:rsidP="00BE72C0">
      <w:pPr>
        <w:tabs>
          <w:tab w:val="left" w:pos="3768"/>
        </w:tabs>
        <w:spacing w:after="0" w:line="276" w:lineRule="auto"/>
        <w:jc w:val="both"/>
        <w:rPr>
          <w:rFonts w:ascii="Verdana" w:eastAsia="Calibri" w:hAnsi="Verdana" w:cs="Arial"/>
          <w:lang w:val="es-ES" w:eastAsia="es-ES"/>
        </w:rPr>
      </w:pPr>
      <w:r w:rsidRPr="009E342B">
        <w:rPr>
          <w:rFonts w:ascii="Verdana" w:eastAsia="Calibri" w:hAnsi="Verdana" w:cs="Arial"/>
          <w:lang w:val="es-ES" w:eastAsia="es-ES"/>
        </w:rPr>
        <w:tab/>
      </w:r>
    </w:p>
    <w:p w14:paraId="3F1695A8" w14:textId="77777777" w:rsidR="00BE72C0" w:rsidRPr="009E342B" w:rsidRDefault="00BE72C0" w:rsidP="00BE72C0">
      <w:pPr>
        <w:spacing w:after="0" w:line="276" w:lineRule="auto"/>
        <w:jc w:val="both"/>
        <w:rPr>
          <w:rFonts w:ascii="Verdana" w:eastAsia="Calibri" w:hAnsi="Verdana" w:cs="Arial"/>
          <w:lang w:val="es-ES" w:eastAsia="es-ES"/>
        </w:rPr>
      </w:pPr>
      <w:r w:rsidRPr="009E342B">
        <w:rPr>
          <w:rFonts w:ascii="Verdana" w:eastAsia="Calibri" w:hAnsi="Verdana" w:cs="Arial"/>
          <w:lang w:val="es-ES" w:eastAsia="es-ES"/>
        </w:rPr>
        <w:t>En ejercicio de la competencia otorgada por los artículos 3, numeral 5º, y 11, numeral 8º, del Decreto Ley 4170 de 2011,</w:t>
      </w:r>
      <w:r w:rsidRPr="009E342B">
        <w:rPr>
          <w:rFonts w:ascii="Verdana" w:eastAsia="Arial MT" w:hAnsi="Verdana" w:cs="Arial MT"/>
          <w:lang w:val="es-ES" w:eastAsia="es-ES"/>
        </w:rPr>
        <w:t xml:space="preserve"> </w:t>
      </w:r>
      <w:r w:rsidRPr="009E342B">
        <w:rPr>
          <w:rFonts w:ascii="Verdana" w:hAnsi="Verdana" w:cs="Arial"/>
        </w:rPr>
        <w:t xml:space="preserve">así como lo establecido en el artículo 4 de la Resolución 1707 de 2018 expedida por esta Entidad, </w:t>
      </w:r>
      <w:r w:rsidRPr="009E342B">
        <w:rPr>
          <w:rFonts w:ascii="Verdana" w:eastAsia="Calibri" w:hAnsi="Verdana" w:cs="Arial"/>
          <w:lang w:val="es-ES" w:eastAsia="es-ES"/>
        </w:rPr>
        <w:t xml:space="preserve">la Agencia Nacional de Contratación Pública – Colombia Compra Eficiente– responde su solicitud de consulta de fecha del 30 de junio de 2026, en la que realiza la siguiente consulta: </w:t>
      </w:r>
    </w:p>
    <w:p w14:paraId="60782F96" w14:textId="77777777" w:rsidR="00BE72C0" w:rsidRPr="009E342B" w:rsidRDefault="00BE72C0" w:rsidP="00BE72C0">
      <w:pPr>
        <w:tabs>
          <w:tab w:val="left" w:pos="142"/>
          <w:tab w:val="left" w:pos="284"/>
        </w:tabs>
        <w:spacing w:after="0" w:line="276" w:lineRule="auto"/>
        <w:contextualSpacing/>
        <w:jc w:val="both"/>
        <w:rPr>
          <w:rFonts w:ascii="Verdana" w:eastAsia="Century Gothic" w:hAnsi="Verdana" w:cs="Century Gothic"/>
          <w:b/>
          <w:bCs/>
          <w:sz w:val="20"/>
          <w:szCs w:val="20"/>
          <w:lang w:val="es-ES"/>
        </w:rPr>
      </w:pPr>
    </w:p>
    <w:p w14:paraId="7DC67A5C" w14:textId="77777777" w:rsidR="00BE72C0" w:rsidRPr="00F63343" w:rsidRDefault="00BE72C0" w:rsidP="00BE72C0">
      <w:pPr>
        <w:tabs>
          <w:tab w:val="left" w:pos="709"/>
        </w:tabs>
        <w:spacing w:after="0" w:line="240" w:lineRule="auto"/>
        <w:ind w:left="709" w:right="709"/>
        <w:jc w:val="both"/>
        <w:rPr>
          <w:rFonts w:ascii="Verdana" w:eastAsia="Calibri" w:hAnsi="Verdana" w:cs="Arial"/>
          <w:sz w:val="20"/>
          <w:szCs w:val="20"/>
          <w:lang w:val="es-MX"/>
        </w:rPr>
      </w:pPr>
      <w:r w:rsidRPr="00F63343">
        <w:rPr>
          <w:rFonts w:ascii="Verdana" w:eastAsia="Calibri" w:hAnsi="Verdana" w:cs="Arial"/>
          <w:sz w:val="20"/>
          <w:szCs w:val="20"/>
          <w:lang w:val="es-MX"/>
        </w:rPr>
        <w:t>“[…]</w:t>
      </w:r>
    </w:p>
    <w:p w14:paraId="425118B4" w14:textId="77777777" w:rsidR="00BE72C0" w:rsidRPr="00186339" w:rsidRDefault="00BE72C0" w:rsidP="00BE72C0">
      <w:pPr>
        <w:tabs>
          <w:tab w:val="left" w:pos="709"/>
        </w:tabs>
        <w:spacing w:after="0" w:line="240" w:lineRule="auto"/>
        <w:ind w:left="709" w:right="709"/>
        <w:jc w:val="both"/>
        <w:rPr>
          <w:rFonts w:ascii="Verdana" w:eastAsia="Calibri" w:hAnsi="Verdana" w:cs="Arial"/>
          <w:sz w:val="20"/>
          <w:szCs w:val="20"/>
          <w:lang w:val="es-MX"/>
        </w:rPr>
      </w:pPr>
      <w:r w:rsidRPr="00186339">
        <w:rPr>
          <w:rFonts w:ascii="Verdana" w:eastAsia="Calibri" w:hAnsi="Verdana" w:cs="Arial"/>
          <w:sz w:val="20"/>
          <w:szCs w:val="20"/>
          <w:lang w:val="es-MX"/>
        </w:rPr>
        <w:t>¿Cuáles son los requisitos y formalidades que debe cumplir la administración pública para la celebración, perfeccionamiento, legalización y ejecución de los contratos que deban celebrarse con ocasión de una declaratoria de urgencia manifiesta e intervenciones destinadas a conjurar los hechos ocurridos bajo una declaratoria de urgencia manifiesta?</w:t>
      </w:r>
    </w:p>
    <w:p w14:paraId="3C2D7FD7" w14:textId="77777777" w:rsidR="00BE72C0" w:rsidRPr="00186339" w:rsidRDefault="00BE72C0" w:rsidP="00BE72C0">
      <w:pPr>
        <w:tabs>
          <w:tab w:val="left" w:pos="709"/>
        </w:tabs>
        <w:spacing w:after="0" w:line="240" w:lineRule="auto"/>
        <w:ind w:left="709" w:right="709"/>
        <w:jc w:val="both"/>
        <w:rPr>
          <w:rFonts w:ascii="Verdana" w:eastAsia="Calibri" w:hAnsi="Verdana" w:cs="Arial"/>
          <w:sz w:val="20"/>
          <w:szCs w:val="20"/>
          <w:lang w:val="es-MX"/>
        </w:rPr>
      </w:pPr>
    </w:p>
    <w:p w14:paraId="388E3BC4" w14:textId="77777777" w:rsidR="00BE72C0" w:rsidRPr="00F63343" w:rsidRDefault="00BE72C0" w:rsidP="00BE72C0">
      <w:pPr>
        <w:tabs>
          <w:tab w:val="left" w:pos="709"/>
        </w:tabs>
        <w:spacing w:after="0" w:line="240" w:lineRule="auto"/>
        <w:ind w:left="709" w:right="709"/>
        <w:jc w:val="both"/>
        <w:rPr>
          <w:rFonts w:ascii="Verdana" w:eastAsia="Calibri" w:hAnsi="Verdana" w:cs="Arial"/>
          <w:sz w:val="20"/>
          <w:szCs w:val="20"/>
          <w:lang w:val="es-MX"/>
        </w:rPr>
      </w:pPr>
      <w:proofErr w:type="spellStart"/>
      <w:r w:rsidRPr="00F63343">
        <w:rPr>
          <w:rFonts w:ascii="Verdana" w:eastAsia="Calibri" w:hAnsi="Verdana" w:cs="Arial"/>
          <w:i/>
          <w:iCs/>
          <w:sz w:val="20"/>
          <w:szCs w:val="20"/>
          <w:lang w:val="es-MX"/>
        </w:rPr>
        <w:t>Subpregunta</w:t>
      </w:r>
      <w:proofErr w:type="spellEnd"/>
      <w:r w:rsidRPr="00F63343">
        <w:rPr>
          <w:rFonts w:ascii="Verdana" w:eastAsia="Calibri" w:hAnsi="Verdana" w:cs="Arial"/>
          <w:i/>
          <w:iCs/>
          <w:sz w:val="20"/>
          <w:szCs w:val="20"/>
          <w:lang w:val="es-MX"/>
        </w:rPr>
        <w:t xml:space="preserve">: </w:t>
      </w:r>
      <w:r w:rsidRPr="00F63343">
        <w:rPr>
          <w:rFonts w:ascii="Verdana" w:eastAsia="Calibri" w:hAnsi="Verdana" w:cs="Arial"/>
          <w:sz w:val="20"/>
          <w:szCs w:val="20"/>
          <w:lang w:val="es-MX"/>
        </w:rPr>
        <w:t xml:space="preserve">En escenarios de fuerza mayor, desastre natural o calamidad pública, ¿cuál es la oportunidad legal para el cumplimiento de </w:t>
      </w:r>
      <w:r w:rsidRPr="00F63343">
        <w:rPr>
          <w:rFonts w:ascii="Verdana" w:eastAsia="Calibri" w:hAnsi="Verdana" w:cs="Arial"/>
          <w:sz w:val="20"/>
          <w:szCs w:val="20"/>
          <w:lang w:val="es-MX"/>
        </w:rPr>
        <w:lastRenderedPageBreak/>
        <w:t xml:space="preserve">los requisitos presupuestales (CDP y RP) y la instrumentación escrita descrita en el artículo 41 de la Ley 80 de 1993 y jurisprudencia existente a la fecha, precisando que la consulta se refiere exclusivamente a los eventos de urgencia manifiesta previstos en el artículo 42 de la Ley 80 de 1993. </w:t>
      </w:r>
      <w:r w:rsidRPr="00186339">
        <w:rPr>
          <w:rFonts w:ascii="Verdana" w:eastAsia="Calibri" w:hAnsi="Verdana" w:cs="Arial"/>
          <w:sz w:val="20"/>
          <w:szCs w:val="20"/>
          <w:lang w:val="es-MX"/>
        </w:rPr>
        <w:t xml:space="preserve">En ese contexto, </w:t>
      </w:r>
      <w:r w:rsidRPr="00F63343">
        <w:rPr>
          <w:rFonts w:ascii="Verdana" w:eastAsia="Calibri" w:hAnsi="Verdana" w:cs="Arial"/>
          <w:sz w:val="20"/>
          <w:szCs w:val="20"/>
          <w:lang w:val="es-MX"/>
        </w:rPr>
        <w:t>¿los requisitos deben cumplirse al momento de la intervención en el escenario que da vida a la urgencia manifiesta? O, pueden surtirse de manera posterior como parte de la legalización de la emergencia y si está definido un plazo máximo para que se surtan los requisitos establecidos en la legislación y/o en la normatividad?</w:t>
      </w:r>
    </w:p>
    <w:p w14:paraId="43978DD1" w14:textId="77777777" w:rsidR="00BE72C0" w:rsidRPr="00F63343" w:rsidRDefault="00BE72C0" w:rsidP="00BE72C0">
      <w:pPr>
        <w:tabs>
          <w:tab w:val="left" w:pos="709"/>
        </w:tabs>
        <w:spacing w:after="0" w:line="240" w:lineRule="auto"/>
        <w:ind w:left="709" w:right="709"/>
        <w:jc w:val="both"/>
        <w:rPr>
          <w:rFonts w:ascii="Verdana" w:eastAsia="Calibri" w:hAnsi="Verdana" w:cs="Arial"/>
          <w:sz w:val="20"/>
          <w:szCs w:val="20"/>
          <w:lang w:val="es-MX"/>
        </w:rPr>
      </w:pPr>
      <w:r w:rsidRPr="00F63343">
        <w:rPr>
          <w:rFonts w:ascii="Verdana" w:eastAsia="Calibri" w:hAnsi="Verdana" w:cs="Arial"/>
          <w:sz w:val="20"/>
          <w:szCs w:val="20"/>
          <w:lang w:val="es-MX"/>
        </w:rPr>
        <w:t>[…]</w:t>
      </w:r>
    </w:p>
    <w:p w14:paraId="28286CEF" w14:textId="77777777" w:rsidR="00BE72C0" w:rsidRPr="00186339" w:rsidRDefault="00BE72C0" w:rsidP="00BE72C0">
      <w:pPr>
        <w:tabs>
          <w:tab w:val="left" w:pos="709"/>
        </w:tabs>
        <w:spacing w:after="0" w:line="240" w:lineRule="auto"/>
        <w:ind w:left="709" w:right="709"/>
        <w:jc w:val="both"/>
        <w:rPr>
          <w:rFonts w:ascii="Verdana" w:eastAsia="Calibri" w:hAnsi="Verdana" w:cs="Arial"/>
          <w:sz w:val="20"/>
          <w:szCs w:val="20"/>
          <w:lang w:val="es-MX"/>
        </w:rPr>
      </w:pPr>
      <w:r w:rsidRPr="00186339">
        <w:rPr>
          <w:rFonts w:ascii="Verdana" w:eastAsia="Calibri" w:hAnsi="Verdana" w:cs="Arial"/>
          <w:sz w:val="20"/>
          <w:szCs w:val="20"/>
          <w:lang w:val="es-MX"/>
        </w:rPr>
        <w:t>De conformidad con lo establecido en el Artículo 41 de la Ley 80 de 1993 y demás normas establecidas y a la jurisprudencia, vigentes y existentes a la fecha, ¿qué requisitos se requieren taxativamente para que un contrato estatal se entienda perfeccionado?</w:t>
      </w:r>
    </w:p>
    <w:p w14:paraId="31E7D6C8" w14:textId="77777777" w:rsidR="00BE72C0" w:rsidRPr="00F63343" w:rsidRDefault="00BE72C0" w:rsidP="00BE72C0">
      <w:pPr>
        <w:tabs>
          <w:tab w:val="left" w:pos="709"/>
        </w:tabs>
        <w:spacing w:after="0" w:line="240" w:lineRule="auto"/>
        <w:ind w:left="709" w:right="709"/>
        <w:jc w:val="both"/>
        <w:rPr>
          <w:rFonts w:ascii="Verdana" w:eastAsia="Calibri" w:hAnsi="Verdana" w:cs="Arial"/>
          <w:sz w:val="20"/>
          <w:szCs w:val="20"/>
          <w:lang w:val="es-MX"/>
        </w:rPr>
      </w:pPr>
    </w:p>
    <w:p w14:paraId="262774D9" w14:textId="77777777" w:rsidR="00BE72C0" w:rsidRPr="00F63343" w:rsidRDefault="00BE72C0" w:rsidP="00BE72C0">
      <w:pPr>
        <w:tabs>
          <w:tab w:val="left" w:pos="709"/>
        </w:tabs>
        <w:spacing w:after="0" w:line="240" w:lineRule="auto"/>
        <w:ind w:left="709" w:right="709"/>
        <w:jc w:val="both"/>
        <w:rPr>
          <w:rFonts w:ascii="Verdana" w:eastAsia="Calibri" w:hAnsi="Verdana" w:cs="Arial"/>
          <w:sz w:val="20"/>
          <w:szCs w:val="20"/>
          <w:lang w:val="es-MX"/>
        </w:rPr>
      </w:pPr>
      <w:proofErr w:type="spellStart"/>
      <w:r w:rsidRPr="00F63343">
        <w:rPr>
          <w:rFonts w:ascii="Verdana" w:eastAsia="Calibri" w:hAnsi="Verdana" w:cs="Arial"/>
          <w:i/>
          <w:iCs/>
          <w:sz w:val="20"/>
          <w:szCs w:val="20"/>
          <w:lang w:val="es-MX"/>
        </w:rPr>
        <w:t>Subpregunta</w:t>
      </w:r>
      <w:proofErr w:type="spellEnd"/>
      <w:r w:rsidRPr="00F63343">
        <w:rPr>
          <w:rFonts w:ascii="Verdana" w:eastAsia="Calibri" w:hAnsi="Verdana" w:cs="Arial"/>
          <w:i/>
          <w:iCs/>
          <w:sz w:val="20"/>
          <w:szCs w:val="20"/>
          <w:lang w:val="es-MX"/>
        </w:rPr>
        <w:t xml:space="preserve">: </w:t>
      </w:r>
      <w:r w:rsidRPr="00F63343">
        <w:rPr>
          <w:rFonts w:ascii="Verdana" w:eastAsia="Calibri" w:hAnsi="Verdana" w:cs="Arial"/>
          <w:sz w:val="20"/>
          <w:szCs w:val="20"/>
          <w:lang w:val="es-MX"/>
        </w:rPr>
        <w:t>Una vez cumplidos los requisitos de perfeccionamiento señalados en dicha norma, ¿cuál es el alcance legal del acta de inicio y qué efectos jurídicos genera la ausencia o dilación en su suscripción respecto de la existencia, eficacia y exigibilidad del vínculo contractual descrito en el artículo 41 de esta ley?</w:t>
      </w:r>
    </w:p>
    <w:p w14:paraId="52BA7987" w14:textId="77777777" w:rsidR="00BE72C0" w:rsidRPr="00F63343" w:rsidRDefault="00BE72C0" w:rsidP="00BE72C0">
      <w:pPr>
        <w:tabs>
          <w:tab w:val="left" w:pos="709"/>
        </w:tabs>
        <w:spacing w:after="0" w:line="240" w:lineRule="auto"/>
        <w:ind w:left="709" w:right="709"/>
        <w:jc w:val="both"/>
        <w:rPr>
          <w:rFonts w:ascii="Verdana" w:eastAsia="Calibri" w:hAnsi="Verdana" w:cs="Arial"/>
          <w:sz w:val="20"/>
          <w:szCs w:val="20"/>
          <w:lang w:val="es-MX"/>
        </w:rPr>
      </w:pPr>
      <w:r w:rsidRPr="00F63343">
        <w:rPr>
          <w:rFonts w:ascii="Verdana" w:eastAsia="Calibri" w:hAnsi="Verdana" w:cs="Arial"/>
          <w:sz w:val="20"/>
          <w:szCs w:val="20"/>
          <w:lang w:val="es-MX"/>
        </w:rPr>
        <w:t>[…]” [sic] [Énfasis propio]</w:t>
      </w:r>
    </w:p>
    <w:p w14:paraId="56D521EF" w14:textId="77777777" w:rsidR="00BE72C0" w:rsidRPr="006263D8" w:rsidRDefault="00BE72C0" w:rsidP="00BE72C0">
      <w:pPr>
        <w:tabs>
          <w:tab w:val="left" w:pos="142"/>
          <w:tab w:val="left" w:pos="284"/>
        </w:tabs>
        <w:spacing w:line="276" w:lineRule="auto"/>
        <w:contextualSpacing/>
        <w:jc w:val="both"/>
        <w:rPr>
          <w:rFonts w:ascii="Verdana" w:eastAsia="Century Gothic" w:hAnsi="Verdana" w:cs="Century Gothic"/>
          <w:b/>
          <w:bCs/>
          <w:lang w:val="es-ES"/>
        </w:rPr>
      </w:pPr>
    </w:p>
    <w:p w14:paraId="4983AB42" w14:textId="77777777" w:rsidR="00BE72C0" w:rsidRPr="006263D8" w:rsidRDefault="00BE72C0" w:rsidP="00BE72C0">
      <w:pPr>
        <w:spacing w:after="120" w:line="276" w:lineRule="auto"/>
        <w:ind w:firstLine="709"/>
        <w:jc w:val="both"/>
        <w:rPr>
          <w:rFonts w:ascii="Verdana" w:eastAsia="Calibri" w:hAnsi="Verdana" w:cs="Arial"/>
          <w:szCs w:val="24"/>
          <w:lang w:val="es-ES_tradnl" w:eastAsia="es-ES_tradnl"/>
        </w:rPr>
      </w:pPr>
      <w:r w:rsidRPr="006263D8">
        <w:rPr>
          <w:rFonts w:ascii="Verdana" w:eastAsia="Calibri" w:hAnsi="Verdana" w:cs="Arial"/>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6263D8">
        <w:rPr>
          <w:rFonts w:ascii="Verdana" w:eastAsia="Calibri" w:hAnsi="Verdana" w:cs="Arial"/>
          <w:szCs w:val="24"/>
          <w:lang w:val="es-ES_tradnl" w:eastAsia="es-ES_tradnl"/>
        </w:rPr>
        <w:tab/>
      </w:r>
    </w:p>
    <w:p w14:paraId="5B4DF038" w14:textId="77777777" w:rsidR="00BE72C0" w:rsidRPr="006263D8" w:rsidRDefault="00BE72C0" w:rsidP="00BE72C0">
      <w:pPr>
        <w:spacing w:after="0" w:line="276" w:lineRule="auto"/>
        <w:ind w:firstLine="709"/>
        <w:jc w:val="both"/>
        <w:rPr>
          <w:rFonts w:ascii="Verdana" w:eastAsia="Calibri" w:hAnsi="Verdana" w:cs="Arial"/>
          <w:lang w:val="es-ES" w:eastAsia="es-ES"/>
        </w:rPr>
      </w:pPr>
      <w:r w:rsidRPr="006263D8">
        <w:rPr>
          <w:rFonts w:ascii="Verdana" w:eastAsia="Calibri" w:hAnsi="Verdana" w:cs="Arial"/>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los problemas jurídicos de su consulta. </w:t>
      </w:r>
    </w:p>
    <w:p w14:paraId="58058E1A" w14:textId="77777777" w:rsidR="00BE72C0" w:rsidRPr="006263D8" w:rsidRDefault="00BE72C0" w:rsidP="00BE72C0">
      <w:pPr>
        <w:spacing w:after="0" w:line="276" w:lineRule="auto"/>
        <w:ind w:firstLine="709"/>
        <w:jc w:val="both"/>
        <w:rPr>
          <w:rFonts w:ascii="Verdana" w:eastAsia="Calibri" w:hAnsi="Verdana" w:cs="Arial"/>
          <w:lang w:val="es-ES" w:eastAsia="es-ES"/>
        </w:rPr>
      </w:pPr>
    </w:p>
    <w:p w14:paraId="68295BA7" w14:textId="77777777" w:rsidR="00BE72C0" w:rsidRPr="006263D8" w:rsidRDefault="00BE72C0" w:rsidP="00BE72C0">
      <w:pPr>
        <w:widowControl w:val="0"/>
        <w:autoSpaceDE w:val="0"/>
        <w:autoSpaceDN w:val="0"/>
        <w:spacing w:before="1" w:after="0" w:line="240" w:lineRule="auto"/>
        <w:ind w:left="360" w:hanging="360"/>
        <w:jc w:val="both"/>
        <w:outlineLvl w:val="0"/>
        <w:rPr>
          <w:rFonts w:ascii="Verdana" w:eastAsia="Arial" w:hAnsi="Verdana" w:cs="Arial"/>
          <w:b/>
          <w:bCs/>
          <w:lang w:val="es-ES"/>
        </w:rPr>
      </w:pPr>
      <w:r w:rsidRPr="006263D8">
        <w:rPr>
          <w:rFonts w:ascii="Verdana" w:eastAsia="Arial" w:hAnsi="Verdana" w:cs="Arial"/>
          <w:b/>
          <w:bCs/>
          <w:lang w:val="es-ES"/>
        </w:rPr>
        <w:t>1. Problema planteado:</w:t>
      </w:r>
    </w:p>
    <w:p w14:paraId="15ADF834" w14:textId="77777777" w:rsidR="00BE72C0" w:rsidRPr="006263D8" w:rsidRDefault="00BE72C0" w:rsidP="00BE72C0">
      <w:pPr>
        <w:tabs>
          <w:tab w:val="left" w:pos="426"/>
        </w:tabs>
        <w:spacing w:after="0" w:line="276" w:lineRule="auto"/>
        <w:jc w:val="both"/>
        <w:rPr>
          <w:rFonts w:ascii="Verdana" w:eastAsia="Century Gothic" w:hAnsi="Verdana" w:cs="Century Gothic"/>
          <w:lang w:val="es-ES"/>
        </w:rPr>
      </w:pPr>
    </w:p>
    <w:p w14:paraId="4E1790E5" w14:textId="77777777" w:rsidR="00BE72C0" w:rsidRPr="006263D8" w:rsidRDefault="00BE72C0" w:rsidP="00BE72C0">
      <w:pPr>
        <w:spacing w:after="0" w:line="276" w:lineRule="auto"/>
        <w:jc w:val="both"/>
        <w:rPr>
          <w:rFonts w:ascii="Verdana" w:eastAsia="Century Gothic" w:hAnsi="Verdana" w:cs="Century Gothic"/>
        </w:rPr>
      </w:pPr>
      <w:r w:rsidRPr="006263D8">
        <w:rPr>
          <w:rFonts w:ascii="Verdana" w:eastAsia="Century Gothic" w:hAnsi="Verdana" w:cs="Century Gothic"/>
        </w:rPr>
        <w:t xml:space="preserve">De acuerdo con el contenido de su solicitud, </w:t>
      </w:r>
      <w:bookmarkStart w:id="1" w:name="_Hlk171070029"/>
      <w:r w:rsidRPr="006263D8">
        <w:rPr>
          <w:rFonts w:ascii="Verdana" w:eastAsia="Century Gothic" w:hAnsi="Verdana" w:cs="Century Gothic"/>
        </w:rPr>
        <w:t xml:space="preserve">le informamos que la misma será resuelta desde los siguientes problemas jurídicos: i) ¿Qué requisitos deben observar las entidades estatales para celebrar un contrato de manera directa por urgencia manifiesta, con ocasión a la configuración de hechos de calamidad o constitutivos de fuerza mayor o desastre que demanden actuaciones inmediatas?; </w:t>
      </w:r>
      <w:proofErr w:type="spellStart"/>
      <w:r w:rsidRPr="006263D8">
        <w:rPr>
          <w:rFonts w:ascii="Verdana" w:eastAsia="Century Gothic" w:hAnsi="Verdana" w:cs="Century Gothic"/>
        </w:rPr>
        <w:t>ii</w:t>
      </w:r>
      <w:proofErr w:type="spellEnd"/>
      <w:r w:rsidRPr="006263D8">
        <w:rPr>
          <w:rFonts w:ascii="Verdana" w:eastAsia="Century Gothic" w:hAnsi="Verdana" w:cs="Century Gothic"/>
        </w:rPr>
        <w:t xml:space="preserve">) ¿Cuáles los requisitos de perfeccionamiento del contrato estatal y cuáles son sus excepciones?; y, </w:t>
      </w:r>
      <w:proofErr w:type="spellStart"/>
      <w:r w:rsidRPr="006263D8">
        <w:rPr>
          <w:rFonts w:ascii="Verdana" w:eastAsia="Century Gothic" w:hAnsi="Verdana" w:cs="Century Gothic"/>
        </w:rPr>
        <w:t>iii</w:t>
      </w:r>
      <w:proofErr w:type="spellEnd"/>
      <w:r w:rsidRPr="006263D8">
        <w:rPr>
          <w:rFonts w:ascii="Verdana" w:eastAsia="Century Gothic" w:hAnsi="Verdana" w:cs="Century Gothic"/>
        </w:rPr>
        <w:t>) ¿Es un requisito para la ejecución del contrato estatal, la suscripción del acta de inicio?</w:t>
      </w:r>
    </w:p>
    <w:p w14:paraId="791E8F42" w14:textId="77777777" w:rsidR="00BE72C0" w:rsidRPr="006263D8" w:rsidRDefault="00BE72C0" w:rsidP="00BE72C0">
      <w:pPr>
        <w:spacing w:after="0" w:line="276" w:lineRule="auto"/>
        <w:jc w:val="both"/>
        <w:rPr>
          <w:rFonts w:ascii="Verdana" w:eastAsia="Calibri" w:hAnsi="Verdana" w:cs="Arial"/>
          <w:lang w:val="es-ES"/>
        </w:rPr>
      </w:pPr>
    </w:p>
    <w:bookmarkEnd w:id="1"/>
    <w:p w14:paraId="246AD0AA" w14:textId="77777777" w:rsidR="00BE72C0" w:rsidRPr="006263D8" w:rsidRDefault="00BE72C0" w:rsidP="00BE72C0">
      <w:pPr>
        <w:widowControl w:val="0"/>
        <w:autoSpaceDE w:val="0"/>
        <w:autoSpaceDN w:val="0"/>
        <w:spacing w:before="1" w:after="0" w:line="240" w:lineRule="auto"/>
        <w:jc w:val="both"/>
        <w:outlineLvl w:val="0"/>
        <w:rPr>
          <w:rFonts w:ascii="Verdana" w:eastAsia="Arial" w:hAnsi="Verdana" w:cs="Arial"/>
          <w:b/>
          <w:bCs/>
          <w:lang w:val="es-ES"/>
        </w:rPr>
      </w:pPr>
      <w:r w:rsidRPr="006263D8">
        <w:rPr>
          <w:rFonts w:ascii="Verdana" w:eastAsia="Arial" w:hAnsi="Verdana" w:cs="Arial"/>
          <w:b/>
          <w:bCs/>
          <w:lang w:val="es-ES"/>
        </w:rPr>
        <w:t>2. Respuesta:</w:t>
      </w:r>
    </w:p>
    <w:p w14:paraId="30D3BCA3" w14:textId="77777777" w:rsidR="00BE72C0" w:rsidRPr="006263D8" w:rsidRDefault="00BE72C0" w:rsidP="00BE72C0">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BE72C0" w:rsidRPr="006263D8" w14:paraId="66211465" w14:textId="77777777" w:rsidTr="007D2F57">
        <w:tc>
          <w:tcPr>
            <w:tcW w:w="8828" w:type="dxa"/>
          </w:tcPr>
          <w:p w14:paraId="45F87981" w14:textId="77777777" w:rsidR="00BE72C0" w:rsidRPr="006263D8" w:rsidRDefault="00BE72C0" w:rsidP="007D2F57">
            <w:pPr>
              <w:spacing w:after="120" w:line="276" w:lineRule="auto"/>
              <w:jc w:val="both"/>
              <w:rPr>
                <w:rFonts w:ascii="Verdana" w:eastAsia="Calibri" w:hAnsi="Verdana" w:cs="Arial"/>
                <w:lang w:val="es-ES_tradnl"/>
              </w:rPr>
            </w:pPr>
            <w:bookmarkStart w:id="2" w:name="_Hlk171067516"/>
            <w:r w:rsidRPr="006263D8">
              <w:rPr>
                <w:rFonts w:ascii="Verdana" w:eastAsia="Calibri" w:hAnsi="Verdana" w:cs="Arial"/>
                <w:lang w:val="es-ES"/>
              </w:rPr>
              <w:t xml:space="preserve">i) </w:t>
            </w:r>
            <w:r w:rsidRPr="006263D8">
              <w:rPr>
                <w:rFonts w:ascii="Verdana" w:eastAsia="Calibri" w:hAnsi="Verdana" w:cs="Arial"/>
                <w:lang w:val="es-ES_tradnl"/>
              </w:rPr>
              <w:t xml:space="preserve">Una vez se declara la situación de calamidad o la situación de desastre bajo los criterios señalados en el artículo 59 de la Ley 1523 de 2012, por parte de la autoridad competente, las demás entidades estatales –de conformidad con el artículo 42 de la Ley 80 de 1993– quedan facultadas para declarar, a continuación, la causal de contratación directa denominada “urgencia manifiesta”, mediante un acto administrativo propio, autónomo, que tiene como fundamento fáctico y jurídico la declaración de situación de calamidad o la situación de desastre. </w:t>
            </w:r>
          </w:p>
          <w:p w14:paraId="685A1DDB" w14:textId="77777777" w:rsidR="00BE72C0" w:rsidRPr="006263D8" w:rsidRDefault="00BE72C0" w:rsidP="007D2F57">
            <w:pPr>
              <w:spacing w:line="276" w:lineRule="auto"/>
              <w:ind w:firstLine="708"/>
              <w:jc w:val="both"/>
              <w:rPr>
                <w:rFonts w:ascii="Verdana" w:eastAsia="Calibri" w:hAnsi="Verdana" w:cs="Arial"/>
                <w:lang w:val="es-ES"/>
              </w:rPr>
            </w:pPr>
            <w:r w:rsidRPr="006263D8">
              <w:rPr>
                <w:rFonts w:ascii="Verdana" w:eastAsia="Calibri" w:hAnsi="Verdana" w:cs="Arial"/>
                <w:lang w:val="es-ES"/>
              </w:rPr>
              <w:t>Expedido el acto administrativo, la entidad estatal debe realizar todos los trámites internos necesarios para contratar, entre ellos la disposición de los recursos. En tal sentido, el parágrafo del artículo 42 de la Ley 80 señala que “[c]</w:t>
            </w:r>
            <w:proofErr w:type="spellStart"/>
            <w:r w:rsidRPr="006263D8">
              <w:rPr>
                <w:rFonts w:ascii="Verdana" w:eastAsia="Calibri" w:hAnsi="Verdana" w:cs="Arial"/>
                <w:lang w:val="es-ES"/>
              </w:rPr>
              <w:t>on</w:t>
            </w:r>
            <w:proofErr w:type="spellEnd"/>
            <w:r w:rsidRPr="006263D8">
              <w:rPr>
                <w:rFonts w:ascii="Verdana" w:eastAsia="Calibri" w:hAnsi="Verdana" w:cs="Arial"/>
                <w:lang w:val="es-ES"/>
              </w:rPr>
              <w:t xml:space="preserve"> el fin de atender las necesidades y los gastos propios de la urgencia manifiesta, se podrán hacer los traslados presupuestales internos que se requieran dentro del presupuesto del organismo o entidad estatal correspondiente”. Este apartado fue declarado condicionalmente exequible por la Corte Constitucional en la Sentencia C-772 de 1998, “[…] bajo el entendimiento de que los traslados presupuestales internos a que se refiere dicha norma, se efectúen afectando exclusivamente el anexo del decreto de liquidación del Presupuesto”. </w:t>
            </w:r>
          </w:p>
          <w:p w14:paraId="64384C26" w14:textId="77777777" w:rsidR="00BE72C0" w:rsidRPr="006263D8" w:rsidRDefault="00BE72C0" w:rsidP="007D2F57">
            <w:pPr>
              <w:spacing w:before="120" w:after="120" w:line="276" w:lineRule="auto"/>
              <w:ind w:firstLine="709"/>
              <w:jc w:val="both"/>
              <w:rPr>
                <w:rFonts w:ascii="Verdana" w:eastAsia="Calibri" w:hAnsi="Verdana" w:cs="Arial"/>
                <w:lang w:val="es-ES"/>
              </w:rPr>
            </w:pPr>
            <w:r w:rsidRPr="006263D8">
              <w:rPr>
                <w:rFonts w:ascii="Verdana" w:eastAsia="Calibri" w:hAnsi="Verdana" w:cs="Arial"/>
                <w:lang w:val="es-ES"/>
              </w:rPr>
              <w:t xml:space="preserve">Lo anterior significa que para contratar directamente no basta con la declaración de desastre o de calamidad. Es decir, se necesitan dos (2) actos administrativos concurrentes para que pueda contratarse directamente por </w:t>
            </w:r>
            <w:r w:rsidRPr="006263D8">
              <w:rPr>
                <w:rFonts w:ascii="Verdana" w:eastAsia="Calibri" w:hAnsi="Verdana" w:cs="Arial"/>
                <w:lang w:val="es-ES"/>
              </w:rPr>
              <w:lastRenderedPageBreak/>
              <w:t xml:space="preserve">urgencia manifiesta: i) el primero en el tiempo, la declaración de la situación de calamidad pública o la declaración de la situación de desastre, de conformidad con lo establecido en el Capítulo VI de la Ley 1523 de 2012; y </w:t>
            </w:r>
            <w:proofErr w:type="spellStart"/>
            <w:r w:rsidRPr="006263D8">
              <w:rPr>
                <w:rFonts w:ascii="Verdana" w:eastAsia="Calibri" w:hAnsi="Verdana" w:cs="Arial"/>
                <w:lang w:val="es-ES"/>
              </w:rPr>
              <w:t>ii</w:t>
            </w:r>
            <w:proofErr w:type="spellEnd"/>
            <w:r w:rsidRPr="006263D8">
              <w:rPr>
                <w:rFonts w:ascii="Verdana" w:eastAsia="Calibri" w:hAnsi="Verdana" w:cs="Arial"/>
                <w:lang w:val="es-ES"/>
              </w:rPr>
              <w:t>) el segundo, la declaración propiamente dicha de “urgencia manifiesta” de que trata el artículo 42 del Estatuto General de Contratación, amparado o fundamentado en la declaración previa del desastre o calamidad.</w:t>
            </w:r>
          </w:p>
          <w:p w14:paraId="5ECE35BB" w14:textId="77777777" w:rsidR="00BE72C0" w:rsidRPr="006263D8" w:rsidRDefault="00BE72C0" w:rsidP="007D2F57">
            <w:pPr>
              <w:spacing w:line="276" w:lineRule="auto"/>
              <w:ind w:firstLine="709"/>
              <w:jc w:val="both"/>
              <w:rPr>
                <w:rFonts w:ascii="Verdana" w:eastAsia="Calibri" w:hAnsi="Verdana" w:cs="Arial"/>
                <w:lang w:val="es-ES"/>
              </w:rPr>
            </w:pPr>
            <w:r w:rsidRPr="006263D8">
              <w:rPr>
                <w:rFonts w:ascii="Verdana" w:eastAsia="Calibri" w:hAnsi="Verdana" w:cs="Arial"/>
                <w:lang w:val="es-ES"/>
              </w:rPr>
              <w:t>En su defecto se itera, que cuando se configure alguna de las cuatro (4) situaciones expuestas en el artículo 42 de la Ley 80 de 1993, dicha norma exige declarar formalmente la urgencia manifiesta mediante acto administrativo motivado, es decir, a través de una manifestación unilateral de voluntad razonablemente justificada, proferida por el jefe o representante legal de cada entidad –o quien sea el titular de la competencia–, según lo establecido en los artículos 11 y 12 ibidem. Adicionalmente, no es necesario realizar estudios previos, como lo dispone el artículo 2.2.1.2.1.4.2 del Decreto 1082 de 2015: “Si la causal de contratación directa es la urgencia manifiesta, el acto administrativo que la declare hará las veces del acto administrativo de justificación, y en este caso la Entidad Estatal no está obligada a elaborar estudios y documentos previos”.</w:t>
            </w:r>
          </w:p>
          <w:p w14:paraId="27F01E4D" w14:textId="77777777" w:rsidR="00BE72C0" w:rsidRPr="006263D8" w:rsidRDefault="00BE72C0" w:rsidP="007D2F57">
            <w:pPr>
              <w:spacing w:line="276" w:lineRule="auto"/>
              <w:jc w:val="both"/>
              <w:rPr>
                <w:rFonts w:ascii="Verdana" w:eastAsia="Calibri" w:hAnsi="Verdana" w:cs="Arial"/>
                <w:lang w:val="es-ES"/>
              </w:rPr>
            </w:pPr>
          </w:p>
          <w:p w14:paraId="41C741DF" w14:textId="77777777" w:rsidR="00BE72C0" w:rsidRPr="006263D8" w:rsidRDefault="00BE72C0" w:rsidP="007D2F57">
            <w:pPr>
              <w:spacing w:line="276" w:lineRule="auto"/>
              <w:jc w:val="both"/>
              <w:rPr>
                <w:rFonts w:ascii="Verdana" w:eastAsia="Calibri" w:hAnsi="Verdana" w:cs="Arial"/>
                <w:lang w:val="es-ES"/>
              </w:rPr>
            </w:pPr>
            <w:proofErr w:type="spellStart"/>
            <w:r w:rsidRPr="006263D8">
              <w:rPr>
                <w:rFonts w:ascii="Verdana" w:eastAsia="Calibri" w:hAnsi="Verdana" w:cs="Arial"/>
                <w:lang w:val="es-ES"/>
              </w:rPr>
              <w:t>ii</w:t>
            </w:r>
            <w:proofErr w:type="spellEnd"/>
            <w:r w:rsidRPr="006263D8">
              <w:rPr>
                <w:rFonts w:ascii="Verdana" w:eastAsia="Calibri" w:hAnsi="Verdana" w:cs="Arial"/>
                <w:lang w:val="es-ES"/>
              </w:rPr>
              <w:t xml:space="preserve">) Los requisitos de perfeccionamiento del contrato estatal son mandatos normativos que determinan cuándo se entiende celebrado. Es decir, se trata de prescripciones que establecen en qué momento existe el contrato. En efecto, el primer inciso del artículo 41 de la Ley 80 de 1993 establece que “Los contratos del Estado se perfeccionan cuando se logre acuerdo sobre el objeto y la contraprestación y éste se eleve a escrito”. Como se advierte, el legislador dispuso que para que el contrato estatal exista, no solo debe haber un acuerdo sobre la obligación principal del negocio –es decir, sobre el “objeto”– y sobre la contraprestación, sino que se debe plasmar por escrito. Sin embargo, la excepción de esta regla se encuentra en el cuarto inciso del mismo artículo, según el cual, “En caso de situaciones de urgencia manifiesta a que se refiere el artículo 42 de esta ley que no permitan la suscripción de contrato escrito, se prescindirá de éste y aún del acuerdo acerca de la remuneración, no obstante, deberá dejarse constancia escrita de la autorización impartida por la entidad estatal contratante”. En otras palabras, por regla general, los contratos estatales deben constar por escrito, salvo que se presente una </w:t>
            </w:r>
            <w:r w:rsidRPr="006263D8">
              <w:rPr>
                <w:rFonts w:ascii="Verdana" w:eastAsia="Calibri" w:hAnsi="Verdana" w:cs="Arial"/>
                <w:lang w:val="es-ES"/>
              </w:rPr>
              <w:lastRenderedPageBreak/>
              <w:t>situación de urgencia manifiesta en la que no haya tiempo de cumplir con esta formalidad.</w:t>
            </w:r>
          </w:p>
          <w:p w14:paraId="1436CFF2" w14:textId="77777777" w:rsidR="00BE72C0" w:rsidRPr="006263D8" w:rsidRDefault="00BE72C0" w:rsidP="007D2F57">
            <w:pPr>
              <w:spacing w:line="276" w:lineRule="auto"/>
              <w:jc w:val="both"/>
              <w:rPr>
                <w:rFonts w:ascii="Verdana" w:eastAsia="Calibri" w:hAnsi="Verdana" w:cs="Arial"/>
                <w:lang w:val="es-ES"/>
              </w:rPr>
            </w:pPr>
          </w:p>
          <w:p w14:paraId="15D438C7" w14:textId="77777777" w:rsidR="00BE72C0" w:rsidRPr="006263D8" w:rsidRDefault="00BE72C0" w:rsidP="007D2F57">
            <w:pPr>
              <w:spacing w:line="276" w:lineRule="auto"/>
              <w:jc w:val="both"/>
              <w:rPr>
                <w:rFonts w:ascii="Verdana" w:eastAsia="Calibri" w:hAnsi="Verdana" w:cs="Arial"/>
                <w:lang w:val="es-ES"/>
              </w:rPr>
            </w:pPr>
            <w:proofErr w:type="spellStart"/>
            <w:r w:rsidRPr="006263D8">
              <w:rPr>
                <w:rFonts w:ascii="Verdana" w:eastAsia="Calibri" w:hAnsi="Verdana" w:cs="Arial"/>
                <w:lang w:val="es-ES"/>
              </w:rPr>
              <w:t>iii</w:t>
            </w:r>
            <w:proofErr w:type="spellEnd"/>
            <w:r w:rsidRPr="006263D8">
              <w:rPr>
                <w:rFonts w:ascii="Verdana" w:eastAsia="Calibri" w:hAnsi="Verdana" w:cs="Arial"/>
                <w:lang w:val="es-ES"/>
              </w:rPr>
              <w:t xml:space="preserve">) </w:t>
            </w:r>
            <w:r w:rsidRPr="006263D8">
              <w:rPr>
                <w:rFonts w:ascii="Verdana" w:eastAsia="Century Gothic" w:hAnsi="Verdana" w:cs="Century Gothic"/>
              </w:rPr>
              <w:t xml:space="preserve">Sobre el particular se precisa que, los requisitos de ejecución de los contratos estatales pueden ser “legales” o “convencionales”. Los primeros son aquellos que se encuentran previstos en la ley. Los segundos son estipulados por las partes. En otros términos, los requisitos legales de ejecución son elementos de la naturaleza, mientras que los requisitos convencionales de ejecución son elementos accidentales. De ahí que, al analizar el contenido del artículo 41 de la Ley 80 de 1993, </w:t>
            </w:r>
            <w:r w:rsidRPr="006263D8">
              <w:rPr>
                <w:rFonts w:ascii="Verdana" w:eastAsia="Calibri" w:hAnsi="Verdana" w:cs="Arial"/>
                <w:lang w:val="es-ES"/>
              </w:rPr>
              <w:t xml:space="preserve">modificado por el artículo 23 de la ley 1150 de 2007, se observa que los requisitos legales de ejecución son: i) la aprobación de las garantías exigidas en el contrato, </w:t>
            </w:r>
            <w:proofErr w:type="spellStart"/>
            <w:r w:rsidRPr="006263D8">
              <w:rPr>
                <w:rFonts w:ascii="Verdana" w:eastAsia="Calibri" w:hAnsi="Verdana" w:cs="Arial"/>
                <w:lang w:val="es-ES"/>
              </w:rPr>
              <w:t>ii</w:t>
            </w:r>
            <w:proofErr w:type="spellEnd"/>
            <w:r w:rsidRPr="006263D8">
              <w:rPr>
                <w:rFonts w:ascii="Verdana" w:eastAsia="Calibri" w:hAnsi="Verdana" w:cs="Arial"/>
                <w:lang w:val="es-ES"/>
              </w:rPr>
              <w:t xml:space="preserve">) la existencia de la apropiación presupuestal correspondiente y </w:t>
            </w:r>
            <w:proofErr w:type="spellStart"/>
            <w:r w:rsidRPr="006263D8">
              <w:rPr>
                <w:rFonts w:ascii="Verdana" w:eastAsia="Calibri" w:hAnsi="Verdana" w:cs="Arial"/>
                <w:lang w:val="es-ES"/>
              </w:rPr>
              <w:t>iii</w:t>
            </w:r>
            <w:proofErr w:type="spellEnd"/>
            <w:r w:rsidRPr="006263D8">
              <w:rPr>
                <w:rFonts w:ascii="Verdana" w:eastAsia="Calibri" w:hAnsi="Verdana" w:cs="Arial"/>
                <w:lang w:val="es-ES"/>
              </w:rPr>
              <w:t>) la acreditación del cumplimiento de las obligaciones con el Sistema de Seguridad Social Integral. Por su parte, serán requisitos convencionales aquellos que no se encuentran consagrados en la ley sino que se pactan en la minuta del contrato o que el contratista acepta al momento de adherirse al clausulado del pliego de condiciones o documento equivalente, como por ejemplo, la suscripción del acta de inicio.</w:t>
            </w:r>
          </w:p>
          <w:p w14:paraId="0992F72C" w14:textId="77777777" w:rsidR="00BE72C0" w:rsidRPr="006263D8" w:rsidRDefault="00BE72C0" w:rsidP="007D2F57">
            <w:pPr>
              <w:spacing w:before="120" w:line="276" w:lineRule="auto"/>
              <w:ind w:firstLine="708"/>
              <w:jc w:val="both"/>
              <w:rPr>
                <w:rFonts w:ascii="Verdana" w:eastAsia="Calibri" w:hAnsi="Verdana" w:cs="Arial"/>
                <w:lang w:val="es-ES"/>
              </w:rPr>
            </w:pPr>
            <w:r w:rsidRPr="006263D8">
              <w:rPr>
                <w:rFonts w:ascii="Verdana" w:eastAsia="Calibri" w:hAnsi="Verdana" w:cs="Arial"/>
                <w:lang w:val="es-ES"/>
              </w:rPr>
              <w:t xml:space="preserve">En conclusión, dichos requisitos se relacionan en que deben cumplirse para que inicie la ejecución del contrato, </w:t>
            </w:r>
            <w:proofErr w:type="spellStart"/>
            <w:r w:rsidRPr="006263D8">
              <w:rPr>
                <w:rFonts w:ascii="Verdana" w:eastAsia="Calibri" w:hAnsi="Verdana" w:cs="Arial"/>
                <w:lang w:val="es-ES"/>
              </w:rPr>
              <w:t>si</w:t>
            </w:r>
            <w:proofErr w:type="spellEnd"/>
            <w:r w:rsidRPr="006263D8">
              <w:rPr>
                <w:rFonts w:ascii="Verdana" w:eastAsia="Calibri" w:hAnsi="Verdana" w:cs="Arial"/>
                <w:lang w:val="es-ES"/>
              </w:rPr>
              <w:t xml:space="preserve"> que por ello puedan considerarse elementos de la esencia –de perfeccionamiento– del negocio jurídico, ni de su validez. En otras palabras, un contrato estatal existe, así no se hayan aprobado las garantías, o expedido el registro presupuestal, o a pesar de que el contratista no esté al día en el cumplimiento de sus obligaciones con el Sistema de Seguridad Social Integral, pero no puede comenzar a ejecutarse.</w:t>
            </w:r>
          </w:p>
        </w:tc>
      </w:tr>
    </w:tbl>
    <w:bookmarkEnd w:id="2"/>
    <w:p w14:paraId="1E18567D" w14:textId="77777777" w:rsidR="00BE72C0" w:rsidRPr="006263D8" w:rsidRDefault="00BE72C0" w:rsidP="00BE72C0">
      <w:pPr>
        <w:widowControl w:val="0"/>
        <w:autoSpaceDE w:val="0"/>
        <w:autoSpaceDN w:val="0"/>
        <w:spacing w:before="1" w:after="0" w:line="240" w:lineRule="auto"/>
        <w:ind w:left="360" w:hanging="360"/>
        <w:outlineLvl w:val="0"/>
        <w:rPr>
          <w:rFonts w:ascii="Verdana" w:eastAsia="Arial" w:hAnsi="Verdana" w:cs="Arial"/>
          <w:b/>
          <w:bCs/>
          <w:lang w:val="es-ES"/>
        </w:rPr>
      </w:pPr>
      <w:r w:rsidRPr="006263D8">
        <w:rPr>
          <w:rFonts w:ascii="Verdana" w:eastAsia="Arial" w:hAnsi="Verdana" w:cs="Arial"/>
          <w:b/>
          <w:bCs/>
          <w:lang w:val="es-ES"/>
        </w:rPr>
        <w:lastRenderedPageBreak/>
        <w:t>3. Razones de la respuesta</w:t>
      </w:r>
    </w:p>
    <w:p w14:paraId="26BAAD30" w14:textId="77777777" w:rsidR="00BE72C0" w:rsidRPr="006263D8" w:rsidRDefault="00BE72C0" w:rsidP="00BE72C0">
      <w:pPr>
        <w:spacing w:after="0" w:line="276" w:lineRule="auto"/>
        <w:jc w:val="both"/>
        <w:rPr>
          <w:rFonts w:ascii="Verdana" w:eastAsia="Calibri" w:hAnsi="Verdana" w:cs="Arial"/>
          <w:lang w:val="es-ES"/>
        </w:rPr>
      </w:pPr>
    </w:p>
    <w:p w14:paraId="6292D19E" w14:textId="77777777" w:rsidR="00BE72C0" w:rsidRPr="006263D8" w:rsidRDefault="00BE72C0" w:rsidP="00BE72C0">
      <w:pPr>
        <w:spacing w:after="0" w:line="276" w:lineRule="auto"/>
        <w:jc w:val="both"/>
        <w:rPr>
          <w:rFonts w:ascii="Verdana" w:eastAsia="Calibri" w:hAnsi="Verdana" w:cs="Arial"/>
          <w:lang w:val="es-ES"/>
        </w:rPr>
      </w:pPr>
      <w:r w:rsidRPr="006263D8">
        <w:rPr>
          <w:rFonts w:ascii="Verdana" w:eastAsia="Calibri" w:hAnsi="Verdana" w:cs="Arial"/>
          <w:lang w:val="es-ES"/>
        </w:rPr>
        <w:t xml:space="preserve">Las respuestas anteriores se sustentan en las siguientes consideraciones: </w:t>
      </w:r>
    </w:p>
    <w:p w14:paraId="358089AB" w14:textId="77777777" w:rsidR="00BE72C0" w:rsidRPr="006263D8" w:rsidRDefault="00BE72C0" w:rsidP="00BE72C0">
      <w:pPr>
        <w:spacing w:after="0" w:line="276" w:lineRule="auto"/>
        <w:jc w:val="both"/>
        <w:rPr>
          <w:rFonts w:ascii="Verdana" w:eastAsia="Calibri" w:hAnsi="Verdana" w:cs="Arial"/>
          <w:lang w:val="es-ES"/>
        </w:rPr>
      </w:pPr>
    </w:p>
    <w:p w14:paraId="1F2E34D9" w14:textId="77777777" w:rsidR="00BE72C0" w:rsidRPr="006263D8" w:rsidRDefault="00BE72C0" w:rsidP="00BE72C0">
      <w:pPr>
        <w:spacing w:after="0" w:line="276" w:lineRule="auto"/>
        <w:jc w:val="both"/>
        <w:rPr>
          <w:rFonts w:ascii="Verdana" w:eastAsia="Calibri" w:hAnsi="Verdana" w:cs="Arial"/>
          <w:lang w:val="es-ES"/>
        </w:rPr>
      </w:pPr>
      <w:bookmarkStart w:id="3" w:name="_Hlk35882939"/>
      <w:r w:rsidRPr="006263D8">
        <w:rPr>
          <w:rFonts w:ascii="Verdana" w:eastAsia="Calibri" w:hAnsi="Verdana" w:cs="Arial"/>
          <w:lang w:val="es-ES"/>
        </w:rPr>
        <w:t xml:space="preserve">i) Si bien la licitación pública es la modalidad de selección que constituye la regla general para las entidades regidas por el Estatuto General de Contratación de la Administración Pública, el artículo 2.4 de la Ley 1150 de 2007 consagra algunas excepciones, que atienden a la necesidad de proteger principios como la eficiencia, la eficacia, la economía, la celeridad o la integridad de las personas. Una de las excepciones es la causal de contratación directa prevista en el literal </w:t>
      </w:r>
      <w:r w:rsidRPr="006263D8">
        <w:rPr>
          <w:rFonts w:ascii="Verdana" w:eastAsia="Calibri" w:hAnsi="Verdana" w:cs="Arial"/>
          <w:lang w:val="es-ES"/>
        </w:rPr>
        <w:lastRenderedPageBreak/>
        <w:t>a) del mencionado numeral, denominada por la ley como “urgencia manifiesta</w:t>
      </w:r>
      <w:bookmarkEnd w:id="3"/>
      <w:r w:rsidRPr="006263D8">
        <w:rPr>
          <w:rFonts w:ascii="Verdana" w:eastAsia="Calibri" w:hAnsi="Verdana" w:cs="Arial"/>
          <w:lang w:val="es-ES"/>
        </w:rPr>
        <w:t>”. Esta causal debe leerse en concordancia con los artículos 42 de la Ley 80 de 1993, que define el concepto y establece el procedimiento para su declaratoria, así como para la celebración de los contratos que se derivan de aquella. Esta norma dispone lo siguiente:</w:t>
      </w:r>
    </w:p>
    <w:p w14:paraId="4AAE267F" w14:textId="77777777" w:rsidR="00BE72C0" w:rsidRPr="006263D8" w:rsidRDefault="00BE72C0" w:rsidP="00BE72C0">
      <w:pPr>
        <w:spacing w:after="0" w:line="276" w:lineRule="auto"/>
        <w:jc w:val="both"/>
        <w:rPr>
          <w:rFonts w:ascii="Verdana" w:eastAsia="Calibri" w:hAnsi="Verdana" w:cs="Arial"/>
          <w:lang w:val="es-ES_tradnl"/>
        </w:rPr>
      </w:pPr>
    </w:p>
    <w:p w14:paraId="1607C2C9" w14:textId="77777777" w:rsidR="00BE72C0" w:rsidRPr="006263D8" w:rsidRDefault="00BE72C0" w:rsidP="00BE72C0">
      <w:pPr>
        <w:spacing w:after="120" w:line="240" w:lineRule="auto"/>
        <w:ind w:left="709" w:right="709"/>
        <w:jc w:val="both"/>
        <w:rPr>
          <w:rFonts w:ascii="Verdana" w:eastAsia="Calibri" w:hAnsi="Verdana" w:cs="Arial"/>
          <w:sz w:val="21"/>
          <w:szCs w:val="21"/>
          <w:lang w:val="es-ES_tradnl"/>
        </w:rPr>
      </w:pPr>
      <w:r w:rsidRPr="006263D8">
        <w:rPr>
          <w:rFonts w:ascii="Verdana" w:eastAsia="Calibri" w:hAnsi="Verdana" w:cs="Arial"/>
          <w:sz w:val="21"/>
          <w:szCs w:val="21"/>
          <w:lang w:val="es-ES_tradnl"/>
        </w:rPr>
        <w:t xml:space="preserve">“Artículo 42. De la urgencia manifiesta. Existe urgencia manifiesta </w:t>
      </w:r>
      <w:bookmarkStart w:id="4" w:name="_Hlk35851184"/>
      <w:r w:rsidRPr="006263D8">
        <w:rPr>
          <w:rFonts w:ascii="Verdana" w:eastAsia="Calibri" w:hAnsi="Verdana" w:cs="Arial"/>
          <w:sz w:val="21"/>
          <w:szCs w:val="21"/>
          <w:lang w:val="es-ES_tradnl"/>
        </w:rPr>
        <w:t>cuando la continuidad del servicio exige el suministro de bienes, o la prestación de servicios, o la ejecución de obras en el inmediato futuro</w:t>
      </w:r>
      <w:bookmarkEnd w:id="4"/>
      <w:r w:rsidRPr="006263D8">
        <w:rPr>
          <w:rFonts w:ascii="Verdana" w:eastAsia="Calibri" w:hAnsi="Verdana" w:cs="Arial"/>
          <w:sz w:val="21"/>
          <w:szCs w:val="21"/>
          <w:lang w:val="es-ES_tradnl"/>
        </w:rPr>
        <w:t xml:space="preserve">; </w:t>
      </w:r>
      <w:bookmarkStart w:id="5" w:name="_Hlk35857288"/>
      <w:r w:rsidRPr="006263D8">
        <w:rPr>
          <w:rFonts w:ascii="Verdana" w:eastAsia="Calibri" w:hAnsi="Verdana" w:cs="Arial"/>
          <w:sz w:val="21"/>
          <w:szCs w:val="21"/>
          <w:lang w:val="es-ES_tradnl"/>
        </w:rPr>
        <w:t xml:space="preserve">cuando se presenten </w:t>
      </w:r>
      <w:bookmarkStart w:id="6" w:name="_Hlk35857424"/>
      <w:r w:rsidRPr="006263D8">
        <w:rPr>
          <w:rFonts w:ascii="Verdana" w:eastAsia="Calibri" w:hAnsi="Verdana" w:cs="Arial"/>
          <w:sz w:val="21"/>
          <w:szCs w:val="21"/>
          <w:lang w:val="es-ES_tradnl"/>
        </w:rPr>
        <w:t>situaciones relacionadas con los estados de excepción</w:t>
      </w:r>
      <w:bookmarkEnd w:id="5"/>
      <w:bookmarkEnd w:id="6"/>
      <w:r w:rsidRPr="006263D8">
        <w:rPr>
          <w:rFonts w:ascii="Verdana" w:eastAsia="Calibri" w:hAnsi="Verdana" w:cs="Arial"/>
          <w:sz w:val="21"/>
          <w:szCs w:val="21"/>
          <w:lang w:val="es-ES_tradnl"/>
        </w:rPr>
        <w:t xml:space="preserve">; </w:t>
      </w:r>
      <w:bookmarkStart w:id="7" w:name="_Hlk35865550"/>
      <w:r w:rsidRPr="006263D8">
        <w:rPr>
          <w:rFonts w:ascii="Verdana" w:eastAsia="Calibri" w:hAnsi="Verdana" w:cs="Arial"/>
          <w:sz w:val="21"/>
          <w:szCs w:val="21"/>
          <w:lang w:val="es-ES_tradnl"/>
        </w:rPr>
        <w:t xml:space="preserve">cuando se trate de conjurar situaciones excepcionales relacionadas con hechos de calamidad o constitutivos de fuerza mayor o desastre que demanden actuaciones inmediatas </w:t>
      </w:r>
      <w:bookmarkEnd w:id="7"/>
      <w:r w:rsidRPr="006263D8">
        <w:rPr>
          <w:rFonts w:ascii="Verdana" w:eastAsia="Calibri" w:hAnsi="Verdana" w:cs="Arial"/>
          <w:sz w:val="21"/>
          <w:szCs w:val="21"/>
          <w:lang w:val="es-ES_tradnl"/>
        </w:rPr>
        <w:t>y, en general, cuando se trate de situaciones similares que imposibiliten acudir a los procedimientos de selección o concurso públicos.</w:t>
      </w:r>
    </w:p>
    <w:p w14:paraId="42C85B08" w14:textId="77777777" w:rsidR="00BE72C0" w:rsidRPr="006263D8" w:rsidRDefault="00BE72C0" w:rsidP="00BE72C0">
      <w:pPr>
        <w:spacing w:after="120" w:line="240" w:lineRule="auto"/>
        <w:ind w:left="709" w:right="709"/>
        <w:jc w:val="both"/>
        <w:rPr>
          <w:rFonts w:ascii="Verdana" w:eastAsia="Calibri" w:hAnsi="Verdana" w:cs="Arial"/>
          <w:sz w:val="21"/>
          <w:szCs w:val="21"/>
          <w:lang w:val="es-ES_tradnl"/>
        </w:rPr>
      </w:pPr>
      <w:r w:rsidRPr="006263D8">
        <w:rPr>
          <w:rFonts w:ascii="Verdana" w:eastAsia="Calibri" w:hAnsi="Verdana" w:cs="Arial"/>
          <w:sz w:val="21"/>
          <w:szCs w:val="21"/>
          <w:lang w:val="es-ES_tradnl"/>
        </w:rPr>
        <w:t>La urgencia manifiesta se declarará mediante acto administrativo motivado.</w:t>
      </w:r>
    </w:p>
    <w:p w14:paraId="1B591CB9" w14:textId="77777777" w:rsidR="00BE72C0" w:rsidRPr="006263D8" w:rsidRDefault="00BE72C0" w:rsidP="00BE72C0">
      <w:pPr>
        <w:spacing w:before="120" w:after="0" w:line="240" w:lineRule="auto"/>
        <w:ind w:left="709" w:right="709"/>
        <w:jc w:val="both"/>
        <w:rPr>
          <w:rFonts w:ascii="Verdana" w:eastAsia="Calibri" w:hAnsi="Verdana" w:cs="Arial"/>
          <w:sz w:val="21"/>
          <w:szCs w:val="21"/>
          <w:lang w:val="es-ES"/>
        </w:rPr>
      </w:pPr>
      <w:r w:rsidRPr="006263D8">
        <w:rPr>
          <w:rFonts w:ascii="Verdana" w:eastAsia="Calibri" w:hAnsi="Verdana" w:cs="Arial"/>
          <w:sz w:val="21"/>
          <w:szCs w:val="21"/>
          <w:lang w:val="es-ES"/>
        </w:rPr>
        <w:t>Parágrafo. Con el fin de atender las necesidades y los gastos propios de la urgencia manifiesta, se podrán hacer los traslados presupuestales internos que se requieran dentro del presupuesto del organismo o entidad estatal correspondiente”.</w:t>
      </w:r>
    </w:p>
    <w:p w14:paraId="44AF9E61" w14:textId="77777777" w:rsidR="00BE72C0" w:rsidRPr="006263D8" w:rsidRDefault="00BE72C0" w:rsidP="00BE72C0">
      <w:pPr>
        <w:spacing w:after="0" w:line="276" w:lineRule="auto"/>
        <w:ind w:left="709" w:right="709"/>
        <w:jc w:val="both"/>
        <w:rPr>
          <w:rFonts w:ascii="Verdana" w:eastAsia="Calibri" w:hAnsi="Verdana" w:cs="Arial"/>
          <w:lang w:val="es-ES_tradnl"/>
        </w:rPr>
      </w:pPr>
    </w:p>
    <w:p w14:paraId="205BB96B" w14:textId="77777777" w:rsidR="00BE72C0" w:rsidRPr="006263D8" w:rsidRDefault="00BE72C0" w:rsidP="00BE72C0">
      <w:pPr>
        <w:spacing w:after="120" w:line="276" w:lineRule="auto"/>
        <w:ind w:firstLine="708"/>
        <w:jc w:val="both"/>
        <w:rPr>
          <w:rFonts w:ascii="Verdana" w:eastAsia="Calibri" w:hAnsi="Verdana" w:cs="Arial"/>
          <w:sz w:val="21"/>
          <w:szCs w:val="21"/>
          <w:lang w:val="es-ES_tradnl"/>
        </w:rPr>
      </w:pPr>
      <w:r w:rsidRPr="006263D8">
        <w:rPr>
          <w:rFonts w:ascii="Verdana" w:eastAsia="Calibri" w:hAnsi="Verdana" w:cs="Arial"/>
          <w:lang w:val="es-ES_tradnl"/>
        </w:rPr>
        <w:t>Esta causal tiene como antecedente el derogado artículo 43.16 del Decreto-Ley 222 de 1983, que autorizaba la contratación directa “Cuando hubiere urgencia evidente calificada por el Consejo de Ministros, que no permita el tiempo necesario para la licitación o concurso”, entendiendo por tal “[…]</w:t>
      </w:r>
      <w:r w:rsidRPr="006263D8">
        <w:rPr>
          <w:rFonts w:ascii="Verdana" w:hAnsi="Verdana"/>
        </w:rPr>
        <w:t xml:space="preserve"> </w:t>
      </w:r>
      <w:r w:rsidRPr="006263D8">
        <w:rPr>
          <w:rFonts w:ascii="Verdana" w:eastAsia="Calibri" w:hAnsi="Verdana" w:cs="Arial"/>
          <w:lang w:val="es-ES_tradnl"/>
        </w:rPr>
        <w:t>necesidades actuales o previsibles de orden público, seguridad nacional o calamidad pública”; razón por la cual, los controles para su utilización eran tan evidentes que al declarase por un órgano distinto, el juez debía declarar la nulidad absoluta del contrato, por la falta de competencia</w:t>
      </w:r>
      <w:r w:rsidRPr="006263D8">
        <w:rPr>
          <w:rStyle w:val="Refdenotaalpie"/>
          <w:rFonts w:ascii="Verdana" w:eastAsia="Calibri" w:hAnsi="Verdana" w:cs="Arial"/>
          <w:lang w:val="es-ES_tradnl"/>
        </w:rPr>
        <w:footnoteReference w:id="1"/>
      </w:r>
      <w:r w:rsidRPr="006263D8">
        <w:rPr>
          <w:rFonts w:ascii="Verdana" w:eastAsia="Calibri" w:hAnsi="Verdana" w:cs="Arial"/>
          <w:lang w:val="es-ES_tradnl"/>
        </w:rPr>
        <w:t xml:space="preserve">. En contraste, el </w:t>
      </w:r>
      <w:r w:rsidRPr="006263D8">
        <w:rPr>
          <w:rFonts w:ascii="Verdana" w:eastAsia="Calibri" w:hAnsi="Verdana" w:cs="Arial"/>
        </w:rPr>
        <w:t>Estatuto General de Contratación de la Administración Pública</w:t>
      </w:r>
      <w:r w:rsidRPr="006263D8">
        <w:rPr>
          <w:rFonts w:ascii="Verdana" w:eastAsia="Calibri" w:hAnsi="Verdana" w:cs="Arial"/>
          <w:lang w:val="es-ES_tradnl"/>
        </w:rPr>
        <w:t xml:space="preserve">, interpretando de manera más realista las necesidades de la Administración, autoriza al jefe o representante legal de la entidad estatal para declarar la urgencia, siempre que tenga el carácter de </w:t>
      </w:r>
      <w:r w:rsidRPr="006263D8">
        <w:rPr>
          <w:rFonts w:ascii="Verdana" w:eastAsia="Calibri" w:hAnsi="Verdana" w:cs="Arial"/>
          <w:i/>
          <w:iCs/>
          <w:lang w:val="es-ES_tradnl"/>
        </w:rPr>
        <w:t>manifiesta</w:t>
      </w:r>
      <w:r w:rsidRPr="006263D8">
        <w:rPr>
          <w:rStyle w:val="Refdenotaalpie"/>
          <w:rFonts w:ascii="Verdana" w:eastAsia="Calibri" w:hAnsi="Verdana" w:cs="Arial"/>
          <w:sz w:val="21"/>
          <w:szCs w:val="21"/>
          <w:lang w:val="es-ES_tradnl"/>
        </w:rPr>
        <w:footnoteReference w:id="2"/>
      </w:r>
      <w:r w:rsidRPr="006263D8">
        <w:rPr>
          <w:rFonts w:ascii="Verdana" w:eastAsia="Calibri" w:hAnsi="Verdana" w:cs="Arial"/>
          <w:sz w:val="21"/>
          <w:szCs w:val="21"/>
          <w:lang w:val="es-ES_tradnl"/>
        </w:rPr>
        <w:t>.</w:t>
      </w:r>
    </w:p>
    <w:p w14:paraId="79E510F7" w14:textId="77777777" w:rsidR="00BE72C0" w:rsidRPr="006263D8" w:rsidRDefault="00BE72C0" w:rsidP="00BE72C0">
      <w:pPr>
        <w:spacing w:after="0" w:line="276" w:lineRule="auto"/>
        <w:contextualSpacing/>
        <w:jc w:val="both"/>
        <w:rPr>
          <w:rFonts w:ascii="Verdana" w:eastAsia="Calibri" w:hAnsi="Verdana" w:cs="Arial"/>
          <w:lang w:val="es-ES"/>
        </w:rPr>
      </w:pPr>
      <w:r w:rsidRPr="006263D8">
        <w:rPr>
          <w:rFonts w:ascii="Verdana" w:eastAsia="Calibri" w:hAnsi="Verdana" w:cs="Arial"/>
          <w:lang w:val="es-ES"/>
        </w:rPr>
        <w:lastRenderedPageBreak/>
        <w:tab/>
        <w:t>De esta manera, el artículo 42 de la Ley 80 de 1993, define la urgencia manifiesta como una circunstancia que exige, con carácter apremiante, preservar la continuidad del servicio, cuando se afecta por situaciones de fuerza mayor, desastres, calamidades o hechos relacionados con los estados de excepción. Por lo que, para la doctrina, las situaciones de urgencia manifiesta deben ser concretas, inmediatas, objetivas y probadas, pues deberá tratarse de circunstancias de hecho actuales, debidamente acreditadas y fundadas por estudios técnicos, verificadas por la autoridad competente</w:t>
      </w:r>
      <w:r w:rsidRPr="006263D8">
        <w:rPr>
          <w:rStyle w:val="Refdenotaalpie"/>
          <w:rFonts w:ascii="Verdana" w:eastAsia="Calibri" w:hAnsi="Verdana" w:cs="Arial"/>
          <w:lang w:val="es-ES"/>
        </w:rPr>
        <w:footnoteReference w:id="3"/>
      </w:r>
      <w:r w:rsidRPr="006263D8">
        <w:rPr>
          <w:rFonts w:ascii="Verdana" w:eastAsia="Calibri" w:hAnsi="Verdana" w:cs="Arial"/>
          <w:lang w:val="es-ES"/>
        </w:rPr>
        <w:t>.</w:t>
      </w:r>
    </w:p>
    <w:p w14:paraId="63C8BE6D" w14:textId="77777777" w:rsidR="00BE72C0" w:rsidRPr="006263D8" w:rsidRDefault="00BE72C0" w:rsidP="00BE72C0">
      <w:pPr>
        <w:spacing w:before="120" w:after="120" w:line="276" w:lineRule="auto"/>
        <w:ind w:firstLine="709"/>
        <w:jc w:val="both"/>
        <w:rPr>
          <w:rFonts w:ascii="Verdana" w:eastAsia="Calibri" w:hAnsi="Verdana" w:cs="Arial"/>
          <w:lang w:val="es-ES_tradnl"/>
        </w:rPr>
      </w:pPr>
      <w:r w:rsidRPr="006263D8">
        <w:rPr>
          <w:rFonts w:ascii="Verdana" w:eastAsia="Calibri" w:hAnsi="Verdana" w:cs="Arial"/>
          <w:lang w:val="es-ES"/>
        </w:rPr>
        <w:t xml:space="preserve">En dichos casos excepcionales, que comprometen fines superiores de interés colectivo, con mayor razón son de obligatoria aplicación los objetivos de la contratación administrativa, previstos en el artículo 3 de la Ley 80 de 1993. Esto, en la medida que el cumplimiento de los fines estatales, la continua y eficiente prestación de los servicios públicos, y la efectividad de los derechos e intereses de los administrados que colaboran con entidades y organismos del Estado en la consecución de dichos propósitos, confieren un fundamento </w:t>
      </w:r>
      <w:r w:rsidRPr="006263D8">
        <w:rPr>
          <w:rFonts w:ascii="Verdana" w:eastAsia="Calibri" w:hAnsi="Verdana" w:cs="Arial"/>
          <w:lang w:val="es-ES_tradnl"/>
        </w:rPr>
        <w:t>adicional a esta causal de contratación directa</w:t>
      </w:r>
      <w:r w:rsidRPr="006263D8">
        <w:rPr>
          <w:rFonts w:ascii="Verdana" w:hAnsi="Verdana"/>
        </w:rPr>
        <w:footnoteReference w:id="4"/>
      </w:r>
      <w:r w:rsidRPr="006263D8">
        <w:rPr>
          <w:rFonts w:ascii="Verdana" w:eastAsia="Calibri" w:hAnsi="Verdana" w:cs="Arial"/>
          <w:lang w:val="es-ES_tradnl"/>
        </w:rPr>
        <w:t>.</w:t>
      </w:r>
    </w:p>
    <w:p w14:paraId="273E4E9D" w14:textId="77777777" w:rsidR="00BE72C0" w:rsidRPr="006263D8" w:rsidRDefault="00BE72C0" w:rsidP="00BE72C0">
      <w:pPr>
        <w:spacing w:after="120" w:line="276" w:lineRule="auto"/>
        <w:ind w:firstLine="709"/>
        <w:jc w:val="both"/>
        <w:rPr>
          <w:rFonts w:ascii="Verdana" w:eastAsia="Calibri" w:hAnsi="Verdana" w:cs="Arial"/>
          <w:lang w:val="es-ES"/>
        </w:rPr>
      </w:pPr>
      <w:r w:rsidRPr="006263D8">
        <w:rPr>
          <w:rFonts w:ascii="Verdana" w:eastAsia="Calibri" w:hAnsi="Verdana" w:cs="Arial"/>
          <w:lang w:val="es-ES"/>
        </w:rPr>
        <w:t xml:space="preserve">En esta medida, el precitado artículo 42 de la Ley 80 de 1993, contempla cuatro (4) circunstancias o hechos que configuran la urgencia manifiesta, si así lo declara la entidad: i) cuando la continuidad del servicio exige el suministro de bienes, o la prestación de servicios, o la ejecución de obras en el inmediato futuro; </w:t>
      </w:r>
      <w:proofErr w:type="spellStart"/>
      <w:r w:rsidRPr="006263D8">
        <w:rPr>
          <w:rFonts w:ascii="Verdana" w:eastAsia="Calibri" w:hAnsi="Verdana" w:cs="Arial"/>
          <w:lang w:val="es-ES"/>
        </w:rPr>
        <w:t>ii</w:t>
      </w:r>
      <w:proofErr w:type="spellEnd"/>
      <w:r w:rsidRPr="006263D8">
        <w:rPr>
          <w:rFonts w:ascii="Verdana" w:eastAsia="Calibri" w:hAnsi="Verdana" w:cs="Arial"/>
          <w:lang w:val="es-ES"/>
        </w:rPr>
        <w:t xml:space="preserve">) cuando se presenten situaciones relacionadas con los estados de excepción; </w:t>
      </w:r>
      <w:proofErr w:type="spellStart"/>
      <w:r w:rsidRPr="006263D8">
        <w:rPr>
          <w:rFonts w:ascii="Verdana" w:eastAsia="Calibri" w:hAnsi="Verdana" w:cs="Arial"/>
          <w:lang w:val="es-ES"/>
        </w:rPr>
        <w:t>iii</w:t>
      </w:r>
      <w:proofErr w:type="spellEnd"/>
      <w:r w:rsidRPr="006263D8">
        <w:rPr>
          <w:rFonts w:ascii="Verdana" w:eastAsia="Calibri" w:hAnsi="Verdana" w:cs="Arial"/>
          <w:lang w:val="es-ES"/>
        </w:rPr>
        <w:t xml:space="preserve">) cuando se trate de conjurar situaciones excepcionales relacionadas con hechos de calamidad o constitutivos de fuerza mayor o desastre que demanden actuaciones inmediatas; y </w:t>
      </w:r>
      <w:proofErr w:type="spellStart"/>
      <w:r w:rsidRPr="006263D8">
        <w:rPr>
          <w:rFonts w:ascii="Verdana" w:eastAsia="Calibri" w:hAnsi="Verdana" w:cs="Arial"/>
          <w:lang w:val="es-ES"/>
        </w:rPr>
        <w:t>iv</w:t>
      </w:r>
      <w:proofErr w:type="spellEnd"/>
      <w:r w:rsidRPr="006263D8">
        <w:rPr>
          <w:rFonts w:ascii="Verdana" w:eastAsia="Calibri" w:hAnsi="Verdana" w:cs="Arial"/>
          <w:lang w:val="es-ES"/>
        </w:rPr>
        <w:t xml:space="preserve">) en general, cuando se trate de </w:t>
      </w:r>
      <w:r w:rsidRPr="006263D8">
        <w:rPr>
          <w:rFonts w:ascii="Verdana" w:eastAsia="Calibri" w:hAnsi="Verdana" w:cs="Arial"/>
          <w:lang w:val="es-ES"/>
        </w:rPr>
        <w:lastRenderedPageBreak/>
        <w:t>situaciones similares que imposibiliten acudir a los procedimientos de selección o concurso públicos.</w:t>
      </w:r>
    </w:p>
    <w:p w14:paraId="1C5AAFE9" w14:textId="77777777" w:rsidR="00BE72C0" w:rsidRPr="006263D8" w:rsidRDefault="00BE72C0" w:rsidP="00BE72C0">
      <w:pPr>
        <w:spacing w:after="120" w:line="276" w:lineRule="auto"/>
        <w:ind w:firstLine="708"/>
        <w:jc w:val="both"/>
        <w:rPr>
          <w:rFonts w:ascii="Verdana" w:eastAsia="Calibri" w:hAnsi="Verdana" w:cs="Arial"/>
          <w:i/>
          <w:iCs/>
          <w:lang w:val="es-ES_tradnl"/>
        </w:rPr>
      </w:pPr>
      <w:r w:rsidRPr="006263D8">
        <w:rPr>
          <w:rFonts w:ascii="Verdana" w:eastAsia="Calibri" w:hAnsi="Verdana" w:cs="Arial"/>
          <w:lang w:val="es-ES"/>
        </w:rPr>
        <w:t xml:space="preserve">Respecto de la tercera circunstancia, se precisa que esta </w:t>
      </w:r>
      <w:r w:rsidRPr="006263D8">
        <w:rPr>
          <w:rFonts w:ascii="Verdana" w:eastAsia="Calibri" w:hAnsi="Verdana" w:cs="Arial"/>
          <w:lang w:val="es-ES_tradnl"/>
        </w:rPr>
        <w:t xml:space="preserve">surge de la necesidad de conjurar situaciones excepcionales relacionadas con </w:t>
      </w:r>
      <w:r w:rsidRPr="006263D8">
        <w:rPr>
          <w:rFonts w:ascii="Verdana" w:eastAsia="Calibri" w:hAnsi="Verdana" w:cs="Arial"/>
          <w:i/>
          <w:iCs/>
          <w:lang w:val="es-ES_tradnl"/>
        </w:rPr>
        <w:t>hechos de calamidad o constitutivos de fuerza mayor o desastre</w:t>
      </w:r>
      <w:r w:rsidRPr="006263D8">
        <w:rPr>
          <w:rFonts w:ascii="Verdana" w:eastAsia="Calibri" w:hAnsi="Verdana" w:cs="Arial"/>
          <w:lang w:val="es-ES_tradnl"/>
        </w:rPr>
        <w:t xml:space="preserve"> que demanden actuaciones inmediatas, por lo que, para comprender mejor estas expresiones, el artículo 28 del Código Civil dispone que “[l]as palabras de la ley se entenderán en su sentido natural y obvio, según el uso general de las mismas palabras; pero cuando el legislador las haya definido expresamente para ciertas materias, se les dará en éstas su significado legal”. Y resulta que en la medida en que la norma utiliza la conjunción “o”, en principio asimilaría la </w:t>
      </w:r>
      <w:r w:rsidRPr="006263D8">
        <w:rPr>
          <w:rFonts w:ascii="Verdana" w:eastAsia="Calibri" w:hAnsi="Verdana" w:cs="Arial"/>
          <w:i/>
          <w:iCs/>
          <w:lang w:val="es-ES_tradnl"/>
        </w:rPr>
        <w:t xml:space="preserve">calamidad </w:t>
      </w:r>
      <w:r w:rsidRPr="006263D8">
        <w:rPr>
          <w:rFonts w:ascii="Verdana" w:eastAsia="Calibri" w:hAnsi="Verdana" w:cs="Arial"/>
          <w:lang w:val="es-ES_tradnl"/>
        </w:rPr>
        <w:t xml:space="preserve">y el </w:t>
      </w:r>
      <w:r w:rsidRPr="006263D8">
        <w:rPr>
          <w:rFonts w:ascii="Verdana" w:eastAsia="Calibri" w:hAnsi="Verdana" w:cs="Arial"/>
          <w:i/>
          <w:iCs/>
          <w:lang w:val="es-ES_tradnl"/>
        </w:rPr>
        <w:t xml:space="preserve">desastre </w:t>
      </w:r>
      <w:r w:rsidRPr="006263D8">
        <w:rPr>
          <w:rFonts w:ascii="Verdana" w:eastAsia="Calibri" w:hAnsi="Verdana" w:cs="Arial"/>
          <w:lang w:val="es-ES_tradnl"/>
        </w:rPr>
        <w:t xml:space="preserve">con la </w:t>
      </w:r>
      <w:r w:rsidRPr="006263D8">
        <w:rPr>
          <w:rFonts w:ascii="Verdana" w:eastAsia="Calibri" w:hAnsi="Verdana" w:cs="Arial"/>
          <w:i/>
          <w:iCs/>
          <w:lang w:val="es-ES_tradnl"/>
        </w:rPr>
        <w:t xml:space="preserve">fuerza mayor </w:t>
      </w:r>
      <w:r w:rsidRPr="006263D8">
        <w:rPr>
          <w:rFonts w:ascii="Verdana" w:eastAsia="Calibri" w:hAnsi="Verdana" w:cs="Arial"/>
          <w:lang w:val="es-ES_tradnl"/>
        </w:rPr>
        <w:t xml:space="preserve">o el </w:t>
      </w:r>
      <w:r w:rsidRPr="006263D8">
        <w:rPr>
          <w:rFonts w:ascii="Verdana" w:eastAsia="Calibri" w:hAnsi="Verdana" w:cs="Arial"/>
          <w:i/>
          <w:iCs/>
          <w:lang w:val="es-ES_tradnl"/>
        </w:rPr>
        <w:t>caso fortuito.</w:t>
      </w:r>
    </w:p>
    <w:p w14:paraId="5E1B2D13" w14:textId="77777777" w:rsidR="00BE72C0" w:rsidRPr="006263D8" w:rsidRDefault="00BE72C0" w:rsidP="00BE72C0">
      <w:pPr>
        <w:spacing w:after="0" w:line="276" w:lineRule="auto"/>
        <w:ind w:firstLine="708"/>
        <w:jc w:val="both"/>
        <w:rPr>
          <w:rFonts w:ascii="Verdana" w:eastAsia="Calibri" w:hAnsi="Verdana" w:cs="Arial"/>
          <w:lang w:val="es-ES_tradnl"/>
        </w:rPr>
      </w:pPr>
      <w:r w:rsidRPr="006263D8">
        <w:rPr>
          <w:rFonts w:ascii="Verdana" w:eastAsia="Calibri" w:hAnsi="Verdana" w:cs="Arial"/>
          <w:lang w:val="es-ES_tradnl"/>
        </w:rPr>
        <w:t>Al respecto, el artículo 64 del Código Civil define como tal “[…] el imprevisto o que no es posible resistir, como un naufragio, un terremoto, el apresamiento de enemigos, los actos de autoridad ejercidos por un funcionario público, etc.”</w:t>
      </w:r>
      <w:r w:rsidRPr="006263D8">
        <w:rPr>
          <w:rFonts w:ascii="Verdana" w:eastAsia="Calibri" w:hAnsi="Verdana" w:cs="Arial"/>
          <w:sz w:val="21"/>
          <w:szCs w:val="21"/>
          <w:vertAlign w:val="superscript"/>
          <w:lang w:val="es-ES_tradnl"/>
        </w:rPr>
        <w:footnoteReference w:id="5"/>
      </w:r>
      <w:r w:rsidRPr="006263D8">
        <w:rPr>
          <w:rFonts w:ascii="Verdana" w:eastAsia="Calibri" w:hAnsi="Verdana" w:cs="Arial"/>
          <w:sz w:val="21"/>
          <w:szCs w:val="21"/>
          <w:lang w:val="es-ES_tradnl"/>
        </w:rPr>
        <w:t>.</w:t>
      </w:r>
      <w:r w:rsidRPr="006263D8">
        <w:rPr>
          <w:rFonts w:ascii="Verdana" w:eastAsia="Calibri" w:hAnsi="Verdana" w:cs="Arial"/>
          <w:lang w:val="es-ES_tradnl"/>
        </w:rPr>
        <w:t xml:space="preserve"> Cuando provienen de fenómenos de la naturaleza estas características confluyen con los conceptos de desastre y calamidad, los cuales –conforme al Diccionario de la Real Academia Española– constituyen una “Desgracia grande, suceso infeliz y lamentable” o “Desgracia o infortunio que </w:t>
      </w:r>
      <w:r w:rsidRPr="006263D8">
        <w:rPr>
          <w:rFonts w:ascii="Verdana" w:eastAsia="Calibri" w:hAnsi="Verdana" w:cs="Arial"/>
          <w:lang w:val="es-ES_tradnl"/>
        </w:rPr>
        <w:lastRenderedPageBreak/>
        <w:t xml:space="preserve">alcanza a muchas personas”, respectivamente. Conforme al significado natural de las palabras, parece que la diferencia es el mayor alcance de la segunda respecto al primero. No obstante, además de la ocurrencia de desastres y calamidades que –aunque irresistibles– se presentan con cierto grado de previsibilidad o que, incluso, se originan en la actuación humana intencional, estos dos conceptos también los definió </w:t>
      </w:r>
      <w:bookmarkStart w:id="8" w:name="_Hlk35879271"/>
      <w:r w:rsidRPr="006263D8">
        <w:rPr>
          <w:rFonts w:ascii="Verdana" w:eastAsia="Calibri" w:hAnsi="Verdana" w:cs="Arial"/>
          <w:lang w:val="es-ES_tradnl"/>
        </w:rPr>
        <w:t>el artículo 4, numerales 5 y 8, de la Ley 1523 de 2012</w:t>
      </w:r>
      <w:bookmarkEnd w:id="8"/>
      <w:r w:rsidRPr="006263D8">
        <w:rPr>
          <w:rFonts w:ascii="Verdana" w:eastAsia="Calibri" w:hAnsi="Verdana" w:cs="Arial"/>
          <w:lang w:val="es-ES_tradnl"/>
        </w:rPr>
        <w:t>:</w:t>
      </w:r>
    </w:p>
    <w:p w14:paraId="539D0AEB" w14:textId="77777777" w:rsidR="00BE72C0" w:rsidRPr="006263D8" w:rsidRDefault="00BE72C0" w:rsidP="00BE72C0">
      <w:pPr>
        <w:spacing w:after="0" w:line="276" w:lineRule="auto"/>
        <w:ind w:firstLine="708"/>
        <w:jc w:val="both"/>
        <w:rPr>
          <w:rFonts w:ascii="Verdana" w:eastAsia="Calibri" w:hAnsi="Verdana" w:cs="Arial"/>
          <w:lang w:val="es-ES_tradnl"/>
        </w:rPr>
      </w:pPr>
    </w:p>
    <w:p w14:paraId="4AB8AB1E" w14:textId="77777777" w:rsidR="00BE72C0" w:rsidRPr="006263D8" w:rsidRDefault="00BE72C0" w:rsidP="00BE72C0">
      <w:pPr>
        <w:spacing w:after="0" w:line="240" w:lineRule="auto"/>
        <w:ind w:left="709" w:right="709"/>
        <w:jc w:val="both"/>
        <w:rPr>
          <w:rFonts w:ascii="Verdana" w:eastAsia="Calibri" w:hAnsi="Verdana" w:cs="Arial"/>
          <w:sz w:val="20"/>
          <w:szCs w:val="20"/>
          <w:lang w:val="es-ES_tradnl"/>
        </w:rPr>
      </w:pPr>
      <w:r w:rsidRPr="006263D8">
        <w:rPr>
          <w:rFonts w:ascii="Verdana" w:eastAsia="Calibri" w:hAnsi="Verdana" w:cs="Arial"/>
          <w:sz w:val="20"/>
          <w:szCs w:val="20"/>
          <w:lang w:val="es-ES_tradnl"/>
        </w:rPr>
        <w:t>“Art. 4. Para efectos de la presente ley se entenderá por:</w:t>
      </w:r>
    </w:p>
    <w:p w14:paraId="29897E42" w14:textId="77777777" w:rsidR="00BE72C0" w:rsidRPr="006263D8" w:rsidRDefault="00BE72C0" w:rsidP="00BE72C0">
      <w:pPr>
        <w:spacing w:after="120" w:line="240" w:lineRule="auto"/>
        <w:ind w:left="709" w:right="709"/>
        <w:jc w:val="both"/>
        <w:rPr>
          <w:rFonts w:ascii="Verdana" w:eastAsia="Calibri" w:hAnsi="Verdana" w:cs="Arial"/>
          <w:sz w:val="20"/>
          <w:szCs w:val="20"/>
          <w:lang w:val="es-ES_tradnl"/>
        </w:rPr>
      </w:pPr>
      <w:r w:rsidRPr="006263D8">
        <w:rPr>
          <w:rFonts w:ascii="Verdana" w:eastAsia="Calibri" w:hAnsi="Verdana" w:cs="Arial"/>
          <w:sz w:val="20"/>
          <w:szCs w:val="20"/>
          <w:lang w:val="es-ES_tradnl"/>
        </w:rPr>
        <w:t>[…]</w:t>
      </w:r>
    </w:p>
    <w:p w14:paraId="1ABD7415" w14:textId="77777777" w:rsidR="00BE72C0" w:rsidRPr="006263D8" w:rsidRDefault="00BE72C0" w:rsidP="00BE72C0">
      <w:pPr>
        <w:spacing w:after="0" w:line="240" w:lineRule="auto"/>
        <w:ind w:left="709" w:right="709"/>
        <w:jc w:val="both"/>
        <w:rPr>
          <w:rFonts w:ascii="Verdana" w:eastAsia="Calibri" w:hAnsi="Verdana" w:cs="Arial"/>
          <w:sz w:val="20"/>
          <w:szCs w:val="20"/>
          <w:lang w:val="es-ES_tradnl"/>
        </w:rPr>
      </w:pPr>
      <w:r w:rsidRPr="006263D8">
        <w:rPr>
          <w:rFonts w:ascii="Verdana" w:eastAsia="Calibri" w:hAnsi="Verdana" w:cs="Arial"/>
          <w:sz w:val="20"/>
          <w:szCs w:val="20"/>
          <w:lang w:val="es-ES_tradnl"/>
        </w:rPr>
        <w:t xml:space="preserve">5. Calamidad pública: Es </w:t>
      </w:r>
      <w:bookmarkStart w:id="9" w:name="_Hlk35879333"/>
      <w:r w:rsidRPr="006263D8">
        <w:rPr>
          <w:rFonts w:ascii="Verdana" w:eastAsia="Calibri" w:hAnsi="Verdana" w:cs="Arial"/>
          <w:sz w:val="20"/>
          <w:szCs w:val="20"/>
          <w:lang w:val="es-ES_tradnl"/>
        </w:rPr>
        <w:t xml:space="preserve">el resultado que se desencadena de la manifestación de uno o varios eventos naturales </w:t>
      </w:r>
      <w:bookmarkStart w:id="10" w:name="_Hlk35870820"/>
      <w:r w:rsidRPr="006263D8">
        <w:rPr>
          <w:rFonts w:ascii="Verdana" w:eastAsia="Calibri" w:hAnsi="Verdana" w:cs="Arial"/>
          <w:sz w:val="20"/>
          <w:szCs w:val="20"/>
          <w:lang w:val="es-ES_tradnl"/>
        </w:rPr>
        <w:t xml:space="preserve">o antropogénicos no intencionales </w:t>
      </w:r>
      <w:bookmarkEnd w:id="10"/>
      <w:r w:rsidRPr="006263D8">
        <w:rPr>
          <w:rFonts w:ascii="Verdana" w:eastAsia="Calibri" w:hAnsi="Verdana" w:cs="Arial"/>
          <w:sz w:val="20"/>
          <w:szCs w:val="20"/>
          <w:lang w:val="es-ES_tradnl"/>
        </w:rPr>
        <w:t xml:space="preserve">que al encontrar condiciones propicias de vulnerabilidad en las personas, los bienes, la infraestructura, los medios de subsistencia, la prestación de servicios o los recursos ambientales, causa daños o pérdidas humanas, materiales, económicas o ambientales, generando una alteración intensa, grave y extendida en las condiciones normales de funcionamiento </w:t>
      </w:r>
      <w:bookmarkEnd w:id="9"/>
      <w:r w:rsidRPr="006263D8">
        <w:rPr>
          <w:rFonts w:ascii="Verdana" w:eastAsia="Calibri" w:hAnsi="Verdana" w:cs="Arial"/>
          <w:sz w:val="20"/>
          <w:szCs w:val="20"/>
          <w:lang w:val="es-ES_tradnl"/>
        </w:rPr>
        <w:t>de la población, en el respectivo territorio, que exige al municipio, distrito o departamento ejecutar acciones de respuesta a la emergencia, rehabilitación y reconstrucción.</w:t>
      </w:r>
    </w:p>
    <w:p w14:paraId="711B15C1" w14:textId="77777777" w:rsidR="00BE72C0" w:rsidRPr="006263D8" w:rsidRDefault="00BE72C0" w:rsidP="00BE72C0">
      <w:pPr>
        <w:spacing w:after="120" w:line="240" w:lineRule="auto"/>
        <w:ind w:left="709" w:right="709"/>
        <w:jc w:val="both"/>
        <w:rPr>
          <w:rFonts w:ascii="Verdana" w:eastAsia="Calibri" w:hAnsi="Verdana" w:cs="Arial"/>
          <w:sz w:val="20"/>
          <w:szCs w:val="20"/>
          <w:lang w:val="es-ES_tradnl"/>
        </w:rPr>
      </w:pPr>
      <w:r w:rsidRPr="006263D8">
        <w:rPr>
          <w:rFonts w:ascii="Verdana" w:eastAsia="Calibri" w:hAnsi="Verdana" w:cs="Arial"/>
          <w:sz w:val="20"/>
          <w:szCs w:val="20"/>
          <w:lang w:val="es-ES_tradnl"/>
        </w:rPr>
        <w:t xml:space="preserve">[…] </w:t>
      </w:r>
    </w:p>
    <w:p w14:paraId="371E7BEF" w14:textId="77777777" w:rsidR="00BE72C0" w:rsidRPr="006263D8" w:rsidRDefault="00BE72C0" w:rsidP="00BE72C0">
      <w:pPr>
        <w:spacing w:after="0" w:line="240" w:lineRule="auto"/>
        <w:ind w:left="709" w:right="709"/>
        <w:jc w:val="both"/>
        <w:rPr>
          <w:rFonts w:ascii="Verdana" w:eastAsia="Calibri" w:hAnsi="Verdana" w:cs="Arial"/>
          <w:lang w:val="es-ES_tradnl"/>
        </w:rPr>
      </w:pPr>
      <w:r w:rsidRPr="006263D8">
        <w:rPr>
          <w:rFonts w:ascii="Verdana" w:eastAsia="Calibri" w:hAnsi="Verdana" w:cs="Arial"/>
          <w:sz w:val="20"/>
          <w:szCs w:val="20"/>
          <w:lang w:val="es-ES_tradnl"/>
        </w:rPr>
        <w:t>8. Desastre: Es el resultado que se desencadena de la manifestación de uno o varios eventos naturales o antropogénicos no intencionales que al encontrar condiciones propicias de vulnerabilidad en las personas, los bienes, la infraestructura, los medios de subsistencia, la prestación de servicios o los recursos ambientales, causa daños o pérdidas humanas, materiales, económicas o ambientales, generando una alteración intensa, grave y extendida en las condiciones normales de funcionamiento de la sociedad, que exige del Estado y del sistema nacional ejecutar acciones de respuesta a la emergencia, rehabilitación y reconstrucción”.</w:t>
      </w:r>
    </w:p>
    <w:p w14:paraId="27854C2E" w14:textId="77777777" w:rsidR="00BE72C0" w:rsidRPr="006263D8" w:rsidRDefault="00BE72C0" w:rsidP="00BE72C0">
      <w:pPr>
        <w:spacing w:after="0" w:line="276" w:lineRule="auto"/>
        <w:ind w:left="709" w:right="709"/>
        <w:jc w:val="both"/>
        <w:rPr>
          <w:rFonts w:ascii="Verdana" w:eastAsia="Calibri" w:hAnsi="Verdana" w:cs="Arial"/>
          <w:lang w:val="es-ES_tradnl"/>
        </w:rPr>
      </w:pPr>
    </w:p>
    <w:p w14:paraId="3FC837B5" w14:textId="77777777" w:rsidR="00BE72C0" w:rsidRPr="006263D8" w:rsidRDefault="00BE72C0" w:rsidP="00BE72C0">
      <w:pPr>
        <w:spacing w:after="120" w:line="276" w:lineRule="auto"/>
        <w:ind w:firstLine="709"/>
        <w:jc w:val="both"/>
        <w:rPr>
          <w:rFonts w:ascii="Verdana" w:eastAsia="Calibri" w:hAnsi="Verdana" w:cs="Arial"/>
          <w:lang w:val="es-ES"/>
        </w:rPr>
      </w:pPr>
      <w:r w:rsidRPr="006263D8">
        <w:rPr>
          <w:rFonts w:ascii="Verdana" w:eastAsia="Calibri" w:hAnsi="Verdana" w:cs="Arial"/>
          <w:lang w:val="es-ES"/>
        </w:rPr>
        <w:t xml:space="preserve">Esta norma debe armonizarse con los artículos 56 y 57 </w:t>
      </w:r>
      <w:r w:rsidRPr="006263D8">
        <w:rPr>
          <w:rFonts w:ascii="Verdana" w:eastAsia="Calibri" w:hAnsi="Verdana" w:cs="Arial"/>
          <w:i/>
          <w:lang w:val="es-ES"/>
        </w:rPr>
        <w:t>ibidem</w:t>
      </w:r>
      <w:r w:rsidRPr="006263D8">
        <w:rPr>
          <w:rFonts w:ascii="Verdana" w:eastAsia="Calibri" w:hAnsi="Verdana" w:cs="Arial"/>
          <w:lang w:val="es-ES"/>
        </w:rPr>
        <w:t xml:space="preserve">, que asignan la competencia para declarar la ocurrencia de una situación de </w:t>
      </w:r>
      <w:r w:rsidRPr="006263D8">
        <w:rPr>
          <w:rFonts w:ascii="Verdana" w:eastAsia="Calibri" w:hAnsi="Verdana" w:cs="Arial"/>
          <w:i/>
          <w:lang w:val="es-ES"/>
        </w:rPr>
        <w:t>desastre</w:t>
      </w:r>
      <w:r w:rsidRPr="006263D8">
        <w:rPr>
          <w:rFonts w:ascii="Verdana" w:eastAsia="Calibri" w:hAnsi="Verdana" w:cs="Arial"/>
          <w:lang w:val="es-ES"/>
        </w:rPr>
        <w:t xml:space="preserve"> o una situación de </w:t>
      </w:r>
      <w:r w:rsidRPr="006263D8">
        <w:rPr>
          <w:rFonts w:ascii="Verdana" w:eastAsia="Calibri" w:hAnsi="Verdana" w:cs="Arial"/>
          <w:i/>
          <w:lang w:val="es-ES"/>
        </w:rPr>
        <w:t>calamidad pública</w:t>
      </w:r>
      <w:r w:rsidRPr="006263D8">
        <w:rPr>
          <w:rFonts w:ascii="Verdana" w:eastAsia="Calibri" w:hAnsi="Verdana" w:cs="Arial"/>
          <w:lang w:val="es-ES"/>
        </w:rPr>
        <w:t xml:space="preserve">. Particularmente, disponen que al </w:t>
      </w:r>
      <w:proofErr w:type="gramStart"/>
      <w:r w:rsidRPr="006263D8">
        <w:rPr>
          <w:rFonts w:ascii="Verdana" w:eastAsia="Calibri" w:hAnsi="Verdana" w:cs="Arial"/>
          <w:lang w:val="es-ES"/>
        </w:rPr>
        <w:t>Presidente</w:t>
      </w:r>
      <w:proofErr w:type="gramEnd"/>
      <w:r w:rsidRPr="006263D8">
        <w:rPr>
          <w:rFonts w:ascii="Verdana" w:eastAsia="Calibri" w:hAnsi="Verdana" w:cs="Arial"/>
          <w:lang w:val="es-ES"/>
        </w:rPr>
        <w:t xml:space="preserve"> de la República le corresponde declarar la situación de </w:t>
      </w:r>
      <w:r w:rsidRPr="006263D8">
        <w:rPr>
          <w:rFonts w:ascii="Verdana" w:eastAsia="Calibri" w:hAnsi="Verdana" w:cs="Arial"/>
          <w:i/>
          <w:lang w:val="es-ES"/>
        </w:rPr>
        <w:t>desastre</w:t>
      </w:r>
      <w:r w:rsidRPr="006263D8">
        <w:rPr>
          <w:rFonts w:ascii="Verdana" w:eastAsia="Calibri" w:hAnsi="Verdana" w:cs="Arial"/>
          <w:lang w:val="es-ES"/>
        </w:rPr>
        <w:t>, tanto en el orden nacional, departamental, como en el municipal y distrital</w:t>
      </w:r>
      <w:r w:rsidRPr="006263D8">
        <w:rPr>
          <w:rStyle w:val="Refdenotaalpie"/>
          <w:rFonts w:ascii="Verdana" w:eastAsia="Calibri" w:hAnsi="Verdana" w:cs="Arial"/>
          <w:lang w:val="es-ES"/>
        </w:rPr>
        <w:footnoteReference w:id="6"/>
      </w:r>
      <w:r w:rsidRPr="006263D8">
        <w:rPr>
          <w:rFonts w:ascii="Verdana" w:eastAsia="Calibri" w:hAnsi="Verdana" w:cs="Arial"/>
          <w:lang w:val="es-ES"/>
        </w:rPr>
        <w:t xml:space="preserve">, facultad </w:t>
      </w:r>
      <w:r w:rsidRPr="006263D8">
        <w:rPr>
          <w:rFonts w:ascii="Verdana" w:eastAsia="Calibri" w:hAnsi="Verdana" w:cs="Arial"/>
          <w:lang w:val="es-ES"/>
        </w:rPr>
        <w:lastRenderedPageBreak/>
        <w:t xml:space="preserve">que no pueden ejercer los gobernadores y alcaldes, porque la norma no les asignó esta competencia. No obstante, a los gobernadores y alcaldes sí les corresponde declarar la </w:t>
      </w:r>
      <w:r w:rsidRPr="006263D8">
        <w:rPr>
          <w:rFonts w:ascii="Verdana" w:eastAsia="Calibri" w:hAnsi="Verdana" w:cs="Arial"/>
          <w:i/>
          <w:lang w:val="es-ES"/>
        </w:rPr>
        <w:t>situación de calamidad pública</w:t>
      </w:r>
      <w:r w:rsidRPr="006263D8">
        <w:rPr>
          <w:rFonts w:ascii="Verdana" w:eastAsia="Calibri" w:hAnsi="Verdana" w:cs="Arial"/>
          <w:lang w:val="es-ES"/>
        </w:rPr>
        <w:t>, en los respectivos ámbitos, facultad que, en cambio, no puede ejercer el presidente de la república</w:t>
      </w:r>
      <w:r w:rsidRPr="006263D8">
        <w:rPr>
          <w:rStyle w:val="Refdenotaalpie"/>
          <w:rFonts w:ascii="Verdana" w:eastAsia="Calibri" w:hAnsi="Verdana" w:cs="Arial"/>
          <w:lang w:val="es-ES"/>
        </w:rPr>
        <w:footnoteReference w:id="7"/>
      </w:r>
      <w:r w:rsidRPr="006263D8">
        <w:rPr>
          <w:rFonts w:ascii="Verdana" w:eastAsia="Calibri" w:hAnsi="Verdana" w:cs="Arial"/>
          <w:lang w:val="es-ES"/>
        </w:rPr>
        <w:t xml:space="preserve">. </w:t>
      </w:r>
    </w:p>
    <w:p w14:paraId="7F0E0107" w14:textId="77777777" w:rsidR="00BE72C0" w:rsidRPr="006263D8" w:rsidRDefault="00BE72C0" w:rsidP="00BE72C0">
      <w:pPr>
        <w:spacing w:after="120" w:line="276" w:lineRule="auto"/>
        <w:ind w:firstLine="709"/>
        <w:jc w:val="both"/>
        <w:rPr>
          <w:rFonts w:ascii="Verdana" w:eastAsia="Calibri" w:hAnsi="Verdana" w:cs="Arial"/>
          <w:lang w:val="es-ES_tradnl"/>
        </w:rPr>
      </w:pPr>
      <w:r w:rsidRPr="006263D8">
        <w:rPr>
          <w:rFonts w:ascii="Verdana" w:eastAsia="Calibri" w:hAnsi="Verdana" w:cs="Arial"/>
          <w:lang w:val="es-ES_tradnl"/>
        </w:rPr>
        <w:t xml:space="preserve">De esta manera, una vez se declara la situación de calamidad o la situación de desastre bajo los criterios señalados en el artículo 59 de la Ley 1523 de 2012, por parte de la autoridad competente, las demás entidades estatales –de conformidad con el artículo 42 de la Ley 80 de 1993– quedan facultadas para declarar, a continuación, la causal de contratación directa denominada “urgencia manifiesta”, mediante un acto administrativo propio, autónomo, que tiene como fundamento fáctico y jurídico la declaración de situación de calamidad o la situación de desastre. </w:t>
      </w:r>
    </w:p>
    <w:p w14:paraId="574A676C" w14:textId="77777777" w:rsidR="00BE72C0" w:rsidRPr="006263D8" w:rsidRDefault="00BE72C0" w:rsidP="00BE72C0">
      <w:pPr>
        <w:spacing w:after="0" w:line="276" w:lineRule="auto"/>
        <w:ind w:firstLine="708"/>
        <w:jc w:val="both"/>
        <w:rPr>
          <w:rFonts w:ascii="Verdana" w:eastAsia="Calibri" w:hAnsi="Verdana" w:cs="Arial"/>
          <w:lang w:val="es-ES"/>
        </w:rPr>
      </w:pPr>
      <w:r w:rsidRPr="006263D8">
        <w:rPr>
          <w:rFonts w:ascii="Verdana" w:eastAsia="Calibri" w:hAnsi="Verdana" w:cs="Arial"/>
          <w:lang w:val="es-ES"/>
        </w:rPr>
        <w:t>Expedido el acto administrativo, la entidad estatal debe realizar todos los trámites internos necesarios para contratar, entre ellos la disposición de los recursos. En tal sentido, el parágrafo del artículo 42 de la Ley 80 señala que “[c]</w:t>
      </w:r>
      <w:proofErr w:type="spellStart"/>
      <w:r w:rsidRPr="006263D8">
        <w:rPr>
          <w:rFonts w:ascii="Verdana" w:eastAsia="Calibri" w:hAnsi="Verdana" w:cs="Arial"/>
          <w:lang w:val="es-ES"/>
        </w:rPr>
        <w:t>on</w:t>
      </w:r>
      <w:proofErr w:type="spellEnd"/>
      <w:r w:rsidRPr="006263D8">
        <w:rPr>
          <w:rFonts w:ascii="Verdana" w:eastAsia="Calibri" w:hAnsi="Verdana" w:cs="Arial"/>
          <w:lang w:val="es-ES"/>
        </w:rPr>
        <w:t xml:space="preserve"> el fin de atender las necesidades y los gastos propios de la urgencia manifiesta, se podrán hacer los traslados presupuestales internos que se requieran dentro del presupuesto del organismo o entidad estatal </w:t>
      </w:r>
      <w:r w:rsidRPr="006263D8">
        <w:rPr>
          <w:rFonts w:ascii="Verdana" w:eastAsia="Calibri" w:hAnsi="Verdana" w:cs="Arial"/>
          <w:lang w:val="es-ES"/>
        </w:rPr>
        <w:lastRenderedPageBreak/>
        <w:t>correspondiente”. Este apartado fue declarado condicionalmente exequible por la Corte Constitucional en la Sentencia C-772 de 1998, “[…] bajo el entendimiento de que los traslados presupuestales internos a que se refiere dicha norma, se efectúen afectando exclusivamente el anexo del decreto de liquidación del Presupuesto”</w:t>
      </w:r>
      <w:r w:rsidRPr="006263D8">
        <w:rPr>
          <w:rFonts w:ascii="Verdana" w:eastAsia="Calibri" w:hAnsi="Verdana" w:cs="Arial"/>
          <w:vertAlign w:val="superscript"/>
          <w:lang w:val="es-ES"/>
        </w:rPr>
        <w:footnoteReference w:id="8"/>
      </w:r>
      <w:r w:rsidRPr="006263D8">
        <w:rPr>
          <w:rFonts w:ascii="Verdana" w:eastAsia="Calibri" w:hAnsi="Verdana" w:cs="Arial"/>
          <w:lang w:val="es-ES"/>
        </w:rPr>
        <w:t xml:space="preserve">. </w:t>
      </w:r>
    </w:p>
    <w:p w14:paraId="5C6E7A11" w14:textId="77777777" w:rsidR="00BE72C0" w:rsidRPr="006263D8" w:rsidRDefault="00BE72C0" w:rsidP="00BE72C0">
      <w:pPr>
        <w:spacing w:before="120" w:after="120" w:line="276" w:lineRule="auto"/>
        <w:ind w:firstLine="709"/>
        <w:jc w:val="both"/>
        <w:rPr>
          <w:rFonts w:ascii="Verdana" w:eastAsia="Calibri" w:hAnsi="Verdana" w:cs="Arial"/>
          <w:lang w:val="es-ES"/>
        </w:rPr>
      </w:pPr>
      <w:bookmarkStart w:id="12" w:name="_Hlk35959844"/>
      <w:r w:rsidRPr="006263D8">
        <w:rPr>
          <w:rFonts w:ascii="Verdana" w:eastAsia="Calibri" w:hAnsi="Verdana" w:cs="Arial"/>
          <w:lang w:val="es-ES"/>
        </w:rPr>
        <w:t xml:space="preserve">Lo anterior significa que </w:t>
      </w:r>
      <w:bookmarkStart w:id="13" w:name="_Hlk35959859"/>
      <w:r w:rsidRPr="006263D8">
        <w:rPr>
          <w:rFonts w:ascii="Verdana" w:eastAsia="Calibri" w:hAnsi="Verdana" w:cs="Arial"/>
          <w:lang w:val="es-ES"/>
        </w:rPr>
        <w:t xml:space="preserve">para contratar </w:t>
      </w:r>
      <w:bookmarkEnd w:id="12"/>
      <w:r w:rsidRPr="006263D8">
        <w:rPr>
          <w:rFonts w:ascii="Verdana" w:eastAsia="Calibri" w:hAnsi="Verdana" w:cs="Arial"/>
          <w:lang w:val="es-ES"/>
        </w:rPr>
        <w:t xml:space="preserve">directamente no basta con la declaración de desastre o de calamidad. Es decir, se necesitan dos (2) actos administrativos concurrentes para que pueda contratarse directamente por urgencia manifiesta: i) el primero en el tiempo, la declaración de la situación de calamidad pública o la declaración de la situación de desastre, de conformidad con lo establecido en el Capítulo VI de la Ley 1523 de 2012; y </w:t>
      </w:r>
      <w:proofErr w:type="spellStart"/>
      <w:r w:rsidRPr="006263D8">
        <w:rPr>
          <w:rFonts w:ascii="Verdana" w:eastAsia="Calibri" w:hAnsi="Verdana" w:cs="Arial"/>
          <w:lang w:val="es-ES"/>
        </w:rPr>
        <w:t>ii</w:t>
      </w:r>
      <w:proofErr w:type="spellEnd"/>
      <w:r w:rsidRPr="006263D8">
        <w:rPr>
          <w:rFonts w:ascii="Verdana" w:eastAsia="Calibri" w:hAnsi="Verdana" w:cs="Arial"/>
          <w:lang w:val="es-ES"/>
        </w:rPr>
        <w:t>) el segundo, la declaración propiamente dicha de “urgencia manifiesta” de que trata el artículo 42 del Estatuto General de Contratación, amparado o fundamentado en la declaración previa del desastre o calamidad.</w:t>
      </w:r>
    </w:p>
    <w:bookmarkEnd w:id="13"/>
    <w:p w14:paraId="154DC43B" w14:textId="77777777" w:rsidR="00BE72C0" w:rsidRPr="006263D8" w:rsidRDefault="00BE72C0" w:rsidP="00BE72C0">
      <w:pPr>
        <w:spacing w:after="120" w:line="276" w:lineRule="auto"/>
        <w:ind w:firstLine="709"/>
        <w:jc w:val="both"/>
        <w:rPr>
          <w:rFonts w:ascii="Verdana" w:eastAsia="Calibri" w:hAnsi="Verdana" w:cs="Arial"/>
          <w:lang w:val="es-ES"/>
        </w:rPr>
      </w:pPr>
      <w:r w:rsidRPr="006263D8">
        <w:rPr>
          <w:rFonts w:ascii="Verdana" w:eastAsia="Calibri" w:hAnsi="Verdana" w:cs="Arial"/>
          <w:lang w:val="es-ES"/>
        </w:rPr>
        <w:t xml:space="preserve">Así pues, para declarar la urgencia manifiesta es imprescindible que el </w:t>
      </w:r>
      <w:proofErr w:type="gramStart"/>
      <w:r w:rsidRPr="006263D8">
        <w:rPr>
          <w:rFonts w:ascii="Verdana" w:eastAsia="Calibri" w:hAnsi="Verdana" w:cs="Arial"/>
          <w:lang w:val="es-ES"/>
        </w:rPr>
        <w:t>Presidente</w:t>
      </w:r>
      <w:proofErr w:type="gramEnd"/>
      <w:r w:rsidRPr="006263D8">
        <w:rPr>
          <w:rFonts w:ascii="Verdana" w:eastAsia="Calibri" w:hAnsi="Verdana" w:cs="Arial"/>
          <w:lang w:val="es-ES"/>
        </w:rPr>
        <w:t xml:space="preserve"> de la República o el gobernador o el alcalde, según el caso, hayan declarado la situación de desastre o la declaración de calamidad. Tratándose de los funcionarios mencionados, ambas declaraciones pueden realizarse en un mismo acto administrativo, es decir, el </w:t>
      </w:r>
      <w:proofErr w:type="gramStart"/>
      <w:r w:rsidRPr="006263D8">
        <w:rPr>
          <w:rFonts w:ascii="Verdana" w:eastAsia="Calibri" w:hAnsi="Verdana" w:cs="Arial"/>
          <w:lang w:val="es-ES"/>
        </w:rPr>
        <w:t>Presidente</w:t>
      </w:r>
      <w:proofErr w:type="gramEnd"/>
      <w:r w:rsidRPr="006263D8">
        <w:rPr>
          <w:rFonts w:ascii="Verdana" w:eastAsia="Calibri" w:hAnsi="Verdana" w:cs="Arial"/>
          <w:lang w:val="es-ES"/>
        </w:rPr>
        <w:t xml:space="preserve">, el gobernador o el alcalde declara el desastre o la calamidad y, como consecuencia, decreta la urgencia manifiesta. Lo anterior, porque la situación de calamidad pública o la situación de desastre depende tanto de la ocurrencia de los hechos que dan lugar a las mismas como de la declaración del órgano competente, de manera que ninguna se configura a falta de alguna de estas condiciones. </w:t>
      </w:r>
    </w:p>
    <w:p w14:paraId="636DCE0B" w14:textId="77777777" w:rsidR="00BE72C0" w:rsidRPr="006263D8" w:rsidRDefault="00BE72C0" w:rsidP="00BE72C0">
      <w:pPr>
        <w:spacing w:after="0" w:line="276" w:lineRule="auto"/>
        <w:ind w:firstLine="709"/>
        <w:jc w:val="both"/>
        <w:rPr>
          <w:rFonts w:ascii="Verdana" w:eastAsia="Calibri" w:hAnsi="Verdana" w:cs="Arial"/>
          <w:lang w:val="es-ES"/>
        </w:rPr>
      </w:pPr>
      <w:r w:rsidRPr="7C62F64C">
        <w:rPr>
          <w:rFonts w:ascii="Verdana" w:eastAsia="Calibri" w:hAnsi="Verdana" w:cs="Arial"/>
          <w:lang w:val="es-ES"/>
        </w:rPr>
        <w:t xml:space="preserve">Como una autoridad diferente al </w:t>
      </w:r>
      <w:proofErr w:type="gramStart"/>
      <w:r w:rsidRPr="7C62F64C">
        <w:rPr>
          <w:rFonts w:ascii="Verdana" w:eastAsia="Calibri" w:hAnsi="Verdana" w:cs="Arial"/>
          <w:lang w:val="es-ES"/>
        </w:rPr>
        <w:t>Presidente</w:t>
      </w:r>
      <w:proofErr w:type="gramEnd"/>
      <w:r w:rsidRPr="7C62F64C">
        <w:rPr>
          <w:rFonts w:ascii="Verdana" w:eastAsia="Calibri" w:hAnsi="Verdana" w:cs="Arial"/>
          <w:lang w:val="es-ES"/>
        </w:rPr>
        <w:t xml:space="preserve"> de la República, o al gobernador y el alcalde –por ejemplo, los ministros, directores o presidentes de agencias, directores de establecimientos públicos, de sociedades de economía mixta, etc.–, carece de competencia para declarar cualquiera de estas dos (2) situaciones, deben esperar a que se dicten los actos respectivos para fundamentar la declaración de urgencia manifiesta en la situación de desastre o en la situación de calamidad. En esta segunda hipótesis, se expiden dos (2) actos administrativos separados: el </w:t>
      </w:r>
      <w:proofErr w:type="gramStart"/>
      <w:r w:rsidRPr="7C62F64C">
        <w:rPr>
          <w:rFonts w:ascii="Verdana" w:eastAsia="Calibri" w:hAnsi="Verdana" w:cs="Arial"/>
          <w:lang w:val="es-ES"/>
        </w:rPr>
        <w:t>Presidente</w:t>
      </w:r>
      <w:proofErr w:type="gramEnd"/>
      <w:r w:rsidRPr="7C62F64C">
        <w:rPr>
          <w:rFonts w:ascii="Verdana" w:eastAsia="Calibri" w:hAnsi="Verdana" w:cs="Arial"/>
          <w:lang w:val="es-ES"/>
        </w:rPr>
        <w:t xml:space="preserve">, gobernador o alcalde declara el desastre o la calamidad, por un lado, y los ministros, directores o presidentes </w:t>
      </w:r>
      <w:r w:rsidRPr="7C62F64C">
        <w:rPr>
          <w:rFonts w:ascii="Verdana" w:eastAsia="Calibri" w:hAnsi="Verdana" w:cs="Arial"/>
          <w:lang w:val="es-ES"/>
        </w:rPr>
        <w:lastRenderedPageBreak/>
        <w:t xml:space="preserve">de agencias, directores de establecimientos públicos, de sociedades de economía mixta, etc. decretan la urgencia manifiesta, por otro. Por lo anterior, cuando el artículo 42 de la Ley 80 de 1993 dispone que la urgencia manifiesta se declara –entre otras tres (3) causales– para “[…] </w:t>
      </w:r>
      <w:bookmarkStart w:id="14" w:name="_Hlk35879915"/>
      <w:r w:rsidRPr="7C62F64C">
        <w:rPr>
          <w:rFonts w:ascii="Verdana" w:eastAsia="Calibri" w:hAnsi="Verdana" w:cs="Arial"/>
          <w:lang w:val="es-ES"/>
        </w:rPr>
        <w:t>conjurar situaciones excepcionales relacionadas con hechos de calamidad o constitutivos de fuerza mayor o desastre que demanden actuaciones inmediatas</w:t>
      </w:r>
      <w:bookmarkEnd w:id="14"/>
      <w:r w:rsidRPr="7C62F64C">
        <w:rPr>
          <w:rFonts w:ascii="Verdana" w:eastAsia="Calibri" w:hAnsi="Verdana" w:cs="Arial"/>
          <w:lang w:val="es-ES"/>
        </w:rPr>
        <w:t xml:space="preserve"> […]”, las circunstancias de calamidad y desastre deben entenderse en los términos de la Ley 1523 de 2012, en la medida que forman una unidad jurídica completa.</w:t>
      </w:r>
    </w:p>
    <w:p w14:paraId="06866832" w14:textId="77777777" w:rsidR="00BE72C0" w:rsidRPr="006263D8" w:rsidRDefault="00BE72C0" w:rsidP="00BE72C0">
      <w:pPr>
        <w:spacing w:before="120" w:after="0" w:line="276" w:lineRule="auto"/>
        <w:ind w:firstLine="709"/>
        <w:jc w:val="both"/>
        <w:rPr>
          <w:rFonts w:ascii="Verdana" w:eastAsia="Calibri" w:hAnsi="Verdana" w:cs="Arial"/>
          <w:lang w:val="es-ES_tradnl"/>
        </w:rPr>
      </w:pPr>
      <w:r w:rsidRPr="006263D8">
        <w:rPr>
          <w:rFonts w:ascii="Verdana" w:eastAsia="Calibri" w:hAnsi="Verdana" w:cs="Arial"/>
          <w:lang w:val="es-ES_tradnl"/>
        </w:rPr>
        <w:t xml:space="preserve">En su defecto se itera, que cuando se configure alguna de las cuatro (4) situaciones expuestas en el artículo 42 de la Ley 80 de 1993, dicha norma exige declarar formalmente la urgencia manifiesta mediante acto administrativo motivado, es decir, a través de una manifestación unilateral de voluntad razonablemente justificada, proferida por el jefe o representante legal de cada entidad –o quien sea el titular de la competencia–, según lo establecido en los artículos 11 y 12 </w:t>
      </w:r>
      <w:r w:rsidRPr="006263D8">
        <w:rPr>
          <w:rFonts w:ascii="Verdana" w:eastAsia="Calibri" w:hAnsi="Verdana" w:cs="Arial"/>
          <w:i/>
          <w:iCs/>
          <w:lang w:val="es-ES_tradnl"/>
        </w:rPr>
        <w:t>ibidem</w:t>
      </w:r>
      <w:r w:rsidRPr="006263D8">
        <w:rPr>
          <w:rFonts w:ascii="Verdana" w:eastAsia="Calibri" w:hAnsi="Verdana" w:cs="Arial"/>
          <w:lang w:val="es-ES_tradnl"/>
        </w:rPr>
        <w:t>. Adicionalmente, no es necesario realizar estudios previos, como lo dispone el artículo 2.2.1.2.1.4.2 del Decreto 1082 de 2015: “Si la causal de contratación directa es la urgencia manifiesta, el acto administrativo que la declare hará las veces del acto administrativo de justificación, y en este caso la Entidad Estatal no está obligada a elaborar estudios y documentos previos”.</w:t>
      </w:r>
    </w:p>
    <w:p w14:paraId="6D5804BA" w14:textId="77777777" w:rsidR="00BE72C0" w:rsidRPr="006263D8" w:rsidRDefault="00BE72C0" w:rsidP="00BE72C0">
      <w:pPr>
        <w:spacing w:after="0" w:line="276" w:lineRule="auto"/>
        <w:ind w:firstLine="708"/>
        <w:jc w:val="both"/>
        <w:rPr>
          <w:rFonts w:ascii="Verdana" w:eastAsia="Calibri" w:hAnsi="Verdana" w:cs="Arial"/>
          <w:lang w:val="es-ES"/>
        </w:rPr>
      </w:pPr>
    </w:p>
    <w:p w14:paraId="64BA471C" w14:textId="77777777" w:rsidR="00BE72C0" w:rsidRPr="006263D8" w:rsidRDefault="00BE72C0" w:rsidP="00BE72C0">
      <w:pPr>
        <w:spacing w:after="0" w:line="276" w:lineRule="auto"/>
        <w:jc w:val="both"/>
        <w:rPr>
          <w:rFonts w:ascii="Verdana" w:eastAsia="Calibri" w:hAnsi="Verdana" w:cs="Arial"/>
          <w:lang w:val="es-ES"/>
        </w:rPr>
      </w:pPr>
      <w:proofErr w:type="spellStart"/>
      <w:r w:rsidRPr="006263D8">
        <w:rPr>
          <w:rFonts w:ascii="Verdana" w:eastAsia="Calibri" w:hAnsi="Verdana" w:cs="Arial"/>
          <w:lang w:val="es-ES"/>
        </w:rPr>
        <w:t>ii</w:t>
      </w:r>
      <w:proofErr w:type="spellEnd"/>
      <w:r w:rsidRPr="006263D8">
        <w:rPr>
          <w:rFonts w:ascii="Verdana" w:eastAsia="Calibri" w:hAnsi="Verdana" w:cs="Arial"/>
          <w:lang w:val="es-ES"/>
        </w:rPr>
        <w:t xml:space="preserve">) De otra parte, es pertinente indicar que el Estatuto General de Contratación de la Administración Pública, prevé dos (2) tipos de exigencias en relación con los contratos estatales, estas son: i) las relacionadas con </w:t>
      </w:r>
      <w:proofErr w:type="spellStart"/>
      <w:r w:rsidRPr="006263D8">
        <w:rPr>
          <w:rFonts w:ascii="Verdana" w:eastAsia="Calibri" w:hAnsi="Verdana" w:cs="Arial"/>
          <w:lang w:val="es-ES"/>
        </w:rPr>
        <w:t>con</w:t>
      </w:r>
      <w:proofErr w:type="spellEnd"/>
      <w:r w:rsidRPr="006263D8">
        <w:rPr>
          <w:rFonts w:ascii="Verdana" w:eastAsia="Calibri" w:hAnsi="Verdana" w:cs="Arial"/>
          <w:lang w:val="es-ES"/>
        </w:rPr>
        <w:t xml:space="preserve"> el perfeccionamiento y </w:t>
      </w:r>
      <w:proofErr w:type="spellStart"/>
      <w:r w:rsidRPr="006263D8">
        <w:rPr>
          <w:rFonts w:ascii="Verdana" w:eastAsia="Calibri" w:hAnsi="Verdana" w:cs="Arial"/>
          <w:lang w:val="es-ES"/>
        </w:rPr>
        <w:t>ii</w:t>
      </w:r>
      <w:proofErr w:type="spellEnd"/>
      <w:r w:rsidRPr="006263D8">
        <w:rPr>
          <w:rFonts w:ascii="Verdana" w:eastAsia="Calibri" w:hAnsi="Verdana" w:cs="Arial"/>
          <w:lang w:val="es-ES"/>
        </w:rPr>
        <w:t>) las que tienen que ver con la ejecución. Si bien ambas se complementan y marcan el origen de la fase contractual –o de ejecución–, es importante distinguirlas, ya que las consecuencias jurídicas que generan son diferentes.</w:t>
      </w:r>
    </w:p>
    <w:p w14:paraId="5946DA9B" w14:textId="77777777" w:rsidR="00BE72C0" w:rsidRPr="006263D8" w:rsidRDefault="00BE72C0" w:rsidP="00BE72C0">
      <w:pPr>
        <w:spacing w:before="120" w:after="0" w:line="276" w:lineRule="auto"/>
        <w:jc w:val="both"/>
        <w:rPr>
          <w:rFonts w:ascii="Verdana" w:eastAsia="Calibri" w:hAnsi="Verdana" w:cs="Arial"/>
          <w:lang w:val="es-ES"/>
        </w:rPr>
      </w:pPr>
      <w:r w:rsidRPr="006263D8">
        <w:rPr>
          <w:rFonts w:ascii="Verdana" w:eastAsia="Calibri" w:hAnsi="Verdana" w:cs="Arial"/>
          <w:lang w:val="es-ES"/>
        </w:rPr>
        <w:tab/>
        <w:t xml:space="preserve">Los requisitos de perfeccionamiento del contrato estatal son mandatos normativos que determinan cuándo se entiende celebrado. Es decir, se trata de prescripciones que establecen en qué momento existe el contrato. Según el artículo 1501 del Código Civil, todo contrato se caracteriza por tener tres tipos de elementos: los de la esencia, los de la naturaleza y los accidentales. Los de la esencia son aquellos que, al cumplirse, marcan la existencia del contrato y le otorgan su identidad o tipología, permitiendo que no se confunda con otro contrato. Los de la naturaleza son aquellos que, no siendo esenciales al contrato, </w:t>
      </w:r>
      <w:r w:rsidRPr="006263D8">
        <w:rPr>
          <w:rFonts w:ascii="Verdana" w:eastAsia="Calibri" w:hAnsi="Verdana" w:cs="Arial"/>
          <w:lang w:val="es-ES"/>
        </w:rPr>
        <w:lastRenderedPageBreak/>
        <w:t>se entienden incorporados por ministerio de la ley, aun ante el silencio de las partes. Y los accidentales son los que las partes agregan en ejercicio de su autonomía de la voluntad, ya que no son ni esenciales, ni de la naturaleza del contrato</w:t>
      </w:r>
      <w:r w:rsidRPr="006263D8">
        <w:rPr>
          <w:rFonts w:ascii="Verdana" w:hAnsi="Verdana" w:cs="Arial"/>
          <w:vertAlign w:val="superscript"/>
          <w:lang w:val="es-MX"/>
        </w:rPr>
        <w:footnoteReference w:id="9"/>
      </w:r>
      <w:r w:rsidRPr="006263D8">
        <w:rPr>
          <w:rFonts w:ascii="Verdana" w:eastAsia="Calibri" w:hAnsi="Verdana" w:cs="Arial"/>
          <w:bCs/>
        </w:rPr>
        <w:t xml:space="preserve">. </w:t>
      </w:r>
      <w:r w:rsidRPr="006263D8">
        <w:rPr>
          <w:rFonts w:ascii="Verdana" w:eastAsia="Calibri" w:hAnsi="Verdana" w:cs="Arial"/>
          <w:lang w:val="es-ES"/>
        </w:rPr>
        <w:t>Los requisitos de perfeccionamiento del contrato estatal ingresan dentro de los elementos de la esencia.</w:t>
      </w:r>
    </w:p>
    <w:p w14:paraId="0E3D598F" w14:textId="77777777" w:rsidR="00BE72C0" w:rsidRPr="006263D8" w:rsidRDefault="00BE72C0" w:rsidP="00BE72C0">
      <w:pPr>
        <w:spacing w:before="120" w:after="0" w:line="276" w:lineRule="auto"/>
        <w:jc w:val="both"/>
        <w:rPr>
          <w:rFonts w:ascii="Verdana" w:eastAsia="Calibri" w:hAnsi="Verdana" w:cs="Arial"/>
          <w:lang w:val="es-ES"/>
        </w:rPr>
      </w:pPr>
      <w:r w:rsidRPr="006263D8">
        <w:rPr>
          <w:rFonts w:ascii="Verdana" w:eastAsia="Calibri" w:hAnsi="Verdana" w:cs="Arial"/>
          <w:lang w:val="es-ES"/>
        </w:rPr>
        <w:tab/>
        <w:t xml:space="preserve">En efecto, el primer inciso del artículo 41 de la Ley 80 de 1993 establece que “Los contratos del Estado se perfeccionan cuando se logre acuerdo sobre el objeto y la contraprestación y éste se eleve a escrito”. Como se advierte, el legislador dispuso que para que el contrato estatal exista, no solo debe haber un acuerdo sobre la obligación principal del negocio –es decir, sobre el “objeto”– y sobre la contraprestación, sino que se debe plasmar por escrito. Tal circunstancia le ha permitido a la doctrina concluir que el contrato estatal regulado en Estatuto </w:t>
      </w:r>
      <w:proofErr w:type="spellStart"/>
      <w:r w:rsidRPr="006263D8">
        <w:rPr>
          <w:rFonts w:ascii="Verdana" w:eastAsia="Calibri" w:hAnsi="Verdana" w:cs="Arial"/>
          <w:lang w:val="es-ES"/>
        </w:rPr>
        <w:t>Genaral</w:t>
      </w:r>
      <w:proofErr w:type="spellEnd"/>
      <w:r w:rsidRPr="006263D8">
        <w:rPr>
          <w:rFonts w:ascii="Verdana" w:eastAsia="Calibri" w:hAnsi="Verdana" w:cs="Arial"/>
          <w:lang w:val="es-ES"/>
        </w:rPr>
        <w:t xml:space="preserve"> de Contratación de la Administración Pública es “[…] principalmente, solemne, ya que la manifestación de voluntad, si no se expresa bajo la forma ad </w:t>
      </w:r>
      <w:proofErr w:type="spellStart"/>
      <w:r w:rsidRPr="006263D8">
        <w:rPr>
          <w:rFonts w:ascii="Verdana" w:eastAsia="Calibri" w:hAnsi="Verdana" w:cs="Arial"/>
          <w:lang w:val="es-ES"/>
        </w:rPr>
        <w:t>solemnitatem</w:t>
      </w:r>
      <w:proofErr w:type="spellEnd"/>
      <w:r w:rsidRPr="006263D8">
        <w:rPr>
          <w:rFonts w:ascii="Verdana" w:eastAsia="Calibri" w:hAnsi="Verdana" w:cs="Arial"/>
          <w:lang w:val="es-ES"/>
        </w:rPr>
        <w:t xml:space="preserve"> o ad </w:t>
      </w:r>
      <w:proofErr w:type="spellStart"/>
      <w:r w:rsidRPr="006263D8">
        <w:rPr>
          <w:rFonts w:ascii="Verdana" w:eastAsia="Calibri" w:hAnsi="Verdana" w:cs="Arial"/>
          <w:lang w:val="es-ES"/>
        </w:rPr>
        <w:t>substantiam</w:t>
      </w:r>
      <w:proofErr w:type="spellEnd"/>
      <w:r w:rsidRPr="006263D8">
        <w:rPr>
          <w:rFonts w:ascii="Verdana" w:eastAsia="Calibri" w:hAnsi="Verdana" w:cs="Arial"/>
          <w:lang w:val="es-ES"/>
        </w:rPr>
        <w:t xml:space="preserve"> </w:t>
      </w:r>
      <w:proofErr w:type="spellStart"/>
      <w:r w:rsidRPr="006263D8">
        <w:rPr>
          <w:rFonts w:ascii="Verdana" w:eastAsia="Calibri" w:hAnsi="Verdana" w:cs="Arial"/>
          <w:lang w:val="es-ES"/>
        </w:rPr>
        <w:t>actus</w:t>
      </w:r>
      <w:proofErr w:type="spellEnd"/>
      <w:r w:rsidRPr="006263D8">
        <w:rPr>
          <w:rFonts w:ascii="Verdana" w:eastAsia="Calibri" w:hAnsi="Verdana" w:cs="Arial"/>
          <w:lang w:val="es-ES"/>
        </w:rPr>
        <w:t xml:space="preserve"> exigida por la ley, es inexistente, es decir, se entiende que el contrato jamás ha sido creado para el mundo jurídico”</w:t>
      </w:r>
      <w:r w:rsidRPr="006263D8">
        <w:rPr>
          <w:rFonts w:ascii="Verdana" w:hAnsi="Verdana" w:cs="Arial"/>
          <w:vertAlign w:val="superscript"/>
          <w:lang w:val="es-MX"/>
        </w:rPr>
        <w:t xml:space="preserve"> </w:t>
      </w:r>
      <w:r w:rsidRPr="006263D8">
        <w:rPr>
          <w:rFonts w:ascii="Verdana" w:hAnsi="Verdana" w:cs="Arial"/>
          <w:vertAlign w:val="superscript"/>
          <w:lang w:val="es-MX"/>
        </w:rPr>
        <w:footnoteReference w:id="10"/>
      </w:r>
      <w:r w:rsidRPr="006263D8">
        <w:rPr>
          <w:rFonts w:ascii="Verdana" w:eastAsia="Calibri" w:hAnsi="Verdana" w:cs="Arial"/>
          <w:bCs/>
        </w:rPr>
        <w:t>.</w:t>
      </w:r>
    </w:p>
    <w:p w14:paraId="62A16FFB" w14:textId="77777777" w:rsidR="00BE72C0" w:rsidRPr="006263D8" w:rsidRDefault="00BE72C0" w:rsidP="00BE72C0">
      <w:pPr>
        <w:spacing w:before="120" w:after="0" w:line="276" w:lineRule="auto"/>
        <w:jc w:val="both"/>
        <w:rPr>
          <w:rFonts w:ascii="Verdana" w:eastAsia="Calibri" w:hAnsi="Verdana" w:cs="Arial"/>
          <w:lang w:val="es-ES"/>
        </w:rPr>
      </w:pPr>
      <w:r w:rsidRPr="006263D8">
        <w:rPr>
          <w:rFonts w:ascii="Verdana" w:eastAsia="Calibri" w:hAnsi="Verdana" w:cs="Arial"/>
          <w:lang w:val="es-ES"/>
        </w:rPr>
        <w:tab/>
        <w:t>La excepción a esta regla se encuentra en el cuarto inciso del mismo artículo, según el cual, “En caso de situaciones de urgencia manifiesta a que se refiere el artículo 42 de esta ley que no permitan la suscripción de contrato escrito, se prescindirá de éste y aún del acuerdo acerca de la remuneración, no obstante, deberá dejarse constancia escrita de la autorización impartida por la entidad estatal contratante”. En otras palabras, por regla general, los contratos estatales deben constar por escrito, salvo que se presente una situación de urgencia manifiesta en la que no haya tiempo de cumplir con esta formalidad.</w:t>
      </w:r>
    </w:p>
    <w:p w14:paraId="6651D064" w14:textId="77777777" w:rsidR="00BE72C0" w:rsidRPr="006263D8" w:rsidRDefault="00BE72C0" w:rsidP="00BE72C0">
      <w:pPr>
        <w:spacing w:before="120" w:after="0" w:line="276" w:lineRule="auto"/>
        <w:jc w:val="both"/>
        <w:rPr>
          <w:rFonts w:ascii="Verdana" w:eastAsia="Calibri" w:hAnsi="Verdana" w:cs="Arial"/>
          <w:lang w:val="es-ES"/>
        </w:rPr>
      </w:pPr>
      <w:r w:rsidRPr="006263D8">
        <w:rPr>
          <w:rFonts w:ascii="Verdana" w:eastAsia="Calibri" w:hAnsi="Verdana" w:cs="Arial"/>
          <w:lang w:val="es-ES"/>
        </w:rPr>
        <w:tab/>
        <w:t xml:space="preserve">Ahora bien, una vez analizados los requisitos de perfeccionamiento del contrato estatal, es necesario distinguirlos, por tanto, de los requisitos de ejecución, e indicar cuáles son las exigencias de esta segunda clase establecida en el Estatuto General de Contratación de la Administración Pública. Si el cumplimiento de los requisitos de perfeccionamiento permite que el contrato </w:t>
      </w:r>
      <w:r w:rsidRPr="006263D8">
        <w:rPr>
          <w:rFonts w:ascii="Verdana" w:eastAsia="Calibri" w:hAnsi="Verdana" w:cs="Arial"/>
          <w:lang w:val="es-ES"/>
        </w:rPr>
        <w:lastRenderedPageBreak/>
        <w:t>exista, la observancia de los requisitos de ejecución posibilita el inicio de la fase de realización de las actividades pactadas en el contrato, es decir, el cumplimiento del objeto del negocio jurídico.</w:t>
      </w:r>
    </w:p>
    <w:p w14:paraId="6BB46EDB" w14:textId="77777777" w:rsidR="00BE72C0" w:rsidRPr="006263D8" w:rsidRDefault="00BE72C0" w:rsidP="00BE72C0">
      <w:pPr>
        <w:spacing w:before="120" w:after="0" w:line="276" w:lineRule="auto"/>
        <w:jc w:val="both"/>
        <w:rPr>
          <w:rFonts w:ascii="Verdana" w:eastAsia="Calibri" w:hAnsi="Verdana" w:cs="Arial"/>
          <w:lang w:val="es-ES"/>
        </w:rPr>
      </w:pPr>
      <w:r w:rsidRPr="006263D8">
        <w:rPr>
          <w:rFonts w:ascii="Verdana" w:eastAsia="Calibri" w:hAnsi="Verdana" w:cs="Arial"/>
          <w:lang w:val="es-ES"/>
        </w:rPr>
        <w:tab/>
        <w:t>En ese contexto, los requisitos de ejecución de los contratos estatales pueden ser “legales” o “convencionales”. Los primeros son aquellos que se encuentran previstos en la ley. Los segundos son estipulados por las partes. En otros términos, los requisitos legales de ejecución son elementos de la naturaleza, mientras que los requisitos convencionales de ejecución son elementos accidentales. Teniendo en cuenta que en la consulta se indaga por el acta de inicio, es importante precisar si se trata de un requisito de ejecución legal o convencional. Para determinar lo anterior, conviene hacer referencia al segundo inciso del artículo 41 de la Ley 80 de 1993, modificado por el artículo 23 de la ley 1150 de 2007. Dicha norma establece sobre los requisitos legales lo siguiente:</w:t>
      </w:r>
    </w:p>
    <w:p w14:paraId="040DC24C" w14:textId="77777777" w:rsidR="00BE72C0" w:rsidRPr="006263D8" w:rsidRDefault="00BE72C0" w:rsidP="00BE72C0">
      <w:pPr>
        <w:spacing w:after="0" w:line="276" w:lineRule="auto"/>
        <w:jc w:val="both"/>
        <w:rPr>
          <w:rFonts w:ascii="Verdana" w:eastAsia="Calibri" w:hAnsi="Verdana" w:cs="Arial"/>
          <w:lang w:val="es-ES"/>
        </w:rPr>
      </w:pPr>
    </w:p>
    <w:p w14:paraId="1EE37F1B" w14:textId="77777777" w:rsidR="00BE72C0" w:rsidRPr="006263D8" w:rsidRDefault="00BE72C0" w:rsidP="00BE72C0">
      <w:pPr>
        <w:spacing w:after="0" w:line="240" w:lineRule="auto"/>
        <w:ind w:left="709" w:right="709"/>
        <w:jc w:val="both"/>
        <w:rPr>
          <w:rFonts w:ascii="Verdana" w:eastAsia="Calibri" w:hAnsi="Verdana" w:cs="Arial"/>
          <w:sz w:val="20"/>
          <w:szCs w:val="20"/>
        </w:rPr>
      </w:pPr>
      <w:r w:rsidRPr="006263D8">
        <w:rPr>
          <w:rFonts w:ascii="Verdana" w:eastAsia="Calibri" w:hAnsi="Verdana" w:cs="Arial"/>
          <w:sz w:val="20"/>
          <w:szCs w:val="20"/>
        </w:rPr>
        <w:t>“Para la ejecución se requerirá de la aprobación de la garantía y de la existencia de las disponibilidades presupuestales correspondientes, salvo que se trate de la contratación con recursos de vigencias fiscales futuras de conformidad con lo previsto en la ley orgánica del presupuesto. El proponente y el contratista deberán acreditar que se encuentran al día en el pago de aportes parafiscales relativos al Sistema de Seguridad Social Integral, así como los propios del Sena, ICBF y Cajas de Compensación Familiar, cuando corresponda”.</w:t>
      </w:r>
    </w:p>
    <w:p w14:paraId="188FE9B4" w14:textId="77777777" w:rsidR="00BE72C0" w:rsidRPr="006263D8" w:rsidRDefault="00BE72C0" w:rsidP="00BE72C0">
      <w:pPr>
        <w:spacing w:after="0" w:line="276" w:lineRule="auto"/>
        <w:jc w:val="both"/>
        <w:rPr>
          <w:rFonts w:ascii="Verdana" w:eastAsia="Calibri" w:hAnsi="Verdana" w:cs="Arial"/>
          <w:lang w:val="es-ES"/>
        </w:rPr>
      </w:pPr>
    </w:p>
    <w:p w14:paraId="64056F63" w14:textId="77777777" w:rsidR="00BE72C0" w:rsidRPr="006263D8" w:rsidRDefault="00BE72C0" w:rsidP="00BE72C0">
      <w:pPr>
        <w:spacing w:after="0" w:line="276" w:lineRule="auto"/>
        <w:ind w:firstLine="708"/>
        <w:jc w:val="both"/>
        <w:rPr>
          <w:rFonts w:ascii="Verdana" w:eastAsia="Times New Roman" w:hAnsi="Verdana" w:cs="Arial"/>
          <w:color w:val="000000" w:themeColor="text1"/>
          <w:lang w:eastAsia="es-CO"/>
        </w:rPr>
      </w:pPr>
      <w:r w:rsidRPr="006263D8">
        <w:rPr>
          <w:rFonts w:ascii="Verdana" w:eastAsia="Calibri" w:hAnsi="Verdana" w:cs="Arial"/>
          <w:lang w:val="es-ES"/>
        </w:rPr>
        <w:t xml:space="preserve">Como puede observarse, los requisitos legales de ejecución son: i) la aprobación de las garantías exigidas en el contrato, </w:t>
      </w:r>
      <w:proofErr w:type="spellStart"/>
      <w:r w:rsidRPr="006263D8">
        <w:rPr>
          <w:rFonts w:ascii="Verdana" w:eastAsia="Calibri" w:hAnsi="Verdana" w:cs="Arial"/>
          <w:lang w:val="es-ES"/>
        </w:rPr>
        <w:t>ii</w:t>
      </w:r>
      <w:proofErr w:type="spellEnd"/>
      <w:r w:rsidRPr="006263D8">
        <w:rPr>
          <w:rFonts w:ascii="Verdana" w:eastAsia="Calibri" w:hAnsi="Verdana" w:cs="Arial"/>
          <w:lang w:val="es-ES"/>
        </w:rPr>
        <w:t xml:space="preserve">) la existencia de la apropiación presupuestal correspondiente y </w:t>
      </w:r>
      <w:proofErr w:type="spellStart"/>
      <w:r w:rsidRPr="006263D8">
        <w:rPr>
          <w:rFonts w:ascii="Verdana" w:eastAsia="Calibri" w:hAnsi="Verdana" w:cs="Arial"/>
          <w:lang w:val="es-ES"/>
        </w:rPr>
        <w:t>iii</w:t>
      </w:r>
      <w:proofErr w:type="spellEnd"/>
      <w:r w:rsidRPr="006263D8">
        <w:rPr>
          <w:rFonts w:ascii="Verdana" w:eastAsia="Calibri" w:hAnsi="Verdana" w:cs="Arial"/>
          <w:lang w:val="es-ES"/>
        </w:rPr>
        <w:t>) la acreditación del cumplimiento de las obligaciones con el Sistema de Seguridad Social Integral. Por su parte, serán requisitos convencionales aquellos que no se encuentran consagrados en la ley sino que se pactan en la minuta del contrato o que el contratista acepta al momento de adherirse al clausulado del pliego de condiciones o documento equivalente, como por ejemplo, la suscripción del acta de inicio. Sin embargo, se aclara que, s</w:t>
      </w:r>
      <w:r w:rsidRPr="006263D8">
        <w:rPr>
          <w:rFonts w:ascii="Verdana" w:eastAsia="Times New Roman" w:hAnsi="Verdana" w:cs="Arial"/>
          <w:color w:val="000000" w:themeColor="text1"/>
          <w:lang w:eastAsia="es-CO"/>
        </w:rPr>
        <w:t xml:space="preserve">i bien la constitución de las garantías es un deber en el grueso de los procedimientos con pluralidad de oferentes, el Decreto 1082 de 2015 establece reglas especiales en la contratación donde existen limitaciones a la libre concurrencia. Así, el artículo 2.2.1.2.1.4.5 ibidem dispone que “[e]n la contratación directa la exigencia de garantías establecidas en la Sección 3, que comprende los artículos 2.2.1.2.3.1.1 al 2.2.1.2.3.5.1 del presente decreto no </w:t>
      </w:r>
      <w:r w:rsidRPr="006263D8">
        <w:rPr>
          <w:rFonts w:ascii="Verdana" w:eastAsia="Times New Roman" w:hAnsi="Verdana" w:cs="Arial"/>
          <w:color w:val="000000" w:themeColor="text1"/>
          <w:lang w:eastAsia="es-CO"/>
        </w:rPr>
        <w:lastRenderedPageBreak/>
        <w:t>es obligatoria y la justificación para exigirlas o no debe estar en los estudios y documentos previos”. Por ello, y al ser la urgencia manifiesta una causal de contratación directa, las garantías no son obligatorias en los negocios celebrados en virtud del literal a) del artículo 2.4 de la Ley 1150 de 2007, lo cual no obsta para que las entidades puedan exigirlas de forma potestativa a los contratistas.</w:t>
      </w:r>
    </w:p>
    <w:p w14:paraId="3F8F105E" w14:textId="77777777" w:rsidR="00BE72C0" w:rsidRPr="006263D8" w:rsidRDefault="00BE72C0" w:rsidP="00BE72C0">
      <w:pPr>
        <w:spacing w:before="120" w:after="0" w:line="276" w:lineRule="auto"/>
        <w:jc w:val="both"/>
        <w:rPr>
          <w:rFonts w:ascii="Verdana" w:eastAsia="Calibri" w:hAnsi="Verdana" w:cs="Arial"/>
          <w:lang w:val="es-ES"/>
        </w:rPr>
      </w:pPr>
      <w:r w:rsidRPr="006263D8">
        <w:rPr>
          <w:rFonts w:ascii="Verdana" w:eastAsia="Calibri" w:hAnsi="Verdana" w:cs="Arial"/>
          <w:lang w:val="es-ES"/>
        </w:rPr>
        <w:tab/>
        <w:t xml:space="preserve">En conclusión, dichos requisitos se relacionan en que deben cumplirse para que inicie la ejecución del contrato, </w:t>
      </w:r>
      <w:proofErr w:type="spellStart"/>
      <w:r w:rsidRPr="006263D8">
        <w:rPr>
          <w:rFonts w:ascii="Verdana" w:eastAsia="Calibri" w:hAnsi="Verdana" w:cs="Arial"/>
          <w:lang w:val="es-ES"/>
        </w:rPr>
        <w:t>si</w:t>
      </w:r>
      <w:proofErr w:type="spellEnd"/>
      <w:r w:rsidRPr="006263D8">
        <w:rPr>
          <w:rFonts w:ascii="Verdana" w:eastAsia="Calibri" w:hAnsi="Verdana" w:cs="Arial"/>
          <w:lang w:val="es-ES"/>
        </w:rPr>
        <w:t xml:space="preserve"> que por ello puedan considerarse elementos de la esencia –de perfeccionamiento– del negocio jurídico, ni de su validez. En otras palabras, un contrato estatal existe, así no se hayan aprobado las garantías, o expedido el registro presupuestal, o a pesar de que el contratista no esté al día en el cumplimiento de sus obligaciones con el Sistema de Seguridad Social Integral, pero no puede comenzar a ejecutarse.</w:t>
      </w:r>
    </w:p>
    <w:p w14:paraId="6E73B319" w14:textId="77777777" w:rsidR="00BE72C0" w:rsidRPr="006263D8" w:rsidRDefault="00BE72C0" w:rsidP="00BE72C0">
      <w:pPr>
        <w:spacing w:before="120" w:after="0" w:line="276" w:lineRule="auto"/>
        <w:ind w:firstLine="709"/>
        <w:jc w:val="both"/>
        <w:rPr>
          <w:rFonts w:ascii="Verdana" w:hAnsi="Verdana" w:cs="Arial"/>
          <w:lang w:eastAsia="es-ES"/>
        </w:rPr>
      </w:pPr>
      <w:r w:rsidRPr="006263D8">
        <w:rPr>
          <w:rFonts w:ascii="Verdana" w:hAnsi="Verdana" w:cs="Arial"/>
          <w:lang w:eastAsia="es-ES"/>
        </w:rPr>
        <w:t>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67AAB4D3" w14:textId="77777777" w:rsidR="00BE72C0" w:rsidRPr="006263D8" w:rsidRDefault="00BE72C0" w:rsidP="00BE72C0">
      <w:pPr>
        <w:spacing w:after="0" w:line="276" w:lineRule="auto"/>
        <w:ind w:firstLine="708"/>
        <w:jc w:val="both"/>
        <w:rPr>
          <w:rFonts w:ascii="Verdana" w:eastAsia="Calibri" w:hAnsi="Verdana" w:cs="Arial"/>
          <w:lang w:val="es-ES"/>
        </w:rPr>
      </w:pPr>
    </w:p>
    <w:p w14:paraId="1AE7EE7A" w14:textId="77777777" w:rsidR="00BE72C0" w:rsidRPr="006263D8" w:rsidRDefault="00BE72C0" w:rsidP="00BE72C0">
      <w:pPr>
        <w:widowControl w:val="0"/>
        <w:autoSpaceDE w:val="0"/>
        <w:autoSpaceDN w:val="0"/>
        <w:spacing w:before="1" w:after="0" w:line="240" w:lineRule="auto"/>
        <w:outlineLvl w:val="0"/>
        <w:rPr>
          <w:rFonts w:ascii="Verdana" w:eastAsia="Arial" w:hAnsi="Verdana" w:cs="Arial"/>
          <w:b/>
          <w:bCs/>
          <w:lang w:val="es-ES"/>
        </w:rPr>
      </w:pPr>
      <w:r w:rsidRPr="006263D8">
        <w:rPr>
          <w:rFonts w:ascii="Verdana" w:eastAsia="Arial" w:hAnsi="Verdana" w:cs="Arial"/>
          <w:b/>
          <w:bCs/>
          <w:lang w:val="es-ES"/>
        </w:rPr>
        <w:t>4.Referencias normativas, jurisprudenciales y otras fuentes:</w:t>
      </w:r>
    </w:p>
    <w:p w14:paraId="4EB48068" w14:textId="77777777" w:rsidR="00BE72C0" w:rsidRPr="006263D8" w:rsidRDefault="00BE72C0" w:rsidP="00BE72C0">
      <w:pPr>
        <w:widowControl w:val="0"/>
        <w:autoSpaceDE w:val="0"/>
        <w:autoSpaceDN w:val="0"/>
        <w:spacing w:after="0" w:line="276" w:lineRule="auto"/>
        <w:jc w:val="both"/>
        <w:rPr>
          <w:rFonts w:ascii="Verdana" w:hAnsi="Verdana" w:cs="Arial"/>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BE72C0" w:rsidRPr="006263D8" w14:paraId="088815A0" w14:textId="77777777" w:rsidTr="007D2F57">
        <w:trPr>
          <w:trHeight w:val="870"/>
        </w:trPr>
        <w:tc>
          <w:tcPr>
            <w:tcW w:w="8647" w:type="dxa"/>
          </w:tcPr>
          <w:p w14:paraId="7DAEF78F" w14:textId="77777777" w:rsidR="00BE72C0" w:rsidRPr="006263D8" w:rsidRDefault="00BE72C0" w:rsidP="00BE72C0">
            <w:pPr>
              <w:widowControl w:val="0"/>
              <w:numPr>
                <w:ilvl w:val="0"/>
                <w:numId w:val="1"/>
              </w:numPr>
              <w:autoSpaceDE w:val="0"/>
              <w:autoSpaceDN w:val="0"/>
              <w:spacing w:after="120" w:line="276" w:lineRule="auto"/>
              <w:contextualSpacing/>
              <w:jc w:val="both"/>
              <w:rPr>
                <w:rFonts w:ascii="Verdana" w:hAnsi="Verdana" w:cs="Arial"/>
              </w:rPr>
            </w:pPr>
            <w:r w:rsidRPr="006263D8">
              <w:rPr>
                <w:rFonts w:ascii="Verdana" w:hAnsi="Verdana" w:cs="Arial"/>
              </w:rPr>
              <w:t>Ley 80 de 1993. Artículos 41 y 42.</w:t>
            </w:r>
          </w:p>
          <w:p w14:paraId="3C5C2ABA" w14:textId="77777777" w:rsidR="00BE72C0" w:rsidRPr="006263D8" w:rsidRDefault="00BE72C0" w:rsidP="00BE72C0">
            <w:pPr>
              <w:widowControl w:val="0"/>
              <w:numPr>
                <w:ilvl w:val="0"/>
                <w:numId w:val="1"/>
              </w:numPr>
              <w:autoSpaceDE w:val="0"/>
              <w:autoSpaceDN w:val="0"/>
              <w:spacing w:after="120" w:line="276" w:lineRule="auto"/>
              <w:contextualSpacing/>
              <w:jc w:val="both"/>
              <w:rPr>
                <w:rFonts w:ascii="Verdana" w:hAnsi="Verdana" w:cs="Arial"/>
              </w:rPr>
            </w:pPr>
            <w:r w:rsidRPr="006263D8">
              <w:rPr>
                <w:rFonts w:ascii="Verdana" w:hAnsi="Verdana" w:cs="Arial"/>
              </w:rPr>
              <w:t>Ley 1150 de 2007. Artículos 2 y 7.</w:t>
            </w:r>
          </w:p>
          <w:p w14:paraId="36DFEC20" w14:textId="77777777" w:rsidR="00BE72C0" w:rsidRPr="006263D8" w:rsidRDefault="00BE72C0" w:rsidP="00BE72C0">
            <w:pPr>
              <w:widowControl w:val="0"/>
              <w:numPr>
                <w:ilvl w:val="0"/>
                <w:numId w:val="1"/>
              </w:numPr>
              <w:autoSpaceDE w:val="0"/>
              <w:autoSpaceDN w:val="0"/>
              <w:spacing w:after="120" w:line="276" w:lineRule="auto"/>
              <w:contextualSpacing/>
              <w:jc w:val="both"/>
              <w:rPr>
                <w:rFonts w:ascii="Verdana" w:hAnsi="Verdana" w:cs="Arial"/>
              </w:rPr>
            </w:pPr>
            <w:r w:rsidRPr="006263D8">
              <w:rPr>
                <w:rFonts w:ascii="Verdana" w:hAnsi="Verdana" w:cs="Arial"/>
              </w:rPr>
              <w:t>Ley 1523 de 2012, artículos 4, 56 y 59.</w:t>
            </w:r>
          </w:p>
          <w:p w14:paraId="47725733" w14:textId="77777777" w:rsidR="00BE72C0" w:rsidRPr="006263D8" w:rsidRDefault="00BE72C0" w:rsidP="00BE72C0">
            <w:pPr>
              <w:widowControl w:val="0"/>
              <w:numPr>
                <w:ilvl w:val="0"/>
                <w:numId w:val="1"/>
              </w:numPr>
              <w:autoSpaceDE w:val="0"/>
              <w:autoSpaceDN w:val="0"/>
              <w:spacing w:after="120" w:line="276" w:lineRule="auto"/>
              <w:contextualSpacing/>
              <w:jc w:val="both"/>
              <w:rPr>
                <w:rFonts w:ascii="Verdana" w:hAnsi="Verdana" w:cs="Arial"/>
              </w:rPr>
            </w:pPr>
            <w:r w:rsidRPr="006263D8">
              <w:rPr>
                <w:rFonts w:ascii="Verdana" w:hAnsi="Verdana" w:cs="Arial"/>
              </w:rPr>
              <w:t xml:space="preserve">Decreto 1082 de 2015, artículos 2.2.1.2.1.4.2 y 2.2.1.2.3.1.1 a 2.2.1.2.3.5.1. </w:t>
            </w:r>
          </w:p>
        </w:tc>
      </w:tr>
    </w:tbl>
    <w:p w14:paraId="67B24349" w14:textId="77777777" w:rsidR="00BE72C0" w:rsidRPr="006263D8" w:rsidRDefault="00BE72C0" w:rsidP="00BE72C0">
      <w:pPr>
        <w:widowControl w:val="0"/>
        <w:autoSpaceDE w:val="0"/>
        <w:autoSpaceDN w:val="0"/>
        <w:spacing w:after="0" w:line="276" w:lineRule="auto"/>
        <w:jc w:val="both"/>
        <w:rPr>
          <w:rFonts w:ascii="Verdana" w:hAnsi="Verdana" w:cs="Arial"/>
        </w:rPr>
      </w:pPr>
    </w:p>
    <w:p w14:paraId="3CCC2F25" w14:textId="77777777" w:rsidR="00BE72C0" w:rsidRPr="006263D8" w:rsidRDefault="00BE72C0" w:rsidP="00BE72C0">
      <w:pPr>
        <w:widowControl w:val="0"/>
        <w:autoSpaceDE w:val="0"/>
        <w:autoSpaceDN w:val="0"/>
        <w:spacing w:before="1" w:after="0" w:line="240" w:lineRule="auto"/>
        <w:outlineLvl w:val="0"/>
        <w:rPr>
          <w:rFonts w:ascii="Verdana" w:eastAsia="Arial" w:hAnsi="Verdana" w:cs="Arial"/>
          <w:b/>
          <w:bCs/>
          <w:lang w:val="es-ES"/>
        </w:rPr>
      </w:pPr>
      <w:r w:rsidRPr="006263D8">
        <w:rPr>
          <w:rFonts w:ascii="Verdana" w:eastAsia="Arial" w:hAnsi="Verdana" w:cs="Arial"/>
          <w:b/>
          <w:bCs/>
          <w:lang w:val="es-ES"/>
        </w:rPr>
        <w:t>5. Doctrina de la Agencia Nacional de Contratación Pública:</w:t>
      </w:r>
    </w:p>
    <w:p w14:paraId="0039804D" w14:textId="77777777" w:rsidR="00BE72C0" w:rsidRPr="006263D8" w:rsidRDefault="00BE72C0" w:rsidP="00BE72C0">
      <w:pPr>
        <w:widowControl w:val="0"/>
        <w:autoSpaceDE w:val="0"/>
        <w:autoSpaceDN w:val="0"/>
        <w:spacing w:after="0" w:line="276" w:lineRule="auto"/>
        <w:jc w:val="both"/>
        <w:rPr>
          <w:rFonts w:ascii="Verdana" w:hAnsi="Verdana" w:cs="Arial"/>
        </w:rPr>
      </w:pPr>
    </w:p>
    <w:p w14:paraId="38FBC5FE" w14:textId="77777777" w:rsidR="00BE72C0" w:rsidRPr="006263D8" w:rsidRDefault="00BE72C0" w:rsidP="00BE72C0">
      <w:pPr>
        <w:widowControl w:val="0"/>
        <w:autoSpaceDE w:val="0"/>
        <w:autoSpaceDN w:val="0"/>
        <w:spacing w:after="0" w:line="276" w:lineRule="auto"/>
        <w:jc w:val="both"/>
        <w:rPr>
          <w:rFonts w:ascii="Verdana" w:hAnsi="Verdana" w:cs="Arial"/>
          <w:shd w:val="clear" w:color="auto" w:fill="FFFFFF"/>
          <w:lang w:val="es-ES"/>
        </w:rPr>
      </w:pPr>
      <w:r w:rsidRPr="006263D8">
        <w:rPr>
          <w:rFonts w:ascii="Verdana" w:hAnsi="Verdana" w:cs="Arial"/>
          <w:shd w:val="clear" w:color="auto" w:fill="FFFFFF"/>
          <w:lang w:val="es-ES"/>
        </w:rPr>
        <w:t xml:space="preserve">Esta Subdirección se ha pronunciado sobre la contratación por urgencia manifiesta en los Conceptos C-003 del 23 de abril de 2020, C-004 25 de abril de 2020, C-135 del 10 de abril de 2020, C-241 del 10 de abril de 2020, C-257 del 10 de abril de 2020, C-266 del 21 de mayo de 2020, C-269 del 10 de abril de </w:t>
      </w:r>
      <w:r w:rsidRPr="006263D8">
        <w:rPr>
          <w:rFonts w:ascii="Verdana" w:hAnsi="Verdana" w:cs="Arial"/>
          <w:shd w:val="clear" w:color="auto" w:fill="FFFFFF"/>
          <w:lang w:val="es-ES"/>
        </w:rPr>
        <w:lastRenderedPageBreak/>
        <w:t>2020, C-275 del del 10 de abril de 2020, C-284 del 27 de mayo de 2020, C-300 del 25 de abril de 2020, C-301 del 25 de abril de 2020, C-333 del 19 de mayo de 2020, C-357 del 7 de julio de 2020, C-390 del 23 de junio de 2020, C-403 del 24 de junio de 2020, C-887 del 22 de diciembre de 2022, C-131 del 25 de mayo de 2023 y C-691 del 14 de noviembre de 2024. Es</w:t>
      </w:r>
      <w:r w:rsidRPr="006263D8">
        <w:rPr>
          <w:rFonts w:ascii="Verdana" w:hAnsi="Verdana"/>
        </w:rPr>
        <w:t>tos y otros conceptos se encuentran disponibles para consulta en el Sistema de relatoría de la Agencia, al cual se puede acceder a través del siguiente enlace:</w:t>
      </w:r>
      <w:r w:rsidRPr="006263D8">
        <w:rPr>
          <w:rFonts w:ascii="Verdana" w:hAnsi="Verdana" w:cs="Arial"/>
          <w:shd w:val="clear" w:color="auto" w:fill="FFFFFF"/>
          <w:lang w:val="es-ES"/>
        </w:rPr>
        <w:t xml:space="preserve"> </w:t>
      </w:r>
      <w:hyperlink r:id="rId12" w:history="1">
        <w:r w:rsidRPr="006263D8">
          <w:rPr>
            <w:rFonts w:ascii="Verdana" w:hAnsi="Verdana" w:cs="Arial"/>
            <w:color w:val="467886" w:themeColor="hyperlink"/>
            <w:u w:val="single"/>
            <w:shd w:val="clear" w:color="auto" w:fill="FFFFFF"/>
            <w:lang w:val="es-ES"/>
          </w:rPr>
          <w:t>https://relatoria.colombiacompra.gov.co/busqueda/conceptos</w:t>
        </w:r>
      </w:hyperlink>
      <w:r w:rsidRPr="006263D8">
        <w:rPr>
          <w:rFonts w:ascii="Verdana" w:hAnsi="Verdana" w:cs="Arial"/>
          <w:shd w:val="clear" w:color="auto" w:fill="FFFFFF"/>
          <w:lang w:val="es-ES"/>
        </w:rPr>
        <w:t>.</w:t>
      </w:r>
    </w:p>
    <w:p w14:paraId="2DE767B5" w14:textId="77777777" w:rsidR="00BE72C0" w:rsidRPr="006263D8" w:rsidRDefault="00BE72C0" w:rsidP="00BE72C0">
      <w:pPr>
        <w:spacing w:before="120" w:after="0" w:line="240" w:lineRule="auto"/>
        <w:ind w:firstLine="708"/>
        <w:jc w:val="both"/>
        <w:rPr>
          <w:rFonts w:ascii="Verdana" w:eastAsia="Times New Roman" w:hAnsi="Verdana" w:cs="Times New Roman"/>
          <w:color w:val="000000"/>
          <w:lang w:eastAsia="es-CO"/>
        </w:rPr>
      </w:pPr>
      <w:r w:rsidRPr="006263D8">
        <w:rPr>
          <w:rFonts w:ascii="Verdana" w:eastAsia="Times New Roman" w:hAnsi="Verdana" w:cs="Times New Roman"/>
          <w:color w:val="000000"/>
          <w:lang w:eastAsia="es-CO"/>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6263D8">
        <w:rPr>
          <w:rFonts w:ascii="Verdana" w:eastAsia="Times New Roman" w:hAnsi="Verdana" w:cs="Times New Roman"/>
          <w:b/>
          <w:bCs/>
          <w:color w:val="000000"/>
          <w:lang w:eastAsia="es-CO"/>
        </w:rPr>
        <w:t>Guía para la Exigencia y Constitución de Garantías en los Procesos de Contratación</w:t>
      </w:r>
      <w:r w:rsidRPr="006263D8">
        <w:rPr>
          <w:rFonts w:ascii="Verdana" w:eastAsia="Times New Roman" w:hAnsi="Verdana" w:cs="Times New Roman"/>
          <w:color w:val="000000"/>
          <w:lang w:eastAsia="es-CO"/>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3" w:tgtFrame="_blank" w:tooltip="Dirección URL original: https://www.colombiacompra.gov.co/archivos/manual/guia-de-garantias-en-procesos-de-contratacion. Haga clic o pulse si confía en este vínculo." w:history="1">
        <w:r w:rsidRPr="006263D8">
          <w:rPr>
            <w:rStyle w:val="Hipervnculo"/>
            <w:rFonts w:ascii="Verdana" w:eastAsia="Times New Roman" w:hAnsi="Verdana" w:cs="Times New Roman"/>
            <w:lang w:eastAsia="es-CO"/>
          </w:rPr>
          <w:t>https://www.colombiacompra.gov.co/archivos/manual/guia-de-garantias-en-procesos-de-contratacion</w:t>
        </w:r>
      </w:hyperlink>
    </w:p>
    <w:p w14:paraId="21826917" w14:textId="77777777" w:rsidR="00BE72C0" w:rsidRPr="006263D8" w:rsidRDefault="00BE72C0" w:rsidP="00BE72C0">
      <w:pPr>
        <w:spacing w:before="120" w:after="0" w:line="240" w:lineRule="auto"/>
        <w:ind w:firstLine="708"/>
        <w:jc w:val="both"/>
        <w:rPr>
          <w:rFonts w:ascii="Verdana" w:eastAsia="Times New Roman" w:hAnsi="Verdana" w:cs="Times New Roman"/>
          <w:color w:val="000000"/>
          <w:lang w:eastAsia="es-CO"/>
        </w:rPr>
      </w:pPr>
      <w:r w:rsidRPr="006263D8">
        <w:rPr>
          <w:rFonts w:ascii="Verdana" w:eastAsia="Times New Roman" w:hAnsi="Verdana" w:cs="Times New Roman"/>
          <w:color w:val="000000"/>
          <w:lang w:eastAsia="es-CO"/>
        </w:rPr>
        <w:t>De otro lado, te contamos que el Decreto 287 del 19 de marzo de 2026 sustituyó los artículos 2.2.1.2.4.2.6., 2.2.1.2.4.2.7. y 2.2.1.2.4.2.8. del Decreto 1082 de 2015 y estructuró el </w:t>
      </w:r>
      <w:r w:rsidRPr="006263D8">
        <w:rPr>
          <w:rFonts w:ascii="Verdana" w:eastAsia="Times New Roman" w:hAnsi="Verdana" w:cs="Times New Roman"/>
          <w:b/>
          <w:bCs/>
          <w:color w:val="000000"/>
          <w:lang w:eastAsia="es-CO"/>
        </w:rPr>
        <w:t>Sistema Integral de Preferencias en favor de las personas con discapacidad</w:t>
      </w:r>
      <w:r w:rsidRPr="006263D8">
        <w:rPr>
          <w:rFonts w:ascii="Verdana" w:eastAsia="Times New Roman" w:hAnsi="Verdana" w:cs="Times New Roman"/>
          <w:color w:val="000000"/>
          <w:lang w:eastAsia="es-CO"/>
        </w:rPr>
        <w:t>, en cumplimiento del artículo 13 de la Ley Estatutaria 1618 de 2013. Para orientar su aplicación, esta Agencia expidió la </w:t>
      </w:r>
      <w:r w:rsidRPr="006263D8">
        <w:rPr>
          <w:rFonts w:ascii="Verdana" w:eastAsia="Times New Roman" w:hAnsi="Verdana" w:cs="Times New Roman"/>
          <w:b/>
          <w:bCs/>
          <w:color w:val="000000"/>
          <w:lang w:eastAsia="es-CO"/>
        </w:rPr>
        <w:t>Circular Externa 003 del 12 de mayo de 2026, </w:t>
      </w:r>
      <w:r w:rsidRPr="006263D8">
        <w:rPr>
          <w:rFonts w:ascii="Verdana" w:eastAsia="Times New Roman" w:hAnsi="Verdana" w:cs="Times New Roman"/>
          <w:color w:val="000000"/>
          <w:lang w:eastAsia="es-CO"/>
        </w:rPr>
        <w:t>en la que precisa quiénes son los beneficiarios, las cinco medidas que integran el sistema y su obligatoriedad según la modalidad de selección, y el régimen de transición aplicable a los procesos en curso. Consúltala aquí: </w:t>
      </w:r>
      <w:hyperlink r:id="rId14" w:tgtFrame="_blank" w:tooltip="Dirección URL original: https://www.colombiacompra.gov.co/archivos/circular/circular-externa-003-de-2026. Haga clic o pulse si confía en este vínculo." w:history="1">
        <w:r w:rsidRPr="006263D8">
          <w:rPr>
            <w:rStyle w:val="Hipervnculo"/>
            <w:rFonts w:ascii="Verdana" w:eastAsia="Times New Roman" w:hAnsi="Verdana" w:cs="Times New Roman"/>
            <w:lang w:eastAsia="es-CO"/>
          </w:rPr>
          <w:t>https://www.colombiacompra.gov.co/archivos/circular/circular-externa-003-de-2026</w:t>
        </w:r>
      </w:hyperlink>
    </w:p>
    <w:p w14:paraId="23066522" w14:textId="77777777" w:rsidR="00BE72C0" w:rsidRPr="006263D8" w:rsidRDefault="00BE72C0" w:rsidP="00BE72C0">
      <w:pPr>
        <w:spacing w:before="120" w:after="0" w:line="240" w:lineRule="auto"/>
        <w:ind w:firstLine="708"/>
        <w:jc w:val="both"/>
        <w:rPr>
          <w:rFonts w:ascii="Verdana" w:eastAsia="Times New Roman" w:hAnsi="Verdana" w:cs="Times New Roman"/>
          <w:color w:val="000000"/>
          <w:lang w:eastAsia="es-CO"/>
        </w:rPr>
      </w:pPr>
      <w:r w:rsidRPr="006263D8">
        <w:rPr>
          <w:rFonts w:ascii="Verdana" w:eastAsia="Times New Roman" w:hAnsi="Verdana" w:cs="Times New Roman"/>
          <w:color w:val="000000"/>
          <w:lang w:eastAsia="es-CO"/>
        </w:rPr>
        <w:t>Recuerda también que la</w:t>
      </w:r>
      <w:r w:rsidRPr="006263D8">
        <w:rPr>
          <w:rFonts w:ascii="Verdana" w:eastAsia="Times New Roman" w:hAnsi="Verdana" w:cs="Times New Roman"/>
          <w:b/>
          <w:bCs/>
          <w:color w:val="000000"/>
          <w:lang w:eastAsia="es-CO"/>
        </w:rPr>
        <w:t> información sobre sanciones e inhabilidades </w:t>
      </w:r>
      <w:r w:rsidRPr="006263D8">
        <w:rPr>
          <w:rFonts w:ascii="Verdana" w:eastAsia="Times New Roman" w:hAnsi="Verdana" w:cs="Times New Roman"/>
          <w:color w:val="000000"/>
          <w:lang w:eastAsia="es-CO"/>
        </w:rPr>
        <w:t>solo cumple su función preventiva si llega oportunamente a los registros públicos. Sobre este deber, esta Agencia expidió la </w:t>
      </w:r>
      <w:r w:rsidRPr="006263D8">
        <w:rPr>
          <w:rFonts w:ascii="Verdana" w:eastAsia="Times New Roman" w:hAnsi="Verdana" w:cs="Times New Roman"/>
          <w:b/>
          <w:bCs/>
          <w:color w:val="000000"/>
          <w:lang w:eastAsia="es-CO"/>
        </w:rPr>
        <w:t>Circular Externa 002 del 5 de mayo de 2026,</w:t>
      </w:r>
      <w:r w:rsidRPr="006263D8">
        <w:rPr>
          <w:rFonts w:ascii="Verdana" w:eastAsia="Times New Roman" w:hAnsi="Verdana" w:cs="Times New Roman"/>
          <w:color w:val="000000"/>
          <w:lang w:eastAsia="es-CO"/>
        </w:rPr>
        <w:t xml:space="preserve">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w:t>
      </w:r>
      <w:r w:rsidRPr="006263D8">
        <w:rPr>
          <w:rFonts w:ascii="Verdana" w:eastAsia="Times New Roman" w:hAnsi="Verdana" w:cs="Times New Roman"/>
          <w:color w:val="000000"/>
          <w:lang w:eastAsia="es-CO"/>
        </w:rPr>
        <w:lastRenderedPageBreak/>
        <w:t>aquí: </w:t>
      </w:r>
      <w:hyperlink r:id="rId15" w:tgtFrame="_blank" w:tooltip="Dirección URL original: https://www.colombiacompra.gov.co/archivos/circular/circular-externa-002-de-2026. Haga clic o pulse si confía en este vínculo." w:history="1">
        <w:r w:rsidRPr="006263D8">
          <w:rPr>
            <w:rStyle w:val="Hipervnculo"/>
            <w:rFonts w:ascii="Verdana" w:eastAsia="Times New Roman" w:hAnsi="Verdana" w:cs="Times New Roman"/>
            <w:lang w:eastAsia="es-CO"/>
          </w:rPr>
          <w:t>https://www.colombiacompra.gov.co/archivos/circular/circular-externa-002-de-2026</w:t>
        </w:r>
      </w:hyperlink>
    </w:p>
    <w:p w14:paraId="476291A8" w14:textId="77777777" w:rsidR="00BE72C0" w:rsidRPr="006263D8" w:rsidRDefault="00BE72C0" w:rsidP="00BE72C0">
      <w:pPr>
        <w:spacing w:before="120" w:after="0" w:line="240" w:lineRule="auto"/>
        <w:ind w:firstLine="708"/>
        <w:jc w:val="both"/>
        <w:rPr>
          <w:rFonts w:ascii="Verdana" w:eastAsia="Times New Roman" w:hAnsi="Verdana" w:cs="Times New Roman"/>
          <w:color w:val="000000"/>
          <w:lang w:eastAsia="es-CO"/>
        </w:rPr>
      </w:pPr>
      <w:r w:rsidRPr="006263D8">
        <w:rPr>
          <w:rFonts w:ascii="Verdana" w:eastAsia="Times New Roman" w:hAnsi="Verdana" w:cs="Times New Roman"/>
          <w:color w:val="000000"/>
          <w:lang w:eastAsia="es-CO"/>
        </w:rPr>
        <w:t>De otra parte, si quieres seguir de cerca la actividad de la Agencia, la tercera edición de 2026 del</w:t>
      </w:r>
      <w:r w:rsidRPr="006263D8">
        <w:rPr>
          <w:rFonts w:ascii="Verdana" w:eastAsia="Times New Roman" w:hAnsi="Verdana" w:cs="Times New Roman"/>
          <w:b/>
          <w:bCs/>
          <w:color w:val="000000"/>
          <w:lang w:eastAsia="es-CO"/>
        </w:rPr>
        <w:t> Radar de la Compra Pública</w:t>
      </w:r>
      <w:r w:rsidRPr="006263D8">
        <w:rPr>
          <w:rFonts w:ascii="Verdana" w:eastAsia="Times New Roman" w:hAnsi="Verdana" w:cs="Times New Roman"/>
          <w:color w:val="000000"/>
          <w:lang w:eastAsia="es-CO"/>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6" w:history="1">
        <w:r w:rsidRPr="006263D8">
          <w:rPr>
            <w:rStyle w:val="Hipervnculo"/>
            <w:rFonts w:ascii="Verdana" w:eastAsia="Times New Roman" w:hAnsi="Verdana" w:cs="Times New Roman"/>
            <w:lang w:eastAsia="es-CO"/>
          </w:rPr>
          <w:t>https://www.colombiacompra.gov.co/archivos/boletin/boletin-edicion-n-3-de-2026-radar-de-la-compra-publica</w:t>
        </w:r>
      </w:hyperlink>
      <w:r w:rsidRPr="006263D8">
        <w:rPr>
          <w:rFonts w:ascii="Verdana" w:eastAsia="Times New Roman" w:hAnsi="Verdana" w:cs="Times New Roman"/>
          <w:color w:val="000000"/>
          <w:lang w:eastAsia="es-CO"/>
        </w:rPr>
        <w:t>"</w:t>
      </w:r>
    </w:p>
    <w:p w14:paraId="2B7ABEBD" w14:textId="77777777" w:rsidR="00BE72C0" w:rsidRPr="006263D8" w:rsidRDefault="00BE72C0" w:rsidP="00BE72C0">
      <w:pPr>
        <w:spacing w:after="0" w:line="240" w:lineRule="auto"/>
        <w:jc w:val="both"/>
        <w:rPr>
          <w:rFonts w:ascii="Verdana" w:hAnsi="Verdana"/>
        </w:rPr>
      </w:pPr>
      <w:r w:rsidRPr="006263D8">
        <w:rPr>
          <w:rFonts w:ascii="Verdana" w:hAnsi="Verdana"/>
        </w:rPr>
        <w:t xml:space="preserve">Por último, lo invitamos a seguirnos en las redes sociales en las cuales se difunde información institucional: </w:t>
      </w:r>
    </w:p>
    <w:p w14:paraId="1EF410EF" w14:textId="77777777" w:rsidR="00BE72C0" w:rsidRPr="006263D8" w:rsidRDefault="00BE72C0" w:rsidP="00BE72C0">
      <w:pPr>
        <w:spacing w:after="0" w:line="240" w:lineRule="auto"/>
        <w:jc w:val="both"/>
        <w:rPr>
          <w:rFonts w:ascii="Verdana" w:hAnsi="Verdana"/>
        </w:rPr>
      </w:pPr>
    </w:p>
    <w:p w14:paraId="143A641D" w14:textId="77777777" w:rsidR="00BE72C0" w:rsidRPr="006263D8" w:rsidRDefault="00BE72C0" w:rsidP="00BE72C0">
      <w:pPr>
        <w:spacing w:after="0" w:line="240" w:lineRule="auto"/>
        <w:jc w:val="both"/>
        <w:rPr>
          <w:rFonts w:ascii="Verdana" w:hAnsi="Verdana"/>
        </w:rPr>
      </w:pPr>
      <w:r w:rsidRPr="006263D8">
        <w:rPr>
          <w:rFonts w:ascii="Verdana" w:hAnsi="Verdana"/>
        </w:rPr>
        <w:t xml:space="preserve">Twitter: </w:t>
      </w:r>
      <w:r w:rsidRPr="006263D8">
        <w:rPr>
          <w:rFonts w:ascii="Verdana" w:hAnsi="Verdana"/>
          <w:color w:val="156082" w:themeColor="accent1"/>
          <w:u w:val="single"/>
        </w:rPr>
        <w:t>@colombiacompra</w:t>
      </w:r>
      <w:r w:rsidRPr="006263D8">
        <w:rPr>
          <w:rFonts w:ascii="Verdana" w:hAnsi="Verdana"/>
          <w:color w:val="156082" w:themeColor="accent1"/>
        </w:rPr>
        <w:t xml:space="preserve"> </w:t>
      </w:r>
    </w:p>
    <w:p w14:paraId="1F1F645C" w14:textId="77777777" w:rsidR="00BE72C0" w:rsidRPr="006263D8" w:rsidRDefault="00BE72C0" w:rsidP="00BE72C0">
      <w:pPr>
        <w:spacing w:after="0" w:line="240" w:lineRule="auto"/>
        <w:jc w:val="both"/>
        <w:rPr>
          <w:rFonts w:ascii="Verdana" w:hAnsi="Verdana"/>
        </w:rPr>
      </w:pPr>
      <w:r w:rsidRPr="006263D8">
        <w:rPr>
          <w:rFonts w:ascii="Verdana" w:hAnsi="Verdana"/>
        </w:rPr>
        <w:t xml:space="preserve">Facebook: </w:t>
      </w:r>
      <w:proofErr w:type="spellStart"/>
      <w:r w:rsidRPr="006263D8">
        <w:rPr>
          <w:rFonts w:ascii="Verdana" w:hAnsi="Verdana"/>
          <w:color w:val="156082" w:themeColor="accent1"/>
          <w:u w:val="single"/>
        </w:rPr>
        <w:t>ColombiaCompraEficiente</w:t>
      </w:r>
      <w:proofErr w:type="spellEnd"/>
    </w:p>
    <w:p w14:paraId="1259DD44" w14:textId="77777777" w:rsidR="00BE72C0" w:rsidRPr="006263D8" w:rsidRDefault="00BE72C0" w:rsidP="00BE72C0">
      <w:pPr>
        <w:spacing w:after="0" w:line="240" w:lineRule="auto"/>
        <w:jc w:val="both"/>
        <w:rPr>
          <w:rFonts w:ascii="Verdana" w:hAnsi="Verdana"/>
        </w:rPr>
      </w:pPr>
      <w:r w:rsidRPr="006263D8">
        <w:rPr>
          <w:rFonts w:ascii="Verdana" w:hAnsi="Verdana"/>
        </w:rPr>
        <w:t xml:space="preserve">LinkedIn: </w:t>
      </w:r>
      <w:r w:rsidRPr="006263D8">
        <w:rPr>
          <w:rFonts w:ascii="Verdana" w:hAnsi="Verdana"/>
          <w:color w:val="156082" w:themeColor="accent1"/>
          <w:u w:val="single"/>
        </w:rPr>
        <w:t>Agencia Nacional de Contratación Pública - Colombia Compra Eficiente</w:t>
      </w:r>
      <w:r w:rsidRPr="006263D8">
        <w:rPr>
          <w:rFonts w:ascii="Verdana" w:hAnsi="Verdana"/>
          <w:color w:val="156082" w:themeColor="accent1"/>
        </w:rPr>
        <w:t xml:space="preserve"> </w:t>
      </w:r>
      <w:r w:rsidRPr="006263D8">
        <w:rPr>
          <w:rFonts w:ascii="Verdana" w:hAnsi="Verdana"/>
        </w:rPr>
        <w:t xml:space="preserve">Instagram: </w:t>
      </w:r>
      <w:r w:rsidRPr="006263D8">
        <w:rPr>
          <w:rFonts w:ascii="Verdana" w:hAnsi="Verdana"/>
          <w:color w:val="156082" w:themeColor="accent1"/>
          <w:u w:val="single"/>
        </w:rPr>
        <w:t>@colombiacompraeficiente_cce</w:t>
      </w:r>
    </w:p>
    <w:p w14:paraId="1C8A23E4" w14:textId="77777777" w:rsidR="00BE72C0" w:rsidRPr="006263D8" w:rsidRDefault="00BE72C0" w:rsidP="00BE72C0">
      <w:pPr>
        <w:widowControl w:val="0"/>
        <w:autoSpaceDE w:val="0"/>
        <w:autoSpaceDN w:val="0"/>
        <w:spacing w:after="0" w:line="276" w:lineRule="auto"/>
        <w:jc w:val="both"/>
        <w:rPr>
          <w:rFonts w:ascii="Verdana" w:hAnsi="Verdana" w:cs="Arial"/>
        </w:rPr>
      </w:pPr>
    </w:p>
    <w:p w14:paraId="7A8F9F6A" w14:textId="77777777" w:rsidR="00BE72C0" w:rsidRPr="006263D8" w:rsidRDefault="00BE72C0" w:rsidP="00BE72C0">
      <w:pPr>
        <w:widowControl w:val="0"/>
        <w:autoSpaceDE w:val="0"/>
        <w:autoSpaceDN w:val="0"/>
        <w:spacing w:after="0" w:line="276" w:lineRule="auto"/>
        <w:jc w:val="both"/>
        <w:rPr>
          <w:rFonts w:ascii="Verdana" w:hAnsi="Verdana" w:cs="Arial"/>
          <w:lang w:val="es-ES_tradnl"/>
        </w:rPr>
      </w:pPr>
      <w:r w:rsidRPr="006263D8">
        <w:rPr>
          <w:rFonts w:ascii="Verdana" w:hAnsi="Verdana" w:cs="Arial"/>
        </w:rPr>
        <w:t xml:space="preserve">Este concepto tiene el alcance previsto en el artículo 28 del Código de Procedimiento Administrativo y de lo Contencioso Administrativo </w:t>
      </w:r>
      <w:r w:rsidRPr="006263D8">
        <w:rPr>
          <w:rFonts w:ascii="Verdana" w:hAnsi="Verdana" w:cs="Arial"/>
          <w:lang w:val="es-ES_tradnl"/>
        </w:rPr>
        <w:t>y las expresiones aquí utilizadas con mayúscula inicial deben ser entendidas con el significado que les otorga el artículo 2.2.1.1.1.3.1. del Decreto 1082 de 2015.</w:t>
      </w:r>
    </w:p>
    <w:p w14:paraId="72E3B18C" w14:textId="77777777" w:rsidR="00BE72C0" w:rsidRPr="006263D8" w:rsidRDefault="00BE72C0" w:rsidP="00BE72C0">
      <w:pPr>
        <w:widowControl w:val="0"/>
        <w:autoSpaceDE w:val="0"/>
        <w:autoSpaceDN w:val="0"/>
        <w:spacing w:after="0" w:line="276" w:lineRule="auto"/>
        <w:jc w:val="both"/>
        <w:rPr>
          <w:rFonts w:ascii="Verdana" w:hAnsi="Verdana" w:cs="Arial"/>
        </w:rPr>
      </w:pPr>
    </w:p>
    <w:p w14:paraId="241F346F" w14:textId="77777777" w:rsidR="00BE72C0" w:rsidRPr="006263D8" w:rsidRDefault="00BE72C0" w:rsidP="00BE72C0">
      <w:pPr>
        <w:spacing w:after="0" w:line="240" w:lineRule="auto"/>
        <w:rPr>
          <w:rFonts w:ascii="Verdana" w:hAnsi="Verdana" w:cs="Arial"/>
          <w:lang w:eastAsia="es-CO"/>
        </w:rPr>
      </w:pPr>
      <w:r w:rsidRPr="006263D8">
        <w:rPr>
          <w:rFonts w:ascii="Verdana" w:eastAsia="Times New Roman" w:hAnsi="Verdana" w:cs="Arial"/>
          <w:lang w:eastAsia="es-CO"/>
        </w:rPr>
        <w:t>Atentamente,</w:t>
      </w:r>
      <w:r w:rsidRPr="006263D8">
        <w:rPr>
          <w:rFonts w:ascii="Verdana" w:hAnsi="Verdana" w:cs="Arial"/>
          <w:lang w:eastAsia="es-CO"/>
        </w:rPr>
        <w:t xml:space="preserve"> </w:t>
      </w:r>
    </w:p>
    <w:p w14:paraId="5C2B4171" w14:textId="25CEB37C" w:rsidR="00BE72C0" w:rsidRPr="006263D8" w:rsidRDefault="00BE72C0" w:rsidP="00BE72C0">
      <w:pPr>
        <w:spacing w:line="276" w:lineRule="auto"/>
        <w:jc w:val="center"/>
        <w:rPr>
          <w:rFonts w:ascii="Verdana" w:hAnsi="Verdana" w:cs="Arial"/>
          <w:lang w:val="es-ES_tradnl" w:eastAsia="es-CO"/>
        </w:rPr>
      </w:pPr>
      <w:r w:rsidRPr="006263D8">
        <w:rPr>
          <w:rFonts w:ascii="Verdana" w:hAnsi="Verdana" w:cs="Arial"/>
          <w:lang w:eastAsia="es-CO"/>
        </w:rPr>
        <w:br/>
      </w:r>
      <w:r w:rsidR="00156658">
        <w:rPr>
          <w:noProof/>
        </w:rPr>
        <w:drawing>
          <wp:inline distT="0" distB="0" distL="0" distR="0" wp14:anchorId="13B82CB4" wp14:editId="195D27DB">
            <wp:extent cx="3774440" cy="1414145"/>
            <wp:effectExtent l="0" t="0" r="0" b="0"/>
            <wp:docPr id="87855501"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o&#10;&#10;Descripción generada automáticament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74440" cy="1414145"/>
                    </a:xfrm>
                    <a:prstGeom prst="rect">
                      <a:avLst/>
                    </a:prstGeom>
                    <a:noFill/>
                    <a:ln>
                      <a:noFill/>
                    </a:ln>
                  </pic:spPr>
                </pic:pic>
              </a:graphicData>
            </a:graphic>
          </wp:inline>
        </w:drawing>
      </w:r>
    </w:p>
    <w:tbl>
      <w:tblPr>
        <w:tblStyle w:val="Tablaconcuadrcula11"/>
        <w:tblpPr w:leftFromText="141" w:rightFromText="141" w:vertAnchor="text" w:horzAnchor="margin" w:tblpY="-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
        <w:gridCol w:w="4344"/>
      </w:tblGrid>
      <w:tr w:rsidR="00BE72C0" w:rsidRPr="006263D8" w14:paraId="4015E0B4" w14:textId="77777777" w:rsidTr="007D2F57">
        <w:trPr>
          <w:trHeight w:val="286"/>
        </w:trPr>
        <w:tc>
          <w:tcPr>
            <w:tcW w:w="901" w:type="dxa"/>
            <w:vAlign w:val="center"/>
            <w:hideMark/>
          </w:tcPr>
          <w:p w14:paraId="027A71F5" w14:textId="77777777" w:rsidR="00BE72C0" w:rsidRPr="006263D8" w:rsidRDefault="00BE72C0" w:rsidP="007D2F57">
            <w:pPr>
              <w:rPr>
                <w:rFonts w:ascii="Verdana" w:hAnsi="Verdana" w:cs="Arial"/>
                <w:sz w:val="14"/>
                <w:szCs w:val="14"/>
                <w:lang w:eastAsia="es-ES"/>
              </w:rPr>
            </w:pPr>
            <w:r w:rsidRPr="006263D8">
              <w:rPr>
                <w:rFonts w:ascii="Verdana" w:hAnsi="Verdana" w:cs="Arial"/>
                <w:sz w:val="14"/>
                <w:szCs w:val="14"/>
                <w:lang w:eastAsia="es-ES"/>
              </w:rPr>
              <w:t>Elaboró:</w:t>
            </w:r>
          </w:p>
        </w:tc>
        <w:tc>
          <w:tcPr>
            <w:tcW w:w="4344" w:type="dxa"/>
            <w:tcBorders>
              <w:top w:val="nil"/>
              <w:left w:val="nil"/>
              <w:bottom w:val="dotted" w:sz="4" w:space="0" w:color="7F7F7F"/>
              <w:right w:val="nil"/>
            </w:tcBorders>
            <w:vAlign w:val="center"/>
            <w:hideMark/>
          </w:tcPr>
          <w:p w14:paraId="2E7278AE" w14:textId="77777777" w:rsidR="00BE72C0" w:rsidRPr="006263D8" w:rsidRDefault="00BE72C0" w:rsidP="007D2F57">
            <w:pPr>
              <w:rPr>
                <w:rFonts w:ascii="Verdana" w:hAnsi="Verdana" w:cs="Arial"/>
                <w:sz w:val="14"/>
                <w:szCs w:val="14"/>
                <w:lang w:eastAsia="es-ES"/>
              </w:rPr>
            </w:pPr>
            <w:r w:rsidRPr="006263D8">
              <w:rPr>
                <w:rFonts w:ascii="Verdana" w:hAnsi="Verdana" w:cs="Arial"/>
                <w:sz w:val="14"/>
                <w:szCs w:val="14"/>
                <w:lang w:eastAsia="es-ES"/>
              </w:rPr>
              <w:t>Nasly Yeana Mosquera Rivas</w:t>
            </w:r>
          </w:p>
          <w:p w14:paraId="788C7949" w14:textId="77777777" w:rsidR="00BE72C0" w:rsidRPr="006263D8" w:rsidRDefault="00BE72C0" w:rsidP="007D2F57">
            <w:pPr>
              <w:rPr>
                <w:rFonts w:ascii="Verdana" w:hAnsi="Verdana" w:cs="Arial"/>
                <w:sz w:val="14"/>
                <w:szCs w:val="14"/>
                <w:lang w:eastAsia="es-ES"/>
              </w:rPr>
            </w:pPr>
            <w:r w:rsidRPr="006263D8">
              <w:rPr>
                <w:rFonts w:ascii="Verdana" w:hAnsi="Verdana" w:cs="Arial"/>
                <w:sz w:val="14"/>
                <w:szCs w:val="14"/>
                <w:lang w:eastAsia="es-ES"/>
              </w:rPr>
              <w:t>Analista T2–06 de la Subdirección de Gestión Contractual</w:t>
            </w:r>
          </w:p>
        </w:tc>
      </w:tr>
      <w:tr w:rsidR="00BE72C0" w:rsidRPr="006263D8" w14:paraId="7129EC15" w14:textId="77777777" w:rsidTr="007D2F57">
        <w:trPr>
          <w:trHeight w:val="299"/>
        </w:trPr>
        <w:tc>
          <w:tcPr>
            <w:tcW w:w="901" w:type="dxa"/>
            <w:vAlign w:val="center"/>
          </w:tcPr>
          <w:p w14:paraId="225A248C" w14:textId="77777777" w:rsidR="00BE72C0" w:rsidRPr="006263D8" w:rsidRDefault="00BE72C0" w:rsidP="007D2F57">
            <w:pPr>
              <w:rPr>
                <w:rFonts w:ascii="Verdana" w:hAnsi="Verdana" w:cs="Arial"/>
                <w:sz w:val="14"/>
                <w:szCs w:val="14"/>
                <w:lang w:eastAsia="es-ES"/>
              </w:rPr>
            </w:pPr>
            <w:r w:rsidRPr="006263D8">
              <w:rPr>
                <w:rFonts w:ascii="Verdana" w:hAnsi="Verdana" w:cs="Arial"/>
                <w:sz w:val="14"/>
                <w:szCs w:val="14"/>
                <w:lang w:eastAsia="es-ES"/>
              </w:rPr>
              <w:t>Revisó:</w:t>
            </w:r>
          </w:p>
        </w:tc>
        <w:tc>
          <w:tcPr>
            <w:tcW w:w="4344" w:type="dxa"/>
            <w:tcBorders>
              <w:top w:val="dotted" w:sz="4" w:space="0" w:color="7F7F7F"/>
              <w:left w:val="nil"/>
              <w:bottom w:val="dotted" w:sz="4" w:space="0" w:color="7F7F7F"/>
              <w:right w:val="nil"/>
            </w:tcBorders>
            <w:vAlign w:val="center"/>
          </w:tcPr>
          <w:p w14:paraId="7738C973" w14:textId="77777777" w:rsidR="00BE72C0" w:rsidRPr="006263D8" w:rsidRDefault="00BE72C0" w:rsidP="007D2F57">
            <w:pPr>
              <w:rPr>
                <w:rFonts w:ascii="Verdana" w:hAnsi="Verdana" w:cs="Arial"/>
                <w:sz w:val="14"/>
                <w:szCs w:val="14"/>
                <w:lang w:eastAsia="es-ES"/>
              </w:rPr>
            </w:pPr>
            <w:r w:rsidRPr="006263D8">
              <w:rPr>
                <w:rFonts w:ascii="Verdana" w:hAnsi="Verdana" w:cs="Arial"/>
                <w:sz w:val="14"/>
                <w:szCs w:val="14"/>
                <w:lang w:eastAsia="es-ES"/>
              </w:rPr>
              <w:t>Diana Lucía Saavedra Castañeda</w:t>
            </w:r>
          </w:p>
          <w:p w14:paraId="589542A0" w14:textId="77777777" w:rsidR="00BE72C0" w:rsidRPr="006263D8" w:rsidRDefault="00BE72C0" w:rsidP="007D2F57">
            <w:pPr>
              <w:rPr>
                <w:rFonts w:ascii="Verdana" w:hAnsi="Verdana" w:cs="Arial"/>
                <w:sz w:val="14"/>
                <w:szCs w:val="14"/>
                <w:lang w:eastAsia="es-ES"/>
              </w:rPr>
            </w:pPr>
            <w:r w:rsidRPr="006263D8">
              <w:rPr>
                <w:rFonts w:ascii="Verdana" w:hAnsi="Verdana" w:cs="Arial"/>
                <w:sz w:val="14"/>
                <w:szCs w:val="14"/>
                <w:lang w:eastAsia="es-ES"/>
              </w:rPr>
              <w:t>Contratista de la Subdirección de Gestión Contractual</w:t>
            </w:r>
          </w:p>
        </w:tc>
      </w:tr>
      <w:tr w:rsidR="00BE72C0" w:rsidRPr="006263D8" w14:paraId="2048E88F" w14:textId="77777777" w:rsidTr="007D2F57">
        <w:trPr>
          <w:trHeight w:val="272"/>
        </w:trPr>
        <w:tc>
          <w:tcPr>
            <w:tcW w:w="901" w:type="dxa"/>
            <w:vAlign w:val="center"/>
            <w:hideMark/>
          </w:tcPr>
          <w:p w14:paraId="7052DA69" w14:textId="77777777" w:rsidR="00BE72C0" w:rsidRPr="006263D8" w:rsidRDefault="00BE72C0" w:rsidP="007D2F57">
            <w:pPr>
              <w:rPr>
                <w:rFonts w:ascii="Verdana" w:hAnsi="Verdana" w:cs="Arial"/>
                <w:sz w:val="14"/>
                <w:szCs w:val="14"/>
                <w:lang w:eastAsia="es-ES"/>
              </w:rPr>
            </w:pPr>
            <w:r w:rsidRPr="006263D8">
              <w:rPr>
                <w:rFonts w:ascii="Verdana" w:hAnsi="Verdana" w:cs="Arial"/>
                <w:sz w:val="14"/>
                <w:szCs w:val="14"/>
                <w:lang w:eastAsia="es-ES"/>
              </w:rPr>
              <w:t>Aprobó:</w:t>
            </w:r>
          </w:p>
        </w:tc>
        <w:tc>
          <w:tcPr>
            <w:tcW w:w="4344" w:type="dxa"/>
            <w:tcBorders>
              <w:top w:val="dotted" w:sz="4" w:space="0" w:color="7F7F7F"/>
              <w:left w:val="nil"/>
              <w:bottom w:val="dotted" w:sz="4" w:space="0" w:color="7F7F7F"/>
              <w:right w:val="nil"/>
            </w:tcBorders>
            <w:vAlign w:val="center"/>
            <w:hideMark/>
          </w:tcPr>
          <w:p w14:paraId="3591E6DB" w14:textId="77777777" w:rsidR="00BE72C0" w:rsidRPr="006263D8" w:rsidRDefault="00BE72C0" w:rsidP="007D2F57">
            <w:pPr>
              <w:rPr>
                <w:rFonts w:ascii="Verdana" w:hAnsi="Verdana" w:cs="Arial"/>
                <w:sz w:val="14"/>
                <w:szCs w:val="14"/>
                <w:lang w:eastAsia="es-ES"/>
              </w:rPr>
            </w:pPr>
            <w:r w:rsidRPr="006263D8">
              <w:rPr>
                <w:rFonts w:ascii="Verdana" w:hAnsi="Verdana" w:cs="Arial"/>
                <w:sz w:val="14"/>
                <w:szCs w:val="14"/>
                <w:lang w:eastAsia="es-ES"/>
              </w:rPr>
              <w:t>Carolina Quintero Gacharná</w:t>
            </w:r>
          </w:p>
          <w:p w14:paraId="39522B03" w14:textId="77777777" w:rsidR="00BE72C0" w:rsidRPr="006263D8" w:rsidRDefault="00BE72C0" w:rsidP="007D2F57">
            <w:pPr>
              <w:rPr>
                <w:rFonts w:ascii="Verdana" w:hAnsi="Verdana" w:cs="Arial"/>
                <w:sz w:val="14"/>
                <w:szCs w:val="14"/>
                <w:lang w:eastAsia="es-ES"/>
              </w:rPr>
            </w:pPr>
            <w:r w:rsidRPr="006263D8">
              <w:rPr>
                <w:rFonts w:ascii="Verdana" w:hAnsi="Verdana" w:cs="Arial"/>
                <w:sz w:val="14"/>
                <w:szCs w:val="14"/>
                <w:lang w:eastAsia="es-ES"/>
              </w:rPr>
              <w:t>Subdirectora de Gestión Contractual ANCP – CCE</w:t>
            </w:r>
          </w:p>
        </w:tc>
      </w:tr>
    </w:tbl>
    <w:p w14:paraId="280E80F4" w14:textId="77777777" w:rsidR="00BE72C0" w:rsidRPr="006263D8" w:rsidRDefault="00BE72C0" w:rsidP="00BE72C0">
      <w:pPr>
        <w:spacing w:after="0" w:line="240" w:lineRule="auto"/>
        <w:rPr>
          <w:rFonts w:ascii="Verdana" w:eastAsia="Times New Roman" w:hAnsi="Verdana" w:cs="Arial"/>
          <w:sz w:val="24"/>
          <w:szCs w:val="24"/>
          <w:lang w:eastAsia="es-ES"/>
        </w:rPr>
      </w:pPr>
    </w:p>
    <w:p w14:paraId="4F75E3A9" w14:textId="77777777" w:rsidR="00BE72C0" w:rsidRPr="006263D8" w:rsidRDefault="00BE72C0" w:rsidP="00BE72C0">
      <w:pPr>
        <w:rPr>
          <w:rFonts w:ascii="Verdana" w:hAnsi="Verdana"/>
        </w:rPr>
      </w:pPr>
    </w:p>
    <w:bookmarkEnd w:id="0"/>
    <w:p w14:paraId="78ABAE1F" w14:textId="77777777" w:rsidR="00BE72C0" w:rsidRPr="006263D8" w:rsidRDefault="00BE72C0" w:rsidP="00BE72C0">
      <w:pPr>
        <w:rPr>
          <w:rFonts w:ascii="Verdana" w:hAnsi="Verdana"/>
        </w:rPr>
      </w:pPr>
    </w:p>
    <w:sectPr w:rsidR="00BE72C0" w:rsidRPr="006263D8" w:rsidSect="00BE72C0">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1B431" w14:textId="77777777" w:rsidR="00DA6FC1" w:rsidRDefault="00DA6FC1" w:rsidP="00BE72C0">
      <w:pPr>
        <w:spacing w:after="0" w:line="240" w:lineRule="auto"/>
      </w:pPr>
      <w:r>
        <w:separator/>
      </w:r>
    </w:p>
  </w:endnote>
  <w:endnote w:type="continuationSeparator" w:id="0">
    <w:p w14:paraId="035EDC5A" w14:textId="77777777" w:rsidR="00DA6FC1" w:rsidRDefault="00DA6FC1" w:rsidP="00BE7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7615C" w14:textId="77777777" w:rsidR="00BE72C0" w:rsidRDefault="00BE72C0">
    <w:pPr>
      <w:pStyle w:val="Piedepgina"/>
    </w:pPr>
  </w:p>
  <w:p w14:paraId="658EC476" w14:textId="77777777" w:rsidR="00BE72C0" w:rsidRPr="00174B77" w:rsidRDefault="00BE72C0"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Pr="07C73DD1">
      <w:rPr>
        <w:rFonts w:ascii="Verdana" w:eastAsia="Verdana" w:hAnsi="Verdana" w:cs="Verdana"/>
        <w:b/>
        <w:bCs/>
        <w:sz w:val="18"/>
        <w:szCs w:val="18"/>
      </w:rPr>
      <w:fldChar w:fldCharType="begin"/>
    </w:r>
    <w:r w:rsidRPr="07C73DD1">
      <w:rPr>
        <w:rFonts w:ascii="Verdana" w:hAnsi="Verdana"/>
        <w:b/>
        <w:bCs/>
        <w:sz w:val="16"/>
        <w:szCs w:val="16"/>
      </w:rPr>
      <w:instrText>PAGE    \* MERGEFORMAT</w:instrText>
    </w:r>
    <w:r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3113CBFE" w14:textId="77777777" w:rsidR="00BE72C0" w:rsidRDefault="00BE72C0"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5F85A30B" w14:textId="77777777" w:rsidR="00BE72C0" w:rsidRPr="00E41027" w:rsidRDefault="00BE72C0"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24CCB9AF" w14:textId="77777777" w:rsidR="00BE72C0" w:rsidRDefault="00BE72C0"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91756" w14:textId="77777777" w:rsidR="00DA6FC1" w:rsidRDefault="00DA6FC1" w:rsidP="00BE72C0">
      <w:pPr>
        <w:spacing w:after="0" w:line="240" w:lineRule="auto"/>
      </w:pPr>
      <w:r>
        <w:separator/>
      </w:r>
    </w:p>
  </w:footnote>
  <w:footnote w:type="continuationSeparator" w:id="0">
    <w:p w14:paraId="5AD5F184" w14:textId="77777777" w:rsidR="00DA6FC1" w:rsidRDefault="00DA6FC1" w:rsidP="00BE72C0">
      <w:pPr>
        <w:spacing w:after="0" w:line="240" w:lineRule="auto"/>
      </w:pPr>
      <w:r>
        <w:continuationSeparator/>
      </w:r>
    </w:p>
  </w:footnote>
  <w:footnote w:id="1">
    <w:p w14:paraId="3D35B15C" w14:textId="77777777" w:rsidR="00BE72C0" w:rsidRPr="000949BD" w:rsidRDefault="00BE72C0" w:rsidP="00BE72C0">
      <w:pPr>
        <w:pStyle w:val="Textonotapie"/>
        <w:ind w:firstLine="709"/>
        <w:jc w:val="both"/>
        <w:rPr>
          <w:rFonts w:ascii="Verdana" w:hAnsi="Verdana" w:cs="Arial"/>
          <w:sz w:val="16"/>
          <w:szCs w:val="16"/>
        </w:rPr>
      </w:pPr>
      <w:r w:rsidRPr="000949BD">
        <w:rPr>
          <w:rStyle w:val="Refdenotaalpie"/>
          <w:rFonts w:ascii="Verdana" w:hAnsi="Verdana" w:cs="Arial"/>
          <w:sz w:val="16"/>
          <w:szCs w:val="16"/>
        </w:rPr>
        <w:footnoteRef/>
      </w:r>
      <w:r w:rsidRPr="000949BD">
        <w:rPr>
          <w:rFonts w:ascii="Verdana" w:hAnsi="Verdana" w:cs="Arial"/>
          <w:sz w:val="16"/>
          <w:szCs w:val="16"/>
        </w:rPr>
        <w:t xml:space="preserve"> MATALLANA CAMACHO, Ernesto. Manual de contratación de la administración pública. Segunda Edición. Bogotá: Universidad Externado de Colombia, 2009. p. 705.</w:t>
      </w:r>
    </w:p>
  </w:footnote>
  <w:footnote w:id="2">
    <w:p w14:paraId="4FE1EEB0" w14:textId="77777777" w:rsidR="00BE72C0" w:rsidRPr="000949BD" w:rsidRDefault="00BE72C0" w:rsidP="00BE72C0">
      <w:pPr>
        <w:spacing w:after="0" w:line="240" w:lineRule="auto"/>
        <w:ind w:firstLine="709"/>
        <w:jc w:val="both"/>
        <w:rPr>
          <w:rFonts w:ascii="Verdana" w:hAnsi="Verdana" w:cs="Arial"/>
          <w:sz w:val="16"/>
          <w:szCs w:val="16"/>
        </w:rPr>
      </w:pPr>
    </w:p>
    <w:p w14:paraId="298EAEBB" w14:textId="77777777" w:rsidR="00BE72C0" w:rsidRPr="000949BD" w:rsidRDefault="00BE72C0" w:rsidP="00BE72C0">
      <w:pPr>
        <w:spacing w:after="0" w:line="240" w:lineRule="auto"/>
        <w:ind w:firstLine="709"/>
        <w:jc w:val="both"/>
        <w:rPr>
          <w:rFonts w:ascii="Verdana" w:hAnsi="Verdana" w:cs="Arial"/>
          <w:sz w:val="16"/>
          <w:szCs w:val="16"/>
        </w:rPr>
      </w:pPr>
      <w:r w:rsidRPr="000949BD">
        <w:rPr>
          <w:rStyle w:val="Refdenotaalpie"/>
          <w:rFonts w:ascii="Verdana" w:hAnsi="Verdana" w:cs="Arial"/>
          <w:sz w:val="16"/>
          <w:szCs w:val="16"/>
        </w:rPr>
        <w:footnoteRef/>
      </w:r>
      <w:r w:rsidRPr="000949BD">
        <w:rPr>
          <w:rFonts w:ascii="Verdana" w:hAnsi="Verdana" w:cs="Arial"/>
          <w:sz w:val="16"/>
          <w:szCs w:val="16"/>
        </w:rPr>
        <w:t xml:space="preserve"> </w:t>
      </w:r>
      <w:r w:rsidRPr="000949BD">
        <w:rPr>
          <w:rFonts w:ascii="Verdana" w:eastAsia="Calibri" w:hAnsi="Verdana" w:cs="Arial"/>
          <w:sz w:val="16"/>
          <w:szCs w:val="16"/>
          <w:lang w:val="es-ES_tradnl"/>
        </w:rPr>
        <w:t>De conformidad con la exposición de motivos: “Si bien […] la utilización de procedimientos reglados de selección objetiva se constituye en la regla general, entre los casos de excepción se destaca el relativo a la urgencia manifiesta que el artículo 36 regula de una manera más precisa en orden a facilitar su legítima utilización. Con tal fin se elimina el requisito de la calificación del Consejo de Ministros y se incluye un detalle enunciativo de los posibles factores configurativos de dicha situación de excepción, los cuales se vinculan esencialmente con situaciones evidentes de calamidad pública o que afecten de manera inminente la prestación del servicio, circunstancias que, por su propia naturaleza, determinan la imposibilidad de acudir a procedimientos de escogencia reglada. Se pretende de esa forma, facilitar al máximo la actuación de la administración frente a eventos excepcionales que reclaman su pronta intervención” (</w:t>
      </w:r>
      <w:r w:rsidRPr="000949BD">
        <w:rPr>
          <w:rFonts w:ascii="Verdana" w:hAnsi="Verdana" w:cs="Arial"/>
          <w:sz w:val="16"/>
          <w:szCs w:val="16"/>
        </w:rPr>
        <w:t>CONGRESO DE LA REPÚBLICA. Exposición de motivos de la Ley 80 de 1993. Gaceta del Congreso No. 75 del 23 de septiembre de 1992).</w:t>
      </w:r>
    </w:p>
  </w:footnote>
  <w:footnote w:id="3">
    <w:p w14:paraId="61D1F8C6" w14:textId="77777777" w:rsidR="00BE72C0" w:rsidRPr="000949BD" w:rsidRDefault="00BE72C0" w:rsidP="00BE72C0">
      <w:pPr>
        <w:pStyle w:val="Textonotapie"/>
        <w:ind w:firstLine="708"/>
        <w:jc w:val="both"/>
        <w:rPr>
          <w:rFonts w:ascii="Verdana" w:hAnsi="Verdana" w:cs="Arial"/>
          <w:sz w:val="16"/>
          <w:szCs w:val="16"/>
        </w:rPr>
      </w:pPr>
    </w:p>
    <w:p w14:paraId="4F41B0A6" w14:textId="77777777" w:rsidR="00BE72C0" w:rsidRPr="000949BD" w:rsidRDefault="00BE72C0" w:rsidP="00BE72C0">
      <w:pPr>
        <w:pStyle w:val="Textonotapie"/>
        <w:ind w:firstLine="708"/>
        <w:jc w:val="both"/>
        <w:rPr>
          <w:rFonts w:ascii="Verdana" w:hAnsi="Verdana" w:cs="Arial"/>
          <w:sz w:val="16"/>
          <w:szCs w:val="16"/>
        </w:rPr>
      </w:pPr>
      <w:r w:rsidRPr="000949BD">
        <w:rPr>
          <w:rStyle w:val="Refdenotaalpie"/>
          <w:rFonts w:ascii="Verdana" w:hAnsi="Verdana" w:cs="Arial"/>
          <w:sz w:val="16"/>
          <w:szCs w:val="16"/>
        </w:rPr>
        <w:footnoteRef/>
      </w:r>
      <w:r w:rsidRPr="000949BD">
        <w:rPr>
          <w:rFonts w:ascii="Verdana" w:hAnsi="Verdana" w:cs="Arial"/>
          <w:sz w:val="16"/>
          <w:szCs w:val="16"/>
        </w:rPr>
        <w:t xml:space="preserve"> DROMI, José Roberto. La licitación pública. Buenos Aires: Ciudad Argentina, 1980. p. 166-168.</w:t>
      </w:r>
    </w:p>
  </w:footnote>
  <w:footnote w:id="4">
    <w:p w14:paraId="2622BFA6" w14:textId="77777777" w:rsidR="00BE72C0" w:rsidRPr="000949BD" w:rsidRDefault="00BE72C0" w:rsidP="00BE72C0">
      <w:pPr>
        <w:pStyle w:val="Textonotapie"/>
        <w:ind w:firstLine="708"/>
        <w:jc w:val="both"/>
        <w:rPr>
          <w:rFonts w:ascii="Verdana" w:hAnsi="Verdana" w:cs="Arial"/>
          <w:sz w:val="16"/>
          <w:szCs w:val="16"/>
        </w:rPr>
      </w:pPr>
    </w:p>
    <w:p w14:paraId="1E1F1A00" w14:textId="77777777" w:rsidR="00BE72C0" w:rsidRPr="000949BD" w:rsidRDefault="00BE72C0" w:rsidP="00BE72C0">
      <w:pPr>
        <w:pStyle w:val="Textonotapie"/>
        <w:ind w:firstLine="708"/>
        <w:jc w:val="both"/>
        <w:rPr>
          <w:rFonts w:ascii="Verdana" w:hAnsi="Verdana" w:cs="Arial"/>
          <w:sz w:val="16"/>
          <w:szCs w:val="16"/>
        </w:rPr>
      </w:pPr>
      <w:r w:rsidRPr="000949BD">
        <w:rPr>
          <w:rStyle w:val="Refdenotaalpie"/>
          <w:rFonts w:ascii="Verdana" w:hAnsi="Verdana" w:cs="Arial"/>
          <w:sz w:val="16"/>
          <w:szCs w:val="16"/>
        </w:rPr>
        <w:footnoteRef/>
      </w:r>
      <w:r w:rsidRPr="000949BD">
        <w:rPr>
          <w:rFonts w:ascii="Verdana" w:hAnsi="Verdana" w:cs="Arial"/>
          <w:sz w:val="16"/>
          <w:szCs w:val="16"/>
        </w:rPr>
        <w:t xml:space="preserve"> CONSEJO DE ESTADO. Sala de Consulta y de Servicio Civil. Concepto del 28 de enero de 1998. Rad. 1.073. C.P. Javier Henao Hidrón.</w:t>
      </w:r>
    </w:p>
  </w:footnote>
  <w:footnote w:id="5">
    <w:p w14:paraId="2A352B8C" w14:textId="77777777" w:rsidR="00BE72C0" w:rsidRPr="000949BD" w:rsidRDefault="00BE72C0" w:rsidP="00BE72C0">
      <w:pPr>
        <w:spacing w:after="0" w:line="240" w:lineRule="auto"/>
        <w:ind w:firstLine="708"/>
        <w:jc w:val="both"/>
        <w:rPr>
          <w:rFonts w:ascii="Verdana" w:eastAsia="Calibri" w:hAnsi="Verdana" w:cs="Arial"/>
          <w:sz w:val="16"/>
          <w:szCs w:val="16"/>
          <w:lang w:val="es-ES_tradnl"/>
        </w:rPr>
      </w:pPr>
      <w:r w:rsidRPr="000949BD">
        <w:rPr>
          <w:rStyle w:val="Refdenotaalpie"/>
          <w:rFonts w:ascii="Verdana" w:hAnsi="Verdana" w:cs="Arial"/>
          <w:sz w:val="16"/>
          <w:szCs w:val="16"/>
        </w:rPr>
        <w:footnoteRef/>
      </w:r>
      <w:r w:rsidRPr="000949BD">
        <w:rPr>
          <w:rFonts w:ascii="Verdana" w:hAnsi="Verdana" w:cs="Arial"/>
          <w:sz w:val="16"/>
          <w:szCs w:val="16"/>
        </w:rPr>
        <w:t xml:space="preserve"> </w:t>
      </w:r>
      <w:r w:rsidRPr="000949BD">
        <w:rPr>
          <w:rFonts w:ascii="Verdana" w:hAnsi="Verdana" w:cs="Arial"/>
          <w:sz w:val="16"/>
          <w:szCs w:val="16"/>
          <w:lang w:val="es-ES_tradnl"/>
        </w:rPr>
        <w:t>La jurisprudencia delimita su sentido y alcance de la siguiente manera –</w:t>
      </w:r>
      <w:r w:rsidRPr="000949BD">
        <w:rPr>
          <w:rFonts w:ascii="Verdana" w:hAnsi="Verdana" w:cs="Arial"/>
          <w:sz w:val="16"/>
          <w:szCs w:val="16"/>
          <w:lang w:val="es-ES"/>
        </w:rPr>
        <w:t>CORTE SUPREMA DE JUSTICIA. Sala de Casación Civil. Sentencia 20 de noviembre de 1989. MP. Alberto Ospina Botero. Publicada en la Gaceta Judicial. Tomo CXCVI. N° 2435. p. 93</w:t>
      </w:r>
      <w:r w:rsidRPr="000949BD">
        <w:rPr>
          <w:rFonts w:ascii="Verdana" w:hAnsi="Verdana" w:cs="Arial"/>
          <w:sz w:val="16"/>
          <w:szCs w:val="16"/>
          <w:lang w:val="es-ES_tradnl"/>
        </w:rPr>
        <w:t>–:</w:t>
      </w:r>
    </w:p>
    <w:p w14:paraId="54D46084" w14:textId="77777777" w:rsidR="00BE72C0" w:rsidRPr="000949BD" w:rsidRDefault="00BE72C0" w:rsidP="00BE72C0">
      <w:pPr>
        <w:spacing w:after="0" w:line="240" w:lineRule="auto"/>
        <w:ind w:right="49" w:firstLine="708"/>
        <w:jc w:val="both"/>
        <w:rPr>
          <w:rFonts w:ascii="Verdana" w:eastAsia="Calibri" w:hAnsi="Verdana" w:cs="Arial"/>
          <w:sz w:val="16"/>
          <w:szCs w:val="16"/>
          <w:lang w:val="es-ES_tradnl"/>
        </w:rPr>
      </w:pPr>
      <w:r w:rsidRPr="000949BD">
        <w:rPr>
          <w:rFonts w:ascii="Verdana" w:eastAsia="Calibri" w:hAnsi="Verdana" w:cs="Arial"/>
          <w:sz w:val="16"/>
          <w:szCs w:val="16"/>
          <w:lang w:val="es-ES_tradnl"/>
        </w:rPr>
        <w:t>“6. […] la fuerza mayor o caso fortuito se configura por la concurrencia de dos factores:</w:t>
      </w:r>
    </w:p>
    <w:p w14:paraId="72878CCE" w14:textId="77777777" w:rsidR="00BE72C0" w:rsidRPr="000949BD" w:rsidRDefault="00BE72C0" w:rsidP="00BE72C0">
      <w:pPr>
        <w:spacing w:after="0" w:line="240" w:lineRule="auto"/>
        <w:ind w:right="49" w:firstLine="708"/>
        <w:jc w:val="both"/>
        <w:rPr>
          <w:rFonts w:ascii="Verdana" w:eastAsia="Calibri" w:hAnsi="Verdana" w:cs="Arial"/>
          <w:sz w:val="16"/>
          <w:szCs w:val="16"/>
          <w:lang w:val="es-ES_tradnl"/>
        </w:rPr>
      </w:pPr>
      <w:r w:rsidRPr="000949BD">
        <w:rPr>
          <w:rFonts w:ascii="Verdana" w:eastAsia="Calibri" w:hAnsi="Verdana" w:cs="Arial"/>
          <w:sz w:val="16"/>
          <w:szCs w:val="16"/>
          <w:lang w:val="es-ES_tradnl"/>
        </w:rPr>
        <w:t>a) Que el hecho sea imprevisible, esto es, que dentro de las circunstancias normales de la vida, no sea posible contemplar por anticipado su ocurrencia. Por el contrario, si el hecho razonablemente hubiera podido preverse, por ser un acontecimiento normal o de ocurrencia frecuente, tal hecho no estructura el elemento imprevisible, y</w:t>
      </w:r>
    </w:p>
    <w:p w14:paraId="5531A768" w14:textId="77777777" w:rsidR="00BE72C0" w:rsidRPr="000949BD" w:rsidRDefault="00BE72C0" w:rsidP="00BE72C0">
      <w:pPr>
        <w:spacing w:after="0" w:line="240" w:lineRule="auto"/>
        <w:ind w:right="49" w:firstLine="708"/>
        <w:jc w:val="both"/>
        <w:rPr>
          <w:rFonts w:ascii="Verdana" w:eastAsia="Calibri" w:hAnsi="Verdana" w:cs="Arial"/>
          <w:sz w:val="16"/>
          <w:szCs w:val="16"/>
          <w:lang w:val="es-ES_tradnl"/>
        </w:rPr>
      </w:pPr>
      <w:r w:rsidRPr="000949BD">
        <w:rPr>
          <w:rFonts w:ascii="Verdana" w:eastAsia="Calibri" w:hAnsi="Verdana" w:cs="Arial"/>
          <w:sz w:val="16"/>
          <w:szCs w:val="16"/>
          <w:lang w:val="es-ES_tradnl"/>
        </w:rPr>
        <w:t>b) Que el hecho sea irresistible, o sea, que el agente no pueda evitar su acaecimiento ni superar sus consecuencias.</w:t>
      </w:r>
    </w:p>
    <w:p w14:paraId="6CF02243" w14:textId="77777777" w:rsidR="00BE72C0" w:rsidRPr="000949BD" w:rsidRDefault="00BE72C0" w:rsidP="00BE72C0">
      <w:pPr>
        <w:spacing w:after="0" w:line="240" w:lineRule="auto"/>
        <w:ind w:right="49" w:firstLine="708"/>
        <w:jc w:val="both"/>
        <w:rPr>
          <w:rFonts w:ascii="Verdana" w:eastAsia="Calibri" w:hAnsi="Verdana" w:cs="Arial"/>
          <w:sz w:val="16"/>
          <w:szCs w:val="16"/>
          <w:lang w:val="es-ES_tradnl"/>
        </w:rPr>
      </w:pPr>
      <w:r w:rsidRPr="000949BD">
        <w:rPr>
          <w:rFonts w:ascii="Verdana" w:eastAsia="Calibri" w:hAnsi="Verdana" w:cs="Arial"/>
          <w:sz w:val="16"/>
          <w:szCs w:val="16"/>
          <w:lang w:val="es-ES_tradnl"/>
        </w:rPr>
        <w:t>En este preciso punto es indispensable anotar la diferencia existente entre la imposibilidad para resistir o superar el hecho y la dificultad para enfrentarlo. Porque un hecho no constituye caso fortuito o fuerza mayor, por la sola circunstancia de que se haga más difícil o más onerosa de lo previsto inicialmente.</w:t>
      </w:r>
    </w:p>
    <w:p w14:paraId="535F4A3E" w14:textId="77777777" w:rsidR="00BE72C0" w:rsidRPr="000949BD" w:rsidRDefault="00BE72C0" w:rsidP="00BE72C0">
      <w:pPr>
        <w:spacing w:after="0" w:line="240" w:lineRule="auto"/>
        <w:ind w:right="49" w:firstLine="708"/>
        <w:jc w:val="both"/>
        <w:rPr>
          <w:rFonts w:ascii="Verdana" w:eastAsia="Calibri" w:hAnsi="Verdana" w:cs="Arial"/>
          <w:sz w:val="16"/>
          <w:szCs w:val="16"/>
          <w:lang w:val="es-ES_tradnl"/>
        </w:rPr>
      </w:pPr>
      <w:r w:rsidRPr="000949BD">
        <w:rPr>
          <w:rFonts w:ascii="Verdana" w:eastAsia="Calibri" w:hAnsi="Verdana" w:cs="Arial"/>
          <w:sz w:val="16"/>
          <w:szCs w:val="16"/>
          <w:lang w:val="es-ES_tradnl"/>
        </w:rPr>
        <w:t>7. Según el verdadero sentido o inteligencia […] los elementos integrantes del caso fortuito o fuerza mayor, antes reseñados, deben ser concurrentes, lo cual se traduce en que si el hecho o suceso ciertamente es imprevisible pero se le puede resistir, no se da tal fenómeno, como tampoco se configura cuando a pesar de ser irresistible pudo preverse</w:t>
      </w:r>
    </w:p>
    <w:p w14:paraId="09B00791" w14:textId="77777777" w:rsidR="00BE72C0" w:rsidRPr="000949BD" w:rsidRDefault="00BE72C0" w:rsidP="00BE72C0">
      <w:pPr>
        <w:spacing w:after="0" w:line="240" w:lineRule="auto"/>
        <w:ind w:right="49"/>
        <w:jc w:val="both"/>
        <w:rPr>
          <w:rFonts w:ascii="Verdana" w:eastAsia="Calibri" w:hAnsi="Verdana" w:cs="Arial"/>
          <w:sz w:val="16"/>
          <w:szCs w:val="16"/>
          <w:lang w:val="es-ES_tradnl"/>
        </w:rPr>
      </w:pPr>
      <w:r w:rsidRPr="000949BD">
        <w:rPr>
          <w:rFonts w:ascii="Verdana" w:eastAsia="Calibri" w:hAnsi="Verdana" w:cs="Arial"/>
          <w:sz w:val="16"/>
          <w:szCs w:val="16"/>
          <w:lang w:val="es-ES_tradnl"/>
        </w:rPr>
        <w:t>[…]</w:t>
      </w:r>
    </w:p>
    <w:p w14:paraId="411EED63" w14:textId="77777777" w:rsidR="00BE72C0" w:rsidRPr="000949BD" w:rsidRDefault="00BE72C0" w:rsidP="00BE72C0">
      <w:pPr>
        <w:pStyle w:val="Textonotapie"/>
        <w:ind w:right="49" w:firstLine="708"/>
        <w:jc w:val="both"/>
        <w:rPr>
          <w:rFonts w:ascii="Verdana" w:hAnsi="Verdana" w:cs="Arial"/>
          <w:sz w:val="16"/>
          <w:szCs w:val="16"/>
          <w:lang w:val="es-CO"/>
        </w:rPr>
      </w:pPr>
      <w:r w:rsidRPr="000949BD">
        <w:rPr>
          <w:rFonts w:ascii="Verdana" w:eastAsia="Calibri" w:hAnsi="Verdana" w:cs="Arial"/>
          <w:sz w:val="16"/>
          <w:szCs w:val="16"/>
          <w:lang w:val="es-ES_tradnl"/>
        </w:rPr>
        <w:t>8. Si, sólo puede calificarse como caso fortuito o fuerza mayor el hecho que concurrentemente contemple los caracteres de imprevisible e irresistible, no resulta propio elaborar un listado de los acontecimientos que constituyen tal fenómeno, ni de los que no lo constituyen. Por tal virtud, ha sostenido la doctrina nacional y foránea que un acontecimiento determinado no puede calificarse fatalmente, por sí mismo y por fuerza de su naturaleza específica como constitutivo de fuerza mayor o caso fortuito, puesto que es indispensable, en cada caso o acontecimiento, analizar y ponderar todas las circunstancias que rodearon el hecho”.</w:t>
      </w:r>
    </w:p>
  </w:footnote>
  <w:footnote w:id="6">
    <w:p w14:paraId="5A85D325" w14:textId="77777777" w:rsidR="00BE72C0" w:rsidRPr="000949BD" w:rsidRDefault="00BE72C0" w:rsidP="00BE72C0">
      <w:pPr>
        <w:pStyle w:val="Textonotapie"/>
        <w:ind w:firstLine="708"/>
        <w:jc w:val="both"/>
        <w:rPr>
          <w:rFonts w:ascii="Verdana" w:hAnsi="Verdana" w:cs="Arial"/>
          <w:sz w:val="16"/>
          <w:szCs w:val="16"/>
          <w:lang w:val="es-ES"/>
        </w:rPr>
      </w:pPr>
      <w:r w:rsidRPr="000949BD">
        <w:rPr>
          <w:rStyle w:val="Refdenotaalpie"/>
          <w:rFonts w:ascii="Verdana" w:hAnsi="Verdana" w:cs="Arial"/>
          <w:sz w:val="16"/>
          <w:szCs w:val="16"/>
        </w:rPr>
        <w:footnoteRef/>
      </w:r>
      <w:r w:rsidRPr="000949BD">
        <w:rPr>
          <w:rFonts w:ascii="Verdana" w:hAnsi="Verdana" w:cs="Arial"/>
          <w:sz w:val="16"/>
          <w:szCs w:val="16"/>
        </w:rPr>
        <w:t xml:space="preserve"> “</w:t>
      </w:r>
      <w:r w:rsidRPr="000949BD">
        <w:rPr>
          <w:rFonts w:ascii="Verdana" w:hAnsi="Verdana" w:cs="Arial"/>
          <w:sz w:val="16"/>
          <w:szCs w:val="16"/>
          <w:lang w:val="es-ES"/>
        </w:rPr>
        <w:t>Artículo 56. Declaratoria de situación de desastre. Previa recomendación del Consejo Nacional, el Presidente de la República declarará mediante decreto la existencia de una situación de desastre y, en el mismo acto, la clasificará según su magnitud y efectos como de carácter nacional, regional, departamental, distrital o municipal, y pondrá en vigor las normas pertinentes propias del régimen especial para situaciones de desastre.</w:t>
      </w:r>
    </w:p>
    <w:p w14:paraId="5B0206A9" w14:textId="77777777" w:rsidR="00BE72C0" w:rsidRPr="000949BD" w:rsidRDefault="00BE72C0" w:rsidP="00BE72C0">
      <w:pPr>
        <w:pStyle w:val="Textonotapie"/>
        <w:ind w:firstLine="708"/>
        <w:jc w:val="both"/>
        <w:rPr>
          <w:rFonts w:ascii="Verdana" w:hAnsi="Verdana" w:cs="Arial"/>
          <w:sz w:val="16"/>
          <w:szCs w:val="16"/>
          <w:lang w:val="es-ES"/>
        </w:rPr>
      </w:pPr>
      <w:r w:rsidRPr="000949BD">
        <w:rPr>
          <w:rFonts w:ascii="Verdana" w:hAnsi="Verdana" w:cs="Arial"/>
          <w:sz w:val="16"/>
          <w:szCs w:val="16"/>
          <w:lang w:val="es-ES"/>
        </w:rPr>
        <w:t>1. Nacional. Existirá una situación de desastre nacional:</w:t>
      </w:r>
    </w:p>
    <w:p w14:paraId="77C66186" w14:textId="77777777" w:rsidR="00BE72C0" w:rsidRPr="000949BD" w:rsidRDefault="00BE72C0" w:rsidP="00BE72C0">
      <w:pPr>
        <w:pStyle w:val="Textonotapie"/>
        <w:ind w:firstLine="708"/>
        <w:jc w:val="both"/>
        <w:rPr>
          <w:rFonts w:ascii="Verdana" w:hAnsi="Verdana" w:cs="Arial"/>
          <w:sz w:val="16"/>
          <w:szCs w:val="16"/>
          <w:lang w:val="es-ES"/>
        </w:rPr>
      </w:pPr>
      <w:r w:rsidRPr="000949BD">
        <w:rPr>
          <w:rFonts w:ascii="Verdana" w:hAnsi="Verdana" w:cs="Arial"/>
          <w:sz w:val="16"/>
          <w:szCs w:val="16"/>
          <w:lang w:val="es-ES"/>
        </w:rPr>
        <w:t>a). Cuando la materialización del riesgo afecte de manera desfavorable y grave los bienes jurídicos protegidos de las personas, de la colectividad nacional y de las instituciones de la Administración Pública Nacional, en todo el territorio nacional o en parte considerable del mismo.</w:t>
      </w:r>
    </w:p>
    <w:p w14:paraId="1098539C" w14:textId="77777777" w:rsidR="00BE72C0" w:rsidRPr="000949BD" w:rsidRDefault="00BE72C0" w:rsidP="00BE72C0">
      <w:pPr>
        <w:pStyle w:val="Textonotapie"/>
        <w:ind w:firstLine="708"/>
        <w:jc w:val="both"/>
        <w:rPr>
          <w:rFonts w:ascii="Verdana" w:hAnsi="Verdana" w:cs="Arial"/>
          <w:sz w:val="16"/>
          <w:szCs w:val="16"/>
          <w:lang w:val="es-ES"/>
        </w:rPr>
      </w:pPr>
      <w:r w:rsidRPr="000949BD">
        <w:rPr>
          <w:rFonts w:ascii="Verdana" w:hAnsi="Verdana" w:cs="Arial"/>
          <w:sz w:val="16"/>
          <w:szCs w:val="16"/>
          <w:lang w:val="es-ES"/>
        </w:rPr>
        <w:t>b). Cuando se hayan producido efectos adversos en uno (1) o más departamentos y su impacto rebase la capacidad técnica y los recursos de las administraciones departamentales y municipales involucradas.</w:t>
      </w:r>
    </w:p>
    <w:p w14:paraId="3ECC39F3" w14:textId="77777777" w:rsidR="00BE72C0" w:rsidRPr="000949BD" w:rsidRDefault="00BE72C0" w:rsidP="00BE72C0">
      <w:pPr>
        <w:pStyle w:val="Textonotapie"/>
        <w:ind w:firstLine="708"/>
        <w:jc w:val="both"/>
        <w:rPr>
          <w:rFonts w:ascii="Verdana" w:hAnsi="Verdana" w:cs="Arial"/>
          <w:sz w:val="16"/>
          <w:szCs w:val="16"/>
          <w:lang w:val="es-ES"/>
        </w:rPr>
      </w:pPr>
      <w:r w:rsidRPr="000949BD">
        <w:rPr>
          <w:rFonts w:ascii="Verdana" w:hAnsi="Verdana" w:cs="Arial"/>
          <w:sz w:val="16"/>
          <w:szCs w:val="16"/>
          <w:lang w:val="es-ES"/>
        </w:rPr>
        <w:t>c). Cuando la emergencia tenga la capacidad de impactar de manera desfavorable y grave la economía nacional, las redes de servicios nacionales en su totalidad o en parte significativa de las mismas, el distrito capital y otros centros urbanos de importancia regional en la red de ciudades.</w:t>
      </w:r>
    </w:p>
    <w:p w14:paraId="3BD7F48C" w14:textId="77777777" w:rsidR="00BE72C0" w:rsidRPr="000949BD" w:rsidRDefault="00BE72C0" w:rsidP="00BE72C0">
      <w:pPr>
        <w:pStyle w:val="Textonotapie"/>
        <w:ind w:firstLine="708"/>
        <w:jc w:val="both"/>
        <w:rPr>
          <w:rFonts w:ascii="Verdana" w:hAnsi="Verdana" w:cs="Arial"/>
          <w:sz w:val="16"/>
          <w:szCs w:val="16"/>
          <w:lang w:val="es-ES"/>
        </w:rPr>
      </w:pPr>
      <w:r w:rsidRPr="000949BD">
        <w:rPr>
          <w:rFonts w:ascii="Verdana" w:hAnsi="Verdana" w:cs="Arial"/>
          <w:sz w:val="16"/>
          <w:szCs w:val="16"/>
          <w:lang w:val="es-ES"/>
        </w:rPr>
        <w:t>2. Departamental. Existirá una situación de desastre departamental cuando la materialización del riesgo afecte de manera desfavorable y grave los bienes jurídicos protegidos de los habitantes de un (1) departamento y de la administración pública departamental. El desastre de orden departamental puede presentarse en todo el departamento o en parte sustancial de su territorio rebasando la capacidad técnica y de recursos de los municipios afectados.</w:t>
      </w:r>
    </w:p>
    <w:p w14:paraId="66CD6D75" w14:textId="77777777" w:rsidR="00BE72C0" w:rsidRPr="000949BD" w:rsidRDefault="00BE72C0" w:rsidP="00BE72C0">
      <w:pPr>
        <w:pStyle w:val="Textonotapie"/>
        <w:ind w:firstLine="708"/>
        <w:jc w:val="both"/>
        <w:rPr>
          <w:rFonts w:ascii="Verdana" w:hAnsi="Verdana" w:cs="Arial"/>
          <w:sz w:val="16"/>
          <w:szCs w:val="16"/>
          <w:lang w:val="es-ES"/>
        </w:rPr>
      </w:pPr>
      <w:r w:rsidRPr="000949BD">
        <w:rPr>
          <w:rFonts w:ascii="Verdana" w:hAnsi="Verdana" w:cs="Arial"/>
          <w:sz w:val="16"/>
          <w:szCs w:val="16"/>
          <w:lang w:val="es-ES"/>
        </w:rPr>
        <w:t>3. Distrital o Municipal. Existirá una situación de desastre municipal o distrital cuando la materialización del riesgo afecte de manera desfavorable y grave los bienes jurídicos protegidos de los habitantes del municipio o distrito impactado y de la administración pública distrital. El desastre de orden distrital o municipal puede presentarse en todo el distrito o municipio o en parte sustancial del territorio de su jurisdicción, rebasando su capacidad técnica y de recursos […]”.</w:t>
      </w:r>
    </w:p>
  </w:footnote>
  <w:footnote w:id="7">
    <w:p w14:paraId="71ED1018" w14:textId="77777777" w:rsidR="00BE72C0" w:rsidRPr="000949BD" w:rsidRDefault="00BE72C0" w:rsidP="00BE72C0">
      <w:pPr>
        <w:pStyle w:val="Textonotapie"/>
        <w:ind w:firstLine="708"/>
        <w:jc w:val="both"/>
        <w:rPr>
          <w:rFonts w:ascii="Verdana" w:hAnsi="Verdana" w:cs="Arial"/>
          <w:sz w:val="16"/>
          <w:szCs w:val="16"/>
          <w:lang w:val="es-CO"/>
        </w:rPr>
      </w:pPr>
      <w:r w:rsidRPr="000949BD">
        <w:rPr>
          <w:rStyle w:val="Refdenotaalpie"/>
          <w:rFonts w:ascii="Verdana" w:hAnsi="Verdana" w:cs="Arial"/>
          <w:sz w:val="16"/>
          <w:szCs w:val="16"/>
        </w:rPr>
        <w:footnoteRef/>
      </w:r>
      <w:r w:rsidRPr="000949BD">
        <w:rPr>
          <w:rFonts w:ascii="Verdana" w:hAnsi="Verdana" w:cs="Arial"/>
          <w:sz w:val="16"/>
          <w:szCs w:val="16"/>
        </w:rPr>
        <w:t xml:space="preserve"> “</w:t>
      </w:r>
      <w:r w:rsidRPr="000949BD">
        <w:rPr>
          <w:rFonts w:ascii="Verdana" w:hAnsi="Verdana" w:cs="Arial"/>
          <w:sz w:val="16"/>
          <w:szCs w:val="16"/>
          <w:lang w:val="es-ES"/>
        </w:rPr>
        <w:t xml:space="preserve">Artículo 57. Declaratoria de situación de calamidad pública. </w:t>
      </w:r>
      <w:bookmarkStart w:id="11" w:name="_Hlk132729568"/>
      <w:r w:rsidRPr="000949BD">
        <w:rPr>
          <w:rFonts w:ascii="Verdana" w:hAnsi="Verdana" w:cs="Arial"/>
          <w:sz w:val="16"/>
          <w:szCs w:val="16"/>
          <w:lang w:val="es-ES"/>
        </w:rPr>
        <w:t>Los gobernadores y alcaldes, previo concepto favorable del Consejo Departamental, Distrital o Municipal de Gestión del Riesgo, podrán declararla situación de calamidad pública en su respectiva jurisdicción. Las declaratorias de situación de calamidad pública se producirán y aplicarán, en lo pertinente, de conformidad con las reglas de la declaratoria de la situación de desastre</w:t>
      </w:r>
      <w:bookmarkEnd w:id="11"/>
      <w:r w:rsidRPr="000949BD">
        <w:rPr>
          <w:rFonts w:ascii="Verdana" w:hAnsi="Verdana" w:cs="Arial"/>
          <w:sz w:val="16"/>
          <w:szCs w:val="16"/>
          <w:lang w:val="es-ES"/>
        </w:rPr>
        <w:t>”.</w:t>
      </w:r>
    </w:p>
  </w:footnote>
  <w:footnote w:id="8">
    <w:p w14:paraId="2E8F6CD2" w14:textId="77777777" w:rsidR="00BE72C0" w:rsidRPr="000949BD" w:rsidRDefault="00BE72C0" w:rsidP="00BE72C0">
      <w:pPr>
        <w:pStyle w:val="Textonotapie"/>
        <w:ind w:firstLine="709"/>
        <w:jc w:val="both"/>
        <w:rPr>
          <w:rFonts w:ascii="Verdana" w:hAnsi="Verdana" w:cs="Arial"/>
          <w:sz w:val="16"/>
          <w:szCs w:val="16"/>
          <w:lang w:val="es-ES"/>
        </w:rPr>
      </w:pPr>
      <w:r w:rsidRPr="000949BD">
        <w:rPr>
          <w:rStyle w:val="Refdenotaalpie"/>
          <w:rFonts w:ascii="Verdana" w:hAnsi="Verdana" w:cs="Arial"/>
          <w:sz w:val="16"/>
          <w:szCs w:val="16"/>
        </w:rPr>
        <w:footnoteRef/>
      </w:r>
      <w:r w:rsidRPr="000949BD">
        <w:rPr>
          <w:rFonts w:ascii="Verdana" w:hAnsi="Verdana" w:cs="Arial"/>
          <w:sz w:val="16"/>
          <w:szCs w:val="16"/>
        </w:rPr>
        <w:t xml:space="preserve"> </w:t>
      </w:r>
      <w:r w:rsidRPr="000949BD">
        <w:rPr>
          <w:rFonts w:ascii="Verdana" w:hAnsi="Verdana" w:cs="Arial"/>
          <w:sz w:val="16"/>
          <w:szCs w:val="16"/>
          <w:lang w:val="es-ES"/>
        </w:rPr>
        <w:t>CORTE CONSTITUCIONAL. Sentencia C-772 de 1998. M.P. Fabio Morón Díaz.</w:t>
      </w:r>
    </w:p>
  </w:footnote>
  <w:footnote w:id="9">
    <w:p w14:paraId="4F4E70C1" w14:textId="77777777" w:rsidR="00BE72C0" w:rsidRPr="000949BD" w:rsidRDefault="00BE72C0" w:rsidP="00BE72C0">
      <w:pPr>
        <w:spacing w:after="0" w:line="240" w:lineRule="auto"/>
        <w:ind w:firstLine="709"/>
        <w:jc w:val="both"/>
        <w:rPr>
          <w:rFonts w:ascii="Verdana" w:hAnsi="Verdana" w:cs="Arial"/>
          <w:sz w:val="12"/>
          <w:szCs w:val="12"/>
          <w:lang w:val="es-ES"/>
        </w:rPr>
      </w:pPr>
      <w:r w:rsidRPr="000949BD">
        <w:rPr>
          <w:rStyle w:val="Refdenotaalpie"/>
          <w:rFonts w:ascii="Verdana" w:hAnsi="Verdana" w:cs="Arial"/>
          <w:sz w:val="12"/>
          <w:szCs w:val="12"/>
        </w:rPr>
        <w:footnoteRef/>
      </w:r>
      <w:r w:rsidRPr="000949BD">
        <w:rPr>
          <w:rFonts w:ascii="Verdana" w:hAnsi="Verdana" w:cs="Arial"/>
          <w:sz w:val="12"/>
          <w:szCs w:val="12"/>
        </w:rPr>
        <w:t xml:space="preserve"> </w:t>
      </w:r>
      <w:r w:rsidRPr="000949BD">
        <w:rPr>
          <w:rFonts w:ascii="Verdana" w:hAnsi="Verdana" w:cs="Arial"/>
          <w:sz w:val="12"/>
          <w:szCs w:val="12"/>
          <w:lang w:val="es-ES"/>
        </w:rPr>
        <w:t>En efecto, este enunciado normativo establece: “Se distinguen en cada contrato las cosas que son de su esencia, las que son de su naturaleza, y las puramente accidentales. Son de la esencia de un contrato aquellas cosas sin las cuales, o no produce efecto alguno, o degeneran en otro contrato diferente; son de la naturaleza de un contrato las que no siendo esenciales en él, se entienden pertenecerle, sin necesidad de una cláusula especial; y son accidentales a un contrato aquellas que ni esencial ni naturalmente le pertenecen, y que se le agregan por medio de cláusulas especiales”.</w:t>
      </w:r>
    </w:p>
    <w:p w14:paraId="0F488C5C" w14:textId="77777777" w:rsidR="00BE72C0" w:rsidRPr="000949BD" w:rsidRDefault="00BE72C0" w:rsidP="00BE72C0">
      <w:pPr>
        <w:spacing w:after="0" w:line="240" w:lineRule="auto"/>
        <w:ind w:firstLine="709"/>
        <w:jc w:val="both"/>
        <w:rPr>
          <w:rFonts w:ascii="Verdana" w:hAnsi="Verdana" w:cs="Arial"/>
          <w:sz w:val="12"/>
          <w:szCs w:val="12"/>
          <w:lang w:val="es-ES"/>
        </w:rPr>
      </w:pPr>
    </w:p>
  </w:footnote>
  <w:footnote w:id="10">
    <w:p w14:paraId="6D3D5CA4" w14:textId="77777777" w:rsidR="00BE72C0" w:rsidRPr="000949BD" w:rsidRDefault="00BE72C0" w:rsidP="00BE72C0">
      <w:pPr>
        <w:pStyle w:val="Textonotapie"/>
        <w:ind w:firstLine="709"/>
        <w:jc w:val="both"/>
        <w:rPr>
          <w:rFonts w:ascii="Verdana" w:hAnsi="Verdana" w:cs="Arial"/>
          <w:sz w:val="12"/>
          <w:szCs w:val="12"/>
          <w:lang w:val="es-ES"/>
        </w:rPr>
      </w:pPr>
      <w:r w:rsidRPr="000949BD">
        <w:rPr>
          <w:rStyle w:val="Refdenotaalpie"/>
          <w:rFonts w:ascii="Verdana" w:hAnsi="Verdana" w:cs="Arial"/>
          <w:sz w:val="12"/>
          <w:szCs w:val="12"/>
        </w:rPr>
        <w:footnoteRef/>
      </w:r>
      <w:r w:rsidRPr="000949BD">
        <w:rPr>
          <w:rFonts w:ascii="Verdana" w:hAnsi="Verdana" w:cs="Arial"/>
          <w:sz w:val="12"/>
          <w:szCs w:val="12"/>
        </w:rPr>
        <w:t xml:space="preserve"> </w:t>
      </w:r>
      <w:r w:rsidRPr="000949BD">
        <w:rPr>
          <w:rFonts w:ascii="Verdana" w:hAnsi="Verdana" w:cs="Arial"/>
          <w:sz w:val="12"/>
          <w:szCs w:val="12"/>
          <w:lang w:val="es-ES"/>
        </w:rPr>
        <w:t>EXPÓSITO VÉLEZ, Juan Carlos. Forma y contenido del contrato estatal. Bogotá: Universidad Externado de Colombia, 2013. pp. 28-29.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7FAC2" w14:textId="77777777" w:rsidR="00BE72C0" w:rsidRDefault="00BE72C0"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0288" behindDoc="1" locked="0" layoutInCell="1" allowOverlap="1" wp14:anchorId="68BCB5F7" wp14:editId="2A9DB50D">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Pr>
        <w:rFonts w:ascii="Geomanist Bold" w:hAnsi="Geomanist Bold"/>
        <w:b/>
        <w:bCs/>
        <w:noProof/>
        <w:color w:val="002060"/>
        <w:sz w:val="24"/>
        <w:szCs w:val="24"/>
      </w:rPr>
      <w:drawing>
        <wp:anchor distT="0" distB="0" distL="114300" distR="114300" simplePos="0" relativeHeight="251659264" behindDoc="0" locked="0" layoutInCell="1" allowOverlap="1" wp14:anchorId="7F3771E9" wp14:editId="0D19EEB6">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40FBD5FE" w14:textId="77777777" w:rsidR="00BE72C0" w:rsidRDefault="00BE72C0">
    <w:pPr>
      <w:pStyle w:val="Encabezado"/>
    </w:pPr>
  </w:p>
  <w:p w14:paraId="184D523C" w14:textId="77777777" w:rsidR="00BE72C0" w:rsidRPr="004A305D" w:rsidRDefault="00BE72C0" w:rsidP="00B01B1A">
    <w:pPr>
      <w:spacing w:after="0" w:line="120" w:lineRule="auto"/>
      <w:rPr>
        <w:rFonts w:ascii="Century Gothic" w:eastAsia="Geo" w:hAnsi="Century Gothic" w:cs="Geo"/>
        <w:sz w:val="16"/>
        <w:szCs w:val="16"/>
        <w:lang w:eastAsia="es-CO"/>
      </w:rPr>
    </w:pPr>
  </w:p>
  <w:p w14:paraId="69587CEB" w14:textId="77777777" w:rsidR="00BE72C0" w:rsidRDefault="00BE72C0" w:rsidP="00844AE9">
    <w:pPr>
      <w:spacing w:after="0" w:line="240" w:lineRule="auto"/>
      <w:rPr>
        <w:rFonts w:ascii="Verdana" w:hAnsi="Verdana"/>
        <w:sz w:val="24"/>
        <w:szCs w:val="24"/>
      </w:rPr>
    </w:pPr>
  </w:p>
  <w:p w14:paraId="02BD3B43" w14:textId="77777777" w:rsidR="00BE72C0" w:rsidRPr="00C925AC" w:rsidRDefault="00BE72C0" w:rsidP="00844AE9">
    <w:pPr>
      <w:spacing w:after="0" w:line="240" w:lineRule="auto"/>
      <w:rPr>
        <w:rFonts w:ascii="Verdana" w:hAnsi="Verdana"/>
        <w:sz w:val="24"/>
        <w:szCs w:val="24"/>
      </w:rPr>
    </w:pPr>
  </w:p>
  <w:p w14:paraId="30971E6E" w14:textId="77777777" w:rsidR="00BE72C0" w:rsidRPr="00C925AC" w:rsidRDefault="00BE72C0" w:rsidP="000D5DA7">
    <w:pPr>
      <w:spacing w:after="0" w:line="480" w:lineRule="auto"/>
      <w:rPr>
        <w:rFonts w:ascii="Verdana" w:hAnsi="Verdana"/>
        <w:b/>
        <w:bCs/>
        <w:sz w:val="24"/>
        <w:szCs w:val="24"/>
      </w:rPr>
    </w:pPr>
    <w:r w:rsidRPr="00C925AC">
      <w:rPr>
        <w:rFonts w:ascii="Verdana" w:hAnsi="Verdana"/>
        <w:b/>
        <w:bCs/>
        <w:sz w:val="24"/>
        <w:szCs w:val="24"/>
      </w:rPr>
      <w:t>FORMATO</w:t>
    </w:r>
    <w:r>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679089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2C0"/>
    <w:rsid w:val="00156658"/>
    <w:rsid w:val="001B33CB"/>
    <w:rsid w:val="001F5D2C"/>
    <w:rsid w:val="002054F2"/>
    <w:rsid w:val="00534B6E"/>
    <w:rsid w:val="00BE72C0"/>
    <w:rsid w:val="00DA6FC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F49BD"/>
  <w15:chartTrackingRefBased/>
  <w15:docId w15:val="{A81CEE2E-3D82-48C0-B9F5-73A485F78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2C0"/>
    <w:pPr>
      <w:spacing w:line="259" w:lineRule="auto"/>
    </w:pPr>
    <w:rPr>
      <w:kern w:val="0"/>
      <w:sz w:val="22"/>
      <w:szCs w:val="22"/>
      <w14:ligatures w14:val="none"/>
    </w:rPr>
  </w:style>
  <w:style w:type="paragraph" w:styleId="Ttulo1">
    <w:name w:val="heading 1"/>
    <w:basedOn w:val="Normal"/>
    <w:next w:val="Normal"/>
    <w:link w:val="Ttulo1Car"/>
    <w:uiPriority w:val="9"/>
    <w:qFormat/>
    <w:rsid w:val="00BE72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E72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E72C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E72C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E72C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E72C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E72C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E72C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E72C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E72C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E72C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E72C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E72C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E72C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E72C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E72C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E72C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E72C0"/>
    <w:rPr>
      <w:rFonts w:eastAsiaTheme="majorEastAsia" w:cstheme="majorBidi"/>
      <w:color w:val="272727" w:themeColor="text1" w:themeTint="D8"/>
    </w:rPr>
  </w:style>
  <w:style w:type="paragraph" w:styleId="Ttulo">
    <w:name w:val="Title"/>
    <w:basedOn w:val="Normal"/>
    <w:next w:val="Normal"/>
    <w:link w:val="TtuloCar"/>
    <w:uiPriority w:val="10"/>
    <w:qFormat/>
    <w:rsid w:val="00BE72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E72C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E72C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E72C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E72C0"/>
    <w:pPr>
      <w:spacing w:before="160"/>
      <w:jc w:val="center"/>
    </w:pPr>
    <w:rPr>
      <w:i/>
      <w:iCs/>
      <w:color w:val="404040" w:themeColor="text1" w:themeTint="BF"/>
    </w:rPr>
  </w:style>
  <w:style w:type="character" w:customStyle="1" w:styleId="CitaCar">
    <w:name w:val="Cita Car"/>
    <w:basedOn w:val="Fuentedeprrafopredeter"/>
    <w:link w:val="Cita"/>
    <w:uiPriority w:val="29"/>
    <w:rsid w:val="00BE72C0"/>
    <w:rPr>
      <w:i/>
      <w:iCs/>
      <w:color w:val="404040" w:themeColor="text1" w:themeTint="BF"/>
    </w:rPr>
  </w:style>
  <w:style w:type="paragraph" w:styleId="Prrafodelista">
    <w:name w:val="List Paragraph"/>
    <w:basedOn w:val="Normal"/>
    <w:uiPriority w:val="34"/>
    <w:qFormat/>
    <w:rsid w:val="00BE72C0"/>
    <w:pPr>
      <w:ind w:left="720"/>
      <w:contextualSpacing/>
    </w:pPr>
  </w:style>
  <w:style w:type="character" w:styleId="nfasisintenso">
    <w:name w:val="Intense Emphasis"/>
    <w:basedOn w:val="Fuentedeprrafopredeter"/>
    <w:uiPriority w:val="21"/>
    <w:qFormat/>
    <w:rsid w:val="00BE72C0"/>
    <w:rPr>
      <w:i/>
      <w:iCs/>
      <w:color w:val="0F4761" w:themeColor="accent1" w:themeShade="BF"/>
    </w:rPr>
  </w:style>
  <w:style w:type="paragraph" w:styleId="Citadestacada">
    <w:name w:val="Intense Quote"/>
    <w:basedOn w:val="Normal"/>
    <w:next w:val="Normal"/>
    <w:link w:val="CitadestacadaCar"/>
    <w:uiPriority w:val="30"/>
    <w:qFormat/>
    <w:rsid w:val="00BE72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E72C0"/>
    <w:rPr>
      <w:i/>
      <w:iCs/>
      <w:color w:val="0F4761" w:themeColor="accent1" w:themeShade="BF"/>
    </w:rPr>
  </w:style>
  <w:style w:type="character" w:styleId="Referenciaintensa">
    <w:name w:val="Intense Reference"/>
    <w:basedOn w:val="Fuentedeprrafopredeter"/>
    <w:uiPriority w:val="32"/>
    <w:qFormat/>
    <w:rsid w:val="00BE72C0"/>
    <w:rPr>
      <w:b/>
      <w:bCs/>
      <w:smallCaps/>
      <w:color w:val="0F4761" w:themeColor="accent1" w:themeShade="BF"/>
      <w:spacing w:val="5"/>
    </w:rPr>
  </w:style>
  <w:style w:type="paragraph" w:styleId="Encabezado">
    <w:name w:val="header"/>
    <w:basedOn w:val="Normal"/>
    <w:link w:val="EncabezadoCar"/>
    <w:uiPriority w:val="99"/>
    <w:unhideWhenUsed/>
    <w:rsid w:val="00BE72C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E72C0"/>
    <w:rPr>
      <w:kern w:val="0"/>
      <w:sz w:val="22"/>
      <w:szCs w:val="22"/>
      <w14:ligatures w14:val="none"/>
    </w:rPr>
  </w:style>
  <w:style w:type="paragraph" w:styleId="Piedepgina">
    <w:name w:val="footer"/>
    <w:basedOn w:val="Normal"/>
    <w:link w:val="PiedepginaCar"/>
    <w:uiPriority w:val="99"/>
    <w:unhideWhenUsed/>
    <w:rsid w:val="00BE72C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E72C0"/>
    <w:rPr>
      <w:kern w:val="0"/>
      <w:sz w:val="22"/>
      <w:szCs w:val="22"/>
      <w14:ligatures w14:val="none"/>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BE72C0"/>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BE72C0"/>
    <w:pPr>
      <w:spacing w:after="0" w:line="240" w:lineRule="auto"/>
    </w:pPr>
    <w:rPr>
      <w:kern w:val="2"/>
      <w:sz w:val="20"/>
      <w:szCs w:val="20"/>
      <w:lang w:val="es-MX"/>
      <w14:ligatures w14:val="standardContextual"/>
    </w:rPr>
  </w:style>
  <w:style w:type="character" w:customStyle="1" w:styleId="TextonotapieCar1">
    <w:name w:val="Texto nota pie Car1"/>
    <w:basedOn w:val="Fuentedeprrafopredeter"/>
    <w:uiPriority w:val="99"/>
    <w:semiHidden/>
    <w:rsid w:val="00BE72C0"/>
    <w:rPr>
      <w:kern w:val="0"/>
      <w:sz w:val="20"/>
      <w:szCs w:val="20"/>
      <w14:ligatures w14:val="none"/>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BE72C0"/>
    <w:rPr>
      <w:vertAlign w:val="superscript"/>
    </w:rPr>
  </w:style>
  <w:style w:type="table" w:styleId="Tablaconcuadrcula">
    <w:name w:val="Table Grid"/>
    <w:basedOn w:val="Tablanormal"/>
    <w:uiPriority w:val="39"/>
    <w:qFormat/>
    <w:rsid w:val="00BE72C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E72C0"/>
    <w:rPr>
      <w:color w:val="0000FF"/>
      <w:u w:val="single"/>
    </w:rPr>
  </w:style>
  <w:style w:type="paragraph" w:customStyle="1" w:styleId="Appelnotedebasde">
    <w:name w:val="Appel note de bas de..."/>
    <w:basedOn w:val="Normal"/>
    <w:link w:val="Refdenotaalpie"/>
    <w:uiPriority w:val="99"/>
    <w:rsid w:val="00BE72C0"/>
    <w:pPr>
      <w:spacing w:line="240" w:lineRule="exact"/>
    </w:pPr>
    <w:rPr>
      <w:kern w:val="2"/>
      <w:sz w:val="24"/>
      <w:szCs w:val="24"/>
      <w:vertAlign w:val="superscript"/>
      <w14:ligatures w14:val="standardContextual"/>
    </w:rPr>
  </w:style>
  <w:style w:type="table" w:customStyle="1" w:styleId="Tablaconcuadrcula11">
    <w:name w:val="Tabla con cuadrícula11"/>
    <w:basedOn w:val="Tablanormal"/>
    <w:next w:val="Tablaconcuadrcula"/>
    <w:uiPriority w:val="59"/>
    <w:qFormat/>
    <w:rsid w:val="00BE72C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www.colombiacompra.gov.co%2Farchivos%2Fmanual%2Fguia-de-garantias-en-procesos-de-contratacion&amp;data=05%7C02%7Cnasly.mosquera%40colombiacompra.gov.co%7C7128555136e04fa6887d08dee99e1b50%7C7b09041e245149d08cb179d5e3d8c1be%7C0%7C0%7C639205062451728331%7CUnknown%7CTWFpbGZsb3d8eyJFbXB0eU1hcGkiOnRydWUsIlYiOiIwLjAuMDAwMCIsIlAiOiJXaW4zMiIsIkFOIjoiTWFpbCIsIldUIjoyfQ%3D%3D%7C0%7C%7C%7C&amp;sdata=mpBUgI4TXQKUTiyJ3t%2BZk2bDWYkbeNUXbMTuRbUjxuA%3D&amp;reserved=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www.colombiacompra.gov.co/archivos/boletin/boletin-edicion-n-3-de-2026-radar-de-la-compra-public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mparo_parejalopez@yahoo.es"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2-de-2026&amp;data=05%7C02%7Cnasly.mosquera%40colombiacompra.gov.co%7C7128555136e04fa6887d08dee99e1b50%7C7b09041e245149d08cb179d5e3d8c1be%7C0%7C0%7C639205062451781137%7CUnknown%7CTWFpbGZsb3d8eyJFbXB0eU1hcGkiOnRydWUsIlYiOiIwLjAuMDAwMCIsIlAiOiJXaW4zMiIsIkFOIjoiTWFpbCIsIldUIjoyfQ%3D%3D%7C0%7C%7C%7C&amp;sdata=SXRTp2tiejOc5p2GVUwQiVeHZcjBX97o%2BwIhu4ngMCc%3D&amp;reserved=0"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circular%2Fcircular-externa-003-de-2026&amp;data=05%7C02%7Cnasly.mosquera%40colombiacompra.gov.co%7C7128555136e04fa6887d08dee99e1b50%7C7b09041e245149d08cb179d5e3d8c1be%7C0%7C0%7C639205062451758910%7CUnknown%7CTWFpbGZsb3d8eyJFbXB0eU1hcGkiOnRydWUsIlYiOiIwLjAuMDAwMCIsIlAiOiJXaW4zMiIsIkFOIjoiTWFpbCIsIldUIjoyfQ%3D%3D%7C0%7C%7C%7C&amp;sdata=OPnXajpdAyoK0A6MfQYru7F7qDuDOdN2UPaU0NJQ1Gk%3D&amp;reserved=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19B7800-1468-4E23-B8BC-2CB64D1BF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E37841-C372-48B3-BA65-C198B3196CF6}">
  <ds:schemaRefs>
    <ds:schemaRef ds:uri="http://schemas.microsoft.com/sharepoint/v3/contenttype/forms"/>
  </ds:schemaRefs>
</ds:datastoreItem>
</file>

<file path=customXml/itemProps3.xml><?xml version="1.0" encoding="utf-8"?>
<ds:datastoreItem xmlns:ds="http://schemas.openxmlformats.org/officeDocument/2006/customXml" ds:itemID="{988F583A-F79C-422F-87E3-129DCB3BF2EA}">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6711</Words>
  <Characters>36911</Characters>
  <Application>Microsoft Office Word</Application>
  <DocSecurity>0</DocSecurity>
  <Lines>307</Lines>
  <Paragraphs>87</Paragraphs>
  <ScaleCrop>false</ScaleCrop>
  <Company/>
  <LinksUpToDate>false</LinksUpToDate>
  <CharactersWithSpaces>43535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Nasly Yeana Mosquera Rivas</dc:creator>
  <cp:keywords/>
  <dc:description/>
  <cp:lastModifiedBy>Nasly Yeana Mosquera Rivas</cp:lastModifiedBy>
  <cp:revision>2</cp:revision>
  <dcterms:created xsi:type="dcterms:W3CDTF">2026-08-12T13:27:00Z</dcterms:created>
  <dcterms:modified xsi:type="dcterms:W3CDTF">2026-08-12T13:27:00Z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