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19AA" w14:textId="77777777" w:rsidR="002E3B5F" w:rsidRPr="002E3B5F" w:rsidRDefault="002E3B5F" w:rsidP="002E3B5F">
      <w:pPr>
        <w:spacing w:after="0" w:line="276" w:lineRule="auto"/>
        <w:jc w:val="both"/>
        <w:rPr>
          <w:rFonts w:ascii="Verdana" w:eastAsia="Calibri" w:hAnsi="Verdana" w:cs="Arial"/>
          <w:b/>
          <w:bCs/>
          <w:lang w:val="es-ES_tradnl" w:eastAsia="es-MX"/>
        </w:rPr>
      </w:pPr>
      <w:bookmarkStart w:id="0" w:name="_Hlk143780582"/>
      <w:r w:rsidRPr="002E3B5F">
        <w:rPr>
          <w:rFonts w:ascii="Verdana" w:eastAsia="Calibri" w:hAnsi="Verdana" w:cs="Arial"/>
          <w:b/>
          <w:bCs/>
          <w:lang w:val="es-ES_tradnl" w:eastAsia="es-MX"/>
        </w:rPr>
        <w:t xml:space="preserve">DOCUMENTOS TIPO – Fundamento normativo – Obligatoriedad </w:t>
      </w:r>
    </w:p>
    <w:p w14:paraId="2AB97796" w14:textId="77777777" w:rsidR="002E3B5F" w:rsidRPr="002E3B5F" w:rsidRDefault="002E3B5F" w:rsidP="002E3B5F">
      <w:pPr>
        <w:spacing w:after="0" w:line="276" w:lineRule="auto"/>
        <w:jc w:val="both"/>
        <w:rPr>
          <w:rFonts w:ascii="Verdana" w:eastAsia="Calibri" w:hAnsi="Verdana" w:cs="Arial"/>
          <w:b/>
          <w:bCs/>
          <w:sz w:val="20"/>
          <w:szCs w:val="20"/>
          <w:lang w:val="es-ES_tradnl" w:eastAsia="es-MX"/>
        </w:rPr>
      </w:pPr>
    </w:p>
    <w:p w14:paraId="282D6D64" w14:textId="77777777" w:rsidR="002E3B5F" w:rsidRPr="002E3B5F" w:rsidRDefault="002E3B5F" w:rsidP="002E3B5F">
      <w:pPr>
        <w:tabs>
          <w:tab w:val="left" w:pos="709"/>
        </w:tabs>
        <w:spacing w:after="0" w:line="240" w:lineRule="auto"/>
        <w:jc w:val="both"/>
        <w:rPr>
          <w:rFonts w:ascii="Verdana" w:eastAsia="Calibri" w:hAnsi="Verdana" w:cs="Arial"/>
          <w:sz w:val="20"/>
          <w:szCs w:val="20"/>
          <w:lang w:val="es-ES" w:eastAsia="es-MX"/>
        </w:rPr>
      </w:pPr>
      <w:r w:rsidRPr="002E3B5F">
        <w:rPr>
          <w:rFonts w:ascii="Verdana" w:eastAsia="Calibri" w:hAnsi="Verdana" w:cs="Arial"/>
          <w:sz w:val="20"/>
          <w:szCs w:val="20"/>
          <w:lang w:val="es-ES" w:eastAsia="es-MX"/>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71CA5C22" w14:textId="77777777" w:rsidR="002E3B5F" w:rsidRPr="002E3B5F" w:rsidRDefault="002E3B5F" w:rsidP="002E3B5F">
      <w:pPr>
        <w:spacing w:after="0" w:line="276" w:lineRule="auto"/>
        <w:jc w:val="both"/>
        <w:rPr>
          <w:rFonts w:ascii="Verdana" w:eastAsia="Calibri" w:hAnsi="Verdana" w:cs="Arial"/>
          <w:b/>
          <w:bCs/>
          <w:lang w:val="es-ES_tradnl" w:eastAsia="es-MX"/>
        </w:rPr>
      </w:pPr>
    </w:p>
    <w:p w14:paraId="7B3D7723" w14:textId="77777777" w:rsidR="002E3B5F" w:rsidRPr="002E3B5F" w:rsidRDefault="002E3B5F" w:rsidP="002E3B5F">
      <w:pPr>
        <w:widowControl w:val="0"/>
        <w:autoSpaceDE w:val="0"/>
        <w:autoSpaceDN w:val="0"/>
        <w:spacing w:after="0" w:line="276" w:lineRule="auto"/>
        <w:jc w:val="both"/>
        <w:rPr>
          <w:rFonts w:ascii="Verdana" w:eastAsia="Calibri" w:hAnsi="Verdana" w:cs="Times New Roman"/>
          <w:b/>
          <w:bCs/>
          <w:lang w:val="es-ES" w:eastAsia="es-MX"/>
        </w:rPr>
      </w:pPr>
      <w:r w:rsidRPr="002E3B5F">
        <w:rPr>
          <w:rFonts w:ascii="Verdana" w:eastAsia="Calibri" w:hAnsi="Verdana" w:cs="Arial"/>
          <w:b/>
          <w:bCs/>
          <w:lang w:val="es-ES_tradnl" w:eastAsia="es-MX"/>
        </w:rPr>
        <w:t>SECTOR SOCIAL</w:t>
      </w:r>
      <w:r w:rsidRPr="002E3B5F">
        <w:rPr>
          <w:rFonts w:ascii="Verdana" w:eastAsia="Calibri" w:hAnsi="Verdana" w:cs="Times New Roman"/>
          <w:lang w:val="es-ES" w:eastAsia="es-MX"/>
        </w:rPr>
        <w:t xml:space="preserve"> </w:t>
      </w:r>
      <w:r w:rsidRPr="002E3B5F">
        <w:rPr>
          <w:rFonts w:ascii="Verdana" w:eastAsia="Calibri" w:hAnsi="Verdana" w:cs="Times New Roman"/>
          <w:b/>
          <w:bCs/>
          <w:lang w:val="es-ES" w:eastAsia="es-MX"/>
        </w:rPr>
        <w:t>– Documentos tipo – Vigentes</w:t>
      </w:r>
    </w:p>
    <w:p w14:paraId="12E873FF" w14:textId="77777777" w:rsidR="00D24083" w:rsidRDefault="00D24083" w:rsidP="002E3B5F">
      <w:pPr>
        <w:widowControl w:val="0"/>
        <w:autoSpaceDE w:val="0"/>
        <w:autoSpaceDN w:val="0"/>
        <w:spacing w:after="0" w:line="240" w:lineRule="auto"/>
        <w:jc w:val="both"/>
        <w:rPr>
          <w:rFonts w:ascii="Verdana" w:eastAsia="Calibri" w:hAnsi="Verdana" w:cs="Times New Roman"/>
          <w:b/>
          <w:bCs/>
          <w:lang w:val="es-ES" w:eastAsia="es-MX"/>
        </w:rPr>
      </w:pPr>
    </w:p>
    <w:p w14:paraId="14B46C04" w14:textId="11A8C70A" w:rsidR="002E3B5F" w:rsidRPr="002E3B5F" w:rsidRDefault="002E3B5F" w:rsidP="002E3B5F">
      <w:pPr>
        <w:widowControl w:val="0"/>
        <w:autoSpaceDE w:val="0"/>
        <w:autoSpaceDN w:val="0"/>
        <w:spacing w:after="0" w:line="240" w:lineRule="auto"/>
        <w:jc w:val="both"/>
        <w:rPr>
          <w:rFonts w:ascii="Verdana" w:eastAsia="Calibri" w:hAnsi="Verdana" w:cs="Times New Roman"/>
          <w:b/>
          <w:bCs/>
          <w:sz w:val="20"/>
          <w:szCs w:val="20"/>
          <w:lang w:val="es-ES" w:eastAsia="es-MX"/>
        </w:rPr>
      </w:pPr>
      <w:r w:rsidRPr="002E3B5F">
        <w:rPr>
          <w:rFonts w:ascii="Verdana" w:eastAsia="Aptos" w:hAnsi="Verdana" w:cs="Times New Roman"/>
          <w:sz w:val="20"/>
          <w:szCs w:val="20"/>
          <w:lang w:eastAsia="es-MX"/>
        </w:rPr>
        <w:t xml:space="preserve">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de salud, cultura, recreación y deporte, institucional y vivienda, en los procesos de selección cuyo aviso de convocatoria se publique a partir del 16 de febrero de 2026. </w:t>
      </w:r>
    </w:p>
    <w:p w14:paraId="68A08DF3" w14:textId="77777777" w:rsidR="002E3B5F" w:rsidRPr="002E3B5F" w:rsidRDefault="002E3B5F" w:rsidP="002E3B5F">
      <w:pPr>
        <w:widowControl w:val="0"/>
        <w:autoSpaceDE w:val="0"/>
        <w:autoSpaceDN w:val="0"/>
        <w:spacing w:after="0" w:line="276" w:lineRule="auto"/>
        <w:jc w:val="both"/>
        <w:rPr>
          <w:rFonts w:ascii="Verdana" w:eastAsia="Calibri" w:hAnsi="Verdana" w:cs="Times New Roman"/>
          <w:lang w:val="es-ES" w:eastAsia="es-MX"/>
        </w:rPr>
      </w:pPr>
    </w:p>
    <w:p w14:paraId="7272891F" w14:textId="77777777" w:rsidR="002E3B5F" w:rsidRPr="002E3B5F" w:rsidRDefault="002E3B5F" w:rsidP="002E3B5F">
      <w:pPr>
        <w:spacing w:after="0" w:line="276" w:lineRule="auto"/>
        <w:jc w:val="both"/>
        <w:rPr>
          <w:rFonts w:ascii="Verdana" w:eastAsia="Calibri" w:hAnsi="Verdana" w:cs="Times New Roman"/>
          <w:sz w:val="20"/>
          <w:szCs w:val="20"/>
          <w:lang w:val="es-ES" w:eastAsia="es-MX"/>
        </w:rPr>
      </w:pPr>
      <w:r w:rsidRPr="002E3B5F">
        <w:rPr>
          <w:rFonts w:ascii="Verdana" w:eastAsia="Calibri" w:hAnsi="Verdana" w:cs="Times New Roman"/>
          <w:b/>
          <w:bCs/>
          <w:lang w:val="es-ES" w:eastAsia="es-MX"/>
        </w:rPr>
        <w:t xml:space="preserve">DOCUMENTOS TIPO – Aplicación – Matriz de Experiencia </w:t>
      </w:r>
    </w:p>
    <w:p w14:paraId="2F035CD4" w14:textId="77777777" w:rsidR="002E3B5F" w:rsidRPr="002E3B5F" w:rsidRDefault="002E3B5F" w:rsidP="002E3B5F">
      <w:pPr>
        <w:spacing w:after="0" w:line="240" w:lineRule="auto"/>
        <w:rPr>
          <w:rFonts w:ascii="Verdana" w:eastAsia="Geomanist Light" w:hAnsi="Verdana" w:cs="Arial"/>
          <w:lang w:val="es-MX" w:eastAsia="es-MX"/>
        </w:rPr>
      </w:pPr>
    </w:p>
    <w:p w14:paraId="2F0D0084"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sz w:val="20"/>
          <w:szCs w:val="20"/>
          <w:lang w:val="es-ES" w:eastAsia="es-MX"/>
        </w:rPr>
      </w:pPr>
      <w:r w:rsidRPr="002E3B5F">
        <w:rPr>
          <w:rFonts w:ascii="Verdana" w:eastAsia="Calibri" w:hAnsi="Verdana" w:cs="Times New Roman"/>
          <w:sz w:val="20"/>
          <w:szCs w:val="20"/>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20D99714"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sz w:val="20"/>
          <w:szCs w:val="20"/>
          <w:lang w:val="es-ES" w:eastAsia="es-MX"/>
        </w:rPr>
      </w:pPr>
    </w:p>
    <w:p w14:paraId="5685ACE9"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sz w:val="20"/>
          <w:szCs w:val="20"/>
          <w:lang w:val="es-ES" w:eastAsia="es-MX"/>
        </w:rPr>
      </w:pPr>
      <w:r w:rsidRPr="002E3B5F">
        <w:rPr>
          <w:rFonts w:ascii="Verdana" w:eastAsia="Calibri" w:hAnsi="Verdana" w:cs="Times New Roman"/>
          <w:sz w:val="20"/>
          <w:szCs w:val="20"/>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1474DE5"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sz w:val="20"/>
          <w:szCs w:val="20"/>
          <w:lang w:val="es-ES" w:eastAsia="es-MX"/>
        </w:rPr>
      </w:pPr>
    </w:p>
    <w:p w14:paraId="07842F93"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b/>
          <w:bCs/>
          <w:lang w:val="es-ES" w:eastAsia="es-MX"/>
        </w:rPr>
      </w:pPr>
      <w:r w:rsidRPr="002E3B5F">
        <w:rPr>
          <w:rFonts w:ascii="Verdana" w:eastAsia="Calibri" w:hAnsi="Verdana" w:cs="Times New Roman"/>
          <w:b/>
          <w:bCs/>
          <w:lang w:val="es-ES" w:eastAsia="es-MX"/>
        </w:rPr>
        <w:t>DOCUMENTOS TIPO – Sector social – Infraestructura de servicio público – NSR-10</w:t>
      </w:r>
    </w:p>
    <w:p w14:paraId="7521C4A9"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b/>
          <w:bCs/>
          <w:sz w:val="20"/>
          <w:szCs w:val="20"/>
          <w:lang w:val="es-ES" w:eastAsia="es-MX"/>
        </w:rPr>
      </w:pPr>
    </w:p>
    <w:p w14:paraId="2B827252" w14:textId="77777777" w:rsidR="002E3B5F" w:rsidRPr="002E3B5F" w:rsidRDefault="002E3B5F" w:rsidP="002E3B5F">
      <w:pPr>
        <w:spacing w:after="0" w:line="240" w:lineRule="auto"/>
        <w:jc w:val="both"/>
        <w:rPr>
          <w:rFonts w:ascii="Verdana" w:eastAsia="Times New Roman" w:hAnsi="Verdana" w:cs="Aptos"/>
          <w:sz w:val="20"/>
          <w:szCs w:val="20"/>
          <w:lang w:eastAsia="es-MX"/>
        </w:rPr>
      </w:pPr>
      <w:r w:rsidRPr="002E3B5F">
        <w:rPr>
          <w:rFonts w:ascii="Verdana" w:eastAsia="Times New Roman" w:hAnsi="Verdana" w:cs="Aptos"/>
          <w:sz w:val="20"/>
          <w:szCs w:val="20"/>
          <w:lang w:eastAsia="es-MX"/>
        </w:rPr>
        <w:t xml:space="preserve">Para interpretar el alcance del tipo de infraestructura de servicio público, se debe tener en cuenta la nota general 1 de la Matriz 1– Experiencia del Sector Institucional, en las distintas modalidades de los documentos tipo adoptados por esta Agencia. En esta se </w:t>
      </w:r>
      <w:r w:rsidRPr="002E3B5F">
        <w:rPr>
          <w:rFonts w:ascii="Verdana" w:eastAsia="Times New Roman" w:hAnsi="Verdana" w:cs="Aptos"/>
          <w:sz w:val="20"/>
          <w:szCs w:val="20"/>
          <w:lang w:eastAsia="es-MX"/>
        </w:rPr>
        <w:lastRenderedPageBreak/>
        <w:t>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46686F0F" w14:textId="77777777" w:rsidR="002E3B5F" w:rsidRPr="002E3B5F" w:rsidRDefault="002E3B5F" w:rsidP="002E3B5F">
      <w:pPr>
        <w:spacing w:after="0" w:line="240" w:lineRule="auto"/>
        <w:jc w:val="both"/>
        <w:rPr>
          <w:rFonts w:ascii="Verdana" w:eastAsia="Times New Roman" w:hAnsi="Verdana" w:cs="Aptos"/>
          <w:sz w:val="20"/>
          <w:szCs w:val="20"/>
          <w:lang w:eastAsia="es-MX"/>
        </w:rPr>
      </w:pPr>
    </w:p>
    <w:p w14:paraId="2F795FED" w14:textId="77777777" w:rsidR="002E3B5F" w:rsidRPr="002E3B5F" w:rsidRDefault="002E3B5F" w:rsidP="002E3B5F">
      <w:pPr>
        <w:spacing w:after="0" w:line="240" w:lineRule="auto"/>
        <w:jc w:val="both"/>
        <w:rPr>
          <w:rFonts w:ascii="Verdana" w:eastAsia="Times New Roman" w:hAnsi="Verdana" w:cs="Aptos"/>
          <w:sz w:val="20"/>
          <w:szCs w:val="20"/>
          <w:lang w:eastAsia="es-MX"/>
        </w:rPr>
      </w:pPr>
      <w:r w:rsidRPr="002E3B5F">
        <w:rPr>
          <w:rFonts w:ascii="Verdana" w:eastAsia="Times New Roman" w:hAnsi="Verdana" w:cs="Aptos"/>
          <w:sz w:val="20"/>
          <w:szCs w:val="20"/>
          <w:lang w:eastAsia="es-MX"/>
        </w:rPr>
        <w:t>(…)</w:t>
      </w:r>
    </w:p>
    <w:p w14:paraId="5E61D9E4" w14:textId="77777777" w:rsidR="002E3B5F" w:rsidRPr="002E3B5F" w:rsidRDefault="002E3B5F" w:rsidP="002E3B5F">
      <w:pPr>
        <w:spacing w:after="0" w:line="240" w:lineRule="auto"/>
        <w:jc w:val="both"/>
        <w:rPr>
          <w:rFonts w:ascii="Verdana" w:eastAsia="Times New Roman" w:hAnsi="Verdana" w:cs="Aptos"/>
          <w:lang w:eastAsia="es-MX"/>
        </w:rPr>
      </w:pPr>
    </w:p>
    <w:p w14:paraId="6AF0F504"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Arial"/>
          <w:sz w:val="20"/>
          <w:szCs w:val="20"/>
          <w:lang w:val="es-ES_tradnl" w:eastAsia="es-MX"/>
        </w:rPr>
        <w:t xml:space="preserve">Ahora bien, como se precisó las actividades señaladas recaen sobre </w:t>
      </w:r>
      <w:r w:rsidRPr="002E3B5F">
        <w:rPr>
          <w:rFonts w:ascii="Verdana" w:eastAsia="Times New Roman" w:hAnsi="Verdana" w:cs="Calibri"/>
          <w:sz w:val="20"/>
          <w:szCs w:val="20"/>
          <w:lang w:eastAsia="es-MX"/>
        </w:rPr>
        <w:t xml:space="preserve">obras e interventorías en proyectos de infraestructura institucional de servicio público. De esta forma, para determinar que abarca este tipo de infraestructura, debe indicarse que, de conformidad con la norma </w:t>
      </w:r>
      <w:r w:rsidRPr="002E3B5F">
        <w:rPr>
          <w:rFonts w:ascii="Verdana" w:eastAsia="Calibri" w:hAnsi="Verdana" w:cs="Arial"/>
          <w:color w:val="0D0D0D"/>
          <w:sz w:val="20"/>
          <w:szCs w:val="20"/>
          <w:lang w:eastAsia="es-MX"/>
        </w:rPr>
        <w:t>NSR-10 en el Subgrupo de Ocupación Institucional de Servicio Público (I-5)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38F47797" w14:textId="77777777" w:rsidR="002E3B5F" w:rsidRPr="002E3B5F" w:rsidRDefault="002E3B5F" w:rsidP="002E3B5F">
      <w:pPr>
        <w:spacing w:after="0" w:line="276" w:lineRule="auto"/>
        <w:jc w:val="both"/>
        <w:rPr>
          <w:rFonts w:ascii="Verdana" w:eastAsia="Calibri" w:hAnsi="Verdana" w:cs="Arial"/>
          <w:color w:val="0D0D0D"/>
          <w:lang w:eastAsia="es-MX"/>
        </w:rPr>
      </w:pPr>
    </w:p>
    <w:p w14:paraId="159CAD4E" w14:textId="77777777" w:rsidR="002E3B5F" w:rsidRPr="002E3B5F" w:rsidRDefault="002E3B5F" w:rsidP="002E3B5F">
      <w:pPr>
        <w:widowControl w:val="0"/>
        <w:autoSpaceDE w:val="0"/>
        <w:autoSpaceDN w:val="0"/>
        <w:spacing w:after="0" w:line="240" w:lineRule="auto"/>
        <w:jc w:val="both"/>
        <w:rPr>
          <w:rFonts w:ascii="Verdana" w:eastAsia="Calibri" w:hAnsi="Verdana" w:cs="Times New Roman"/>
          <w:b/>
          <w:bCs/>
          <w:lang w:val="es-ES" w:eastAsia="es-MX"/>
        </w:rPr>
      </w:pPr>
      <w:r w:rsidRPr="002E3B5F">
        <w:rPr>
          <w:rFonts w:ascii="Verdana" w:eastAsia="Calibri" w:hAnsi="Verdana" w:cs="Times New Roman"/>
          <w:b/>
          <w:bCs/>
          <w:lang w:val="es-ES" w:eastAsia="es-MX"/>
        </w:rPr>
        <w:t xml:space="preserve">EDIFICACIONES ADMINISTRATIVAS – Documentos tipo – Obra – Consultoría – Aplicación – Matriz 1 </w:t>
      </w:r>
    </w:p>
    <w:p w14:paraId="36B14DD2" w14:textId="77777777" w:rsidR="002E3B5F" w:rsidRPr="002E3B5F" w:rsidRDefault="002E3B5F" w:rsidP="002E3B5F">
      <w:pPr>
        <w:spacing w:after="0" w:line="276" w:lineRule="auto"/>
        <w:jc w:val="both"/>
        <w:rPr>
          <w:rFonts w:ascii="Verdana" w:eastAsia="Calibri" w:hAnsi="Verdana" w:cs="Arial"/>
          <w:color w:val="0D0D0D"/>
          <w:lang w:val="es-ES" w:eastAsia="es-MX"/>
        </w:rPr>
      </w:pPr>
    </w:p>
    <w:p w14:paraId="4B034BE1" w14:textId="77777777" w:rsidR="002E3B5F" w:rsidRPr="002E3B5F" w:rsidRDefault="002E3B5F" w:rsidP="002E3B5F">
      <w:pPr>
        <w:snapToGrid w:val="0"/>
        <w:spacing w:after="0" w:line="240" w:lineRule="auto"/>
        <w:jc w:val="both"/>
        <w:rPr>
          <w:rFonts w:ascii="Verdana" w:eastAsia="Calibri" w:hAnsi="Verdana" w:cs="Arial"/>
          <w:color w:val="0D0D0D"/>
          <w:sz w:val="20"/>
          <w:szCs w:val="20"/>
          <w:lang w:eastAsia="es-MX"/>
        </w:rPr>
      </w:pPr>
      <w:r w:rsidRPr="002E3B5F">
        <w:rPr>
          <w:rFonts w:ascii="Verdana" w:eastAsia="Calibri" w:hAnsi="Verdana" w:cs="Arial"/>
          <w:color w:val="0D0D0D"/>
          <w:sz w:val="20"/>
          <w:szCs w:val="20"/>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2E3B5F">
        <w:rPr>
          <w:rFonts w:ascii="Verdana" w:eastAsia="Calibri" w:hAnsi="Verdana" w:cs="Arial"/>
          <w:color w:val="0D0D0D"/>
          <w:sz w:val="20"/>
          <w:szCs w:val="20"/>
          <w:lang w:eastAsia="es-MX"/>
        </w:rPr>
        <w:t>etc</w:t>
      </w:r>
      <w:proofErr w:type="spellEnd"/>
      <w:r w:rsidRPr="002E3B5F">
        <w:rPr>
          <w:rFonts w:ascii="Verdana" w:eastAsia="Calibri" w:hAnsi="Verdana" w:cs="Arial"/>
          <w:color w:val="0D0D0D"/>
          <w:sz w:val="20"/>
          <w:szCs w:val="20"/>
          <w:lang w:eastAsia="es-MX"/>
        </w:rPr>
        <w:t xml:space="preserve">) principalmente para el beneficio e interés público”. </w:t>
      </w:r>
    </w:p>
    <w:p w14:paraId="5882C15E" w14:textId="77777777" w:rsidR="002E3B5F" w:rsidRPr="002E3B5F" w:rsidRDefault="002E3B5F" w:rsidP="002E3B5F">
      <w:pPr>
        <w:snapToGrid w:val="0"/>
        <w:spacing w:after="0" w:line="240" w:lineRule="auto"/>
        <w:jc w:val="both"/>
        <w:rPr>
          <w:rFonts w:ascii="Verdana" w:eastAsia="Calibri" w:hAnsi="Verdana" w:cs="Times New Roman"/>
          <w:b/>
          <w:bCs/>
          <w:lang w:val="es-ES" w:eastAsia="es-MX"/>
        </w:rPr>
      </w:pPr>
    </w:p>
    <w:p w14:paraId="2B4109B1" w14:textId="77777777" w:rsidR="002E3B5F" w:rsidRPr="002E3B5F" w:rsidRDefault="002E3B5F" w:rsidP="002E3B5F">
      <w:pPr>
        <w:snapToGrid w:val="0"/>
        <w:spacing w:after="0" w:line="240" w:lineRule="auto"/>
        <w:jc w:val="both"/>
        <w:rPr>
          <w:rFonts w:ascii="Verdana" w:eastAsia="Calibri" w:hAnsi="Verdana" w:cs="Times New Roman"/>
          <w:b/>
          <w:bCs/>
          <w:lang w:val="es-ES" w:eastAsia="es-MX"/>
        </w:rPr>
      </w:pPr>
      <w:r w:rsidRPr="002E3B5F">
        <w:rPr>
          <w:rFonts w:ascii="Verdana" w:eastAsia="Calibri" w:hAnsi="Verdana" w:cs="Times New Roman"/>
          <w:b/>
          <w:bCs/>
          <w:lang w:val="es-ES" w:eastAsia="es-MX"/>
        </w:rPr>
        <w:t>DOCUMENTOS TIPO – Consultoría – Infraestructura de servicio público – Resolución 952 de 2025</w:t>
      </w:r>
    </w:p>
    <w:p w14:paraId="791D9D45" w14:textId="77777777" w:rsidR="002E3B5F" w:rsidRPr="002E3B5F" w:rsidRDefault="002E3B5F" w:rsidP="002E3B5F">
      <w:pPr>
        <w:snapToGrid w:val="0"/>
        <w:spacing w:after="0" w:line="240" w:lineRule="auto"/>
        <w:jc w:val="both"/>
        <w:rPr>
          <w:rFonts w:ascii="Verdana" w:eastAsia="Calibri" w:hAnsi="Verdana" w:cs="Times New Roman"/>
          <w:b/>
          <w:bCs/>
          <w:lang w:val="es-ES" w:eastAsia="es-MX"/>
        </w:rPr>
      </w:pPr>
    </w:p>
    <w:p w14:paraId="00275555"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Arial"/>
          <w:color w:val="0D0D0D"/>
          <w:sz w:val="20"/>
          <w:szCs w:val="20"/>
          <w:lang w:eastAsia="es-MX"/>
        </w:rPr>
        <w:t>(…) Colombia Compra Eficiente también adoptó, mediante la Resolución 952 del 15 de diciembre de 2025, los documentos tipo transversales para los procesos de selección de concurso de méritos para contratar la consultoría de estudios de ingeniería de infraestructura social. En el Capítulo V de la misma Resolución –artículos 16, 17 y 18–, se acogieron documentos tipo complementarios de consultoría relacionados con el sector Institucional, los cuales aplican, de conformidad con el artículo 17 ibidem, a los procesos contractuales que correspondan a las actividades definidas en la Matriz 1 – Experiencia Consultoría Sector Institucional, documento que deberá aplicarse de forma conjunta con el documento base, los formatos, anexos y formularios transversales adoptados en el Capítulo I de la misma Resolución.</w:t>
      </w:r>
    </w:p>
    <w:p w14:paraId="00015BB3"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p>
    <w:p w14:paraId="4F278FE2"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Arial"/>
          <w:color w:val="0D0D0D"/>
          <w:sz w:val="20"/>
          <w:szCs w:val="20"/>
          <w:lang w:eastAsia="es-MX"/>
        </w:rPr>
        <w:t>(…)</w:t>
      </w:r>
    </w:p>
    <w:p w14:paraId="3BC7BF9C"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Arial"/>
          <w:color w:val="0D0D0D"/>
          <w:sz w:val="20"/>
          <w:szCs w:val="20"/>
          <w:lang w:eastAsia="es-MX"/>
        </w:rPr>
        <w:t xml:space="preserve">Sobre estos documentos tipo de consultoría resulta aplicable el mismo razonamiento expuesto en el presente concepto respecto de las edificaciones institucionales, en la medida en que la Matriz 1 – Experiencia Consultoría Sector Institucional recae, </w:t>
      </w:r>
      <w:r w:rsidRPr="002E3B5F">
        <w:rPr>
          <w:rFonts w:ascii="Verdana" w:eastAsia="Calibri" w:hAnsi="Verdana" w:cs="Arial"/>
          <w:color w:val="0D0D0D"/>
          <w:sz w:val="20"/>
          <w:szCs w:val="20"/>
          <w:lang w:eastAsia="es-MX"/>
        </w:rPr>
        <w:lastRenderedPageBreak/>
        <w:t>igualmente, sobre edificaciones o espacios destinados a funciones administrativas y a la prestación de servicios públicos, en los términos del Subgrupo de Ocupación Institucional de Servicio Público (I-5) de la NSR-10 previamente analizado. En consecuencia, si una entidad de aquellas obligadas a utilizar los documentos tipo expedidos por esta Entidad adelanta un proceso de concurso de méritos que tenga por objeto alguna de las actividades contenidas en la Matriz 1 – Experiencia Consultoría Sector Institucional, deberá implementar, a partir del 16 de febrero de 2026, los documentos tipo acogidos mediante la Resolución 952 de 2025.</w:t>
      </w:r>
    </w:p>
    <w:p w14:paraId="790E944B"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p>
    <w:p w14:paraId="3F5BEC2B"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Times New Roman"/>
          <w:b/>
          <w:bCs/>
          <w:lang w:val="es-ES" w:eastAsia="es-MX"/>
        </w:rPr>
        <w:t>DOCUMENTOS TIPO –Obra – Actividad – Mantenimiento – Reparaciones – Mejoras – Aplicación</w:t>
      </w:r>
    </w:p>
    <w:p w14:paraId="44800F41" w14:textId="77777777" w:rsidR="002E3B5F" w:rsidRPr="002E3B5F" w:rsidRDefault="002E3B5F" w:rsidP="002E3B5F">
      <w:pPr>
        <w:snapToGrid w:val="0"/>
        <w:spacing w:after="0" w:line="240" w:lineRule="auto"/>
        <w:jc w:val="both"/>
        <w:rPr>
          <w:rFonts w:ascii="Verdana" w:eastAsia="Calibri" w:hAnsi="Verdana" w:cs="Times New Roman"/>
          <w:b/>
          <w:bCs/>
          <w:lang w:val="es-ES" w:eastAsia="es-MX"/>
        </w:rPr>
      </w:pPr>
    </w:p>
    <w:p w14:paraId="7FD5FE16" w14:textId="77777777" w:rsidR="002E3B5F" w:rsidRPr="002E3B5F" w:rsidRDefault="002E3B5F" w:rsidP="002E3B5F">
      <w:pPr>
        <w:spacing w:after="0" w:line="240" w:lineRule="auto"/>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De esta forma, para adelantar el proceso relacionado con las obras de mantenimiento, mejoras y reparaciones locativas, la entidad deberá enmarcar el proceso en la actividad 2.2, la cual, como se señaló, aplica, entre otras, para las actividades señaladas que recaigan sobre infraestructura de servicio público. En consecuencia, dado que el objeto contractual descrito por el DANE corresponde a obras de mantenimiento, mejoras y reparaciones locativas de sus oficinas, actividad expresamente contemplada en la Matriz 1 – Experiencia del Sector Institucional, la entidad se encuentra obligada a estructurar y adelantar el proceso de selección aplicando los documentos tipo de obra pública de infraestructura institucional adoptados mediante las Resoluciones 539, 540 o 541 de 2025, según corresponda a la modalidad de licitación pública, selección abreviada de menor cuantía o mínima cuantía, atendiendo la cuantía estimada del proceso a contratar.</w:t>
      </w:r>
    </w:p>
    <w:p w14:paraId="4F818B27" w14:textId="77777777" w:rsidR="002E3B5F" w:rsidRPr="002E3B5F" w:rsidRDefault="002E3B5F" w:rsidP="002E3B5F">
      <w:pPr>
        <w:snapToGrid w:val="0"/>
        <w:spacing w:after="0" w:line="240" w:lineRule="auto"/>
        <w:jc w:val="both"/>
        <w:rPr>
          <w:rFonts w:ascii="Verdana" w:eastAsia="Calibri" w:hAnsi="Verdana" w:cs="Times New Roman"/>
          <w:b/>
          <w:bCs/>
          <w:lang w:val="es-ES" w:eastAsia="es-MX"/>
        </w:rPr>
      </w:pPr>
    </w:p>
    <w:p w14:paraId="37C42611"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r w:rsidRPr="002E3B5F">
        <w:rPr>
          <w:rFonts w:ascii="Verdana" w:eastAsia="Calibri" w:hAnsi="Verdana" w:cs="Times New Roman"/>
          <w:b/>
          <w:bCs/>
          <w:lang w:val="es-ES" w:eastAsia="es-MX"/>
        </w:rPr>
        <w:t>DOCUMENTOS TIPO – Consultoría – Actividad – Iluminación – Aplicación</w:t>
      </w:r>
    </w:p>
    <w:p w14:paraId="7AF53E47" w14:textId="77777777" w:rsidR="002E3B5F" w:rsidRPr="002E3B5F" w:rsidRDefault="002E3B5F" w:rsidP="002E3B5F">
      <w:pPr>
        <w:snapToGrid w:val="0"/>
        <w:spacing w:after="0" w:line="240" w:lineRule="auto"/>
        <w:jc w:val="both"/>
        <w:rPr>
          <w:rFonts w:ascii="Verdana" w:eastAsia="Aptos" w:hAnsi="Verdana" w:cs="Times New Roman"/>
          <w:kern w:val="2"/>
          <w:sz w:val="20"/>
          <w:szCs w:val="20"/>
          <w14:ligatures w14:val="standardContextual"/>
        </w:rPr>
      </w:pPr>
    </w:p>
    <w:p w14:paraId="2D631D69" w14:textId="77777777" w:rsidR="002E3B5F" w:rsidRPr="002E3B5F" w:rsidRDefault="002E3B5F" w:rsidP="002E3B5F">
      <w:pPr>
        <w:spacing w:after="120" w:line="240" w:lineRule="auto"/>
        <w:jc w:val="both"/>
        <w:rPr>
          <w:rFonts w:ascii="Verdana" w:eastAsia="Aptos" w:hAnsi="Verdana" w:cs="Aptos"/>
          <w:kern w:val="2"/>
          <w:sz w:val="20"/>
          <w:szCs w:val="20"/>
          <w14:ligatures w14:val="standardContextual"/>
        </w:rPr>
      </w:pPr>
      <w:r w:rsidRPr="002E3B5F">
        <w:rPr>
          <w:rFonts w:ascii="Verdana" w:eastAsia="Aptos" w:hAnsi="Verdana" w:cs="Aptos"/>
          <w:kern w:val="2"/>
          <w:sz w:val="20"/>
          <w:szCs w:val="20"/>
          <w14:ligatures w14:val="standardContextual"/>
        </w:rPr>
        <w:t xml:space="preserve">De esta forma, para adelantar el proceso que tiene por objeto, “contratar el diseño del sistema de iluminación interior de la sede del DANE en Barranquilla", este se enmarca dentro de la actividad 2.9 de la Matriz de Experiencia de los documentos tipo de consultoría de estudios de ingeniería de infraestructura social, adoptados mediante la Resolución 952 de 2025, en la medida en que dicha actividad comprende expresamente la consultoría a proyectos relacionados con "redes o sistemas de iluminación o luminarias" de infraestructura de servicio público. Asimismo, dado que el objeto se circunscribe a la elaboración del diseño del sistema de iluminación –sin comprender su construcción o instalación física–, la consultoría corresponde a la Fase 3 de "estudios y diseños definitivos", en los términos del artículo 12 de la Ley 1682 de 2013, por cuanto su finalidad es la elaboración de los diseños detallados que permitan a un constructor materializar posteriormente el proyecto. </w:t>
      </w:r>
    </w:p>
    <w:p w14:paraId="4E6C031C" w14:textId="77777777" w:rsidR="002E3B5F" w:rsidRPr="002E3B5F" w:rsidRDefault="002E3B5F" w:rsidP="002E3B5F">
      <w:pPr>
        <w:snapToGrid w:val="0"/>
        <w:spacing w:after="0" w:line="240" w:lineRule="auto"/>
        <w:jc w:val="both"/>
        <w:rPr>
          <w:rFonts w:ascii="Verdana" w:eastAsia="Aptos" w:hAnsi="Verdana" w:cs="Times New Roman"/>
          <w:kern w:val="2"/>
          <w:sz w:val="20"/>
          <w:szCs w:val="20"/>
          <w14:ligatures w14:val="standardContextual"/>
        </w:rPr>
      </w:pPr>
    </w:p>
    <w:p w14:paraId="20C02B55" w14:textId="77777777" w:rsidR="002E3B5F" w:rsidRPr="002E3B5F" w:rsidRDefault="002E3B5F" w:rsidP="002E3B5F">
      <w:pPr>
        <w:snapToGrid w:val="0"/>
        <w:spacing w:after="0" w:line="240" w:lineRule="auto"/>
        <w:jc w:val="both"/>
        <w:rPr>
          <w:rFonts w:ascii="Verdana" w:eastAsia="Calibri" w:hAnsi="Verdana" w:cs="Arial"/>
          <w:color w:val="0D0D0D"/>
          <w:sz w:val="20"/>
          <w:szCs w:val="20"/>
          <w:lang w:eastAsia="es-MX"/>
        </w:rPr>
      </w:pPr>
    </w:p>
    <w:p w14:paraId="074B0D69" w14:textId="77777777" w:rsidR="002E3B5F" w:rsidRDefault="002E3B5F" w:rsidP="002E3B5F">
      <w:pPr>
        <w:spacing w:after="0" w:line="240" w:lineRule="auto"/>
        <w:jc w:val="both"/>
        <w:rPr>
          <w:rFonts w:ascii="Verdana" w:eastAsia="Calibri" w:hAnsi="Verdana" w:cs="Arial"/>
          <w:color w:val="0D0D0D"/>
          <w:sz w:val="20"/>
          <w:szCs w:val="20"/>
          <w:lang w:eastAsia="es-MX"/>
        </w:rPr>
      </w:pPr>
    </w:p>
    <w:p w14:paraId="26F6A2B1" w14:textId="77777777" w:rsidR="00BE7372" w:rsidRDefault="00BE7372" w:rsidP="002E3B5F">
      <w:pPr>
        <w:spacing w:after="0" w:line="240" w:lineRule="auto"/>
        <w:jc w:val="both"/>
        <w:rPr>
          <w:rFonts w:ascii="Verdana" w:eastAsia="Calibri" w:hAnsi="Verdana" w:cs="Arial"/>
          <w:color w:val="0D0D0D"/>
          <w:sz w:val="20"/>
          <w:szCs w:val="20"/>
          <w:lang w:eastAsia="es-MX"/>
        </w:rPr>
      </w:pPr>
    </w:p>
    <w:p w14:paraId="5A21BCCB" w14:textId="77777777" w:rsidR="00BE7372" w:rsidRDefault="00BE7372" w:rsidP="002E3B5F">
      <w:pPr>
        <w:spacing w:after="0" w:line="240" w:lineRule="auto"/>
        <w:jc w:val="both"/>
        <w:rPr>
          <w:rFonts w:ascii="Verdana" w:eastAsia="Calibri" w:hAnsi="Verdana" w:cs="Arial"/>
          <w:color w:val="0D0D0D"/>
          <w:sz w:val="20"/>
          <w:szCs w:val="20"/>
          <w:lang w:eastAsia="es-MX"/>
        </w:rPr>
      </w:pPr>
    </w:p>
    <w:p w14:paraId="5A0DEEE0" w14:textId="77777777" w:rsidR="00BE7372" w:rsidRDefault="00BE7372" w:rsidP="002E3B5F">
      <w:pPr>
        <w:spacing w:after="0" w:line="240" w:lineRule="auto"/>
        <w:jc w:val="both"/>
        <w:rPr>
          <w:rFonts w:ascii="Verdana" w:eastAsia="Calibri" w:hAnsi="Verdana" w:cs="Arial"/>
          <w:color w:val="0D0D0D"/>
          <w:sz w:val="20"/>
          <w:szCs w:val="20"/>
          <w:lang w:eastAsia="es-MX"/>
        </w:rPr>
      </w:pPr>
    </w:p>
    <w:p w14:paraId="6DADB5D5" w14:textId="77777777" w:rsidR="00BE7372" w:rsidRPr="002E3B5F" w:rsidRDefault="00BE7372" w:rsidP="002E3B5F">
      <w:pPr>
        <w:spacing w:after="0" w:line="240" w:lineRule="auto"/>
        <w:jc w:val="both"/>
        <w:rPr>
          <w:rFonts w:ascii="Verdana" w:eastAsia="Calibri" w:hAnsi="Verdana" w:cs="Arial"/>
          <w:color w:val="0D0D0D"/>
          <w:sz w:val="20"/>
          <w:szCs w:val="20"/>
          <w:lang w:eastAsia="es-MX"/>
        </w:rPr>
      </w:pPr>
    </w:p>
    <w:p w14:paraId="654E2B17" w14:textId="77777777" w:rsidR="002E3B5F" w:rsidRPr="002E3B5F" w:rsidRDefault="002E3B5F" w:rsidP="002E3B5F">
      <w:pPr>
        <w:spacing w:after="0" w:line="240" w:lineRule="auto"/>
        <w:jc w:val="both"/>
        <w:rPr>
          <w:rFonts w:ascii="Verdana" w:eastAsia="Calibri" w:hAnsi="Verdana" w:cs="Arial"/>
          <w:color w:val="0D0D0D"/>
          <w:sz w:val="20"/>
          <w:szCs w:val="20"/>
          <w:lang w:eastAsia="es-MX"/>
        </w:rPr>
      </w:pPr>
    </w:p>
    <w:p w14:paraId="02D8092B" w14:textId="6489387D" w:rsidR="002E3B5F" w:rsidRDefault="002E3B5F" w:rsidP="002E3B5F">
      <w:pPr>
        <w:spacing w:after="0" w:line="278" w:lineRule="auto"/>
        <w:rPr>
          <w:rFonts w:ascii="Verdana" w:eastAsia="Aptos" w:hAnsi="Verdana" w:cs="Times New Roman"/>
          <w:kern w:val="2"/>
          <w14:ligatures w14:val="standardContextual"/>
        </w:rPr>
      </w:pPr>
      <w:r w:rsidRPr="002E3B5F">
        <w:rPr>
          <w:rFonts w:ascii="Verdana" w:eastAsia="Aptos" w:hAnsi="Verdana" w:cs="Times New Roman"/>
          <w:kern w:val="2"/>
          <w14:ligatures w14:val="standardContextual"/>
        </w:rPr>
        <w:t xml:space="preserve">Bogotá D.C., </w:t>
      </w:r>
      <w:r w:rsidR="00353FBA">
        <w:rPr>
          <w:rFonts w:ascii="Verdana" w:eastAsia="Aptos" w:hAnsi="Verdana" w:cs="Times New Roman"/>
          <w:kern w:val="2"/>
          <w14:ligatures w14:val="standardContextual"/>
        </w:rPr>
        <w:t>5 de agosto de 2026</w:t>
      </w:r>
    </w:p>
    <w:p w14:paraId="2FE73234" w14:textId="4B621F0B" w:rsidR="00353FBA" w:rsidRDefault="00353FBA" w:rsidP="002E3B5F">
      <w:pPr>
        <w:spacing w:after="0" w:line="278" w:lineRule="auto"/>
        <w:rPr>
          <w:rFonts w:ascii="Verdana" w:eastAsia="Aptos" w:hAnsi="Verdana" w:cs="Times New Roman"/>
          <w:kern w:val="2"/>
          <w14:ligatures w14:val="standardContextual"/>
        </w:rPr>
      </w:pPr>
    </w:p>
    <w:p w14:paraId="3FDB601E" w14:textId="0E4DD618" w:rsidR="001643AC" w:rsidRPr="000C152E" w:rsidRDefault="00D24083" w:rsidP="000C152E">
      <w:pPr>
        <w:spacing w:after="0" w:line="278" w:lineRule="auto"/>
        <w:jc w:val="right"/>
        <w:rPr>
          <w:rFonts w:ascii="Verdana" w:eastAsia="Aptos" w:hAnsi="Verdana" w:cs="Times New Roman"/>
          <w:kern w:val="2"/>
          <w14:ligatures w14:val="standardContextual"/>
        </w:rPr>
      </w:pPr>
      <w:r w:rsidRPr="00353FBA">
        <w:rPr>
          <w:rFonts w:ascii="Verdana" w:eastAsia="Aptos" w:hAnsi="Verdana" w:cs="Times New Roman"/>
          <w:noProof/>
          <w:kern w:val="2"/>
          <w14:ligatures w14:val="standardContextual"/>
        </w:rPr>
        <w:drawing>
          <wp:anchor distT="0" distB="0" distL="114300" distR="114300" simplePos="0" relativeHeight="251658240" behindDoc="0" locked="0" layoutInCell="1" allowOverlap="1" wp14:anchorId="35872039" wp14:editId="5B1B1C2D">
            <wp:simplePos x="0" y="0"/>
            <wp:positionH relativeFrom="margin">
              <wp:align>right</wp:align>
            </wp:positionH>
            <wp:positionV relativeFrom="paragraph">
              <wp:posOffset>10078</wp:posOffset>
            </wp:positionV>
            <wp:extent cx="2551654" cy="938254"/>
            <wp:effectExtent l="0" t="0" r="1270" b="0"/>
            <wp:wrapNone/>
            <wp:docPr id="3086280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2809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1654" cy="938254"/>
                    </a:xfrm>
                    <a:prstGeom prst="rect">
                      <a:avLst/>
                    </a:prstGeom>
                  </pic:spPr>
                </pic:pic>
              </a:graphicData>
            </a:graphic>
            <wp14:sizeRelH relativeFrom="page">
              <wp14:pctWidth>0</wp14:pctWidth>
            </wp14:sizeRelH>
            <wp14:sizeRelV relativeFrom="page">
              <wp14:pctHeight>0</wp14:pctHeight>
            </wp14:sizeRelV>
          </wp:anchor>
        </w:drawing>
      </w:r>
    </w:p>
    <w:p w14:paraId="3C539566" w14:textId="77777777" w:rsidR="002E3B5F" w:rsidRPr="002E3B5F" w:rsidRDefault="002E3B5F" w:rsidP="002E3B5F">
      <w:pPr>
        <w:spacing w:after="0" w:line="240" w:lineRule="auto"/>
        <w:rPr>
          <w:rFonts w:ascii="Verdana" w:eastAsia="Calibri" w:hAnsi="Verdana" w:cs="Arial"/>
          <w:lang w:val="es-ES" w:eastAsia="es-ES"/>
        </w:rPr>
      </w:pPr>
      <w:r w:rsidRPr="002E3B5F">
        <w:rPr>
          <w:rFonts w:ascii="Verdana" w:eastAsia="Calibri" w:hAnsi="Verdana" w:cs="Arial"/>
          <w:lang w:val="es-ES" w:eastAsia="es-ES"/>
        </w:rPr>
        <w:t>Señora</w:t>
      </w:r>
    </w:p>
    <w:p w14:paraId="6D974BAF" w14:textId="77777777" w:rsidR="002E3B5F" w:rsidRPr="002E3B5F" w:rsidRDefault="002E3B5F" w:rsidP="002E3B5F">
      <w:pPr>
        <w:spacing w:after="0" w:line="240" w:lineRule="auto"/>
        <w:rPr>
          <w:rFonts w:ascii="Verdana" w:eastAsia="Aptos" w:hAnsi="Verdana" w:cs="Times New Roman"/>
          <w:b/>
          <w:bCs/>
          <w:kern w:val="2"/>
          <w14:ligatures w14:val="standardContextual"/>
        </w:rPr>
      </w:pPr>
      <w:r w:rsidRPr="002E3B5F">
        <w:rPr>
          <w:rFonts w:ascii="Verdana" w:eastAsia="Aptos" w:hAnsi="Verdana" w:cs="Times New Roman"/>
          <w:b/>
          <w:bCs/>
          <w:kern w:val="2"/>
          <w14:ligatures w14:val="standardContextual"/>
        </w:rPr>
        <w:t>Isabel Rohenes</w:t>
      </w:r>
    </w:p>
    <w:p w14:paraId="603F6C69" w14:textId="77777777" w:rsidR="002E3B5F" w:rsidRPr="002E3B5F" w:rsidRDefault="002E3B5F" w:rsidP="002E3B5F">
      <w:pPr>
        <w:spacing w:after="0" w:line="240" w:lineRule="auto"/>
        <w:rPr>
          <w:rFonts w:ascii="Verdana" w:eastAsia="Aptos" w:hAnsi="Verdana" w:cs="Times New Roman"/>
          <w:kern w:val="2"/>
          <w14:ligatures w14:val="standardContextual"/>
        </w:rPr>
      </w:pPr>
      <w:hyperlink r:id="rId11" w:history="1">
        <w:r w:rsidRPr="002E3B5F">
          <w:rPr>
            <w:rFonts w:ascii="Verdana" w:eastAsia="Aptos" w:hAnsi="Verdana" w:cs="Times New Roman"/>
            <w:color w:val="0000FF"/>
            <w:kern w:val="2"/>
            <w:u w:val="single"/>
            <w14:ligatures w14:val="standardContextual"/>
          </w:rPr>
          <w:t>imroheness@dane.gov.co</w:t>
        </w:r>
      </w:hyperlink>
      <w:r w:rsidRPr="002E3B5F">
        <w:rPr>
          <w:rFonts w:ascii="Verdana" w:eastAsia="Aptos" w:hAnsi="Verdana" w:cs="Times New Roman"/>
          <w:kern w:val="2"/>
          <w14:ligatures w14:val="standardContextual"/>
        </w:rPr>
        <w:t xml:space="preserve"> </w:t>
      </w:r>
    </w:p>
    <w:p w14:paraId="7C2EF14D" w14:textId="77777777" w:rsidR="002E3B5F" w:rsidRPr="002E3B5F" w:rsidRDefault="002E3B5F" w:rsidP="002E3B5F">
      <w:pPr>
        <w:spacing w:after="0" w:line="240" w:lineRule="auto"/>
        <w:rPr>
          <w:rFonts w:ascii="Verdana" w:eastAsia="Aptos" w:hAnsi="Verdana" w:cs="Times New Roman"/>
          <w:lang w:eastAsia="es-MX"/>
        </w:rPr>
      </w:pPr>
      <w:r w:rsidRPr="002E3B5F">
        <w:rPr>
          <w:rFonts w:ascii="Verdana" w:eastAsia="Aptos" w:hAnsi="Verdana" w:cs="Times New Roman"/>
          <w:lang w:eastAsia="es-MX"/>
        </w:rPr>
        <w:t xml:space="preserve">Barranquilla, Atlántico </w:t>
      </w:r>
    </w:p>
    <w:p w14:paraId="2FEC0C29" w14:textId="77777777" w:rsidR="002E3B5F" w:rsidRDefault="002E3B5F" w:rsidP="002E3B5F">
      <w:pPr>
        <w:spacing w:after="0" w:line="240" w:lineRule="auto"/>
        <w:rPr>
          <w:rFonts w:ascii="Verdana" w:eastAsia="Calibri" w:hAnsi="Verdana" w:cs="Arial"/>
          <w:b/>
          <w:bCs/>
          <w:lang w:val="es-ES_tradnl" w:eastAsia="es-ES_tradnl"/>
        </w:rPr>
      </w:pPr>
    </w:p>
    <w:p w14:paraId="5C3C0E34" w14:textId="77777777" w:rsidR="001643AC" w:rsidRPr="002E3B5F" w:rsidRDefault="001643AC" w:rsidP="002E3B5F">
      <w:pPr>
        <w:spacing w:after="0" w:line="240" w:lineRule="auto"/>
        <w:rPr>
          <w:rFonts w:ascii="Verdana" w:eastAsia="Calibri" w:hAnsi="Verdana" w:cs="Arial"/>
          <w:b/>
          <w:bCs/>
          <w:lang w:val="es-ES_tradnl" w:eastAsia="es-ES_tradnl"/>
        </w:rPr>
      </w:pPr>
    </w:p>
    <w:tbl>
      <w:tblPr>
        <w:tblStyle w:val="Tablaconcuadrcula"/>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100"/>
      </w:tblGrid>
      <w:tr w:rsidR="002E3B5F" w:rsidRPr="002E3B5F" w14:paraId="232AAA32" w14:textId="77777777" w:rsidTr="00933CEA">
        <w:trPr>
          <w:trHeight w:val="229"/>
        </w:trPr>
        <w:tc>
          <w:tcPr>
            <w:tcW w:w="2268" w:type="dxa"/>
          </w:tcPr>
          <w:p w14:paraId="0D9B5E09" w14:textId="77777777" w:rsidR="002E3B5F" w:rsidRPr="002E3B5F" w:rsidRDefault="002E3B5F" w:rsidP="002E3B5F">
            <w:pPr>
              <w:jc w:val="both"/>
              <w:rPr>
                <w:rFonts w:ascii="Verdana" w:eastAsia="Calibri" w:hAnsi="Verdana" w:cs="Arial"/>
                <w:b/>
                <w:bCs/>
                <w:lang w:val="es-ES_tradnl" w:eastAsia="es-ES_tradnl"/>
              </w:rPr>
            </w:pPr>
          </w:p>
        </w:tc>
        <w:tc>
          <w:tcPr>
            <w:tcW w:w="6100" w:type="dxa"/>
          </w:tcPr>
          <w:p w14:paraId="1C732A48" w14:textId="77777777" w:rsidR="002E3B5F" w:rsidRDefault="002E3B5F" w:rsidP="002E3B5F">
            <w:pPr>
              <w:jc w:val="both"/>
              <w:rPr>
                <w:rFonts w:ascii="Verdana" w:eastAsia="Calibri" w:hAnsi="Verdana" w:cs="Arial"/>
                <w:b/>
                <w:bCs/>
                <w:lang w:val="es-ES" w:eastAsia="es-ES"/>
              </w:rPr>
            </w:pPr>
            <w:r w:rsidRPr="002E3B5F">
              <w:rPr>
                <w:rFonts w:ascii="Verdana" w:eastAsia="Calibri" w:hAnsi="Verdana" w:cs="Arial"/>
                <w:b/>
                <w:bCs/>
                <w:lang w:val="es-ES" w:eastAsia="es-ES"/>
              </w:rPr>
              <w:t xml:space="preserve">Concepto </w:t>
            </w:r>
            <w:bookmarkStart w:id="1" w:name="OLE_LINK1"/>
            <w:r w:rsidRPr="002E3B5F">
              <w:rPr>
                <w:rFonts w:ascii="Verdana" w:eastAsia="Calibri" w:hAnsi="Verdana" w:cs="Arial"/>
                <w:b/>
                <w:bCs/>
                <w:lang w:val="es-ES" w:eastAsia="es-ES"/>
              </w:rPr>
              <w:t>C-1048 de 2026</w:t>
            </w:r>
            <w:bookmarkEnd w:id="1"/>
          </w:p>
          <w:p w14:paraId="3841F9C4" w14:textId="77777777" w:rsidR="001643AC" w:rsidRPr="002E3B5F" w:rsidRDefault="001643AC" w:rsidP="002E3B5F">
            <w:pPr>
              <w:jc w:val="both"/>
              <w:rPr>
                <w:rFonts w:ascii="Verdana" w:eastAsia="Calibri" w:hAnsi="Verdana" w:cs="Arial"/>
                <w:b/>
                <w:bCs/>
                <w:lang w:val="es-ES" w:eastAsia="es-ES"/>
              </w:rPr>
            </w:pPr>
          </w:p>
          <w:p w14:paraId="0929C9AD" w14:textId="77777777" w:rsidR="002E3B5F" w:rsidRPr="002E3B5F" w:rsidRDefault="002E3B5F" w:rsidP="002E3B5F">
            <w:pPr>
              <w:jc w:val="both"/>
              <w:rPr>
                <w:rFonts w:ascii="Verdana" w:eastAsia="Calibri" w:hAnsi="Verdana" w:cs="Arial"/>
                <w:b/>
                <w:bCs/>
                <w:lang w:val="es-ES" w:eastAsia="es-ES"/>
              </w:rPr>
            </w:pPr>
          </w:p>
        </w:tc>
      </w:tr>
      <w:tr w:rsidR="002E3B5F" w:rsidRPr="002E3B5F" w14:paraId="49605B72" w14:textId="77777777" w:rsidTr="00933CEA">
        <w:trPr>
          <w:trHeight w:val="884"/>
        </w:trPr>
        <w:tc>
          <w:tcPr>
            <w:tcW w:w="2268" w:type="dxa"/>
          </w:tcPr>
          <w:p w14:paraId="36D00A6B" w14:textId="77777777" w:rsidR="002E3B5F" w:rsidRPr="002E3B5F" w:rsidRDefault="002E3B5F" w:rsidP="002E3B5F">
            <w:pPr>
              <w:jc w:val="both"/>
              <w:rPr>
                <w:rFonts w:ascii="Verdana" w:eastAsia="Calibri" w:hAnsi="Verdana" w:cs="Arial"/>
                <w:lang w:val="es-ES_tradnl" w:eastAsia="es-ES_tradnl"/>
              </w:rPr>
            </w:pPr>
            <w:r w:rsidRPr="002E3B5F">
              <w:rPr>
                <w:rFonts w:ascii="Verdana" w:eastAsia="Calibri" w:hAnsi="Verdana" w:cs="Arial"/>
                <w:b/>
                <w:lang w:val="es-ES_tradnl" w:eastAsia="es-ES_tradnl"/>
              </w:rPr>
              <w:t>Temas:</w:t>
            </w:r>
            <w:r w:rsidRPr="002E3B5F">
              <w:rPr>
                <w:rFonts w:ascii="Verdana" w:eastAsia="Calibri" w:hAnsi="Verdana" w:cs="Arial"/>
                <w:lang w:val="es-ES_tradnl" w:eastAsia="es-ES_tradnl"/>
              </w:rPr>
              <w:t xml:space="preserve">                   </w:t>
            </w:r>
          </w:p>
        </w:tc>
        <w:tc>
          <w:tcPr>
            <w:tcW w:w="6100" w:type="dxa"/>
          </w:tcPr>
          <w:p w14:paraId="662C84EF" w14:textId="77777777" w:rsidR="002E3B5F" w:rsidRDefault="002E3B5F" w:rsidP="002E3B5F">
            <w:pPr>
              <w:jc w:val="both"/>
              <w:rPr>
                <w:rFonts w:ascii="Verdana" w:eastAsia="Calibri" w:hAnsi="Verdana" w:cs="Times New Roman"/>
                <w:lang w:val="es-ES" w:eastAsia="es-MX"/>
              </w:rPr>
            </w:pPr>
            <w:r w:rsidRPr="002E3B5F">
              <w:rPr>
                <w:rFonts w:ascii="Verdana" w:eastAsia="Calibri" w:hAnsi="Verdana" w:cs="Arial"/>
                <w:lang w:val="es-ES_tradnl" w:eastAsia="es-MX"/>
              </w:rPr>
              <w:t>DOCUMENTOS TIPO – Fundamento normativo – Obligatoriedad / SECTOR SOCIAL</w:t>
            </w:r>
            <w:r w:rsidRPr="002E3B5F">
              <w:rPr>
                <w:rFonts w:ascii="Verdana" w:eastAsia="Calibri" w:hAnsi="Verdana" w:cs="Times New Roman"/>
                <w:lang w:val="es-ES" w:eastAsia="es-MX"/>
              </w:rPr>
              <w:t xml:space="preserve"> – Documentos tipo – Vigentes / DOCUMENTOS TIPO – Aplicación – Matriz de Experiencia </w:t>
            </w:r>
            <w:r w:rsidRPr="002E3B5F">
              <w:rPr>
                <w:rFonts w:ascii="Verdana" w:eastAsia="Calibri" w:hAnsi="Verdana" w:cs="Times New Roman"/>
                <w:sz w:val="20"/>
                <w:szCs w:val="20"/>
                <w:lang w:val="es-ES" w:eastAsia="es-MX"/>
              </w:rPr>
              <w:t xml:space="preserve">/ </w:t>
            </w:r>
            <w:r w:rsidRPr="002E3B5F">
              <w:rPr>
                <w:rFonts w:ascii="Verdana" w:eastAsia="Calibri" w:hAnsi="Verdana" w:cs="Times New Roman"/>
                <w:lang w:val="es-ES" w:eastAsia="es-MX"/>
              </w:rPr>
              <w:t>DOCUMENTOS TIPO – Sector social – Infraestructura de servicio público – NSR-10 / EDIFICACIONES ADMINISTRATIVAS – Documentos tipo – Obra – Consultoría – Aplicación – Matriz 1 / DOCUMENTOS TIPO – Consultoría – Infraestructura de servicio público – Resolución 952 de 2025 / DOCUMENTOS TIPO –Obra – Actividad – Mantenimiento – Reparaciones – Mejoras – Aplicación / DOCUMENTOS TIPO – Consultoría – Actividad – Iluminación – Aplicación</w:t>
            </w:r>
          </w:p>
          <w:p w14:paraId="632F682E" w14:textId="77777777" w:rsidR="001643AC" w:rsidRPr="002E3B5F" w:rsidRDefault="001643AC" w:rsidP="002E3B5F">
            <w:pPr>
              <w:jc w:val="both"/>
              <w:rPr>
                <w:rFonts w:ascii="Verdana" w:eastAsia="Calibri" w:hAnsi="Verdana" w:cs="Times New Roman"/>
                <w:lang w:val="es-ES" w:eastAsia="es-MX"/>
              </w:rPr>
            </w:pPr>
          </w:p>
          <w:p w14:paraId="54F4AB66" w14:textId="77777777" w:rsidR="002E3B5F" w:rsidRPr="002E3B5F" w:rsidRDefault="002E3B5F" w:rsidP="002E3B5F">
            <w:pPr>
              <w:jc w:val="both"/>
              <w:rPr>
                <w:rFonts w:ascii="Verdana" w:eastAsia="Calibri" w:hAnsi="Verdana" w:cs="Arial"/>
                <w:color w:val="0D0D0D"/>
                <w:sz w:val="20"/>
                <w:szCs w:val="20"/>
                <w:lang w:eastAsia="es-MX"/>
              </w:rPr>
            </w:pPr>
          </w:p>
        </w:tc>
      </w:tr>
      <w:tr w:rsidR="002E3B5F" w:rsidRPr="002E3B5F" w14:paraId="3DCC1E7C" w14:textId="77777777" w:rsidTr="00933CEA">
        <w:tc>
          <w:tcPr>
            <w:tcW w:w="2268" w:type="dxa"/>
          </w:tcPr>
          <w:p w14:paraId="10A0F3C4" w14:textId="77777777" w:rsidR="002E3B5F" w:rsidRPr="002E3B5F" w:rsidRDefault="002E3B5F" w:rsidP="002E3B5F">
            <w:pPr>
              <w:jc w:val="both"/>
              <w:rPr>
                <w:rFonts w:ascii="Verdana" w:eastAsia="Calibri" w:hAnsi="Verdana" w:cs="Arial"/>
                <w:b/>
                <w:lang w:val="es-ES_tradnl" w:eastAsia="es-ES_tradnl"/>
              </w:rPr>
            </w:pPr>
            <w:r w:rsidRPr="002E3B5F">
              <w:rPr>
                <w:rFonts w:ascii="Verdana" w:eastAsia="Calibri" w:hAnsi="Verdana" w:cs="Arial"/>
                <w:b/>
                <w:lang w:val="es-ES_tradnl" w:eastAsia="es-ES_tradnl"/>
              </w:rPr>
              <w:t>Radicación:</w:t>
            </w:r>
            <w:r w:rsidRPr="002E3B5F">
              <w:rPr>
                <w:rFonts w:ascii="Verdana" w:eastAsia="Calibri" w:hAnsi="Verdana" w:cs="Arial"/>
                <w:lang w:val="es-ES_tradnl" w:eastAsia="es-ES_tradnl"/>
              </w:rPr>
              <w:t xml:space="preserve">               </w:t>
            </w:r>
          </w:p>
        </w:tc>
        <w:tc>
          <w:tcPr>
            <w:tcW w:w="6100" w:type="dxa"/>
          </w:tcPr>
          <w:p w14:paraId="09B46765" w14:textId="77777777" w:rsidR="002E3B5F" w:rsidRPr="002E3B5F" w:rsidRDefault="002E3B5F" w:rsidP="002E3B5F">
            <w:pPr>
              <w:ind w:left="3" w:hanging="3"/>
              <w:jc w:val="both"/>
              <w:rPr>
                <w:rFonts w:ascii="Verdana" w:eastAsia="Calibri" w:hAnsi="Verdana" w:cs="Arial"/>
                <w:lang w:val="es-ES_tradnl" w:eastAsia="es-ES_tradnl"/>
              </w:rPr>
            </w:pPr>
            <w:r w:rsidRPr="002E3B5F">
              <w:rPr>
                <w:rFonts w:ascii="Verdana" w:eastAsia="Calibri" w:hAnsi="Verdana" w:cs="Arial"/>
                <w:lang w:val="es-ES_tradnl" w:eastAsia="es-ES_tradnl"/>
              </w:rPr>
              <w:t xml:space="preserve">Respuesta a consulta con radicado No. </w:t>
            </w:r>
            <w:r w:rsidRPr="002E3B5F">
              <w:rPr>
                <w:rFonts w:ascii="Verdana" w:eastAsia="Aptos" w:hAnsi="Verdana" w:cs="Calibri"/>
                <w:color w:val="242424"/>
              </w:rPr>
              <w:t>1_2026_07_01_008762</w:t>
            </w:r>
          </w:p>
          <w:p w14:paraId="68EF4237" w14:textId="77777777" w:rsidR="002E3B5F" w:rsidRPr="002E3B5F" w:rsidRDefault="002E3B5F" w:rsidP="002E3B5F">
            <w:pPr>
              <w:ind w:left="3" w:hanging="3"/>
              <w:jc w:val="both"/>
              <w:rPr>
                <w:rFonts w:ascii="Verdana" w:eastAsia="Calibri" w:hAnsi="Verdana" w:cs="Arial"/>
                <w:lang w:val="es-ES_tradnl" w:eastAsia="es-ES_tradnl"/>
              </w:rPr>
            </w:pPr>
          </w:p>
        </w:tc>
      </w:tr>
    </w:tbl>
    <w:p w14:paraId="5ABA411B" w14:textId="77777777" w:rsidR="002E3B5F" w:rsidRPr="002E3B5F" w:rsidRDefault="002E3B5F" w:rsidP="002E3B5F">
      <w:pPr>
        <w:spacing w:after="0" w:line="240" w:lineRule="auto"/>
        <w:rPr>
          <w:rFonts w:ascii="Verdana" w:eastAsia="Aptos" w:hAnsi="Verdana" w:cs="Times New Roman"/>
          <w:b/>
          <w:bCs/>
          <w:kern w:val="2"/>
          <w14:ligatures w14:val="standardContextual"/>
        </w:rPr>
      </w:pPr>
      <w:r w:rsidRPr="002E3B5F">
        <w:rPr>
          <w:rFonts w:ascii="Verdana" w:eastAsia="Calibri" w:hAnsi="Verdana" w:cs="Arial"/>
          <w:lang w:val="es-ES" w:eastAsia="es-ES"/>
        </w:rPr>
        <w:t xml:space="preserve">Estimada señora </w:t>
      </w:r>
      <w:proofErr w:type="spellStart"/>
      <w:r w:rsidRPr="002E3B5F">
        <w:rPr>
          <w:rFonts w:ascii="Verdana" w:eastAsia="Aptos" w:hAnsi="Verdana" w:cs="Times New Roman"/>
          <w:kern w:val="2"/>
          <w14:ligatures w14:val="standardContextual"/>
        </w:rPr>
        <w:t>Rohenes</w:t>
      </w:r>
      <w:proofErr w:type="spellEnd"/>
      <w:r w:rsidRPr="002E3B5F">
        <w:rPr>
          <w:rFonts w:ascii="Verdana" w:eastAsia="Calibri" w:hAnsi="Verdana" w:cs="Arial"/>
          <w:lang w:val="es-ES" w:eastAsia="es-ES"/>
        </w:rPr>
        <w:t xml:space="preserve">: </w:t>
      </w:r>
    </w:p>
    <w:p w14:paraId="36607C48" w14:textId="77777777" w:rsidR="002E3B5F" w:rsidRPr="002E3B5F" w:rsidRDefault="002E3B5F" w:rsidP="002E3B5F">
      <w:pPr>
        <w:tabs>
          <w:tab w:val="left" w:pos="3768"/>
        </w:tabs>
        <w:spacing w:after="0" w:line="276" w:lineRule="auto"/>
        <w:jc w:val="both"/>
        <w:rPr>
          <w:rFonts w:ascii="Verdana" w:eastAsia="Calibri" w:hAnsi="Verdana" w:cs="Arial"/>
          <w:lang w:val="es-ES" w:eastAsia="es-ES"/>
        </w:rPr>
      </w:pPr>
      <w:r w:rsidRPr="002E3B5F">
        <w:rPr>
          <w:rFonts w:ascii="Verdana" w:eastAsia="Calibri" w:hAnsi="Verdana" w:cs="Arial"/>
          <w:lang w:val="es-ES" w:eastAsia="es-ES"/>
        </w:rPr>
        <w:tab/>
      </w:r>
    </w:p>
    <w:p w14:paraId="2E8C96F8" w14:textId="77777777" w:rsidR="002E3B5F" w:rsidRPr="002E3B5F" w:rsidRDefault="002E3B5F" w:rsidP="002E3B5F">
      <w:pPr>
        <w:spacing w:after="0" w:line="276" w:lineRule="auto"/>
        <w:jc w:val="both"/>
        <w:rPr>
          <w:rFonts w:ascii="Verdana" w:eastAsia="Calibri" w:hAnsi="Verdana" w:cs="Arial"/>
          <w:lang w:val="es-ES" w:eastAsia="es-ES"/>
        </w:rPr>
      </w:pPr>
      <w:r w:rsidRPr="002E3B5F">
        <w:rPr>
          <w:rFonts w:ascii="Verdana" w:eastAsia="Calibri" w:hAnsi="Verdana" w:cs="Arial"/>
          <w:lang w:val="es-ES" w:eastAsia="es-ES"/>
        </w:rPr>
        <w:t>En ejercicio de la competencia otorgada por los artículos 3, numeral 5º, y 11, numeral 8º, del Decreto Ley 4170 de 2011,</w:t>
      </w:r>
      <w:r w:rsidRPr="002E3B5F">
        <w:rPr>
          <w:rFonts w:ascii="Verdana" w:eastAsia="Arial MT" w:hAnsi="Verdana" w:cs="Arial MT"/>
          <w:lang w:val="es-ES" w:eastAsia="es-ES"/>
        </w:rPr>
        <w:t xml:space="preserve"> </w:t>
      </w:r>
      <w:r w:rsidRPr="002E3B5F">
        <w:rPr>
          <w:rFonts w:ascii="Verdana" w:eastAsia="Calibri" w:hAnsi="Verdana" w:cs="Arial"/>
          <w:lang w:eastAsia="es-MX"/>
        </w:rPr>
        <w:t xml:space="preserve">así como lo establecido por la </w:t>
      </w:r>
      <w:r w:rsidRPr="002E3B5F">
        <w:rPr>
          <w:rFonts w:ascii="Verdana" w:eastAsia="Aptos" w:hAnsi="Verdana" w:cs="Arial"/>
          <w:bCs/>
          <w:lang w:eastAsia="es-ES" w:bidi="es-ES"/>
        </w:rPr>
        <w:t>Resolución 469 de 2025 expedida por esta Entidad</w:t>
      </w:r>
      <w:r w:rsidRPr="002E3B5F">
        <w:rPr>
          <w:rFonts w:ascii="Verdana" w:eastAsia="Calibri" w:hAnsi="Verdana" w:cs="Arial"/>
          <w:lang w:eastAsia="es-MX"/>
        </w:rPr>
        <w:t xml:space="preserve">, </w:t>
      </w:r>
      <w:r w:rsidRPr="002E3B5F">
        <w:rPr>
          <w:rFonts w:ascii="Verdana" w:eastAsia="Calibri" w:hAnsi="Verdana" w:cs="Arial"/>
          <w:lang w:val="es-ES" w:eastAsia="es-ES"/>
        </w:rPr>
        <w:t xml:space="preserve">la Agencia Nacional de Contratación Pública – Colombia Compra Eficiente– responde sus solicitudes de consulta del 1 de julio de 2026, en la cual manifiesta lo siguiente: </w:t>
      </w:r>
    </w:p>
    <w:p w14:paraId="62888680" w14:textId="77777777" w:rsidR="002E3B5F" w:rsidRPr="002E3B5F" w:rsidRDefault="002E3B5F" w:rsidP="002E3B5F">
      <w:pPr>
        <w:tabs>
          <w:tab w:val="left" w:pos="142"/>
          <w:tab w:val="left" w:pos="284"/>
        </w:tabs>
        <w:spacing w:after="0" w:line="276" w:lineRule="auto"/>
        <w:ind w:left="709" w:right="709"/>
        <w:jc w:val="both"/>
        <w:rPr>
          <w:rFonts w:ascii="Verdana" w:eastAsia="Century Gothic" w:hAnsi="Verdana" w:cs="Century Gothic"/>
          <w:b/>
          <w:bCs/>
          <w:lang w:val="es-ES" w:eastAsia="es-MX"/>
        </w:rPr>
      </w:pPr>
    </w:p>
    <w:p w14:paraId="2A9CD79C"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Times New Roman" w:hAnsi="Verdana" w:cs="Times New Roman"/>
          <w:color w:val="242424"/>
          <w:sz w:val="20"/>
          <w:szCs w:val="20"/>
          <w:lang w:eastAsia="es-MX"/>
        </w:rPr>
        <w:t>“</w:t>
      </w:r>
      <w:r w:rsidRPr="002E3B5F">
        <w:rPr>
          <w:rFonts w:ascii="Verdana" w:eastAsia="Aptos" w:hAnsi="Verdana" w:cs="Times New Roman"/>
          <w:kern w:val="2"/>
          <w:sz w:val="20"/>
          <w:szCs w:val="20"/>
          <w14:ligatures w14:val="standardContextual"/>
        </w:rPr>
        <w:t xml:space="preserve">El Departamento Administrativo Nacional de Estadística – DANE, Territorial Norte, se encuentra adelantando la estructuración de algunos </w:t>
      </w:r>
      <w:r w:rsidRPr="002E3B5F">
        <w:rPr>
          <w:rFonts w:ascii="Verdana" w:eastAsia="Aptos" w:hAnsi="Verdana" w:cs="Times New Roman"/>
          <w:kern w:val="2"/>
          <w:sz w:val="20"/>
          <w:szCs w:val="20"/>
          <w14:ligatures w14:val="standardContextual"/>
        </w:rPr>
        <w:lastRenderedPageBreak/>
        <w:t xml:space="preserve">procesos de contratación relacionados con el mantenimiento de infraestructura física de sus sedes. En ese contexto, solicitamos de manera respetuosa su orientación respecto de la aplicación de los Documentos Tipo expedidos por Colombia Compra Eficiente. Como contexto, el DANE es un organismo de la administración pública del orden nacional, perteneciente a la Rama Ejecutiva del Estado colombiano y cabeza del Sector Estadístico Nacional. Fue creado mediante el Decreto 2666 de 1953 y actualmente su organización y funcionamiento se encuentran regulados por la Ley 2335 de 2023, así como por los Decretos 262 de 2004, 1170 de 2015 y 111 de 2022, y las demás normas que los modifiquen, adicionen o sustituyan. En este sentido, agradecemos su orientación frente a los siguientes procesos: </w:t>
      </w:r>
    </w:p>
    <w:p w14:paraId="5E083FDB"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1. Proceso de obra: Se proyecta contratar las obras de mantenimiento, mejoras y reparaciones locativas de las oficinas de la sede del DANE en San Andrés. El valor estimado del proceso supera la mínima cuantía y no alcanza la mayor cuantía. </w:t>
      </w:r>
    </w:p>
    <w:p w14:paraId="7D8699A2"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2. Proceso para diseño de iluminación: Se proyecta contratar el diseño del sistema de iluminación interior de la sede del DANE en Barranquilla, de conformidad con las especificaciones técnicas de la entidad y en cumplimiento del RETILAP 2024 y demás normativa colombiana vigente. El valor estimado del proceso no supera la mínima cuantía. </w:t>
      </w:r>
    </w:p>
    <w:p w14:paraId="2FC0DD54"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Con fundamento en lo anterior, solicitamos se sirvan informar: </w:t>
      </w:r>
    </w:p>
    <w:p w14:paraId="14F7B490"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1. Si para cada uno de los procesos descritos resulta obligatoria o procedente la aplicación de los Documentos Tipo expedidos por Colombia Compra Eficiente. </w:t>
      </w:r>
    </w:p>
    <w:p w14:paraId="7DD6B201"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2. En caso afirmativo, indicar cuáles Documentos Tipo corresponden a cada proceso y el fundamento normativo que sustenta su aplicación. </w:t>
      </w:r>
    </w:p>
    <w:p w14:paraId="3077CB52" w14:textId="77777777" w:rsidR="002E3B5F" w:rsidRPr="002E3B5F" w:rsidRDefault="002E3B5F" w:rsidP="3B2DE5F4">
      <w:pPr>
        <w:shd w:val="clear" w:color="auto" w:fill="FFFFFF" w:themeFill="background1"/>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3. Precisar en qué tipos de procesos contractuales y bajo qué condiciones las entidades estatales del orden nacional, como el DANE, están obligadas a implementar los Documentos Tipo. </w:t>
      </w:r>
    </w:p>
    <w:p w14:paraId="7EBFE579" w14:textId="77777777" w:rsidR="002E3B5F" w:rsidRPr="002E3B5F" w:rsidRDefault="002E3B5F" w:rsidP="002E3B5F">
      <w:pPr>
        <w:shd w:val="clear" w:color="auto" w:fill="FFFFFF"/>
        <w:spacing w:after="12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 xml:space="preserve">4. Informar para qué sectores o entidades de la administración pública fueron establecidos los diferentes Documentos Tipo actualmente vigentes y en qué casos su aplicación es obligatoria o facultativa. </w:t>
      </w:r>
    </w:p>
    <w:p w14:paraId="22D3473F" w14:textId="77777777" w:rsidR="002E3B5F" w:rsidRPr="002E3B5F" w:rsidRDefault="002E3B5F" w:rsidP="002E3B5F">
      <w:pPr>
        <w:shd w:val="clear" w:color="auto" w:fill="FFFFFF"/>
        <w:spacing w:after="0" w:line="240" w:lineRule="auto"/>
        <w:ind w:left="709" w:right="709"/>
        <w:jc w:val="both"/>
        <w:rPr>
          <w:rFonts w:ascii="Verdana" w:eastAsia="Aptos" w:hAnsi="Verdana" w:cs="Times New Roman"/>
          <w:kern w:val="2"/>
          <w:sz w:val="20"/>
          <w:szCs w:val="20"/>
          <w14:ligatures w14:val="standardContextual"/>
        </w:rPr>
      </w:pPr>
      <w:r w:rsidRPr="002E3B5F">
        <w:rPr>
          <w:rFonts w:ascii="Verdana" w:eastAsia="Aptos" w:hAnsi="Verdana" w:cs="Times New Roman"/>
          <w:kern w:val="2"/>
          <w:sz w:val="20"/>
          <w:szCs w:val="20"/>
          <w14:ligatures w14:val="standardContextual"/>
        </w:rPr>
        <w:t>Agradecemos la atención prestada y la orientación que puedan brindarnos, la cual permitirá garantizar que los procesos contractuales de la entidad se adelanten conforme al marco normativo vigente y a los lineamientos establecidos por Colombia Compra Eficiente”.</w:t>
      </w:r>
    </w:p>
    <w:p w14:paraId="1E611222" w14:textId="77777777" w:rsidR="002E3B5F" w:rsidRPr="002E3B5F" w:rsidRDefault="002E3B5F" w:rsidP="002E3B5F">
      <w:pPr>
        <w:spacing w:after="0" w:line="240" w:lineRule="auto"/>
        <w:ind w:left="708" w:right="709"/>
        <w:jc w:val="both"/>
        <w:rPr>
          <w:rFonts w:ascii="Verdana" w:eastAsia="Aptos" w:hAnsi="Verdana" w:cs="Times New Roman"/>
          <w:kern w:val="2"/>
          <w:sz w:val="20"/>
          <w:szCs w:val="20"/>
          <w14:ligatures w14:val="standardContextual"/>
        </w:rPr>
      </w:pPr>
    </w:p>
    <w:p w14:paraId="0D015874" w14:textId="77777777" w:rsidR="002E3B5F" w:rsidRPr="002E3B5F" w:rsidRDefault="002E3B5F" w:rsidP="002E3B5F">
      <w:pPr>
        <w:spacing w:after="120" w:line="276" w:lineRule="auto"/>
        <w:ind w:firstLine="709"/>
        <w:jc w:val="both"/>
        <w:rPr>
          <w:rFonts w:ascii="Verdana" w:eastAsia="Calibri" w:hAnsi="Verdana" w:cs="Arial"/>
          <w:color w:val="000000"/>
          <w:lang w:val="es-ES" w:eastAsia="es-ES"/>
        </w:rPr>
      </w:pPr>
      <w:r w:rsidRPr="002E3B5F">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w:t>
      </w:r>
      <w:r w:rsidRPr="002E3B5F">
        <w:rPr>
          <w:rFonts w:ascii="Verdana" w:eastAsia="Calibri" w:hAnsi="Verdana" w:cs="Arial"/>
          <w:color w:val="000000"/>
          <w:lang w:val="es-ES" w:eastAsia="es-ES"/>
        </w:rPr>
        <w:lastRenderedPageBreak/>
        <w:t xml:space="preserve">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E3B5F">
        <w:rPr>
          <w:rFonts w:ascii="Verdana" w:eastAsia="Calibri" w:hAnsi="Verdana" w:cs="Arial"/>
          <w:color w:val="000000"/>
          <w:lang w:val="es-ES_tradnl" w:eastAsia="es-ES_tradnl"/>
        </w:rPr>
        <w:tab/>
      </w:r>
    </w:p>
    <w:p w14:paraId="07AB132A" w14:textId="77777777" w:rsidR="002E3B5F" w:rsidRPr="002E3B5F" w:rsidRDefault="002E3B5F" w:rsidP="002E3B5F">
      <w:pPr>
        <w:spacing w:after="0" w:line="276" w:lineRule="auto"/>
        <w:ind w:firstLine="709"/>
        <w:jc w:val="both"/>
        <w:rPr>
          <w:rFonts w:ascii="Verdana" w:eastAsia="Calibri" w:hAnsi="Verdana" w:cs="Arial"/>
          <w:color w:val="000000"/>
          <w:lang w:val="es-ES" w:eastAsia="es-ES"/>
        </w:rPr>
      </w:pPr>
      <w:r w:rsidRPr="002E3B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2E3B5F">
        <w:rPr>
          <w:rFonts w:ascii="Verdana" w:eastAsia="Calibri" w:hAnsi="Verdana" w:cs="Arial"/>
          <w:color w:val="7030A0"/>
          <w:lang w:val="es-ES" w:eastAsia="es-ES"/>
        </w:rPr>
        <w:t xml:space="preserve"> </w:t>
      </w:r>
      <w:r w:rsidRPr="002E3B5F">
        <w:rPr>
          <w:rFonts w:ascii="Verdana" w:eastAsia="Calibri" w:hAnsi="Verdana" w:cs="Arial"/>
          <w:color w:val="000000"/>
          <w:lang w:val="es-ES" w:eastAsia="es-ES"/>
        </w:rPr>
        <w:t>problema</w:t>
      </w:r>
      <w:r w:rsidRPr="002E3B5F">
        <w:rPr>
          <w:rFonts w:ascii="Verdana" w:eastAsia="Calibri" w:hAnsi="Verdana" w:cs="Arial"/>
          <w:color w:val="7030A0"/>
          <w:lang w:val="es-ES" w:eastAsia="es-ES"/>
        </w:rPr>
        <w:t xml:space="preserve"> </w:t>
      </w:r>
      <w:r w:rsidRPr="002E3B5F">
        <w:rPr>
          <w:rFonts w:ascii="Verdana" w:eastAsia="Calibri" w:hAnsi="Verdana" w:cs="Arial"/>
          <w:color w:val="000000"/>
          <w:lang w:val="es-ES" w:eastAsia="es-ES"/>
        </w:rPr>
        <w:t>jurídico</w:t>
      </w:r>
      <w:r w:rsidRPr="002E3B5F">
        <w:rPr>
          <w:rFonts w:ascii="Verdana" w:eastAsia="Calibri" w:hAnsi="Verdana" w:cs="Arial"/>
          <w:color w:val="7030A0"/>
          <w:lang w:val="es-ES" w:eastAsia="es-ES"/>
        </w:rPr>
        <w:t xml:space="preserve"> </w:t>
      </w:r>
      <w:r w:rsidRPr="002E3B5F">
        <w:rPr>
          <w:rFonts w:ascii="Verdana" w:eastAsia="Calibri" w:hAnsi="Verdana" w:cs="Arial"/>
          <w:color w:val="000000"/>
          <w:lang w:val="es-ES" w:eastAsia="es-ES"/>
        </w:rPr>
        <w:t xml:space="preserve">de su consulta. </w:t>
      </w:r>
    </w:p>
    <w:p w14:paraId="490AEE80" w14:textId="77777777" w:rsidR="002E3B5F" w:rsidRPr="002E3B5F" w:rsidRDefault="002E3B5F" w:rsidP="002E3B5F">
      <w:pPr>
        <w:spacing w:after="0" w:line="276" w:lineRule="auto"/>
        <w:jc w:val="both"/>
        <w:rPr>
          <w:rFonts w:ascii="Verdana" w:eastAsia="Calibri" w:hAnsi="Verdana" w:cs="Arial"/>
          <w:lang w:val="es-ES" w:eastAsia="es-ES"/>
        </w:rPr>
      </w:pPr>
    </w:p>
    <w:p w14:paraId="436C7FD6" w14:textId="77777777" w:rsidR="002E3B5F" w:rsidRPr="002E3B5F" w:rsidRDefault="002E3B5F" w:rsidP="002E3B5F">
      <w:pPr>
        <w:numPr>
          <w:ilvl w:val="0"/>
          <w:numId w:val="17"/>
        </w:numPr>
        <w:tabs>
          <w:tab w:val="left" w:pos="142"/>
          <w:tab w:val="left" w:pos="284"/>
        </w:tabs>
        <w:spacing w:after="0" w:line="276" w:lineRule="auto"/>
        <w:jc w:val="both"/>
        <w:rPr>
          <w:rFonts w:ascii="Verdana" w:eastAsia="Century Gothic" w:hAnsi="Verdana" w:cs="Century Gothic"/>
          <w:b/>
          <w:bCs/>
          <w:lang w:eastAsia="es-MX"/>
        </w:rPr>
      </w:pPr>
      <w:r w:rsidRPr="002E3B5F">
        <w:rPr>
          <w:rFonts w:ascii="Verdana" w:eastAsia="Century Gothic" w:hAnsi="Verdana" w:cs="Century Gothic"/>
          <w:b/>
          <w:bCs/>
          <w:lang w:eastAsia="es-MX"/>
        </w:rPr>
        <w:t>Problema planteado:</w:t>
      </w:r>
    </w:p>
    <w:p w14:paraId="34711EB1" w14:textId="77777777" w:rsidR="002E3B5F" w:rsidRPr="002E3B5F" w:rsidRDefault="002E3B5F" w:rsidP="002E3B5F">
      <w:pPr>
        <w:tabs>
          <w:tab w:val="left" w:pos="426"/>
        </w:tabs>
        <w:spacing w:after="0" w:line="276" w:lineRule="auto"/>
        <w:jc w:val="both"/>
        <w:rPr>
          <w:rFonts w:ascii="Verdana" w:eastAsia="Century Gothic" w:hAnsi="Verdana" w:cs="Century Gothic"/>
          <w:lang w:val="es-ES" w:eastAsia="es-MX"/>
        </w:rPr>
      </w:pPr>
    </w:p>
    <w:p w14:paraId="72B33FFE" w14:textId="268090BB" w:rsidR="002E3B5F" w:rsidRPr="002E3B5F" w:rsidRDefault="002E3B5F" w:rsidP="002E3B5F">
      <w:pPr>
        <w:spacing w:after="0" w:line="276" w:lineRule="auto"/>
        <w:jc w:val="both"/>
        <w:rPr>
          <w:rFonts w:ascii="Verdana" w:eastAsia="Times New Roman" w:hAnsi="Verdana" w:cs="Times New Roman"/>
          <w:lang w:eastAsia="es-MX"/>
        </w:rPr>
      </w:pPr>
      <w:r w:rsidRPr="002E3B5F">
        <w:rPr>
          <w:rFonts w:ascii="Verdana" w:eastAsia="Times New Roman" w:hAnsi="Verdana" w:cs="Times New Roman"/>
          <w:lang w:eastAsia="es-MX"/>
        </w:rPr>
        <w:t xml:space="preserve">De acuerdo con el contenido de su solicitud, la Agencia Nacional de Contratación Pública – Colombia Compra Eficiente responderá los siguientes problemas jurídicos: </w:t>
      </w:r>
      <w:r w:rsidRPr="002E3B5F">
        <w:rPr>
          <w:rFonts w:ascii="Verdana" w:eastAsia="Aptos" w:hAnsi="Verdana" w:cs="Times New Roman"/>
          <w:kern w:val="2"/>
          <w14:ligatures w14:val="standardContextual"/>
        </w:rPr>
        <w:t xml:space="preserve">i) ¿Qué documentos tipo en el sector de infraestructura social ha adoptado esta Agencia?; </w:t>
      </w:r>
      <w:proofErr w:type="spellStart"/>
      <w:r w:rsidRPr="002E3B5F">
        <w:rPr>
          <w:rFonts w:ascii="Verdana" w:eastAsia="Aptos" w:hAnsi="Verdana" w:cs="Times New Roman"/>
          <w:kern w:val="2"/>
          <w14:ligatures w14:val="standardContextual"/>
        </w:rPr>
        <w:t>ii</w:t>
      </w:r>
      <w:proofErr w:type="spellEnd"/>
      <w:r w:rsidRPr="002E3B5F">
        <w:rPr>
          <w:rFonts w:ascii="Verdana" w:eastAsia="Aptos" w:hAnsi="Verdana" w:cs="Times New Roman"/>
          <w:kern w:val="2"/>
          <w14:ligatures w14:val="standardContextual"/>
        </w:rPr>
        <w:t xml:space="preserve">) ¿Qué sujetos están obligados a la aplicación de los documentos tipo adoptados en el sector social?; </w:t>
      </w:r>
      <w:proofErr w:type="spellStart"/>
      <w:r w:rsidRPr="002E3B5F">
        <w:rPr>
          <w:rFonts w:ascii="Verdana" w:eastAsia="Aptos" w:hAnsi="Verdana" w:cs="Times New Roman"/>
          <w:kern w:val="2"/>
          <w14:ligatures w14:val="standardContextual"/>
        </w:rPr>
        <w:t>iii</w:t>
      </w:r>
      <w:proofErr w:type="spellEnd"/>
      <w:r w:rsidRPr="002E3B5F">
        <w:rPr>
          <w:rFonts w:ascii="Verdana" w:eastAsia="Aptos" w:hAnsi="Verdana" w:cs="Times New Roman"/>
          <w:kern w:val="2"/>
          <w14:ligatures w14:val="standardContextual"/>
        </w:rPr>
        <w:t xml:space="preserve">) </w:t>
      </w:r>
      <w:proofErr w:type="spellStart"/>
      <w:r w:rsidRPr="002E3B5F">
        <w:rPr>
          <w:rFonts w:ascii="Verdana" w:eastAsia="Aptos" w:hAnsi="Verdana" w:cs="Times New Roman"/>
          <w:kern w:val="2"/>
          <w14:ligatures w14:val="standardContextual"/>
        </w:rPr>
        <w:t>iv</w:t>
      </w:r>
      <w:proofErr w:type="spellEnd"/>
      <w:r w:rsidRPr="002E3B5F">
        <w:rPr>
          <w:rFonts w:ascii="Verdana" w:eastAsia="Aptos" w:hAnsi="Verdana" w:cs="Times New Roman"/>
          <w:kern w:val="2"/>
          <w14:ligatures w14:val="standardContextual"/>
        </w:rPr>
        <w:t>) ¿Cómo puede determinar una entidad qué documentos tipo debe aplicar? ¿Qué documentos tipo debe implementar el Departamento Administrativo Nacional de Estadística – DANE en los procesos de selección de obra pública y concursos de méritos?; v) ¿Existen documentos tipo para contratar obras de mantenimiento, mejoras y reparaciones locativas de edificaciones administrativas?; y vi) ¿Existen documentos tipo para contratar el diseño del sistema de iluminación de edificaciones administrativas?</w:t>
      </w:r>
    </w:p>
    <w:p w14:paraId="61AAEF5A" w14:textId="77777777" w:rsidR="002E3B5F" w:rsidRPr="002E3B5F" w:rsidRDefault="002E3B5F" w:rsidP="002E3B5F">
      <w:pPr>
        <w:spacing w:after="0" w:line="240" w:lineRule="auto"/>
        <w:rPr>
          <w:rFonts w:ascii="Times New Roman" w:eastAsia="Times New Roman" w:hAnsi="Times New Roman" w:cs="Times New Roman"/>
          <w:sz w:val="24"/>
          <w:szCs w:val="24"/>
          <w:lang w:eastAsia="es-MX"/>
        </w:rPr>
      </w:pPr>
    </w:p>
    <w:p w14:paraId="75AD481A" w14:textId="77777777" w:rsidR="002E3B5F" w:rsidRPr="002E3B5F" w:rsidRDefault="002E3B5F" w:rsidP="002E3B5F">
      <w:pPr>
        <w:tabs>
          <w:tab w:val="left" w:pos="142"/>
          <w:tab w:val="left" w:pos="284"/>
        </w:tabs>
        <w:spacing w:after="0" w:line="276" w:lineRule="auto"/>
        <w:contextualSpacing/>
        <w:jc w:val="both"/>
        <w:rPr>
          <w:rFonts w:ascii="Verdana" w:eastAsia="Century Gothic" w:hAnsi="Verdana" w:cs="Century Gothic"/>
          <w:b/>
          <w:bCs/>
          <w:lang w:val="es-ES" w:eastAsia="es-MX"/>
        </w:rPr>
      </w:pPr>
      <w:r w:rsidRPr="002E3B5F">
        <w:rPr>
          <w:rFonts w:ascii="Verdana" w:eastAsia="Century Gothic" w:hAnsi="Verdana" w:cs="Century Gothic"/>
          <w:b/>
          <w:bCs/>
          <w:lang w:val="es-ES" w:eastAsia="es-MX"/>
        </w:rPr>
        <w:t>2. Respuestas:</w:t>
      </w:r>
    </w:p>
    <w:p w14:paraId="13B409AE" w14:textId="77777777" w:rsidR="002E3B5F" w:rsidRPr="002E3B5F" w:rsidRDefault="002E3B5F" w:rsidP="002E3B5F">
      <w:pPr>
        <w:tabs>
          <w:tab w:val="left" w:pos="142"/>
          <w:tab w:val="left" w:pos="284"/>
        </w:tabs>
        <w:spacing w:after="0" w:line="276" w:lineRule="auto"/>
        <w:contextualSpacing/>
        <w:jc w:val="both"/>
        <w:rPr>
          <w:rFonts w:ascii="Verdana" w:eastAsia="Century Gothic" w:hAnsi="Verdana" w:cs="Century Gothic"/>
          <w:b/>
          <w:bCs/>
          <w:lang w:val="es-ES" w:eastAsia="es-MX"/>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2E3B5F" w:rsidRPr="002E3B5F" w14:paraId="708C8C90" w14:textId="77777777" w:rsidTr="00933CEA">
        <w:trPr>
          <w:trHeight w:val="40"/>
        </w:trPr>
        <w:tc>
          <w:tcPr>
            <w:tcW w:w="8828" w:type="dxa"/>
            <w:tcBorders>
              <w:top w:val="dotted" w:sz="4" w:space="0" w:color="auto"/>
              <w:left w:val="dotted" w:sz="4" w:space="0" w:color="auto"/>
              <w:bottom w:val="dotted" w:sz="4" w:space="0" w:color="auto"/>
              <w:right w:val="dotted" w:sz="4" w:space="0" w:color="auto"/>
            </w:tcBorders>
          </w:tcPr>
          <w:p w14:paraId="7CE411D4" w14:textId="77777777" w:rsidR="002E3B5F" w:rsidRPr="002E3B5F" w:rsidRDefault="002E3B5F" w:rsidP="002E3B5F">
            <w:pPr>
              <w:spacing w:after="120" w:line="276" w:lineRule="auto"/>
              <w:jc w:val="both"/>
              <w:rPr>
                <w:rFonts w:ascii="Verdana" w:eastAsia="Calibri" w:hAnsi="Verdana" w:cs="Times New Roman"/>
                <w:lang w:val="es-ES" w:eastAsia="es-MX"/>
              </w:rPr>
            </w:pPr>
            <w:r w:rsidRPr="002E3B5F">
              <w:rPr>
                <w:rFonts w:ascii="Verdana" w:eastAsia="Calibri" w:hAnsi="Verdana" w:cs="Times New Roman"/>
                <w:lang w:val="es-ES" w:eastAsia="es-MX"/>
              </w:rPr>
              <w:t>Los problemas jurídicos uno (1), dos (2) y tres (3) se resolverán de forma conjunta en los siguientes términos:</w:t>
            </w:r>
          </w:p>
          <w:p w14:paraId="548CE601" w14:textId="77777777" w:rsidR="002E3B5F" w:rsidRPr="002E3B5F" w:rsidRDefault="002E3B5F" w:rsidP="002E3B5F">
            <w:pPr>
              <w:spacing w:after="120" w:line="276" w:lineRule="auto"/>
              <w:jc w:val="both"/>
              <w:rPr>
                <w:rFonts w:ascii="Verdana" w:eastAsia="Times New Roman" w:hAnsi="Verdana" w:cs="Times New Roman"/>
                <w:color w:val="000000"/>
                <w:lang w:eastAsia="es-CO"/>
              </w:rPr>
            </w:pPr>
            <w:r w:rsidRPr="002E3B5F">
              <w:rPr>
                <w:rFonts w:ascii="Verdana" w:eastAsia="Calibri" w:hAnsi="Verdana" w:cs="Times New Roman"/>
                <w:lang w:val="es-ES" w:eastAsia="es-MX"/>
              </w:rPr>
              <w:lastRenderedPageBreak/>
              <w:t xml:space="preserve">i, </w:t>
            </w:r>
            <w:proofErr w:type="spellStart"/>
            <w:r w:rsidRPr="002E3B5F">
              <w:rPr>
                <w:rFonts w:ascii="Verdana" w:eastAsia="Calibri" w:hAnsi="Verdana" w:cs="Times New Roman"/>
                <w:lang w:val="es-ES" w:eastAsia="es-MX"/>
              </w:rPr>
              <w:t>ii</w:t>
            </w:r>
            <w:proofErr w:type="spellEnd"/>
            <w:r w:rsidRPr="002E3B5F">
              <w:rPr>
                <w:rFonts w:ascii="Verdana" w:eastAsia="Calibri" w:hAnsi="Verdana" w:cs="Times New Roman"/>
                <w:lang w:val="es-ES" w:eastAsia="es-MX"/>
              </w:rPr>
              <w:t xml:space="preserve"> y </w:t>
            </w:r>
            <w:proofErr w:type="spellStart"/>
            <w:r w:rsidRPr="002E3B5F">
              <w:rPr>
                <w:rFonts w:ascii="Verdana" w:eastAsia="Calibri" w:hAnsi="Verdana" w:cs="Times New Roman"/>
                <w:lang w:val="es-ES" w:eastAsia="es-MX"/>
              </w:rPr>
              <w:t>iii</w:t>
            </w:r>
            <w:proofErr w:type="spellEnd"/>
            <w:r w:rsidRPr="002E3B5F">
              <w:rPr>
                <w:rFonts w:ascii="Verdana" w:eastAsia="Calibri" w:hAnsi="Verdana" w:cs="Times New Roman"/>
                <w:lang w:val="es-ES" w:eastAsia="es-MX"/>
              </w:rPr>
              <w:t xml:space="preserve">. </w:t>
            </w:r>
            <w:r w:rsidRPr="002E3B5F">
              <w:rPr>
                <w:rFonts w:ascii="Verdana" w:eastAsia="Aptos" w:hAnsi="Verdana" w:cs="Arial"/>
                <w:lang w:eastAsia="es-MX"/>
              </w:rPr>
              <w:t xml:space="preserve">En el sector social, </w:t>
            </w:r>
            <w:r w:rsidRPr="002E3B5F">
              <w:rPr>
                <w:rFonts w:ascii="Verdana" w:eastAsia="Calibri" w:hAnsi="Verdana" w:cs="Arial"/>
                <w:lang w:val="es-MX" w:eastAsia="es-MX"/>
              </w:rPr>
              <w:t xml:space="preserve">la Agencia Nacional de Contratación Pública – Colombia Compra </w:t>
            </w:r>
            <w:r w:rsidRPr="002E3B5F">
              <w:rPr>
                <w:rFonts w:ascii="Verdana" w:eastAsia="Calibri" w:hAnsi="Verdana" w:cs="Arial"/>
                <w:lang w:eastAsia="es-MX"/>
              </w:rPr>
              <w:t xml:space="preserve">Eficiente </w:t>
            </w:r>
            <w:r w:rsidRPr="002E3B5F">
              <w:rPr>
                <w:rFonts w:ascii="Verdana" w:eastAsia="Times New Roman" w:hAnsi="Verdana" w:cs="Times New Roman"/>
                <w:color w:val="000000"/>
                <w:lang w:eastAsia="es-CO"/>
              </w:rPr>
              <w:t>en el segundo semestre del año 2025 adoptó las siguientes Resoluciones para contratar obra pública y concursos de méritos:</w:t>
            </w:r>
          </w:p>
          <w:p w14:paraId="3C609519"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6044A6AA"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t xml:space="preserve"> </w:t>
            </w:r>
            <w:proofErr w:type="spellStart"/>
            <w:r w:rsidRPr="002E3B5F">
              <w:rPr>
                <w:rFonts w:ascii="Verdana" w:eastAsia="Times New Roman" w:hAnsi="Verdana" w:cs="Times New Roman"/>
                <w:color w:val="000000"/>
                <w:lang w:eastAsia="es-CO"/>
              </w:rPr>
              <w:t>ii</w:t>
            </w:r>
            <w:proofErr w:type="spellEnd"/>
            <w:r w:rsidRPr="002E3B5F">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44BAA5A5"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proofErr w:type="spellStart"/>
            <w:r w:rsidRPr="002E3B5F">
              <w:rPr>
                <w:rFonts w:ascii="Verdana" w:eastAsia="Times New Roman" w:hAnsi="Verdana" w:cs="Times New Roman"/>
                <w:color w:val="000000"/>
                <w:lang w:eastAsia="es-CO"/>
              </w:rPr>
              <w:t>iii</w:t>
            </w:r>
            <w:proofErr w:type="spellEnd"/>
            <w:r w:rsidRPr="002E3B5F">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47717545"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proofErr w:type="spellStart"/>
            <w:r w:rsidRPr="002E3B5F">
              <w:rPr>
                <w:rFonts w:ascii="Verdana" w:eastAsia="Times New Roman" w:hAnsi="Verdana" w:cs="Times New Roman"/>
                <w:color w:val="000000"/>
                <w:lang w:eastAsia="es-CO"/>
              </w:rPr>
              <w:t>iv</w:t>
            </w:r>
            <w:proofErr w:type="spellEnd"/>
            <w:r w:rsidRPr="002E3B5F">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66ACB919"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w:t>
            </w:r>
            <w:r w:rsidRPr="002E3B5F">
              <w:rPr>
                <w:rFonts w:ascii="Verdana" w:eastAsia="Times New Roman" w:hAnsi="Verdana" w:cs="Times New Roman"/>
                <w:color w:val="000000"/>
                <w:lang w:eastAsia="es-CO"/>
              </w:rPr>
              <w:lastRenderedPageBreak/>
              <w:t>méritos para contratar la interventoría de obras públicas de infraestructura social relacionados con el sector educación, salud, cultura, recreación y deporte, institucional y vivienda y se deroga la Resolución 798 del 29 de diciembre de 2023".</w:t>
            </w:r>
            <w:r w:rsidRPr="002E3B5F">
              <w:rPr>
                <w:rFonts w:ascii="Verdana" w:eastAsia="Aptos" w:hAnsi="Verdana" w:cs="Times New Roman"/>
                <w:lang w:eastAsia="es-MX"/>
              </w:rPr>
              <w:t xml:space="preserve"> </w:t>
            </w:r>
          </w:p>
          <w:p w14:paraId="0B45D68B" w14:textId="77777777" w:rsidR="002E3B5F" w:rsidRPr="002E3B5F" w:rsidRDefault="002E3B5F" w:rsidP="002E3B5F">
            <w:pPr>
              <w:widowControl w:val="0"/>
              <w:autoSpaceDE w:val="0"/>
              <w:autoSpaceDN w:val="0"/>
              <w:spacing w:after="120" w:line="276" w:lineRule="auto"/>
              <w:ind w:firstLine="708"/>
              <w:jc w:val="both"/>
              <w:rPr>
                <w:rFonts w:ascii="Verdana" w:eastAsia="Aptos" w:hAnsi="Verdana" w:cs="Times New Roman"/>
                <w:i/>
                <w:iCs/>
                <w:lang w:eastAsia="es-MX"/>
              </w:rPr>
            </w:pPr>
            <w:r w:rsidRPr="002E3B5F">
              <w:rPr>
                <w:rFonts w:ascii="Verdana" w:eastAsia="Aptos" w:hAnsi="Verdana" w:cs="Times New Roman"/>
                <w:i/>
                <w:iCs/>
                <w:lang w:eastAsia="es-MX"/>
              </w:rPr>
              <w:t>De acuerdo con el artículo tercero de las Resoluciones 539, 540, 541, 952 y 953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11443989" w14:textId="77777777" w:rsidR="002E3B5F" w:rsidRPr="002E3B5F" w:rsidRDefault="002E3B5F" w:rsidP="002E3B5F">
            <w:pPr>
              <w:spacing w:after="120" w:line="276" w:lineRule="auto"/>
              <w:ind w:firstLine="708"/>
              <w:jc w:val="both"/>
              <w:textAlignment w:val="baseline"/>
              <w:rPr>
                <w:rFonts w:ascii="Verdana" w:eastAsia="Calibri" w:hAnsi="Verdana" w:cs="Arial"/>
                <w:lang w:eastAsia="es-MX"/>
              </w:rPr>
            </w:pPr>
            <w:r w:rsidRPr="002E3B5F">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2E3B5F">
              <w:rPr>
                <w:rFonts w:ascii="Verdana" w:eastAsia="Calibri" w:hAnsi="Verdana" w:cs="Arial"/>
                <w:lang w:eastAsia="es-MX"/>
              </w:rPr>
              <w:t>.</w:t>
            </w:r>
          </w:p>
          <w:p w14:paraId="0160089A"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5C36A887"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7EC1FCE"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lastRenderedPageBreak/>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788D0231" w14:textId="77777777" w:rsidR="002E3B5F" w:rsidRPr="002E3B5F" w:rsidRDefault="002E3B5F" w:rsidP="002E3B5F">
            <w:pPr>
              <w:widowControl w:val="0"/>
              <w:autoSpaceDE w:val="0"/>
              <w:autoSpaceDN w:val="0"/>
              <w:spacing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549A0244" w14:textId="77777777" w:rsidR="002E3B5F" w:rsidRPr="002E3B5F" w:rsidRDefault="002E3B5F" w:rsidP="002E3B5F">
            <w:pPr>
              <w:widowControl w:val="0"/>
              <w:autoSpaceDE w:val="0"/>
              <w:autoSpaceDN w:val="0"/>
              <w:spacing w:line="276" w:lineRule="auto"/>
              <w:jc w:val="both"/>
              <w:rPr>
                <w:rFonts w:ascii="Verdana" w:eastAsia="Calibri" w:hAnsi="Verdana" w:cs="Times New Roman"/>
                <w:lang w:val="es-ES" w:eastAsia="es-MX"/>
              </w:rPr>
            </w:pPr>
          </w:p>
          <w:p w14:paraId="3355DD45" w14:textId="77777777" w:rsidR="002E3B5F" w:rsidRPr="002E3B5F" w:rsidRDefault="002E3B5F" w:rsidP="002E3B5F">
            <w:pPr>
              <w:widowControl w:val="0"/>
              <w:autoSpaceDE w:val="0"/>
              <w:autoSpaceDN w:val="0"/>
              <w:spacing w:after="120" w:line="276" w:lineRule="auto"/>
              <w:jc w:val="both"/>
              <w:rPr>
                <w:rFonts w:ascii="Verdana" w:eastAsia="Calibri" w:hAnsi="Verdana" w:cs="Times New Roman"/>
                <w:lang w:val="es-ES" w:eastAsia="es-MX"/>
              </w:rPr>
            </w:pPr>
            <w:proofErr w:type="spellStart"/>
            <w:r w:rsidRPr="002E3B5F">
              <w:rPr>
                <w:rFonts w:ascii="Verdana" w:eastAsia="Calibri" w:hAnsi="Verdana" w:cs="Times New Roman"/>
                <w:lang w:val="es-ES" w:eastAsia="es-MX"/>
              </w:rPr>
              <w:t>iv</w:t>
            </w:r>
            <w:proofErr w:type="spellEnd"/>
            <w:r w:rsidRPr="002E3B5F">
              <w:rPr>
                <w:rFonts w:ascii="Verdana" w:eastAsia="Calibri" w:hAnsi="Verdana" w:cs="Times New Roman"/>
                <w:lang w:val="es-ES" w:eastAsia="es-MX"/>
              </w:rPr>
              <w:t xml:space="preserve">) 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adoptaron los documentos tipo complementarios para los procesos de mínima cuantía de obra pública de infraestructura social relacionados con el sector Institucional. </w:t>
            </w:r>
          </w:p>
          <w:p w14:paraId="00166F7F" w14:textId="77777777" w:rsidR="002E3B5F" w:rsidRPr="002E3B5F" w:rsidRDefault="002E3B5F" w:rsidP="002E3B5F">
            <w:pPr>
              <w:spacing w:after="120" w:line="276" w:lineRule="auto"/>
              <w:jc w:val="both"/>
              <w:rPr>
                <w:rFonts w:ascii="Verdana" w:eastAsia="Calibri" w:hAnsi="Verdana" w:cs="Times New Roman"/>
                <w:lang w:val="es-ES" w:eastAsia="es-MX"/>
              </w:rPr>
            </w:pPr>
            <w:r w:rsidRPr="002E3B5F">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77BFFCED" w14:textId="77777777" w:rsidR="002E3B5F" w:rsidRPr="002E3B5F" w:rsidRDefault="002E3B5F" w:rsidP="002E3B5F">
            <w:pPr>
              <w:spacing w:after="120" w:line="276" w:lineRule="auto"/>
              <w:ind w:firstLine="708"/>
              <w:jc w:val="both"/>
              <w:rPr>
                <w:rFonts w:ascii="Verdana" w:eastAsia="Aptos" w:hAnsi="Verdana" w:cs="Times New Roman"/>
              </w:rPr>
            </w:pPr>
            <w:r w:rsidRPr="002E3B5F">
              <w:rPr>
                <w:rFonts w:ascii="Verdana" w:eastAsia="Times New Roman" w:hAnsi="Verdana" w:cs="Times New Roman"/>
                <w:color w:val="000000"/>
                <w:lang w:eastAsia="es-CO"/>
              </w:rPr>
              <w:lastRenderedPageBreak/>
              <w:t>En los documentos tipo complementarios del sector Institucional, en la modalidad de licitación pública, selección abreviada de menor cuantía y mínima cuantía, en la Matriz 1 se encuentran los siguientes tipos de infraestructura:</w:t>
            </w:r>
            <w:r w:rsidRPr="002E3B5F">
              <w:rPr>
                <w:rFonts w:ascii="Times New Roman" w:eastAsia="Arial" w:hAnsi="Times New Roman" w:cs="Aptos"/>
                <w:lang w:eastAsia="es-ES"/>
              </w:rPr>
              <w:t xml:space="preserve"> </w:t>
            </w:r>
            <w:r w:rsidRPr="002E3B5F">
              <w:rPr>
                <w:rFonts w:ascii="Verdana" w:eastAsia="Arial" w:hAnsi="Verdana" w:cs="Aptos"/>
                <w:lang w:eastAsia="es-ES"/>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2E3B5F">
              <w:rPr>
                <w:rFonts w:ascii="Verdana" w:eastAsia="Times New Roman" w:hAnsi="Verdana" w:cs="Arial"/>
                <w:lang w:eastAsia="es-MX"/>
              </w:rPr>
              <w:t>.</w:t>
            </w:r>
            <w:r w:rsidRPr="002E3B5F">
              <w:rPr>
                <w:rFonts w:ascii="Verdana" w:eastAsia="Calibri" w:hAnsi="Verdana" w:cs="Times New Roman"/>
                <w:lang w:eastAsia="es-MX"/>
              </w:rPr>
              <w:t xml:space="preserve"> Particularmente, en relación con unos de los problemas jurídicos planteados en este concepto, en el Capítulo dos (2)  “</w:t>
            </w:r>
            <w:r w:rsidRPr="002E3B5F">
              <w:rPr>
                <w:rFonts w:ascii="Verdana" w:eastAsia="Arial" w:hAnsi="Verdana" w:cs="Aptos"/>
                <w:lang w:eastAsia="es-ES"/>
              </w:rPr>
              <w:t>Obras en proyectos de infraestructura institucional de servicio público”,</w:t>
            </w:r>
            <w:r w:rsidRPr="002E3B5F">
              <w:rPr>
                <w:rFonts w:ascii="Verdana" w:eastAsia="Calibri" w:hAnsi="Verdana" w:cs="Times New Roman"/>
                <w:lang w:eastAsia="es-MX"/>
              </w:rPr>
              <w:t xml:space="preserve"> se incluyen </w:t>
            </w:r>
            <w:r w:rsidRPr="002E3B5F">
              <w:rPr>
                <w:rFonts w:ascii="Verdana" w:eastAsia="Aptos" w:hAnsi="Verdana" w:cs="Times New Roman"/>
              </w:rPr>
              <w:t xml:space="preserve">actividades relacionadas con proyectos de demolición y/o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y/o suministro y/o instalación de dotación y/o de mobiliario interno o externo; y/o suministro y/o instalación de equipos especiales y/o electromecánicos y/o electrónicos y/o maquinaria u otros tipos de equipos; y/o suministro y/o instalación de sistemas de aires acondicionados o sistemas de ventilación o similares. Dichas actividades pueden recaer, entre otros, sobre cerramientos, comedores, zonas de almacenamiento y/o conservación de alimentos, baterías sanitarias, redes hidrosanitarias, tanques de almacenamiento, sistemas de bombeo, redes contra incendios, cubiertas, bienes de interés cultural y/o patrimonial, redes eléctricas, circuitos cerrados de TV, sistemas de seguridad, circuitos de voz y datos, plantas eléctricas, subestaciones, redes de telemática, comunicación, sonido, telefonía e iluminación, zonas verdes y actividades de urbanismo y/o paisajismo, así como redes de vapor, gases, gas natural y sistemas de cocción; todo ello </w:t>
            </w:r>
            <w:r w:rsidRPr="002E3B5F">
              <w:rPr>
                <w:rFonts w:ascii="Verdana" w:eastAsia="Aptos" w:hAnsi="Verdana" w:cs="Times New Roman"/>
                <w:i/>
                <w:iCs/>
              </w:rPr>
              <w:t>asociado a proyectos sobre infraestructura de servicio público.</w:t>
            </w:r>
          </w:p>
          <w:p w14:paraId="1B570D3B" w14:textId="1C3EE707" w:rsidR="002E3B5F" w:rsidRPr="002E3B5F" w:rsidRDefault="002E3B5F" w:rsidP="002E3B5F">
            <w:pPr>
              <w:spacing w:after="120" w:line="276" w:lineRule="auto"/>
              <w:ind w:firstLine="708"/>
              <w:jc w:val="both"/>
              <w:rPr>
                <w:rFonts w:ascii="Verdana" w:eastAsia="Times New Roman" w:hAnsi="Verdana" w:cs="Aptos"/>
                <w:lang w:eastAsia="es-MX"/>
              </w:rPr>
            </w:pPr>
            <w:r w:rsidRPr="002E3B5F">
              <w:rPr>
                <w:rFonts w:ascii="Verdana" w:eastAsia="Times New Roman" w:hAnsi="Verdana" w:cs="Aptos"/>
                <w:lang w:eastAsia="es-MX"/>
              </w:rPr>
              <w:lastRenderedPageBreak/>
              <w:t>Para interpretar el alcance del tipo de infraestructura de servicio público, 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r w:rsidRPr="3B2DE5F4">
              <w:rPr>
                <w:rFonts w:ascii="Verdana" w:eastAsia="Times New Roman" w:hAnsi="Verdana" w:cs="Aptos"/>
                <w:lang w:eastAsia="es-MX"/>
              </w:rPr>
              <w:t>”.</w:t>
            </w:r>
          </w:p>
          <w:p w14:paraId="75A35E95" w14:textId="77777777" w:rsidR="002E3B5F" w:rsidRPr="002E3B5F" w:rsidRDefault="002E3B5F" w:rsidP="002E3B5F">
            <w:pPr>
              <w:spacing w:after="120" w:line="276" w:lineRule="auto"/>
              <w:ind w:firstLine="708"/>
              <w:jc w:val="both"/>
              <w:rPr>
                <w:rFonts w:ascii="Verdana" w:eastAsia="Times New Roman" w:hAnsi="Verdana" w:cs="Aptos"/>
                <w:lang w:eastAsia="es-MX"/>
              </w:rPr>
            </w:pPr>
            <w:r w:rsidRPr="002E3B5F">
              <w:rPr>
                <w:rFonts w:ascii="Verdana" w:eastAsia="Times New Roman" w:hAnsi="Verdana" w:cs="Aptos"/>
                <w:lang w:eastAsia="es-MX"/>
              </w:rPr>
              <w:t>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17706547"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lang w:val="es-ES_tradnl" w:eastAsia="es-MX"/>
              </w:rPr>
              <w:t xml:space="preserve">Ahora bien, como se precisó las actividades señaladas recaen sobre </w:t>
            </w:r>
            <w:r w:rsidRPr="002E3B5F">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conformidad con la norma </w:t>
            </w:r>
            <w:r w:rsidRPr="002E3B5F">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4DEA24E4" w14:textId="575D477A" w:rsidR="002E3B5F" w:rsidRPr="002E3B5F" w:rsidRDefault="002E3B5F" w:rsidP="002E3B5F">
            <w:pPr>
              <w:spacing w:after="120" w:line="276" w:lineRule="auto"/>
              <w:ind w:firstLine="708"/>
              <w:jc w:val="both"/>
              <w:rPr>
                <w:rFonts w:ascii="Verdana" w:eastAsia="Calibri" w:hAnsi="Verdana" w:cs="Arial"/>
                <w:color w:val="0D0D0D"/>
                <w:lang w:eastAsia="es-MX"/>
              </w:rPr>
            </w:pPr>
            <w:r w:rsidRPr="3B2DE5F4">
              <w:rPr>
                <w:rFonts w:ascii="Verdana" w:eastAsia="Calibri" w:hAnsi="Verdana" w:cs="Arial"/>
                <w:color w:val="0D0D0D" w:themeColor="text1" w:themeTint="F2"/>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w:t>
            </w:r>
            <w:r w:rsidRPr="3B2DE5F4">
              <w:rPr>
                <w:rFonts w:ascii="Verdana" w:eastAsia="Calibri" w:hAnsi="Verdana" w:cs="Arial"/>
                <w:color w:val="0D0D0D" w:themeColor="text1" w:themeTint="F2"/>
                <w:lang w:eastAsia="es-MX"/>
              </w:rPr>
              <w:lastRenderedPageBreak/>
              <w:t>aquellas edificaciones que</w:t>
            </w:r>
            <w:r w:rsidR="2CAF08CD" w:rsidRPr="3B2DE5F4">
              <w:rPr>
                <w:rFonts w:ascii="Verdana" w:eastAsia="Calibri" w:hAnsi="Verdana" w:cs="Arial"/>
                <w:color w:val="0D0D0D" w:themeColor="text1" w:themeTint="F2"/>
                <w:lang w:eastAsia="es-MX"/>
              </w:rPr>
              <w:t>,</w:t>
            </w:r>
            <w:r w:rsidRPr="3B2DE5F4">
              <w:rPr>
                <w:rFonts w:ascii="Verdana" w:eastAsia="Calibri" w:hAnsi="Verdana" w:cs="Arial"/>
                <w:color w:val="0D0D0D" w:themeColor="text1" w:themeTint="F2"/>
                <w:lang w:eastAsia="es-MX"/>
              </w:rPr>
              <w:t xml:space="preserve"> por su naturaleza y finalidad, están orientadas a la prestación de servicios públicos y al desarrollo de funciones institucionales del Estado, como son las funciones administrativas.  </w:t>
            </w:r>
          </w:p>
          <w:p w14:paraId="2A961F56"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2E3B5F">
              <w:rPr>
                <w:rFonts w:ascii="Verdana" w:eastAsia="Calibri" w:hAnsi="Verdana" w:cs="Arial"/>
                <w:color w:val="0D0D0D"/>
                <w:lang w:eastAsia="es-MX"/>
              </w:rPr>
              <w:t>etc</w:t>
            </w:r>
            <w:proofErr w:type="spellEnd"/>
            <w:r w:rsidRPr="002E3B5F">
              <w:rPr>
                <w:rFonts w:ascii="Verdana" w:eastAsia="Calibri" w:hAnsi="Verdana" w:cs="Arial"/>
                <w:color w:val="0D0D0D"/>
                <w:lang w:eastAsia="es-MX"/>
              </w:rPr>
              <w:t xml:space="preserve">) principalmente para el beneficio e interés público”. </w:t>
            </w:r>
          </w:p>
          <w:p w14:paraId="5C3CFE48"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Considerando lo anterior, la(s) sede(s) en las que el Departamento Administrativo Nacional de Estadística – DENE, ejerce sus funciones, se enmarcan claramente dentro de las edificaciones institucionales administrativa del Subgrupo de Ocupación Institucional de Servicio Pública (I-5) definido por la NSR-10, en la medida en que su destinación funcional corresponde al ejercicio de competencias administrativas y a la prestación de un servicio esencial para el funcionamiento del país. </w:t>
            </w:r>
          </w:p>
          <w:p w14:paraId="2AF3FA68" w14:textId="126DDC03" w:rsidR="002E3B5F" w:rsidRPr="002E3B5F" w:rsidRDefault="002E3B5F" w:rsidP="002E3B5F">
            <w:pPr>
              <w:spacing w:after="120" w:line="276" w:lineRule="auto"/>
              <w:ind w:firstLine="708"/>
              <w:jc w:val="both"/>
              <w:rPr>
                <w:rFonts w:ascii="Verdana" w:eastAsia="Calibri" w:hAnsi="Verdana" w:cs="Arial"/>
                <w:color w:val="0D0D0D"/>
                <w:lang w:eastAsia="es-MX"/>
              </w:rPr>
            </w:pPr>
            <w:r w:rsidRPr="3B2DE5F4">
              <w:rPr>
                <w:rFonts w:ascii="Verdana" w:eastAsia="Calibri" w:hAnsi="Verdana" w:cs="Arial"/>
                <w:color w:val="0D0D0D" w:themeColor="text1" w:themeTint="F2"/>
                <w:lang w:eastAsia="es-MX"/>
              </w:rPr>
              <w:t>En efecto, el Departamento Administrativo Nacional de Estadística – D</w:t>
            </w:r>
            <w:r w:rsidR="72AC01BA" w:rsidRPr="3B2DE5F4">
              <w:rPr>
                <w:rFonts w:ascii="Verdana" w:eastAsia="Calibri" w:hAnsi="Verdana" w:cs="Arial"/>
                <w:color w:val="0D0D0D" w:themeColor="text1" w:themeTint="F2"/>
                <w:lang w:eastAsia="es-MX"/>
              </w:rPr>
              <w:t>A</w:t>
            </w:r>
            <w:r w:rsidRPr="3B2DE5F4">
              <w:rPr>
                <w:rFonts w:ascii="Verdana" w:eastAsia="Calibri" w:hAnsi="Verdana" w:cs="Arial"/>
                <w:color w:val="0D0D0D" w:themeColor="text1" w:themeTint="F2"/>
                <w:lang w:eastAsia="es-MX"/>
              </w:rPr>
              <w:t xml:space="preserve">NE, desarrolla actividades propias de la administración pública del orden nacional, tales como “garantizar la producción, disponibilidad y calidad de la información estadística estratégica, y dirigir, planear, ejecutar, coordinar, regular y evaluar la producción y difusión de información oficial básica”, lo cual se ajusta a la noción de edificaciones destinadas a funciones administrativas, previstas en la clasificación normativa. </w:t>
            </w:r>
          </w:p>
          <w:p w14:paraId="6CDA30FC" w14:textId="29C33665" w:rsidR="002E3B5F" w:rsidRPr="002E3B5F" w:rsidRDefault="002E3B5F" w:rsidP="002E3B5F">
            <w:pPr>
              <w:spacing w:after="120" w:line="276" w:lineRule="auto"/>
              <w:ind w:firstLine="708"/>
              <w:jc w:val="both"/>
              <w:rPr>
                <w:rFonts w:ascii="Verdana" w:eastAsia="Calibri" w:hAnsi="Verdana" w:cs="Arial"/>
                <w:color w:val="0D0D0D"/>
                <w:lang w:eastAsia="es-MX"/>
              </w:rPr>
            </w:pPr>
            <w:r w:rsidRPr="3B2DE5F4">
              <w:rPr>
                <w:rFonts w:ascii="Verdana" w:eastAsia="Calibri" w:hAnsi="Verdana" w:cs="Arial"/>
                <w:color w:val="0D0D0D" w:themeColor="text1" w:themeTint="F2"/>
                <w:lang w:eastAsia="es-MX"/>
              </w:rPr>
              <w:t>Asimismo, al tratarse de una infraestructura destinada de manera permanente al cumplimiento de funciones institucionales del Estado y a la satisfacción de necesidades colectivas, su naturaleza se adec</w:t>
            </w:r>
            <w:r w:rsidR="62F92851" w:rsidRPr="3B2DE5F4">
              <w:rPr>
                <w:rFonts w:ascii="Verdana" w:eastAsia="Calibri" w:hAnsi="Verdana" w:cs="Arial"/>
                <w:color w:val="0D0D0D" w:themeColor="text1" w:themeTint="F2"/>
                <w:lang w:eastAsia="es-MX"/>
              </w:rPr>
              <w:t>ú</w:t>
            </w:r>
            <w:r w:rsidRPr="3B2DE5F4">
              <w:rPr>
                <w:rFonts w:ascii="Verdana" w:eastAsia="Calibri" w:hAnsi="Verdana" w:cs="Arial"/>
                <w:color w:val="0D0D0D" w:themeColor="text1" w:themeTint="F2"/>
                <w:lang w:eastAsia="es-MX"/>
              </w:rPr>
              <w:t xml:space="preserve">a a los criterios de finalidad, uso y servicio público que caracterizan a ese tipo de edificaciones, que cumplen un rol esencial en la organización y funcionamiento estadístico del país. </w:t>
            </w:r>
          </w:p>
          <w:p w14:paraId="09961F26"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lang w:val="es-ES" w:eastAsia="es-MX"/>
              </w:rPr>
              <w:t>Por lo anterior, la Agencia Nacional de Contratación Pública – Colombia Compra Eficiente indicó que, a partir del 16 de febrero de 2026, si una entidad de aquellas obligadas a utilizar los documentos tipo expedidos por esta Entidad adelanta un proceso que tenga por objeto la(s) actividad(es) contenidas en el capítulo “2. Obras en proyectos de infraestructura institucional de servicios público” de la Matriz 1 – Experiencia Sector Institucional</w:t>
            </w:r>
            <w:r w:rsidRPr="002E3B5F">
              <w:rPr>
                <w:rFonts w:ascii="Verdana" w:eastAsia="Times New Roman" w:hAnsi="Verdana" w:cs="Aptos"/>
                <w:lang w:eastAsia="es-MX"/>
              </w:rPr>
              <w:t xml:space="preserve">, </w:t>
            </w:r>
            <w:r w:rsidRPr="002E3B5F">
              <w:rPr>
                <w:rFonts w:ascii="Verdana" w:eastAsia="Calibri" w:hAnsi="Verdana" w:cs="Arial"/>
                <w:lang w:val="es-ES" w:eastAsia="es-MX"/>
              </w:rPr>
              <w:t xml:space="preserve">deberá implementar </w:t>
            </w:r>
            <w:r w:rsidRPr="002E3B5F">
              <w:rPr>
                <w:rFonts w:ascii="Verdana" w:eastAsia="Calibri" w:hAnsi="Verdana" w:cs="Arial"/>
                <w:lang w:val="es-ES" w:eastAsia="es-MX"/>
              </w:rPr>
              <w:lastRenderedPageBreak/>
              <w:t xml:space="preserve">los </w:t>
            </w:r>
            <w:r w:rsidRPr="002E3B5F">
              <w:rPr>
                <w:rFonts w:ascii="Verdana" w:eastAsia="Calibri" w:hAnsi="Verdana" w:cs="Arial"/>
                <w:color w:val="0D0D0D"/>
                <w:lang w:eastAsia="es-MX"/>
              </w:rPr>
              <w:t>documentos tipo acogidos mediante las Resoluciones 539, 540 o 541 de 2025, según el proyecto se adelante por la modalidad de licitación de obra pública, selección abreviada de menor cuantía o mínima cuantía.</w:t>
            </w:r>
          </w:p>
          <w:p w14:paraId="5F35A1FC"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Por otra parte, debe indicarse que la Agencia Nacional de Contratación Pública – Colombia Compra Eficiente también adoptó, mediante la Resolución 952 del 15 de diciembre de 2025, los documentos tipo transversales para los procesos de selección de concurso de méritos para contratar la consultoría de estudios de ingeniería de infraestructura social. En el Capítulo V de la misma Resolución –artículos 16, 17 y 18–, se acogieron documentos tipo complementarios de consultoría relacionados con el sector Institucional, los cuales aplican, de conformidad con el artículo 17 ibidem, a los procesos contractuales que correspondan a las actividades definidas en la Matriz 1 – Experiencia Consultoría Sector Institucional, documento que deberá aplicarse de forma conjunta con el documento base, los formatos, anexos y formularios transversales adoptados en el Capítulo I de la misma Resolución.</w:t>
            </w:r>
          </w:p>
          <w:p w14:paraId="27942EB1" w14:textId="77777777" w:rsidR="002E3B5F" w:rsidRPr="002E3B5F" w:rsidRDefault="002E3B5F" w:rsidP="002E3B5F">
            <w:pPr>
              <w:spacing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Sobre estos documentos tipo de consultoría resulta aplicable el mismo razonamiento expuesto en el presente concepto respecto de las edificaciones institucionales, en la medida en que la Matriz 1 – Experiencia Consultoría Sector Institucional recae, igualmente, sobre edificaciones o espacios destinados a funciones administrativas y a la prestación de servicios públicos, en los términos del Subgrupo de Ocupación Institucional de Servicio Público (I-5) de la NSR-10 previamente analizado. En consecuencia, si una entidad de aquellas obligadas a utilizar los documentos tipo expedidos por esta Entidad adelanta un proceso de concurso de méritos que tenga por objeto alguna de las actividades contenidas en la Matriz 1 – Experiencia Consultoría Sector Institucional, deberá implementar, a partir del 16 de febrero de 2026, los documentos tipo acogidos mediante la Resolución 952 de 2025.</w:t>
            </w:r>
          </w:p>
          <w:p w14:paraId="7AD01696" w14:textId="77777777" w:rsidR="002E3B5F" w:rsidRPr="002E3B5F" w:rsidRDefault="002E3B5F" w:rsidP="002E3B5F">
            <w:pPr>
              <w:spacing w:line="276" w:lineRule="auto"/>
              <w:ind w:firstLine="708"/>
              <w:jc w:val="both"/>
              <w:rPr>
                <w:rFonts w:ascii="Verdana" w:eastAsia="Calibri" w:hAnsi="Verdana" w:cs="Arial"/>
                <w:color w:val="0D0D0D"/>
                <w:lang w:eastAsia="es-MX"/>
              </w:rPr>
            </w:pPr>
          </w:p>
          <w:p w14:paraId="1BFF73FA" w14:textId="4E43C2DC" w:rsidR="002E3B5F" w:rsidRPr="002E3B5F" w:rsidRDefault="002E3B5F" w:rsidP="002E3B5F">
            <w:pPr>
              <w:spacing w:line="276" w:lineRule="auto"/>
              <w:jc w:val="both"/>
              <w:rPr>
                <w:rFonts w:ascii="Verdana" w:eastAsia="Aptos" w:hAnsi="Verdana" w:cs="Aptos"/>
              </w:rPr>
            </w:pPr>
            <w:r w:rsidRPr="002E3B5F">
              <w:rPr>
                <w:rFonts w:ascii="Verdana" w:eastAsia="Aptos" w:hAnsi="Verdana" w:cs="Times New Roman"/>
              </w:rPr>
              <w:t>v) Sobre la aplicación de los documentos tipo del sector institucional</w:t>
            </w:r>
            <w:r w:rsidR="11A5C444" w:rsidRPr="3B2DE5F4">
              <w:rPr>
                <w:rFonts w:ascii="Verdana" w:eastAsia="Aptos" w:hAnsi="Verdana" w:cs="Times New Roman"/>
              </w:rPr>
              <w:t xml:space="preserve"> – servicio público</w:t>
            </w:r>
            <w:r w:rsidRPr="002E3B5F">
              <w:rPr>
                <w:rFonts w:ascii="Verdana" w:eastAsia="Aptos" w:hAnsi="Verdana" w:cs="Times New Roman"/>
              </w:rPr>
              <w:t xml:space="preserve">, para adelantar procesos que tenga por objeto “contratar las obras de mantenimiento, mejoras y reparaciones locativas de las oficinas de la sede del DANE en San Andrés”. </w:t>
            </w:r>
            <w:r w:rsidRPr="002E3B5F">
              <w:rPr>
                <w:rFonts w:ascii="Verdana" w:eastAsia="Aptos" w:hAnsi="Verdana" w:cs="Aptos"/>
              </w:rPr>
              <w:t xml:space="preserve">Sobre el particular, la Agencia Nacional de Contratación Pública – Colombia Compra Eficiente le informa que, para efectos del </w:t>
            </w:r>
            <w:r w:rsidRPr="002E3B5F">
              <w:rPr>
                <w:rFonts w:ascii="Verdana" w:eastAsia="Aptos" w:hAnsi="Verdana" w:cs="Times New Roman"/>
              </w:rPr>
              <w:t xml:space="preserve">mantenimiento, mejoras, reparaciones y diseños del sistema de iluminación interior de la(s) sede(s) del </w:t>
            </w:r>
            <w:r w:rsidRPr="3B2DE5F4">
              <w:rPr>
                <w:rFonts w:ascii="Verdana" w:eastAsia="Calibri" w:hAnsi="Verdana" w:cs="Arial"/>
                <w:color w:val="0D0D0D" w:themeColor="text1" w:themeTint="F2"/>
                <w:lang w:eastAsia="es-MX"/>
              </w:rPr>
              <w:t xml:space="preserve">Departamento Administrativo Nacional de </w:t>
            </w:r>
            <w:r w:rsidRPr="3B2DE5F4">
              <w:rPr>
                <w:rFonts w:ascii="Verdana" w:eastAsia="Calibri" w:hAnsi="Verdana" w:cs="Arial"/>
                <w:color w:val="0D0D0D" w:themeColor="text1" w:themeTint="F2"/>
                <w:lang w:eastAsia="es-MX"/>
              </w:rPr>
              <w:lastRenderedPageBreak/>
              <w:t>Estadística – D</w:t>
            </w:r>
            <w:r w:rsidR="73A28A68" w:rsidRPr="3B2DE5F4">
              <w:rPr>
                <w:rFonts w:ascii="Verdana" w:eastAsia="Calibri" w:hAnsi="Verdana" w:cs="Arial"/>
                <w:color w:val="0D0D0D" w:themeColor="text1" w:themeTint="F2"/>
                <w:lang w:eastAsia="es-MX"/>
              </w:rPr>
              <w:t>A</w:t>
            </w:r>
            <w:r w:rsidRPr="3B2DE5F4">
              <w:rPr>
                <w:rFonts w:ascii="Verdana" w:eastAsia="Calibri" w:hAnsi="Verdana" w:cs="Arial"/>
                <w:color w:val="0D0D0D" w:themeColor="text1" w:themeTint="F2"/>
                <w:lang w:eastAsia="es-MX"/>
              </w:rPr>
              <w:t>NE</w:t>
            </w:r>
            <w:r w:rsidRPr="002E3B5F">
              <w:rPr>
                <w:rFonts w:ascii="Verdana" w:eastAsia="Aptos" w:hAnsi="Verdana" w:cs="Aptos"/>
              </w:rPr>
              <w:t xml:space="preserve">, debe aplicarse las actividades 2.2 </w:t>
            </w:r>
            <w:r w:rsidR="6D4103A5" w:rsidRPr="3B2DE5F4">
              <w:rPr>
                <w:rFonts w:ascii="Verdana" w:eastAsia="Aptos" w:hAnsi="Verdana" w:cs="Aptos"/>
              </w:rPr>
              <w:t>de las modalidades de contratación adoptadas para obra</w:t>
            </w:r>
            <w:r w:rsidRPr="002E3B5F">
              <w:rPr>
                <w:rFonts w:ascii="Verdana" w:eastAsia="Aptos" w:hAnsi="Verdana" w:cs="Aptos"/>
              </w:rPr>
              <w:t xml:space="preserve"> contenidas en el capítulo 2 “Obras en proyectos de infraestructura institucional de servicio público” de la Matriz 1 – Experiencia del Sector Institucional, considerando que estas corresponden respectivamente a:</w:t>
            </w:r>
          </w:p>
          <w:p w14:paraId="3210FE7C" w14:textId="77777777" w:rsidR="002E3B5F" w:rsidRPr="002E3B5F" w:rsidRDefault="002E3B5F" w:rsidP="002E3B5F">
            <w:pPr>
              <w:rPr>
                <w:rFonts w:ascii="Verdana" w:eastAsia="Aptos" w:hAnsi="Verdana" w:cs="Aptos"/>
              </w:rPr>
            </w:pPr>
          </w:p>
          <w:p w14:paraId="50FFAB85" w14:textId="409689AF" w:rsidR="002E3B5F" w:rsidRPr="002E3B5F" w:rsidRDefault="002E3B5F" w:rsidP="002E3B5F">
            <w:pPr>
              <w:snapToGrid w:val="0"/>
              <w:ind w:left="709" w:right="709"/>
              <w:jc w:val="both"/>
            </w:pPr>
            <w:r w:rsidRPr="002E3B5F">
              <w:rPr>
                <w:rFonts w:ascii="Verdana" w:eastAsia="Arial" w:hAnsi="Verdana" w:cs="Aptos"/>
                <w:sz w:val="21"/>
                <w:szCs w:val="21"/>
                <w:lang w:eastAsia="es-ES"/>
              </w:rPr>
              <w:t xml:space="preserve"> “2.2.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público</w:t>
            </w:r>
            <w:r w:rsidRPr="3B2DE5F4">
              <w:rPr>
                <w:rFonts w:ascii="Verdana" w:eastAsia="Arial" w:hAnsi="Verdana" w:cs="Aptos"/>
                <w:sz w:val="21"/>
                <w:szCs w:val="21"/>
                <w:lang w:eastAsia="es-ES"/>
              </w:rPr>
              <w:t>.</w:t>
            </w:r>
          </w:p>
          <w:p w14:paraId="40E7DFAF" w14:textId="703BA841" w:rsidR="3B2DE5F4" w:rsidRDefault="3B2DE5F4" w:rsidP="3B2DE5F4">
            <w:pPr>
              <w:ind w:left="709" w:right="709"/>
              <w:jc w:val="both"/>
              <w:rPr>
                <w:rFonts w:ascii="Verdana" w:eastAsia="Arial" w:hAnsi="Verdana" w:cs="Aptos"/>
                <w:sz w:val="21"/>
                <w:szCs w:val="21"/>
                <w:lang w:eastAsia="es-ES"/>
              </w:rPr>
            </w:pPr>
          </w:p>
          <w:p w14:paraId="432075C6" w14:textId="77777777" w:rsidR="002E3B5F" w:rsidRPr="002E3B5F" w:rsidRDefault="002E3B5F" w:rsidP="002E3B5F">
            <w:pPr>
              <w:spacing w:line="276" w:lineRule="auto"/>
              <w:jc w:val="both"/>
              <w:rPr>
                <w:rFonts w:ascii="Verdana" w:eastAsia="Aptos" w:hAnsi="Verdana" w:cs="Times New Roman"/>
              </w:rPr>
            </w:pPr>
            <w:r w:rsidRPr="002E3B5F">
              <w:rPr>
                <w:rFonts w:ascii="Verdana" w:eastAsia="Aptos" w:hAnsi="Verdana" w:cs="Aptos"/>
              </w:rPr>
              <w:tab/>
            </w:r>
            <w:r w:rsidRPr="002E3B5F">
              <w:rPr>
                <w:rFonts w:ascii="Verdana" w:eastAsia="Aptos" w:hAnsi="Verdana" w:cs="Times New Roman"/>
              </w:rPr>
              <w:t>De esta forma, para adelantar el proceso relacionado con las obras de mantenimiento, mejoras y reparaciones locativas, la entidad deberá enmarcar el proceso en la actividad 2.2, la cual, como se señaló, aplica, entre otras, para las actividades señaladas que recaigan sobre infraestructura de servicio público. En consecuencia, dado que el objeto contractual descrito por el DANE corresponde a obras de mantenimiento, mejoras y reparaciones locativas de sus oficinas, actividad expresamente contemplada en la Matriz 1 – Experiencia del Sector Institucional, la entidad se encuentra obligada a estructurar y adelantar el proceso de selección aplicando los documentos tipo de obra pública de infraestructura institucional adoptados mediante las Resoluciones 539, 540 o 541 de 2025, según corresponda a la modalidad de licitación pública, selección abreviada de menor cuantía o mínima cuantía, atendiendo la cuantía estimada del proceso a contratar.</w:t>
            </w:r>
          </w:p>
          <w:p w14:paraId="4F52F2B0" w14:textId="77777777" w:rsidR="002E3B5F" w:rsidRPr="002E3B5F" w:rsidRDefault="002E3B5F" w:rsidP="002E3B5F">
            <w:pPr>
              <w:spacing w:line="276" w:lineRule="auto"/>
              <w:jc w:val="both"/>
              <w:rPr>
                <w:rFonts w:ascii="Century Gothic" w:eastAsia="Times New Roman" w:hAnsi="Century Gothic" w:cs="Times New Roman"/>
                <w:color w:val="000000"/>
                <w:sz w:val="20"/>
                <w:szCs w:val="20"/>
                <w:lang w:eastAsia="es-MX"/>
              </w:rPr>
            </w:pPr>
          </w:p>
          <w:p w14:paraId="3C3527E6" w14:textId="77777777" w:rsidR="002E3B5F" w:rsidRPr="002E3B5F" w:rsidRDefault="002E3B5F" w:rsidP="002E3B5F">
            <w:pPr>
              <w:spacing w:line="276" w:lineRule="auto"/>
              <w:jc w:val="both"/>
              <w:rPr>
                <w:rFonts w:ascii="Verdana" w:eastAsia="Aptos" w:hAnsi="Verdana" w:cs="Aptos"/>
              </w:rPr>
            </w:pPr>
            <w:r w:rsidRPr="002E3B5F">
              <w:rPr>
                <w:rFonts w:ascii="Verdana" w:eastAsia="Times New Roman" w:hAnsi="Verdana" w:cs="Times New Roman"/>
                <w:color w:val="000000"/>
                <w:lang w:eastAsia="es-MX"/>
              </w:rPr>
              <w:t>vi.</w:t>
            </w:r>
            <w:r w:rsidRPr="002E3B5F">
              <w:rPr>
                <w:rFonts w:ascii="Century Gothic" w:eastAsia="Times New Roman" w:hAnsi="Century Gothic" w:cs="Times New Roman"/>
                <w:color w:val="000000"/>
                <w:sz w:val="20"/>
                <w:szCs w:val="20"/>
                <w:lang w:eastAsia="es-MX"/>
              </w:rPr>
              <w:t xml:space="preserve"> </w:t>
            </w:r>
            <w:r w:rsidRPr="002E3B5F">
              <w:rPr>
                <w:rFonts w:ascii="Verdana" w:eastAsia="Aptos" w:hAnsi="Verdana" w:cs="Aptos"/>
              </w:rPr>
              <w:t>Por otra parte, teniendo en cuenta que en su solicitud se indaga sobre la obligación de utilizar los documentos tipo para adelantar un proceso que tiene por objeto “contratar el diseño del sistema de iluminación interior de la sede del DANE en Barranquilla, de conformidad con las especificaciones técnicas de la entidad y en cumplimiento del RETILAP 2024 y demás normativa colombiana vigente”. Le informamos que, en los documentos tipo adoptados por esta Agencia mediante la Resolución 952 del 15 de diciembre de 2025, es decir, los de consultoría de estudios de ingeniería de infraestructura social; que agrupa los sectores de educación, salud, cultura, recreación y deporte, institucional y vivienda, se encuentra la siguiente actividad sobre la que puede recaer el objeto señalado:</w:t>
            </w:r>
          </w:p>
          <w:p w14:paraId="5E4873DA" w14:textId="77777777" w:rsidR="002E3B5F" w:rsidRPr="002E3B5F" w:rsidRDefault="002E3B5F" w:rsidP="002E3B5F">
            <w:pPr>
              <w:snapToGrid w:val="0"/>
              <w:ind w:left="709" w:right="709"/>
              <w:jc w:val="both"/>
              <w:rPr>
                <w:rFonts w:ascii="Verdana" w:eastAsia="Arial" w:hAnsi="Verdana" w:cs="Aptos"/>
                <w:sz w:val="21"/>
                <w:szCs w:val="21"/>
                <w:lang w:eastAsia="es-ES"/>
              </w:rPr>
            </w:pPr>
          </w:p>
          <w:p w14:paraId="1836C003" w14:textId="2DBEDF5E" w:rsidR="5247E696" w:rsidRDefault="5247E696" w:rsidP="3B2DE5F4">
            <w:pPr>
              <w:ind w:left="709" w:right="709"/>
              <w:jc w:val="both"/>
            </w:pPr>
            <w:r w:rsidRPr="3B2DE5F4">
              <w:rPr>
                <w:rFonts w:ascii="Verdana" w:eastAsia="Arial" w:hAnsi="Verdana" w:cs="Aptos"/>
                <w:sz w:val="21"/>
                <w:szCs w:val="21"/>
                <w:lang w:eastAsia="es-ES"/>
              </w:rPr>
              <w:lastRenderedPageBreak/>
              <w:t>2.9. Consultoría a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de infraestructura de servicio público”</w:t>
            </w:r>
          </w:p>
          <w:p w14:paraId="0D94A1A4" w14:textId="77777777" w:rsidR="002E3B5F" w:rsidRPr="002E3B5F" w:rsidRDefault="002E3B5F" w:rsidP="002E3B5F">
            <w:pPr>
              <w:spacing w:line="276" w:lineRule="auto"/>
              <w:jc w:val="both"/>
              <w:rPr>
                <w:rFonts w:ascii="Verdana" w:eastAsia="Aptos" w:hAnsi="Verdana" w:cs="Aptos"/>
              </w:rPr>
            </w:pPr>
          </w:p>
          <w:p w14:paraId="1A09DA76" w14:textId="77777777" w:rsidR="002E3B5F" w:rsidRPr="002E3B5F" w:rsidRDefault="002E3B5F" w:rsidP="002E3B5F">
            <w:pPr>
              <w:spacing w:line="276" w:lineRule="auto"/>
              <w:jc w:val="both"/>
              <w:rPr>
                <w:rFonts w:ascii="Verdana" w:eastAsia="Aptos" w:hAnsi="Verdana" w:cs="Aptos"/>
              </w:rPr>
            </w:pPr>
            <w:r w:rsidRPr="002E3B5F">
              <w:rPr>
                <w:rFonts w:ascii="Verdana" w:eastAsia="Aptos" w:hAnsi="Verdana" w:cs="Aptos"/>
              </w:rPr>
              <w:tab/>
              <w:t>Sobre la actividad señalada, debe indicarse que, de acuerdo con el documento base, de los documentos tipo adoptados por medio de la Resolución 952 de 2025, los documentos tipo que estas adoptan aplican para proceso de consultoría de estudios de ingeniería de infraestructura social “(…) en sus diferentes fases (1, 2 o 3) entendido en los términos de la definición de “estudios de ingeniería” del artículo 12 de la Ley 1682 de 2013”.</w:t>
            </w:r>
            <w:r w:rsidRPr="002E3B5F">
              <w:rPr>
                <w:rFonts w:ascii="Aptos" w:eastAsia="Aptos" w:hAnsi="Aptos" w:cs="Times New Roman"/>
                <w:sz w:val="16"/>
                <w:szCs w:val="16"/>
              </w:rPr>
              <w:t xml:space="preserve">  </w:t>
            </w:r>
            <w:r w:rsidRPr="002E3B5F">
              <w:rPr>
                <w:rFonts w:ascii="Verdana" w:eastAsia="Aptos" w:hAnsi="Verdana" w:cs="Aptos"/>
              </w:rPr>
              <w:t>Precisamente, la Fase 3 “Estudios y diseños definitivos” del artículo señalado, dispone lo siguiente:</w:t>
            </w:r>
          </w:p>
          <w:p w14:paraId="070E9818" w14:textId="77777777" w:rsidR="002E3B5F" w:rsidRPr="002E3B5F" w:rsidRDefault="002E3B5F" w:rsidP="002E3B5F">
            <w:pPr>
              <w:spacing w:line="276" w:lineRule="auto"/>
              <w:jc w:val="both"/>
              <w:rPr>
                <w:rFonts w:ascii="Verdana" w:eastAsia="Aptos" w:hAnsi="Verdana" w:cs="Aptos"/>
              </w:rPr>
            </w:pPr>
          </w:p>
          <w:p w14:paraId="55ED7F2C" w14:textId="77777777" w:rsidR="002E3B5F" w:rsidRPr="002E3B5F" w:rsidRDefault="002E3B5F" w:rsidP="002E3B5F">
            <w:pPr>
              <w:snapToGrid w:val="0"/>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“Es la fase en la cual se deben elaborar los diseños detallados tanto geométricos como de todas las estructuras y obras que se requieran, de tal forma que un constructor pueda materializar el proyecto. El objetivo de esta fase es materializar en campo el proyecto definitivo y diseñar todos sus componentes de tal manera que se pueda dar inicio a su construcción”.</w:t>
            </w:r>
          </w:p>
          <w:p w14:paraId="1334AC81" w14:textId="77777777" w:rsidR="002E3B5F" w:rsidRPr="002E3B5F" w:rsidRDefault="002E3B5F" w:rsidP="002E3B5F">
            <w:pPr>
              <w:rPr>
                <w:rFonts w:ascii="Times New Roman" w:eastAsia="Times New Roman" w:hAnsi="Times New Roman" w:cs="Times New Roman"/>
                <w:lang w:eastAsia="es-MX"/>
              </w:rPr>
            </w:pPr>
          </w:p>
          <w:p w14:paraId="66CA8B75" w14:textId="77777777" w:rsidR="002E3B5F" w:rsidRPr="002E3B5F" w:rsidRDefault="002E3B5F" w:rsidP="002E3B5F">
            <w:pPr>
              <w:spacing w:after="120" w:line="276" w:lineRule="auto"/>
              <w:jc w:val="both"/>
              <w:rPr>
                <w:rFonts w:ascii="Verdana" w:eastAsia="Aptos" w:hAnsi="Verdana" w:cs="Aptos"/>
              </w:rPr>
            </w:pPr>
            <w:r w:rsidRPr="002E3B5F">
              <w:rPr>
                <w:rFonts w:ascii="Verdana" w:eastAsia="Aptos" w:hAnsi="Verdana" w:cs="Aptos"/>
              </w:rPr>
              <w:t xml:space="preserve"> </w:t>
            </w:r>
            <w:r w:rsidRPr="002E3B5F">
              <w:rPr>
                <w:rFonts w:ascii="Verdana" w:eastAsia="Aptos" w:hAnsi="Verdana" w:cs="Aptos"/>
              </w:rPr>
              <w:tab/>
              <w:t xml:space="preserve">De esta forma, para adelantar el proceso que tiene por objeto, “contratar el diseño del sistema de iluminación interior de la sede del DANE en Barranquilla", este se enmarca dentro de la actividad 2.9 de la Matriz de Experiencia de los documentos tipo de consultoría de estudios de ingeniería de infraestructura social, adoptados mediante la Resolución 952 de 2025, en la medida en que dicha actividad comprende expresamente la consultoría a proyectos relacionados con "redes o sistemas de iluminación o luminarias" de infraestructura de servicio público. Asimismo, dado que el objeto se circunscribe a la elaboración del diseño del sistema de iluminación –sin comprender su construcción o instalación física–, la consultoría corresponde a la Fase 3 de "estudios y diseños definitivos", en los términos del artículo 12 de la Ley 1682 de 2013, por cuanto su finalidad es la elaboración de los diseños </w:t>
            </w:r>
            <w:r w:rsidRPr="002E3B5F">
              <w:rPr>
                <w:rFonts w:ascii="Verdana" w:eastAsia="Aptos" w:hAnsi="Verdana" w:cs="Aptos"/>
              </w:rPr>
              <w:lastRenderedPageBreak/>
              <w:t xml:space="preserve">detallados que permitan a un constructor materializar posteriormente el proyecto. </w:t>
            </w:r>
          </w:p>
          <w:p w14:paraId="0354E2FF" w14:textId="77777777" w:rsidR="002E3B5F" w:rsidRPr="002E3B5F" w:rsidRDefault="002E3B5F" w:rsidP="002E3B5F">
            <w:pPr>
              <w:spacing w:after="120" w:line="276" w:lineRule="auto"/>
              <w:ind w:firstLine="708"/>
              <w:jc w:val="both"/>
              <w:rPr>
                <w:rFonts w:ascii="Verdana" w:eastAsia="Aptos" w:hAnsi="Verdana" w:cs="Aptos"/>
              </w:rPr>
            </w:pPr>
            <w:r w:rsidRPr="002E3B5F">
              <w:rPr>
                <w:rFonts w:ascii="Verdana" w:eastAsia="Aptos" w:hAnsi="Verdana" w:cs="Aptos"/>
              </w:rPr>
              <w:t>En consecuencia, al subsumirse el objeto contractual dentro de una de las actividades expresamente contempladas en la Matriz de Experiencia y corresponder a una de las fases de estudios de ingeniería previstas en los documentos tipo, el DANE se encuentra obligado a estructurar y adelantar el proceso de selección para la contratación del diseño del sistema de iluminación de su sede en Barranquilla utilizando los documentos tipo de consultoría de estudios de ingeniería de infraestructura social adoptados mediante la Resolución 952 de 2025.</w:t>
            </w:r>
          </w:p>
          <w:p w14:paraId="6A94FBCB" w14:textId="77777777" w:rsidR="002E3B5F" w:rsidRPr="002E3B5F" w:rsidRDefault="002E3B5F" w:rsidP="002E3B5F">
            <w:pPr>
              <w:spacing w:line="276" w:lineRule="auto"/>
              <w:ind w:firstLine="708"/>
              <w:jc w:val="both"/>
              <w:rPr>
                <w:rFonts w:ascii="Verdana" w:eastAsia="Aptos" w:hAnsi="Verdana" w:cs="Aptos"/>
              </w:rPr>
            </w:pPr>
            <w:r w:rsidRPr="002E3B5F">
              <w:rPr>
                <w:rFonts w:ascii="Verdana" w:eastAsia="Aptos" w:hAnsi="Verdana" w:cs="Aptos"/>
              </w:rPr>
              <w:t xml:space="preserve">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  </w:t>
            </w:r>
            <w:r w:rsidRPr="002E3B5F">
              <w:rPr>
                <w:rFonts w:ascii="Verdana" w:eastAsia="Calibri" w:hAnsi="Verdana" w:cs="Arial"/>
                <w:bCs/>
                <w:color w:val="000000"/>
                <w:lang w:eastAsia="es-MX"/>
              </w:rPr>
              <w:t xml:space="preserve"> </w:t>
            </w:r>
          </w:p>
        </w:tc>
      </w:tr>
    </w:tbl>
    <w:p w14:paraId="5AF95DC8" w14:textId="77777777" w:rsidR="002E3B5F" w:rsidRPr="002E3B5F" w:rsidRDefault="002E3B5F" w:rsidP="002E3B5F">
      <w:pPr>
        <w:tabs>
          <w:tab w:val="left" w:pos="142"/>
          <w:tab w:val="left" w:pos="284"/>
        </w:tabs>
        <w:spacing w:after="0" w:line="276" w:lineRule="auto"/>
        <w:jc w:val="both"/>
        <w:rPr>
          <w:rFonts w:ascii="Verdana" w:eastAsia="Century Gothic" w:hAnsi="Verdana" w:cs="Century Gothic"/>
          <w:b/>
          <w:bCs/>
          <w:lang w:val="es-ES" w:eastAsia="es-MX"/>
        </w:rPr>
      </w:pPr>
    </w:p>
    <w:p w14:paraId="2B8FAA08" w14:textId="77777777" w:rsidR="002E3B5F" w:rsidRPr="002E3B5F" w:rsidRDefault="002E3B5F" w:rsidP="002E3B5F">
      <w:pPr>
        <w:tabs>
          <w:tab w:val="left" w:pos="142"/>
          <w:tab w:val="left" w:pos="284"/>
        </w:tabs>
        <w:spacing w:after="0" w:line="276" w:lineRule="auto"/>
        <w:jc w:val="both"/>
        <w:rPr>
          <w:rFonts w:ascii="Verdana" w:eastAsia="Century Gothic" w:hAnsi="Verdana" w:cs="Century Gothic"/>
          <w:b/>
          <w:bCs/>
          <w:lang w:val="es-ES" w:eastAsia="es-MX"/>
        </w:rPr>
      </w:pPr>
      <w:r w:rsidRPr="002E3B5F">
        <w:rPr>
          <w:rFonts w:ascii="Verdana" w:eastAsia="Century Gothic" w:hAnsi="Verdana" w:cs="Century Gothic"/>
          <w:b/>
          <w:bCs/>
          <w:lang w:val="es-ES" w:eastAsia="es-MX"/>
        </w:rPr>
        <w:t>3. Razones de la respuesta:</w:t>
      </w:r>
    </w:p>
    <w:p w14:paraId="417ACFB8" w14:textId="77777777" w:rsidR="002E3B5F" w:rsidRPr="002E3B5F" w:rsidRDefault="002E3B5F" w:rsidP="002E3B5F">
      <w:pPr>
        <w:spacing w:after="0" w:line="276" w:lineRule="auto"/>
        <w:jc w:val="both"/>
        <w:rPr>
          <w:rFonts w:ascii="Verdana" w:eastAsia="Calibri" w:hAnsi="Verdana" w:cs="Arial"/>
          <w:lang w:val="es-ES" w:eastAsia="es-MX"/>
        </w:rPr>
      </w:pPr>
    </w:p>
    <w:p w14:paraId="1F7FA561" w14:textId="77777777" w:rsidR="002E3B5F" w:rsidRPr="002E3B5F" w:rsidRDefault="002E3B5F" w:rsidP="002E3B5F">
      <w:pPr>
        <w:spacing w:after="0" w:line="276" w:lineRule="auto"/>
        <w:jc w:val="both"/>
        <w:rPr>
          <w:rFonts w:ascii="Verdana" w:eastAsia="Calibri" w:hAnsi="Verdana" w:cs="Arial"/>
          <w:lang w:val="es-ES" w:eastAsia="es-MX"/>
        </w:rPr>
      </w:pPr>
      <w:r w:rsidRPr="002E3B5F">
        <w:rPr>
          <w:rFonts w:ascii="Verdana" w:eastAsia="Calibri" w:hAnsi="Verdana" w:cs="Arial"/>
          <w:lang w:val="es-ES" w:eastAsia="es-MX"/>
        </w:rPr>
        <w:t xml:space="preserve">Lo anterior se sustenta en las siguientes consideraciones: </w:t>
      </w:r>
    </w:p>
    <w:p w14:paraId="7EF8446A" w14:textId="77777777" w:rsidR="002E3B5F" w:rsidRPr="002E3B5F" w:rsidRDefault="002E3B5F" w:rsidP="002E3B5F">
      <w:pPr>
        <w:spacing w:after="0" w:line="276" w:lineRule="auto"/>
        <w:jc w:val="both"/>
        <w:rPr>
          <w:rFonts w:ascii="Verdana" w:eastAsia="Calibri" w:hAnsi="Verdana" w:cs="Arial"/>
          <w:lang w:val="es-ES" w:eastAsia="es-MX"/>
        </w:rPr>
      </w:pPr>
    </w:p>
    <w:p w14:paraId="15658FF8" w14:textId="77777777" w:rsidR="002E3B5F" w:rsidRPr="002E3B5F" w:rsidRDefault="002E3B5F" w:rsidP="002E3B5F">
      <w:pPr>
        <w:spacing w:after="120" w:line="276" w:lineRule="auto"/>
        <w:jc w:val="both"/>
        <w:rPr>
          <w:rFonts w:ascii="Verdana" w:eastAsia="Aptos" w:hAnsi="Verdana" w:cs="Arial"/>
          <w:lang w:eastAsia="es-MX"/>
        </w:rPr>
      </w:pPr>
      <w:r w:rsidRPr="002E3B5F">
        <w:rPr>
          <w:rFonts w:ascii="Verdana" w:eastAsia="Aptos" w:hAnsi="Verdana" w:cs="Arial"/>
          <w:lang w:eastAsia="es-MX"/>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7450E180" w14:textId="77777777" w:rsidR="002E3B5F" w:rsidRPr="002E3B5F" w:rsidRDefault="002E3B5F" w:rsidP="002E3B5F">
      <w:pPr>
        <w:spacing w:after="120" w:line="276" w:lineRule="auto"/>
        <w:ind w:firstLine="708"/>
        <w:jc w:val="both"/>
        <w:rPr>
          <w:rFonts w:ascii="Verdana" w:eastAsia="Aptos" w:hAnsi="Verdana" w:cs="Arial"/>
          <w:lang w:eastAsia="es-MX"/>
        </w:rPr>
      </w:pPr>
      <w:r w:rsidRPr="002E3B5F">
        <w:rPr>
          <w:rFonts w:ascii="Verdana" w:eastAsia="Aptos" w:hAnsi="Verdana" w:cs="Arial"/>
          <w:lang w:val="es-ES" w:eastAsia="es-MX"/>
        </w:rPr>
        <w:t xml:space="preserve">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w:t>
      </w:r>
      <w:r w:rsidRPr="002E3B5F">
        <w:rPr>
          <w:rFonts w:ascii="Verdana" w:eastAsia="Aptos" w:hAnsi="Verdana" w:cs="Arial"/>
          <w:lang w:val="es-ES" w:eastAsia="es-MX"/>
        </w:rPr>
        <w:lastRenderedPageBreak/>
        <w:t>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DE7E57B"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Aptos" w:hAnsi="Verdana" w:cs="Arial"/>
          <w:lang w:eastAsia="es-MX"/>
        </w:rPr>
        <w:t xml:space="preserve">En el sector social, </w:t>
      </w:r>
      <w:r w:rsidRPr="002E3B5F">
        <w:rPr>
          <w:rFonts w:ascii="Verdana" w:eastAsia="Calibri" w:hAnsi="Verdana" w:cs="Arial"/>
          <w:lang w:val="es-MX" w:eastAsia="es-MX"/>
        </w:rPr>
        <w:t xml:space="preserve">la Agencia Nacional de Contratación Pública – Colombia Compra </w:t>
      </w:r>
      <w:r w:rsidRPr="002E3B5F">
        <w:rPr>
          <w:rFonts w:ascii="Verdana" w:eastAsia="Calibri" w:hAnsi="Verdana" w:cs="Arial"/>
          <w:lang w:eastAsia="es-MX"/>
        </w:rPr>
        <w:t xml:space="preserve">Eficiente </w:t>
      </w:r>
      <w:r w:rsidRPr="002E3B5F">
        <w:rPr>
          <w:rFonts w:ascii="Verdana" w:eastAsia="Times New Roman" w:hAnsi="Verdana" w:cs="Times New Roman"/>
          <w:color w:val="000000"/>
          <w:lang w:eastAsia="es-CO"/>
        </w:rPr>
        <w:t>en el segundo semestre del año 2025 adoptó las siguientes Resoluciones para contratar obra pública y concursos de méritos:</w:t>
      </w:r>
    </w:p>
    <w:p w14:paraId="245B94CC"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68682C46"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t xml:space="preserve"> </w:t>
      </w:r>
      <w:proofErr w:type="spellStart"/>
      <w:r w:rsidRPr="002E3B5F">
        <w:rPr>
          <w:rFonts w:ascii="Verdana" w:eastAsia="Times New Roman" w:hAnsi="Verdana" w:cs="Times New Roman"/>
          <w:color w:val="000000"/>
          <w:lang w:eastAsia="es-CO"/>
        </w:rPr>
        <w:t>ii</w:t>
      </w:r>
      <w:proofErr w:type="spellEnd"/>
      <w:r w:rsidRPr="002E3B5F">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7F777548"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proofErr w:type="spellStart"/>
      <w:r w:rsidRPr="002E3B5F">
        <w:rPr>
          <w:rFonts w:ascii="Verdana" w:eastAsia="Times New Roman" w:hAnsi="Verdana" w:cs="Times New Roman"/>
          <w:color w:val="000000"/>
          <w:lang w:eastAsia="es-CO"/>
        </w:rPr>
        <w:t>iii</w:t>
      </w:r>
      <w:proofErr w:type="spellEnd"/>
      <w:r w:rsidRPr="002E3B5F">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24DB5507"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proofErr w:type="spellStart"/>
      <w:r w:rsidRPr="002E3B5F">
        <w:rPr>
          <w:rFonts w:ascii="Verdana" w:eastAsia="Times New Roman" w:hAnsi="Verdana" w:cs="Times New Roman"/>
          <w:color w:val="000000"/>
          <w:lang w:eastAsia="es-CO"/>
        </w:rPr>
        <w:t>iv</w:t>
      </w:r>
      <w:proofErr w:type="spellEnd"/>
      <w:r w:rsidRPr="002E3B5F">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0D59A96A" w14:textId="77777777" w:rsidR="002E3B5F" w:rsidRPr="002E3B5F" w:rsidRDefault="002E3B5F" w:rsidP="002E3B5F">
      <w:pPr>
        <w:spacing w:after="120" w:line="276" w:lineRule="auto"/>
        <w:ind w:firstLine="708"/>
        <w:jc w:val="both"/>
        <w:rPr>
          <w:rFonts w:ascii="Verdana" w:eastAsia="Times New Roman" w:hAnsi="Verdana" w:cs="Times New Roman"/>
          <w:color w:val="000000"/>
          <w:lang w:eastAsia="es-CO"/>
        </w:rPr>
      </w:pPr>
      <w:r w:rsidRPr="002E3B5F">
        <w:rPr>
          <w:rFonts w:ascii="Verdana" w:eastAsia="Times New Roman" w:hAnsi="Verdana" w:cs="Times New Roman"/>
          <w:color w:val="000000"/>
          <w:lang w:eastAsia="es-CO"/>
        </w:rPr>
        <w:lastRenderedPageBreak/>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2E3B5F">
        <w:rPr>
          <w:rFonts w:ascii="Verdana" w:eastAsia="Aptos" w:hAnsi="Verdana" w:cs="Times New Roman"/>
          <w:lang w:eastAsia="es-MX"/>
        </w:rPr>
        <w:t xml:space="preserve"> </w:t>
      </w:r>
    </w:p>
    <w:p w14:paraId="43C50001" w14:textId="77777777" w:rsidR="002E3B5F" w:rsidRPr="002E3B5F" w:rsidRDefault="002E3B5F" w:rsidP="002E3B5F">
      <w:pPr>
        <w:widowControl w:val="0"/>
        <w:autoSpaceDE w:val="0"/>
        <w:autoSpaceDN w:val="0"/>
        <w:spacing w:after="120" w:line="276" w:lineRule="auto"/>
        <w:ind w:firstLine="708"/>
        <w:jc w:val="both"/>
        <w:rPr>
          <w:rFonts w:ascii="Verdana" w:eastAsia="Aptos" w:hAnsi="Verdana" w:cs="Times New Roman"/>
          <w:lang w:eastAsia="es-MX"/>
        </w:rPr>
      </w:pPr>
      <w:r w:rsidRPr="002E3B5F">
        <w:rPr>
          <w:rFonts w:ascii="Verdana" w:eastAsia="Aptos" w:hAnsi="Verdana" w:cs="Times New Roman"/>
          <w:lang w:eastAsia="es-MX"/>
        </w:rPr>
        <w:t>De acuerdo con el artículo tercero de las Resoluciones 539, 540, 541, 952 y 953 de 2025, los documentos tipo que estas adoptan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779DFE8D" w14:textId="77777777" w:rsidR="002E3B5F" w:rsidRPr="002E3B5F" w:rsidRDefault="002E3B5F" w:rsidP="002E3B5F">
      <w:pPr>
        <w:spacing w:after="120" w:line="276" w:lineRule="auto"/>
        <w:ind w:firstLine="708"/>
        <w:jc w:val="both"/>
        <w:textAlignment w:val="baseline"/>
        <w:rPr>
          <w:rFonts w:ascii="Verdana" w:eastAsia="Calibri" w:hAnsi="Verdana" w:cs="Arial"/>
          <w:lang w:eastAsia="es-MX"/>
        </w:rPr>
      </w:pPr>
      <w:r w:rsidRPr="002E3B5F">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2E3B5F">
        <w:rPr>
          <w:rFonts w:ascii="Verdana" w:eastAsia="Calibri" w:hAnsi="Verdana" w:cs="Arial"/>
          <w:vertAlign w:val="superscript"/>
          <w:lang w:eastAsia="es-MX"/>
        </w:rPr>
        <w:footnoteReference w:id="2"/>
      </w:r>
      <w:r w:rsidRPr="002E3B5F">
        <w:rPr>
          <w:rFonts w:ascii="Verdana" w:eastAsia="Calibri" w:hAnsi="Verdana" w:cs="Arial"/>
          <w:lang w:eastAsia="es-MX"/>
        </w:rPr>
        <w:t>.</w:t>
      </w:r>
    </w:p>
    <w:p w14:paraId="033B5F69"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lastRenderedPageBreak/>
        <w:t xml:space="preserve">Es importante resaltar que, en virtud de la regla de inalterabilidad, los documentos tipo solo pueden ser modificados en los aspectos en que estos lo permitan. Esto corresponde a aquellos que se encuentran entre corchetes y resaltados en gris </w:t>
      </w:r>
      <w:r w:rsidRPr="002E3B5F">
        <w:rPr>
          <w:rFonts w:ascii="Verdana" w:eastAsia="Calibri" w:hAnsi="Verdana" w:cs="Times New Roman"/>
          <w:shd w:val="clear" w:color="auto" w:fill="E8E8E8"/>
          <w:lang w:val="es-ES" w:eastAsia="es-MX"/>
        </w:rPr>
        <w:t>–[texto]–,</w:t>
      </w:r>
      <w:r w:rsidRPr="002E3B5F">
        <w:rPr>
          <w:rFonts w:ascii="Verdana" w:eastAsia="Calibri" w:hAnsi="Verdana" w:cs="Times New Roman"/>
          <w:lang w:val="es-ES" w:eastAsia="es-MX"/>
        </w:rPr>
        <w:t xml:space="preserve"> para lo cual deberán observarse las instrucciones contenidas en los mismos para su diligenciamiento.</w:t>
      </w:r>
    </w:p>
    <w:p w14:paraId="17C8001C"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6EB8F828"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914FA09"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 xml:space="preserve">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w:t>
      </w:r>
      <w:r w:rsidRPr="002E3B5F">
        <w:rPr>
          <w:rFonts w:ascii="Verdana" w:eastAsia="Calibri" w:hAnsi="Verdana" w:cs="Times New Roman"/>
          <w:lang w:val="es-ES" w:eastAsia="es-MX"/>
        </w:rPr>
        <w:lastRenderedPageBreak/>
        <w:t>contratarse debe emplear los documentos tipo adoptados por esta Agencia.</w:t>
      </w:r>
    </w:p>
    <w:p w14:paraId="44C90D80" w14:textId="77777777" w:rsidR="002E3B5F" w:rsidRPr="002E3B5F" w:rsidRDefault="002E3B5F" w:rsidP="002E3B5F">
      <w:pPr>
        <w:widowControl w:val="0"/>
        <w:autoSpaceDE w:val="0"/>
        <w:autoSpaceDN w:val="0"/>
        <w:spacing w:after="12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7017C65B" w14:textId="77777777" w:rsidR="002E3B5F" w:rsidRPr="002E3B5F" w:rsidRDefault="002E3B5F" w:rsidP="002E3B5F">
      <w:pPr>
        <w:widowControl w:val="0"/>
        <w:autoSpaceDE w:val="0"/>
        <w:autoSpaceDN w:val="0"/>
        <w:spacing w:after="0" w:line="276" w:lineRule="auto"/>
        <w:ind w:firstLine="708"/>
        <w:jc w:val="both"/>
        <w:rPr>
          <w:rFonts w:ascii="Verdana" w:eastAsia="Calibri" w:hAnsi="Verdana" w:cs="Times New Roman"/>
          <w:lang w:val="es-ES" w:eastAsia="es-MX"/>
        </w:rPr>
      </w:pPr>
      <w:r w:rsidRPr="002E3B5F">
        <w:rPr>
          <w:rFonts w:ascii="Verdana" w:eastAsia="Calibri" w:hAnsi="Verdana" w:cs="Times New Roman"/>
          <w:lang w:val="es-ES" w:eastAsia="es-MX"/>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5B218F9C" w14:textId="77777777" w:rsidR="002E3B5F" w:rsidRPr="002E3B5F" w:rsidRDefault="002E3B5F" w:rsidP="002E3B5F">
      <w:pPr>
        <w:widowControl w:val="0"/>
        <w:autoSpaceDE w:val="0"/>
        <w:autoSpaceDN w:val="0"/>
        <w:spacing w:after="0" w:line="276" w:lineRule="auto"/>
        <w:ind w:firstLine="708"/>
        <w:jc w:val="both"/>
        <w:rPr>
          <w:rFonts w:ascii="Verdana" w:eastAsia="Calibri" w:hAnsi="Verdana" w:cs="Times New Roman"/>
          <w:lang w:val="es-ES" w:eastAsia="es-MX"/>
        </w:rPr>
      </w:pPr>
    </w:p>
    <w:p w14:paraId="318F4BEF" w14:textId="77777777" w:rsidR="002E3B5F" w:rsidRPr="002E3B5F" w:rsidRDefault="002E3B5F" w:rsidP="002E3B5F">
      <w:pPr>
        <w:spacing w:after="120" w:line="276" w:lineRule="auto"/>
        <w:jc w:val="both"/>
        <w:rPr>
          <w:rFonts w:ascii="Verdana" w:eastAsia="Calibri" w:hAnsi="Verdana" w:cs="Times New Roman"/>
          <w:lang w:val="es-ES" w:eastAsia="es-MX"/>
        </w:rPr>
      </w:pPr>
      <w:proofErr w:type="spellStart"/>
      <w:r w:rsidRPr="002E3B5F">
        <w:rPr>
          <w:rFonts w:ascii="Verdana" w:eastAsia="Calibri" w:hAnsi="Verdana" w:cs="Times New Roman"/>
          <w:lang w:val="es-ES" w:eastAsia="es-MX"/>
        </w:rPr>
        <w:t>ii</w:t>
      </w:r>
      <w:proofErr w:type="spellEnd"/>
      <w:r w:rsidRPr="002E3B5F">
        <w:rPr>
          <w:rFonts w:ascii="Verdana" w:eastAsia="Calibri" w:hAnsi="Verdana" w:cs="Times New Roman"/>
          <w:lang w:val="es-ES" w:eastAsia="es-MX"/>
        </w:rPr>
        <w:t xml:space="preserve">. 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adoptaron los documentos tipo complementarios para los procesos de mínima cuantía de obra pública de infraestructura social relacionados con el sector Institucional. </w:t>
      </w:r>
    </w:p>
    <w:p w14:paraId="6160D7C1" w14:textId="77777777" w:rsidR="002E3B5F" w:rsidRPr="002E3B5F" w:rsidRDefault="002E3B5F" w:rsidP="002E3B5F">
      <w:pPr>
        <w:spacing w:after="120" w:line="276" w:lineRule="auto"/>
        <w:jc w:val="both"/>
        <w:rPr>
          <w:rFonts w:ascii="Verdana" w:eastAsia="Calibri" w:hAnsi="Verdana" w:cs="Times New Roman"/>
          <w:lang w:val="es-ES" w:eastAsia="es-MX"/>
        </w:rPr>
      </w:pPr>
      <w:r w:rsidRPr="002E3B5F">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5B41EF56" w14:textId="77777777" w:rsidR="002E3B5F" w:rsidRPr="002E3B5F" w:rsidRDefault="002E3B5F" w:rsidP="002E3B5F">
      <w:pPr>
        <w:spacing w:after="0" w:line="276" w:lineRule="auto"/>
        <w:ind w:firstLine="708"/>
        <w:jc w:val="both"/>
        <w:rPr>
          <w:rFonts w:ascii="Verdana" w:eastAsia="Calibri" w:hAnsi="Verdana" w:cs="Times New Roman"/>
          <w:lang w:eastAsia="es-MX"/>
        </w:rPr>
      </w:pPr>
      <w:r w:rsidRPr="002E3B5F">
        <w:rPr>
          <w:rFonts w:ascii="Verdana" w:eastAsia="Times New Roman" w:hAnsi="Verdana" w:cs="Times New Roman"/>
          <w:color w:val="000000"/>
          <w:lang w:eastAsia="es-CO"/>
        </w:rPr>
        <w:lastRenderedPageBreak/>
        <w:t>En los documentos tipo complementarios del sector Institucional, en la modalidad de licitación pública, selección abreviada de menor cuantía y mínima cuantía, en la Matriz 1 se encuentran los siguientes tipos de infraestructura:</w:t>
      </w:r>
      <w:r w:rsidRPr="002E3B5F">
        <w:rPr>
          <w:rFonts w:ascii="Times New Roman" w:eastAsia="Arial" w:hAnsi="Times New Roman" w:cs="Aptos"/>
          <w:lang w:eastAsia="es-ES"/>
        </w:rPr>
        <w:t xml:space="preserve"> </w:t>
      </w:r>
      <w:r w:rsidRPr="002E3B5F">
        <w:rPr>
          <w:rFonts w:ascii="Verdana" w:eastAsia="Arial" w:hAnsi="Verdana" w:cs="Aptos"/>
          <w:lang w:eastAsia="es-ES"/>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2E3B5F">
        <w:rPr>
          <w:rFonts w:ascii="Verdana" w:eastAsia="Times New Roman" w:hAnsi="Verdana" w:cs="Arial"/>
          <w:lang w:eastAsia="es-MX"/>
        </w:rPr>
        <w:t>.</w:t>
      </w:r>
      <w:r w:rsidRPr="002E3B5F">
        <w:rPr>
          <w:rFonts w:ascii="Verdana" w:eastAsia="Calibri" w:hAnsi="Verdana" w:cs="Times New Roman"/>
          <w:lang w:eastAsia="es-MX"/>
        </w:rPr>
        <w:t xml:space="preserve"> Particularmente, en relación con unos de los problemas jurídicos planteados en este concepto, en el Capítulo dos (2)  “</w:t>
      </w:r>
      <w:r w:rsidRPr="002E3B5F">
        <w:rPr>
          <w:rFonts w:ascii="Verdana" w:eastAsia="Arial" w:hAnsi="Verdana" w:cs="Aptos"/>
          <w:lang w:eastAsia="es-ES"/>
        </w:rPr>
        <w:t>Obras en proyectos de infraestructura institucional de servicio público”,</w:t>
      </w:r>
      <w:r w:rsidRPr="002E3B5F">
        <w:rPr>
          <w:rFonts w:ascii="Verdana" w:eastAsia="Calibri" w:hAnsi="Verdana" w:cs="Times New Roman"/>
          <w:lang w:eastAsia="es-MX"/>
        </w:rPr>
        <w:t xml:space="preserve"> se incluyen las siguientes actividades sobre las que recaen estos documentos tipo:  </w:t>
      </w:r>
    </w:p>
    <w:p w14:paraId="0B87A97C" w14:textId="77777777" w:rsidR="002E3B5F" w:rsidRPr="002E3B5F" w:rsidRDefault="002E3B5F" w:rsidP="002E3B5F">
      <w:pPr>
        <w:spacing w:after="0" w:line="276" w:lineRule="auto"/>
        <w:ind w:firstLine="708"/>
        <w:jc w:val="both"/>
        <w:rPr>
          <w:rFonts w:ascii="Verdana" w:eastAsia="Calibri" w:hAnsi="Verdana" w:cs="Times New Roman"/>
          <w:lang w:eastAsia="es-MX"/>
        </w:rPr>
      </w:pPr>
    </w:p>
    <w:p w14:paraId="6E7DBB75" w14:textId="77777777" w:rsidR="002E3B5F" w:rsidRPr="002E3B5F" w:rsidRDefault="002E3B5F" w:rsidP="002E3B5F">
      <w:pPr>
        <w:snapToGrid w:val="0"/>
        <w:spacing w:after="120" w:line="240" w:lineRule="auto"/>
        <w:ind w:left="709" w:right="709"/>
        <w:jc w:val="both"/>
        <w:rPr>
          <w:rFonts w:ascii="Verdana" w:eastAsia="Calibri" w:hAnsi="Verdana" w:cs="Times New Roman"/>
          <w:sz w:val="21"/>
          <w:szCs w:val="21"/>
          <w:lang w:eastAsia="es-MX"/>
        </w:rPr>
      </w:pPr>
      <w:r w:rsidRPr="002E3B5F">
        <w:rPr>
          <w:rFonts w:ascii="Verdana" w:eastAsia="Calibri" w:hAnsi="Verdana" w:cs="Times New Roman"/>
          <w:sz w:val="21"/>
          <w:szCs w:val="21"/>
          <w:lang w:eastAsia="es-MX"/>
        </w:rPr>
        <w:t>“2.1. PROYECTOS DE CONSTRUCCIÓN Y/O AMPLIACIÓN Y/O RECONSTRUCCIÓN DE INFRAESTRUCTURA DE SERVICIO PUBLICO</w:t>
      </w:r>
    </w:p>
    <w:p w14:paraId="688D674B"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PUBLICO</w:t>
      </w:r>
    </w:p>
    <w:p w14:paraId="13C0A8C0"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2.3. PROYECTOS DE DEMOLICIÓN Y/O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CERRAMIENTO PARA INFRAESTRUCTURA DE SERVICIO PÚBLICO</w:t>
      </w:r>
    </w:p>
    <w:p w14:paraId="611694EE"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2.4. PROYECTOS DE REFORZAMIENTO ESTRUCTURAL Y/O ACTUALIZACIÓN SÍSMICA Y/O REPOTENCIACIÓN ESTRUCTURAL DE INFRAESTRUCTURA DE SERVICIO PUBLICO</w:t>
      </w:r>
    </w:p>
    <w:p w14:paraId="3A5C5DBB"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 xml:space="preserve">2.5. PROYECTOS DE CONSTRUCCIÓN Y/O AMPLIACIÓN Y/O RECONSTRUCCIÓN Y/O ADECUACIÓN Y/O CONSERVACIÓN Y/O INTERVENCIÓN Y/O INSTALACIÓN Y/O MANTENIMIENTO Y/O MEJORAMIENTO Y/O MODIFICACIÓN U OPTIMIZACIÓN Y/O </w:t>
      </w:r>
      <w:r w:rsidRPr="002E3B5F">
        <w:rPr>
          <w:rFonts w:ascii="Verdana" w:eastAsia="Arial" w:hAnsi="Verdana" w:cs="Aptos"/>
          <w:sz w:val="21"/>
          <w:szCs w:val="21"/>
          <w:lang w:eastAsia="es-ES"/>
        </w:rPr>
        <w:lastRenderedPageBreak/>
        <w:t>REHABILITACIÓN Y/O REMODELACIÓN Y/O REPOSICIÓN Y/O REPARACIÓN LOCATIVA Y/O RESTAURACIÓN Y/O RESTITUCIÓN Y/O TERMINACIÓN Y/O REFORZAMIENTO ESTRUCTURAL Y/O ACTUALIZACIÓN SÍSMICA Y/O REPOTENCIACIÓN ESTRUCTURAL DE COMEDORES, ZONAS DE ALMACENAMIENTO Y/O ZONAS DE CONSERVACIÓN DE ALIMENTOS Y/O ZONAS DE ALIMENTACIÓN DE INFRAESTRUCTURA DE SERVICIO PUBLICO</w:t>
      </w:r>
    </w:p>
    <w:p w14:paraId="04849EA9"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2.6. PROYECTOS DE CONSTRUCCIÓN Y/O AMPLIACIÓN Y/O RECONSTRUCCIÓN ADECUACIÓN Y/O CONSERVACIÓN Y/O INTERVENCIÓN Y/O INSTALACIÓN Y/O MANTENIMIENTO Y/O MEJORAMIENTO Y/O MODIFICACIÓN U OPTIMIZACIÓN Y/O REHABILITACIÓN Y/O REMODELACIÓN Y/O REPOSICIÓN Y/O REPARACIÓN LOCATIVA Y/O RESTAURACIÓN Y/O RESTITUCIÓN Y/O TERMINACIÓN DE BATERÍAS SANITARIAS Y/O REDES HIDROSANITARIAS Y/O TANQUES DE ALMACENAMIENTO Y/O SISTEMAS DE BOMBEO Y/O REDES CONTRA INCENDIOS DE INFRAESTRUCTURA DE SERVICIO PUBLICO</w:t>
      </w:r>
    </w:p>
    <w:p w14:paraId="6EC7770F"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2.7.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DE CUBIERTAS DE INFRAESTRUCTURA DE SERVICIO PUBLICO</w:t>
      </w:r>
    </w:p>
    <w:p w14:paraId="752F6718"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2.8.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Y/O REFORZAMIENTO ESTRUCTURAL Y/O ACTUALIZACIÓN SÍSMICA Y/O REPOTENCIACIÓN ESTRUCTURAL EN BIENES DE INTERÉS CULTURAL Y/O PATRIMONIAL ASOCIADOS A INFRAESTRUCTURA DE SERVICIO PUBLICO</w:t>
      </w:r>
    </w:p>
    <w:p w14:paraId="3692EC18"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 xml:space="preserve">2.9.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w:t>
      </w:r>
      <w:r w:rsidRPr="002E3B5F">
        <w:rPr>
          <w:rFonts w:ascii="Verdana" w:eastAsia="Arial" w:hAnsi="Verdana" w:cs="Aptos"/>
          <w:sz w:val="21"/>
          <w:szCs w:val="21"/>
          <w:lang w:eastAsia="es-ES"/>
        </w:rPr>
        <w:lastRenderedPageBreak/>
        <w:t>TERMINACIÓN DE REDES ELÉCTRICAS Y/O CIRCUITOS CERRADOS DE TV Y/O SISTEMAS DE SEGURIDAD Y/O CIRCUITOS DE VOZ Y DATOS Y/O   PLANTAS ELÉCTRICAS Y/O SUBESTACIONES Y/O REDES DE TELEMÁTICA Y/O COMUNICACIÓN Y/O SONIDO Y/O TELEFONÍA Y/O REDES O SISTEMAS DE ILUMINACIÓN O LUMINARIAS INTERIORES O EXTERIORES DE INFRAESTRUCTURA DE SERVICIO PUBLICO</w:t>
      </w:r>
    </w:p>
    <w:p w14:paraId="3D782F9B"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2.10. PROYECTOS DE CONSTRUCCIÓN Y/O HABILITACIÓN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ZONAS VERDES, Y/O ACTIVIDADES DE URBANISMO Y/O DE PAISAJISMO ASOCIADA A INFRAESTRUCTURA DE SERVICIO PUBLICO</w:t>
      </w:r>
    </w:p>
    <w:p w14:paraId="46C733CF"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2.11. PROYECTOS DE SUMINISTRO Y/O INSTALACIÓN DE DOTACIÓN Y/O DE MOBILIARIO INTERNO O EXTERNO PARA INFRAESTRUCTURA DE SERVICIO PUBLICO</w:t>
      </w:r>
    </w:p>
    <w:p w14:paraId="631B789E"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2.12. PROYECTOS DE SUMINISTRO Y/O INSTALACION DE EQUIPOS ESPECIALES Y/O ELECTROMECÁNICOS Y/O ELECTRÓNICOS Y/O MAQUINARIA U OTROS TIPOS DE EQUIPOS PARA INFRAESTRUCTURA DE SERVICIO PUBLICO</w:t>
      </w:r>
    </w:p>
    <w:p w14:paraId="2FEF3F3C" w14:textId="77777777" w:rsidR="002E3B5F" w:rsidRPr="002E3B5F" w:rsidRDefault="002E3B5F" w:rsidP="002E3B5F">
      <w:pPr>
        <w:snapToGrid w:val="0"/>
        <w:spacing w:after="12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2.13.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DE VAPOR Y/O REDES DE GASES Y/O REDES DE GAS NATURAL Y/O SISTEMAS DE COCCIÓN DE INFRAESTRUCTURA INSTITUCIONAL - SERVICIO PÚBLICO</w:t>
      </w:r>
    </w:p>
    <w:p w14:paraId="0859A19D" w14:textId="77777777" w:rsidR="002E3B5F" w:rsidRPr="002E3B5F" w:rsidRDefault="002E3B5F" w:rsidP="002E3B5F">
      <w:pPr>
        <w:snapToGrid w:val="0"/>
        <w:spacing w:after="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2.14. PROYECTOS DE SUMINISTRO Y/O INSTALACIÓN DE SISTEMAS DE AIRES ACONDICIONADOS O SISTEMAS DE VENTILACIÓN O SIMILARES PARA INFRAESTRUCTURA DE SERVICIO PUBLICO”.</w:t>
      </w:r>
    </w:p>
    <w:p w14:paraId="7199BC14" w14:textId="77777777" w:rsidR="002E3B5F" w:rsidRPr="002E3B5F" w:rsidRDefault="002E3B5F" w:rsidP="002E3B5F">
      <w:pPr>
        <w:spacing w:after="0" w:line="276" w:lineRule="auto"/>
        <w:ind w:firstLine="708"/>
        <w:jc w:val="both"/>
        <w:rPr>
          <w:rFonts w:ascii="Verdana" w:eastAsia="Calibri" w:hAnsi="Verdana" w:cs="Times New Roman"/>
          <w:lang w:eastAsia="es-MX"/>
        </w:rPr>
      </w:pPr>
    </w:p>
    <w:p w14:paraId="31D14660" w14:textId="77777777" w:rsidR="002E3B5F" w:rsidRPr="002E3B5F" w:rsidRDefault="002E3B5F" w:rsidP="002E3B5F">
      <w:pPr>
        <w:spacing w:after="120" w:line="278" w:lineRule="auto"/>
        <w:ind w:firstLine="708"/>
        <w:jc w:val="both"/>
        <w:rPr>
          <w:rFonts w:ascii="Verdana" w:eastAsia="Aptos" w:hAnsi="Verdana" w:cs="Times New Roman"/>
          <w:i/>
          <w:iCs/>
          <w:kern w:val="2"/>
          <w14:ligatures w14:val="standardContextual"/>
        </w:rPr>
      </w:pPr>
      <w:r w:rsidRPr="002E3B5F">
        <w:rPr>
          <w:rFonts w:ascii="Verdana" w:eastAsia="Aptos" w:hAnsi="Verdana" w:cs="Times New Roman"/>
          <w:kern w:val="2"/>
          <w14:ligatures w14:val="standardContextual"/>
        </w:rPr>
        <w:t xml:space="preserve">Las actividades señaladas, contenidas en el capítulo de "Obras en proyectos de infraestructura institucional de servicio público" de los documentos tipo del sector institucional, corresponden, de manera general y entre otras, a las siguientes: proyectos de demolición y/o construcción y/o ampliación y/o reconstrucción y/o adecuación y/o conservación y/o intervención y/o instalación </w:t>
      </w:r>
      <w:r w:rsidRPr="002E3B5F">
        <w:rPr>
          <w:rFonts w:ascii="Verdana" w:eastAsia="Aptos" w:hAnsi="Verdana" w:cs="Times New Roman"/>
          <w:kern w:val="2"/>
          <w14:ligatures w14:val="standardContextual"/>
        </w:rPr>
        <w:lastRenderedPageBreak/>
        <w:t xml:space="preserve">y/o mantenimiento y/o mejoramiento y/o modificación u optimización y/o rehabilitación y/o remodelación y/o reposición y/o reparación locativa y/o restauración y/o restitución y/o terminación y/o reforzamiento estructural y/o actualización sísmica y/o repotenciación estructural; y/o suministro y/o instalación de dotación y/o de mobiliario interno o externo; y/o suministro y/o instalación de equipos especiales y/o electromecánicos y/o electrónicos y/o maquinaria u otros tipos de equipos; y/o suministro y/o instalación de sistemas de aires acondicionados o sistemas de ventilación o similares. Dichas actividades pueden recaer, entre otros, sobre cerramientos, comedores, zonas de almacenamiento y/o conservación de alimentos, baterías sanitarias, redes hidrosanitarias, tanques de almacenamiento, sistemas de bombeo, redes contra incendios, cubiertas, bienes de interés cultural y/o patrimonial, redes eléctricas, circuitos cerrados de TV, sistemas de seguridad, circuitos de voz y datos, plantas eléctricas, subestaciones, redes de telemática, comunicación, sonido, telefonía e iluminación, zonas verdes y actividades de urbanismo y/o paisajismo, así como redes de vapor, gases, gas natural y sistemas de cocción; todo ello </w:t>
      </w:r>
      <w:r w:rsidRPr="002E3B5F">
        <w:rPr>
          <w:rFonts w:ascii="Verdana" w:eastAsia="Aptos" w:hAnsi="Verdana" w:cs="Times New Roman"/>
          <w:i/>
          <w:iCs/>
          <w:kern w:val="2"/>
          <w14:ligatures w14:val="standardContextual"/>
        </w:rPr>
        <w:t>asociado a proyectos sobre infraestructura de servicio público.</w:t>
      </w:r>
    </w:p>
    <w:p w14:paraId="44859522" w14:textId="77777777" w:rsidR="002E3B5F" w:rsidRPr="002E3B5F" w:rsidRDefault="002E3B5F" w:rsidP="002E3B5F">
      <w:pPr>
        <w:spacing w:after="120" w:line="278" w:lineRule="auto"/>
        <w:ind w:firstLine="708"/>
        <w:jc w:val="both"/>
        <w:rPr>
          <w:rFonts w:ascii="Verdana" w:eastAsia="Times New Roman" w:hAnsi="Verdana" w:cs="Aptos"/>
          <w:lang w:eastAsia="es-MX"/>
        </w:rPr>
      </w:pPr>
      <w:r w:rsidRPr="002E3B5F">
        <w:rPr>
          <w:rFonts w:ascii="Verdana" w:eastAsia="Times New Roman" w:hAnsi="Verdana" w:cs="Aptos"/>
          <w:lang w:eastAsia="es-MX"/>
        </w:rPr>
        <w:t>Para interpretar el alcance del tipo de infraestructura de servicio público, se debe tener en cuenta la nota general 1 de la Matriz 1– Experiencia del Sector Institucional, en las distintas modalidades de selección de los documentos tipo adoptados por esta Agencia. En esta se indica que “(l)as definiciones contenidas en esta Matriz deben enmarcarse en la normativa vigente en la materia, así como en la NSR 10 o aquellas que los modifiquen, adicionen o sustituyan, así como a las definiciones contenidas en el "Anexo - Glosario del Sector Social””.</w:t>
      </w:r>
    </w:p>
    <w:p w14:paraId="53B72566" w14:textId="77777777" w:rsidR="002E3B5F" w:rsidRPr="002E3B5F" w:rsidRDefault="002E3B5F" w:rsidP="002E3B5F">
      <w:pPr>
        <w:spacing w:after="120" w:line="278" w:lineRule="auto"/>
        <w:ind w:firstLine="708"/>
        <w:jc w:val="both"/>
        <w:rPr>
          <w:rFonts w:ascii="Verdana" w:eastAsia="Times New Roman" w:hAnsi="Verdana" w:cs="Aptos"/>
          <w:lang w:eastAsia="es-MX"/>
        </w:rPr>
      </w:pPr>
      <w:r w:rsidRPr="002E3B5F">
        <w:rPr>
          <w:rFonts w:ascii="Verdana" w:eastAsia="Times New Roman" w:hAnsi="Verdana" w:cs="Aptos"/>
          <w:lang w:eastAsia="es-MX"/>
        </w:rPr>
        <w:t>La nota general 1 contenida en la Matriz 1 – Experiencia de los documentos tipo indicados, es congruente con el numeral 1.10 del documento base que dispone que: “[p]ara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p>
    <w:p w14:paraId="3422910C"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lang w:val="es-ES_tradnl" w:eastAsia="es-MX"/>
        </w:rPr>
        <w:t xml:space="preserve">Ahora bien, como se precisó las actividades señaladas recaen sobre </w:t>
      </w:r>
      <w:r w:rsidRPr="002E3B5F">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conformidad con la norma </w:t>
      </w:r>
      <w:r w:rsidRPr="002E3B5F">
        <w:rPr>
          <w:rFonts w:ascii="Verdana" w:eastAsia="Calibri" w:hAnsi="Verdana" w:cs="Arial"/>
          <w:color w:val="0D0D0D"/>
          <w:lang w:eastAsia="es-MX"/>
        </w:rPr>
        <w:t xml:space="preserve">NSR-10 en el Subgrupo de Ocupación Institucional de </w:t>
      </w:r>
      <w:r w:rsidRPr="002E3B5F">
        <w:rPr>
          <w:rFonts w:ascii="Verdana" w:eastAsia="Calibri" w:hAnsi="Verdana" w:cs="Arial"/>
          <w:color w:val="0D0D0D"/>
          <w:lang w:eastAsia="es-MX"/>
        </w:rPr>
        <w:lastRenderedPageBreak/>
        <w:t>Servicio Público (I-5) “se clasifican las edificaciones o espacios destinados a funciones administrativas y prestación de servicios públicos necesarios para el buen funcionamiento de las ciudades”</w:t>
      </w:r>
      <w:r w:rsidRPr="002E3B5F">
        <w:rPr>
          <w:rFonts w:ascii="Verdana" w:eastAsia="Calibri" w:hAnsi="Verdana" w:cs="Arial"/>
          <w:color w:val="0D0D0D"/>
          <w:vertAlign w:val="superscript"/>
          <w:lang w:eastAsia="es-MX"/>
        </w:rPr>
        <w:footnoteReference w:id="3"/>
      </w:r>
      <w:r w:rsidRPr="002E3B5F">
        <w:rPr>
          <w:rFonts w:ascii="Verdana" w:eastAsia="Calibri" w:hAnsi="Verdana" w:cs="Arial"/>
          <w:color w:val="0D0D0D"/>
          <w:lang w:eastAsia="es-MX"/>
        </w:rPr>
        <w:t>. Entre las edificaciones o espacios que pertenecen a este Subgrupo se encuentran las siguientes: “Centros de comunicación o administrativos o administrativos de servicios municipales, distritales o gubernamentales, juzgados y otros similares”</w:t>
      </w:r>
      <w:r w:rsidRPr="002E3B5F">
        <w:rPr>
          <w:rFonts w:ascii="Verdana" w:eastAsia="Calibri" w:hAnsi="Verdana" w:cs="Arial"/>
          <w:color w:val="0D0D0D"/>
          <w:vertAlign w:val="superscript"/>
          <w:lang w:eastAsia="es-MX"/>
        </w:rPr>
        <w:footnoteReference w:id="4"/>
      </w:r>
      <w:r w:rsidRPr="002E3B5F">
        <w:rPr>
          <w:rFonts w:ascii="Verdana" w:eastAsia="Calibri" w:hAnsi="Verdana" w:cs="Arial"/>
          <w:color w:val="0D0D0D"/>
          <w:lang w:eastAsia="es-MX"/>
        </w:rPr>
        <w:t>.</w:t>
      </w:r>
    </w:p>
    <w:p w14:paraId="2D234EC7"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 por su naturaleza y finalidad, están orientadas a la prestación de servicios públicos y al desarrollo de funciones institucionales del Estado, como son las funciones administrativas.  </w:t>
      </w:r>
    </w:p>
    <w:p w14:paraId="3E9204D4"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De acuerdo con la definición del Subgrupo de Ocupación Institucional y las edificaciones que este comprende, dentro de este se encuentran las edificaciones institucionales, entendidas estas como la “infraestructura que ha sido construida para funciones específicas (como las administrativas, </w:t>
      </w:r>
      <w:proofErr w:type="spellStart"/>
      <w:r w:rsidRPr="002E3B5F">
        <w:rPr>
          <w:rFonts w:ascii="Verdana" w:eastAsia="Calibri" w:hAnsi="Verdana" w:cs="Arial"/>
          <w:color w:val="0D0D0D"/>
          <w:lang w:eastAsia="es-MX"/>
        </w:rPr>
        <w:t>etc</w:t>
      </w:r>
      <w:proofErr w:type="spellEnd"/>
      <w:r w:rsidRPr="002E3B5F">
        <w:rPr>
          <w:rFonts w:ascii="Verdana" w:eastAsia="Calibri" w:hAnsi="Verdana" w:cs="Arial"/>
          <w:color w:val="0D0D0D"/>
          <w:lang w:eastAsia="es-MX"/>
        </w:rPr>
        <w:t>) principalmente para el beneficio e interés público”</w:t>
      </w:r>
      <w:r w:rsidRPr="002E3B5F">
        <w:rPr>
          <w:rFonts w:ascii="Verdana" w:eastAsia="Calibri" w:hAnsi="Verdana" w:cs="Arial"/>
          <w:color w:val="0D0D0D"/>
          <w:vertAlign w:val="superscript"/>
          <w:lang w:eastAsia="es-MX"/>
        </w:rPr>
        <w:footnoteReference w:id="5"/>
      </w:r>
      <w:r w:rsidRPr="002E3B5F">
        <w:rPr>
          <w:rFonts w:ascii="Verdana" w:eastAsia="Calibri" w:hAnsi="Verdana" w:cs="Arial"/>
          <w:color w:val="0D0D0D"/>
          <w:lang w:eastAsia="es-MX"/>
        </w:rPr>
        <w:t xml:space="preserve">. </w:t>
      </w:r>
    </w:p>
    <w:p w14:paraId="02D01F5F"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Considerando lo anterior, la(s) sede(s) en las que el Departamento Administrativo Nacional de Estadística – DENE, ejerce sus funciones, se enmarcan claramente dentro de las edificaciones institucionales administrativa del Subgrupo de Ocupación Institucional de Servicio Pública (I-5) definido por la NSR-10, en la medida en que su destinación funcional corresponde al ejercicio de competencias administrativas y a la prestación de un servicio esencial para el funcionamiento del país. </w:t>
      </w:r>
    </w:p>
    <w:p w14:paraId="055037A3"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lastRenderedPageBreak/>
        <w:t>En efecto, el Departamento Administrativo Nacional de Estadística – DENE, desarrolla actividades propias de la administración pública del orden nacional, tales como “garantizar la producción, disponibilidad y calidad de la información estadística estratégica, y dirigir, planear, ejecutar, coordinar, regular y evaluar la producción y difusión de información oficial básica”</w:t>
      </w:r>
      <w:r w:rsidRPr="002E3B5F">
        <w:rPr>
          <w:rFonts w:ascii="Verdana" w:eastAsia="Calibri" w:hAnsi="Verdana" w:cs="Arial"/>
          <w:color w:val="0D0D0D"/>
          <w:vertAlign w:val="superscript"/>
          <w:lang w:eastAsia="es-MX"/>
        </w:rPr>
        <w:footnoteReference w:id="6"/>
      </w:r>
      <w:r w:rsidRPr="002E3B5F">
        <w:rPr>
          <w:rFonts w:ascii="Verdana" w:eastAsia="Calibri" w:hAnsi="Verdana" w:cs="Arial"/>
          <w:color w:val="0D0D0D"/>
          <w:lang w:eastAsia="es-MX"/>
        </w:rPr>
        <w:t xml:space="preserve">, lo cual se ajusta a la noción de edificaciones destinadas a funciones administrativas, previstas en la clasificación normativa. </w:t>
      </w:r>
    </w:p>
    <w:p w14:paraId="71731D90"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Asimismo, al tratarse de una infraestructura destinada de manera permanente al cumplimiento de funciones institucionales del Estado y a la satisfacción de necesidades colectivas, su naturaleza se adecua a los criterios de finalidad, uso y servicio público que caracterizan a ese tipo de edificaciones, que cumplen un rol esencial en la organización y funcionamiento estadístico del país. </w:t>
      </w:r>
    </w:p>
    <w:p w14:paraId="68421ABC"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lang w:val="es-ES" w:eastAsia="es-MX"/>
        </w:rPr>
        <w:t>Por lo anterior, la Agencia Nacional de Contratación Pública – Colombia Compra Eficiente indicó que, a partir del 16 de febrero de 2026, si una entidad de aquellas obligadas a utilizar los documentos tipo expedidos por esta Entidad adelanta un proceso que tenga por objeto la(s) actividad(es) contenidas en el capítulo “2. Obras en proyectos de infraestructura institucional de servicios público” de la Matriz 1 – Experiencia Sector Institucional</w:t>
      </w:r>
      <w:r w:rsidRPr="002E3B5F">
        <w:rPr>
          <w:rFonts w:ascii="Verdana" w:eastAsia="Times New Roman" w:hAnsi="Verdana" w:cs="Aptos"/>
          <w:lang w:eastAsia="es-MX"/>
        </w:rPr>
        <w:t xml:space="preserve">, </w:t>
      </w:r>
      <w:r w:rsidRPr="002E3B5F">
        <w:rPr>
          <w:rFonts w:ascii="Verdana" w:eastAsia="Calibri" w:hAnsi="Verdana" w:cs="Arial"/>
          <w:lang w:val="es-ES" w:eastAsia="es-MX"/>
        </w:rPr>
        <w:t xml:space="preserve">deberá implementar los </w:t>
      </w:r>
      <w:r w:rsidRPr="002E3B5F">
        <w:rPr>
          <w:rFonts w:ascii="Verdana" w:eastAsia="Calibri" w:hAnsi="Verdana" w:cs="Arial"/>
          <w:color w:val="0D0D0D"/>
          <w:lang w:eastAsia="es-MX"/>
        </w:rPr>
        <w:t>documentos tipo acogidos mediante las Resoluciones 539, 540 o 541 de 2025, según el proyecto se adelante por la modalidad de licitación de obra pública, selección abreviada de menor cuantía o mínima cuantía.</w:t>
      </w:r>
    </w:p>
    <w:p w14:paraId="4B089967"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 xml:space="preserve">Por otra parte, debe indicarse que la Agencia Nacional de Contratación Pública – Colombia Compra Eficiente también adoptó, mediante la Resolución 952 del 15 de diciembre de 2025, los documentos tipo transversales para los procesos de selección de concurso de méritos para contratar la consultoría de estudios de ingeniería de infraestructura social. En el Capítulo V de la misma Resolución –artículos 16, 17 y 18–, se acogieron documentos tipo complementarios de consultoría relacionados con el sector Institucional, los cuales aplican, de conformidad con el artículo 17 ibidem, a los procesos contractuales que correspondan a las actividades definidas en la Matriz 1 – Experiencia Consultoría Sector Institucional, documento que deberá aplicarse de </w:t>
      </w:r>
      <w:r w:rsidRPr="002E3B5F">
        <w:rPr>
          <w:rFonts w:ascii="Verdana" w:eastAsia="Calibri" w:hAnsi="Verdana" w:cs="Arial"/>
          <w:color w:val="0D0D0D"/>
          <w:lang w:eastAsia="es-MX"/>
        </w:rPr>
        <w:lastRenderedPageBreak/>
        <w:t>forma conjunta con el documento base, los formatos, anexos y formularios transversales adoptados en el Capítulo I de la misma Resolución.</w:t>
      </w:r>
    </w:p>
    <w:p w14:paraId="23F1EEF8" w14:textId="77777777" w:rsidR="002E3B5F" w:rsidRPr="002E3B5F" w:rsidRDefault="002E3B5F" w:rsidP="002E3B5F">
      <w:pPr>
        <w:spacing w:after="120" w:line="276" w:lineRule="auto"/>
        <w:ind w:firstLine="708"/>
        <w:jc w:val="both"/>
        <w:rPr>
          <w:rFonts w:ascii="Verdana" w:eastAsia="Calibri" w:hAnsi="Verdana" w:cs="Arial"/>
          <w:color w:val="0D0D0D"/>
          <w:lang w:eastAsia="es-MX"/>
        </w:rPr>
      </w:pPr>
      <w:r w:rsidRPr="002E3B5F">
        <w:rPr>
          <w:rFonts w:ascii="Verdana" w:eastAsia="Calibri" w:hAnsi="Verdana" w:cs="Arial"/>
          <w:color w:val="0D0D0D"/>
          <w:lang w:eastAsia="es-MX"/>
        </w:rPr>
        <w:t>Sobre estos documentos tipo de consultoría resulta aplicable el mismo razonamiento expuesto en el presente concepto respecto de las edificaciones institucionales, en la medida en que la Matriz 1 – Experiencia Consultoría Sector Institucional recae, igualmente, sobre edificaciones o espacios destinados a funciones administrativas y a la prestación de servicios públicos, en los términos del Subgrupo de Ocupación Institucional de Servicio Público (I-5) de la NSR-10 previamente analizado. En consecuencia, si una entidad de aquellas obligadas a utilizar los documentos tipo expedidos por esta Entidad adelanta un proceso de concurso de méritos que tenga por objeto alguna de las actividades contenidas en la Matriz 1 – Experiencia Consultoría Sector Institucional, deberá implementar, a partir del 16 de febrero de 2026, los documentos tipo acogidos mediante la Resolución 952 de 2025.</w:t>
      </w:r>
    </w:p>
    <w:p w14:paraId="13695ED0" w14:textId="77777777" w:rsidR="002E3B5F" w:rsidRPr="002E3B5F" w:rsidRDefault="002E3B5F" w:rsidP="002E3B5F">
      <w:pPr>
        <w:spacing w:after="0" w:line="276" w:lineRule="auto"/>
        <w:ind w:firstLine="708"/>
        <w:jc w:val="both"/>
        <w:rPr>
          <w:rFonts w:ascii="Verdana" w:eastAsia="Aptos" w:hAnsi="Verdana" w:cs="Times New Roman"/>
          <w:kern w:val="2"/>
          <w14:ligatures w14:val="standardContextual"/>
        </w:rPr>
      </w:pPr>
      <w:r w:rsidRPr="002E3B5F">
        <w:rPr>
          <w:rFonts w:ascii="Verdana" w:eastAsia="Aptos" w:hAnsi="Verdana" w:cs="Times New Roman"/>
          <w:kern w:val="2"/>
          <w14:ligatures w14:val="standardContextual"/>
        </w:rPr>
        <w:t>Ahora bien, precisado que los documentos tipo del sector Institucional –para obra y consultoría–, recaen sobre edificaciones institucionales administrativas, conviene determinar si las actividades contenidas en dicho capítulo se enmarcan en los proyectos sobre los cuales se indaga en la solicitud.</w:t>
      </w:r>
    </w:p>
    <w:p w14:paraId="4C670650" w14:textId="77777777" w:rsidR="002E3B5F" w:rsidRPr="002E3B5F" w:rsidRDefault="002E3B5F" w:rsidP="002E3B5F">
      <w:pPr>
        <w:spacing w:after="0" w:line="276" w:lineRule="auto"/>
        <w:ind w:firstLine="708"/>
        <w:jc w:val="both"/>
        <w:rPr>
          <w:rFonts w:ascii="Verdana" w:eastAsia="Aptos" w:hAnsi="Verdana" w:cs="Times New Roman"/>
          <w:kern w:val="2"/>
          <w14:ligatures w14:val="standardContextual"/>
        </w:rPr>
      </w:pPr>
    </w:p>
    <w:p w14:paraId="276A001C" w14:textId="77777777" w:rsidR="002E3B5F" w:rsidRPr="002E3B5F" w:rsidRDefault="002E3B5F" w:rsidP="002E3B5F">
      <w:pPr>
        <w:spacing w:after="0" w:line="276" w:lineRule="auto"/>
        <w:jc w:val="both"/>
        <w:rPr>
          <w:rFonts w:ascii="Verdana" w:eastAsia="Aptos" w:hAnsi="Verdana" w:cs="Aptos"/>
          <w:kern w:val="2"/>
          <w14:ligatures w14:val="standardContextual"/>
        </w:rPr>
      </w:pPr>
      <w:proofErr w:type="spellStart"/>
      <w:r w:rsidRPr="002E3B5F">
        <w:rPr>
          <w:rFonts w:ascii="Verdana" w:eastAsia="Aptos" w:hAnsi="Verdana" w:cs="Times New Roman"/>
          <w:kern w:val="2"/>
          <w14:ligatures w14:val="standardContextual"/>
        </w:rPr>
        <w:t>iii</w:t>
      </w:r>
      <w:proofErr w:type="spellEnd"/>
      <w:r w:rsidRPr="002E3B5F">
        <w:rPr>
          <w:rFonts w:ascii="Verdana" w:eastAsia="Aptos" w:hAnsi="Verdana" w:cs="Times New Roman"/>
          <w:kern w:val="2"/>
          <w14:ligatures w14:val="standardContextual"/>
        </w:rPr>
        <w:t xml:space="preserve">) Sobre la aplicación de los documentos tipo del sector institucional, para adelantar procesos que tenga por objeto “contratar las obras de mantenimiento, mejoras y reparaciones locativas de las oficinas de la sede del DANE en San Andrés”. </w:t>
      </w:r>
      <w:r w:rsidRPr="002E3B5F">
        <w:rPr>
          <w:rFonts w:ascii="Verdana" w:eastAsia="Aptos" w:hAnsi="Verdana" w:cs="Aptos"/>
          <w:kern w:val="2"/>
          <w14:ligatures w14:val="standardContextual"/>
        </w:rPr>
        <w:t xml:space="preserve">Sobre el particular, la Agencia Nacional de Contratación Pública – Colombia Compra Eficiente le informa que, para efectos del </w:t>
      </w:r>
      <w:r w:rsidRPr="002E3B5F">
        <w:rPr>
          <w:rFonts w:ascii="Verdana" w:eastAsia="Aptos" w:hAnsi="Verdana" w:cs="Times New Roman"/>
          <w:kern w:val="2"/>
          <w14:ligatures w14:val="standardContextual"/>
        </w:rPr>
        <w:t xml:space="preserve">mantenimiento, mejoras, reparaciones y diseños del sistema de iluminación interior de la(s) sede(s) del </w:t>
      </w:r>
      <w:r w:rsidRPr="002E3B5F">
        <w:rPr>
          <w:rFonts w:ascii="Verdana" w:eastAsia="Calibri" w:hAnsi="Verdana" w:cs="Arial"/>
          <w:color w:val="0D0D0D"/>
          <w:lang w:eastAsia="es-MX"/>
        </w:rPr>
        <w:t>Departamento Administrativo Nacional de Estadística – DENE</w:t>
      </w:r>
      <w:r w:rsidRPr="002E3B5F">
        <w:rPr>
          <w:rFonts w:ascii="Verdana" w:eastAsia="Aptos" w:hAnsi="Verdana" w:cs="Aptos"/>
          <w:kern w:val="2"/>
          <w14:ligatures w14:val="standardContextual"/>
        </w:rPr>
        <w:t>, debe aplicarse las actividades 2.2 y 2.9 contenidas en el capítulo 2 “Obras en proyectos de infraestructura institucional de servicio público” de la Matriz 1 – Experiencia del Sector Institucional, considerando que estas corresponden respectivamente a:</w:t>
      </w:r>
    </w:p>
    <w:p w14:paraId="2892EBDE" w14:textId="77777777" w:rsidR="002E3B5F" w:rsidRPr="002E3B5F" w:rsidRDefault="002E3B5F" w:rsidP="002E3B5F">
      <w:pPr>
        <w:spacing w:after="0" w:line="240" w:lineRule="auto"/>
        <w:rPr>
          <w:rFonts w:ascii="Verdana" w:eastAsia="Aptos" w:hAnsi="Verdana" w:cs="Aptos"/>
          <w:kern w:val="2"/>
          <w14:ligatures w14:val="standardContextual"/>
        </w:rPr>
      </w:pPr>
    </w:p>
    <w:p w14:paraId="276F783F" w14:textId="77777777" w:rsidR="002E3B5F" w:rsidRPr="002E3B5F" w:rsidRDefault="002E3B5F" w:rsidP="002E3B5F">
      <w:pPr>
        <w:snapToGrid w:val="0"/>
        <w:spacing w:after="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 xml:space="preserve"> “2.2. Proyectos de adecuación y/o conservación y/o intervención y/o instalación y/o mantenimiento y/o mejoramiento y/o modificación u optimización y/o rehabilitación y/o remodelación y/o reposición y/o reparación locativa y/o restauración y/o restitución y/o terminación de infraestructura de servicio público”.</w:t>
      </w:r>
    </w:p>
    <w:p w14:paraId="7A64BF22" w14:textId="77777777" w:rsidR="002E3B5F" w:rsidRPr="002E3B5F" w:rsidRDefault="002E3B5F" w:rsidP="002E3B5F">
      <w:pPr>
        <w:spacing w:after="0" w:line="240" w:lineRule="auto"/>
        <w:rPr>
          <w:rFonts w:ascii="Century Gothic" w:eastAsia="Times New Roman" w:hAnsi="Century Gothic" w:cs="Times New Roman"/>
          <w:color w:val="000000"/>
          <w:sz w:val="20"/>
          <w:szCs w:val="20"/>
          <w:lang w:eastAsia="es-MX"/>
        </w:rPr>
      </w:pPr>
      <w:r w:rsidRPr="002E3B5F">
        <w:rPr>
          <w:rFonts w:ascii="Century Gothic" w:eastAsia="Times New Roman" w:hAnsi="Century Gothic" w:cs="Times New Roman"/>
          <w:color w:val="000000"/>
          <w:sz w:val="20"/>
          <w:szCs w:val="20"/>
          <w:lang w:eastAsia="es-MX"/>
        </w:rPr>
        <w:tab/>
      </w:r>
    </w:p>
    <w:p w14:paraId="060568AD" w14:textId="77777777" w:rsidR="002E3B5F" w:rsidRPr="002E3B5F" w:rsidRDefault="002E3B5F" w:rsidP="002E3B5F">
      <w:pPr>
        <w:spacing w:after="0" w:line="276" w:lineRule="auto"/>
        <w:jc w:val="both"/>
        <w:rPr>
          <w:rFonts w:ascii="Verdana" w:eastAsia="Aptos" w:hAnsi="Verdana" w:cs="Times New Roman"/>
          <w:kern w:val="2"/>
          <w14:ligatures w14:val="standardContextual"/>
        </w:rPr>
      </w:pPr>
      <w:r w:rsidRPr="002E3B5F">
        <w:rPr>
          <w:rFonts w:ascii="Verdana" w:eastAsia="Aptos" w:hAnsi="Verdana" w:cs="Aptos"/>
          <w:kern w:val="2"/>
          <w14:ligatures w14:val="standardContextual"/>
        </w:rPr>
        <w:lastRenderedPageBreak/>
        <w:tab/>
      </w:r>
      <w:r w:rsidRPr="002E3B5F">
        <w:rPr>
          <w:rFonts w:ascii="Verdana" w:eastAsia="Aptos" w:hAnsi="Verdana" w:cs="Times New Roman"/>
          <w:kern w:val="2"/>
          <w14:ligatures w14:val="standardContextual"/>
        </w:rPr>
        <w:t>De esta forma, para adelantar el proceso relacionado con las obras de mantenimiento, mejoras y reparaciones locativas, la entidad deberá enmarcar el proceso en la actividad 2.2, la cual, como se señaló, aplica, entre otras, para las actividades señaladas que recaigan sobre infraestructura de servicio público. En consecuencia, dado que el objeto contractual descrito por el DANE corresponde a obras de mantenimiento, mejoras y reparaciones locativas de sus oficinas, actividad expresamente contemplada en la Matriz 1 – Experiencia del Sector Institucional, la entidad se encuentra obligada a estructurar y adelantar el proceso de selección aplicando los documentos tipo de obra pública de infraestructura institucional adoptados mediante las Resoluciones 539, 540 o 541 de 2025, según corresponda a la modalidad de licitación pública, selección abreviada de menor cuantía o mínima cuantía, atendiendo la cuantía estimada del proceso a contratar.</w:t>
      </w:r>
    </w:p>
    <w:p w14:paraId="188D68ED" w14:textId="77777777" w:rsidR="002E3B5F" w:rsidRPr="002E3B5F" w:rsidRDefault="002E3B5F" w:rsidP="002E3B5F">
      <w:pPr>
        <w:spacing w:after="0" w:line="276" w:lineRule="auto"/>
        <w:jc w:val="both"/>
        <w:rPr>
          <w:rFonts w:ascii="Century Gothic" w:eastAsia="Times New Roman" w:hAnsi="Century Gothic" w:cs="Times New Roman"/>
          <w:color w:val="000000"/>
          <w:sz w:val="20"/>
          <w:szCs w:val="20"/>
          <w:lang w:eastAsia="es-MX"/>
        </w:rPr>
      </w:pPr>
    </w:p>
    <w:p w14:paraId="03FF08CB" w14:textId="77777777" w:rsidR="002E3B5F" w:rsidRPr="002E3B5F" w:rsidRDefault="002E3B5F" w:rsidP="002E3B5F">
      <w:pPr>
        <w:spacing w:after="0" w:line="276" w:lineRule="auto"/>
        <w:jc w:val="both"/>
        <w:rPr>
          <w:rFonts w:ascii="Verdana" w:eastAsia="Aptos" w:hAnsi="Verdana" w:cs="Aptos"/>
          <w:kern w:val="2"/>
          <w14:ligatures w14:val="standardContextual"/>
        </w:rPr>
      </w:pPr>
      <w:proofErr w:type="spellStart"/>
      <w:r w:rsidRPr="002E3B5F">
        <w:rPr>
          <w:rFonts w:ascii="Verdana" w:eastAsia="Times New Roman" w:hAnsi="Verdana" w:cs="Times New Roman"/>
          <w:color w:val="000000"/>
          <w:lang w:eastAsia="es-MX"/>
        </w:rPr>
        <w:t>iv</w:t>
      </w:r>
      <w:proofErr w:type="spellEnd"/>
      <w:r w:rsidRPr="002E3B5F">
        <w:rPr>
          <w:rFonts w:ascii="Verdana" w:eastAsia="Times New Roman" w:hAnsi="Verdana" w:cs="Times New Roman"/>
          <w:color w:val="000000"/>
          <w:lang w:eastAsia="es-MX"/>
        </w:rPr>
        <w:t xml:space="preserve">. </w:t>
      </w:r>
      <w:r w:rsidRPr="002E3B5F">
        <w:rPr>
          <w:rFonts w:ascii="Verdana" w:eastAsia="Aptos" w:hAnsi="Verdana" w:cs="Aptos"/>
          <w:kern w:val="2"/>
          <w14:ligatures w14:val="standardContextual"/>
        </w:rPr>
        <w:t>Por otra parte, teniendo en cuenta que en su solicitud se indaga sobre la obligación de utilizar los documentos tipo para adelantar un proceso que tiene por objeto “contratar el diseño del sistema de iluminación interior de la sede del DANE en Barranquilla, de conformidad con las especificaciones técnicas de la entidad y en cumplimiento del RETILAP 2024 y demás normativa colombiana vigente”. Le informamos que, en los documentos tipo adoptados por esta Agencia mediante la Resolución 952 del 15 de diciembre de 2025, es decir, los de consultoría de estudios de ingeniería de infraestructura social; que agrupa los sectores de educación, salud, cultura, recreación y deporte, institucional y vivienda, se encuentra la siguiente actividad sobre la que puede recaer el objeto señalado:</w:t>
      </w:r>
    </w:p>
    <w:p w14:paraId="6A010C2A" w14:textId="77777777" w:rsidR="002E3B5F" w:rsidRPr="002E3B5F" w:rsidRDefault="002E3B5F" w:rsidP="002E3B5F">
      <w:pPr>
        <w:snapToGrid w:val="0"/>
        <w:spacing w:after="0" w:line="240" w:lineRule="auto"/>
        <w:ind w:left="709" w:right="709"/>
        <w:jc w:val="both"/>
        <w:rPr>
          <w:rFonts w:ascii="Verdana" w:eastAsia="Arial" w:hAnsi="Verdana" w:cs="Aptos"/>
          <w:sz w:val="21"/>
          <w:szCs w:val="21"/>
          <w:lang w:eastAsia="es-ES"/>
        </w:rPr>
      </w:pPr>
    </w:p>
    <w:p w14:paraId="453C9ED8" w14:textId="77777777" w:rsidR="002E3B5F" w:rsidRPr="002E3B5F" w:rsidRDefault="002E3B5F" w:rsidP="002E3B5F">
      <w:pPr>
        <w:snapToGrid w:val="0"/>
        <w:spacing w:after="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 xml:space="preserve">“2.9. CONSULTORÍA A PROYECTOS DE CONSTRUCCIÓN Y/O AMPLIACIÓN Y/O RECONSTRUCCIÓN Y/O ADECUACIÓN Y/O CONSERVACIÓN Y/O INTERVENCIÓN Y/O INSTALACIÓN Y/O MANTENIMIENTO Y/O MEJORAMIENTO Y/O MODIFICACIÓN U OPTIMIZACIÓN Y/O REHABILITACIÓN Y/O REMODELACIÓN Y/O REPOSICIÓN Y/O REPARACIÓN LOCATIVA Y/O RESTAURACIÓN Y/O RESTITUCIÓN Y/O TERMINACIÓN DE REDES ELÉCTRICAS Y/O CIRCUITOS CERRADOS DE TV Y/O SISTEMAS DE SEGURIDAD Y/O CIRCUITOS DE VOZ Y DATOS Y/O   PLANTAS ELÉCTRICAS Y/O SUBESTACIONES Y/O REDES DE TELEMÁTICA Y/O COMUNICACIÓN Y/O SONIDO Y/O TELEFONÍA Y/O REDES O SISTEMAS DE ILUMINACIÓN O LUMINARIAS DE INFRAESTRUCTURA DE SERVICIO PUBLICO”. </w:t>
      </w:r>
    </w:p>
    <w:p w14:paraId="41A69A69" w14:textId="77777777" w:rsidR="002E3B5F" w:rsidRPr="002E3B5F" w:rsidRDefault="002E3B5F" w:rsidP="002E3B5F">
      <w:pPr>
        <w:spacing w:after="0" w:line="276" w:lineRule="auto"/>
        <w:jc w:val="both"/>
        <w:rPr>
          <w:rFonts w:ascii="Verdana" w:eastAsia="Aptos" w:hAnsi="Verdana" w:cs="Aptos"/>
          <w:kern w:val="2"/>
          <w14:ligatures w14:val="standardContextual"/>
        </w:rPr>
      </w:pPr>
    </w:p>
    <w:p w14:paraId="2F7E9519" w14:textId="77777777" w:rsidR="002E3B5F" w:rsidRPr="002E3B5F" w:rsidRDefault="002E3B5F" w:rsidP="002E3B5F">
      <w:pPr>
        <w:spacing w:after="0" w:line="276" w:lineRule="auto"/>
        <w:jc w:val="both"/>
        <w:rPr>
          <w:rFonts w:ascii="Verdana" w:eastAsia="Aptos" w:hAnsi="Verdana" w:cs="Aptos"/>
          <w:kern w:val="2"/>
          <w14:ligatures w14:val="standardContextual"/>
        </w:rPr>
      </w:pPr>
      <w:r w:rsidRPr="002E3B5F">
        <w:rPr>
          <w:rFonts w:ascii="Verdana" w:eastAsia="Aptos" w:hAnsi="Verdana" w:cs="Aptos"/>
          <w:kern w:val="2"/>
          <w14:ligatures w14:val="standardContextual"/>
        </w:rPr>
        <w:tab/>
        <w:t>Sobre la actividad señalada, debe indicarse que, de acuerdo con el documento base, de los documentos tipo adoptados por medio de la Resolución 952 de 2025, los documentos tipo que estas adoptan aplican para proceso de consultoría de estudios de ingeniería de infraestructura social “(…) en sus diferentes fases (1, 2 o 3) entendido en los términos de la definición de “estudios de ingeniería” del artículo 12 de la Ley 1682 de 2013”.</w:t>
      </w:r>
      <w:r w:rsidRPr="002E3B5F">
        <w:rPr>
          <w:rFonts w:ascii="Aptos" w:eastAsia="Aptos" w:hAnsi="Aptos" w:cs="Times New Roman"/>
          <w:kern w:val="2"/>
          <w:sz w:val="16"/>
          <w:szCs w:val="16"/>
          <w14:ligatures w14:val="standardContextual"/>
        </w:rPr>
        <w:t xml:space="preserve">  </w:t>
      </w:r>
      <w:r w:rsidRPr="002E3B5F">
        <w:rPr>
          <w:rFonts w:ascii="Verdana" w:eastAsia="Aptos" w:hAnsi="Verdana" w:cs="Aptos"/>
          <w:kern w:val="2"/>
          <w14:ligatures w14:val="standardContextual"/>
        </w:rPr>
        <w:t>Precisamente, la Fase 3 “Estudios y diseños definitivos” del artículo señalado, dispone lo siguiente:</w:t>
      </w:r>
    </w:p>
    <w:p w14:paraId="262AA997" w14:textId="77777777" w:rsidR="002E3B5F" w:rsidRPr="002E3B5F" w:rsidRDefault="002E3B5F" w:rsidP="002E3B5F">
      <w:pPr>
        <w:spacing w:after="0" w:line="276" w:lineRule="auto"/>
        <w:jc w:val="both"/>
        <w:rPr>
          <w:rFonts w:ascii="Verdana" w:eastAsia="Aptos" w:hAnsi="Verdana" w:cs="Aptos"/>
          <w:kern w:val="2"/>
          <w14:ligatures w14:val="standardContextual"/>
        </w:rPr>
      </w:pPr>
    </w:p>
    <w:p w14:paraId="4DB8C099" w14:textId="77777777" w:rsidR="002E3B5F" w:rsidRPr="002E3B5F" w:rsidRDefault="002E3B5F" w:rsidP="002E3B5F">
      <w:pPr>
        <w:snapToGrid w:val="0"/>
        <w:spacing w:after="0" w:line="240" w:lineRule="auto"/>
        <w:ind w:left="709" w:right="709"/>
        <w:jc w:val="both"/>
        <w:rPr>
          <w:rFonts w:ascii="Verdana" w:eastAsia="Arial" w:hAnsi="Verdana" w:cs="Aptos"/>
          <w:sz w:val="21"/>
          <w:szCs w:val="21"/>
          <w:lang w:eastAsia="es-ES"/>
        </w:rPr>
      </w:pPr>
      <w:r w:rsidRPr="002E3B5F">
        <w:rPr>
          <w:rFonts w:ascii="Verdana" w:eastAsia="Arial" w:hAnsi="Verdana" w:cs="Aptos"/>
          <w:sz w:val="21"/>
          <w:szCs w:val="21"/>
          <w:lang w:eastAsia="es-ES"/>
        </w:rPr>
        <w:t>“Es la fase en la cual se deben elaborar los diseños detallados tanto geométricos como de todas las estructuras y obras que se requieran, de tal forma que un constructor pueda materializar el proyecto. El objetivo de esta fase es materializar en campo el proyecto definitivo y diseñar todos sus componentes de tal manera que se pueda dar inicio a su construcción”.</w:t>
      </w:r>
    </w:p>
    <w:p w14:paraId="43C19702" w14:textId="77777777" w:rsidR="002E3B5F" w:rsidRPr="002E3B5F" w:rsidRDefault="002E3B5F" w:rsidP="002E3B5F">
      <w:pPr>
        <w:spacing w:after="0" w:line="240" w:lineRule="auto"/>
        <w:rPr>
          <w:rFonts w:ascii="Times New Roman" w:eastAsia="Times New Roman" w:hAnsi="Times New Roman" w:cs="Times New Roman"/>
          <w:sz w:val="24"/>
          <w:szCs w:val="24"/>
          <w:lang w:eastAsia="es-MX"/>
        </w:rPr>
      </w:pPr>
    </w:p>
    <w:p w14:paraId="74CAF101" w14:textId="77777777" w:rsidR="002E3B5F" w:rsidRPr="002E3B5F" w:rsidRDefault="002E3B5F" w:rsidP="002E3B5F">
      <w:pPr>
        <w:spacing w:after="120" w:line="276" w:lineRule="auto"/>
        <w:jc w:val="both"/>
        <w:rPr>
          <w:rFonts w:ascii="Verdana" w:eastAsia="Aptos" w:hAnsi="Verdana" w:cs="Aptos"/>
          <w:kern w:val="2"/>
          <w14:ligatures w14:val="standardContextual"/>
        </w:rPr>
      </w:pPr>
      <w:r w:rsidRPr="002E3B5F">
        <w:rPr>
          <w:rFonts w:ascii="Verdana" w:eastAsia="Aptos" w:hAnsi="Verdana" w:cs="Aptos"/>
          <w:kern w:val="2"/>
          <w14:ligatures w14:val="standardContextual"/>
        </w:rPr>
        <w:t xml:space="preserve"> </w:t>
      </w:r>
      <w:r w:rsidRPr="002E3B5F">
        <w:rPr>
          <w:rFonts w:ascii="Verdana" w:eastAsia="Aptos" w:hAnsi="Verdana" w:cs="Aptos"/>
          <w:kern w:val="2"/>
          <w14:ligatures w14:val="standardContextual"/>
        </w:rPr>
        <w:tab/>
        <w:t xml:space="preserve">De esta forma, para adelantar el proceso que tiene por objeto, “contratar el diseño del sistema de iluminación interior de la sede del DANE en Barranquilla", este se enmarca dentro de la actividad 2.9 de la Matriz de Experiencia de los documentos tipo de consultoría de estudios de ingeniería de infraestructura social, adoptados mediante la Resolución 952 de 2025, en la medida en que dicha actividad comprende expresamente la consultoría a proyectos relacionados con "redes o sistemas de iluminación o luminarias" de infraestructura de servicio público. Asimismo, dado que el objeto se circunscribe a la elaboración del diseño del sistema de iluminación –sin comprender su construcción o instalación física–, la consultoría corresponde a la Fase 3 de "estudios y diseños definitivos", en los términos del artículo 12 de la Ley 1682 de 2013, por cuanto su finalidad es la elaboración de los diseños detallados que permitan a un constructor materializar posteriormente el proyecto. </w:t>
      </w:r>
    </w:p>
    <w:p w14:paraId="288CA5EE" w14:textId="77777777" w:rsidR="002E3B5F" w:rsidRPr="002E3B5F" w:rsidRDefault="002E3B5F" w:rsidP="002E3B5F">
      <w:pPr>
        <w:spacing w:after="120" w:line="276" w:lineRule="auto"/>
        <w:ind w:firstLine="708"/>
        <w:jc w:val="both"/>
        <w:rPr>
          <w:rFonts w:ascii="Verdana" w:eastAsia="Aptos" w:hAnsi="Verdana" w:cs="Aptos"/>
          <w:kern w:val="2"/>
          <w14:ligatures w14:val="standardContextual"/>
        </w:rPr>
      </w:pPr>
      <w:r w:rsidRPr="002E3B5F">
        <w:rPr>
          <w:rFonts w:ascii="Verdana" w:eastAsia="Aptos" w:hAnsi="Verdana" w:cs="Aptos"/>
          <w:kern w:val="2"/>
          <w14:ligatures w14:val="standardContextual"/>
        </w:rPr>
        <w:t>En consecuencia, al subsumirse el objeto contractual dentro de una de las actividades expresamente contempladas en la Matriz de Experiencia y corresponder a una de las fases de estudios de ingeniería previstas en los documentos tipo, el DANE se encuentra obligado a estructurar y adelantar el proceso de selección para la contratación del diseño del sistema de iluminación de su sede en Barranquilla utilizando los documentos tipo de consultoría de estudios de ingeniería de infraestructura social adoptados mediante la Resolución 952 de 2025.</w:t>
      </w:r>
    </w:p>
    <w:p w14:paraId="36C66AF6" w14:textId="77777777" w:rsidR="002E3B5F" w:rsidRPr="002E3B5F" w:rsidRDefault="002E3B5F" w:rsidP="002E3B5F">
      <w:pPr>
        <w:spacing w:after="0" w:line="276" w:lineRule="auto"/>
        <w:ind w:firstLine="708"/>
        <w:jc w:val="both"/>
        <w:rPr>
          <w:rFonts w:ascii="Verdana" w:eastAsia="Aptos" w:hAnsi="Verdana" w:cs="Aptos"/>
          <w:kern w:val="2"/>
          <w14:ligatures w14:val="standardContextual"/>
        </w:rPr>
      </w:pPr>
      <w:r w:rsidRPr="002E3B5F">
        <w:rPr>
          <w:rFonts w:ascii="Verdana" w:eastAsia="Aptos" w:hAnsi="Verdana" w:cs="Aptos"/>
          <w:kern w:val="2"/>
          <w14:ligatures w14:val="standardContextual"/>
        </w:rPr>
        <w:lastRenderedPageBreak/>
        <w:t xml:space="preserve">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  </w:t>
      </w:r>
    </w:p>
    <w:p w14:paraId="75022E7D" w14:textId="77777777" w:rsidR="002E3B5F" w:rsidRPr="002E3B5F" w:rsidRDefault="002E3B5F" w:rsidP="002E3B5F">
      <w:pPr>
        <w:spacing w:after="0" w:line="278" w:lineRule="auto"/>
        <w:ind w:firstLine="708"/>
        <w:jc w:val="both"/>
        <w:rPr>
          <w:rFonts w:ascii="Verdana" w:eastAsia="Calibri" w:hAnsi="Verdana" w:cs="Arial"/>
          <w:bCs/>
          <w:color w:val="000000"/>
          <w:kern w:val="2"/>
          <w14:ligatures w14:val="standardContextual"/>
        </w:rPr>
      </w:pPr>
    </w:p>
    <w:p w14:paraId="6FBE6A6B" w14:textId="77777777" w:rsidR="002E3B5F" w:rsidRPr="002E3B5F" w:rsidRDefault="002E3B5F" w:rsidP="002E3B5F">
      <w:pPr>
        <w:spacing w:after="120" w:line="276" w:lineRule="auto"/>
        <w:jc w:val="both"/>
        <w:rPr>
          <w:rFonts w:ascii="Verdana" w:eastAsia="Times New Roman" w:hAnsi="Verdana" w:cs="Times New Roman"/>
          <w:kern w:val="2"/>
          <w:lang w:eastAsia="es-MX"/>
          <w14:ligatures w14:val="standardContextual"/>
        </w:rPr>
      </w:pPr>
      <w:r w:rsidRPr="002E3B5F">
        <w:rPr>
          <w:rFonts w:ascii="Verdana" w:eastAsia="Calibri" w:hAnsi="Verdana" w:cs="Arial"/>
          <w:kern w:val="2"/>
          <w:lang w:eastAsia="es-MX"/>
          <w14:ligatures w14:val="standardContextual"/>
        </w:rPr>
        <w:t xml:space="preserve">v. </w:t>
      </w:r>
      <w:r w:rsidRPr="002E3B5F">
        <w:rPr>
          <w:rFonts w:ascii="Verdana" w:eastAsia="Calibri" w:hAnsi="Verdana" w:cs="Arial"/>
          <w:bCs/>
          <w:color w:val="000000"/>
          <w:kern w:val="2"/>
          <w:lang w:eastAsia="es-MX"/>
          <w14:ligatures w14:val="standardContextual"/>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77057232" w14:textId="77777777" w:rsidR="002E3B5F" w:rsidRPr="002E3B5F" w:rsidRDefault="002E3B5F" w:rsidP="002E3B5F">
      <w:pPr>
        <w:spacing w:after="0" w:line="276" w:lineRule="auto"/>
        <w:ind w:firstLine="708"/>
        <w:jc w:val="both"/>
        <w:rPr>
          <w:rFonts w:ascii="Verdana" w:eastAsia="Calibri" w:hAnsi="Verdana" w:cs="Arial"/>
          <w:bCs/>
          <w:color w:val="000000"/>
          <w:kern w:val="2"/>
          <w:lang w:eastAsia="es-MX"/>
          <w14:ligatures w14:val="standardContextual"/>
        </w:rPr>
      </w:pPr>
      <w:r w:rsidRPr="002E3B5F">
        <w:rPr>
          <w:rFonts w:ascii="Verdana" w:eastAsia="Calibri" w:hAnsi="Verdana" w:cs="Arial"/>
          <w:bCs/>
          <w:color w:val="000000"/>
          <w:kern w:val="2"/>
          <w:lang w:eastAsia="es-MX"/>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26FAD496" w14:textId="77777777" w:rsidR="002E3B5F" w:rsidRPr="002E3B5F" w:rsidRDefault="002E3B5F" w:rsidP="002E3B5F">
      <w:pPr>
        <w:spacing w:after="0" w:line="276" w:lineRule="auto"/>
        <w:jc w:val="both"/>
        <w:rPr>
          <w:rFonts w:ascii="Verdana" w:eastAsia="Calibri" w:hAnsi="Verdana" w:cs="Times New Roman"/>
          <w:lang w:eastAsia="es-MX"/>
        </w:rPr>
      </w:pPr>
    </w:p>
    <w:p w14:paraId="7FBA5209" w14:textId="77777777" w:rsidR="002E3B5F" w:rsidRPr="002E3B5F" w:rsidRDefault="002E3B5F" w:rsidP="002E3B5F">
      <w:pPr>
        <w:tabs>
          <w:tab w:val="left" w:pos="142"/>
          <w:tab w:val="left" w:pos="284"/>
        </w:tabs>
        <w:spacing w:after="0" w:line="276" w:lineRule="auto"/>
        <w:jc w:val="both"/>
        <w:rPr>
          <w:rFonts w:ascii="Verdana" w:eastAsia="Century Gothic" w:hAnsi="Verdana" w:cs="Century Gothic"/>
          <w:b/>
          <w:bCs/>
          <w:lang w:val="es-ES_tradnl" w:eastAsia="es-MX"/>
        </w:rPr>
      </w:pPr>
      <w:r w:rsidRPr="002E3B5F">
        <w:rPr>
          <w:rFonts w:ascii="Verdana" w:eastAsia="Century Gothic" w:hAnsi="Verdana" w:cs="Century Gothic"/>
          <w:b/>
          <w:bCs/>
          <w:lang w:val="es-ES_tradnl" w:eastAsia="es-MX"/>
        </w:rPr>
        <w:t>4. Referencias normativas, jurisprudenciales y otras fuentes:</w:t>
      </w:r>
    </w:p>
    <w:p w14:paraId="29EA116A" w14:textId="77777777" w:rsidR="002E3B5F" w:rsidRPr="002E3B5F" w:rsidRDefault="002E3B5F" w:rsidP="002E3B5F">
      <w:pPr>
        <w:spacing w:after="0"/>
        <w:ind w:left="-15840"/>
        <w:jc w:val="both"/>
        <w:rPr>
          <w:rFonts w:ascii="Verdana" w:eastAsia="Calibri" w:hAnsi="Verdana" w:cs="Arial"/>
          <w:b/>
          <w:bCs/>
          <w:lang w:eastAsia="es-MX"/>
        </w:rPr>
      </w:pPr>
      <w:r w:rsidRPr="002E3B5F">
        <w:rPr>
          <w:rFonts w:ascii="Verdana" w:eastAsia="Calibri" w:hAnsi="Verdana" w:cs="Arial"/>
          <w:b/>
          <w:bCs/>
          <w:lang w:eastAsia="es-MX"/>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2E3B5F" w:rsidRPr="002E3B5F" w14:paraId="4A24AB92" w14:textId="77777777" w:rsidTr="00933CEA">
        <w:trPr>
          <w:trHeight w:val="870"/>
        </w:trPr>
        <w:tc>
          <w:tcPr>
            <w:tcW w:w="8647" w:type="dxa"/>
            <w:tcBorders>
              <w:top w:val="dotted" w:sz="4" w:space="0" w:color="auto"/>
              <w:left w:val="dotted" w:sz="4" w:space="0" w:color="auto"/>
              <w:bottom w:val="dotted" w:sz="4" w:space="0" w:color="auto"/>
              <w:right w:val="dotted" w:sz="4" w:space="0" w:color="auto"/>
            </w:tcBorders>
          </w:tcPr>
          <w:p w14:paraId="13AAE9CD" w14:textId="77777777" w:rsidR="002E3B5F" w:rsidRPr="002E3B5F" w:rsidRDefault="002E3B5F" w:rsidP="002E3B5F">
            <w:pPr>
              <w:widowControl w:val="0"/>
              <w:numPr>
                <w:ilvl w:val="0"/>
                <w:numId w:val="18"/>
              </w:numPr>
              <w:autoSpaceDE w:val="0"/>
              <w:autoSpaceDN w:val="0"/>
              <w:spacing w:line="276" w:lineRule="auto"/>
              <w:contextualSpacing/>
              <w:jc w:val="both"/>
              <w:rPr>
                <w:rFonts w:ascii="Verdana" w:eastAsia="Calibri" w:hAnsi="Verdana" w:cs="Arial"/>
                <w:lang w:val="es-ES_tradnl" w:eastAsia="es-MX"/>
              </w:rPr>
            </w:pPr>
            <w:r w:rsidRPr="002E3B5F">
              <w:rPr>
                <w:rFonts w:ascii="Verdana" w:eastAsia="Calibri" w:hAnsi="Verdana" w:cs="Arial"/>
                <w:lang w:val="es-ES_tradnl" w:eastAsia="es-MX"/>
              </w:rPr>
              <w:t xml:space="preserve">Ley 2022 de 2020, artículo 1. </w:t>
            </w:r>
          </w:p>
          <w:p w14:paraId="1ED80C3B" w14:textId="77777777" w:rsidR="002E3B5F" w:rsidRPr="002E3B5F" w:rsidRDefault="002E3B5F" w:rsidP="002E3B5F">
            <w:pPr>
              <w:widowControl w:val="0"/>
              <w:numPr>
                <w:ilvl w:val="0"/>
                <w:numId w:val="16"/>
              </w:numPr>
              <w:autoSpaceDE w:val="0"/>
              <w:autoSpaceDN w:val="0"/>
              <w:spacing w:line="276" w:lineRule="auto"/>
              <w:jc w:val="both"/>
              <w:rPr>
                <w:rFonts w:ascii="Verdana" w:eastAsia="Calibri" w:hAnsi="Verdana" w:cs="Arial"/>
                <w:lang w:eastAsia="es-MX"/>
              </w:rPr>
            </w:pPr>
            <w:r w:rsidRPr="002E3B5F">
              <w:rPr>
                <w:rFonts w:ascii="Verdana" w:eastAsia="Calibri" w:hAnsi="Verdana" w:cs="Arial"/>
                <w:lang w:eastAsia="es-MX"/>
              </w:rPr>
              <w:t>Ley 1150 de 2007, artículo 2.</w:t>
            </w:r>
          </w:p>
          <w:p w14:paraId="6159F418" w14:textId="77777777" w:rsidR="002E3B5F" w:rsidRPr="002E3B5F" w:rsidRDefault="002E3B5F" w:rsidP="002E3B5F">
            <w:pPr>
              <w:widowControl w:val="0"/>
              <w:numPr>
                <w:ilvl w:val="0"/>
                <w:numId w:val="16"/>
              </w:numPr>
              <w:autoSpaceDE w:val="0"/>
              <w:autoSpaceDN w:val="0"/>
              <w:spacing w:line="276" w:lineRule="auto"/>
              <w:contextualSpacing/>
              <w:jc w:val="both"/>
              <w:rPr>
                <w:rFonts w:ascii="Verdana" w:eastAsia="Calibri" w:hAnsi="Verdana" w:cs="Arial"/>
                <w:lang w:eastAsia="es-MX"/>
              </w:rPr>
            </w:pPr>
            <w:r w:rsidRPr="002E3B5F">
              <w:rPr>
                <w:rFonts w:ascii="Verdana" w:eastAsia="Calibri" w:hAnsi="Verdana" w:cs="Arial"/>
                <w:lang w:val="es-ES_tradnl" w:eastAsia="es-MX"/>
              </w:rPr>
              <w:t xml:space="preserve">Documentos Tipo. Disponibles en: </w:t>
            </w:r>
            <w:hyperlink r:id="rId12" w:history="1">
              <w:r w:rsidRPr="002E3B5F">
                <w:rPr>
                  <w:rFonts w:ascii="Verdana" w:eastAsia="Calibri" w:hAnsi="Verdana" w:cs="Arial"/>
                  <w:color w:val="0000FF"/>
                  <w:u w:val="single"/>
                  <w:lang w:val="es-ES_tradnl" w:eastAsia="es-MX"/>
                </w:rPr>
                <w:t>https://www.colombiacompra.gov.co/documentos-tipo/documentos-</w:t>
              </w:r>
              <w:r w:rsidRPr="002E3B5F">
                <w:rPr>
                  <w:rFonts w:ascii="Verdana" w:eastAsia="Calibri" w:hAnsi="Verdana" w:cs="Arial"/>
                  <w:color w:val="0000FF"/>
                  <w:u w:val="single"/>
                  <w:lang w:val="es-ES_tradnl" w:eastAsia="es-MX"/>
                </w:rPr>
                <w:lastRenderedPageBreak/>
                <w:t>tipo</w:t>
              </w:r>
            </w:hyperlink>
            <w:r w:rsidRPr="002E3B5F">
              <w:rPr>
                <w:rFonts w:ascii="Verdana" w:eastAsia="Calibri" w:hAnsi="Verdana" w:cs="Arial"/>
                <w:lang w:val="es-ES_tradnl" w:eastAsia="es-MX"/>
              </w:rPr>
              <w:t>.</w:t>
            </w:r>
          </w:p>
          <w:p w14:paraId="52F6338E" w14:textId="77777777" w:rsidR="002E3B5F" w:rsidRPr="002E3B5F" w:rsidRDefault="002E3B5F" w:rsidP="002E3B5F">
            <w:pPr>
              <w:widowControl w:val="0"/>
              <w:numPr>
                <w:ilvl w:val="0"/>
                <w:numId w:val="16"/>
              </w:numPr>
              <w:autoSpaceDE w:val="0"/>
              <w:autoSpaceDN w:val="0"/>
              <w:spacing w:line="276" w:lineRule="auto"/>
              <w:contextualSpacing/>
              <w:jc w:val="both"/>
              <w:rPr>
                <w:rFonts w:ascii="Verdana" w:eastAsia="Calibri" w:hAnsi="Verdana" w:cs="Arial"/>
                <w:lang w:eastAsia="es-MX"/>
              </w:rPr>
            </w:pPr>
            <w:r w:rsidRPr="002E3B5F">
              <w:rPr>
                <w:rFonts w:ascii="Verdana" w:eastAsia="Calibri" w:hAnsi="Verdana" w:cs="Arial"/>
                <w:lang w:val="es-ES_tradnl" w:eastAsia="es-MX"/>
              </w:rPr>
              <w:t>Reglamento Colombiano de Construcción Sismo Resistente NSR-10</w:t>
            </w:r>
            <w:r w:rsidRPr="002E3B5F">
              <w:rPr>
                <w:rFonts w:ascii="Verdana" w:eastAsia="Aptos" w:hAnsi="Verdana" w:cs="Arial"/>
              </w:rPr>
              <w:t xml:space="preserve"> </w:t>
            </w:r>
          </w:p>
        </w:tc>
      </w:tr>
    </w:tbl>
    <w:p w14:paraId="7BD6E9D6" w14:textId="77777777" w:rsidR="002E3B5F" w:rsidRPr="002E3B5F" w:rsidRDefault="002E3B5F" w:rsidP="002E3B5F">
      <w:pPr>
        <w:tabs>
          <w:tab w:val="left" w:pos="142"/>
          <w:tab w:val="left" w:pos="284"/>
        </w:tabs>
        <w:spacing w:after="0" w:line="276" w:lineRule="auto"/>
        <w:jc w:val="both"/>
        <w:rPr>
          <w:rFonts w:ascii="Verdana" w:eastAsia="Calibri" w:hAnsi="Verdana" w:cs="Arial"/>
          <w:lang w:eastAsia="es-MX"/>
        </w:rPr>
      </w:pPr>
    </w:p>
    <w:p w14:paraId="7ED5A2DC" w14:textId="77777777" w:rsidR="002E3B5F" w:rsidRPr="002E3B5F" w:rsidRDefault="002E3B5F" w:rsidP="002E3B5F">
      <w:pPr>
        <w:tabs>
          <w:tab w:val="left" w:pos="142"/>
          <w:tab w:val="left" w:pos="284"/>
        </w:tabs>
        <w:spacing w:after="0" w:line="276" w:lineRule="auto"/>
        <w:jc w:val="both"/>
        <w:rPr>
          <w:rFonts w:ascii="Verdana" w:eastAsia="Century Gothic" w:hAnsi="Verdana" w:cs="Century Gothic"/>
          <w:b/>
          <w:bCs/>
          <w:lang w:val="es-ES" w:eastAsia="es-MX"/>
        </w:rPr>
      </w:pPr>
      <w:r w:rsidRPr="002E3B5F">
        <w:rPr>
          <w:rFonts w:ascii="Verdana" w:eastAsia="Calibri" w:hAnsi="Verdana" w:cs="Arial"/>
          <w:b/>
          <w:bCs/>
          <w:lang w:eastAsia="es-MX"/>
        </w:rPr>
        <w:t>5</w:t>
      </w:r>
      <w:r w:rsidRPr="002E3B5F">
        <w:rPr>
          <w:rFonts w:ascii="Verdana" w:eastAsia="Calibri" w:hAnsi="Verdana" w:cs="Arial"/>
          <w:lang w:eastAsia="es-MX"/>
        </w:rPr>
        <w:t>.</w:t>
      </w:r>
      <w:r w:rsidRPr="002E3B5F">
        <w:rPr>
          <w:rFonts w:ascii="Verdana" w:eastAsia="Century Gothic" w:hAnsi="Verdana" w:cs="Century Gothic"/>
          <w:b/>
          <w:bCs/>
          <w:lang w:val="es-ES" w:eastAsia="es-MX"/>
        </w:rPr>
        <w:t>Doctrina de la Agencia Nacional de Contratación Pública:</w:t>
      </w:r>
    </w:p>
    <w:p w14:paraId="64D5D651" w14:textId="77777777" w:rsidR="002E3B5F" w:rsidRPr="002E3B5F" w:rsidRDefault="002E3B5F" w:rsidP="002E3B5F">
      <w:pPr>
        <w:widowControl w:val="0"/>
        <w:autoSpaceDE w:val="0"/>
        <w:autoSpaceDN w:val="0"/>
        <w:spacing w:after="0" w:line="276" w:lineRule="auto"/>
        <w:jc w:val="both"/>
        <w:rPr>
          <w:rFonts w:ascii="Verdana" w:eastAsia="Calibri" w:hAnsi="Verdana" w:cs="Arial"/>
          <w:lang w:eastAsia="es-MX"/>
        </w:rPr>
      </w:pPr>
    </w:p>
    <w:p w14:paraId="7A8BE020" w14:textId="77777777" w:rsidR="002E3B5F" w:rsidRPr="002E3B5F" w:rsidRDefault="002E3B5F" w:rsidP="002E3B5F">
      <w:pPr>
        <w:spacing w:after="0" w:line="276" w:lineRule="auto"/>
        <w:jc w:val="both"/>
        <w:rPr>
          <w:rFonts w:ascii="Verdana" w:eastAsia="Calibri" w:hAnsi="Verdana" w:cs="Arial"/>
          <w:shd w:val="clear" w:color="auto" w:fill="FFFFFF"/>
          <w:lang w:val="es-ES" w:eastAsia="es-MX"/>
        </w:rPr>
      </w:pPr>
      <w:r w:rsidRPr="002E3B5F">
        <w:rPr>
          <w:rFonts w:ascii="Verdana" w:eastAsia="Calibri" w:hAnsi="Verdana" w:cs="Arial"/>
          <w:shd w:val="clear" w:color="auto" w:fill="FFFFFF"/>
          <w:lang w:val="es-ES" w:eastAsia="es-MX"/>
        </w:rPr>
        <w:t>La Agencia Nacional de Contratación Pública – Colombia Compra Eficiente se pronunció</w:t>
      </w:r>
      <w:r w:rsidRPr="002E3B5F">
        <w:rPr>
          <w:rFonts w:ascii="Verdana" w:eastAsia="Calibri" w:hAnsi="Verdana" w:cs="Times New Roman"/>
          <w:lang w:eastAsia="es-MX"/>
        </w:rPr>
        <w:t xml:space="preserve"> </w:t>
      </w:r>
      <w:r w:rsidRPr="002E3B5F">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2E3B5F">
        <w:rPr>
          <w:rFonts w:ascii="Verdana" w:eastAsia="Calibri" w:hAnsi="Verdana" w:cs="Arial"/>
          <w:shd w:val="clear" w:color="auto" w:fill="FFFFFF"/>
          <w:lang w:val="es-ES" w:eastAsia="es-MX"/>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entre otros. </w:t>
      </w:r>
    </w:p>
    <w:p w14:paraId="632231BF" w14:textId="77777777" w:rsidR="002E3B5F" w:rsidRPr="002E3B5F" w:rsidRDefault="002E3B5F" w:rsidP="002E3B5F">
      <w:pPr>
        <w:spacing w:after="0" w:line="240" w:lineRule="auto"/>
        <w:jc w:val="both"/>
        <w:rPr>
          <w:rFonts w:ascii="Verdana" w:eastAsia="Calibri" w:hAnsi="Verdana" w:cs="Arial"/>
          <w:color w:val="000000"/>
          <w:shd w:val="clear" w:color="auto" w:fill="FFFFFF"/>
          <w:lang w:val="es-ES" w:eastAsia="es-MX"/>
        </w:rPr>
      </w:pPr>
    </w:p>
    <w:p w14:paraId="31DB4B79" w14:textId="77777777" w:rsidR="002E3B5F" w:rsidRPr="002E3B5F" w:rsidRDefault="002E3B5F" w:rsidP="002E3B5F">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r w:rsidRPr="002E3B5F">
        <w:rPr>
          <w:rFonts w:ascii="Verdana" w:eastAsia="Calibri" w:hAnsi="Verdana" w:cs="Arial"/>
          <w:color w:val="000000"/>
          <w:shd w:val="clear" w:color="auto" w:fill="FFFFFF"/>
          <w:lang w:eastAsia="es-MX"/>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2E3B5F">
          <w:rPr>
            <w:rFonts w:ascii="Verdana" w:eastAsia="Calibri" w:hAnsi="Verdana" w:cs="Arial"/>
            <w:color w:val="0000FF"/>
            <w:u w:val="single"/>
            <w:shd w:val="clear" w:color="auto" w:fill="FFFFFF"/>
            <w:lang w:eastAsia="es-MX"/>
          </w:rPr>
          <w:t>https://relatoria.colombiacompra.gov.co/</w:t>
        </w:r>
      </w:hyperlink>
      <w:r w:rsidRPr="002E3B5F">
        <w:rPr>
          <w:rFonts w:ascii="Verdana" w:eastAsia="Calibri" w:hAnsi="Verdana" w:cs="Arial"/>
          <w:color w:val="0000FF"/>
          <w:u w:val="single"/>
          <w:shd w:val="clear" w:color="auto" w:fill="FFFFFF"/>
          <w:lang w:eastAsia="es-MX"/>
        </w:rPr>
        <w:t> .</w:t>
      </w:r>
    </w:p>
    <w:p w14:paraId="44EB27B0" w14:textId="77777777" w:rsidR="002E3B5F" w:rsidRPr="002E3B5F" w:rsidRDefault="002E3B5F" w:rsidP="002E3B5F">
      <w:pPr>
        <w:widowControl w:val="0"/>
        <w:autoSpaceDE w:val="0"/>
        <w:autoSpaceDN w:val="0"/>
        <w:spacing w:after="0" w:line="276" w:lineRule="auto"/>
        <w:jc w:val="both"/>
        <w:rPr>
          <w:rFonts w:ascii="Verdana" w:eastAsia="Calibri" w:hAnsi="Verdana" w:cs="Arial"/>
          <w:color w:val="0000FF"/>
          <w:u w:val="single"/>
          <w:shd w:val="clear" w:color="auto" w:fill="FFFFFF"/>
          <w:lang w:eastAsia="es-MX"/>
        </w:rPr>
      </w:pPr>
    </w:p>
    <w:p w14:paraId="0C5E76C3" w14:textId="77777777" w:rsidR="002E3B5F" w:rsidRPr="002E3B5F" w:rsidRDefault="002E3B5F" w:rsidP="002E3B5F">
      <w:pPr>
        <w:spacing w:after="0" w:line="276" w:lineRule="auto"/>
        <w:jc w:val="both"/>
        <w:rPr>
          <w:rFonts w:ascii="Verdana" w:eastAsia="Aptos" w:hAnsi="Verdana" w:cs="Times New Roman"/>
          <w:kern w:val="2"/>
          <w14:ligatures w14:val="standardContextual"/>
        </w:rPr>
      </w:pPr>
      <w:r w:rsidRPr="002E3B5F">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2E3B5F">
        <w:rPr>
          <w:rFonts w:ascii="Verdana" w:eastAsia="Aptos" w:hAnsi="Verdana" w:cs="Times New Roman"/>
          <w:b/>
          <w:bCs/>
          <w:color w:val="000000"/>
          <w:kern w:val="2"/>
          <w14:ligatures w14:val="standardContextual"/>
        </w:rPr>
        <w:t>Guía para la Exigencia y Constitución de Garantías en los Procesos de Contratación</w:t>
      </w:r>
      <w:r w:rsidRPr="002E3B5F">
        <w:rPr>
          <w:rFonts w:ascii="Verdana" w:eastAsia="Aptos" w:hAnsi="Verdana" w:cs="Times New Roman"/>
          <w:color w:val="000000"/>
          <w:kern w:val="2"/>
          <w14:ligatures w14:val="standardContextual"/>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2E3B5F">
        <w:rPr>
          <w:rFonts w:ascii="Verdana" w:eastAsia="Aptos" w:hAnsi="Verdana" w:cs="Times New Roman"/>
          <w:color w:val="000000"/>
          <w:kern w:val="2"/>
          <w14:ligatures w14:val="standardContextual"/>
        </w:rPr>
        <w:lastRenderedPageBreak/>
        <w:t>aquí: </w:t>
      </w:r>
      <w:hyperlink r:id="rId14" w:tooltip="https://nam02.safelinks.protection.outlook.com/?url=https%3A%2F%2Fwww.colombiacompra.gov.co%2Farchivos%2Fmanual%2Fguia-de-garantias-en-procesos-de-contratacion&amp;data=05%7C02%7Ccarlos.castrillon%40colombiacompra.gov.co%7C7128555136e04fa6887d08dee99e1b50%7C7b0904" w:history="1">
        <w:r w:rsidRPr="002E3B5F">
          <w:rPr>
            <w:rFonts w:ascii="Verdana" w:eastAsia="Aptos" w:hAnsi="Verdana" w:cs="Times New Roman"/>
            <w:color w:val="0078D7"/>
            <w:kern w:val="2"/>
            <w:u w:val="single"/>
            <w14:ligatures w14:val="standardContextual"/>
          </w:rPr>
          <w:t>https://www.colombiacompra.gov.co/archivos/manual/guia-de-garantias-en-procesos-de-contratacion</w:t>
        </w:r>
      </w:hyperlink>
    </w:p>
    <w:p w14:paraId="1EFED8EE" w14:textId="77777777" w:rsidR="002E3B5F" w:rsidRPr="002E3B5F" w:rsidRDefault="002E3B5F" w:rsidP="002E3B5F">
      <w:pPr>
        <w:spacing w:after="0" w:line="276" w:lineRule="auto"/>
        <w:jc w:val="both"/>
        <w:rPr>
          <w:rFonts w:ascii="Verdana" w:eastAsia="Aptos" w:hAnsi="Verdana" w:cs="Times New Roman"/>
          <w:kern w:val="2"/>
          <w14:ligatures w14:val="standardContextual"/>
        </w:rPr>
      </w:pPr>
    </w:p>
    <w:p w14:paraId="31D4DDE1" w14:textId="77777777" w:rsidR="002E3B5F" w:rsidRPr="002E3B5F" w:rsidRDefault="002E3B5F" w:rsidP="002E3B5F">
      <w:pPr>
        <w:spacing w:after="0" w:line="276" w:lineRule="auto"/>
        <w:jc w:val="both"/>
        <w:rPr>
          <w:rFonts w:ascii="Verdana" w:eastAsia="Aptos" w:hAnsi="Verdana" w:cs="Times New Roman"/>
          <w:kern w:val="2"/>
          <w14:ligatures w14:val="standardContextual"/>
        </w:rPr>
      </w:pPr>
      <w:r w:rsidRPr="002E3B5F">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2E3B5F">
        <w:rPr>
          <w:rFonts w:ascii="Verdana" w:eastAsia="Aptos" w:hAnsi="Verdana" w:cs="Times New Roman"/>
          <w:b/>
          <w:bCs/>
          <w:color w:val="000000"/>
          <w:kern w:val="2"/>
          <w14:ligatures w14:val="standardContextual"/>
        </w:rPr>
        <w:t>Sistema Integral de Preferencias en favor de las personas con discapacidad</w:t>
      </w:r>
      <w:r w:rsidRPr="002E3B5F">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2E3B5F">
        <w:rPr>
          <w:rFonts w:ascii="Verdana" w:eastAsia="Aptos" w:hAnsi="Verdana" w:cs="Times New Roman"/>
          <w:b/>
          <w:bCs/>
          <w:color w:val="000000"/>
          <w:kern w:val="2"/>
          <w14:ligatures w14:val="standardContextual"/>
        </w:rPr>
        <w:t>Circular Externa 003 del 12 de mayo de 2026, </w:t>
      </w:r>
      <w:r w:rsidRPr="002E3B5F">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5" w:tooltip="https://nam02.safelinks.protection.outlook.com/?url=https%3A%2F%2Fwww.colombiacompra.gov.co%2Farchivos%2Fcircular%2Fcircular-externa-003-de-2026&amp;data=05%7C02%7Ccarlos.castrillon%40colombiacompra.gov.co%7C7128555136e04fa6887d08dee99e1b50%7C7b09041e245149d08cb17" w:history="1">
        <w:r w:rsidRPr="002E3B5F">
          <w:rPr>
            <w:rFonts w:ascii="Verdana" w:eastAsia="Aptos" w:hAnsi="Verdana" w:cs="Times New Roman"/>
            <w:color w:val="0078D7"/>
            <w:kern w:val="2"/>
            <w:u w:val="single"/>
            <w14:ligatures w14:val="standardContextual"/>
          </w:rPr>
          <w:t>https://www.colombiacompra.gov.co/archivos/circular/circular-externa-003-de-2026</w:t>
        </w:r>
      </w:hyperlink>
    </w:p>
    <w:p w14:paraId="4E50DC26" w14:textId="77777777" w:rsidR="002E3B5F" w:rsidRPr="002E3B5F" w:rsidRDefault="002E3B5F" w:rsidP="002E3B5F">
      <w:pPr>
        <w:spacing w:after="0" w:line="276" w:lineRule="auto"/>
        <w:jc w:val="both"/>
        <w:rPr>
          <w:rFonts w:ascii="Verdana" w:eastAsia="Aptos" w:hAnsi="Verdana" w:cs="Times New Roman"/>
          <w:color w:val="000000"/>
          <w:kern w:val="2"/>
          <w14:ligatures w14:val="standardContextual"/>
        </w:rPr>
      </w:pPr>
    </w:p>
    <w:p w14:paraId="0F1A8EBA" w14:textId="77777777" w:rsidR="002E3B5F" w:rsidRPr="002E3B5F" w:rsidRDefault="002E3B5F" w:rsidP="002E3B5F">
      <w:pPr>
        <w:spacing w:after="0" w:line="276" w:lineRule="auto"/>
        <w:jc w:val="both"/>
        <w:rPr>
          <w:rFonts w:ascii="Verdana" w:eastAsia="Aptos" w:hAnsi="Verdana" w:cs="Times New Roman"/>
          <w:kern w:val="2"/>
          <w14:ligatures w14:val="standardContextual"/>
        </w:rPr>
      </w:pPr>
      <w:r w:rsidRPr="002E3B5F">
        <w:rPr>
          <w:rFonts w:ascii="Verdana" w:eastAsia="Aptos" w:hAnsi="Verdana" w:cs="Times New Roman"/>
          <w:color w:val="000000"/>
          <w:kern w:val="2"/>
          <w14:ligatures w14:val="standardContextual"/>
        </w:rPr>
        <w:t>Recuerda también que la</w:t>
      </w:r>
      <w:r w:rsidRPr="002E3B5F">
        <w:rPr>
          <w:rFonts w:ascii="Verdana" w:eastAsia="Aptos" w:hAnsi="Verdana" w:cs="Times New Roman"/>
          <w:b/>
          <w:bCs/>
          <w:color w:val="000000"/>
          <w:kern w:val="2"/>
          <w14:ligatures w14:val="standardContextual"/>
        </w:rPr>
        <w:t> información sobre sanciones e inhabilidades </w:t>
      </w:r>
      <w:r w:rsidRPr="002E3B5F">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2E3B5F">
        <w:rPr>
          <w:rFonts w:ascii="Verdana" w:eastAsia="Aptos" w:hAnsi="Verdana" w:cs="Times New Roman"/>
          <w:b/>
          <w:bCs/>
          <w:color w:val="000000"/>
          <w:kern w:val="2"/>
          <w14:ligatures w14:val="standardContextual"/>
        </w:rPr>
        <w:t>Circular Externa 002 del 5 de mayo de 2026,</w:t>
      </w:r>
      <w:r w:rsidRPr="002E3B5F">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https://nam02.safelinks.protection.outlook.com/?url=https%3A%2F%2Fwww.colombiacompra.gov.co%2Farchivos%2Fcircular%2Fcircular-externa-002-de-2026&amp;data=05%7C02%7Ccarlos.castrillon%40colombiacompra.gov.co%7C7128555136e04fa6887d08dee99e1b50%7C7b09041e245149d08cb17" w:history="1">
        <w:r w:rsidRPr="002E3B5F">
          <w:rPr>
            <w:rFonts w:ascii="Verdana" w:eastAsia="Aptos" w:hAnsi="Verdana" w:cs="Times New Roman"/>
            <w:color w:val="0078D7"/>
            <w:kern w:val="2"/>
            <w:u w:val="single"/>
            <w14:ligatures w14:val="standardContextual"/>
          </w:rPr>
          <w:t>https://www.colombiacompra.gov.co/archivos/circular/circular-externa-002-de-2026</w:t>
        </w:r>
      </w:hyperlink>
    </w:p>
    <w:p w14:paraId="08E21EC9" w14:textId="77777777" w:rsidR="002E3B5F" w:rsidRPr="002E3B5F" w:rsidRDefault="002E3B5F" w:rsidP="002E3B5F">
      <w:pPr>
        <w:spacing w:after="0" w:line="276" w:lineRule="auto"/>
        <w:jc w:val="both"/>
        <w:rPr>
          <w:rFonts w:ascii="Verdana" w:eastAsia="Aptos" w:hAnsi="Verdana" w:cs="Times New Roman"/>
          <w:color w:val="000000"/>
          <w:kern w:val="2"/>
          <w14:ligatures w14:val="standardContextual"/>
        </w:rPr>
      </w:pPr>
    </w:p>
    <w:p w14:paraId="65C3B4BF" w14:textId="77777777" w:rsidR="002E3B5F" w:rsidRPr="002E3B5F" w:rsidRDefault="002E3B5F" w:rsidP="002E3B5F">
      <w:pPr>
        <w:spacing w:after="0" w:line="276" w:lineRule="auto"/>
        <w:jc w:val="both"/>
        <w:rPr>
          <w:rFonts w:ascii="Verdana" w:eastAsia="Aptos" w:hAnsi="Verdana" w:cs="Times New Roman"/>
          <w:color w:val="000000"/>
          <w:kern w:val="2"/>
          <w14:ligatures w14:val="standardContextual"/>
        </w:rPr>
      </w:pPr>
      <w:r w:rsidRPr="002E3B5F">
        <w:rPr>
          <w:rFonts w:ascii="Verdana" w:eastAsia="Aptos" w:hAnsi="Verdana" w:cs="Times New Roman"/>
          <w:color w:val="000000"/>
          <w:kern w:val="2"/>
          <w14:ligatures w14:val="standardContextual"/>
        </w:rPr>
        <w:t>Finalmente, si quieres seguir de cerca la actividad de la Agencia, la tercera edición de 2026 del</w:t>
      </w:r>
      <w:r w:rsidRPr="002E3B5F">
        <w:rPr>
          <w:rFonts w:ascii="Verdana" w:eastAsia="Aptos" w:hAnsi="Verdana" w:cs="Times New Roman"/>
          <w:b/>
          <w:bCs/>
          <w:color w:val="000000"/>
          <w:kern w:val="2"/>
          <w14:ligatures w14:val="standardContextual"/>
        </w:rPr>
        <w:t> Radar de la Compra Pública</w:t>
      </w:r>
      <w:r w:rsidRPr="002E3B5F">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https://nam02.safelinks.protection.outlook.com/?url=https%3A%2F%2Fwww.colombiacompra.gov.co%2Farchivos%2Fboletin%2Fboletin-edicion-n-3-de-2026-radar-de-la-compra-publica&amp;data=05%7C02%7Ccarlos.castrillon%40colombiacompra.gov.co%7C7128555136e04fa6887d08dee99e1b5" w:history="1">
        <w:r w:rsidRPr="002E3B5F">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2E3B5F">
        <w:rPr>
          <w:rFonts w:ascii="Verdana" w:eastAsia="Aptos" w:hAnsi="Verdana" w:cs="Times New Roman"/>
          <w:color w:val="000000"/>
          <w:kern w:val="2"/>
          <w14:ligatures w14:val="standardContextual"/>
        </w:rPr>
        <w:t>"</w:t>
      </w:r>
    </w:p>
    <w:p w14:paraId="1FF9F847" w14:textId="77777777" w:rsidR="002E3B5F" w:rsidRPr="002E3B5F" w:rsidRDefault="002E3B5F" w:rsidP="002E3B5F">
      <w:pPr>
        <w:spacing w:after="0" w:line="276" w:lineRule="auto"/>
        <w:jc w:val="both"/>
        <w:rPr>
          <w:rFonts w:ascii="Verdana" w:eastAsia="Aptos" w:hAnsi="Verdana" w:cs="Times New Roman"/>
          <w:color w:val="000000"/>
          <w:kern w:val="2"/>
          <w14:ligatures w14:val="standardContextual"/>
        </w:rPr>
      </w:pPr>
    </w:p>
    <w:p w14:paraId="53B67D0E" w14:textId="77777777" w:rsidR="002E3B5F" w:rsidRPr="002E3B5F" w:rsidRDefault="002E3B5F" w:rsidP="002E3B5F">
      <w:pPr>
        <w:spacing w:after="0" w:line="276" w:lineRule="auto"/>
        <w:jc w:val="both"/>
        <w:rPr>
          <w:rFonts w:ascii="Verdana" w:eastAsia="Aptos" w:hAnsi="Verdana" w:cs="Times New Roman"/>
          <w:lang w:eastAsia="es-MX"/>
        </w:rPr>
      </w:pPr>
      <w:r w:rsidRPr="002E3B5F">
        <w:rPr>
          <w:rFonts w:ascii="Verdana" w:eastAsia="Aptos" w:hAnsi="Verdana" w:cs="Times New Roman"/>
          <w:lang w:eastAsia="es-MX"/>
        </w:rPr>
        <w:lastRenderedPageBreak/>
        <w:t xml:space="preserve">Por último, lo invitamos a seguirnos en las redes sociales en las cuales se difunde información institucional: </w:t>
      </w:r>
    </w:p>
    <w:p w14:paraId="1AE863F2" w14:textId="77777777" w:rsidR="002E3B5F" w:rsidRPr="002E3B5F" w:rsidRDefault="002E3B5F" w:rsidP="002E3B5F">
      <w:pPr>
        <w:spacing w:after="0" w:line="276" w:lineRule="auto"/>
        <w:jc w:val="both"/>
        <w:rPr>
          <w:rFonts w:ascii="Verdana" w:eastAsia="Calibri" w:hAnsi="Verdana" w:cs="Times New Roman"/>
          <w:lang w:eastAsia="es-MX"/>
        </w:rPr>
      </w:pPr>
    </w:p>
    <w:p w14:paraId="604EF6EE" w14:textId="77777777" w:rsidR="002E3B5F" w:rsidRPr="002E3B5F" w:rsidRDefault="002E3B5F" w:rsidP="002E3B5F">
      <w:pPr>
        <w:spacing w:after="0" w:line="276" w:lineRule="auto"/>
        <w:jc w:val="both"/>
        <w:rPr>
          <w:rFonts w:ascii="Verdana" w:eastAsia="Aptos" w:hAnsi="Verdana" w:cs="Times New Roman"/>
          <w:lang w:eastAsia="es-MX"/>
        </w:rPr>
      </w:pPr>
      <w:r w:rsidRPr="002E3B5F">
        <w:rPr>
          <w:rFonts w:ascii="Verdana" w:eastAsia="Aptos" w:hAnsi="Verdana" w:cs="Times New Roman"/>
          <w:lang w:eastAsia="es-MX"/>
        </w:rPr>
        <w:t xml:space="preserve">Twitter: </w:t>
      </w:r>
      <w:r w:rsidRPr="002E3B5F">
        <w:rPr>
          <w:rFonts w:ascii="Verdana" w:eastAsia="Calibri" w:hAnsi="Verdana" w:cs="Times New Roman"/>
          <w:color w:val="156082"/>
          <w:u w:val="single"/>
          <w:lang w:eastAsia="es-MX"/>
        </w:rPr>
        <w:t>@colombiacompra</w:t>
      </w:r>
      <w:r w:rsidRPr="002E3B5F">
        <w:rPr>
          <w:rFonts w:ascii="Verdana" w:eastAsia="Calibri" w:hAnsi="Verdana" w:cs="Times New Roman"/>
          <w:color w:val="156082"/>
          <w:lang w:eastAsia="es-MX"/>
        </w:rPr>
        <w:t xml:space="preserve"> </w:t>
      </w:r>
    </w:p>
    <w:p w14:paraId="5063F542" w14:textId="77777777" w:rsidR="002E3B5F" w:rsidRPr="002E3B5F" w:rsidRDefault="002E3B5F" w:rsidP="002E3B5F">
      <w:pPr>
        <w:spacing w:after="0" w:line="276" w:lineRule="auto"/>
        <w:jc w:val="both"/>
        <w:rPr>
          <w:rFonts w:ascii="Verdana" w:eastAsia="Aptos" w:hAnsi="Verdana" w:cs="Times New Roman"/>
          <w:lang w:eastAsia="es-MX"/>
        </w:rPr>
      </w:pPr>
      <w:r w:rsidRPr="002E3B5F">
        <w:rPr>
          <w:rFonts w:ascii="Verdana" w:eastAsia="Aptos" w:hAnsi="Verdana" w:cs="Times New Roman"/>
          <w:lang w:eastAsia="es-MX"/>
        </w:rPr>
        <w:t xml:space="preserve">Facebook: </w:t>
      </w:r>
      <w:proofErr w:type="spellStart"/>
      <w:r w:rsidRPr="002E3B5F">
        <w:rPr>
          <w:rFonts w:ascii="Verdana" w:eastAsia="Calibri" w:hAnsi="Verdana" w:cs="Times New Roman"/>
          <w:color w:val="156082"/>
          <w:u w:val="single"/>
          <w:lang w:eastAsia="es-MX"/>
        </w:rPr>
        <w:t>ColombiaCompraEficiente</w:t>
      </w:r>
      <w:proofErr w:type="spellEnd"/>
    </w:p>
    <w:p w14:paraId="25C4B4ED" w14:textId="77777777" w:rsidR="002E3B5F" w:rsidRPr="002E3B5F" w:rsidRDefault="002E3B5F" w:rsidP="002E3B5F">
      <w:pPr>
        <w:spacing w:after="0" w:line="276" w:lineRule="auto"/>
        <w:jc w:val="both"/>
        <w:rPr>
          <w:rFonts w:ascii="Verdana" w:eastAsia="Aptos" w:hAnsi="Verdana" w:cs="Times New Roman"/>
          <w:lang w:eastAsia="es-MX"/>
        </w:rPr>
      </w:pPr>
      <w:r w:rsidRPr="002E3B5F">
        <w:rPr>
          <w:rFonts w:ascii="Verdana" w:eastAsia="Aptos" w:hAnsi="Verdana" w:cs="Times New Roman"/>
          <w:lang w:eastAsia="es-MX"/>
        </w:rPr>
        <w:t xml:space="preserve">LinkedIn: </w:t>
      </w:r>
      <w:r w:rsidRPr="002E3B5F">
        <w:rPr>
          <w:rFonts w:ascii="Verdana" w:eastAsia="Calibri" w:hAnsi="Verdana" w:cs="Times New Roman"/>
          <w:color w:val="156082"/>
          <w:u w:val="single"/>
          <w:lang w:eastAsia="es-MX"/>
        </w:rPr>
        <w:t>Agencia Nacional de Contratación Pública - Colombia Compra Eficiente</w:t>
      </w:r>
      <w:r w:rsidRPr="002E3B5F">
        <w:rPr>
          <w:rFonts w:ascii="Verdana" w:eastAsia="Calibri" w:hAnsi="Verdana" w:cs="Times New Roman"/>
          <w:color w:val="156082"/>
          <w:lang w:eastAsia="es-MX"/>
        </w:rPr>
        <w:t xml:space="preserve"> </w:t>
      </w:r>
      <w:r w:rsidRPr="002E3B5F">
        <w:rPr>
          <w:rFonts w:ascii="Verdana" w:eastAsia="Aptos" w:hAnsi="Verdana" w:cs="Times New Roman"/>
          <w:lang w:eastAsia="es-MX"/>
        </w:rPr>
        <w:t xml:space="preserve">Instagram: </w:t>
      </w:r>
      <w:r w:rsidRPr="002E3B5F">
        <w:rPr>
          <w:rFonts w:ascii="Verdana" w:eastAsia="Calibri" w:hAnsi="Verdana" w:cs="Times New Roman"/>
          <w:color w:val="156082"/>
          <w:u w:val="single"/>
          <w:lang w:eastAsia="es-MX"/>
        </w:rPr>
        <w:t>@colombiacompraeficiente_cce</w:t>
      </w:r>
    </w:p>
    <w:p w14:paraId="065DBAAC" w14:textId="77777777" w:rsidR="002E3B5F" w:rsidRPr="002E3B5F" w:rsidRDefault="002E3B5F" w:rsidP="002E3B5F">
      <w:pPr>
        <w:spacing w:after="0" w:line="276" w:lineRule="auto"/>
        <w:jc w:val="both"/>
        <w:rPr>
          <w:rFonts w:ascii="Verdana" w:eastAsia="Aptos" w:hAnsi="Verdana" w:cs="Times New Roman"/>
          <w:lang w:eastAsia="es-MX"/>
        </w:rPr>
      </w:pPr>
    </w:p>
    <w:p w14:paraId="54CF1267" w14:textId="77777777" w:rsidR="002E3B5F" w:rsidRPr="002E3B5F" w:rsidRDefault="002E3B5F" w:rsidP="002E3B5F">
      <w:pPr>
        <w:spacing w:after="0" w:line="276" w:lineRule="auto"/>
        <w:jc w:val="both"/>
        <w:rPr>
          <w:rFonts w:ascii="Verdana" w:eastAsia="Calibri" w:hAnsi="Verdana" w:cs="Times New Roman"/>
          <w:bCs/>
          <w:lang w:val="es-ES_tradnl" w:eastAsia="es-MX"/>
        </w:rPr>
      </w:pPr>
      <w:r w:rsidRPr="002E3B5F">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2701E2EB" w14:textId="77777777" w:rsidR="002E3B5F" w:rsidRPr="002E3B5F" w:rsidRDefault="002E3B5F" w:rsidP="002E3B5F">
      <w:pPr>
        <w:spacing w:after="0" w:line="276" w:lineRule="auto"/>
        <w:jc w:val="both"/>
        <w:rPr>
          <w:rFonts w:ascii="Verdana" w:eastAsia="Calibri" w:hAnsi="Verdana" w:cs="Times New Roman"/>
          <w:lang w:eastAsia="es-MX"/>
        </w:rPr>
      </w:pPr>
    </w:p>
    <w:p w14:paraId="0E6B219F" w14:textId="77777777" w:rsidR="002E3B5F" w:rsidRPr="002E3B5F" w:rsidRDefault="002E3B5F" w:rsidP="002E3B5F">
      <w:pPr>
        <w:spacing w:after="0" w:line="276" w:lineRule="auto"/>
        <w:jc w:val="both"/>
        <w:rPr>
          <w:rFonts w:ascii="Verdana" w:eastAsia="Calibri" w:hAnsi="Verdana" w:cs="Times New Roman"/>
          <w:lang w:eastAsia="es-MX"/>
        </w:rPr>
      </w:pPr>
      <w:r w:rsidRPr="002E3B5F">
        <w:rPr>
          <w:rFonts w:ascii="Verdana" w:eastAsia="Calibri" w:hAnsi="Verdana" w:cs="Times New Roman"/>
          <w:lang w:eastAsia="es-MX"/>
        </w:rPr>
        <w:t>Atentamente,</w:t>
      </w:r>
    </w:p>
    <w:p w14:paraId="3EF598D8" w14:textId="60496DD0" w:rsidR="002E3B5F" w:rsidRPr="002E3B5F" w:rsidRDefault="001643AC" w:rsidP="002E3B5F">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7C06A4EB" wp14:editId="25F1BBD7">
            <wp:extent cx="2907846" cy="1248355"/>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2954373" cy="1268329"/>
                    </a:xfrm>
                    <a:prstGeom prst="rect">
                      <a:avLst/>
                    </a:prstGeom>
                  </pic:spPr>
                </pic:pic>
              </a:graphicData>
            </a:graphic>
          </wp:inline>
        </w:drawing>
      </w:r>
    </w:p>
    <w:p w14:paraId="6EF56644" w14:textId="77777777" w:rsidR="002E3B5F" w:rsidRPr="002E3B5F" w:rsidRDefault="002E3B5F" w:rsidP="002E3B5F">
      <w:pPr>
        <w:tabs>
          <w:tab w:val="left" w:pos="1320"/>
        </w:tabs>
        <w:spacing w:after="0"/>
        <w:jc w:val="center"/>
        <w:rPr>
          <w:rFonts w:ascii="Century Gothic" w:eastAsia="Calibri" w:hAnsi="Century Gothic" w:cs="Times New Roman"/>
          <w:lang w:eastAsia="es-MX"/>
        </w:rPr>
      </w:pP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2E3B5F" w:rsidRPr="002E3B5F" w14:paraId="5439ECAD" w14:textId="77777777" w:rsidTr="00933CEA">
        <w:trPr>
          <w:trHeight w:val="323"/>
        </w:trPr>
        <w:tc>
          <w:tcPr>
            <w:tcW w:w="1041" w:type="dxa"/>
            <w:vAlign w:val="center"/>
            <w:hideMark/>
          </w:tcPr>
          <w:p w14:paraId="576129B3" w14:textId="77777777" w:rsidR="002E3B5F" w:rsidRPr="002E3B5F" w:rsidRDefault="002E3B5F" w:rsidP="002E3B5F">
            <w:pPr>
              <w:rPr>
                <w:rFonts w:ascii="Verdana" w:eastAsia="Calibri" w:hAnsi="Verdana" w:cs="Arial"/>
                <w:sz w:val="16"/>
                <w:szCs w:val="16"/>
                <w:lang w:val="es-ES_tradnl" w:eastAsia="es-ES"/>
              </w:rPr>
            </w:pPr>
            <w:r w:rsidRPr="002E3B5F">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4589A08D" w14:textId="77777777" w:rsidR="002E3B5F" w:rsidRPr="002E3B5F" w:rsidRDefault="002E3B5F" w:rsidP="002E3B5F">
            <w:pPr>
              <w:rPr>
                <w:rFonts w:ascii="Verdana" w:eastAsia="Arial" w:hAnsi="Verdana" w:cs="Arial"/>
                <w:sz w:val="16"/>
                <w:szCs w:val="16"/>
                <w:lang w:val="es-ES" w:eastAsia="es-MX"/>
              </w:rPr>
            </w:pPr>
            <w:r w:rsidRPr="002E3B5F">
              <w:rPr>
                <w:rFonts w:ascii="Verdana" w:eastAsia="Arial" w:hAnsi="Verdana" w:cs="Arial"/>
                <w:sz w:val="16"/>
                <w:szCs w:val="16"/>
                <w:lang w:val="es-ES" w:eastAsia="es-MX"/>
              </w:rPr>
              <w:t xml:space="preserve">Carlos Mario Castrillón Endo </w:t>
            </w:r>
          </w:p>
          <w:p w14:paraId="4BE129F9" w14:textId="77777777" w:rsidR="002E3B5F" w:rsidRPr="002E3B5F" w:rsidRDefault="002E3B5F" w:rsidP="002E3B5F">
            <w:pPr>
              <w:rPr>
                <w:rFonts w:ascii="Verdana" w:eastAsia="Arial" w:hAnsi="Verdana" w:cs="Arial"/>
                <w:sz w:val="16"/>
                <w:szCs w:val="16"/>
                <w:lang w:val="es-ES_tradnl" w:eastAsia="es-MX"/>
              </w:rPr>
            </w:pPr>
            <w:r w:rsidRPr="002E3B5F">
              <w:rPr>
                <w:rFonts w:ascii="Verdana" w:eastAsia="Arial" w:hAnsi="Verdana" w:cs="Arial"/>
                <w:sz w:val="16"/>
                <w:szCs w:val="16"/>
                <w:lang w:val="es-ES_tradnl" w:eastAsia="es-MX"/>
              </w:rPr>
              <w:t>Contratista de la Subdirección de Gestión Contractual</w:t>
            </w:r>
          </w:p>
          <w:p w14:paraId="18140CC0" w14:textId="77777777" w:rsidR="002E3B5F" w:rsidRPr="002E3B5F" w:rsidRDefault="002E3B5F" w:rsidP="002E3B5F">
            <w:pPr>
              <w:rPr>
                <w:rFonts w:ascii="Verdana" w:eastAsia="Arial" w:hAnsi="Verdana" w:cs="Arial"/>
                <w:sz w:val="16"/>
                <w:szCs w:val="16"/>
                <w:lang w:val="es-ES_tradnl" w:eastAsia="es-MX"/>
              </w:rPr>
            </w:pPr>
          </w:p>
        </w:tc>
      </w:tr>
      <w:tr w:rsidR="002E3B5F" w:rsidRPr="002E3B5F" w14:paraId="48A8DE0A" w14:textId="77777777" w:rsidTr="00933CEA">
        <w:trPr>
          <w:trHeight w:val="338"/>
        </w:trPr>
        <w:tc>
          <w:tcPr>
            <w:tcW w:w="1041" w:type="dxa"/>
            <w:vAlign w:val="center"/>
            <w:hideMark/>
          </w:tcPr>
          <w:p w14:paraId="4D399B43" w14:textId="77777777" w:rsidR="002E3B5F" w:rsidRPr="002E3B5F" w:rsidRDefault="002E3B5F" w:rsidP="002E3B5F">
            <w:pPr>
              <w:rPr>
                <w:rFonts w:ascii="Verdana" w:eastAsia="Calibri" w:hAnsi="Verdana" w:cs="Arial"/>
                <w:sz w:val="16"/>
                <w:szCs w:val="16"/>
                <w:lang w:val="es-ES_tradnl" w:eastAsia="es-ES"/>
              </w:rPr>
            </w:pPr>
            <w:r w:rsidRPr="002E3B5F">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36064131" w14:textId="77777777" w:rsidR="002E3B5F" w:rsidRPr="002E3B5F" w:rsidRDefault="002E3B5F" w:rsidP="002E3B5F">
            <w:pPr>
              <w:rPr>
                <w:rFonts w:ascii="Verdana" w:eastAsia="Arial" w:hAnsi="Verdana" w:cs="Arial"/>
                <w:sz w:val="16"/>
                <w:szCs w:val="16"/>
                <w:lang w:val="es-ES_tradnl" w:eastAsia="es-MX"/>
              </w:rPr>
            </w:pPr>
            <w:r w:rsidRPr="002E3B5F">
              <w:rPr>
                <w:rFonts w:ascii="Verdana" w:eastAsia="Arial" w:hAnsi="Verdana" w:cs="Arial"/>
                <w:sz w:val="16"/>
                <w:szCs w:val="16"/>
                <w:lang w:val="es-ES_tradnl" w:eastAsia="es-MX"/>
              </w:rPr>
              <w:t>Alexandra Rodríguez Motta</w:t>
            </w:r>
          </w:p>
          <w:p w14:paraId="28FFC533" w14:textId="77777777" w:rsidR="002E3B5F" w:rsidRPr="002E3B5F" w:rsidRDefault="002E3B5F" w:rsidP="002E3B5F">
            <w:pPr>
              <w:rPr>
                <w:rFonts w:ascii="Verdana" w:eastAsia="Arial" w:hAnsi="Verdana" w:cs="Arial"/>
                <w:sz w:val="16"/>
                <w:szCs w:val="16"/>
                <w:lang w:val="es-ES_tradnl" w:eastAsia="es-MX"/>
              </w:rPr>
            </w:pPr>
            <w:r w:rsidRPr="002E3B5F">
              <w:rPr>
                <w:rFonts w:ascii="Verdana" w:eastAsia="Arial" w:hAnsi="Verdana" w:cs="Arial"/>
                <w:sz w:val="16"/>
                <w:szCs w:val="16"/>
                <w:lang w:val="es-ES_tradnl" w:eastAsia="es-MX"/>
              </w:rPr>
              <w:t>Contratista de la Subdirección de Gestión Contractual</w:t>
            </w:r>
          </w:p>
          <w:p w14:paraId="4BEB71EC" w14:textId="77777777" w:rsidR="00F877AD" w:rsidRDefault="00F877AD" w:rsidP="00F877AD">
            <w:pPr>
              <w:rPr>
                <w:rFonts w:ascii="Verdana" w:eastAsia="Arial" w:hAnsi="Verdana" w:cs="Arial"/>
                <w:sz w:val="16"/>
                <w:szCs w:val="16"/>
                <w:lang w:val="es-ES_tradnl" w:eastAsia="es-MX"/>
              </w:rPr>
            </w:pPr>
            <w:r>
              <w:rPr>
                <w:rFonts w:ascii="Verdana" w:eastAsia="Arial" w:hAnsi="Verdana" w:cs="Arial"/>
                <w:sz w:val="16"/>
                <w:szCs w:val="16"/>
                <w:lang w:val="es-ES_tradnl" w:eastAsia="es-MX"/>
              </w:rPr>
              <w:t>Adriana Katherine López Rodriguéz</w:t>
            </w:r>
          </w:p>
          <w:p w14:paraId="5E38EB54" w14:textId="61EE4381" w:rsidR="002E3B5F" w:rsidRPr="002E3B5F" w:rsidRDefault="00F877AD" w:rsidP="00F877AD">
            <w:pPr>
              <w:rPr>
                <w:rFonts w:ascii="Verdana" w:eastAsia="Arial" w:hAnsi="Verdana" w:cs="Arial"/>
                <w:sz w:val="16"/>
                <w:szCs w:val="16"/>
                <w:lang w:val="es-ES_tradnl" w:eastAsia="es-MX"/>
              </w:rPr>
            </w:pPr>
            <w:r w:rsidRPr="00C363C1">
              <w:rPr>
                <w:rFonts w:ascii="Verdana" w:eastAsia="Arial" w:hAnsi="Verdana" w:cs="Arial"/>
                <w:sz w:val="16"/>
                <w:szCs w:val="16"/>
                <w:lang w:val="es-ES_tradnl" w:eastAsia="es-MX"/>
              </w:rPr>
              <w:t>Contratista de la Subdirección de Gestión Contractual</w:t>
            </w:r>
            <w:r w:rsidRPr="002E3B5F">
              <w:rPr>
                <w:rFonts w:ascii="Verdana" w:eastAsia="Arial" w:hAnsi="Verdana" w:cs="Arial"/>
                <w:sz w:val="16"/>
                <w:szCs w:val="16"/>
                <w:lang w:val="es-ES_tradnl" w:eastAsia="es-MX"/>
              </w:rPr>
              <w:t xml:space="preserve"> </w:t>
            </w:r>
          </w:p>
        </w:tc>
      </w:tr>
      <w:tr w:rsidR="002E3B5F" w:rsidRPr="002E3B5F" w14:paraId="11981951" w14:textId="77777777" w:rsidTr="00933CEA">
        <w:trPr>
          <w:trHeight w:val="308"/>
        </w:trPr>
        <w:tc>
          <w:tcPr>
            <w:tcW w:w="1041" w:type="dxa"/>
            <w:vAlign w:val="center"/>
          </w:tcPr>
          <w:p w14:paraId="115B0E63" w14:textId="77777777" w:rsidR="002E3B5F" w:rsidRPr="002E3B5F" w:rsidRDefault="002E3B5F" w:rsidP="002E3B5F">
            <w:pPr>
              <w:rPr>
                <w:rFonts w:ascii="Verdana" w:eastAsia="Calibri" w:hAnsi="Verdana" w:cs="Arial"/>
                <w:sz w:val="16"/>
                <w:szCs w:val="16"/>
                <w:lang w:val="es-ES_tradnl" w:eastAsia="es-ES"/>
              </w:rPr>
            </w:pPr>
            <w:r w:rsidRPr="002E3B5F">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D439CE4" w14:textId="77777777" w:rsidR="002E3B5F" w:rsidRPr="002E3B5F" w:rsidRDefault="002E3B5F" w:rsidP="002E3B5F">
            <w:pPr>
              <w:rPr>
                <w:rFonts w:ascii="Verdana" w:eastAsia="Calibri" w:hAnsi="Verdana" w:cs="Arial"/>
                <w:sz w:val="16"/>
                <w:szCs w:val="16"/>
                <w:lang w:val="es-ES" w:eastAsia="es-ES"/>
              </w:rPr>
            </w:pPr>
            <w:r w:rsidRPr="002E3B5F">
              <w:rPr>
                <w:rFonts w:ascii="Verdana" w:eastAsia="Calibri" w:hAnsi="Verdana" w:cs="Arial"/>
                <w:sz w:val="16"/>
                <w:szCs w:val="16"/>
                <w:lang w:val="es-ES" w:eastAsia="es-ES"/>
              </w:rPr>
              <w:t>Carolina Quintero Gacharná</w:t>
            </w:r>
          </w:p>
          <w:p w14:paraId="55E6C81E" w14:textId="77777777" w:rsidR="002E3B5F" w:rsidRPr="002E3B5F" w:rsidRDefault="002E3B5F" w:rsidP="002E3B5F">
            <w:pPr>
              <w:rPr>
                <w:rFonts w:ascii="Verdana" w:eastAsia="Calibri" w:hAnsi="Verdana" w:cs="Arial"/>
                <w:sz w:val="16"/>
                <w:szCs w:val="16"/>
                <w:lang w:val="es-ES_tradnl" w:eastAsia="es-ES"/>
              </w:rPr>
            </w:pPr>
            <w:r w:rsidRPr="002E3B5F">
              <w:rPr>
                <w:rFonts w:ascii="Verdana" w:eastAsia="Calibri" w:hAnsi="Verdana" w:cs="Arial"/>
                <w:sz w:val="16"/>
                <w:szCs w:val="16"/>
                <w:lang w:val="es-ES_tradnl" w:eastAsia="es-ES"/>
              </w:rPr>
              <w:t>Subdirectora de Gestión Contractual ANCP – CCE</w:t>
            </w:r>
          </w:p>
        </w:tc>
      </w:tr>
    </w:tbl>
    <w:p w14:paraId="130FF9EB" w14:textId="77777777" w:rsidR="002E3B5F" w:rsidRPr="002E3B5F" w:rsidRDefault="002E3B5F" w:rsidP="002E3B5F">
      <w:pPr>
        <w:spacing w:after="0" w:line="240" w:lineRule="auto"/>
        <w:jc w:val="both"/>
        <w:textAlignment w:val="baseline"/>
        <w:rPr>
          <w:rFonts w:ascii="Verdana" w:eastAsia="Verdana" w:hAnsi="Verdana" w:cs="Verdana"/>
          <w:lang w:eastAsia="es-CO"/>
        </w:rPr>
      </w:pPr>
    </w:p>
    <w:p w14:paraId="66F35667" w14:textId="77777777" w:rsidR="002E3B5F" w:rsidRPr="002E3B5F" w:rsidRDefault="002E3B5F" w:rsidP="002E3B5F">
      <w:pPr>
        <w:spacing w:after="0" w:line="240" w:lineRule="auto"/>
        <w:textAlignment w:val="baseline"/>
        <w:rPr>
          <w:rFonts w:ascii="Verdana" w:eastAsia="Verdana" w:hAnsi="Verdana" w:cs="Verdana"/>
          <w:lang w:eastAsia="es-CO"/>
        </w:rPr>
      </w:pPr>
      <w:r w:rsidRPr="002E3B5F">
        <w:rPr>
          <w:rFonts w:ascii="Verdana" w:eastAsia="Verdana" w:hAnsi="Verdana" w:cs="Verdana"/>
          <w:lang w:eastAsia="es-CO"/>
        </w:rPr>
        <w:t> </w:t>
      </w:r>
    </w:p>
    <w:p w14:paraId="2046A9CD" w14:textId="77777777" w:rsidR="002E3B5F" w:rsidRPr="002E3B5F" w:rsidRDefault="002E3B5F" w:rsidP="002E3B5F">
      <w:pPr>
        <w:spacing w:after="0" w:line="240" w:lineRule="auto"/>
        <w:textAlignment w:val="baseline"/>
        <w:rPr>
          <w:rFonts w:ascii="Verdana" w:eastAsia="Verdana" w:hAnsi="Verdana" w:cs="Verdana"/>
          <w:lang w:eastAsia="es-CO"/>
        </w:rPr>
      </w:pPr>
      <w:r w:rsidRPr="002E3B5F">
        <w:rPr>
          <w:rFonts w:ascii="Verdana" w:eastAsia="Verdana" w:hAnsi="Verdana" w:cs="Verdana"/>
          <w:lang w:eastAsia="es-CO"/>
        </w:rPr>
        <w:t> </w:t>
      </w:r>
    </w:p>
    <w:p w14:paraId="51ECE507" w14:textId="77777777" w:rsidR="002E3B5F" w:rsidRPr="002E3B5F" w:rsidRDefault="002E3B5F" w:rsidP="002E3B5F">
      <w:pPr>
        <w:spacing w:line="278" w:lineRule="auto"/>
        <w:rPr>
          <w:rFonts w:ascii="Aptos" w:eastAsia="Aptos" w:hAnsi="Aptos" w:cs="Times New Roman"/>
          <w:kern w:val="2"/>
          <w:sz w:val="24"/>
          <w:szCs w:val="24"/>
          <w14:ligatures w14:val="standardContextual"/>
        </w:rPr>
      </w:pPr>
    </w:p>
    <w:p w14:paraId="081B294B" w14:textId="77777777" w:rsidR="002E3B5F" w:rsidRPr="002E3B5F" w:rsidRDefault="002E3B5F" w:rsidP="002E3B5F">
      <w:pPr>
        <w:spacing w:after="0" w:line="240" w:lineRule="auto"/>
        <w:jc w:val="both"/>
        <w:textAlignment w:val="baseline"/>
        <w:rPr>
          <w:rFonts w:ascii="Verdana" w:eastAsia="Verdana" w:hAnsi="Verdana" w:cs="Verdana"/>
          <w:lang w:eastAsia="es-CO"/>
        </w:rPr>
      </w:pPr>
    </w:p>
    <w:p w14:paraId="150BDD5E" w14:textId="77777777" w:rsidR="002E3B5F" w:rsidRPr="002E3B5F" w:rsidRDefault="002E3B5F" w:rsidP="002E3B5F">
      <w:pPr>
        <w:spacing w:after="0" w:line="240" w:lineRule="auto"/>
        <w:textAlignment w:val="baseline"/>
        <w:rPr>
          <w:rFonts w:ascii="Verdana" w:eastAsia="Verdana" w:hAnsi="Verdana" w:cs="Verdana"/>
          <w:lang w:eastAsia="es-CO"/>
        </w:rPr>
      </w:pPr>
      <w:r w:rsidRPr="002E3B5F">
        <w:rPr>
          <w:rFonts w:ascii="Verdana" w:eastAsia="Verdana" w:hAnsi="Verdana" w:cs="Verdana"/>
          <w:lang w:eastAsia="es-CO"/>
        </w:rPr>
        <w:t> </w:t>
      </w:r>
    </w:p>
    <w:p w14:paraId="03381EB1" w14:textId="77777777" w:rsidR="002E3B5F" w:rsidRPr="002E3B5F" w:rsidRDefault="002E3B5F" w:rsidP="002E3B5F">
      <w:pPr>
        <w:spacing w:after="0" w:line="240" w:lineRule="auto"/>
        <w:textAlignment w:val="baseline"/>
        <w:rPr>
          <w:rFonts w:ascii="Verdana" w:eastAsia="Verdana" w:hAnsi="Verdana" w:cs="Verdana"/>
          <w:lang w:eastAsia="es-CO"/>
        </w:rPr>
      </w:pPr>
      <w:r w:rsidRPr="002E3B5F">
        <w:rPr>
          <w:rFonts w:ascii="Verdana" w:eastAsia="Verdana" w:hAnsi="Verdana" w:cs="Verdana"/>
          <w:lang w:eastAsia="es-CO"/>
        </w:rPr>
        <w:t> </w:t>
      </w:r>
    </w:p>
    <w:bookmarkEnd w:id="0"/>
    <w:p w14:paraId="1AFE20FA" w14:textId="77777777" w:rsidR="002E3B5F" w:rsidRPr="002E3B5F" w:rsidRDefault="002E3B5F" w:rsidP="002E3B5F">
      <w:pPr>
        <w:spacing w:line="278" w:lineRule="auto"/>
        <w:rPr>
          <w:rFonts w:ascii="Aptos" w:eastAsia="Aptos" w:hAnsi="Aptos" w:cs="Times New Roman"/>
          <w:kern w:val="2"/>
          <w:sz w:val="24"/>
          <w:szCs w:val="24"/>
          <w14:ligatures w14:val="standardContextual"/>
        </w:rPr>
      </w:pPr>
    </w:p>
    <w:p w14:paraId="0F293BF4" w14:textId="333B6ADC" w:rsidR="00127233" w:rsidRPr="002E3B5F" w:rsidRDefault="00127233" w:rsidP="002E3B5F"/>
    <w:sectPr w:rsidR="00127233" w:rsidRPr="002E3B5F"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106F" w14:textId="77777777" w:rsidR="00B32792" w:rsidRDefault="00B32792" w:rsidP="004A1847">
      <w:pPr>
        <w:spacing w:after="0" w:line="240" w:lineRule="auto"/>
      </w:pPr>
      <w:r>
        <w:separator/>
      </w:r>
    </w:p>
  </w:endnote>
  <w:endnote w:type="continuationSeparator" w:id="0">
    <w:p w14:paraId="432EDD41" w14:textId="77777777" w:rsidR="00B32792" w:rsidRDefault="00B32792" w:rsidP="004A1847">
      <w:pPr>
        <w:spacing w:after="0" w:line="240" w:lineRule="auto"/>
      </w:pPr>
      <w:r>
        <w:continuationSeparator/>
      </w:r>
    </w:p>
  </w:endnote>
  <w:endnote w:type="continuationNotice" w:id="1">
    <w:p w14:paraId="08B193D1" w14:textId="77777777" w:rsidR="00B32792" w:rsidRDefault="00B32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2E3B5F">
      <w:rPr>
        <w:rFonts w:ascii="Verdana" w:eastAsia="Verdana" w:hAnsi="Verdana" w:cs="Verdana"/>
        <w:b/>
        <w:bCs/>
        <w:color w:val="000000"/>
        <w:sz w:val="18"/>
        <w:szCs w:val="18"/>
        <w:lang w:eastAsia="es-CO"/>
      </w:rPr>
      <w:t xml:space="preserve">Código: </w:t>
    </w:r>
    <w:r w:rsidRPr="002E3B5F">
      <w:rPr>
        <w:rFonts w:ascii="Verdana" w:eastAsia="Verdana" w:hAnsi="Verdana" w:cs="Verdana"/>
        <w:color w:val="000000"/>
        <w:sz w:val="18"/>
        <w:szCs w:val="18"/>
        <w:lang w:eastAsia="es-CO"/>
      </w:rPr>
      <w:t xml:space="preserve">CCE-REC-FM-17 </w:t>
    </w:r>
    <w:r w:rsidRPr="002E3B5F">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4556E" w14:textId="77777777" w:rsidR="00B32792" w:rsidRDefault="00B32792" w:rsidP="004A1847">
      <w:pPr>
        <w:spacing w:after="0" w:line="240" w:lineRule="auto"/>
      </w:pPr>
      <w:r>
        <w:separator/>
      </w:r>
    </w:p>
  </w:footnote>
  <w:footnote w:type="continuationSeparator" w:id="0">
    <w:p w14:paraId="75F42518" w14:textId="77777777" w:rsidR="00B32792" w:rsidRDefault="00B32792" w:rsidP="004A1847">
      <w:pPr>
        <w:spacing w:after="0" w:line="240" w:lineRule="auto"/>
      </w:pPr>
      <w:r>
        <w:continuationSeparator/>
      </w:r>
    </w:p>
  </w:footnote>
  <w:footnote w:type="continuationNotice" w:id="1">
    <w:p w14:paraId="5D145C8D" w14:textId="77777777" w:rsidR="00B32792" w:rsidRDefault="00B32792">
      <w:pPr>
        <w:spacing w:after="0" w:line="240" w:lineRule="auto"/>
      </w:pPr>
    </w:p>
  </w:footnote>
  <w:footnote w:id="2">
    <w:p w14:paraId="151FE0FE" w14:textId="77777777" w:rsidR="002E3B5F" w:rsidRPr="007F1EE4" w:rsidRDefault="002E3B5F" w:rsidP="002E3B5F">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03071B70" w14:textId="77777777" w:rsidR="002E3B5F" w:rsidRPr="007F1EE4" w:rsidRDefault="002E3B5F" w:rsidP="002E3B5F">
      <w:pPr>
        <w:pStyle w:val="Textonotapie"/>
        <w:ind w:firstLine="708"/>
        <w:jc w:val="both"/>
        <w:rPr>
          <w:rFonts w:ascii="Verdana" w:hAnsi="Verdana"/>
          <w:sz w:val="18"/>
          <w:szCs w:val="18"/>
        </w:rPr>
      </w:pPr>
    </w:p>
    <w:p w14:paraId="42B43CC7" w14:textId="77777777" w:rsidR="002E3B5F" w:rsidRPr="007F1EE4" w:rsidRDefault="002E3B5F" w:rsidP="002E3B5F">
      <w:pPr>
        <w:pStyle w:val="Textonotapie"/>
        <w:ind w:firstLine="708"/>
        <w:jc w:val="both"/>
        <w:rPr>
          <w:rFonts w:ascii="Verdana" w:hAnsi="Verdana"/>
          <w:sz w:val="18"/>
          <w:szCs w:val="18"/>
        </w:rPr>
      </w:pPr>
      <w:r w:rsidRPr="007F1EE4">
        <w:rPr>
          <w:rFonts w:ascii="Verdana" w:hAnsi="Verdana"/>
          <w:sz w:val="18"/>
          <w:szCs w:val="18"/>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178C74C4" w14:textId="77777777" w:rsidR="002E3B5F" w:rsidRPr="007F1EE4" w:rsidRDefault="002E3B5F" w:rsidP="002E3B5F">
      <w:pPr>
        <w:pStyle w:val="Textonotapie"/>
        <w:ind w:firstLine="708"/>
        <w:jc w:val="both"/>
        <w:rPr>
          <w:rFonts w:ascii="Verdana" w:hAnsi="Verdana"/>
          <w:sz w:val="18"/>
          <w:szCs w:val="18"/>
        </w:rPr>
      </w:pPr>
    </w:p>
    <w:p w14:paraId="02683EDA" w14:textId="77777777" w:rsidR="002E3B5F" w:rsidRPr="007F1EE4" w:rsidRDefault="002E3B5F" w:rsidP="002E3B5F">
      <w:pPr>
        <w:pStyle w:val="Textonotapie"/>
        <w:ind w:firstLine="708"/>
        <w:jc w:val="both"/>
        <w:rPr>
          <w:rFonts w:ascii="Verdana" w:hAnsi="Verdana"/>
          <w:sz w:val="18"/>
          <w:szCs w:val="18"/>
        </w:rPr>
      </w:pPr>
      <w:r w:rsidRPr="007F1EE4">
        <w:rPr>
          <w:rFonts w:ascii="Verdana" w:hAnsi="Verdana"/>
          <w:sz w:val="18"/>
          <w:szCs w:val="18"/>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743FD4C9" w14:textId="77777777" w:rsidR="002E3B5F" w:rsidRPr="007F1EE4" w:rsidRDefault="002E3B5F" w:rsidP="002E3B5F">
      <w:pPr>
        <w:pStyle w:val="Textonotapie"/>
        <w:ind w:firstLine="708"/>
        <w:jc w:val="both"/>
        <w:rPr>
          <w:rFonts w:ascii="Verdana" w:hAnsi="Verdana"/>
          <w:sz w:val="18"/>
          <w:szCs w:val="18"/>
        </w:rPr>
      </w:pPr>
    </w:p>
    <w:p w14:paraId="4FD30793" w14:textId="77777777" w:rsidR="002E3B5F" w:rsidRPr="007F1EE4" w:rsidRDefault="002E3B5F" w:rsidP="002E3B5F">
      <w:pPr>
        <w:pStyle w:val="Textonotapie"/>
        <w:ind w:firstLine="708"/>
        <w:jc w:val="both"/>
        <w:rPr>
          <w:rFonts w:ascii="Verdana" w:hAnsi="Verdana"/>
          <w:sz w:val="18"/>
          <w:szCs w:val="18"/>
        </w:rPr>
      </w:pPr>
      <w:r w:rsidRPr="007F1EE4">
        <w:rPr>
          <w:rFonts w:ascii="Verdana" w:hAnsi="Verdana"/>
          <w:sz w:val="18"/>
          <w:szCs w:val="18"/>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6DD67A07" w14:textId="77777777" w:rsidR="002E3B5F" w:rsidRPr="007F1EE4" w:rsidRDefault="002E3B5F" w:rsidP="002E3B5F">
      <w:pPr>
        <w:pStyle w:val="Textonotapie"/>
        <w:ind w:firstLine="708"/>
        <w:jc w:val="both"/>
        <w:rPr>
          <w:rFonts w:ascii="Verdana" w:hAnsi="Verdana"/>
          <w:sz w:val="18"/>
          <w:szCs w:val="18"/>
        </w:rPr>
      </w:pPr>
    </w:p>
    <w:p w14:paraId="58144066" w14:textId="77777777" w:rsidR="002E3B5F" w:rsidRPr="007F1EE4" w:rsidRDefault="002E3B5F" w:rsidP="002E3B5F">
      <w:pPr>
        <w:pStyle w:val="Textonotapie"/>
        <w:ind w:firstLine="708"/>
        <w:jc w:val="both"/>
        <w:rPr>
          <w:rFonts w:ascii="Verdana" w:hAnsi="Verdana"/>
          <w:sz w:val="18"/>
          <w:szCs w:val="18"/>
        </w:rPr>
      </w:pPr>
      <w:r w:rsidRPr="007F1EE4">
        <w:rPr>
          <w:rFonts w:ascii="Verdana" w:hAnsi="Verdana"/>
          <w:sz w:val="18"/>
          <w:szCs w:val="18"/>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3">
    <w:p w14:paraId="1BF76B70" w14:textId="77777777" w:rsidR="002E3B5F" w:rsidRPr="007F1EE4" w:rsidRDefault="002E3B5F" w:rsidP="002E3B5F">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Reglamento Colombiano de Construcción Sismo Resistente NSR-10</w:t>
      </w:r>
    </w:p>
    <w:p w14:paraId="7DE16E1E" w14:textId="77777777" w:rsidR="002E3B5F" w:rsidRPr="007F1EE4" w:rsidRDefault="002E3B5F" w:rsidP="002E3B5F">
      <w:pPr>
        <w:pStyle w:val="Textonotapie"/>
        <w:ind w:firstLine="708"/>
        <w:jc w:val="both"/>
        <w:rPr>
          <w:rFonts w:ascii="Verdana" w:hAnsi="Verdana"/>
          <w:sz w:val="18"/>
          <w:szCs w:val="18"/>
          <w:lang w:val="es-ES_tradnl"/>
        </w:rPr>
      </w:pPr>
    </w:p>
  </w:footnote>
  <w:footnote w:id="4">
    <w:p w14:paraId="4C4A6B36" w14:textId="77777777" w:rsidR="002E3B5F" w:rsidRPr="007F1EE4" w:rsidRDefault="002E3B5F" w:rsidP="002E3B5F">
      <w:pPr>
        <w:pStyle w:val="Textonotapie"/>
        <w:ind w:firstLine="708"/>
        <w:jc w:val="both"/>
        <w:rPr>
          <w:rFonts w:ascii="Verdana" w:hAnsi="Verdana"/>
          <w:sz w:val="18"/>
          <w:szCs w:val="18"/>
          <w:lang w:val="es-ES_tradnl"/>
        </w:rPr>
      </w:pPr>
      <w:r w:rsidRPr="007F1EE4">
        <w:rPr>
          <w:rStyle w:val="Refdenotaalpie"/>
          <w:rFonts w:ascii="Verdana" w:hAnsi="Verdana"/>
          <w:sz w:val="18"/>
          <w:szCs w:val="18"/>
        </w:rPr>
        <w:footnoteRef/>
      </w:r>
      <w:r w:rsidRPr="007F1EE4">
        <w:rPr>
          <w:rFonts w:ascii="Verdana" w:hAnsi="Verdana"/>
          <w:sz w:val="18"/>
          <w:szCs w:val="18"/>
        </w:rPr>
        <w:t xml:space="preserve"> </w:t>
      </w:r>
      <w:r w:rsidRPr="007F1EE4">
        <w:rPr>
          <w:rFonts w:ascii="Verdana" w:hAnsi="Verdana"/>
          <w:sz w:val="18"/>
          <w:szCs w:val="18"/>
          <w:lang w:val="es-ES_tradnl"/>
        </w:rPr>
        <w:t xml:space="preserve">Ibidem </w:t>
      </w:r>
    </w:p>
    <w:p w14:paraId="5DFFC943" w14:textId="77777777" w:rsidR="002E3B5F" w:rsidRPr="007F1EE4" w:rsidRDefault="002E3B5F" w:rsidP="002E3B5F">
      <w:pPr>
        <w:pStyle w:val="Textonotapie"/>
        <w:ind w:firstLine="708"/>
        <w:jc w:val="both"/>
        <w:rPr>
          <w:rFonts w:ascii="Verdana" w:hAnsi="Verdana"/>
          <w:sz w:val="18"/>
          <w:szCs w:val="18"/>
          <w:lang w:val="es-ES_tradnl"/>
        </w:rPr>
      </w:pPr>
    </w:p>
  </w:footnote>
  <w:footnote w:id="5">
    <w:p w14:paraId="38D8F697" w14:textId="77777777" w:rsidR="002E3B5F" w:rsidRPr="007F1EE4" w:rsidRDefault="002E3B5F" w:rsidP="002E3B5F">
      <w:pPr>
        <w:pStyle w:val="Textonotapie"/>
        <w:ind w:firstLine="708"/>
        <w:jc w:val="both"/>
        <w:rPr>
          <w:rFonts w:ascii="Verdana" w:hAnsi="Verdana"/>
          <w:sz w:val="18"/>
          <w:szCs w:val="18"/>
        </w:rPr>
      </w:pPr>
      <w:r w:rsidRPr="007F1EE4">
        <w:rPr>
          <w:rStyle w:val="Refdenotaalpie"/>
          <w:rFonts w:ascii="Verdana" w:hAnsi="Verdana"/>
          <w:sz w:val="18"/>
          <w:szCs w:val="18"/>
        </w:rPr>
        <w:footnoteRef/>
      </w:r>
      <w:r w:rsidRPr="007F1EE4">
        <w:rPr>
          <w:rFonts w:ascii="Verdana" w:hAnsi="Verdana"/>
          <w:sz w:val="18"/>
          <w:szCs w:val="18"/>
        </w:rPr>
        <w:t xml:space="preserve"> Anexo 5 – Glosario, de los documentos tipo de licitación de obra pública de infraestructura social, definición 2.80. </w:t>
      </w:r>
    </w:p>
    <w:p w14:paraId="7678E43B" w14:textId="77777777" w:rsidR="002E3B5F" w:rsidRPr="007F1EE4" w:rsidRDefault="002E3B5F" w:rsidP="002E3B5F">
      <w:pPr>
        <w:pStyle w:val="Textonotapie"/>
        <w:ind w:firstLine="708"/>
        <w:jc w:val="both"/>
        <w:rPr>
          <w:rFonts w:ascii="Verdana" w:hAnsi="Verdana"/>
          <w:sz w:val="18"/>
          <w:szCs w:val="18"/>
          <w:lang w:val="es-ES_tradnl"/>
        </w:rPr>
      </w:pPr>
    </w:p>
  </w:footnote>
  <w:footnote w:id="6">
    <w:p w14:paraId="16D8A26C" w14:textId="77777777" w:rsidR="002E3B5F" w:rsidRDefault="002E3B5F" w:rsidP="002E3B5F">
      <w:pPr>
        <w:pStyle w:val="Textonotapie"/>
        <w:ind w:firstLine="708"/>
        <w:jc w:val="both"/>
        <w:rPr>
          <w:rFonts w:ascii="Arial" w:hAnsi="Arial" w:cs="Arial"/>
          <w:b/>
          <w:bCs/>
          <w:color w:val="000000"/>
          <w:sz w:val="21"/>
          <w:szCs w:val="21"/>
        </w:rPr>
      </w:pPr>
      <w:r>
        <w:rPr>
          <w:rStyle w:val="Refdenotaalpie"/>
        </w:rPr>
        <w:footnoteRef/>
      </w:r>
      <w:r>
        <w:t xml:space="preserve"> </w:t>
      </w:r>
      <w:r w:rsidRPr="00906770">
        <w:rPr>
          <w:rFonts w:ascii="Verdana" w:hAnsi="Verdana"/>
          <w:sz w:val="18"/>
          <w:szCs w:val="18"/>
        </w:rPr>
        <w:t>Artículo 1 del Decreto 262 de 2004 “por el cual se modifica la estructura del Departamento Administrativo Nacional de Estadística, DANE, y se dictan otras disposiciones”.</w:t>
      </w:r>
    </w:p>
    <w:p w14:paraId="0FDBCDCC" w14:textId="77777777" w:rsidR="002E3B5F" w:rsidRPr="00F608BE" w:rsidRDefault="002E3B5F" w:rsidP="002E3B5F">
      <w:pPr>
        <w:pStyle w:val="Textonotapie"/>
        <w:ind w:firstLine="70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968D7"/>
    <w:multiLevelType w:val="hybridMultilevel"/>
    <w:tmpl w:val="848EB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827985604">
    <w:abstractNumId w:val="9"/>
  </w:num>
  <w:num w:numId="17" w16cid:durableId="341274352">
    <w:abstractNumId w:val="0"/>
  </w:num>
  <w:num w:numId="18" w16cid:durableId="565069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B43"/>
    <w:rsid w:val="00046945"/>
    <w:rsid w:val="00061B2A"/>
    <w:rsid w:val="00082362"/>
    <w:rsid w:val="000A683E"/>
    <w:rsid w:val="000A7703"/>
    <w:rsid w:val="000B19B9"/>
    <w:rsid w:val="000B4DF9"/>
    <w:rsid w:val="000C152E"/>
    <w:rsid w:val="000D0334"/>
    <w:rsid w:val="000D5DA7"/>
    <w:rsid w:val="000F6486"/>
    <w:rsid w:val="00116940"/>
    <w:rsid w:val="00125105"/>
    <w:rsid w:val="00127233"/>
    <w:rsid w:val="0015699B"/>
    <w:rsid w:val="001643AC"/>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3B5F"/>
    <w:rsid w:val="002E4FD9"/>
    <w:rsid w:val="0030657A"/>
    <w:rsid w:val="00322A85"/>
    <w:rsid w:val="00324168"/>
    <w:rsid w:val="00330834"/>
    <w:rsid w:val="003448F4"/>
    <w:rsid w:val="00353FBA"/>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6408C"/>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4A85"/>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32792"/>
    <w:rsid w:val="00B44A47"/>
    <w:rsid w:val="00B72CD3"/>
    <w:rsid w:val="00B72FFF"/>
    <w:rsid w:val="00BC3D36"/>
    <w:rsid w:val="00BD54A6"/>
    <w:rsid w:val="00BD7F72"/>
    <w:rsid w:val="00BE7372"/>
    <w:rsid w:val="00BF7425"/>
    <w:rsid w:val="00C04FB3"/>
    <w:rsid w:val="00C11D8B"/>
    <w:rsid w:val="00C15139"/>
    <w:rsid w:val="00C330EB"/>
    <w:rsid w:val="00C43338"/>
    <w:rsid w:val="00C50D69"/>
    <w:rsid w:val="00C5365C"/>
    <w:rsid w:val="00C754BE"/>
    <w:rsid w:val="00C76B1C"/>
    <w:rsid w:val="00C76CF0"/>
    <w:rsid w:val="00C925AC"/>
    <w:rsid w:val="00CB6357"/>
    <w:rsid w:val="00CC1B26"/>
    <w:rsid w:val="00D24083"/>
    <w:rsid w:val="00D361FD"/>
    <w:rsid w:val="00D423A2"/>
    <w:rsid w:val="00D44E26"/>
    <w:rsid w:val="00D520D8"/>
    <w:rsid w:val="00D63AC2"/>
    <w:rsid w:val="00D7383B"/>
    <w:rsid w:val="00D7788A"/>
    <w:rsid w:val="00DA231B"/>
    <w:rsid w:val="00DC39FC"/>
    <w:rsid w:val="00DF5254"/>
    <w:rsid w:val="00E02524"/>
    <w:rsid w:val="00E12BE7"/>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877AD"/>
    <w:rsid w:val="00FA47C0"/>
    <w:rsid w:val="00FB225E"/>
    <w:rsid w:val="00FB5DD1"/>
    <w:rsid w:val="00FC2B5D"/>
    <w:rsid w:val="00FF1449"/>
    <w:rsid w:val="00FF7963"/>
    <w:rsid w:val="071B8F93"/>
    <w:rsid w:val="07C73DD1"/>
    <w:rsid w:val="09908A09"/>
    <w:rsid w:val="0ACB59A3"/>
    <w:rsid w:val="0BA03EA9"/>
    <w:rsid w:val="0E0AF0F4"/>
    <w:rsid w:val="0EFE6349"/>
    <w:rsid w:val="0FF4CCA8"/>
    <w:rsid w:val="10193AA0"/>
    <w:rsid w:val="11A5C444"/>
    <w:rsid w:val="11F6C9BE"/>
    <w:rsid w:val="13764576"/>
    <w:rsid w:val="13CFC91B"/>
    <w:rsid w:val="16F7C3D4"/>
    <w:rsid w:val="177DAD0D"/>
    <w:rsid w:val="19A2EC2C"/>
    <w:rsid w:val="1AFF0426"/>
    <w:rsid w:val="21529063"/>
    <w:rsid w:val="21779BE6"/>
    <w:rsid w:val="22515E0C"/>
    <w:rsid w:val="22B91BAC"/>
    <w:rsid w:val="2859CA1B"/>
    <w:rsid w:val="28B0F5D4"/>
    <w:rsid w:val="29369F87"/>
    <w:rsid w:val="2B67A319"/>
    <w:rsid w:val="2C4D2425"/>
    <w:rsid w:val="2CAF08CD"/>
    <w:rsid w:val="2EE1E026"/>
    <w:rsid w:val="2F44F38F"/>
    <w:rsid w:val="30821638"/>
    <w:rsid w:val="32A4F9CF"/>
    <w:rsid w:val="33A1FF93"/>
    <w:rsid w:val="356CEDFD"/>
    <w:rsid w:val="397FBA6F"/>
    <w:rsid w:val="3B2DE5F4"/>
    <w:rsid w:val="3C591AFD"/>
    <w:rsid w:val="4152E2BA"/>
    <w:rsid w:val="42183F0A"/>
    <w:rsid w:val="47B51E2C"/>
    <w:rsid w:val="49538241"/>
    <w:rsid w:val="4E4D6022"/>
    <w:rsid w:val="5247E696"/>
    <w:rsid w:val="52AAC3BF"/>
    <w:rsid w:val="52FD8DF1"/>
    <w:rsid w:val="545B112A"/>
    <w:rsid w:val="57B7FE97"/>
    <w:rsid w:val="58322485"/>
    <w:rsid w:val="59E364E3"/>
    <w:rsid w:val="5B4D7089"/>
    <w:rsid w:val="5B763F5D"/>
    <w:rsid w:val="5BEB1497"/>
    <w:rsid w:val="62F92851"/>
    <w:rsid w:val="64B3CFC8"/>
    <w:rsid w:val="66820519"/>
    <w:rsid w:val="68BE234B"/>
    <w:rsid w:val="69614A15"/>
    <w:rsid w:val="6D4103A5"/>
    <w:rsid w:val="703FFB1C"/>
    <w:rsid w:val="72AC01BA"/>
    <w:rsid w:val="73A28A68"/>
    <w:rsid w:val="74BA017B"/>
    <w:rsid w:val="74D3DEEB"/>
    <w:rsid w:val="7677286E"/>
    <w:rsid w:val="78EC3FAB"/>
    <w:rsid w:val="79A64A20"/>
    <w:rsid w:val="7B4C7B0D"/>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2E3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2E3B5F"/>
    <w:pPr>
      <w:spacing w:after="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roheness@dane.gov.c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AD0364E-5941-406F-8A34-33C208103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33</Pages>
  <Words>12073</Words>
  <Characters>66405</Characters>
  <Application>Microsoft Office Word</Application>
  <DocSecurity>0</DocSecurity>
  <Lines>553</Lines>
  <Paragraphs>156</Paragraphs>
  <ScaleCrop>false</ScaleCrop>
  <Company/>
  <LinksUpToDate>false</LinksUpToDate>
  <CharactersWithSpaces>78322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2026-08-05T15:16:00Z</dcterms:created>
  <dcterms:modified xsi:type="dcterms:W3CDTF">2026-08-05T18:50:00Z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