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12190" w14:textId="77777777" w:rsidR="00113508" w:rsidRPr="00E529C8" w:rsidRDefault="00113508" w:rsidP="00113508">
      <w:pPr>
        <w:shd w:val="clear" w:color="auto" w:fill="FFFFFF"/>
        <w:spacing w:after="0" w:line="240" w:lineRule="auto"/>
        <w:contextualSpacing/>
        <w:jc w:val="both"/>
        <w:rPr>
          <w:rFonts w:ascii="Verdana" w:eastAsia="Calibri" w:hAnsi="Verdana" w:cs="Arial"/>
          <w:b/>
          <w:kern w:val="2"/>
          <w:lang w:val="es-MX" w:eastAsia="es-ES_tradnl"/>
          <w14:ligatures w14:val="standardContextual"/>
        </w:rPr>
      </w:pPr>
      <w:bookmarkStart w:id="0" w:name="_Hlk143780582"/>
      <w:r w:rsidRPr="00E529C8">
        <w:rPr>
          <w:rFonts w:ascii="Verdana" w:eastAsia="Calibri" w:hAnsi="Verdana" w:cs="Arial"/>
          <w:b/>
          <w:kern w:val="2"/>
          <w:lang w:val="es-MX" w:eastAsia="es-ES_tradnl"/>
          <w14:ligatures w14:val="standardContextual"/>
        </w:rPr>
        <w:t xml:space="preserve">LEY 2166 DE 2021 – Organismos de Acción Comunal – Artículo 95 – Convenios solidarios – Contratación directa – Contratos de obra – Menor cuantía </w:t>
      </w:r>
    </w:p>
    <w:p w14:paraId="39417D36" w14:textId="77777777" w:rsidR="00113508" w:rsidRPr="00E529C8" w:rsidRDefault="00113508" w:rsidP="00113508">
      <w:pPr>
        <w:shd w:val="clear" w:color="auto" w:fill="FFFFFF"/>
        <w:spacing w:after="0" w:line="240" w:lineRule="auto"/>
        <w:contextualSpacing/>
        <w:jc w:val="both"/>
        <w:rPr>
          <w:rFonts w:ascii="Verdana" w:eastAsia="Calibri" w:hAnsi="Verdana" w:cs="Arial"/>
          <w:b/>
          <w:kern w:val="2"/>
          <w:lang w:val="es-MX" w:eastAsia="es-ES_tradnl"/>
          <w14:ligatures w14:val="standardContextual"/>
        </w:rPr>
      </w:pPr>
    </w:p>
    <w:p w14:paraId="206D49AD" w14:textId="77777777" w:rsidR="00113508" w:rsidRDefault="00113508" w:rsidP="00113508">
      <w:pPr>
        <w:shd w:val="clear" w:color="auto" w:fill="FFFFFF"/>
        <w:spacing w:after="0" w:line="240" w:lineRule="auto"/>
        <w:contextualSpacing/>
        <w:jc w:val="both"/>
        <w:rPr>
          <w:rFonts w:ascii="Verdana" w:eastAsia="Calibri" w:hAnsi="Verdana" w:cs="Arial"/>
          <w:color w:val="000000"/>
          <w:sz w:val="20"/>
          <w:szCs w:val="20"/>
          <w:lang w:val="es-ES_tradnl"/>
        </w:rPr>
      </w:pPr>
      <w:r w:rsidRPr="00430D1A">
        <w:rPr>
          <w:rFonts w:ascii="Verdana" w:eastAsia="Aptos" w:hAnsi="Verdana" w:cs="Arial"/>
          <w:bCs/>
          <w:color w:val="000000"/>
          <w:sz w:val="20"/>
          <w:szCs w:val="20"/>
          <w:lang w:eastAsia="es-MX"/>
        </w:rPr>
        <w:t xml:space="preserve">Según se evidencia, esta norma desarrolla las siguientes reglas: i) Las </w:t>
      </w:r>
      <w:r w:rsidRPr="00430D1A">
        <w:rPr>
          <w:rFonts w:ascii="Verdana" w:eastAsia="Calibri" w:hAnsi="Verdana" w:cs="Arial"/>
          <w:color w:val="000000"/>
          <w:sz w:val="20"/>
          <w:szCs w:val="20"/>
          <w:lang w:val="es-ES_tradnl"/>
        </w:rPr>
        <w:t>“</w:t>
      </w:r>
      <w:r w:rsidRPr="00430D1A">
        <w:rPr>
          <w:rFonts w:ascii="Verdana" w:eastAsia="Aptos" w:hAnsi="Verdana" w:cs="Arial"/>
          <w:bCs/>
          <w:color w:val="000000"/>
          <w:sz w:val="20"/>
          <w:szCs w:val="20"/>
          <w:lang w:eastAsia="es-MX"/>
        </w:rPr>
        <w:t>entidades del</w:t>
      </w:r>
      <w:r w:rsidRPr="00430D1A">
        <w:rPr>
          <w:rFonts w:ascii="Verdana" w:eastAsia="Calibri" w:hAnsi="Verdana" w:cs="Arial"/>
          <w:color w:val="000000"/>
          <w:sz w:val="20"/>
          <w:szCs w:val="20"/>
          <w:lang w:val="es-ES_tradnl"/>
        </w:rPr>
        <w:t xml:space="preserve"> </w:t>
      </w:r>
      <w:r w:rsidRPr="00430D1A">
        <w:rPr>
          <w:rFonts w:ascii="Verdana" w:eastAsia="Aptos" w:hAnsi="Verdana" w:cs="Arial"/>
          <w:color w:val="000000"/>
          <w:sz w:val="20"/>
          <w:szCs w:val="20"/>
        </w:rPr>
        <w:t>orden Nacional, Departamental, Distrital y municipal</w:t>
      </w:r>
      <w:r w:rsidRPr="00430D1A">
        <w:rPr>
          <w:rFonts w:ascii="Verdana" w:eastAsia="Calibri" w:hAnsi="Verdana" w:cs="Arial"/>
          <w:color w:val="000000"/>
          <w:sz w:val="20"/>
          <w:szCs w:val="20"/>
          <w:lang w:val="es-ES_tradnl"/>
        </w:rPr>
        <w:t xml:space="preserve">” y los organismos de acción comunal podrán celebrar directamente convenios solidarios, es decir, la modalidad de contratación establecida para este caso es la contratación directa. Para el efecto, debe tenerse en cuenta la clasificación que realiza el artículo 7 de la Ley 2166 de 2021 de los organismos de acción comunal, de manera que la celebración de estos convenios puede realizarse con cualquiera de los organismos de acción comunal allí contemplados, pues la norma se refiere de forma general a los </w:t>
      </w:r>
      <w:r w:rsidRPr="00430D1A">
        <w:rPr>
          <w:rFonts w:ascii="Verdana" w:eastAsia="Calibri" w:hAnsi="Verdana" w:cs="Arial"/>
          <w:i/>
          <w:iCs/>
          <w:color w:val="000000"/>
          <w:sz w:val="20"/>
          <w:szCs w:val="20"/>
          <w:lang w:val="es-ES_tradnl"/>
        </w:rPr>
        <w:t>organismos de acción comunal</w:t>
      </w:r>
      <w:r w:rsidRPr="00430D1A">
        <w:rPr>
          <w:rFonts w:ascii="Verdana" w:eastAsia="Calibri" w:hAnsi="Verdana" w:cs="Arial"/>
          <w:color w:val="000000"/>
          <w:sz w:val="20"/>
          <w:szCs w:val="20"/>
          <w:lang w:val="es-ES_tradnl"/>
        </w:rPr>
        <w:t xml:space="preserve">.  </w:t>
      </w:r>
    </w:p>
    <w:p w14:paraId="7A55DF49" w14:textId="77777777" w:rsidR="00537508" w:rsidRDefault="00537508" w:rsidP="00113508">
      <w:pPr>
        <w:shd w:val="clear" w:color="auto" w:fill="FFFFFF"/>
        <w:spacing w:after="0" w:line="240" w:lineRule="auto"/>
        <w:contextualSpacing/>
        <w:jc w:val="both"/>
        <w:rPr>
          <w:rFonts w:ascii="Verdana" w:eastAsia="Calibri" w:hAnsi="Verdana" w:cs="Arial"/>
          <w:color w:val="000000"/>
          <w:sz w:val="20"/>
          <w:szCs w:val="20"/>
          <w:lang w:val="es-ES_tradnl"/>
        </w:rPr>
      </w:pPr>
    </w:p>
    <w:p w14:paraId="7A5D32EB" w14:textId="75B3584F" w:rsidR="00537508" w:rsidRDefault="00537508" w:rsidP="00537508">
      <w:pPr>
        <w:shd w:val="clear" w:color="auto" w:fill="FFFFFF"/>
        <w:spacing w:after="0" w:line="240" w:lineRule="auto"/>
        <w:contextualSpacing/>
        <w:jc w:val="both"/>
        <w:rPr>
          <w:rFonts w:ascii="Verdana" w:eastAsia="Calibri" w:hAnsi="Verdana" w:cs="Arial"/>
          <w:b/>
          <w:kern w:val="2"/>
          <w:lang w:val="es-MX" w:eastAsia="es-ES_tradnl"/>
          <w14:ligatures w14:val="standardContextual"/>
        </w:rPr>
      </w:pPr>
      <w:r>
        <w:rPr>
          <w:rFonts w:ascii="Verdana" w:eastAsia="Calibri" w:hAnsi="Verdana" w:cs="Arial"/>
          <w:b/>
          <w:kern w:val="2"/>
          <w:lang w:val="es-MX" w:eastAsia="es-ES_tradnl"/>
          <w14:ligatures w14:val="standardContextual"/>
        </w:rPr>
        <w:t>CONVENIOS SOLIDARIOS</w:t>
      </w:r>
      <w:r w:rsidRPr="00E529C8">
        <w:rPr>
          <w:rFonts w:ascii="Verdana" w:eastAsia="Calibri" w:hAnsi="Verdana" w:cs="Arial"/>
          <w:b/>
          <w:kern w:val="2"/>
          <w:lang w:val="es-MX" w:eastAsia="es-ES_tradnl"/>
          <w14:ligatures w14:val="standardContextual"/>
        </w:rPr>
        <w:t xml:space="preserve"> – </w:t>
      </w:r>
      <w:r>
        <w:rPr>
          <w:rFonts w:ascii="Verdana" w:eastAsia="Calibri" w:hAnsi="Verdana" w:cs="Arial"/>
          <w:b/>
          <w:kern w:val="2"/>
          <w:lang w:val="es-MX" w:eastAsia="es-ES_tradnl"/>
          <w14:ligatures w14:val="standardContextual"/>
        </w:rPr>
        <w:t>Aportes en especie</w:t>
      </w:r>
      <w:r w:rsidRPr="00E529C8">
        <w:rPr>
          <w:rFonts w:ascii="Verdana" w:eastAsia="Calibri" w:hAnsi="Verdana" w:cs="Arial"/>
          <w:b/>
          <w:kern w:val="2"/>
          <w:lang w:val="es-MX" w:eastAsia="es-ES_tradnl"/>
          <w14:ligatures w14:val="standardContextual"/>
        </w:rPr>
        <w:t xml:space="preserve"> – </w:t>
      </w:r>
      <w:r>
        <w:rPr>
          <w:rFonts w:ascii="Verdana" w:eastAsia="Calibri" w:hAnsi="Verdana" w:cs="Arial"/>
          <w:b/>
          <w:kern w:val="2"/>
          <w:lang w:val="es-MX" w:eastAsia="es-ES_tradnl"/>
          <w14:ligatures w14:val="standardContextual"/>
        </w:rPr>
        <w:t xml:space="preserve">Menor cuantía </w:t>
      </w:r>
      <w:r w:rsidRPr="00E529C8">
        <w:rPr>
          <w:rFonts w:ascii="Verdana" w:eastAsia="Calibri" w:hAnsi="Verdana" w:cs="Arial"/>
          <w:b/>
          <w:kern w:val="2"/>
          <w:lang w:val="es-MX" w:eastAsia="es-ES_tradnl"/>
          <w14:ligatures w14:val="standardContextual"/>
        </w:rPr>
        <w:t>–</w:t>
      </w:r>
      <w:r>
        <w:rPr>
          <w:rFonts w:ascii="Verdana" w:eastAsia="Calibri" w:hAnsi="Verdana" w:cs="Arial"/>
          <w:b/>
          <w:kern w:val="2"/>
          <w:lang w:val="es-MX" w:eastAsia="es-ES_tradnl"/>
          <w14:ligatures w14:val="standardContextual"/>
        </w:rPr>
        <w:t xml:space="preserve"> Determinación</w:t>
      </w:r>
    </w:p>
    <w:p w14:paraId="19C4A811" w14:textId="77777777" w:rsidR="00537508" w:rsidRDefault="00537508" w:rsidP="00537508">
      <w:pPr>
        <w:shd w:val="clear" w:color="auto" w:fill="FFFFFF"/>
        <w:spacing w:after="0" w:line="240" w:lineRule="auto"/>
        <w:contextualSpacing/>
        <w:jc w:val="both"/>
        <w:rPr>
          <w:rFonts w:ascii="Verdana" w:eastAsia="Calibri" w:hAnsi="Verdana" w:cs="Arial"/>
          <w:b/>
          <w:kern w:val="2"/>
          <w:lang w:val="es-MX" w:eastAsia="es-ES_tradnl"/>
          <w14:ligatures w14:val="standardContextual"/>
        </w:rPr>
      </w:pPr>
    </w:p>
    <w:p w14:paraId="1D14F063" w14:textId="77777777" w:rsidR="00537508" w:rsidRPr="00537508" w:rsidRDefault="00537508" w:rsidP="00537508">
      <w:pPr>
        <w:shd w:val="clear" w:color="auto" w:fill="FFFFFF"/>
        <w:spacing w:after="0" w:line="240" w:lineRule="auto"/>
        <w:contextualSpacing/>
        <w:jc w:val="both"/>
        <w:rPr>
          <w:rFonts w:ascii="Verdana" w:eastAsia="Calibri" w:hAnsi="Verdana" w:cs="Arial"/>
          <w:color w:val="000000"/>
          <w:sz w:val="20"/>
          <w:szCs w:val="20"/>
          <w:lang w:val="es-ES_tradnl"/>
        </w:rPr>
      </w:pPr>
      <w:r w:rsidRPr="00537508">
        <w:rPr>
          <w:rFonts w:ascii="Verdana" w:eastAsia="Calibri" w:hAnsi="Verdana" w:cs="Arial"/>
          <w:color w:val="000000"/>
          <w:sz w:val="20"/>
          <w:szCs w:val="20"/>
          <w:lang w:val="es-ES_tradnl"/>
        </w:rPr>
        <w:t>El Documento tipo para la contratación directa de convenios solidarios para la ejecución de obras hasta la menor cuantía con organismos de acción comunal, en la cláusula 5 sobre valor del convenio de la “Minuta tipo convenio solidario para la ejecución de obras”, dispone la posibilidad de aportes en dinero o en especie siempre que se estime el valor de los aportes en especie, en letras y en números, y su equivalencia en salarios mínimos. Esto aplica para ambas partes del convenio, esto es la Entidad Estatal y el OAC.</w:t>
      </w:r>
    </w:p>
    <w:p w14:paraId="4756CD39" w14:textId="77777777" w:rsidR="00537508" w:rsidRDefault="00537508" w:rsidP="00537508">
      <w:pPr>
        <w:shd w:val="clear" w:color="auto" w:fill="FFFFFF"/>
        <w:spacing w:after="0" w:line="240" w:lineRule="auto"/>
        <w:contextualSpacing/>
        <w:jc w:val="both"/>
        <w:rPr>
          <w:rFonts w:ascii="Verdana" w:eastAsia="Calibri" w:hAnsi="Verdana" w:cs="Arial"/>
          <w:color w:val="000000"/>
          <w:sz w:val="20"/>
          <w:szCs w:val="20"/>
          <w:lang w:val="es-ES_tradnl"/>
        </w:rPr>
      </w:pPr>
      <w:r w:rsidRPr="00537508">
        <w:rPr>
          <w:rFonts w:ascii="Verdana" w:eastAsia="Calibri" w:hAnsi="Verdana" w:cs="Arial"/>
          <w:color w:val="000000"/>
          <w:sz w:val="20"/>
          <w:szCs w:val="20"/>
          <w:lang w:val="es-ES_tradnl"/>
        </w:rPr>
        <w:t>Respecto al cálculo de la menor cuantía, la Guía para la celebración de convenios solidarios de esta Agencia señala que:</w:t>
      </w:r>
    </w:p>
    <w:p w14:paraId="1A224695" w14:textId="77777777" w:rsidR="00537508" w:rsidRPr="00537508" w:rsidRDefault="00537508" w:rsidP="00537508">
      <w:pPr>
        <w:shd w:val="clear" w:color="auto" w:fill="FFFFFF"/>
        <w:spacing w:after="0" w:line="240" w:lineRule="auto"/>
        <w:contextualSpacing/>
        <w:jc w:val="both"/>
        <w:rPr>
          <w:rFonts w:ascii="Verdana" w:eastAsia="Calibri" w:hAnsi="Verdana" w:cs="Arial"/>
          <w:color w:val="000000"/>
          <w:sz w:val="20"/>
          <w:szCs w:val="20"/>
          <w:lang w:val="es-ES_tradnl"/>
        </w:rPr>
      </w:pPr>
    </w:p>
    <w:p w14:paraId="680BD394" w14:textId="7A28F873" w:rsidR="00537508" w:rsidRPr="00537508" w:rsidRDefault="00537508" w:rsidP="00537508">
      <w:pPr>
        <w:shd w:val="clear" w:color="auto" w:fill="FFFFFF"/>
        <w:spacing w:after="0" w:line="240" w:lineRule="auto"/>
        <w:contextualSpacing/>
        <w:jc w:val="both"/>
        <w:rPr>
          <w:rFonts w:ascii="Verdana" w:eastAsia="Calibri" w:hAnsi="Verdana" w:cs="Arial"/>
          <w:color w:val="000000"/>
          <w:sz w:val="20"/>
          <w:szCs w:val="20"/>
          <w:lang w:val="es-ES_tradnl"/>
        </w:rPr>
      </w:pPr>
      <w:r w:rsidRPr="00537508">
        <w:rPr>
          <w:rFonts w:ascii="Verdana" w:eastAsia="Calibri" w:hAnsi="Verdana" w:cs="Arial"/>
          <w:color w:val="000000"/>
          <w:sz w:val="20"/>
          <w:szCs w:val="20"/>
          <w:lang w:val="es-ES_tradnl"/>
        </w:rPr>
        <w:t>“(…) Para determinar el tope de la menor cuantía de la Entidad Estatal se atenderá lo previsto en el literal b) del artículo 2 de la Ley 1150 de 2007. De igual forma, en el valor total del convenio, la entidad podrá incluir los costos directos, los costos administrativos y el subsidio al dignatario representante legal para transportes de que trata el literal c) del artículo 38 de la Ley 2166 de 2022. Estos costos deberán incluirse en el ejercicio de planeación que realice la entidad y estar debidamente justificados (…)”.</w:t>
      </w:r>
    </w:p>
    <w:p w14:paraId="28C0C6BC" w14:textId="77777777" w:rsidR="00537508" w:rsidRPr="00537508" w:rsidRDefault="00537508" w:rsidP="00537508">
      <w:pPr>
        <w:shd w:val="clear" w:color="auto" w:fill="FFFFFF"/>
        <w:spacing w:after="0" w:line="240" w:lineRule="auto"/>
        <w:contextualSpacing/>
        <w:jc w:val="both"/>
        <w:rPr>
          <w:rFonts w:ascii="Verdana" w:eastAsia="Calibri" w:hAnsi="Verdana" w:cs="Arial"/>
          <w:color w:val="000000"/>
          <w:sz w:val="20"/>
          <w:szCs w:val="20"/>
          <w:lang w:val="es-ES_tradnl"/>
        </w:rPr>
      </w:pPr>
    </w:p>
    <w:p w14:paraId="0694D857" w14:textId="77777777" w:rsidR="00537508" w:rsidRDefault="00537508" w:rsidP="00537508">
      <w:pPr>
        <w:shd w:val="clear" w:color="auto" w:fill="FFFFFF"/>
        <w:spacing w:after="0" w:line="240" w:lineRule="auto"/>
        <w:contextualSpacing/>
        <w:jc w:val="both"/>
        <w:rPr>
          <w:rFonts w:ascii="Verdana" w:eastAsia="Calibri" w:hAnsi="Verdana" w:cs="Arial"/>
          <w:color w:val="000000"/>
          <w:sz w:val="20"/>
          <w:szCs w:val="20"/>
          <w:lang w:val="es-ES_tradnl"/>
        </w:rPr>
      </w:pPr>
      <w:r w:rsidRPr="00537508">
        <w:rPr>
          <w:rFonts w:ascii="Verdana" w:eastAsia="Calibri" w:hAnsi="Verdana" w:cs="Arial"/>
          <w:color w:val="000000"/>
          <w:sz w:val="20"/>
          <w:szCs w:val="20"/>
          <w:lang w:val="es-ES_tradnl"/>
        </w:rPr>
        <w:t>Por tanto, es claro que el valor total del convenio será el referente para determinar el tope de la menor cuantía, lo que significa la suma de los aportes en dinero y en especie, y estos últimos al estar valorados, se suman con todos los aportes de todas las partes del convenio.</w:t>
      </w:r>
    </w:p>
    <w:p w14:paraId="266F865B" w14:textId="77777777" w:rsidR="00B847FA" w:rsidRDefault="00B847FA" w:rsidP="00537508">
      <w:pPr>
        <w:shd w:val="clear" w:color="auto" w:fill="FFFFFF"/>
        <w:spacing w:after="0" w:line="240" w:lineRule="auto"/>
        <w:contextualSpacing/>
        <w:jc w:val="both"/>
        <w:rPr>
          <w:rFonts w:ascii="Verdana" w:eastAsia="Calibri" w:hAnsi="Verdana" w:cs="Arial"/>
          <w:color w:val="000000"/>
          <w:sz w:val="20"/>
          <w:szCs w:val="20"/>
          <w:lang w:val="es-ES_tradnl"/>
        </w:rPr>
      </w:pPr>
    </w:p>
    <w:p w14:paraId="0D1858D2" w14:textId="783C0EC7" w:rsidR="00B847FA" w:rsidRDefault="00B847FA" w:rsidP="00B847FA">
      <w:pPr>
        <w:shd w:val="clear" w:color="auto" w:fill="FFFFFF"/>
        <w:spacing w:after="0" w:line="240" w:lineRule="auto"/>
        <w:contextualSpacing/>
        <w:jc w:val="both"/>
        <w:rPr>
          <w:rFonts w:ascii="Verdana" w:eastAsia="Calibri" w:hAnsi="Verdana" w:cs="Arial"/>
          <w:b/>
          <w:kern w:val="2"/>
          <w:lang w:val="es-MX" w:eastAsia="es-ES_tradnl"/>
          <w14:ligatures w14:val="standardContextual"/>
        </w:rPr>
      </w:pPr>
      <w:r>
        <w:rPr>
          <w:rFonts w:ascii="Verdana" w:eastAsia="Calibri" w:hAnsi="Verdana" w:cs="Arial"/>
          <w:b/>
          <w:kern w:val="2"/>
          <w:lang w:val="es-MX" w:eastAsia="es-ES_tradnl"/>
          <w14:ligatures w14:val="standardContextual"/>
        </w:rPr>
        <w:t>CONVENIOS SOLIDARIOS</w:t>
      </w:r>
      <w:r w:rsidRPr="00E529C8">
        <w:rPr>
          <w:rFonts w:ascii="Verdana" w:eastAsia="Calibri" w:hAnsi="Verdana" w:cs="Arial"/>
          <w:b/>
          <w:kern w:val="2"/>
          <w:lang w:val="es-MX" w:eastAsia="es-ES_tradnl"/>
          <w14:ligatures w14:val="standardContextual"/>
        </w:rPr>
        <w:t xml:space="preserve"> – </w:t>
      </w:r>
      <w:r>
        <w:rPr>
          <w:rFonts w:ascii="Verdana" w:eastAsia="Calibri" w:hAnsi="Verdana" w:cs="Arial"/>
          <w:b/>
          <w:kern w:val="2"/>
          <w:lang w:val="es-MX" w:eastAsia="es-ES_tradnl"/>
          <w14:ligatures w14:val="standardContextual"/>
        </w:rPr>
        <w:t>Habitantes de la comunidad</w:t>
      </w:r>
      <w:r w:rsidRPr="00E529C8">
        <w:rPr>
          <w:rFonts w:ascii="Verdana" w:eastAsia="Calibri" w:hAnsi="Verdana" w:cs="Arial"/>
          <w:b/>
          <w:kern w:val="2"/>
          <w:lang w:val="es-MX" w:eastAsia="es-ES_tradnl"/>
          <w14:ligatures w14:val="standardContextual"/>
        </w:rPr>
        <w:t xml:space="preserve"> – </w:t>
      </w:r>
      <w:r>
        <w:rPr>
          <w:rFonts w:ascii="Verdana" w:eastAsia="Calibri" w:hAnsi="Verdana" w:cs="Arial"/>
          <w:b/>
          <w:kern w:val="2"/>
          <w:lang w:val="es-MX" w:eastAsia="es-ES_tradnl"/>
          <w14:ligatures w14:val="standardContextual"/>
        </w:rPr>
        <w:t>Vinculación</w:t>
      </w:r>
    </w:p>
    <w:p w14:paraId="5B36BEF5" w14:textId="77777777" w:rsidR="00B847FA" w:rsidRPr="00B847FA" w:rsidRDefault="00B847FA" w:rsidP="00537508">
      <w:pPr>
        <w:shd w:val="clear" w:color="auto" w:fill="FFFFFF"/>
        <w:spacing w:after="0" w:line="240" w:lineRule="auto"/>
        <w:contextualSpacing/>
        <w:jc w:val="both"/>
        <w:rPr>
          <w:rFonts w:ascii="Verdana" w:eastAsia="Calibri" w:hAnsi="Verdana" w:cs="Arial"/>
          <w:color w:val="000000"/>
          <w:sz w:val="20"/>
          <w:szCs w:val="20"/>
          <w:lang w:val="es-MX"/>
        </w:rPr>
      </w:pPr>
    </w:p>
    <w:p w14:paraId="3D4B5AE0" w14:textId="77777777" w:rsidR="00B847FA" w:rsidRPr="00B847FA" w:rsidRDefault="00B847FA" w:rsidP="00B847FA">
      <w:pPr>
        <w:shd w:val="clear" w:color="auto" w:fill="FFFFFF"/>
        <w:spacing w:after="0" w:line="240" w:lineRule="auto"/>
        <w:contextualSpacing/>
        <w:jc w:val="both"/>
        <w:rPr>
          <w:rFonts w:ascii="Verdana" w:eastAsia="Calibri" w:hAnsi="Verdana" w:cs="Arial"/>
          <w:color w:val="000000"/>
          <w:sz w:val="20"/>
          <w:szCs w:val="20"/>
          <w:lang w:val="es-ES_tradnl"/>
        </w:rPr>
      </w:pPr>
      <w:r w:rsidRPr="00B847FA">
        <w:rPr>
          <w:rFonts w:ascii="Verdana" w:eastAsia="Calibri" w:hAnsi="Verdana" w:cs="Arial"/>
          <w:color w:val="000000"/>
          <w:sz w:val="20"/>
          <w:szCs w:val="20"/>
          <w:lang w:val="es-ES_tradnl"/>
        </w:rPr>
        <w:t>De acuerdo con la Guía para la celebración de convenios solidarios de esta Agencia, la vinculación de los habitantes de la comunidad es un aspecto que debe ser definido en los Documentos del Proceso, por lo que las partes en su autonomía contractual deben determinar la forma de vinculación y si se debe o no realizar un contrato adicional:</w:t>
      </w:r>
    </w:p>
    <w:p w14:paraId="0EEA095D" w14:textId="77777777" w:rsidR="00B847FA" w:rsidRPr="00B847FA" w:rsidRDefault="00B847FA" w:rsidP="00B847FA">
      <w:pPr>
        <w:shd w:val="clear" w:color="auto" w:fill="FFFFFF"/>
        <w:spacing w:after="0" w:line="240" w:lineRule="auto"/>
        <w:contextualSpacing/>
        <w:jc w:val="both"/>
        <w:rPr>
          <w:rFonts w:ascii="Verdana" w:eastAsia="Calibri" w:hAnsi="Verdana" w:cs="Arial"/>
          <w:color w:val="000000"/>
          <w:sz w:val="20"/>
          <w:szCs w:val="20"/>
          <w:lang w:val="es-ES_tradnl"/>
        </w:rPr>
      </w:pPr>
    </w:p>
    <w:p w14:paraId="219070FD" w14:textId="62FF5CE7" w:rsidR="00B847FA" w:rsidRPr="00537508" w:rsidRDefault="00B847FA" w:rsidP="00537508">
      <w:pPr>
        <w:shd w:val="clear" w:color="auto" w:fill="FFFFFF"/>
        <w:spacing w:after="0" w:line="240" w:lineRule="auto"/>
        <w:contextualSpacing/>
        <w:jc w:val="both"/>
        <w:rPr>
          <w:rFonts w:ascii="Verdana" w:eastAsia="Calibri" w:hAnsi="Verdana" w:cs="Arial"/>
          <w:color w:val="000000"/>
          <w:sz w:val="20"/>
          <w:szCs w:val="20"/>
          <w:lang w:val="es-ES_tradnl"/>
        </w:rPr>
      </w:pPr>
      <w:r w:rsidRPr="00B847FA">
        <w:rPr>
          <w:rFonts w:ascii="Verdana" w:eastAsia="Calibri" w:hAnsi="Verdana" w:cs="Arial"/>
          <w:color w:val="000000"/>
          <w:sz w:val="20"/>
          <w:szCs w:val="20"/>
          <w:lang w:val="es-ES_tradnl"/>
        </w:rPr>
        <w:t xml:space="preserve">“(…) En todo caso, el alcance y la forma de participación de los habitantes de la comunidad en la ejecución de las obras es algo que debe ser delimitado antes de suscribir el convenio, ya que tal participación es un presupuesto de estos convenios, de acuerdo </w:t>
      </w:r>
      <w:r w:rsidRPr="00B847FA">
        <w:rPr>
          <w:rFonts w:ascii="Verdana" w:eastAsia="Calibri" w:hAnsi="Verdana" w:cs="Arial"/>
          <w:color w:val="000000"/>
          <w:sz w:val="20"/>
          <w:szCs w:val="20"/>
          <w:lang w:val="es-ES_tradnl"/>
        </w:rPr>
        <w:lastRenderedPageBreak/>
        <w:t>con el artículo 95 de la Ley 2166 de 2021. En atención a esto se recomienda establecer de manera expresa este aspecto dentro de los Documentos del Proceso (…)”.</w:t>
      </w:r>
    </w:p>
    <w:p w14:paraId="7AC3B1EF" w14:textId="77777777" w:rsidR="00537508" w:rsidRPr="00537508" w:rsidRDefault="00537508" w:rsidP="00537508">
      <w:pPr>
        <w:shd w:val="clear" w:color="auto" w:fill="FFFFFF"/>
        <w:spacing w:after="0" w:line="240" w:lineRule="auto"/>
        <w:contextualSpacing/>
        <w:jc w:val="both"/>
        <w:rPr>
          <w:rFonts w:ascii="Verdana" w:eastAsia="Calibri" w:hAnsi="Verdana" w:cs="Arial"/>
          <w:b/>
          <w:kern w:val="2"/>
          <w:lang w:val="es-ES" w:eastAsia="es-ES_tradnl"/>
          <w14:ligatures w14:val="standardContextual"/>
        </w:rPr>
      </w:pPr>
    </w:p>
    <w:p w14:paraId="50274C3A" w14:textId="77777777" w:rsidR="00113508" w:rsidRPr="00E529C8" w:rsidRDefault="00113508" w:rsidP="00113508">
      <w:pPr>
        <w:shd w:val="clear" w:color="auto" w:fill="FFFFFF"/>
        <w:spacing w:after="0" w:line="240" w:lineRule="auto"/>
        <w:contextualSpacing/>
        <w:jc w:val="both"/>
        <w:rPr>
          <w:rFonts w:ascii="Verdana" w:eastAsia="Calibri" w:hAnsi="Verdana" w:cs="Arial"/>
          <w:b/>
          <w:kern w:val="2"/>
          <w:lang w:val="es-MX" w:eastAsia="es-ES_tradnl"/>
          <w14:ligatures w14:val="standardContextual"/>
        </w:rPr>
      </w:pPr>
      <w:r w:rsidRPr="00E529C8">
        <w:rPr>
          <w:rFonts w:ascii="Verdana" w:eastAsia="Calibri" w:hAnsi="Verdana" w:cs="Arial"/>
          <w:b/>
          <w:kern w:val="2"/>
          <w:lang w:val="es-MX" w:eastAsia="es-ES_tradnl"/>
          <w14:ligatures w14:val="standardContextual"/>
        </w:rPr>
        <w:t>DECRETO 1082 DE 2015 – Artículo 2.2.15.1.2 – Decreto 142 de 2023 – Artículo 15 – Suspensión provisional – Consejo de Estado</w:t>
      </w:r>
    </w:p>
    <w:p w14:paraId="0EA43A78" w14:textId="77777777" w:rsidR="00113508" w:rsidRPr="00430D1A" w:rsidRDefault="00113508" w:rsidP="00113508">
      <w:pPr>
        <w:spacing w:after="0" w:line="240" w:lineRule="auto"/>
        <w:rPr>
          <w:rFonts w:ascii="Verdana" w:eastAsia="Calibri" w:hAnsi="Verdana" w:cs="Arial"/>
          <w:b/>
          <w:kern w:val="2"/>
          <w:lang w:val="es-MX" w:eastAsia="es-ES_tradnl"/>
          <w14:ligatures w14:val="standardContextual"/>
        </w:rPr>
      </w:pPr>
    </w:p>
    <w:p w14:paraId="4D63C890" w14:textId="77777777" w:rsidR="00113508" w:rsidRPr="00430D1A" w:rsidRDefault="00113508" w:rsidP="00113508">
      <w:pPr>
        <w:shd w:val="clear" w:color="auto" w:fill="FFFFFF"/>
        <w:spacing w:after="0" w:line="240" w:lineRule="auto"/>
        <w:contextualSpacing/>
        <w:jc w:val="both"/>
        <w:rPr>
          <w:rFonts w:ascii="Verdana" w:eastAsia="Calibri" w:hAnsi="Verdana" w:cs="Arial"/>
          <w:color w:val="000000"/>
          <w:sz w:val="20"/>
          <w:szCs w:val="20"/>
          <w:lang w:val="es-ES_tradnl"/>
        </w:rPr>
      </w:pPr>
      <w:r w:rsidRPr="00430D1A">
        <w:rPr>
          <w:rFonts w:ascii="Verdana" w:eastAsia="Calibri" w:hAnsi="Verdana" w:cs="Arial"/>
          <w:color w:val="000000"/>
          <w:sz w:val="20"/>
          <w:szCs w:val="20"/>
          <w:lang w:val="es-ES"/>
        </w:rPr>
        <w:t xml:space="preserve">Finalmente, debe advertirse que, recientemente, el Consejo de Estado, Sección Tercera, C.P. Alberto Montaña Plata, mediante auto del 28 de mayo de 2024, rad. No. 11001-03-26-0002023-00071 (69.860), decretó la medida cautelar de suspensión provisional del artículo 2.2.15.1.2 del Decreto 1082 de 2015, adicionado y modificado por el artículo 15 del Decreto 142 de 2023. Dicha norma establece </w:t>
      </w:r>
      <w:proofErr w:type="gramStart"/>
      <w:r w:rsidRPr="00430D1A">
        <w:rPr>
          <w:rFonts w:ascii="Verdana" w:eastAsia="Calibri" w:hAnsi="Verdana" w:cs="Arial"/>
          <w:color w:val="000000"/>
          <w:sz w:val="20"/>
          <w:szCs w:val="20"/>
          <w:lang w:val="es-ES"/>
        </w:rPr>
        <w:t xml:space="preserve">que </w:t>
      </w:r>
      <w:r w:rsidRPr="00430D1A">
        <w:rPr>
          <w:rFonts w:ascii="Verdana" w:eastAsia="Calibri" w:hAnsi="Verdana" w:cs="Arial"/>
          <w:i/>
          <w:iCs/>
          <w:color w:val="000000"/>
          <w:sz w:val="20"/>
          <w:szCs w:val="20"/>
          <w:lang w:val="es-ES"/>
        </w:rPr>
        <w:t>”De</w:t>
      </w:r>
      <w:proofErr w:type="gramEnd"/>
      <w:r w:rsidRPr="00430D1A">
        <w:rPr>
          <w:rFonts w:ascii="Verdana" w:eastAsia="Calibri" w:hAnsi="Verdana" w:cs="Arial"/>
          <w:i/>
          <w:iCs/>
          <w:color w:val="000000"/>
          <w:sz w:val="20"/>
          <w:szCs w:val="20"/>
          <w:lang w:val="es-ES"/>
        </w:rPr>
        <w:t xml:space="preserve"> conformidad con lo dispuesto en el artículo 95 de la Ley 2166 de 2021, solo podrán celebrar de manera directa convenios solidarios para la ejecución de obras los entes territoriales del orden nacional, departamental, distrital y municipal con los organismos de acción comunal. El valor de tales convenios no podrá exceder la menor cuantía de la entidad estatal involucrada”.</w:t>
      </w:r>
    </w:p>
    <w:p w14:paraId="08121448" w14:textId="77777777" w:rsidR="00113508" w:rsidRPr="00430D1A" w:rsidRDefault="00113508" w:rsidP="00113508">
      <w:pPr>
        <w:spacing w:after="0" w:line="240" w:lineRule="auto"/>
        <w:ind w:left="720"/>
        <w:contextualSpacing/>
        <w:rPr>
          <w:rFonts w:ascii="Verdana" w:eastAsia="Calibri" w:hAnsi="Verdana" w:cs="Arial"/>
          <w:color w:val="000000"/>
          <w:sz w:val="20"/>
          <w:szCs w:val="20"/>
          <w:lang w:val="es-ES"/>
        </w:rPr>
      </w:pPr>
    </w:p>
    <w:p w14:paraId="38A0CB13" w14:textId="77777777" w:rsidR="00113508" w:rsidRPr="00430D1A" w:rsidRDefault="00113508" w:rsidP="00113508">
      <w:pPr>
        <w:shd w:val="clear" w:color="auto" w:fill="FFFFFF"/>
        <w:spacing w:after="0" w:line="240" w:lineRule="auto"/>
        <w:contextualSpacing/>
        <w:jc w:val="both"/>
        <w:rPr>
          <w:rFonts w:ascii="Verdana" w:eastAsia="Calibri" w:hAnsi="Verdana" w:cs="Arial"/>
          <w:color w:val="000000"/>
          <w:sz w:val="20"/>
          <w:szCs w:val="20"/>
          <w:lang w:val="es-ES_tradnl"/>
        </w:rPr>
      </w:pPr>
      <w:r w:rsidRPr="00430D1A">
        <w:rPr>
          <w:rFonts w:ascii="Verdana" w:eastAsia="Calibri" w:hAnsi="Verdana" w:cs="Arial"/>
          <w:color w:val="000000"/>
          <w:sz w:val="20"/>
          <w:szCs w:val="20"/>
          <w:lang w:val="es-ES"/>
        </w:rPr>
        <w:t xml:space="preserve">Sin perjuicio de lo anterior, en criterio de esta Subdirección, los efectos de la referida decisión del Consejo de Estado no se extienden al artículo 95 de la Ley 2166 de 2021, disposición mediante la cual el Congreso de la República, en el marco de la competencia normativa que le asigna el inciso final del artículo 150 de la Constitución Política, autorizó a los entes del orden nacional, departamental, distrital y municipal a celebrar convenios solidarios de manera directa con Organismos de Acción Comunal,  para la ejecución de obras que no superen la menor cuantía. Esta disposición corresponde a una norma de aplicación directa, por lo que, en principio, no requiere de reglamentación para su aplicación. </w:t>
      </w:r>
    </w:p>
    <w:p w14:paraId="0B9B653B" w14:textId="77777777" w:rsidR="00113508" w:rsidRPr="004A547C" w:rsidRDefault="00113508" w:rsidP="00113508">
      <w:pPr>
        <w:rPr>
          <w:lang w:val="es-ES_tradnl"/>
        </w:rPr>
      </w:pPr>
    </w:p>
    <w:p w14:paraId="150CE6D1" w14:textId="77777777" w:rsidR="00113508" w:rsidRPr="00E461BE" w:rsidRDefault="00113508" w:rsidP="00DE26FD">
      <w:pPr>
        <w:spacing w:after="0" w:line="240" w:lineRule="auto"/>
        <w:jc w:val="both"/>
        <w:rPr>
          <w:rFonts w:ascii="Verdana" w:hAnsi="Verdana"/>
          <w:lang w:val="es-ES_tradnl"/>
        </w:rPr>
      </w:pPr>
    </w:p>
    <w:p w14:paraId="477C9217" w14:textId="77777777" w:rsidR="00113508" w:rsidRDefault="00113508" w:rsidP="00DE26FD">
      <w:pPr>
        <w:spacing w:after="0" w:line="240" w:lineRule="auto"/>
        <w:jc w:val="both"/>
        <w:rPr>
          <w:rFonts w:ascii="Verdana" w:hAnsi="Verdana"/>
        </w:rPr>
      </w:pPr>
    </w:p>
    <w:p w14:paraId="27544F24" w14:textId="77777777" w:rsidR="00113508" w:rsidRDefault="00113508" w:rsidP="00DE26FD">
      <w:pPr>
        <w:spacing w:after="0" w:line="240" w:lineRule="auto"/>
        <w:jc w:val="both"/>
        <w:rPr>
          <w:rFonts w:ascii="Verdana" w:hAnsi="Verdana"/>
        </w:rPr>
      </w:pPr>
    </w:p>
    <w:p w14:paraId="0F2930C5" w14:textId="77777777" w:rsidR="00113508" w:rsidRDefault="00113508" w:rsidP="00DE26FD">
      <w:pPr>
        <w:spacing w:after="0" w:line="240" w:lineRule="auto"/>
        <w:jc w:val="both"/>
        <w:rPr>
          <w:rFonts w:ascii="Verdana" w:hAnsi="Verdana"/>
        </w:rPr>
      </w:pPr>
    </w:p>
    <w:p w14:paraId="4860E001" w14:textId="77777777" w:rsidR="00113508" w:rsidRDefault="00113508" w:rsidP="00DE26FD">
      <w:pPr>
        <w:spacing w:after="0" w:line="240" w:lineRule="auto"/>
        <w:jc w:val="both"/>
        <w:rPr>
          <w:rFonts w:ascii="Verdana" w:hAnsi="Verdana"/>
        </w:rPr>
      </w:pPr>
    </w:p>
    <w:p w14:paraId="31A9BC9E" w14:textId="77777777" w:rsidR="00113508" w:rsidRDefault="00113508" w:rsidP="00DE26FD">
      <w:pPr>
        <w:spacing w:after="0" w:line="240" w:lineRule="auto"/>
        <w:jc w:val="both"/>
        <w:rPr>
          <w:rFonts w:ascii="Verdana" w:hAnsi="Verdana"/>
        </w:rPr>
      </w:pPr>
    </w:p>
    <w:p w14:paraId="4BBECECF" w14:textId="77777777" w:rsidR="00493F13" w:rsidRDefault="00493F13" w:rsidP="00DE26FD">
      <w:pPr>
        <w:spacing w:after="0" w:line="240" w:lineRule="auto"/>
        <w:jc w:val="both"/>
        <w:rPr>
          <w:rFonts w:ascii="Verdana" w:hAnsi="Verdana"/>
        </w:rPr>
      </w:pPr>
    </w:p>
    <w:p w14:paraId="0939ED10" w14:textId="77777777" w:rsidR="00493F13" w:rsidRDefault="00493F13" w:rsidP="00DE26FD">
      <w:pPr>
        <w:spacing w:after="0" w:line="240" w:lineRule="auto"/>
        <w:jc w:val="both"/>
        <w:rPr>
          <w:rFonts w:ascii="Verdana" w:hAnsi="Verdana"/>
        </w:rPr>
      </w:pPr>
    </w:p>
    <w:p w14:paraId="030E8EF0" w14:textId="77777777" w:rsidR="00493F13" w:rsidRDefault="00493F13" w:rsidP="00DE26FD">
      <w:pPr>
        <w:spacing w:after="0" w:line="240" w:lineRule="auto"/>
        <w:jc w:val="both"/>
        <w:rPr>
          <w:rFonts w:ascii="Verdana" w:hAnsi="Verdana"/>
        </w:rPr>
      </w:pPr>
    </w:p>
    <w:p w14:paraId="4C36CCBA" w14:textId="77777777" w:rsidR="00493F13" w:rsidRDefault="00493F13" w:rsidP="00DE26FD">
      <w:pPr>
        <w:spacing w:after="0" w:line="240" w:lineRule="auto"/>
        <w:jc w:val="both"/>
        <w:rPr>
          <w:rFonts w:ascii="Verdana" w:hAnsi="Verdana"/>
        </w:rPr>
      </w:pPr>
    </w:p>
    <w:p w14:paraId="020EA532" w14:textId="77777777" w:rsidR="00493F13" w:rsidRDefault="00493F13" w:rsidP="00DE26FD">
      <w:pPr>
        <w:spacing w:after="0" w:line="240" w:lineRule="auto"/>
        <w:jc w:val="both"/>
        <w:rPr>
          <w:rFonts w:ascii="Verdana" w:hAnsi="Verdana"/>
        </w:rPr>
      </w:pPr>
    </w:p>
    <w:p w14:paraId="769F1B71" w14:textId="77777777" w:rsidR="00493F13" w:rsidRDefault="00493F13" w:rsidP="00DE26FD">
      <w:pPr>
        <w:spacing w:after="0" w:line="240" w:lineRule="auto"/>
        <w:jc w:val="both"/>
        <w:rPr>
          <w:rFonts w:ascii="Verdana" w:hAnsi="Verdana"/>
        </w:rPr>
      </w:pPr>
    </w:p>
    <w:p w14:paraId="2553D909" w14:textId="77777777" w:rsidR="00493F13" w:rsidRDefault="00493F13" w:rsidP="00DE26FD">
      <w:pPr>
        <w:spacing w:after="0" w:line="240" w:lineRule="auto"/>
        <w:jc w:val="both"/>
        <w:rPr>
          <w:rFonts w:ascii="Verdana" w:hAnsi="Verdana"/>
        </w:rPr>
      </w:pPr>
    </w:p>
    <w:p w14:paraId="27B08D87" w14:textId="77777777" w:rsidR="00493F13" w:rsidRDefault="00493F13" w:rsidP="00DE26FD">
      <w:pPr>
        <w:spacing w:after="0" w:line="240" w:lineRule="auto"/>
        <w:jc w:val="both"/>
        <w:rPr>
          <w:rFonts w:ascii="Verdana" w:hAnsi="Verdana"/>
        </w:rPr>
      </w:pPr>
    </w:p>
    <w:p w14:paraId="10593184" w14:textId="77777777" w:rsidR="00493F13" w:rsidRDefault="00493F13" w:rsidP="00DE26FD">
      <w:pPr>
        <w:spacing w:after="0" w:line="240" w:lineRule="auto"/>
        <w:jc w:val="both"/>
        <w:rPr>
          <w:rFonts w:ascii="Verdana" w:hAnsi="Verdana"/>
        </w:rPr>
      </w:pPr>
    </w:p>
    <w:p w14:paraId="0560A126" w14:textId="77777777" w:rsidR="00493F13" w:rsidRDefault="00493F13" w:rsidP="00DE26FD">
      <w:pPr>
        <w:spacing w:after="0" w:line="240" w:lineRule="auto"/>
        <w:jc w:val="both"/>
        <w:rPr>
          <w:rFonts w:ascii="Verdana" w:hAnsi="Verdana"/>
        </w:rPr>
      </w:pPr>
    </w:p>
    <w:p w14:paraId="57E7B3B4" w14:textId="77777777" w:rsidR="00493F13" w:rsidRDefault="00493F13" w:rsidP="00DE26FD">
      <w:pPr>
        <w:spacing w:after="0" w:line="240" w:lineRule="auto"/>
        <w:jc w:val="both"/>
        <w:rPr>
          <w:rFonts w:ascii="Verdana" w:hAnsi="Verdana"/>
        </w:rPr>
      </w:pPr>
    </w:p>
    <w:p w14:paraId="01CF882C" w14:textId="77777777" w:rsidR="00493F13" w:rsidRDefault="00493F13" w:rsidP="00DE26FD">
      <w:pPr>
        <w:spacing w:after="0" w:line="240" w:lineRule="auto"/>
        <w:jc w:val="both"/>
        <w:rPr>
          <w:rFonts w:ascii="Verdana" w:hAnsi="Verdana"/>
        </w:rPr>
      </w:pPr>
    </w:p>
    <w:p w14:paraId="68B0D225" w14:textId="77777777" w:rsidR="00493F13" w:rsidRDefault="00493F13" w:rsidP="00DE26FD">
      <w:pPr>
        <w:spacing w:after="0" w:line="240" w:lineRule="auto"/>
        <w:jc w:val="both"/>
        <w:rPr>
          <w:rFonts w:ascii="Verdana" w:hAnsi="Verdana"/>
        </w:rPr>
      </w:pPr>
    </w:p>
    <w:p w14:paraId="430673F9" w14:textId="28C0B62B" w:rsidR="00DE26FD" w:rsidRDefault="00E172B1" w:rsidP="00DE26FD">
      <w:pPr>
        <w:spacing w:after="0" w:line="240" w:lineRule="auto"/>
        <w:jc w:val="both"/>
        <w:rPr>
          <w:rFonts w:ascii="Verdana" w:hAnsi="Verdana"/>
        </w:rPr>
      </w:pPr>
      <w:r w:rsidRPr="00E172B1">
        <w:rPr>
          <w:rFonts w:ascii="Verdana" w:hAnsi="Verdana"/>
        </w:rPr>
        <w:lastRenderedPageBreak/>
        <w:t xml:space="preserve">Bogotá D.C., </w:t>
      </w:r>
      <w:r w:rsidR="00E23F7D">
        <w:rPr>
          <w:rFonts w:ascii="Verdana" w:hAnsi="Verdana"/>
        </w:rPr>
        <w:t>30 de julio de 2026</w:t>
      </w:r>
    </w:p>
    <w:p w14:paraId="59CDD521" w14:textId="77777777" w:rsidR="00E23F7D" w:rsidRDefault="00E23F7D" w:rsidP="00DE26FD">
      <w:pPr>
        <w:spacing w:after="0" w:line="240" w:lineRule="auto"/>
        <w:jc w:val="both"/>
        <w:rPr>
          <w:rFonts w:ascii="Verdana" w:hAnsi="Verdana"/>
        </w:rPr>
      </w:pPr>
    </w:p>
    <w:p w14:paraId="7B9F3049" w14:textId="10D0DEE2" w:rsidR="00E23F7D" w:rsidRDefault="00E23F7D" w:rsidP="00E23F7D">
      <w:pPr>
        <w:spacing w:after="0" w:line="240" w:lineRule="auto"/>
        <w:jc w:val="right"/>
        <w:rPr>
          <w:rFonts w:ascii="Verdana" w:hAnsi="Verdana"/>
        </w:rPr>
      </w:pPr>
      <w:r w:rsidRPr="00E23F7D">
        <w:rPr>
          <w:rFonts w:ascii="Verdana" w:hAnsi="Verdana"/>
        </w:rPr>
        <w:drawing>
          <wp:inline distT="0" distB="0" distL="0" distR="0" wp14:anchorId="38034ECE" wp14:editId="71F31258">
            <wp:extent cx="3696216" cy="952633"/>
            <wp:effectExtent l="0" t="0" r="0" b="0"/>
            <wp:docPr id="10672355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35518" name=""/>
                    <pic:cNvPicPr/>
                  </pic:nvPicPr>
                  <pic:blipFill>
                    <a:blip r:embed="rId11"/>
                    <a:stretch>
                      <a:fillRect/>
                    </a:stretch>
                  </pic:blipFill>
                  <pic:spPr>
                    <a:xfrm>
                      <a:off x="0" y="0"/>
                      <a:ext cx="3696216" cy="952633"/>
                    </a:xfrm>
                    <a:prstGeom prst="rect">
                      <a:avLst/>
                    </a:prstGeom>
                  </pic:spPr>
                </pic:pic>
              </a:graphicData>
            </a:graphic>
          </wp:inline>
        </w:drawing>
      </w:r>
    </w:p>
    <w:p w14:paraId="4BE4D9FE" w14:textId="77777777" w:rsidR="00E172B1" w:rsidRDefault="00E172B1" w:rsidP="00DE26FD">
      <w:pPr>
        <w:spacing w:after="0" w:line="240" w:lineRule="auto"/>
        <w:jc w:val="both"/>
        <w:rPr>
          <w:rFonts w:ascii="Verdana" w:eastAsia="Calibri" w:hAnsi="Verdana" w:cs="Arial"/>
          <w:lang w:val="es-ES"/>
        </w:rPr>
      </w:pPr>
    </w:p>
    <w:p w14:paraId="7AA0A617" w14:textId="052C93D4" w:rsidR="00113508" w:rsidRDefault="00113508" w:rsidP="00113508">
      <w:pPr>
        <w:spacing w:after="0" w:line="240" w:lineRule="auto"/>
        <w:ind w:left="4248"/>
        <w:jc w:val="both"/>
        <w:rPr>
          <w:rFonts w:ascii="Verdana" w:eastAsia="Calibri" w:hAnsi="Verdana" w:cs="Arial"/>
          <w:lang w:val="es-ES" w:eastAsia="es-ES"/>
        </w:rPr>
      </w:pPr>
    </w:p>
    <w:p w14:paraId="699BE41B" w14:textId="58DE1C64" w:rsidR="00DE26FD" w:rsidRPr="00E529C8" w:rsidRDefault="00DE26FD" w:rsidP="00DE26FD">
      <w:pPr>
        <w:spacing w:after="0" w:line="240" w:lineRule="auto"/>
        <w:jc w:val="both"/>
        <w:rPr>
          <w:rFonts w:ascii="Verdana" w:eastAsia="Calibri" w:hAnsi="Verdana" w:cs="Arial"/>
          <w:lang w:val="es-ES" w:eastAsia="es-ES"/>
        </w:rPr>
      </w:pPr>
      <w:r w:rsidRPr="00E529C8">
        <w:rPr>
          <w:rFonts w:ascii="Verdana" w:eastAsia="Calibri" w:hAnsi="Verdana" w:cs="Arial"/>
          <w:lang w:val="es-ES" w:eastAsia="es-ES"/>
        </w:rPr>
        <w:t>Señor</w:t>
      </w:r>
    </w:p>
    <w:p w14:paraId="1C8AD90C" w14:textId="59BE41DC" w:rsidR="00DE26FD" w:rsidRDefault="00C755FF" w:rsidP="00DE26FD">
      <w:pPr>
        <w:spacing w:after="0" w:line="240" w:lineRule="auto"/>
        <w:rPr>
          <w:rFonts w:ascii="Verdana" w:eastAsia="Calibri" w:hAnsi="Verdana" w:cs="Arial"/>
          <w:b/>
          <w:lang w:val="es-ES_tradnl" w:eastAsia="es-ES_tradnl"/>
        </w:rPr>
      </w:pPr>
      <w:r>
        <w:rPr>
          <w:rFonts w:ascii="Verdana" w:eastAsia="Calibri" w:hAnsi="Verdana" w:cs="Arial"/>
          <w:b/>
          <w:lang w:val="es-ES_tradnl" w:eastAsia="es-ES_tradnl"/>
        </w:rPr>
        <w:t>Carlos Alberto Ruiz Castiblanco</w:t>
      </w:r>
    </w:p>
    <w:p w14:paraId="15B550CB" w14:textId="02277011" w:rsidR="00DE26FD" w:rsidRPr="00C755FF" w:rsidRDefault="00C755FF" w:rsidP="00DE26FD">
      <w:pPr>
        <w:spacing w:after="0" w:line="240" w:lineRule="auto"/>
        <w:rPr>
          <w:rFonts w:ascii="Verdana" w:eastAsia="Calibri" w:hAnsi="Verdana" w:cs="Arial"/>
          <w:bCs/>
          <w:lang w:eastAsia="es-ES_tradnl"/>
        </w:rPr>
      </w:pPr>
      <w:hyperlink r:id="rId12" w:history="1">
        <w:r w:rsidRPr="00C755FF">
          <w:rPr>
            <w:rStyle w:val="Hipervnculo"/>
            <w:rFonts w:ascii="Verdana" w:hAnsi="Verdana"/>
          </w:rPr>
          <w:t>carlosruizcastiblanco@outlook.com</w:t>
        </w:r>
      </w:hyperlink>
      <w:r w:rsidRPr="00C755FF">
        <w:rPr>
          <w:rFonts w:ascii="Verdana" w:eastAsia="Calibri" w:hAnsi="Verdana" w:cs="Arial"/>
          <w:bCs/>
          <w:lang w:eastAsia="es-ES_tradnl"/>
        </w:rPr>
        <w:t xml:space="preserve"> </w:t>
      </w:r>
    </w:p>
    <w:p w14:paraId="67E92E65" w14:textId="22D64A1D" w:rsidR="00DE26FD" w:rsidRPr="00490CAB" w:rsidRDefault="00E351B7" w:rsidP="00DE26FD">
      <w:pPr>
        <w:spacing w:after="0" w:line="240" w:lineRule="auto"/>
        <w:rPr>
          <w:rFonts w:ascii="Verdana" w:eastAsia="Calibri" w:hAnsi="Verdana" w:cs="Arial"/>
          <w:bCs/>
          <w:lang w:val="es-ES_tradnl" w:eastAsia="es-ES_tradnl"/>
        </w:rPr>
      </w:pPr>
      <w:r>
        <w:rPr>
          <w:rFonts w:ascii="Verdana" w:eastAsia="Calibri" w:hAnsi="Verdana" w:cs="Arial"/>
          <w:bCs/>
          <w:lang w:eastAsia="es-ES_tradnl"/>
        </w:rPr>
        <w:t>Ibagué, Tolima</w:t>
      </w:r>
    </w:p>
    <w:p w14:paraId="77A5D0CC" w14:textId="77777777" w:rsidR="00DE26FD" w:rsidRPr="00E529C8" w:rsidRDefault="00DE26FD" w:rsidP="00DE26FD">
      <w:pPr>
        <w:spacing w:after="0" w:line="240" w:lineRule="auto"/>
        <w:rPr>
          <w:rFonts w:ascii="Verdana" w:eastAsia="Calibri" w:hAnsi="Verdana" w:cs="Arial"/>
          <w:b/>
          <w:bCs/>
          <w:lang w:val="es-ES_tradnl" w:eastAsia="es-ES_tradnl"/>
        </w:rPr>
      </w:pPr>
    </w:p>
    <w:p w14:paraId="2F4828D5" w14:textId="77777777" w:rsidR="00DE26FD" w:rsidRPr="00E529C8" w:rsidRDefault="00DE26FD" w:rsidP="00DE26FD">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E26FD" w:rsidRPr="00E529C8" w14:paraId="20D07CBD" w14:textId="77777777" w:rsidTr="005806C6">
        <w:trPr>
          <w:trHeight w:val="884"/>
        </w:trPr>
        <w:tc>
          <w:tcPr>
            <w:tcW w:w="2689" w:type="dxa"/>
          </w:tcPr>
          <w:p w14:paraId="7E533DA1" w14:textId="77777777" w:rsidR="00DE26FD" w:rsidRPr="00E529C8" w:rsidRDefault="00DE26FD" w:rsidP="005806C6">
            <w:pPr>
              <w:jc w:val="both"/>
              <w:rPr>
                <w:rFonts w:ascii="Verdana" w:eastAsia="Calibri" w:hAnsi="Verdana" w:cs="Arial"/>
                <w:b/>
                <w:bCs/>
                <w:lang w:val="es-ES_tradnl" w:eastAsia="es-ES_tradnl"/>
              </w:rPr>
            </w:pPr>
          </w:p>
        </w:tc>
        <w:tc>
          <w:tcPr>
            <w:tcW w:w="6100" w:type="dxa"/>
          </w:tcPr>
          <w:p w14:paraId="5A7049EA" w14:textId="42D056BC" w:rsidR="00DE26FD" w:rsidRPr="00E529C8" w:rsidRDefault="00DE26FD" w:rsidP="005806C6">
            <w:pPr>
              <w:jc w:val="both"/>
              <w:rPr>
                <w:rFonts w:ascii="Verdana" w:eastAsia="Calibri" w:hAnsi="Verdana" w:cs="Arial"/>
                <w:b/>
                <w:bCs/>
                <w:lang w:val="es-ES" w:eastAsia="es-ES"/>
              </w:rPr>
            </w:pPr>
            <w:r w:rsidRPr="00E529C8">
              <w:rPr>
                <w:rFonts w:ascii="Verdana" w:eastAsia="Calibri" w:hAnsi="Verdana" w:cs="Arial"/>
                <w:b/>
                <w:bCs/>
                <w:lang w:val="es-ES" w:eastAsia="es-ES"/>
              </w:rPr>
              <w:t xml:space="preserve">Concepto C – </w:t>
            </w:r>
            <w:r w:rsidR="00E461BE">
              <w:rPr>
                <w:rFonts w:ascii="Verdana" w:eastAsia="Calibri" w:hAnsi="Verdana" w:cs="Arial"/>
                <w:b/>
                <w:bCs/>
                <w:lang w:val="es-ES" w:eastAsia="es-ES"/>
              </w:rPr>
              <w:t>105</w:t>
            </w:r>
            <w:r>
              <w:rPr>
                <w:rFonts w:ascii="Verdana" w:eastAsia="Calibri" w:hAnsi="Verdana" w:cs="Arial"/>
                <w:b/>
                <w:bCs/>
                <w:lang w:val="es-ES" w:eastAsia="es-ES"/>
              </w:rPr>
              <w:t xml:space="preserve">2 </w:t>
            </w:r>
            <w:r w:rsidRPr="00E529C8">
              <w:rPr>
                <w:rFonts w:ascii="Verdana" w:eastAsia="Calibri" w:hAnsi="Verdana" w:cs="Arial"/>
                <w:b/>
                <w:bCs/>
                <w:lang w:val="es-ES" w:eastAsia="es-ES"/>
              </w:rPr>
              <w:t>de 202</w:t>
            </w:r>
            <w:r w:rsidR="00E461BE">
              <w:rPr>
                <w:rFonts w:ascii="Verdana" w:eastAsia="Calibri" w:hAnsi="Verdana" w:cs="Arial"/>
                <w:b/>
                <w:bCs/>
                <w:lang w:val="es-ES" w:eastAsia="es-ES"/>
              </w:rPr>
              <w:t>6</w:t>
            </w:r>
          </w:p>
        </w:tc>
      </w:tr>
      <w:tr w:rsidR="00DE26FD" w:rsidRPr="00E529C8" w14:paraId="7B338131" w14:textId="77777777" w:rsidTr="005806C6">
        <w:trPr>
          <w:trHeight w:val="884"/>
        </w:trPr>
        <w:tc>
          <w:tcPr>
            <w:tcW w:w="2689" w:type="dxa"/>
          </w:tcPr>
          <w:p w14:paraId="794E1342" w14:textId="77777777" w:rsidR="00DE26FD" w:rsidRPr="00E529C8" w:rsidRDefault="00DE26FD" w:rsidP="005806C6">
            <w:pPr>
              <w:jc w:val="both"/>
              <w:rPr>
                <w:rFonts w:ascii="Verdana" w:eastAsia="Calibri" w:hAnsi="Verdana" w:cs="Arial"/>
                <w:lang w:val="es-ES_tradnl" w:eastAsia="es-ES_tradnl"/>
              </w:rPr>
            </w:pPr>
            <w:r w:rsidRPr="00E529C8">
              <w:rPr>
                <w:rFonts w:ascii="Verdana" w:eastAsia="Calibri" w:hAnsi="Verdana" w:cs="Arial"/>
                <w:b/>
                <w:lang w:val="es-ES_tradnl" w:eastAsia="es-ES_tradnl"/>
              </w:rPr>
              <w:t>Temas:</w:t>
            </w:r>
            <w:r w:rsidRPr="00E529C8">
              <w:rPr>
                <w:rFonts w:ascii="Verdana" w:eastAsia="Calibri" w:hAnsi="Verdana" w:cs="Arial"/>
                <w:lang w:val="es-ES_tradnl" w:eastAsia="es-ES_tradnl"/>
              </w:rPr>
              <w:t xml:space="preserve">                   </w:t>
            </w:r>
          </w:p>
        </w:tc>
        <w:tc>
          <w:tcPr>
            <w:tcW w:w="6100" w:type="dxa"/>
          </w:tcPr>
          <w:p w14:paraId="4345B872" w14:textId="35FA6CE1" w:rsidR="00DE26FD" w:rsidRPr="00E529C8" w:rsidRDefault="00DE26FD" w:rsidP="005806C6">
            <w:pPr>
              <w:spacing w:line="276" w:lineRule="auto"/>
              <w:jc w:val="both"/>
              <w:rPr>
                <w:rFonts w:ascii="Verdana" w:eastAsia="Calibri" w:hAnsi="Verdana" w:cs="Arial"/>
                <w:lang w:val="es-ES" w:eastAsia="es-ES"/>
              </w:rPr>
            </w:pPr>
            <w:r w:rsidRPr="00490CAB">
              <w:rPr>
                <w:rFonts w:ascii="Verdana" w:eastAsia="Calibri" w:hAnsi="Verdana" w:cs="Arial"/>
                <w:lang w:val="es-ES" w:eastAsia="es-ES"/>
              </w:rPr>
              <w:t>LEY 2166 DE 2021 – Organismos de Acción Comunal – Artículo 95 – Convenios solidarios – Contratación directa – Contratos de obra – Menor cuantía</w:t>
            </w:r>
            <w:r w:rsidR="00493F13">
              <w:rPr>
                <w:rFonts w:ascii="Verdana" w:eastAsia="Calibri" w:hAnsi="Verdana" w:cs="Arial"/>
                <w:lang w:val="es-ES" w:eastAsia="es-ES"/>
              </w:rPr>
              <w:t xml:space="preserve"> / </w:t>
            </w:r>
            <w:r w:rsidR="00493F13" w:rsidRPr="00493F13">
              <w:rPr>
                <w:rFonts w:ascii="Verdana" w:eastAsia="Calibri" w:hAnsi="Verdana" w:cs="Arial"/>
                <w:lang w:val="es-ES" w:eastAsia="es-ES"/>
              </w:rPr>
              <w:t>CONVENIOS SOLIDARIOS – Aportes en especie – Menor cuantía – Determinación</w:t>
            </w:r>
            <w:r w:rsidRPr="00490CAB">
              <w:rPr>
                <w:rFonts w:ascii="Verdana" w:eastAsia="Calibri" w:hAnsi="Verdana" w:cs="Arial"/>
                <w:lang w:val="es-ES" w:eastAsia="es-ES"/>
              </w:rPr>
              <w:t xml:space="preserve"> /</w:t>
            </w:r>
            <w:r w:rsidR="004E7CAB">
              <w:rPr>
                <w:rFonts w:ascii="Verdana" w:eastAsia="Calibri" w:hAnsi="Verdana" w:cs="Arial"/>
                <w:lang w:val="es-ES" w:eastAsia="es-ES"/>
              </w:rPr>
              <w:t xml:space="preserve"> </w:t>
            </w:r>
            <w:r w:rsidR="004E7CAB" w:rsidRPr="004E7CAB">
              <w:rPr>
                <w:rFonts w:ascii="Verdana" w:eastAsia="Calibri" w:hAnsi="Verdana" w:cs="Arial"/>
                <w:lang w:val="es-ES" w:eastAsia="es-ES"/>
              </w:rPr>
              <w:t>CONVENIOS SOLIDARIOS – Habitantes de la comunidad – Vinculación</w:t>
            </w:r>
            <w:r w:rsidRPr="00490CAB">
              <w:rPr>
                <w:rFonts w:ascii="Verdana" w:eastAsia="Calibri" w:hAnsi="Verdana" w:cs="Arial"/>
                <w:lang w:val="es-ES" w:eastAsia="es-ES"/>
              </w:rPr>
              <w:t xml:space="preserve"> </w:t>
            </w:r>
            <w:r w:rsidR="004E7CAB">
              <w:rPr>
                <w:rFonts w:ascii="Verdana" w:eastAsia="Calibri" w:hAnsi="Verdana" w:cs="Arial"/>
                <w:lang w:val="es-ES" w:eastAsia="es-ES"/>
              </w:rPr>
              <w:t xml:space="preserve">/ </w:t>
            </w:r>
            <w:r w:rsidRPr="00490CAB">
              <w:rPr>
                <w:rFonts w:ascii="Verdana" w:eastAsia="Calibri" w:hAnsi="Verdana" w:cs="Arial"/>
                <w:lang w:val="es-ES" w:eastAsia="es-ES"/>
              </w:rPr>
              <w:t>DECRETO 1082 DE 2015 – Artículo 2.2.15.1.2 – Decreto 142 de 2023 – Artículo 15 – Suspensión provisional – Consejo de Estado</w:t>
            </w:r>
          </w:p>
          <w:p w14:paraId="64C1D5CA" w14:textId="77777777" w:rsidR="00DE26FD" w:rsidRPr="00E529C8" w:rsidRDefault="00DE26FD" w:rsidP="005806C6">
            <w:pPr>
              <w:spacing w:line="276" w:lineRule="auto"/>
              <w:jc w:val="both"/>
              <w:rPr>
                <w:rFonts w:ascii="Verdana" w:eastAsia="Calibri" w:hAnsi="Verdana" w:cs="Arial"/>
                <w:lang w:val="es-ES" w:eastAsia="es-ES"/>
              </w:rPr>
            </w:pPr>
          </w:p>
        </w:tc>
      </w:tr>
      <w:tr w:rsidR="00DE26FD" w:rsidRPr="00E529C8" w14:paraId="0039373A" w14:textId="77777777" w:rsidTr="005806C6">
        <w:trPr>
          <w:trHeight w:val="344"/>
        </w:trPr>
        <w:tc>
          <w:tcPr>
            <w:tcW w:w="2689" w:type="dxa"/>
            <w:shd w:val="clear" w:color="auto" w:fill="FFFFFF" w:themeFill="background1"/>
          </w:tcPr>
          <w:p w14:paraId="01F03AB4" w14:textId="77777777" w:rsidR="00DE26FD" w:rsidRPr="0031184B" w:rsidRDefault="00DE26FD" w:rsidP="005806C6">
            <w:pPr>
              <w:jc w:val="both"/>
              <w:rPr>
                <w:rFonts w:ascii="Verdana" w:eastAsia="Calibri" w:hAnsi="Verdana" w:cs="Arial"/>
                <w:b/>
                <w:lang w:val="es-ES_tradnl" w:eastAsia="es-ES_tradnl"/>
              </w:rPr>
            </w:pPr>
            <w:r w:rsidRPr="0031184B">
              <w:rPr>
                <w:rFonts w:ascii="Verdana" w:eastAsia="Calibri" w:hAnsi="Verdana" w:cs="Arial"/>
                <w:b/>
                <w:lang w:val="es-ES_tradnl" w:eastAsia="es-ES_tradnl"/>
              </w:rPr>
              <w:t>Radicación:</w:t>
            </w:r>
            <w:r w:rsidRPr="0031184B">
              <w:rPr>
                <w:rFonts w:ascii="Verdana" w:eastAsia="Calibri" w:hAnsi="Verdana" w:cs="Arial"/>
                <w:lang w:val="es-ES_tradnl" w:eastAsia="es-ES_tradnl"/>
              </w:rPr>
              <w:t xml:space="preserve">               </w:t>
            </w:r>
          </w:p>
        </w:tc>
        <w:tc>
          <w:tcPr>
            <w:tcW w:w="6100" w:type="dxa"/>
            <w:shd w:val="clear" w:color="auto" w:fill="FFFFFF" w:themeFill="background1"/>
          </w:tcPr>
          <w:p w14:paraId="7808AF47" w14:textId="294EB7E6" w:rsidR="00DE26FD" w:rsidRPr="0031184B" w:rsidRDefault="00DE26FD" w:rsidP="005806C6">
            <w:pPr>
              <w:jc w:val="both"/>
              <w:rPr>
                <w:rFonts w:ascii="Verdana" w:eastAsia="Calibri" w:hAnsi="Verdana" w:cs="Arial"/>
                <w:lang w:val="es-ES_tradnl" w:eastAsia="es-ES_tradnl"/>
              </w:rPr>
            </w:pPr>
            <w:r w:rsidRPr="0031184B">
              <w:rPr>
                <w:rFonts w:ascii="Verdana" w:eastAsia="Calibri" w:hAnsi="Verdana" w:cs="Arial"/>
                <w:lang w:val="es-ES_tradnl" w:eastAsia="es-ES_tradnl"/>
              </w:rPr>
              <w:t xml:space="preserve">Respuesta a consulta con radicado No. </w:t>
            </w:r>
            <w:r w:rsidR="00C54E6A" w:rsidRPr="00C54E6A">
              <w:rPr>
                <w:rFonts w:ascii="Verdana" w:eastAsia="Calibri" w:hAnsi="Verdana" w:cs="Arial"/>
                <w:lang w:val="es-ES_tradnl" w:eastAsia="es-ES_tradnl"/>
              </w:rPr>
              <w:t>1_2026_07_02_008819</w:t>
            </w:r>
          </w:p>
        </w:tc>
      </w:tr>
    </w:tbl>
    <w:p w14:paraId="2E085D00" w14:textId="77777777" w:rsidR="00DE26FD" w:rsidRPr="00E529C8" w:rsidRDefault="00DE26FD" w:rsidP="00DE26FD">
      <w:pPr>
        <w:spacing w:after="0" w:line="240" w:lineRule="auto"/>
        <w:jc w:val="both"/>
        <w:rPr>
          <w:rFonts w:ascii="Verdana" w:eastAsia="Calibri" w:hAnsi="Verdana" w:cs="Arial"/>
          <w:lang w:val="es-ES_tradnl" w:eastAsia="es-ES_tradnl"/>
        </w:rPr>
      </w:pPr>
    </w:p>
    <w:p w14:paraId="11E493EF" w14:textId="77777777" w:rsidR="00DE26FD" w:rsidRPr="00E529C8" w:rsidRDefault="00DE26FD" w:rsidP="00DE26FD">
      <w:pPr>
        <w:spacing w:after="0" w:line="240" w:lineRule="auto"/>
        <w:jc w:val="both"/>
        <w:rPr>
          <w:rFonts w:ascii="Verdana" w:eastAsia="Calibri" w:hAnsi="Verdana" w:cs="Arial"/>
          <w:lang w:val="es-ES_tradnl" w:eastAsia="es-ES_tradnl"/>
        </w:rPr>
      </w:pPr>
    </w:p>
    <w:p w14:paraId="090BEBE7" w14:textId="3EA8017A" w:rsidR="00DE26FD" w:rsidRPr="00E529C8" w:rsidRDefault="00DE26FD" w:rsidP="00DE26FD">
      <w:pPr>
        <w:spacing w:after="0" w:line="276" w:lineRule="auto"/>
        <w:jc w:val="both"/>
        <w:rPr>
          <w:rFonts w:ascii="Verdana" w:eastAsia="Calibri" w:hAnsi="Verdana" w:cs="Arial"/>
          <w:lang w:val="es-ES" w:eastAsia="es-ES"/>
        </w:rPr>
      </w:pPr>
      <w:r w:rsidRPr="00E529C8">
        <w:rPr>
          <w:rFonts w:ascii="Verdana" w:eastAsia="Calibri" w:hAnsi="Verdana" w:cs="Arial"/>
          <w:lang w:val="es-ES" w:eastAsia="es-ES"/>
        </w:rPr>
        <w:t>Estimad</w:t>
      </w:r>
      <w:r>
        <w:rPr>
          <w:rFonts w:ascii="Verdana" w:eastAsia="Calibri" w:hAnsi="Verdana" w:cs="Arial"/>
          <w:lang w:val="es-ES" w:eastAsia="es-ES"/>
        </w:rPr>
        <w:t xml:space="preserve">o </w:t>
      </w:r>
      <w:r w:rsidRPr="00E529C8">
        <w:rPr>
          <w:rFonts w:ascii="Verdana" w:eastAsia="Calibri" w:hAnsi="Verdana" w:cs="Arial"/>
          <w:lang w:val="es-ES" w:eastAsia="es-ES"/>
        </w:rPr>
        <w:t xml:space="preserve">señor </w:t>
      </w:r>
      <w:r w:rsidR="00B069E3">
        <w:rPr>
          <w:rFonts w:ascii="Verdana" w:eastAsia="Calibri" w:hAnsi="Verdana" w:cs="Arial"/>
          <w:lang w:val="es-ES" w:eastAsia="es-ES"/>
        </w:rPr>
        <w:t>Ruiz</w:t>
      </w:r>
      <w:r w:rsidRPr="00E529C8">
        <w:rPr>
          <w:rFonts w:ascii="Verdana" w:eastAsia="Calibri" w:hAnsi="Verdana" w:cs="Arial"/>
          <w:lang w:val="es-ES" w:eastAsia="es-ES"/>
        </w:rPr>
        <w:t xml:space="preserve">: </w:t>
      </w:r>
    </w:p>
    <w:p w14:paraId="2965B99D" w14:textId="77777777" w:rsidR="00DE26FD" w:rsidRPr="00E529C8" w:rsidRDefault="00DE26FD" w:rsidP="00DE26FD">
      <w:pPr>
        <w:tabs>
          <w:tab w:val="left" w:pos="3768"/>
        </w:tabs>
        <w:spacing w:after="0" w:line="276" w:lineRule="auto"/>
        <w:jc w:val="both"/>
        <w:rPr>
          <w:rFonts w:ascii="Verdana" w:eastAsia="Calibri" w:hAnsi="Verdana" w:cs="Arial"/>
          <w:lang w:val="es-ES" w:eastAsia="es-ES"/>
        </w:rPr>
      </w:pPr>
      <w:r w:rsidRPr="00E529C8">
        <w:rPr>
          <w:rFonts w:ascii="Verdana" w:eastAsia="Calibri" w:hAnsi="Verdana" w:cs="Arial"/>
          <w:lang w:val="es-ES" w:eastAsia="es-ES"/>
        </w:rPr>
        <w:tab/>
      </w:r>
    </w:p>
    <w:p w14:paraId="3E8E7475" w14:textId="6BAE988E" w:rsidR="00DE26FD" w:rsidRPr="00E529C8" w:rsidRDefault="003A5E47" w:rsidP="00DE26FD">
      <w:pPr>
        <w:spacing w:after="0" w:line="276" w:lineRule="auto"/>
        <w:jc w:val="both"/>
        <w:rPr>
          <w:rFonts w:ascii="Verdana" w:eastAsia="Calibri" w:hAnsi="Verdana" w:cs="Arial"/>
          <w:lang w:val="es-ES" w:eastAsia="es-ES"/>
        </w:rPr>
      </w:pPr>
      <w:r w:rsidRPr="003A5E47">
        <w:rPr>
          <w:rFonts w:ascii="Verdana" w:hAnsi="Verdana" w:cs="Arial"/>
          <w:lang w:val="es-ES" w:eastAsia="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3A5E47">
        <w:rPr>
          <w:rFonts w:ascii="Verdana" w:hAnsi="Verdana" w:cs="Arial"/>
          <w:lang w:val="es-ES" w:eastAsia="es-ES"/>
        </w:rPr>
        <w:t>N°</w:t>
      </w:r>
      <w:proofErr w:type="spellEnd"/>
      <w:r w:rsidRPr="003A5E47">
        <w:rPr>
          <w:rFonts w:ascii="Verdana" w:hAnsi="Verdana" w:cs="Arial"/>
          <w:lang w:val="es-ES" w:eastAsia="es-ES"/>
        </w:rPr>
        <w:t xml:space="preserve"> 469 del 2025 expedida por esta Agencia, responde su solicitud de consulta del </w:t>
      </w:r>
      <w:r w:rsidR="00EC1599">
        <w:rPr>
          <w:rFonts w:ascii="Verdana" w:hAnsi="Verdana" w:cs="Arial"/>
          <w:lang w:val="es-ES" w:eastAsia="es-ES"/>
        </w:rPr>
        <w:t>2</w:t>
      </w:r>
      <w:r w:rsidRPr="003A5E47">
        <w:rPr>
          <w:rFonts w:ascii="Verdana" w:hAnsi="Verdana" w:cs="Arial"/>
          <w:lang w:val="es-ES" w:eastAsia="es-ES"/>
        </w:rPr>
        <w:t xml:space="preserve"> </w:t>
      </w:r>
      <w:r w:rsidR="00A43D1A">
        <w:rPr>
          <w:rFonts w:ascii="Verdana" w:hAnsi="Verdana" w:cs="Arial"/>
          <w:lang w:val="es-ES" w:eastAsia="es-ES"/>
        </w:rPr>
        <w:t xml:space="preserve">de </w:t>
      </w:r>
      <w:r w:rsidRPr="003A5E47">
        <w:rPr>
          <w:rFonts w:ascii="Verdana" w:hAnsi="Verdana" w:cs="Arial"/>
          <w:lang w:val="es-ES" w:eastAsia="es-ES"/>
        </w:rPr>
        <w:t>ju</w:t>
      </w:r>
      <w:r w:rsidR="00EC1599">
        <w:rPr>
          <w:rFonts w:ascii="Verdana" w:hAnsi="Verdana" w:cs="Arial"/>
          <w:lang w:val="es-ES" w:eastAsia="es-ES"/>
        </w:rPr>
        <w:t>l</w:t>
      </w:r>
      <w:r w:rsidRPr="003A5E47">
        <w:rPr>
          <w:rFonts w:ascii="Verdana" w:hAnsi="Verdana" w:cs="Arial"/>
          <w:lang w:val="es-ES" w:eastAsia="es-ES"/>
        </w:rPr>
        <w:t>io de 2026, en la cual manifiesta</w:t>
      </w:r>
      <w:r w:rsidR="00DE26FD" w:rsidRPr="00E529C8">
        <w:rPr>
          <w:rFonts w:ascii="Verdana" w:eastAsia="Calibri" w:hAnsi="Verdana" w:cs="Arial"/>
          <w:lang w:val="es-ES" w:eastAsia="es-ES"/>
        </w:rPr>
        <w:t>:</w:t>
      </w:r>
    </w:p>
    <w:p w14:paraId="7A167DB9" w14:textId="77777777" w:rsidR="00DE26FD" w:rsidRPr="00E529C8" w:rsidRDefault="00DE26FD" w:rsidP="00DE26FD">
      <w:pPr>
        <w:tabs>
          <w:tab w:val="left" w:pos="142"/>
          <w:tab w:val="left" w:pos="284"/>
        </w:tabs>
        <w:spacing w:line="276" w:lineRule="auto"/>
        <w:contextualSpacing/>
        <w:jc w:val="both"/>
        <w:rPr>
          <w:rFonts w:ascii="Verdana" w:eastAsia="Century Gothic" w:hAnsi="Verdana" w:cs="Century Gothic"/>
          <w:b/>
          <w:bCs/>
          <w:lang w:val="es-ES"/>
        </w:rPr>
      </w:pPr>
    </w:p>
    <w:p w14:paraId="6297BFE4" w14:textId="493C804F" w:rsidR="00F34BB1" w:rsidRPr="00F34BB1" w:rsidRDefault="00DE26FD" w:rsidP="00F34BB1">
      <w:pPr>
        <w:spacing w:after="0" w:line="240" w:lineRule="auto"/>
        <w:ind w:left="709" w:right="709"/>
        <w:jc w:val="both"/>
        <w:rPr>
          <w:rFonts w:ascii="Verdana" w:eastAsia="Calibri" w:hAnsi="Verdana" w:cs="Arial"/>
          <w:sz w:val="20"/>
          <w:szCs w:val="20"/>
          <w:shd w:val="clear" w:color="auto" w:fill="FFFFFF"/>
        </w:rPr>
      </w:pPr>
      <w:r w:rsidRPr="00E529C8">
        <w:rPr>
          <w:rFonts w:ascii="Verdana" w:eastAsia="Century Gothic" w:hAnsi="Verdana" w:cs="Century Gothic"/>
          <w:sz w:val="20"/>
          <w:szCs w:val="20"/>
          <w:lang w:val="es-ES"/>
        </w:rPr>
        <w:t>“[…]</w:t>
      </w:r>
      <w:r>
        <w:rPr>
          <w:rFonts w:ascii="Verdana" w:eastAsia="Century Gothic" w:hAnsi="Verdana" w:cs="Century Gothic"/>
          <w:sz w:val="20"/>
          <w:szCs w:val="20"/>
          <w:lang w:val="es-ES"/>
        </w:rPr>
        <w:t xml:space="preserve"> </w:t>
      </w:r>
      <w:r w:rsidR="00F34BB1" w:rsidRPr="00F34BB1">
        <w:rPr>
          <w:rFonts w:ascii="Verdana" w:eastAsia="Calibri" w:hAnsi="Verdana" w:cs="Arial"/>
          <w:sz w:val="20"/>
          <w:szCs w:val="20"/>
          <w:shd w:val="clear" w:color="auto" w:fill="FFFFFF"/>
        </w:rPr>
        <w:t xml:space="preserve">1. ¿Es jurídicamente viable que un municipio celebre con una Junta de Acción Comunal un convenio solidario, al amparo del artículo 95 de la Ley 2166 de 2021, cuyo objeto sea la ejecución de una obra de beneficio público de menor cuantía, bajo un esquema en el que el aporte del ente territorial se materialice exclusivamente en especie (entrega de materiales e insumos) y la Junta asuma la mano de obra? </w:t>
      </w:r>
    </w:p>
    <w:p w14:paraId="609F6DEF" w14:textId="7E75B8F4" w:rsidR="00F34BB1" w:rsidRPr="00F34BB1" w:rsidRDefault="00F34BB1" w:rsidP="00F34BB1">
      <w:pPr>
        <w:spacing w:after="0" w:line="240" w:lineRule="auto"/>
        <w:ind w:left="709" w:right="709"/>
        <w:jc w:val="both"/>
        <w:rPr>
          <w:rFonts w:ascii="Verdana" w:eastAsia="Calibri" w:hAnsi="Verdana" w:cs="Arial"/>
          <w:sz w:val="20"/>
          <w:szCs w:val="20"/>
          <w:shd w:val="clear" w:color="auto" w:fill="FFFFFF"/>
        </w:rPr>
      </w:pPr>
      <w:r w:rsidRPr="00F34BB1">
        <w:rPr>
          <w:rFonts w:ascii="Verdana" w:eastAsia="Calibri" w:hAnsi="Verdana" w:cs="Arial"/>
          <w:sz w:val="20"/>
          <w:szCs w:val="20"/>
          <w:shd w:val="clear" w:color="auto" w:fill="FFFFFF"/>
        </w:rPr>
        <w:t>2. ¿Admite el artículo 95 que el aporte del ente territorial consista únicamente en especie (materiales), sin giro de recursos dinerarios a favor de la Junta de Acción Comunal? En caso afirmativo, ¿resulta ello compatible con el Documento Tipo adoptado mediante la Resolución 358 de 2023 y con las cláusulas de giro y manejo de recursos previstas en la minuta tipo?</w:t>
      </w:r>
    </w:p>
    <w:p w14:paraId="7CBCECF0" w14:textId="735A18F0" w:rsidR="00F34BB1" w:rsidRPr="00F34BB1" w:rsidRDefault="00F34BB1" w:rsidP="00F34BB1">
      <w:pPr>
        <w:spacing w:after="0" w:line="240" w:lineRule="auto"/>
        <w:ind w:left="709" w:right="709"/>
        <w:jc w:val="both"/>
        <w:rPr>
          <w:rFonts w:ascii="Verdana" w:eastAsia="Calibri" w:hAnsi="Verdana" w:cs="Arial"/>
          <w:sz w:val="20"/>
          <w:szCs w:val="20"/>
          <w:shd w:val="clear" w:color="auto" w:fill="FFFFFF"/>
        </w:rPr>
      </w:pPr>
      <w:r w:rsidRPr="00F34BB1">
        <w:rPr>
          <w:rFonts w:ascii="Verdana" w:eastAsia="Calibri" w:hAnsi="Verdana" w:cs="Arial"/>
          <w:sz w:val="20"/>
          <w:szCs w:val="20"/>
          <w:shd w:val="clear" w:color="auto" w:fill="FFFFFF"/>
        </w:rPr>
        <w:t>3. Cuando el aporte del municipio es en especie, ¿cómo debe determinarse la “menor cuantía” a que alude el artículo 95: sobre el valor de los materiales aportados, sobre el valor total de la obra (incluida la mano de obra) o sobre otra base de cálculo?</w:t>
      </w:r>
    </w:p>
    <w:p w14:paraId="7AF84882" w14:textId="67699940" w:rsidR="00550C96" w:rsidRDefault="00F34BB1" w:rsidP="00F34BB1">
      <w:pPr>
        <w:spacing w:after="0" w:line="240" w:lineRule="auto"/>
        <w:ind w:left="709" w:right="709"/>
        <w:jc w:val="both"/>
        <w:rPr>
          <w:rFonts w:ascii="Verdana" w:eastAsia="Calibri" w:hAnsi="Verdana" w:cs="Arial"/>
          <w:sz w:val="20"/>
          <w:szCs w:val="20"/>
          <w:shd w:val="clear" w:color="auto" w:fill="FFFFFF"/>
        </w:rPr>
      </w:pPr>
      <w:r w:rsidRPr="00F34BB1">
        <w:rPr>
          <w:rFonts w:ascii="Verdana" w:eastAsia="Calibri" w:hAnsi="Verdana" w:cs="Arial"/>
          <w:sz w:val="20"/>
          <w:szCs w:val="20"/>
          <w:shd w:val="clear" w:color="auto" w:fill="FFFFFF"/>
        </w:rPr>
        <w:t xml:space="preserve">4. ¿Se entiende cumplida la exigencia del artículo 95 conforme a la cual, para la ejecución de las obras, “deberán contratar con los habitantes de la comunidad”, cuando es la propia Junta de Acción Comunal la que dispone directamente de la mano de obra de sus afiliados o de los habitantes del sector, sin mediar un contrato adicional? </w:t>
      </w:r>
    </w:p>
    <w:p w14:paraId="4BE21E83" w14:textId="55A2F7EA" w:rsidR="00DE26FD" w:rsidRPr="007076F5" w:rsidRDefault="00550C96" w:rsidP="00550C96">
      <w:pPr>
        <w:spacing w:after="0" w:line="240" w:lineRule="auto"/>
        <w:ind w:left="709" w:right="709"/>
        <w:jc w:val="both"/>
        <w:rPr>
          <w:rFonts w:ascii="Verdana" w:eastAsia="Century Gothic" w:hAnsi="Verdana" w:cs="Century Gothic"/>
          <w:sz w:val="20"/>
          <w:szCs w:val="20"/>
          <w:lang w:val="es-ES"/>
        </w:rPr>
      </w:pPr>
      <w:r w:rsidRPr="00550C96">
        <w:rPr>
          <w:rFonts w:ascii="Verdana" w:eastAsia="Calibri" w:hAnsi="Verdana" w:cs="Arial"/>
          <w:sz w:val="20"/>
          <w:szCs w:val="20"/>
          <w:shd w:val="clear" w:color="auto" w:fill="FFFFFF"/>
        </w:rPr>
        <w:t>5. ¿Cuál es la incidencia, sobre la viabilidad y la estructuración de estos convenios, de la suspensión provisional decretada por el Consejo de Estado (auto del 28 de mayo de 2024) respecto del artículo 2.2.15.1.2 del Decreto 1082 de 2015, adicionado por</w:t>
      </w:r>
      <w:r w:rsidR="005311B5">
        <w:rPr>
          <w:rFonts w:ascii="Verdana" w:eastAsia="Calibri" w:hAnsi="Verdana" w:cs="Arial"/>
          <w:sz w:val="20"/>
          <w:szCs w:val="20"/>
          <w:shd w:val="clear" w:color="auto" w:fill="FFFFFF"/>
        </w:rPr>
        <w:t xml:space="preserve"> </w:t>
      </w:r>
      <w:r w:rsidRPr="00550C96">
        <w:rPr>
          <w:rFonts w:ascii="Verdana" w:eastAsia="Calibri" w:hAnsi="Verdana" w:cs="Arial"/>
          <w:sz w:val="20"/>
          <w:szCs w:val="20"/>
          <w:shd w:val="clear" w:color="auto" w:fill="FFFFFF"/>
        </w:rPr>
        <w:t xml:space="preserve">el artículo 15 del Decreto 142 de 2023? ¿Se encuentra vigente dicha reglamentación y, de no estarlo, conforme a qué reglas debe procederse, atendiendo a la aplicación directa del artículo 95? </w:t>
      </w:r>
      <w:r w:rsidR="00DE26FD">
        <w:rPr>
          <w:rFonts w:ascii="Verdana" w:eastAsia="Calibri" w:hAnsi="Verdana" w:cs="Arial"/>
          <w:sz w:val="20"/>
          <w:szCs w:val="20"/>
          <w:shd w:val="clear" w:color="auto" w:fill="FFFFFF"/>
        </w:rPr>
        <w:t>[…]</w:t>
      </w:r>
      <w:r w:rsidR="00DE26FD" w:rsidRPr="00E529C8">
        <w:rPr>
          <w:rFonts w:ascii="Verdana" w:eastAsia="Calibri" w:hAnsi="Verdana" w:cs="Arial"/>
          <w:sz w:val="20"/>
          <w:szCs w:val="20"/>
          <w:shd w:val="clear" w:color="auto" w:fill="FFFFFF"/>
          <w:lang w:val="es-ES"/>
        </w:rPr>
        <w:t>”</w:t>
      </w:r>
    </w:p>
    <w:p w14:paraId="3CB96E9E" w14:textId="77777777" w:rsidR="00DE26FD" w:rsidRPr="00E529C8" w:rsidRDefault="00DE26FD" w:rsidP="00DE26FD">
      <w:pPr>
        <w:tabs>
          <w:tab w:val="left" w:pos="142"/>
          <w:tab w:val="left" w:pos="284"/>
        </w:tabs>
        <w:spacing w:line="276" w:lineRule="auto"/>
        <w:contextualSpacing/>
        <w:jc w:val="both"/>
        <w:rPr>
          <w:rFonts w:ascii="Verdana" w:eastAsia="Century Gothic" w:hAnsi="Verdana" w:cs="Century Gothic"/>
          <w:b/>
          <w:bCs/>
          <w:lang w:val="es-ES"/>
        </w:rPr>
      </w:pPr>
    </w:p>
    <w:p w14:paraId="30D573DF" w14:textId="77777777" w:rsidR="00DE26FD" w:rsidRPr="00E529C8" w:rsidRDefault="00DE26FD" w:rsidP="00DE26FD">
      <w:pPr>
        <w:spacing w:after="120" w:line="276" w:lineRule="auto"/>
        <w:ind w:firstLine="709"/>
        <w:jc w:val="both"/>
        <w:rPr>
          <w:rFonts w:ascii="Verdana" w:eastAsia="Calibri" w:hAnsi="Verdana" w:cs="Arial"/>
          <w:szCs w:val="24"/>
          <w:lang w:val="es-ES_tradnl" w:eastAsia="es-ES_tradnl"/>
        </w:rPr>
      </w:pPr>
      <w:r w:rsidRPr="00E529C8">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529C8">
        <w:rPr>
          <w:rFonts w:ascii="Verdana" w:eastAsia="Calibri" w:hAnsi="Verdana" w:cs="Arial"/>
          <w:szCs w:val="24"/>
          <w:lang w:val="es-ES_tradnl" w:eastAsia="es-ES_tradnl"/>
        </w:rPr>
        <w:tab/>
      </w:r>
    </w:p>
    <w:p w14:paraId="07CB0F00" w14:textId="09BDCC64" w:rsidR="00DE26FD" w:rsidRPr="00E529C8" w:rsidRDefault="00DE26FD" w:rsidP="00DE26FD">
      <w:pPr>
        <w:spacing w:after="0" w:line="276" w:lineRule="auto"/>
        <w:ind w:firstLine="709"/>
        <w:jc w:val="both"/>
        <w:rPr>
          <w:rFonts w:ascii="Verdana" w:eastAsia="Calibri" w:hAnsi="Verdana" w:cs="Arial"/>
          <w:lang w:val="es-ES" w:eastAsia="es-ES"/>
        </w:rPr>
      </w:pPr>
      <w:r w:rsidRPr="00E529C8">
        <w:rPr>
          <w:rFonts w:ascii="Verdana" w:eastAsia="Calibri" w:hAnsi="Verdana" w:cs="Arial"/>
          <w:lang w:val="es-ES" w:eastAsia="es-ES"/>
        </w:rPr>
        <w:t xml:space="preserve">Conforme a lo expuesto, en aras de satisfacer el derecho fundamental de petición se resolverá su consulta dentro de los límites de la referida competencia </w:t>
      </w:r>
      <w:r w:rsidRPr="00E529C8">
        <w:rPr>
          <w:rFonts w:ascii="Verdana" w:eastAsia="Calibri" w:hAnsi="Verdana" w:cs="Arial"/>
          <w:lang w:val="es-ES" w:eastAsia="es-ES"/>
        </w:rPr>
        <w:lastRenderedPageBreak/>
        <w:t xml:space="preserve">consultiva, esto es, haciendo abstracción de las circunstancias particulares y concretas mencionadas en su petición, pero haciendo unas consideraciones sobre las normas generales relacionadas con </w:t>
      </w:r>
      <w:r w:rsidR="00C00488">
        <w:rPr>
          <w:rFonts w:ascii="Verdana" w:eastAsia="Calibri" w:hAnsi="Verdana" w:cs="Arial"/>
          <w:lang w:val="es-ES" w:eastAsia="es-ES"/>
        </w:rPr>
        <w:t>los</w:t>
      </w:r>
      <w:r w:rsidRPr="00E529C8">
        <w:rPr>
          <w:rFonts w:ascii="Verdana" w:eastAsia="Calibri" w:hAnsi="Verdana" w:cs="Arial"/>
          <w:lang w:val="es-ES" w:eastAsia="es-ES"/>
        </w:rPr>
        <w:t xml:space="preserve"> problema</w:t>
      </w:r>
      <w:r w:rsidR="00C00488">
        <w:rPr>
          <w:rFonts w:ascii="Verdana" w:eastAsia="Calibri" w:hAnsi="Verdana" w:cs="Arial"/>
          <w:lang w:val="es-ES" w:eastAsia="es-ES"/>
        </w:rPr>
        <w:t>s</w:t>
      </w:r>
      <w:r w:rsidRPr="00E529C8">
        <w:rPr>
          <w:rFonts w:ascii="Verdana" w:eastAsia="Calibri" w:hAnsi="Verdana" w:cs="Arial"/>
          <w:lang w:val="es-ES" w:eastAsia="es-ES"/>
        </w:rPr>
        <w:t xml:space="preserve"> jurídico</w:t>
      </w:r>
      <w:r w:rsidR="00C00488">
        <w:rPr>
          <w:rFonts w:ascii="Verdana" w:eastAsia="Calibri" w:hAnsi="Verdana" w:cs="Arial"/>
          <w:lang w:val="es-ES" w:eastAsia="es-ES"/>
        </w:rPr>
        <w:t>s</w:t>
      </w:r>
      <w:r w:rsidRPr="00E529C8">
        <w:rPr>
          <w:rFonts w:ascii="Verdana" w:eastAsia="Calibri" w:hAnsi="Verdana" w:cs="Arial"/>
          <w:lang w:val="es-ES" w:eastAsia="es-ES"/>
        </w:rPr>
        <w:t xml:space="preserve"> de su consulta. </w:t>
      </w:r>
    </w:p>
    <w:p w14:paraId="140B3670" w14:textId="77777777" w:rsidR="00DE26FD" w:rsidRPr="00E529C8" w:rsidRDefault="00DE26FD" w:rsidP="00DE26FD">
      <w:pPr>
        <w:spacing w:after="0" w:line="276" w:lineRule="auto"/>
        <w:ind w:firstLine="709"/>
        <w:jc w:val="both"/>
        <w:rPr>
          <w:rFonts w:ascii="Verdana" w:eastAsia="Calibri" w:hAnsi="Verdana" w:cs="Arial"/>
          <w:lang w:val="es-ES" w:eastAsia="es-ES"/>
        </w:rPr>
      </w:pPr>
    </w:p>
    <w:p w14:paraId="0D342C73" w14:textId="3E981250" w:rsidR="00DE26FD" w:rsidRPr="00E529C8" w:rsidRDefault="00DE26FD" w:rsidP="00DE26FD">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rPr>
      </w:pPr>
      <w:r w:rsidRPr="00E529C8">
        <w:rPr>
          <w:rFonts w:ascii="Verdana" w:eastAsia="Century Gothic" w:hAnsi="Verdana" w:cs="Century Gothic"/>
          <w:b/>
          <w:bCs/>
          <w:lang w:val="es-ES"/>
        </w:rPr>
        <w:t>Problema</w:t>
      </w:r>
      <w:r w:rsidR="00C00488">
        <w:rPr>
          <w:rFonts w:ascii="Verdana" w:eastAsia="Century Gothic" w:hAnsi="Verdana" w:cs="Century Gothic"/>
          <w:b/>
          <w:bCs/>
          <w:lang w:val="es-ES"/>
        </w:rPr>
        <w:t>s</w:t>
      </w:r>
      <w:r w:rsidRPr="00E529C8">
        <w:rPr>
          <w:rFonts w:ascii="Verdana" w:eastAsia="Century Gothic" w:hAnsi="Verdana" w:cs="Century Gothic"/>
          <w:b/>
          <w:bCs/>
          <w:lang w:val="es-ES"/>
        </w:rPr>
        <w:t xml:space="preserve"> planteado</w:t>
      </w:r>
      <w:r w:rsidR="00C00488">
        <w:rPr>
          <w:rFonts w:ascii="Verdana" w:eastAsia="Century Gothic" w:hAnsi="Verdana" w:cs="Century Gothic"/>
          <w:b/>
          <w:bCs/>
          <w:lang w:val="es-ES"/>
        </w:rPr>
        <w:t>s</w:t>
      </w:r>
      <w:r w:rsidRPr="00E529C8">
        <w:rPr>
          <w:rFonts w:ascii="Verdana" w:eastAsia="Century Gothic" w:hAnsi="Verdana" w:cs="Century Gothic"/>
          <w:b/>
          <w:bCs/>
          <w:lang w:val="es-ES"/>
        </w:rPr>
        <w:t>:</w:t>
      </w:r>
    </w:p>
    <w:p w14:paraId="2599EF60" w14:textId="77777777" w:rsidR="00DE26FD" w:rsidRPr="00E529C8" w:rsidRDefault="00DE26FD" w:rsidP="00DE26FD">
      <w:pPr>
        <w:tabs>
          <w:tab w:val="left" w:pos="426"/>
        </w:tabs>
        <w:spacing w:after="0" w:line="276" w:lineRule="auto"/>
        <w:jc w:val="both"/>
        <w:rPr>
          <w:rFonts w:ascii="Verdana" w:eastAsia="Century Gothic" w:hAnsi="Verdana" w:cs="Century Gothic"/>
          <w:lang w:val="es-ES"/>
        </w:rPr>
      </w:pPr>
    </w:p>
    <w:p w14:paraId="79FCFFE4" w14:textId="3F9711AF" w:rsidR="00DE26FD" w:rsidRDefault="00DE26FD" w:rsidP="00DE26FD">
      <w:pPr>
        <w:snapToGrid w:val="0"/>
        <w:spacing w:after="0" w:line="276" w:lineRule="auto"/>
        <w:jc w:val="both"/>
        <w:rPr>
          <w:rFonts w:ascii="Verdana" w:eastAsia="Century Gothic" w:hAnsi="Verdana" w:cs="Century Gothic"/>
        </w:rPr>
      </w:pPr>
      <w:r w:rsidRPr="00E529C8">
        <w:rPr>
          <w:rFonts w:ascii="Verdana" w:eastAsia="Century Gothic" w:hAnsi="Verdana" w:cs="Century Gothic"/>
        </w:rPr>
        <w:t>De acuerdo con el contenido de su solicitud, esta Agencia resolverá el siguiente problema jurídico:</w:t>
      </w:r>
      <w:r w:rsidR="00AD1309">
        <w:rPr>
          <w:rFonts w:ascii="Verdana" w:eastAsia="Century Gothic" w:hAnsi="Verdana" w:cs="Century Gothic"/>
        </w:rPr>
        <w:t xml:space="preserve"> i) ¿Es viable celebrar un convenio solidario donde la entidad estatal solo realice aportes en especie</w:t>
      </w:r>
      <w:r w:rsidR="008A5799">
        <w:rPr>
          <w:rFonts w:ascii="Verdana" w:eastAsia="Century Gothic" w:hAnsi="Verdana" w:cs="Century Gothic"/>
        </w:rPr>
        <w:t>,</w:t>
      </w:r>
      <w:r w:rsidR="002C5468">
        <w:rPr>
          <w:rFonts w:ascii="Verdana" w:eastAsia="Century Gothic" w:hAnsi="Verdana" w:cs="Century Gothic"/>
        </w:rPr>
        <w:t xml:space="preserve"> cómo se calcula la menor cuantía</w:t>
      </w:r>
      <w:r w:rsidR="008A5799">
        <w:rPr>
          <w:rFonts w:ascii="Verdana" w:eastAsia="Century Gothic" w:hAnsi="Verdana" w:cs="Century Gothic"/>
        </w:rPr>
        <w:t xml:space="preserve"> y esto es compatible con los Documentos Tipo para convenios solidarios?</w:t>
      </w:r>
      <w:r w:rsidR="00C94B86">
        <w:rPr>
          <w:rFonts w:ascii="Verdana" w:eastAsia="Century Gothic" w:hAnsi="Verdana" w:cs="Century Gothic"/>
        </w:rPr>
        <w:t xml:space="preserve">; </w:t>
      </w:r>
      <w:proofErr w:type="spellStart"/>
      <w:r w:rsidR="00C94B86">
        <w:rPr>
          <w:rFonts w:ascii="Verdana" w:eastAsia="Century Gothic" w:hAnsi="Verdana" w:cs="Century Gothic"/>
        </w:rPr>
        <w:t>ii</w:t>
      </w:r>
      <w:proofErr w:type="spellEnd"/>
      <w:r w:rsidR="00C94B86">
        <w:rPr>
          <w:rFonts w:ascii="Verdana" w:eastAsia="Century Gothic" w:hAnsi="Verdana" w:cs="Century Gothic"/>
        </w:rPr>
        <w:t>) ¿</w:t>
      </w:r>
      <w:r w:rsidR="00C94B86" w:rsidRPr="00C94B86">
        <w:rPr>
          <w:rFonts w:ascii="Verdana" w:eastAsia="Century Gothic" w:hAnsi="Verdana" w:cs="Century Gothic"/>
        </w:rPr>
        <w:t xml:space="preserve">Se </w:t>
      </w:r>
      <w:r w:rsidR="00C94B86">
        <w:rPr>
          <w:rFonts w:ascii="Verdana" w:eastAsia="Century Gothic" w:hAnsi="Verdana" w:cs="Century Gothic"/>
        </w:rPr>
        <w:t>cumple</w:t>
      </w:r>
      <w:r w:rsidR="00C94B86" w:rsidRPr="00C94B86">
        <w:rPr>
          <w:rFonts w:ascii="Verdana" w:eastAsia="Century Gothic" w:hAnsi="Verdana" w:cs="Century Gothic"/>
        </w:rPr>
        <w:t xml:space="preserve"> la exigencia </w:t>
      </w:r>
      <w:r w:rsidR="00C94B86">
        <w:rPr>
          <w:rFonts w:ascii="Verdana" w:eastAsia="Century Gothic" w:hAnsi="Verdana" w:cs="Century Gothic"/>
        </w:rPr>
        <w:t>de</w:t>
      </w:r>
      <w:r w:rsidR="00C94B86" w:rsidRPr="00C94B86">
        <w:rPr>
          <w:rFonts w:ascii="Verdana" w:eastAsia="Century Gothic" w:hAnsi="Verdana" w:cs="Century Gothic"/>
        </w:rPr>
        <w:t xml:space="preserve"> contratar con los habitantes de la comunidad, cuando </w:t>
      </w:r>
      <w:r w:rsidR="007A5D6D">
        <w:rPr>
          <w:rFonts w:ascii="Verdana" w:eastAsia="Century Gothic" w:hAnsi="Verdana" w:cs="Century Gothic"/>
        </w:rPr>
        <w:t xml:space="preserve">la </w:t>
      </w:r>
      <w:r w:rsidR="00C94B86" w:rsidRPr="00C94B86">
        <w:rPr>
          <w:rFonts w:ascii="Verdana" w:eastAsia="Century Gothic" w:hAnsi="Verdana" w:cs="Century Gothic"/>
        </w:rPr>
        <w:t xml:space="preserve">Junta de Acción Comunal dispone la mano de obra </w:t>
      </w:r>
      <w:r w:rsidR="007A5D6D">
        <w:rPr>
          <w:rFonts w:ascii="Verdana" w:eastAsia="Century Gothic" w:hAnsi="Verdana" w:cs="Century Gothic"/>
        </w:rPr>
        <w:t>con</w:t>
      </w:r>
      <w:r w:rsidR="00C94B86" w:rsidRPr="00C94B86">
        <w:rPr>
          <w:rFonts w:ascii="Verdana" w:eastAsia="Century Gothic" w:hAnsi="Verdana" w:cs="Century Gothic"/>
        </w:rPr>
        <w:t xml:space="preserve"> sus afiliados o los habitantes del sector, sin mediar un contrato adicional</w:t>
      </w:r>
      <w:r w:rsidR="007A5D6D">
        <w:rPr>
          <w:rFonts w:ascii="Verdana" w:eastAsia="Century Gothic" w:hAnsi="Verdana" w:cs="Century Gothic"/>
        </w:rPr>
        <w:t>?</w:t>
      </w:r>
      <w:r w:rsidR="002F524F">
        <w:rPr>
          <w:rFonts w:ascii="Verdana" w:eastAsia="Century Gothic" w:hAnsi="Verdana" w:cs="Century Gothic"/>
        </w:rPr>
        <w:t xml:space="preserve"> y</w:t>
      </w:r>
      <w:r w:rsidRPr="00E529C8">
        <w:rPr>
          <w:rFonts w:ascii="Verdana" w:eastAsia="Century Gothic" w:hAnsi="Verdana" w:cs="Century Gothic"/>
        </w:rPr>
        <w:t xml:space="preserve"> </w:t>
      </w:r>
      <w:proofErr w:type="spellStart"/>
      <w:r w:rsidR="002F524F">
        <w:rPr>
          <w:rFonts w:ascii="Verdana" w:eastAsia="Century Gothic" w:hAnsi="Verdana" w:cs="Century Gothic"/>
        </w:rPr>
        <w:t>iii</w:t>
      </w:r>
      <w:proofErr w:type="spellEnd"/>
      <w:r w:rsidR="002F524F">
        <w:rPr>
          <w:rFonts w:ascii="Verdana" w:eastAsia="Century Gothic" w:hAnsi="Verdana" w:cs="Century Gothic"/>
        </w:rPr>
        <w:t xml:space="preserve">) </w:t>
      </w:r>
      <w:r w:rsidRPr="00E009CA">
        <w:rPr>
          <w:rFonts w:ascii="Verdana" w:eastAsia="Century Gothic" w:hAnsi="Verdana" w:cs="Century Gothic"/>
        </w:rPr>
        <w:t>¿</w:t>
      </w:r>
      <w:r w:rsidR="000C7E5E">
        <w:rPr>
          <w:rFonts w:ascii="Verdana" w:eastAsia="Century Gothic" w:hAnsi="Verdana" w:cs="Century Gothic"/>
        </w:rPr>
        <w:t>Se pueden suscribir convenios solidarios entre los Organismos de Acción Comunal y las Entidades Estatales, por la decisión del Consejo de Estado plasmada en el auto que decretó la suspensión provisional de los efectos del artículo 2.2.15.1.2 del Decreto 1082 de 2015?</w:t>
      </w:r>
    </w:p>
    <w:p w14:paraId="448A43BF" w14:textId="77777777" w:rsidR="00941D0E" w:rsidRDefault="00941D0E" w:rsidP="00DE26FD">
      <w:pPr>
        <w:snapToGrid w:val="0"/>
        <w:spacing w:after="0" w:line="276" w:lineRule="auto"/>
        <w:jc w:val="both"/>
        <w:rPr>
          <w:rFonts w:ascii="Verdana" w:eastAsia="Century Gothic" w:hAnsi="Verdana" w:cs="Century Gothic"/>
        </w:rPr>
      </w:pPr>
    </w:p>
    <w:p w14:paraId="79F1D705" w14:textId="3FE8CDB9" w:rsidR="00DE26FD" w:rsidRPr="00E529C8" w:rsidRDefault="00941D0E" w:rsidP="00DE26FD">
      <w:pPr>
        <w:snapToGrid w:val="0"/>
        <w:spacing w:after="0" w:line="276" w:lineRule="auto"/>
        <w:jc w:val="both"/>
        <w:rPr>
          <w:rFonts w:ascii="Verdana" w:eastAsia="Century Gothic" w:hAnsi="Verdana" w:cs="Century Gothic"/>
          <w:b/>
          <w:bCs/>
          <w:lang w:val="es-ES"/>
        </w:rPr>
      </w:pPr>
      <w:r>
        <w:rPr>
          <w:rFonts w:ascii="Verdana" w:eastAsia="Century Gothic" w:hAnsi="Verdana" w:cs="Century Gothic"/>
          <w:b/>
          <w:bCs/>
          <w:lang w:val="es-ES"/>
        </w:rPr>
        <w:t xml:space="preserve">2. </w:t>
      </w:r>
      <w:r w:rsidR="00DE26FD" w:rsidRPr="00E529C8">
        <w:rPr>
          <w:rFonts w:ascii="Verdana" w:eastAsia="Century Gothic" w:hAnsi="Verdana" w:cs="Century Gothic"/>
          <w:b/>
          <w:bCs/>
          <w:lang w:val="es-ES"/>
        </w:rPr>
        <w:t>Respuesta</w:t>
      </w:r>
      <w:r w:rsidR="00003DD1">
        <w:rPr>
          <w:rFonts w:ascii="Verdana" w:eastAsia="Century Gothic" w:hAnsi="Verdana" w:cs="Century Gothic"/>
          <w:b/>
          <w:bCs/>
          <w:lang w:val="es-ES"/>
        </w:rPr>
        <w:t>s</w:t>
      </w:r>
      <w:r w:rsidR="00DE26FD" w:rsidRPr="00E529C8">
        <w:rPr>
          <w:rFonts w:ascii="Verdana" w:eastAsia="Century Gothic" w:hAnsi="Verdana" w:cs="Century Gothic"/>
          <w:b/>
          <w:bCs/>
          <w:lang w:val="es-ES"/>
        </w:rPr>
        <w:t>:</w:t>
      </w:r>
    </w:p>
    <w:p w14:paraId="4DD2CB22" w14:textId="77777777" w:rsidR="00DE26FD" w:rsidRPr="00E529C8" w:rsidRDefault="00DE26FD" w:rsidP="00DE26FD">
      <w:pPr>
        <w:tabs>
          <w:tab w:val="left" w:pos="142"/>
          <w:tab w:val="left" w:pos="284"/>
        </w:tabs>
        <w:snapToGrid w:val="0"/>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E26FD" w:rsidRPr="00E529C8" w14:paraId="2656DA18" w14:textId="77777777" w:rsidTr="005806C6">
        <w:tc>
          <w:tcPr>
            <w:tcW w:w="8828" w:type="dxa"/>
          </w:tcPr>
          <w:p w14:paraId="68412C4D" w14:textId="10FD364B" w:rsidR="002F524F" w:rsidRDefault="002F524F" w:rsidP="00364873">
            <w:pPr>
              <w:spacing w:after="120" w:line="276" w:lineRule="auto"/>
              <w:jc w:val="both"/>
              <w:rPr>
                <w:rFonts w:ascii="Verdana" w:eastAsia="Calibri" w:hAnsi="Verdana" w:cs="Arial"/>
                <w:lang w:val="es-ES"/>
              </w:rPr>
            </w:pPr>
            <w:r>
              <w:rPr>
                <w:rFonts w:ascii="Verdana" w:eastAsia="Calibri" w:hAnsi="Verdana" w:cs="Arial"/>
                <w:lang w:val="es-ES"/>
              </w:rPr>
              <w:t>i)</w:t>
            </w:r>
            <w:r w:rsidR="00AD1833">
              <w:rPr>
                <w:rFonts w:ascii="Verdana" w:eastAsia="Calibri" w:hAnsi="Verdana" w:cs="Arial"/>
                <w:lang w:val="es-ES"/>
              </w:rPr>
              <w:t xml:space="preserve"> </w:t>
            </w:r>
            <w:r w:rsidR="00C02C4A">
              <w:rPr>
                <w:rFonts w:ascii="Verdana" w:eastAsia="Calibri" w:hAnsi="Verdana" w:cs="Arial"/>
                <w:lang w:val="es-ES"/>
              </w:rPr>
              <w:t xml:space="preserve">El </w:t>
            </w:r>
            <w:r w:rsidR="00C02C4A" w:rsidRPr="00C02C4A">
              <w:rPr>
                <w:rFonts w:ascii="Verdana" w:eastAsia="Calibri" w:hAnsi="Verdana" w:cs="Arial"/>
                <w:lang w:val="es-ES"/>
              </w:rPr>
              <w:t>Documento tipo para la contratación directa de convenios solidarios para la ejecución de obras hasta la menor cuantía con organismos de acción comunal</w:t>
            </w:r>
            <w:r w:rsidR="00C02C4A">
              <w:rPr>
                <w:rFonts w:ascii="Verdana" w:eastAsia="Calibri" w:hAnsi="Verdana" w:cs="Arial"/>
                <w:lang w:val="es-ES"/>
              </w:rPr>
              <w:t>, en</w:t>
            </w:r>
            <w:r w:rsidR="0091170E">
              <w:rPr>
                <w:rFonts w:ascii="Verdana" w:eastAsia="Calibri" w:hAnsi="Verdana" w:cs="Arial"/>
                <w:lang w:val="es-ES"/>
              </w:rPr>
              <w:t xml:space="preserve"> la cláusula 5</w:t>
            </w:r>
            <w:r w:rsidR="003C57A4">
              <w:rPr>
                <w:rFonts w:ascii="Verdana" w:eastAsia="Calibri" w:hAnsi="Verdana" w:cs="Arial"/>
                <w:lang w:val="es-ES"/>
              </w:rPr>
              <w:t xml:space="preserve"> sobre valor del convenio</w:t>
            </w:r>
            <w:r w:rsidR="00C02C4A">
              <w:rPr>
                <w:rFonts w:ascii="Verdana" w:eastAsia="Calibri" w:hAnsi="Verdana" w:cs="Arial"/>
                <w:lang w:val="es-ES"/>
              </w:rPr>
              <w:t xml:space="preserve"> </w:t>
            </w:r>
            <w:r w:rsidR="0091170E">
              <w:rPr>
                <w:rFonts w:ascii="Verdana" w:eastAsia="Calibri" w:hAnsi="Verdana" w:cs="Arial"/>
                <w:lang w:val="es-ES"/>
              </w:rPr>
              <w:t>d</w:t>
            </w:r>
            <w:r w:rsidR="00A42200">
              <w:rPr>
                <w:rFonts w:ascii="Verdana" w:eastAsia="Calibri" w:hAnsi="Verdana" w:cs="Arial"/>
                <w:lang w:val="es-ES"/>
              </w:rPr>
              <w:t>e</w:t>
            </w:r>
            <w:r w:rsidR="000E0163">
              <w:rPr>
                <w:rFonts w:ascii="Verdana" w:eastAsia="Calibri" w:hAnsi="Verdana" w:cs="Arial"/>
                <w:lang w:val="es-ES"/>
              </w:rPr>
              <w:t xml:space="preserve"> </w:t>
            </w:r>
            <w:r w:rsidR="00A42200">
              <w:rPr>
                <w:rFonts w:ascii="Verdana" w:eastAsia="Calibri" w:hAnsi="Verdana" w:cs="Arial"/>
                <w:lang w:val="es-ES"/>
              </w:rPr>
              <w:t>l</w:t>
            </w:r>
            <w:r w:rsidR="000E0163">
              <w:rPr>
                <w:rFonts w:ascii="Verdana" w:eastAsia="Calibri" w:hAnsi="Verdana" w:cs="Arial"/>
                <w:lang w:val="es-ES"/>
              </w:rPr>
              <w:t>a</w:t>
            </w:r>
            <w:r w:rsidR="00A42200">
              <w:rPr>
                <w:rFonts w:ascii="Verdana" w:eastAsia="Calibri" w:hAnsi="Verdana" w:cs="Arial"/>
                <w:lang w:val="es-ES"/>
              </w:rPr>
              <w:t xml:space="preserve"> “</w:t>
            </w:r>
            <w:r w:rsidR="006429FA">
              <w:rPr>
                <w:rFonts w:ascii="Verdana" w:eastAsia="Calibri" w:hAnsi="Verdana" w:cs="Arial"/>
                <w:lang w:val="es-ES"/>
              </w:rPr>
              <w:t>Minuta tipo</w:t>
            </w:r>
            <w:r w:rsidR="0091170E">
              <w:t xml:space="preserve"> </w:t>
            </w:r>
            <w:r w:rsidR="0091170E" w:rsidRPr="0091170E">
              <w:rPr>
                <w:rFonts w:ascii="Verdana" w:eastAsia="Calibri" w:hAnsi="Verdana" w:cs="Arial"/>
                <w:lang w:val="es-ES"/>
              </w:rPr>
              <w:t>convenio solidario para la ejecución de obras</w:t>
            </w:r>
            <w:r w:rsidR="0091170E">
              <w:rPr>
                <w:rFonts w:ascii="Verdana" w:eastAsia="Calibri" w:hAnsi="Verdana" w:cs="Arial"/>
                <w:lang w:val="es-ES"/>
              </w:rPr>
              <w:t>”</w:t>
            </w:r>
            <w:r w:rsidR="00DF0AC9">
              <w:rPr>
                <w:rFonts w:ascii="Verdana" w:eastAsia="Calibri" w:hAnsi="Verdana" w:cs="Arial"/>
                <w:lang w:val="es-ES"/>
              </w:rPr>
              <w:t xml:space="preserve">, dispone la posibilidad de aportes en dinero o en especie siempre que se </w:t>
            </w:r>
            <w:r w:rsidR="0022402C">
              <w:rPr>
                <w:rFonts w:ascii="Verdana" w:eastAsia="Calibri" w:hAnsi="Verdana" w:cs="Arial"/>
                <w:lang w:val="es-ES"/>
              </w:rPr>
              <w:t>estime el valor de los aportes en especie</w:t>
            </w:r>
            <w:r w:rsidR="000E0163">
              <w:rPr>
                <w:rFonts w:ascii="Verdana" w:eastAsia="Calibri" w:hAnsi="Verdana" w:cs="Arial"/>
                <w:lang w:val="es-ES"/>
              </w:rPr>
              <w:t>,</w:t>
            </w:r>
            <w:r w:rsidR="0022402C">
              <w:rPr>
                <w:rFonts w:ascii="Verdana" w:eastAsia="Calibri" w:hAnsi="Verdana" w:cs="Arial"/>
                <w:lang w:val="es-ES"/>
              </w:rPr>
              <w:t xml:space="preserve"> en letras y en números</w:t>
            </w:r>
            <w:r w:rsidR="000E0163">
              <w:rPr>
                <w:rFonts w:ascii="Verdana" w:eastAsia="Calibri" w:hAnsi="Verdana" w:cs="Arial"/>
                <w:lang w:val="es-ES"/>
              </w:rPr>
              <w:t>,</w:t>
            </w:r>
            <w:r w:rsidR="0022402C">
              <w:rPr>
                <w:rFonts w:ascii="Verdana" w:eastAsia="Calibri" w:hAnsi="Verdana" w:cs="Arial"/>
                <w:lang w:val="es-ES"/>
              </w:rPr>
              <w:t xml:space="preserve"> y su equivalencia en salarios mínimos.</w:t>
            </w:r>
            <w:r w:rsidR="003C57A4">
              <w:rPr>
                <w:rFonts w:ascii="Verdana" w:eastAsia="Calibri" w:hAnsi="Verdana" w:cs="Arial"/>
                <w:lang w:val="es-ES"/>
              </w:rPr>
              <w:t xml:space="preserve"> </w:t>
            </w:r>
            <w:r w:rsidR="00E131E4">
              <w:rPr>
                <w:rFonts w:ascii="Verdana" w:eastAsia="Calibri" w:hAnsi="Verdana" w:cs="Arial"/>
                <w:lang w:val="es-ES"/>
              </w:rPr>
              <w:t xml:space="preserve">Esto aplica para ambas partes del convenio, esto es la Entidad Estatal y </w:t>
            </w:r>
            <w:r w:rsidR="008052F7">
              <w:rPr>
                <w:rFonts w:ascii="Verdana" w:eastAsia="Calibri" w:hAnsi="Verdana" w:cs="Arial"/>
                <w:lang w:val="es-ES"/>
              </w:rPr>
              <w:t>el</w:t>
            </w:r>
            <w:r w:rsidR="00E131E4">
              <w:rPr>
                <w:rFonts w:ascii="Verdana" w:eastAsia="Calibri" w:hAnsi="Verdana" w:cs="Arial"/>
                <w:lang w:val="es-ES"/>
              </w:rPr>
              <w:t xml:space="preserve"> </w:t>
            </w:r>
            <w:r w:rsidR="008052F7">
              <w:rPr>
                <w:rFonts w:ascii="Verdana" w:eastAsia="Calibri" w:hAnsi="Verdana" w:cs="Arial"/>
                <w:lang w:val="es-ES"/>
              </w:rPr>
              <w:t>O</w:t>
            </w:r>
            <w:r w:rsidR="00E131E4">
              <w:rPr>
                <w:rFonts w:ascii="Verdana" w:eastAsia="Calibri" w:hAnsi="Verdana" w:cs="Arial"/>
                <w:lang w:val="es-ES"/>
              </w:rPr>
              <w:t>AC.</w:t>
            </w:r>
          </w:p>
          <w:p w14:paraId="52AA9F1F" w14:textId="58858DE4" w:rsidR="00364873" w:rsidRDefault="00364873" w:rsidP="00364873">
            <w:pPr>
              <w:spacing w:after="120" w:line="276" w:lineRule="auto"/>
              <w:ind w:firstLine="709"/>
              <w:jc w:val="both"/>
              <w:rPr>
                <w:rFonts w:ascii="Verdana" w:eastAsia="Calibri" w:hAnsi="Verdana" w:cs="Arial"/>
                <w:lang w:val="es-ES"/>
              </w:rPr>
            </w:pPr>
            <w:r>
              <w:rPr>
                <w:rFonts w:ascii="Verdana" w:eastAsia="Calibri" w:hAnsi="Verdana" w:cs="Arial"/>
                <w:lang w:val="es-ES"/>
              </w:rPr>
              <w:t>Respecto al cálculo de la menor cuantía, la Guía para la celebración de convenios solidarios de esta Agencia señala que</w:t>
            </w:r>
            <w:r w:rsidR="00BD5A9C">
              <w:rPr>
                <w:rFonts w:ascii="Verdana" w:eastAsia="Calibri" w:hAnsi="Verdana" w:cs="Arial"/>
                <w:lang w:val="es-ES"/>
              </w:rPr>
              <w:t>:</w:t>
            </w:r>
          </w:p>
          <w:p w14:paraId="423DA100" w14:textId="6E492A23" w:rsidR="00BD5A9C" w:rsidRDefault="00BD5A9C" w:rsidP="00BD5A9C">
            <w:pPr>
              <w:shd w:val="clear" w:color="auto" w:fill="FFFFFF"/>
              <w:ind w:left="709" w:right="709"/>
              <w:jc w:val="both"/>
              <w:rPr>
                <w:rFonts w:ascii="Verdana" w:eastAsia="Aptos" w:hAnsi="Verdana" w:cs="Arial"/>
                <w:bCs/>
                <w:color w:val="000000"/>
                <w:sz w:val="21"/>
                <w:szCs w:val="21"/>
                <w:lang w:eastAsia="es-MX"/>
              </w:rPr>
            </w:pPr>
            <w:r w:rsidRPr="00BD5A9C">
              <w:rPr>
                <w:rFonts w:ascii="Verdana" w:eastAsia="Aptos" w:hAnsi="Verdana" w:cs="Arial"/>
                <w:bCs/>
                <w:color w:val="000000"/>
                <w:sz w:val="21"/>
                <w:szCs w:val="21"/>
                <w:lang w:eastAsia="es-MX"/>
              </w:rPr>
              <w:t xml:space="preserve">“(…) Para determinar el tope de la menor cuantía de la Entidad Estatal se atenderá lo previsto en el literal b) del artículo 2 de la Ley 1150 de 2007. De igual forma, en el valor total del convenio, la entidad podrá incluir los costos directos, los costos administrativos y el subsidio al dignatario representante legal para transportes de que trata el literal c) del artículo 38 de la Ley 2166 de 2022. Estos </w:t>
            </w:r>
            <w:r w:rsidRPr="00BD5A9C">
              <w:rPr>
                <w:rFonts w:ascii="Verdana" w:eastAsia="Aptos" w:hAnsi="Verdana" w:cs="Arial"/>
                <w:bCs/>
                <w:color w:val="000000"/>
                <w:sz w:val="21"/>
                <w:szCs w:val="21"/>
                <w:lang w:eastAsia="es-MX"/>
              </w:rPr>
              <w:lastRenderedPageBreak/>
              <w:t>costos deberán incluirse en el ejercicio de planeación que realice la entidad y estar debidamente justificados (…)”</w:t>
            </w:r>
            <w:r w:rsidR="00F26982">
              <w:rPr>
                <w:rStyle w:val="Refdenotaalpie"/>
                <w:rFonts w:ascii="Verdana" w:eastAsia="Aptos" w:hAnsi="Verdana" w:cs="Arial"/>
                <w:bCs/>
                <w:color w:val="000000"/>
                <w:sz w:val="21"/>
                <w:szCs w:val="21"/>
                <w:lang w:eastAsia="es-MX"/>
              </w:rPr>
              <w:footnoteReference w:id="2"/>
            </w:r>
            <w:r w:rsidRPr="00BD5A9C">
              <w:rPr>
                <w:rFonts w:ascii="Verdana" w:eastAsia="Aptos" w:hAnsi="Verdana" w:cs="Arial"/>
                <w:bCs/>
                <w:color w:val="000000"/>
                <w:sz w:val="21"/>
                <w:szCs w:val="21"/>
                <w:lang w:eastAsia="es-MX"/>
              </w:rPr>
              <w:t>.</w:t>
            </w:r>
          </w:p>
          <w:p w14:paraId="28AA4509" w14:textId="77777777" w:rsidR="00BD5A9C" w:rsidRDefault="00BD5A9C" w:rsidP="00BD5A9C">
            <w:pPr>
              <w:shd w:val="clear" w:color="auto" w:fill="FFFFFF"/>
              <w:ind w:left="709" w:right="709"/>
              <w:jc w:val="both"/>
              <w:rPr>
                <w:rFonts w:ascii="Verdana" w:eastAsia="Aptos" w:hAnsi="Verdana" w:cs="Arial"/>
                <w:bCs/>
                <w:color w:val="000000"/>
                <w:sz w:val="21"/>
                <w:szCs w:val="21"/>
                <w:lang w:eastAsia="es-MX"/>
              </w:rPr>
            </w:pPr>
          </w:p>
          <w:p w14:paraId="2250CD80" w14:textId="76BEBAA7" w:rsidR="0066522A" w:rsidRDefault="00BD5A9C" w:rsidP="006F2065">
            <w:pPr>
              <w:spacing w:after="120" w:line="276" w:lineRule="auto"/>
              <w:ind w:firstLine="709"/>
              <w:jc w:val="both"/>
              <w:rPr>
                <w:rFonts w:ascii="Verdana" w:eastAsia="Calibri" w:hAnsi="Verdana" w:cs="Arial"/>
                <w:lang w:val="es-ES"/>
              </w:rPr>
            </w:pPr>
            <w:r>
              <w:rPr>
                <w:rFonts w:ascii="Verdana" w:eastAsia="Aptos" w:hAnsi="Verdana" w:cs="Arial"/>
                <w:bCs/>
                <w:color w:val="000000"/>
                <w:sz w:val="21"/>
                <w:szCs w:val="21"/>
                <w:lang w:eastAsia="es-MX"/>
              </w:rPr>
              <w:t xml:space="preserve">Por </w:t>
            </w:r>
            <w:r w:rsidRPr="00BD5A9C">
              <w:rPr>
                <w:rFonts w:ascii="Verdana" w:eastAsia="Calibri" w:hAnsi="Verdana" w:cs="Arial"/>
                <w:lang w:val="es-ES"/>
              </w:rPr>
              <w:t>tanto</w:t>
            </w:r>
            <w:r>
              <w:rPr>
                <w:rFonts w:ascii="Verdana" w:eastAsia="Calibri" w:hAnsi="Verdana" w:cs="Arial"/>
                <w:lang w:val="es-ES"/>
              </w:rPr>
              <w:t xml:space="preserve">, es claro que </w:t>
            </w:r>
            <w:r w:rsidR="005321FE">
              <w:rPr>
                <w:rFonts w:ascii="Verdana" w:eastAsia="Calibri" w:hAnsi="Verdana" w:cs="Arial"/>
                <w:lang w:val="es-ES"/>
              </w:rPr>
              <w:t>el valor total del convenio será el referente para determinar el tope de la menor cuantía, lo que significa la suma de los aportes en dinero y en especie, y estos últimos al estar valora</w:t>
            </w:r>
            <w:r w:rsidR="00351A0E">
              <w:rPr>
                <w:rFonts w:ascii="Verdana" w:eastAsia="Calibri" w:hAnsi="Verdana" w:cs="Arial"/>
                <w:lang w:val="es-ES"/>
              </w:rPr>
              <w:t>dos, se suman con todos los aportes de todas las partes del convenio.</w:t>
            </w:r>
          </w:p>
          <w:p w14:paraId="69769C52" w14:textId="0291B045" w:rsidR="002F524F" w:rsidRDefault="002F524F" w:rsidP="00F169A7">
            <w:pPr>
              <w:spacing w:line="276" w:lineRule="auto"/>
              <w:jc w:val="both"/>
              <w:rPr>
                <w:rFonts w:ascii="Verdana" w:eastAsia="Calibri" w:hAnsi="Verdana" w:cs="Arial"/>
                <w:lang w:val="es-ES"/>
              </w:rPr>
            </w:pPr>
            <w:proofErr w:type="spellStart"/>
            <w:r>
              <w:rPr>
                <w:rFonts w:ascii="Verdana" w:eastAsia="Calibri" w:hAnsi="Verdana" w:cs="Arial"/>
                <w:lang w:val="es-ES"/>
              </w:rPr>
              <w:t>ii</w:t>
            </w:r>
            <w:proofErr w:type="spellEnd"/>
            <w:r>
              <w:rPr>
                <w:rFonts w:ascii="Verdana" w:eastAsia="Calibri" w:hAnsi="Verdana" w:cs="Arial"/>
                <w:lang w:val="es-ES"/>
              </w:rPr>
              <w:t>)</w:t>
            </w:r>
            <w:r w:rsidR="00E24673">
              <w:rPr>
                <w:rFonts w:ascii="Verdana" w:eastAsia="Calibri" w:hAnsi="Verdana" w:cs="Arial"/>
                <w:lang w:val="es-ES"/>
              </w:rPr>
              <w:t xml:space="preserve"> De acuerdo con la </w:t>
            </w:r>
            <w:r w:rsidR="00C6078A">
              <w:rPr>
                <w:rFonts w:ascii="Verdana" w:eastAsia="Calibri" w:hAnsi="Verdana" w:cs="Arial"/>
                <w:lang w:val="es-ES"/>
              </w:rPr>
              <w:t>Guía para la celebración de convenios solidarios de esta Agencia, la vinculación de los hab</w:t>
            </w:r>
            <w:r w:rsidR="00273BDE">
              <w:rPr>
                <w:rFonts w:ascii="Verdana" w:eastAsia="Calibri" w:hAnsi="Verdana" w:cs="Arial"/>
                <w:lang w:val="es-ES"/>
              </w:rPr>
              <w:t>itantes de la comunidad es un aspecto que debe ser definido en los Documentos del Proceso, por lo que la</w:t>
            </w:r>
            <w:r w:rsidR="00716019">
              <w:rPr>
                <w:rFonts w:ascii="Verdana" w:eastAsia="Calibri" w:hAnsi="Verdana" w:cs="Arial"/>
                <w:lang w:val="es-ES"/>
              </w:rPr>
              <w:t>s partes en su autonomía contractual d</w:t>
            </w:r>
            <w:r w:rsidR="00996491">
              <w:rPr>
                <w:rFonts w:ascii="Verdana" w:eastAsia="Calibri" w:hAnsi="Verdana" w:cs="Arial"/>
                <w:lang w:val="es-ES"/>
              </w:rPr>
              <w:t>eben determinar la forma de vinculación y si se debe o no realizar u</w:t>
            </w:r>
            <w:r w:rsidR="00B5700B">
              <w:rPr>
                <w:rFonts w:ascii="Verdana" w:eastAsia="Calibri" w:hAnsi="Verdana" w:cs="Arial"/>
                <w:lang w:val="es-ES"/>
              </w:rPr>
              <w:t>n contrato adicional:</w:t>
            </w:r>
          </w:p>
          <w:p w14:paraId="6ACF83AF" w14:textId="77777777" w:rsidR="005A2003" w:rsidRDefault="005A2003" w:rsidP="00F169A7">
            <w:pPr>
              <w:spacing w:line="276" w:lineRule="auto"/>
              <w:jc w:val="both"/>
              <w:rPr>
                <w:rFonts w:ascii="Verdana" w:eastAsia="Calibri" w:hAnsi="Verdana" w:cs="Arial"/>
                <w:lang w:val="es-ES"/>
              </w:rPr>
            </w:pPr>
          </w:p>
          <w:p w14:paraId="3E21E4CD" w14:textId="299E127E" w:rsidR="005A2003" w:rsidRDefault="005A2003" w:rsidP="005A2003">
            <w:pPr>
              <w:shd w:val="clear" w:color="auto" w:fill="FFFFFF"/>
              <w:ind w:left="709" w:right="709"/>
              <w:jc w:val="both"/>
              <w:rPr>
                <w:rFonts w:ascii="Verdana" w:eastAsia="Aptos" w:hAnsi="Verdana" w:cs="Arial"/>
                <w:bCs/>
                <w:color w:val="000000"/>
                <w:sz w:val="21"/>
                <w:szCs w:val="21"/>
                <w:lang w:eastAsia="es-MX"/>
              </w:rPr>
            </w:pPr>
            <w:r w:rsidRPr="005A2003">
              <w:rPr>
                <w:rFonts w:ascii="Verdana" w:eastAsia="Aptos" w:hAnsi="Verdana" w:cs="Arial"/>
                <w:bCs/>
                <w:color w:val="000000"/>
                <w:sz w:val="21"/>
                <w:szCs w:val="21"/>
                <w:lang w:eastAsia="es-MX"/>
              </w:rPr>
              <w:t>“(…) En todo caso, el alcance y la forma de participación de los habitantes de la comunidad en la ejecución de las obras es algo que debe ser delimitado antes de suscribir el convenio, ya que tal participación es un presupuesto de estos convenios, de acuerdo con el artículo 95 de la Ley 2166 de 2021. En atención a esto se recomienda establecer de manera expresa este aspecto dentro de los Documentos del Proceso (…)”</w:t>
            </w:r>
            <w:r w:rsidR="00C13670">
              <w:rPr>
                <w:rStyle w:val="Refdenotaalpie"/>
                <w:rFonts w:ascii="Verdana" w:eastAsia="Aptos" w:hAnsi="Verdana" w:cs="Arial"/>
                <w:bCs/>
                <w:color w:val="000000"/>
                <w:sz w:val="21"/>
                <w:szCs w:val="21"/>
                <w:lang w:eastAsia="es-MX"/>
              </w:rPr>
              <w:footnoteReference w:id="3"/>
            </w:r>
            <w:r w:rsidRPr="005A2003">
              <w:rPr>
                <w:rFonts w:ascii="Verdana" w:eastAsia="Aptos" w:hAnsi="Verdana" w:cs="Arial"/>
                <w:bCs/>
                <w:color w:val="000000"/>
                <w:sz w:val="21"/>
                <w:szCs w:val="21"/>
                <w:lang w:eastAsia="es-MX"/>
              </w:rPr>
              <w:t>.</w:t>
            </w:r>
          </w:p>
          <w:p w14:paraId="16E466DF" w14:textId="77777777" w:rsidR="005A2003" w:rsidRPr="005A2003" w:rsidRDefault="005A2003" w:rsidP="005A2003">
            <w:pPr>
              <w:shd w:val="clear" w:color="auto" w:fill="FFFFFF"/>
              <w:ind w:left="709" w:right="709"/>
              <w:jc w:val="both"/>
              <w:rPr>
                <w:rFonts w:ascii="Verdana" w:eastAsia="Aptos" w:hAnsi="Verdana" w:cs="Arial"/>
                <w:bCs/>
                <w:color w:val="000000"/>
                <w:sz w:val="21"/>
                <w:szCs w:val="21"/>
                <w:lang w:eastAsia="es-MX"/>
              </w:rPr>
            </w:pPr>
          </w:p>
          <w:p w14:paraId="368DF075" w14:textId="3DD79B8F" w:rsidR="00F169A7" w:rsidRPr="00424F2D" w:rsidRDefault="002F524F" w:rsidP="00956258">
            <w:pPr>
              <w:spacing w:after="120" w:line="276" w:lineRule="auto"/>
              <w:jc w:val="both"/>
              <w:rPr>
                <w:rFonts w:ascii="Verdana" w:eastAsia="Calibri" w:hAnsi="Verdana" w:cs="Arial"/>
                <w:lang w:val="es-ES"/>
              </w:rPr>
            </w:pPr>
            <w:proofErr w:type="spellStart"/>
            <w:r>
              <w:rPr>
                <w:rFonts w:ascii="Verdana" w:eastAsia="Calibri" w:hAnsi="Verdana" w:cs="Arial"/>
                <w:lang w:val="es-ES"/>
              </w:rPr>
              <w:t>iii</w:t>
            </w:r>
            <w:proofErr w:type="spellEnd"/>
            <w:r>
              <w:rPr>
                <w:rFonts w:ascii="Verdana" w:eastAsia="Calibri" w:hAnsi="Verdana" w:cs="Arial"/>
                <w:lang w:val="es-ES"/>
              </w:rPr>
              <w:t xml:space="preserve">) </w:t>
            </w:r>
            <w:r w:rsidR="00F169A7" w:rsidRPr="00424F2D">
              <w:rPr>
                <w:rFonts w:ascii="Verdana" w:eastAsia="Calibri" w:hAnsi="Verdana" w:cs="Arial"/>
                <w:lang w:val="es-ES"/>
              </w:rPr>
              <w:t>Conforme al numeral 16 de la Ley 136 de 1994 “Los municipios y distritos podrán celebrar convenios solidarios con: Los cabildos, las autoridades y organizaciones indígenas, los organismos de acción comunal y demás organizaciones civiles y asociaciones residentes en el territorio, para el desarrollo conjunto de programas y actividades establecidas por la Ley a los municipios y distritos, acorde con sus planes de desarrollo”</w:t>
            </w:r>
            <w:r w:rsidR="00AD510E">
              <w:rPr>
                <w:rFonts w:ascii="Verdana" w:eastAsia="Calibri" w:hAnsi="Verdana" w:cs="Arial"/>
                <w:lang w:val="es-ES"/>
              </w:rPr>
              <w:t>;</w:t>
            </w:r>
            <w:r w:rsidR="00F169A7" w:rsidRPr="00424F2D">
              <w:rPr>
                <w:rFonts w:ascii="Verdana" w:eastAsia="Calibri" w:hAnsi="Verdana" w:cs="Arial"/>
                <w:lang w:val="es-ES"/>
              </w:rPr>
              <w:t xml:space="preserve"> del mismo modo  el artículo 95 de la Ley 2166 de 2021 indica “Las entidades del orden Nacional, Departamental, Distrital Y Municipal y los Organismos de Acción Comunal podrán celebrar directamente convenios solidarios con el fin de ejecutar obras  hasta por la menor cuantía</w:t>
            </w:r>
            <w:r w:rsidR="00956258">
              <w:rPr>
                <w:rFonts w:ascii="Verdana" w:eastAsia="Calibri" w:hAnsi="Verdana" w:cs="Arial"/>
                <w:lang w:val="es-ES"/>
              </w:rPr>
              <w:t>”</w:t>
            </w:r>
            <w:r w:rsidR="00F169A7" w:rsidRPr="00424F2D">
              <w:rPr>
                <w:rFonts w:ascii="Verdana" w:eastAsia="Calibri" w:hAnsi="Verdana" w:cs="Arial"/>
                <w:lang w:val="es-ES"/>
              </w:rPr>
              <w:t xml:space="preserve">. </w:t>
            </w:r>
          </w:p>
          <w:p w14:paraId="28C99AB3" w14:textId="77777777" w:rsidR="00F169A7" w:rsidRPr="00424F2D" w:rsidRDefault="00F169A7" w:rsidP="00956258">
            <w:pPr>
              <w:spacing w:after="120" w:line="276" w:lineRule="auto"/>
              <w:ind w:firstLine="709"/>
              <w:jc w:val="both"/>
              <w:rPr>
                <w:rFonts w:ascii="Verdana" w:eastAsia="Calibri" w:hAnsi="Verdana" w:cs="Arial"/>
                <w:lang w:val="es-ES"/>
              </w:rPr>
            </w:pPr>
            <w:r w:rsidRPr="00424F2D">
              <w:rPr>
                <w:rFonts w:ascii="Verdana" w:eastAsia="Calibri" w:hAnsi="Verdana" w:cs="Arial"/>
                <w:lang w:val="es-ES"/>
              </w:rPr>
              <w:t xml:space="preserve">Las Leyes precitadas se encuentran vigentes, además estas prevalecen en su aplicación sobre la norma suspendida provisionalmente por el Consejo de Estado, de tal forma que, se debe observar y aplicar toda la reglamentación que incorporan estas sobre la contratación directa de convenios solidarios para </w:t>
            </w:r>
            <w:r w:rsidRPr="00424F2D">
              <w:rPr>
                <w:rFonts w:ascii="Verdana" w:eastAsia="Calibri" w:hAnsi="Verdana" w:cs="Arial"/>
                <w:lang w:val="es-ES"/>
              </w:rPr>
              <w:lastRenderedPageBreak/>
              <w:t xml:space="preserve">la ejecución de obras hasta la menor cuantía con Organismos de Acción Comunal. </w:t>
            </w:r>
          </w:p>
          <w:p w14:paraId="6F6C3C6B" w14:textId="26E9559B" w:rsidR="00DE26FD" w:rsidRPr="00E529C8" w:rsidRDefault="00F169A7" w:rsidP="00956258">
            <w:pPr>
              <w:spacing w:after="120" w:line="276" w:lineRule="auto"/>
              <w:ind w:firstLine="709"/>
              <w:jc w:val="both"/>
              <w:rPr>
                <w:rFonts w:ascii="Verdana" w:eastAsia="Calibri" w:hAnsi="Verdana" w:cs="Arial"/>
                <w:lang w:val="es-ES"/>
              </w:rPr>
            </w:pPr>
            <w:r w:rsidRPr="00424F2D">
              <w:rPr>
                <w:rFonts w:ascii="Verdana" w:eastAsia="Calibri" w:hAnsi="Verdana" w:cs="Arial"/>
                <w:lang w:val="es-ES"/>
              </w:rPr>
              <w:t xml:space="preserve">Bajo esa tesitura, el criterio y posición de esta Agencia es determinar que las entidades del orden Nacional, Departamental, Distrital y Municipal siguen autorizadas por la Ley para celebrar convenios solidarios con Organismos de Acción Comunal para la ejecución de obras hasta por el valor de la </w:t>
            </w:r>
            <w:r>
              <w:rPr>
                <w:rFonts w:ascii="Verdana" w:eastAsia="Calibri" w:hAnsi="Verdana" w:cs="Arial"/>
                <w:lang w:val="es-ES"/>
              </w:rPr>
              <w:t>menor</w:t>
            </w:r>
            <w:r w:rsidRPr="00424F2D">
              <w:rPr>
                <w:rFonts w:ascii="Verdana" w:eastAsia="Calibri" w:hAnsi="Verdana" w:cs="Arial"/>
                <w:lang w:val="es-ES"/>
              </w:rPr>
              <w:t xml:space="preserve"> cuantía de la entidad estatal.</w:t>
            </w:r>
          </w:p>
        </w:tc>
      </w:tr>
    </w:tbl>
    <w:p w14:paraId="6CF9A30F" w14:textId="77777777" w:rsidR="00DE26FD" w:rsidRPr="00E529C8" w:rsidRDefault="00DE26FD" w:rsidP="00DE26FD">
      <w:pPr>
        <w:tabs>
          <w:tab w:val="left" w:pos="142"/>
          <w:tab w:val="left" w:pos="284"/>
        </w:tabs>
        <w:snapToGrid w:val="0"/>
        <w:spacing w:after="0" w:line="276" w:lineRule="auto"/>
        <w:jc w:val="both"/>
        <w:rPr>
          <w:rFonts w:ascii="Verdana" w:eastAsia="Century Gothic" w:hAnsi="Verdana" w:cs="Century Gothic"/>
          <w:b/>
          <w:bCs/>
          <w:lang w:val="es-ES"/>
        </w:rPr>
      </w:pPr>
    </w:p>
    <w:p w14:paraId="3FF15635" w14:textId="120DE56A" w:rsidR="00DE26FD" w:rsidRPr="00E529C8" w:rsidRDefault="00941D0E" w:rsidP="00941D0E">
      <w:pPr>
        <w:tabs>
          <w:tab w:val="left" w:pos="142"/>
          <w:tab w:val="left" w:pos="284"/>
        </w:tabs>
        <w:snapToGrid w:val="0"/>
        <w:spacing w:after="0" w:line="276" w:lineRule="auto"/>
        <w:jc w:val="both"/>
        <w:rPr>
          <w:rFonts w:ascii="Verdana" w:eastAsia="Century Gothic" w:hAnsi="Verdana" w:cs="Century Gothic"/>
          <w:b/>
          <w:bCs/>
          <w:lang w:val="es-ES"/>
        </w:rPr>
      </w:pPr>
      <w:r>
        <w:rPr>
          <w:rFonts w:ascii="Verdana" w:eastAsia="Century Gothic" w:hAnsi="Verdana" w:cs="Century Gothic"/>
          <w:b/>
          <w:bCs/>
          <w:lang w:val="es-ES"/>
        </w:rPr>
        <w:t xml:space="preserve">3. </w:t>
      </w:r>
      <w:r w:rsidR="00DE26FD" w:rsidRPr="00E529C8">
        <w:rPr>
          <w:rFonts w:ascii="Verdana" w:eastAsia="Century Gothic" w:hAnsi="Verdana" w:cs="Century Gothic"/>
          <w:b/>
          <w:bCs/>
          <w:lang w:val="es-ES"/>
        </w:rPr>
        <w:t>Razones de la</w:t>
      </w:r>
      <w:r w:rsidR="00F66776">
        <w:rPr>
          <w:rFonts w:ascii="Verdana" w:eastAsia="Century Gothic" w:hAnsi="Verdana" w:cs="Century Gothic"/>
          <w:b/>
          <w:bCs/>
          <w:lang w:val="es-ES"/>
        </w:rPr>
        <w:t>s</w:t>
      </w:r>
      <w:r w:rsidR="00DE26FD" w:rsidRPr="00E529C8">
        <w:rPr>
          <w:rFonts w:ascii="Verdana" w:eastAsia="Century Gothic" w:hAnsi="Verdana" w:cs="Century Gothic"/>
          <w:b/>
          <w:bCs/>
          <w:lang w:val="es-ES"/>
        </w:rPr>
        <w:t xml:space="preserve"> respuesta</w:t>
      </w:r>
      <w:r w:rsidR="00F66776">
        <w:rPr>
          <w:rFonts w:ascii="Verdana" w:eastAsia="Century Gothic" w:hAnsi="Verdana" w:cs="Century Gothic"/>
          <w:b/>
          <w:bCs/>
          <w:lang w:val="es-ES"/>
        </w:rPr>
        <w:t>s</w:t>
      </w:r>
      <w:r w:rsidR="00DE26FD" w:rsidRPr="00E529C8">
        <w:rPr>
          <w:rFonts w:ascii="Verdana" w:eastAsia="Century Gothic" w:hAnsi="Verdana" w:cs="Century Gothic"/>
          <w:b/>
          <w:bCs/>
          <w:lang w:val="es-ES"/>
        </w:rPr>
        <w:t>:</w:t>
      </w:r>
    </w:p>
    <w:p w14:paraId="28850E7D" w14:textId="77777777" w:rsidR="00DE26FD" w:rsidRPr="00E529C8" w:rsidRDefault="00DE26FD" w:rsidP="00DE26FD">
      <w:pPr>
        <w:tabs>
          <w:tab w:val="left" w:pos="142"/>
          <w:tab w:val="left" w:pos="284"/>
        </w:tabs>
        <w:snapToGrid w:val="0"/>
        <w:spacing w:after="0" w:line="276" w:lineRule="auto"/>
        <w:ind w:left="357"/>
        <w:jc w:val="both"/>
        <w:rPr>
          <w:rFonts w:ascii="Verdana" w:eastAsia="Century Gothic" w:hAnsi="Verdana" w:cs="Century Gothic"/>
          <w:b/>
          <w:bCs/>
          <w:lang w:val="es-ES"/>
        </w:rPr>
      </w:pPr>
    </w:p>
    <w:p w14:paraId="1389A615" w14:textId="77777777" w:rsidR="00DE26FD" w:rsidRPr="00E529C8" w:rsidRDefault="00DE26FD" w:rsidP="00DE26FD">
      <w:pPr>
        <w:snapToGrid w:val="0"/>
        <w:spacing w:after="0" w:line="276" w:lineRule="auto"/>
        <w:jc w:val="both"/>
        <w:rPr>
          <w:rFonts w:ascii="Verdana" w:eastAsia="Calibri" w:hAnsi="Verdana" w:cs="Arial"/>
          <w:lang w:val="es-ES"/>
        </w:rPr>
      </w:pPr>
      <w:r w:rsidRPr="00E529C8">
        <w:rPr>
          <w:rFonts w:ascii="Verdana" w:eastAsia="Calibri" w:hAnsi="Verdana" w:cs="Arial"/>
          <w:lang w:val="es-ES"/>
        </w:rPr>
        <w:t xml:space="preserve">Lo anterior se sustenta en las siguientes consideraciones: </w:t>
      </w:r>
    </w:p>
    <w:p w14:paraId="22B530D9" w14:textId="77777777" w:rsidR="00DE26FD" w:rsidRPr="00E529C8" w:rsidRDefault="00DE26FD" w:rsidP="00DE26FD">
      <w:pPr>
        <w:spacing w:after="0" w:line="276" w:lineRule="auto"/>
        <w:jc w:val="both"/>
        <w:rPr>
          <w:rFonts w:ascii="Verdana" w:eastAsia="Calibri" w:hAnsi="Verdana" w:cs="Arial"/>
          <w:lang w:val="es-ES"/>
        </w:rPr>
      </w:pPr>
    </w:p>
    <w:p w14:paraId="1C1FB7AC"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Calibri" w:hAnsi="Verdana" w:cs="Arial"/>
          <w:color w:val="000000"/>
          <w:lang w:val="es-ES"/>
        </w:rPr>
        <w:t xml:space="preserve">En congruencia con el ámbito de aplicación de la Ley 2166 de 2021 y el Decreto 142 de 2023, existen tres (3) alternativas mediante las cuales las entidades del orden nacional, departamental, distrital o municipal pueden celebrar convenios solidarios con organismos de acción comunal. El </w:t>
      </w:r>
      <w:r w:rsidRPr="00E529C8">
        <w:rPr>
          <w:rFonts w:ascii="Verdana" w:eastAsia="Calibri" w:hAnsi="Verdana" w:cs="Arial"/>
          <w:i/>
          <w:iCs/>
          <w:color w:val="000000"/>
          <w:lang w:val="es-ES"/>
        </w:rPr>
        <w:t>primer régimen</w:t>
      </w:r>
      <w:r w:rsidRPr="00E529C8">
        <w:rPr>
          <w:rFonts w:ascii="Verdana" w:eastAsia="Calibri" w:hAnsi="Verdana" w:cs="Arial"/>
          <w:color w:val="000000"/>
          <w:lang w:val="es-ES"/>
        </w:rPr>
        <w:t xml:space="preserve"> encuentra su fundamento en el parágrafo cuarto del artículo 3 de la Ley 136 de 1994. Un </w:t>
      </w:r>
      <w:r w:rsidRPr="00E529C8">
        <w:rPr>
          <w:rFonts w:ascii="Verdana" w:eastAsia="Calibri" w:hAnsi="Verdana" w:cs="Arial"/>
          <w:i/>
          <w:iCs/>
          <w:color w:val="000000"/>
          <w:lang w:val="es-ES"/>
        </w:rPr>
        <w:t>segundo</w:t>
      </w:r>
      <w:r w:rsidRPr="00E529C8">
        <w:rPr>
          <w:rFonts w:ascii="Verdana" w:eastAsia="Calibri" w:hAnsi="Verdana" w:cs="Arial"/>
          <w:color w:val="000000"/>
          <w:lang w:val="es-ES"/>
        </w:rPr>
        <w:t xml:space="preserve"> </w:t>
      </w:r>
      <w:r w:rsidRPr="00E529C8">
        <w:rPr>
          <w:rFonts w:ascii="Verdana" w:eastAsia="Calibri" w:hAnsi="Verdana" w:cs="Arial"/>
          <w:i/>
          <w:iCs/>
          <w:color w:val="000000"/>
          <w:lang w:val="es-ES"/>
        </w:rPr>
        <w:t>régimen</w:t>
      </w:r>
      <w:r w:rsidRPr="00E529C8">
        <w:rPr>
          <w:rFonts w:ascii="Verdana" w:eastAsia="Calibri" w:hAnsi="Verdana" w:cs="Arial"/>
          <w:color w:val="000000"/>
          <w:lang w:val="es-ES"/>
        </w:rPr>
        <w:t xml:space="preserve"> o modalidad de contratación se encuentra prevista en el Decreto 092 de 2017, exceptuando lo consignado en su artículo quinto, pues versa sobre convenios de asociación. </w:t>
      </w:r>
      <w:r w:rsidRPr="00E529C8">
        <w:rPr>
          <w:rFonts w:ascii="Verdana" w:eastAsia="Calibri" w:hAnsi="Verdana" w:cs="Arial"/>
          <w:i/>
          <w:iCs/>
          <w:color w:val="000000"/>
          <w:lang w:val="es-ES"/>
        </w:rPr>
        <w:t>Por último</w:t>
      </w:r>
      <w:r w:rsidRPr="00E529C8">
        <w:rPr>
          <w:rFonts w:ascii="Verdana" w:eastAsia="Calibri" w:hAnsi="Verdana" w:cs="Arial"/>
          <w:color w:val="000000"/>
          <w:lang w:val="es-ES"/>
        </w:rPr>
        <w:t xml:space="preserve">, en armonía con la modificación realizada por la Ley 1955 de 2019, se presenta un </w:t>
      </w:r>
      <w:r w:rsidRPr="00E529C8">
        <w:rPr>
          <w:rFonts w:ascii="Verdana" w:eastAsia="Calibri" w:hAnsi="Verdana" w:cs="Arial"/>
          <w:i/>
          <w:iCs/>
          <w:color w:val="000000"/>
          <w:lang w:val="es-ES"/>
        </w:rPr>
        <w:t>tercer régimen</w:t>
      </w:r>
      <w:r w:rsidRPr="00E529C8">
        <w:rPr>
          <w:rFonts w:ascii="Verdana" w:eastAsia="Calibri" w:hAnsi="Verdana" w:cs="Arial"/>
          <w:color w:val="000000"/>
          <w:lang w:val="es-ES"/>
        </w:rPr>
        <w:t>, que encuentra su fundamento en los parágrafos tercero y quinto del artículo tercero de la Ley 136 de 1994.</w:t>
      </w:r>
    </w:p>
    <w:p w14:paraId="07D5F5DD" w14:textId="77777777" w:rsidR="00DE26FD" w:rsidRPr="00E529C8" w:rsidRDefault="00DE26FD" w:rsidP="00DE26FD">
      <w:pPr>
        <w:spacing w:after="0" w:line="276" w:lineRule="auto"/>
        <w:ind w:left="720"/>
        <w:contextualSpacing/>
        <w:jc w:val="both"/>
        <w:rPr>
          <w:rFonts w:ascii="Verdana" w:eastAsia="Calibri" w:hAnsi="Verdana" w:cs="Arial"/>
          <w:color w:val="000000"/>
          <w:lang w:val="es-ES"/>
        </w:rPr>
      </w:pPr>
    </w:p>
    <w:p w14:paraId="3645D17D"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Aptos" w:hAnsi="Verdana" w:cs="Arial"/>
          <w:spacing w:val="2"/>
          <w:lang w:eastAsia="es-CO"/>
        </w:rPr>
        <w:t xml:space="preserve">Con fundamento en la competencia prevista en el artículo 1 de la Ley 2022 de 2020, el pasado 30 de junio de 2023 la Agencia Nacional de Contratación Pública </w:t>
      </w:r>
      <w:r w:rsidRPr="00E529C8">
        <w:rPr>
          <w:rFonts w:ascii="Verdana" w:eastAsia="Calibri" w:hAnsi="Verdana" w:cs="Arial"/>
          <w:color w:val="000000"/>
          <w:lang w:val="es-ES" w:eastAsia="es-ES"/>
        </w:rPr>
        <w:t>– Colombia Compra Eficiente</w:t>
      </w:r>
      <w:r w:rsidRPr="00E529C8">
        <w:rPr>
          <w:rFonts w:ascii="Verdana" w:eastAsia="Aptos" w:hAnsi="Verdana" w:cs="Arial"/>
          <w:spacing w:val="2"/>
          <w:lang w:eastAsia="es-CO"/>
        </w:rPr>
        <w:t xml:space="preserve"> expidió la Resolución 358 de 2023 “</w:t>
      </w:r>
      <w:hyperlink r:id="rId13" w:history="1">
        <w:r w:rsidRPr="00E529C8">
          <w:rPr>
            <w:rFonts w:ascii="Verdana" w:eastAsia="Aptos" w:hAnsi="Verdana" w:cs="Arial"/>
            <w:spacing w:val="2"/>
            <w:lang w:eastAsia="es-CO"/>
          </w:rPr>
          <w:t>Por la cual se adopta el documento tipo para la contratación directa de convenios solidarios para la ejecución de obras hasta la menor cuantía con organismos de acción comunal”</w:t>
        </w:r>
        <w:r w:rsidRPr="00E529C8">
          <w:rPr>
            <w:rFonts w:ascii="Verdana" w:eastAsia="Aptos" w:hAnsi="Verdana" w:cs="Times New Roman"/>
            <w:kern w:val="2"/>
            <w:vertAlign w:val="superscript"/>
            <w:lang w:eastAsia="es-CO"/>
            <w14:ligatures w14:val="standardContextual"/>
          </w:rPr>
          <w:footnoteReference w:id="4"/>
        </w:r>
        <w:r w:rsidRPr="00E529C8">
          <w:rPr>
            <w:rFonts w:ascii="Verdana" w:eastAsia="Aptos" w:hAnsi="Verdana" w:cs="Arial"/>
            <w:spacing w:val="2"/>
            <w:lang w:eastAsia="es-CO"/>
          </w:rPr>
          <w:t>. </w:t>
        </w:r>
      </w:hyperlink>
      <w:r w:rsidRPr="00E529C8">
        <w:rPr>
          <w:rFonts w:ascii="Verdana" w:eastAsia="Aptos" w:hAnsi="Verdana" w:cs="Arial"/>
          <w:spacing w:val="2"/>
          <w:lang w:eastAsia="es-CO"/>
        </w:rPr>
        <w:t xml:space="preserve">La Resolución señalada, consta de cuatro artículos, el primero dispone que esta adopta los documentos tipo para la contratación directa de </w:t>
      </w:r>
      <w:r w:rsidRPr="00E529C8">
        <w:rPr>
          <w:rFonts w:ascii="Verdana" w:eastAsia="Aptos" w:hAnsi="Verdana" w:cs="Arial"/>
          <w:spacing w:val="2"/>
          <w:lang w:eastAsia="es-CO"/>
        </w:rPr>
        <w:lastRenderedPageBreak/>
        <w:t xml:space="preserve">convenios solidarios para la ejecución de obras hasta la menor cuantía con Organismos de Acción Comunal. </w:t>
      </w:r>
    </w:p>
    <w:p w14:paraId="2F8276B6" w14:textId="77777777" w:rsidR="00DE26FD" w:rsidRPr="00E529C8" w:rsidRDefault="00DE26FD" w:rsidP="00DE26FD">
      <w:pPr>
        <w:spacing w:after="0" w:line="276" w:lineRule="auto"/>
        <w:ind w:left="720"/>
        <w:contextualSpacing/>
        <w:rPr>
          <w:rFonts w:ascii="Verdana" w:eastAsia="Aptos" w:hAnsi="Verdana" w:cs="Arial"/>
          <w:spacing w:val="2"/>
          <w:lang w:eastAsia="es-CO"/>
        </w:rPr>
      </w:pPr>
    </w:p>
    <w:p w14:paraId="3B10F6D7"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Aptos" w:hAnsi="Verdana" w:cs="Arial"/>
          <w:spacing w:val="2"/>
          <w:lang w:eastAsia="es-CO"/>
        </w:rPr>
        <w:t>Por su parte, el artículo 2 consagra que los documentos que se adoptan por medio de la Resolución contienen parámetros obligatorios para las entidades sometidas al Estatuto General de Contratación de la Administración Pública que adelanten procesos de selección bajo la modalidad de contratación directa para la celebración de convenios solidarios con organismos de acción comunal para la ejecución de obras hasta el monto de la menor cuantía</w:t>
      </w:r>
      <w:r w:rsidRPr="00E529C8">
        <w:rPr>
          <w:rFonts w:ascii="Verdana" w:eastAsia="Aptos" w:hAnsi="Verdana" w:cs="Times New Roman"/>
          <w:kern w:val="2"/>
          <w:vertAlign w:val="superscript"/>
          <w:lang w:eastAsia="es-CO"/>
          <w14:ligatures w14:val="standardContextual"/>
        </w:rPr>
        <w:footnoteReference w:id="5"/>
      </w:r>
      <w:r w:rsidRPr="00E529C8">
        <w:rPr>
          <w:rFonts w:ascii="Verdana" w:eastAsia="Aptos" w:hAnsi="Verdana" w:cs="Arial"/>
          <w:spacing w:val="2"/>
          <w:lang w:eastAsia="es-CO"/>
        </w:rPr>
        <w:t xml:space="preserve">. Además, en este artículo se señala que componen ese documento tipo: i) Minuta tipo, </w:t>
      </w:r>
      <w:proofErr w:type="spellStart"/>
      <w:r w:rsidRPr="00E529C8">
        <w:rPr>
          <w:rFonts w:ascii="Verdana" w:eastAsia="Aptos" w:hAnsi="Verdana" w:cs="Arial"/>
          <w:spacing w:val="2"/>
          <w:lang w:eastAsia="es-CO"/>
        </w:rPr>
        <w:t>ii</w:t>
      </w:r>
      <w:proofErr w:type="spellEnd"/>
      <w:r w:rsidRPr="00E529C8">
        <w:rPr>
          <w:rFonts w:ascii="Verdana" w:eastAsia="Aptos" w:hAnsi="Verdana" w:cs="Arial"/>
          <w:spacing w:val="2"/>
          <w:lang w:eastAsia="es-CO"/>
        </w:rPr>
        <w:t xml:space="preserve">) Anexo1 – Especificaciones técnicas, </w:t>
      </w:r>
      <w:proofErr w:type="spellStart"/>
      <w:r w:rsidRPr="00E529C8">
        <w:rPr>
          <w:rFonts w:ascii="Verdana" w:eastAsia="Aptos" w:hAnsi="Verdana" w:cs="Arial"/>
          <w:spacing w:val="2"/>
          <w:lang w:eastAsia="es-CO"/>
        </w:rPr>
        <w:t>iii</w:t>
      </w:r>
      <w:proofErr w:type="spellEnd"/>
      <w:r w:rsidRPr="00E529C8">
        <w:rPr>
          <w:rFonts w:ascii="Verdana" w:eastAsia="Aptos" w:hAnsi="Verdana" w:cs="Arial"/>
          <w:spacing w:val="2"/>
          <w:lang w:eastAsia="es-CO"/>
        </w:rPr>
        <w:t xml:space="preserve">) Anexo 2 – Análisis del Sector y </w:t>
      </w:r>
      <w:proofErr w:type="spellStart"/>
      <w:r w:rsidRPr="00E529C8">
        <w:rPr>
          <w:rFonts w:ascii="Verdana" w:eastAsia="Aptos" w:hAnsi="Verdana" w:cs="Arial"/>
          <w:spacing w:val="2"/>
          <w:lang w:eastAsia="es-CO"/>
        </w:rPr>
        <w:t>iv</w:t>
      </w:r>
      <w:proofErr w:type="spellEnd"/>
      <w:r w:rsidRPr="00E529C8">
        <w:rPr>
          <w:rFonts w:ascii="Verdana" w:eastAsia="Aptos" w:hAnsi="Verdana" w:cs="Arial"/>
          <w:spacing w:val="2"/>
          <w:lang w:eastAsia="es-CO"/>
        </w:rPr>
        <w:t xml:space="preserve">) Matriz de Riesgos. </w:t>
      </w:r>
    </w:p>
    <w:p w14:paraId="14DA5DF7" w14:textId="77777777" w:rsidR="00DE26FD" w:rsidRPr="00E529C8" w:rsidRDefault="00DE26FD" w:rsidP="00DE26FD">
      <w:pPr>
        <w:spacing w:after="0" w:line="276" w:lineRule="auto"/>
        <w:ind w:left="720"/>
        <w:contextualSpacing/>
        <w:rPr>
          <w:rFonts w:ascii="Verdana" w:eastAsia="Aptos" w:hAnsi="Verdana" w:cs="Arial"/>
          <w:spacing w:val="2"/>
          <w:lang w:eastAsia="es-CO"/>
        </w:rPr>
      </w:pPr>
    </w:p>
    <w:p w14:paraId="185387A0"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Aptos" w:hAnsi="Verdana" w:cs="Arial"/>
          <w:spacing w:val="2"/>
          <w:lang w:eastAsia="es-CO"/>
        </w:rPr>
        <w:t xml:space="preserve">Seguidamente, el artículo 3 </w:t>
      </w:r>
      <w:r w:rsidRPr="00E529C8">
        <w:rPr>
          <w:rFonts w:ascii="Verdana" w:eastAsia="Aptos" w:hAnsi="Verdana" w:cs="Arial"/>
          <w:bCs/>
          <w:lang w:val="es-ES_tradnl"/>
        </w:rPr>
        <w:t xml:space="preserve">dispone la inalterabilidad de los documentos tipo </w:t>
      </w:r>
      <w:r w:rsidRPr="00E529C8">
        <w:rPr>
          <w:rFonts w:ascii="Verdana" w:eastAsia="Calibri" w:hAnsi="Verdana" w:cs="Arial"/>
          <w:lang w:val="es-ES" w:eastAsia="es-MX"/>
        </w:rPr>
        <w:t>para la contratación directa de convenios solidarios para la ejecución de obras hasta la menor cuantía con organismos de acción comunal</w:t>
      </w:r>
      <w:r w:rsidRPr="00E529C8">
        <w:rPr>
          <w:rFonts w:ascii="Verdana" w:eastAsia="Aptos" w:hAnsi="Verdana" w:cs="Arial"/>
          <w:bCs/>
          <w:lang w:val="es-ES_tradnl"/>
        </w:rPr>
        <w:t xml:space="preserve">. En consecuencia, las condiciones establecidas en los documentos que adopte la Agencia, en ejercicio del mandato establecido en el artículo 1 de la Ley 2022 de 2020, son de obligatorio cumplimiento para las entidades sometidas al Estatuto General de Contratación de la Administración Pública que adelanten procesos que deban regirse por su contenido y, salvo que se permita expresamente, no podrán variarse los requisitos fijados en ellos. </w:t>
      </w:r>
    </w:p>
    <w:p w14:paraId="5786D61F" w14:textId="77777777" w:rsidR="00DE26FD" w:rsidRPr="00E529C8" w:rsidRDefault="00DE26FD" w:rsidP="00DE26FD">
      <w:pPr>
        <w:spacing w:after="0" w:line="276" w:lineRule="auto"/>
        <w:ind w:left="720"/>
        <w:contextualSpacing/>
        <w:rPr>
          <w:rFonts w:ascii="Verdana" w:eastAsia="Calibri" w:hAnsi="Verdana" w:cs="Arial"/>
          <w:bCs/>
          <w:lang w:val="es-ES_tradnl" w:eastAsia="es-ES_tradnl"/>
        </w:rPr>
      </w:pPr>
    </w:p>
    <w:p w14:paraId="6AD14AA9"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Calibri" w:hAnsi="Verdana" w:cs="Arial"/>
          <w:bCs/>
          <w:lang w:val="es-ES_tradnl" w:eastAsia="es-ES_tradnl"/>
        </w:rPr>
        <w:t xml:space="preserve">Finalmente, el artículo 4 consagra que la Resolución 358 del 30 de junio de 2023, rige a partir de su publicación y aplicará a la contratación directa de convenios solidarios para la ejecución de obras hasta la menor cuantía con Organismos de Acción Comunal. </w:t>
      </w:r>
    </w:p>
    <w:p w14:paraId="7A2A28B5" w14:textId="77777777" w:rsidR="00DE26FD" w:rsidRPr="00E529C8" w:rsidRDefault="00DE26FD" w:rsidP="00DE26FD">
      <w:pPr>
        <w:spacing w:after="0" w:line="276" w:lineRule="auto"/>
        <w:ind w:left="720"/>
        <w:contextualSpacing/>
        <w:rPr>
          <w:rFonts w:ascii="Verdana" w:eastAsia="Calibri" w:hAnsi="Verdana" w:cs="Arial"/>
          <w:bCs/>
          <w:lang w:val="es-ES_tradnl" w:eastAsia="es-ES_tradnl"/>
        </w:rPr>
      </w:pPr>
    </w:p>
    <w:p w14:paraId="3E689693"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Calibri" w:hAnsi="Verdana" w:cs="Arial"/>
          <w:bCs/>
          <w:lang w:val="es-ES_tradnl" w:eastAsia="es-ES_tradnl"/>
        </w:rPr>
        <w:t xml:space="preserve">Conforme al contenido de la Resolución 358 del 30 de junio de 2023, conviene precisar que los documentos tipo que se adoptan, son aquellos </w:t>
      </w:r>
      <w:r w:rsidRPr="00E529C8">
        <w:rPr>
          <w:rFonts w:ascii="Verdana" w:eastAsia="Aptos" w:hAnsi="Verdana" w:cs="Arial"/>
          <w:spacing w:val="2"/>
          <w:lang w:eastAsia="es-CO"/>
        </w:rPr>
        <w:t xml:space="preserve">para la contratación directa de convenios solidarios para la ejecución de obras hasta la menor cuantía con Organismos de Acción Comunal, los </w:t>
      </w:r>
      <w:r w:rsidRPr="00E529C8">
        <w:rPr>
          <w:rFonts w:ascii="Verdana" w:eastAsia="Aptos" w:hAnsi="Verdana" w:cs="Arial"/>
          <w:spacing w:val="2"/>
          <w:lang w:eastAsia="es-CO"/>
        </w:rPr>
        <w:lastRenderedPageBreak/>
        <w:t>cuales tienen como fundamento normativo el artículo 95 “Convenios solidarios” de la Ley 2166 de 2021</w:t>
      </w:r>
      <w:r w:rsidRPr="00E529C8">
        <w:rPr>
          <w:rFonts w:ascii="Verdana" w:eastAsia="Aptos" w:hAnsi="Verdana" w:cs="Times New Roman"/>
          <w:spacing w:val="2"/>
          <w:kern w:val="2"/>
          <w:vertAlign w:val="superscript"/>
          <w:lang w:eastAsia="es-CO"/>
          <w14:ligatures w14:val="standardContextual"/>
        </w:rPr>
        <w:footnoteReference w:id="6"/>
      </w:r>
      <w:r w:rsidRPr="00E529C8">
        <w:rPr>
          <w:rFonts w:ascii="Verdana" w:eastAsia="Aptos" w:hAnsi="Verdana" w:cs="Arial"/>
          <w:spacing w:val="2"/>
          <w:lang w:eastAsia="es-CO"/>
        </w:rPr>
        <w:t xml:space="preserve">, reglamentado en el artículo </w:t>
      </w:r>
      <w:r w:rsidRPr="00E529C8">
        <w:rPr>
          <w:rFonts w:ascii="Verdana" w:eastAsia="Aptos" w:hAnsi="Verdana" w:cs="Arial"/>
          <w:color w:val="000000"/>
          <w:lang w:val="es-MX"/>
        </w:rPr>
        <w:t>15 del Decreto 142 de 2023</w:t>
      </w:r>
      <w:r w:rsidRPr="00E529C8">
        <w:rPr>
          <w:rFonts w:ascii="Verdana" w:eastAsia="Aptos" w:hAnsi="Verdana" w:cs="Times New Roman"/>
          <w:color w:val="000000"/>
          <w:kern w:val="2"/>
          <w:vertAlign w:val="superscript"/>
          <w:lang w:val="es-MX"/>
          <w14:ligatures w14:val="standardContextual"/>
        </w:rPr>
        <w:footnoteReference w:id="7"/>
      </w:r>
      <w:r w:rsidRPr="00E529C8">
        <w:rPr>
          <w:rFonts w:ascii="Verdana" w:eastAsia="Aptos" w:hAnsi="Verdana" w:cs="Arial"/>
          <w:color w:val="000000"/>
          <w:lang w:val="es-MX"/>
        </w:rPr>
        <w:t xml:space="preserve"> </w:t>
      </w:r>
      <w:r w:rsidRPr="00E529C8">
        <w:rPr>
          <w:rFonts w:ascii="Verdana" w:eastAsia="Aptos" w:hAnsi="Verdana" w:cs="Arial"/>
          <w:bCs/>
          <w:color w:val="000000"/>
          <w:lang w:eastAsia="es-MX"/>
        </w:rPr>
        <w:t>el cual adiciona el artículo 2.2.15.1.2 del Decreto 1082 de 2015, en la forma que se señala a continuación.</w:t>
      </w:r>
    </w:p>
    <w:p w14:paraId="4D6551C1" w14:textId="77777777" w:rsidR="00DE26FD" w:rsidRPr="00E529C8" w:rsidRDefault="00DE26FD" w:rsidP="00DE26FD">
      <w:pPr>
        <w:spacing w:after="0" w:line="276" w:lineRule="auto"/>
        <w:ind w:left="720"/>
        <w:contextualSpacing/>
        <w:rPr>
          <w:rFonts w:ascii="Verdana" w:eastAsia="Aptos" w:hAnsi="Verdana" w:cs="Arial"/>
          <w:bCs/>
          <w:color w:val="000000"/>
          <w:lang w:eastAsia="es-MX"/>
        </w:rPr>
      </w:pPr>
    </w:p>
    <w:p w14:paraId="42FE3679"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Aptos" w:hAnsi="Verdana" w:cs="Arial"/>
          <w:bCs/>
          <w:color w:val="000000"/>
          <w:lang w:eastAsia="es-MX"/>
        </w:rPr>
        <w:t xml:space="preserve">Con la expedición de la Ley 2166 de 2021 se deroga la Ley 743 de 2002, se desarrolla el artículo 38 de la Constitución Política de Colombia en lo referente a los organismos de acción comunal y se establecen lineamientos para la formulación e implementación de la política pública de los organismos de acción comunal y de sus afiliados. De acuerdo con el artículo 1 de dicho cuerpo normativo esta ley tiene por objeto </w:t>
      </w:r>
      <w:r w:rsidRPr="00E529C8">
        <w:rPr>
          <w:rFonts w:ascii="Verdana" w:eastAsia="Calibri" w:hAnsi="Verdana" w:cs="Arial"/>
          <w:color w:val="000000"/>
          <w:lang w:val="es-ES_tradnl"/>
        </w:rPr>
        <w:t>“</w:t>
      </w:r>
      <w:r w:rsidRPr="00E529C8">
        <w:rPr>
          <w:rFonts w:ascii="Verdana" w:eastAsia="Aptos" w:hAnsi="Verdana" w:cs="Arial"/>
          <w:bCs/>
          <w:color w:val="000000"/>
          <w:lang w:eastAsia="es-MX"/>
        </w:rPr>
        <w:t>promover, facilitar, estructurar y fortalecer la organización democrática, moderna, participativa y representativa de la acción comunal en sus respectivos grados asociativos y, a la vez, pretende establecer un marco jurídico para sus relaciones con el Estado y con los particulares, así como para el cabal ejercicio de derechos y deberes</w:t>
      </w:r>
      <w:r w:rsidRPr="00E529C8">
        <w:rPr>
          <w:rFonts w:ascii="Verdana" w:eastAsia="Calibri" w:hAnsi="Verdana" w:cs="Arial"/>
          <w:color w:val="000000"/>
          <w:lang w:val="es-ES_tradnl"/>
        </w:rPr>
        <w:t>”</w:t>
      </w:r>
      <w:r w:rsidRPr="00E529C8">
        <w:rPr>
          <w:rFonts w:ascii="Verdana" w:eastAsia="Aptos" w:hAnsi="Verdana" w:cs="Arial"/>
          <w:bCs/>
          <w:color w:val="000000"/>
          <w:lang w:eastAsia="es-MX"/>
        </w:rPr>
        <w:t xml:space="preserve">. </w:t>
      </w:r>
    </w:p>
    <w:p w14:paraId="2D7CA63C" w14:textId="77777777" w:rsidR="00DE26FD" w:rsidRPr="00E529C8" w:rsidRDefault="00DE26FD" w:rsidP="00DE26FD">
      <w:pPr>
        <w:spacing w:after="0" w:line="276" w:lineRule="auto"/>
        <w:ind w:left="720"/>
        <w:contextualSpacing/>
        <w:rPr>
          <w:rFonts w:ascii="Verdana" w:eastAsia="Aptos" w:hAnsi="Verdana" w:cs="Arial"/>
          <w:bCs/>
          <w:color w:val="000000"/>
          <w:lang w:eastAsia="es-MX"/>
        </w:rPr>
      </w:pPr>
    </w:p>
    <w:p w14:paraId="22022351" w14:textId="77777777" w:rsidR="00DE26FD" w:rsidRPr="00E529C8" w:rsidRDefault="00DE26FD" w:rsidP="00DE26FD">
      <w:pPr>
        <w:numPr>
          <w:ilvl w:val="0"/>
          <w:numId w:val="18"/>
        </w:numPr>
        <w:spacing w:after="0" w:line="276" w:lineRule="auto"/>
        <w:contextualSpacing/>
        <w:jc w:val="both"/>
        <w:rPr>
          <w:rFonts w:ascii="Verdana" w:eastAsia="Calibri" w:hAnsi="Verdana" w:cs="Arial"/>
          <w:color w:val="000000"/>
          <w:lang w:val="es-ES"/>
        </w:rPr>
      </w:pPr>
      <w:r w:rsidRPr="00E529C8">
        <w:rPr>
          <w:rFonts w:ascii="Verdana" w:eastAsia="Aptos" w:hAnsi="Verdana" w:cs="Arial"/>
          <w:bCs/>
          <w:color w:val="000000"/>
          <w:lang w:eastAsia="es-MX"/>
        </w:rPr>
        <w:t xml:space="preserve">En desarrollo de lo anterior, el artículo 95 de dicha ley contempla la celebración directa de convenios solidarios entre organismos de acción comunal y “los entes del orden Nacional, Departamental, Distrital y municipal”, prescribiendo lo siguiente: </w:t>
      </w:r>
    </w:p>
    <w:p w14:paraId="471193E5" w14:textId="77777777" w:rsidR="00DE26FD" w:rsidRPr="00E529C8" w:rsidRDefault="00DE26FD" w:rsidP="00DE26FD">
      <w:pPr>
        <w:shd w:val="clear" w:color="auto" w:fill="FFFFFF"/>
        <w:spacing w:after="0" w:line="276" w:lineRule="auto"/>
        <w:ind w:firstLine="709"/>
        <w:jc w:val="both"/>
        <w:rPr>
          <w:rFonts w:ascii="Verdana" w:eastAsia="Aptos" w:hAnsi="Verdana" w:cs="Arial"/>
          <w:bCs/>
          <w:color w:val="000000"/>
          <w:lang w:eastAsia="es-MX"/>
        </w:rPr>
      </w:pPr>
    </w:p>
    <w:p w14:paraId="08639E3F" w14:textId="77777777" w:rsidR="00DE26FD" w:rsidRPr="00E529C8" w:rsidRDefault="00DE26FD" w:rsidP="00DE26FD">
      <w:pPr>
        <w:shd w:val="clear" w:color="auto" w:fill="FFFFFF"/>
        <w:spacing w:after="0" w:line="240" w:lineRule="auto"/>
        <w:ind w:left="709" w:right="709"/>
        <w:jc w:val="both"/>
        <w:rPr>
          <w:rFonts w:ascii="Verdana" w:eastAsia="Aptos" w:hAnsi="Verdana" w:cs="Arial"/>
          <w:color w:val="000000"/>
          <w:sz w:val="21"/>
          <w:szCs w:val="21"/>
        </w:rPr>
      </w:pPr>
      <w:r w:rsidRPr="00E529C8">
        <w:rPr>
          <w:rFonts w:ascii="Verdana" w:eastAsia="Aptos" w:hAnsi="Verdana" w:cs="Arial"/>
          <w:color w:val="000000"/>
          <w:sz w:val="21"/>
          <w:szCs w:val="21"/>
        </w:rPr>
        <w:t>“Artículo 95. Convenios Solidarios. Se autoriza a los entes del orden Nacional, Departamental, Distrital y municipal para celebrar directamente convenios solidarios con los Organismos de Acción Comunal con el fin de ejecutar obras hasta por la menor cuantía. Para la ejecución de estas deberán contratar con los habitantes de la comunidad.</w:t>
      </w:r>
    </w:p>
    <w:p w14:paraId="70BA997F" w14:textId="77777777" w:rsidR="00DE26FD" w:rsidRPr="00E529C8" w:rsidRDefault="00DE26FD" w:rsidP="00DE26FD">
      <w:pPr>
        <w:shd w:val="clear" w:color="auto" w:fill="FFFFFF"/>
        <w:spacing w:after="0" w:line="240" w:lineRule="auto"/>
        <w:ind w:left="709" w:right="709"/>
        <w:jc w:val="both"/>
        <w:rPr>
          <w:rFonts w:ascii="Verdana" w:eastAsia="Aptos" w:hAnsi="Verdana" w:cs="Arial"/>
          <w:color w:val="000000"/>
          <w:sz w:val="21"/>
          <w:szCs w:val="21"/>
        </w:rPr>
      </w:pPr>
    </w:p>
    <w:p w14:paraId="419F8955" w14:textId="77777777" w:rsidR="00DE26FD" w:rsidRPr="00E529C8" w:rsidRDefault="00DE26FD" w:rsidP="00DE26FD">
      <w:pPr>
        <w:shd w:val="clear" w:color="auto" w:fill="FFFFFF"/>
        <w:spacing w:after="0" w:line="240" w:lineRule="auto"/>
        <w:ind w:left="709" w:right="709"/>
        <w:jc w:val="both"/>
        <w:rPr>
          <w:rFonts w:ascii="Verdana" w:eastAsia="Aptos" w:hAnsi="Verdana" w:cs="Arial"/>
          <w:color w:val="000000"/>
          <w:sz w:val="21"/>
          <w:szCs w:val="21"/>
        </w:rPr>
      </w:pPr>
      <w:r w:rsidRPr="00E529C8">
        <w:rPr>
          <w:rFonts w:ascii="Verdana" w:eastAsia="Aptos" w:hAnsi="Verdana" w:cs="Arial"/>
          <w:color w:val="000000"/>
          <w:sz w:val="21"/>
          <w:szCs w:val="21"/>
        </w:rPr>
        <w:t xml:space="preserve">Parágrafo 1. Los entes territoriales podrán incluir en el monto total de los Convenios Solidarios los costos directos, los costos administrativos y el Subsidio al dignatario representante legal para transportes de que trata la (SIC) el literal c) del artículo 38 de la presente ley. </w:t>
      </w:r>
    </w:p>
    <w:p w14:paraId="206466CF" w14:textId="77777777" w:rsidR="00DE26FD" w:rsidRPr="00E529C8" w:rsidRDefault="00DE26FD" w:rsidP="00DE26FD">
      <w:pPr>
        <w:shd w:val="clear" w:color="auto" w:fill="FFFFFF"/>
        <w:spacing w:after="0" w:line="240" w:lineRule="auto"/>
        <w:ind w:left="709" w:right="709"/>
        <w:jc w:val="both"/>
        <w:rPr>
          <w:rFonts w:ascii="Verdana" w:eastAsia="Aptos" w:hAnsi="Verdana" w:cs="Arial"/>
          <w:color w:val="000000"/>
          <w:sz w:val="21"/>
          <w:szCs w:val="21"/>
        </w:rPr>
      </w:pPr>
    </w:p>
    <w:p w14:paraId="46C8E060" w14:textId="77777777" w:rsidR="00DE26FD" w:rsidRPr="00E529C8" w:rsidRDefault="00DE26FD" w:rsidP="00DE26FD">
      <w:pPr>
        <w:shd w:val="clear" w:color="auto" w:fill="FFFFFF"/>
        <w:spacing w:after="0" w:line="240" w:lineRule="auto"/>
        <w:ind w:left="709" w:right="709"/>
        <w:jc w:val="both"/>
        <w:rPr>
          <w:rFonts w:ascii="Verdana" w:eastAsia="Aptos" w:hAnsi="Verdana" w:cs="Arial"/>
          <w:color w:val="000000"/>
          <w:sz w:val="21"/>
          <w:szCs w:val="21"/>
        </w:rPr>
      </w:pPr>
      <w:r w:rsidRPr="00E529C8">
        <w:rPr>
          <w:rFonts w:ascii="Verdana" w:eastAsia="Aptos" w:hAnsi="Verdana" w:cs="Arial"/>
          <w:color w:val="000000"/>
          <w:sz w:val="21"/>
          <w:szCs w:val="21"/>
        </w:rPr>
        <w:t>Parágrafo 2. Adicional del monto del Convenio Solidario, los entes territoriales deberán contar o disponer de personal técnico y administrativo-contable, para supervisar y apoyar a los Organismos de Acción Comunal en la ejecución de las obras”</w:t>
      </w:r>
      <w:r w:rsidRPr="00E529C8">
        <w:rPr>
          <w:rFonts w:ascii="Verdana" w:eastAsia="Aptos" w:hAnsi="Verdana" w:cs="Arial"/>
          <w:color w:val="000000"/>
          <w:sz w:val="21"/>
          <w:szCs w:val="21"/>
          <w:vertAlign w:val="superscript"/>
        </w:rPr>
        <w:footnoteReference w:id="8"/>
      </w:r>
      <w:r w:rsidRPr="00E529C8">
        <w:rPr>
          <w:rFonts w:ascii="Verdana" w:eastAsia="Aptos" w:hAnsi="Verdana" w:cs="Arial"/>
          <w:color w:val="000000"/>
          <w:sz w:val="21"/>
          <w:szCs w:val="21"/>
        </w:rPr>
        <w:t>.</w:t>
      </w:r>
    </w:p>
    <w:p w14:paraId="2354A02A" w14:textId="77777777" w:rsidR="00DE26FD" w:rsidRPr="00E529C8" w:rsidRDefault="00DE26FD" w:rsidP="00DE26FD">
      <w:pPr>
        <w:shd w:val="clear" w:color="auto" w:fill="FFFFFF"/>
        <w:spacing w:after="0" w:line="276" w:lineRule="auto"/>
        <w:ind w:left="709" w:right="709"/>
        <w:jc w:val="both"/>
        <w:rPr>
          <w:rFonts w:ascii="Verdana" w:eastAsia="Aptos" w:hAnsi="Verdana" w:cs="Arial"/>
          <w:color w:val="000000"/>
        </w:rPr>
      </w:pPr>
    </w:p>
    <w:p w14:paraId="00912435" w14:textId="77777777" w:rsidR="00DE26FD" w:rsidRPr="00E529C8" w:rsidRDefault="00DE26FD" w:rsidP="00DE26FD">
      <w:pPr>
        <w:numPr>
          <w:ilvl w:val="0"/>
          <w:numId w:val="19"/>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Aptos" w:hAnsi="Verdana" w:cs="Arial"/>
          <w:bCs/>
          <w:color w:val="000000"/>
          <w:lang w:eastAsia="es-MX"/>
        </w:rPr>
        <w:t xml:space="preserve">Según se evidencia, esta norma desarrolla las siguientes reglas: i) Las </w:t>
      </w:r>
      <w:r w:rsidRPr="00E529C8">
        <w:rPr>
          <w:rFonts w:ascii="Verdana" w:eastAsia="Calibri" w:hAnsi="Verdana" w:cs="Arial"/>
          <w:color w:val="000000"/>
          <w:lang w:val="es-ES_tradnl"/>
        </w:rPr>
        <w:t>“</w:t>
      </w:r>
      <w:r w:rsidRPr="00E529C8">
        <w:rPr>
          <w:rFonts w:ascii="Verdana" w:eastAsia="Aptos" w:hAnsi="Verdana" w:cs="Arial"/>
          <w:bCs/>
          <w:color w:val="000000"/>
          <w:lang w:eastAsia="es-MX"/>
        </w:rPr>
        <w:t>entidades del</w:t>
      </w:r>
      <w:r w:rsidRPr="00E529C8">
        <w:rPr>
          <w:rFonts w:ascii="Verdana" w:eastAsia="Calibri" w:hAnsi="Verdana" w:cs="Arial"/>
          <w:color w:val="000000"/>
          <w:lang w:val="es-ES_tradnl"/>
        </w:rPr>
        <w:t xml:space="preserve"> </w:t>
      </w:r>
      <w:r w:rsidRPr="00E529C8">
        <w:rPr>
          <w:rFonts w:ascii="Verdana" w:eastAsia="Aptos" w:hAnsi="Verdana" w:cs="Arial"/>
          <w:color w:val="000000"/>
        </w:rPr>
        <w:t>orden Nacional, Departamental, Distrital y municipal</w:t>
      </w:r>
      <w:r w:rsidRPr="00E529C8">
        <w:rPr>
          <w:rFonts w:ascii="Verdana" w:eastAsia="Calibri" w:hAnsi="Verdana" w:cs="Arial"/>
          <w:color w:val="000000"/>
          <w:lang w:val="es-ES_tradnl"/>
        </w:rPr>
        <w:t xml:space="preserve">” y los organismos de acción comunal podrán celebrar directamente convenios solidarios, es decir, la modalidad de contratación establecida para este caso es la contratación directa. Para el efecto, debe tenerse en cuenta la clasificación que realiza el artículo 7 de la Ley 2166 de 2021 de los organismos de acción comunal, de manera que la celebración de estos convenios puede realizarse con cualquiera de los organismos de acción comunal allí contemplados, pues la norma se refiere de forma general a los </w:t>
      </w:r>
      <w:r w:rsidRPr="00E529C8">
        <w:rPr>
          <w:rFonts w:ascii="Verdana" w:eastAsia="Calibri" w:hAnsi="Verdana" w:cs="Arial"/>
          <w:i/>
          <w:iCs/>
          <w:color w:val="000000"/>
          <w:lang w:val="es-ES_tradnl"/>
        </w:rPr>
        <w:t>organismos de acción comunal</w:t>
      </w:r>
      <w:r w:rsidRPr="00E529C8">
        <w:rPr>
          <w:rFonts w:ascii="Verdana" w:eastAsia="Calibri" w:hAnsi="Verdana" w:cs="Times New Roman"/>
          <w:kern w:val="2"/>
          <w:vertAlign w:val="superscript"/>
          <w:lang w:val="es-ES_tradnl"/>
          <w14:ligatures w14:val="standardContextual"/>
        </w:rPr>
        <w:footnoteReference w:id="9"/>
      </w:r>
      <w:r w:rsidRPr="00E529C8">
        <w:rPr>
          <w:rFonts w:ascii="Verdana" w:eastAsia="Calibri" w:hAnsi="Verdana" w:cs="Arial"/>
          <w:color w:val="000000"/>
          <w:lang w:val="es-ES_tradnl"/>
        </w:rPr>
        <w:t xml:space="preserve">.  </w:t>
      </w:r>
    </w:p>
    <w:p w14:paraId="5B26BA87" w14:textId="77777777" w:rsidR="00DE26FD" w:rsidRPr="00E529C8" w:rsidRDefault="00DE26FD" w:rsidP="00DE26FD">
      <w:pPr>
        <w:shd w:val="clear" w:color="auto" w:fill="FFFFFF"/>
        <w:spacing w:after="0" w:line="276" w:lineRule="auto"/>
        <w:ind w:left="720"/>
        <w:contextualSpacing/>
        <w:jc w:val="both"/>
        <w:rPr>
          <w:rFonts w:ascii="Verdana" w:eastAsia="Calibri" w:hAnsi="Verdana" w:cs="Arial"/>
          <w:color w:val="000000"/>
          <w:lang w:val="es-ES_tradnl"/>
        </w:rPr>
      </w:pPr>
    </w:p>
    <w:p w14:paraId="77CEAC80" w14:textId="77777777" w:rsidR="00DE26FD" w:rsidRPr="00E529C8" w:rsidRDefault="00DE26FD" w:rsidP="00DE26FD">
      <w:pPr>
        <w:numPr>
          <w:ilvl w:val="0"/>
          <w:numId w:val="19"/>
        </w:numPr>
        <w:shd w:val="clear" w:color="auto" w:fill="FFFFFF" w:themeFill="background1"/>
        <w:spacing w:after="0" w:line="276" w:lineRule="auto"/>
        <w:contextualSpacing/>
        <w:jc w:val="both"/>
        <w:rPr>
          <w:rFonts w:ascii="Verdana" w:eastAsia="Calibri" w:hAnsi="Verdana" w:cs="Arial"/>
          <w:color w:val="000000"/>
          <w:lang w:val="es-ES"/>
        </w:rPr>
      </w:pPr>
      <w:proofErr w:type="spellStart"/>
      <w:r w:rsidRPr="0D23A4D3">
        <w:rPr>
          <w:rFonts w:ascii="Verdana" w:eastAsia="Calibri" w:hAnsi="Verdana" w:cs="Arial"/>
          <w:color w:val="000000" w:themeColor="text1"/>
          <w:lang w:val="es-ES"/>
        </w:rPr>
        <w:t>ii</w:t>
      </w:r>
      <w:proofErr w:type="spellEnd"/>
      <w:r w:rsidRPr="0D23A4D3">
        <w:rPr>
          <w:rFonts w:ascii="Verdana" w:eastAsia="Calibri" w:hAnsi="Verdana" w:cs="Arial"/>
          <w:color w:val="000000" w:themeColor="text1"/>
          <w:lang w:val="es-ES"/>
        </w:rPr>
        <w:t xml:space="preserve">) Estos convenios solidarios deben tener por objeto únicamente la ejecución de obras. Esto significa que no pueden desarrollarse otros objetos distintos a la obra con fundamento en este artículo. </w:t>
      </w:r>
    </w:p>
    <w:p w14:paraId="4EBC9F8A" w14:textId="77777777" w:rsidR="00DE26FD" w:rsidRPr="00E529C8" w:rsidRDefault="00DE26FD" w:rsidP="00DE26FD">
      <w:pPr>
        <w:spacing w:after="0" w:line="276" w:lineRule="auto"/>
        <w:ind w:left="720"/>
        <w:contextualSpacing/>
        <w:rPr>
          <w:rFonts w:ascii="Verdana" w:eastAsia="Calibri" w:hAnsi="Verdana" w:cs="Arial"/>
          <w:color w:val="000000"/>
          <w:lang w:val="es-ES_tradnl"/>
        </w:rPr>
      </w:pPr>
    </w:p>
    <w:p w14:paraId="3541407C" w14:textId="77777777" w:rsidR="00DE26FD" w:rsidRPr="00E529C8" w:rsidRDefault="00DE26FD" w:rsidP="00DE26FD">
      <w:pPr>
        <w:numPr>
          <w:ilvl w:val="0"/>
          <w:numId w:val="19"/>
        </w:numPr>
        <w:shd w:val="clear" w:color="auto" w:fill="FFFFFF" w:themeFill="background1"/>
        <w:spacing w:after="0" w:line="276" w:lineRule="auto"/>
        <w:contextualSpacing/>
        <w:jc w:val="both"/>
        <w:rPr>
          <w:rFonts w:ascii="Verdana" w:eastAsia="Calibri" w:hAnsi="Verdana" w:cs="Arial"/>
          <w:color w:val="000000"/>
          <w:lang w:val="es-ES"/>
        </w:rPr>
      </w:pPr>
      <w:proofErr w:type="spellStart"/>
      <w:r w:rsidRPr="0D23A4D3">
        <w:rPr>
          <w:rFonts w:ascii="Verdana" w:eastAsia="Calibri" w:hAnsi="Verdana" w:cs="Arial"/>
          <w:color w:val="000000" w:themeColor="text1"/>
          <w:lang w:val="es-ES"/>
        </w:rPr>
        <w:t>iii</w:t>
      </w:r>
      <w:proofErr w:type="spellEnd"/>
      <w:r w:rsidRPr="0D23A4D3">
        <w:rPr>
          <w:rFonts w:ascii="Verdana" w:eastAsia="Calibri" w:hAnsi="Verdana" w:cs="Arial"/>
          <w:color w:val="000000" w:themeColor="text1"/>
          <w:lang w:val="es-ES"/>
        </w:rPr>
        <w:t xml:space="preserve">) El convenio solidario tiene un límite consistente en que no podrá exceder la menor cuantía de la entidad. Por tanto, los sujetos señalados en la norma están facultados para celebrar estos convenios por la mínima o la menor cuantía de la entidad, para lo cual se atenderá lo previsto en el literal b) del artículo 2 de la Ley 1150 de 2007 para determinar el tope de la menor cuantía de la entidad estatal. </w:t>
      </w:r>
    </w:p>
    <w:p w14:paraId="2353963D" w14:textId="77777777" w:rsidR="00DE26FD" w:rsidRPr="00E529C8" w:rsidRDefault="00DE26FD" w:rsidP="00DE26FD">
      <w:pPr>
        <w:spacing w:after="0" w:line="276" w:lineRule="auto"/>
        <w:ind w:left="720"/>
        <w:contextualSpacing/>
        <w:rPr>
          <w:rFonts w:ascii="Verdana" w:eastAsia="Calibri" w:hAnsi="Verdana" w:cs="Arial"/>
          <w:color w:val="000000"/>
          <w:lang w:val="es-ES_tradnl"/>
        </w:rPr>
      </w:pPr>
    </w:p>
    <w:p w14:paraId="58B756AF" w14:textId="77777777" w:rsidR="00DE26FD" w:rsidRPr="00E529C8" w:rsidRDefault="00DE26FD" w:rsidP="00DE26FD">
      <w:pPr>
        <w:numPr>
          <w:ilvl w:val="0"/>
          <w:numId w:val="19"/>
        </w:numPr>
        <w:shd w:val="clear" w:color="auto" w:fill="FFFFFF" w:themeFill="background1"/>
        <w:spacing w:after="0" w:line="276" w:lineRule="auto"/>
        <w:contextualSpacing/>
        <w:jc w:val="both"/>
        <w:rPr>
          <w:rFonts w:ascii="Verdana" w:eastAsia="Calibri" w:hAnsi="Verdana" w:cs="Arial"/>
          <w:color w:val="000000"/>
          <w:lang w:val="es-ES"/>
        </w:rPr>
      </w:pPr>
      <w:proofErr w:type="spellStart"/>
      <w:r w:rsidRPr="0D23A4D3">
        <w:rPr>
          <w:rFonts w:ascii="Verdana" w:eastAsia="Calibri" w:hAnsi="Verdana" w:cs="Arial"/>
          <w:color w:val="000000" w:themeColor="text1"/>
          <w:lang w:val="es-ES"/>
        </w:rPr>
        <w:t>iv</w:t>
      </w:r>
      <w:proofErr w:type="spellEnd"/>
      <w:r w:rsidRPr="0D23A4D3">
        <w:rPr>
          <w:rFonts w:ascii="Verdana" w:eastAsia="Calibri" w:hAnsi="Verdana" w:cs="Arial"/>
          <w:color w:val="000000" w:themeColor="text1"/>
          <w:lang w:val="es-ES"/>
        </w:rPr>
        <w:t>) Para la ejecución de las obras se establece el deber de contratar con los habitantes de la comunidad.</w:t>
      </w:r>
    </w:p>
    <w:p w14:paraId="0C855E14" w14:textId="77777777" w:rsidR="00DE26FD" w:rsidRPr="00E529C8" w:rsidRDefault="00DE26FD" w:rsidP="00DE26FD">
      <w:pPr>
        <w:spacing w:after="0" w:line="276" w:lineRule="auto"/>
        <w:ind w:left="720"/>
        <w:contextualSpacing/>
        <w:rPr>
          <w:rFonts w:ascii="Verdana" w:eastAsia="Calibri" w:hAnsi="Verdana" w:cs="Arial"/>
          <w:color w:val="000000"/>
          <w:lang w:val="es-ES_tradnl"/>
        </w:rPr>
      </w:pPr>
    </w:p>
    <w:p w14:paraId="7376EB52" w14:textId="77777777" w:rsidR="00DE26FD" w:rsidRPr="00E529C8" w:rsidRDefault="00DE26FD" w:rsidP="00DE26FD">
      <w:pPr>
        <w:numPr>
          <w:ilvl w:val="0"/>
          <w:numId w:val="19"/>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Calibri" w:hAnsi="Verdana" w:cs="Arial"/>
          <w:color w:val="000000"/>
          <w:lang w:val="es-ES_tradnl"/>
        </w:rPr>
        <w:t xml:space="preserve">v) En el valor total del convenio la entidad podrá incluir los costos directos, los costos administrativos y el subsidio </w:t>
      </w:r>
      <w:r w:rsidRPr="00E529C8">
        <w:rPr>
          <w:rFonts w:ascii="Verdana" w:eastAsia="Calibri" w:hAnsi="Verdana" w:cs="Arial"/>
          <w:color w:val="000000"/>
        </w:rPr>
        <w:t xml:space="preserve">al dignatario representante legal para transportes de que trata el literal c) del artículo 38 de la Ley 2166 de 2021. Estos costos deberán incluirse en el ejercicio de planeación que realice la entidad y estar debidamente justificados. </w:t>
      </w:r>
    </w:p>
    <w:p w14:paraId="342EA2A0" w14:textId="77777777" w:rsidR="00DE26FD" w:rsidRPr="00E529C8" w:rsidRDefault="00DE26FD" w:rsidP="00DE26FD">
      <w:pPr>
        <w:spacing w:after="0" w:line="276" w:lineRule="auto"/>
        <w:ind w:left="720"/>
        <w:contextualSpacing/>
        <w:rPr>
          <w:rFonts w:ascii="Verdana" w:eastAsia="Calibri" w:hAnsi="Verdana" w:cs="Arial"/>
          <w:color w:val="000000"/>
        </w:rPr>
      </w:pPr>
    </w:p>
    <w:p w14:paraId="7C219516" w14:textId="77777777" w:rsidR="00DE26FD" w:rsidRPr="00E529C8" w:rsidRDefault="00DE26FD" w:rsidP="00DE26FD">
      <w:pPr>
        <w:numPr>
          <w:ilvl w:val="0"/>
          <w:numId w:val="19"/>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Calibri" w:hAnsi="Verdana" w:cs="Arial"/>
          <w:color w:val="000000"/>
        </w:rPr>
        <w:t>vi) Las entidades deberán contar con personal técnico y administrativo-contable para apoyar y supervisar a los organismos de acción comunal durante la ejecución de las obras. De acuerdo con el parágrafo 2 del artículo 95 de la Ley 2166 de 2021, para garantizar este personal de apoyo las Entidades Estatales deben contar con unos recursos adicionales a los comprendidos dentro del valor del Convenio Solidario.</w:t>
      </w:r>
    </w:p>
    <w:p w14:paraId="2F615957" w14:textId="77777777" w:rsidR="00DE26FD" w:rsidRPr="00E529C8" w:rsidRDefault="00DE26FD" w:rsidP="00DE26FD">
      <w:pPr>
        <w:spacing w:after="0" w:line="276" w:lineRule="auto"/>
        <w:ind w:left="720"/>
        <w:contextualSpacing/>
        <w:rPr>
          <w:rFonts w:ascii="Verdana" w:eastAsia="Aptos" w:hAnsi="Verdana" w:cs="Arial"/>
          <w:bCs/>
          <w:color w:val="000000"/>
          <w:lang w:eastAsia="es-MX"/>
        </w:rPr>
      </w:pPr>
    </w:p>
    <w:p w14:paraId="44AD2B42" w14:textId="77777777" w:rsidR="00DE26FD" w:rsidRPr="00E529C8" w:rsidRDefault="00DE26FD" w:rsidP="00DE26FD">
      <w:pPr>
        <w:numPr>
          <w:ilvl w:val="0"/>
          <w:numId w:val="19"/>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Aptos" w:hAnsi="Verdana" w:cs="Arial"/>
          <w:bCs/>
          <w:color w:val="000000"/>
          <w:lang w:eastAsia="es-MX"/>
        </w:rPr>
        <w:t xml:space="preserve">Como se observa, el artículo 95 de la Ley 2166 de 2021 determina la celebración por contratación directa de convenios solidarios. Este régimen de contratación ya se había contemplado inicialmente en el parágrafo 4 del artículo 3 de la Ley 136 de 1994. Sin embargo, el contenido del artículo 95 es más amplio en relación con los sujetos, la cuantía del contrato y la ejecución de dichos convenios. En efecto, el artículo 95 incluye a los </w:t>
      </w:r>
      <w:r w:rsidRPr="00E529C8">
        <w:rPr>
          <w:rFonts w:ascii="Verdana" w:eastAsia="Calibri" w:hAnsi="Verdana" w:cs="Arial"/>
          <w:color w:val="000000"/>
          <w:lang w:val="es-ES_tradnl"/>
        </w:rPr>
        <w:t>“</w:t>
      </w:r>
      <w:r w:rsidRPr="00E529C8">
        <w:rPr>
          <w:rFonts w:ascii="Verdana" w:eastAsia="Aptos" w:hAnsi="Verdana" w:cs="Arial"/>
          <w:bCs/>
          <w:color w:val="000000"/>
          <w:lang w:eastAsia="es-MX"/>
        </w:rPr>
        <w:t>entes del</w:t>
      </w:r>
      <w:r w:rsidRPr="00E529C8">
        <w:rPr>
          <w:rFonts w:ascii="Verdana" w:eastAsia="Calibri" w:hAnsi="Verdana" w:cs="Arial"/>
          <w:color w:val="000000"/>
          <w:lang w:val="es-ES_tradnl"/>
        </w:rPr>
        <w:t xml:space="preserve"> </w:t>
      </w:r>
      <w:r w:rsidRPr="00E529C8">
        <w:rPr>
          <w:rFonts w:ascii="Verdana" w:eastAsia="Aptos" w:hAnsi="Verdana" w:cs="Arial"/>
          <w:color w:val="000000"/>
        </w:rPr>
        <w:t>orden Nacional, Departamental, Distrital y municipal</w:t>
      </w:r>
      <w:r w:rsidRPr="00E529C8">
        <w:rPr>
          <w:rFonts w:ascii="Verdana" w:eastAsia="Calibri" w:hAnsi="Verdana" w:cs="Arial"/>
          <w:color w:val="000000"/>
          <w:lang w:val="es-ES_tradnl"/>
        </w:rPr>
        <w:t xml:space="preserve">” y a los “organismos de acción comunal”. Es decir, </w:t>
      </w:r>
      <w:r w:rsidRPr="00E529C8">
        <w:rPr>
          <w:rFonts w:ascii="Verdana" w:eastAsia="Aptos" w:hAnsi="Verdana" w:cs="Arial"/>
          <w:bCs/>
          <w:color w:val="000000"/>
          <w:lang w:eastAsia="es-MX"/>
        </w:rPr>
        <w:t xml:space="preserve">conforme a esta Ley podrán celebrar convenios solidarios directamente, no solo los entes territoriales del orden departamental, municipal y distrital, sino también las entidades del orden nacional, y se podrán celebrar con todos los organismos de acción comunal y no únicamente con las juntas de acción comunal. Además, se amplía la cuantía de los convenios permitiendo que se contraten hasta por la menor cuantía y no solo por la mínima cuantía. En </w:t>
      </w:r>
      <w:r w:rsidRPr="00E529C8">
        <w:rPr>
          <w:rFonts w:ascii="Verdana" w:eastAsia="Aptos" w:hAnsi="Verdana" w:cs="Arial"/>
          <w:bCs/>
          <w:color w:val="000000"/>
          <w:lang w:eastAsia="es-MX"/>
        </w:rPr>
        <w:lastRenderedPageBreak/>
        <w:t>cuanto al objeto, las normas son claras en señalar que se trata de la ejecución de obras. Por lo demás, dichos aspectos se sintetizan en el desarrollo reglamentario del Decreto 142 de 2023, el cual adiciona el artículo 2.2.15.1.2 del Decreto 1082 de 2015 en los siguientes términos:</w:t>
      </w:r>
    </w:p>
    <w:p w14:paraId="426155D9" w14:textId="77777777" w:rsidR="00DE26FD" w:rsidRPr="00E529C8" w:rsidRDefault="00DE26FD" w:rsidP="00DE26FD">
      <w:pPr>
        <w:shd w:val="clear" w:color="auto" w:fill="FFFFFF"/>
        <w:spacing w:after="0" w:line="276" w:lineRule="auto"/>
        <w:ind w:left="709" w:right="709"/>
        <w:jc w:val="both"/>
        <w:rPr>
          <w:rFonts w:ascii="Verdana" w:eastAsia="Aptos" w:hAnsi="Verdana" w:cs="Arial"/>
          <w:bCs/>
          <w:color w:val="000000"/>
          <w:lang w:eastAsia="es-MX"/>
        </w:rPr>
      </w:pPr>
    </w:p>
    <w:p w14:paraId="2B273BA0" w14:textId="77777777" w:rsidR="00DE26FD" w:rsidRPr="00E529C8" w:rsidRDefault="00DE26FD" w:rsidP="00DE26FD">
      <w:pPr>
        <w:shd w:val="clear" w:color="auto" w:fill="FFFFFF"/>
        <w:spacing w:after="0" w:line="240" w:lineRule="auto"/>
        <w:ind w:left="709" w:right="709"/>
        <w:jc w:val="both"/>
        <w:rPr>
          <w:rFonts w:ascii="Verdana" w:eastAsia="Aptos" w:hAnsi="Verdana" w:cs="Arial"/>
          <w:bCs/>
          <w:color w:val="000000"/>
          <w:sz w:val="21"/>
          <w:szCs w:val="21"/>
          <w:lang w:eastAsia="es-MX"/>
        </w:rPr>
      </w:pPr>
      <w:r w:rsidRPr="00E529C8">
        <w:rPr>
          <w:rFonts w:ascii="Verdana" w:eastAsia="Aptos" w:hAnsi="Verdana" w:cs="Arial"/>
          <w:bCs/>
          <w:color w:val="000000"/>
          <w:sz w:val="21"/>
          <w:szCs w:val="21"/>
          <w:lang w:eastAsia="es-MX"/>
        </w:rPr>
        <w:t>“Artículo 2.2.15.1.2. Convenios solidarios para la ejecución de obras. De conformidad con lo dispuesto en el artículo 95 de la Ley 2166 de 2021, solo podrán celebrar de manera directa convenios solidarios para la ejecución de obras los entes territoriales del orden nacional, departamental, distrital y municipal con los organismos de acción comunal. El valor de tales convenios no podrá exceder la menor cuantía de la entidad estatal involucrada.</w:t>
      </w:r>
    </w:p>
    <w:p w14:paraId="1B274224" w14:textId="77777777" w:rsidR="00DE26FD" w:rsidRPr="00E529C8" w:rsidRDefault="00DE26FD" w:rsidP="00DE26FD">
      <w:pPr>
        <w:shd w:val="clear" w:color="auto" w:fill="FFFFFF"/>
        <w:spacing w:after="0" w:line="240" w:lineRule="auto"/>
        <w:ind w:left="709" w:right="709"/>
        <w:jc w:val="both"/>
        <w:rPr>
          <w:rFonts w:ascii="Verdana" w:eastAsia="Aptos" w:hAnsi="Verdana" w:cs="Arial"/>
          <w:bCs/>
          <w:color w:val="000000"/>
          <w:sz w:val="21"/>
          <w:szCs w:val="21"/>
          <w:lang w:eastAsia="es-MX"/>
        </w:rPr>
      </w:pPr>
    </w:p>
    <w:p w14:paraId="4C2130D3" w14:textId="77777777" w:rsidR="00DE26FD" w:rsidRPr="00E529C8" w:rsidRDefault="00DE26FD" w:rsidP="00DE26FD">
      <w:pPr>
        <w:shd w:val="clear" w:color="auto" w:fill="FFFFFF"/>
        <w:spacing w:after="0" w:line="240" w:lineRule="auto"/>
        <w:ind w:left="709" w:right="709"/>
        <w:jc w:val="both"/>
        <w:rPr>
          <w:rFonts w:ascii="Verdana" w:eastAsia="Aptos" w:hAnsi="Verdana" w:cs="Arial"/>
          <w:bCs/>
          <w:color w:val="000000"/>
          <w:sz w:val="21"/>
          <w:szCs w:val="21"/>
          <w:lang w:eastAsia="es-MX"/>
        </w:rPr>
      </w:pPr>
      <w:r w:rsidRPr="00E529C8">
        <w:rPr>
          <w:rFonts w:ascii="Verdana" w:eastAsia="Aptos" w:hAnsi="Verdana" w:cs="Arial"/>
          <w:bCs/>
          <w:color w:val="000000"/>
          <w:sz w:val="21"/>
          <w:szCs w:val="21"/>
          <w:lang w:eastAsia="es-MX"/>
        </w:rPr>
        <w:t>Estos convenios solidarios solo podrán tener por objeto la ejecución de obras. Para la ejecución de estas obras los Organismos de Acción Comunal deberán procurar vincular a los habitantes de la comunidad”.</w:t>
      </w:r>
    </w:p>
    <w:p w14:paraId="305AEF03" w14:textId="77777777" w:rsidR="00DE26FD" w:rsidRPr="00E529C8" w:rsidRDefault="00DE26FD" w:rsidP="00DE26FD">
      <w:pPr>
        <w:shd w:val="clear" w:color="auto" w:fill="FFFFFF"/>
        <w:spacing w:after="0" w:line="276" w:lineRule="auto"/>
        <w:jc w:val="both"/>
        <w:rPr>
          <w:rFonts w:ascii="Verdana" w:eastAsia="Aptos" w:hAnsi="Verdana" w:cs="Arial"/>
          <w:bCs/>
          <w:color w:val="000000"/>
          <w:lang w:eastAsia="es-MX"/>
        </w:rPr>
      </w:pPr>
    </w:p>
    <w:p w14:paraId="2B901032" w14:textId="77777777" w:rsidR="00DE26FD" w:rsidRPr="00E529C8" w:rsidRDefault="00DE26FD" w:rsidP="00DE26FD">
      <w:pPr>
        <w:numPr>
          <w:ilvl w:val="0"/>
          <w:numId w:val="20"/>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Aptos" w:hAnsi="Verdana" w:cs="Arial"/>
          <w:bCs/>
          <w:color w:val="000000"/>
          <w:lang w:eastAsia="es-MX"/>
        </w:rPr>
        <w:t>De acuerdo con lo señalado, el documento tipo adoptado por la Agencia Nacional de Contratación Pública</w:t>
      </w:r>
      <w:r w:rsidRPr="00E529C8">
        <w:rPr>
          <w:rFonts w:ascii="Verdana" w:eastAsia="Calibri" w:hAnsi="Verdana" w:cs="Arial"/>
          <w:color w:val="000000"/>
          <w:lang w:val="es-ES" w:eastAsia="es-ES"/>
        </w:rPr>
        <w:t>– Colombia Compra Eficiente</w:t>
      </w:r>
      <w:r w:rsidRPr="00E529C8">
        <w:rPr>
          <w:rFonts w:ascii="Verdana" w:eastAsia="Aptos" w:hAnsi="Verdana" w:cs="Arial"/>
          <w:spacing w:val="2"/>
          <w:lang w:eastAsia="es-CO"/>
        </w:rPr>
        <w:t xml:space="preserve"> </w:t>
      </w:r>
      <w:r w:rsidRPr="00E529C8">
        <w:rPr>
          <w:rFonts w:ascii="Verdana" w:eastAsia="Aptos" w:hAnsi="Verdana" w:cs="Arial"/>
          <w:bCs/>
          <w:color w:val="000000"/>
          <w:lang w:eastAsia="es-MX"/>
        </w:rPr>
        <w:t xml:space="preserve">mediante la Resolución 358 del 30 de junio de 2023, tiene como fundamento el régimen de contratación directa de los convenios solidarios señalado en el artículo 95 de la Ley 2166 de 2021, por lo que únicamente puede realizarse conforme a lo dispuesto en dicha norma, de manera que podrán celebrarse esos convenios </w:t>
      </w:r>
      <w:r w:rsidRPr="00E529C8">
        <w:rPr>
          <w:rFonts w:ascii="Verdana" w:eastAsia="Calibri" w:hAnsi="Verdana" w:cs="Arial"/>
          <w:color w:val="000000"/>
          <w:lang w:val="es-ES_tradnl"/>
        </w:rPr>
        <w:t xml:space="preserve">por la mínima o la menor cuantía de la entidad estatal sometida al Estatuto General de Contratación de la Administración Pública. Por lo anterior, los artículos 1, 2 y 4 de la Resolución señalada mencionan que estos aplican para la contratación directa de convenios solidarios para la ejecución de obras </w:t>
      </w:r>
      <w:r w:rsidRPr="00E529C8">
        <w:rPr>
          <w:rFonts w:ascii="Verdana" w:eastAsia="Calibri" w:hAnsi="Verdana" w:cs="Arial"/>
          <w:i/>
          <w:iCs/>
          <w:color w:val="000000"/>
          <w:u w:val="single"/>
          <w:lang w:val="es-ES_tradnl"/>
        </w:rPr>
        <w:t>hasta</w:t>
      </w:r>
      <w:r w:rsidRPr="00E529C8">
        <w:rPr>
          <w:rFonts w:ascii="Verdana" w:eastAsia="Calibri" w:hAnsi="Verdana" w:cs="Arial"/>
          <w:color w:val="000000"/>
          <w:lang w:val="es-ES_tradnl"/>
        </w:rPr>
        <w:t xml:space="preserve"> la menor cuantía con Organismos de Acción Comunal.</w:t>
      </w:r>
    </w:p>
    <w:p w14:paraId="50CA1A4A" w14:textId="77777777" w:rsidR="00DE26FD" w:rsidRPr="00E529C8" w:rsidRDefault="00DE26FD" w:rsidP="00DE26FD">
      <w:pPr>
        <w:shd w:val="clear" w:color="auto" w:fill="FFFFFF"/>
        <w:spacing w:after="0" w:line="276" w:lineRule="auto"/>
        <w:ind w:left="720"/>
        <w:contextualSpacing/>
        <w:jc w:val="both"/>
        <w:rPr>
          <w:rFonts w:ascii="Verdana" w:eastAsia="Calibri" w:hAnsi="Verdana" w:cs="Arial"/>
          <w:color w:val="000000"/>
          <w:lang w:val="es-ES_tradnl"/>
        </w:rPr>
      </w:pPr>
    </w:p>
    <w:p w14:paraId="745F77B3" w14:textId="77777777" w:rsidR="00DE26FD" w:rsidRPr="00E529C8" w:rsidRDefault="00DE26FD" w:rsidP="00DE26FD">
      <w:pPr>
        <w:numPr>
          <w:ilvl w:val="0"/>
          <w:numId w:val="20"/>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Calibri" w:hAnsi="Verdana" w:cs="Arial"/>
          <w:color w:val="000000"/>
          <w:lang w:val="es-ES"/>
        </w:rPr>
        <w:t xml:space="preserve">Finalmente, debe advertirse que, recientemente, el Consejo de Estado, Sección Tercera, C.P. Alberto Montaña Plata, mediante auto del 28 de mayo de 2024, rad. No. 11001-03-26-0002023-00071 (69.860), decretó la medida cautelar de suspensión provisional del artículo 2.2.15.1.2 del Decreto 1082 de 2015, adicionado y modificado por el artículo 15 del Decreto 142 de 2023. Dicha norma establece </w:t>
      </w:r>
      <w:proofErr w:type="gramStart"/>
      <w:r w:rsidRPr="00E529C8">
        <w:rPr>
          <w:rFonts w:ascii="Verdana" w:eastAsia="Calibri" w:hAnsi="Verdana" w:cs="Arial"/>
          <w:color w:val="000000"/>
          <w:lang w:val="es-ES"/>
        </w:rPr>
        <w:t xml:space="preserve">que </w:t>
      </w:r>
      <w:r w:rsidRPr="00E529C8">
        <w:rPr>
          <w:rFonts w:ascii="Verdana" w:eastAsia="Calibri" w:hAnsi="Verdana" w:cs="Arial"/>
          <w:i/>
          <w:iCs/>
          <w:color w:val="000000"/>
          <w:lang w:val="es-ES"/>
        </w:rPr>
        <w:t>”De</w:t>
      </w:r>
      <w:proofErr w:type="gramEnd"/>
      <w:r w:rsidRPr="00E529C8">
        <w:rPr>
          <w:rFonts w:ascii="Verdana" w:eastAsia="Calibri" w:hAnsi="Verdana" w:cs="Arial"/>
          <w:i/>
          <w:iCs/>
          <w:color w:val="000000"/>
          <w:lang w:val="es-ES"/>
        </w:rPr>
        <w:t xml:space="preserve"> conformidad con lo dispuesto en el artículo 95 de la Ley 2166 de 2021, solo podrán celebrar de manera directa convenios solidarios para la ejecución de obras los entes territoriales del orden nacional, departamental, distrital y municipal </w:t>
      </w:r>
      <w:r w:rsidRPr="00E529C8">
        <w:rPr>
          <w:rFonts w:ascii="Verdana" w:eastAsia="Calibri" w:hAnsi="Verdana" w:cs="Arial"/>
          <w:i/>
          <w:iCs/>
          <w:color w:val="000000"/>
          <w:lang w:val="es-ES"/>
        </w:rPr>
        <w:lastRenderedPageBreak/>
        <w:t>con los organismos de acción comunal. El valor de tales convenios no podrá exceder la menor cuantía de la entidad estatal involucrada”.</w:t>
      </w:r>
    </w:p>
    <w:p w14:paraId="0D8000AC" w14:textId="77777777" w:rsidR="00DE26FD" w:rsidRPr="00E529C8" w:rsidRDefault="00DE26FD" w:rsidP="00DE26FD">
      <w:pPr>
        <w:spacing w:after="0" w:line="276" w:lineRule="auto"/>
        <w:ind w:left="720"/>
        <w:contextualSpacing/>
        <w:rPr>
          <w:rFonts w:ascii="Verdana" w:eastAsia="Calibri" w:hAnsi="Verdana" w:cs="Arial"/>
          <w:color w:val="000000"/>
          <w:lang w:val="es-ES"/>
        </w:rPr>
      </w:pPr>
    </w:p>
    <w:p w14:paraId="02A676AB" w14:textId="77777777" w:rsidR="00DE26FD" w:rsidRPr="00E529C8" w:rsidRDefault="00DE26FD" w:rsidP="00DE26FD">
      <w:pPr>
        <w:numPr>
          <w:ilvl w:val="0"/>
          <w:numId w:val="20"/>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Calibri" w:hAnsi="Verdana" w:cs="Arial"/>
          <w:color w:val="000000"/>
          <w:lang w:val="es-ES"/>
        </w:rPr>
        <w:t xml:space="preserve">Sin perjuicio de lo anterior, en criterio de esta Subdirección, los efectos de la referida decisión del Consejo de Estado no se extienden al artículo 95 de la Ley 2166 de 2021, disposición mediante la cual el Congreso de la República, en el marco de la competencia normativa que le asigna el inciso final del artículo 150 de la Constitución Política, autorizó a los entes del orden nacional, departamental, distrital y municipal a celebrar convenios solidarios de manera directa con Organismos de Acción Comunal,  para la ejecución de obras que no superen la menor cuantía. Esta disposición corresponde a una norma de aplicación directa, por lo que, en principio, no requiere de reglamentación para su aplicación. </w:t>
      </w:r>
    </w:p>
    <w:p w14:paraId="472329BB" w14:textId="77777777" w:rsidR="00DE26FD" w:rsidRPr="00E529C8" w:rsidRDefault="00DE26FD" w:rsidP="00DE26FD">
      <w:pPr>
        <w:spacing w:after="0" w:line="276" w:lineRule="auto"/>
        <w:ind w:left="720"/>
        <w:contextualSpacing/>
        <w:rPr>
          <w:rFonts w:ascii="Verdana" w:eastAsia="Calibri" w:hAnsi="Verdana" w:cs="Arial"/>
          <w:color w:val="000000"/>
          <w:lang w:val="es-ES"/>
        </w:rPr>
      </w:pPr>
    </w:p>
    <w:p w14:paraId="2B04B9D6" w14:textId="77777777" w:rsidR="00DE26FD" w:rsidRPr="000E7A3C" w:rsidRDefault="00DE26FD" w:rsidP="00DE26FD">
      <w:pPr>
        <w:numPr>
          <w:ilvl w:val="0"/>
          <w:numId w:val="20"/>
        </w:numPr>
        <w:shd w:val="clear" w:color="auto" w:fill="FFFFFF"/>
        <w:spacing w:after="0" w:line="276" w:lineRule="auto"/>
        <w:contextualSpacing/>
        <w:jc w:val="both"/>
        <w:rPr>
          <w:rFonts w:ascii="Verdana" w:eastAsia="Calibri" w:hAnsi="Verdana" w:cs="Arial"/>
          <w:color w:val="000000"/>
          <w:lang w:val="es-ES_tradnl"/>
        </w:rPr>
      </w:pPr>
      <w:r w:rsidRPr="00E529C8">
        <w:rPr>
          <w:rFonts w:ascii="Verdana" w:eastAsia="Calibri" w:hAnsi="Verdana" w:cs="Arial"/>
          <w:color w:val="000000"/>
          <w:lang w:val="es-ES"/>
        </w:rPr>
        <w:t xml:space="preserve">Por lo anterior, pese a la suspensión del artículo 15 del Decreto Reglamentario 142 de 2023 que adicionó el artículo 2.2.15.1.1 del Decreto 1082 de 2015, los entes del orden nacional, departamental, distrital y municipal siguen autorizados para celebrar convenios solidarios con Organismos de Acción Comunal para la ejecución de obras hasta la menor cuantía, cumpliendo los requisitos establecidos en el artículo 95 de la Ley 2166 de 2021, normas cuya vigencia no se ve afectada por el auto del 28 de mayo de 2024. Lo mismo ocurre con los documentos tipo para la contratación directa de convenios solidarios para la ejecución de obras hasta la menor cuantía con organismos de acción comunal, toda vez que su fundamento es el artículo 95 de la Ley 2166 de 2021. </w:t>
      </w:r>
    </w:p>
    <w:p w14:paraId="341DE69E" w14:textId="77777777" w:rsidR="000E7A3C" w:rsidRDefault="000E7A3C" w:rsidP="000E7A3C">
      <w:pPr>
        <w:pStyle w:val="Prrafodelista"/>
        <w:rPr>
          <w:rFonts w:ascii="Verdana" w:eastAsia="Calibri" w:hAnsi="Verdana" w:cs="Arial"/>
          <w:color w:val="000000"/>
          <w:lang w:val="es-ES_tradnl"/>
        </w:rPr>
      </w:pPr>
    </w:p>
    <w:p w14:paraId="04866D5B" w14:textId="7E841A3B" w:rsidR="000E7A3C" w:rsidRPr="00E03EC7" w:rsidRDefault="000E7A3C" w:rsidP="00DE26FD">
      <w:pPr>
        <w:numPr>
          <w:ilvl w:val="0"/>
          <w:numId w:val="20"/>
        </w:numPr>
        <w:shd w:val="clear" w:color="auto" w:fill="FFFFFF"/>
        <w:spacing w:after="0" w:line="276" w:lineRule="auto"/>
        <w:contextualSpacing/>
        <w:jc w:val="both"/>
        <w:rPr>
          <w:rFonts w:ascii="Verdana" w:eastAsia="Calibri" w:hAnsi="Verdana" w:cs="Arial"/>
          <w:color w:val="000000"/>
          <w:lang w:val="es-ES_tradnl"/>
        </w:rPr>
      </w:pPr>
      <w:r>
        <w:rPr>
          <w:rFonts w:ascii="Verdana" w:eastAsia="Calibri" w:hAnsi="Verdana" w:cs="Arial"/>
          <w:color w:val="000000"/>
          <w:lang w:val="es-ES_tradnl"/>
        </w:rPr>
        <w:t xml:space="preserve">Por otra parte, respecto de la posibilidad de realizar aportes en especie en los convenios solidarios, es importante señalar que </w:t>
      </w:r>
      <w:r w:rsidR="00DB41AF">
        <w:rPr>
          <w:rFonts w:ascii="Verdana" w:eastAsia="Calibri" w:hAnsi="Verdana" w:cs="Arial"/>
          <w:color w:val="000000"/>
          <w:lang w:val="es-ES_tradnl"/>
        </w:rPr>
        <w:t>e</w:t>
      </w:r>
      <w:r>
        <w:rPr>
          <w:rFonts w:ascii="Verdana" w:eastAsia="Calibri" w:hAnsi="Verdana" w:cs="Arial"/>
          <w:lang w:val="es-ES"/>
        </w:rPr>
        <w:t xml:space="preserve">l </w:t>
      </w:r>
      <w:r w:rsidRPr="00C02C4A">
        <w:rPr>
          <w:rFonts w:ascii="Verdana" w:eastAsia="Calibri" w:hAnsi="Verdana" w:cs="Arial"/>
          <w:lang w:val="es-ES"/>
        </w:rPr>
        <w:t>Documento tipo para la contratación directa de convenios solidarios para la ejecución de obras hasta la menor cuantía con organismos de acción comunal</w:t>
      </w:r>
      <w:r>
        <w:rPr>
          <w:rFonts w:ascii="Verdana" w:eastAsia="Calibri" w:hAnsi="Verdana" w:cs="Arial"/>
          <w:lang w:val="es-ES"/>
        </w:rPr>
        <w:t>, en la cláusula 5 sobre valor del convenio de la “Minuta tipo</w:t>
      </w:r>
      <w:r>
        <w:t xml:space="preserve"> </w:t>
      </w:r>
      <w:r w:rsidRPr="0091170E">
        <w:rPr>
          <w:rFonts w:ascii="Verdana" w:eastAsia="Calibri" w:hAnsi="Verdana" w:cs="Arial"/>
          <w:lang w:val="es-ES"/>
        </w:rPr>
        <w:t>convenio solidario para la ejecución de obras</w:t>
      </w:r>
      <w:r>
        <w:rPr>
          <w:rFonts w:ascii="Verdana" w:eastAsia="Calibri" w:hAnsi="Verdana" w:cs="Arial"/>
          <w:lang w:val="es-ES"/>
        </w:rPr>
        <w:t>”, dispone</w:t>
      </w:r>
      <w:r w:rsidR="00E03EC7">
        <w:rPr>
          <w:rFonts w:ascii="Verdana" w:eastAsia="Calibri" w:hAnsi="Verdana" w:cs="Arial"/>
          <w:lang w:val="es-ES"/>
        </w:rPr>
        <w:t>:</w:t>
      </w:r>
    </w:p>
    <w:p w14:paraId="5B6477DD" w14:textId="77777777" w:rsidR="00E03EC7" w:rsidRDefault="00E03EC7" w:rsidP="00E03EC7">
      <w:pPr>
        <w:pStyle w:val="Prrafodelista"/>
        <w:rPr>
          <w:rFonts w:ascii="Verdana" w:eastAsia="Calibri" w:hAnsi="Verdana" w:cs="Arial"/>
          <w:color w:val="000000"/>
          <w:lang w:val="es-ES_tradnl"/>
        </w:rPr>
      </w:pPr>
    </w:p>
    <w:p w14:paraId="2051FD5A" w14:textId="77777777" w:rsidR="00857236" w:rsidRPr="00857236" w:rsidRDefault="00857236" w:rsidP="00857236">
      <w:pPr>
        <w:pStyle w:val="clusulas"/>
        <w:spacing w:before="0" w:after="0"/>
        <w:ind w:leftChars="709" w:left="2127" w:right="709" w:hanging="567"/>
        <w:rPr>
          <w:rFonts w:ascii="Verdana" w:hAnsi="Verdana" w:cs="Arial"/>
          <w:sz w:val="21"/>
          <w:szCs w:val="21"/>
        </w:rPr>
      </w:pPr>
      <w:r w:rsidRPr="00857236">
        <w:rPr>
          <w:rFonts w:ascii="Verdana" w:hAnsi="Verdana" w:cs="Arial"/>
          <w:sz w:val="21"/>
          <w:szCs w:val="21"/>
        </w:rPr>
        <w:t>VALOR DEL CONVENIO</w:t>
      </w:r>
    </w:p>
    <w:p w14:paraId="04712E01" w14:textId="77777777" w:rsidR="00857236" w:rsidRPr="00857236" w:rsidRDefault="00857236" w:rsidP="00857236">
      <w:pPr>
        <w:pStyle w:val="clusulas"/>
        <w:numPr>
          <w:ilvl w:val="0"/>
          <w:numId w:val="0"/>
        </w:numPr>
        <w:spacing w:before="0" w:after="0"/>
        <w:ind w:leftChars="709" w:left="1560" w:right="709"/>
        <w:rPr>
          <w:rFonts w:ascii="Verdana" w:hAnsi="Verdana" w:cs="Arial"/>
          <w:color w:val="000000" w:themeColor="text1"/>
          <w:sz w:val="21"/>
          <w:szCs w:val="21"/>
        </w:rPr>
      </w:pPr>
    </w:p>
    <w:p w14:paraId="04FE9AB5" w14:textId="77777777" w:rsidR="00857236" w:rsidRPr="00857236" w:rsidRDefault="00857236" w:rsidP="00857236">
      <w:pPr>
        <w:spacing w:line="240" w:lineRule="auto"/>
        <w:ind w:leftChars="709" w:left="1560" w:right="709"/>
        <w:jc w:val="both"/>
        <w:rPr>
          <w:rFonts w:ascii="Verdana" w:hAnsi="Verdana" w:cs="Arial"/>
          <w:sz w:val="21"/>
          <w:szCs w:val="21"/>
        </w:rPr>
      </w:pPr>
      <w:r w:rsidRPr="00857236">
        <w:rPr>
          <w:rFonts w:ascii="Verdana" w:hAnsi="Verdana" w:cs="Arial"/>
          <w:sz w:val="21"/>
          <w:szCs w:val="21"/>
        </w:rPr>
        <w:t xml:space="preserve">El valor del presente Convenio es de </w:t>
      </w:r>
      <w:r w:rsidRPr="00857236">
        <w:rPr>
          <w:rFonts w:ascii="Verdana" w:hAnsi="Verdana" w:cs="Arial"/>
          <w:color w:val="000000"/>
          <w:sz w:val="21"/>
          <w:szCs w:val="21"/>
          <w:highlight w:val="lightGray"/>
        </w:rPr>
        <w:t>[__________ de pesos ($_____)]</w:t>
      </w:r>
      <w:r w:rsidRPr="00857236">
        <w:rPr>
          <w:rFonts w:ascii="Verdana" w:hAnsi="Verdana" w:cs="Arial"/>
          <w:sz w:val="21"/>
          <w:szCs w:val="21"/>
        </w:rPr>
        <w:t xml:space="preserve"> Moneda Corriente,</w:t>
      </w:r>
      <w:r w:rsidRPr="00857236">
        <w:rPr>
          <w:rFonts w:ascii="Verdana" w:hAnsi="Verdana" w:cs="Arial"/>
          <w:bCs/>
          <w:sz w:val="21"/>
          <w:szCs w:val="21"/>
        </w:rPr>
        <w:t xml:space="preserve"> incluido IVA</w:t>
      </w:r>
      <w:r w:rsidRPr="00857236">
        <w:rPr>
          <w:rFonts w:ascii="Verdana" w:hAnsi="Verdana" w:cs="Arial"/>
          <w:sz w:val="21"/>
          <w:szCs w:val="21"/>
        </w:rPr>
        <w:t xml:space="preserve"> y los demás tributos que se generen por la ejecución del Convenio. Dicho valor se </w:t>
      </w:r>
      <w:r w:rsidRPr="00857236">
        <w:rPr>
          <w:rFonts w:ascii="Verdana" w:hAnsi="Verdana" w:cs="Arial"/>
          <w:sz w:val="21"/>
          <w:szCs w:val="21"/>
        </w:rPr>
        <w:lastRenderedPageBreak/>
        <w:t xml:space="preserve">discrimina así: </w:t>
      </w:r>
      <w:r w:rsidRPr="00857236">
        <w:rPr>
          <w:rFonts w:ascii="Verdana" w:hAnsi="Verdana" w:cs="Arial"/>
          <w:bCs/>
          <w:color w:val="000000"/>
          <w:sz w:val="21"/>
          <w:szCs w:val="21"/>
          <w:highlight w:val="lightGray"/>
        </w:rPr>
        <w:t>[formación/actualización (seleccionar según corresponda)]</w:t>
      </w:r>
      <w:r w:rsidRPr="00857236">
        <w:rPr>
          <w:rFonts w:ascii="Verdana" w:hAnsi="Verdana" w:cs="Arial"/>
          <w:bCs/>
          <w:color w:val="000000"/>
          <w:sz w:val="21"/>
          <w:szCs w:val="21"/>
        </w:rPr>
        <w:t xml:space="preserve"> </w:t>
      </w:r>
      <w:r w:rsidRPr="00857236">
        <w:rPr>
          <w:rFonts w:ascii="Verdana" w:hAnsi="Verdana" w:cs="Arial"/>
          <w:sz w:val="21"/>
          <w:szCs w:val="21"/>
        </w:rPr>
        <w:t xml:space="preserve">_______ de pesos $ _____________Moneda corriente y conservación _________ pesos $ ___________________Moneda corriente, valor que se discrimina de la siguiente manera: </w:t>
      </w:r>
    </w:p>
    <w:p w14:paraId="3681CA07" w14:textId="77777777" w:rsidR="00857236" w:rsidRPr="00857236" w:rsidRDefault="00857236" w:rsidP="00857236">
      <w:pPr>
        <w:spacing w:line="240" w:lineRule="auto"/>
        <w:ind w:leftChars="709" w:left="1560" w:right="709"/>
        <w:jc w:val="both"/>
        <w:rPr>
          <w:rFonts w:ascii="Verdana" w:hAnsi="Verdana" w:cs="Arial"/>
          <w:sz w:val="21"/>
          <w:szCs w:val="21"/>
        </w:rPr>
      </w:pPr>
    </w:p>
    <w:p w14:paraId="2C3031D5" w14:textId="77777777" w:rsidR="00857236" w:rsidRPr="00857236" w:rsidRDefault="00857236" w:rsidP="00857236">
      <w:pPr>
        <w:pStyle w:val="Prrafodelista"/>
        <w:numPr>
          <w:ilvl w:val="1"/>
          <w:numId w:val="22"/>
        </w:numPr>
        <w:spacing w:after="0" w:line="240" w:lineRule="auto"/>
        <w:ind w:leftChars="709" w:left="1920" w:right="709"/>
        <w:jc w:val="both"/>
        <w:rPr>
          <w:rFonts w:ascii="Verdana" w:hAnsi="Verdana" w:cs="Arial"/>
          <w:sz w:val="21"/>
          <w:szCs w:val="21"/>
          <w:highlight w:val="lightGray"/>
        </w:rPr>
      </w:pPr>
      <w:r w:rsidRPr="00857236">
        <w:rPr>
          <w:rFonts w:ascii="Verdana" w:hAnsi="Verdana" w:cs="Arial"/>
          <w:sz w:val="21"/>
          <w:szCs w:val="21"/>
          <w:highlight w:val="lightGray"/>
        </w:rPr>
        <w:t>La Entidad Estatal realizará un aporte en dinero correspondiente a [valor estimado de los aportes que realiza la Entidad Estatal en letras y en números], equivalentes a [número de salarios mínimos] y/o en especie correspondiente a [valor estimado de los aportes que realiza la Entidad Estatal en letras y en números], equivalentes a [número de salarios mínimos]</w:t>
      </w:r>
    </w:p>
    <w:p w14:paraId="4FF47033" w14:textId="77777777" w:rsidR="00857236" w:rsidRPr="00857236" w:rsidRDefault="00857236" w:rsidP="00857236">
      <w:pPr>
        <w:pStyle w:val="Prrafodelista"/>
        <w:numPr>
          <w:ilvl w:val="1"/>
          <w:numId w:val="22"/>
        </w:numPr>
        <w:spacing w:after="0" w:line="240" w:lineRule="auto"/>
        <w:ind w:leftChars="709" w:left="1920" w:right="709"/>
        <w:jc w:val="both"/>
        <w:rPr>
          <w:rFonts w:ascii="Verdana" w:hAnsi="Verdana" w:cs="Arial"/>
          <w:bCs/>
          <w:sz w:val="21"/>
          <w:szCs w:val="21"/>
          <w:highlight w:val="lightGray"/>
        </w:rPr>
      </w:pPr>
      <w:r w:rsidRPr="00857236">
        <w:rPr>
          <w:rFonts w:ascii="Verdana" w:hAnsi="Verdana" w:cs="Arial"/>
          <w:sz w:val="21"/>
          <w:szCs w:val="21"/>
          <w:highlight w:val="lightGray"/>
        </w:rPr>
        <w:t>El OAC realizara un aporte en ________ [indicar si es Dinero o Especie] correspondiente a [En caso de ser aportes en especie indicar a que corresponden ejemplos: Herramienta u otros, de igual forma se deberá realizar la respectiva cuantificación del aporte del OAC en letras y en números]</w:t>
      </w:r>
    </w:p>
    <w:p w14:paraId="6F813ABA" w14:textId="77777777" w:rsidR="00857236" w:rsidRPr="00857236" w:rsidRDefault="00857236" w:rsidP="00857236">
      <w:pPr>
        <w:pStyle w:val="Prrafodelista"/>
        <w:spacing w:line="240" w:lineRule="auto"/>
        <w:ind w:leftChars="709" w:left="1560" w:right="709"/>
        <w:jc w:val="both"/>
        <w:rPr>
          <w:rFonts w:ascii="Verdana" w:hAnsi="Verdana" w:cs="Arial"/>
          <w:bCs/>
          <w:sz w:val="21"/>
          <w:szCs w:val="21"/>
          <w:highlight w:val="lightGray"/>
        </w:rPr>
      </w:pPr>
    </w:p>
    <w:p w14:paraId="4BB6E87B" w14:textId="77777777" w:rsidR="00857236" w:rsidRPr="00857236" w:rsidRDefault="00857236" w:rsidP="00857236">
      <w:pPr>
        <w:spacing w:line="240" w:lineRule="auto"/>
        <w:ind w:leftChars="709" w:left="1560" w:right="709"/>
        <w:jc w:val="both"/>
        <w:rPr>
          <w:rFonts w:ascii="Verdana" w:hAnsi="Verdana" w:cs="Arial"/>
          <w:sz w:val="21"/>
          <w:szCs w:val="21"/>
          <w:highlight w:val="lightGray"/>
        </w:rPr>
      </w:pPr>
      <w:r w:rsidRPr="00857236">
        <w:rPr>
          <w:rFonts w:ascii="Verdana" w:hAnsi="Verdana" w:cs="Arial"/>
          <w:sz w:val="21"/>
          <w:szCs w:val="21"/>
          <w:highlight w:val="lightGray"/>
        </w:rPr>
        <w:t>[Al desarrollar esta cláusula se debe tener en cuenta que los entes  de orden Nacional, Departamental, Distrital y municipal deberán incluir en el monto total de los Convenios Solidarios los costos directos, costos indirectos, los costos administrativos, el Subsidio al dignatario representante legal para transportes de que trata la (SIC) el literal c) del artículo 38 de la Ley 2166 de 2022], tasas e impuestos , y en general cualquier costo asociado al convenio, por lo cual dentro de los valores de aportes de cada una de las partes deberán discriminar dichos costos.</w:t>
      </w:r>
    </w:p>
    <w:p w14:paraId="43019AB7" w14:textId="77777777" w:rsidR="00857236" w:rsidRPr="00857236" w:rsidRDefault="00857236" w:rsidP="00857236">
      <w:pPr>
        <w:spacing w:line="240" w:lineRule="auto"/>
        <w:ind w:leftChars="709" w:left="1560" w:right="709"/>
        <w:jc w:val="both"/>
        <w:rPr>
          <w:rFonts w:ascii="Verdana" w:hAnsi="Verdana" w:cs="Arial"/>
          <w:bCs/>
          <w:sz w:val="21"/>
          <w:szCs w:val="21"/>
          <w:highlight w:val="lightGray"/>
        </w:rPr>
      </w:pPr>
    </w:p>
    <w:p w14:paraId="2F9924C4" w14:textId="77777777" w:rsidR="00857236" w:rsidRPr="00857236" w:rsidRDefault="00857236" w:rsidP="00857236">
      <w:pPr>
        <w:spacing w:line="240" w:lineRule="auto"/>
        <w:ind w:leftChars="709" w:left="1560" w:right="709"/>
        <w:jc w:val="both"/>
        <w:rPr>
          <w:rFonts w:ascii="Verdana" w:hAnsi="Verdana" w:cs="Arial"/>
          <w:sz w:val="21"/>
          <w:szCs w:val="21"/>
        </w:rPr>
      </w:pPr>
      <w:r w:rsidRPr="00857236">
        <w:rPr>
          <w:rFonts w:ascii="Verdana" w:hAnsi="Verdana" w:cs="Arial"/>
          <w:sz w:val="21"/>
          <w:szCs w:val="21"/>
        </w:rPr>
        <w:t xml:space="preserve">Nota 1: El valor total del presente convenio se obtuvo luego de realizar el análisis del sector y estudio de mercado contemplado en el Anexo No. 2 – Análisis del Sector. </w:t>
      </w:r>
    </w:p>
    <w:p w14:paraId="6F5A1B7C" w14:textId="77777777" w:rsidR="00DE26FD" w:rsidRPr="00E529C8" w:rsidRDefault="00DE26FD" w:rsidP="00DE26FD">
      <w:pPr>
        <w:widowControl w:val="0"/>
        <w:autoSpaceDE w:val="0"/>
        <w:autoSpaceDN w:val="0"/>
        <w:spacing w:after="0" w:line="276" w:lineRule="auto"/>
        <w:jc w:val="both"/>
        <w:rPr>
          <w:rFonts w:ascii="Verdana" w:eastAsia="Calibri" w:hAnsi="Verdana" w:cs="Arial"/>
        </w:rPr>
      </w:pPr>
    </w:p>
    <w:p w14:paraId="6EDD4E98" w14:textId="1E9B7350" w:rsidR="00DE26FD" w:rsidRPr="00E529C8" w:rsidRDefault="00270015" w:rsidP="00270015">
      <w:pPr>
        <w:tabs>
          <w:tab w:val="left" w:pos="142"/>
          <w:tab w:val="left" w:pos="284"/>
        </w:tabs>
        <w:spacing w:after="0" w:line="276" w:lineRule="auto"/>
        <w:jc w:val="both"/>
        <w:rPr>
          <w:rFonts w:ascii="Verdana" w:eastAsia="Century Gothic" w:hAnsi="Verdana" w:cs="Century Gothic"/>
          <w:b/>
          <w:bCs/>
          <w:lang w:val="es-ES"/>
        </w:rPr>
      </w:pPr>
      <w:r>
        <w:rPr>
          <w:rFonts w:ascii="Verdana" w:eastAsia="Century Gothic" w:hAnsi="Verdana" w:cs="Century Gothic"/>
          <w:b/>
          <w:bCs/>
          <w:lang w:val="es-ES"/>
        </w:rPr>
        <w:t xml:space="preserve">4. </w:t>
      </w:r>
      <w:r w:rsidR="00DE26FD" w:rsidRPr="00E529C8">
        <w:rPr>
          <w:rFonts w:ascii="Verdana" w:eastAsia="Century Gothic" w:hAnsi="Verdana" w:cs="Century Gothic"/>
          <w:b/>
          <w:bCs/>
          <w:lang w:val="es-ES"/>
        </w:rPr>
        <w:t>Referencias normativas, jurisprudenciales y otras fuentes:</w:t>
      </w:r>
    </w:p>
    <w:p w14:paraId="3B1D0273" w14:textId="77777777" w:rsidR="00DE26FD" w:rsidRPr="00E529C8" w:rsidRDefault="00DE26FD" w:rsidP="00DE26FD">
      <w:pPr>
        <w:widowControl w:val="0"/>
        <w:autoSpaceDE w:val="0"/>
        <w:autoSpaceDN w:val="0"/>
        <w:spacing w:after="0" w:line="276" w:lineRule="auto"/>
        <w:jc w:val="both"/>
        <w:rPr>
          <w:rFonts w:ascii="Verdana" w:eastAsia="Calibri"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DE26FD" w:rsidRPr="00E529C8" w14:paraId="1E717F1B" w14:textId="77777777" w:rsidTr="005806C6">
        <w:trPr>
          <w:trHeight w:val="870"/>
        </w:trPr>
        <w:tc>
          <w:tcPr>
            <w:tcW w:w="8647" w:type="dxa"/>
          </w:tcPr>
          <w:p w14:paraId="62F3B889" w14:textId="77777777" w:rsidR="00DE26FD" w:rsidRPr="00E529C8" w:rsidRDefault="00DE26FD" w:rsidP="005806C6">
            <w:pPr>
              <w:widowControl w:val="0"/>
              <w:numPr>
                <w:ilvl w:val="0"/>
                <w:numId w:val="17"/>
              </w:numPr>
              <w:autoSpaceDE w:val="0"/>
              <w:autoSpaceDN w:val="0"/>
              <w:spacing w:after="120" w:line="276" w:lineRule="auto"/>
              <w:jc w:val="both"/>
              <w:rPr>
                <w:rFonts w:ascii="Verdana" w:eastAsia="Calibri" w:hAnsi="Verdana" w:cs="Arial"/>
              </w:rPr>
            </w:pPr>
            <w:r w:rsidRPr="00E529C8">
              <w:rPr>
                <w:rFonts w:ascii="Verdana" w:eastAsia="Calibri" w:hAnsi="Verdana" w:cs="Arial"/>
              </w:rPr>
              <w:t xml:space="preserve">Ley 2022 de 2020, artículo 1. </w:t>
            </w:r>
          </w:p>
          <w:p w14:paraId="3AFB59E7" w14:textId="77777777" w:rsidR="00DE26FD" w:rsidRPr="00E529C8" w:rsidRDefault="00DE26FD" w:rsidP="005806C6">
            <w:pPr>
              <w:widowControl w:val="0"/>
              <w:numPr>
                <w:ilvl w:val="0"/>
                <w:numId w:val="17"/>
              </w:numPr>
              <w:autoSpaceDE w:val="0"/>
              <w:autoSpaceDN w:val="0"/>
              <w:spacing w:after="120" w:line="276" w:lineRule="auto"/>
              <w:jc w:val="both"/>
              <w:rPr>
                <w:rFonts w:ascii="Verdana" w:eastAsia="Calibri" w:hAnsi="Verdana" w:cs="Arial"/>
              </w:rPr>
            </w:pPr>
            <w:r w:rsidRPr="00E529C8">
              <w:rPr>
                <w:rFonts w:ascii="Verdana" w:eastAsia="Calibri" w:hAnsi="Verdana" w:cs="Arial"/>
              </w:rPr>
              <w:t>Ley 2166 de 2021, artículos 7, 38 y 95.</w:t>
            </w:r>
          </w:p>
          <w:p w14:paraId="57B4CF9A" w14:textId="77777777" w:rsidR="00DE26FD" w:rsidRPr="00E529C8" w:rsidRDefault="00DE26FD" w:rsidP="005806C6">
            <w:pPr>
              <w:widowControl w:val="0"/>
              <w:numPr>
                <w:ilvl w:val="0"/>
                <w:numId w:val="17"/>
              </w:numPr>
              <w:autoSpaceDE w:val="0"/>
              <w:autoSpaceDN w:val="0"/>
              <w:spacing w:after="120" w:line="276" w:lineRule="auto"/>
              <w:jc w:val="both"/>
              <w:rPr>
                <w:rFonts w:ascii="Verdana" w:eastAsia="Calibri" w:hAnsi="Verdana" w:cs="Arial"/>
              </w:rPr>
            </w:pPr>
            <w:r w:rsidRPr="00E529C8">
              <w:rPr>
                <w:rFonts w:ascii="Verdana" w:eastAsia="Calibri" w:hAnsi="Verdana" w:cs="Arial"/>
              </w:rPr>
              <w:lastRenderedPageBreak/>
              <w:t xml:space="preserve">Decreto 1082 de 2015, artículo </w:t>
            </w:r>
            <w:r w:rsidRPr="00E529C8">
              <w:rPr>
                <w:rFonts w:ascii="Verdana" w:eastAsia="Aptos" w:hAnsi="Verdana" w:cs="Arial"/>
                <w:bCs/>
                <w:color w:val="000000"/>
                <w:lang w:eastAsia="es-MX"/>
              </w:rPr>
              <w:t>2.2.15.1.2.</w:t>
            </w:r>
          </w:p>
          <w:p w14:paraId="4E8D3B3C" w14:textId="77777777" w:rsidR="00DE26FD" w:rsidRPr="00E529C8" w:rsidRDefault="00DE26FD" w:rsidP="005806C6">
            <w:pPr>
              <w:widowControl w:val="0"/>
              <w:numPr>
                <w:ilvl w:val="0"/>
                <w:numId w:val="17"/>
              </w:numPr>
              <w:autoSpaceDE w:val="0"/>
              <w:autoSpaceDN w:val="0"/>
              <w:spacing w:after="120" w:line="276" w:lineRule="auto"/>
              <w:jc w:val="both"/>
              <w:rPr>
                <w:rFonts w:ascii="Verdana" w:eastAsia="Calibri" w:hAnsi="Verdana" w:cs="Arial"/>
              </w:rPr>
            </w:pPr>
            <w:r w:rsidRPr="00E529C8">
              <w:rPr>
                <w:rFonts w:ascii="Verdana" w:eastAsia="Aptos" w:hAnsi="Verdana" w:cs="Arial"/>
                <w:bCs/>
                <w:color w:val="000000"/>
                <w:lang w:eastAsia="es-MX"/>
              </w:rPr>
              <w:t>Decreto 142 de 2023, artículo 15.</w:t>
            </w:r>
          </w:p>
          <w:p w14:paraId="1B26430B" w14:textId="77777777" w:rsidR="00DE26FD" w:rsidRPr="00E529C8" w:rsidRDefault="00DE26FD" w:rsidP="005806C6">
            <w:pPr>
              <w:widowControl w:val="0"/>
              <w:numPr>
                <w:ilvl w:val="0"/>
                <w:numId w:val="17"/>
              </w:numPr>
              <w:autoSpaceDE w:val="0"/>
              <w:autoSpaceDN w:val="0"/>
              <w:spacing w:after="120" w:line="276" w:lineRule="auto"/>
              <w:jc w:val="both"/>
              <w:rPr>
                <w:rFonts w:ascii="Verdana" w:eastAsia="Calibri" w:hAnsi="Verdana" w:cs="Arial"/>
              </w:rPr>
            </w:pPr>
            <w:r w:rsidRPr="00E529C8">
              <w:rPr>
                <w:rFonts w:ascii="Verdana" w:eastAsia="Aptos" w:hAnsi="Verdana" w:cs="Arial"/>
                <w:spacing w:val="2"/>
                <w:lang w:eastAsia="es-CO"/>
              </w:rPr>
              <w:t>Resolución 358 de 2023 “</w:t>
            </w:r>
            <w:hyperlink r:id="rId14" w:history="1">
              <w:r w:rsidRPr="00E529C8">
                <w:rPr>
                  <w:rFonts w:ascii="Verdana" w:eastAsia="Aptos" w:hAnsi="Verdana" w:cs="Arial"/>
                  <w:spacing w:val="2"/>
                  <w:lang w:eastAsia="es-CO"/>
                </w:rPr>
                <w:t xml:space="preserve">Por la cual se adopta el documento tipo para la contratación directa de convenios solidarios para la ejecución de obras hasta la menor cuantía con organismos de acción comunal”. Disponible en: </w:t>
              </w:r>
            </w:hyperlink>
            <w:r w:rsidRPr="00E529C8">
              <w:rPr>
                <w:rFonts w:ascii="Aptos" w:eastAsia="Aptos" w:hAnsi="Aptos" w:cs="Times New Roman"/>
                <w:lang w:val="es-ES_tradnl"/>
              </w:rPr>
              <w:t xml:space="preserve"> </w:t>
            </w:r>
            <w:hyperlink r:id="rId15" w:history="1">
              <w:r w:rsidRPr="00E529C8">
                <w:rPr>
                  <w:rFonts w:ascii="Verdana" w:eastAsia="Aptos" w:hAnsi="Verdana" w:cs="Arial"/>
                  <w:color w:val="0000FF"/>
                  <w:spacing w:val="2"/>
                  <w:u w:val="single"/>
                  <w:lang w:eastAsia="es-CO"/>
                </w:rPr>
                <w:t>https://www.colombiacompra.gov.co/content/documento-tipo-para-la-contratacion-directa-de-convenios-solidarios-para-la-ejecucion-de</w:t>
              </w:r>
            </w:hyperlink>
            <w:r w:rsidRPr="00E529C8">
              <w:rPr>
                <w:rFonts w:ascii="Verdana" w:eastAsia="Aptos" w:hAnsi="Verdana" w:cs="Arial"/>
                <w:spacing w:val="2"/>
                <w:lang w:eastAsia="es-CO"/>
              </w:rPr>
              <w:t xml:space="preserve"> </w:t>
            </w:r>
          </w:p>
          <w:p w14:paraId="1116371C" w14:textId="77777777" w:rsidR="00DE26FD" w:rsidRDefault="00DE26FD" w:rsidP="005806C6">
            <w:pPr>
              <w:widowControl w:val="0"/>
              <w:numPr>
                <w:ilvl w:val="0"/>
                <w:numId w:val="17"/>
              </w:numPr>
              <w:autoSpaceDE w:val="0"/>
              <w:autoSpaceDN w:val="0"/>
              <w:spacing w:after="120" w:line="276" w:lineRule="auto"/>
              <w:jc w:val="both"/>
              <w:rPr>
                <w:rFonts w:ascii="Verdana" w:eastAsia="Calibri" w:hAnsi="Verdana" w:cs="Arial"/>
              </w:rPr>
            </w:pPr>
            <w:r w:rsidRPr="00E529C8">
              <w:rPr>
                <w:rFonts w:ascii="Verdana" w:eastAsia="Calibri" w:hAnsi="Verdana" w:cs="Arial"/>
              </w:rPr>
              <w:t>Consejo de Estado, Sección Tercera, Auto 11001-03-26-000-2023-00071-00 (69.860) del 28 de mayo de 2024, C.P. Alberto Montaña Plata.</w:t>
            </w:r>
          </w:p>
          <w:p w14:paraId="25E6B319" w14:textId="4C5E9175" w:rsidR="007957CA" w:rsidRPr="00E529C8" w:rsidRDefault="007957CA" w:rsidP="005806C6">
            <w:pPr>
              <w:widowControl w:val="0"/>
              <w:numPr>
                <w:ilvl w:val="0"/>
                <w:numId w:val="17"/>
              </w:numPr>
              <w:autoSpaceDE w:val="0"/>
              <w:autoSpaceDN w:val="0"/>
              <w:spacing w:after="120" w:line="276" w:lineRule="auto"/>
              <w:jc w:val="both"/>
              <w:rPr>
                <w:rFonts w:ascii="Verdana" w:eastAsia="Calibri" w:hAnsi="Verdana" w:cs="Arial"/>
              </w:rPr>
            </w:pPr>
            <w:r w:rsidRPr="007957CA">
              <w:rPr>
                <w:rFonts w:ascii="Verdana" w:eastAsia="Calibri" w:hAnsi="Verdana" w:cs="Arial"/>
              </w:rPr>
              <w:t>Agencia Nacional de Contratación Pública – Colombia Compra Eficiente –, Guía para la celebración de convenios solidarios. Disponible en: chrome-extension://efaidnbmnnnibpcajpcglclefindmkaj/https://www.colombiacompra.gov.co/wp-content/uploads/2025/06/Guia-para-la-celebracion-de-Convenios-Solidarios-ajuste-diseno.pdf</w:t>
            </w:r>
          </w:p>
        </w:tc>
      </w:tr>
    </w:tbl>
    <w:p w14:paraId="0325EB0E" w14:textId="77777777" w:rsidR="00DE26FD" w:rsidRPr="00E529C8" w:rsidRDefault="00DE26FD" w:rsidP="00DE26FD">
      <w:pPr>
        <w:widowControl w:val="0"/>
        <w:autoSpaceDE w:val="0"/>
        <w:autoSpaceDN w:val="0"/>
        <w:spacing w:after="0" w:line="276" w:lineRule="auto"/>
        <w:jc w:val="both"/>
        <w:rPr>
          <w:rFonts w:ascii="Verdana" w:eastAsia="Calibri" w:hAnsi="Verdana" w:cs="Arial"/>
        </w:rPr>
      </w:pPr>
    </w:p>
    <w:p w14:paraId="60B72D0F" w14:textId="07F3087C" w:rsidR="00DE26FD" w:rsidRPr="00E529C8" w:rsidRDefault="00270015" w:rsidP="00270015">
      <w:pPr>
        <w:tabs>
          <w:tab w:val="left" w:pos="142"/>
          <w:tab w:val="left" w:pos="284"/>
        </w:tabs>
        <w:spacing w:after="0" w:line="276" w:lineRule="auto"/>
        <w:jc w:val="both"/>
        <w:rPr>
          <w:rFonts w:ascii="Verdana" w:eastAsia="Century Gothic" w:hAnsi="Verdana" w:cs="Century Gothic"/>
          <w:b/>
          <w:bCs/>
          <w:lang w:val="es-ES"/>
        </w:rPr>
      </w:pPr>
      <w:r>
        <w:rPr>
          <w:rFonts w:ascii="Verdana" w:eastAsia="Century Gothic" w:hAnsi="Verdana" w:cs="Century Gothic"/>
          <w:b/>
          <w:bCs/>
          <w:lang w:val="es-ES"/>
        </w:rPr>
        <w:t xml:space="preserve">5. </w:t>
      </w:r>
      <w:r w:rsidR="00DE26FD" w:rsidRPr="00E529C8">
        <w:rPr>
          <w:rFonts w:ascii="Verdana" w:eastAsia="Century Gothic" w:hAnsi="Verdana" w:cs="Century Gothic"/>
          <w:b/>
          <w:bCs/>
          <w:lang w:val="es-ES"/>
        </w:rPr>
        <w:t>Doctrina de la Agencia Nacional de Contratación Pública:</w:t>
      </w:r>
    </w:p>
    <w:p w14:paraId="6E488266" w14:textId="77777777" w:rsidR="00DE26FD" w:rsidRPr="00E529C8" w:rsidRDefault="00DE26FD" w:rsidP="00DE26FD">
      <w:pPr>
        <w:widowControl w:val="0"/>
        <w:autoSpaceDE w:val="0"/>
        <w:autoSpaceDN w:val="0"/>
        <w:spacing w:after="0" w:line="276" w:lineRule="auto"/>
        <w:jc w:val="both"/>
        <w:rPr>
          <w:rFonts w:ascii="Verdana" w:eastAsia="Calibri" w:hAnsi="Verdana" w:cs="Arial"/>
        </w:rPr>
      </w:pPr>
    </w:p>
    <w:p w14:paraId="6EBF6DC0" w14:textId="4AA94FF4" w:rsidR="00DE26FD" w:rsidRPr="00E529C8" w:rsidRDefault="00DE26FD" w:rsidP="00DE26FD">
      <w:pPr>
        <w:widowControl w:val="0"/>
        <w:autoSpaceDE w:val="0"/>
        <w:autoSpaceDN w:val="0"/>
        <w:spacing w:after="0" w:line="276" w:lineRule="auto"/>
        <w:jc w:val="both"/>
        <w:rPr>
          <w:rFonts w:ascii="Verdana" w:eastAsia="Calibri" w:hAnsi="Verdana" w:cs="Arial"/>
          <w:shd w:val="clear" w:color="auto" w:fill="FFFFFF"/>
          <w:lang w:val="es-ES"/>
        </w:rPr>
      </w:pPr>
      <w:r w:rsidRPr="00E529C8">
        <w:rPr>
          <w:rFonts w:ascii="Verdana" w:eastAsia="Calibri" w:hAnsi="Verdana" w:cs="Arial"/>
          <w:shd w:val="clear" w:color="auto" w:fill="FFFFFF"/>
          <w:lang w:val="es-ES"/>
        </w:rPr>
        <w:t xml:space="preserve">La Agencia Nacional de Contratación Pública – Colombia Compra Eficiente, en los </w:t>
      </w:r>
      <w:r w:rsidR="009B3524">
        <w:rPr>
          <w:rFonts w:ascii="Verdana" w:eastAsia="Calibri" w:hAnsi="Verdana" w:cs="Arial"/>
          <w:shd w:val="clear" w:color="auto" w:fill="FFFFFF"/>
          <w:lang w:val="es-ES"/>
        </w:rPr>
        <w:t>c</w:t>
      </w:r>
      <w:r w:rsidRPr="00E529C8">
        <w:rPr>
          <w:rFonts w:ascii="Verdana" w:eastAsia="Calibri" w:hAnsi="Verdana" w:cs="Arial"/>
          <w:shd w:val="clear" w:color="auto" w:fill="FFFFFF"/>
          <w:lang w:val="es-ES"/>
        </w:rPr>
        <w:t xml:space="preserve">onceptos No. 4201913000006135 del 10 de septiembre de 2019, 4201912000004117 del 17 de septiembre de 2019, C-140 del 31 de abril de 2020, C-223 del 29 de abril de 2020, C-477 del 27 de julio de 2020, C-656 del 17 de noviembre de 2020, C-763 del 7 de enero de 2021, C-785 del 18 de enero de 2021, C-155 del 14 de abril de 2021, C-364 del 28 de julio de 2021, C-394 del 17 de septiembre de 2021, C-627 del 25 de octubre de 2021, C-002 del 15 de febrero de 2022, C-008 del 25 de febrero de 2022, C-079 del 18 de marzo de 2022, C-092 del 16 de marzo de 2022, C-107 del 18 de marzo de 2022, C-116 del 18 de febrero de 2022, C-119 del 25 de marzo de 2022, C-177 del 8 de abril de 2022, C-185 del 12 de abril de 2022, C-333 del 24 de mayo de 2022, C-390 del 21 de junio de 2022, C-404 del 26 de mayo de 2022, C-435 del 6 de julio de 2022, C-455 del 15 de julio de 2022, C-465 del 21 de julio de 2022, C-559 del 2 de septiembre de 2022, C-576 del 25 de septiembre de 2022, C-588 del 21 de septiembre de 2022, C-682 del 19 de octubre de 2022, C-717 del 31 </w:t>
      </w:r>
      <w:r w:rsidRPr="00E529C8">
        <w:rPr>
          <w:rFonts w:ascii="Verdana" w:eastAsia="Calibri" w:hAnsi="Verdana" w:cs="Arial"/>
          <w:shd w:val="clear" w:color="auto" w:fill="FFFFFF"/>
          <w:lang w:val="es-ES"/>
        </w:rPr>
        <w:lastRenderedPageBreak/>
        <w:t>de octubre de 2022, C-718 del 31 de octubre de 2022, C-729 del 28 de noviembre de 2022, C-730 del 3 de noviembre de 2022, C-740 del 31 de octubre de 2022, C-940 del 29 de diciembre de 2022, C-971 del 28 de febrero de 2023, C-972 del 8 de febrero de 2023, C-068 del 9 de marzo de 2023, C-040 del 24 de marzo de 2023, C-052 del 21 de abril de 2023, C-0117 del 21 de abril de 2023, C-094 del 4 de mayo de 2023, C-209 del 21 de junio de 2023, C-287 del 9 de octubre de 2023, C-469 del 5 de febrero de 2024, C-020 del 23 de febrero de 2024</w:t>
      </w:r>
      <w:r w:rsidR="009B3524">
        <w:rPr>
          <w:rFonts w:ascii="Verdana" w:eastAsia="Calibri" w:hAnsi="Verdana" w:cs="Arial"/>
          <w:shd w:val="clear" w:color="auto" w:fill="FFFFFF"/>
          <w:lang w:val="es-ES"/>
        </w:rPr>
        <w:t>,</w:t>
      </w:r>
      <w:r w:rsidRPr="00E529C8">
        <w:rPr>
          <w:rFonts w:ascii="Verdana" w:eastAsia="Calibri" w:hAnsi="Verdana" w:cs="Arial"/>
          <w:shd w:val="clear" w:color="auto" w:fill="FFFFFF"/>
          <w:lang w:val="es-ES"/>
        </w:rPr>
        <w:t xml:space="preserve"> C-051 del 3 de mayo de 2024,</w:t>
      </w:r>
      <w:r w:rsidR="009B3524">
        <w:rPr>
          <w:rFonts w:ascii="Verdana" w:eastAsia="Calibri" w:hAnsi="Verdana" w:cs="Arial"/>
          <w:shd w:val="clear" w:color="auto" w:fill="FFFFFF"/>
          <w:lang w:val="es-ES"/>
        </w:rPr>
        <w:t xml:space="preserve"> C-</w:t>
      </w:r>
      <w:r w:rsidR="00542544">
        <w:rPr>
          <w:rFonts w:ascii="Verdana" w:eastAsia="Calibri" w:hAnsi="Verdana" w:cs="Arial"/>
          <w:shd w:val="clear" w:color="auto" w:fill="FFFFFF"/>
          <w:lang w:val="es-ES"/>
        </w:rPr>
        <w:t>722 del 26 de noviembre de 2024,</w:t>
      </w:r>
      <w:r w:rsidR="0053529C">
        <w:rPr>
          <w:rFonts w:ascii="Verdana" w:eastAsia="Calibri" w:hAnsi="Verdana" w:cs="Arial"/>
          <w:shd w:val="clear" w:color="auto" w:fill="FFFFFF"/>
          <w:lang w:val="es-ES"/>
        </w:rPr>
        <w:t xml:space="preserve"> C-</w:t>
      </w:r>
      <w:r w:rsidR="00983C0C">
        <w:rPr>
          <w:rFonts w:ascii="Verdana" w:eastAsia="Calibri" w:hAnsi="Verdana" w:cs="Arial"/>
          <w:shd w:val="clear" w:color="auto" w:fill="FFFFFF"/>
          <w:lang w:val="es-ES"/>
        </w:rPr>
        <w:t xml:space="preserve">1351 del </w:t>
      </w:r>
      <w:r w:rsidR="00C30F6E">
        <w:rPr>
          <w:rFonts w:ascii="Verdana" w:eastAsia="Calibri" w:hAnsi="Verdana" w:cs="Arial"/>
          <w:shd w:val="clear" w:color="auto" w:fill="FFFFFF"/>
          <w:lang w:val="es-ES"/>
        </w:rPr>
        <w:t>30 de octubre de 2025,</w:t>
      </w:r>
      <w:r w:rsidR="00B81E2E">
        <w:rPr>
          <w:rFonts w:ascii="Verdana" w:eastAsia="Calibri" w:hAnsi="Verdana" w:cs="Arial"/>
          <w:shd w:val="clear" w:color="auto" w:fill="FFFFFF"/>
          <w:lang w:val="es-ES"/>
        </w:rPr>
        <w:t xml:space="preserve"> C-061 del </w:t>
      </w:r>
      <w:r w:rsidR="004C7AAA">
        <w:rPr>
          <w:rFonts w:ascii="Verdana" w:eastAsia="Calibri" w:hAnsi="Verdana" w:cs="Arial"/>
          <w:shd w:val="clear" w:color="auto" w:fill="FFFFFF"/>
          <w:lang w:val="es-ES"/>
        </w:rPr>
        <w:t>25 de febrero de 2026,</w:t>
      </w:r>
      <w:r w:rsidRPr="00E529C8">
        <w:rPr>
          <w:rFonts w:ascii="Verdana" w:eastAsia="Calibri" w:hAnsi="Verdana" w:cs="Arial"/>
          <w:shd w:val="clear" w:color="auto" w:fill="FFFFFF"/>
          <w:lang w:val="es-ES"/>
        </w:rPr>
        <w:t xml:space="preserve"> entre otros, analizó los convenios solidarios, su alcance y su régimen contractual. Es</w:t>
      </w:r>
      <w:r w:rsidRPr="00E529C8">
        <w:rPr>
          <w:rFonts w:ascii="Verdana" w:eastAsia="Calibri" w:hAnsi="Verdana" w:cs="Times New Roman"/>
        </w:rPr>
        <w:t>tos y otros conceptos se encuentran disponibles para consulta en el sistema de relatoría de la Agencia, al cual se puede acceder a través del siguiente enlace:</w:t>
      </w:r>
      <w:r w:rsidRPr="00E529C8">
        <w:rPr>
          <w:rFonts w:ascii="Verdana" w:eastAsia="Calibri" w:hAnsi="Verdana" w:cs="Arial"/>
          <w:shd w:val="clear" w:color="auto" w:fill="FFFFFF"/>
          <w:lang w:val="es-ES"/>
        </w:rPr>
        <w:t xml:space="preserve"> </w:t>
      </w:r>
      <w:hyperlink r:id="rId16" w:history="1">
        <w:r w:rsidRPr="00E529C8">
          <w:rPr>
            <w:rFonts w:ascii="Verdana" w:eastAsia="Calibri" w:hAnsi="Verdana" w:cs="Arial"/>
            <w:u w:val="single"/>
            <w:shd w:val="clear" w:color="auto" w:fill="FFFFFF"/>
            <w:lang w:val="es-ES"/>
          </w:rPr>
          <w:t>https://relatoria.colombiacompra.gov.co/busqueda/conceptos</w:t>
        </w:r>
      </w:hyperlink>
    </w:p>
    <w:bookmarkEnd w:id="0"/>
    <w:p w14:paraId="31104372" w14:textId="40E0DF30" w:rsidR="00DE26FD" w:rsidRDefault="00DE26FD" w:rsidP="00DA3CB1">
      <w:pPr>
        <w:widowControl w:val="0"/>
        <w:autoSpaceDE w:val="0"/>
        <w:autoSpaceDN w:val="0"/>
        <w:spacing w:after="0" w:line="276" w:lineRule="auto"/>
        <w:ind w:right="-234"/>
        <w:jc w:val="both"/>
        <w:rPr>
          <w:rFonts w:ascii="Verdana" w:eastAsia="Calibri" w:hAnsi="Verdana" w:cs="Arial"/>
          <w:shd w:val="clear" w:color="auto" w:fill="FFFFFF"/>
          <w:lang w:val="es-ES"/>
        </w:rPr>
      </w:pPr>
    </w:p>
    <w:p w14:paraId="6627D423" w14:textId="77777777" w:rsidR="00DA3CB1" w:rsidRPr="00DA3CB1" w:rsidRDefault="00DA3CB1" w:rsidP="00DA3CB1">
      <w:pPr>
        <w:spacing w:after="0" w:line="276"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7" w:history="1">
        <w:r w:rsidRPr="00DA3CB1">
          <w:rPr>
            <w:rFonts w:ascii="Verdana" w:eastAsia="Calibri" w:hAnsi="Verdana" w:cs="Arial"/>
            <w:color w:val="0000FF"/>
            <w:u w:val="single"/>
            <w:shd w:val="clear" w:color="auto" w:fill="FFFFFF"/>
          </w:rPr>
          <w:t>https://formacionvirtual.colombiacompra.gov.co/mod/page/view.php?id=3718</w:t>
        </w:r>
      </w:hyperlink>
      <w:r w:rsidRPr="00DA3CB1">
        <w:rPr>
          <w:rFonts w:ascii="Verdana" w:eastAsia="Calibri" w:hAnsi="Verdana" w:cs="Arial"/>
          <w:shd w:val="clear" w:color="auto" w:fill="FFFFFF"/>
        </w:rPr>
        <w:t xml:space="preserve"> </w:t>
      </w:r>
    </w:p>
    <w:p w14:paraId="21022A6B" w14:textId="77777777" w:rsidR="00DA3CB1" w:rsidRPr="00DA3CB1" w:rsidRDefault="00DA3CB1" w:rsidP="00DA3CB1">
      <w:pPr>
        <w:spacing w:after="0" w:line="276" w:lineRule="auto"/>
        <w:jc w:val="both"/>
        <w:rPr>
          <w:rFonts w:ascii="Verdana" w:eastAsia="Calibri" w:hAnsi="Verdana" w:cs="Arial"/>
          <w:shd w:val="clear" w:color="auto" w:fill="FFFFFF"/>
        </w:rPr>
      </w:pPr>
    </w:p>
    <w:p w14:paraId="6B220D55" w14:textId="77777777" w:rsidR="00DA3CB1" w:rsidRPr="00DA3CB1" w:rsidRDefault="00DA3CB1" w:rsidP="00DA3CB1">
      <w:pPr>
        <w:spacing w:after="0" w:line="276"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8" w:history="1">
        <w:r w:rsidRPr="00DA3CB1">
          <w:rPr>
            <w:rFonts w:ascii="Verdana" w:eastAsia="Calibri" w:hAnsi="Verdana" w:cs="Arial"/>
            <w:color w:val="0000FF"/>
            <w:u w:val="single"/>
            <w:shd w:val="clear" w:color="auto" w:fill="FFFFFF"/>
          </w:rPr>
          <w:t>https://www.colombiacompra.gov.co/normativa-y-relatoria/documentos-tipo</w:t>
        </w:r>
      </w:hyperlink>
    </w:p>
    <w:p w14:paraId="14665424" w14:textId="77777777" w:rsidR="00DA3CB1" w:rsidRPr="00DA3CB1" w:rsidRDefault="00DA3CB1" w:rsidP="00DA3CB1">
      <w:pPr>
        <w:spacing w:after="0" w:line="276" w:lineRule="auto"/>
        <w:jc w:val="both"/>
        <w:rPr>
          <w:rFonts w:ascii="Verdana" w:eastAsia="Calibri" w:hAnsi="Verdana" w:cs="Arial"/>
          <w:shd w:val="clear" w:color="auto" w:fill="FFFFFF"/>
        </w:rPr>
      </w:pPr>
    </w:p>
    <w:p w14:paraId="34B6B009" w14:textId="77777777" w:rsidR="00DA3CB1" w:rsidRPr="00DA3CB1" w:rsidRDefault="00DA3CB1" w:rsidP="00DA3CB1">
      <w:pPr>
        <w:spacing w:after="0" w:line="276"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w:t>
      </w:r>
      <w:r w:rsidRPr="00DA3CB1">
        <w:rPr>
          <w:rFonts w:ascii="Verdana" w:eastAsia="Calibri" w:hAnsi="Verdana" w:cs="Arial"/>
          <w:shd w:val="clear" w:color="auto" w:fill="FFFFFF"/>
        </w:rPr>
        <w:lastRenderedPageBreak/>
        <w:t>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5F8C23A2" w14:textId="77777777" w:rsidR="00DA3CB1" w:rsidRPr="00DA3CB1" w:rsidRDefault="00DA3CB1" w:rsidP="00DA3CB1">
      <w:pPr>
        <w:spacing w:after="0" w:line="276" w:lineRule="auto"/>
        <w:jc w:val="both"/>
        <w:rPr>
          <w:rFonts w:ascii="Verdana" w:eastAsia="Calibri" w:hAnsi="Verdana" w:cs="Arial"/>
          <w:color w:val="ED7D31" w:themeColor="accent2"/>
          <w:shd w:val="clear" w:color="auto" w:fill="FFFFFF"/>
        </w:rPr>
      </w:pPr>
    </w:p>
    <w:p w14:paraId="1E3FD9F1" w14:textId="77777777" w:rsidR="00DA3CB1" w:rsidRPr="00DA3CB1" w:rsidRDefault="00DA3CB1" w:rsidP="00DA3CB1">
      <w:pPr>
        <w:spacing w:after="0" w:line="254"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Por último, lo invitamos a seguirnos en las redes sociales en las cuales se difunde información institucional: </w:t>
      </w:r>
    </w:p>
    <w:p w14:paraId="1298AF19" w14:textId="77777777" w:rsidR="00DA3CB1" w:rsidRPr="00DA3CB1" w:rsidRDefault="00DA3CB1" w:rsidP="00DA3CB1">
      <w:pPr>
        <w:spacing w:after="0" w:line="254" w:lineRule="auto"/>
        <w:jc w:val="both"/>
        <w:rPr>
          <w:rFonts w:ascii="Verdana" w:eastAsia="Calibri" w:hAnsi="Verdana" w:cs="Arial"/>
          <w:shd w:val="clear" w:color="auto" w:fill="FFFFFF"/>
        </w:rPr>
      </w:pPr>
    </w:p>
    <w:p w14:paraId="0681FC92" w14:textId="77777777" w:rsidR="00DA3CB1" w:rsidRPr="00DA3CB1" w:rsidRDefault="00DA3CB1" w:rsidP="00DA3CB1">
      <w:pPr>
        <w:spacing w:after="0" w:line="254"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Twitter: </w:t>
      </w:r>
      <w:r w:rsidRPr="00DA3CB1">
        <w:rPr>
          <w:rFonts w:ascii="Verdana" w:eastAsia="Calibri" w:hAnsi="Verdana" w:cs="Times New Roman"/>
          <w:color w:val="0000FF"/>
          <w:u w:val="single"/>
          <w:lang w:val="es-ES"/>
        </w:rPr>
        <w:t>@colombiacompra</w:t>
      </w:r>
      <w:r w:rsidRPr="00DA3CB1">
        <w:rPr>
          <w:rFonts w:ascii="Verdana" w:eastAsia="Calibri" w:hAnsi="Verdana" w:cs="Times New Roman"/>
          <w:u w:val="single"/>
          <w:lang w:val="es-ES"/>
        </w:rPr>
        <w:t xml:space="preserve"> </w:t>
      </w:r>
    </w:p>
    <w:p w14:paraId="43C32024" w14:textId="77777777" w:rsidR="00DA3CB1" w:rsidRPr="00DA3CB1" w:rsidRDefault="00DA3CB1" w:rsidP="00DA3CB1">
      <w:pPr>
        <w:spacing w:after="0" w:line="254" w:lineRule="auto"/>
        <w:jc w:val="both"/>
        <w:rPr>
          <w:rFonts w:ascii="Verdana" w:eastAsia="Calibri" w:hAnsi="Verdana" w:cs="Arial"/>
          <w:shd w:val="clear" w:color="auto" w:fill="FFFFFF"/>
        </w:rPr>
      </w:pPr>
      <w:r w:rsidRPr="00DA3CB1">
        <w:rPr>
          <w:rFonts w:ascii="Verdana" w:eastAsia="Calibri" w:hAnsi="Verdana" w:cs="Arial"/>
          <w:shd w:val="clear" w:color="auto" w:fill="FFFFFF"/>
        </w:rPr>
        <w:t>Facebook:</w:t>
      </w:r>
      <w:r w:rsidRPr="00DA3CB1">
        <w:rPr>
          <w:rFonts w:ascii="Verdana" w:eastAsia="Calibri" w:hAnsi="Verdana" w:cs="Times New Roman"/>
          <w:color w:val="0000FF"/>
          <w:u w:val="single"/>
          <w:lang w:val="es-ES"/>
        </w:rPr>
        <w:t xml:space="preserve"> </w:t>
      </w:r>
      <w:proofErr w:type="spellStart"/>
      <w:r w:rsidRPr="00DA3CB1">
        <w:rPr>
          <w:rFonts w:ascii="Verdana" w:eastAsia="Calibri" w:hAnsi="Verdana" w:cs="Times New Roman"/>
          <w:color w:val="0000FF"/>
          <w:u w:val="single"/>
          <w:lang w:val="es-ES"/>
        </w:rPr>
        <w:t>ColombiaCompraEficiente</w:t>
      </w:r>
      <w:proofErr w:type="spellEnd"/>
    </w:p>
    <w:p w14:paraId="2FB4DA46" w14:textId="77777777" w:rsidR="00DA3CB1" w:rsidRPr="00DA3CB1" w:rsidRDefault="00DA3CB1" w:rsidP="00DA3CB1">
      <w:pPr>
        <w:spacing w:after="0" w:line="254"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LinkedIn: </w:t>
      </w:r>
      <w:r w:rsidRPr="00DA3CB1">
        <w:rPr>
          <w:rFonts w:ascii="Verdana" w:eastAsia="Calibri" w:hAnsi="Verdana" w:cs="Times New Roman"/>
          <w:color w:val="0000FF"/>
          <w:u w:val="single"/>
          <w:lang w:val="es-ES"/>
        </w:rPr>
        <w:t>Agencia Nacional de Contratación Pública - Colombia Compra Eficiente</w:t>
      </w:r>
      <w:r w:rsidRPr="00DA3CB1">
        <w:rPr>
          <w:rFonts w:ascii="Verdana" w:eastAsia="Calibri" w:hAnsi="Verdana" w:cs="Arial"/>
          <w:color w:val="0000FF"/>
          <w:shd w:val="clear" w:color="auto" w:fill="FFFFFF"/>
          <w:lang w:val="es-ES"/>
        </w:rPr>
        <w:t xml:space="preserve"> </w:t>
      </w:r>
    </w:p>
    <w:p w14:paraId="48267710" w14:textId="77777777" w:rsidR="00DA3CB1" w:rsidRPr="00DA3CB1" w:rsidRDefault="00DA3CB1" w:rsidP="00DA3CB1">
      <w:pPr>
        <w:spacing w:after="0" w:line="254" w:lineRule="auto"/>
        <w:jc w:val="both"/>
        <w:rPr>
          <w:rFonts w:ascii="Verdana" w:eastAsia="Calibri" w:hAnsi="Verdana" w:cs="Arial"/>
          <w:shd w:val="clear" w:color="auto" w:fill="FFFFFF"/>
        </w:rPr>
      </w:pPr>
      <w:r w:rsidRPr="00DA3CB1">
        <w:rPr>
          <w:rFonts w:ascii="Verdana" w:eastAsia="Calibri" w:hAnsi="Verdana" w:cs="Arial"/>
          <w:shd w:val="clear" w:color="auto" w:fill="FFFFFF"/>
        </w:rPr>
        <w:t xml:space="preserve">Instagram: </w:t>
      </w:r>
      <w:r w:rsidRPr="00DA3CB1">
        <w:rPr>
          <w:rFonts w:ascii="Verdana" w:eastAsia="Calibri" w:hAnsi="Verdana" w:cs="Times New Roman"/>
          <w:color w:val="0000FF"/>
          <w:u w:val="single"/>
          <w:lang w:val="es-ES"/>
        </w:rPr>
        <w:t>@colombiacompraeficiente_cce</w:t>
      </w:r>
    </w:p>
    <w:p w14:paraId="06B26D2B" w14:textId="77777777" w:rsidR="00DA3CB1" w:rsidRPr="00DA3CB1" w:rsidRDefault="00DA3CB1" w:rsidP="00DA3CB1">
      <w:pPr>
        <w:widowControl w:val="0"/>
        <w:autoSpaceDE w:val="0"/>
        <w:autoSpaceDN w:val="0"/>
        <w:spacing w:after="0" w:line="276" w:lineRule="auto"/>
        <w:jc w:val="both"/>
        <w:rPr>
          <w:rFonts w:ascii="Verdana" w:eastAsia="Calibri" w:hAnsi="Verdana" w:cs="Arial"/>
          <w:color w:val="ED7D31" w:themeColor="accent2"/>
          <w:lang w:val="es-ES"/>
        </w:rPr>
      </w:pPr>
    </w:p>
    <w:p w14:paraId="0612C19F" w14:textId="77777777" w:rsidR="00DA3CB1" w:rsidRPr="00DA3CB1" w:rsidRDefault="00DA3CB1" w:rsidP="00DA3CB1">
      <w:pPr>
        <w:widowControl w:val="0"/>
        <w:autoSpaceDE w:val="0"/>
        <w:autoSpaceDN w:val="0"/>
        <w:spacing w:after="0" w:line="276" w:lineRule="auto"/>
        <w:jc w:val="both"/>
        <w:rPr>
          <w:rFonts w:ascii="Verdana" w:eastAsia="Calibri" w:hAnsi="Verdana" w:cs="Arial"/>
          <w:lang w:val="es-ES"/>
        </w:rPr>
      </w:pPr>
      <w:r w:rsidRPr="00DA3CB1">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89AB0AE" w14:textId="77777777" w:rsidR="00DA3CB1" w:rsidRPr="00DA3CB1" w:rsidRDefault="00DA3CB1" w:rsidP="00DA3CB1">
      <w:pPr>
        <w:widowControl w:val="0"/>
        <w:autoSpaceDE w:val="0"/>
        <w:autoSpaceDN w:val="0"/>
        <w:spacing w:after="0" w:line="276" w:lineRule="auto"/>
        <w:jc w:val="both"/>
        <w:rPr>
          <w:rFonts w:ascii="Verdana" w:eastAsia="Calibri" w:hAnsi="Verdana" w:cs="Arial"/>
          <w:lang w:val="es-ES"/>
        </w:rPr>
      </w:pPr>
    </w:p>
    <w:p w14:paraId="0178B45E" w14:textId="77777777" w:rsidR="00DA3CB1" w:rsidRPr="00DA3CB1" w:rsidRDefault="00DA3CB1" w:rsidP="00DA3CB1">
      <w:pPr>
        <w:spacing w:after="0" w:line="276" w:lineRule="auto"/>
        <w:rPr>
          <w:rFonts w:ascii="Verdana" w:eastAsia="Calibri" w:hAnsi="Verdana" w:cs="Arial"/>
          <w:lang w:val="es-ES" w:eastAsia="es-CO"/>
        </w:rPr>
      </w:pPr>
      <w:r w:rsidRPr="00DA3CB1">
        <w:rPr>
          <w:rFonts w:ascii="Verdana" w:eastAsia="Times New Roman" w:hAnsi="Verdana" w:cs="Arial"/>
          <w:lang w:val="es-ES" w:eastAsia="es-CO"/>
        </w:rPr>
        <w:t>Atentamente,</w:t>
      </w:r>
      <w:r w:rsidRPr="00DA3CB1">
        <w:rPr>
          <w:rFonts w:ascii="Verdana" w:eastAsia="Calibri" w:hAnsi="Verdana" w:cs="Arial"/>
          <w:lang w:val="es-ES" w:eastAsia="es-CO"/>
        </w:rPr>
        <w:t xml:space="preserve"> </w:t>
      </w:r>
    </w:p>
    <w:p w14:paraId="0EAC339F" w14:textId="77777777" w:rsidR="00DA3CB1" w:rsidRPr="00DA3CB1" w:rsidRDefault="00DA3CB1" w:rsidP="00DA3CB1">
      <w:pPr>
        <w:autoSpaceDE w:val="0"/>
        <w:autoSpaceDN w:val="0"/>
        <w:adjustRightInd w:val="0"/>
        <w:spacing w:after="0" w:line="276" w:lineRule="auto"/>
        <w:rPr>
          <w:rFonts w:ascii="Verdana" w:eastAsia="Calibri" w:hAnsi="Verdana" w:cs="Arial"/>
          <w:noProof/>
          <w:sz w:val="20"/>
          <w:szCs w:val="20"/>
        </w:rPr>
      </w:pPr>
    </w:p>
    <w:p w14:paraId="7F451A73" w14:textId="72D4075D" w:rsidR="00DA3CB1" w:rsidRPr="00DA3CB1" w:rsidRDefault="00E23F7D" w:rsidP="00DA3CB1">
      <w:pPr>
        <w:spacing w:after="0" w:line="252" w:lineRule="auto"/>
        <w:jc w:val="center"/>
        <w:rPr>
          <w:rFonts w:ascii="Verdana" w:eastAsia="Times New Roman" w:hAnsi="Verdana" w:cs="Arial"/>
          <w:lang w:eastAsia="es-ES"/>
        </w:rPr>
      </w:pPr>
      <w:r>
        <w:rPr>
          <w:noProof/>
        </w:rPr>
        <w:drawing>
          <wp:inline distT="0" distB="0" distL="0" distR="0" wp14:anchorId="4B2B75E4" wp14:editId="5D569673">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p w14:paraId="1914A242" w14:textId="77777777" w:rsidR="00DA3CB1" w:rsidRPr="00DA3CB1" w:rsidRDefault="00DA3CB1" w:rsidP="00DA3CB1">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DA3CB1" w:rsidRPr="00DA3CB1" w14:paraId="68B524AC" w14:textId="77777777">
        <w:trPr>
          <w:trHeight w:val="322"/>
        </w:trPr>
        <w:tc>
          <w:tcPr>
            <w:tcW w:w="733" w:type="dxa"/>
            <w:tcBorders>
              <w:top w:val="nil"/>
              <w:left w:val="nil"/>
              <w:bottom w:val="nil"/>
              <w:right w:val="nil"/>
            </w:tcBorders>
            <w:vAlign w:val="center"/>
            <w:hideMark/>
          </w:tcPr>
          <w:p w14:paraId="47A16C35" w14:textId="77777777" w:rsidR="00DA3CB1" w:rsidRPr="00DA3CB1" w:rsidRDefault="00DA3CB1" w:rsidP="00DA3CB1">
            <w:pPr>
              <w:spacing w:after="0" w:line="240" w:lineRule="auto"/>
              <w:textAlignment w:val="baseline"/>
              <w:rPr>
                <w:rFonts w:ascii="Verdana" w:eastAsia="Times New Roman" w:hAnsi="Verdana" w:cs="Times New Roman"/>
                <w:sz w:val="16"/>
                <w:szCs w:val="16"/>
                <w:lang w:eastAsia="es-CO"/>
              </w:rPr>
            </w:pPr>
            <w:r w:rsidRPr="00DA3CB1">
              <w:rPr>
                <w:rFonts w:ascii="Verdana" w:eastAsia="Times New Roman" w:hAnsi="Verdana" w:cs="Times New Roman"/>
                <w:sz w:val="16"/>
                <w:szCs w:val="16"/>
                <w:lang w:val="es-MX" w:eastAsia="es-CO"/>
              </w:rPr>
              <w:t>Elaboró:         </w:t>
            </w:r>
            <w:r w:rsidRPr="00DA3CB1">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6C109DE" w14:textId="77777777" w:rsidR="00DA3CB1" w:rsidRPr="00DA3CB1" w:rsidRDefault="00DA3CB1" w:rsidP="00DA3CB1">
            <w:pPr>
              <w:spacing w:after="0" w:line="252" w:lineRule="auto"/>
              <w:rPr>
                <w:rFonts w:ascii="Verdana" w:eastAsia="Times New Roman" w:hAnsi="Verdana" w:cs="Arial"/>
                <w:sz w:val="16"/>
                <w:szCs w:val="16"/>
                <w:lang w:val="es-ES_tradnl" w:eastAsia="es-ES"/>
              </w:rPr>
            </w:pPr>
            <w:r w:rsidRPr="00DA3CB1">
              <w:rPr>
                <w:rFonts w:ascii="Verdana" w:eastAsia="Times New Roman" w:hAnsi="Verdana" w:cs="Arial"/>
                <w:sz w:val="16"/>
                <w:szCs w:val="16"/>
                <w:lang w:val="es-ES_tradnl" w:eastAsia="es-ES"/>
              </w:rPr>
              <w:t>Ximena Ríos López</w:t>
            </w:r>
          </w:p>
          <w:p w14:paraId="06A4509C" w14:textId="77777777" w:rsidR="00DA3CB1" w:rsidRPr="00DA3CB1" w:rsidRDefault="00DA3CB1" w:rsidP="00DA3CB1">
            <w:pPr>
              <w:autoSpaceDE w:val="0"/>
              <w:autoSpaceDN w:val="0"/>
              <w:adjustRightInd w:val="0"/>
              <w:spacing w:after="0" w:line="276" w:lineRule="auto"/>
              <w:rPr>
                <w:rFonts w:ascii="Verdana" w:eastAsia="Calibri" w:hAnsi="Verdana" w:cs="Arial"/>
              </w:rPr>
            </w:pPr>
            <w:r w:rsidRPr="00DA3CB1">
              <w:rPr>
                <w:rFonts w:ascii="Verdana" w:eastAsia="Times New Roman" w:hAnsi="Verdana" w:cs="Arial"/>
                <w:sz w:val="16"/>
                <w:szCs w:val="16"/>
                <w:lang w:eastAsia="es-ES"/>
              </w:rPr>
              <w:t>Gestor T1-11 de la Subdirección de Gestión Contractual</w:t>
            </w:r>
          </w:p>
        </w:tc>
      </w:tr>
      <w:tr w:rsidR="00DA3CB1" w:rsidRPr="00DA3CB1" w14:paraId="53E7FF4E" w14:textId="77777777">
        <w:trPr>
          <w:trHeight w:val="322"/>
        </w:trPr>
        <w:tc>
          <w:tcPr>
            <w:tcW w:w="733" w:type="dxa"/>
            <w:tcBorders>
              <w:top w:val="nil"/>
              <w:left w:val="nil"/>
              <w:bottom w:val="nil"/>
              <w:right w:val="nil"/>
            </w:tcBorders>
            <w:vAlign w:val="center"/>
            <w:hideMark/>
          </w:tcPr>
          <w:p w14:paraId="084CB693" w14:textId="77777777" w:rsidR="00DA3CB1" w:rsidRPr="00DA3CB1" w:rsidRDefault="00DA3CB1" w:rsidP="00DA3CB1">
            <w:pPr>
              <w:spacing w:after="0" w:line="240" w:lineRule="auto"/>
              <w:textAlignment w:val="baseline"/>
              <w:rPr>
                <w:rFonts w:ascii="Verdana" w:eastAsia="Times New Roman" w:hAnsi="Verdana" w:cs="Times New Roman"/>
                <w:sz w:val="16"/>
                <w:szCs w:val="16"/>
                <w:lang w:eastAsia="es-CO"/>
              </w:rPr>
            </w:pPr>
            <w:r w:rsidRPr="00DA3CB1">
              <w:rPr>
                <w:rFonts w:ascii="Verdana" w:eastAsia="Times New Roman" w:hAnsi="Verdana" w:cs="Times New Roman"/>
                <w:sz w:val="16"/>
                <w:szCs w:val="16"/>
                <w:lang w:val="es-MX" w:eastAsia="es-CO"/>
              </w:rPr>
              <w:t>Revisó:</w:t>
            </w:r>
            <w:r w:rsidRPr="00DA3CB1">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204E1F3" w14:textId="77777777" w:rsidR="00DA3CB1" w:rsidRPr="00DA3CB1" w:rsidRDefault="00DA3CB1" w:rsidP="00DA3CB1">
            <w:pPr>
              <w:spacing w:after="0" w:line="252" w:lineRule="auto"/>
              <w:rPr>
                <w:rFonts w:ascii="Verdana" w:eastAsia="Times New Roman" w:hAnsi="Verdana" w:cs="Arial"/>
                <w:sz w:val="16"/>
                <w:szCs w:val="16"/>
                <w:lang w:val="es-ES_tradnl" w:eastAsia="es-ES"/>
              </w:rPr>
            </w:pPr>
            <w:r w:rsidRPr="00DA3CB1">
              <w:rPr>
                <w:rFonts w:ascii="Verdana" w:eastAsia="Times New Roman" w:hAnsi="Verdana" w:cs="Arial"/>
                <w:sz w:val="16"/>
                <w:szCs w:val="16"/>
                <w:lang w:val="es-ES_tradnl" w:eastAsia="es-ES"/>
              </w:rPr>
              <w:t>Juan David Cárdenas</w:t>
            </w:r>
          </w:p>
          <w:p w14:paraId="105CD1C4" w14:textId="77777777" w:rsidR="00DA3CB1" w:rsidRPr="00DA3CB1" w:rsidRDefault="00DA3CB1" w:rsidP="00DA3CB1">
            <w:pPr>
              <w:autoSpaceDE w:val="0"/>
              <w:autoSpaceDN w:val="0"/>
              <w:adjustRightInd w:val="0"/>
              <w:spacing w:after="0" w:line="276" w:lineRule="auto"/>
              <w:rPr>
                <w:rFonts w:ascii="Verdana" w:eastAsia="Calibri" w:hAnsi="Verdana" w:cs="Arial"/>
              </w:rPr>
            </w:pPr>
            <w:r w:rsidRPr="00DA3CB1">
              <w:rPr>
                <w:rFonts w:ascii="Verdana" w:eastAsia="Times New Roman" w:hAnsi="Verdana" w:cs="Arial"/>
                <w:sz w:val="16"/>
                <w:szCs w:val="16"/>
                <w:lang w:eastAsia="es-ES"/>
              </w:rPr>
              <w:t>Contratista de la Subdirección de Gestión Contractual</w:t>
            </w:r>
          </w:p>
        </w:tc>
      </w:tr>
      <w:tr w:rsidR="00DA3CB1" w:rsidRPr="00DA3CB1" w14:paraId="68BB0728" w14:textId="77777777">
        <w:trPr>
          <w:trHeight w:val="307"/>
        </w:trPr>
        <w:tc>
          <w:tcPr>
            <w:tcW w:w="733" w:type="dxa"/>
            <w:tcBorders>
              <w:top w:val="nil"/>
              <w:left w:val="nil"/>
              <w:bottom w:val="nil"/>
              <w:right w:val="nil"/>
            </w:tcBorders>
            <w:vAlign w:val="center"/>
            <w:hideMark/>
          </w:tcPr>
          <w:p w14:paraId="063A3F89" w14:textId="77777777" w:rsidR="00DA3CB1" w:rsidRPr="00DA3CB1" w:rsidRDefault="00DA3CB1" w:rsidP="00DA3CB1">
            <w:pPr>
              <w:spacing w:after="0" w:line="240" w:lineRule="auto"/>
              <w:textAlignment w:val="baseline"/>
              <w:rPr>
                <w:rFonts w:ascii="Verdana" w:eastAsia="Times New Roman" w:hAnsi="Verdana" w:cs="Times New Roman"/>
                <w:sz w:val="16"/>
                <w:szCs w:val="16"/>
                <w:lang w:eastAsia="es-CO"/>
              </w:rPr>
            </w:pPr>
            <w:r w:rsidRPr="00DA3CB1">
              <w:rPr>
                <w:rFonts w:ascii="Verdana" w:eastAsia="Times New Roman" w:hAnsi="Verdana" w:cs="Times New Roman"/>
                <w:sz w:val="16"/>
                <w:szCs w:val="16"/>
                <w:lang w:val="es-MX" w:eastAsia="es-CO"/>
              </w:rPr>
              <w:t>Aprobó:</w:t>
            </w:r>
            <w:r w:rsidRPr="00DA3CB1">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3A42957" w14:textId="77777777" w:rsidR="00DA3CB1" w:rsidRPr="00DA3CB1" w:rsidRDefault="00DA3CB1" w:rsidP="00DA3CB1">
            <w:pPr>
              <w:spacing w:after="0" w:line="252" w:lineRule="auto"/>
              <w:rPr>
                <w:rFonts w:ascii="Verdana" w:eastAsia="Times New Roman" w:hAnsi="Verdana" w:cs="Arial"/>
                <w:sz w:val="16"/>
                <w:szCs w:val="16"/>
                <w:lang w:eastAsia="es-ES"/>
              </w:rPr>
            </w:pPr>
            <w:r w:rsidRPr="00DA3CB1">
              <w:rPr>
                <w:rFonts w:ascii="Verdana" w:eastAsia="Times New Roman" w:hAnsi="Verdana" w:cs="Arial"/>
                <w:sz w:val="16"/>
                <w:szCs w:val="16"/>
                <w:lang w:eastAsia="es-ES"/>
              </w:rPr>
              <w:t>Carolina Quintero Gacharná</w:t>
            </w:r>
          </w:p>
          <w:p w14:paraId="4BD2956B" w14:textId="77777777" w:rsidR="00DA3CB1" w:rsidRPr="00DA3CB1" w:rsidRDefault="00DA3CB1" w:rsidP="00DA3CB1">
            <w:pPr>
              <w:spacing w:after="0" w:line="252" w:lineRule="auto"/>
              <w:rPr>
                <w:rFonts w:ascii="Verdana" w:eastAsia="Times New Roman" w:hAnsi="Verdana" w:cs="Arial"/>
                <w:sz w:val="16"/>
                <w:szCs w:val="16"/>
                <w:lang w:eastAsia="es-ES"/>
              </w:rPr>
            </w:pPr>
            <w:r w:rsidRPr="00DA3CB1">
              <w:rPr>
                <w:rFonts w:ascii="Verdana" w:eastAsia="Times New Roman" w:hAnsi="Verdana" w:cs="Arial"/>
                <w:sz w:val="16"/>
                <w:szCs w:val="16"/>
                <w:lang w:eastAsia="es-ES"/>
              </w:rPr>
              <w:t>Subdirectora de Gestión Contractual ANCP – CCE</w:t>
            </w:r>
          </w:p>
        </w:tc>
      </w:tr>
    </w:tbl>
    <w:p w14:paraId="6A0E68D6" w14:textId="1513AE2F" w:rsidR="00DA3CB1" w:rsidRPr="00DA3CB1" w:rsidRDefault="00DA3CB1" w:rsidP="00DA3CB1">
      <w:pPr>
        <w:autoSpaceDE w:val="0"/>
        <w:autoSpaceDN w:val="0"/>
        <w:adjustRightInd w:val="0"/>
        <w:spacing w:after="0" w:line="276" w:lineRule="auto"/>
        <w:jc w:val="center"/>
        <w:rPr>
          <w:rFonts w:ascii="Verdana" w:eastAsia="Calibri" w:hAnsi="Verdana" w:cs="Arial"/>
        </w:rPr>
      </w:pPr>
    </w:p>
    <w:p w14:paraId="45D8DBBE" w14:textId="77777777" w:rsidR="00DA3CB1" w:rsidRPr="00DA3CB1" w:rsidRDefault="00DA3CB1" w:rsidP="00DA3CB1">
      <w:pPr>
        <w:spacing w:after="0" w:line="256" w:lineRule="auto"/>
        <w:jc w:val="both"/>
        <w:rPr>
          <w:rFonts w:ascii="Verdana" w:eastAsia="Calibri" w:hAnsi="Verdana" w:cs="Arial"/>
          <w:shd w:val="clear" w:color="auto" w:fill="FFFFFF"/>
        </w:rPr>
      </w:pPr>
    </w:p>
    <w:p w14:paraId="4687B884" w14:textId="77777777" w:rsidR="00DA3CB1" w:rsidRPr="0044528D" w:rsidRDefault="00DA3CB1" w:rsidP="00DA3CB1">
      <w:pPr>
        <w:widowControl w:val="0"/>
        <w:autoSpaceDE w:val="0"/>
        <w:autoSpaceDN w:val="0"/>
        <w:spacing w:after="0" w:line="276" w:lineRule="auto"/>
        <w:ind w:right="-234"/>
        <w:jc w:val="both"/>
        <w:rPr>
          <w:rFonts w:ascii="Verdana" w:hAnsi="Verdana"/>
        </w:rPr>
      </w:pPr>
    </w:p>
    <w:p w14:paraId="0F293BF4" w14:textId="7BBFAB11" w:rsidR="00127233" w:rsidRPr="006A6AC4" w:rsidRDefault="00127233" w:rsidP="006A6AC4"/>
    <w:sectPr w:rsidR="00127233" w:rsidRPr="006A6AC4"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C63A" w14:textId="77777777" w:rsidR="00AB64D3" w:rsidRDefault="00AB64D3" w:rsidP="004A1847">
      <w:pPr>
        <w:spacing w:after="0" w:line="240" w:lineRule="auto"/>
      </w:pPr>
      <w:r>
        <w:separator/>
      </w:r>
    </w:p>
  </w:endnote>
  <w:endnote w:type="continuationSeparator" w:id="0">
    <w:p w14:paraId="0AB29282" w14:textId="77777777" w:rsidR="00AB64D3" w:rsidRDefault="00AB64D3" w:rsidP="004A1847">
      <w:pPr>
        <w:spacing w:after="0" w:line="240" w:lineRule="auto"/>
      </w:pPr>
      <w:r>
        <w:continuationSeparator/>
      </w:r>
    </w:p>
  </w:endnote>
  <w:endnote w:type="continuationNotice" w:id="1">
    <w:p w14:paraId="697402FD" w14:textId="77777777" w:rsidR="00AB64D3" w:rsidRDefault="00AB64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E278" w14:textId="77777777" w:rsidR="00AB64D3" w:rsidRDefault="00AB64D3" w:rsidP="004A1847">
      <w:pPr>
        <w:spacing w:after="0" w:line="240" w:lineRule="auto"/>
      </w:pPr>
      <w:r>
        <w:separator/>
      </w:r>
    </w:p>
  </w:footnote>
  <w:footnote w:type="continuationSeparator" w:id="0">
    <w:p w14:paraId="4AE061E5" w14:textId="77777777" w:rsidR="00AB64D3" w:rsidRDefault="00AB64D3" w:rsidP="004A1847">
      <w:pPr>
        <w:spacing w:after="0" w:line="240" w:lineRule="auto"/>
      </w:pPr>
      <w:r>
        <w:continuationSeparator/>
      </w:r>
    </w:p>
  </w:footnote>
  <w:footnote w:type="continuationNotice" w:id="1">
    <w:p w14:paraId="4E447698" w14:textId="77777777" w:rsidR="00AB64D3" w:rsidRDefault="00AB64D3">
      <w:pPr>
        <w:spacing w:after="0" w:line="240" w:lineRule="auto"/>
      </w:pPr>
    </w:p>
  </w:footnote>
  <w:footnote w:id="2">
    <w:p w14:paraId="07E26832" w14:textId="576E1F21" w:rsidR="00F26982" w:rsidRPr="00F26982" w:rsidRDefault="00F26982" w:rsidP="00F26982">
      <w:pPr>
        <w:pStyle w:val="Textonotapie"/>
        <w:ind w:firstLine="708"/>
      </w:pPr>
      <w:r>
        <w:rPr>
          <w:rStyle w:val="Refdenotaalpie"/>
        </w:rPr>
        <w:footnoteRef/>
      </w:r>
      <w:r>
        <w:t xml:space="preserve"> </w:t>
      </w:r>
      <w:r w:rsidRPr="00C13670">
        <w:rPr>
          <w:rFonts w:ascii="Verdana" w:hAnsi="Verdana" w:cs="Arial"/>
          <w:sz w:val="16"/>
          <w:szCs w:val="16"/>
          <w:lang w:val="es-ES" w:eastAsia="es-ES"/>
        </w:rPr>
        <w:t xml:space="preserve">Agencia Nacional de Contratación Pública – Colombia Compra Eficiente –, </w:t>
      </w:r>
      <w:r w:rsidRPr="00C13670">
        <w:rPr>
          <w:rFonts w:ascii="Verdana" w:eastAsia="Calibri" w:hAnsi="Verdana" w:cs="Arial"/>
          <w:sz w:val="16"/>
          <w:szCs w:val="16"/>
          <w:lang w:val="es-ES"/>
        </w:rPr>
        <w:t xml:space="preserve">Guía para la celebración de convenios solidarios. Disponible en: </w:t>
      </w:r>
      <w:r w:rsidRPr="000D1500">
        <w:rPr>
          <w:rFonts w:ascii="Verdana" w:eastAsia="Calibri" w:hAnsi="Verdana" w:cs="Arial"/>
          <w:sz w:val="16"/>
          <w:szCs w:val="16"/>
          <w:lang w:val="es-ES"/>
        </w:rPr>
        <w:t>chrome-extension://efaidnbmnnnibpcajpcglclefindmkaj/https://www.colombiacompra.gov.co/wp-content/uploads/2025/06/Guia-para-la-celebracion-de-Convenios-Solidarios-ajuste-diseno.pdf</w:t>
      </w:r>
    </w:p>
  </w:footnote>
  <w:footnote w:id="3">
    <w:p w14:paraId="30382D56" w14:textId="67779908" w:rsidR="00C13670" w:rsidRPr="00C13670" w:rsidRDefault="00C13670" w:rsidP="00C13670">
      <w:pPr>
        <w:pStyle w:val="Textonotapie"/>
        <w:ind w:firstLine="708"/>
        <w:jc w:val="both"/>
        <w:rPr>
          <w:rFonts w:ascii="Verdana" w:hAnsi="Verdana"/>
          <w:sz w:val="16"/>
          <w:szCs w:val="16"/>
        </w:rPr>
      </w:pPr>
      <w:r w:rsidRPr="00C13670">
        <w:rPr>
          <w:rStyle w:val="Refdenotaalpie"/>
          <w:rFonts w:ascii="Verdana" w:hAnsi="Verdana"/>
          <w:sz w:val="16"/>
          <w:szCs w:val="16"/>
        </w:rPr>
        <w:footnoteRef/>
      </w:r>
      <w:r w:rsidRPr="00C13670">
        <w:rPr>
          <w:rFonts w:ascii="Verdana" w:hAnsi="Verdana"/>
          <w:sz w:val="16"/>
          <w:szCs w:val="16"/>
        </w:rPr>
        <w:t xml:space="preserve"> </w:t>
      </w:r>
      <w:r w:rsidR="00F26982">
        <w:rPr>
          <w:rFonts w:ascii="Verdana" w:hAnsi="Verdana" w:cs="Arial"/>
          <w:sz w:val="16"/>
          <w:szCs w:val="16"/>
          <w:lang w:val="es-ES" w:eastAsia="es-ES"/>
        </w:rPr>
        <w:t>Ibidem.</w:t>
      </w:r>
      <w:r w:rsidR="000D1500">
        <w:rPr>
          <w:rFonts w:ascii="Verdana" w:eastAsia="Calibri" w:hAnsi="Verdana" w:cs="Arial"/>
          <w:sz w:val="16"/>
          <w:szCs w:val="16"/>
          <w:lang w:val="es-ES"/>
        </w:rPr>
        <w:t xml:space="preserve"> </w:t>
      </w:r>
    </w:p>
  </w:footnote>
  <w:footnote w:id="4">
    <w:p w14:paraId="1E405BA5" w14:textId="77777777" w:rsidR="00DE26FD" w:rsidRPr="00C13670" w:rsidRDefault="00DE26FD" w:rsidP="00C13670">
      <w:pPr>
        <w:pStyle w:val="Textonotapie"/>
        <w:ind w:firstLine="709"/>
        <w:jc w:val="both"/>
        <w:rPr>
          <w:rFonts w:ascii="Verdana" w:hAnsi="Verdana" w:cs="Arial"/>
          <w:sz w:val="16"/>
          <w:szCs w:val="16"/>
          <w:lang w:val="es-CO"/>
        </w:rPr>
      </w:pPr>
      <w:r w:rsidRPr="00C13670">
        <w:rPr>
          <w:rStyle w:val="Refdenotaalpie"/>
          <w:rFonts w:ascii="Verdana" w:hAnsi="Verdana" w:cs="Arial"/>
          <w:sz w:val="16"/>
          <w:szCs w:val="16"/>
        </w:rPr>
        <w:footnoteRef/>
      </w:r>
      <w:r w:rsidRPr="00C13670">
        <w:rPr>
          <w:rFonts w:ascii="Verdana" w:hAnsi="Verdana" w:cs="Arial"/>
          <w:sz w:val="16"/>
          <w:szCs w:val="16"/>
        </w:rPr>
        <w:t xml:space="preserve"> Esta resolución puede consultarse en la página web de la Agencia Nacional de Contratación Pública </w:t>
      </w:r>
      <w:r w:rsidRPr="00C13670">
        <w:rPr>
          <w:rFonts w:ascii="Verdana" w:eastAsia="Calibri" w:hAnsi="Verdana" w:cs="Arial"/>
          <w:sz w:val="16"/>
          <w:szCs w:val="16"/>
          <w:lang w:val="es-ES" w:eastAsia="es-ES"/>
        </w:rPr>
        <w:t xml:space="preserve">– Colombia Compra Eficiente en el siguiente enlace: </w:t>
      </w:r>
      <w:hyperlink r:id="rId1" w:history="1">
        <w:r w:rsidRPr="00C13670">
          <w:rPr>
            <w:rStyle w:val="Hipervnculo"/>
            <w:rFonts w:ascii="Verdana" w:eastAsia="Calibri" w:hAnsi="Verdana" w:cs="Arial"/>
            <w:sz w:val="16"/>
            <w:szCs w:val="16"/>
            <w:lang w:val="es-ES" w:eastAsia="es-ES"/>
          </w:rPr>
          <w:t>https://www.colombiacompra.gov.co/content/documento-tipo-para-la-contratacion-directa-de-convenios-solidarios-para-la-ejecucion-de</w:t>
        </w:r>
      </w:hyperlink>
      <w:r w:rsidRPr="00C13670">
        <w:rPr>
          <w:rFonts w:ascii="Verdana" w:eastAsia="Calibri" w:hAnsi="Verdana" w:cs="Arial"/>
          <w:sz w:val="16"/>
          <w:szCs w:val="16"/>
          <w:lang w:val="es-ES" w:eastAsia="es-ES"/>
        </w:rPr>
        <w:t xml:space="preserve"> </w:t>
      </w:r>
    </w:p>
  </w:footnote>
  <w:footnote w:id="5">
    <w:p w14:paraId="26088DCD" w14:textId="77777777" w:rsidR="00DE26FD" w:rsidRPr="00C13670" w:rsidRDefault="00DE26FD" w:rsidP="00C13670">
      <w:pPr>
        <w:pStyle w:val="Textonotapie"/>
        <w:ind w:firstLine="709"/>
        <w:jc w:val="both"/>
        <w:rPr>
          <w:rFonts w:ascii="Verdana" w:hAnsi="Verdana" w:cs="Arial"/>
          <w:sz w:val="16"/>
          <w:szCs w:val="16"/>
        </w:rPr>
      </w:pPr>
      <w:r w:rsidRPr="00C13670">
        <w:rPr>
          <w:rStyle w:val="Refdenotaalpie"/>
          <w:rFonts w:ascii="Verdana" w:hAnsi="Verdana" w:cs="Arial"/>
          <w:sz w:val="16"/>
          <w:szCs w:val="16"/>
        </w:rPr>
        <w:footnoteRef/>
      </w:r>
      <w:r w:rsidRPr="00C13670">
        <w:rPr>
          <w:rFonts w:ascii="Verdana" w:hAnsi="Verdana" w:cs="Arial"/>
          <w:sz w:val="16"/>
          <w:szCs w:val="16"/>
        </w:rPr>
        <w:t xml:space="preserve"> En relación con el artículo 2. “Desarrollo e implementación de los documentos tipo” contenido en la Resolución 358 del 30 de junio de 2023, debe aclararse que respecto a la palabra subrayada “[…] la ejecución de obras hasta el </w:t>
      </w:r>
      <w:r w:rsidRPr="00C13670">
        <w:rPr>
          <w:rFonts w:ascii="Verdana" w:hAnsi="Verdana" w:cs="Arial"/>
          <w:i/>
          <w:iCs/>
          <w:sz w:val="16"/>
          <w:szCs w:val="16"/>
          <w:u w:val="single"/>
        </w:rPr>
        <w:t>momento</w:t>
      </w:r>
      <w:r w:rsidRPr="00C13670">
        <w:rPr>
          <w:rFonts w:ascii="Verdana" w:hAnsi="Verdana" w:cs="Arial"/>
          <w:sz w:val="16"/>
          <w:szCs w:val="16"/>
        </w:rPr>
        <w:t xml:space="preserve"> de la menor cuantía”, se cometió una impresión en la digitación, y esta palabra debe entenderse como </w:t>
      </w:r>
      <w:r w:rsidRPr="00C13670">
        <w:rPr>
          <w:rFonts w:ascii="Verdana" w:hAnsi="Verdana" w:cs="Arial"/>
          <w:i/>
          <w:iCs/>
          <w:sz w:val="16"/>
          <w:szCs w:val="16"/>
          <w:u w:val="single"/>
        </w:rPr>
        <w:t>monto</w:t>
      </w:r>
      <w:r w:rsidRPr="00C13670">
        <w:rPr>
          <w:rFonts w:ascii="Verdana" w:hAnsi="Verdana" w:cs="Arial"/>
          <w:sz w:val="16"/>
          <w:szCs w:val="16"/>
        </w:rPr>
        <w:t xml:space="preserve">. </w:t>
      </w:r>
    </w:p>
    <w:p w14:paraId="457B8D1C" w14:textId="77777777" w:rsidR="008E16D9" w:rsidRPr="00C13670" w:rsidRDefault="008E16D9" w:rsidP="00C13670">
      <w:pPr>
        <w:pStyle w:val="Textonotapie"/>
        <w:ind w:firstLine="709"/>
        <w:jc w:val="both"/>
        <w:rPr>
          <w:rFonts w:ascii="Verdana" w:hAnsi="Verdana" w:cs="Arial"/>
          <w:sz w:val="16"/>
          <w:szCs w:val="16"/>
          <w:lang w:val="es-CO"/>
        </w:rPr>
      </w:pPr>
    </w:p>
  </w:footnote>
  <w:footnote w:id="6">
    <w:p w14:paraId="3134C88A" w14:textId="77777777" w:rsidR="00DE26FD" w:rsidRPr="00C13670" w:rsidRDefault="00DE26FD" w:rsidP="00C13670">
      <w:pPr>
        <w:pStyle w:val="Textonotapie"/>
        <w:ind w:firstLine="709"/>
        <w:jc w:val="both"/>
        <w:rPr>
          <w:rFonts w:ascii="Verdana" w:hAnsi="Verdana" w:cs="Arial"/>
          <w:b/>
          <w:bCs/>
          <w:sz w:val="16"/>
          <w:szCs w:val="16"/>
          <w:lang w:val="es-CO"/>
        </w:rPr>
      </w:pPr>
      <w:r w:rsidRPr="00C13670">
        <w:rPr>
          <w:rStyle w:val="Refdenotaalpie"/>
          <w:rFonts w:ascii="Verdana" w:hAnsi="Verdana" w:cs="Arial"/>
          <w:sz w:val="16"/>
          <w:szCs w:val="16"/>
        </w:rPr>
        <w:footnoteRef/>
      </w:r>
      <w:r w:rsidRPr="00C13670">
        <w:rPr>
          <w:rFonts w:ascii="Verdana" w:hAnsi="Verdana" w:cs="Arial"/>
          <w:sz w:val="16"/>
          <w:szCs w:val="16"/>
        </w:rPr>
        <w:t xml:space="preserve"> “</w:t>
      </w:r>
      <w:r w:rsidRPr="00C13670">
        <w:rPr>
          <w:rStyle w:val="Fuerte"/>
          <w:rFonts w:ascii="Verdana" w:hAnsi="Verdana" w:cs="Arial"/>
          <w:b w:val="0"/>
          <w:bCs w:val="0"/>
          <w:sz w:val="16"/>
          <w:szCs w:val="16"/>
          <w:shd w:val="clear" w:color="auto" w:fill="FFFFFF"/>
        </w:rPr>
        <w:t>Por la cual se deroga la Ley 743 de 2002, se desarrolla el Artículo 38 de la Constitución Política de Colombia en lo referente a los organismos de acción comunal y se establecen lineamientos para la formulación e implementación de la política pública de los organismos de acción comunal y de sus afiliados, y se dictan otras disposiciones”.</w:t>
      </w:r>
    </w:p>
  </w:footnote>
  <w:footnote w:id="7">
    <w:p w14:paraId="50FE3285" w14:textId="77777777" w:rsidR="00DE26FD" w:rsidRPr="00C13670" w:rsidRDefault="00DE26FD" w:rsidP="00C13670">
      <w:pPr>
        <w:pStyle w:val="Textonotapie"/>
        <w:ind w:firstLine="709"/>
        <w:jc w:val="both"/>
        <w:rPr>
          <w:rFonts w:ascii="Verdana" w:hAnsi="Verdana" w:cs="Arial"/>
          <w:sz w:val="16"/>
          <w:szCs w:val="16"/>
          <w:lang w:val="es-CO"/>
        </w:rPr>
      </w:pPr>
      <w:r w:rsidRPr="00C13670">
        <w:rPr>
          <w:rStyle w:val="Refdenotaalpie"/>
          <w:rFonts w:ascii="Verdana" w:hAnsi="Verdana" w:cs="Arial"/>
          <w:sz w:val="16"/>
          <w:szCs w:val="16"/>
        </w:rPr>
        <w:footnoteRef/>
      </w:r>
      <w:r w:rsidRPr="00C13670">
        <w:rPr>
          <w:rFonts w:ascii="Verdana" w:hAnsi="Verdana" w:cs="Arial"/>
          <w:sz w:val="16"/>
          <w:szCs w:val="16"/>
        </w:rPr>
        <w:t xml:space="preserve"> “Por el cual se modifica y adiciona el Decreto 1082 de 2015, Único Reglamentario del Sector Administrativo de Planeación Nacional para promover el acceso al sistema de Compras Públicas de las Mipymes, las Cooperativas y demás entidades de la economía solidaria, se incorporan criterios sociales y ambientales en los Procesos de Contratación de las Entidades Estatales, se incluye el Título de emprendimiento comunal y se dictan otras disposiciones”. </w:t>
      </w:r>
    </w:p>
  </w:footnote>
  <w:footnote w:id="8">
    <w:p w14:paraId="42E4F0BB" w14:textId="23732AF3" w:rsidR="00DE26FD" w:rsidRPr="00C13670" w:rsidRDefault="00DE26FD" w:rsidP="00C13670">
      <w:pPr>
        <w:pStyle w:val="Textonotapie"/>
        <w:ind w:firstLine="709"/>
        <w:jc w:val="both"/>
        <w:rPr>
          <w:rFonts w:ascii="Verdana" w:hAnsi="Verdana" w:cs="Arial"/>
          <w:color w:val="000000"/>
          <w:sz w:val="16"/>
          <w:szCs w:val="16"/>
        </w:rPr>
      </w:pPr>
      <w:r w:rsidRPr="00C13670">
        <w:rPr>
          <w:rStyle w:val="Refdenotaalpie"/>
          <w:rFonts w:ascii="Verdana" w:hAnsi="Verdana" w:cs="Arial"/>
          <w:sz w:val="16"/>
          <w:szCs w:val="16"/>
        </w:rPr>
        <w:footnoteRef/>
      </w:r>
      <w:r w:rsidRPr="00C13670">
        <w:rPr>
          <w:rFonts w:ascii="Verdana" w:hAnsi="Verdana" w:cs="Arial"/>
          <w:sz w:val="16"/>
          <w:szCs w:val="16"/>
        </w:rPr>
        <w:t xml:space="preserve"> Texto tomado de la ley sancionada y publicada en la página web de la Presidencia de la República, disponible en el siguiente enlace</w:t>
      </w:r>
      <w:r w:rsidRPr="00C13670">
        <w:rPr>
          <w:rFonts w:ascii="Verdana" w:hAnsi="Verdana" w:cs="Arial"/>
          <w:color w:val="000000"/>
          <w:sz w:val="16"/>
          <w:szCs w:val="16"/>
        </w:rPr>
        <w:t xml:space="preserve">: </w:t>
      </w:r>
      <w:hyperlink r:id="rId2" w:history="1">
        <w:r w:rsidRPr="00C13670">
          <w:rPr>
            <w:rStyle w:val="Hipervnculo"/>
            <w:rFonts w:ascii="Verdana" w:hAnsi="Verdana" w:cs="Arial"/>
            <w:color w:val="000000"/>
            <w:sz w:val="16"/>
            <w:szCs w:val="16"/>
          </w:rPr>
          <w:t>https://dapre.presidencia.gov.co/normativa/leyes</w:t>
        </w:r>
      </w:hyperlink>
    </w:p>
    <w:p w14:paraId="7AA2DF6A" w14:textId="77777777" w:rsidR="004426AD" w:rsidRPr="00C13670" w:rsidRDefault="004426AD" w:rsidP="00C13670">
      <w:pPr>
        <w:pStyle w:val="Textonotapie"/>
        <w:ind w:firstLine="709"/>
        <w:jc w:val="both"/>
        <w:rPr>
          <w:rFonts w:ascii="Verdana" w:hAnsi="Verdana" w:cs="Arial"/>
          <w:color w:val="000000"/>
          <w:sz w:val="16"/>
          <w:szCs w:val="16"/>
          <w:lang w:val="es-CO"/>
        </w:rPr>
      </w:pPr>
    </w:p>
  </w:footnote>
  <w:footnote w:id="9">
    <w:p w14:paraId="63F41CA9" w14:textId="77777777" w:rsidR="00DE26FD" w:rsidRPr="00C13670" w:rsidRDefault="00DE26FD" w:rsidP="00C13670">
      <w:pPr>
        <w:pStyle w:val="Textonotapie"/>
        <w:ind w:firstLine="709"/>
        <w:jc w:val="both"/>
        <w:rPr>
          <w:rFonts w:ascii="Verdana" w:hAnsi="Verdana" w:cs="Arial"/>
          <w:sz w:val="16"/>
          <w:szCs w:val="16"/>
          <w:lang w:val="es-CO"/>
        </w:rPr>
      </w:pPr>
      <w:r w:rsidRPr="00C13670">
        <w:rPr>
          <w:rStyle w:val="Refdenotaalpie"/>
          <w:rFonts w:ascii="Verdana" w:hAnsi="Verdana" w:cs="Arial"/>
          <w:sz w:val="16"/>
          <w:szCs w:val="16"/>
        </w:rPr>
        <w:footnoteRef/>
      </w:r>
      <w:r w:rsidRPr="00C13670">
        <w:rPr>
          <w:rFonts w:ascii="Verdana" w:hAnsi="Verdana" w:cs="Arial"/>
          <w:sz w:val="16"/>
          <w:szCs w:val="16"/>
        </w:rPr>
        <w:t xml:space="preserve"> </w:t>
      </w:r>
      <w:bookmarkStart w:id="1" w:name="7"/>
      <w:r w:rsidRPr="00C13670">
        <w:rPr>
          <w:rFonts w:ascii="Verdana" w:eastAsia="Calibri" w:hAnsi="Verdana" w:cs="Arial"/>
          <w:color w:val="000000"/>
          <w:sz w:val="16"/>
          <w:szCs w:val="16"/>
          <w:lang w:val="es-ES_tradnl"/>
        </w:rPr>
        <w:t>“</w:t>
      </w:r>
      <w:r w:rsidRPr="00C13670">
        <w:rPr>
          <w:rFonts w:ascii="Verdana" w:hAnsi="Verdana" w:cs="Arial"/>
          <w:sz w:val="16"/>
          <w:szCs w:val="16"/>
          <w:lang w:val="es-CO"/>
        </w:rPr>
        <w:t>Artículo 7. Organismos de la Acción Comunal.</w:t>
      </w:r>
      <w:bookmarkEnd w:id="1"/>
    </w:p>
    <w:p w14:paraId="26FC5A5C"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a) Son organismos de acción comunal de primer grado las juntas de acción comunal y las juntas de vivienda comunal. La junta de acción comunal es una organización cívica, social y 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w:t>
      </w:r>
    </w:p>
    <w:p w14:paraId="3A234288"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b) La junta de vivienda comunal es una organización cívica sin ánimo de lucro, integrada por familias que se reúnen con el propósito de adelantar programas de mejoramiento o de autoconstrucción de vivienda. Una vez concluido el programa, la junta de vivienda comunal se podrá asimilar a la Junta de Acción Comunal definida en el presente artículo, siempre y cuando cumpla los requisitos dispuestos en la ley;</w:t>
      </w:r>
    </w:p>
    <w:p w14:paraId="75BC1D57"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c) Es organismo de acción comunal de segundo grado la asociación de juntas de acción comunal. Tienen la misma naturaleza jurídica de las juntas de acción comunal y se constituye con los organismos de primer grado fundadores y los que posteriormente se afilien;</w:t>
      </w:r>
    </w:p>
    <w:p w14:paraId="4CBE8CD0"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d) Es organismo de acción comunal de tercer grado la federación de acción comunal, tiene la misma naturaleza jurídica de las juntas de acción comunal y se constituye con los organismos de acción comunal de segundo grado fundadores y que posteriormente se afilien;</w:t>
      </w:r>
    </w:p>
    <w:p w14:paraId="452CEB4B"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e) Es organismo de acción comunal de cuarto grado, la confederación nacional de acción comunal, tiene la misma naturaleza jurídica de las juntas de acción comunal y se constituye con los organismos de acción comunal de tercer grado fundadores y que posteriormente se afilien.</w:t>
      </w:r>
    </w:p>
    <w:p w14:paraId="674B6D04"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PARÁGRAFO 1o. Cada organismo de acción comunal, se dará su propio reglamento conforme al marco brindado por esta ley enunciado en el artículo 1 y las normas que le sucedan.</w:t>
      </w:r>
    </w:p>
    <w:p w14:paraId="53A22B50" w14:textId="77777777" w:rsidR="00DE26FD" w:rsidRPr="00C13670" w:rsidRDefault="00DE26FD" w:rsidP="00C13670">
      <w:pPr>
        <w:pStyle w:val="Textonotapie"/>
        <w:ind w:firstLine="709"/>
        <w:jc w:val="both"/>
        <w:rPr>
          <w:rFonts w:ascii="Verdana" w:hAnsi="Verdana" w:cs="Arial"/>
          <w:sz w:val="16"/>
          <w:szCs w:val="16"/>
          <w:lang w:val="es-CO"/>
        </w:rPr>
      </w:pPr>
      <w:r w:rsidRPr="00C13670">
        <w:rPr>
          <w:rFonts w:ascii="Verdana" w:hAnsi="Verdana" w:cs="Arial"/>
          <w:sz w:val="16"/>
          <w:szCs w:val="16"/>
          <w:lang w:val="es-CO"/>
        </w:rPr>
        <w:t>PARÁGRAFO 2o. Dentro del año siguiente a la expedición de la presente Ley en concertación con la organización social de la Acción Comunal, el Gobierno nacional expedirá una reglamentación para las Juntas de Vivienda Comunal</w:t>
      </w:r>
      <w:r w:rsidRPr="00C13670">
        <w:rPr>
          <w:rFonts w:ascii="Verdana" w:eastAsia="Calibri" w:hAnsi="Verdana" w:cs="Arial"/>
          <w:color w:val="000000"/>
          <w:sz w:val="16"/>
          <w:szCs w:val="16"/>
          <w:lang w:val="es-ES_tradnl"/>
        </w:rPr>
        <w:t>”.</w:t>
      </w:r>
    </w:p>
    <w:p w14:paraId="0F647561" w14:textId="77777777" w:rsidR="00DE26FD" w:rsidRPr="00C13670" w:rsidRDefault="00DE26FD" w:rsidP="00C13670">
      <w:pPr>
        <w:pStyle w:val="Textonotapie"/>
        <w:ind w:firstLine="709"/>
        <w:jc w:val="both"/>
        <w:rPr>
          <w:rFonts w:ascii="Verdana" w:hAnsi="Verdana" w:cs="Arial"/>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1FE140D"/>
    <w:multiLevelType w:val="multilevel"/>
    <w:tmpl w:val="4C9A301C"/>
    <w:lvl w:ilvl="0">
      <w:start w:val="16"/>
      <w:numFmt w:val="upperRoman"/>
      <w:lvlText w:val="%1."/>
      <w:lvlJc w:val="right"/>
      <w:pPr>
        <w:ind w:left="720" w:hanging="360"/>
      </w:pPr>
      <w:rPr>
        <w:rFonts w:hint="default"/>
      </w:rPr>
    </w:lvl>
    <w:lvl w:ilvl="1">
      <w:start w:val="1"/>
      <w:numFmt w:val="upperRoman"/>
      <w:lvlText w:val="%2."/>
      <w:lvlJc w:val="right"/>
      <w:pPr>
        <w:ind w:left="1440" w:hanging="360"/>
      </w:pPr>
      <w:rPr>
        <w:rFonts w:hint="default"/>
      </w:rPr>
    </w:lvl>
    <w:lvl w:ilvl="2">
      <w:start w:val="1"/>
      <w:numFmt w:val="upperRoman"/>
      <w:lvlText w:val="%3."/>
      <w:lvlJc w:val="right"/>
      <w:pPr>
        <w:ind w:left="2160" w:hanging="360"/>
      </w:pPr>
      <w:rPr>
        <w:rFonts w:hint="default"/>
      </w:rPr>
    </w:lvl>
    <w:lvl w:ilvl="3">
      <w:start w:val="1"/>
      <w:numFmt w:val="upperRoman"/>
      <w:lvlText w:val="%4."/>
      <w:lvlJc w:val="right"/>
      <w:pPr>
        <w:ind w:left="2880" w:hanging="360"/>
      </w:pPr>
      <w:rPr>
        <w:rFonts w:hint="default"/>
      </w:rPr>
    </w:lvl>
    <w:lvl w:ilvl="4">
      <w:start w:val="1"/>
      <w:numFmt w:val="upperRoman"/>
      <w:lvlText w:val="%5."/>
      <w:lvlJc w:val="right"/>
      <w:pPr>
        <w:ind w:left="3600" w:hanging="360"/>
      </w:pPr>
      <w:rPr>
        <w:rFonts w:hint="default"/>
      </w:rPr>
    </w:lvl>
    <w:lvl w:ilvl="5">
      <w:start w:val="1"/>
      <w:numFmt w:val="upperRoman"/>
      <w:lvlText w:val="%6."/>
      <w:lvlJc w:val="right"/>
      <w:pPr>
        <w:ind w:left="4320" w:hanging="360"/>
      </w:pPr>
      <w:rPr>
        <w:rFonts w:hint="default"/>
      </w:rPr>
    </w:lvl>
    <w:lvl w:ilvl="6">
      <w:start w:val="1"/>
      <w:numFmt w:val="upperRoman"/>
      <w:lvlText w:val="%7."/>
      <w:lvlJc w:val="right"/>
      <w:pPr>
        <w:ind w:left="5040" w:hanging="360"/>
      </w:pPr>
      <w:rPr>
        <w:rFonts w:hint="default"/>
      </w:rPr>
    </w:lvl>
    <w:lvl w:ilvl="7">
      <w:start w:val="1"/>
      <w:numFmt w:val="upperRoman"/>
      <w:lvlText w:val="%8."/>
      <w:lvlJc w:val="right"/>
      <w:pPr>
        <w:ind w:left="5760" w:hanging="360"/>
      </w:pPr>
      <w:rPr>
        <w:rFonts w:hint="default"/>
      </w:rPr>
    </w:lvl>
    <w:lvl w:ilvl="8">
      <w:start w:val="1"/>
      <w:numFmt w:val="upperRoman"/>
      <w:lvlText w:val="%9."/>
      <w:lvlJc w:val="right"/>
      <w:pPr>
        <w:ind w:left="6480" w:hanging="360"/>
      </w:pPr>
      <w:rPr>
        <w:rFonts w:hint="default"/>
      </w:rPr>
    </w:lvl>
  </w:abstractNum>
  <w:abstractNum w:abstractNumId="2"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79C71CD"/>
    <w:multiLevelType w:val="hybridMultilevel"/>
    <w:tmpl w:val="24F41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E379C"/>
    <w:multiLevelType w:val="hybridMultilevel"/>
    <w:tmpl w:val="C972937E"/>
    <w:lvl w:ilvl="0" w:tplc="BB62418C">
      <w:start w:val="1"/>
      <w:numFmt w:val="decimal"/>
      <w:pStyle w:val="clusulas"/>
      <w:lvlText w:val="CLÁUSULA %1."/>
      <w:lvlJc w:val="left"/>
      <w:pPr>
        <w:ind w:left="360" w:hanging="360"/>
      </w:pPr>
      <w:rPr>
        <w:rFonts w:hint="default"/>
        <w:b/>
        <w:color w:val="auto"/>
        <w:lang w:val="es-MX"/>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A74137A"/>
    <w:multiLevelType w:val="hybridMultilevel"/>
    <w:tmpl w:val="B010EF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1E463C4"/>
    <w:multiLevelType w:val="hybridMultilevel"/>
    <w:tmpl w:val="2F4A9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9"/>
  </w:num>
  <w:num w:numId="2" w16cid:durableId="19822139">
    <w:abstractNumId w:val="3"/>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18"/>
  </w:num>
  <w:num w:numId="7" w16cid:durableId="1946422806">
    <w:abstractNumId w:val="8"/>
  </w:num>
  <w:num w:numId="8" w16cid:durableId="152644682">
    <w:abstractNumId w:val="17"/>
  </w:num>
  <w:num w:numId="9" w16cid:durableId="1317221377">
    <w:abstractNumId w:val="10"/>
  </w:num>
  <w:num w:numId="10" w16cid:durableId="1471245386">
    <w:abstractNumId w:val="16"/>
  </w:num>
  <w:num w:numId="11" w16cid:durableId="289172385">
    <w:abstractNumId w:val="11"/>
  </w:num>
  <w:num w:numId="12" w16cid:durableId="1470781324">
    <w:abstractNumId w:val="2"/>
  </w:num>
  <w:num w:numId="13" w16cid:durableId="1512908409">
    <w:abstractNumId w:val="5"/>
  </w:num>
  <w:num w:numId="14" w16cid:durableId="895897244">
    <w:abstractNumId w:val="19"/>
  </w:num>
  <w:num w:numId="15" w16cid:durableId="390349800">
    <w:abstractNumId w:val="15"/>
  </w:num>
  <w:num w:numId="16" w16cid:durableId="341274352">
    <w:abstractNumId w:val="0"/>
  </w:num>
  <w:num w:numId="17" w16cid:durableId="679089576">
    <w:abstractNumId w:val="12"/>
  </w:num>
  <w:num w:numId="18" w16cid:durableId="295986491">
    <w:abstractNumId w:val="13"/>
  </w:num>
  <w:num w:numId="19" w16cid:durableId="1655985476">
    <w:abstractNumId w:val="14"/>
  </w:num>
  <w:num w:numId="20" w16cid:durableId="719092614">
    <w:abstractNumId w:val="4"/>
  </w:num>
  <w:num w:numId="21" w16cid:durableId="1792506912">
    <w:abstractNumId w:val="6"/>
  </w:num>
  <w:num w:numId="22" w16cid:durableId="192047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DD1"/>
    <w:rsid w:val="00006CA8"/>
    <w:rsid w:val="00061B2A"/>
    <w:rsid w:val="00073A08"/>
    <w:rsid w:val="00082362"/>
    <w:rsid w:val="000A683E"/>
    <w:rsid w:val="000B19B9"/>
    <w:rsid w:val="000C7E5E"/>
    <w:rsid w:val="000D0334"/>
    <w:rsid w:val="000D0A52"/>
    <w:rsid w:val="000D1500"/>
    <w:rsid w:val="000E0163"/>
    <w:rsid w:val="000E7A3C"/>
    <w:rsid w:val="000F6486"/>
    <w:rsid w:val="00113508"/>
    <w:rsid w:val="00125105"/>
    <w:rsid w:val="00127233"/>
    <w:rsid w:val="00152EF1"/>
    <w:rsid w:val="001B7F4D"/>
    <w:rsid w:val="001E1C7A"/>
    <w:rsid w:val="001E4177"/>
    <w:rsid w:val="001F7DC6"/>
    <w:rsid w:val="0022402C"/>
    <w:rsid w:val="002421BB"/>
    <w:rsid w:val="0025796E"/>
    <w:rsid w:val="0026221B"/>
    <w:rsid w:val="00270015"/>
    <w:rsid w:val="002707A2"/>
    <w:rsid w:val="00273BDE"/>
    <w:rsid w:val="002951A0"/>
    <w:rsid w:val="002962BC"/>
    <w:rsid w:val="002A093D"/>
    <w:rsid w:val="002A0DD0"/>
    <w:rsid w:val="002A49AC"/>
    <w:rsid w:val="002A64FD"/>
    <w:rsid w:val="002C5468"/>
    <w:rsid w:val="002C7A84"/>
    <w:rsid w:val="002E4FD9"/>
    <w:rsid w:val="002F524F"/>
    <w:rsid w:val="00322A85"/>
    <w:rsid w:val="00324168"/>
    <w:rsid w:val="00343196"/>
    <w:rsid w:val="003448F4"/>
    <w:rsid w:val="00351A0E"/>
    <w:rsid w:val="00364873"/>
    <w:rsid w:val="00374F5E"/>
    <w:rsid w:val="00377E3E"/>
    <w:rsid w:val="003A26D1"/>
    <w:rsid w:val="003A5E47"/>
    <w:rsid w:val="003A779E"/>
    <w:rsid w:val="003C57A4"/>
    <w:rsid w:val="003D0F4D"/>
    <w:rsid w:val="003D5B0D"/>
    <w:rsid w:val="003E0499"/>
    <w:rsid w:val="003F3941"/>
    <w:rsid w:val="00406575"/>
    <w:rsid w:val="004149E6"/>
    <w:rsid w:val="0042722E"/>
    <w:rsid w:val="004426AD"/>
    <w:rsid w:val="0044528D"/>
    <w:rsid w:val="00487291"/>
    <w:rsid w:val="00493F13"/>
    <w:rsid w:val="004A1847"/>
    <w:rsid w:val="004A305D"/>
    <w:rsid w:val="004C7AAA"/>
    <w:rsid w:val="004E7CAB"/>
    <w:rsid w:val="004F21C4"/>
    <w:rsid w:val="004F685F"/>
    <w:rsid w:val="005311B5"/>
    <w:rsid w:val="005321FE"/>
    <w:rsid w:val="0053529C"/>
    <w:rsid w:val="00537508"/>
    <w:rsid w:val="00542544"/>
    <w:rsid w:val="00550C96"/>
    <w:rsid w:val="005566E8"/>
    <w:rsid w:val="00574867"/>
    <w:rsid w:val="00591460"/>
    <w:rsid w:val="00592628"/>
    <w:rsid w:val="00597A59"/>
    <w:rsid w:val="005A2003"/>
    <w:rsid w:val="005C3777"/>
    <w:rsid w:val="005C5CDC"/>
    <w:rsid w:val="005D476C"/>
    <w:rsid w:val="00610812"/>
    <w:rsid w:val="006219F8"/>
    <w:rsid w:val="006429FA"/>
    <w:rsid w:val="00650FF7"/>
    <w:rsid w:val="0066522A"/>
    <w:rsid w:val="00665D70"/>
    <w:rsid w:val="00671DAC"/>
    <w:rsid w:val="006900D9"/>
    <w:rsid w:val="006A6AC4"/>
    <w:rsid w:val="006C124F"/>
    <w:rsid w:val="006D12F8"/>
    <w:rsid w:val="006F2065"/>
    <w:rsid w:val="00706C16"/>
    <w:rsid w:val="00716019"/>
    <w:rsid w:val="00756841"/>
    <w:rsid w:val="007607A6"/>
    <w:rsid w:val="007649AB"/>
    <w:rsid w:val="0076632A"/>
    <w:rsid w:val="00771D0C"/>
    <w:rsid w:val="007833AC"/>
    <w:rsid w:val="007957CA"/>
    <w:rsid w:val="00797056"/>
    <w:rsid w:val="007A5D6D"/>
    <w:rsid w:val="007B268C"/>
    <w:rsid w:val="007B7171"/>
    <w:rsid w:val="007C0C0F"/>
    <w:rsid w:val="007C3DC2"/>
    <w:rsid w:val="007D2548"/>
    <w:rsid w:val="007E5497"/>
    <w:rsid w:val="008052F7"/>
    <w:rsid w:val="00806F5F"/>
    <w:rsid w:val="00820278"/>
    <w:rsid w:val="00823F66"/>
    <w:rsid w:val="00825A7E"/>
    <w:rsid w:val="00856DE2"/>
    <w:rsid w:val="00857236"/>
    <w:rsid w:val="008843B6"/>
    <w:rsid w:val="00891928"/>
    <w:rsid w:val="008A446D"/>
    <w:rsid w:val="008A5799"/>
    <w:rsid w:val="008D180B"/>
    <w:rsid w:val="008E16D9"/>
    <w:rsid w:val="008F0EA7"/>
    <w:rsid w:val="0091170E"/>
    <w:rsid w:val="009209CA"/>
    <w:rsid w:val="00923EEF"/>
    <w:rsid w:val="009419F9"/>
    <w:rsid w:val="00941D0E"/>
    <w:rsid w:val="00941EC5"/>
    <w:rsid w:val="00942687"/>
    <w:rsid w:val="00954BAF"/>
    <w:rsid w:val="00956258"/>
    <w:rsid w:val="0095685E"/>
    <w:rsid w:val="00961B09"/>
    <w:rsid w:val="00962382"/>
    <w:rsid w:val="00965334"/>
    <w:rsid w:val="0097093E"/>
    <w:rsid w:val="00983C0C"/>
    <w:rsid w:val="00996491"/>
    <w:rsid w:val="009A0DFA"/>
    <w:rsid w:val="009B2D26"/>
    <w:rsid w:val="009B3524"/>
    <w:rsid w:val="009C71FA"/>
    <w:rsid w:val="009C72E7"/>
    <w:rsid w:val="009D3058"/>
    <w:rsid w:val="009F3A13"/>
    <w:rsid w:val="00A122D3"/>
    <w:rsid w:val="00A17F13"/>
    <w:rsid w:val="00A20739"/>
    <w:rsid w:val="00A337E7"/>
    <w:rsid w:val="00A33C78"/>
    <w:rsid w:val="00A42200"/>
    <w:rsid w:val="00A43D1A"/>
    <w:rsid w:val="00AA059A"/>
    <w:rsid w:val="00AB0ADB"/>
    <w:rsid w:val="00AB64D3"/>
    <w:rsid w:val="00AD1309"/>
    <w:rsid w:val="00AD1833"/>
    <w:rsid w:val="00AD510E"/>
    <w:rsid w:val="00B01B1A"/>
    <w:rsid w:val="00B069E3"/>
    <w:rsid w:val="00B5700B"/>
    <w:rsid w:val="00B57DF6"/>
    <w:rsid w:val="00B722CF"/>
    <w:rsid w:val="00B72CD3"/>
    <w:rsid w:val="00B72FFF"/>
    <w:rsid w:val="00B81E2E"/>
    <w:rsid w:val="00B847FA"/>
    <w:rsid w:val="00B85224"/>
    <w:rsid w:val="00BC3D36"/>
    <w:rsid w:val="00BD5A9C"/>
    <w:rsid w:val="00BD7F72"/>
    <w:rsid w:val="00C00488"/>
    <w:rsid w:val="00C02C4A"/>
    <w:rsid w:val="00C04FB3"/>
    <w:rsid w:val="00C13670"/>
    <w:rsid w:val="00C30F6E"/>
    <w:rsid w:val="00C330EB"/>
    <w:rsid w:val="00C5447D"/>
    <w:rsid w:val="00C54E6A"/>
    <w:rsid w:val="00C6078A"/>
    <w:rsid w:val="00C754BE"/>
    <w:rsid w:val="00C755FF"/>
    <w:rsid w:val="00C76B1C"/>
    <w:rsid w:val="00C94B86"/>
    <w:rsid w:val="00CB6357"/>
    <w:rsid w:val="00CC1B26"/>
    <w:rsid w:val="00CE6951"/>
    <w:rsid w:val="00D423A2"/>
    <w:rsid w:val="00D520D8"/>
    <w:rsid w:val="00D63156"/>
    <w:rsid w:val="00D63AC2"/>
    <w:rsid w:val="00D7383B"/>
    <w:rsid w:val="00D90E84"/>
    <w:rsid w:val="00DA231B"/>
    <w:rsid w:val="00DA23A0"/>
    <w:rsid w:val="00DA3CB1"/>
    <w:rsid w:val="00DB41AF"/>
    <w:rsid w:val="00DC39FC"/>
    <w:rsid w:val="00DD4A59"/>
    <w:rsid w:val="00DE26FD"/>
    <w:rsid w:val="00DF0AC9"/>
    <w:rsid w:val="00DF5254"/>
    <w:rsid w:val="00E03EC7"/>
    <w:rsid w:val="00E131E4"/>
    <w:rsid w:val="00E16408"/>
    <w:rsid w:val="00E172B1"/>
    <w:rsid w:val="00E20894"/>
    <w:rsid w:val="00E23F7D"/>
    <w:rsid w:val="00E245AB"/>
    <w:rsid w:val="00E24673"/>
    <w:rsid w:val="00E2764C"/>
    <w:rsid w:val="00E27F2E"/>
    <w:rsid w:val="00E351B7"/>
    <w:rsid w:val="00E413EA"/>
    <w:rsid w:val="00E44184"/>
    <w:rsid w:val="00E461BE"/>
    <w:rsid w:val="00E50AFE"/>
    <w:rsid w:val="00E636D0"/>
    <w:rsid w:val="00E75C92"/>
    <w:rsid w:val="00E771DC"/>
    <w:rsid w:val="00E8772A"/>
    <w:rsid w:val="00E90F6B"/>
    <w:rsid w:val="00E92C27"/>
    <w:rsid w:val="00EA0E3D"/>
    <w:rsid w:val="00EC1599"/>
    <w:rsid w:val="00EC38A7"/>
    <w:rsid w:val="00EE1AA8"/>
    <w:rsid w:val="00F01931"/>
    <w:rsid w:val="00F169A7"/>
    <w:rsid w:val="00F26982"/>
    <w:rsid w:val="00F31EDC"/>
    <w:rsid w:val="00F34BB1"/>
    <w:rsid w:val="00F462B3"/>
    <w:rsid w:val="00F5664F"/>
    <w:rsid w:val="00F666C4"/>
    <w:rsid w:val="00F66776"/>
    <w:rsid w:val="00F76AFC"/>
    <w:rsid w:val="00FA47C0"/>
    <w:rsid w:val="00FB5DD1"/>
    <w:rsid w:val="00FC2B5D"/>
    <w:rsid w:val="00FF1449"/>
    <w:rsid w:val="34D43B0E"/>
    <w:rsid w:val="5CEADB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E26FD"/>
    <w:pPr>
      <w:spacing w:line="240" w:lineRule="exact"/>
    </w:pPr>
    <w:rPr>
      <w:vertAlign w:val="superscript"/>
    </w:rPr>
  </w:style>
  <w:style w:type="character" w:styleId="Fuerte">
    <w:name w:val="Strong"/>
    <w:basedOn w:val="Fuentedeprrafopredeter"/>
    <w:uiPriority w:val="22"/>
    <w:qFormat/>
    <w:rsid w:val="00DE26FD"/>
    <w:rPr>
      <w:b/>
      <w:bCs/>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857236"/>
    <w:rPr>
      <w:rFonts w:ascii="Geomanist Light" w:hAnsi="Geomanist Light"/>
      <w:lang w:val="es-ES"/>
    </w:rPr>
  </w:style>
  <w:style w:type="paragraph" w:customStyle="1" w:styleId="clusulas">
    <w:name w:val="cláusulas"/>
    <w:basedOn w:val="Normal"/>
    <w:qFormat/>
    <w:rsid w:val="00857236"/>
    <w:pPr>
      <w:numPr>
        <w:numId w:val="21"/>
      </w:numPr>
      <w:spacing w:before="120" w:after="120" w:line="240" w:lineRule="auto"/>
      <w:jc w:val="both"/>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5437">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2824882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43514720">
      <w:bodyDiv w:val="1"/>
      <w:marLeft w:val="0"/>
      <w:marRight w:val="0"/>
      <w:marTop w:val="0"/>
      <w:marBottom w:val="0"/>
      <w:divBdr>
        <w:top w:val="none" w:sz="0" w:space="0" w:color="auto"/>
        <w:left w:val="none" w:sz="0" w:space="0" w:color="auto"/>
        <w:bottom w:val="none" w:sz="0" w:space="0" w:color="auto"/>
        <w:right w:val="none" w:sz="0" w:space="0" w:color="auto"/>
      </w:divBdr>
    </w:div>
    <w:div w:id="2003848616">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sites/cce_public/files/files_2020/02._resolucion_358_de_2023_dt_-_convenios_solidarios.pdf" TargetMode="External"/><Relationship Id="rId18" Type="http://schemas.openxmlformats.org/officeDocument/2006/relationships/hyperlink" Target="https://www.colombiacompra.gov.co/normativa-y-relatoria/documentos-tipo"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arlosruizcastiblanco@outlook.com" TargetMode="External"/><Relationship Id="rId17" Type="http://schemas.openxmlformats.org/officeDocument/2006/relationships/hyperlink" Target="https://formacionvirtual.colombiacompra.gov.co/mod/page/view.php?id=3718" TargetMode="External"/><Relationship Id="rId2" Type="http://schemas.openxmlformats.org/officeDocument/2006/relationships/customXml" Target="../customXml/item2.xml"/><Relationship Id="rId16" Type="http://schemas.openxmlformats.org/officeDocument/2006/relationships/hyperlink" Target="https://relatoria.colombiacompra.gov.co/busqueda/concept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content/documento-tipo-para-la-contratacion-directa-de-convenios-solidarios-para-la-ejecucion-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sites/cce_public/files/files_2020/02._resolucion_358_de_2023_dt_-_convenios_solidarios.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apre.presidencia.gov.co/normativa/leyes" TargetMode="External"/><Relationship Id="rId1" Type="http://schemas.openxmlformats.org/officeDocument/2006/relationships/hyperlink" Target="https://www.colombiacompra.gov.co/content/documento-tipo-para-la-contratacion-directa-de-convenios-solidarios-para-la-ejecucio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6cb9e4b-f1d1-4245-83ec-6cad768d538a">
      <UserInfo>
        <DisplayName>Poxta IOIP</DisplayName>
        <AccountId>719</AccountId>
        <AccountType/>
      </UserInfo>
    </SharedWithUsers>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40A66387-62FB-466A-BAAB-702CCF697175}"/>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1C6D0D4B-6D3F-4903-B7B8-4E4BA2F7A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18</Pages>
  <Words>5450</Words>
  <Characters>29979</Characters>
  <Application>Microsoft Office Word</Application>
  <DocSecurity>0</DocSecurity>
  <Lines>249</Lines>
  <Paragraphs>70</Paragraphs>
  <ScaleCrop>false</ScaleCrop>
  <Company/>
  <LinksUpToDate>false</LinksUpToDate>
  <CharactersWithSpaces>35359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92</cp:revision>
  <cp:lastPrinted>2023-01-10T21:18:00Z</cp:lastPrinted>
  <dcterms:created xsi:type="dcterms:W3CDTF">2026-07-23T19:56:00Z</dcterms:created>
  <dcterms:modified xsi:type="dcterms:W3CDTF">2026-08-03T14:54:00Z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