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9B8C1" w14:textId="185FC8BF" w:rsidR="0028318A" w:rsidRPr="0028318A" w:rsidRDefault="0028318A" w:rsidP="00CC11E5">
      <w:pPr>
        <w:spacing w:after="0"/>
        <w:jc w:val="both"/>
        <w:rPr>
          <w:rFonts w:ascii="Verdana" w:eastAsia="Verdana" w:hAnsi="Verdana" w:cs="Verdana"/>
        </w:rPr>
      </w:pPr>
      <w:bookmarkStart w:id="0" w:name="_Hlk143780582"/>
      <w:r w:rsidRPr="0028318A">
        <w:rPr>
          <w:rFonts w:ascii="Verdana" w:eastAsia="Calibri" w:hAnsi="Verdana" w:cs="Arial"/>
          <w:b/>
          <w:bCs/>
          <w:lang w:val="es-ES" w:eastAsia="es-ES"/>
        </w:rPr>
        <w:t>DOCUMENTOS TIPO DE INFRAESTRUCTURA SOCIAL – Generalidades</w:t>
      </w:r>
    </w:p>
    <w:p w14:paraId="2071ABD1" w14:textId="77777777" w:rsidR="0028318A" w:rsidRPr="0028318A" w:rsidRDefault="0028318A" w:rsidP="0028318A">
      <w:pPr>
        <w:shd w:val="clear" w:color="auto" w:fill="FFFFFF"/>
        <w:spacing w:after="0" w:line="276" w:lineRule="auto"/>
        <w:contextualSpacing/>
        <w:jc w:val="both"/>
        <w:rPr>
          <w:rFonts w:ascii="Verdana" w:eastAsia="Calibri" w:hAnsi="Verdana" w:cs="Arial"/>
          <w:b/>
          <w:bCs/>
          <w:lang w:val="es-ES" w:eastAsia="es-ES"/>
        </w:rPr>
      </w:pPr>
    </w:p>
    <w:p w14:paraId="43D93363" w14:textId="77777777" w:rsidR="0028318A" w:rsidRPr="0028318A" w:rsidRDefault="0028318A" w:rsidP="0028318A">
      <w:pPr>
        <w:snapToGrid w:val="0"/>
        <w:spacing w:after="0" w:line="240" w:lineRule="auto"/>
        <w:jc w:val="both"/>
        <w:rPr>
          <w:rFonts w:ascii="Verdana" w:eastAsia="Calibri" w:hAnsi="Verdana" w:cs="Times New Roman"/>
          <w:sz w:val="20"/>
          <w:szCs w:val="20"/>
          <w:lang w:val="es-ES" w:eastAsia="es-MX"/>
        </w:rPr>
      </w:pPr>
      <w:r w:rsidRPr="0028318A">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7E953B39" w14:textId="77777777" w:rsidR="0028318A" w:rsidRPr="0028318A" w:rsidRDefault="0028318A" w:rsidP="0028318A">
      <w:pPr>
        <w:snapToGrid w:val="0"/>
        <w:spacing w:after="0" w:line="240" w:lineRule="auto"/>
        <w:jc w:val="both"/>
        <w:rPr>
          <w:rFonts w:ascii="Verdana" w:eastAsia="Calibri" w:hAnsi="Verdana" w:cs="Times New Roman"/>
          <w:sz w:val="20"/>
          <w:szCs w:val="20"/>
          <w:lang w:val="es-ES" w:eastAsia="es-MX"/>
        </w:rPr>
      </w:pPr>
      <w:r w:rsidRPr="0028318A">
        <w:rPr>
          <w:rFonts w:ascii="Verdana" w:eastAsia="Arial MT" w:hAnsi="Verdana" w:cs="Arial MT"/>
          <w:sz w:val="20"/>
          <w:szCs w:val="20"/>
          <w:lang w:val="es-ES" w:eastAsia="es-MX"/>
        </w:rPr>
        <w:t>[…]</w:t>
      </w:r>
    </w:p>
    <w:p w14:paraId="3E0DE6E1" w14:textId="77777777" w:rsidR="0028318A" w:rsidRPr="0028318A" w:rsidRDefault="0028318A" w:rsidP="0028318A">
      <w:pPr>
        <w:snapToGrid w:val="0"/>
        <w:spacing w:after="0" w:line="240" w:lineRule="auto"/>
        <w:jc w:val="both"/>
        <w:rPr>
          <w:rFonts w:ascii="Verdana" w:eastAsia="Calibri" w:hAnsi="Verdana" w:cs="Times New Roman"/>
          <w:sz w:val="20"/>
          <w:szCs w:val="20"/>
          <w:lang w:val="es-ES" w:eastAsia="es-MX"/>
        </w:rPr>
      </w:pPr>
      <w:r w:rsidRPr="0028318A">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365F123E" w14:textId="77777777" w:rsidR="0028318A" w:rsidRPr="0028318A" w:rsidRDefault="0028318A" w:rsidP="0028318A">
      <w:pPr>
        <w:shd w:val="clear" w:color="auto" w:fill="FFFFFF"/>
        <w:spacing w:after="0" w:line="276" w:lineRule="auto"/>
        <w:contextualSpacing/>
        <w:jc w:val="both"/>
        <w:rPr>
          <w:rFonts w:ascii="Verdana" w:eastAsia="Calibri" w:hAnsi="Verdana" w:cs="Arial"/>
          <w:b/>
          <w:bCs/>
          <w:lang w:val="es-ES" w:eastAsia="es-ES"/>
        </w:rPr>
      </w:pPr>
    </w:p>
    <w:p w14:paraId="784B9974" w14:textId="77777777" w:rsidR="0028318A" w:rsidRPr="0028318A" w:rsidRDefault="0028318A" w:rsidP="0028318A">
      <w:pPr>
        <w:shd w:val="clear" w:color="auto" w:fill="FFFFFF"/>
        <w:spacing w:after="0" w:line="276" w:lineRule="auto"/>
        <w:contextualSpacing/>
        <w:jc w:val="both"/>
        <w:rPr>
          <w:rFonts w:ascii="Verdana" w:eastAsia="Calibri" w:hAnsi="Verdana" w:cs="Arial"/>
          <w:b/>
          <w:bCs/>
          <w:lang w:val="es-ES" w:eastAsia="es-ES"/>
        </w:rPr>
      </w:pPr>
      <w:r w:rsidRPr="0028318A">
        <w:rPr>
          <w:rFonts w:ascii="Verdana" w:eastAsia="Calibri" w:hAnsi="Verdana" w:cs="Arial"/>
          <w:b/>
          <w:bCs/>
          <w:lang w:val="es-ES" w:eastAsia="es-ES"/>
        </w:rPr>
        <w:t xml:space="preserve">DOCUMENTOS TIPO DE INFRAESTRUCTURA SOCIAL – Aplicación – Matriz 1 – Determinación de la experiencia  </w:t>
      </w:r>
    </w:p>
    <w:p w14:paraId="074AFB8B" w14:textId="77777777" w:rsidR="0028318A" w:rsidRPr="0028318A" w:rsidRDefault="0028318A" w:rsidP="0028318A">
      <w:pPr>
        <w:shd w:val="clear" w:color="auto" w:fill="FFFFFF"/>
        <w:spacing w:after="0" w:line="276" w:lineRule="auto"/>
        <w:contextualSpacing/>
        <w:jc w:val="both"/>
        <w:rPr>
          <w:rFonts w:ascii="Verdana" w:eastAsia="Calibri" w:hAnsi="Verdana" w:cs="Arial"/>
          <w:b/>
          <w:lang w:val="es-MX" w:eastAsia="es-ES_tradnl"/>
        </w:rPr>
      </w:pPr>
    </w:p>
    <w:p w14:paraId="62A0B579" w14:textId="77777777" w:rsidR="0028318A" w:rsidRPr="0028318A" w:rsidRDefault="0028318A" w:rsidP="0028318A">
      <w:pPr>
        <w:adjustRightInd w:val="0"/>
        <w:snapToGrid w:val="0"/>
        <w:spacing w:after="0" w:line="240" w:lineRule="auto"/>
        <w:jc w:val="both"/>
        <w:rPr>
          <w:rFonts w:ascii="Verdana" w:eastAsia="Calibri" w:hAnsi="Verdana" w:cs="Times New Roman"/>
          <w:sz w:val="20"/>
          <w:szCs w:val="20"/>
          <w:lang w:eastAsia="es-MX"/>
        </w:rPr>
      </w:pPr>
      <w:r w:rsidRPr="0028318A">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28318A">
        <w:rPr>
          <w:rFonts w:ascii="Verdana" w:eastAsia="Calibri" w:hAnsi="Verdana" w:cs="Times New Roman"/>
          <w:sz w:val="20"/>
          <w:szCs w:val="20"/>
          <w:lang w:eastAsia="es-MX"/>
        </w:rPr>
        <w:t>ii</w:t>
      </w:r>
      <w:proofErr w:type="spellEnd"/>
      <w:r w:rsidRPr="0028318A">
        <w:rPr>
          <w:rFonts w:ascii="Verdana" w:eastAsia="Calibri" w:hAnsi="Verdana" w:cs="Times New Roman"/>
          <w:sz w:val="20"/>
          <w:szCs w:val="20"/>
          <w:lang w:eastAsia="es-MX"/>
        </w:rPr>
        <w:t xml:space="preserve">) la actividad a contratar y </w:t>
      </w:r>
      <w:proofErr w:type="spellStart"/>
      <w:r w:rsidRPr="0028318A">
        <w:rPr>
          <w:rFonts w:ascii="Verdana" w:eastAsia="Calibri" w:hAnsi="Verdana" w:cs="Times New Roman"/>
          <w:sz w:val="20"/>
          <w:szCs w:val="20"/>
          <w:lang w:eastAsia="es-MX"/>
        </w:rPr>
        <w:t>iii</w:t>
      </w:r>
      <w:proofErr w:type="spellEnd"/>
      <w:r w:rsidRPr="0028318A">
        <w:rPr>
          <w:rFonts w:ascii="Verdana" w:eastAsia="Calibri" w:hAnsi="Verdana" w:cs="Times New Roman"/>
          <w:sz w:val="20"/>
          <w:szCs w:val="20"/>
          <w:lang w:eastAsia="es-MX"/>
        </w:rPr>
        <w:t>) la cuantía del proceso de contratación.</w:t>
      </w:r>
    </w:p>
    <w:p w14:paraId="4A5EC2B7" w14:textId="77777777" w:rsidR="0028318A" w:rsidRPr="0028318A" w:rsidRDefault="0028318A" w:rsidP="0028318A">
      <w:pPr>
        <w:snapToGrid w:val="0"/>
        <w:spacing w:after="0" w:line="240" w:lineRule="auto"/>
        <w:jc w:val="both"/>
        <w:rPr>
          <w:rFonts w:ascii="Verdana" w:eastAsia="Calibri" w:hAnsi="Verdana" w:cs="Times New Roman"/>
          <w:sz w:val="20"/>
          <w:szCs w:val="20"/>
          <w:lang w:eastAsia="es-MX"/>
        </w:rPr>
      </w:pPr>
    </w:p>
    <w:p w14:paraId="3060C591" w14:textId="77777777" w:rsidR="0028318A" w:rsidRPr="0028318A" w:rsidRDefault="0028318A" w:rsidP="0028318A">
      <w:pPr>
        <w:snapToGrid w:val="0"/>
        <w:spacing w:after="0" w:line="240" w:lineRule="auto"/>
        <w:jc w:val="both"/>
        <w:rPr>
          <w:rFonts w:ascii="Verdana" w:eastAsia="Calibri" w:hAnsi="Verdana" w:cs="Times New Roman"/>
          <w:sz w:val="20"/>
          <w:szCs w:val="20"/>
          <w:lang w:eastAsia="es-MX"/>
        </w:rPr>
      </w:pPr>
      <w:r w:rsidRPr="0028318A">
        <w:rPr>
          <w:rFonts w:ascii="Verdana" w:eastAsia="Calibri" w:hAnsi="Verdana" w:cs="Calibri"/>
          <w:kern w:val="2"/>
          <w:sz w:val="20"/>
          <w:szCs w:val="20"/>
          <w14:ligatures w14:val="standardContextual"/>
        </w:rPr>
        <w:t xml:space="preserve">[…] </w:t>
      </w:r>
      <w:r w:rsidRPr="0028318A">
        <w:rPr>
          <w:rFonts w:ascii="Verdana" w:eastAsia="Times New Roman" w:hAnsi="Verdana" w:cs="Calibri"/>
          <w:sz w:val="20"/>
          <w:szCs w:val="20"/>
          <w:lang w:eastAsia="es-MX"/>
        </w:rPr>
        <w:t xml:space="preserve">la aplicación de los documentos tipo depende de si el objeto contractual corresponde a alguna de las actividades previstas en la Matriz 1 de Experiencia del sector de documentos tipo aplicable. </w:t>
      </w:r>
      <w:r w:rsidRPr="0028318A">
        <w:rPr>
          <w:rFonts w:ascii="Verdana" w:eastAsia="Calibri" w:hAnsi="Verdana" w:cs="Calibri"/>
          <w:kern w:val="2"/>
          <w:sz w:val="20"/>
          <w:szCs w:val="20"/>
          <w14:ligatures w14:val="standardContextual"/>
        </w:rPr>
        <w:t>[…]</w:t>
      </w:r>
    </w:p>
    <w:p w14:paraId="0B881269" w14:textId="77777777" w:rsidR="0028318A" w:rsidRPr="0028318A" w:rsidRDefault="0028318A" w:rsidP="0028318A">
      <w:pPr>
        <w:spacing w:after="0" w:line="276" w:lineRule="auto"/>
        <w:jc w:val="both"/>
        <w:rPr>
          <w:rFonts w:ascii="Verdana" w:eastAsia="Arial" w:hAnsi="Verdana" w:cs="Calibri"/>
          <w:lang w:eastAsia="es-ES"/>
        </w:rPr>
      </w:pPr>
    </w:p>
    <w:p w14:paraId="7E370B99" w14:textId="77777777" w:rsidR="0028318A" w:rsidRPr="0028318A" w:rsidRDefault="0028318A" w:rsidP="0028318A">
      <w:pPr>
        <w:snapToGrid w:val="0"/>
        <w:spacing w:after="0" w:line="276" w:lineRule="auto"/>
        <w:jc w:val="both"/>
        <w:rPr>
          <w:rFonts w:ascii="Verdana" w:eastAsia="Aptos" w:hAnsi="Verdana" w:cs="Times New Roman"/>
          <w:b/>
          <w:bCs/>
          <w:lang w:eastAsia="es-MX"/>
        </w:rPr>
      </w:pPr>
      <w:r w:rsidRPr="0028318A">
        <w:rPr>
          <w:rFonts w:ascii="Verdana" w:eastAsia="Aptos" w:hAnsi="Verdana" w:cs="Times New Roman"/>
          <w:b/>
          <w:bCs/>
          <w:lang w:eastAsia="es-MX"/>
        </w:rPr>
        <w:t>DOCUMENTOS TIPO DE INFRAESTRUCTURA SOCIAL – Sector institucional – Corrales comunitarios ganaderos</w:t>
      </w:r>
    </w:p>
    <w:p w14:paraId="20C4FB66" w14:textId="77777777" w:rsidR="0028318A" w:rsidRPr="0028318A" w:rsidRDefault="0028318A" w:rsidP="0028318A">
      <w:pPr>
        <w:autoSpaceDE w:val="0"/>
        <w:autoSpaceDN w:val="0"/>
        <w:adjustRightInd w:val="0"/>
        <w:spacing w:after="0" w:line="276" w:lineRule="auto"/>
        <w:jc w:val="both"/>
        <w:rPr>
          <w:rFonts w:ascii="Verdana" w:eastAsia="Times New Roman" w:hAnsi="Verdana" w:cs="Calibri"/>
          <w:lang w:eastAsia="es-MX"/>
        </w:rPr>
      </w:pPr>
    </w:p>
    <w:p w14:paraId="3FED339F" w14:textId="77777777" w:rsidR="0028318A" w:rsidRPr="0028318A" w:rsidRDefault="0028318A" w:rsidP="0028318A">
      <w:pPr>
        <w:snapToGrid w:val="0"/>
        <w:spacing w:after="0" w:line="240" w:lineRule="auto"/>
        <w:jc w:val="both"/>
        <w:rPr>
          <w:rFonts w:ascii="Verdana" w:eastAsia="Aptos" w:hAnsi="Verdana" w:cs="Times New Roman"/>
          <w:b/>
          <w:bCs/>
          <w:kern w:val="2"/>
          <w:sz w:val="20"/>
          <w:szCs w:val="20"/>
          <w14:ligatures w14:val="standardContextual"/>
        </w:rPr>
      </w:pPr>
      <w:r w:rsidRPr="0028318A">
        <w:rPr>
          <w:rFonts w:ascii="Verdana" w:eastAsia="Aptos" w:hAnsi="Verdana" w:cs="Times New Roman"/>
          <w:b/>
          <w:bCs/>
          <w:kern w:val="2"/>
          <w:sz w:val="20"/>
          <w:szCs w:val="20"/>
          <w14:ligatures w14:val="standardContextual"/>
        </w:rPr>
        <w:t>i) Escenario 1 — El proyecto consiste únicamente en corrales:</w:t>
      </w:r>
    </w:p>
    <w:p w14:paraId="09E2441D" w14:textId="77777777" w:rsidR="0028318A" w:rsidRPr="0028318A" w:rsidRDefault="0028318A" w:rsidP="0028318A">
      <w:pPr>
        <w:snapToGrid w:val="0"/>
        <w:spacing w:after="0" w:line="240" w:lineRule="auto"/>
        <w:ind w:left="1789"/>
        <w:jc w:val="both"/>
        <w:rPr>
          <w:rFonts w:ascii="Verdana" w:eastAsia="Aptos" w:hAnsi="Verdana" w:cs="Times New Roman"/>
          <w:b/>
          <w:bCs/>
          <w:kern w:val="2"/>
          <w:sz w:val="20"/>
          <w:szCs w:val="20"/>
          <w14:ligatures w14:val="standardContextual"/>
        </w:rPr>
      </w:pPr>
    </w:p>
    <w:p w14:paraId="485BCED9" w14:textId="77777777" w:rsidR="0028318A" w:rsidRPr="0028318A" w:rsidRDefault="0028318A" w:rsidP="0028318A">
      <w:pPr>
        <w:snapToGrid w:val="0"/>
        <w:spacing w:after="0" w:line="240" w:lineRule="auto"/>
        <w:jc w:val="both"/>
        <w:rPr>
          <w:rFonts w:ascii="Verdana" w:eastAsia="Aptos" w:hAnsi="Verdana" w:cs="Times New Roman"/>
          <w:kern w:val="2"/>
          <w:sz w:val="20"/>
          <w:szCs w:val="20"/>
          <w14:ligatures w14:val="standardContextual"/>
        </w:rPr>
      </w:pPr>
      <w:r w:rsidRPr="0028318A">
        <w:rPr>
          <w:rFonts w:ascii="Verdana" w:eastAsia="Aptos" w:hAnsi="Verdana" w:cs="Times New Roman"/>
          <w:kern w:val="2"/>
          <w:sz w:val="20"/>
          <w:szCs w:val="20"/>
          <w14:ligatures w14:val="standardContextual"/>
        </w:rPr>
        <w:t xml:space="preserve">Si el alcance contractual se limita a corrales, mangas, bretes, embarcaderos y demás estructuras destinadas al manejo de ganado, sin edificaciones complementarias de atención al público, los Documentos Tipo de Infraestructura Social no resultan aplicables. </w:t>
      </w:r>
      <w:r w:rsidRPr="0028318A">
        <w:rPr>
          <w:rFonts w:ascii="Verdana" w:eastAsia="Aptos" w:hAnsi="Verdana" w:cs="Times New Roman"/>
          <w:kern w:val="2"/>
          <w:sz w:val="20"/>
          <w:szCs w:val="20"/>
          <w14:ligatures w14:val="standardContextual"/>
        </w:rPr>
        <w:lastRenderedPageBreak/>
        <w:t xml:space="preserve">La definición 2.76 del Glosario (Edificación de Atención a la Comunidad) exige que el equipamiento esté destinado a atender emergencias y preservar la salud y la seguridad de personas y animales —estaciones de bomberos, cuarteles de policía y fuerzas militares, instalaciones de salud, sedes de organismos operativos de emergencias, entre otros similares—. </w:t>
      </w:r>
    </w:p>
    <w:p w14:paraId="051B2B29" w14:textId="77777777" w:rsidR="0028318A" w:rsidRPr="0028318A" w:rsidRDefault="0028318A" w:rsidP="0028318A">
      <w:pPr>
        <w:snapToGrid w:val="0"/>
        <w:spacing w:after="0" w:line="240" w:lineRule="auto"/>
        <w:jc w:val="both"/>
        <w:rPr>
          <w:rFonts w:ascii="Verdana" w:eastAsia="Aptos" w:hAnsi="Verdana" w:cs="Times New Roman"/>
          <w:kern w:val="2"/>
          <w:sz w:val="20"/>
          <w:szCs w:val="20"/>
          <w14:ligatures w14:val="standardContextual"/>
        </w:rPr>
      </w:pPr>
      <w:r w:rsidRPr="0028318A">
        <w:rPr>
          <w:rFonts w:ascii="Verdana" w:eastAsia="Aptos" w:hAnsi="Verdana" w:cs="Times New Roman"/>
          <w:kern w:val="2"/>
          <w:sz w:val="20"/>
          <w:szCs w:val="20"/>
          <w14:ligatures w14:val="standardContextual"/>
        </w:rPr>
        <w:t>[…]</w:t>
      </w:r>
    </w:p>
    <w:p w14:paraId="7E536C94" w14:textId="77777777" w:rsidR="0028318A" w:rsidRPr="0028318A" w:rsidRDefault="0028318A" w:rsidP="0028318A">
      <w:pPr>
        <w:snapToGrid w:val="0"/>
        <w:spacing w:after="0" w:line="240" w:lineRule="auto"/>
        <w:jc w:val="both"/>
        <w:rPr>
          <w:rFonts w:ascii="Verdana" w:eastAsia="Aptos" w:hAnsi="Verdana" w:cs="Times New Roman"/>
          <w:b/>
          <w:bCs/>
          <w:kern w:val="2"/>
          <w:sz w:val="20"/>
          <w:szCs w:val="20"/>
          <w14:ligatures w14:val="standardContextual"/>
        </w:rPr>
      </w:pPr>
      <w:proofErr w:type="spellStart"/>
      <w:r w:rsidRPr="0028318A">
        <w:rPr>
          <w:rFonts w:ascii="Verdana" w:eastAsia="Aptos" w:hAnsi="Verdana" w:cs="Times New Roman"/>
          <w:b/>
          <w:bCs/>
          <w:kern w:val="2"/>
          <w:sz w:val="20"/>
          <w:szCs w:val="20"/>
          <w14:ligatures w14:val="standardContextual"/>
        </w:rPr>
        <w:t>ii</w:t>
      </w:r>
      <w:proofErr w:type="spellEnd"/>
      <w:r w:rsidRPr="0028318A">
        <w:rPr>
          <w:rFonts w:ascii="Verdana" w:eastAsia="Aptos" w:hAnsi="Verdana" w:cs="Times New Roman"/>
          <w:b/>
          <w:bCs/>
          <w:kern w:val="2"/>
          <w:sz w:val="20"/>
          <w:szCs w:val="20"/>
          <w14:ligatures w14:val="standardContextual"/>
        </w:rPr>
        <w:t>) Escenario 2 — El proyecto incluye una edificación de atención a la comunidad:</w:t>
      </w:r>
    </w:p>
    <w:p w14:paraId="61795BCE" w14:textId="77777777" w:rsidR="0028318A" w:rsidRPr="0028318A" w:rsidRDefault="0028318A" w:rsidP="0028318A">
      <w:pPr>
        <w:snapToGrid w:val="0"/>
        <w:spacing w:after="0" w:line="240" w:lineRule="auto"/>
        <w:jc w:val="both"/>
        <w:rPr>
          <w:rFonts w:ascii="Verdana" w:eastAsia="Aptos" w:hAnsi="Verdana" w:cs="Times New Roman"/>
          <w:b/>
          <w:bCs/>
          <w:kern w:val="2"/>
          <w:sz w:val="20"/>
          <w:szCs w:val="20"/>
          <w14:ligatures w14:val="standardContextual"/>
        </w:rPr>
      </w:pPr>
    </w:p>
    <w:p w14:paraId="07C3D95D" w14:textId="77777777" w:rsidR="0028318A" w:rsidRPr="0028318A" w:rsidRDefault="0028318A" w:rsidP="0028318A">
      <w:pPr>
        <w:snapToGrid w:val="0"/>
        <w:spacing w:after="0" w:line="240" w:lineRule="auto"/>
        <w:jc w:val="both"/>
        <w:rPr>
          <w:rFonts w:ascii="Verdana" w:eastAsia="Aptos" w:hAnsi="Verdana" w:cs="Times New Roman"/>
          <w:kern w:val="2"/>
          <w:sz w:val="20"/>
          <w:szCs w:val="20"/>
          <w14:ligatures w14:val="standardContextual"/>
        </w:rPr>
      </w:pPr>
      <w:r w:rsidRPr="0028318A">
        <w:rPr>
          <w:rFonts w:ascii="Verdana" w:eastAsia="Aptos" w:hAnsi="Verdana" w:cs="Times New Roman"/>
          <w:kern w:val="2"/>
          <w:sz w:val="20"/>
          <w:szCs w:val="20"/>
          <w14:ligatures w14:val="standardContextual"/>
        </w:rPr>
        <w:t>Si, además de los corrales, el proyecto contempla componentes edificados destinados a la atención de usuarios —oficinas administrativas, espacios de capacitación comunitaria, servicios sanitarios, salas de reunión u otros espacios de prestación de servicios a la comunidad rural—, esos componentes sí pueden encajar en la definición 2.76 o, en general, en la tipología del Sector institucional. En ese caso, los Documentos Tipo de Infraestructura Social –sector institucional– son de aplicación obligatoria para este tipo de proyectos, y la entidad debe seleccionar dentro de la Matriz 1 – Experiencia del sector Institucional la actividad a contratar que mejor refleje las obras de construcción, adecuación o mejoramiento de infraestructura institucional previstas en el alcance contractual.</w:t>
      </w:r>
    </w:p>
    <w:p w14:paraId="7F766AFF" w14:textId="77777777" w:rsidR="0028318A" w:rsidRPr="0028318A" w:rsidRDefault="0028318A" w:rsidP="0028318A">
      <w:pPr>
        <w:autoSpaceDE w:val="0"/>
        <w:autoSpaceDN w:val="0"/>
        <w:adjustRightInd w:val="0"/>
        <w:spacing w:after="0" w:line="240" w:lineRule="auto"/>
        <w:jc w:val="both"/>
        <w:rPr>
          <w:rFonts w:ascii="Verdana" w:eastAsia="Times New Roman" w:hAnsi="Verdana" w:cs="Calibri"/>
          <w:sz w:val="20"/>
          <w:szCs w:val="20"/>
          <w:lang w:eastAsia="es-MX"/>
        </w:rPr>
      </w:pPr>
    </w:p>
    <w:p w14:paraId="7CF3AAE6" w14:textId="77777777" w:rsidR="0028318A" w:rsidRPr="0028318A" w:rsidRDefault="0028318A" w:rsidP="0028318A">
      <w:pPr>
        <w:spacing w:after="0" w:line="240" w:lineRule="auto"/>
        <w:jc w:val="both"/>
        <w:rPr>
          <w:rFonts w:ascii="Verdana" w:eastAsia="Times New Roman" w:hAnsi="Verdana" w:cs="Calibri"/>
          <w:sz w:val="20"/>
          <w:szCs w:val="20"/>
          <w:lang w:eastAsia="es-MX"/>
        </w:rPr>
      </w:pPr>
    </w:p>
    <w:p w14:paraId="2AF039E9" w14:textId="77777777" w:rsidR="0028318A" w:rsidRPr="0028318A" w:rsidRDefault="0028318A" w:rsidP="0028318A">
      <w:pPr>
        <w:snapToGrid w:val="0"/>
        <w:spacing w:after="0" w:line="240" w:lineRule="auto"/>
        <w:jc w:val="both"/>
        <w:rPr>
          <w:rFonts w:ascii="Verdana" w:eastAsia="Aptos" w:hAnsi="Verdana" w:cs="Aptos"/>
          <w:kern w:val="2"/>
          <w:sz w:val="20"/>
          <w:szCs w:val="20"/>
          <w:lang w:val="es-ES"/>
          <w14:ligatures w14:val="standardContextual"/>
        </w:rPr>
      </w:pPr>
    </w:p>
    <w:p w14:paraId="5CEA58F7" w14:textId="77777777" w:rsidR="0028318A" w:rsidRPr="0028318A" w:rsidRDefault="0028318A" w:rsidP="0028318A">
      <w:pPr>
        <w:spacing w:after="0" w:line="240" w:lineRule="auto"/>
        <w:jc w:val="both"/>
        <w:rPr>
          <w:rFonts w:ascii="Verdana" w:eastAsia="Arial" w:hAnsi="Verdana" w:cs="Calibri"/>
          <w:sz w:val="20"/>
          <w:szCs w:val="20"/>
          <w:lang w:eastAsia="es-ES"/>
        </w:rPr>
      </w:pPr>
    </w:p>
    <w:p w14:paraId="2563D3D9" w14:textId="77777777" w:rsidR="0028318A" w:rsidRPr="0028318A" w:rsidRDefault="0028318A" w:rsidP="0028318A">
      <w:pPr>
        <w:spacing w:after="0" w:line="240" w:lineRule="auto"/>
        <w:jc w:val="both"/>
        <w:rPr>
          <w:rFonts w:ascii="Verdana" w:eastAsia="Arial" w:hAnsi="Verdana" w:cs="Calibri"/>
          <w:sz w:val="20"/>
          <w:szCs w:val="20"/>
          <w:lang w:eastAsia="es-ES"/>
        </w:rPr>
      </w:pPr>
    </w:p>
    <w:p w14:paraId="01C2F6B1"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2F7E8306"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237542CB"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64902668"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091E5A9F"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6C873C62"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1B246567"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5E52E62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2D552A4F"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3744E9FF"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69D1B88C"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2DA1B5B1"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2FC4112E"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0FD3EF4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50900B6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4113461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1B75A77F"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0BA76844"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3057A3D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2D3620B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1092C921"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6A3AC1FD" w14:textId="77777777" w:rsidR="0028318A" w:rsidRPr="0028318A" w:rsidRDefault="0028318A" w:rsidP="0028318A">
      <w:pPr>
        <w:spacing w:after="0" w:line="240" w:lineRule="auto"/>
        <w:jc w:val="both"/>
        <w:rPr>
          <w:rFonts w:ascii="Verdana" w:eastAsia="Calibri" w:hAnsi="Verdana" w:cs="Arial"/>
          <w:color w:val="000000"/>
          <w:sz w:val="20"/>
          <w:szCs w:val="20"/>
          <w:lang w:val="es-ES" w:eastAsia="es-MX"/>
        </w:rPr>
      </w:pPr>
    </w:p>
    <w:p w14:paraId="5E2EE7AB" w14:textId="7CD7E79B" w:rsidR="0028318A" w:rsidRDefault="00CC11E5" w:rsidP="0028318A">
      <w:pPr>
        <w:spacing w:after="0" w:line="240" w:lineRule="auto"/>
        <w:jc w:val="both"/>
        <w:rPr>
          <w:rFonts w:ascii="Verdana" w:eastAsia="Verdana" w:hAnsi="Verdana" w:cs="Verdana"/>
        </w:rPr>
      </w:pPr>
      <w:r w:rsidRPr="30821638">
        <w:rPr>
          <w:rFonts w:ascii="Verdana" w:eastAsia="Verdana" w:hAnsi="Verdana" w:cs="Verdana"/>
        </w:rPr>
        <w:lastRenderedPageBreak/>
        <w:t xml:space="preserve">Bogotá D.C., </w:t>
      </w:r>
      <w:r w:rsidR="00C03D22">
        <w:rPr>
          <w:rFonts w:ascii="Verdana" w:eastAsia="Verdana" w:hAnsi="Verdana" w:cs="Verdana"/>
        </w:rPr>
        <w:t>13 Agosto 2026</w:t>
      </w:r>
    </w:p>
    <w:p w14:paraId="487A6496" w14:textId="3D78B4F9" w:rsidR="0028318A" w:rsidRPr="0028318A" w:rsidRDefault="00C03D22" w:rsidP="00C03D22">
      <w:pPr>
        <w:spacing w:after="0" w:line="240" w:lineRule="auto"/>
        <w:jc w:val="right"/>
        <w:rPr>
          <w:rFonts w:ascii="Verdana" w:eastAsia="Calibri" w:hAnsi="Verdana" w:cs="Arial"/>
          <w:lang w:val="es-ES" w:eastAsia="es-ES"/>
        </w:rPr>
      </w:pPr>
      <w:r w:rsidRPr="00C03D22">
        <w:rPr>
          <w:rFonts w:ascii="Verdana" w:eastAsia="Calibri" w:hAnsi="Verdana" w:cs="Arial"/>
          <w:lang w:val="es-ES" w:eastAsia="es-ES"/>
        </w:rPr>
        <w:drawing>
          <wp:inline distT="0" distB="0" distL="0" distR="0" wp14:anchorId="5AC3866D" wp14:editId="1A08F8DD">
            <wp:extent cx="2486372" cy="676369"/>
            <wp:effectExtent l="0" t="0" r="9525" b="9525"/>
            <wp:docPr id="1450377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77745" name=""/>
                    <pic:cNvPicPr/>
                  </pic:nvPicPr>
                  <pic:blipFill>
                    <a:blip r:embed="rId10"/>
                    <a:stretch>
                      <a:fillRect/>
                    </a:stretch>
                  </pic:blipFill>
                  <pic:spPr>
                    <a:xfrm>
                      <a:off x="0" y="0"/>
                      <a:ext cx="2486372" cy="676369"/>
                    </a:xfrm>
                    <a:prstGeom prst="rect">
                      <a:avLst/>
                    </a:prstGeom>
                  </pic:spPr>
                </pic:pic>
              </a:graphicData>
            </a:graphic>
          </wp:inline>
        </w:drawing>
      </w:r>
    </w:p>
    <w:p w14:paraId="1A71A3B0" w14:textId="77777777" w:rsidR="0028318A" w:rsidRPr="0028318A" w:rsidRDefault="0028318A" w:rsidP="0028318A">
      <w:pPr>
        <w:spacing w:after="0" w:line="240" w:lineRule="auto"/>
        <w:jc w:val="both"/>
        <w:rPr>
          <w:rFonts w:ascii="Verdana" w:eastAsia="Calibri" w:hAnsi="Verdana" w:cs="Arial"/>
          <w:lang w:val="es-ES" w:eastAsia="es-ES"/>
        </w:rPr>
      </w:pPr>
      <w:r w:rsidRPr="0028318A">
        <w:rPr>
          <w:rFonts w:ascii="Verdana" w:eastAsia="Calibri" w:hAnsi="Verdana" w:cs="Arial"/>
          <w:lang w:val="es-ES" w:eastAsia="es-ES"/>
        </w:rPr>
        <w:t>Señor</w:t>
      </w:r>
    </w:p>
    <w:p w14:paraId="14A15E92" w14:textId="77777777" w:rsidR="0028318A" w:rsidRPr="0028318A" w:rsidRDefault="0028318A" w:rsidP="0028318A">
      <w:pPr>
        <w:spacing w:after="0" w:line="240" w:lineRule="auto"/>
        <w:rPr>
          <w:rFonts w:ascii="Verdana" w:eastAsia="Calibri" w:hAnsi="Verdana" w:cs="Arial"/>
          <w:b/>
          <w:lang w:eastAsia="es-ES_tradnl"/>
        </w:rPr>
      </w:pPr>
      <w:r w:rsidRPr="0028318A">
        <w:rPr>
          <w:rFonts w:ascii="Verdana" w:eastAsia="Calibri" w:hAnsi="Verdana" w:cs="Arial"/>
          <w:b/>
          <w:lang w:eastAsia="es-ES_tradnl"/>
        </w:rPr>
        <w:t>Camilo Augusto Bletrán Martínez</w:t>
      </w:r>
    </w:p>
    <w:p w14:paraId="0DB5D365" w14:textId="77777777" w:rsidR="0028318A" w:rsidRPr="0028318A" w:rsidRDefault="0028318A" w:rsidP="0028318A">
      <w:pPr>
        <w:spacing w:after="0" w:line="240" w:lineRule="auto"/>
        <w:rPr>
          <w:rFonts w:ascii="Verdana" w:eastAsia="Calibri" w:hAnsi="Verdana" w:cs="Arial"/>
          <w:b/>
          <w:bCs/>
          <w:lang w:val="es-ES" w:eastAsia="es-ES"/>
        </w:rPr>
      </w:pPr>
      <w:r w:rsidRPr="0028318A">
        <w:rPr>
          <w:rFonts w:ascii="Verdana" w:eastAsia="Calibri" w:hAnsi="Verdana" w:cs="Arial"/>
          <w:lang w:val="es-ES" w:eastAsia="es-ES"/>
        </w:rPr>
        <w:t>Sogamoso, Boyacá</w:t>
      </w:r>
    </w:p>
    <w:p w14:paraId="137B80B1" w14:textId="77777777" w:rsidR="0028318A" w:rsidRPr="0028318A" w:rsidRDefault="0028318A" w:rsidP="0028318A">
      <w:pPr>
        <w:spacing w:after="0" w:line="240" w:lineRule="auto"/>
        <w:rPr>
          <w:rFonts w:ascii="Verdana" w:eastAsia="Calibri" w:hAnsi="Verdana" w:cs="Arial"/>
          <w:b/>
          <w:bCs/>
          <w:lang w:eastAsia="es-ES_tradnl"/>
        </w:rPr>
      </w:pPr>
    </w:p>
    <w:p w14:paraId="0404C638" w14:textId="77777777" w:rsidR="0028318A" w:rsidRPr="0028318A" w:rsidRDefault="0028318A" w:rsidP="0028318A">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28318A" w:rsidRPr="0028318A" w14:paraId="31E95626" w14:textId="77777777" w:rsidTr="00BB19DC">
        <w:trPr>
          <w:trHeight w:val="884"/>
        </w:trPr>
        <w:tc>
          <w:tcPr>
            <w:tcW w:w="2689" w:type="dxa"/>
          </w:tcPr>
          <w:p w14:paraId="4635037F" w14:textId="77777777" w:rsidR="0028318A" w:rsidRPr="0028318A" w:rsidRDefault="0028318A" w:rsidP="0028318A">
            <w:pPr>
              <w:spacing w:line="240" w:lineRule="exact"/>
              <w:jc w:val="both"/>
              <w:rPr>
                <w:rFonts w:ascii="Verdana" w:eastAsia="Calibri" w:hAnsi="Verdana" w:cs="Arial"/>
                <w:b/>
                <w:bCs/>
                <w:lang w:eastAsia="es-ES_tradnl"/>
              </w:rPr>
            </w:pPr>
          </w:p>
        </w:tc>
        <w:tc>
          <w:tcPr>
            <w:tcW w:w="6100" w:type="dxa"/>
          </w:tcPr>
          <w:p w14:paraId="7AD3FEF7" w14:textId="77777777" w:rsidR="0028318A" w:rsidRPr="0028318A" w:rsidRDefault="0028318A" w:rsidP="0028318A">
            <w:pPr>
              <w:spacing w:line="240" w:lineRule="exact"/>
              <w:jc w:val="both"/>
              <w:rPr>
                <w:rFonts w:ascii="Verdana" w:eastAsia="Calibri" w:hAnsi="Verdana" w:cs="Arial"/>
                <w:b/>
                <w:bCs/>
                <w:lang w:val="es-ES" w:eastAsia="es-ES"/>
              </w:rPr>
            </w:pPr>
            <w:r w:rsidRPr="0028318A">
              <w:rPr>
                <w:rFonts w:ascii="Verdana" w:eastAsia="Calibri" w:hAnsi="Verdana" w:cs="Arial"/>
                <w:b/>
                <w:bCs/>
                <w:lang w:val="es-ES" w:eastAsia="es-ES"/>
              </w:rPr>
              <w:t>Concepto C – 1053 de 2026</w:t>
            </w:r>
          </w:p>
        </w:tc>
      </w:tr>
      <w:tr w:rsidR="0028318A" w:rsidRPr="0028318A" w14:paraId="18EA9560" w14:textId="77777777" w:rsidTr="00BB19DC">
        <w:trPr>
          <w:trHeight w:val="884"/>
        </w:trPr>
        <w:tc>
          <w:tcPr>
            <w:tcW w:w="2689" w:type="dxa"/>
          </w:tcPr>
          <w:p w14:paraId="5F9AB290" w14:textId="77777777" w:rsidR="0028318A" w:rsidRPr="0028318A" w:rsidRDefault="0028318A" w:rsidP="0028318A">
            <w:pPr>
              <w:spacing w:line="240" w:lineRule="exact"/>
              <w:jc w:val="both"/>
              <w:rPr>
                <w:rFonts w:ascii="Verdana" w:eastAsia="Calibri" w:hAnsi="Verdana" w:cs="Arial"/>
                <w:lang w:eastAsia="es-ES_tradnl"/>
              </w:rPr>
            </w:pPr>
            <w:r w:rsidRPr="0028318A">
              <w:rPr>
                <w:rFonts w:ascii="Verdana" w:eastAsia="Calibri" w:hAnsi="Verdana" w:cs="Arial"/>
                <w:b/>
                <w:lang w:eastAsia="es-ES_tradnl"/>
              </w:rPr>
              <w:t>Temas:</w:t>
            </w:r>
            <w:r w:rsidRPr="0028318A">
              <w:rPr>
                <w:rFonts w:ascii="Verdana" w:eastAsia="Calibri" w:hAnsi="Verdana" w:cs="Arial"/>
                <w:lang w:eastAsia="es-ES_tradnl"/>
              </w:rPr>
              <w:t xml:space="preserve">                   </w:t>
            </w:r>
          </w:p>
        </w:tc>
        <w:tc>
          <w:tcPr>
            <w:tcW w:w="6100" w:type="dxa"/>
          </w:tcPr>
          <w:p w14:paraId="4CC13872" w14:textId="77777777" w:rsidR="0028318A" w:rsidRPr="0028318A" w:rsidRDefault="0028318A" w:rsidP="0028318A">
            <w:pPr>
              <w:snapToGrid w:val="0"/>
              <w:spacing w:line="276" w:lineRule="auto"/>
              <w:jc w:val="both"/>
              <w:rPr>
                <w:rFonts w:ascii="Verdana" w:eastAsia="Aptos" w:hAnsi="Verdana" w:cs="Times New Roman"/>
                <w:lang w:eastAsia="es-MX"/>
              </w:rPr>
            </w:pPr>
            <w:r w:rsidRPr="0028318A">
              <w:rPr>
                <w:rFonts w:ascii="Verdana" w:eastAsia="Calibri" w:hAnsi="Verdana" w:cs="Arial"/>
                <w:lang w:val="es-ES" w:eastAsia="es-ES"/>
              </w:rPr>
              <w:t xml:space="preserve">DOCUMENTOS TIPO DE INFRAESTRUCTURA SOCIAL – Generalidades / DOCUMENTOS TIPO DE INFRAESTRUCTURA SOCIAL – Aplicación – Matriz 1 – Determinación de la experiencia / </w:t>
            </w:r>
            <w:r w:rsidRPr="0028318A">
              <w:rPr>
                <w:rFonts w:ascii="Verdana" w:eastAsia="Aptos" w:hAnsi="Verdana" w:cs="Times New Roman"/>
                <w:lang w:eastAsia="es-MX"/>
              </w:rPr>
              <w:t>DOCUMENTOS TIPO DE INFRAESTRUCTURA SOCIAL – Sector institucional – Corrales comunitarios ganaderos</w:t>
            </w:r>
          </w:p>
          <w:p w14:paraId="2B9F4A1A" w14:textId="77777777" w:rsidR="0028318A" w:rsidRPr="0028318A" w:rsidRDefault="0028318A" w:rsidP="0028318A">
            <w:pPr>
              <w:shd w:val="clear" w:color="auto" w:fill="FFFFFF"/>
              <w:spacing w:line="276" w:lineRule="auto"/>
              <w:contextualSpacing/>
              <w:jc w:val="both"/>
              <w:rPr>
                <w:rFonts w:ascii="Verdana" w:eastAsia="Calibri" w:hAnsi="Verdana" w:cs="Arial"/>
                <w:highlight w:val="yellow"/>
                <w:lang w:val="es-ES" w:eastAsia="es-ES"/>
              </w:rPr>
            </w:pPr>
          </w:p>
        </w:tc>
      </w:tr>
      <w:tr w:rsidR="0028318A" w:rsidRPr="0028318A" w14:paraId="6F8899EF" w14:textId="77777777" w:rsidTr="00BB19DC">
        <w:tc>
          <w:tcPr>
            <w:tcW w:w="2689" w:type="dxa"/>
          </w:tcPr>
          <w:p w14:paraId="7A7133C0" w14:textId="77777777" w:rsidR="0028318A" w:rsidRPr="0028318A" w:rsidRDefault="0028318A" w:rsidP="0028318A">
            <w:pPr>
              <w:spacing w:line="240" w:lineRule="exact"/>
              <w:jc w:val="both"/>
              <w:rPr>
                <w:rFonts w:ascii="Verdana" w:eastAsia="Calibri" w:hAnsi="Verdana" w:cs="Arial"/>
                <w:b/>
                <w:lang w:eastAsia="es-ES_tradnl"/>
              </w:rPr>
            </w:pPr>
            <w:r w:rsidRPr="0028318A">
              <w:rPr>
                <w:rFonts w:ascii="Verdana" w:eastAsia="Calibri" w:hAnsi="Verdana" w:cs="Arial"/>
                <w:b/>
                <w:lang w:eastAsia="es-ES_tradnl"/>
              </w:rPr>
              <w:t>Radicación:</w:t>
            </w:r>
            <w:r w:rsidRPr="0028318A">
              <w:rPr>
                <w:rFonts w:ascii="Verdana" w:eastAsia="Calibri" w:hAnsi="Verdana" w:cs="Arial"/>
                <w:lang w:eastAsia="es-ES_tradnl"/>
              </w:rPr>
              <w:t xml:space="preserve">               </w:t>
            </w:r>
          </w:p>
        </w:tc>
        <w:tc>
          <w:tcPr>
            <w:tcW w:w="6100" w:type="dxa"/>
          </w:tcPr>
          <w:p w14:paraId="63DB4F93" w14:textId="77777777" w:rsidR="0028318A" w:rsidRPr="0028318A" w:rsidRDefault="0028318A" w:rsidP="0028318A">
            <w:pPr>
              <w:spacing w:line="240" w:lineRule="exact"/>
              <w:jc w:val="both"/>
              <w:rPr>
                <w:rFonts w:ascii="Verdana" w:eastAsia="Calibri" w:hAnsi="Verdana" w:cs="Arial"/>
                <w:lang w:eastAsia="es-ES_tradnl"/>
              </w:rPr>
            </w:pPr>
            <w:r w:rsidRPr="0028318A">
              <w:rPr>
                <w:rFonts w:ascii="Verdana" w:eastAsia="Calibri" w:hAnsi="Verdana" w:cs="Arial"/>
                <w:lang w:eastAsia="es-ES_tradnl"/>
              </w:rPr>
              <w:t>Respuesta a consulta con radicado No. 1_2026_07_02_008818</w:t>
            </w:r>
          </w:p>
        </w:tc>
      </w:tr>
    </w:tbl>
    <w:p w14:paraId="6686565D" w14:textId="77777777" w:rsidR="0028318A" w:rsidRPr="0028318A" w:rsidRDefault="0028318A" w:rsidP="0028318A">
      <w:pPr>
        <w:spacing w:after="0" w:line="240" w:lineRule="auto"/>
        <w:jc w:val="both"/>
        <w:rPr>
          <w:rFonts w:ascii="Verdana" w:eastAsia="Calibri" w:hAnsi="Verdana" w:cs="Arial"/>
          <w:lang w:eastAsia="es-ES_tradnl"/>
        </w:rPr>
      </w:pPr>
    </w:p>
    <w:p w14:paraId="4AAC2765" w14:textId="77777777" w:rsidR="0028318A" w:rsidRPr="0028318A" w:rsidRDefault="0028318A" w:rsidP="0028318A">
      <w:pPr>
        <w:spacing w:after="0" w:line="240" w:lineRule="auto"/>
        <w:jc w:val="both"/>
        <w:rPr>
          <w:rFonts w:ascii="Verdana" w:eastAsia="Calibri" w:hAnsi="Verdana" w:cs="Arial"/>
          <w:lang w:eastAsia="es-ES_tradnl"/>
        </w:rPr>
      </w:pPr>
    </w:p>
    <w:p w14:paraId="49701FF6" w14:textId="77777777" w:rsidR="0028318A" w:rsidRPr="0028318A" w:rsidRDefault="0028318A" w:rsidP="0028318A">
      <w:pPr>
        <w:spacing w:after="0" w:line="276" w:lineRule="auto"/>
        <w:jc w:val="both"/>
        <w:rPr>
          <w:rFonts w:ascii="Verdana" w:eastAsia="Calibri" w:hAnsi="Verdana" w:cs="Arial"/>
          <w:lang w:val="es-ES" w:eastAsia="es-ES"/>
        </w:rPr>
      </w:pPr>
      <w:r w:rsidRPr="0028318A">
        <w:rPr>
          <w:rFonts w:ascii="Verdana" w:eastAsia="Calibri" w:hAnsi="Verdana" w:cs="Arial"/>
          <w:lang w:val="es-ES" w:eastAsia="es-ES"/>
        </w:rPr>
        <w:t xml:space="preserve">Estimado señor Beltrán Martínez: </w:t>
      </w:r>
    </w:p>
    <w:p w14:paraId="6D870B23" w14:textId="77777777" w:rsidR="0028318A" w:rsidRPr="0028318A" w:rsidRDefault="0028318A" w:rsidP="0028318A">
      <w:pPr>
        <w:tabs>
          <w:tab w:val="left" w:pos="3768"/>
        </w:tabs>
        <w:spacing w:after="0" w:line="276" w:lineRule="auto"/>
        <w:jc w:val="both"/>
        <w:rPr>
          <w:rFonts w:ascii="Verdana" w:eastAsia="Calibri" w:hAnsi="Verdana" w:cs="Arial"/>
          <w:lang w:val="es-ES" w:eastAsia="es-ES"/>
        </w:rPr>
      </w:pPr>
      <w:r w:rsidRPr="0028318A">
        <w:rPr>
          <w:rFonts w:ascii="Verdana" w:eastAsia="Calibri" w:hAnsi="Verdana" w:cs="Arial"/>
          <w:lang w:val="es-ES" w:eastAsia="es-ES"/>
        </w:rPr>
        <w:tab/>
      </w:r>
    </w:p>
    <w:p w14:paraId="70C337B2" w14:textId="77777777" w:rsidR="0028318A" w:rsidRPr="0028318A" w:rsidRDefault="0028318A" w:rsidP="0028318A">
      <w:pPr>
        <w:spacing w:after="0" w:line="276" w:lineRule="auto"/>
        <w:jc w:val="both"/>
        <w:rPr>
          <w:rFonts w:ascii="Verdana" w:eastAsia="Calibri" w:hAnsi="Verdana" w:cs="Arial"/>
          <w:lang w:val="es-ES" w:eastAsia="es-ES"/>
        </w:rPr>
      </w:pPr>
      <w:r w:rsidRPr="0028318A">
        <w:rPr>
          <w:rFonts w:ascii="Verdana" w:eastAsia="Calibri" w:hAnsi="Verdana" w:cs="Arial"/>
          <w:lang w:val="es-ES" w:eastAsia="es-ES"/>
        </w:rPr>
        <w:t>En ejercicio de la competencia otorgada por los artículos 3, numeral 5º, y 11, numeral 8º, del Decreto Ley 4170 de 2011,</w:t>
      </w:r>
      <w:r w:rsidRPr="0028318A">
        <w:rPr>
          <w:rFonts w:ascii="Verdana" w:eastAsia="Arial MT" w:hAnsi="Verdana" w:cs="Arial MT"/>
          <w:lang w:val="es-ES" w:eastAsia="es-ES"/>
        </w:rPr>
        <w:t xml:space="preserve"> </w:t>
      </w:r>
      <w:r w:rsidRPr="0028318A">
        <w:rPr>
          <w:rFonts w:ascii="Verdana" w:eastAsia="Calibri" w:hAnsi="Verdana" w:cs="Arial"/>
          <w:lang w:eastAsia="es-MX"/>
        </w:rPr>
        <w:t xml:space="preserve">así como lo establecido en la </w:t>
      </w:r>
      <w:r w:rsidRPr="0028318A">
        <w:rPr>
          <w:rFonts w:ascii="Verdana" w:eastAsia="Calibri" w:hAnsi="Verdana" w:cs="Arial"/>
          <w:kern w:val="2"/>
          <w:lang w:val="es-ES_tradnl" w:eastAsia="es-MX"/>
          <w14:ligatures w14:val="standardContextual"/>
        </w:rPr>
        <w:t xml:space="preserve">Resolución No. 469 de 2025 </w:t>
      </w:r>
      <w:r w:rsidRPr="0028318A">
        <w:rPr>
          <w:rFonts w:ascii="Verdana" w:eastAsia="Calibri" w:hAnsi="Verdana" w:cs="Arial"/>
          <w:kern w:val="2"/>
          <w:lang w:val="es-ES"/>
          <w14:ligatures w14:val="standardContextual"/>
        </w:rPr>
        <w:t xml:space="preserve">expedida </w:t>
      </w:r>
      <w:r w:rsidRPr="0028318A">
        <w:rPr>
          <w:rFonts w:ascii="Verdana" w:eastAsia="Calibri" w:hAnsi="Verdana" w:cs="Arial"/>
          <w:lang w:eastAsia="es-MX"/>
        </w:rPr>
        <w:t xml:space="preserve">por esta Entidad, </w:t>
      </w:r>
      <w:r w:rsidRPr="0028318A">
        <w:rPr>
          <w:rFonts w:ascii="Verdana" w:eastAsia="Calibri" w:hAnsi="Verdana" w:cs="Arial"/>
          <w:lang w:val="es-ES" w:eastAsia="es-ES"/>
        </w:rPr>
        <w:t>la Agencia Nacional de Contratación Pública – Colombia Compra Eficiente responde su solicitud de consulta de fecha 2 de julio de 2026, en la que manifiesta lo siguiente:</w:t>
      </w:r>
    </w:p>
    <w:p w14:paraId="0C3C9CC8" w14:textId="77777777" w:rsidR="0028318A" w:rsidRPr="0028318A" w:rsidRDefault="0028318A" w:rsidP="0028318A">
      <w:pPr>
        <w:spacing w:after="0" w:line="276" w:lineRule="auto"/>
        <w:jc w:val="both"/>
        <w:rPr>
          <w:rFonts w:ascii="Verdana" w:eastAsia="Calibri" w:hAnsi="Verdana" w:cs="Arial"/>
          <w:lang w:val="es-ES" w:eastAsia="es-ES"/>
        </w:rPr>
      </w:pPr>
    </w:p>
    <w:p w14:paraId="0C57548A" w14:textId="77777777" w:rsidR="0028318A" w:rsidRPr="0028318A" w:rsidRDefault="0028318A" w:rsidP="0028318A">
      <w:pPr>
        <w:spacing w:after="0" w:line="240" w:lineRule="auto"/>
        <w:ind w:left="709" w:right="709"/>
        <w:jc w:val="both"/>
        <w:rPr>
          <w:rFonts w:ascii="Verdana" w:eastAsia="Calibri" w:hAnsi="Verdana" w:cs="Arial"/>
          <w:sz w:val="21"/>
          <w:szCs w:val="21"/>
          <w:lang w:val="es-ES" w:eastAsia="es-ES"/>
        </w:rPr>
      </w:pPr>
      <w:r w:rsidRPr="0028318A">
        <w:rPr>
          <w:rFonts w:ascii="Verdana" w:eastAsia="Calibri" w:hAnsi="Verdana" w:cs="Arial"/>
          <w:sz w:val="21"/>
          <w:szCs w:val="21"/>
          <w:lang w:val="es-ES" w:eastAsia="es-ES"/>
        </w:rPr>
        <w:t>"Por medio del presente y en atención a que realizo asesoría en procesos de contratación, y actualmente se requiere contratar la construcción de corrales comunitarios ganaderos, pero al revisar la matriz de experiencia dentro del pliego tipo de infraestructura social, pero al revisar el glosario se indica a numeral 2.76. Edificación de Atención a la Comunidad, se puede entender que debe ser utilizados y en caso afirmativo dentro de la matriz de experiencia cuan debería aplicarse”. [SIC]</w:t>
      </w:r>
    </w:p>
    <w:p w14:paraId="0D52E83C" w14:textId="77777777" w:rsidR="0028318A" w:rsidRPr="0028318A" w:rsidRDefault="0028318A" w:rsidP="0028318A">
      <w:pPr>
        <w:spacing w:after="0" w:line="240" w:lineRule="auto"/>
        <w:ind w:left="709" w:right="709"/>
        <w:jc w:val="both"/>
        <w:rPr>
          <w:rFonts w:ascii="Verdana" w:eastAsia="Calibri" w:hAnsi="Verdana" w:cs="Arial"/>
          <w:sz w:val="21"/>
          <w:szCs w:val="21"/>
          <w:lang w:val="es-ES" w:eastAsia="es-ES"/>
        </w:rPr>
      </w:pPr>
    </w:p>
    <w:p w14:paraId="40A3FED1" w14:textId="77777777" w:rsidR="0028318A" w:rsidRPr="0028318A" w:rsidRDefault="0028318A" w:rsidP="0028318A">
      <w:pPr>
        <w:spacing w:after="120" w:line="276" w:lineRule="auto"/>
        <w:ind w:firstLine="709"/>
        <w:jc w:val="both"/>
        <w:rPr>
          <w:rFonts w:ascii="Verdana" w:eastAsia="Calibri" w:hAnsi="Verdana" w:cs="Arial"/>
          <w:szCs w:val="24"/>
          <w:lang w:eastAsia="es-ES_tradnl"/>
        </w:rPr>
      </w:pPr>
      <w:r w:rsidRPr="0028318A">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8318A">
        <w:rPr>
          <w:rFonts w:ascii="Verdana" w:eastAsia="Calibri" w:hAnsi="Verdana" w:cs="Arial"/>
          <w:szCs w:val="24"/>
          <w:lang w:eastAsia="es-ES_tradnl"/>
        </w:rPr>
        <w:tab/>
      </w:r>
    </w:p>
    <w:p w14:paraId="6E737A87" w14:textId="77777777" w:rsidR="0028318A" w:rsidRPr="0028318A" w:rsidRDefault="0028318A" w:rsidP="0028318A">
      <w:pPr>
        <w:spacing w:after="0" w:line="276" w:lineRule="auto"/>
        <w:ind w:firstLine="709"/>
        <w:jc w:val="both"/>
        <w:rPr>
          <w:rFonts w:ascii="Verdana" w:eastAsia="Calibri" w:hAnsi="Verdana" w:cs="Arial"/>
          <w:lang w:val="es-ES" w:eastAsia="es-ES"/>
        </w:rPr>
      </w:pPr>
      <w:r w:rsidRPr="0028318A">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28318A">
        <w:rPr>
          <w:rFonts w:ascii="Verdana" w:eastAsia="Calibri" w:hAnsi="Verdana" w:cs="Arial"/>
          <w:lang w:val="es-ES" w:eastAsia="es-ES"/>
        </w:rPr>
        <w:tab/>
      </w:r>
    </w:p>
    <w:p w14:paraId="5F308EBE" w14:textId="77777777" w:rsidR="0028318A" w:rsidRPr="0028318A" w:rsidRDefault="0028318A" w:rsidP="0028318A">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28318A">
        <w:rPr>
          <w:rFonts w:ascii="Verdana" w:eastAsia="Century Gothic" w:hAnsi="Verdana" w:cs="Century Gothic"/>
          <w:b/>
          <w:bCs/>
          <w:lang w:val="es-ES" w:eastAsia="es-MX"/>
        </w:rPr>
        <w:t>Problema planteado:</w:t>
      </w:r>
    </w:p>
    <w:p w14:paraId="64E0F90C" w14:textId="77777777" w:rsidR="0028318A" w:rsidRPr="0028318A" w:rsidRDefault="0028318A" w:rsidP="0028318A">
      <w:pPr>
        <w:tabs>
          <w:tab w:val="left" w:pos="426"/>
        </w:tabs>
        <w:spacing w:after="0" w:line="276" w:lineRule="auto"/>
        <w:jc w:val="both"/>
        <w:rPr>
          <w:rFonts w:ascii="Verdana" w:eastAsia="Century Gothic" w:hAnsi="Verdana" w:cs="Century Gothic"/>
          <w:lang w:val="es-ES" w:eastAsia="es-MX"/>
        </w:rPr>
      </w:pPr>
    </w:p>
    <w:p w14:paraId="25BF1C06" w14:textId="77777777" w:rsidR="0028318A" w:rsidRPr="0028318A" w:rsidRDefault="0028318A" w:rsidP="0028318A">
      <w:pPr>
        <w:snapToGrid w:val="0"/>
        <w:spacing w:after="0" w:line="276" w:lineRule="auto"/>
        <w:jc w:val="both"/>
        <w:rPr>
          <w:rFonts w:ascii="Verdana" w:eastAsia="Century Gothic" w:hAnsi="Verdana" w:cs="Century Gothic"/>
          <w:lang w:eastAsia="es-MX"/>
        </w:rPr>
      </w:pPr>
      <w:r w:rsidRPr="0028318A">
        <w:rPr>
          <w:rFonts w:ascii="Verdana" w:eastAsia="Century Gothic" w:hAnsi="Verdana" w:cs="Century Gothic"/>
          <w:lang w:eastAsia="es-MX"/>
        </w:rPr>
        <w:t>De acuerdo con el contenido de su solicitud, esta Agencia resolverá el siguiente problema jurídico: ¿cuál es el alcance de la aplicación de los pliegos tipo respecto a la construcción de corrales comunitarios ganaderos?</w:t>
      </w:r>
    </w:p>
    <w:p w14:paraId="2FA2E3C7" w14:textId="77777777" w:rsidR="0028318A" w:rsidRPr="0028318A" w:rsidRDefault="0028318A" w:rsidP="0028318A">
      <w:pPr>
        <w:snapToGrid w:val="0"/>
        <w:spacing w:after="0" w:line="276" w:lineRule="auto"/>
        <w:jc w:val="both"/>
        <w:rPr>
          <w:rFonts w:ascii="Verdana" w:eastAsia="Calibri" w:hAnsi="Verdana" w:cs="Arial"/>
          <w:lang w:val="es-ES" w:eastAsia="es-MX"/>
        </w:rPr>
      </w:pPr>
    </w:p>
    <w:p w14:paraId="17091BB8" w14:textId="77777777" w:rsidR="0028318A" w:rsidRPr="0028318A" w:rsidRDefault="0028318A" w:rsidP="0028318A">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28318A">
        <w:rPr>
          <w:rFonts w:ascii="Verdana" w:eastAsia="Century Gothic" w:hAnsi="Verdana" w:cs="Century Gothic"/>
          <w:b/>
          <w:bCs/>
          <w:lang w:val="es-ES" w:eastAsia="es-MX"/>
        </w:rPr>
        <w:t>Respuesta:</w:t>
      </w:r>
    </w:p>
    <w:p w14:paraId="53790DD3" w14:textId="77777777" w:rsidR="0028318A" w:rsidRPr="0028318A" w:rsidRDefault="0028318A" w:rsidP="0028318A">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8318A" w:rsidRPr="0028318A" w14:paraId="4B82F56F" w14:textId="77777777" w:rsidTr="00BB19DC">
        <w:tc>
          <w:tcPr>
            <w:tcW w:w="8828" w:type="dxa"/>
          </w:tcPr>
          <w:p w14:paraId="66144964" w14:textId="77777777" w:rsidR="0028318A" w:rsidRPr="0028318A" w:rsidRDefault="0028318A" w:rsidP="0028318A">
            <w:pPr>
              <w:snapToGrid w:val="0"/>
              <w:spacing w:after="120" w:line="276" w:lineRule="auto"/>
              <w:jc w:val="both"/>
              <w:rPr>
                <w:rFonts w:ascii="Verdana" w:eastAsia="Calibri" w:hAnsi="Verdana" w:cs="Times New Roman"/>
                <w:lang w:val="es-ES" w:eastAsia="es-MX"/>
              </w:rPr>
            </w:pPr>
            <w:r w:rsidRPr="0028318A">
              <w:rPr>
                <w:rFonts w:ascii="Verdana" w:eastAsia="Calibri" w:hAnsi="Verdana" w:cs="Times New Roman"/>
                <w:lang w:val="es-ES" w:eastAsia="es-MX"/>
              </w:rPr>
              <w:t xml:space="preserve">Recientemente, los documentos tipo de infraestructura social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w:t>
            </w:r>
            <w:r w:rsidRPr="0028318A">
              <w:rPr>
                <w:rFonts w:ascii="Verdana" w:eastAsia="Calibri" w:hAnsi="Verdana" w:cs="Times New Roman"/>
                <w:lang w:val="es-ES" w:eastAsia="es-MX"/>
              </w:rPr>
              <w:lastRenderedPageBreak/>
              <w:t>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33507731" w14:textId="77777777" w:rsidR="0028318A" w:rsidRPr="0028318A" w:rsidRDefault="0028318A" w:rsidP="0028318A">
            <w:pPr>
              <w:snapToGrid w:val="0"/>
              <w:spacing w:line="276" w:lineRule="auto"/>
              <w:ind w:firstLine="709"/>
              <w:jc w:val="both"/>
              <w:rPr>
                <w:rFonts w:ascii="Verdana" w:eastAsia="Aptos" w:hAnsi="Verdana" w:cs="Times New Roman"/>
              </w:rPr>
            </w:pPr>
            <w:r w:rsidRPr="0028318A">
              <w:rPr>
                <w:rFonts w:ascii="Verdana" w:eastAsia="Aptos" w:hAnsi="Verdana" w:cs="Times New Roman"/>
              </w:rPr>
              <w:t>Conviene señalar que, la respuesta a su consulta depende de qué se va a construir efectivamente. En ese orden, se identifican dos escenarios con consecuencias jurídicas distintas:</w:t>
            </w:r>
          </w:p>
          <w:p w14:paraId="30F961ED" w14:textId="77777777" w:rsidR="0028318A" w:rsidRPr="0028318A" w:rsidRDefault="0028318A" w:rsidP="0028318A">
            <w:pPr>
              <w:snapToGrid w:val="0"/>
              <w:spacing w:line="276" w:lineRule="auto"/>
              <w:ind w:firstLine="709"/>
              <w:jc w:val="both"/>
              <w:rPr>
                <w:rFonts w:ascii="Verdana" w:eastAsia="Aptos" w:hAnsi="Verdana" w:cs="Times New Roman"/>
              </w:rPr>
            </w:pPr>
          </w:p>
          <w:p w14:paraId="6A2E93BE" w14:textId="77777777" w:rsidR="0028318A" w:rsidRPr="0028318A" w:rsidRDefault="0028318A" w:rsidP="0028318A">
            <w:pPr>
              <w:snapToGrid w:val="0"/>
              <w:spacing w:line="276" w:lineRule="auto"/>
              <w:jc w:val="both"/>
              <w:rPr>
                <w:rFonts w:ascii="Verdana" w:eastAsia="Aptos" w:hAnsi="Verdana" w:cs="Times New Roman"/>
                <w:b/>
                <w:bCs/>
              </w:rPr>
            </w:pPr>
            <w:r w:rsidRPr="0028318A">
              <w:rPr>
                <w:rFonts w:ascii="Verdana" w:eastAsia="Aptos" w:hAnsi="Verdana" w:cs="Times New Roman"/>
                <w:b/>
                <w:bCs/>
              </w:rPr>
              <w:t>i) Escenario 1 — El proyecto consiste únicamente en corrales:</w:t>
            </w:r>
          </w:p>
          <w:p w14:paraId="17E6C747" w14:textId="77777777" w:rsidR="0028318A" w:rsidRPr="0028318A" w:rsidRDefault="0028318A" w:rsidP="0028318A">
            <w:pPr>
              <w:snapToGrid w:val="0"/>
              <w:spacing w:line="276" w:lineRule="auto"/>
              <w:ind w:left="1789"/>
              <w:jc w:val="both"/>
              <w:rPr>
                <w:rFonts w:ascii="Verdana" w:eastAsia="Aptos" w:hAnsi="Verdana" w:cs="Times New Roman"/>
                <w:b/>
                <w:bCs/>
              </w:rPr>
            </w:pPr>
          </w:p>
          <w:p w14:paraId="0B77ADD0"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 xml:space="preserve">Si el alcance contractual se limita a corrales, mangas, bretes, embarcaderos y demás estructuras destinadas al manejo de ganado, sin edificaciones complementarias de atención al público, los Documentos Tipo de Infraestructura Social no resultan aplicables. La definición 2.76 del Glosario (Edificación de Atención a la Comunidad) exige que el equipamiento esté destinado a atender emergencias y preservar la salud y la seguridad de personas y animales —estaciones de bomberos, cuarteles de policía y fuerzas militares, instalaciones de salud, sedes de organismos operativos de emergencias, entre otros similares—. </w:t>
            </w:r>
          </w:p>
          <w:p w14:paraId="0953AED3"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Un corral cuya función es alojar y manejar ganado para actividades productivas o asociativas no cumple esa finalidad de atención de emergencias o de servicio comunitario institucional, por lo que no encaja, por sí solo, en el sector institucional.</w:t>
            </w:r>
          </w:p>
          <w:p w14:paraId="6A669936" w14:textId="77777777" w:rsidR="0028318A" w:rsidRPr="0028318A" w:rsidRDefault="0028318A" w:rsidP="0028318A">
            <w:pPr>
              <w:snapToGrid w:val="0"/>
              <w:spacing w:line="276" w:lineRule="auto"/>
              <w:ind w:firstLine="709"/>
              <w:jc w:val="both"/>
              <w:rPr>
                <w:rFonts w:ascii="Verdana" w:eastAsia="Aptos" w:hAnsi="Verdana" w:cs="Times New Roman"/>
              </w:rPr>
            </w:pPr>
            <w:r w:rsidRPr="0028318A">
              <w:rPr>
                <w:rFonts w:ascii="Verdana" w:eastAsia="Aptos" w:hAnsi="Verdana" w:cs="Times New Roman"/>
              </w:rPr>
              <w:t>En este escenario, la entidad debe estructurar el proceso bajo el régimen general de contratación (estudios previos y pliegos propios), sin perjuicio de que pueda tomar como referencia voluntaria el contenido de los Documentos Tipo si lo considera útil para la definición de requisitos habilitantes, sin que ello implique obligatoriedad.</w:t>
            </w:r>
          </w:p>
          <w:p w14:paraId="7D108E2C" w14:textId="77777777" w:rsidR="0028318A" w:rsidRPr="0028318A" w:rsidRDefault="0028318A" w:rsidP="0028318A">
            <w:pPr>
              <w:snapToGrid w:val="0"/>
              <w:spacing w:line="276" w:lineRule="auto"/>
              <w:ind w:firstLine="709"/>
              <w:jc w:val="both"/>
              <w:rPr>
                <w:rFonts w:ascii="Verdana" w:eastAsia="Aptos" w:hAnsi="Verdana" w:cs="Times New Roman"/>
              </w:rPr>
            </w:pPr>
          </w:p>
          <w:p w14:paraId="7F2B1ADA" w14:textId="77777777" w:rsidR="0028318A" w:rsidRPr="0028318A" w:rsidRDefault="0028318A" w:rsidP="0028318A">
            <w:pPr>
              <w:snapToGrid w:val="0"/>
              <w:spacing w:line="276" w:lineRule="auto"/>
              <w:jc w:val="both"/>
              <w:rPr>
                <w:rFonts w:ascii="Verdana" w:eastAsia="Aptos" w:hAnsi="Verdana" w:cs="Times New Roman"/>
                <w:b/>
                <w:bCs/>
              </w:rPr>
            </w:pPr>
            <w:proofErr w:type="spellStart"/>
            <w:r w:rsidRPr="0028318A">
              <w:rPr>
                <w:rFonts w:ascii="Verdana" w:eastAsia="Aptos" w:hAnsi="Verdana" w:cs="Times New Roman"/>
                <w:b/>
                <w:bCs/>
              </w:rPr>
              <w:t>ii</w:t>
            </w:r>
            <w:proofErr w:type="spellEnd"/>
            <w:r w:rsidRPr="0028318A">
              <w:rPr>
                <w:rFonts w:ascii="Verdana" w:eastAsia="Aptos" w:hAnsi="Verdana" w:cs="Times New Roman"/>
                <w:b/>
                <w:bCs/>
              </w:rPr>
              <w:t>) Escenario 2 — El proyecto incluye una edificación de atención a la comunidad:</w:t>
            </w:r>
          </w:p>
          <w:p w14:paraId="33B21A8D" w14:textId="77777777" w:rsidR="0028318A" w:rsidRPr="0028318A" w:rsidRDefault="0028318A" w:rsidP="0028318A">
            <w:pPr>
              <w:snapToGrid w:val="0"/>
              <w:spacing w:line="276" w:lineRule="auto"/>
              <w:jc w:val="both"/>
              <w:rPr>
                <w:rFonts w:ascii="Verdana" w:eastAsia="Aptos" w:hAnsi="Verdana" w:cs="Times New Roman"/>
                <w:b/>
                <w:bCs/>
              </w:rPr>
            </w:pPr>
          </w:p>
          <w:p w14:paraId="52B168B7"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lastRenderedPageBreak/>
              <w:t>Si, además de los corrales, el proyecto contempla componentes edificados destinados a la atención de usuarios —oficinas administrativas, espacios de capacitación comunitaria, servicios sanitarios, salas de reunión u otros espacios de prestación de servicios a la comunidad rural—, esos componentes sí pueden encajar en la definición 2.76 o, en general, en la tipología del Sector institucional. En ese caso, los Documentos Tipo de Infraestructura Social –sector institucional– son de aplicación obligatoria para este tipo de proyectos, y la entidad debe seleccionar dentro de la Matriz 1 – Experiencia del sector Institucional la actividad a contratar que mejor refleje las obras de construcción, adecuación o mejoramiento de infraestructura institucional previstas en el alcance contractual.</w:t>
            </w:r>
          </w:p>
          <w:p w14:paraId="7B0B17FB"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En este escenario, se recomienda que la entidad discrimine claramente en los estudios previos y en el presupuesto los dos componentes del proyecto –obras pecuarias (corrales) y edificación de atención a la comunidad–, de manera que quede sustentada la aplicación de los Documentos Tipo al componente institucional y se documente el criterio técnico utilizado para esa clasificación.</w:t>
            </w:r>
          </w:p>
          <w:p w14:paraId="73A400C6"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Ahora bien, la NSR-10 no contempla una categoría específica denominada “corral comunitario ganadero”. El Título K, Capítulo K.2 (Clasificación de las edificaciones por grupos de ocupación), organiza las edificaciones en los grupos de Alta Peligrosidad, Institucional, Comercial, Industrial (Fabril), Almacenamiento, Reunión de Público, Educativo, Residencial, Temporal y Misceláneo (T), y Especiales (E); no existe un grupo autónomo de tipo “agropecuario”.</w:t>
            </w:r>
          </w:p>
          <w:p w14:paraId="75BEB139"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 xml:space="preserve">Sin embargo, el numeral K.2.4 regula el Grupo de Ocupación Especiales (E), definido como aquellas edificaciones o espacios que no clasifican en ninguno de los demás grupos específicos por tener características técnicas, constructivas o de uso de carácter especial. </w:t>
            </w:r>
          </w:p>
          <w:p w14:paraId="2FA1DD4E"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La Tabla K.2-1, que contiene un listado indicativo (no taxativo) de este grupo, incluye expresamente “Alojamientos y Tratamiento de Animales”, junto con usos como piscinas, auto cinemas, parques de diversión, cementerios, helipuertos y parqueaderos, entre otros.</w:t>
            </w:r>
          </w:p>
          <w:p w14:paraId="6FB3CE14"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noProof/>
              </w:rPr>
              <w:lastRenderedPageBreak/>
              <w:drawing>
                <wp:inline distT="0" distB="0" distL="0" distR="0" wp14:anchorId="7A6BD633" wp14:editId="16055D56">
                  <wp:extent cx="5426710" cy="2802890"/>
                  <wp:effectExtent l="0" t="0" r="2540" b="0"/>
                  <wp:docPr id="6891868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802890"/>
                          </a:xfrm>
                          <a:prstGeom prst="rect">
                            <a:avLst/>
                          </a:prstGeom>
                          <a:noFill/>
                          <a:ln>
                            <a:noFill/>
                          </a:ln>
                        </pic:spPr>
                      </pic:pic>
                    </a:graphicData>
                  </a:graphic>
                </wp:inline>
              </w:drawing>
            </w:r>
          </w:p>
          <w:p w14:paraId="5FF5BFD0"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Con esa salvedad, la evidencia disponible sugiere que un corral –cuya función es alojar y manejar ganado– se aproxima más al concepto de “Alojamientos y Tratamiento de Animales” dentro del Grupo de Ocupación Especiales (E), que al Grupo Institucional (I), el cual la NSR-10 reserva para edificaciones de gobierno, salud, educación, culto, detención y similares, destinadas a la atención de personas. Esta lectura es coherente con la conclusión del Escenario 1: la sola construcción de corrales no corresponde, desde la perspectiva de la NSR-10, a una edificación institucional.</w:t>
            </w:r>
          </w:p>
          <w:p w14:paraId="71CC73CA" w14:textId="77777777" w:rsidR="0028318A" w:rsidRPr="0028318A" w:rsidRDefault="0028318A" w:rsidP="0028318A">
            <w:pPr>
              <w:snapToGrid w:val="0"/>
              <w:spacing w:after="120" w:line="276" w:lineRule="auto"/>
              <w:ind w:firstLine="709"/>
              <w:jc w:val="both"/>
              <w:rPr>
                <w:rFonts w:ascii="Verdana" w:eastAsia="Aptos" w:hAnsi="Verdana" w:cs="Times New Roman"/>
              </w:rPr>
            </w:pPr>
            <w:r w:rsidRPr="0028318A">
              <w:rPr>
                <w:rFonts w:ascii="Verdana" w:eastAsia="Aptos" w:hAnsi="Verdana" w:cs="Times New Roman"/>
              </w:rPr>
              <w:t xml:space="preserve">Cuando el proyecto sea mixto (Escenario 2), la clasificación NSR-10 tampoco tiene que ser única para todo el proyecto: las estructuras pecuarias (corrales, mangas, bretes) pueden seguir clasificando en el Grupo Especiales (E), mientras que el componente edificado de atención al público (oficinas, capacitación, servicios sanitarios) puede clasificar en el Grupo Institucional (I). Esta clasificación diferenciada por componente refuerza, adicionalmente, el criterio de implementar la adopción y aplicación de los Documentos Tipo teniendo en cuenta la relevancia de las actividades relacionadas con el componente institucional del proyecto.  En este caso, la entidad podría también evaluar la posibilidad de incluir los corrales comunitarios ganaderos como un bien o servicio ajeno a la obra pública para solicitar experiencia </w:t>
            </w:r>
            <w:r w:rsidRPr="0028318A">
              <w:rPr>
                <w:rFonts w:ascii="Verdana" w:eastAsia="Aptos" w:hAnsi="Verdana" w:cs="Times New Roman"/>
              </w:rPr>
              <w:lastRenderedPageBreak/>
              <w:t>dentro del proceso, rigiéndose por lo expresamente descrito dentro del numeral 3.5. del Documento Base Transversal del Sector Social</w:t>
            </w:r>
          </w:p>
        </w:tc>
      </w:tr>
    </w:tbl>
    <w:p w14:paraId="7A0E7046" w14:textId="77777777" w:rsidR="0028318A" w:rsidRPr="0028318A" w:rsidRDefault="0028318A" w:rsidP="0028318A">
      <w:pPr>
        <w:tabs>
          <w:tab w:val="left" w:pos="142"/>
          <w:tab w:val="left" w:pos="284"/>
        </w:tabs>
        <w:snapToGrid w:val="0"/>
        <w:spacing w:after="0" w:line="276" w:lineRule="auto"/>
        <w:jc w:val="both"/>
        <w:rPr>
          <w:rFonts w:ascii="Verdana" w:eastAsia="Century Gothic" w:hAnsi="Verdana" w:cs="Century Gothic"/>
          <w:b/>
          <w:bCs/>
          <w:lang w:val="es-ES" w:eastAsia="es-MX"/>
        </w:rPr>
      </w:pPr>
    </w:p>
    <w:p w14:paraId="16F61C2D" w14:textId="77777777" w:rsidR="0028318A" w:rsidRPr="0028318A" w:rsidRDefault="0028318A" w:rsidP="0028318A">
      <w:pPr>
        <w:numPr>
          <w:ilvl w:val="0"/>
          <w:numId w:val="16"/>
        </w:numPr>
        <w:tabs>
          <w:tab w:val="left" w:pos="142"/>
          <w:tab w:val="left" w:pos="284"/>
        </w:tabs>
        <w:adjustRightInd w:val="0"/>
        <w:snapToGrid w:val="0"/>
        <w:spacing w:after="0" w:line="276" w:lineRule="auto"/>
        <w:ind w:left="357" w:hanging="357"/>
        <w:jc w:val="both"/>
        <w:rPr>
          <w:rFonts w:ascii="Verdana" w:eastAsia="Century Gothic" w:hAnsi="Verdana" w:cs="Century Gothic"/>
          <w:b/>
          <w:bCs/>
          <w:lang w:val="es-ES" w:eastAsia="es-MX"/>
        </w:rPr>
      </w:pPr>
      <w:r w:rsidRPr="0028318A">
        <w:rPr>
          <w:rFonts w:ascii="Verdana" w:eastAsia="Century Gothic" w:hAnsi="Verdana" w:cs="Century Gothic"/>
          <w:b/>
          <w:bCs/>
          <w:lang w:val="es-ES" w:eastAsia="es-MX"/>
        </w:rPr>
        <w:t>Razones de la respuesta:</w:t>
      </w:r>
    </w:p>
    <w:p w14:paraId="7AA3AFCE" w14:textId="77777777" w:rsidR="0028318A" w:rsidRPr="0028318A" w:rsidRDefault="0028318A" w:rsidP="0028318A">
      <w:pPr>
        <w:tabs>
          <w:tab w:val="left" w:pos="142"/>
          <w:tab w:val="left" w:pos="284"/>
        </w:tabs>
        <w:snapToGrid w:val="0"/>
        <w:spacing w:after="0" w:line="276" w:lineRule="auto"/>
        <w:jc w:val="both"/>
        <w:rPr>
          <w:rFonts w:ascii="Verdana" w:eastAsia="Century Gothic" w:hAnsi="Verdana" w:cs="Century Gothic"/>
          <w:b/>
          <w:bCs/>
          <w:lang w:val="es-ES" w:eastAsia="es-MX"/>
        </w:rPr>
      </w:pPr>
    </w:p>
    <w:p w14:paraId="749C5A48" w14:textId="77777777" w:rsidR="0028318A" w:rsidRPr="0028318A" w:rsidRDefault="0028318A" w:rsidP="0028318A">
      <w:pPr>
        <w:snapToGrid w:val="0"/>
        <w:spacing w:after="0" w:line="276" w:lineRule="auto"/>
        <w:jc w:val="both"/>
        <w:rPr>
          <w:rFonts w:ascii="Verdana" w:eastAsia="Calibri" w:hAnsi="Verdana" w:cs="Arial"/>
          <w:lang w:val="es-ES" w:eastAsia="es-MX"/>
        </w:rPr>
      </w:pPr>
      <w:r w:rsidRPr="0028318A">
        <w:rPr>
          <w:rFonts w:ascii="Verdana" w:eastAsia="Calibri" w:hAnsi="Verdana" w:cs="Arial"/>
          <w:lang w:val="es-ES" w:eastAsia="es-MX"/>
        </w:rPr>
        <w:t xml:space="preserve">Lo anterior se sustenta en las siguientes consideraciones: </w:t>
      </w:r>
    </w:p>
    <w:p w14:paraId="2D408474" w14:textId="77777777" w:rsidR="0028318A" w:rsidRPr="0028318A" w:rsidRDefault="0028318A" w:rsidP="0028318A">
      <w:pPr>
        <w:spacing w:after="0" w:line="276" w:lineRule="auto"/>
        <w:jc w:val="both"/>
        <w:rPr>
          <w:rFonts w:ascii="Verdana" w:eastAsia="Calibri" w:hAnsi="Verdana" w:cs="Arial"/>
          <w:lang w:val="es-ES" w:eastAsia="es-MX"/>
        </w:rPr>
      </w:pPr>
    </w:p>
    <w:p w14:paraId="1F261934" w14:textId="77777777" w:rsidR="0028318A" w:rsidRPr="0028318A" w:rsidRDefault="0028318A" w:rsidP="0028318A">
      <w:pPr>
        <w:snapToGrid w:val="0"/>
        <w:spacing w:after="120" w:line="276" w:lineRule="auto"/>
        <w:jc w:val="both"/>
        <w:rPr>
          <w:rFonts w:ascii="Verdana" w:eastAsia="Calibri" w:hAnsi="Verdana" w:cs="Times New Roman"/>
          <w:lang w:val="es-ES" w:eastAsia="es-MX"/>
        </w:rPr>
      </w:pPr>
      <w:r w:rsidRPr="0028318A">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28318A">
        <w:rPr>
          <w:rFonts w:ascii="Verdana" w:eastAsia="Calibri" w:hAnsi="Verdana" w:cs="Times New Roman"/>
          <w:lang w:val="es-ES" w:eastAsia="es-MX"/>
        </w:rPr>
        <w:tab/>
      </w:r>
    </w:p>
    <w:p w14:paraId="13A1A92C" w14:textId="77777777" w:rsidR="0028318A" w:rsidRPr="0028318A" w:rsidRDefault="0028318A" w:rsidP="0028318A">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3BE3C930" w14:textId="77777777" w:rsidR="0028318A" w:rsidRPr="0028318A" w:rsidRDefault="0028318A" w:rsidP="0028318A">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28318A">
        <w:rPr>
          <w:rFonts w:ascii="Verdana" w:eastAsia="Calibri" w:hAnsi="Verdana" w:cs="Times New Roman"/>
          <w:bCs/>
          <w:i/>
          <w:iCs/>
          <w:lang w:val="es-ES" w:eastAsia="es-MX"/>
        </w:rPr>
        <w:t>sector educ</w:t>
      </w:r>
      <w:r w:rsidRPr="0028318A">
        <w:rPr>
          <w:rFonts w:ascii="Verdana" w:eastAsia="Calibri" w:hAnsi="Verdana" w:cs="Times New Roman"/>
          <w:bCs/>
          <w:i/>
          <w:lang w:val="es-ES" w:eastAsia="es-MX"/>
        </w:rPr>
        <w:t xml:space="preserve">ativo, salud, y cultura, recreación y deporte, </w:t>
      </w:r>
      <w:r w:rsidRPr="0028318A">
        <w:rPr>
          <w:rFonts w:ascii="Verdana" w:eastAsia="Calibri" w:hAnsi="Verdana" w:cs="Times New Roman"/>
          <w:bCs/>
          <w:iCs/>
          <w:lang w:val="es-ES" w:eastAsia="es-MX"/>
        </w:rPr>
        <w:t>respectivamente</w:t>
      </w:r>
      <w:r w:rsidRPr="0028318A">
        <w:rPr>
          <w:rFonts w:ascii="Verdana" w:eastAsia="Calibri" w:hAnsi="Verdana" w:cs="Times New Roman"/>
          <w:bCs/>
          <w:i/>
          <w:lang w:val="es-ES" w:eastAsia="es-MX"/>
        </w:rPr>
        <w:t xml:space="preserve">, </w:t>
      </w:r>
      <w:r w:rsidRPr="0028318A">
        <w:rPr>
          <w:rFonts w:ascii="Verdana" w:eastAsia="Calibri" w:hAnsi="Verdana" w:cs="Times New Roman"/>
          <w:bCs/>
          <w:lang w:val="es-ES" w:eastAsia="es-MX"/>
        </w:rPr>
        <w:t xml:space="preserve">mediante las </w:t>
      </w:r>
      <w:r w:rsidRPr="0028318A">
        <w:rPr>
          <w:rFonts w:ascii="Verdana" w:eastAsia="Calibri" w:hAnsi="Verdana" w:cs="Times New Roman"/>
          <w:lang w:val="es-ES" w:eastAsia="es-MX"/>
        </w:rPr>
        <w:t xml:space="preserve">Resoluciones 220, 392 y 454 de 2021. Estas Resoluciones, en el artículo 2, desarrollan el “Anexo – Glosario” y la </w:t>
      </w:r>
      <w:r w:rsidRPr="0028318A">
        <w:rPr>
          <w:rFonts w:ascii="Verdana" w:eastAsia="Calibri" w:hAnsi="Verdana" w:cs="Times New Roman"/>
          <w:lang w:eastAsia="es-MX"/>
        </w:rPr>
        <w:t>“Matriz – Experiencia”</w:t>
      </w:r>
      <w:r w:rsidRPr="0028318A">
        <w:rPr>
          <w:rFonts w:ascii="Verdana" w:eastAsia="Calibri" w:hAnsi="Verdana" w:cs="Times New Roman"/>
          <w:lang w:val="es-ES" w:eastAsia="es-MX"/>
        </w:rPr>
        <w:t xml:space="preserve"> para proyectos de infraestructura social para cada sector, lo que significa que estos documentos definen el alcance para </w:t>
      </w:r>
      <w:r w:rsidRPr="0028318A">
        <w:rPr>
          <w:rFonts w:ascii="Verdana" w:eastAsia="Calibri" w:hAnsi="Verdana" w:cs="Times New Roman"/>
          <w:lang w:val="es-ES" w:eastAsia="es-MX"/>
        </w:rPr>
        <w:lastRenderedPageBreak/>
        <w:t>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2CAA05DD" w14:textId="77777777" w:rsidR="0028318A" w:rsidRPr="0028318A" w:rsidRDefault="0028318A" w:rsidP="0028318A">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11AFB772" w14:textId="77777777" w:rsidR="0028318A" w:rsidRPr="0028318A" w:rsidRDefault="0028318A" w:rsidP="0028318A">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1D1D40D2" w14:textId="77777777" w:rsidR="0028318A" w:rsidRPr="0028318A" w:rsidRDefault="0028318A" w:rsidP="0028318A">
      <w:pPr>
        <w:snapToGrid w:val="0"/>
        <w:spacing w:after="120" w:line="276" w:lineRule="auto"/>
        <w:ind w:firstLine="709"/>
        <w:jc w:val="both"/>
        <w:rPr>
          <w:rFonts w:ascii="Verdana" w:eastAsia="Calibri" w:hAnsi="Verdana" w:cs="Times New Roman"/>
          <w:lang w:eastAsia="es-MX"/>
        </w:rPr>
      </w:pPr>
      <w:r w:rsidRPr="0028318A">
        <w:rPr>
          <w:rFonts w:ascii="Verdana" w:eastAsia="Calibri" w:hAnsi="Verdana" w:cs="Times New Roman"/>
          <w:lang w:eastAsia="es-MX"/>
        </w:rPr>
        <w:t xml:space="preserve">Para la determinación de los requisitos mínimos de experiencia según la “Matriz – Experiencia”, el numeral 3.5.1 del documento base de los documentos tipo de selección abreviada de menor cuantía de obra pública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064C78CE" w14:textId="77777777" w:rsidR="0028318A" w:rsidRPr="0028318A" w:rsidRDefault="0028318A" w:rsidP="0028318A">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w:t>
      </w:r>
      <w:r w:rsidRPr="0028318A">
        <w:rPr>
          <w:rFonts w:ascii="Verdana" w:eastAsia="Calibri" w:hAnsi="Verdana" w:cs="Times New Roman"/>
          <w:lang w:val="es-ES" w:eastAsia="es-MX"/>
        </w:rPr>
        <w:lastRenderedPageBreak/>
        <w:t xml:space="preserve">obras a contratar por parte de la entidad estatal. A su vez, en estas matrices se establecen las actividades a contratar que hacen parte de un tipo o grupo de infraestructura, las cuales señalan las condiciones y requerimientos de experiencia general y específica. </w:t>
      </w:r>
    </w:p>
    <w:p w14:paraId="3EC3395F" w14:textId="77777777" w:rsidR="0028318A" w:rsidRPr="0028318A" w:rsidRDefault="0028318A" w:rsidP="0028318A">
      <w:pPr>
        <w:snapToGrid w:val="0"/>
        <w:spacing w:after="120" w:line="276" w:lineRule="auto"/>
        <w:ind w:firstLine="709"/>
        <w:jc w:val="both"/>
        <w:rPr>
          <w:rFonts w:ascii="Verdana" w:eastAsia="Calibri" w:hAnsi="Verdana" w:cs="Times New Roman"/>
          <w:lang w:val="es-ES" w:eastAsia="es-MX"/>
        </w:rPr>
      </w:pPr>
      <w:r w:rsidRPr="0028318A">
        <w:rPr>
          <w:rFonts w:ascii="Verdana" w:eastAsia="Calibri" w:hAnsi="Verdana" w:cs="Times New Roman"/>
          <w:lang w:val="es-ES" w:eastAsia="es-MX"/>
        </w:rPr>
        <w:t>La experiencia específica, dependiendo del tipo de “actividad a contratar”, puede contener un “% de dimensionamiento” con la implementación de un factor (F%),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627CD6BD" w14:textId="77777777" w:rsidR="0028318A" w:rsidRPr="0028318A" w:rsidRDefault="0028318A" w:rsidP="0028318A">
      <w:pPr>
        <w:adjustRightInd w:val="0"/>
        <w:snapToGrid w:val="0"/>
        <w:spacing w:after="120" w:line="276" w:lineRule="auto"/>
        <w:ind w:firstLine="709"/>
        <w:jc w:val="both"/>
        <w:rPr>
          <w:rFonts w:ascii="Verdana" w:eastAsia="Calibri" w:hAnsi="Verdana" w:cs="Times New Roman"/>
          <w:lang w:eastAsia="es-MX"/>
        </w:rPr>
      </w:pPr>
      <w:r w:rsidRPr="0028318A">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28318A">
        <w:rPr>
          <w:rFonts w:ascii="Verdana" w:eastAsia="Calibri" w:hAnsi="Verdana" w:cs="Times New Roman"/>
          <w:lang w:eastAsia="es-MX"/>
        </w:rPr>
        <w:t>ii</w:t>
      </w:r>
      <w:proofErr w:type="spellEnd"/>
      <w:r w:rsidRPr="0028318A">
        <w:rPr>
          <w:rFonts w:ascii="Verdana" w:eastAsia="Calibri" w:hAnsi="Verdana" w:cs="Times New Roman"/>
          <w:lang w:eastAsia="es-MX"/>
        </w:rPr>
        <w:t xml:space="preserve">) la actividad a contratar y </w:t>
      </w:r>
      <w:proofErr w:type="spellStart"/>
      <w:r w:rsidRPr="0028318A">
        <w:rPr>
          <w:rFonts w:ascii="Verdana" w:eastAsia="Calibri" w:hAnsi="Verdana" w:cs="Times New Roman"/>
          <w:lang w:eastAsia="es-MX"/>
        </w:rPr>
        <w:t>iii</w:t>
      </w:r>
      <w:proofErr w:type="spellEnd"/>
      <w:r w:rsidRPr="0028318A">
        <w:rPr>
          <w:rFonts w:ascii="Verdana" w:eastAsia="Calibri" w:hAnsi="Verdana" w:cs="Times New Roman"/>
          <w:lang w:eastAsia="es-MX"/>
        </w:rPr>
        <w:t>) la cuantía del proceso de contratación.</w:t>
      </w:r>
    </w:p>
    <w:p w14:paraId="6A46F9B5" w14:textId="77777777" w:rsidR="0028318A" w:rsidRPr="0028318A" w:rsidRDefault="0028318A" w:rsidP="0028318A">
      <w:pPr>
        <w:snapToGrid w:val="0"/>
        <w:spacing w:after="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Conviene señalar que, la respuesta a su consulta depende de qué se va a construir efectivamente. En ese orden, se identifican dos escenarios con consecuencias jurídicas distintas:</w:t>
      </w:r>
    </w:p>
    <w:p w14:paraId="3FE687EB" w14:textId="77777777" w:rsidR="0028318A" w:rsidRPr="0028318A" w:rsidRDefault="0028318A" w:rsidP="0028318A">
      <w:pPr>
        <w:snapToGrid w:val="0"/>
        <w:spacing w:after="0" w:line="276" w:lineRule="auto"/>
        <w:ind w:firstLine="709"/>
        <w:jc w:val="both"/>
        <w:rPr>
          <w:rFonts w:ascii="Verdana" w:eastAsia="Aptos" w:hAnsi="Verdana" w:cs="Times New Roman"/>
          <w:kern w:val="2"/>
          <w14:ligatures w14:val="standardContextual"/>
        </w:rPr>
      </w:pPr>
    </w:p>
    <w:p w14:paraId="09F9232F" w14:textId="77777777" w:rsidR="0028318A" w:rsidRPr="0028318A" w:rsidRDefault="0028318A" w:rsidP="0028318A">
      <w:pPr>
        <w:snapToGrid w:val="0"/>
        <w:spacing w:after="0" w:line="276" w:lineRule="auto"/>
        <w:jc w:val="both"/>
        <w:rPr>
          <w:rFonts w:ascii="Verdana" w:eastAsia="Aptos" w:hAnsi="Verdana" w:cs="Times New Roman"/>
          <w:b/>
          <w:bCs/>
          <w:kern w:val="2"/>
          <w14:ligatures w14:val="standardContextual"/>
        </w:rPr>
      </w:pPr>
      <w:r w:rsidRPr="0028318A">
        <w:rPr>
          <w:rFonts w:ascii="Verdana" w:eastAsia="Aptos" w:hAnsi="Verdana" w:cs="Times New Roman"/>
          <w:b/>
          <w:bCs/>
          <w:kern w:val="2"/>
          <w14:ligatures w14:val="standardContextual"/>
        </w:rPr>
        <w:t>i) Escenario 1 — El proyecto consiste únicamente en corrales:</w:t>
      </w:r>
    </w:p>
    <w:p w14:paraId="35C76943" w14:textId="77777777" w:rsidR="0028318A" w:rsidRPr="0028318A" w:rsidRDefault="0028318A" w:rsidP="0028318A">
      <w:pPr>
        <w:snapToGrid w:val="0"/>
        <w:spacing w:after="0" w:line="276" w:lineRule="auto"/>
        <w:ind w:left="1789"/>
        <w:jc w:val="both"/>
        <w:rPr>
          <w:rFonts w:ascii="Verdana" w:eastAsia="Aptos" w:hAnsi="Verdana" w:cs="Times New Roman"/>
          <w:b/>
          <w:bCs/>
          <w:kern w:val="2"/>
          <w14:ligatures w14:val="standardContextual"/>
        </w:rPr>
      </w:pPr>
    </w:p>
    <w:p w14:paraId="3E1E091B"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 xml:space="preserve">Si el alcance contractual se limita a corrales, mangas, bretes, embarcaderos y demás estructuras destinadas al manejo de ganado, sin edificaciones complementarias de atención al público, los Documentos Tipo de Infraestructura Social no resultan aplicables. La definición 2.76 del Glosario (Edificación de Atención a la Comunidad) exige que el equipamiento esté destinado a atender emergencias y preservar la salud y la seguridad de personas y animales —estaciones de bomberos, cuarteles de policía y fuerzas militares, instalaciones de salud, sedes de organismos operativos de emergencias, entre otros similares—. </w:t>
      </w:r>
    </w:p>
    <w:p w14:paraId="21501B84"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lastRenderedPageBreak/>
        <w:t>Un corral cuya función es alojar y manejar ganado para actividades productivas o asociativas no cumple esa finalidad de atención de emergencias o de servicio comunitario institucional, por lo que no encaja, por sí solo, en el sector institucional.</w:t>
      </w:r>
    </w:p>
    <w:p w14:paraId="193C4E1A" w14:textId="77777777" w:rsidR="0028318A" w:rsidRPr="0028318A" w:rsidRDefault="0028318A" w:rsidP="0028318A">
      <w:pPr>
        <w:snapToGrid w:val="0"/>
        <w:spacing w:after="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En este escenario, la entidad debe estructurar el proceso bajo el régimen general de contratación (estudios previos y pliegos propios), sin perjuicio de que pueda tomar como referencia voluntaria el contenido de los Documentos Tipo si lo considera útil para la definición de requisitos habilitantes, sin que ello implique obligatoriedad.</w:t>
      </w:r>
    </w:p>
    <w:p w14:paraId="398D094C" w14:textId="77777777" w:rsidR="0028318A" w:rsidRPr="0028318A" w:rsidRDefault="0028318A" w:rsidP="0028318A">
      <w:pPr>
        <w:snapToGrid w:val="0"/>
        <w:spacing w:after="0" w:line="276" w:lineRule="auto"/>
        <w:ind w:firstLine="709"/>
        <w:jc w:val="both"/>
        <w:rPr>
          <w:rFonts w:ascii="Verdana" w:eastAsia="Aptos" w:hAnsi="Verdana" w:cs="Times New Roman"/>
          <w:kern w:val="2"/>
          <w14:ligatures w14:val="standardContextual"/>
        </w:rPr>
      </w:pPr>
    </w:p>
    <w:p w14:paraId="72AA77E1" w14:textId="77777777" w:rsidR="0028318A" w:rsidRPr="0028318A" w:rsidRDefault="0028318A" w:rsidP="0028318A">
      <w:pPr>
        <w:snapToGrid w:val="0"/>
        <w:spacing w:after="0" w:line="276" w:lineRule="auto"/>
        <w:jc w:val="both"/>
        <w:rPr>
          <w:rFonts w:ascii="Verdana" w:eastAsia="Aptos" w:hAnsi="Verdana" w:cs="Times New Roman"/>
          <w:b/>
          <w:bCs/>
          <w:kern w:val="2"/>
          <w14:ligatures w14:val="standardContextual"/>
        </w:rPr>
      </w:pPr>
      <w:proofErr w:type="spellStart"/>
      <w:r w:rsidRPr="0028318A">
        <w:rPr>
          <w:rFonts w:ascii="Verdana" w:eastAsia="Aptos" w:hAnsi="Verdana" w:cs="Times New Roman"/>
          <w:b/>
          <w:bCs/>
          <w:kern w:val="2"/>
          <w14:ligatures w14:val="standardContextual"/>
        </w:rPr>
        <w:t>ii</w:t>
      </w:r>
      <w:proofErr w:type="spellEnd"/>
      <w:r w:rsidRPr="0028318A">
        <w:rPr>
          <w:rFonts w:ascii="Verdana" w:eastAsia="Aptos" w:hAnsi="Verdana" w:cs="Times New Roman"/>
          <w:b/>
          <w:bCs/>
          <w:kern w:val="2"/>
          <w14:ligatures w14:val="standardContextual"/>
        </w:rPr>
        <w:t>) Escenario 2 — El proyecto incluye una edificación de atención a la comunidad:</w:t>
      </w:r>
    </w:p>
    <w:p w14:paraId="10C5F9B0" w14:textId="77777777" w:rsidR="0028318A" w:rsidRPr="0028318A" w:rsidRDefault="0028318A" w:rsidP="0028318A">
      <w:pPr>
        <w:snapToGrid w:val="0"/>
        <w:spacing w:after="0" w:line="276" w:lineRule="auto"/>
        <w:jc w:val="both"/>
        <w:rPr>
          <w:rFonts w:ascii="Verdana" w:eastAsia="Aptos" w:hAnsi="Verdana" w:cs="Times New Roman"/>
          <w:b/>
          <w:bCs/>
          <w:kern w:val="2"/>
          <w14:ligatures w14:val="standardContextual"/>
        </w:rPr>
      </w:pPr>
    </w:p>
    <w:p w14:paraId="16088DA9"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Si, además de los corrales, el proyecto contempla componentes edificados destinados a la atención de usuarios —oficinas administrativas, espacios de capacitación comunitaria, servicios sanitarios, salas de reunión u otros espacios de prestación de servicios a la comunidad rural—, esos componentes sí pueden encajar en la definición 2.76 o, en general, en la tipología del Sector institucional. En ese caso, los Documentos Tipo de Infraestructura Social –sector institucional– son de aplicación obligatoria para este tipo de proyectos, y la entidad debe seleccionar dentro de la Matriz 1 – Experiencia del sector Institucional la actividad a contratar que mejor refleje las obras de construcción, adecuación o mejoramiento de infraestructura institucional previstas en el alcance contractual.</w:t>
      </w:r>
    </w:p>
    <w:p w14:paraId="612F5320"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En este escenario, se recomienda que la entidad discrimine claramente en los estudios previos y en el presupuesto los dos componentes del proyecto –obras pecuarias (corrales) y edificación de atención a la comunidad–, de manera que quede sustentada la aplicación de los Documentos Tipo al componente institucional y se documente el criterio técnico utilizado para esa clasificación.</w:t>
      </w:r>
    </w:p>
    <w:p w14:paraId="6F94DE72"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Ahora bien, la NSR-10 no contempla una categoría específica denominada “corral comunitario ganadero”. El Título K, Capítulo K.2 (Clasificación de las edificaciones por grupos de ocupación), organiza las edificaciones en los grupos de Alta Peligrosidad, Institucional, Comercial, Industrial (Fabril), Almacenamiento, Reunión de Público, Educativo, Residencial, Temporal y Misceláneo (T), y Especiales (E); no existe un grupo autónomo de tipo “agropecuario”.</w:t>
      </w:r>
    </w:p>
    <w:p w14:paraId="3D26A3DD"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lastRenderedPageBreak/>
        <w:t xml:space="preserve">Sin embargo, el numeral K.2.4 regula el Grupo de Ocupación Especiales (E), definido como aquellas edificaciones o espacios que no clasifican en ninguno de los demás grupos específicos por tener características técnicas, constructivas o de uso de carácter especial. </w:t>
      </w:r>
    </w:p>
    <w:p w14:paraId="0E693738"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La Tabla K.2-1, que contiene un listado indicativo (no taxativo) de este grupo, incluye expresamente “Alojamientos y Tratamiento de Animales”, junto con usos como piscinas, auto cinemas, parques de diversión, cementerios, helipuertos y parqueaderos, entre otros.</w:t>
      </w:r>
    </w:p>
    <w:p w14:paraId="75782254"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noProof/>
          <w:kern w:val="2"/>
          <w14:ligatures w14:val="standardContextual"/>
        </w:rPr>
        <w:drawing>
          <wp:inline distT="0" distB="0" distL="0" distR="0" wp14:anchorId="66DA7AFD" wp14:editId="66AD3870">
            <wp:extent cx="5426710" cy="2802890"/>
            <wp:effectExtent l="0" t="0" r="2540" b="0"/>
            <wp:docPr id="19304873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802890"/>
                    </a:xfrm>
                    <a:prstGeom prst="rect">
                      <a:avLst/>
                    </a:prstGeom>
                    <a:noFill/>
                    <a:ln>
                      <a:noFill/>
                    </a:ln>
                  </pic:spPr>
                </pic:pic>
              </a:graphicData>
            </a:graphic>
          </wp:inline>
        </w:drawing>
      </w:r>
    </w:p>
    <w:p w14:paraId="1CC9D931"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Con esa salvedad, la evidencia disponible sugiere que un corral –cuya función es alojar y manejar ganado– se aproxima más al concepto de “Alojamientos y Tratamiento de Animales” dentro del Grupo de Ocupación Especiales (E), que al Grupo Institucional (I), el cual la NSR-10 reserva para edificaciones de gobierno, salud, educación, culto, detención y similares, destinadas a la atención de personas. Esta lectura es coherente con la conclusión del Escenario 1: la sola construcción de corrales no corresponde, desde la perspectiva de la NSR-10, a una edificación institucional.</w:t>
      </w:r>
    </w:p>
    <w:p w14:paraId="069DFD34" w14:textId="77777777" w:rsidR="0028318A" w:rsidRPr="0028318A" w:rsidRDefault="0028318A" w:rsidP="0028318A">
      <w:pPr>
        <w:snapToGrid w:val="0"/>
        <w:spacing w:after="12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 xml:space="preserve">Cuando el proyecto sea mixto (Escenario 2), la clasificación NSR-10 tampoco tiene que ser única para todo el proyecto: las estructuras pecuarias (corrales, mangas, bretes) pueden seguir clasificando en el Grupo Especiales (E), mientras que el componente edificado de atención al público (oficinas, </w:t>
      </w:r>
      <w:r w:rsidRPr="0028318A">
        <w:rPr>
          <w:rFonts w:ascii="Verdana" w:eastAsia="Aptos" w:hAnsi="Verdana" w:cs="Times New Roman"/>
          <w:kern w:val="2"/>
          <w14:ligatures w14:val="standardContextual"/>
        </w:rPr>
        <w:lastRenderedPageBreak/>
        <w:t>capacitación, servicios sanitarios) puede clasificar en el Grupo Institucional (I). Esta clasificación diferenciada por componente refuerza, adicionalmente, el criterio de implementar la adopción y aplicación de los Documentos Tipo teniendo en cuenta la relevancia de las actividades relacionadas con el componente institucional del proyecto.  En este caso, la entidad podría también evaluar la posibilidad de incluir los corrales comunitarios ganaderos como un bien o servicio ajeno a la obra pública para solicitar experiencia dentro del proceso, rigiéndose por lo expresamente descrito dentro del numeral 3.5. del Documento Base Transversal del Sector Social</w:t>
      </w:r>
    </w:p>
    <w:p w14:paraId="7607638B" w14:textId="77777777" w:rsidR="0028318A" w:rsidRPr="0028318A" w:rsidRDefault="0028318A" w:rsidP="0028318A">
      <w:pPr>
        <w:snapToGrid w:val="0"/>
        <w:spacing w:after="0" w:line="276" w:lineRule="auto"/>
        <w:ind w:firstLine="709"/>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Así las cosas, corresponde a la entidad estatal, con base en sus estudios y documentos previos, aplicar la siguiente prueba en dos pasos: (i) determinar si el proyecto incluye, además de los corrales, algún tipo de infraestructura o edificación destinada a la atención de la comunidad; y (</w:t>
      </w:r>
      <w:proofErr w:type="spellStart"/>
      <w:r w:rsidRPr="0028318A">
        <w:rPr>
          <w:rFonts w:ascii="Verdana" w:eastAsia="Aptos" w:hAnsi="Verdana" w:cs="Times New Roman"/>
          <w:kern w:val="2"/>
          <w14:ligatures w14:val="standardContextual"/>
        </w:rPr>
        <w:t>ii</w:t>
      </w:r>
      <w:proofErr w:type="spellEnd"/>
      <w:r w:rsidRPr="0028318A">
        <w:rPr>
          <w:rFonts w:ascii="Verdana" w:eastAsia="Aptos" w:hAnsi="Verdana" w:cs="Times New Roman"/>
          <w:kern w:val="2"/>
          <w14:ligatures w14:val="standardContextual"/>
        </w:rPr>
        <w:t>) en caso afirmativo, verificar si esa edificación se enmarca en el sector institucional. La determinación definitiva corresponde a la entidad estatal, con pleno conocimiento del alcance técnico del proyecto y de la naturaleza de cada componente de la infraestructura a construir.</w:t>
      </w:r>
    </w:p>
    <w:p w14:paraId="1482B96B" w14:textId="77777777" w:rsidR="0028318A" w:rsidRPr="0028318A" w:rsidRDefault="0028318A" w:rsidP="0028318A">
      <w:pPr>
        <w:widowControl w:val="0"/>
        <w:autoSpaceDE w:val="0"/>
        <w:autoSpaceDN w:val="0"/>
        <w:spacing w:after="0" w:line="276" w:lineRule="auto"/>
        <w:jc w:val="both"/>
        <w:rPr>
          <w:rFonts w:ascii="Verdana" w:eastAsia="Calibri" w:hAnsi="Verdana" w:cs="Arial"/>
          <w:lang w:eastAsia="es-MX"/>
        </w:rPr>
      </w:pPr>
    </w:p>
    <w:p w14:paraId="76100354" w14:textId="77777777" w:rsidR="0028318A" w:rsidRPr="0028318A" w:rsidRDefault="0028318A" w:rsidP="0028318A">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28318A">
        <w:rPr>
          <w:rFonts w:ascii="Verdana" w:eastAsia="Century Gothic" w:hAnsi="Verdana" w:cs="Century Gothic"/>
          <w:b/>
          <w:bCs/>
          <w:lang w:val="es-ES" w:eastAsia="es-MX"/>
        </w:rPr>
        <w:t>Referencias normativas, jurisprudenciales y otras fuentes:</w:t>
      </w:r>
    </w:p>
    <w:p w14:paraId="5F5C95F7" w14:textId="77777777" w:rsidR="0028318A" w:rsidRPr="0028318A" w:rsidRDefault="0028318A" w:rsidP="0028318A">
      <w:pPr>
        <w:widowControl w:val="0"/>
        <w:autoSpaceDE w:val="0"/>
        <w:autoSpaceDN w:val="0"/>
        <w:spacing w:after="0" w:line="276" w:lineRule="auto"/>
        <w:jc w:val="both"/>
        <w:rPr>
          <w:rFonts w:ascii="Verdana" w:eastAsia="Calibri" w:hAnsi="Verdana" w:cs="Arial"/>
          <w:lang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28318A" w:rsidRPr="0028318A" w14:paraId="3069E3D9" w14:textId="77777777" w:rsidTr="00BB19DC">
        <w:trPr>
          <w:trHeight w:val="870"/>
        </w:trPr>
        <w:tc>
          <w:tcPr>
            <w:tcW w:w="8647" w:type="dxa"/>
          </w:tcPr>
          <w:p w14:paraId="7DF206A9" w14:textId="77777777" w:rsidR="0028318A" w:rsidRPr="0028318A" w:rsidRDefault="0028318A" w:rsidP="0028318A">
            <w:pPr>
              <w:widowControl w:val="0"/>
              <w:numPr>
                <w:ilvl w:val="0"/>
                <w:numId w:val="17"/>
              </w:numPr>
              <w:autoSpaceDE w:val="0"/>
              <w:autoSpaceDN w:val="0"/>
              <w:spacing w:after="120" w:line="276" w:lineRule="auto"/>
              <w:jc w:val="both"/>
              <w:rPr>
                <w:rFonts w:ascii="Verdana" w:eastAsia="Calibri" w:hAnsi="Verdana" w:cs="Arial"/>
                <w:lang w:eastAsia="es-MX"/>
              </w:rPr>
            </w:pPr>
            <w:r w:rsidRPr="0028318A">
              <w:rPr>
                <w:rFonts w:ascii="Verdana" w:eastAsia="Calibri" w:hAnsi="Verdana" w:cs="Arial"/>
                <w:lang w:eastAsia="es-MX"/>
              </w:rPr>
              <w:t>Ley 2022 de 2020, artículo 1.</w:t>
            </w:r>
          </w:p>
          <w:p w14:paraId="48F66ABE" w14:textId="77777777" w:rsidR="0028318A" w:rsidRPr="0028318A" w:rsidRDefault="0028318A" w:rsidP="0028318A">
            <w:pPr>
              <w:widowControl w:val="0"/>
              <w:numPr>
                <w:ilvl w:val="0"/>
                <w:numId w:val="17"/>
              </w:numPr>
              <w:autoSpaceDE w:val="0"/>
              <w:autoSpaceDN w:val="0"/>
              <w:spacing w:after="120" w:line="276" w:lineRule="auto"/>
              <w:jc w:val="both"/>
              <w:rPr>
                <w:rFonts w:ascii="Verdana" w:eastAsia="Calibri" w:hAnsi="Verdana" w:cs="Arial"/>
                <w:lang w:eastAsia="es-MX"/>
              </w:rPr>
            </w:pPr>
            <w:r w:rsidRPr="0028318A">
              <w:rPr>
                <w:rFonts w:ascii="Verdana" w:eastAsia="Calibri" w:hAnsi="Verdana" w:cs="Arial"/>
                <w:lang w:eastAsia="es-MX"/>
              </w:rPr>
              <w:t xml:space="preserve">Documentos tipo de obra pública de infraestructura social, y adicionales del sector </w:t>
            </w:r>
            <w:r w:rsidRPr="0028318A">
              <w:rPr>
                <w:rFonts w:ascii="Verdana" w:eastAsia="Calibri" w:hAnsi="Verdana" w:cs="Arial"/>
                <w:i/>
                <w:iCs/>
                <w:lang w:eastAsia="es-MX"/>
              </w:rPr>
              <w:t xml:space="preserve">institucional. </w:t>
            </w:r>
            <w:r w:rsidRPr="0028318A">
              <w:rPr>
                <w:rFonts w:ascii="Verdana" w:eastAsia="Calibri" w:hAnsi="Verdana" w:cs="Arial"/>
                <w:lang w:eastAsia="es-MX"/>
              </w:rPr>
              <w:t xml:space="preserve">Disponibles en: </w:t>
            </w:r>
            <w:hyperlink r:id="rId12" w:history="1">
              <w:r w:rsidRPr="0028318A">
                <w:rPr>
                  <w:rFonts w:ascii="Verdana" w:eastAsia="Calibri" w:hAnsi="Verdana" w:cs="Arial"/>
                  <w:color w:val="467886"/>
                  <w:u w:val="single"/>
                  <w:lang w:eastAsia="es-MX"/>
                </w:rPr>
                <w:t>https://www.colombiacompra.gov.co/normativa-y-relatoria/documentos-tipo</w:t>
              </w:r>
            </w:hyperlink>
            <w:r w:rsidRPr="0028318A">
              <w:rPr>
                <w:rFonts w:ascii="Verdana" w:eastAsia="Calibri" w:hAnsi="Verdana" w:cs="Arial"/>
                <w:lang w:eastAsia="es-MX"/>
              </w:rPr>
              <w:t>.</w:t>
            </w:r>
            <w:r w:rsidRPr="0028318A">
              <w:rPr>
                <w:rFonts w:ascii="Verdana" w:eastAsia="Calibri" w:hAnsi="Verdana" w:cs="Arial"/>
                <w:vertAlign w:val="superscript"/>
                <w:lang w:eastAsia="es-MX"/>
              </w:rPr>
              <w:t xml:space="preserve"> </w:t>
            </w:r>
          </w:p>
        </w:tc>
      </w:tr>
    </w:tbl>
    <w:p w14:paraId="6956DA17" w14:textId="77777777" w:rsidR="0028318A" w:rsidRPr="0028318A" w:rsidRDefault="0028318A" w:rsidP="0028318A">
      <w:pPr>
        <w:tabs>
          <w:tab w:val="left" w:pos="142"/>
          <w:tab w:val="left" w:pos="284"/>
        </w:tabs>
        <w:spacing w:after="0" w:line="276" w:lineRule="auto"/>
        <w:jc w:val="both"/>
        <w:rPr>
          <w:rFonts w:ascii="Verdana" w:eastAsia="Calibri" w:hAnsi="Verdana" w:cs="Arial"/>
          <w:lang w:eastAsia="es-MX"/>
        </w:rPr>
      </w:pPr>
    </w:p>
    <w:p w14:paraId="43F99187" w14:textId="77777777" w:rsidR="0028318A" w:rsidRPr="0028318A" w:rsidRDefault="0028318A" w:rsidP="0028318A">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28318A">
        <w:rPr>
          <w:rFonts w:ascii="Verdana" w:eastAsia="Century Gothic" w:hAnsi="Verdana" w:cs="Century Gothic"/>
          <w:b/>
          <w:bCs/>
          <w:lang w:val="es-ES" w:eastAsia="es-MX"/>
        </w:rPr>
        <w:t>Doctrina de la Agencia Nacional de Contratación Pública:</w:t>
      </w:r>
    </w:p>
    <w:p w14:paraId="5850B478" w14:textId="77777777" w:rsidR="0028318A" w:rsidRPr="0028318A" w:rsidRDefault="0028318A" w:rsidP="0028318A">
      <w:pPr>
        <w:widowControl w:val="0"/>
        <w:autoSpaceDE w:val="0"/>
        <w:autoSpaceDN w:val="0"/>
        <w:spacing w:after="0" w:line="276" w:lineRule="auto"/>
        <w:jc w:val="both"/>
        <w:rPr>
          <w:rFonts w:ascii="Verdana" w:eastAsia="Calibri" w:hAnsi="Verdana" w:cs="Arial"/>
          <w:lang w:eastAsia="es-MX"/>
        </w:rPr>
      </w:pPr>
    </w:p>
    <w:p w14:paraId="2B2843ED" w14:textId="77777777" w:rsidR="0028318A" w:rsidRPr="0028318A" w:rsidRDefault="0028318A" w:rsidP="0028318A">
      <w:pPr>
        <w:widowControl w:val="0"/>
        <w:autoSpaceDE w:val="0"/>
        <w:autoSpaceDN w:val="0"/>
        <w:spacing w:after="0" w:line="276" w:lineRule="auto"/>
        <w:jc w:val="both"/>
        <w:rPr>
          <w:rFonts w:ascii="Verdana" w:eastAsia="Times New Roman" w:hAnsi="Verdana" w:cs="Arial"/>
          <w:kern w:val="2"/>
          <w:shd w:val="clear" w:color="auto" w:fill="FFFFFF"/>
          <w:lang w:val="es-ES" w:eastAsia="es-MX"/>
          <w14:ligatures w14:val="standardContextual"/>
        </w:rPr>
      </w:pPr>
      <w:r w:rsidRPr="0028318A">
        <w:rPr>
          <w:rFonts w:ascii="Verdana" w:eastAsia="Calibri" w:hAnsi="Verdana" w:cs="Arial"/>
          <w:shd w:val="clear" w:color="auto" w:fill="FFFFFF"/>
          <w:lang w:val="es-ES" w:eastAsia="es-MX"/>
        </w:rPr>
        <w:t>La Agencia Nacional de Contratación Pública – Colombia Compra Eficiente se pronunció</w:t>
      </w:r>
      <w:r w:rsidRPr="0028318A">
        <w:rPr>
          <w:rFonts w:ascii="Aptos" w:eastAsia="Aptos" w:hAnsi="Aptos" w:cs="Times New Roman"/>
          <w:sz w:val="24"/>
          <w:szCs w:val="24"/>
          <w:lang w:eastAsia="es-MX"/>
        </w:rPr>
        <w:t xml:space="preserve"> </w:t>
      </w:r>
      <w:r w:rsidRPr="0028318A">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w:t>
      </w:r>
      <w:r w:rsidRPr="0028318A">
        <w:rPr>
          <w:rFonts w:ascii="Verdana" w:eastAsia="Calibri" w:hAnsi="Verdana" w:cs="Arial"/>
          <w:shd w:val="clear" w:color="auto" w:fill="FFFFFF"/>
          <w:lang w:val="es-ES" w:eastAsia="es-MX"/>
        </w:rPr>
        <w:lastRenderedPageBreak/>
        <w:t xml:space="preserve">septiembre de 2024, C-469 del 23 de mayo de 2025, C-1772 del 22 de diciembre de 2025, C-232 del 11 de marzo de 2026, C-486 del 7 de mayo de 2026, entre otros. </w:t>
      </w:r>
      <w:r w:rsidRPr="0028318A">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3" w:tgtFrame="_blank" w:tooltip="Dirección URL original: https://relatoria.colombiacompra.gov.co/. Haga clic o pulse si confía en este vínculo." w:history="1">
        <w:r w:rsidRPr="0028318A">
          <w:rPr>
            <w:rFonts w:ascii="Verdana" w:eastAsia="Times New Roman" w:hAnsi="Verdana" w:cs="Arial"/>
            <w:kern w:val="2"/>
            <w:shd w:val="clear" w:color="auto" w:fill="FFFFFF"/>
            <w:lang w:val="es-ES"/>
            <w14:ligatures w14:val="standardContextual"/>
          </w:rPr>
          <w:t>https://relatoria.colombiacompra.gov.co/</w:t>
        </w:r>
      </w:hyperlink>
      <w:r w:rsidRPr="0028318A">
        <w:rPr>
          <w:rFonts w:ascii="Verdana" w:eastAsia="Times New Roman" w:hAnsi="Verdana" w:cs="Arial"/>
          <w:kern w:val="2"/>
          <w:shd w:val="clear" w:color="auto" w:fill="FFFFFF"/>
          <w:lang w:val="es-ES"/>
          <w14:ligatures w14:val="standardContextual"/>
        </w:rPr>
        <w:t>.</w:t>
      </w:r>
    </w:p>
    <w:p w14:paraId="42C296E4" w14:textId="77777777" w:rsidR="0028318A" w:rsidRPr="0028318A" w:rsidRDefault="0028318A" w:rsidP="0028318A">
      <w:pPr>
        <w:spacing w:after="0" w:line="240" w:lineRule="auto"/>
        <w:jc w:val="both"/>
        <w:rPr>
          <w:rFonts w:ascii="Verdana" w:eastAsia="Calibri" w:hAnsi="Verdana" w:cs="Arial"/>
          <w:color w:val="000000"/>
          <w:kern w:val="2"/>
          <w:shd w:val="clear" w:color="auto" w:fill="FFFFFF"/>
          <w:lang w:val="es-ES_tradnl"/>
          <w14:ligatures w14:val="standardContextual"/>
        </w:rPr>
      </w:pPr>
    </w:p>
    <w:p w14:paraId="3E2380B8" w14:textId="77777777" w:rsidR="0028318A" w:rsidRPr="0028318A" w:rsidRDefault="0028318A" w:rsidP="0028318A">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28318A">
        <w:rPr>
          <w:rFonts w:ascii="Verdana" w:eastAsia="Calibri" w:hAnsi="Verdana" w:cs="Arial"/>
          <w:kern w:val="2"/>
          <w:shd w:val="clear" w:color="auto" w:fill="FFFFFF"/>
          <w:lang w:val="es-ES_tradnl"/>
          <w14:ligatures w14:val="standardContextual"/>
        </w:rPr>
        <w:t>La</w:t>
      </w:r>
      <w:r w:rsidRPr="0028318A">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28318A">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28318A">
        <w:rPr>
          <w:rFonts w:ascii="Verdana" w:eastAsia="Calibri" w:hAnsi="Verdana" w:cs="Arial"/>
          <w:b/>
          <w:bCs/>
          <w:kern w:val="2"/>
          <w:shd w:val="clear" w:color="auto" w:fill="FFFFFF"/>
          <w:lang w:val="es-ES_tradnl"/>
          <w14:ligatures w14:val="standardContextual"/>
        </w:rPr>
        <w:t>Documentos Tipo</w:t>
      </w:r>
      <w:r w:rsidRPr="0028318A">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28318A">
        <w:rPr>
          <w:rFonts w:ascii="Verdana" w:eastAsia="Calibri" w:hAnsi="Verdana" w:cs="Arial"/>
          <w:b/>
          <w:bCs/>
          <w:kern w:val="2"/>
          <w:shd w:val="clear" w:color="auto" w:fill="FFFFFF"/>
          <w:lang w:val="es-ES_tradnl"/>
          <w14:ligatures w14:val="standardContextual"/>
        </w:rPr>
        <w:t>transparencia</w:t>
      </w:r>
      <w:r w:rsidRPr="0028318A">
        <w:rPr>
          <w:rFonts w:ascii="Verdana" w:eastAsia="Calibri" w:hAnsi="Verdana" w:cs="Arial"/>
          <w:kern w:val="2"/>
          <w:shd w:val="clear" w:color="auto" w:fill="FFFFFF"/>
          <w:lang w:val="es-ES_tradnl"/>
          <w14:ligatures w14:val="standardContextual"/>
        </w:rPr>
        <w:t> y promover un proceso de </w:t>
      </w:r>
      <w:r w:rsidRPr="0028318A">
        <w:rPr>
          <w:rFonts w:ascii="Verdana" w:eastAsia="Calibri" w:hAnsi="Verdana" w:cs="Arial"/>
          <w:b/>
          <w:bCs/>
          <w:kern w:val="2"/>
          <w:shd w:val="clear" w:color="auto" w:fill="FFFFFF"/>
          <w:lang w:val="es-ES_tradnl"/>
          <w14:ligatures w14:val="standardContextual"/>
        </w:rPr>
        <w:t>selección objetiva</w:t>
      </w:r>
      <w:r w:rsidRPr="0028318A">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730DEF27" w14:textId="77777777" w:rsidR="0028318A" w:rsidRPr="0028318A" w:rsidRDefault="0028318A" w:rsidP="0028318A">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789CA2FA" w14:textId="77777777" w:rsidR="0028318A" w:rsidRPr="0028318A" w:rsidRDefault="0028318A" w:rsidP="0028318A">
      <w:pPr>
        <w:spacing w:after="0" w:line="276" w:lineRule="auto"/>
        <w:jc w:val="both"/>
        <w:rPr>
          <w:rFonts w:ascii="Verdana" w:eastAsia="Aptos" w:hAnsi="Verdana" w:cs="Times New Roman"/>
          <w:kern w:val="2"/>
          <w:lang w:val="es-ES_tradnl"/>
          <w14:ligatures w14:val="standardContextual"/>
        </w:rPr>
      </w:pPr>
      <w:r w:rsidRPr="0028318A">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28318A">
        <w:rPr>
          <w:rFonts w:ascii="Verdana" w:eastAsia="Aptos" w:hAnsi="Verdana" w:cs="Times New Roman"/>
          <w:b/>
          <w:bCs/>
          <w:kern w:val="2"/>
          <w14:ligatures w14:val="standardContextual"/>
        </w:rPr>
        <w:t>Guía para la Exigencia y Constitución de Garantías en los Procesos de Contratación</w:t>
      </w:r>
      <w:r w:rsidRPr="0028318A">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4" w:tgtFrame="_blank" w:tooltip="Original URL: https://www.colombiacompra.gov.co/archivos/manual/guia-de-garantias-en-procesos-de-contratacion. Click or tap if you trust this link." w:history="1">
        <w:r w:rsidRPr="0028318A">
          <w:rPr>
            <w:rFonts w:ascii="Verdana" w:eastAsia="Aptos" w:hAnsi="Verdana" w:cs="Times New Roman"/>
            <w:color w:val="0000FF"/>
            <w:kern w:val="2"/>
            <w:u w:val="single"/>
            <w14:ligatures w14:val="standardContextual"/>
          </w:rPr>
          <w:t>https://www.colombiacompra.gov.co/archivos/manual/guia-de-garantias-en-procesos-de-contratacion</w:t>
        </w:r>
      </w:hyperlink>
    </w:p>
    <w:p w14:paraId="2C253BBF" w14:textId="77777777" w:rsidR="0028318A" w:rsidRPr="0028318A" w:rsidRDefault="0028318A" w:rsidP="0028318A">
      <w:pPr>
        <w:spacing w:after="0" w:line="276" w:lineRule="auto"/>
        <w:jc w:val="both"/>
        <w:rPr>
          <w:rFonts w:ascii="Verdana" w:eastAsia="Aptos" w:hAnsi="Verdana" w:cs="Times New Roman"/>
          <w:kern w:val="2"/>
          <w14:ligatures w14:val="standardContextual"/>
        </w:rPr>
      </w:pPr>
    </w:p>
    <w:p w14:paraId="2B71C9A8" w14:textId="77777777" w:rsidR="0028318A" w:rsidRPr="0028318A" w:rsidRDefault="0028318A" w:rsidP="0028318A">
      <w:pPr>
        <w:spacing w:after="0" w:line="276" w:lineRule="auto"/>
        <w:jc w:val="both"/>
        <w:rPr>
          <w:rFonts w:ascii="Verdana" w:eastAsia="Aptos" w:hAnsi="Verdana" w:cs="Times New Roman"/>
          <w:kern w:val="2"/>
          <w:lang w:val="es-ES_tradnl"/>
          <w14:ligatures w14:val="standardContextual"/>
        </w:rPr>
      </w:pPr>
      <w:r w:rsidRPr="0028318A">
        <w:rPr>
          <w:rFonts w:ascii="Verdana" w:eastAsia="Aptos" w:hAnsi="Verdana" w:cs="Times New Roman"/>
          <w:kern w:val="2"/>
          <w14:ligatures w14:val="standardContextual"/>
        </w:rPr>
        <w:t>De otro lado, le contamos que el Decreto 287 del 19 de marzo de 2026 sustituyó los artículos 2.2.1.2.4.2.6., 2.2.1.2.4.2.7. y 2.2.1.2.4.2.8. del Decreto 1082 de 2015 y estructuró el </w:t>
      </w:r>
      <w:r w:rsidRPr="0028318A">
        <w:rPr>
          <w:rFonts w:ascii="Verdana" w:eastAsia="Aptos" w:hAnsi="Verdana" w:cs="Times New Roman"/>
          <w:b/>
          <w:bCs/>
          <w:kern w:val="2"/>
          <w14:ligatures w14:val="standardContextual"/>
        </w:rPr>
        <w:t>Sistema Integral de Preferencias en favor de las personas con discapacidad</w:t>
      </w:r>
      <w:r w:rsidRPr="0028318A">
        <w:rPr>
          <w:rFonts w:ascii="Verdana" w:eastAsia="Aptos" w:hAnsi="Verdana" w:cs="Times New Roman"/>
          <w:kern w:val="2"/>
          <w14:ligatures w14:val="standardContextual"/>
        </w:rPr>
        <w:t xml:space="preserve">, en cumplimiento del artículo 13 de la Ley Estatutaria 1618 de 2013. Para orientar su aplicación, esta Agencia expidió </w:t>
      </w:r>
      <w:r w:rsidRPr="0028318A">
        <w:rPr>
          <w:rFonts w:ascii="Verdana" w:eastAsia="Aptos" w:hAnsi="Verdana" w:cs="Times New Roman"/>
          <w:kern w:val="2"/>
          <w14:ligatures w14:val="standardContextual"/>
        </w:rPr>
        <w:lastRenderedPageBreak/>
        <w:t>la </w:t>
      </w:r>
      <w:r w:rsidRPr="0028318A">
        <w:rPr>
          <w:rFonts w:ascii="Verdana" w:eastAsia="Aptos" w:hAnsi="Verdana" w:cs="Times New Roman"/>
          <w:b/>
          <w:bCs/>
          <w:kern w:val="2"/>
          <w14:ligatures w14:val="standardContextual"/>
        </w:rPr>
        <w:t>Circular Externa 003 del 12 de mayo de 2026, </w:t>
      </w:r>
      <w:r w:rsidRPr="0028318A">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5" w:tgtFrame="_blank" w:tooltip="Original URL: https://www.colombiacompra.gov.co/archivos/circular/circular-externa-003-de-2026. Click or tap if you trust this link." w:history="1">
        <w:r w:rsidRPr="0028318A">
          <w:rPr>
            <w:rFonts w:ascii="Verdana" w:eastAsia="Aptos" w:hAnsi="Verdana" w:cs="Times New Roman"/>
            <w:color w:val="0000FF"/>
            <w:kern w:val="2"/>
            <w:u w:val="single"/>
            <w14:ligatures w14:val="standardContextual"/>
          </w:rPr>
          <w:t>https://www.colombiacompra.gov.co/archivos/circular/circular-externa-003-de-2026</w:t>
        </w:r>
      </w:hyperlink>
    </w:p>
    <w:p w14:paraId="4751FF82" w14:textId="77777777" w:rsidR="0028318A" w:rsidRPr="0028318A" w:rsidRDefault="0028318A" w:rsidP="0028318A">
      <w:pPr>
        <w:spacing w:after="0" w:line="276" w:lineRule="auto"/>
        <w:jc w:val="both"/>
        <w:rPr>
          <w:rFonts w:ascii="Verdana" w:eastAsia="Aptos" w:hAnsi="Verdana" w:cs="Times New Roman"/>
          <w:kern w:val="2"/>
          <w14:ligatures w14:val="standardContextual"/>
        </w:rPr>
      </w:pPr>
    </w:p>
    <w:p w14:paraId="2FC3F106" w14:textId="77777777" w:rsidR="0028318A" w:rsidRPr="0028318A" w:rsidRDefault="0028318A" w:rsidP="0028318A">
      <w:pPr>
        <w:spacing w:after="0" w:line="276" w:lineRule="auto"/>
        <w:jc w:val="both"/>
        <w:rPr>
          <w:rFonts w:ascii="Verdana" w:eastAsia="Aptos" w:hAnsi="Verdana" w:cs="Times New Roman"/>
          <w:kern w:val="2"/>
          <w:lang w:val="es-ES_tradnl"/>
          <w14:ligatures w14:val="standardContextual"/>
        </w:rPr>
      </w:pPr>
      <w:r w:rsidRPr="0028318A">
        <w:rPr>
          <w:rFonts w:ascii="Verdana" w:eastAsia="Aptos" w:hAnsi="Verdana" w:cs="Times New Roman"/>
          <w:kern w:val="2"/>
          <w14:ligatures w14:val="standardContextual"/>
        </w:rPr>
        <w:t>Recuerde también que la</w:t>
      </w:r>
      <w:r w:rsidRPr="0028318A">
        <w:rPr>
          <w:rFonts w:ascii="Verdana" w:eastAsia="Aptos" w:hAnsi="Verdana" w:cs="Times New Roman"/>
          <w:b/>
          <w:bCs/>
          <w:kern w:val="2"/>
          <w14:ligatures w14:val="standardContextual"/>
        </w:rPr>
        <w:t> información sobre sanciones e inhabilidades </w:t>
      </w:r>
      <w:r w:rsidRPr="0028318A">
        <w:rPr>
          <w:rFonts w:ascii="Verdana" w:eastAsia="Aptos" w:hAnsi="Verdana" w:cs="Times New Roman"/>
          <w:kern w:val="2"/>
          <w14:ligatures w14:val="standardContextual"/>
        </w:rPr>
        <w:t>solo cumple su función preventiva si llega oportunamente a los registros públicos. Sobre este deber, esta Agencia expidió la </w:t>
      </w:r>
      <w:r w:rsidRPr="0028318A">
        <w:rPr>
          <w:rFonts w:ascii="Verdana" w:eastAsia="Aptos" w:hAnsi="Verdana" w:cs="Times New Roman"/>
          <w:b/>
          <w:bCs/>
          <w:kern w:val="2"/>
          <w14:ligatures w14:val="standardContextual"/>
        </w:rPr>
        <w:t>Circular Externa 002 del 5 de mayo de 2026,</w:t>
      </w:r>
      <w:r w:rsidRPr="0028318A">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28318A">
          <w:rPr>
            <w:rFonts w:ascii="Verdana" w:eastAsia="Aptos" w:hAnsi="Verdana" w:cs="Times New Roman"/>
            <w:color w:val="0000FF"/>
            <w:kern w:val="2"/>
            <w:u w:val="single"/>
            <w14:ligatures w14:val="standardContextual"/>
          </w:rPr>
          <w:t>https://www.colombiacompra.gov.co/archivos/circular/circular-externa-002-de-2026</w:t>
        </w:r>
      </w:hyperlink>
    </w:p>
    <w:p w14:paraId="0B024202" w14:textId="77777777" w:rsidR="0028318A" w:rsidRPr="0028318A" w:rsidRDefault="0028318A" w:rsidP="0028318A">
      <w:pPr>
        <w:spacing w:after="0" w:line="276" w:lineRule="auto"/>
        <w:jc w:val="both"/>
        <w:rPr>
          <w:rFonts w:ascii="Verdana" w:eastAsia="Aptos" w:hAnsi="Verdana" w:cs="Times New Roman"/>
          <w:kern w:val="2"/>
          <w14:ligatures w14:val="standardContextual"/>
        </w:rPr>
      </w:pPr>
    </w:p>
    <w:p w14:paraId="70AAFD7F" w14:textId="77777777" w:rsidR="0028318A" w:rsidRPr="0028318A" w:rsidRDefault="0028318A" w:rsidP="0028318A">
      <w:pPr>
        <w:spacing w:after="0" w:line="276" w:lineRule="auto"/>
        <w:jc w:val="both"/>
        <w:rPr>
          <w:rFonts w:ascii="Verdana" w:eastAsia="Aptos" w:hAnsi="Verdana" w:cs="Times New Roman"/>
          <w:kern w:val="2"/>
          <w14:ligatures w14:val="standardContextual"/>
        </w:rPr>
      </w:pPr>
      <w:r w:rsidRPr="0028318A">
        <w:rPr>
          <w:rFonts w:ascii="Verdana" w:eastAsia="Aptos" w:hAnsi="Verdana" w:cs="Times New Roman"/>
          <w:kern w:val="2"/>
          <w14:ligatures w14:val="standardContextual"/>
        </w:rPr>
        <w:t>Finalmente, si quiere seguir de cerca la actividad de la Agencia, la tercera edición de 2026 del</w:t>
      </w:r>
      <w:r w:rsidRPr="0028318A">
        <w:rPr>
          <w:rFonts w:ascii="Verdana" w:eastAsia="Aptos" w:hAnsi="Verdana" w:cs="Times New Roman"/>
          <w:b/>
          <w:bCs/>
          <w:kern w:val="2"/>
          <w14:ligatures w14:val="standardContextual"/>
        </w:rPr>
        <w:t> Radar de la Compra Pública</w:t>
      </w:r>
      <w:r w:rsidRPr="0028318A">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tgtFrame="_blank" w:tooltip="Original URL: https://www.colombiacompra.gov.co/archivos/boletin/boletin-edicion-n-3-de-2026-radar-de-la-compra-publica. Click or tap if you trust this link." w:history="1">
        <w:r w:rsidRPr="0028318A">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6ACBE8DF" w14:textId="77777777" w:rsidR="0028318A" w:rsidRPr="0028318A" w:rsidRDefault="0028318A" w:rsidP="0028318A">
      <w:pPr>
        <w:widowControl w:val="0"/>
        <w:autoSpaceDE w:val="0"/>
        <w:autoSpaceDN w:val="0"/>
        <w:spacing w:after="0" w:line="276" w:lineRule="auto"/>
        <w:jc w:val="both"/>
        <w:rPr>
          <w:rFonts w:ascii="Verdana" w:eastAsia="Calibri" w:hAnsi="Verdana" w:cs="Arial"/>
          <w:shd w:val="clear" w:color="auto" w:fill="FFFFFF"/>
          <w:lang w:val="es-ES_tradnl"/>
        </w:rPr>
      </w:pPr>
    </w:p>
    <w:p w14:paraId="2BB1970B" w14:textId="77777777" w:rsidR="0028318A" w:rsidRPr="0028318A" w:rsidRDefault="0028318A" w:rsidP="0028318A">
      <w:pPr>
        <w:spacing w:after="0" w:line="276" w:lineRule="auto"/>
        <w:jc w:val="both"/>
        <w:rPr>
          <w:rFonts w:ascii="Verdana" w:eastAsia="Calibri" w:hAnsi="Verdana" w:cs="Times New Roman"/>
          <w:lang w:val="es-ES_tradnl"/>
        </w:rPr>
      </w:pPr>
      <w:r w:rsidRPr="0028318A">
        <w:rPr>
          <w:rFonts w:ascii="Verdana" w:eastAsia="Calibri" w:hAnsi="Verdana" w:cs="Times New Roman"/>
          <w:lang w:val="es-ES_tradnl"/>
        </w:rPr>
        <w:t xml:space="preserve">Por último, los invitamos a seguirnos en las redes sociales, en las cuales se difunde información institucional: </w:t>
      </w:r>
    </w:p>
    <w:p w14:paraId="56FC475A" w14:textId="77777777" w:rsidR="0028318A" w:rsidRPr="0028318A" w:rsidRDefault="0028318A" w:rsidP="0028318A">
      <w:pPr>
        <w:spacing w:after="0" w:line="240" w:lineRule="auto"/>
        <w:jc w:val="both"/>
        <w:rPr>
          <w:rFonts w:ascii="Verdana" w:eastAsia="Calibri" w:hAnsi="Verdana" w:cs="Times New Roman"/>
          <w:kern w:val="2"/>
          <w:lang w:val="es-ES_tradnl" w:eastAsia="es-MX"/>
          <w14:ligatures w14:val="standardContextual"/>
        </w:rPr>
      </w:pPr>
    </w:p>
    <w:p w14:paraId="274A370A" w14:textId="77777777" w:rsidR="0028318A" w:rsidRPr="0028318A" w:rsidRDefault="0028318A" w:rsidP="0028318A">
      <w:pPr>
        <w:spacing w:after="0" w:line="240" w:lineRule="auto"/>
        <w:jc w:val="both"/>
        <w:rPr>
          <w:rFonts w:ascii="Verdana" w:eastAsia="Calibri" w:hAnsi="Verdana" w:cs="Times New Roman"/>
          <w:kern w:val="2"/>
          <w:lang w:val="es-ES_tradnl" w:eastAsia="es-MX"/>
          <w14:ligatures w14:val="standardContextual"/>
        </w:rPr>
      </w:pPr>
      <w:r w:rsidRPr="0028318A">
        <w:rPr>
          <w:rFonts w:ascii="Verdana" w:eastAsia="Calibri" w:hAnsi="Verdana" w:cs="Times New Roman"/>
          <w:kern w:val="2"/>
          <w:lang w:val="es-ES_tradnl" w:eastAsia="es-MX"/>
          <w14:ligatures w14:val="standardContextual"/>
        </w:rPr>
        <w:t xml:space="preserve">X: </w:t>
      </w:r>
      <w:r w:rsidRPr="0028318A">
        <w:rPr>
          <w:rFonts w:ascii="Verdana" w:eastAsia="Calibri" w:hAnsi="Verdana" w:cs="Times New Roman"/>
          <w:kern w:val="2"/>
          <w:u w:val="single"/>
          <w:lang w:val="es-ES_tradnl" w:eastAsia="es-MX"/>
          <w14:ligatures w14:val="standardContextual"/>
        </w:rPr>
        <w:t>@colombiacompra</w:t>
      </w:r>
      <w:r w:rsidRPr="0028318A">
        <w:rPr>
          <w:rFonts w:ascii="Verdana" w:eastAsia="Calibri" w:hAnsi="Verdana" w:cs="Times New Roman"/>
          <w:kern w:val="2"/>
          <w:lang w:val="es-ES_tradnl" w:eastAsia="es-MX"/>
          <w14:ligatures w14:val="standardContextual"/>
        </w:rPr>
        <w:t xml:space="preserve"> </w:t>
      </w:r>
    </w:p>
    <w:p w14:paraId="652E5153" w14:textId="77777777" w:rsidR="0028318A" w:rsidRPr="0028318A" w:rsidRDefault="0028318A" w:rsidP="0028318A">
      <w:pPr>
        <w:spacing w:after="0" w:line="240" w:lineRule="auto"/>
        <w:jc w:val="both"/>
        <w:rPr>
          <w:rFonts w:ascii="Verdana" w:eastAsia="Calibri" w:hAnsi="Verdana" w:cs="Times New Roman"/>
          <w:kern w:val="2"/>
          <w:lang w:val="es-ES" w:eastAsia="es-MX"/>
          <w14:ligatures w14:val="standardContextual"/>
        </w:rPr>
      </w:pPr>
      <w:r w:rsidRPr="0028318A">
        <w:rPr>
          <w:rFonts w:ascii="Verdana" w:eastAsia="Calibri" w:hAnsi="Verdana" w:cs="Times New Roman"/>
          <w:kern w:val="2"/>
          <w:lang w:val="es-ES" w:eastAsia="es-MX"/>
          <w14:ligatures w14:val="standardContextual"/>
        </w:rPr>
        <w:t xml:space="preserve">Facebook: </w:t>
      </w:r>
      <w:proofErr w:type="spellStart"/>
      <w:r w:rsidRPr="0028318A">
        <w:rPr>
          <w:rFonts w:ascii="Verdana" w:eastAsia="Calibri" w:hAnsi="Verdana" w:cs="Times New Roman"/>
          <w:kern w:val="2"/>
          <w:u w:val="single"/>
          <w:lang w:val="es-ES" w:eastAsia="es-MX"/>
          <w14:ligatures w14:val="standardContextual"/>
        </w:rPr>
        <w:t>ColombiaCompraEficiente</w:t>
      </w:r>
      <w:proofErr w:type="spellEnd"/>
    </w:p>
    <w:p w14:paraId="3CF2BD10" w14:textId="77777777" w:rsidR="0028318A" w:rsidRPr="0028318A" w:rsidRDefault="0028318A" w:rsidP="0028318A">
      <w:pPr>
        <w:spacing w:after="0" w:line="240" w:lineRule="auto"/>
        <w:jc w:val="both"/>
        <w:rPr>
          <w:rFonts w:ascii="Verdana" w:eastAsia="Calibri" w:hAnsi="Verdana" w:cs="Times New Roman"/>
          <w:kern w:val="2"/>
          <w:lang w:val="es-ES_tradnl" w:eastAsia="es-MX"/>
          <w14:ligatures w14:val="standardContextual"/>
        </w:rPr>
      </w:pPr>
      <w:r w:rsidRPr="0028318A">
        <w:rPr>
          <w:rFonts w:ascii="Verdana" w:eastAsia="Calibri" w:hAnsi="Verdana" w:cs="Times New Roman"/>
          <w:kern w:val="2"/>
          <w:lang w:val="es-ES_tradnl" w:eastAsia="es-MX"/>
          <w14:ligatures w14:val="standardContextual"/>
        </w:rPr>
        <w:t xml:space="preserve">LinkedIn: </w:t>
      </w:r>
      <w:r w:rsidRPr="0028318A">
        <w:rPr>
          <w:rFonts w:ascii="Verdana" w:eastAsia="Calibri" w:hAnsi="Verdana" w:cs="Times New Roman"/>
          <w:kern w:val="2"/>
          <w:u w:val="single"/>
          <w:lang w:val="es-ES_tradnl" w:eastAsia="es-MX"/>
          <w14:ligatures w14:val="standardContextual"/>
        </w:rPr>
        <w:t>Agencia Nacional de Contratación Pública - Colombia Compra Eficiente</w:t>
      </w:r>
      <w:r w:rsidRPr="0028318A">
        <w:rPr>
          <w:rFonts w:ascii="Verdana" w:eastAsia="Calibri" w:hAnsi="Verdana" w:cs="Times New Roman"/>
          <w:kern w:val="2"/>
          <w:lang w:val="es-ES_tradnl" w:eastAsia="es-MX"/>
          <w14:ligatures w14:val="standardContextual"/>
        </w:rPr>
        <w:t xml:space="preserve"> Instagram: </w:t>
      </w:r>
      <w:r w:rsidRPr="0028318A">
        <w:rPr>
          <w:rFonts w:ascii="Verdana" w:eastAsia="Calibri" w:hAnsi="Verdana" w:cs="Times New Roman"/>
          <w:kern w:val="2"/>
          <w:u w:val="single"/>
          <w:lang w:val="es-ES_tradnl" w:eastAsia="es-MX"/>
          <w14:ligatures w14:val="standardContextual"/>
        </w:rPr>
        <w:t>@colombiacompraeficiente_cce</w:t>
      </w:r>
    </w:p>
    <w:p w14:paraId="474BD578" w14:textId="77777777" w:rsidR="0028318A" w:rsidRPr="0028318A" w:rsidRDefault="0028318A" w:rsidP="0028318A">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43494173" w14:textId="77777777" w:rsidR="0028318A" w:rsidRPr="0028318A" w:rsidRDefault="0028318A" w:rsidP="0028318A">
      <w:pPr>
        <w:widowControl w:val="0"/>
        <w:autoSpaceDE w:val="0"/>
        <w:autoSpaceDN w:val="0"/>
        <w:spacing w:after="0" w:line="276" w:lineRule="auto"/>
        <w:jc w:val="both"/>
        <w:rPr>
          <w:rFonts w:ascii="Verdana" w:eastAsia="Calibri" w:hAnsi="Verdana" w:cs="Arial"/>
          <w:lang w:eastAsia="es-MX"/>
        </w:rPr>
      </w:pPr>
      <w:r w:rsidRPr="0028318A">
        <w:rPr>
          <w:rFonts w:ascii="Verdana" w:eastAsia="Calibri" w:hAnsi="Verdana" w:cs="Arial"/>
          <w:kern w:val="2"/>
          <w:lang w:val="es-ES_tradnl" w:eastAsia="es-MX"/>
          <w14:ligatures w14:val="standardContextual"/>
        </w:rPr>
        <w:t xml:space="preserve">Este concepto tiene el alcance previsto en el artículo 28 del Código de </w:t>
      </w:r>
      <w:r w:rsidRPr="0028318A">
        <w:rPr>
          <w:rFonts w:ascii="Verdana" w:eastAsia="Calibri" w:hAnsi="Verdana" w:cs="Arial"/>
          <w:kern w:val="2"/>
          <w:lang w:val="es-ES_tradnl" w:eastAsia="es-MX"/>
          <w14:ligatures w14:val="standardContextual"/>
        </w:rPr>
        <w:lastRenderedPageBreak/>
        <w:t>Procedimiento Administrativo y de lo Contencioso Administrativo y las expresiones aquí utilizadas con mayúscula inicial deben ser entendidas con el significado que les otorga el artículo 2.2.1.1.1.3.1. del Decreto 1082 de 2015.</w:t>
      </w:r>
    </w:p>
    <w:p w14:paraId="6C609EFC" w14:textId="77777777" w:rsidR="0028318A" w:rsidRPr="0028318A" w:rsidRDefault="0028318A" w:rsidP="0028318A">
      <w:pPr>
        <w:widowControl w:val="0"/>
        <w:autoSpaceDE w:val="0"/>
        <w:autoSpaceDN w:val="0"/>
        <w:spacing w:after="0" w:line="276" w:lineRule="auto"/>
        <w:jc w:val="both"/>
        <w:rPr>
          <w:rFonts w:ascii="Verdana" w:eastAsia="Calibri" w:hAnsi="Verdana" w:cs="Arial"/>
          <w:lang w:eastAsia="es-MX"/>
        </w:rPr>
      </w:pPr>
    </w:p>
    <w:p w14:paraId="51C00AF4" w14:textId="77777777" w:rsidR="0028318A" w:rsidRPr="0028318A" w:rsidRDefault="0028318A" w:rsidP="0028318A">
      <w:pPr>
        <w:spacing w:after="0" w:line="240" w:lineRule="auto"/>
        <w:rPr>
          <w:rFonts w:ascii="Verdana" w:eastAsia="Calibri" w:hAnsi="Verdana" w:cs="Arial"/>
          <w:lang w:eastAsia="es-CO"/>
        </w:rPr>
      </w:pPr>
      <w:r w:rsidRPr="0028318A">
        <w:rPr>
          <w:rFonts w:ascii="Verdana" w:eastAsia="Times New Roman" w:hAnsi="Verdana" w:cs="Arial"/>
          <w:lang w:eastAsia="es-CO"/>
        </w:rPr>
        <w:t>Atentamente,</w:t>
      </w:r>
      <w:r w:rsidRPr="0028318A">
        <w:rPr>
          <w:rFonts w:ascii="Verdana" w:eastAsia="Calibri" w:hAnsi="Verdana" w:cs="Arial"/>
          <w:lang w:eastAsia="es-CO"/>
        </w:rPr>
        <w:t xml:space="preserve"> </w:t>
      </w:r>
    </w:p>
    <w:p w14:paraId="3FBC1390" w14:textId="02AEF3EA" w:rsidR="0028318A" w:rsidRPr="0028318A" w:rsidRDefault="007D628E" w:rsidP="007D628E">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drawing>
          <wp:inline distT="0" distB="0" distL="0" distR="0" wp14:anchorId="2D239E7C" wp14:editId="4A83C0A8">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stretch>
                      <a:fillRect/>
                    </a:stretch>
                  </pic:blipFill>
                  <pic:spPr>
                    <a:xfrm>
                      <a:off x="0" y="0"/>
                      <a:ext cx="3219498" cy="1195115"/>
                    </a:xfrm>
                    <a:prstGeom prst="rect">
                      <a:avLst/>
                    </a:prstGeom>
                  </pic:spPr>
                </pic:pic>
              </a:graphicData>
            </a:graphic>
          </wp:inline>
        </w:drawing>
      </w:r>
    </w:p>
    <w:tbl>
      <w:tblPr>
        <w:tblStyle w:val="Tablaconcuadrcula1"/>
        <w:tblW w:w="6521" w:type="dxa"/>
        <w:tblLook w:val="04A0" w:firstRow="1" w:lastRow="0" w:firstColumn="1" w:lastColumn="0" w:noHBand="0" w:noVBand="1"/>
      </w:tblPr>
      <w:tblGrid>
        <w:gridCol w:w="893"/>
        <w:gridCol w:w="5628"/>
      </w:tblGrid>
      <w:tr w:rsidR="0028318A" w:rsidRPr="0028318A" w14:paraId="21BA1745" w14:textId="77777777" w:rsidTr="00BB19DC">
        <w:trPr>
          <w:trHeight w:val="315"/>
        </w:trPr>
        <w:tc>
          <w:tcPr>
            <w:tcW w:w="893" w:type="dxa"/>
            <w:tcBorders>
              <w:top w:val="nil"/>
              <w:left w:val="nil"/>
              <w:bottom w:val="nil"/>
              <w:right w:val="nil"/>
            </w:tcBorders>
            <w:vAlign w:val="center"/>
            <w:hideMark/>
          </w:tcPr>
          <w:p w14:paraId="2D474904" w14:textId="77777777" w:rsidR="0028318A" w:rsidRPr="0028318A" w:rsidRDefault="0028318A" w:rsidP="0028318A">
            <w:pPr>
              <w:rPr>
                <w:rFonts w:ascii="Verdana" w:eastAsia="Calibri" w:hAnsi="Verdana" w:cs="Arial"/>
                <w:sz w:val="16"/>
                <w:szCs w:val="16"/>
                <w:lang w:eastAsia="es-ES"/>
              </w:rPr>
            </w:pPr>
            <w:r w:rsidRPr="0028318A">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22C8DFCB" w14:textId="77777777" w:rsidR="0028318A" w:rsidRPr="0028318A" w:rsidRDefault="0028318A" w:rsidP="0028318A">
            <w:pPr>
              <w:rPr>
                <w:rFonts w:ascii="Verdana" w:eastAsia="Arial" w:hAnsi="Verdana" w:cs="Arial"/>
                <w:sz w:val="16"/>
                <w:szCs w:val="16"/>
                <w:lang w:eastAsia="es-MX"/>
              </w:rPr>
            </w:pPr>
            <w:r w:rsidRPr="0028318A">
              <w:rPr>
                <w:rFonts w:ascii="Verdana" w:eastAsia="Arial" w:hAnsi="Verdana" w:cs="Arial"/>
                <w:sz w:val="16"/>
                <w:szCs w:val="16"/>
                <w:lang w:eastAsia="es-MX"/>
              </w:rPr>
              <w:t>Kevin Arlid Herrera Santa</w:t>
            </w:r>
          </w:p>
          <w:p w14:paraId="0F3E3136" w14:textId="77777777" w:rsidR="0028318A" w:rsidRPr="0028318A" w:rsidRDefault="0028318A" w:rsidP="0028318A">
            <w:pPr>
              <w:rPr>
                <w:rFonts w:ascii="Verdana" w:eastAsia="Arial" w:hAnsi="Verdana" w:cs="Arial"/>
                <w:sz w:val="16"/>
                <w:szCs w:val="16"/>
                <w:lang w:eastAsia="es-MX"/>
              </w:rPr>
            </w:pPr>
            <w:r w:rsidRPr="0028318A">
              <w:rPr>
                <w:rFonts w:ascii="Verdana" w:eastAsia="Arial" w:hAnsi="Verdana" w:cs="Arial"/>
                <w:sz w:val="16"/>
                <w:szCs w:val="16"/>
                <w:lang w:eastAsia="es-MX"/>
              </w:rPr>
              <w:t>Contratista de la Subdirección de Gestión Contractual</w:t>
            </w:r>
          </w:p>
          <w:p w14:paraId="5FF29C83" w14:textId="77777777" w:rsidR="0028318A" w:rsidRPr="0028318A" w:rsidRDefault="0028318A" w:rsidP="0028318A">
            <w:pPr>
              <w:rPr>
                <w:rFonts w:ascii="Verdana" w:eastAsia="Arial" w:hAnsi="Verdana" w:cs="Arial"/>
                <w:sz w:val="16"/>
                <w:szCs w:val="16"/>
                <w:lang w:eastAsia="es-MX"/>
              </w:rPr>
            </w:pPr>
            <w:r w:rsidRPr="0028318A">
              <w:rPr>
                <w:rFonts w:ascii="Verdana" w:eastAsia="Arial" w:hAnsi="Verdana" w:cs="Arial"/>
                <w:sz w:val="16"/>
                <w:szCs w:val="16"/>
                <w:lang w:eastAsia="es-MX"/>
              </w:rPr>
              <w:t>Alexandra Rodríguez Motta</w:t>
            </w:r>
          </w:p>
          <w:p w14:paraId="796B3AC2" w14:textId="77777777" w:rsidR="0028318A" w:rsidRPr="0028318A" w:rsidRDefault="0028318A" w:rsidP="0028318A">
            <w:pPr>
              <w:rPr>
                <w:rFonts w:ascii="Verdana" w:eastAsia="Arial" w:hAnsi="Verdana" w:cs="Arial"/>
                <w:sz w:val="16"/>
                <w:szCs w:val="16"/>
                <w:lang w:eastAsia="es-MX"/>
              </w:rPr>
            </w:pPr>
            <w:r w:rsidRPr="0028318A">
              <w:rPr>
                <w:rFonts w:ascii="Verdana" w:eastAsia="Arial" w:hAnsi="Verdana" w:cs="Arial"/>
                <w:sz w:val="16"/>
                <w:szCs w:val="16"/>
                <w:lang w:eastAsia="es-MX"/>
              </w:rPr>
              <w:t>Contratista de la Subdirección de Gestión Contractual</w:t>
            </w:r>
          </w:p>
        </w:tc>
      </w:tr>
      <w:tr w:rsidR="0028318A" w:rsidRPr="0028318A" w14:paraId="285D6B72" w14:textId="77777777" w:rsidTr="00BB19DC">
        <w:trPr>
          <w:trHeight w:val="330"/>
        </w:trPr>
        <w:tc>
          <w:tcPr>
            <w:tcW w:w="893" w:type="dxa"/>
            <w:tcBorders>
              <w:top w:val="nil"/>
              <w:left w:val="nil"/>
              <w:bottom w:val="nil"/>
              <w:right w:val="nil"/>
            </w:tcBorders>
            <w:vAlign w:val="center"/>
            <w:hideMark/>
          </w:tcPr>
          <w:p w14:paraId="7B1B7007" w14:textId="77777777" w:rsidR="0028318A" w:rsidRPr="0028318A" w:rsidRDefault="0028318A" w:rsidP="0028318A">
            <w:pPr>
              <w:rPr>
                <w:rFonts w:ascii="Verdana" w:eastAsia="Calibri" w:hAnsi="Verdana" w:cs="Arial"/>
                <w:sz w:val="16"/>
                <w:szCs w:val="16"/>
                <w:lang w:eastAsia="es-ES"/>
              </w:rPr>
            </w:pPr>
            <w:r w:rsidRPr="0028318A">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66A5C50F" w14:textId="77777777" w:rsidR="0028318A" w:rsidRPr="0028318A" w:rsidRDefault="0028318A" w:rsidP="0028318A">
            <w:pPr>
              <w:textAlignment w:val="baseline"/>
              <w:rPr>
                <w:rFonts w:ascii="Verdana" w:eastAsia="Times New Roman" w:hAnsi="Verdana" w:cs="Segoe UI"/>
                <w:sz w:val="16"/>
                <w:szCs w:val="16"/>
                <w:lang w:val="es-ES" w:eastAsia="es-ES"/>
              </w:rPr>
            </w:pPr>
            <w:r w:rsidRPr="0028318A">
              <w:rPr>
                <w:rFonts w:ascii="Verdana" w:eastAsia="Times New Roman" w:hAnsi="Verdana" w:cs="Segoe UI"/>
                <w:sz w:val="16"/>
                <w:szCs w:val="16"/>
                <w:lang w:val="es-ES" w:eastAsia="es-ES"/>
              </w:rPr>
              <w:t>Martha Alicia Romero Vargas</w:t>
            </w:r>
          </w:p>
          <w:p w14:paraId="0085CEDC" w14:textId="77777777" w:rsidR="0028318A" w:rsidRPr="0028318A" w:rsidRDefault="0028318A" w:rsidP="0028318A">
            <w:pPr>
              <w:textAlignment w:val="baseline"/>
              <w:rPr>
                <w:rFonts w:ascii="Verdana" w:eastAsia="Times New Roman" w:hAnsi="Verdana" w:cs="Segoe UI"/>
                <w:sz w:val="16"/>
                <w:szCs w:val="16"/>
                <w:lang w:eastAsia="es-ES_tradnl"/>
              </w:rPr>
            </w:pPr>
            <w:r w:rsidRPr="0028318A">
              <w:rPr>
                <w:rFonts w:ascii="Verdana" w:eastAsia="Times New Roman" w:hAnsi="Verdana" w:cs="Arial"/>
                <w:sz w:val="16"/>
                <w:szCs w:val="16"/>
                <w:lang w:val="es-ES_tradnl" w:eastAsia="es-ES_tradnl"/>
              </w:rPr>
              <w:t>Gestor T1-15 de la Subdirección de Gestión Contractual </w:t>
            </w:r>
          </w:p>
        </w:tc>
      </w:tr>
      <w:tr w:rsidR="0028318A" w:rsidRPr="0028318A" w14:paraId="2C9CFC1C" w14:textId="77777777" w:rsidTr="00BB19DC">
        <w:trPr>
          <w:trHeight w:val="300"/>
        </w:trPr>
        <w:tc>
          <w:tcPr>
            <w:tcW w:w="893" w:type="dxa"/>
            <w:tcBorders>
              <w:top w:val="nil"/>
              <w:left w:val="nil"/>
              <w:bottom w:val="nil"/>
              <w:right w:val="nil"/>
            </w:tcBorders>
            <w:vAlign w:val="center"/>
          </w:tcPr>
          <w:p w14:paraId="22EFBD9F" w14:textId="77777777" w:rsidR="0028318A" w:rsidRPr="0028318A" w:rsidRDefault="0028318A" w:rsidP="0028318A">
            <w:pPr>
              <w:rPr>
                <w:rFonts w:ascii="Verdana" w:eastAsia="Calibri" w:hAnsi="Verdana" w:cs="Arial"/>
                <w:sz w:val="16"/>
                <w:szCs w:val="16"/>
                <w:lang w:eastAsia="es-ES"/>
              </w:rPr>
            </w:pPr>
            <w:r w:rsidRPr="0028318A">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624A4D7F" w14:textId="77777777" w:rsidR="0028318A" w:rsidRPr="0028318A" w:rsidRDefault="0028318A" w:rsidP="0028318A">
            <w:pPr>
              <w:rPr>
                <w:rFonts w:ascii="Verdana" w:eastAsia="Calibri" w:hAnsi="Verdana" w:cs="Arial"/>
                <w:sz w:val="16"/>
                <w:szCs w:val="16"/>
                <w:lang w:eastAsia="es-ES"/>
              </w:rPr>
            </w:pPr>
            <w:r w:rsidRPr="0028318A">
              <w:rPr>
                <w:rFonts w:ascii="Verdana" w:eastAsia="Calibri" w:hAnsi="Verdana" w:cs="Arial"/>
                <w:sz w:val="16"/>
                <w:szCs w:val="16"/>
                <w:lang w:eastAsia="es-ES"/>
              </w:rPr>
              <w:t>Carolina Quintero Gacharná</w:t>
            </w:r>
          </w:p>
          <w:p w14:paraId="578BE354" w14:textId="77777777" w:rsidR="0028318A" w:rsidRPr="0028318A" w:rsidRDefault="0028318A" w:rsidP="0028318A">
            <w:pPr>
              <w:rPr>
                <w:rFonts w:ascii="Verdana" w:eastAsia="Calibri" w:hAnsi="Verdana" w:cs="Arial"/>
                <w:sz w:val="16"/>
                <w:szCs w:val="16"/>
                <w:lang w:eastAsia="es-ES"/>
              </w:rPr>
            </w:pPr>
            <w:r w:rsidRPr="0028318A">
              <w:rPr>
                <w:rFonts w:ascii="Verdana" w:eastAsia="Calibri" w:hAnsi="Verdana" w:cs="Arial"/>
                <w:sz w:val="16"/>
                <w:szCs w:val="16"/>
                <w:lang w:eastAsia="es-ES"/>
              </w:rPr>
              <w:t>Subdirectora de Gestión Contractual ANCP – CCE</w:t>
            </w:r>
          </w:p>
        </w:tc>
      </w:tr>
    </w:tbl>
    <w:p w14:paraId="7C9026E2" w14:textId="64624A4B" w:rsidR="002A0DD0" w:rsidRPr="00CC11E5" w:rsidRDefault="002A0DD0" w:rsidP="00CC11E5">
      <w:pPr>
        <w:spacing w:after="0" w:line="240" w:lineRule="auto"/>
        <w:textAlignment w:val="baseline"/>
        <w:rPr>
          <w:rFonts w:ascii="Verdana" w:eastAsia="Verdana" w:hAnsi="Verdana" w:cs="Verdana"/>
          <w:lang w:eastAsia="es-CO"/>
        </w:rPr>
      </w:pPr>
    </w:p>
    <w:p w14:paraId="69BC4D14" w14:textId="72F954C3"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B3AC9" w14:textId="77777777" w:rsidR="00DA6D3F" w:rsidRDefault="00DA6D3F" w:rsidP="004A1847">
      <w:pPr>
        <w:spacing w:after="0" w:line="240" w:lineRule="auto"/>
      </w:pPr>
      <w:r>
        <w:separator/>
      </w:r>
    </w:p>
  </w:endnote>
  <w:endnote w:type="continuationSeparator" w:id="0">
    <w:p w14:paraId="53D23BE3" w14:textId="77777777" w:rsidR="00DA6D3F" w:rsidRDefault="00DA6D3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6586" w14:textId="77777777" w:rsidR="00DA6D3F" w:rsidRDefault="00DA6D3F" w:rsidP="004A1847">
      <w:pPr>
        <w:spacing w:after="0" w:line="240" w:lineRule="auto"/>
      </w:pPr>
      <w:r>
        <w:separator/>
      </w:r>
    </w:p>
  </w:footnote>
  <w:footnote w:type="continuationSeparator" w:id="0">
    <w:p w14:paraId="6E8E8720" w14:textId="77777777" w:rsidR="00DA6D3F" w:rsidRDefault="00DA6D3F"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793C"/>
    <w:rsid w:val="00082362"/>
    <w:rsid w:val="000A683E"/>
    <w:rsid w:val="000B19B9"/>
    <w:rsid w:val="000D0334"/>
    <w:rsid w:val="000D5DA7"/>
    <w:rsid w:val="000F6486"/>
    <w:rsid w:val="00116940"/>
    <w:rsid w:val="00125105"/>
    <w:rsid w:val="00127233"/>
    <w:rsid w:val="0015699B"/>
    <w:rsid w:val="00164B62"/>
    <w:rsid w:val="001A33BF"/>
    <w:rsid w:val="001E4177"/>
    <w:rsid w:val="001F0B24"/>
    <w:rsid w:val="001F7DC6"/>
    <w:rsid w:val="0022400B"/>
    <w:rsid w:val="002421BB"/>
    <w:rsid w:val="0025796E"/>
    <w:rsid w:val="002707A2"/>
    <w:rsid w:val="0028318A"/>
    <w:rsid w:val="002951A0"/>
    <w:rsid w:val="002962BC"/>
    <w:rsid w:val="002A093D"/>
    <w:rsid w:val="002A0DD0"/>
    <w:rsid w:val="002A49AC"/>
    <w:rsid w:val="002A64FD"/>
    <w:rsid w:val="002C7A84"/>
    <w:rsid w:val="002C7FB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D628E"/>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3D22"/>
    <w:rsid w:val="00C04FB3"/>
    <w:rsid w:val="00C11D8B"/>
    <w:rsid w:val="00C15139"/>
    <w:rsid w:val="00C330EB"/>
    <w:rsid w:val="00C50D69"/>
    <w:rsid w:val="00C5365C"/>
    <w:rsid w:val="00C754BE"/>
    <w:rsid w:val="00C76B1C"/>
    <w:rsid w:val="00C925AC"/>
    <w:rsid w:val="00CB6357"/>
    <w:rsid w:val="00CC11E5"/>
    <w:rsid w:val="00CC1B26"/>
    <w:rsid w:val="00D361FD"/>
    <w:rsid w:val="00D423A2"/>
    <w:rsid w:val="00D44E26"/>
    <w:rsid w:val="00D520D8"/>
    <w:rsid w:val="00D63AC2"/>
    <w:rsid w:val="00D7383B"/>
    <w:rsid w:val="00D7788A"/>
    <w:rsid w:val="00DA231B"/>
    <w:rsid w:val="00DA6D3F"/>
    <w:rsid w:val="00DC39FC"/>
    <w:rsid w:val="00DF5254"/>
    <w:rsid w:val="00E02524"/>
    <w:rsid w:val="00E16408"/>
    <w:rsid w:val="00E20894"/>
    <w:rsid w:val="00E245AB"/>
    <w:rsid w:val="00E2764C"/>
    <w:rsid w:val="00E27F2E"/>
    <w:rsid w:val="00E50AFE"/>
    <w:rsid w:val="00E5561B"/>
    <w:rsid w:val="00E75C92"/>
    <w:rsid w:val="00E771DC"/>
    <w:rsid w:val="00E8772A"/>
    <w:rsid w:val="00E90F6B"/>
    <w:rsid w:val="00E92C27"/>
    <w:rsid w:val="00EA0E3D"/>
    <w:rsid w:val="00EC38A7"/>
    <w:rsid w:val="00EE1AA8"/>
    <w:rsid w:val="00EF1F4F"/>
    <w:rsid w:val="00F23FEA"/>
    <w:rsid w:val="00F31EDC"/>
    <w:rsid w:val="00F462B3"/>
    <w:rsid w:val="00F5664F"/>
    <w:rsid w:val="00F666C4"/>
    <w:rsid w:val="00F76AFC"/>
    <w:rsid w:val="00FA02A6"/>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28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normativa-y-relatoria/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C4842-03B8-423B-AF6B-E5049C1C855E}"/>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5276</Words>
  <Characters>29021</Characters>
  <Application>Microsoft Office Word</Application>
  <DocSecurity>0</DocSecurity>
  <Lines>241</Lines>
  <Paragraphs>68</Paragraphs>
  <ScaleCrop>false</ScaleCrop>
  <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5</cp:revision>
  <cp:lastPrinted>2023-01-10T21:18:00Z</cp:lastPrinted>
  <dcterms:created xsi:type="dcterms:W3CDTF">2026-08-13T19:50:00Z</dcterms:created>
  <dcterms:modified xsi:type="dcterms:W3CDTF">2026-08-13T20:13:00Z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