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6E4F" w14:textId="77777777" w:rsidR="00BA40CC" w:rsidRPr="007B4E44" w:rsidRDefault="00BA40CC" w:rsidP="007B4E44">
      <w:pPr>
        <w:snapToGrid w:val="0"/>
        <w:spacing w:after="0" w:line="240" w:lineRule="auto"/>
        <w:contextualSpacing/>
        <w:jc w:val="both"/>
        <w:rPr>
          <w:rFonts w:ascii="Verdana" w:eastAsia="Calibri" w:hAnsi="Verdana" w:cs="Arial"/>
          <w:b/>
          <w:bCs/>
          <w:color w:val="000000" w:themeColor="text1"/>
          <w:lang w:val="es-ES" w:eastAsia="es-ES"/>
        </w:rPr>
      </w:pPr>
      <w:bookmarkStart w:id="0" w:name="_Hlk143780582"/>
      <w:r w:rsidRPr="007B4E44">
        <w:rPr>
          <w:rFonts w:ascii="Verdana" w:eastAsia="Calibri" w:hAnsi="Verdana" w:cs="Arial"/>
          <w:b/>
          <w:bCs/>
          <w:color w:val="000000" w:themeColor="text1"/>
          <w:lang w:val="es-ES" w:eastAsia="es-ES"/>
        </w:rPr>
        <w:t>SISTEMA DE SEGURIDAD SOCIAL INTEGRAL – Obligaciones ― Contratación Estatal</w:t>
      </w:r>
    </w:p>
    <w:p w14:paraId="4CC50AFB" w14:textId="77777777" w:rsidR="007B4E44" w:rsidRPr="007B4E44" w:rsidRDefault="007B4E44" w:rsidP="007B4E44">
      <w:pPr>
        <w:snapToGrid w:val="0"/>
        <w:spacing w:after="0" w:line="240" w:lineRule="auto"/>
        <w:contextualSpacing/>
        <w:rPr>
          <w:rFonts w:ascii="Verdana" w:eastAsia="Calibri" w:hAnsi="Verdana" w:cs="Arial"/>
          <w:color w:val="000000" w:themeColor="text1"/>
          <w:sz w:val="20"/>
          <w:szCs w:val="20"/>
          <w:lang w:val="es-ES" w:eastAsia="es-ES"/>
        </w:rPr>
      </w:pPr>
    </w:p>
    <w:p w14:paraId="2ADDCA77" w14:textId="77777777" w:rsidR="007B4E44" w:rsidRPr="007B4E44" w:rsidRDefault="007B4E44" w:rsidP="007B4E44">
      <w:pPr>
        <w:snapToGrid w:val="0"/>
        <w:spacing w:after="0" w:line="240" w:lineRule="auto"/>
        <w:contextualSpacing/>
        <w:jc w:val="both"/>
        <w:rPr>
          <w:rFonts w:ascii="Verdana" w:eastAsia="Calibri" w:hAnsi="Verdana" w:cs="Arial"/>
          <w:color w:val="000000"/>
          <w:sz w:val="20"/>
          <w:szCs w:val="20"/>
        </w:rPr>
      </w:pPr>
      <w:r w:rsidRPr="007B4E44">
        <w:rPr>
          <w:rFonts w:ascii="Verdana" w:eastAsia="Times New Roman" w:hAnsi="Verdana" w:cs="Arial"/>
          <w:color w:val="000000"/>
          <w:sz w:val="20"/>
          <w:szCs w:val="20"/>
          <w:lang w:eastAsia="es-ES"/>
        </w:rPr>
        <w:t xml:space="preserve">De esta forma, la verificación de cumplimiento de las obligaciones frente al </w:t>
      </w:r>
      <w:r w:rsidRPr="007B4E44">
        <w:rPr>
          <w:rFonts w:ascii="Verdana" w:eastAsia="Calibri" w:hAnsi="Verdana" w:cs="Arial"/>
          <w:color w:val="000000"/>
          <w:sz w:val="20"/>
          <w:szCs w:val="20"/>
        </w:rPr>
        <w:t xml:space="preserve">Sistema de Seguridad Social Integral cambia, dependiendo si se trata de una persona natural o de una jurídica: i) si es una natural, la Entidad Estatal verificará </w:t>
      </w:r>
      <w:r w:rsidRPr="007B4E44">
        <w:rPr>
          <w:rFonts w:ascii="Verdana" w:eastAsia="Calibri" w:hAnsi="Verdana" w:cs="Arial"/>
          <w:i/>
          <w:iCs/>
          <w:color w:val="000000"/>
          <w:sz w:val="20"/>
          <w:szCs w:val="20"/>
        </w:rPr>
        <w:t>el pago</w:t>
      </w:r>
      <w:r w:rsidRPr="007B4E44">
        <w:rPr>
          <w:rFonts w:ascii="Verdana" w:eastAsia="Calibri" w:hAnsi="Verdana" w:cs="Arial"/>
          <w:color w:val="000000"/>
          <w:sz w:val="20"/>
          <w:szCs w:val="20"/>
        </w:rPr>
        <w:t xml:space="preserve"> al Sistema de Seguridad Social Integral cuando se realicen los pagos derivados del contrato, es decir, durante su ejecución; y </w:t>
      </w:r>
      <w:proofErr w:type="spellStart"/>
      <w:r w:rsidRPr="007B4E44">
        <w:rPr>
          <w:rFonts w:ascii="Verdana" w:eastAsia="Calibri" w:hAnsi="Verdana" w:cs="Arial"/>
          <w:color w:val="000000"/>
          <w:sz w:val="20"/>
          <w:szCs w:val="20"/>
        </w:rPr>
        <w:t>ii</w:t>
      </w:r>
      <w:proofErr w:type="spellEnd"/>
      <w:r w:rsidRPr="007B4E44">
        <w:rPr>
          <w:rFonts w:ascii="Verdana" w:eastAsia="Calibri" w:hAnsi="Verdana" w:cs="Arial"/>
          <w:color w:val="000000"/>
          <w:sz w:val="20"/>
          <w:szCs w:val="20"/>
        </w:rPr>
        <w:t xml:space="preserve">) si se refiere a una persona jurídica, el comprobante de pago de los aportes al Sistema de Seguridad Social Integral de sus empleados se debe aportar con la presentación de la </w:t>
      </w:r>
      <w:r w:rsidRPr="007B4E44">
        <w:rPr>
          <w:rFonts w:ascii="Verdana" w:eastAsia="Calibri" w:hAnsi="Verdana" w:cs="Arial"/>
          <w:i/>
          <w:iCs/>
          <w:color w:val="000000"/>
          <w:sz w:val="20"/>
          <w:szCs w:val="20"/>
        </w:rPr>
        <w:t>oferta</w:t>
      </w:r>
      <w:r w:rsidRPr="007B4E44">
        <w:rPr>
          <w:rFonts w:ascii="Verdana" w:eastAsia="Calibri" w:hAnsi="Verdana" w:cs="Arial"/>
          <w:color w:val="000000"/>
          <w:sz w:val="20"/>
          <w:szCs w:val="20"/>
        </w:rPr>
        <w:t>, este constituye un criterio de admisión de la oferta. Lo anterior, sin perjuicio de que durante la ejecución del contrato también se acredite el pago al Sistema de Seguridad Social Integral para pagar las cuentas o facturas si a ello hubiere lugar.</w:t>
      </w:r>
    </w:p>
    <w:p w14:paraId="58BD349F" w14:textId="77777777" w:rsidR="007B4E44" w:rsidRDefault="007B4E44" w:rsidP="007B4E44">
      <w:pPr>
        <w:snapToGrid w:val="0"/>
        <w:spacing w:after="0" w:line="240" w:lineRule="auto"/>
        <w:contextualSpacing/>
        <w:jc w:val="both"/>
        <w:rPr>
          <w:rFonts w:ascii="Verdana" w:eastAsia="Calibri" w:hAnsi="Verdana" w:cs="Arial"/>
          <w:color w:val="000000"/>
          <w:sz w:val="20"/>
          <w:szCs w:val="20"/>
        </w:rPr>
      </w:pPr>
    </w:p>
    <w:p w14:paraId="2FC4C59C" w14:textId="7FB5516E" w:rsidR="007B4E44" w:rsidRPr="007B4E44" w:rsidRDefault="007B4E44" w:rsidP="007B4E44">
      <w:pPr>
        <w:snapToGrid w:val="0"/>
        <w:spacing w:after="0" w:line="240" w:lineRule="auto"/>
        <w:contextualSpacing/>
        <w:jc w:val="both"/>
        <w:rPr>
          <w:rFonts w:ascii="Verdana" w:eastAsia="Calibri" w:hAnsi="Verdana" w:cs="Arial"/>
          <w:color w:val="000000"/>
          <w:sz w:val="20"/>
          <w:szCs w:val="20"/>
        </w:rPr>
      </w:pPr>
      <w:r w:rsidRPr="007B4E44">
        <w:rPr>
          <w:rFonts w:ascii="Verdana" w:eastAsia="Calibri" w:hAnsi="Verdana" w:cs="Arial"/>
          <w:color w:val="000000"/>
          <w:sz w:val="20"/>
          <w:szCs w:val="20"/>
        </w:rPr>
        <w:t>Igualmente, en virtud del artículo</w:t>
      </w:r>
      <w:r w:rsidRPr="007B4E44">
        <w:rPr>
          <w:rFonts w:ascii="Verdana" w:eastAsia="Aptos" w:hAnsi="Verdana" w:cs="Arial"/>
          <w:color w:val="000000"/>
          <w:sz w:val="20"/>
          <w:szCs w:val="20"/>
        </w:rPr>
        <w:t xml:space="preserve">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w:t>
      </w:r>
      <w:r w:rsidRPr="007B4E44">
        <w:rPr>
          <w:rFonts w:ascii="Verdana" w:eastAsia="Calibri" w:hAnsi="Verdana" w:cs="Arial"/>
          <w:color w:val="000000"/>
          <w:sz w:val="20"/>
          <w:szCs w:val="20"/>
        </w:rPr>
        <w:t>estableciendo una correcta relación entre el monto cancelado y las sumas que debieron cotizar.</w:t>
      </w:r>
    </w:p>
    <w:p w14:paraId="37076CB5" w14:textId="77777777" w:rsidR="00BA40CC" w:rsidRPr="007B4E44" w:rsidRDefault="00BA40CC" w:rsidP="007B4E44">
      <w:pPr>
        <w:snapToGrid w:val="0"/>
        <w:spacing w:after="0" w:line="240" w:lineRule="auto"/>
        <w:contextualSpacing/>
        <w:rPr>
          <w:rFonts w:ascii="Verdana" w:eastAsia="Calibri" w:hAnsi="Verdana" w:cs="Arial"/>
          <w:color w:val="000000" w:themeColor="text1"/>
          <w:sz w:val="20"/>
          <w:szCs w:val="20"/>
          <w:lang w:val="es-ES" w:eastAsia="es-ES"/>
        </w:rPr>
      </w:pPr>
    </w:p>
    <w:p w14:paraId="621984CB" w14:textId="3202F896" w:rsidR="00BA40CC" w:rsidRPr="007B4E44" w:rsidRDefault="00BA40CC" w:rsidP="007B4E44">
      <w:pPr>
        <w:snapToGrid w:val="0"/>
        <w:spacing w:after="0" w:line="240" w:lineRule="auto"/>
        <w:contextualSpacing/>
        <w:jc w:val="both"/>
        <w:rPr>
          <w:rFonts w:ascii="Verdana" w:hAnsi="Verdana" w:cs="Arial"/>
          <w:b/>
          <w:lang w:val="es-ES" w:eastAsia="es-ES_tradnl"/>
        </w:rPr>
      </w:pPr>
      <w:r w:rsidRPr="007B4E44">
        <w:rPr>
          <w:rFonts w:ascii="Verdana" w:hAnsi="Verdana" w:cs="Arial"/>
          <w:b/>
          <w:lang w:val="es-ES" w:eastAsia="es-ES_tradnl"/>
        </w:rPr>
        <w:t>SEGURIDAD SOCIAL ― Verificación ― Contratos de aprovechamiento del espacio público</w:t>
      </w:r>
    </w:p>
    <w:p w14:paraId="74C2D5E0" w14:textId="77777777" w:rsidR="007B4E44" w:rsidRPr="007B4E44" w:rsidRDefault="007B4E44" w:rsidP="007B4E44">
      <w:pPr>
        <w:snapToGrid w:val="0"/>
        <w:spacing w:after="0" w:line="240" w:lineRule="auto"/>
        <w:contextualSpacing/>
        <w:jc w:val="both"/>
        <w:rPr>
          <w:rFonts w:ascii="Verdana" w:hAnsi="Verdana" w:cs="Arial"/>
          <w:bCs/>
          <w:sz w:val="20"/>
          <w:szCs w:val="20"/>
          <w:lang w:val="es-ES" w:eastAsia="es-ES_tradnl"/>
        </w:rPr>
      </w:pPr>
    </w:p>
    <w:p w14:paraId="63220CCD" w14:textId="77777777" w:rsidR="007B4E44" w:rsidRPr="007B4E44" w:rsidRDefault="007B4E44" w:rsidP="007B4E44">
      <w:pPr>
        <w:snapToGrid w:val="0"/>
        <w:spacing w:after="0" w:line="240" w:lineRule="auto"/>
        <w:contextualSpacing/>
        <w:jc w:val="both"/>
        <w:rPr>
          <w:rFonts w:ascii="Verdana" w:eastAsia="Arial" w:hAnsi="Verdana" w:cs="Arial"/>
          <w:sz w:val="20"/>
          <w:szCs w:val="20"/>
        </w:rPr>
      </w:pPr>
      <w:r w:rsidRPr="007B4E44">
        <w:rPr>
          <w:rFonts w:ascii="Verdana" w:eastAsia="Arial" w:hAnsi="Verdana" w:cs="Arial"/>
          <w:sz w:val="20"/>
          <w:szCs w:val="20"/>
        </w:rPr>
        <w:t xml:space="preserve">Los contratos que celebren las Entidades Estatales con particulares para el aprovechamiento económico del espacio público tienen la naturaleza jurídica de contratos estatales, aun cuando sean atípicos y con independencia de que la entidad no realice erogación alguna y sea acreedora de la contraprestación, pues la Ley 80 de 1993 adoptó un criterio eminentemente subjetivo u orgánico. </w:t>
      </w:r>
    </w:p>
    <w:p w14:paraId="1A531884" w14:textId="77777777" w:rsidR="007B4E44" w:rsidRDefault="007B4E44" w:rsidP="007B4E44">
      <w:pPr>
        <w:snapToGrid w:val="0"/>
        <w:contextualSpacing/>
        <w:jc w:val="both"/>
        <w:rPr>
          <w:rFonts w:ascii="Verdana" w:eastAsia="Arial" w:hAnsi="Verdana" w:cs="Arial"/>
          <w:sz w:val="20"/>
          <w:szCs w:val="20"/>
        </w:rPr>
      </w:pPr>
    </w:p>
    <w:p w14:paraId="2C51F222" w14:textId="5810DF4B" w:rsidR="007B4E44" w:rsidRPr="007B4E44" w:rsidRDefault="007B4E44" w:rsidP="007B4E44">
      <w:pPr>
        <w:snapToGrid w:val="0"/>
        <w:spacing w:after="0" w:line="240" w:lineRule="auto"/>
        <w:contextualSpacing/>
        <w:jc w:val="both"/>
        <w:rPr>
          <w:rFonts w:ascii="Verdana" w:eastAsia="Arial" w:hAnsi="Verdana" w:cs="Arial"/>
          <w:sz w:val="20"/>
          <w:szCs w:val="20"/>
        </w:rPr>
      </w:pPr>
      <w:r w:rsidRPr="007B4E44">
        <w:rPr>
          <w:rFonts w:ascii="Verdana" w:eastAsia="Arial" w:hAnsi="Verdana" w:cs="Arial"/>
          <w:sz w:val="20"/>
          <w:szCs w:val="20"/>
        </w:rPr>
        <w:t xml:space="preserve">En consecuencia, les resulta aplicable el artículo 50 de la Ley 789 de 2002, norma que se refiere a </w:t>
      </w:r>
      <w:r w:rsidRPr="007B4E44">
        <w:rPr>
          <w:rFonts w:ascii="Verdana" w:eastAsia="Arial" w:hAnsi="Verdana" w:cs="Arial"/>
          <w:i/>
          <w:iCs/>
          <w:sz w:val="20"/>
          <w:szCs w:val="20"/>
        </w:rPr>
        <w:t>contratos de cualquier naturaleza</w:t>
      </w:r>
      <w:r w:rsidRPr="007B4E44">
        <w:rPr>
          <w:rFonts w:ascii="Verdana" w:eastAsia="Arial" w:hAnsi="Verdana" w:cs="Arial"/>
          <w:sz w:val="20"/>
          <w:szCs w:val="20"/>
        </w:rPr>
        <w:t xml:space="preserve"> con entidades del sector público. Por lo anterior, la entidad deberá verificar que el contratista se encuentre al día en sus obligaciones con los sistemas de salud, riesgos profesionales, pensiones y aportes a las Cajas de Compensación Familiar, Instituto Colombiano de Bienestar Familiar y Servicio Nacional de Aprendizaje, cuando a ello haya lugar. </w:t>
      </w:r>
    </w:p>
    <w:p w14:paraId="7D44B693" w14:textId="77777777" w:rsidR="007B4E44" w:rsidRDefault="007B4E44" w:rsidP="007B4E44">
      <w:pPr>
        <w:tabs>
          <w:tab w:val="left" w:pos="426"/>
        </w:tabs>
        <w:snapToGrid w:val="0"/>
        <w:contextualSpacing/>
        <w:jc w:val="both"/>
        <w:rPr>
          <w:rFonts w:ascii="Verdana" w:eastAsia="Arial" w:hAnsi="Verdana" w:cs="Arial"/>
          <w:sz w:val="20"/>
          <w:szCs w:val="20"/>
        </w:rPr>
      </w:pPr>
    </w:p>
    <w:p w14:paraId="5EC2DE23" w14:textId="785F5B76" w:rsidR="007B4E44" w:rsidRPr="007B4E44" w:rsidRDefault="007B4E44" w:rsidP="007B4E44">
      <w:pPr>
        <w:tabs>
          <w:tab w:val="left" w:pos="426"/>
        </w:tabs>
        <w:snapToGrid w:val="0"/>
        <w:spacing w:after="0" w:line="240" w:lineRule="auto"/>
        <w:contextualSpacing/>
        <w:jc w:val="both"/>
        <w:rPr>
          <w:rFonts w:ascii="Verdana" w:eastAsia="Calibri" w:hAnsi="Verdana" w:cs="Arial"/>
          <w:color w:val="000000" w:themeColor="text1"/>
          <w:sz w:val="20"/>
          <w:szCs w:val="20"/>
          <w:lang w:val="es-ES"/>
        </w:rPr>
      </w:pPr>
      <w:r w:rsidRPr="007B4E44">
        <w:rPr>
          <w:rFonts w:ascii="Verdana" w:eastAsia="Arial" w:hAnsi="Verdana" w:cs="Arial"/>
          <w:sz w:val="20"/>
          <w:szCs w:val="20"/>
        </w:rPr>
        <w:t xml:space="preserve">Tratándose de personas naturales, dicho deber implica verificar que el particular se encuentre afiliado al Sistema de Seguridad Social Integral —ya sea en calidad de cotizante dependiente, de beneficiario, de afiliado al Régimen Subsidiado en salud o de afiliado a un régimen exceptuado o especial—, de manera que bastará con acreditar dicha afiliación para la celebración del contrato, correspondiendo a la entidad evaluar si aquel se encuentra obligado a acreditar el pago de aportes, según el régimen y la normativa que le resulten aplicables, y dejar constancia expresa en el evento de que no lo esté. Lo anterior no resulta predicable cuando el aprovechamiento económico se </w:t>
      </w:r>
      <w:r w:rsidRPr="007B4E44">
        <w:rPr>
          <w:rFonts w:ascii="Verdana" w:eastAsia="Arial" w:hAnsi="Verdana" w:cs="Arial"/>
          <w:sz w:val="20"/>
          <w:szCs w:val="20"/>
        </w:rPr>
        <w:lastRenderedPageBreak/>
        <w:t>materialice mediante acto administrativo, permiso o licencia, comoquiera que tanto el artículo 50 de la Ley 789 de 2002 —referido a la celebración, renovación o liquidación de contratos de cualquier naturaleza con entidades del sector público— como el artículo 23 de la Ley 1150 de 2007 —predicable del proponente y del contratista dentro de un proceso contractual— presuponen la existencia de un contrato estatal y no de un acto administrativo, permiso o licencia.</w:t>
      </w:r>
    </w:p>
    <w:p w14:paraId="4FB4B8CA" w14:textId="77777777" w:rsidR="007B4E44" w:rsidRDefault="007B4E44" w:rsidP="007B4E44">
      <w:pPr>
        <w:spacing w:after="0"/>
        <w:jc w:val="both"/>
        <w:rPr>
          <w:rFonts w:ascii="Verdana" w:hAnsi="Verdana"/>
          <w:lang w:val="es-ES"/>
        </w:rPr>
      </w:pPr>
    </w:p>
    <w:p w14:paraId="43E2C41F" w14:textId="77777777" w:rsidR="00BA40CC" w:rsidRDefault="00BA40CC" w:rsidP="001A19CD">
      <w:pPr>
        <w:spacing w:after="0"/>
        <w:rPr>
          <w:rFonts w:ascii="Verdana" w:hAnsi="Verdana"/>
          <w:lang w:val="es-ES"/>
        </w:rPr>
      </w:pPr>
    </w:p>
    <w:p w14:paraId="3EACE443" w14:textId="77777777" w:rsidR="007B4E44" w:rsidRDefault="007B4E44" w:rsidP="001A19CD">
      <w:pPr>
        <w:spacing w:after="0"/>
        <w:rPr>
          <w:rFonts w:ascii="Verdana" w:hAnsi="Verdana"/>
          <w:lang w:val="es-ES"/>
        </w:rPr>
      </w:pPr>
    </w:p>
    <w:p w14:paraId="4BA08D4B" w14:textId="77777777" w:rsidR="007B4E44" w:rsidRDefault="007B4E44" w:rsidP="001A19CD">
      <w:pPr>
        <w:spacing w:after="0"/>
        <w:rPr>
          <w:rFonts w:ascii="Verdana" w:hAnsi="Verdana"/>
          <w:lang w:val="es-ES"/>
        </w:rPr>
      </w:pPr>
    </w:p>
    <w:p w14:paraId="2070E40A" w14:textId="77777777" w:rsidR="007B4E44" w:rsidRDefault="007B4E44" w:rsidP="001A19CD">
      <w:pPr>
        <w:spacing w:after="0"/>
        <w:rPr>
          <w:rFonts w:ascii="Verdana" w:hAnsi="Verdana"/>
          <w:lang w:val="es-ES"/>
        </w:rPr>
      </w:pPr>
    </w:p>
    <w:p w14:paraId="7B0CC8F3" w14:textId="77777777" w:rsidR="007B4E44" w:rsidRDefault="007B4E44" w:rsidP="001A19CD">
      <w:pPr>
        <w:spacing w:after="0"/>
        <w:rPr>
          <w:rFonts w:ascii="Verdana" w:hAnsi="Verdana"/>
          <w:lang w:val="es-ES"/>
        </w:rPr>
      </w:pPr>
    </w:p>
    <w:p w14:paraId="13B40AB6" w14:textId="77777777" w:rsidR="007B4E44" w:rsidRDefault="007B4E44" w:rsidP="001A19CD">
      <w:pPr>
        <w:spacing w:after="0"/>
        <w:rPr>
          <w:rFonts w:ascii="Verdana" w:hAnsi="Verdana"/>
          <w:lang w:val="es-ES"/>
        </w:rPr>
      </w:pPr>
    </w:p>
    <w:p w14:paraId="41EF814C" w14:textId="77777777" w:rsidR="007B4E44" w:rsidRDefault="007B4E44" w:rsidP="001A19CD">
      <w:pPr>
        <w:spacing w:after="0"/>
        <w:rPr>
          <w:rFonts w:ascii="Verdana" w:hAnsi="Verdana"/>
          <w:lang w:val="es-ES"/>
        </w:rPr>
      </w:pPr>
    </w:p>
    <w:p w14:paraId="5F74DFC7" w14:textId="77777777" w:rsidR="007B4E44" w:rsidRDefault="007B4E44" w:rsidP="001A19CD">
      <w:pPr>
        <w:spacing w:after="0"/>
        <w:rPr>
          <w:rFonts w:ascii="Verdana" w:hAnsi="Verdana"/>
          <w:lang w:val="es-ES"/>
        </w:rPr>
      </w:pPr>
    </w:p>
    <w:p w14:paraId="705A4527" w14:textId="77777777" w:rsidR="007B4E44" w:rsidRDefault="007B4E44" w:rsidP="001A19CD">
      <w:pPr>
        <w:spacing w:after="0"/>
        <w:rPr>
          <w:rFonts w:ascii="Verdana" w:hAnsi="Verdana"/>
          <w:lang w:val="es-ES"/>
        </w:rPr>
      </w:pPr>
    </w:p>
    <w:p w14:paraId="116D8EF0" w14:textId="77777777" w:rsidR="007B4E44" w:rsidRDefault="007B4E44" w:rsidP="001A19CD">
      <w:pPr>
        <w:spacing w:after="0"/>
        <w:rPr>
          <w:rFonts w:ascii="Verdana" w:hAnsi="Verdana"/>
          <w:lang w:val="es-ES"/>
        </w:rPr>
      </w:pPr>
    </w:p>
    <w:p w14:paraId="38D360F4" w14:textId="77777777" w:rsidR="007B4E44" w:rsidRDefault="007B4E44" w:rsidP="001A19CD">
      <w:pPr>
        <w:spacing w:after="0"/>
        <w:rPr>
          <w:rFonts w:ascii="Verdana" w:hAnsi="Verdana"/>
          <w:lang w:val="es-ES"/>
        </w:rPr>
      </w:pPr>
    </w:p>
    <w:p w14:paraId="1F4BAF59" w14:textId="77777777" w:rsidR="007B4E44" w:rsidRDefault="007B4E44" w:rsidP="001A19CD">
      <w:pPr>
        <w:spacing w:after="0"/>
        <w:rPr>
          <w:rFonts w:ascii="Verdana" w:hAnsi="Verdana"/>
          <w:lang w:val="es-ES"/>
        </w:rPr>
      </w:pPr>
    </w:p>
    <w:p w14:paraId="55B8D5CF" w14:textId="77777777" w:rsidR="007B4E44" w:rsidRDefault="007B4E44" w:rsidP="001A19CD">
      <w:pPr>
        <w:spacing w:after="0"/>
        <w:rPr>
          <w:rFonts w:ascii="Verdana" w:hAnsi="Verdana"/>
          <w:lang w:val="es-ES"/>
        </w:rPr>
      </w:pPr>
    </w:p>
    <w:p w14:paraId="2C44A820" w14:textId="77777777" w:rsidR="007B4E44" w:rsidRDefault="007B4E44" w:rsidP="001A19CD">
      <w:pPr>
        <w:spacing w:after="0"/>
        <w:rPr>
          <w:rFonts w:ascii="Verdana" w:hAnsi="Verdana"/>
          <w:lang w:val="es-ES"/>
        </w:rPr>
      </w:pPr>
    </w:p>
    <w:p w14:paraId="55498A31" w14:textId="77777777" w:rsidR="007B4E44" w:rsidRDefault="007B4E44" w:rsidP="001A19CD">
      <w:pPr>
        <w:spacing w:after="0"/>
        <w:rPr>
          <w:rFonts w:ascii="Verdana" w:hAnsi="Verdana"/>
          <w:lang w:val="es-ES"/>
        </w:rPr>
      </w:pPr>
    </w:p>
    <w:p w14:paraId="290A249F" w14:textId="77777777" w:rsidR="007B4E44" w:rsidRDefault="007B4E44" w:rsidP="001A19CD">
      <w:pPr>
        <w:spacing w:after="0"/>
        <w:rPr>
          <w:rFonts w:ascii="Verdana" w:hAnsi="Verdana"/>
          <w:lang w:val="es-ES"/>
        </w:rPr>
      </w:pPr>
    </w:p>
    <w:p w14:paraId="78AC8544" w14:textId="77777777" w:rsidR="007B4E44" w:rsidRDefault="007B4E44" w:rsidP="001A19CD">
      <w:pPr>
        <w:spacing w:after="0"/>
        <w:rPr>
          <w:rFonts w:ascii="Verdana" w:hAnsi="Verdana"/>
          <w:lang w:val="es-ES"/>
        </w:rPr>
      </w:pPr>
    </w:p>
    <w:p w14:paraId="3A12BD91" w14:textId="77777777" w:rsidR="007B4E44" w:rsidRDefault="007B4E44" w:rsidP="001A19CD">
      <w:pPr>
        <w:spacing w:after="0"/>
        <w:rPr>
          <w:rFonts w:ascii="Verdana" w:hAnsi="Verdana"/>
          <w:lang w:val="es-ES"/>
        </w:rPr>
      </w:pPr>
    </w:p>
    <w:p w14:paraId="0ACAD869" w14:textId="77777777" w:rsidR="007B4E44" w:rsidRDefault="007B4E44" w:rsidP="001A19CD">
      <w:pPr>
        <w:spacing w:after="0"/>
        <w:rPr>
          <w:rFonts w:ascii="Verdana" w:hAnsi="Verdana"/>
          <w:lang w:val="es-ES"/>
        </w:rPr>
      </w:pPr>
    </w:p>
    <w:p w14:paraId="12942F12" w14:textId="77777777" w:rsidR="007B4E44" w:rsidRDefault="007B4E44" w:rsidP="001A19CD">
      <w:pPr>
        <w:spacing w:after="0"/>
        <w:rPr>
          <w:rFonts w:ascii="Verdana" w:hAnsi="Verdana"/>
          <w:lang w:val="es-ES"/>
        </w:rPr>
      </w:pPr>
    </w:p>
    <w:p w14:paraId="4867CE05" w14:textId="77777777" w:rsidR="007B4E44" w:rsidRDefault="007B4E44" w:rsidP="001A19CD">
      <w:pPr>
        <w:spacing w:after="0"/>
        <w:rPr>
          <w:rFonts w:ascii="Verdana" w:hAnsi="Verdana"/>
          <w:lang w:val="es-ES"/>
        </w:rPr>
      </w:pPr>
    </w:p>
    <w:p w14:paraId="22189511" w14:textId="77777777" w:rsidR="007B4E44" w:rsidRDefault="007B4E44" w:rsidP="001A19CD">
      <w:pPr>
        <w:spacing w:after="0"/>
        <w:rPr>
          <w:rFonts w:ascii="Verdana" w:hAnsi="Verdana"/>
          <w:lang w:val="es-ES"/>
        </w:rPr>
      </w:pPr>
    </w:p>
    <w:p w14:paraId="4DD5849C" w14:textId="77777777" w:rsidR="007B4E44" w:rsidRDefault="007B4E44" w:rsidP="001A19CD">
      <w:pPr>
        <w:spacing w:after="0"/>
        <w:rPr>
          <w:rFonts w:ascii="Verdana" w:hAnsi="Verdana"/>
          <w:lang w:val="es-ES"/>
        </w:rPr>
      </w:pPr>
    </w:p>
    <w:p w14:paraId="131AE7F9" w14:textId="77777777" w:rsidR="007B4E44" w:rsidRDefault="007B4E44" w:rsidP="001A19CD">
      <w:pPr>
        <w:spacing w:after="0"/>
        <w:rPr>
          <w:rFonts w:ascii="Verdana" w:hAnsi="Verdana"/>
          <w:lang w:val="es-ES"/>
        </w:rPr>
      </w:pPr>
    </w:p>
    <w:p w14:paraId="1DF99E30" w14:textId="77777777" w:rsidR="007B4E44" w:rsidRDefault="007B4E44" w:rsidP="001A19CD">
      <w:pPr>
        <w:spacing w:after="0"/>
        <w:rPr>
          <w:rFonts w:ascii="Verdana" w:hAnsi="Verdana"/>
          <w:lang w:val="es-ES"/>
        </w:rPr>
      </w:pPr>
    </w:p>
    <w:p w14:paraId="1E00D559" w14:textId="77777777" w:rsidR="007B4E44" w:rsidRDefault="007B4E44" w:rsidP="001A19CD">
      <w:pPr>
        <w:spacing w:after="0"/>
        <w:rPr>
          <w:rFonts w:ascii="Verdana" w:hAnsi="Verdana"/>
          <w:lang w:val="es-ES"/>
        </w:rPr>
      </w:pPr>
    </w:p>
    <w:p w14:paraId="6BBC2C61" w14:textId="77777777" w:rsidR="007B4E44" w:rsidRDefault="007B4E44" w:rsidP="001A19CD">
      <w:pPr>
        <w:spacing w:after="0"/>
        <w:rPr>
          <w:rFonts w:ascii="Verdana" w:hAnsi="Verdana"/>
          <w:lang w:val="es-ES"/>
        </w:rPr>
      </w:pPr>
    </w:p>
    <w:p w14:paraId="61E2CF78" w14:textId="77777777" w:rsidR="007B4E44" w:rsidRDefault="007B4E44" w:rsidP="001A19CD">
      <w:pPr>
        <w:spacing w:after="0"/>
        <w:rPr>
          <w:rFonts w:ascii="Verdana" w:hAnsi="Verdana"/>
          <w:lang w:val="es-ES"/>
        </w:rPr>
      </w:pPr>
    </w:p>
    <w:p w14:paraId="49322C59" w14:textId="77777777" w:rsidR="007B4E44" w:rsidRDefault="007B4E44" w:rsidP="001A19CD">
      <w:pPr>
        <w:spacing w:after="0"/>
        <w:rPr>
          <w:rFonts w:ascii="Verdana" w:hAnsi="Verdana"/>
          <w:lang w:val="es-ES"/>
        </w:rPr>
      </w:pPr>
    </w:p>
    <w:p w14:paraId="2D89064E" w14:textId="77777777" w:rsidR="007B4E44" w:rsidRDefault="007B4E44" w:rsidP="001A19CD">
      <w:pPr>
        <w:spacing w:after="0"/>
        <w:rPr>
          <w:rFonts w:ascii="Verdana" w:hAnsi="Verdana"/>
          <w:lang w:val="es-ES"/>
        </w:rPr>
      </w:pPr>
    </w:p>
    <w:p w14:paraId="78C2E771" w14:textId="77777777" w:rsidR="007B4E44" w:rsidRDefault="007B4E44" w:rsidP="001A19CD">
      <w:pPr>
        <w:spacing w:after="0"/>
        <w:rPr>
          <w:rFonts w:ascii="Verdana" w:hAnsi="Verdana"/>
          <w:lang w:val="es-ES"/>
        </w:rPr>
      </w:pPr>
    </w:p>
    <w:p w14:paraId="758CBB26" w14:textId="77777777" w:rsidR="007B4E44" w:rsidRDefault="007B4E44" w:rsidP="001A19CD">
      <w:pPr>
        <w:spacing w:after="0"/>
        <w:rPr>
          <w:rFonts w:ascii="Verdana" w:hAnsi="Verdana"/>
          <w:lang w:val="es-ES"/>
        </w:rPr>
      </w:pPr>
    </w:p>
    <w:p w14:paraId="6DE5BAA4" w14:textId="77777777" w:rsidR="007B4E44" w:rsidRDefault="007B4E44" w:rsidP="001A19CD">
      <w:pPr>
        <w:spacing w:after="0"/>
        <w:rPr>
          <w:rFonts w:ascii="Verdana" w:hAnsi="Verdana"/>
          <w:lang w:val="es-ES"/>
        </w:rPr>
      </w:pPr>
    </w:p>
    <w:p w14:paraId="573315F5" w14:textId="32F4A188" w:rsidR="001A19CD" w:rsidRPr="00E828AF" w:rsidRDefault="001A19CD" w:rsidP="001A19CD">
      <w:pPr>
        <w:spacing w:after="0"/>
        <w:rPr>
          <w:rFonts w:ascii="Verdana" w:hAnsi="Verdana"/>
          <w:lang w:val="es-ES"/>
        </w:rPr>
      </w:pPr>
      <w:r w:rsidRPr="00E828AF">
        <w:rPr>
          <w:rFonts w:ascii="Verdana" w:hAnsi="Verdana"/>
          <w:lang w:val="es-ES"/>
        </w:rPr>
        <w:lastRenderedPageBreak/>
        <w:t xml:space="preserve">Bogotá D.C., </w:t>
      </w:r>
      <w:r w:rsidR="00BA40CC">
        <w:rPr>
          <w:rFonts w:ascii="Verdana" w:hAnsi="Verdana"/>
          <w:lang w:val="es-ES"/>
        </w:rPr>
        <w:t>18 de agosto de 2026</w:t>
      </w:r>
      <w:r w:rsidRPr="00E828AF">
        <w:rPr>
          <w:rFonts w:ascii="Verdana" w:hAnsi="Verdana"/>
          <w:lang w:val="es-ES"/>
        </w:rPr>
        <w:tab/>
      </w:r>
    </w:p>
    <w:p w14:paraId="5DDE4ACB" w14:textId="23F0953B" w:rsidR="001A19CD" w:rsidRPr="00E828AF" w:rsidRDefault="00BA40CC" w:rsidP="001A19CD">
      <w:pPr>
        <w:spacing w:after="0"/>
        <w:rPr>
          <w:rFonts w:ascii="Verdana" w:hAnsi="Verdana"/>
          <w:lang w:val="es-ES"/>
        </w:rPr>
      </w:pPr>
      <w:r>
        <w:rPr>
          <w:rFonts w:ascii="Verdana" w:eastAsia="Calibri" w:hAnsi="Verdana" w:cs="Arial"/>
          <w:b/>
          <w:bCs/>
          <w:noProof/>
          <w:color w:val="000000" w:themeColor="text1"/>
          <w:lang w:val="es-ES" w:eastAsia="es-ES"/>
        </w:rPr>
        <w:drawing>
          <wp:anchor distT="0" distB="0" distL="114300" distR="114300" simplePos="0" relativeHeight="251660288" behindDoc="0" locked="0" layoutInCell="1" allowOverlap="1" wp14:anchorId="21CADB2F" wp14:editId="69534159">
            <wp:simplePos x="0" y="0"/>
            <wp:positionH relativeFrom="column">
              <wp:posOffset>2926005</wp:posOffset>
            </wp:positionH>
            <wp:positionV relativeFrom="paragraph">
              <wp:posOffset>143273</wp:posOffset>
            </wp:positionV>
            <wp:extent cx="1518285" cy="410210"/>
            <wp:effectExtent l="0" t="0" r="5715" b="0"/>
            <wp:wrapSquare wrapText="bothSides"/>
            <wp:docPr id="1382703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03661" name="Picture 13827036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8285" cy="410210"/>
                    </a:xfrm>
                    <a:prstGeom prst="rect">
                      <a:avLst/>
                    </a:prstGeom>
                  </pic:spPr>
                </pic:pic>
              </a:graphicData>
            </a:graphic>
            <wp14:sizeRelH relativeFrom="page">
              <wp14:pctWidth>0</wp14:pctWidth>
            </wp14:sizeRelH>
            <wp14:sizeRelV relativeFrom="page">
              <wp14:pctHeight>0</wp14:pctHeight>
            </wp14:sizeRelV>
          </wp:anchor>
        </w:drawing>
      </w:r>
      <w:r>
        <w:rPr>
          <w:rFonts w:ascii="Verdana" w:eastAsia="Calibri" w:hAnsi="Verdana" w:cs="Arial"/>
          <w:b/>
          <w:bCs/>
          <w:noProof/>
          <w:color w:val="000000" w:themeColor="text1"/>
          <w:lang w:val="es-ES" w:eastAsia="es-ES"/>
        </w:rPr>
        <w:drawing>
          <wp:anchor distT="0" distB="0" distL="114300" distR="114300" simplePos="0" relativeHeight="251662336" behindDoc="0" locked="0" layoutInCell="1" allowOverlap="1" wp14:anchorId="56EB9ADA" wp14:editId="7E0097FE">
            <wp:simplePos x="0" y="0"/>
            <wp:positionH relativeFrom="column">
              <wp:posOffset>4443203</wp:posOffset>
            </wp:positionH>
            <wp:positionV relativeFrom="paragraph">
              <wp:posOffset>144403</wp:posOffset>
            </wp:positionV>
            <wp:extent cx="1495425" cy="412115"/>
            <wp:effectExtent l="0" t="0" r="3175" b="0"/>
            <wp:wrapSquare wrapText="bothSides"/>
            <wp:docPr id="202034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4404" name="Picture 20203440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5425" cy="412115"/>
                    </a:xfrm>
                    <a:prstGeom prst="rect">
                      <a:avLst/>
                    </a:prstGeom>
                  </pic:spPr>
                </pic:pic>
              </a:graphicData>
            </a:graphic>
            <wp14:sizeRelH relativeFrom="page">
              <wp14:pctWidth>0</wp14:pctWidth>
            </wp14:sizeRelH>
            <wp14:sizeRelV relativeFrom="page">
              <wp14:pctHeight>0</wp14:pctHeight>
            </wp14:sizeRelV>
          </wp:anchor>
        </w:drawing>
      </w:r>
    </w:p>
    <w:p w14:paraId="09321ABE" w14:textId="69ADCE11" w:rsidR="00BA40CC" w:rsidRDefault="00BA40CC" w:rsidP="001A19CD">
      <w:pPr>
        <w:spacing w:after="0" w:line="240" w:lineRule="auto"/>
        <w:jc w:val="both"/>
        <w:rPr>
          <w:rFonts w:ascii="Verdana" w:eastAsia="Calibri" w:hAnsi="Verdana" w:cs="Arial"/>
          <w:color w:val="000000" w:themeColor="text1"/>
          <w:lang w:val="es-ES" w:eastAsia="es-ES"/>
        </w:rPr>
      </w:pPr>
    </w:p>
    <w:p w14:paraId="33E83213" w14:textId="0BBCB7B7" w:rsidR="001A19CD" w:rsidRPr="00E828AF" w:rsidRDefault="001A19CD" w:rsidP="001A19CD">
      <w:pPr>
        <w:spacing w:after="0" w:line="240" w:lineRule="auto"/>
        <w:jc w:val="both"/>
        <w:rPr>
          <w:rFonts w:ascii="Verdana" w:eastAsia="Calibri" w:hAnsi="Verdana" w:cs="Arial"/>
          <w:color w:val="000000" w:themeColor="text1"/>
          <w:lang w:val="es-ES" w:eastAsia="es-ES"/>
        </w:rPr>
      </w:pPr>
      <w:r w:rsidRPr="00E828AF">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as y Señores</w:t>
      </w:r>
    </w:p>
    <w:p w14:paraId="6DD5E50E" w14:textId="26B443C6" w:rsidR="001A19CD" w:rsidRPr="00E828AF" w:rsidRDefault="00BA40CC" w:rsidP="001A19CD">
      <w:pPr>
        <w:spacing w:after="0" w:line="240" w:lineRule="auto"/>
        <w:jc w:val="both"/>
        <w:rPr>
          <w:rFonts w:ascii="Verdana" w:eastAsia="Calibri" w:hAnsi="Verdana" w:cs="Arial"/>
          <w:b/>
          <w:bCs/>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61312" behindDoc="0" locked="0" layoutInCell="1" allowOverlap="1" wp14:anchorId="79B08EFD" wp14:editId="64C894C8">
            <wp:simplePos x="0" y="0"/>
            <wp:positionH relativeFrom="column">
              <wp:posOffset>2941955</wp:posOffset>
            </wp:positionH>
            <wp:positionV relativeFrom="paragraph">
              <wp:posOffset>31750</wp:posOffset>
            </wp:positionV>
            <wp:extent cx="1502410" cy="413385"/>
            <wp:effectExtent l="0" t="0" r="0" b="5715"/>
            <wp:wrapSquare wrapText="bothSides"/>
            <wp:docPr id="13362913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91351" name="Picture 133629135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02410" cy="413385"/>
                    </a:xfrm>
                    <a:prstGeom prst="rect">
                      <a:avLst/>
                    </a:prstGeom>
                  </pic:spPr>
                </pic:pic>
              </a:graphicData>
            </a:graphic>
            <wp14:sizeRelH relativeFrom="page">
              <wp14:pctWidth>0</wp14:pctWidth>
            </wp14:sizeRelH>
            <wp14:sizeRelV relativeFrom="page">
              <wp14:pctHeight>0</wp14:pctHeight>
            </wp14:sizeRelV>
          </wp:anchor>
        </w:drawing>
      </w:r>
      <w:r>
        <w:rPr>
          <w:rFonts w:ascii="Verdana" w:eastAsia="Calibri" w:hAnsi="Verdana" w:cs="Arial"/>
          <w:b/>
          <w:bCs/>
          <w:noProof/>
          <w:color w:val="000000" w:themeColor="text1"/>
          <w:lang w:val="es-ES" w:eastAsia="es-ES"/>
        </w:rPr>
        <w:drawing>
          <wp:anchor distT="0" distB="0" distL="114300" distR="114300" simplePos="0" relativeHeight="251663360" behindDoc="0" locked="0" layoutInCell="1" allowOverlap="1" wp14:anchorId="66DE8C3C" wp14:editId="15BCF2CB">
            <wp:simplePos x="0" y="0"/>
            <wp:positionH relativeFrom="column">
              <wp:posOffset>4444838</wp:posOffset>
            </wp:positionH>
            <wp:positionV relativeFrom="paragraph">
              <wp:posOffset>32385</wp:posOffset>
            </wp:positionV>
            <wp:extent cx="1494155" cy="415925"/>
            <wp:effectExtent l="0" t="0" r="4445" b="3175"/>
            <wp:wrapSquare wrapText="bothSides"/>
            <wp:docPr id="18084321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32165" name="Picture 1808432165"/>
                    <pic:cNvPicPr/>
                  </pic:nvPicPr>
                  <pic:blipFill>
                    <a:blip r:embed="rId14">
                      <a:extLst>
                        <a:ext uri="{28A0092B-C50C-407E-A947-70E740481C1C}">
                          <a14:useLocalDpi xmlns:a14="http://schemas.microsoft.com/office/drawing/2010/main" val="0"/>
                        </a:ext>
                      </a:extLst>
                    </a:blip>
                    <a:stretch>
                      <a:fillRect/>
                    </a:stretch>
                  </pic:blipFill>
                  <pic:spPr>
                    <a:xfrm>
                      <a:off x="0" y="0"/>
                      <a:ext cx="1494155" cy="415925"/>
                    </a:xfrm>
                    <a:prstGeom prst="rect">
                      <a:avLst/>
                    </a:prstGeom>
                  </pic:spPr>
                </pic:pic>
              </a:graphicData>
            </a:graphic>
            <wp14:sizeRelH relativeFrom="page">
              <wp14:pctWidth>0</wp14:pctWidth>
            </wp14:sizeRelH>
            <wp14:sizeRelV relativeFrom="page">
              <wp14:pctHeight>0</wp14:pctHeight>
            </wp14:sizeRelV>
          </wp:anchor>
        </w:drawing>
      </w:r>
      <w:r w:rsidR="001A19CD">
        <w:rPr>
          <w:rFonts w:ascii="Verdana" w:eastAsia="Calibri" w:hAnsi="Verdana" w:cs="Arial"/>
          <w:b/>
          <w:bCs/>
          <w:color w:val="000000" w:themeColor="text1"/>
          <w:lang w:val="es-ES" w:eastAsia="es-ES"/>
        </w:rPr>
        <w:t>Municipio de Chiquinquirá</w:t>
      </w:r>
    </w:p>
    <w:p w14:paraId="41C14857" w14:textId="584161D5" w:rsidR="001A19CD" w:rsidRDefault="001A19CD" w:rsidP="001A19CD">
      <w:pPr>
        <w:spacing w:after="0" w:line="240" w:lineRule="auto"/>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Chiquinquirá, Boyacá</w:t>
      </w:r>
    </w:p>
    <w:p w14:paraId="2F010DFE" w14:textId="77777777" w:rsidR="001A19CD" w:rsidRPr="00E828AF" w:rsidRDefault="001A19CD" w:rsidP="001A19CD">
      <w:pPr>
        <w:spacing w:after="0" w:line="240" w:lineRule="auto"/>
        <w:rPr>
          <w:rFonts w:ascii="Verdana" w:eastAsia="Calibri" w:hAnsi="Verdana" w:cs="Arial"/>
          <w:color w:val="000000" w:themeColor="text1"/>
          <w:lang w:val="es-ES" w:eastAsia="es-ES_tradnl"/>
        </w:rPr>
      </w:pPr>
    </w:p>
    <w:tbl>
      <w:tblPr>
        <w:tblStyle w:val="Tablaconcuadrcula"/>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1A19CD" w:rsidRPr="00E828AF" w14:paraId="24661F77" w14:textId="77777777" w:rsidTr="001510B2">
        <w:trPr>
          <w:gridAfter w:val="1"/>
          <w:wAfter w:w="4179" w:type="dxa"/>
          <w:trHeight w:val="304"/>
        </w:trPr>
        <w:tc>
          <w:tcPr>
            <w:tcW w:w="2689" w:type="dxa"/>
          </w:tcPr>
          <w:p w14:paraId="5682A1B0" w14:textId="77777777" w:rsidR="001A19CD" w:rsidRPr="00E828AF" w:rsidRDefault="001A19CD" w:rsidP="001510B2">
            <w:pPr>
              <w:jc w:val="both"/>
              <w:rPr>
                <w:rFonts w:ascii="Verdana" w:eastAsia="Calibri" w:hAnsi="Verdana" w:cs="Arial"/>
                <w:b/>
                <w:bCs/>
                <w:color w:val="000000" w:themeColor="text1"/>
                <w:lang w:val="es-ES" w:eastAsia="es-ES_tradnl"/>
              </w:rPr>
            </w:pPr>
          </w:p>
        </w:tc>
        <w:tc>
          <w:tcPr>
            <w:tcW w:w="6100" w:type="dxa"/>
          </w:tcPr>
          <w:p w14:paraId="45BB0CFE" w14:textId="77777777" w:rsidR="00BA40CC" w:rsidRDefault="00BA40CC" w:rsidP="001510B2">
            <w:pPr>
              <w:jc w:val="both"/>
              <w:rPr>
                <w:rFonts w:ascii="Verdana" w:eastAsia="Calibri" w:hAnsi="Verdana" w:cs="Arial"/>
                <w:b/>
                <w:bCs/>
                <w:color w:val="000000" w:themeColor="text1"/>
                <w:lang w:val="es-ES" w:eastAsia="es-ES"/>
              </w:rPr>
            </w:pPr>
          </w:p>
          <w:p w14:paraId="6C81C3A9" w14:textId="597DAF4D" w:rsidR="001A19CD" w:rsidRPr="00E828AF" w:rsidRDefault="001A19CD" w:rsidP="001510B2">
            <w:pPr>
              <w:jc w:val="both"/>
              <w:rPr>
                <w:rFonts w:ascii="Verdana" w:eastAsia="Calibri" w:hAnsi="Verdana" w:cs="Arial"/>
                <w:b/>
                <w:bCs/>
                <w:color w:val="000000" w:themeColor="text1"/>
                <w:lang w:val="es-ES" w:eastAsia="es-ES"/>
              </w:rPr>
            </w:pPr>
            <w:r w:rsidRPr="00E828AF">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1054</w:t>
            </w:r>
            <w:r w:rsidRPr="00E828AF">
              <w:rPr>
                <w:rFonts w:ascii="Verdana" w:eastAsia="Calibri" w:hAnsi="Verdana" w:cs="Arial"/>
                <w:b/>
                <w:bCs/>
                <w:color w:val="000000" w:themeColor="text1"/>
                <w:lang w:val="es-ES" w:eastAsia="es-ES"/>
              </w:rPr>
              <w:t xml:space="preserve"> de 2026</w:t>
            </w:r>
          </w:p>
          <w:p w14:paraId="493C2BB8" w14:textId="7F64CE0D" w:rsidR="001A19CD" w:rsidRPr="00E828AF" w:rsidRDefault="001A19CD" w:rsidP="001510B2">
            <w:pPr>
              <w:jc w:val="both"/>
              <w:rPr>
                <w:rFonts w:ascii="Verdana" w:eastAsia="Calibri" w:hAnsi="Verdana" w:cs="Arial"/>
                <w:b/>
                <w:bCs/>
                <w:color w:val="000000" w:themeColor="text1"/>
                <w:lang w:val="es-ES" w:eastAsia="es-ES"/>
              </w:rPr>
            </w:pPr>
          </w:p>
        </w:tc>
      </w:tr>
      <w:tr w:rsidR="001A19CD" w:rsidRPr="00E828AF" w14:paraId="7816B335" w14:textId="77777777" w:rsidTr="001510B2">
        <w:trPr>
          <w:trHeight w:val="1422"/>
        </w:trPr>
        <w:tc>
          <w:tcPr>
            <w:tcW w:w="2689" w:type="dxa"/>
          </w:tcPr>
          <w:p w14:paraId="7CD1E81A" w14:textId="77777777" w:rsidR="001A19CD" w:rsidRPr="00E828AF" w:rsidRDefault="001A19CD" w:rsidP="001510B2">
            <w:pPr>
              <w:jc w:val="both"/>
              <w:rPr>
                <w:rFonts w:ascii="Verdana" w:eastAsia="Calibri" w:hAnsi="Verdana" w:cs="Arial"/>
                <w:color w:val="000000" w:themeColor="text1"/>
                <w:lang w:val="es-ES" w:eastAsia="es-ES_tradnl"/>
              </w:rPr>
            </w:pPr>
            <w:r w:rsidRPr="00E828AF">
              <w:rPr>
                <w:rFonts w:ascii="Verdana" w:eastAsia="Calibri" w:hAnsi="Verdana" w:cs="Arial"/>
                <w:b/>
                <w:color w:val="000000" w:themeColor="text1"/>
                <w:lang w:val="es-ES" w:eastAsia="es-ES_tradnl"/>
              </w:rPr>
              <w:t>Temas:</w:t>
            </w:r>
            <w:r w:rsidRPr="00E828AF">
              <w:rPr>
                <w:rFonts w:ascii="Verdana" w:eastAsia="Calibri" w:hAnsi="Verdana" w:cs="Arial"/>
                <w:color w:val="000000" w:themeColor="text1"/>
                <w:lang w:val="es-ES" w:eastAsia="es-ES_tradnl"/>
              </w:rPr>
              <w:t xml:space="preserve">                   </w:t>
            </w:r>
          </w:p>
        </w:tc>
        <w:tc>
          <w:tcPr>
            <w:tcW w:w="6100" w:type="dxa"/>
          </w:tcPr>
          <w:p w14:paraId="1BC21F6A" w14:textId="77777777" w:rsidR="001A19CD" w:rsidRPr="00E828AF" w:rsidRDefault="001A19CD" w:rsidP="001510B2">
            <w:pPr>
              <w:spacing w:line="276" w:lineRule="auto"/>
              <w:jc w:val="both"/>
              <w:rPr>
                <w:rFonts w:ascii="Verdana" w:eastAsia="Arial" w:hAnsi="Verdana" w:cs="Arial"/>
                <w:bCs/>
                <w:color w:val="000000" w:themeColor="text1"/>
                <w:lang w:val="es-ES"/>
              </w:rPr>
            </w:pPr>
            <w:r>
              <w:rPr>
                <w:rFonts w:ascii="Verdana" w:eastAsia="Calibri" w:hAnsi="Verdana" w:cs="Arial"/>
                <w:color w:val="000000" w:themeColor="text1"/>
                <w:lang w:val="es-ES" w:eastAsia="es-ES"/>
              </w:rPr>
              <w:t>SISTEMA</w:t>
            </w:r>
            <w:r w:rsidRPr="00B66299">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xml:space="preserve">SEGURIDAD SOCIAL INTEGRAL – </w:t>
            </w:r>
            <w:r>
              <w:rPr>
                <w:rFonts w:ascii="Verdana" w:eastAsia="Calibri" w:hAnsi="Verdana" w:cs="Arial"/>
                <w:color w:val="000000" w:themeColor="text1"/>
                <w:lang w:val="es-ES" w:eastAsia="es-ES"/>
              </w:rPr>
              <w:t xml:space="preserve">Obligaciones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Contratación Estatal</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3D2146">
              <w:rPr>
                <w:rFonts w:ascii="Verdana" w:hAnsi="Verdana" w:cs="Arial"/>
                <w:bCs/>
                <w:lang w:val="es-ES" w:eastAsia="es-ES_tradnl"/>
              </w:rPr>
              <w:t>SEGURIDAD SOCIAL ― Verificación ―</w:t>
            </w:r>
            <w:r>
              <w:rPr>
                <w:rFonts w:ascii="Verdana" w:hAnsi="Verdana" w:cs="Arial"/>
                <w:bCs/>
                <w:lang w:val="es-ES" w:eastAsia="es-ES_tradnl"/>
              </w:rPr>
              <w:t xml:space="preserve"> Contratos de aprovechamiento del espacio público</w:t>
            </w:r>
          </w:p>
        </w:tc>
        <w:tc>
          <w:tcPr>
            <w:tcW w:w="4179" w:type="dxa"/>
          </w:tcPr>
          <w:p w14:paraId="013BE3A1" w14:textId="77777777" w:rsidR="001A19CD" w:rsidRPr="00E828AF" w:rsidRDefault="001A19CD" w:rsidP="001510B2">
            <w:pPr>
              <w:spacing w:line="276" w:lineRule="auto"/>
              <w:jc w:val="both"/>
              <w:rPr>
                <w:rFonts w:ascii="Verdana" w:eastAsia="Calibri" w:hAnsi="Verdana" w:cs="Arial"/>
                <w:b/>
                <w:bCs/>
                <w:color w:val="000000" w:themeColor="text1"/>
                <w:lang w:val="es-ES" w:eastAsia="es-ES"/>
              </w:rPr>
            </w:pPr>
          </w:p>
          <w:p w14:paraId="71983ADA" w14:textId="77777777" w:rsidR="001A19CD" w:rsidRPr="00E828AF" w:rsidRDefault="001A19CD" w:rsidP="001510B2">
            <w:pPr>
              <w:rPr>
                <w:rFonts w:ascii="Verdana" w:hAnsi="Verdana"/>
                <w:lang w:val="es-ES"/>
              </w:rPr>
            </w:pPr>
          </w:p>
        </w:tc>
      </w:tr>
      <w:tr w:rsidR="001A19CD" w:rsidRPr="00E828AF" w14:paraId="59C2FFF0" w14:textId="77777777" w:rsidTr="001510B2">
        <w:trPr>
          <w:gridAfter w:val="1"/>
          <w:wAfter w:w="4179" w:type="dxa"/>
        </w:trPr>
        <w:tc>
          <w:tcPr>
            <w:tcW w:w="2689" w:type="dxa"/>
          </w:tcPr>
          <w:p w14:paraId="19E5E0EE" w14:textId="77777777" w:rsidR="001A19CD" w:rsidRPr="00E828AF" w:rsidRDefault="001A19CD" w:rsidP="001510B2">
            <w:pPr>
              <w:jc w:val="both"/>
              <w:rPr>
                <w:rFonts w:ascii="Verdana" w:eastAsia="Calibri" w:hAnsi="Verdana" w:cs="Arial"/>
                <w:b/>
                <w:color w:val="000000" w:themeColor="text1"/>
                <w:lang w:val="es-ES" w:eastAsia="es-ES_tradnl"/>
              </w:rPr>
            </w:pPr>
            <w:r w:rsidRPr="00E828AF">
              <w:rPr>
                <w:rFonts w:ascii="Verdana" w:eastAsia="Calibri" w:hAnsi="Verdana" w:cs="Arial"/>
                <w:b/>
                <w:color w:val="000000" w:themeColor="text1"/>
                <w:lang w:val="es-ES" w:eastAsia="es-ES_tradnl"/>
              </w:rPr>
              <w:t>Radicación:</w:t>
            </w:r>
            <w:r w:rsidRPr="00E828AF">
              <w:rPr>
                <w:rFonts w:ascii="Verdana" w:eastAsia="Calibri" w:hAnsi="Verdana" w:cs="Arial"/>
                <w:color w:val="000000" w:themeColor="text1"/>
                <w:lang w:val="es-ES" w:eastAsia="es-ES_tradnl"/>
              </w:rPr>
              <w:t xml:space="preserve">               </w:t>
            </w:r>
          </w:p>
        </w:tc>
        <w:tc>
          <w:tcPr>
            <w:tcW w:w="6100" w:type="dxa"/>
          </w:tcPr>
          <w:p w14:paraId="22F2DADC" w14:textId="31C98F76" w:rsidR="001A19CD" w:rsidRPr="00E828AF" w:rsidRDefault="001A19CD" w:rsidP="001510B2">
            <w:pPr>
              <w:jc w:val="both"/>
              <w:rPr>
                <w:rFonts w:ascii="Verdana" w:eastAsia="Calibri" w:hAnsi="Verdana" w:cs="Arial"/>
                <w:color w:val="000000" w:themeColor="text1"/>
                <w:lang w:val="es-ES" w:eastAsia="es-ES_tradnl"/>
              </w:rPr>
            </w:pPr>
            <w:r w:rsidRPr="00E828AF">
              <w:rPr>
                <w:rFonts w:ascii="Verdana" w:eastAsia="Calibri" w:hAnsi="Verdana" w:cs="Arial"/>
                <w:color w:val="000000" w:themeColor="text1"/>
                <w:lang w:val="es-ES" w:eastAsia="es-ES_tradnl"/>
              </w:rPr>
              <w:t xml:space="preserve">Respuesta a </w:t>
            </w:r>
            <w:r w:rsidR="00917D6C" w:rsidRPr="00E828AF">
              <w:rPr>
                <w:rFonts w:ascii="Verdana" w:eastAsia="Calibri" w:hAnsi="Verdana" w:cs="Arial"/>
                <w:color w:val="000000" w:themeColor="text1"/>
                <w:lang w:val="es-ES" w:eastAsia="es-ES_tradnl"/>
              </w:rPr>
              <w:t>las consultas</w:t>
            </w:r>
            <w:r w:rsidRPr="00E828AF">
              <w:rPr>
                <w:rFonts w:ascii="Verdana" w:eastAsia="Calibri" w:hAnsi="Verdana" w:cs="Arial"/>
                <w:color w:val="000000" w:themeColor="text1"/>
                <w:lang w:val="es-ES" w:eastAsia="es-ES_tradnl"/>
              </w:rPr>
              <w:t xml:space="preserve"> con radicado</w:t>
            </w:r>
            <w:r>
              <w:rPr>
                <w:rFonts w:ascii="Verdana" w:eastAsia="Calibri" w:hAnsi="Verdana" w:cs="Arial"/>
                <w:color w:val="000000" w:themeColor="text1"/>
                <w:lang w:val="es-ES" w:eastAsia="es-ES_tradnl"/>
              </w:rPr>
              <w:t>s</w:t>
            </w:r>
            <w:r w:rsidRPr="00E828AF">
              <w:rPr>
                <w:rFonts w:ascii="Verdana" w:eastAsia="Calibri" w:hAnsi="Verdana" w:cs="Arial"/>
                <w:color w:val="000000" w:themeColor="text1"/>
                <w:lang w:val="es-ES" w:eastAsia="es-ES_tradnl"/>
              </w:rPr>
              <w:t xml:space="preserve"> No. </w:t>
            </w:r>
            <w:r w:rsidRPr="00F31D4D">
              <w:rPr>
                <w:rFonts w:ascii="Verdana" w:eastAsia="Calibri" w:hAnsi="Verdana" w:cs="Arial"/>
                <w:color w:val="000000" w:themeColor="text1"/>
                <w:lang w:val="es-ES" w:eastAsia="es-ES_tradnl"/>
              </w:rPr>
              <w:t>1_2026_07_02_008815</w:t>
            </w:r>
            <w:r>
              <w:rPr>
                <w:rFonts w:ascii="Verdana" w:eastAsia="Calibri" w:hAnsi="Verdana" w:cs="Arial"/>
                <w:color w:val="000000" w:themeColor="text1"/>
                <w:lang w:val="es-ES" w:eastAsia="es-ES_tradnl"/>
              </w:rPr>
              <w:t xml:space="preserve">, </w:t>
            </w:r>
            <w:r w:rsidRPr="00712A64">
              <w:rPr>
                <w:rFonts w:ascii="Verdana" w:eastAsia="Calibri" w:hAnsi="Verdana" w:cs="Arial"/>
                <w:color w:val="000000" w:themeColor="text1"/>
                <w:lang w:val="es-ES" w:eastAsia="es-ES_tradnl"/>
              </w:rPr>
              <w:t>1_2026_07_03_008883, 1_2026_07_03_008886 y 1_2026_07_03_008894</w:t>
            </w:r>
            <w:r w:rsidR="00BA40CC">
              <w:rPr>
                <w:rFonts w:ascii="Verdana" w:eastAsia="Calibri" w:hAnsi="Verdana" w:cs="Arial"/>
                <w:color w:val="000000" w:themeColor="text1"/>
                <w:lang w:val="es-ES" w:eastAsia="es-ES_tradnl"/>
              </w:rPr>
              <w:t xml:space="preserve"> (acumuladas)</w:t>
            </w:r>
          </w:p>
        </w:tc>
      </w:tr>
    </w:tbl>
    <w:p w14:paraId="28E1881C" w14:textId="77777777" w:rsidR="001A19CD" w:rsidRPr="00E828AF" w:rsidRDefault="001A19CD" w:rsidP="001A19CD">
      <w:pPr>
        <w:spacing w:after="0" w:line="276" w:lineRule="auto"/>
        <w:jc w:val="both"/>
        <w:rPr>
          <w:rFonts w:ascii="Verdana" w:eastAsia="Calibri" w:hAnsi="Verdana" w:cs="Arial"/>
          <w:color w:val="000000" w:themeColor="text1"/>
          <w:lang w:val="es-ES" w:eastAsia="es-ES_tradnl"/>
        </w:rPr>
      </w:pPr>
    </w:p>
    <w:p w14:paraId="6F2F5F8E" w14:textId="77777777" w:rsidR="001A19CD" w:rsidRPr="00E828AF" w:rsidRDefault="001A19CD" w:rsidP="001A19CD">
      <w:pPr>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Señoras y Señores del Municipio</w:t>
      </w:r>
      <w:r w:rsidRPr="00E828AF">
        <w:rPr>
          <w:rFonts w:ascii="Verdana" w:eastAsia="Calibri" w:hAnsi="Verdana" w:cs="Arial"/>
          <w:color w:val="000000" w:themeColor="text1"/>
          <w:lang w:val="es-ES" w:eastAsia="es-ES"/>
        </w:rPr>
        <w:t>:</w:t>
      </w:r>
    </w:p>
    <w:p w14:paraId="0771AC12" w14:textId="77777777" w:rsidR="001A19CD" w:rsidRPr="00E828AF" w:rsidRDefault="001A19CD" w:rsidP="001A19CD">
      <w:pPr>
        <w:tabs>
          <w:tab w:val="left" w:pos="3768"/>
        </w:tabs>
        <w:spacing w:after="0" w:line="276" w:lineRule="auto"/>
        <w:jc w:val="both"/>
        <w:rPr>
          <w:rFonts w:ascii="Verdana" w:eastAsia="Calibri" w:hAnsi="Verdana" w:cs="Arial"/>
          <w:color w:val="000000" w:themeColor="text1"/>
          <w:lang w:val="es-ES" w:eastAsia="es-ES"/>
        </w:rPr>
      </w:pPr>
    </w:p>
    <w:p w14:paraId="2EE2EE28" w14:textId="77777777" w:rsidR="001A19CD" w:rsidRPr="00E828AF" w:rsidRDefault="001A19CD" w:rsidP="001A19CD">
      <w:pPr>
        <w:spacing w:after="0" w:line="276" w:lineRule="auto"/>
        <w:jc w:val="both"/>
        <w:rPr>
          <w:rFonts w:ascii="Verdana" w:eastAsia="Calibri" w:hAnsi="Verdana" w:cs="Arial"/>
          <w:color w:val="000000" w:themeColor="text1"/>
          <w:lang w:val="es-ES" w:eastAsia="es-ES"/>
        </w:rPr>
      </w:pPr>
      <w:r w:rsidRPr="00E828AF">
        <w:rPr>
          <w:rFonts w:ascii="Verdana" w:eastAsia="Calibri" w:hAnsi="Verdana" w:cs="Arial"/>
          <w:color w:val="000000" w:themeColor="text1"/>
          <w:lang w:val="es-ES" w:eastAsia="es-ES"/>
        </w:rPr>
        <w:t>En ejercicio de la competencia otorgada por los artículos 3, numeral 5º, y 11, numeral 8º, del Decreto Ley 4170 de 2011,</w:t>
      </w:r>
      <w:r w:rsidRPr="00E828AF">
        <w:rPr>
          <w:rFonts w:ascii="Verdana" w:eastAsia="Arial MT" w:hAnsi="Verdana" w:cs="Arial MT"/>
          <w:color w:val="000000" w:themeColor="text1"/>
          <w:lang w:val="es-ES" w:eastAsia="es-ES"/>
        </w:rPr>
        <w:t xml:space="preserve"> </w:t>
      </w:r>
      <w:r w:rsidRPr="00E828AF">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concepto del 0</w:t>
      </w:r>
      <w:r>
        <w:rPr>
          <w:rFonts w:ascii="Verdana" w:hAnsi="Verdana" w:cs="Arial"/>
          <w:color w:val="000000" w:themeColor="text1"/>
          <w:lang w:val="es-ES"/>
        </w:rPr>
        <w:t>2</w:t>
      </w:r>
      <w:r w:rsidRPr="00E828AF">
        <w:rPr>
          <w:rFonts w:ascii="Verdana" w:hAnsi="Verdana" w:cs="Arial"/>
          <w:color w:val="000000" w:themeColor="text1"/>
          <w:lang w:val="es-ES"/>
        </w:rPr>
        <w:t xml:space="preserve"> de julio de 2026, en la cual manifiesta</w:t>
      </w:r>
      <w:r>
        <w:rPr>
          <w:rFonts w:ascii="Verdana" w:hAnsi="Verdana" w:cs="Arial"/>
          <w:color w:val="000000" w:themeColor="text1"/>
          <w:lang w:val="es-ES"/>
        </w:rPr>
        <w:t>n</w:t>
      </w:r>
      <w:r w:rsidRPr="00E828AF">
        <w:rPr>
          <w:rFonts w:ascii="Verdana" w:hAnsi="Verdana" w:cs="Arial"/>
          <w:color w:val="000000" w:themeColor="text1"/>
          <w:lang w:val="es-ES"/>
        </w:rPr>
        <w:t xml:space="preserve"> lo siguiente:</w:t>
      </w:r>
      <w:r w:rsidRPr="00E828AF">
        <w:rPr>
          <w:rFonts w:ascii="Verdana" w:eastAsia="Calibri" w:hAnsi="Verdana" w:cs="Arial"/>
          <w:color w:val="000000" w:themeColor="text1"/>
          <w:lang w:val="es-ES" w:eastAsia="es-ES"/>
        </w:rPr>
        <w:t xml:space="preserve"> </w:t>
      </w:r>
    </w:p>
    <w:p w14:paraId="52D7302C" w14:textId="77777777" w:rsidR="001A19CD" w:rsidRPr="00E828AF" w:rsidRDefault="001A19CD" w:rsidP="001A19CD">
      <w:pPr>
        <w:spacing w:after="0" w:line="276" w:lineRule="auto"/>
        <w:jc w:val="both"/>
        <w:rPr>
          <w:rFonts w:ascii="Verdana" w:eastAsia="Calibri" w:hAnsi="Verdana" w:cs="Arial"/>
          <w:color w:val="000000" w:themeColor="text1"/>
          <w:lang w:val="es-ES" w:eastAsia="es-ES"/>
        </w:rPr>
      </w:pPr>
    </w:p>
    <w:p w14:paraId="245FF84E"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E828AF">
        <w:rPr>
          <w:rFonts w:ascii="Verdana" w:eastAsia="Century Gothic" w:hAnsi="Verdana" w:cs="Century Gothic"/>
          <w:i/>
          <w:iCs/>
          <w:color w:val="000000" w:themeColor="text1"/>
          <w:sz w:val="20"/>
          <w:szCs w:val="20"/>
          <w:lang w:val="es-ES"/>
        </w:rPr>
        <w:t xml:space="preserve">“[…] </w:t>
      </w:r>
      <w:r w:rsidRPr="005D6F29">
        <w:rPr>
          <w:rFonts w:ascii="Verdana" w:eastAsia="Century Gothic" w:hAnsi="Verdana" w:cs="Century Gothic"/>
          <w:i/>
          <w:color w:val="000000" w:themeColor="text1"/>
          <w:sz w:val="20"/>
          <w:szCs w:val="20"/>
        </w:rPr>
        <w:t xml:space="preserve">Con fundamento en las consideraciones normativas y fácticas expuestas, respetuosamente solicitamos se sirvan emitir concepto respecto de los siguientes interrogantes: </w:t>
      </w:r>
    </w:p>
    <w:p w14:paraId="10C58688"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5D6F29">
        <w:rPr>
          <w:rFonts w:ascii="Verdana" w:eastAsia="Century Gothic" w:hAnsi="Verdana" w:cs="Century Gothic"/>
          <w:i/>
          <w:color w:val="000000" w:themeColor="text1"/>
          <w:sz w:val="20"/>
          <w:szCs w:val="20"/>
        </w:rPr>
        <w:t xml:space="preserve">1. ¿Es jurídicamente obligatorio que el Municipio exija la afiliación y el pago de aportes al Sistema de Seguridad Social Integral como requisito para la celebración de un contrato de uso y aprovechamiento económico del espacio público? </w:t>
      </w:r>
    </w:p>
    <w:p w14:paraId="04C6B9BF"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5D6F29">
        <w:rPr>
          <w:rFonts w:ascii="Verdana" w:eastAsia="Century Gothic" w:hAnsi="Verdana" w:cs="Century Gothic"/>
          <w:i/>
          <w:color w:val="000000" w:themeColor="text1"/>
          <w:sz w:val="20"/>
          <w:szCs w:val="20"/>
        </w:rPr>
        <w:t xml:space="preserve">2. Considerando que el Municipio no realiza erogación alguna a favor del particular, sino que recibe una contraprestación económica por la utilización del espacio público, ¿resulta aplicable a este tipo de contratos el régimen de verificación y retención de aportes a la seguridad social previsto en el Decreto 780 de 2016 y el artículo 108 del Estatuto </w:t>
      </w:r>
      <w:r w:rsidRPr="005D6F29">
        <w:rPr>
          <w:rFonts w:ascii="Verdana" w:eastAsia="Century Gothic" w:hAnsi="Verdana" w:cs="Century Gothic"/>
          <w:i/>
          <w:color w:val="000000" w:themeColor="text1"/>
          <w:sz w:val="20"/>
          <w:szCs w:val="20"/>
        </w:rPr>
        <w:lastRenderedPageBreak/>
        <w:t xml:space="preserve">Tributario, diseñado para contratos en los que la entidad estatal actúa como contratante-pagadora? </w:t>
      </w:r>
    </w:p>
    <w:p w14:paraId="56D0798D"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5D6F29">
        <w:rPr>
          <w:rFonts w:ascii="Verdana" w:eastAsia="Century Gothic" w:hAnsi="Verdana" w:cs="Century Gothic"/>
          <w:i/>
          <w:color w:val="000000" w:themeColor="text1"/>
          <w:sz w:val="20"/>
          <w:szCs w:val="20"/>
        </w:rPr>
        <w:t xml:space="preserve">3. ¿La naturaleza jurídica de los contratos de uso y aprovechamiento económico del espacio público —en tanto actos de autorización que no implican relación laboral, prestación de servicios personales ni pago de honorarios o remuneración a cargo del Municipio— permite concluir que la obligación de verificar el cumplimiento de aportes al Sistema de Seguridad Social Integral no resulta exigible por parte de la entidad territorial? </w:t>
      </w:r>
    </w:p>
    <w:p w14:paraId="16D3F3A9"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5D6F29">
        <w:rPr>
          <w:rFonts w:ascii="Verdana" w:eastAsia="Century Gothic" w:hAnsi="Verdana" w:cs="Century Gothic"/>
          <w:i/>
          <w:color w:val="000000" w:themeColor="text1"/>
          <w:sz w:val="20"/>
          <w:szCs w:val="20"/>
        </w:rPr>
        <w:t xml:space="preserve">4. En caso de considerarse procedente dicha exigencia, ¿cuál sería el fundamento normativo específico que la sustenta y cuál sería el procedimiento que debería aplicar la entidad territorial para verificar su cumplimiento en este tipo de contratos? </w:t>
      </w:r>
    </w:p>
    <w:p w14:paraId="5C376146"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5D6F29">
        <w:rPr>
          <w:rFonts w:ascii="Verdana" w:eastAsia="Century Gothic" w:hAnsi="Verdana" w:cs="Century Gothic"/>
          <w:i/>
          <w:color w:val="000000" w:themeColor="text1"/>
          <w:sz w:val="20"/>
          <w:szCs w:val="20"/>
        </w:rPr>
        <w:t xml:space="preserve">El concepto que esa entidad pueda emitir permitirá al Municipio adoptar criterios jurídicos uniformes y ajustados al ordenamiento jurídico vigente, garantizando la correcta aplicación de la normatividad, la protección del patrimonio público y, al mismo tiempo, el cumplimiento de las políticas de formalización económica e inclusión social dirigidas a la población más vulnerable. </w:t>
      </w:r>
    </w:p>
    <w:p w14:paraId="539BB430" w14:textId="77777777" w:rsidR="001A19CD" w:rsidRPr="005D6F29" w:rsidRDefault="001A19CD" w:rsidP="001A19CD">
      <w:pPr>
        <w:spacing w:after="0"/>
        <w:ind w:left="709" w:right="709"/>
        <w:contextualSpacing/>
        <w:jc w:val="both"/>
        <w:rPr>
          <w:rFonts w:ascii="Verdana" w:eastAsia="Century Gothic" w:hAnsi="Verdana" w:cs="Century Gothic"/>
          <w:i/>
          <w:color w:val="000000" w:themeColor="text1"/>
          <w:sz w:val="20"/>
          <w:szCs w:val="20"/>
        </w:rPr>
      </w:pPr>
      <w:r w:rsidRPr="005D6F29">
        <w:rPr>
          <w:rFonts w:ascii="Verdana" w:eastAsia="Century Gothic" w:hAnsi="Verdana" w:cs="Century Gothic"/>
          <w:i/>
          <w:color w:val="000000" w:themeColor="text1"/>
          <w:sz w:val="20"/>
          <w:szCs w:val="20"/>
        </w:rPr>
        <w:t>Agradecemos de antemano la atención prestada a la presente consulta y quedamos atentos a la orientación jurídica que esa Agencia considere pertinente impartir</w:t>
      </w:r>
      <w:r w:rsidRPr="00E828AF">
        <w:rPr>
          <w:rFonts w:ascii="Verdana" w:eastAsia="Century Gothic" w:hAnsi="Verdana" w:cs="Century Gothic"/>
          <w:i/>
          <w:iCs/>
          <w:color w:val="000000" w:themeColor="text1"/>
          <w:sz w:val="20"/>
          <w:szCs w:val="20"/>
          <w:lang w:val="es-ES"/>
        </w:rPr>
        <w:t>”</w:t>
      </w:r>
      <w:r>
        <w:rPr>
          <w:rFonts w:ascii="Verdana" w:eastAsia="Century Gothic" w:hAnsi="Verdana" w:cs="Century Gothic"/>
          <w:i/>
          <w:iCs/>
          <w:color w:val="000000" w:themeColor="text1"/>
          <w:sz w:val="20"/>
          <w:szCs w:val="20"/>
          <w:lang w:val="es-ES"/>
        </w:rPr>
        <w:t>.</w:t>
      </w:r>
      <w:r w:rsidRPr="00E828AF">
        <w:rPr>
          <w:rFonts w:ascii="Verdana" w:eastAsia="Century Gothic" w:hAnsi="Verdana" w:cs="Century Gothic"/>
          <w:b/>
          <w:i/>
          <w:color w:val="000000" w:themeColor="text1"/>
          <w:sz w:val="20"/>
          <w:szCs w:val="20"/>
          <w:lang w:val="es-ES"/>
        </w:rPr>
        <w:t xml:space="preserve"> </w:t>
      </w:r>
    </w:p>
    <w:p w14:paraId="175C75A6" w14:textId="77777777" w:rsidR="001A19CD" w:rsidRPr="00E828AF" w:rsidRDefault="001A19CD" w:rsidP="001A19CD">
      <w:pPr>
        <w:spacing w:after="0"/>
        <w:ind w:right="709"/>
        <w:contextualSpacing/>
        <w:jc w:val="both"/>
        <w:rPr>
          <w:rFonts w:ascii="Verdana" w:eastAsia="Century Gothic" w:hAnsi="Verdana" w:cs="Century Gothic"/>
          <w:i/>
          <w:color w:val="000000" w:themeColor="text1"/>
          <w:sz w:val="20"/>
          <w:szCs w:val="20"/>
          <w:lang w:val="es-ES"/>
        </w:rPr>
      </w:pPr>
    </w:p>
    <w:p w14:paraId="511A1D79" w14:textId="77777777" w:rsidR="001A19CD" w:rsidRPr="00E828AF" w:rsidRDefault="001A19CD" w:rsidP="001A19CD">
      <w:pPr>
        <w:spacing w:after="0" w:line="276" w:lineRule="auto"/>
        <w:contextualSpacing/>
        <w:jc w:val="both"/>
        <w:rPr>
          <w:rFonts w:ascii="Verdana" w:eastAsia="Calibri" w:hAnsi="Verdana" w:cs="Arial"/>
          <w:color w:val="000000" w:themeColor="text1"/>
          <w:szCs w:val="24"/>
          <w:lang w:val="es-ES" w:eastAsia="es-ES_tradnl"/>
        </w:rPr>
      </w:pPr>
      <w:r w:rsidRPr="00E828AF">
        <w:rPr>
          <w:rFonts w:ascii="Verdana" w:eastAsia="Calibri" w:hAnsi="Verdana" w:cs="Arial"/>
          <w:color w:val="000000" w:themeColor="text1"/>
          <w:lang w:val="es-ES" w:eastAsia="es-ES"/>
        </w:rPr>
        <w:tab/>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828AF">
        <w:rPr>
          <w:rFonts w:ascii="Verdana" w:eastAsia="Calibri" w:hAnsi="Verdana" w:cs="Arial"/>
          <w:color w:val="000000" w:themeColor="text1"/>
          <w:szCs w:val="24"/>
          <w:lang w:val="es-ES" w:eastAsia="es-ES_tradnl"/>
        </w:rPr>
        <w:tab/>
      </w:r>
    </w:p>
    <w:p w14:paraId="71E97F53" w14:textId="77777777" w:rsidR="001A19CD" w:rsidRPr="00E828AF" w:rsidRDefault="001A19CD" w:rsidP="001A19CD">
      <w:pPr>
        <w:spacing w:before="120" w:after="120" w:line="276" w:lineRule="auto"/>
        <w:ind w:firstLine="709"/>
        <w:jc w:val="both"/>
        <w:rPr>
          <w:rFonts w:ascii="Verdana" w:eastAsia="Calibri" w:hAnsi="Verdana" w:cs="Arial"/>
          <w:color w:val="000000" w:themeColor="text1"/>
          <w:lang w:val="es-ES" w:eastAsia="es-ES"/>
        </w:rPr>
      </w:pPr>
      <w:r w:rsidRPr="00E828AF">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 xml:space="preserve">el </w:t>
      </w:r>
      <w:r w:rsidRPr="00E828AF">
        <w:rPr>
          <w:rFonts w:ascii="Verdana" w:eastAsia="Calibri" w:hAnsi="Verdana" w:cs="Arial"/>
          <w:color w:val="000000" w:themeColor="text1"/>
          <w:lang w:val="es-ES" w:eastAsia="es-ES"/>
        </w:rPr>
        <w:t xml:space="preserve">problema jurídico de su consulta. </w:t>
      </w:r>
    </w:p>
    <w:p w14:paraId="25C68139" w14:textId="77777777" w:rsidR="001A19CD" w:rsidRPr="00E828AF" w:rsidRDefault="001A19CD" w:rsidP="001A19CD">
      <w:pPr>
        <w:spacing w:after="0" w:line="276" w:lineRule="auto"/>
        <w:jc w:val="both"/>
        <w:rPr>
          <w:rFonts w:ascii="Verdana" w:eastAsia="Calibri" w:hAnsi="Verdana" w:cs="Arial"/>
          <w:color w:val="000000" w:themeColor="text1"/>
          <w:lang w:val="es-ES" w:eastAsia="es-ES"/>
        </w:rPr>
      </w:pPr>
    </w:p>
    <w:p w14:paraId="4B583B1A" w14:textId="77777777" w:rsidR="001A19CD" w:rsidRPr="00E828AF" w:rsidRDefault="001A19CD" w:rsidP="001A19C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E828AF">
        <w:rPr>
          <w:rFonts w:ascii="Verdana" w:eastAsia="Century Gothic" w:hAnsi="Verdana" w:cs="Century Gothic"/>
          <w:b/>
          <w:bCs/>
          <w:color w:val="000000" w:themeColor="text1"/>
        </w:rPr>
        <w:t>Problema planteado:</w:t>
      </w:r>
    </w:p>
    <w:p w14:paraId="12E034A8" w14:textId="77777777" w:rsidR="001A19CD" w:rsidRPr="00E828AF" w:rsidRDefault="001A19CD" w:rsidP="001A19CD">
      <w:pPr>
        <w:tabs>
          <w:tab w:val="left" w:pos="426"/>
        </w:tabs>
        <w:spacing w:after="0" w:line="276" w:lineRule="auto"/>
        <w:jc w:val="both"/>
        <w:rPr>
          <w:rFonts w:ascii="Verdana" w:eastAsia="Century Gothic" w:hAnsi="Verdana" w:cs="Century Gothic"/>
          <w:color w:val="000000" w:themeColor="text1"/>
          <w:lang w:val="es-ES"/>
        </w:rPr>
      </w:pPr>
    </w:p>
    <w:p w14:paraId="3E50CD33" w14:textId="4D1F65E2" w:rsidR="001A19CD" w:rsidRPr="00E828AF" w:rsidRDefault="001A19CD" w:rsidP="001A19CD">
      <w:pPr>
        <w:pStyle w:val="Prrafodelista"/>
        <w:spacing w:after="0" w:line="276" w:lineRule="auto"/>
        <w:ind w:left="0"/>
        <w:jc w:val="both"/>
        <w:rPr>
          <w:rFonts w:ascii="Verdana" w:eastAsia="Century Gothic" w:hAnsi="Verdana" w:cs="Century Gothic"/>
          <w:color w:val="000000" w:themeColor="text1"/>
        </w:rPr>
      </w:pPr>
      <w:r w:rsidRPr="00E828AF">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E828AF">
        <w:rPr>
          <w:rFonts w:ascii="Verdana" w:eastAsia="Century Gothic" w:hAnsi="Verdana" w:cs="Century Gothic"/>
          <w:color w:val="000000" w:themeColor="text1"/>
        </w:rPr>
        <w:t xml:space="preserve"> siguiente problema jurídico:</w:t>
      </w:r>
      <w:r w:rsidRPr="00557A4D">
        <w:rPr>
          <w:rFonts w:ascii="Verdana" w:eastAsia="Century Gothic" w:hAnsi="Verdana" w:cs="Century Gothic"/>
          <w:color w:val="000000" w:themeColor="text1"/>
        </w:rPr>
        <w:t xml:space="preserve"> </w:t>
      </w:r>
      <w:r>
        <w:rPr>
          <w:rFonts w:ascii="Verdana" w:eastAsia="Century Gothic" w:hAnsi="Verdana" w:cs="Century Gothic"/>
          <w:color w:val="000000" w:themeColor="text1"/>
        </w:rPr>
        <w:t>¿son aplicables las obligaciones en materia de seguridad social a los contratos que celebren las Entidades Estatales con particulares para el aprovechamiento económico del espacio público?</w:t>
      </w:r>
    </w:p>
    <w:p w14:paraId="3CDCF1E6" w14:textId="77777777" w:rsidR="001A19CD" w:rsidRPr="00E828AF" w:rsidRDefault="001A19CD" w:rsidP="001A19CD">
      <w:pPr>
        <w:spacing w:after="0" w:line="276" w:lineRule="auto"/>
        <w:jc w:val="both"/>
        <w:rPr>
          <w:rFonts w:ascii="Verdana" w:eastAsia="Calibri" w:hAnsi="Verdana" w:cs="Arial"/>
          <w:color w:val="000000" w:themeColor="text1"/>
          <w:lang w:val="es-ES"/>
        </w:rPr>
      </w:pPr>
    </w:p>
    <w:p w14:paraId="0338CC44" w14:textId="77777777" w:rsidR="001A19CD" w:rsidRPr="00E828AF" w:rsidRDefault="001A19CD" w:rsidP="001A19C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828AF">
        <w:rPr>
          <w:rFonts w:ascii="Verdana" w:eastAsia="Century Gothic" w:hAnsi="Verdana" w:cs="Century Gothic"/>
          <w:b/>
          <w:bCs/>
          <w:color w:val="000000" w:themeColor="text1"/>
        </w:rPr>
        <w:t>Respuesta:</w:t>
      </w:r>
    </w:p>
    <w:p w14:paraId="3500F9A9" w14:textId="77777777" w:rsidR="001A19CD" w:rsidRPr="00E828AF" w:rsidRDefault="001A19CD" w:rsidP="001A19CD">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A19CD" w:rsidRPr="00E828AF" w14:paraId="542A2531" w14:textId="77777777" w:rsidTr="001510B2">
        <w:tc>
          <w:tcPr>
            <w:tcW w:w="8828" w:type="dxa"/>
          </w:tcPr>
          <w:p w14:paraId="0176A1A4" w14:textId="77777777" w:rsidR="001A19CD" w:rsidRDefault="001A19CD" w:rsidP="001510B2">
            <w:pPr>
              <w:spacing w:after="120" w:line="276" w:lineRule="auto"/>
              <w:jc w:val="both"/>
              <w:rPr>
                <w:rFonts w:ascii="Verdana" w:eastAsia="Arial" w:hAnsi="Verdana" w:cs="Arial"/>
              </w:rPr>
            </w:pPr>
            <w:r w:rsidRPr="00D50751">
              <w:rPr>
                <w:rFonts w:ascii="Verdana" w:eastAsia="Arial" w:hAnsi="Verdana" w:cs="Arial"/>
              </w:rPr>
              <w:t xml:space="preserve">Los contratos que celebren las Entidades Estatales con particulares para el aprovechamiento económico del espacio público tienen la naturaleza jurídica de contratos estatales, aun cuando sean atípicos y con independencia de que la entidad no realice erogación alguna y sea acreedora de la contraprestación, pues la Ley 80 de 1993 adoptó un criterio eminentemente subjetivo u orgánico. </w:t>
            </w:r>
          </w:p>
          <w:p w14:paraId="3F23C182" w14:textId="77777777" w:rsidR="001A19CD" w:rsidRDefault="001A19CD" w:rsidP="001510B2">
            <w:pPr>
              <w:spacing w:after="120" w:line="276" w:lineRule="auto"/>
              <w:ind w:firstLine="741"/>
              <w:jc w:val="both"/>
              <w:rPr>
                <w:rFonts w:ascii="Verdana" w:eastAsia="Arial" w:hAnsi="Verdana" w:cs="Arial"/>
              </w:rPr>
            </w:pPr>
            <w:r w:rsidRPr="00D50751">
              <w:rPr>
                <w:rFonts w:ascii="Verdana" w:eastAsia="Arial" w:hAnsi="Verdana" w:cs="Arial"/>
              </w:rPr>
              <w:t xml:space="preserve">En consecuencia, les resulta aplicable el artículo 50 de la Ley 789 de 2002, norma que se refiere a </w:t>
            </w:r>
            <w:r w:rsidRPr="00D50751">
              <w:rPr>
                <w:rFonts w:ascii="Verdana" w:eastAsia="Arial" w:hAnsi="Verdana" w:cs="Arial"/>
                <w:i/>
                <w:iCs/>
              </w:rPr>
              <w:t>contratos de cualquier naturaleza</w:t>
            </w:r>
            <w:r w:rsidRPr="00D50751">
              <w:rPr>
                <w:rFonts w:ascii="Verdana" w:eastAsia="Arial" w:hAnsi="Verdana" w:cs="Arial"/>
              </w:rPr>
              <w:t xml:space="preserve"> con entidades del sector público</w:t>
            </w:r>
            <w:r>
              <w:rPr>
                <w:rFonts w:ascii="Verdana" w:eastAsia="Arial" w:hAnsi="Verdana" w:cs="Arial"/>
              </w:rPr>
              <w:t xml:space="preserve">. Por lo anterior, </w:t>
            </w:r>
            <w:r w:rsidRPr="00D50751">
              <w:rPr>
                <w:rFonts w:ascii="Verdana" w:eastAsia="Arial" w:hAnsi="Verdana" w:cs="Arial"/>
              </w:rPr>
              <w:t xml:space="preserve">la entidad deberá verificar que el contratista se encuentre al día en sus obligaciones con los sistemas de salud, riesgos profesionales, pensiones y aportes a las Cajas de Compensación Familiar, Instituto Colombiano de Bienestar Familiar y Servicio Nacional de Aprendizaje, cuando a ello haya lugar. </w:t>
            </w:r>
          </w:p>
          <w:p w14:paraId="15463AC0" w14:textId="78BEA47A" w:rsidR="00F12803" w:rsidRDefault="001A19CD" w:rsidP="001510B2">
            <w:pPr>
              <w:tabs>
                <w:tab w:val="left" w:pos="426"/>
              </w:tabs>
              <w:spacing w:after="120" w:line="276" w:lineRule="auto"/>
              <w:ind w:firstLine="709"/>
              <w:jc w:val="both"/>
              <w:rPr>
                <w:rFonts w:ascii="Verdana" w:eastAsia="Calibri" w:hAnsi="Verdana" w:cs="Arial"/>
                <w:color w:val="000000" w:themeColor="text1"/>
                <w:lang w:val="es-ES"/>
              </w:rPr>
            </w:pPr>
            <w:r w:rsidRPr="00D50751">
              <w:rPr>
                <w:rFonts w:ascii="Verdana" w:eastAsia="Arial" w:hAnsi="Verdana" w:cs="Arial"/>
              </w:rPr>
              <w:t xml:space="preserve">Tratándose de personas naturales, dicho deber implica verificar que el particular se encuentre afiliado al Sistema de Seguridad Social Integral —ya sea en calidad de cotizante dependiente, de beneficiario, de afiliado al Régimen Subsidiado en salud o de afiliado a un régimen exceptuado o especial—, de manera que bastará con acreditar dicha afiliación para la celebración del contrato, correspondiendo a la entidad evaluar si aquel se encuentra obligado a acreditar el pago de aportes, según el régimen y la normativa que le resulten aplicables, y dejar constancia expresa en el evento de que no lo esté. Lo anterior no resulta predicable cuando el aprovechamiento económico se materialice mediante acto administrativo, permiso o licencia, comoquiera que </w:t>
            </w:r>
            <w:r w:rsidR="00F12803" w:rsidRPr="00F12803">
              <w:rPr>
                <w:rFonts w:ascii="Verdana" w:eastAsia="Arial" w:hAnsi="Verdana" w:cs="Arial"/>
              </w:rPr>
              <w:t xml:space="preserve">tanto el artículo 50 de la Ley 789 de 2002 —referido a la celebración, renovación o liquidación de contratos de cualquier naturaleza con entidades </w:t>
            </w:r>
            <w:r w:rsidR="00F12803" w:rsidRPr="00F12803">
              <w:rPr>
                <w:rFonts w:ascii="Verdana" w:eastAsia="Arial" w:hAnsi="Verdana" w:cs="Arial"/>
              </w:rPr>
              <w:lastRenderedPageBreak/>
              <w:t>del sector público— como el artículo 23 de la Ley 1150 de 2007 —predicable del proponente y del contratista dentro de un proceso contractual— presuponen la existencia de un contrato estatal y no de un acto administrativo, permiso o licencia.</w:t>
            </w:r>
          </w:p>
          <w:p w14:paraId="37BFCD0C" w14:textId="05D69CB3" w:rsidR="001A19CD" w:rsidRPr="004B1875" w:rsidRDefault="001A19CD" w:rsidP="001510B2">
            <w:pPr>
              <w:tabs>
                <w:tab w:val="left" w:pos="426"/>
              </w:tabs>
              <w:spacing w:after="120" w:line="276" w:lineRule="auto"/>
              <w:ind w:firstLine="709"/>
              <w:jc w:val="both"/>
              <w:rPr>
                <w:rFonts w:ascii="Verdana" w:hAnsi="Verdana" w:cs="Arial"/>
                <w:lang w:val="es-ES" w:eastAsia="es-ES"/>
              </w:rPr>
            </w:pPr>
            <w:r w:rsidRPr="00E828AF">
              <w:rPr>
                <w:rFonts w:ascii="Verdana" w:eastAsia="Calibri" w:hAnsi="Verdana" w:cs="Arial"/>
                <w:color w:val="000000" w:themeColor="text1"/>
                <w:lang w:val="es-ES"/>
              </w:rPr>
              <w:t xml:space="preserve">Al </w:t>
            </w:r>
            <w:r w:rsidRPr="00E828AF">
              <w:rPr>
                <w:rFonts w:ascii="Verdana" w:hAnsi="Verdana" w:cs="Arial"/>
                <w:lang w:val="es-ES" w:eastAsia="es-ES"/>
              </w:rPr>
              <w:t>margen de la explicación precedente debe advertirse que el análisis requerido para resolver problemas específicos debe realizarse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tc>
      </w:tr>
    </w:tbl>
    <w:p w14:paraId="6FE1AEDA" w14:textId="77777777" w:rsidR="001A19CD" w:rsidRPr="00E828AF" w:rsidRDefault="001A19CD" w:rsidP="001A19CD">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FFDCA2C" w14:textId="77777777" w:rsidR="001A19CD" w:rsidRPr="00E828AF" w:rsidRDefault="001A19CD" w:rsidP="001A19C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828AF">
        <w:rPr>
          <w:rFonts w:ascii="Verdana" w:eastAsia="Century Gothic" w:hAnsi="Verdana" w:cs="Century Gothic"/>
          <w:b/>
          <w:bCs/>
          <w:color w:val="000000" w:themeColor="text1"/>
        </w:rPr>
        <w:t>Razones de la respuesta:</w:t>
      </w:r>
    </w:p>
    <w:p w14:paraId="0641BFE5" w14:textId="77777777" w:rsidR="001A19CD" w:rsidRPr="00E828AF" w:rsidRDefault="001A19CD" w:rsidP="001A19CD">
      <w:pPr>
        <w:spacing w:after="0" w:line="276" w:lineRule="auto"/>
        <w:jc w:val="both"/>
        <w:rPr>
          <w:rFonts w:ascii="Verdana" w:eastAsia="Calibri" w:hAnsi="Verdana" w:cs="Arial"/>
          <w:color w:val="000000" w:themeColor="text1"/>
          <w:lang w:val="es-ES"/>
        </w:rPr>
      </w:pPr>
    </w:p>
    <w:p w14:paraId="236B79BA" w14:textId="77777777" w:rsidR="001A19CD" w:rsidRPr="00E828AF" w:rsidRDefault="001A19CD" w:rsidP="001A19CD">
      <w:pPr>
        <w:spacing w:after="0" w:line="276" w:lineRule="auto"/>
        <w:jc w:val="both"/>
        <w:rPr>
          <w:rFonts w:ascii="Verdana" w:eastAsia="Calibri" w:hAnsi="Verdana" w:cs="Arial"/>
          <w:color w:val="000000" w:themeColor="text1"/>
          <w:lang w:val="es-ES"/>
        </w:rPr>
      </w:pPr>
      <w:r w:rsidRPr="00E828AF">
        <w:rPr>
          <w:rFonts w:ascii="Verdana" w:eastAsia="Calibri" w:hAnsi="Verdana" w:cs="Arial"/>
          <w:color w:val="000000" w:themeColor="text1"/>
          <w:lang w:val="es-ES"/>
        </w:rPr>
        <w:t xml:space="preserve">Lo anterior se sustenta en las siguientes consideraciones: </w:t>
      </w:r>
    </w:p>
    <w:p w14:paraId="6D299D9F" w14:textId="77777777" w:rsidR="001A19CD" w:rsidRPr="00E828AF" w:rsidRDefault="001A19CD" w:rsidP="001A19CD">
      <w:pPr>
        <w:spacing w:after="0" w:line="276" w:lineRule="auto"/>
        <w:jc w:val="both"/>
        <w:rPr>
          <w:rFonts w:ascii="Verdana" w:eastAsia="Calibri" w:hAnsi="Verdana" w:cs="Arial"/>
          <w:lang w:val="es-ES"/>
        </w:rPr>
      </w:pPr>
    </w:p>
    <w:p w14:paraId="7090E0C8" w14:textId="77777777" w:rsidR="001A19CD" w:rsidRPr="00284D38" w:rsidRDefault="001A19CD" w:rsidP="001A19CD">
      <w:pPr>
        <w:spacing w:after="120" w:line="276" w:lineRule="auto"/>
        <w:jc w:val="both"/>
        <w:rPr>
          <w:rFonts w:ascii="Verdana" w:eastAsia="Times New Roman" w:hAnsi="Verdana" w:cs="Times New Roman"/>
          <w:lang w:eastAsia="es-ES_tradnl"/>
        </w:rPr>
      </w:pPr>
      <w:r w:rsidRPr="00E828AF">
        <w:rPr>
          <w:rFonts w:ascii="Verdana" w:hAnsi="Verdana" w:cs="Arial"/>
          <w:lang w:val="es-ES"/>
        </w:rPr>
        <w:t xml:space="preserve">i. </w:t>
      </w:r>
      <w:r w:rsidRPr="000C2D90">
        <w:rPr>
          <w:rFonts w:ascii="Verdana" w:eastAsia="Times New Roman" w:hAnsi="Verdana" w:cs="Times New Roman"/>
          <w:lang w:eastAsia="es-ES_tradnl"/>
        </w:rPr>
        <w:t>De acuerdo con el artículo 311 de la Constitución Política, corresponde a los municipios “ordenar el desarrollo de su territorio” y “el mejoramiento social y cultural de sus habitantes”. En consonancia con lo anterior, el numeral 9 del artículo 313</w:t>
      </w:r>
      <w:r>
        <w:rPr>
          <w:rFonts w:ascii="Verdana" w:eastAsia="Times New Roman" w:hAnsi="Verdana" w:cs="Times New Roman"/>
          <w:lang w:eastAsia="es-ES_tradnl"/>
        </w:rPr>
        <w:t xml:space="preserve"> </w:t>
      </w:r>
      <w:r w:rsidRPr="000C2D90">
        <w:rPr>
          <w:rFonts w:ascii="Verdana" w:eastAsia="Times New Roman" w:hAnsi="Verdana" w:cs="Times New Roman"/>
          <w:i/>
          <w:iCs/>
          <w:lang w:eastAsia="es-ES_tradnl"/>
        </w:rPr>
        <w:t>ibidem</w:t>
      </w:r>
      <w:r w:rsidRPr="000C2D90">
        <w:rPr>
          <w:rFonts w:ascii="Verdana" w:eastAsia="Times New Roman" w:hAnsi="Verdana" w:cs="Times New Roman"/>
          <w:lang w:eastAsia="es-ES_tradnl"/>
        </w:rPr>
        <w:t xml:space="preserve"> encomienda a los concejos municipales “[d]</w:t>
      </w:r>
      <w:proofErr w:type="spellStart"/>
      <w:r w:rsidRPr="000C2D90">
        <w:rPr>
          <w:rFonts w:ascii="Verdana" w:eastAsia="Times New Roman" w:hAnsi="Verdana" w:cs="Times New Roman"/>
          <w:lang w:eastAsia="es-ES_tradnl"/>
        </w:rPr>
        <w:t>ictar</w:t>
      </w:r>
      <w:proofErr w:type="spellEnd"/>
      <w:r w:rsidRPr="000C2D90">
        <w:rPr>
          <w:rFonts w:ascii="Verdana" w:eastAsia="Times New Roman" w:hAnsi="Verdana" w:cs="Times New Roman"/>
          <w:lang w:eastAsia="es-ES_tradnl"/>
        </w:rPr>
        <w:t xml:space="preserve"> las normas necesarias para el control, la preservación y defensa del patrimonio ecológico y cultural del municipio”.</w:t>
      </w:r>
    </w:p>
    <w:p w14:paraId="010C5AF6" w14:textId="4A94BE5D" w:rsidR="001A19CD" w:rsidRPr="000C2D90" w:rsidRDefault="001A19CD" w:rsidP="001A19CD">
      <w:pPr>
        <w:spacing w:after="120" w:line="276" w:lineRule="auto"/>
        <w:ind w:firstLine="708"/>
        <w:jc w:val="both"/>
        <w:rPr>
          <w:rFonts w:ascii="Verdana" w:eastAsia="Times New Roman" w:hAnsi="Verdana" w:cs="Times New Roman"/>
          <w:lang w:eastAsia="es-ES_tradnl"/>
        </w:rPr>
      </w:pPr>
      <w:r w:rsidRPr="000C2D90">
        <w:rPr>
          <w:rFonts w:ascii="Verdana" w:eastAsia="Times New Roman" w:hAnsi="Verdana" w:cs="Times New Roman"/>
          <w:lang w:eastAsia="es-ES_tradnl"/>
        </w:rPr>
        <w:t xml:space="preserve">Teniendo en cuenta las facultades </w:t>
      </w:r>
      <w:r>
        <w:rPr>
          <w:rFonts w:ascii="Verdana" w:eastAsia="Times New Roman" w:hAnsi="Verdana" w:cs="Times New Roman"/>
          <w:lang w:eastAsia="es-ES_tradnl"/>
        </w:rPr>
        <w:t xml:space="preserve">en cabeza de </w:t>
      </w:r>
      <w:r w:rsidRPr="000C2D90">
        <w:rPr>
          <w:rFonts w:ascii="Verdana" w:eastAsia="Times New Roman" w:hAnsi="Verdana" w:cs="Times New Roman"/>
          <w:lang w:eastAsia="es-ES_tradnl"/>
        </w:rPr>
        <w:t>los entes locales,</w:t>
      </w:r>
      <w:r>
        <w:rPr>
          <w:rFonts w:ascii="Verdana" w:eastAsia="Times New Roman" w:hAnsi="Verdana" w:cs="Times New Roman"/>
          <w:lang w:eastAsia="es-ES_tradnl"/>
        </w:rPr>
        <w:t xml:space="preserve"> l</w:t>
      </w:r>
      <w:r w:rsidRPr="007970AD">
        <w:rPr>
          <w:rFonts w:ascii="Verdana" w:eastAsia="Times New Roman" w:hAnsi="Verdana" w:cs="Times New Roman"/>
          <w:lang w:eastAsia="es-ES_tradnl"/>
        </w:rPr>
        <w:t xml:space="preserve">a </w:t>
      </w:r>
      <w:r w:rsidRPr="000C2D90">
        <w:rPr>
          <w:rFonts w:ascii="Verdana" w:eastAsia="Times New Roman" w:hAnsi="Verdana" w:cs="Times New Roman"/>
          <w:lang w:eastAsia="es-ES_tradnl"/>
        </w:rPr>
        <w:t>Ley 388 de 1997</w:t>
      </w:r>
      <w:r w:rsidRPr="000C2D90">
        <w:rPr>
          <w:rStyle w:val="Refdenotaalpie"/>
          <w:rFonts w:ascii="Verdana" w:eastAsia="Times New Roman" w:hAnsi="Verdana" w:cs="Times New Roman"/>
          <w:lang w:eastAsia="es-ES_tradnl"/>
        </w:rPr>
        <w:footnoteReference w:id="2"/>
      </w:r>
      <w:r w:rsidRPr="000C2D90">
        <w:rPr>
          <w:rFonts w:ascii="Verdana" w:eastAsia="Times New Roman" w:hAnsi="Verdana" w:cs="Times New Roman"/>
          <w:lang w:eastAsia="es-ES_tradnl"/>
        </w:rPr>
        <w:t xml:space="preserve"> habilita a las autoridades municipales y distritales a regular la ocupación del espacio público cuando, por ejemplo, </w:t>
      </w:r>
      <w:r>
        <w:rPr>
          <w:rFonts w:ascii="Verdana" w:eastAsia="Times New Roman" w:hAnsi="Verdana" w:cs="Times New Roman"/>
          <w:lang w:eastAsia="es-ES_tradnl"/>
        </w:rPr>
        <w:t xml:space="preserve">al delimitar </w:t>
      </w:r>
      <w:r w:rsidRPr="000C2D90">
        <w:rPr>
          <w:rFonts w:ascii="Verdana" w:eastAsia="Times New Roman" w:hAnsi="Verdana" w:cs="Times New Roman"/>
          <w:lang w:eastAsia="es-ES_tradnl"/>
        </w:rPr>
        <w:t xml:space="preserve">el ordenamiento territorial para “disponer de instrumentos eficientes para orientar el desarrollo del territorio bajo su jurisdicción y regular la utilización, transformación y ocupación del espacio…” y </w:t>
      </w:r>
      <w:r>
        <w:rPr>
          <w:rFonts w:ascii="Verdana" w:eastAsia="Times New Roman" w:hAnsi="Verdana" w:cs="Times New Roman"/>
          <w:lang w:eastAsia="es-ES_tradnl"/>
        </w:rPr>
        <w:t>en</w:t>
      </w:r>
      <w:r w:rsidRPr="000C2D90">
        <w:rPr>
          <w:rFonts w:ascii="Verdana" w:eastAsia="Times New Roman" w:hAnsi="Verdana" w:cs="Times New Roman"/>
          <w:lang w:eastAsia="es-ES_tradnl"/>
        </w:rPr>
        <w:t xml:space="preserve"> la “…definición de las estrategias territoriales de uso, ocupación y manejo del suelo, en función de los objetivos económicos, sociales, urbanísticos y ambientales”. </w:t>
      </w:r>
      <w:r>
        <w:rPr>
          <w:rFonts w:ascii="Verdana" w:eastAsia="Times New Roman" w:hAnsi="Verdana" w:cs="Times New Roman"/>
          <w:lang w:eastAsia="es-ES_tradnl"/>
        </w:rPr>
        <w:t xml:space="preserve">Adicionalmente, la norma otorgó a </w:t>
      </w:r>
      <w:r w:rsidRPr="007970AD">
        <w:rPr>
          <w:rFonts w:ascii="Verdana" w:eastAsia="Times New Roman" w:hAnsi="Verdana" w:cs="Times New Roman"/>
          <w:lang w:eastAsia="es-ES_tradnl"/>
        </w:rPr>
        <w:t xml:space="preserve">los municipios la opción de crear entidades encargadas de administrar, desarrollar, </w:t>
      </w:r>
      <w:r w:rsidRPr="007970AD">
        <w:rPr>
          <w:rFonts w:ascii="Verdana" w:eastAsia="Times New Roman" w:hAnsi="Verdana" w:cs="Times New Roman"/>
          <w:lang w:eastAsia="es-ES_tradnl"/>
        </w:rPr>
        <w:lastRenderedPageBreak/>
        <w:t>mantener y financiar el espacio público, permitiendo la contratación con entidades privadas para su administración, mantenimiento y aprovechamiento económico.</w:t>
      </w:r>
    </w:p>
    <w:p w14:paraId="520A3E0C" w14:textId="77777777" w:rsidR="001A19CD" w:rsidRDefault="001A19CD" w:rsidP="001A19CD">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De esta manera, e</w:t>
      </w:r>
      <w:r w:rsidRPr="000C2D90">
        <w:rPr>
          <w:rFonts w:ascii="Verdana" w:eastAsia="Times New Roman" w:hAnsi="Verdana" w:cs="Times New Roman"/>
          <w:lang w:eastAsia="es-ES_tradnl"/>
        </w:rPr>
        <w:t xml:space="preserve">l diseño del espacio público y la determinación de su uso corresponden a las autoridades municipales. </w:t>
      </w:r>
      <w:r>
        <w:rPr>
          <w:rFonts w:ascii="Verdana" w:eastAsia="Times New Roman" w:hAnsi="Verdana" w:cs="Times New Roman"/>
          <w:lang w:eastAsia="es-ES_tradnl"/>
        </w:rPr>
        <w:t>El</w:t>
      </w:r>
      <w:r w:rsidRPr="000C2D90">
        <w:rPr>
          <w:rFonts w:ascii="Verdana" w:eastAsia="Times New Roman" w:hAnsi="Verdana" w:cs="Times New Roman"/>
          <w:lang w:eastAsia="es-ES_tradnl"/>
        </w:rPr>
        <w:t xml:space="preserve"> artículo 7º del Decreto 1504 de 1998 lo cataloga como “el elemento articulador y estructurante fundamental del espacio en la ciudad, así como el regulador de las condiciones ambientales de la misma, y por lo tanto se constituye en uno de los principales elementos estructurales de los Planes de Ordenamiento Territorial”. </w:t>
      </w:r>
      <w:r>
        <w:rPr>
          <w:rFonts w:ascii="Verdana" w:eastAsia="Times New Roman" w:hAnsi="Verdana" w:cs="Times New Roman"/>
          <w:lang w:eastAsia="es-ES_tradnl"/>
        </w:rPr>
        <w:t>L</w:t>
      </w:r>
      <w:r w:rsidRPr="000C2D90">
        <w:rPr>
          <w:rFonts w:ascii="Verdana" w:eastAsia="Times New Roman" w:hAnsi="Verdana" w:cs="Times New Roman"/>
          <w:lang w:eastAsia="es-ES_tradnl"/>
        </w:rPr>
        <w:t xml:space="preserve">as principales determinaciones en relación con este bien colectivo incumben a los concejos municipales o distritales en ejercicio de su competencia relacionada con la ordenación del territorio local. </w:t>
      </w:r>
    </w:p>
    <w:p w14:paraId="3D4D1CA7" w14:textId="795CD819" w:rsidR="00393635" w:rsidRPr="00393635" w:rsidRDefault="00393635" w:rsidP="00E7430C">
      <w:pPr>
        <w:pStyle w:val="Textonotapie"/>
        <w:spacing w:line="276" w:lineRule="auto"/>
        <w:ind w:firstLine="708"/>
        <w:jc w:val="both"/>
        <w:rPr>
          <w:rFonts w:ascii="Verdana" w:eastAsia="Times New Roman" w:hAnsi="Verdana" w:cs="Times New Roman"/>
          <w:sz w:val="22"/>
          <w:szCs w:val="22"/>
          <w:lang w:val="es-CO" w:eastAsia="es-ES_tradnl"/>
        </w:rPr>
      </w:pPr>
      <w:r w:rsidRPr="00393635">
        <w:rPr>
          <w:rFonts w:ascii="Verdana" w:eastAsia="Times New Roman" w:hAnsi="Verdana" w:cs="Times New Roman"/>
          <w:sz w:val="22"/>
          <w:szCs w:val="22"/>
          <w:lang w:val="es-CO" w:eastAsia="es-ES_tradnl"/>
        </w:rPr>
        <w:t xml:space="preserve">Posteriormente el artículo 40 de la Ley 2079 de 2021 precisó la facultad inicialmente contemplada en la </w:t>
      </w:r>
      <w:r w:rsidR="00E7430C">
        <w:rPr>
          <w:rFonts w:ascii="Verdana" w:eastAsia="Times New Roman" w:hAnsi="Verdana" w:cs="Times New Roman"/>
          <w:sz w:val="22"/>
          <w:szCs w:val="22"/>
          <w:lang w:val="es-CO" w:eastAsia="es-ES_tradnl"/>
        </w:rPr>
        <w:t>L</w:t>
      </w:r>
      <w:r w:rsidRPr="00393635">
        <w:rPr>
          <w:rFonts w:ascii="Verdana" w:eastAsia="Times New Roman" w:hAnsi="Verdana" w:cs="Times New Roman"/>
          <w:sz w:val="22"/>
          <w:szCs w:val="22"/>
          <w:lang w:val="es-CO" w:eastAsia="es-ES_tradnl"/>
        </w:rPr>
        <w:t>ey 9 de 1989 en los siguientes términos:</w:t>
      </w:r>
    </w:p>
    <w:p w14:paraId="08DE39F9" w14:textId="77777777" w:rsidR="00393635" w:rsidRDefault="00393635" w:rsidP="00393635">
      <w:pPr>
        <w:pStyle w:val="Textonotapie"/>
        <w:jc w:val="both"/>
        <w:rPr>
          <w:rFonts w:ascii="Verdana" w:eastAsia="Times New Roman" w:hAnsi="Verdana" w:cs="Times New Roman"/>
          <w:sz w:val="15"/>
          <w:szCs w:val="15"/>
          <w:lang w:eastAsia="es-ES_tradnl"/>
        </w:rPr>
      </w:pPr>
    </w:p>
    <w:p w14:paraId="4CCE58A3" w14:textId="604DA8F8" w:rsidR="00393635" w:rsidRPr="00393635" w:rsidRDefault="00393635" w:rsidP="00393635">
      <w:pPr>
        <w:pStyle w:val="Textonotapie"/>
        <w:ind w:left="709" w:right="709"/>
        <w:jc w:val="both"/>
        <w:rPr>
          <w:rFonts w:ascii="Verdana" w:hAnsi="Verdana"/>
          <w:lang w:eastAsia="es-ES_tradnl"/>
        </w:rPr>
      </w:pPr>
      <w:r w:rsidRPr="00003608">
        <w:rPr>
          <w:rFonts w:ascii="Verdana" w:eastAsia="Times New Roman" w:hAnsi="Verdana" w:cs="Times New Roman"/>
          <w:sz w:val="15"/>
          <w:szCs w:val="15"/>
          <w:lang w:eastAsia="es-ES_tradnl"/>
        </w:rPr>
        <w:t xml:space="preserve"> “</w:t>
      </w:r>
      <w:r w:rsidRPr="00393635">
        <w:rPr>
          <w:rFonts w:ascii="Verdana" w:hAnsi="Verdana"/>
          <w:lang w:eastAsia="es-ES_tradnl"/>
        </w:rPr>
        <w:t>ARTÍCULO 40. ESPACIO PÚBLICO. Modifíquese el artículo 7° de la Ley 9ª de 1989, el cual quedará así:</w:t>
      </w:r>
    </w:p>
    <w:p w14:paraId="232B53BC"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"ARTÍCULO 7. Los Concejos Municipales y Distritales podrán, de acuerdo con sus competencias, crear entidades responsables de administrar, defender, desarrollar, mantener y apoyar financieramente el espacio público, el patrimonio inmobiliario y las áreas de cesión.</w:t>
      </w:r>
    </w:p>
    <w:p w14:paraId="50382A10"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Así mismo, el alcalde Municipal o Distrital en el marco de sus competencias podrá crear dependencias u organismos administrativos, otorgándoles autonomía administrativa y financiera sin personería jurídica.</w:t>
      </w:r>
    </w:p>
    <w:p w14:paraId="15B28EB1"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Los alcaldes municipales y distritales mediante decreto reglamentarán lo concerniente a la administración, mantenimiento y aprovechamiento económico del espacio público. Así mismo, podrán entregar a particulares la administración, mantenimiento y aprovechamiento económico de los bienes de uso público, utilizando el mecanismo contenido en el Capítulo XVI de la Ley 489 de 1998. Igualmente podrán expedir actos administrativos que permitan la ocupación temporal de dichos bienes, considerando en ambos casos lo dispuesto por el artículo 63 de la Constitución.</w:t>
      </w:r>
    </w:p>
    <w:p w14:paraId="7E18DED5"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 xml:space="preserve">Cuando las áreas de cesión para las zonas verdes y servicios comunales sean inferiores a las mínimas exigidas por las normas urbanísticas, o cuando su ubicación sea inconveniente para la ciudad, se podrá compensar la obligación de cesión, en dinero o en otros inmuebles, en los términos que reglamenten los concejos municipales. Si la compensación es en dinero, se deberá asignar su valor a los mismos fines en lugares apropiados según lo determine el plan de ordenamiento territorial o los instrumentos que lo desarrollen o complementen. Si la compensación se </w:t>
      </w:r>
      <w:r w:rsidRPr="008B6A01">
        <w:rPr>
          <w:rFonts w:ascii="Verdana" w:eastAsia="Times New Roman" w:hAnsi="Verdana" w:cs="Times New Roman"/>
          <w:lang w:eastAsia="es-ES_tradnl"/>
        </w:rPr>
        <w:lastRenderedPageBreak/>
        <w:t>satisface mediante otro inmueble, también deberá estar ubicado en un lugar apropiado según lo determine el mismo plan.</w:t>
      </w:r>
    </w:p>
    <w:p w14:paraId="1B299CF9" w14:textId="77777777" w:rsidR="00393635" w:rsidRPr="00393635"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Los aislamientos laterales, paramentos y retrocesos de las edificaciones no podrán ser compensados en dinero ni canjeados por otros inmuebles. </w:t>
      </w:r>
    </w:p>
    <w:p w14:paraId="2677BF38"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PARÁGRAFO 1. Se presume de derecho que en los actos y contratos que se expidan y suscriban para el aprovechamiento económico del espacio público, se encuentra contenida la cláusula de reversión contenida en el Artículo 14, Numeral 2 y 19 de la Ley 80 de 1993 y Artículo 29 de la Ley 1150 de 2007, la cual operará una vez se extinga el plazo dispuesto en los actos y contratos.</w:t>
      </w:r>
    </w:p>
    <w:p w14:paraId="5AEF9B1D"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PARÁGRAFO 2. Para la intervención u ocupación de los espacios públicos, la entidad administradora del espacio público o el tercero encargado no requerirá de la obtención de licencia de ocupación e intervención.</w:t>
      </w:r>
    </w:p>
    <w:p w14:paraId="351E8439" w14:textId="77777777" w:rsidR="00393635" w:rsidRPr="008B6A01" w:rsidRDefault="00393635" w:rsidP="00393635">
      <w:pPr>
        <w:pStyle w:val="Textonotapie"/>
        <w:ind w:left="709" w:right="709"/>
        <w:jc w:val="both"/>
        <w:rPr>
          <w:rFonts w:ascii="Verdana" w:eastAsia="Times New Roman" w:hAnsi="Verdana" w:cs="Times New Roman"/>
          <w:lang w:eastAsia="es-ES_tradnl"/>
        </w:rPr>
      </w:pPr>
      <w:r w:rsidRPr="008B6A01">
        <w:rPr>
          <w:rFonts w:ascii="Verdana" w:eastAsia="Times New Roman" w:hAnsi="Verdana" w:cs="Times New Roman"/>
          <w:lang w:eastAsia="es-ES_tradnl"/>
        </w:rPr>
        <w:t xml:space="preserve">PARÁGRAFO 3. El ejercicio de las competencias contenidas en los incisos 1 y 2 de este artículo, referidas a los Concejos y </w:t>
      </w:r>
      <w:proofErr w:type="gramStart"/>
      <w:r w:rsidRPr="008B6A01">
        <w:rPr>
          <w:rFonts w:ascii="Verdana" w:eastAsia="Times New Roman" w:hAnsi="Verdana" w:cs="Times New Roman"/>
          <w:lang w:eastAsia="es-ES_tradnl"/>
        </w:rPr>
        <w:t>Alcaldes</w:t>
      </w:r>
      <w:proofErr w:type="gramEnd"/>
      <w:r w:rsidRPr="008B6A01">
        <w:rPr>
          <w:rFonts w:ascii="Verdana" w:eastAsia="Times New Roman" w:hAnsi="Verdana" w:cs="Times New Roman"/>
          <w:lang w:eastAsia="es-ES_tradnl"/>
        </w:rPr>
        <w:t xml:space="preserve"> Municipales y Distritales, se cumplirán con estricta sujeción a lo dispuesto por la Ley 617 de 2000 y todas aquellas normas que sobre responsabilidad fiscal se encuentren vigentes"</w:t>
      </w:r>
      <w:r w:rsidRPr="00393635">
        <w:rPr>
          <w:rFonts w:ascii="Verdana" w:eastAsia="Times New Roman" w:hAnsi="Verdana" w:cs="Times New Roman"/>
          <w:lang w:eastAsia="es-ES_tradnl"/>
        </w:rPr>
        <w:t>.</w:t>
      </w:r>
    </w:p>
    <w:p w14:paraId="7CD9DBB3" w14:textId="77777777" w:rsidR="00393635" w:rsidRPr="00393635" w:rsidRDefault="00393635" w:rsidP="00393635">
      <w:pPr>
        <w:spacing w:after="120" w:line="276" w:lineRule="auto"/>
        <w:ind w:left="709" w:right="709" w:firstLine="708"/>
        <w:jc w:val="both"/>
        <w:rPr>
          <w:rFonts w:ascii="Verdana" w:eastAsia="Times New Roman" w:hAnsi="Verdana" w:cs="Times New Roman"/>
          <w:sz w:val="20"/>
          <w:szCs w:val="20"/>
          <w:lang w:eastAsia="es-ES_tradnl"/>
        </w:rPr>
      </w:pPr>
    </w:p>
    <w:p w14:paraId="6DFB326B" w14:textId="5401B68A" w:rsidR="001A19CD" w:rsidRPr="000C2D90" w:rsidRDefault="00E7430C" w:rsidP="001A19CD">
      <w:pPr>
        <w:spacing w:after="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Por otra parte, e</w:t>
      </w:r>
      <w:r w:rsidR="001A19CD" w:rsidRPr="000C2D90">
        <w:rPr>
          <w:rFonts w:ascii="Verdana" w:eastAsia="Times New Roman" w:hAnsi="Verdana" w:cs="Times New Roman"/>
          <w:lang w:eastAsia="es-ES_tradnl"/>
        </w:rPr>
        <w:t xml:space="preserve">l Decreto 1504 de 1998 </w:t>
      </w:r>
      <w:r w:rsidR="001A19CD" w:rsidRPr="007970AD">
        <w:rPr>
          <w:rFonts w:ascii="Verdana" w:eastAsia="Times New Roman" w:hAnsi="Verdana" w:cs="Times New Roman"/>
          <w:lang w:eastAsia="es-ES_tradnl"/>
        </w:rPr>
        <w:t>“Por el cual se reglamenta el manejo del espacio público en los planes de ordenamiento territorial” (compilado en el Decreto único reglamentario 1077 de 2015)</w:t>
      </w:r>
      <w:r w:rsidR="00031976">
        <w:rPr>
          <w:rFonts w:ascii="Verdana" w:eastAsia="Times New Roman" w:hAnsi="Verdana" w:cs="Times New Roman"/>
          <w:lang w:eastAsia="es-ES_tradnl"/>
        </w:rPr>
        <w:t xml:space="preserve"> </w:t>
      </w:r>
      <w:r w:rsidR="001A19CD" w:rsidRPr="000C2D90">
        <w:rPr>
          <w:rFonts w:ascii="Verdana" w:eastAsia="Times New Roman" w:hAnsi="Verdana" w:cs="Times New Roman"/>
          <w:lang w:eastAsia="es-ES_tradnl"/>
        </w:rPr>
        <w:t xml:space="preserve">habilita a </w:t>
      </w:r>
      <w:r w:rsidR="001A19CD">
        <w:rPr>
          <w:rFonts w:ascii="Verdana" w:eastAsia="Times New Roman" w:hAnsi="Verdana" w:cs="Times New Roman"/>
          <w:lang w:eastAsia="es-ES_tradnl"/>
        </w:rPr>
        <w:t xml:space="preserve">los </w:t>
      </w:r>
      <w:r w:rsidR="001A19CD" w:rsidRPr="000C2D90">
        <w:rPr>
          <w:rFonts w:ascii="Verdana" w:eastAsia="Times New Roman" w:hAnsi="Verdana" w:cs="Times New Roman"/>
          <w:lang w:eastAsia="es-ES_tradnl"/>
        </w:rPr>
        <w:t>entes territoriales para autorizar la administración, mantenimiento y el aprovechamiento económico del espacio público cuando lo solicit</w:t>
      </w:r>
      <w:r w:rsidR="001A19CD">
        <w:rPr>
          <w:rFonts w:ascii="Verdana" w:eastAsia="Times New Roman" w:hAnsi="Verdana" w:cs="Times New Roman"/>
          <w:lang w:eastAsia="es-ES_tradnl"/>
        </w:rPr>
        <w:t>e</w:t>
      </w:r>
      <w:r w:rsidR="001A19CD" w:rsidRPr="000C2D90">
        <w:rPr>
          <w:rFonts w:ascii="Verdana" w:eastAsia="Times New Roman" w:hAnsi="Verdana" w:cs="Times New Roman"/>
          <w:lang w:eastAsia="es-ES_tradnl"/>
        </w:rPr>
        <w:t xml:space="preserve">n los particulares y las autoridades lo estimen oportuno, siempre que ello no incida sobre </w:t>
      </w:r>
      <w:r w:rsidR="001A19CD">
        <w:rPr>
          <w:rFonts w:ascii="Verdana" w:eastAsia="Times New Roman" w:hAnsi="Verdana" w:cs="Times New Roman"/>
          <w:lang w:eastAsia="es-ES_tradnl"/>
        </w:rPr>
        <w:t xml:space="preserve">la </w:t>
      </w:r>
      <w:r w:rsidR="001A19CD" w:rsidRPr="000C2D90">
        <w:rPr>
          <w:rFonts w:ascii="Verdana" w:eastAsia="Times New Roman" w:hAnsi="Verdana" w:cs="Times New Roman"/>
          <w:lang w:eastAsia="es-ES_tradnl"/>
        </w:rPr>
        <w:t>destinación al uso común que es propia de esta clase de bienes, no se generen derechos reales y</w:t>
      </w:r>
      <w:r w:rsidR="001A19CD">
        <w:rPr>
          <w:rFonts w:ascii="Verdana" w:eastAsia="Times New Roman" w:hAnsi="Verdana" w:cs="Times New Roman"/>
          <w:lang w:eastAsia="es-ES_tradnl"/>
        </w:rPr>
        <w:t xml:space="preserve"> se</w:t>
      </w:r>
      <w:r w:rsidR="001A19CD" w:rsidRPr="000C2D90">
        <w:rPr>
          <w:rFonts w:ascii="Verdana" w:eastAsia="Times New Roman" w:hAnsi="Verdana" w:cs="Times New Roman"/>
          <w:lang w:eastAsia="es-ES_tradnl"/>
        </w:rPr>
        <w:t xml:space="preserve"> asegure la prevalencia del interés general. Lo anterior se extrae de</w:t>
      </w:r>
      <w:r w:rsidR="001A19CD">
        <w:rPr>
          <w:rFonts w:ascii="Verdana" w:eastAsia="Times New Roman" w:hAnsi="Verdana" w:cs="Times New Roman"/>
          <w:lang w:eastAsia="es-ES_tradnl"/>
        </w:rPr>
        <w:t xml:space="preserve"> los artículos 18 y 19 del </w:t>
      </w:r>
      <w:r w:rsidR="001A19CD" w:rsidRPr="000C2D90">
        <w:rPr>
          <w:rFonts w:ascii="Verdana" w:eastAsia="Times New Roman" w:hAnsi="Verdana" w:cs="Times New Roman"/>
          <w:lang w:eastAsia="es-ES_tradnl"/>
        </w:rPr>
        <w:t xml:space="preserve">Decreto 1504 de 1998, </w:t>
      </w:r>
      <w:r w:rsidR="001A19CD">
        <w:rPr>
          <w:rFonts w:ascii="Verdana" w:eastAsia="Times New Roman" w:hAnsi="Verdana" w:cs="Times New Roman"/>
          <w:lang w:eastAsia="es-ES_tradnl"/>
        </w:rPr>
        <w:t>los cuales</w:t>
      </w:r>
      <w:r w:rsidR="001A19CD" w:rsidRPr="000C2D90">
        <w:rPr>
          <w:rFonts w:ascii="Verdana" w:eastAsia="Times New Roman" w:hAnsi="Verdana" w:cs="Times New Roman"/>
          <w:lang w:eastAsia="es-ES_tradnl"/>
        </w:rPr>
        <w:t xml:space="preserve"> dispone</w:t>
      </w:r>
      <w:r w:rsidR="001A19CD">
        <w:rPr>
          <w:rFonts w:ascii="Verdana" w:eastAsia="Times New Roman" w:hAnsi="Verdana" w:cs="Times New Roman"/>
          <w:lang w:eastAsia="es-ES_tradnl"/>
        </w:rPr>
        <w:t>n</w:t>
      </w:r>
      <w:r w:rsidR="001A19CD" w:rsidRPr="000C2D90">
        <w:rPr>
          <w:rFonts w:ascii="Verdana" w:eastAsia="Times New Roman" w:hAnsi="Verdana" w:cs="Times New Roman"/>
          <w:lang w:eastAsia="es-ES_tradnl"/>
        </w:rPr>
        <w:t xml:space="preserve">: </w:t>
      </w:r>
    </w:p>
    <w:p w14:paraId="58CA12EE" w14:textId="77777777" w:rsidR="001A19CD" w:rsidRPr="000C2D90" w:rsidRDefault="001A19CD" w:rsidP="001A19CD">
      <w:pPr>
        <w:spacing w:after="0" w:line="276" w:lineRule="auto"/>
        <w:jc w:val="both"/>
        <w:rPr>
          <w:rFonts w:ascii="Verdana" w:eastAsia="Times New Roman" w:hAnsi="Verdana" w:cs="Times New Roman"/>
          <w:lang w:eastAsia="es-ES_tradnl"/>
        </w:rPr>
      </w:pPr>
    </w:p>
    <w:p w14:paraId="5B450934" w14:textId="77777777" w:rsidR="001A19CD" w:rsidRPr="00020823" w:rsidRDefault="001A19CD" w:rsidP="001A19CD">
      <w:pPr>
        <w:spacing w:after="0" w:line="240" w:lineRule="auto"/>
        <w:ind w:left="709" w:right="709"/>
        <w:jc w:val="both"/>
        <w:rPr>
          <w:rFonts w:ascii="Verdana" w:eastAsia="Times New Roman" w:hAnsi="Verdana" w:cs="Times New Roman"/>
          <w:sz w:val="20"/>
          <w:szCs w:val="20"/>
          <w:lang w:eastAsia="es-ES_tradnl"/>
        </w:rPr>
      </w:pPr>
      <w:r w:rsidRPr="00020823">
        <w:rPr>
          <w:rFonts w:ascii="Verdana" w:eastAsia="Times New Roman" w:hAnsi="Verdana" w:cs="Times New Roman"/>
          <w:sz w:val="20"/>
          <w:szCs w:val="20"/>
          <w:lang w:eastAsia="es-ES_tradnl"/>
        </w:rPr>
        <w:t>“</w:t>
      </w:r>
      <w:bookmarkStart w:id="1" w:name="18"/>
      <w:r w:rsidRPr="00020823">
        <w:rPr>
          <w:rFonts w:ascii="Verdana" w:eastAsia="Times New Roman" w:hAnsi="Verdana" w:cs="Times New Roman"/>
          <w:sz w:val="20"/>
          <w:szCs w:val="20"/>
          <w:lang w:eastAsia="es-ES_tradnl"/>
        </w:rPr>
        <w:t>ARTÍCULO 18. </w:t>
      </w:r>
      <w:bookmarkEnd w:id="1"/>
      <w:r w:rsidRPr="00020823">
        <w:rPr>
          <w:rFonts w:ascii="Verdana" w:eastAsia="Times New Roman" w:hAnsi="Verdana" w:cs="Times New Roman"/>
          <w:sz w:val="20"/>
          <w:szCs w:val="20"/>
          <w:lang w:eastAsia="es-ES_tradnl"/>
        </w:rPr>
        <w:t>Artículo compilado en el artículo 2.2.3.3.3 del Decreto Único Reglamentario 1077 de 2015. Los municipios y distritos podrán contratar con entidades privadas la administración, mantenimiento y el aprovechamiento económico para el municipio o distrito del espacio público, sin que impida a la ciudadanía de su uso, goce, disfrute visual y libre tránsito.</w:t>
      </w:r>
    </w:p>
    <w:p w14:paraId="027EFA71" w14:textId="77777777" w:rsidR="001A19CD" w:rsidRDefault="001A19CD" w:rsidP="001A19CD">
      <w:pPr>
        <w:snapToGrid w:val="0"/>
        <w:spacing w:before="120" w:after="0" w:line="240" w:lineRule="auto"/>
        <w:ind w:left="709" w:right="709"/>
        <w:jc w:val="both"/>
        <w:rPr>
          <w:rFonts w:ascii="Verdana" w:hAnsi="Verdana"/>
          <w:sz w:val="20"/>
          <w:szCs w:val="20"/>
        </w:rPr>
      </w:pPr>
      <w:bookmarkStart w:id="2" w:name="19"/>
      <w:r w:rsidRPr="00020823">
        <w:rPr>
          <w:rFonts w:ascii="Verdana" w:hAnsi="Verdana"/>
          <w:sz w:val="20"/>
          <w:szCs w:val="20"/>
        </w:rPr>
        <w:t>ARTÍCULO 19.</w:t>
      </w:r>
      <w:bookmarkEnd w:id="2"/>
      <w:r>
        <w:rPr>
          <w:rFonts w:ascii="Verdana" w:hAnsi="Verdana"/>
          <w:sz w:val="20"/>
          <w:szCs w:val="20"/>
        </w:rPr>
        <w:t xml:space="preserve"> </w:t>
      </w:r>
      <w:r w:rsidRPr="00020823">
        <w:rPr>
          <w:rFonts w:ascii="Verdana" w:hAnsi="Verdana"/>
          <w:sz w:val="20"/>
          <w:szCs w:val="20"/>
        </w:rPr>
        <w:t xml:space="preserve">Artículo compilado en el artículo 2.2.3.3.4 del Decreto Único Reglamentario 1077 de 2015. En el caso de áreas públicas de uso activo o pasivo, en especial parques, plazas y plazoletas, los municipios y distritos podrán autorizar su uso por parte de entidades privadas para usos compatibles con la condición del espacio mediante contratos. En ningún caso estos contratos generarán derechos reales para las entidades </w:t>
      </w:r>
      <w:r w:rsidRPr="00020823">
        <w:rPr>
          <w:rFonts w:ascii="Verdana" w:hAnsi="Verdana"/>
          <w:sz w:val="20"/>
          <w:szCs w:val="20"/>
        </w:rPr>
        <w:lastRenderedPageBreak/>
        <w:t>privadas y deberán dar estricto cumplimiento a la prevalencia del interés general sobre el particular.</w:t>
      </w:r>
    </w:p>
    <w:p w14:paraId="5C5A7FC4" w14:textId="77777777" w:rsidR="001A19CD" w:rsidRPr="00020823" w:rsidRDefault="001A19CD" w:rsidP="001A19CD">
      <w:pPr>
        <w:snapToGrid w:val="0"/>
        <w:spacing w:before="120" w:after="0" w:line="240" w:lineRule="auto"/>
        <w:ind w:left="709" w:right="709"/>
        <w:jc w:val="both"/>
        <w:rPr>
          <w:rFonts w:ascii="Verdana" w:hAnsi="Verdana"/>
          <w:sz w:val="20"/>
          <w:szCs w:val="20"/>
        </w:rPr>
      </w:pPr>
    </w:p>
    <w:p w14:paraId="16E45D52" w14:textId="77777777" w:rsidR="001A19CD" w:rsidRPr="000C2D90" w:rsidRDefault="001A19CD" w:rsidP="001A19CD">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 xml:space="preserve">La figura busca facilitar </w:t>
      </w:r>
      <w:r w:rsidRPr="000C2D90">
        <w:rPr>
          <w:rFonts w:ascii="Verdana" w:eastAsia="Times New Roman" w:hAnsi="Verdana" w:cs="Times New Roman"/>
          <w:lang w:eastAsia="es-ES_tradnl"/>
        </w:rPr>
        <w:t xml:space="preserve">una gestión eficiente de </w:t>
      </w:r>
      <w:r>
        <w:rPr>
          <w:rFonts w:ascii="Verdana" w:eastAsia="Times New Roman" w:hAnsi="Verdana" w:cs="Times New Roman"/>
          <w:lang w:eastAsia="es-ES_tradnl"/>
        </w:rPr>
        <w:t xml:space="preserve">los bienes de uso público </w:t>
      </w:r>
      <w:r w:rsidRPr="000C2D90">
        <w:rPr>
          <w:rFonts w:ascii="Verdana" w:eastAsia="Times New Roman" w:hAnsi="Verdana" w:cs="Times New Roman"/>
          <w:lang w:eastAsia="es-ES_tradnl"/>
        </w:rPr>
        <w:t xml:space="preserve">por parte de los entes municipales, sin perjuicio del imperativo constitucional y legal de asegurar </w:t>
      </w:r>
      <w:r>
        <w:rPr>
          <w:rFonts w:ascii="Verdana" w:eastAsia="Times New Roman" w:hAnsi="Verdana" w:cs="Times New Roman"/>
          <w:lang w:eastAsia="es-ES_tradnl"/>
        </w:rPr>
        <w:t>su</w:t>
      </w:r>
      <w:r w:rsidRPr="000C2D90">
        <w:rPr>
          <w:rFonts w:ascii="Verdana" w:eastAsia="Times New Roman" w:hAnsi="Verdana" w:cs="Times New Roman"/>
          <w:lang w:eastAsia="es-ES_tradnl"/>
        </w:rPr>
        <w:t xml:space="preserve"> afectación al fin</w:t>
      </w:r>
      <w:r>
        <w:rPr>
          <w:rFonts w:ascii="Verdana" w:eastAsia="Times New Roman" w:hAnsi="Verdana" w:cs="Times New Roman"/>
          <w:lang w:eastAsia="es-ES_tradnl"/>
        </w:rPr>
        <w:t xml:space="preserve"> público</w:t>
      </w:r>
      <w:r w:rsidRPr="000C2D90">
        <w:rPr>
          <w:rFonts w:ascii="Verdana" w:eastAsia="Times New Roman" w:hAnsi="Verdana" w:cs="Times New Roman"/>
          <w:lang w:eastAsia="es-ES_tradnl"/>
        </w:rPr>
        <w:t xml:space="preserve">, su inalienabilidad, inembargabilidad e imprescriptibilidad, todo lo cual se debe traducir en un clausulado contractual que garantice y desarrolle la prevalencia del interés general, </w:t>
      </w:r>
      <w:r>
        <w:rPr>
          <w:rFonts w:ascii="Verdana" w:eastAsia="Times New Roman" w:hAnsi="Verdana" w:cs="Times New Roman"/>
          <w:lang w:eastAsia="es-ES_tradnl"/>
        </w:rPr>
        <w:t xml:space="preserve">al tiempo que </w:t>
      </w:r>
      <w:r w:rsidRPr="000C2D90">
        <w:rPr>
          <w:rFonts w:ascii="Verdana" w:eastAsia="Times New Roman" w:hAnsi="Verdana" w:cs="Times New Roman"/>
          <w:lang w:eastAsia="es-ES_tradnl"/>
        </w:rPr>
        <w:t>respete los límites que se derivan del régimen jurídico delineado para estos bienes por el artículo 63 de la Constitución</w:t>
      </w:r>
      <w:r>
        <w:rPr>
          <w:rFonts w:ascii="Verdana" w:eastAsia="Times New Roman" w:hAnsi="Verdana" w:cs="Times New Roman"/>
          <w:lang w:eastAsia="es-ES_tradnl"/>
        </w:rPr>
        <w:t xml:space="preserve"> Política</w:t>
      </w:r>
      <w:r w:rsidRPr="000C2D90">
        <w:rPr>
          <w:rFonts w:ascii="Verdana" w:eastAsia="Times New Roman" w:hAnsi="Verdana" w:cs="Times New Roman"/>
          <w:lang w:eastAsia="es-ES_tradnl"/>
        </w:rPr>
        <w:t xml:space="preserve">. </w:t>
      </w:r>
    </w:p>
    <w:p w14:paraId="51DCD879" w14:textId="77777777" w:rsidR="001A19CD" w:rsidRDefault="001A19CD" w:rsidP="00286D00">
      <w:pPr>
        <w:spacing w:after="120" w:line="276" w:lineRule="auto"/>
        <w:ind w:firstLine="708"/>
        <w:jc w:val="both"/>
        <w:rPr>
          <w:rFonts w:ascii="Verdana" w:eastAsia="Calibri" w:hAnsi="Verdana" w:cs="Arial"/>
          <w:color w:val="000000"/>
        </w:rPr>
      </w:pPr>
      <w:r>
        <w:rPr>
          <w:rFonts w:ascii="Verdana" w:eastAsia="Times New Roman" w:hAnsi="Verdana" w:cs="Times New Roman"/>
          <w:shd w:val="clear" w:color="auto" w:fill="FFFFFF"/>
          <w:lang w:eastAsia="es-ES_tradnl"/>
        </w:rPr>
        <w:t xml:space="preserve">A pesar de lo anterior, no existe en el ordenamiento jurídico colombiano norma específica que se refiera a los mecanismos que pueden adoptar los entes territoriales para materializar dicha </w:t>
      </w:r>
      <w:r w:rsidRPr="000C2D90">
        <w:rPr>
          <w:rFonts w:ascii="Verdana" w:eastAsia="Times New Roman" w:hAnsi="Verdana" w:cs="Times New Roman"/>
          <w:shd w:val="clear" w:color="auto" w:fill="FFFFFF"/>
          <w:lang w:eastAsia="es-ES_tradnl"/>
        </w:rPr>
        <w:t>gestión de los bienes de uso público</w:t>
      </w:r>
      <w:r>
        <w:rPr>
          <w:rFonts w:ascii="Verdana" w:eastAsia="Times New Roman" w:hAnsi="Verdana" w:cs="Times New Roman"/>
          <w:shd w:val="clear" w:color="auto" w:fill="FFFFFF"/>
          <w:lang w:eastAsia="es-ES_tradnl"/>
        </w:rPr>
        <w:t xml:space="preserve">. Si bien </w:t>
      </w:r>
      <w:r>
        <w:rPr>
          <w:rFonts w:ascii="Verdana" w:eastAsia="Calibri" w:hAnsi="Verdana" w:cs="Arial"/>
          <w:color w:val="000000"/>
        </w:rPr>
        <w:t>la normativa es</w:t>
      </w:r>
      <w:r w:rsidRPr="00D26594">
        <w:rPr>
          <w:rFonts w:ascii="Verdana" w:eastAsia="Calibri" w:hAnsi="Verdana" w:cs="Arial"/>
          <w:color w:val="000000"/>
        </w:rPr>
        <w:t xml:space="preserve"> </w:t>
      </w:r>
      <w:r>
        <w:rPr>
          <w:rFonts w:ascii="Verdana" w:eastAsia="Calibri" w:hAnsi="Verdana" w:cs="Arial"/>
          <w:color w:val="000000"/>
        </w:rPr>
        <w:t xml:space="preserve">clara en que la entidad puede conceder la autorización para lo anterior mediante actos administrativos, permisos o licencias, o mediante la suscripción de contratos, la elección de la tipología contractual en este último supuesto supone diversos retos. Sobre lo anterior, el Consejo de Estado reconoció la diversidad de instrumentos jurídicos disponibles para la gestión de los bienes de uso público, aclarando la improcedencia del contrato de arrendamiento, así: </w:t>
      </w:r>
    </w:p>
    <w:p w14:paraId="206970F3" w14:textId="03671DAC" w:rsidR="001A19CD" w:rsidRPr="00284D38" w:rsidRDefault="001A19CD" w:rsidP="001A19CD">
      <w:pPr>
        <w:spacing w:after="120" w:line="240" w:lineRule="auto"/>
        <w:ind w:left="709" w:right="709"/>
        <w:jc w:val="both"/>
        <w:rPr>
          <w:rFonts w:ascii="Verdana" w:eastAsia="Calibri" w:hAnsi="Verdana" w:cs="Arial"/>
          <w:color w:val="000000"/>
          <w:sz w:val="20"/>
          <w:szCs w:val="20"/>
        </w:rPr>
      </w:pPr>
      <w:proofErr w:type="gramStart"/>
      <w:r w:rsidRPr="00D26594">
        <w:rPr>
          <w:rFonts w:ascii="Verdana" w:eastAsia="Calibri" w:hAnsi="Verdana" w:cs="Arial"/>
          <w:color w:val="000000"/>
          <w:sz w:val="20"/>
          <w:szCs w:val="20"/>
        </w:rPr>
        <w:t>Vistas</w:t>
      </w:r>
      <w:proofErr w:type="gramEnd"/>
      <w:r w:rsidRPr="00D26594">
        <w:rPr>
          <w:rFonts w:ascii="Verdana" w:eastAsia="Calibri" w:hAnsi="Verdana" w:cs="Arial"/>
          <w:color w:val="000000"/>
          <w:sz w:val="20"/>
          <w:szCs w:val="20"/>
        </w:rPr>
        <w:t xml:space="preserve"> así las cosas, la Sala unifica su criterio, en el sentido de afirmar que el contrato de arrendamiento no puede ser utilizado para entregar bienes de uso público para su aprovechamiento, quedando abierta la posibilidad a que se utilicen otras fórmulas contractuales o unilaterales, como el contrato de concesión, o la expedición de licencias o permisos para ese efecto. [...] No debe olvidarse aquí que, con independencia del instrumento jurídico que se utilice para la gestión del bien (acto administrativo unilateral, acto administrativo concertado o contrato a excepción del contrato de arrendamiento), por expresa disposición constitucional, siempre que el objeto del negocio jurídico tenga la calidad de bien de uso público, sus reglas de uso, disfrute y disposición deberán consultar forzosamente el régimen que se desprende del artículo 63 de la Carta y del principio de prevalencia del interés general (artículos 1 y 58 superiores). Por ende, deberá asumirse que además de bienes inalienables, inembargables e imprescriptibles, se trata de bienes afectados a una destinación de interés general, que constituye su finalidad </w:t>
      </w:r>
      <w:r w:rsidRPr="00D26594">
        <w:rPr>
          <w:rFonts w:ascii="Verdana" w:eastAsia="Calibri" w:hAnsi="Verdana" w:cs="Arial"/>
          <w:color w:val="000000"/>
          <w:sz w:val="20"/>
          <w:szCs w:val="20"/>
        </w:rPr>
        <w:lastRenderedPageBreak/>
        <w:t>esencial y que no es otra que servir para el uso y disfrute de la colectividad</w:t>
      </w:r>
      <w:r w:rsidR="00ED6D7C">
        <w:rPr>
          <w:rStyle w:val="Refdenotaalpie"/>
          <w:rFonts w:ascii="Verdana" w:eastAsia="Calibri" w:hAnsi="Verdana" w:cs="Arial"/>
          <w:color w:val="000000"/>
          <w:sz w:val="20"/>
          <w:szCs w:val="20"/>
        </w:rPr>
        <w:footnoteReference w:id="3"/>
      </w:r>
      <w:r w:rsidRPr="00D26594">
        <w:rPr>
          <w:rFonts w:ascii="Verdana" w:eastAsia="Calibri" w:hAnsi="Verdana" w:cs="Arial"/>
          <w:color w:val="000000"/>
          <w:sz w:val="20"/>
          <w:szCs w:val="20"/>
        </w:rPr>
        <w:t>.</w:t>
      </w:r>
    </w:p>
    <w:p w14:paraId="081EEFB3" w14:textId="0FE9C96F" w:rsidR="001A19CD" w:rsidRDefault="001A19CD" w:rsidP="001A19CD">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shd w:val="clear" w:color="auto" w:fill="FFFFFF"/>
          <w:lang w:eastAsia="es-ES_tradnl"/>
        </w:rPr>
        <w:t xml:space="preserve">En este sentido, los entes territoriales tienen la facultad de elegir el </w:t>
      </w:r>
      <w:r w:rsidRPr="000C2D90">
        <w:rPr>
          <w:rFonts w:ascii="Verdana" w:eastAsia="Times New Roman" w:hAnsi="Verdana" w:cs="Times New Roman"/>
          <w:shd w:val="clear" w:color="auto" w:fill="FFFFFF"/>
          <w:lang w:eastAsia="es-ES_tradnl"/>
        </w:rPr>
        <w:t xml:space="preserve">tipo contractual que se adapte mejor al cumplimiento de los fines buscados, </w:t>
      </w:r>
      <w:r>
        <w:rPr>
          <w:rFonts w:ascii="Verdana" w:eastAsia="Times New Roman" w:hAnsi="Verdana" w:cs="Times New Roman"/>
          <w:shd w:val="clear" w:color="auto" w:fill="FFFFFF"/>
          <w:lang w:eastAsia="es-ES_tradnl"/>
        </w:rPr>
        <w:t>en virtud de la</w:t>
      </w:r>
      <w:r w:rsidRPr="000C2D90">
        <w:rPr>
          <w:rFonts w:ascii="Verdana" w:eastAsia="Times New Roman" w:hAnsi="Verdana" w:cs="Times New Roman"/>
          <w:shd w:val="clear" w:color="auto" w:fill="FFFFFF"/>
          <w:lang w:eastAsia="es-ES_tradnl"/>
        </w:rPr>
        <w:t xml:space="preserve"> libertad </w:t>
      </w:r>
      <w:r>
        <w:rPr>
          <w:rFonts w:ascii="Verdana" w:eastAsia="Times New Roman" w:hAnsi="Verdana" w:cs="Times New Roman"/>
          <w:shd w:val="clear" w:color="auto" w:fill="FFFFFF"/>
          <w:lang w:eastAsia="es-ES_tradnl"/>
        </w:rPr>
        <w:t xml:space="preserve">que para ello concede la </w:t>
      </w:r>
      <w:r w:rsidRPr="000C2D90">
        <w:rPr>
          <w:rFonts w:ascii="Verdana" w:eastAsia="Times New Roman" w:hAnsi="Verdana" w:cs="Times New Roman"/>
          <w:shd w:val="clear" w:color="auto" w:fill="FFFFFF"/>
          <w:lang w:eastAsia="es-ES_tradnl"/>
        </w:rPr>
        <w:t xml:space="preserve">Ley 80 de 1993. </w:t>
      </w:r>
      <w:r>
        <w:rPr>
          <w:rFonts w:ascii="Verdana" w:eastAsia="Times New Roman" w:hAnsi="Verdana" w:cs="Times New Roman"/>
          <w:shd w:val="clear" w:color="auto" w:fill="FFFFFF"/>
          <w:lang w:eastAsia="es-ES_tradnl"/>
        </w:rPr>
        <w:t xml:space="preserve">Parte de la doctrina, ha identificado al menos dos tipos de contratos de los que puede hacer uso las entidades: a) </w:t>
      </w:r>
      <w:r w:rsidRPr="00DF07AE">
        <w:rPr>
          <w:rFonts w:ascii="Verdana" w:eastAsia="Times New Roman" w:hAnsi="Verdana" w:cs="Times New Roman"/>
          <w:lang w:eastAsia="es-ES_tradnl"/>
        </w:rPr>
        <w:t xml:space="preserve">los contratos de </w:t>
      </w:r>
      <w:r w:rsidRPr="000C2D90">
        <w:rPr>
          <w:rFonts w:ascii="Verdana" w:eastAsia="Times New Roman" w:hAnsi="Verdana" w:cs="Times New Roman"/>
          <w:lang w:eastAsia="es-ES_tradnl"/>
        </w:rPr>
        <w:t>aprovechamiento de espacio público</w:t>
      </w:r>
      <w:r>
        <w:rPr>
          <w:rFonts w:ascii="Verdana" w:eastAsia="Times New Roman" w:hAnsi="Verdana" w:cs="Times New Roman"/>
          <w:lang w:eastAsia="es-ES_tradnl"/>
        </w:rPr>
        <w:t xml:space="preserve"> y b) </w:t>
      </w:r>
      <w:r w:rsidRPr="00DF07AE">
        <w:rPr>
          <w:rFonts w:ascii="Verdana" w:eastAsia="Times New Roman" w:hAnsi="Verdana" w:cs="Times New Roman"/>
          <w:lang w:eastAsia="es-ES_tradnl"/>
        </w:rPr>
        <w:t xml:space="preserve">los </w:t>
      </w:r>
      <w:r w:rsidRPr="000C2D90">
        <w:rPr>
          <w:rFonts w:ascii="Verdana" w:eastAsia="Times New Roman" w:hAnsi="Verdana" w:cs="Times New Roman"/>
          <w:lang w:eastAsia="es-ES_tradnl"/>
        </w:rPr>
        <w:t>contratos de concesión de bienes</w:t>
      </w:r>
      <w:r>
        <w:rPr>
          <w:rFonts w:ascii="Verdana" w:eastAsia="Times New Roman" w:hAnsi="Verdana" w:cs="Times New Roman"/>
          <w:lang w:eastAsia="es-ES_tradnl"/>
        </w:rPr>
        <w:t xml:space="preserve"> públicos. La primera tipología corresponde a la establecida en el artículo 1</w:t>
      </w:r>
      <w:r w:rsidR="00DF07AE">
        <w:rPr>
          <w:rFonts w:ascii="Verdana" w:eastAsia="Times New Roman" w:hAnsi="Verdana" w:cs="Times New Roman"/>
          <w:lang w:eastAsia="es-ES_tradnl"/>
        </w:rPr>
        <w:t>9</w:t>
      </w:r>
      <w:r>
        <w:rPr>
          <w:rFonts w:ascii="Verdana" w:eastAsia="Times New Roman" w:hAnsi="Verdana" w:cs="Times New Roman"/>
          <w:lang w:eastAsia="es-ES_tradnl"/>
        </w:rPr>
        <w:t xml:space="preserve"> del </w:t>
      </w:r>
      <w:r w:rsidRPr="00D26594">
        <w:rPr>
          <w:rFonts w:ascii="Verdana" w:eastAsia="Times New Roman" w:hAnsi="Verdana" w:cs="Times New Roman"/>
          <w:lang w:eastAsia="es-ES_tradnl"/>
        </w:rPr>
        <w:t>Decreto 1504 de 1998</w:t>
      </w:r>
      <w:r>
        <w:rPr>
          <w:rFonts w:ascii="Verdana" w:eastAsia="Times New Roman" w:hAnsi="Verdana" w:cs="Times New Roman"/>
          <w:lang w:eastAsia="es-ES_tradnl"/>
        </w:rPr>
        <w:t xml:space="preserve">, </w:t>
      </w:r>
      <w:r w:rsidRPr="00DF07AE">
        <w:rPr>
          <w:rFonts w:ascii="Verdana" w:eastAsia="Times New Roman" w:hAnsi="Verdana" w:cs="Times New Roman"/>
          <w:lang w:eastAsia="es-ES_tradnl"/>
        </w:rPr>
        <w:t>compilado en el artículo 2.2.3.3.4 del Decreto Único Reglamentario 1077 de 2015, frente al cual no existe una regulación específica, pero se puede identificar</w:t>
      </w:r>
      <w:r>
        <w:rPr>
          <w:rFonts w:ascii="Verdana" w:eastAsia="Times New Roman" w:hAnsi="Verdana" w:cs="Times New Roman"/>
          <w:lang w:eastAsia="es-ES_tradnl"/>
        </w:rPr>
        <w:t xml:space="preserve"> como características esenciales que guían su celebración</w:t>
      </w:r>
      <w:r w:rsidRPr="000C2D90">
        <w:rPr>
          <w:rFonts w:ascii="Verdana" w:eastAsia="Times New Roman" w:hAnsi="Verdana" w:cs="Times New Roman"/>
          <w:lang w:eastAsia="es-ES_tradnl"/>
        </w:rPr>
        <w:t>: a) la ocupación privativa, complementaria o compatible con el uso público del bien, b) una remuneración a favor de la Administración propietaria</w:t>
      </w:r>
      <w:r>
        <w:rPr>
          <w:rFonts w:ascii="Verdana" w:eastAsia="Times New Roman" w:hAnsi="Verdana" w:cs="Times New Roman"/>
          <w:lang w:eastAsia="es-ES_tradnl"/>
        </w:rPr>
        <w:t xml:space="preserve"> del bien</w:t>
      </w:r>
      <w:r w:rsidRPr="000C2D90">
        <w:rPr>
          <w:rFonts w:ascii="Verdana" w:eastAsia="Times New Roman" w:hAnsi="Verdana" w:cs="Times New Roman"/>
          <w:lang w:eastAsia="es-ES_tradnl"/>
        </w:rPr>
        <w:t xml:space="preserve"> por el uso privativo directamente ligado al beneficio financiero extraído de </w:t>
      </w:r>
      <w:r>
        <w:rPr>
          <w:rFonts w:ascii="Verdana" w:eastAsia="Times New Roman" w:hAnsi="Verdana" w:cs="Times New Roman"/>
          <w:lang w:eastAsia="es-ES_tradnl"/>
        </w:rPr>
        <w:t>su</w:t>
      </w:r>
      <w:r w:rsidRPr="000C2D90">
        <w:rPr>
          <w:rFonts w:ascii="Verdana" w:eastAsia="Times New Roman" w:hAnsi="Verdana" w:cs="Times New Roman"/>
          <w:lang w:eastAsia="es-ES_tradnl"/>
        </w:rPr>
        <w:t xml:space="preserve"> ocupación; c) la inclusión de una cláusula de protección de la afectación del bien, </w:t>
      </w:r>
      <w:r>
        <w:rPr>
          <w:rFonts w:ascii="Verdana" w:eastAsia="Times New Roman" w:hAnsi="Verdana" w:cs="Times New Roman"/>
          <w:lang w:eastAsia="es-ES_tradnl"/>
        </w:rPr>
        <w:t xml:space="preserve">así como de las </w:t>
      </w:r>
      <w:r w:rsidRPr="000C2D90">
        <w:rPr>
          <w:rFonts w:ascii="Verdana" w:eastAsia="Times New Roman" w:hAnsi="Verdana" w:cs="Times New Roman"/>
          <w:lang w:eastAsia="es-ES_tradnl"/>
        </w:rPr>
        <w:t>cláusulas excepcionales y de reversión; y d) la imposibilidad de reconocer derechos reales</w:t>
      </w:r>
      <w:r>
        <w:rPr>
          <w:rStyle w:val="Refdenotaalpie"/>
          <w:rFonts w:ascii="Verdana" w:eastAsia="Times New Roman" w:hAnsi="Verdana" w:cs="Times New Roman"/>
          <w:lang w:eastAsia="es-ES_tradnl"/>
        </w:rPr>
        <w:footnoteReference w:id="4"/>
      </w:r>
      <w:r w:rsidRPr="000C2D90">
        <w:rPr>
          <w:rFonts w:ascii="Verdana" w:eastAsia="Times New Roman" w:hAnsi="Verdana" w:cs="Times New Roman"/>
          <w:lang w:eastAsia="es-ES_tradnl"/>
        </w:rPr>
        <w:t xml:space="preserve">. </w:t>
      </w:r>
    </w:p>
    <w:p w14:paraId="25DE5C34" w14:textId="77777777" w:rsidR="001A19CD" w:rsidRDefault="001A19CD" w:rsidP="001A19CD">
      <w:pPr>
        <w:spacing w:after="120" w:line="276" w:lineRule="auto"/>
        <w:ind w:firstLine="708"/>
        <w:jc w:val="both"/>
        <w:rPr>
          <w:rFonts w:ascii="Verdana" w:eastAsia="Times New Roman" w:hAnsi="Verdana" w:cs="Times New Roman"/>
          <w:lang w:eastAsia="es-ES_tradnl"/>
        </w:rPr>
      </w:pPr>
      <w:r>
        <w:rPr>
          <w:rFonts w:ascii="Verdana" w:eastAsia="Times New Roman" w:hAnsi="Verdana" w:cs="Times New Roman"/>
          <w:lang w:eastAsia="es-ES_tradnl"/>
        </w:rPr>
        <w:t xml:space="preserve">Con respecto al uso de la concesión como tipología contractual, la doctrina ha resaltado la necesidad de </w:t>
      </w:r>
      <w:r w:rsidRPr="00FF7067">
        <w:rPr>
          <w:rFonts w:ascii="Verdana" w:eastAsia="Times New Roman" w:hAnsi="Verdana" w:cs="Times New Roman"/>
          <w:lang w:eastAsia="es-ES_tradnl"/>
        </w:rPr>
        <w:t xml:space="preserve">compatibilizar el uso común y el uso privativo, </w:t>
      </w:r>
      <w:r>
        <w:rPr>
          <w:rFonts w:ascii="Verdana" w:eastAsia="Times New Roman" w:hAnsi="Verdana" w:cs="Times New Roman"/>
          <w:lang w:eastAsia="es-ES_tradnl"/>
        </w:rPr>
        <w:t>imponiendo ciertas limitaciones. Por otra parte, también ha resaltado las dudas sobre su naturaleza jurídica eso es, si tiene carácter unilateral o contractual, frente a lo cual se ha concluido que:</w:t>
      </w:r>
    </w:p>
    <w:p w14:paraId="5E83F6E1" w14:textId="77777777" w:rsidR="001A19CD" w:rsidRPr="00286D00" w:rsidRDefault="001A19CD" w:rsidP="00286D00">
      <w:pPr>
        <w:spacing w:after="120" w:line="240" w:lineRule="auto"/>
        <w:ind w:left="709" w:right="709"/>
        <w:jc w:val="both"/>
        <w:rPr>
          <w:rFonts w:ascii="Verdana" w:eastAsia="Times New Roman" w:hAnsi="Verdana" w:cs="Times New Roman"/>
          <w:sz w:val="20"/>
          <w:szCs w:val="20"/>
          <w:lang w:eastAsia="es-ES_tradnl"/>
        </w:rPr>
      </w:pPr>
      <w:r w:rsidRPr="00286D00">
        <w:rPr>
          <w:rFonts w:ascii="Verdana" w:eastAsia="Times New Roman" w:hAnsi="Verdana" w:cs="Times New Roman"/>
          <w:sz w:val="20"/>
          <w:szCs w:val="20"/>
          <w:shd w:val="clear" w:color="auto" w:fill="FFFFFF"/>
          <w:lang w:eastAsia="es-ES_tradnl"/>
        </w:rPr>
        <w:t xml:space="preserve">Sobre ese punto, si bien existe alguna postura que afirma que dicha concesión solo puede ser unilateral, el consenso legal y doctrinal es que su naturaleza puede ser tanto bilateral –contrato–, como unilateral –permiso–. Lo importante es que en ambos casos los títulos habilitantes desarrollan el interés patrimonial del Estado, sin dejar de lado preocupaciones ligadas al respeto de la afectación y la garantía del orden público. </w:t>
      </w:r>
    </w:p>
    <w:p w14:paraId="07A2F43A" w14:textId="77777777" w:rsidR="001A19CD" w:rsidRDefault="001A19CD" w:rsidP="001A19CD">
      <w:pPr>
        <w:spacing w:after="120" w:line="276" w:lineRule="auto"/>
        <w:ind w:firstLine="708"/>
        <w:jc w:val="both"/>
        <w:rPr>
          <w:rFonts w:ascii="Verdana" w:hAnsi="Verdana"/>
        </w:rPr>
      </w:pPr>
      <w:r>
        <w:rPr>
          <w:rFonts w:ascii="Verdana" w:hAnsi="Verdana"/>
        </w:rPr>
        <w:t>Se concluye entonces que, l</w:t>
      </w:r>
      <w:r w:rsidRPr="000C2D90">
        <w:rPr>
          <w:rFonts w:ascii="Verdana" w:hAnsi="Verdana"/>
        </w:rPr>
        <w:t>a normativa del sistema de compra pública no define una tipología contractual</w:t>
      </w:r>
      <w:r>
        <w:rPr>
          <w:rFonts w:ascii="Verdana" w:hAnsi="Verdana"/>
        </w:rPr>
        <w:t xml:space="preserve"> específica para materializar el aprovechamiento </w:t>
      </w:r>
      <w:r>
        <w:rPr>
          <w:rFonts w:ascii="Verdana" w:hAnsi="Verdana"/>
        </w:rPr>
        <w:lastRenderedPageBreak/>
        <w:t>económico del espacio público</w:t>
      </w:r>
      <w:r w:rsidRPr="000C2D90">
        <w:rPr>
          <w:rFonts w:ascii="Verdana" w:hAnsi="Verdana"/>
        </w:rPr>
        <w:t xml:space="preserve">. </w:t>
      </w:r>
      <w:r>
        <w:rPr>
          <w:rFonts w:ascii="Verdana" w:hAnsi="Verdana"/>
        </w:rPr>
        <w:t>No obstante, l</w:t>
      </w:r>
      <w:r w:rsidRPr="000C2D90">
        <w:rPr>
          <w:rFonts w:ascii="Verdana" w:hAnsi="Verdana"/>
        </w:rPr>
        <w:t>as Entidades Estatales</w:t>
      </w:r>
      <w:r>
        <w:rPr>
          <w:rFonts w:ascii="Verdana" w:hAnsi="Verdana"/>
        </w:rPr>
        <w:t>,</w:t>
      </w:r>
      <w:r w:rsidRPr="000C2D90">
        <w:rPr>
          <w:rFonts w:ascii="Verdana" w:hAnsi="Verdana"/>
        </w:rPr>
        <w:t xml:space="preserve"> en virtud de la autonomía de la voluntad, pueden crear derechos y obligaciones contenidos en contratos atípicos los cuales no se encuentran prohibidos por el ordenamiento jurídico en la medida en que no contravengan el orden público y las buenas costumbres. </w:t>
      </w:r>
    </w:p>
    <w:p w14:paraId="11800A6C" w14:textId="77777777" w:rsidR="001A19CD" w:rsidRDefault="001A19CD" w:rsidP="001A19CD">
      <w:pPr>
        <w:spacing w:after="0" w:line="276" w:lineRule="auto"/>
        <w:ind w:firstLine="708"/>
        <w:jc w:val="both"/>
        <w:rPr>
          <w:rFonts w:ascii="Verdana" w:eastAsia="Times New Roman" w:hAnsi="Verdana" w:cs="Times New Roman"/>
          <w:lang w:eastAsia="es-ES_tradnl"/>
        </w:rPr>
      </w:pPr>
      <w:r>
        <w:rPr>
          <w:rFonts w:ascii="Verdana" w:hAnsi="Verdana"/>
        </w:rPr>
        <w:t xml:space="preserve">Adicionalmente, </w:t>
      </w:r>
      <w:r>
        <w:rPr>
          <w:rFonts w:ascii="Verdana" w:eastAsia="Times New Roman" w:hAnsi="Verdana" w:cs="Times New Roman"/>
          <w:shd w:val="clear" w:color="auto" w:fill="FFFFFF"/>
          <w:lang w:eastAsia="es-ES_tradnl"/>
        </w:rPr>
        <w:t xml:space="preserve">con independencia </w:t>
      </w:r>
      <w:r w:rsidRPr="000C2D90">
        <w:rPr>
          <w:rFonts w:ascii="Verdana" w:eastAsia="Times New Roman" w:hAnsi="Verdana" w:cs="Times New Roman"/>
          <w:lang w:eastAsia="es-ES_tradnl"/>
        </w:rPr>
        <w:t>del instrumento jurídico que se utilice para la gestión del bien</w:t>
      </w:r>
      <w:r>
        <w:rPr>
          <w:rFonts w:ascii="Verdana" w:eastAsia="Times New Roman" w:hAnsi="Verdana" w:cs="Times New Roman"/>
          <w:lang w:eastAsia="es-ES_tradnl"/>
        </w:rPr>
        <w:t xml:space="preserve">, lo cual incluye tanto los actos administrativos como los contratos (a excepción del de arrendamiento), es claro que el </w:t>
      </w:r>
      <w:r w:rsidRPr="000C2D90">
        <w:rPr>
          <w:rFonts w:ascii="Verdana" w:eastAsia="Times New Roman" w:hAnsi="Verdana" w:cs="Times New Roman"/>
          <w:lang w:eastAsia="es-ES_tradnl"/>
        </w:rPr>
        <w:t>objeto del negocio jurídico</w:t>
      </w:r>
      <w:r>
        <w:rPr>
          <w:rFonts w:ascii="Verdana" w:eastAsia="Times New Roman" w:hAnsi="Verdana" w:cs="Times New Roman"/>
          <w:lang w:eastAsia="es-ES_tradnl"/>
        </w:rPr>
        <w:t xml:space="preserve">, al tener </w:t>
      </w:r>
      <w:r w:rsidRPr="000C2D90">
        <w:rPr>
          <w:rFonts w:ascii="Verdana" w:eastAsia="Times New Roman" w:hAnsi="Verdana" w:cs="Times New Roman"/>
          <w:lang w:eastAsia="es-ES_tradnl"/>
        </w:rPr>
        <w:t>la calidad de bien de uso público</w:t>
      </w:r>
      <w:r>
        <w:rPr>
          <w:rFonts w:ascii="Verdana" w:eastAsia="Times New Roman" w:hAnsi="Verdana" w:cs="Times New Roman"/>
          <w:lang w:eastAsia="es-ES_tradnl"/>
        </w:rPr>
        <w:t>, debe respetar</w:t>
      </w:r>
      <w:r w:rsidRPr="000C2D90">
        <w:rPr>
          <w:rFonts w:ascii="Verdana" w:eastAsia="Times New Roman" w:hAnsi="Verdana" w:cs="Times New Roman"/>
          <w:lang w:eastAsia="es-ES_tradnl"/>
        </w:rPr>
        <w:t xml:space="preserve"> sus reglas de uso, disfrute y disposición</w:t>
      </w:r>
      <w:r>
        <w:rPr>
          <w:rFonts w:ascii="Verdana" w:eastAsia="Times New Roman" w:hAnsi="Verdana" w:cs="Times New Roman"/>
          <w:lang w:eastAsia="es-ES_tradnl"/>
        </w:rPr>
        <w:t xml:space="preserve">, de acuerdo con lo dispuesto en el </w:t>
      </w:r>
      <w:r w:rsidRPr="000C2D90">
        <w:rPr>
          <w:rFonts w:ascii="Verdana" w:eastAsia="Times New Roman" w:hAnsi="Verdana" w:cs="Times New Roman"/>
          <w:lang w:eastAsia="es-ES_tradnl"/>
        </w:rPr>
        <w:t xml:space="preserve">artículo 63 de la Carta y del principio de prevalencia del interés general. </w:t>
      </w:r>
      <w:r>
        <w:rPr>
          <w:rFonts w:ascii="Verdana" w:eastAsia="Times New Roman" w:hAnsi="Verdana" w:cs="Times New Roman"/>
          <w:lang w:eastAsia="es-ES_tradnl"/>
        </w:rPr>
        <w:t xml:space="preserve">Lo anterior, implica considerar su carácter de </w:t>
      </w:r>
      <w:r w:rsidRPr="000C2D90">
        <w:rPr>
          <w:rFonts w:ascii="Verdana" w:eastAsia="Times New Roman" w:hAnsi="Verdana" w:cs="Times New Roman"/>
          <w:lang w:eastAsia="es-ES_tradnl"/>
        </w:rPr>
        <w:t xml:space="preserve">bienes inalienables, inembargables e imprescriptibles, </w:t>
      </w:r>
      <w:r>
        <w:rPr>
          <w:rFonts w:ascii="Verdana" w:eastAsia="Times New Roman" w:hAnsi="Verdana" w:cs="Times New Roman"/>
          <w:lang w:eastAsia="es-ES_tradnl"/>
        </w:rPr>
        <w:t xml:space="preserve">al tratarse de bienes </w:t>
      </w:r>
      <w:r w:rsidRPr="000C2D90">
        <w:rPr>
          <w:rFonts w:ascii="Verdana" w:eastAsia="Times New Roman" w:hAnsi="Verdana" w:cs="Times New Roman"/>
          <w:lang w:eastAsia="es-ES_tradnl"/>
        </w:rPr>
        <w:t xml:space="preserve">afectados a una destinación de interés general. </w:t>
      </w:r>
    </w:p>
    <w:p w14:paraId="781C914C" w14:textId="77777777" w:rsidR="001A19CD" w:rsidRPr="00402F8F" w:rsidRDefault="001A19CD" w:rsidP="001A19CD">
      <w:pPr>
        <w:spacing w:after="0" w:line="276" w:lineRule="auto"/>
        <w:ind w:firstLine="708"/>
        <w:jc w:val="both"/>
        <w:rPr>
          <w:rFonts w:ascii="Verdana" w:hAnsi="Verdana"/>
        </w:rPr>
      </w:pPr>
    </w:p>
    <w:p w14:paraId="7AFEF60F" w14:textId="2FE5D234" w:rsidR="001A19CD" w:rsidRPr="00B8056D" w:rsidRDefault="001A19CD" w:rsidP="001A19CD">
      <w:pPr>
        <w:spacing w:after="120" w:line="276" w:lineRule="auto"/>
        <w:jc w:val="both"/>
        <w:rPr>
          <w:rFonts w:ascii="Verdana" w:eastAsia="Calibri" w:hAnsi="Verdana" w:cs="Arial"/>
          <w:color w:val="000000" w:themeColor="text1"/>
        </w:rPr>
      </w:pPr>
      <w:proofErr w:type="spellStart"/>
      <w:r>
        <w:rPr>
          <w:rFonts w:ascii="Verdana" w:eastAsia="Times New Roman" w:hAnsi="Verdana" w:cs="Times New Roman"/>
          <w:lang w:eastAsia="es-ES_tradnl"/>
        </w:rPr>
        <w:t>ii</w:t>
      </w:r>
      <w:proofErr w:type="spellEnd"/>
      <w:r>
        <w:rPr>
          <w:rFonts w:ascii="Verdana" w:eastAsia="Times New Roman" w:hAnsi="Verdana" w:cs="Times New Roman"/>
          <w:lang w:eastAsia="es-ES_tradnl"/>
        </w:rPr>
        <w:t xml:space="preserve">. Con respecto a las obligaciones que en materia de seguridad social rigen los contratos estatales, </w:t>
      </w:r>
      <w:r w:rsidRPr="00B8056D">
        <w:rPr>
          <w:rFonts w:ascii="Verdana" w:eastAsia="Calibri" w:hAnsi="Verdana" w:cs="Arial"/>
          <w:color w:val="000000" w:themeColor="text1"/>
        </w:rPr>
        <w:t xml:space="preserve">el artículo 50 de la Ley 789 de 2002 estableció, como obligación de quien quiere celebrar, renovar o liquidar </w:t>
      </w:r>
      <w:r w:rsidRPr="00FC164A">
        <w:rPr>
          <w:rFonts w:ascii="Verdana" w:eastAsia="Calibri" w:hAnsi="Verdana" w:cs="Arial"/>
          <w:i/>
          <w:iCs/>
          <w:color w:val="000000" w:themeColor="text1"/>
          <w:u w:val="single"/>
        </w:rPr>
        <w:t>contratos de cualquier naturaleza con entidades del sector público</w:t>
      </w:r>
      <w:r w:rsidRPr="00B8056D">
        <w:rPr>
          <w:rFonts w:ascii="Verdana" w:eastAsia="Calibri" w:hAnsi="Verdana" w:cs="Arial"/>
          <w:color w:val="000000" w:themeColor="text1"/>
        </w:rPr>
        <w:t xml:space="preserve">, cumplir con las obligaciones frente a los sistemas de salud, riesgos profesionales, pensiones y aportes a la Caja de Compensación Familiar, Instituto Colombiano de Bienestar Familiar y Servicio Nacional de Aprendizaje cuando a ello haya lugar. </w:t>
      </w:r>
      <w:r w:rsidR="00BA106D" w:rsidRPr="00BA106D">
        <w:rPr>
          <w:rFonts w:ascii="Verdana" w:eastAsia="Calibri" w:hAnsi="Verdana" w:cs="Arial"/>
          <w:color w:val="000000" w:themeColor="text1"/>
        </w:rPr>
        <w:t>En particular, la persona natural que no ostenta la calidad de empleadora no es sujeto de aportes parafiscales a las Cajas de Compensación Familiar, al Servicio Nacional de Aprendizaje ni al Instituto Colombiano de Bienestar Familiar. En tal caso, el deber de verificación se circunscribe a la afiliación y, cuando haya lugar a cotizar, al Sistema General de Seguridad Social en Salud y en Pensiones, y a Riesgos Laborales si la actividad lo exige. De este modo, la exigencia no se convierte en una barrera para la población vulnerable, pues la afiliación al Régimen Subsidiado en salud satisface el requisito para la celebración</w:t>
      </w:r>
      <w:r w:rsidR="00BA106D">
        <w:rPr>
          <w:rFonts w:ascii="Verdana" w:eastAsia="Calibri" w:hAnsi="Verdana" w:cs="Arial"/>
          <w:color w:val="000000" w:themeColor="text1"/>
        </w:rPr>
        <w:t xml:space="preserve">. </w:t>
      </w:r>
      <w:r w:rsidRPr="00B8056D">
        <w:rPr>
          <w:rFonts w:ascii="Verdana" w:eastAsia="Calibri" w:hAnsi="Verdana" w:cs="Arial"/>
          <w:color w:val="000000" w:themeColor="text1"/>
        </w:rPr>
        <w:t>Además, facultó a la entidad estatal para verificar y dejar constancia</w:t>
      </w:r>
      <w:r>
        <w:rPr>
          <w:rFonts w:ascii="Verdana" w:eastAsia="Calibri" w:hAnsi="Verdana" w:cs="Arial"/>
          <w:color w:val="000000" w:themeColor="text1"/>
        </w:rPr>
        <w:t>,</w:t>
      </w:r>
      <w:r w:rsidRPr="00FC164A">
        <w:rPr>
          <w:rFonts w:ascii="Verdana" w:eastAsia="Calibri" w:hAnsi="Verdana" w:cs="Arial"/>
          <w:color w:val="000000" w:themeColor="text1"/>
        </w:rPr>
        <w:t xml:space="preserve"> </w:t>
      </w:r>
      <w:r w:rsidRPr="00B8056D">
        <w:rPr>
          <w:rFonts w:ascii="Verdana" w:eastAsia="Calibri" w:hAnsi="Verdana" w:cs="Arial"/>
          <w:color w:val="000000" w:themeColor="text1"/>
        </w:rPr>
        <w:t>al momento de liquidar los contratos</w:t>
      </w:r>
      <w:r>
        <w:rPr>
          <w:rFonts w:ascii="Verdana" w:eastAsia="Calibri" w:hAnsi="Verdana" w:cs="Arial"/>
          <w:color w:val="000000" w:themeColor="text1"/>
        </w:rPr>
        <w:t>,</w:t>
      </w:r>
      <w:r w:rsidRPr="00B8056D">
        <w:rPr>
          <w:rFonts w:ascii="Verdana" w:eastAsia="Calibri" w:hAnsi="Verdana" w:cs="Arial"/>
          <w:color w:val="000000" w:themeColor="text1"/>
        </w:rPr>
        <w:t xml:space="preserve"> del cumplimiento de las obligaciones del contratista frente a los aportes mencionados, durante toda su vigencia, estableciendo una correcta relación entre el monto cancelado y las sumas que debió cotizar.</w:t>
      </w:r>
    </w:p>
    <w:p w14:paraId="22329B8E" w14:textId="77777777" w:rsidR="001A19CD" w:rsidRPr="00C079CE" w:rsidRDefault="001A19CD" w:rsidP="001A19CD">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La norma citada también </w:t>
      </w:r>
      <w:r w:rsidRPr="00C079CE">
        <w:rPr>
          <w:rFonts w:ascii="Verdana" w:eastAsia="Calibri" w:hAnsi="Verdana" w:cs="Arial"/>
          <w:color w:val="000000" w:themeColor="text1"/>
        </w:rPr>
        <w:t xml:space="preserve">aclara que las </w:t>
      </w:r>
      <w:r w:rsidRPr="00895530">
        <w:rPr>
          <w:rFonts w:ascii="Verdana" w:eastAsia="Calibri" w:hAnsi="Verdana" w:cs="Arial"/>
          <w:i/>
          <w:iCs/>
          <w:color w:val="000000" w:themeColor="text1"/>
        </w:rPr>
        <w:t>personas jurídicas</w:t>
      </w:r>
      <w:r w:rsidRPr="00C079CE">
        <w:rPr>
          <w:rFonts w:ascii="Verdana" w:eastAsia="Calibri" w:hAnsi="Verdana" w:cs="Arial"/>
          <w:color w:val="000000" w:themeColor="text1"/>
        </w:rPr>
        <w:t xml:space="preserve"> que quieran celebrar contratos con las </w:t>
      </w:r>
      <w:r>
        <w:rPr>
          <w:rFonts w:ascii="Verdana" w:eastAsia="Calibri" w:hAnsi="Verdana" w:cs="Arial"/>
          <w:color w:val="000000" w:themeColor="text1"/>
        </w:rPr>
        <w:t>E</w:t>
      </w:r>
      <w:r w:rsidRPr="00C079CE">
        <w:rPr>
          <w:rFonts w:ascii="Verdana" w:eastAsia="Calibri" w:hAnsi="Verdana" w:cs="Arial"/>
          <w:color w:val="000000" w:themeColor="text1"/>
        </w:rPr>
        <w:t xml:space="preserve">ntidades </w:t>
      </w:r>
      <w:r>
        <w:rPr>
          <w:rFonts w:ascii="Verdana" w:eastAsia="Calibri" w:hAnsi="Verdana" w:cs="Arial"/>
          <w:color w:val="000000" w:themeColor="text1"/>
        </w:rPr>
        <w:t>E</w:t>
      </w:r>
      <w:r w:rsidRPr="00C079CE">
        <w:rPr>
          <w:rFonts w:ascii="Verdana" w:eastAsia="Calibri" w:hAnsi="Verdana" w:cs="Arial"/>
          <w:color w:val="000000" w:themeColor="text1"/>
        </w:rPr>
        <w:t xml:space="preserve">statales deben acreditar el pago al Sistema de Seguridad Social Integral de sus empleados, y que por eso deben presentar </w:t>
      </w:r>
      <w:r w:rsidRPr="00C079CE">
        <w:rPr>
          <w:rFonts w:ascii="Verdana" w:eastAsia="Calibri" w:hAnsi="Verdana" w:cs="Arial"/>
          <w:color w:val="000000" w:themeColor="text1"/>
        </w:rPr>
        <w:lastRenderedPageBreak/>
        <w:t>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En este sentido, la ley establece que para presentar la oferta las personas jurídicas deben acreditar el requisito señalado anteriormente, es decir, el pago al sistema de seguridad social de sus empleados.</w:t>
      </w:r>
    </w:p>
    <w:p w14:paraId="0A86650A" w14:textId="77777777" w:rsidR="001A19CD" w:rsidRDefault="001A19CD" w:rsidP="001A19CD">
      <w:pPr>
        <w:spacing w:after="0" w:line="276" w:lineRule="auto"/>
        <w:ind w:firstLine="709"/>
        <w:jc w:val="both"/>
        <w:rPr>
          <w:rFonts w:ascii="Verdana" w:eastAsia="Calibri" w:hAnsi="Verdana" w:cs="Arial"/>
          <w:color w:val="000000"/>
        </w:rPr>
      </w:pPr>
      <w:r w:rsidRPr="00601F68">
        <w:rPr>
          <w:rFonts w:ascii="Verdana" w:eastAsia="Times New Roman" w:hAnsi="Verdana" w:cs="Arial"/>
          <w:color w:val="000000"/>
          <w:lang w:eastAsia="es-ES"/>
        </w:rPr>
        <w:t>En igual sentido, el artículo 23</w:t>
      </w:r>
      <w:r w:rsidRPr="00601F68">
        <w:rPr>
          <w:rFonts w:ascii="Verdana" w:eastAsia="Calibri" w:hAnsi="Verdana" w:cs="Arial"/>
          <w:color w:val="000000"/>
        </w:rPr>
        <w:t xml:space="preserve"> de la Ley 1150 de 2007 modificó el inciso segundo del artículo 41 de la Ley 80 de 1993, incluyendo la obligación, para los proponentes y contratistas, de estar a paz y salvo con los aportes parafiscales al Sistema de Seguridad Social integral, al señalar:</w:t>
      </w:r>
    </w:p>
    <w:p w14:paraId="60DEEAED" w14:textId="77777777" w:rsidR="001A19CD" w:rsidRPr="00601F68" w:rsidRDefault="001A19CD" w:rsidP="001A19CD">
      <w:pPr>
        <w:spacing w:after="0" w:line="276" w:lineRule="auto"/>
        <w:ind w:firstLine="709"/>
        <w:jc w:val="both"/>
        <w:rPr>
          <w:rFonts w:ascii="Verdana" w:eastAsia="Calibri" w:hAnsi="Verdana" w:cs="Arial"/>
          <w:color w:val="000000"/>
        </w:rPr>
      </w:pPr>
    </w:p>
    <w:p w14:paraId="62E76C13" w14:textId="77777777" w:rsidR="001A19CD" w:rsidRPr="00601F68" w:rsidRDefault="001A19CD" w:rsidP="001A19CD">
      <w:pPr>
        <w:tabs>
          <w:tab w:val="left" w:pos="7938"/>
          <w:tab w:val="left" w:pos="8080"/>
        </w:tabs>
        <w:spacing w:after="120" w:line="240" w:lineRule="auto"/>
        <w:ind w:left="709" w:right="709"/>
        <w:jc w:val="both"/>
        <w:rPr>
          <w:rFonts w:ascii="Verdana" w:eastAsia="Times New Roman" w:hAnsi="Verdana" w:cs="Arial"/>
          <w:sz w:val="20"/>
          <w:szCs w:val="20"/>
          <w:lang w:val="es-ES" w:eastAsia="es-CO"/>
        </w:rPr>
      </w:pPr>
      <w:r w:rsidRPr="00601F68">
        <w:rPr>
          <w:rFonts w:ascii="Verdana" w:eastAsia="Times New Roman" w:hAnsi="Verdana" w:cs="Arial"/>
          <w:sz w:val="20"/>
          <w:szCs w:val="20"/>
          <w:lang w:eastAsia="es-CO"/>
        </w:rPr>
        <w:t>“</w:t>
      </w:r>
      <w:r>
        <w:rPr>
          <w:rFonts w:ascii="Verdana" w:eastAsia="Times New Roman" w:hAnsi="Verdana" w:cs="Arial"/>
          <w:sz w:val="20"/>
          <w:szCs w:val="20"/>
          <w:lang w:val="es-ES" w:eastAsia="es-CO"/>
        </w:rPr>
        <w:t xml:space="preserve">[…] </w:t>
      </w:r>
      <w:r w:rsidRPr="00601F68">
        <w:rPr>
          <w:rFonts w:ascii="Verdana" w:eastAsia="Times New Roman" w:hAnsi="Verdana" w:cs="Arial"/>
          <w:sz w:val="20"/>
          <w:szCs w:val="20"/>
          <w:lang w:val="es-ES" w:eastAsia="es-CO"/>
        </w:rPr>
        <w:t>El proponente y el contratista deberán acreditar que se encuentran al día en el pago de aportes parafiscales relativos al Sistema de Seguridad Social Integral, así como los propios del Sena, ICBF y Cajas de Compensación Familiar, cuando corresponda.</w:t>
      </w:r>
    </w:p>
    <w:p w14:paraId="6329F6E8" w14:textId="77777777" w:rsidR="001A19CD" w:rsidRPr="00601F68" w:rsidRDefault="001A19CD" w:rsidP="001A19CD">
      <w:pPr>
        <w:spacing w:before="120" w:after="120" w:line="240" w:lineRule="auto"/>
        <w:ind w:left="709" w:right="709"/>
        <w:jc w:val="both"/>
        <w:rPr>
          <w:rFonts w:ascii="Verdana" w:eastAsia="Times New Roman" w:hAnsi="Verdana" w:cs="Arial"/>
          <w:sz w:val="20"/>
          <w:szCs w:val="20"/>
          <w:lang w:val="es-ES" w:eastAsia="es-CO"/>
        </w:rPr>
      </w:pPr>
      <w:r w:rsidRPr="00601F68">
        <w:rPr>
          <w:rFonts w:ascii="Verdana" w:eastAsia="Times New Roman" w:hAnsi="Verdana" w:cs="Arial"/>
          <w:bCs/>
          <w:sz w:val="20"/>
          <w:szCs w:val="20"/>
          <w:lang w:val="es-ES" w:eastAsia="es-CO"/>
        </w:rPr>
        <w:t>Parágrafo 1.</w:t>
      </w:r>
      <w:r w:rsidRPr="00601F68">
        <w:rPr>
          <w:rFonts w:ascii="Verdana" w:eastAsia="Times New Roman" w:hAnsi="Verdana" w:cs="Arial"/>
          <w:sz w:val="20"/>
          <w:szCs w:val="20"/>
          <w:lang w:val="es-ES" w:eastAsia="es-CO"/>
        </w:rPr>
        <w:t xml:space="preserve"> El requisito establecido en la parte final del inciso segundo de este artículo deberá acreditarse </w:t>
      </w:r>
      <w:r w:rsidRPr="00895530">
        <w:rPr>
          <w:rFonts w:ascii="Verdana" w:eastAsia="Times New Roman" w:hAnsi="Verdana" w:cs="Arial"/>
          <w:i/>
          <w:iCs/>
          <w:sz w:val="20"/>
          <w:szCs w:val="20"/>
          <w:lang w:val="es-ES" w:eastAsia="es-CO"/>
        </w:rPr>
        <w:t>para la realización de cada pago derivado del contrato estatal</w:t>
      </w:r>
      <w:r w:rsidRPr="00601F68">
        <w:rPr>
          <w:rFonts w:ascii="Verdana" w:eastAsia="Times New Roman" w:hAnsi="Verdana" w:cs="Arial"/>
          <w:sz w:val="20"/>
          <w:szCs w:val="20"/>
          <w:lang w:val="es-ES" w:eastAsia="es-CO"/>
        </w:rPr>
        <w:t>.</w:t>
      </w:r>
    </w:p>
    <w:p w14:paraId="5BF21299" w14:textId="77777777" w:rsidR="001A19CD" w:rsidRPr="00601F68" w:rsidRDefault="001A19CD" w:rsidP="001A19CD">
      <w:pPr>
        <w:spacing w:before="120" w:after="0" w:line="240" w:lineRule="auto"/>
        <w:ind w:left="709" w:right="709"/>
        <w:jc w:val="both"/>
        <w:rPr>
          <w:rFonts w:ascii="Verdana" w:eastAsia="Times New Roman" w:hAnsi="Verdana" w:cs="Arial"/>
          <w:sz w:val="20"/>
          <w:szCs w:val="20"/>
          <w:lang w:val="es-ES" w:eastAsia="es-CO"/>
        </w:rPr>
      </w:pPr>
      <w:r w:rsidRPr="00601F68">
        <w:rPr>
          <w:rFonts w:ascii="Verdana" w:eastAsia="Times New Roman" w:hAnsi="Verdana" w:cs="Arial"/>
          <w:sz w:val="20"/>
          <w:szCs w:val="20"/>
          <w:lang w:val="es-ES" w:eastAsia="es-CO"/>
        </w:rPr>
        <w:t>El servidor público que sin justa causa no verifique el pago de los aportes a que se refiere el presente artículo, incurrirá en causal de mala conducta, que será sancionada con arreglo al régimen disciplinario vigente”</w:t>
      </w:r>
      <w:r>
        <w:rPr>
          <w:rFonts w:ascii="Verdana" w:eastAsia="Times New Roman" w:hAnsi="Verdana" w:cs="Arial"/>
          <w:sz w:val="20"/>
          <w:szCs w:val="20"/>
          <w:lang w:val="es-ES" w:eastAsia="es-CO"/>
        </w:rPr>
        <w:t>.</w:t>
      </w:r>
    </w:p>
    <w:p w14:paraId="70C05C22" w14:textId="77777777" w:rsidR="001A19CD" w:rsidRPr="00601F68" w:rsidRDefault="001A19CD" w:rsidP="001A19CD">
      <w:pPr>
        <w:spacing w:after="0" w:line="276" w:lineRule="auto"/>
        <w:contextualSpacing/>
        <w:jc w:val="both"/>
        <w:rPr>
          <w:rFonts w:ascii="Verdana" w:eastAsia="Calibri" w:hAnsi="Verdana" w:cs="Arial"/>
          <w:color w:val="000000"/>
        </w:rPr>
      </w:pPr>
    </w:p>
    <w:p w14:paraId="1E9B7B6A" w14:textId="77777777" w:rsidR="001A19CD" w:rsidRPr="00601F68" w:rsidRDefault="001A19CD" w:rsidP="001A19CD">
      <w:pPr>
        <w:spacing w:after="120" w:line="276" w:lineRule="auto"/>
        <w:ind w:firstLine="709"/>
        <w:jc w:val="both"/>
        <w:rPr>
          <w:rFonts w:ascii="Verdana" w:eastAsia="Times New Roman" w:hAnsi="Verdana" w:cs="Arial"/>
          <w:color w:val="000000"/>
          <w:lang w:eastAsia="es-ES"/>
        </w:rPr>
      </w:pPr>
      <w:r w:rsidRPr="00601F68">
        <w:rPr>
          <w:rFonts w:ascii="Verdana" w:eastAsia="Calibri" w:hAnsi="Verdana" w:cs="Arial"/>
          <w:color w:val="000000"/>
        </w:rPr>
        <w:t xml:space="preserve">De la lectura integral del artículo 23 de la Ley 1150 de 2007 se infiere que, si bien los proponentes y los contratistas deben estar al día en </w:t>
      </w:r>
      <w:r w:rsidRPr="00FC164A">
        <w:rPr>
          <w:rFonts w:ascii="Verdana" w:eastAsia="Calibri" w:hAnsi="Verdana" w:cs="Arial"/>
          <w:i/>
          <w:iCs/>
          <w:color w:val="000000"/>
        </w:rPr>
        <w:t>el pago</w:t>
      </w:r>
      <w:r w:rsidRPr="00601F68">
        <w:rPr>
          <w:rFonts w:ascii="Verdana" w:eastAsia="Calibri" w:hAnsi="Verdana" w:cs="Arial"/>
          <w:color w:val="000000"/>
        </w:rPr>
        <w:t xml:space="preserve"> al Sistema de Seguridad Social Integral, la verificación de este requisito, por parte de las </w:t>
      </w:r>
      <w:r>
        <w:rPr>
          <w:rFonts w:ascii="Verdana" w:eastAsia="Calibri" w:hAnsi="Verdana" w:cs="Arial"/>
          <w:color w:val="000000"/>
        </w:rPr>
        <w:t>E</w:t>
      </w:r>
      <w:r w:rsidRPr="00601F68">
        <w:rPr>
          <w:rFonts w:ascii="Verdana" w:eastAsia="Calibri" w:hAnsi="Verdana" w:cs="Arial"/>
          <w:color w:val="000000"/>
        </w:rPr>
        <w:t xml:space="preserve">ntidades </w:t>
      </w:r>
      <w:r>
        <w:rPr>
          <w:rFonts w:ascii="Verdana" w:eastAsia="Calibri" w:hAnsi="Verdana" w:cs="Arial"/>
          <w:color w:val="000000"/>
        </w:rPr>
        <w:t>E</w:t>
      </w:r>
      <w:r w:rsidRPr="00601F68">
        <w:rPr>
          <w:rFonts w:ascii="Verdana" w:eastAsia="Calibri" w:hAnsi="Verdana" w:cs="Arial"/>
          <w:color w:val="000000"/>
        </w:rPr>
        <w:t xml:space="preserve">statales, se efectuará cuando realicen los pagos </w:t>
      </w:r>
      <w:r>
        <w:rPr>
          <w:rFonts w:ascii="Verdana" w:eastAsia="Calibri" w:hAnsi="Verdana" w:cs="Arial"/>
          <w:color w:val="000000"/>
        </w:rPr>
        <w:t xml:space="preserve">derivados </w:t>
      </w:r>
      <w:r w:rsidRPr="00601F68">
        <w:rPr>
          <w:rFonts w:ascii="Verdana" w:eastAsia="Calibri" w:hAnsi="Verdana" w:cs="Arial"/>
          <w:color w:val="000000"/>
        </w:rPr>
        <w:t xml:space="preserve">del contrato, es </w:t>
      </w:r>
      <w:r w:rsidRPr="00601F68">
        <w:rPr>
          <w:rFonts w:ascii="Verdana" w:eastAsia="Times New Roman" w:hAnsi="Verdana" w:cs="Arial"/>
          <w:color w:val="000000"/>
          <w:lang w:eastAsia="es-ES"/>
        </w:rPr>
        <w:t xml:space="preserve">decir, </w:t>
      </w:r>
      <w:r w:rsidRPr="00895530">
        <w:rPr>
          <w:rFonts w:ascii="Verdana" w:eastAsia="Times New Roman" w:hAnsi="Verdana" w:cs="Arial"/>
          <w:color w:val="000000"/>
          <w:lang w:eastAsia="es-ES"/>
        </w:rPr>
        <w:t>durante la ejecución.</w:t>
      </w:r>
    </w:p>
    <w:p w14:paraId="4DDA5D1C" w14:textId="77777777" w:rsidR="001A19CD" w:rsidRPr="00601F68" w:rsidRDefault="001A19CD" w:rsidP="001A19CD">
      <w:pPr>
        <w:spacing w:after="120" w:line="276" w:lineRule="auto"/>
        <w:ind w:firstLine="709"/>
        <w:jc w:val="both"/>
        <w:rPr>
          <w:rFonts w:ascii="Verdana" w:eastAsia="Calibri" w:hAnsi="Verdana" w:cs="Arial"/>
          <w:color w:val="000000"/>
        </w:rPr>
      </w:pPr>
      <w:r>
        <w:rPr>
          <w:rFonts w:ascii="Verdana" w:eastAsia="Times New Roman" w:hAnsi="Verdana" w:cs="Arial"/>
          <w:color w:val="000000"/>
          <w:lang w:eastAsia="es-ES"/>
        </w:rPr>
        <w:t>De esta forma, l</w:t>
      </w:r>
      <w:r w:rsidRPr="00601F68">
        <w:rPr>
          <w:rFonts w:ascii="Verdana" w:eastAsia="Times New Roman" w:hAnsi="Verdana" w:cs="Arial"/>
          <w:color w:val="000000"/>
          <w:lang w:eastAsia="es-ES"/>
        </w:rPr>
        <w:t xml:space="preserve">a verificación </w:t>
      </w:r>
      <w:r>
        <w:rPr>
          <w:rFonts w:ascii="Verdana" w:eastAsia="Times New Roman" w:hAnsi="Verdana" w:cs="Arial"/>
          <w:color w:val="000000"/>
          <w:lang w:eastAsia="es-ES"/>
        </w:rPr>
        <w:t xml:space="preserve">de cumplimiento de las obligaciones frente al </w:t>
      </w:r>
      <w:r w:rsidRPr="00601F68">
        <w:rPr>
          <w:rFonts w:ascii="Verdana" w:eastAsia="Calibri" w:hAnsi="Verdana" w:cs="Arial"/>
          <w:color w:val="000000"/>
        </w:rPr>
        <w:t xml:space="preserve">Sistema de Seguridad Social Integral cambia, dependiendo si se trata de una persona natural o de una jurídica: i) si es una natural, la </w:t>
      </w:r>
      <w:r>
        <w:rPr>
          <w:rFonts w:ascii="Verdana" w:eastAsia="Calibri" w:hAnsi="Verdana" w:cs="Arial"/>
          <w:color w:val="000000"/>
        </w:rPr>
        <w:t>E</w:t>
      </w:r>
      <w:r w:rsidRPr="00601F68">
        <w:rPr>
          <w:rFonts w:ascii="Verdana" w:eastAsia="Calibri" w:hAnsi="Verdana" w:cs="Arial"/>
          <w:color w:val="000000"/>
        </w:rPr>
        <w:t xml:space="preserve">ntidad </w:t>
      </w:r>
      <w:r>
        <w:rPr>
          <w:rFonts w:ascii="Verdana" w:eastAsia="Calibri" w:hAnsi="Verdana" w:cs="Arial"/>
          <w:color w:val="000000"/>
        </w:rPr>
        <w:t>E</w:t>
      </w:r>
      <w:r w:rsidRPr="00601F68">
        <w:rPr>
          <w:rFonts w:ascii="Verdana" w:eastAsia="Calibri" w:hAnsi="Verdana" w:cs="Arial"/>
          <w:color w:val="000000"/>
        </w:rPr>
        <w:t xml:space="preserve">statal verificará </w:t>
      </w:r>
      <w:r w:rsidRPr="00FC164A">
        <w:rPr>
          <w:rFonts w:ascii="Verdana" w:eastAsia="Calibri" w:hAnsi="Verdana" w:cs="Arial"/>
          <w:i/>
          <w:iCs/>
          <w:color w:val="000000"/>
        </w:rPr>
        <w:t>el pago</w:t>
      </w:r>
      <w:r w:rsidRPr="00601F68">
        <w:rPr>
          <w:rFonts w:ascii="Verdana" w:eastAsia="Calibri" w:hAnsi="Verdana" w:cs="Arial"/>
          <w:color w:val="000000"/>
        </w:rPr>
        <w:t xml:space="preserve"> al Sistema de Seguridad Social Integral cuando se realicen los pagos </w:t>
      </w:r>
      <w:r>
        <w:rPr>
          <w:rFonts w:ascii="Verdana" w:eastAsia="Calibri" w:hAnsi="Verdana" w:cs="Arial"/>
          <w:color w:val="000000"/>
        </w:rPr>
        <w:t xml:space="preserve">derivados </w:t>
      </w:r>
      <w:r w:rsidRPr="00601F68">
        <w:rPr>
          <w:rFonts w:ascii="Verdana" w:eastAsia="Calibri" w:hAnsi="Verdana" w:cs="Arial"/>
          <w:color w:val="000000"/>
        </w:rPr>
        <w:t>del contrato, es decir, durante su ejecución</w:t>
      </w:r>
      <w:r>
        <w:rPr>
          <w:rFonts w:ascii="Verdana" w:eastAsia="Calibri" w:hAnsi="Verdana" w:cs="Arial"/>
          <w:color w:val="000000"/>
        </w:rPr>
        <w:t>;</w:t>
      </w:r>
      <w:r w:rsidRPr="00601F68">
        <w:rPr>
          <w:rFonts w:ascii="Verdana" w:eastAsia="Calibri" w:hAnsi="Verdana" w:cs="Arial"/>
          <w:color w:val="000000"/>
        </w:rPr>
        <w:t xml:space="preserve"> y </w:t>
      </w:r>
      <w:proofErr w:type="spellStart"/>
      <w:r w:rsidRPr="00601F68">
        <w:rPr>
          <w:rFonts w:ascii="Verdana" w:eastAsia="Calibri" w:hAnsi="Verdana" w:cs="Arial"/>
          <w:color w:val="000000"/>
        </w:rPr>
        <w:t>ii</w:t>
      </w:r>
      <w:proofErr w:type="spellEnd"/>
      <w:r w:rsidRPr="00601F68">
        <w:rPr>
          <w:rFonts w:ascii="Verdana" w:eastAsia="Calibri" w:hAnsi="Verdana" w:cs="Arial"/>
          <w:color w:val="000000"/>
        </w:rPr>
        <w:t xml:space="preserve">) si se refiere a una persona jurídica, el comprobante de pago de los aportes al Sistema de Seguridad Social Integral de sus empleados se debe aportar con la presentación de la </w:t>
      </w:r>
      <w:r w:rsidRPr="00FC164A">
        <w:rPr>
          <w:rFonts w:ascii="Verdana" w:eastAsia="Calibri" w:hAnsi="Verdana" w:cs="Arial"/>
          <w:i/>
          <w:iCs/>
          <w:color w:val="000000"/>
        </w:rPr>
        <w:t>oferta</w:t>
      </w:r>
      <w:r w:rsidRPr="00601F68">
        <w:rPr>
          <w:rFonts w:ascii="Verdana" w:eastAsia="Calibri" w:hAnsi="Verdana" w:cs="Arial"/>
          <w:color w:val="000000"/>
        </w:rPr>
        <w:t xml:space="preserve">, este constituye un criterio de admisión de la oferta. Lo anterior, sin perjuicio de que durante la ejecución del contrato también se acredite el pago al </w:t>
      </w:r>
      <w:r w:rsidRPr="00601F68">
        <w:rPr>
          <w:rFonts w:ascii="Verdana" w:eastAsia="Calibri" w:hAnsi="Verdana" w:cs="Arial"/>
          <w:color w:val="000000"/>
        </w:rPr>
        <w:lastRenderedPageBreak/>
        <w:t>Sistema de Seguridad Social Integral para pagar las cuentas o facturas si a ello hubiere lugar.</w:t>
      </w:r>
    </w:p>
    <w:p w14:paraId="4D32DF93" w14:textId="77777777" w:rsidR="001A19CD" w:rsidRDefault="001A19CD" w:rsidP="001A19CD">
      <w:pPr>
        <w:spacing w:after="120" w:line="276" w:lineRule="auto"/>
        <w:ind w:firstLine="709"/>
        <w:jc w:val="both"/>
        <w:rPr>
          <w:rFonts w:ascii="Verdana" w:eastAsia="Calibri" w:hAnsi="Verdana" w:cs="Arial"/>
          <w:color w:val="000000"/>
        </w:rPr>
      </w:pPr>
      <w:r w:rsidRPr="00601F68">
        <w:rPr>
          <w:rFonts w:ascii="Verdana" w:eastAsia="Calibri" w:hAnsi="Verdana" w:cs="Arial"/>
          <w:color w:val="000000"/>
        </w:rPr>
        <w:t>Igualmente, en virtud del artículo</w:t>
      </w:r>
      <w:r w:rsidRPr="00601F68">
        <w:rPr>
          <w:rFonts w:ascii="Verdana" w:eastAsia="Aptos" w:hAnsi="Verdana" w:cs="Arial"/>
          <w:color w:val="000000"/>
        </w:rPr>
        <w:t xml:space="preserve">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w:t>
      </w:r>
      <w:r w:rsidRPr="00601F68">
        <w:rPr>
          <w:rFonts w:ascii="Verdana" w:eastAsia="Calibri" w:hAnsi="Verdana" w:cs="Arial"/>
          <w:color w:val="000000"/>
        </w:rPr>
        <w:t>estableciendo una correcta relación entre el monto cancelado y las sumas que debieron cotizar.</w:t>
      </w:r>
    </w:p>
    <w:p w14:paraId="330655D0" w14:textId="77777777" w:rsidR="001A19CD" w:rsidRDefault="001A19CD" w:rsidP="001A19CD">
      <w:pPr>
        <w:spacing w:after="120" w:line="276" w:lineRule="auto"/>
        <w:jc w:val="both"/>
        <w:rPr>
          <w:rFonts w:ascii="Verdana" w:eastAsia="Calibri" w:hAnsi="Verdana" w:cs="Arial"/>
          <w:color w:val="000000"/>
          <w:sz w:val="20"/>
          <w:szCs w:val="20"/>
        </w:rPr>
      </w:pPr>
      <w:proofErr w:type="spellStart"/>
      <w:r>
        <w:rPr>
          <w:rFonts w:ascii="Verdana" w:eastAsia="Calibri" w:hAnsi="Verdana" w:cs="Arial"/>
          <w:color w:val="000000"/>
        </w:rPr>
        <w:t>iii</w:t>
      </w:r>
      <w:proofErr w:type="spellEnd"/>
      <w:r>
        <w:rPr>
          <w:rFonts w:ascii="Verdana" w:eastAsia="Calibri" w:hAnsi="Verdana" w:cs="Arial"/>
          <w:color w:val="000000"/>
        </w:rPr>
        <w:t xml:space="preserve">. El marco jurídico expuesto tiene implicaciones distintas según los mecanismos que implemente la Entidad Estatal para materializar el aprovechamiento del espacio público. En primer lugar, cuando el aprovechamiento del bien de uso público se materialice mediante un acto administrativo no será aplicable lo dispuesto en el artículo 50 </w:t>
      </w:r>
      <w:r w:rsidRPr="00B8056D">
        <w:rPr>
          <w:rFonts w:ascii="Verdana" w:eastAsia="Calibri" w:hAnsi="Verdana" w:cs="Arial"/>
          <w:color w:val="000000" w:themeColor="text1"/>
        </w:rPr>
        <w:t>de la Ley 789 de 2002</w:t>
      </w:r>
      <w:r>
        <w:rPr>
          <w:rFonts w:ascii="Verdana" w:eastAsia="Calibri" w:hAnsi="Verdana" w:cs="Arial"/>
          <w:color w:val="000000" w:themeColor="text1"/>
        </w:rPr>
        <w:t xml:space="preserve">, que condiciona el requisito de cumplir </w:t>
      </w:r>
      <w:r w:rsidRPr="00B8056D">
        <w:rPr>
          <w:rFonts w:ascii="Verdana" w:eastAsia="Calibri" w:hAnsi="Verdana" w:cs="Arial"/>
          <w:color w:val="000000" w:themeColor="text1"/>
        </w:rPr>
        <w:t xml:space="preserve">con las obligaciones frente a los sistemas de salud, riesgos profesionales, pensiones y aportes a la Caja de Compensación Familiar, Instituto Colombiano de Bienestar Familiar y Servicio Nacional de Aprendizaje </w:t>
      </w:r>
      <w:r>
        <w:rPr>
          <w:rFonts w:ascii="Verdana" w:eastAsia="Calibri" w:hAnsi="Verdana" w:cs="Arial"/>
          <w:color w:val="000000" w:themeColor="text1"/>
        </w:rPr>
        <w:t xml:space="preserve">a que se trate de la celebración, renovación o liquidación de </w:t>
      </w:r>
      <w:r w:rsidRPr="00FC164A">
        <w:rPr>
          <w:rFonts w:ascii="Verdana" w:eastAsia="Calibri" w:hAnsi="Verdana" w:cs="Arial"/>
          <w:i/>
          <w:iCs/>
          <w:color w:val="000000" w:themeColor="text1"/>
          <w:u w:val="single"/>
        </w:rPr>
        <w:t xml:space="preserve">contratos </w:t>
      </w:r>
      <w:r w:rsidRPr="00003608">
        <w:rPr>
          <w:rFonts w:ascii="Verdana" w:eastAsia="Calibri" w:hAnsi="Verdana" w:cs="Arial"/>
          <w:color w:val="000000" w:themeColor="text1"/>
        </w:rPr>
        <w:t>de cualquier naturaleza con entidades del sector público</w:t>
      </w:r>
      <w:r>
        <w:rPr>
          <w:rFonts w:ascii="Verdana" w:eastAsia="Calibri" w:hAnsi="Verdana" w:cs="Arial"/>
          <w:color w:val="000000" w:themeColor="text1"/>
        </w:rPr>
        <w:t xml:space="preserve">. Se sigue de lo anterior que tampoco es procedente la aplicación </w:t>
      </w:r>
      <w:proofErr w:type="gramStart"/>
      <w:r>
        <w:rPr>
          <w:rFonts w:ascii="Verdana" w:eastAsia="Calibri" w:hAnsi="Verdana" w:cs="Arial"/>
          <w:color w:val="000000" w:themeColor="text1"/>
        </w:rPr>
        <w:t xml:space="preserve">del </w:t>
      </w:r>
      <w:r w:rsidRPr="00601F68">
        <w:rPr>
          <w:rFonts w:ascii="Verdana" w:eastAsia="Times New Roman" w:hAnsi="Verdana" w:cs="Arial"/>
          <w:color w:val="000000"/>
          <w:lang w:eastAsia="es-ES"/>
        </w:rPr>
        <w:t>el artículo</w:t>
      </w:r>
      <w:proofErr w:type="gramEnd"/>
      <w:r w:rsidRPr="00601F68">
        <w:rPr>
          <w:rFonts w:ascii="Verdana" w:eastAsia="Times New Roman" w:hAnsi="Verdana" w:cs="Arial"/>
          <w:color w:val="000000"/>
          <w:lang w:eastAsia="es-ES"/>
        </w:rPr>
        <w:t xml:space="preserve"> 23</w:t>
      </w:r>
      <w:r w:rsidRPr="00601F68">
        <w:rPr>
          <w:rFonts w:ascii="Verdana" w:eastAsia="Calibri" w:hAnsi="Verdana" w:cs="Arial"/>
          <w:color w:val="000000"/>
        </w:rPr>
        <w:t xml:space="preserve"> de la Ley 1150 de 2007</w:t>
      </w:r>
      <w:r>
        <w:rPr>
          <w:rFonts w:ascii="Verdana" w:eastAsia="Calibri" w:hAnsi="Verdana" w:cs="Arial"/>
          <w:color w:val="000000"/>
        </w:rPr>
        <w:t xml:space="preserve"> sobre esta materia.</w:t>
      </w:r>
    </w:p>
    <w:p w14:paraId="1516E940" w14:textId="77777777" w:rsidR="001A19CD" w:rsidRPr="00003608" w:rsidRDefault="001A19CD" w:rsidP="001A19CD">
      <w:pPr>
        <w:spacing w:after="120" w:line="276" w:lineRule="auto"/>
        <w:ind w:firstLine="708"/>
        <w:jc w:val="both"/>
        <w:rPr>
          <w:rFonts w:ascii="Verdana" w:eastAsia="Calibri" w:hAnsi="Verdana" w:cs="Arial"/>
          <w:color w:val="000000"/>
          <w:sz w:val="20"/>
          <w:szCs w:val="20"/>
        </w:rPr>
      </w:pPr>
      <w:r>
        <w:rPr>
          <w:rFonts w:ascii="Verdana" w:eastAsia="Calibri" w:hAnsi="Verdana" w:cs="Arial"/>
          <w:color w:val="000000"/>
        </w:rPr>
        <w:t xml:space="preserve">Lo anterior se deriva de que el contrato </w:t>
      </w:r>
      <w:r w:rsidRPr="00A068FC">
        <w:rPr>
          <w:rFonts w:ascii="Verdana" w:eastAsia="Arial" w:hAnsi="Verdana" w:cs="Arial"/>
          <w:color w:val="000000" w:themeColor="text1"/>
          <w:lang w:val="es-ES_tradnl" w:eastAsia="es-ES_tradnl"/>
        </w:rPr>
        <w:t>es un “acto jurídico voluntario, una declaración de voluntad, que tiene por objeto establecer una relación jurídica entre dos personas, obligando a la una para con otra a determinada prestación”</w:t>
      </w:r>
      <w:r w:rsidRPr="00A068FC">
        <w:rPr>
          <w:rFonts w:ascii="Verdana" w:eastAsia="Arial" w:hAnsi="Verdana" w:cs="Arial"/>
          <w:color w:val="000000" w:themeColor="text1"/>
          <w:vertAlign w:val="superscript"/>
          <w:lang w:val="es-ES_tradnl" w:eastAsia="es-ES_tradnl"/>
        </w:rPr>
        <w:footnoteReference w:id="5"/>
      </w:r>
      <w:r w:rsidRPr="00A068FC">
        <w:rPr>
          <w:rFonts w:ascii="Verdana" w:eastAsia="Arial" w:hAnsi="Verdana" w:cs="Arial"/>
          <w:color w:val="000000" w:themeColor="text1"/>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A068FC">
        <w:rPr>
          <w:rFonts w:ascii="Verdana" w:eastAsia="Arial" w:hAnsi="Verdana" w:cs="Arial"/>
          <w:color w:val="000000" w:themeColor="text1"/>
          <w:vertAlign w:val="superscript"/>
          <w:lang w:val="es-ES_tradnl" w:eastAsia="es-ES_tradnl"/>
        </w:rPr>
        <w:footnoteReference w:id="6"/>
      </w:r>
      <w:r w:rsidRPr="00A068FC">
        <w:rPr>
          <w:rFonts w:ascii="Verdana" w:eastAsia="Arial" w:hAnsi="Verdana" w:cs="Arial"/>
          <w:color w:val="000000" w:themeColor="text1"/>
          <w:lang w:val="es-ES_tradnl" w:eastAsia="es-ES_tradnl"/>
        </w:rPr>
        <w:t xml:space="preserve">. </w:t>
      </w:r>
    </w:p>
    <w:p w14:paraId="2AFF0A2D" w14:textId="77777777" w:rsidR="001A19CD" w:rsidRPr="00A068FC" w:rsidRDefault="001A19CD" w:rsidP="001A19CD">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6DB59E88">
        <w:rPr>
          <w:rFonts w:ascii="Verdana" w:eastAsia="Arial" w:hAnsi="Verdana" w:cs="Arial"/>
          <w:color w:val="000000" w:themeColor="text1"/>
          <w:lang w:val="es-ES" w:eastAsia="es-ES"/>
        </w:rPr>
        <w:t>En efecto, el artículo 1495 del Código Civil establece que el “[c]</w:t>
      </w:r>
      <w:proofErr w:type="spellStart"/>
      <w:r w:rsidRPr="6DB59E88">
        <w:rPr>
          <w:rFonts w:ascii="Verdana" w:eastAsia="Arial" w:hAnsi="Verdana" w:cs="Arial"/>
          <w:color w:val="000000" w:themeColor="text1"/>
          <w:lang w:val="es-ES" w:eastAsia="es-ES"/>
        </w:rPr>
        <w:t>ontrato</w:t>
      </w:r>
      <w:proofErr w:type="spellEnd"/>
      <w:r w:rsidRPr="6DB59E88">
        <w:rPr>
          <w:rFonts w:ascii="Verdana" w:eastAsia="Arial" w:hAnsi="Verdana" w:cs="Arial"/>
          <w:color w:val="000000" w:themeColor="text1"/>
          <w:lang w:val="es-ES" w:eastAsia="es-ES"/>
        </w:rPr>
        <w:t xml:space="preserve"> o convención es un acto por el cual una parte se obliga para con otra a dar, hacer, </w:t>
      </w:r>
      <w:r w:rsidRPr="6DB59E88">
        <w:rPr>
          <w:rFonts w:ascii="Verdana" w:eastAsia="Arial" w:hAnsi="Verdana" w:cs="Arial"/>
          <w:color w:val="000000" w:themeColor="text1"/>
          <w:lang w:val="es-ES" w:eastAsia="es-ES"/>
        </w:rPr>
        <w:lastRenderedPageBreak/>
        <w:t>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15363698" w14:textId="77777777" w:rsidR="001A19CD" w:rsidRDefault="001A19CD" w:rsidP="001A19CD">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A068FC">
        <w:rPr>
          <w:rFonts w:ascii="Verdana" w:eastAsia="Arial" w:hAnsi="Verdana" w:cs="Arial"/>
          <w:color w:val="000000" w:themeColor="text1"/>
          <w:lang w:val="es-ES_tradnl" w:eastAsia="es-ES_tradnl"/>
        </w:rPr>
        <w:t xml:space="preserve">Por su parte, el artículo 1º de la Ley 80 de 1993 –Estatuto General de Contratación de la Administración Pública, en adelante EGCAP–, determina que su objetivo es disponer de reglas y principios que rigen los </w:t>
      </w:r>
      <w:r w:rsidRPr="00003608">
        <w:rPr>
          <w:rFonts w:ascii="Verdana" w:eastAsia="Arial" w:hAnsi="Verdana" w:cs="Arial"/>
          <w:i/>
          <w:iCs/>
          <w:color w:val="000000" w:themeColor="text1"/>
          <w:u w:val="single"/>
          <w:lang w:val="es-ES_tradnl" w:eastAsia="es-ES_tradnl"/>
        </w:rPr>
        <w:t xml:space="preserve">contratos </w:t>
      </w:r>
      <w:r w:rsidRPr="00A068FC">
        <w:rPr>
          <w:rFonts w:ascii="Verdana" w:eastAsia="Arial" w:hAnsi="Verdana" w:cs="Arial"/>
          <w:color w:val="000000" w:themeColor="text1"/>
          <w:lang w:val="es-ES_tradnl" w:eastAsia="es-ES_tradnl"/>
        </w:rPr>
        <w:t xml:space="preserve">de las Entidades Estatales y, en ese sentido, el artículo 32 </w:t>
      </w:r>
      <w:r w:rsidRPr="00A068FC">
        <w:rPr>
          <w:rFonts w:ascii="Verdana" w:eastAsia="Arial" w:hAnsi="Verdana" w:cs="Arial"/>
          <w:i/>
          <w:iCs/>
          <w:color w:val="000000" w:themeColor="text1"/>
          <w:lang w:val="es-ES_tradnl" w:eastAsia="es-ES_tradnl"/>
        </w:rPr>
        <w:t>ibidem</w:t>
      </w:r>
      <w:r w:rsidRPr="00A068FC">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r>
        <w:rPr>
          <w:rFonts w:ascii="Verdana" w:eastAsia="Arial" w:hAnsi="Verdana" w:cs="Arial"/>
          <w:color w:val="000000" w:themeColor="text1"/>
          <w:lang w:val="es-ES_tradnl" w:eastAsia="es-ES_tradnl"/>
        </w:rPr>
        <w:t xml:space="preserve">En este sentido las obligaciones que establece el ordenamiento jurídico para quienes celebran contratos estatales no se predican de las autorizaciones que otorgue la entidad municipal mediante acto administrativo para el aprovechamiento económico del espacio público. </w:t>
      </w:r>
    </w:p>
    <w:p w14:paraId="5BD91B51" w14:textId="77777777" w:rsidR="001A19CD" w:rsidRPr="00A068FC" w:rsidRDefault="001A19CD" w:rsidP="001A19CD">
      <w:pPr>
        <w:widowControl w:val="0"/>
        <w:autoSpaceDE w:val="0"/>
        <w:autoSpaceDN w:val="0"/>
        <w:spacing w:after="0" w:line="276" w:lineRule="auto"/>
        <w:ind w:firstLine="708"/>
        <w:jc w:val="both"/>
        <w:rPr>
          <w:rFonts w:ascii="Verdana" w:eastAsia="Arial" w:hAnsi="Verdana" w:cs="Arial"/>
          <w:color w:val="000000" w:themeColor="text1"/>
          <w:lang w:val="es-ES_tradnl" w:eastAsia="es-ES_tradnl"/>
        </w:rPr>
      </w:pPr>
      <w:r>
        <w:rPr>
          <w:rFonts w:ascii="Verdana" w:eastAsia="Arial" w:hAnsi="Verdana" w:cs="Arial"/>
          <w:color w:val="000000" w:themeColor="text1"/>
          <w:lang w:val="es-ES_tradnl" w:eastAsia="es-ES_tradnl"/>
        </w:rPr>
        <w:t>Otro es el escenario cuando el mecanismo adoptado por la entidad para lo anterior sea la celebración de un contrato estatal. Como se dijo antes, aunque los contratos celebrados por las entidades para el aprovechamiento del espacio público sean atípicos, no por ello pierden la naturaleza de contratos estatales.</w:t>
      </w:r>
      <w:bookmarkStart w:id="3" w:name="_Hlk150759794"/>
      <w:r>
        <w:rPr>
          <w:rFonts w:ascii="Verdana" w:eastAsia="Arial" w:hAnsi="Verdana" w:cs="Arial"/>
          <w:color w:val="000000" w:themeColor="text1"/>
          <w:lang w:val="es-ES_tradnl" w:eastAsia="es-ES_tradnl"/>
        </w:rPr>
        <w:t xml:space="preserve"> Esto se debe a que para la configuración de un </w:t>
      </w:r>
      <w:r w:rsidRPr="00A068FC">
        <w:rPr>
          <w:rFonts w:ascii="Verdana" w:eastAsia="Arial" w:hAnsi="Verdana" w:cs="Arial"/>
          <w:color w:val="000000" w:themeColor="text1"/>
          <w:lang w:val="es-ES_tradnl" w:eastAsia="es-ES_tradnl"/>
        </w:rPr>
        <w:t>contrato estatal basta con que una de las entidades que enumera el artículo 2º de la Ley 80 de 1993</w:t>
      </w:r>
      <w:r w:rsidRPr="00A068FC">
        <w:rPr>
          <w:rFonts w:ascii="Verdana" w:eastAsia="Arial" w:hAnsi="Verdana" w:cs="Arial"/>
          <w:color w:val="000000" w:themeColor="text1"/>
          <w:vertAlign w:val="superscript"/>
          <w:lang w:val="es-ES_tradnl" w:eastAsia="es-ES_tradnl"/>
        </w:rPr>
        <w:footnoteReference w:id="7"/>
      </w:r>
      <w:r w:rsidRPr="00A068FC">
        <w:rPr>
          <w:rFonts w:ascii="Verdana" w:eastAsia="Arial" w:hAnsi="Verdana" w:cs="Arial"/>
          <w:color w:val="000000" w:themeColor="text1"/>
          <w:lang w:val="es-ES_tradnl" w:eastAsia="es-ES_tradnl"/>
        </w:rPr>
        <w:t xml:space="preserve"> sea una de las partes, </w:t>
      </w:r>
      <w:r w:rsidRPr="00003608">
        <w:rPr>
          <w:rFonts w:ascii="Verdana" w:eastAsia="Arial" w:hAnsi="Verdana" w:cs="Arial"/>
          <w:i/>
          <w:iCs/>
          <w:color w:val="000000" w:themeColor="text1"/>
          <w:lang w:val="es-ES_tradnl" w:eastAsia="es-ES_tradnl"/>
        </w:rPr>
        <w:t>sin importar el extremo de la relación jurídico negocial que</w:t>
      </w:r>
      <w:r w:rsidRPr="00003608">
        <w:rPr>
          <w:rFonts w:ascii="Verdana" w:eastAsia="Arial" w:hAnsi="Verdana" w:cs="Arial"/>
          <w:i/>
          <w:iCs/>
          <w:color w:val="000000" w:themeColor="text1"/>
          <w:spacing w:val="-14"/>
          <w:lang w:val="es-ES_tradnl" w:eastAsia="es-ES_tradnl"/>
        </w:rPr>
        <w:t xml:space="preserve"> </w:t>
      </w:r>
      <w:r w:rsidRPr="00003608">
        <w:rPr>
          <w:rFonts w:ascii="Verdana" w:eastAsia="Arial" w:hAnsi="Verdana" w:cs="Arial"/>
          <w:i/>
          <w:iCs/>
          <w:color w:val="000000" w:themeColor="text1"/>
          <w:lang w:val="es-ES_tradnl" w:eastAsia="es-ES_tradnl"/>
        </w:rPr>
        <w:t>asuma</w:t>
      </w:r>
      <w:r w:rsidRPr="00A068FC">
        <w:rPr>
          <w:rFonts w:ascii="Verdana" w:eastAsia="Arial" w:hAnsi="Verdana" w:cs="Arial"/>
          <w:color w:val="000000" w:themeColor="text1"/>
          <w:lang w:val="es-ES_tradnl" w:eastAsia="es-ES_tradnl"/>
        </w:rPr>
        <w:t>. Al respecto, el Consejo de Estado ha sostenido que el criterio definitorio de un contrato estatal es que haya sido celebrado por una Entidad Estatal</w:t>
      </w:r>
      <w:bookmarkEnd w:id="3"/>
      <w:r w:rsidRPr="00A068FC">
        <w:rPr>
          <w:rFonts w:ascii="Verdana" w:eastAsia="Arial" w:hAnsi="Verdana" w:cs="Arial"/>
          <w:color w:val="000000" w:themeColor="text1"/>
          <w:lang w:val="es-ES_tradnl" w:eastAsia="es-ES_tradnl"/>
        </w:rPr>
        <w:t>:</w:t>
      </w:r>
    </w:p>
    <w:p w14:paraId="32F9D1D0" w14:textId="77777777" w:rsidR="001A19CD" w:rsidRPr="00A068FC" w:rsidRDefault="001A19CD" w:rsidP="001A19CD">
      <w:pPr>
        <w:widowControl w:val="0"/>
        <w:autoSpaceDE w:val="0"/>
        <w:autoSpaceDN w:val="0"/>
        <w:spacing w:after="0" w:line="276" w:lineRule="auto"/>
        <w:ind w:firstLine="261"/>
        <w:contextualSpacing/>
        <w:jc w:val="both"/>
        <w:rPr>
          <w:rFonts w:ascii="Verdana" w:eastAsia="Arial" w:hAnsi="Verdana" w:cs="Arial"/>
          <w:color w:val="000000" w:themeColor="text1"/>
          <w:lang w:val="es-ES_tradnl" w:eastAsia="es-ES_tradnl"/>
        </w:rPr>
      </w:pPr>
    </w:p>
    <w:p w14:paraId="34F2D4CE" w14:textId="77777777" w:rsidR="001A19CD" w:rsidRPr="00A068FC" w:rsidRDefault="001A19CD" w:rsidP="001A19CD">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sz w:val="20"/>
          <w:szCs w:val="20"/>
          <w:lang w:val="es-ES_tradnl" w:eastAsia="es-ES_tradnl"/>
        </w:rPr>
      </w:pPr>
      <w:r w:rsidRPr="00A068FC">
        <w:rPr>
          <w:rFonts w:ascii="Verdana" w:eastAsia="Arial" w:hAnsi="Verdana" w:cs="Arial"/>
          <w:color w:val="000000" w:themeColor="text1"/>
          <w:sz w:val="20"/>
          <w:szCs w:val="20"/>
          <w:lang w:val="es-ES_tradnl" w:eastAsia="es-ES_tradnl"/>
        </w:rPr>
        <w:t xml:space="preserve">“Nótese cómo, elemento esencial para calificar de estatal un contrato, es que haya sido celebrado por una entidad estatal, es decir, una entidad pública con capacidad legal para celebrarlo. Dicho de otro modo, no </w:t>
      </w:r>
      <w:r w:rsidRPr="00A068FC">
        <w:rPr>
          <w:rFonts w:ascii="Verdana" w:eastAsia="Arial" w:hAnsi="Verdana" w:cs="Arial"/>
          <w:color w:val="000000" w:themeColor="text1"/>
          <w:sz w:val="20"/>
          <w:szCs w:val="20"/>
          <w:lang w:val="es-ES_tradnl" w:eastAsia="es-ES_tradnl"/>
        </w:rPr>
        <w:lastRenderedPageBreak/>
        <w:t>existen contratos estatales celebrados entre particulares, ni siquiera cuando éstos han sido habilitados legalmente para el ejercicio de funciones</w:t>
      </w:r>
      <w:r w:rsidRPr="00A068FC">
        <w:rPr>
          <w:rFonts w:ascii="Verdana" w:eastAsia="Arial" w:hAnsi="Verdana" w:cs="Arial"/>
          <w:color w:val="000000" w:themeColor="text1"/>
          <w:spacing w:val="-4"/>
          <w:sz w:val="20"/>
          <w:szCs w:val="20"/>
          <w:lang w:val="es-ES_tradnl" w:eastAsia="es-ES_tradnl"/>
        </w:rPr>
        <w:t xml:space="preserve"> </w:t>
      </w:r>
      <w:r w:rsidRPr="00A068FC">
        <w:rPr>
          <w:rFonts w:ascii="Verdana" w:eastAsia="Arial" w:hAnsi="Verdana" w:cs="Arial"/>
          <w:color w:val="000000" w:themeColor="text1"/>
          <w:sz w:val="20"/>
          <w:szCs w:val="20"/>
          <w:lang w:val="es-ES_tradnl" w:eastAsia="es-ES_tradnl"/>
        </w:rPr>
        <w:t>públicas”</w:t>
      </w:r>
      <w:r w:rsidRPr="00A068FC">
        <w:rPr>
          <w:rFonts w:ascii="Verdana" w:eastAsia="Arial" w:hAnsi="Verdana" w:cs="Arial"/>
          <w:color w:val="000000" w:themeColor="text1"/>
          <w:sz w:val="20"/>
          <w:szCs w:val="20"/>
          <w:vertAlign w:val="superscript"/>
          <w:lang w:val="es-ES_tradnl" w:eastAsia="es-ES_tradnl"/>
        </w:rPr>
        <w:footnoteReference w:id="8"/>
      </w:r>
      <w:r w:rsidRPr="00A068FC">
        <w:rPr>
          <w:rFonts w:ascii="Verdana" w:eastAsia="Arial" w:hAnsi="Verdana" w:cs="Arial"/>
          <w:color w:val="000000" w:themeColor="text1"/>
          <w:sz w:val="20"/>
          <w:szCs w:val="20"/>
          <w:lang w:val="es-ES_tradnl" w:eastAsia="es-ES_tradnl"/>
        </w:rPr>
        <w:t>.</w:t>
      </w:r>
    </w:p>
    <w:p w14:paraId="62DABE2C" w14:textId="77777777" w:rsidR="001A19CD" w:rsidRPr="00A068FC" w:rsidRDefault="001A19CD" w:rsidP="001A19CD">
      <w:pPr>
        <w:widowControl w:val="0"/>
        <w:autoSpaceDE w:val="0"/>
        <w:autoSpaceDN w:val="0"/>
        <w:spacing w:after="0" w:line="276" w:lineRule="auto"/>
        <w:contextualSpacing/>
        <w:jc w:val="both"/>
        <w:rPr>
          <w:rFonts w:ascii="Verdana" w:eastAsia="Arial" w:hAnsi="Verdana" w:cs="Arial"/>
          <w:color w:val="000000" w:themeColor="text1"/>
          <w:lang w:val="es-ES_tradnl" w:eastAsia="es-ES_tradnl"/>
        </w:rPr>
      </w:pPr>
    </w:p>
    <w:p w14:paraId="7CBE87EE" w14:textId="77777777" w:rsidR="001A19CD" w:rsidRPr="00A068FC" w:rsidRDefault="001A19CD" w:rsidP="001A19CD">
      <w:pPr>
        <w:widowControl w:val="0"/>
        <w:autoSpaceDE w:val="0"/>
        <w:autoSpaceDN w:val="0"/>
        <w:spacing w:after="120" w:line="276" w:lineRule="auto"/>
        <w:ind w:firstLine="607"/>
        <w:jc w:val="both"/>
        <w:rPr>
          <w:rFonts w:ascii="Verdana" w:eastAsia="Arial" w:hAnsi="Verdana" w:cs="Arial"/>
          <w:color w:val="000000" w:themeColor="text1"/>
          <w:lang w:val="es-ES_tradnl" w:eastAsia="es-ES_tradnl"/>
        </w:rPr>
      </w:pPr>
      <w:r w:rsidRPr="00A068FC">
        <w:rPr>
          <w:rFonts w:ascii="Verdana" w:eastAsia="Arial" w:hAnsi="Verdana" w:cs="Arial"/>
          <w:color w:val="000000" w:themeColor="text1"/>
          <w:lang w:val="es-ES_tradnl" w:eastAsia="es-ES_tradnl"/>
        </w:rPr>
        <w:t xml:space="preserve">Así pues, el contrato estatal es el acto jurídico creador de obligaciones en cuya celebración concurre una Entidad Estatal,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4" w:name="_Hlk150759930"/>
      <w:r w:rsidRPr="00A068FC">
        <w:rPr>
          <w:rFonts w:ascii="Verdana" w:eastAsia="Arial" w:hAnsi="Verdana" w:cs="Arial"/>
          <w:color w:val="000000" w:themeColor="text1"/>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A068FC">
        <w:rPr>
          <w:rFonts w:ascii="Verdana" w:eastAsia="Arial" w:hAnsi="Verdana" w:cs="Arial"/>
          <w:color w:val="000000" w:themeColor="text1"/>
          <w:vertAlign w:val="superscript"/>
          <w:lang w:val="es-ES_tradnl" w:eastAsia="es-ES_tradnl"/>
        </w:rPr>
        <w:footnoteReference w:id="9"/>
      </w:r>
      <w:r w:rsidRPr="00A068FC">
        <w:rPr>
          <w:rFonts w:ascii="Verdana" w:eastAsia="Arial" w:hAnsi="Verdana" w:cs="Arial"/>
          <w:color w:val="000000" w:themeColor="text1"/>
          <w:lang w:val="es-ES_tradnl" w:eastAsia="es-ES_tradnl"/>
        </w:rPr>
        <w:t>, con independencia del régimen de derecho aplicable.</w:t>
      </w:r>
    </w:p>
    <w:bookmarkEnd w:id="4"/>
    <w:p w14:paraId="3471AF85" w14:textId="77777777" w:rsidR="001A19CD" w:rsidRPr="00A068FC" w:rsidRDefault="001A19CD" w:rsidP="001A19CD">
      <w:pPr>
        <w:widowControl w:val="0"/>
        <w:autoSpaceDE w:val="0"/>
        <w:autoSpaceDN w:val="0"/>
        <w:spacing w:after="0" w:line="276" w:lineRule="auto"/>
        <w:ind w:firstLine="607"/>
        <w:jc w:val="both"/>
        <w:rPr>
          <w:rFonts w:ascii="Verdana" w:eastAsia="Arial" w:hAnsi="Verdana" w:cs="Arial"/>
          <w:color w:val="000000" w:themeColor="text1"/>
          <w:lang w:eastAsia="es-ES_tradnl"/>
        </w:rPr>
      </w:pPr>
      <w:r w:rsidRPr="00A068FC">
        <w:rPr>
          <w:rFonts w:ascii="Verdana" w:eastAsia="Arial" w:hAnsi="Verdana" w:cs="Arial"/>
          <w:color w:val="000000" w:themeColor="text1"/>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A068FC">
        <w:rPr>
          <w:rFonts w:ascii="Verdana" w:eastAsia="Arial" w:hAnsi="Verdana" w:cs="Arial"/>
          <w:lang w:eastAsia="es-ES_tradnl"/>
        </w:rPr>
        <w:t xml:space="preserve"> </w:t>
      </w:r>
      <w:r w:rsidRPr="00A068FC">
        <w:rPr>
          <w:rFonts w:ascii="Verdana" w:eastAsia="Arial" w:hAnsi="Verdana" w:cs="Arial"/>
          <w:color w:val="000000" w:themeColor="text1"/>
          <w:lang w:eastAsia="es-ES_tradnl"/>
        </w:rPr>
        <w:t>bajo la égida del contrato estatal, caracterizado por tener un régimen jurídico mixto, integrado por normas de derecho público y derecho privado”</w:t>
      </w:r>
      <w:r w:rsidRPr="00A068FC">
        <w:rPr>
          <w:rFonts w:ascii="Verdana" w:eastAsia="Arial" w:hAnsi="Verdana" w:cs="Arial"/>
          <w:color w:val="000000" w:themeColor="text1"/>
          <w:vertAlign w:val="superscript"/>
          <w:lang w:eastAsia="es-ES_tradnl"/>
        </w:rPr>
        <w:footnoteReference w:id="10"/>
      </w:r>
      <w:r w:rsidRPr="00A068FC">
        <w:rPr>
          <w:rFonts w:ascii="Verdana" w:eastAsia="Arial" w:hAnsi="Verdana" w:cs="Arial"/>
          <w:color w:val="000000" w:themeColor="text1"/>
          <w:lang w:eastAsia="es-ES_tradnl"/>
        </w:rPr>
        <w:t xml:space="preserve">. En armonía con lo anterior, la Sala de Consulta y Servicio Civil del Consejo de Estado, expresó que, </w:t>
      </w:r>
      <w:r w:rsidRPr="00A068FC">
        <w:rPr>
          <w:rFonts w:ascii="Verdana" w:eastAsia="Arial" w:hAnsi="Verdana" w:cs="Arial"/>
          <w:iCs/>
          <w:color w:val="000000" w:themeColor="text1"/>
          <w:lang w:eastAsia="es-ES_tradnl"/>
        </w:rPr>
        <w:t>en tal virtud, p</w:t>
      </w:r>
      <w:r w:rsidRPr="00A068FC">
        <w:rPr>
          <w:rFonts w:ascii="Verdana" w:eastAsia="Arial" w:hAnsi="Verdana" w:cs="Arial"/>
          <w:color w:val="000000" w:themeColor="text1"/>
          <w:lang w:eastAsia="es-ES_tradnl"/>
        </w:rPr>
        <w:t>or regla general:</w:t>
      </w:r>
    </w:p>
    <w:p w14:paraId="0867571D" w14:textId="77777777" w:rsidR="001A19CD" w:rsidRPr="00A068FC" w:rsidRDefault="001A19CD" w:rsidP="001A19CD">
      <w:pPr>
        <w:widowControl w:val="0"/>
        <w:autoSpaceDE w:val="0"/>
        <w:autoSpaceDN w:val="0"/>
        <w:spacing w:after="0" w:line="276" w:lineRule="auto"/>
        <w:ind w:firstLine="607"/>
        <w:jc w:val="both"/>
        <w:rPr>
          <w:rFonts w:ascii="Verdana" w:eastAsia="Arial" w:hAnsi="Verdana" w:cs="Arial"/>
          <w:color w:val="000000" w:themeColor="text1"/>
          <w:lang w:eastAsia="es-ES_tradnl"/>
        </w:rPr>
      </w:pPr>
    </w:p>
    <w:p w14:paraId="7F85A62F" w14:textId="77777777" w:rsidR="001A19CD" w:rsidRPr="003E6340" w:rsidRDefault="001A19CD" w:rsidP="001A19CD">
      <w:pPr>
        <w:widowControl w:val="0"/>
        <w:autoSpaceDE w:val="0"/>
        <w:autoSpaceDN w:val="0"/>
        <w:spacing w:after="0" w:line="240" w:lineRule="auto"/>
        <w:ind w:left="709" w:right="709"/>
        <w:contextualSpacing/>
        <w:jc w:val="both"/>
        <w:rPr>
          <w:rFonts w:ascii="Verdana" w:eastAsia="Arial" w:hAnsi="Verdana" w:cs="Arial"/>
          <w:b/>
          <w:color w:val="000000" w:themeColor="text1"/>
          <w:sz w:val="20"/>
          <w:szCs w:val="20"/>
          <w:lang w:eastAsia="es-ES_tradnl"/>
        </w:rPr>
      </w:pPr>
      <w:r w:rsidRPr="003E6340">
        <w:rPr>
          <w:rFonts w:ascii="Verdana" w:eastAsia="Arial" w:hAnsi="Verdana" w:cs="Arial"/>
          <w:color w:val="000000" w:themeColor="text1"/>
          <w:sz w:val="20"/>
          <w:szCs w:val="20"/>
          <w:lang w:eastAsia="es-ES_tradnl"/>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w:t>
      </w:r>
      <w:r w:rsidRPr="003E6340">
        <w:rPr>
          <w:rFonts w:ascii="Verdana" w:eastAsia="Arial" w:hAnsi="Verdana" w:cs="Arial"/>
          <w:color w:val="000000" w:themeColor="text1"/>
          <w:sz w:val="20"/>
          <w:szCs w:val="20"/>
          <w:lang w:eastAsia="es-ES_tradnl"/>
        </w:rPr>
        <w:lastRenderedPageBreak/>
        <w:t>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3E6340">
        <w:rPr>
          <w:rFonts w:ascii="Verdana" w:eastAsia="Arial" w:hAnsi="Verdana" w:cs="Arial"/>
          <w:color w:val="000000" w:themeColor="text1"/>
          <w:sz w:val="20"/>
          <w:szCs w:val="20"/>
          <w:vertAlign w:val="superscript"/>
          <w:lang w:eastAsia="es-ES_tradnl"/>
        </w:rPr>
        <w:footnoteReference w:id="11"/>
      </w:r>
      <w:r w:rsidRPr="003E6340">
        <w:rPr>
          <w:rFonts w:ascii="Verdana" w:eastAsia="Arial" w:hAnsi="Verdana" w:cs="Arial"/>
          <w:color w:val="000000" w:themeColor="text1"/>
          <w:sz w:val="20"/>
          <w:szCs w:val="20"/>
          <w:lang w:eastAsia="es-ES_tradnl"/>
        </w:rPr>
        <w:t>.</w:t>
      </w:r>
      <w:r w:rsidRPr="003E6340">
        <w:rPr>
          <w:rFonts w:ascii="Verdana" w:eastAsia="Arial" w:hAnsi="Verdana" w:cs="Arial"/>
          <w:b/>
          <w:color w:val="000000" w:themeColor="text1"/>
          <w:sz w:val="20"/>
          <w:szCs w:val="20"/>
          <w:lang w:eastAsia="es-ES_tradnl"/>
        </w:rPr>
        <w:t xml:space="preserve"> </w:t>
      </w:r>
    </w:p>
    <w:p w14:paraId="4545512F" w14:textId="77777777" w:rsidR="001A19CD" w:rsidRDefault="001A19CD" w:rsidP="001A19CD">
      <w:pPr>
        <w:spacing w:after="120" w:line="276" w:lineRule="auto"/>
        <w:ind w:firstLine="709"/>
        <w:jc w:val="both"/>
        <w:rPr>
          <w:rFonts w:ascii="Verdana" w:eastAsia="Calibri" w:hAnsi="Verdana" w:cs="Arial"/>
          <w:color w:val="000000" w:themeColor="text1"/>
        </w:rPr>
      </w:pPr>
    </w:p>
    <w:p w14:paraId="0F485883" w14:textId="77777777" w:rsidR="001A19CD" w:rsidRPr="00A068FC" w:rsidRDefault="001A19CD" w:rsidP="001A19CD">
      <w:pPr>
        <w:spacing w:after="120" w:line="276" w:lineRule="auto"/>
        <w:ind w:firstLine="709"/>
        <w:jc w:val="both"/>
        <w:rPr>
          <w:rFonts w:ascii="Verdana" w:eastAsia="Calibri" w:hAnsi="Verdana" w:cs="Arial"/>
          <w:lang w:eastAsia="es-ES_tradnl"/>
        </w:rPr>
      </w:pPr>
      <w:bookmarkStart w:id="5" w:name="_Hlk121750642"/>
      <w:r w:rsidRPr="00A068FC">
        <w:rPr>
          <w:rFonts w:ascii="Verdana" w:eastAsia="Times New Roman" w:hAnsi="Verdana" w:cs="Arial"/>
          <w:color w:val="000000" w:themeColor="text1"/>
          <w:lang w:eastAsia="es-ES_tradnl"/>
        </w:rPr>
        <w:t xml:space="preserve">Ahora bien, teniendo en cuenta el objeto de su consulta, es preciso mencionar que las </w:t>
      </w:r>
      <w:r w:rsidRPr="00A068FC">
        <w:rPr>
          <w:rFonts w:ascii="Verdana" w:eastAsia="Calibri" w:hAnsi="Verdana" w:cs="Arial"/>
          <w:lang w:eastAsia="es-ES_tradnl"/>
        </w:rPr>
        <w:t xml:space="preserve">Entidades Estatales regidas por el EGCAP están habilitadas para celebrar los contratos que suelen celebrar los particulares entre sí –como </w:t>
      </w:r>
      <w:r>
        <w:rPr>
          <w:rFonts w:ascii="Verdana" w:eastAsia="Calibri" w:hAnsi="Verdana" w:cs="Arial"/>
          <w:lang w:eastAsia="es-ES_tradnl"/>
        </w:rPr>
        <w:t xml:space="preserve">el de aprovechamiento </w:t>
      </w:r>
      <w:r w:rsidRPr="00A068FC">
        <w:rPr>
          <w:rFonts w:ascii="Verdana" w:eastAsia="Calibri" w:hAnsi="Verdana" w:cs="Arial"/>
          <w:lang w:eastAsia="es-ES_tradnl"/>
        </w:rPr>
        <w:t xml:space="preserve">de </w:t>
      </w:r>
      <w:r>
        <w:rPr>
          <w:rFonts w:ascii="Verdana" w:eastAsia="Calibri" w:hAnsi="Verdana" w:cs="Arial"/>
          <w:lang w:eastAsia="es-ES_tradnl"/>
        </w:rPr>
        <w:t>espacio público</w:t>
      </w:r>
      <w:r w:rsidRPr="00A068FC">
        <w:rPr>
          <w:rFonts w:ascii="Verdana" w:eastAsia="Calibri" w:hAnsi="Verdana" w:cs="Arial"/>
          <w:lang w:eastAsia="es-ES_tradnl"/>
        </w:rPr>
        <w:t xml:space="preserve">– en ejercicio de la autonomía de la voluntad privada. En ese sentido, puede ocurrir que dentro de la gestión ordinaria de sus competencias las entidades tengan necesidades que deban ser satisfechas a través de contratos como el </w:t>
      </w:r>
      <w:r>
        <w:rPr>
          <w:rFonts w:ascii="Verdana" w:eastAsia="Calibri" w:hAnsi="Verdana" w:cs="Arial"/>
          <w:lang w:eastAsia="es-ES_tradnl"/>
        </w:rPr>
        <w:t xml:space="preserve">de concesión, </w:t>
      </w:r>
      <w:r w:rsidRPr="00A068FC">
        <w:rPr>
          <w:rFonts w:ascii="Verdana" w:eastAsia="Calibri" w:hAnsi="Verdana" w:cs="Arial"/>
          <w:lang w:eastAsia="es-ES_tradnl"/>
        </w:rPr>
        <w:t xml:space="preserve">arrendamiento, comodato o administración, en los que además de las disposiciones del EGCAP deberán aplicarse en su mayoría normas de derecho privado, lo que de ninguna manera desvirtúa la calidad de estatal de dichos contratos. </w:t>
      </w:r>
    </w:p>
    <w:bookmarkEnd w:id="5"/>
    <w:p w14:paraId="6578444C" w14:textId="77777777" w:rsidR="001A19CD" w:rsidRPr="00A068FC" w:rsidRDefault="001A19CD" w:rsidP="001A19CD">
      <w:pPr>
        <w:spacing w:after="120" w:line="276" w:lineRule="auto"/>
        <w:ind w:firstLine="709"/>
        <w:jc w:val="both"/>
        <w:rPr>
          <w:rFonts w:ascii="Verdana" w:eastAsia="Calibri" w:hAnsi="Verdana" w:cs="Arial"/>
          <w:lang w:eastAsia="es-ES_tradnl"/>
        </w:rPr>
      </w:pPr>
      <w:r>
        <w:rPr>
          <w:rFonts w:ascii="Verdana" w:eastAsia="Calibri" w:hAnsi="Verdana" w:cs="Arial"/>
          <w:lang w:eastAsia="es-ES_tradnl"/>
        </w:rPr>
        <w:t xml:space="preserve">Por otra parte, la calidad del </w:t>
      </w:r>
      <w:r w:rsidRPr="00A068FC">
        <w:rPr>
          <w:rFonts w:ascii="Verdana" w:eastAsia="Calibri" w:hAnsi="Verdana" w:cs="Arial"/>
          <w:lang w:eastAsia="es-ES_tradnl"/>
        </w:rPr>
        <w:t>contrato estatal tampoco depende de que la relación contractual implique o no la erogación de recursos públicos,</w:t>
      </w:r>
      <w:r>
        <w:rPr>
          <w:rFonts w:ascii="Verdana" w:eastAsia="Calibri" w:hAnsi="Verdana" w:cs="Arial"/>
          <w:lang w:eastAsia="es-ES_tradnl"/>
        </w:rPr>
        <w:t xml:space="preserve"> o que la entidad sea acreedora o deudora de una contraprestación,</w:t>
      </w:r>
      <w:r w:rsidRPr="00A068FC">
        <w:rPr>
          <w:rFonts w:ascii="Verdana" w:eastAsia="Calibri" w:hAnsi="Verdana" w:cs="Arial"/>
          <w:lang w:eastAsia="es-ES_tradnl"/>
        </w:rPr>
        <w:t xml:space="preserve">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51E105FA" w14:textId="77777777" w:rsidR="001A19CD" w:rsidRDefault="001A19CD" w:rsidP="001A19CD">
      <w:pPr>
        <w:widowControl w:val="0"/>
        <w:autoSpaceDE w:val="0"/>
        <w:autoSpaceDN w:val="0"/>
        <w:spacing w:after="120" w:line="276" w:lineRule="auto"/>
        <w:ind w:firstLine="709"/>
        <w:jc w:val="both"/>
        <w:rPr>
          <w:rFonts w:ascii="Verdana" w:eastAsia="Arial" w:hAnsi="Verdana" w:cs="Arial"/>
          <w:color w:val="000000"/>
          <w:szCs w:val="24"/>
          <w:lang w:val="es-ES" w:eastAsia="es-ES_tradnl"/>
        </w:rPr>
      </w:pPr>
      <w:r>
        <w:rPr>
          <w:rFonts w:ascii="Verdana" w:eastAsia="Arial" w:hAnsi="Verdana" w:cs="Arial"/>
          <w:color w:val="000000"/>
          <w:szCs w:val="24"/>
          <w:lang w:val="es-ES" w:eastAsia="es-ES_tradnl"/>
        </w:rPr>
        <w:t xml:space="preserve">De esta forma, </w:t>
      </w:r>
      <w:r w:rsidRPr="00A068FC">
        <w:rPr>
          <w:rFonts w:ascii="Verdana" w:eastAsia="Arial" w:hAnsi="Verdana" w:cs="Arial"/>
          <w:color w:val="000000"/>
          <w:szCs w:val="24"/>
          <w:lang w:val="es-ES" w:eastAsia="es-ES_tradnl"/>
        </w:rPr>
        <w:t>si bien la regla general en la contratación pública es que la entidad se presenta como el comprador de un bien o servicio –lo que en el mercado usualmente representa la demanda–</w:t>
      </w:r>
      <w:r>
        <w:rPr>
          <w:rFonts w:ascii="Verdana" w:eastAsia="Arial" w:hAnsi="Verdana" w:cs="Arial"/>
          <w:color w:val="000000"/>
          <w:szCs w:val="24"/>
          <w:lang w:val="es-ES" w:eastAsia="es-ES_tradnl"/>
        </w:rPr>
        <w:t>,</w:t>
      </w:r>
      <w:r w:rsidRPr="00A068FC">
        <w:rPr>
          <w:rFonts w:ascii="Verdana" w:eastAsia="Arial" w:hAnsi="Verdana" w:cs="Arial"/>
          <w:color w:val="000000"/>
          <w:szCs w:val="24"/>
          <w:lang w:val="es-ES" w:eastAsia="es-ES_tradnl"/>
        </w:rPr>
        <w:t xml:space="preserve"> ello no obsta para que algunas entidades asuman la posición del vendedor u oferente de bienes o el prestador de servicios</w:t>
      </w:r>
      <w:r>
        <w:rPr>
          <w:rFonts w:ascii="Verdana" w:eastAsia="Arial" w:hAnsi="Verdana" w:cs="Arial"/>
          <w:color w:val="000000"/>
          <w:szCs w:val="24"/>
          <w:lang w:val="es-ES" w:eastAsia="es-ES_tradnl"/>
        </w:rPr>
        <w:t>, supuesto en el cual podrá ser la entidad quien reciba el pago de una contraprestación o retribución</w:t>
      </w:r>
      <w:r w:rsidRPr="00A068FC">
        <w:rPr>
          <w:rFonts w:ascii="Verdana" w:eastAsia="Arial" w:hAnsi="Verdana" w:cs="Arial"/>
          <w:color w:val="000000"/>
          <w:szCs w:val="24"/>
          <w:lang w:val="es-ES" w:eastAsia="es-ES_tradnl"/>
        </w:rPr>
        <w:t>. En este caso también estaremos en presencia de un contrato estatal.</w:t>
      </w:r>
    </w:p>
    <w:p w14:paraId="40AF3704" w14:textId="77777777" w:rsidR="001A19CD" w:rsidRDefault="001A19CD" w:rsidP="001A19CD">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Arial" w:hAnsi="Verdana" w:cs="Arial"/>
          <w:color w:val="000000"/>
          <w:szCs w:val="24"/>
          <w:lang w:val="es-ES" w:eastAsia="es-ES_tradnl"/>
        </w:rPr>
        <w:lastRenderedPageBreak/>
        <w:t xml:space="preserve">Por lo anterior, es claro que los contratos que celebren </w:t>
      </w:r>
      <w:proofErr w:type="gramStart"/>
      <w:r>
        <w:rPr>
          <w:rFonts w:ascii="Verdana" w:eastAsia="Arial" w:hAnsi="Verdana" w:cs="Arial"/>
          <w:color w:val="000000"/>
          <w:szCs w:val="24"/>
          <w:lang w:val="es-ES" w:eastAsia="es-ES_tradnl"/>
        </w:rPr>
        <w:t>la entidades territoriales</w:t>
      </w:r>
      <w:proofErr w:type="gramEnd"/>
      <w:r>
        <w:rPr>
          <w:rFonts w:ascii="Verdana" w:eastAsia="Arial" w:hAnsi="Verdana" w:cs="Arial"/>
          <w:color w:val="000000"/>
          <w:szCs w:val="24"/>
          <w:lang w:val="es-ES" w:eastAsia="es-ES_tradnl"/>
        </w:rPr>
        <w:t xml:space="preserve"> para la gestión o aprovechamiento del espacio público tienen la naturaleza jurídica de contratos estatales. En este sentido, se encuentran sujetos a este marco jurídico, incluyendo lo que en él se dispone frente al cumplimiento de obligaciones con respecto al Sistema General de Seguridad Social. Esto se evidencia de la redacción misma del citado artículo 50 </w:t>
      </w:r>
      <w:r w:rsidRPr="00B8056D">
        <w:rPr>
          <w:rFonts w:ascii="Verdana" w:eastAsia="Calibri" w:hAnsi="Verdana" w:cs="Arial"/>
          <w:color w:val="000000" w:themeColor="text1"/>
        </w:rPr>
        <w:t>de la Ley 789 de 2002</w:t>
      </w:r>
      <w:r>
        <w:rPr>
          <w:rFonts w:ascii="Verdana" w:eastAsia="Calibri" w:hAnsi="Verdana" w:cs="Arial"/>
          <w:color w:val="000000" w:themeColor="text1"/>
        </w:rPr>
        <w:t>, norma que impone dichas obligaciones para q</w:t>
      </w:r>
      <w:r w:rsidRPr="00B8056D">
        <w:rPr>
          <w:rFonts w:ascii="Verdana" w:eastAsia="Calibri" w:hAnsi="Verdana" w:cs="Arial"/>
          <w:color w:val="000000" w:themeColor="text1"/>
        </w:rPr>
        <w:t xml:space="preserve">uien </w:t>
      </w:r>
      <w:r>
        <w:rPr>
          <w:rFonts w:ascii="Verdana" w:eastAsia="Calibri" w:hAnsi="Verdana" w:cs="Arial"/>
          <w:color w:val="000000" w:themeColor="text1"/>
        </w:rPr>
        <w:t xml:space="preserve">quiera </w:t>
      </w:r>
      <w:r w:rsidRPr="00B8056D">
        <w:rPr>
          <w:rFonts w:ascii="Verdana" w:eastAsia="Calibri" w:hAnsi="Verdana" w:cs="Arial"/>
          <w:color w:val="000000" w:themeColor="text1"/>
        </w:rPr>
        <w:t xml:space="preserve">celebrar, renovar o liquidar </w:t>
      </w:r>
      <w:r>
        <w:rPr>
          <w:rFonts w:ascii="Verdana" w:eastAsia="Calibri" w:hAnsi="Verdana" w:cs="Arial"/>
          <w:color w:val="000000" w:themeColor="text1"/>
        </w:rPr>
        <w:t>“</w:t>
      </w:r>
      <w:r w:rsidRPr="00FC164A">
        <w:rPr>
          <w:rFonts w:ascii="Verdana" w:eastAsia="Calibri" w:hAnsi="Verdana" w:cs="Arial"/>
          <w:i/>
          <w:iCs/>
          <w:color w:val="000000" w:themeColor="text1"/>
          <w:u w:val="single"/>
        </w:rPr>
        <w:t>contratos de cualquier naturaleza</w:t>
      </w:r>
      <w:r>
        <w:rPr>
          <w:rFonts w:ascii="Verdana" w:eastAsia="Calibri" w:hAnsi="Verdana" w:cs="Arial"/>
          <w:i/>
          <w:iCs/>
          <w:color w:val="000000" w:themeColor="text1"/>
          <w:u w:val="single"/>
        </w:rPr>
        <w:t>”</w:t>
      </w:r>
      <w:r w:rsidRPr="00FC164A">
        <w:rPr>
          <w:rFonts w:ascii="Verdana" w:eastAsia="Calibri" w:hAnsi="Verdana" w:cs="Arial"/>
          <w:i/>
          <w:iCs/>
          <w:color w:val="000000" w:themeColor="text1"/>
          <w:u w:val="single"/>
        </w:rPr>
        <w:t xml:space="preserve"> </w:t>
      </w:r>
      <w:r w:rsidRPr="00B37C6F">
        <w:rPr>
          <w:rFonts w:ascii="Verdana" w:eastAsia="Calibri" w:hAnsi="Verdana" w:cs="Arial"/>
          <w:color w:val="000000" w:themeColor="text1"/>
        </w:rPr>
        <w:t>con entidades del sector público</w:t>
      </w:r>
      <w:r>
        <w:rPr>
          <w:rFonts w:ascii="Verdana" w:eastAsia="Calibri" w:hAnsi="Verdana" w:cs="Arial"/>
          <w:color w:val="000000" w:themeColor="text1"/>
        </w:rPr>
        <w:t xml:space="preserve">, lo cual incluye, cualquier tipo de contrato estatal típico o atípico. </w:t>
      </w:r>
    </w:p>
    <w:p w14:paraId="1CDE5D36" w14:textId="77777777" w:rsidR="001A19CD" w:rsidRDefault="001A19CD" w:rsidP="001A19CD">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De esta manera, dado que el artículo 50 ibidem es aplicable a cualquier contrato estatal y que los contratos que celebren las entidades para el aprovechamiento del espacio público tienen esta naturaleza, también en estos las entidades deberán cumplir con la obligación de verificar que el contratista se encuentre al día con </w:t>
      </w:r>
      <w:r w:rsidRPr="004334BA">
        <w:rPr>
          <w:rFonts w:ascii="Verdana" w:eastAsia="Calibri" w:hAnsi="Verdana" w:cs="Arial"/>
          <w:color w:val="000000" w:themeColor="text1"/>
        </w:rPr>
        <w:t>los sistemas de salud, riesgos profesionales, pensiones y aportes a las Cajas de Compensación Familiar, Instituto Colombiano de Bienestar Familiar y Servicio Nacional de Aprendizaje, cuando a ello haya lugar. </w:t>
      </w:r>
    </w:p>
    <w:p w14:paraId="19AAA268" w14:textId="77777777" w:rsidR="001A19CD" w:rsidRDefault="001A19CD" w:rsidP="001A19CD">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Sin embargo, es importante reiterar que en el caso de las personas naturales dicha obligación implica que la entidad debe verificar que el particular se encuentra afiliado, no que ha realizado pagos, al </w:t>
      </w:r>
      <w:r w:rsidRPr="00CF3B97">
        <w:rPr>
          <w:rFonts w:ascii="Verdana" w:eastAsia="Calibri" w:hAnsi="Verdana" w:cs="Arial"/>
          <w:color w:val="000000" w:themeColor="text1"/>
        </w:rPr>
        <w:t xml:space="preserve">Sistema de Seguridad Social Integral. Por otra parte, la norma es clara en señalar que el deber de verificar que el contratista se encuentre al día en estas obligaciones aplica “cuando a ello haya lugar”. Lo anterior se debe a que la obligación de realizar aportes a dicho sistema dependerá </w:t>
      </w:r>
      <w:r>
        <w:rPr>
          <w:rFonts w:ascii="Verdana" w:eastAsia="Calibri" w:hAnsi="Verdana" w:cs="Arial"/>
          <w:color w:val="000000" w:themeColor="text1"/>
        </w:rPr>
        <w:t xml:space="preserve">del tipo de participante en el Sistema de Seguridad Social, como si se trata de un </w:t>
      </w:r>
      <w:r w:rsidRPr="00B90DB8">
        <w:rPr>
          <w:rFonts w:ascii="Verdana" w:eastAsia="Calibri" w:hAnsi="Verdana" w:cs="Arial"/>
          <w:color w:val="000000" w:themeColor="text1"/>
        </w:rPr>
        <w:t>afiliado al régimen contributivo o subsidiado</w:t>
      </w:r>
      <w:r>
        <w:rPr>
          <w:rFonts w:ascii="Verdana" w:eastAsia="Calibri" w:hAnsi="Verdana" w:cs="Arial"/>
          <w:color w:val="000000" w:themeColor="text1"/>
        </w:rPr>
        <w:t>, circunstancia que deberá constar en los documentos del proceso como resultado del cumplimiento del deber de verificación.</w:t>
      </w:r>
    </w:p>
    <w:p w14:paraId="422535B1" w14:textId="13DC1012" w:rsidR="001A19CD" w:rsidRDefault="001A19CD" w:rsidP="001A19CD">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Por ejemplo, </w:t>
      </w:r>
      <w:r w:rsidR="0012555A">
        <w:rPr>
          <w:rFonts w:ascii="Verdana" w:eastAsia="Calibri" w:hAnsi="Verdana" w:cs="Arial"/>
          <w:color w:val="000000" w:themeColor="text1"/>
        </w:rPr>
        <w:t>f</w:t>
      </w:r>
      <w:r>
        <w:rPr>
          <w:rFonts w:ascii="Verdana" w:eastAsia="Calibri" w:hAnsi="Verdana" w:cs="Arial"/>
          <w:color w:val="000000" w:themeColor="text1"/>
        </w:rPr>
        <w:t>rente al</w:t>
      </w:r>
      <w:r>
        <w:rPr>
          <w:rFonts w:ascii="Verdana" w:eastAsia="Arial" w:hAnsi="Verdana" w:cs="Arial"/>
          <w:lang w:val="es-ES"/>
        </w:rPr>
        <w:t xml:space="preserve"> cumplimiento de las obligaciones en materia de seguridad social con respecto a personas registradas en el </w:t>
      </w:r>
      <w:r w:rsidRPr="005223B2">
        <w:rPr>
          <w:rFonts w:ascii="Verdana" w:eastAsia="Arial" w:hAnsi="Verdana" w:cs="Arial"/>
          <w:lang w:val="es-ES"/>
        </w:rPr>
        <w:t>Sistema de Identificación de Potenciales Beneficiarios de Programas Sociales</w:t>
      </w:r>
      <w:r>
        <w:rPr>
          <w:rFonts w:ascii="Verdana" w:eastAsia="Arial" w:hAnsi="Verdana" w:cs="Arial"/>
          <w:lang w:val="es-ES"/>
        </w:rPr>
        <w:t xml:space="preserve"> –Sisbén–, es importante resaltar que uno de los objetivos de este registro es identificar a quienes </w:t>
      </w:r>
      <w:r>
        <w:rPr>
          <w:rFonts w:ascii="Verdana" w:eastAsia="Calibri" w:hAnsi="Verdana" w:cs="Arial"/>
          <w:color w:val="000000" w:themeColor="text1"/>
        </w:rPr>
        <w:t xml:space="preserve">no tienen la capacidad de ser cotizantes en el régimen contributivo de salud. De esta manera, la clasificación en este segmento de la población permite que obtengan diversos beneficios, que pueden incluir el acceso gratuito al sistema de salud. </w:t>
      </w:r>
    </w:p>
    <w:p w14:paraId="28898CD6" w14:textId="77777777" w:rsidR="001A19CD" w:rsidRDefault="001A19CD" w:rsidP="001A19CD">
      <w:pPr>
        <w:widowControl w:val="0"/>
        <w:autoSpaceDE w:val="0"/>
        <w:autoSpaceDN w:val="0"/>
        <w:spacing w:before="120"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lastRenderedPageBreak/>
        <w:t>En efecto, e</w:t>
      </w:r>
      <w:r w:rsidRPr="004635AA">
        <w:rPr>
          <w:rFonts w:ascii="Verdana" w:eastAsia="Calibri" w:hAnsi="Verdana" w:cs="Arial"/>
          <w:color w:val="000000" w:themeColor="text1"/>
        </w:rPr>
        <w:t>l artículo 242 de la </w:t>
      </w:r>
      <w:r w:rsidRPr="002C1601">
        <w:rPr>
          <w:rFonts w:ascii="Verdana" w:eastAsia="Calibri" w:hAnsi="Verdana" w:cs="Arial"/>
          <w:color w:val="000000" w:themeColor="text1"/>
        </w:rPr>
        <w:t>Ley 1955 de 2019</w:t>
      </w:r>
      <w:r>
        <w:rPr>
          <w:rStyle w:val="Refdenotaalpie"/>
          <w:rFonts w:ascii="Verdana" w:eastAsia="Calibri" w:hAnsi="Verdana" w:cs="Arial"/>
          <w:color w:val="000000" w:themeColor="text1"/>
        </w:rPr>
        <w:footnoteReference w:id="12"/>
      </w:r>
      <w:r w:rsidRPr="004635AA">
        <w:rPr>
          <w:rFonts w:ascii="Verdana" w:eastAsia="Calibri" w:hAnsi="Verdana" w:cs="Arial"/>
          <w:color w:val="000000" w:themeColor="text1"/>
        </w:rPr>
        <w:t> </w:t>
      </w:r>
      <w:r>
        <w:rPr>
          <w:rFonts w:ascii="Verdana" w:eastAsia="Calibri" w:hAnsi="Verdana" w:cs="Arial"/>
          <w:color w:val="000000" w:themeColor="text1"/>
        </w:rPr>
        <w:t>señala que</w:t>
      </w:r>
      <w:r w:rsidRPr="004635AA">
        <w:rPr>
          <w:rFonts w:ascii="Verdana" w:eastAsia="Calibri" w:hAnsi="Verdana" w:cs="Arial"/>
          <w:color w:val="000000" w:themeColor="text1"/>
        </w:rPr>
        <w:t xml:space="preserve"> son beneficiarios del régimen subsidiado en el sistema general de seguridad social en salud, las personas </w:t>
      </w:r>
      <w:r>
        <w:rPr>
          <w:rFonts w:ascii="Verdana" w:eastAsia="Calibri" w:hAnsi="Verdana" w:cs="Arial"/>
          <w:color w:val="000000" w:themeColor="text1"/>
        </w:rPr>
        <w:t xml:space="preserve">que no tienen capacidad de </w:t>
      </w:r>
      <w:r w:rsidRPr="004635AA">
        <w:rPr>
          <w:rFonts w:ascii="Verdana" w:eastAsia="Calibri" w:hAnsi="Verdana" w:cs="Arial"/>
          <w:color w:val="000000" w:themeColor="text1"/>
        </w:rPr>
        <w:t xml:space="preserve">pago para asumir el valor total de la cotización que </w:t>
      </w:r>
      <w:r>
        <w:rPr>
          <w:rFonts w:ascii="Verdana" w:eastAsia="Calibri" w:hAnsi="Verdana" w:cs="Arial"/>
          <w:color w:val="000000" w:themeColor="text1"/>
        </w:rPr>
        <w:t xml:space="preserve">representa </w:t>
      </w:r>
      <w:r w:rsidRPr="004635AA">
        <w:rPr>
          <w:rFonts w:ascii="Verdana" w:eastAsia="Calibri" w:hAnsi="Verdana" w:cs="Arial"/>
          <w:color w:val="000000" w:themeColor="text1"/>
        </w:rPr>
        <w:t>la afiliación al régimen contributivo</w:t>
      </w:r>
      <w:r>
        <w:rPr>
          <w:rFonts w:ascii="Verdana" w:eastAsia="Calibri" w:hAnsi="Verdana" w:cs="Arial"/>
          <w:color w:val="000000" w:themeColor="text1"/>
        </w:rPr>
        <w:t>. E</w:t>
      </w:r>
      <w:r w:rsidRPr="004635AA">
        <w:rPr>
          <w:rFonts w:ascii="Verdana" w:eastAsia="Calibri" w:hAnsi="Verdana" w:cs="Arial"/>
          <w:color w:val="000000" w:themeColor="text1"/>
        </w:rPr>
        <w:t xml:space="preserve">n consecuencia, la población </w:t>
      </w:r>
      <w:r>
        <w:rPr>
          <w:rFonts w:ascii="Verdana" w:eastAsia="Calibri" w:hAnsi="Verdana" w:cs="Arial"/>
          <w:color w:val="000000" w:themeColor="text1"/>
        </w:rPr>
        <w:t xml:space="preserve">que sea </w:t>
      </w:r>
      <w:r w:rsidRPr="004635AA">
        <w:rPr>
          <w:rFonts w:ascii="Verdana" w:eastAsia="Calibri" w:hAnsi="Verdana" w:cs="Arial"/>
          <w:color w:val="000000" w:themeColor="text1"/>
        </w:rPr>
        <w:t xml:space="preserve">clasificada como </w:t>
      </w:r>
      <w:r>
        <w:rPr>
          <w:rFonts w:ascii="Verdana" w:eastAsia="Calibri" w:hAnsi="Verdana" w:cs="Arial"/>
          <w:color w:val="000000" w:themeColor="text1"/>
        </w:rPr>
        <w:t>“</w:t>
      </w:r>
      <w:r w:rsidRPr="004635AA">
        <w:rPr>
          <w:rFonts w:ascii="Verdana" w:eastAsia="Calibri" w:hAnsi="Verdana" w:cs="Arial"/>
          <w:color w:val="000000" w:themeColor="text1"/>
        </w:rPr>
        <w:t>pobre o vulnerable</w:t>
      </w:r>
      <w:r>
        <w:rPr>
          <w:rFonts w:ascii="Verdana" w:eastAsia="Calibri" w:hAnsi="Verdana" w:cs="Arial"/>
          <w:color w:val="000000" w:themeColor="text1"/>
        </w:rPr>
        <w:t>”</w:t>
      </w:r>
      <w:r w:rsidRPr="004635AA">
        <w:rPr>
          <w:rFonts w:ascii="Verdana" w:eastAsia="Calibri" w:hAnsi="Verdana" w:cs="Arial"/>
          <w:color w:val="000000" w:themeColor="text1"/>
        </w:rPr>
        <w:t xml:space="preserve"> </w:t>
      </w:r>
      <w:r>
        <w:rPr>
          <w:rFonts w:ascii="Verdana" w:eastAsia="Calibri" w:hAnsi="Verdana" w:cs="Arial"/>
          <w:color w:val="000000" w:themeColor="text1"/>
        </w:rPr>
        <w:t xml:space="preserve">según el Sisbén </w:t>
      </w:r>
      <w:r w:rsidRPr="004635AA">
        <w:rPr>
          <w:rFonts w:ascii="Verdana" w:eastAsia="Calibri" w:hAnsi="Verdana" w:cs="Arial"/>
          <w:color w:val="000000" w:themeColor="text1"/>
        </w:rPr>
        <w:t xml:space="preserve">recibirá subsidio pleno y </w:t>
      </w:r>
      <w:r w:rsidRPr="00957F85">
        <w:rPr>
          <w:rFonts w:ascii="Verdana" w:eastAsia="Calibri" w:hAnsi="Verdana" w:cs="Arial"/>
          <w:i/>
          <w:iCs/>
          <w:color w:val="000000" w:themeColor="text1"/>
        </w:rPr>
        <w:t>no deberá contribuir</w:t>
      </w:r>
      <w:r w:rsidRPr="004635AA">
        <w:rPr>
          <w:rFonts w:ascii="Verdana" w:eastAsia="Calibri" w:hAnsi="Verdana" w:cs="Arial"/>
          <w:color w:val="000000" w:themeColor="text1"/>
        </w:rPr>
        <w:t>. </w:t>
      </w:r>
      <w:r>
        <w:rPr>
          <w:rFonts w:ascii="Verdana" w:eastAsia="Calibri" w:hAnsi="Verdana" w:cs="Arial"/>
          <w:color w:val="000000" w:themeColor="text1"/>
        </w:rPr>
        <w:t>En contraste, quienes se encuentren en la clasificación de “</w:t>
      </w:r>
      <w:r w:rsidRPr="00ED3BB8">
        <w:rPr>
          <w:rFonts w:ascii="Verdana" w:eastAsia="Calibri" w:hAnsi="Verdana" w:cs="Arial"/>
          <w:color w:val="000000" w:themeColor="text1"/>
        </w:rPr>
        <w:t xml:space="preserve">no pobres o no vulnerables” </w:t>
      </w:r>
      <w:r>
        <w:rPr>
          <w:rFonts w:ascii="Verdana" w:eastAsia="Calibri" w:hAnsi="Verdana" w:cs="Arial"/>
          <w:color w:val="000000" w:themeColor="text1"/>
        </w:rPr>
        <w:t xml:space="preserve">también pertenecerán al régimen subsidiado, pero </w:t>
      </w:r>
      <w:r w:rsidRPr="00ED3BB8">
        <w:rPr>
          <w:rFonts w:ascii="Verdana" w:eastAsia="Calibri" w:hAnsi="Verdana" w:cs="Arial"/>
          <w:color w:val="000000" w:themeColor="text1"/>
        </w:rPr>
        <w:t>debe</w:t>
      </w:r>
      <w:r>
        <w:rPr>
          <w:rFonts w:ascii="Verdana" w:eastAsia="Calibri" w:hAnsi="Verdana" w:cs="Arial"/>
          <w:color w:val="000000" w:themeColor="text1"/>
        </w:rPr>
        <w:t>rán</w:t>
      </w:r>
      <w:r w:rsidRPr="00ED3BB8">
        <w:rPr>
          <w:rFonts w:ascii="Verdana" w:eastAsia="Calibri" w:hAnsi="Verdana" w:cs="Arial"/>
          <w:color w:val="000000" w:themeColor="text1"/>
        </w:rPr>
        <w:t xml:space="preserve"> contribuir solidariamente </w:t>
      </w:r>
      <w:r>
        <w:rPr>
          <w:rFonts w:ascii="Verdana" w:eastAsia="Calibri" w:hAnsi="Verdana" w:cs="Arial"/>
          <w:color w:val="000000" w:themeColor="text1"/>
        </w:rPr>
        <w:t xml:space="preserve">al sistema según </w:t>
      </w:r>
      <w:r w:rsidRPr="00ED3BB8">
        <w:rPr>
          <w:rFonts w:ascii="Verdana" w:eastAsia="Calibri" w:hAnsi="Verdana" w:cs="Arial"/>
          <w:color w:val="000000" w:themeColor="text1"/>
        </w:rPr>
        <w:t>su capacidad de pago.</w:t>
      </w:r>
      <w:r w:rsidRPr="00B13332">
        <w:t xml:space="preserve"> </w:t>
      </w:r>
      <w:r w:rsidRPr="00B13332">
        <w:rPr>
          <w:rFonts w:ascii="Verdana" w:eastAsia="Calibri" w:hAnsi="Verdana" w:cs="Arial"/>
          <w:color w:val="000000" w:themeColor="text1"/>
        </w:rPr>
        <w:t>Quienes sí cuenten con esa capacidad deberán afiliarse al Régimen Contributivo.</w:t>
      </w:r>
    </w:p>
    <w:p w14:paraId="3FECB6CC" w14:textId="77777777" w:rsidR="001A19CD" w:rsidRDefault="001A19CD" w:rsidP="001A19CD">
      <w:pPr>
        <w:widowControl w:val="0"/>
        <w:autoSpaceDE w:val="0"/>
        <w:autoSpaceDN w:val="0"/>
        <w:spacing w:before="120" w:after="0" w:line="276" w:lineRule="auto"/>
        <w:ind w:firstLine="708"/>
        <w:jc w:val="both"/>
        <w:rPr>
          <w:rFonts w:ascii="Verdana" w:eastAsia="Calibri" w:hAnsi="Verdana" w:cs="Arial"/>
          <w:color w:val="000000" w:themeColor="text1"/>
        </w:rPr>
      </w:pPr>
      <w:r w:rsidRPr="00B13332">
        <w:rPr>
          <w:rFonts w:ascii="Verdana" w:eastAsia="Calibri" w:hAnsi="Verdana" w:cs="Arial"/>
          <w:color w:val="000000" w:themeColor="text1"/>
        </w:rPr>
        <w:t xml:space="preserve"> Lo expuesto implica que, tratándose de personas naturales, el contrato estatal puede celebrarse verificando que el particular se encuentre afiliado al Sistema de Seguridad Social Integral, ya sea en calidad de cotizante dependiente, de beneficiario, de afiliado al Régimen Subsidiado en salud o de afiliado a un régimen exceptuado o especial. Si el particular conserva esa condición durante la ejecución de</w:t>
      </w:r>
      <w:r>
        <w:rPr>
          <w:rFonts w:ascii="Verdana" w:eastAsia="Calibri" w:hAnsi="Verdana" w:cs="Arial"/>
          <w:color w:val="000000" w:themeColor="text1"/>
        </w:rPr>
        <w:t xml:space="preserve"> un</w:t>
      </w:r>
      <w:r w:rsidRPr="00B13332">
        <w:rPr>
          <w:rFonts w:ascii="Verdana" w:eastAsia="Calibri" w:hAnsi="Verdana" w:cs="Arial"/>
          <w:color w:val="000000" w:themeColor="text1"/>
        </w:rPr>
        <w:t xml:space="preserve"> contrato de aprovechamiento económico del espacio público, no resulta procedente que la entidad le exija acreditar aportes propios al Sistema, pues conforme al marco jurídico aplicable se entiende que se encuentra al día en sus obligaciones.</w:t>
      </w:r>
    </w:p>
    <w:p w14:paraId="772D8DC4" w14:textId="77777777" w:rsidR="001A19CD" w:rsidRDefault="001A19CD" w:rsidP="001A19CD">
      <w:pPr>
        <w:spacing w:before="120" w:after="120" w:line="276" w:lineRule="auto"/>
        <w:ind w:firstLine="709"/>
        <w:jc w:val="both"/>
        <w:rPr>
          <w:rFonts w:ascii="Verdana" w:eastAsia="Calibri" w:hAnsi="Verdana" w:cs="Arial"/>
          <w:color w:val="000000" w:themeColor="text1"/>
        </w:rPr>
      </w:pPr>
      <w:r w:rsidRPr="00B13332">
        <w:rPr>
          <w:rFonts w:ascii="Verdana" w:eastAsia="Calibri" w:hAnsi="Verdana" w:cs="Arial"/>
          <w:color w:val="000000" w:themeColor="text1"/>
        </w:rPr>
        <w:t xml:space="preserve">Situación distinta se presenta si, como resultado del ejercicio de su actividad comercial, el particular adquiere la capacidad de pago exigida para pertenecer al Régimen Contributivo. En tal evento le corresponde reportar la novedad de afiliación ante cada subsistema —salud y pensiones y, cuando a ello haya lugar, riesgos laborales— y cotizar en la calidad que corresponda. Bajo ese supuesto, la entidad deberá dar cumplimiento al mandato del artículo 50 de la Ley 789 de 2002, verificando durante el ciclo contractual que el contratista se encuentre al día en sus obligaciones con el Sistema. A ello se suma que el propio artículo 242 de la Ley 1955 de 2019 asigna a los municipios el deber de garantizar que los afiliados al Régimen Subsidiado cumplan los requisitos legales para pertenecer a dicho régimen, sin perjuicio de las competencias de la Unidad </w:t>
      </w:r>
      <w:r w:rsidRPr="00B13332">
        <w:rPr>
          <w:rFonts w:ascii="Verdana" w:eastAsia="Calibri" w:hAnsi="Verdana" w:cs="Arial"/>
          <w:color w:val="000000" w:themeColor="text1"/>
        </w:rPr>
        <w:lastRenderedPageBreak/>
        <w:t>Administrativa Especial de Gestión Pensional y Contribuciones Parafiscales de la Protección Social —UGPP—.</w:t>
      </w:r>
    </w:p>
    <w:p w14:paraId="3E620B48" w14:textId="01787053" w:rsidR="001636B0" w:rsidRDefault="001636B0" w:rsidP="001A19CD">
      <w:pPr>
        <w:spacing w:before="120" w:after="120" w:line="276" w:lineRule="auto"/>
        <w:ind w:firstLine="709"/>
        <w:jc w:val="both"/>
        <w:rPr>
          <w:rFonts w:ascii="Verdana" w:eastAsia="Calibri" w:hAnsi="Verdana" w:cs="Arial"/>
          <w:color w:val="000000" w:themeColor="text1"/>
        </w:rPr>
      </w:pPr>
      <w:r w:rsidRPr="001636B0">
        <w:rPr>
          <w:rFonts w:ascii="Verdana" w:eastAsia="Calibri" w:hAnsi="Verdana" w:cs="Arial"/>
          <w:color w:val="000000" w:themeColor="text1"/>
        </w:rPr>
        <w:t>Ahora bien, en cuanto a la referencia del peticionario al Decreto 780 de 2016 y al artículo 108 del Estatuto Tributario, es preciso distinguir la fuente del deber. El mecanismo de retención y giro de aportes que el Decreto 1273 de 2018 adicionó al Decreto 780 de 2016 opera respecto de los contratos de prestación de servicios personales, en los que el contratante paga al contratista y, por esa vía, retiene y gira las cotizaciones. Ese supuesto no se configura en el aprovechamiento económico del espacio público, en el que el particular no presta un servicio personal a la entidad ni recibe pago de esta. De igual modo, el artículo 108 del Estatuto Tributario supedita la deducción del pago a que quien lo realiza verifique el cumplimiento de los aportes, presupuesto que tampoco se satisface cuando la entidad no efectúa erogación alguna, sino que percibe una contraprestación. Por consiguiente, ni el régimen de retención del Decreto 780 de 2016 ni el artículo 108 del Estatuto Tributario constituyen el fundamento del deber de verificación en esta clase de contratos. Dicho deber deriva del artículo 50 de la Ley 789 de 2002 y del artículo 23 de la Ley 1150 de 2007, que se aplican a todo contrato estatal con independencia de si la entidad paga o recibe la contraprestación.</w:t>
      </w:r>
    </w:p>
    <w:p w14:paraId="29A49A5B" w14:textId="77777777" w:rsidR="001A19CD" w:rsidRDefault="001A19CD" w:rsidP="001A19CD">
      <w:pPr>
        <w:tabs>
          <w:tab w:val="left" w:pos="426"/>
        </w:tabs>
        <w:spacing w:after="120" w:line="276" w:lineRule="auto"/>
        <w:ind w:firstLine="709"/>
        <w:jc w:val="both"/>
        <w:rPr>
          <w:rFonts w:ascii="Verdana" w:eastAsia="Calibri" w:hAnsi="Verdana" w:cs="Arial"/>
          <w:color w:val="000000" w:themeColor="text1"/>
        </w:rPr>
      </w:pPr>
      <w:r w:rsidRPr="00937175">
        <w:rPr>
          <w:rFonts w:ascii="Verdana" w:eastAsia="Calibri" w:hAnsi="Verdana" w:cs="Arial"/>
          <w:color w:val="000000" w:themeColor="text1"/>
        </w:rPr>
        <w:t xml:space="preserve">En suma, el artículo 50 de la Ley 789 de 2002 no distingue </w:t>
      </w:r>
      <w:proofErr w:type="gramStart"/>
      <w:r w:rsidRPr="00937175">
        <w:rPr>
          <w:rFonts w:ascii="Verdana" w:eastAsia="Calibri" w:hAnsi="Verdana" w:cs="Arial"/>
          <w:color w:val="000000" w:themeColor="text1"/>
        </w:rPr>
        <w:t>en razón de</w:t>
      </w:r>
      <w:proofErr w:type="gramEnd"/>
      <w:r w:rsidRPr="00937175">
        <w:rPr>
          <w:rFonts w:ascii="Verdana" w:eastAsia="Calibri" w:hAnsi="Verdana" w:cs="Arial"/>
          <w:color w:val="000000" w:themeColor="text1"/>
        </w:rPr>
        <w:t xml:space="preserve"> la cuantía, la duración ni la naturaleza del contrato; por tanto, resulta aplicable a cualquier contrato estatal, incluidos los que las entidades celebren con particulares para el aprovechamiento económico del espacio público. Se reitera, en todo caso, que cuando el contratista sea persona natural bastará con acreditar su afiliación al Sistema para la celebración del contrato. Corresponderá a la entidad evaluar si aquel se encuentra obligado a acreditar el pago de aportes, según el régimen y la normativa que le resulten aplicables, dejando constancia expresa en el evento de que no lo esté, y adoptar, en el marco de su autonomía, las medidas que le permitan verificar que el contratista permanece al día en sus obligaciones durante la ejecución y la liquidación del contrato. Finalmente, para establecer las obligaciones que en concreto tenga un determinado particular frente al Sistema, así como los medios idóneos para su verificación, deberá elevar la consulta ante el Ministerio de Salud y Protección Social o ante la UGPP, autoridades competentes en la materia.</w:t>
      </w:r>
    </w:p>
    <w:p w14:paraId="4E658F82" w14:textId="77777777" w:rsidR="00A713F2" w:rsidRPr="005F7C53" w:rsidRDefault="00A713F2" w:rsidP="00A713F2">
      <w:pPr>
        <w:tabs>
          <w:tab w:val="left" w:pos="426"/>
        </w:tabs>
        <w:spacing w:after="120" w:line="276" w:lineRule="auto"/>
        <w:ind w:firstLine="709"/>
        <w:jc w:val="both"/>
        <w:rPr>
          <w:rFonts w:ascii="Verdana" w:eastAsia="Calibri" w:hAnsi="Verdana" w:cs="Arial"/>
          <w:color w:val="000000" w:themeColor="text1"/>
        </w:rPr>
      </w:pPr>
      <w:r w:rsidRPr="00691835">
        <w:rPr>
          <w:rFonts w:ascii="Verdana" w:eastAsia="Calibri" w:hAnsi="Verdana" w:cs="Arial"/>
          <w:color w:val="000000" w:themeColor="text1"/>
        </w:rPr>
        <w:lastRenderedPageBreak/>
        <w:t>En cuanto al procedimiento, y en el marco de su autonomía, la entidad puede: (i) verificar la afiliación del particular al Sistema —consultando, por ejemplo, la base de datos única de afiliados que administra la ADRES para el componente de salud— y dejar constancia de su calidad de cotizante, beneficiario o afiliado al Régimen Subsidiado o a un régimen exceptuado o especial; (</w:t>
      </w:r>
      <w:proofErr w:type="spellStart"/>
      <w:r w:rsidRPr="00691835">
        <w:rPr>
          <w:rFonts w:ascii="Verdana" w:eastAsia="Calibri" w:hAnsi="Verdana" w:cs="Arial"/>
          <w:color w:val="000000" w:themeColor="text1"/>
        </w:rPr>
        <w:t>ii</w:t>
      </w:r>
      <w:proofErr w:type="spellEnd"/>
      <w:r w:rsidRPr="00691835">
        <w:rPr>
          <w:rFonts w:ascii="Verdana" w:eastAsia="Calibri" w:hAnsi="Verdana" w:cs="Arial"/>
          <w:color w:val="000000" w:themeColor="text1"/>
        </w:rPr>
        <w:t>) cuando el particular esté obligado a cotizar como independiente, requerir la planilla integrada de liquidación de aportes (PILA) correspondiente y verificar la relación entre lo cotizado y el ingreso base, teniendo en cuenta la regla del ingreso base de cotización aplicable a los trabajadores independientes; (</w:t>
      </w:r>
      <w:proofErr w:type="spellStart"/>
      <w:r w:rsidRPr="00691835">
        <w:rPr>
          <w:rFonts w:ascii="Verdana" w:eastAsia="Calibri" w:hAnsi="Verdana" w:cs="Arial"/>
          <w:color w:val="000000" w:themeColor="text1"/>
        </w:rPr>
        <w:t>iii</w:t>
      </w:r>
      <w:proofErr w:type="spellEnd"/>
      <w:r w:rsidRPr="00691835">
        <w:rPr>
          <w:rFonts w:ascii="Verdana" w:eastAsia="Calibri" w:hAnsi="Verdana" w:cs="Arial"/>
          <w:color w:val="000000" w:themeColor="text1"/>
        </w:rPr>
        <w:t>) dejar constancia expresa en el expediente cuando el particular no esté obligado a acreditar el pago de aportes; y (</w:t>
      </w:r>
      <w:proofErr w:type="spellStart"/>
      <w:r w:rsidRPr="00691835">
        <w:rPr>
          <w:rFonts w:ascii="Verdana" w:eastAsia="Calibri" w:hAnsi="Verdana" w:cs="Arial"/>
          <w:color w:val="000000" w:themeColor="text1"/>
        </w:rPr>
        <w:t>iv</w:t>
      </w:r>
      <w:proofErr w:type="spellEnd"/>
      <w:r w:rsidRPr="00691835">
        <w:rPr>
          <w:rFonts w:ascii="Verdana" w:eastAsia="Calibri" w:hAnsi="Verdana" w:cs="Arial"/>
          <w:color w:val="000000" w:themeColor="text1"/>
        </w:rPr>
        <w:t>) para los casos concretos que ofrezcan duda sobre el régimen aplicable o los medios de prueba idóneos, elevar la consulta al Ministerio de Salud y Protección Social o a la UGPP, autoridades competentes en la materia.</w:t>
      </w:r>
      <w:r w:rsidRPr="005F7C53">
        <w:rPr>
          <w:rFonts w:ascii="Verdana" w:eastAsia="Calibri" w:hAnsi="Verdana" w:cs="Arial"/>
          <w:color w:val="000000" w:themeColor="text1"/>
          <w:vertAlign w:val="superscript"/>
        </w:rPr>
        <w:footnoteReference w:id="13"/>
      </w:r>
    </w:p>
    <w:p w14:paraId="2AC25C2B" w14:textId="77777777" w:rsidR="001A19CD" w:rsidRPr="00E828AF" w:rsidRDefault="001A19CD" w:rsidP="001A19CD">
      <w:pPr>
        <w:tabs>
          <w:tab w:val="left" w:pos="426"/>
        </w:tabs>
        <w:spacing w:after="120" w:line="276" w:lineRule="auto"/>
        <w:ind w:firstLine="709"/>
        <w:jc w:val="both"/>
        <w:rPr>
          <w:rFonts w:ascii="Verdana" w:hAnsi="Verdana" w:cs="Arial"/>
          <w:lang w:val="es-ES" w:eastAsia="es-ES"/>
        </w:rPr>
      </w:pPr>
      <w:r w:rsidRPr="00E828AF">
        <w:rPr>
          <w:rFonts w:ascii="Verdana" w:eastAsia="Calibri" w:hAnsi="Verdana" w:cs="Arial"/>
          <w:color w:val="000000" w:themeColor="text1"/>
          <w:lang w:val="es-ES"/>
        </w:rPr>
        <w:t xml:space="preserve">Al </w:t>
      </w:r>
      <w:r w:rsidRPr="00E828AF">
        <w:rPr>
          <w:rFonts w:ascii="Verdana" w:hAnsi="Verdana" w:cs="Arial"/>
          <w:lang w:val="es-ES" w:eastAsia="es-ES"/>
        </w:rPr>
        <w:t>margen de la explicación precedente debe advertirse que el análisis requerido para resolver problemas específicos debe realizarse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7D569F8E" w14:textId="77777777" w:rsidR="001A19CD" w:rsidRPr="00E828AF" w:rsidRDefault="001A19CD" w:rsidP="001A19CD">
      <w:pPr>
        <w:tabs>
          <w:tab w:val="left" w:pos="426"/>
        </w:tabs>
        <w:spacing w:after="120" w:line="276" w:lineRule="auto"/>
        <w:ind w:firstLine="709"/>
        <w:jc w:val="both"/>
        <w:rPr>
          <w:rFonts w:ascii="Verdana" w:hAnsi="Verdana"/>
          <w:lang w:val="es-ES"/>
        </w:rPr>
      </w:pPr>
      <w:r w:rsidRPr="00E828AF">
        <w:rPr>
          <w:rFonts w:ascii="Verdana" w:hAnsi="Verdana" w:cs="Arial"/>
          <w:lang w:val="es-ES" w:eastAsia="es-ES"/>
        </w:rPr>
        <w:t xml:space="preserve">Dentro de este marco, la entidad pública definirá en cada caso concreto lo relacionado con el tema objeto de consulta. </w:t>
      </w:r>
      <w:r w:rsidRPr="00E828AF">
        <w:rPr>
          <w:rFonts w:ascii="Verdana" w:hAnsi="Verdana" w:cs="Arial"/>
          <w:color w:val="000000" w:themeColor="text1"/>
          <w:lang w:val="es-ES"/>
        </w:rPr>
        <w:t>Al tratarse de un análisis que debe realizarse en un procedimiento contractual específico, esta Agencia no puede definir un criterio universal y absoluto por vía consultiva, sino que brinda elementos de carácter general para que</w:t>
      </w:r>
      <w:r w:rsidRPr="00E828AF">
        <w:rPr>
          <w:rFonts w:ascii="Verdana" w:eastAsia="Calibri" w:hAnsi="Verdana" w:cs="Times New Roman"/>
          <w:lang w:val="es-ES"/>
        </w:rPr>
        <w:t xml:space="preserv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7F3404CA" w14:textId="77777777" w:rsidR="001A19CD" w:rsidRPr="00E828AF" w:rsidRDefault="001A19CD" w:rsidP="001A19C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828AF">
        <w:rPr>
          <w:rFonts w:ascii="Verdana" w:eastAsia="Century Gothic" w:hAnsi="Verdana" w:cs="Century Gothic"/>
          <w:b/>
          <w:bCs/>
          <w:color w:val="000000" w:themeColor="text1"/>
        </w:rPr>
        <w:lastRenderedPageBreak/>
        <w:t>Referencias normativas, jurisprudenciales y otras fuentes:</w:t>
      </w:r>
    </w:p>
    <w:p w14:paraId="09A8C37B" w14:textId="77777777" w:rsidR="001A19CD" w:rsidRPr="00E828AF" w:rsidRDefault="001A19CD" w:rsidP="001A19CD">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A19CD" w:rsidRPr="00E828AF" w14:paraId="3D8D7B16" w14:textId="77777777" w:rsidTr="001510B2">
        <w:trPr>
          <w:trHeight w:val="870"/>
        </w:trPr>
        <w:tc>
          <w:tcPr>
            <w:tcW w:w="8647" w:type="dxa"/>
          </w:tcPr>
          <w:p w14:paraId="5E0F9923" w14:textId="64D62C13"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Constitución Política de Colombia, artículos 63, 311 y 313.</w:t>
            </w:r>
          </w:p>
          <w:p w14:paraId="1772B1D4" w14:textId="55DF31C2"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9 de 1989, artículo 7 (modificado por el artículo 40 de la Ley 2079 de 2021).</w:t>
            </w:r>
          </w:p>
          <w:p w14:paraId="261CCAE3" w14:textId="1EC88A7E"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80 de 1993, artículos 2, 13, 32, 40 y 41.</w:t>
            </w:r>
          </w:p>
          <w:p w14:paraId="39A03B22" w14:textId="3A079EDD"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388 de 1997.</w:t>
            </w:r>
          </w:p>
          <w:p w14:paraId="53096AEE" w14:textId="3792AA38"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789 de 2002, artículo 50.</w:t>
            </w:r>
          </w:p>
          <w:p w14:paraId="2B5815A9" w14:textId="03C9A4C5"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1150 de 2007, artículo 23.</w:t>
            </w:r>
          </w:p>
          <w:p w14:paraId="6D43CF21" w14:textId="2EA0247A"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1955 de 2019, artículos 242 y 244.</w:t>
            </w:r>
          </w:p>
          <w:p w14:paraId="5D6E23EA" w14:textId="17DED275"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Ley 2079 de 2021, artículo 40.</w:t>
            </w:r>
          </w:p>
          <w:p w14:paraId="6564BCD2" w14:textId="6DE03922"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Decreto 1504 de 1998, artículos 7, 18 y 19 (compilados en el Decreto 1077 de 2015, artículos 2.2.3.3.3 y 2.2.3.3.4).</w:t>
            </w:r>
          </w:p>
          <w:p w14:paraId="64ACA4F2" w14:textId="77E33A8E" w:rsidR="0099437A" w:rsidRPr="0099437A"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Decreto 780 de 2016 (modificado por el Decreto 1273 de 2018).</w:t>
            </w:r>
          </w:p>
          <w:p w14:paraId="2A5FF02B" w14:textId="077E01E9" w:rsidR="001A19CD" w:rsidRPr="00E828AF" w:rsidRDefault="0099437A" w:rsidP="00691835">
            <w:pPr>
              <w:pStyle w:val="Prrafodelista"/>
              <w:widowControl w:val="0"/>
              <w:numPr>
                <w:ilvl w:val="0"/>
                <w:numId w:val="17"/>
              </w:numPr>
              <w:autoSpaceDE w:val="0"/>
              <w:autoSpaceDN w:val="0"/>
              <w:snapToGrid w:val="0"/>
              <w:spacing w:after="120" w:line="276" w:lineRule="auto"/>
              <w:ind w:left="714" w:hanging="357"/>
              <w:contextualSpacing w:val="0"/>
              <w:jc w:val="both"/>
              <w:rPr>
                <w:rFonts w:ascii="Verdana" w:hAnsi="Verdana" w:cs="Arial"/>
              </w:rPr>
            </w:pPr>
            <w:r w:rsidRPr="0099437A">
              <w:rPr>
                <w:rFonts w:ascii="Verdana" w:hAnsi="Verdana" w:cs="Arial"/>
              </w:rPr>
              <w:t>Estatuto Tributario, artículo 108.</w:t>
            </w:r>
          </w:p>
        </w:tc>
      </w:tr>
    </w:tbl>
    <w:p w14:paraId="77B7D02F" w14:textId="77777777" w:rsidR="001A19CD" w:rsidRPr="00E828AF" w:rsidRDefault="001A19CD" w:rsidP="001A19CD">
      <w:pPr>
        <w:widowControl w:val="0"/>
        <w:autoSpaceDE w:val="0"/>
        <w:autoSpaceDN w:val="0"/>
        <w:spacing w:after="0" w:line="276" w:lineRule="auto"/>
        <w:jc w:val="both"/>
        <w:rPr>
          <w:rFonts w:ascii="Verdana" w:hAnsi="Verdana" w:cs="Arial"/>
          <w:color w:val="000000" w:themeColor="text1"/>
          <w:lang w:val="es-ES"/>
        </w:rPr>
      </w:pPr>
    </w:p>
    <w:p w14:paraId="61BA8911" w14:textId="77777777" w:rsidR="001A19CD" w:rsidRPr="00E828AF" w:rsidRDefault="001A19CD" w:rsidP="001A19C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E828AF">
        <w:rPr>
          <w:rFonts w:ascii="Verdana" w:eastAsia="Century Gothic" w:hAnsi="Verdana" w:cs="Century Gothic"/>
          <w:b/>
          <w:bCs/>
          <w:color w:val="000000" w:themeColor="text1"/>
        </w:rPr>
        <w:t>Doctrina de la Agencia Nacional de Contratación Pública:</w:t>
      </w:r>
    </w:p>
    <w:p w14:paraId="4C2943E4" w14:textId="77777777" w:rsidR="001A19CD" w:rsidRPr="00E828AF" w:rsidRDefault="001A19CD" w:rsidP="001A19CD">
      <w:pPr>
        <w:widowControl w:val="0"/>
        <w:autoSpaceDE w:val="0"/>
        <w:autoSpaceDN w:val="0"/>
        <w:spacing w:after="0" w:line="276" w:lineRule="auto"/>
        <w:jc w:val="both"/>
        <w:rPr>
          <w:rFonts w:ascii="Verdana" w:hAnsi="Verdana" w:cs="Arial"/>
          <w:color w:val="000000" w:themeColor="text1"/>
          <w:lang w:val="es-ES"/>
        </w:rPr>
      </w:pPr>
    </w:p>
    <w:p w14:paraId="661E5F30" w14:textId="77777777" w:rsidR="001A19CD" w:rsidRPr="00E828AF" w:rsidRDefault="001A19CD" w:rsidP="001A19CD">
      <w:pPr>
        <w:ind w:left="3"/>
        <w:jc w:val="both"/>
        <w:rPr>
          <w:rStyle w:val="normaltextrun"/>
          <w:rFonts w:ascii="Verdana" w:eastAsia="Calibri" w:hAnsi="Verdana" w:cs="Arial"/>
          <w:b/>
          <w:bCs/>
          <w:color w:val="000000" w:themeColor="text1"/>
          <w:lang w:val="es-ES" w:eastAsia="es-ES"/>
        </w:rPr>
      </w:pPr>
      <w:r w:rsidRPr="00E828AF">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w:t>
      </w:r>
      <w:r w:rsidRPr="00E828AF">
        <w:rPr>
          <w:rStyle w:val="normaltextrun"/>
          <w:rFonts w:ascii="Verdana" w:hAnsi="Verdana"/>
          <w:color w:val="000000" w:themeColor="text1"/>
          <w:shd w:val="clear" w:color="auto" w:fill="FFFFFF"/>
          <w:lang w:val="es-ES"/>
        </w:rPr>
        <w:t>sobre</w:t>
      </w:r>
      <w:r>
        <w:rPr>
          <w:rStyle w:val="normaltextrun"/>
          <w:rFonts w:ascii="Verdana" w:hAnsi="Verdana"/>
          <w:color w:val="000000" w:themeColor="text1"/>
          <w:shd w:val="clear" w:color="auto" w:fill="FFFFFF"/>
          <w:lang w:val="es-ES"/>
        </w:rPr>
        <w:t xml:space="preserve"> los contratos de aprovechamiento del espacio público en el Concepto C-043 del 04 de julio de 2024.</w:t>
      </w:r>
      <w:r>
        <w:rPr>
          <w:rFonts w:ascii="Verdana" w:eastAsia="Calibri" w:hAnsi="Verdana" w:cs="Arial"/>
          <w:lang w:val="es-ES" w:eastAsia="es-ES"/>
        </w:rPr>
        <w:t xml:space="preserve"> Sobre </w:t>
      </w:r>
      <w:r w:rsidRPr="00F7651F">
        <w:rPr>
          <w:rStyle w:val="normaltextrun"/>
          <w:rFonts w:ascii="Verdana" w:hAnsi="Verdana" w:cs="Arial"/>
          <w:color w:val="000000" w:themeColor="text1"/>
          <w:shd w:val="clear" w:color="auto" w:fill="FFFFFF"/>
          <w:lang w:val="es-ES"/>
        </w:rPr>
        <w:t>la</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 xml:space="preserve">verificación del pago de la Seguridad Social </w:t>
      </w:r>
      <w:r>
        <w:rPr>
          <w:rStyle w:val="normaltextrun"/>
          <w:rFonts w:ascii="Verdana" w:hAnsi="Verdana" w:cs="Arial"/>
          <w:color w:val="000000" w:themeColor="text1"/>
          <w:shd w:val="clear" w:color="auto" w:fill="FFFFFF"/>
          <w:lang w:val="es-ES"/>
        </w:rPr>
        <w:t xml:space="preserve">se refirió </w:t>
      </w:r>
      <w:r w:rsidRPr="00F7651F">
        <w:rPr>
          <w:rStyle w:val="normaltextrun"/>
          <w:rFonts w:ascii="Verdana" w:hAnsi="Verdana" w:cs="Arial"/>
          <w:color w:val="000000" w:themeColor="text1"/>
          <w:shd w:val="clear" w:color="auto" w:fill="FFFFFF"/>
          <w:lang w:val="es-ES"/>
        </w:rPr>
        <w:t>en los conceptos C-040 de 5 de febrero de 2020 y, C-042 de 5 de febrero de 2020, C-205 del 07 de abril de 2020, C-134 del 07 de abril de 2021, C-181 de</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7 de abril de 2022, C-679 del 14 de octubre de 2022, C</w:t>
      </w:r>
      <w:r>
        <w:rPr>
          <w:rStyle w:val="normaltextrun"/>
          <w:rFonts w:ascii="Verdana" w:hAnsi="Verdana" w:cs="Arial"/>
          <w:color w:val="000000" w:themeColor="text1"/>
          <w:shd w:val="clear" w:color="auto" w:fill="FFFFFF"/>
          <w:lang w:val="es-ES"/>
        </w:rPr>
        <w:t>-</w:t>
      </w:r>
      <w:r w:rsidRPr="00F7651F">
        <w:rPr>
          <w:rStyle w:val="normaltextrun"/>
          <w:rFonts w:ascii="Verdana" w:hAnsi="Verdana" w:cs="Arial"/>
          <w:color w:val="000000" w:themeColor="text1"/>
          <w:shd w:val="clear" w:color="auto" w:fill="FFFFFF"/>
          <w:lang w:val="es-ES"/>
        </w:rPr>
        <w:t>778 del 29 de noviembre de 2022,</w:t>
      </w:r>
      <w:r>
        <w:rPr>
          <w:rStyle w:val="normaltextrun"/>
          <w:rFonts w:ascii="Verdana" w:hAnsi="Verdana" w:cs="Arial"/>
          <w:color w:val="000000" w:themeColor="text1"/>
          <w:shd w:val="clear" w:color="auto" w:fill="FFFFFF"/>
          <w:lang w:val="es-ES"/>
        </w:rPr>
        <w:t xml:space="preserve"> C-110 de 14 de junio de 2024,</w:t>
      </w:r>
      <w:r w:rsidRPr="00F7651F">
        <w:rPr>
          <w:rStyle w:val="normaltextrun"/>
          <w:rFonts w:ascii="Verdana" w:hAnsi="Verdana" w:cs="Arial"/>
          <w:color w:val="000000" w:themeColor="text1"/>
          <w:shd w:val="clear" w:color="auto" w:fill="FFFFFF"/>
          <w:lang w:val="es-ES"/>
        </w:rPr>
        <w:t xml:space="preserve"> C-273 del 22 de agosto de 2024</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C-779 del 12 de noviembre de 2024</w:t>
      </w:r>
      <w:r>
        <w:rPr>
          <w:rStyle w:val="normaltextrun"/>
          <w:rFonts w:ascii="Verdana" w:hAnsi="Verdana" w:cs="Arial"/>
          <w:color w:val="000000" w:themeColor="text1"/>
          <w:shd w:val="clear" w:color="auto" w:fill="FFFFFF"/>
          <w:lang w:val="es-ES"/>
        </w:rPr>
        <w:t xml:space="preserve">, C-909 de 17 de diciembre de 2024 y C-074 de 20 de febrero de 2025, entre otros. </w:t>
      </w:r>
      <w:r w:rsidRPr="00E828AF">
        <w:rPr>
          <w:rFonts w:ascii="Verdana" w:eastAsia="Calibri" w:hAnsi="Verdana" w:cs="Arial"/>
          <w:color w:val="000000" w:themeColor="text1"/>
          <w:lang w:val="es-ES" w:eastAsia="es-ES_tradnl"/>
        </w:rPr>
        <w:t>Estos</w:t>
      </w:r>
      <w:r w:rsidRPr="00E828AF">
        <w:rPr>
          <w:rFonts w:ascii="Verdana" w:hAnsi="Verdana"/>
          <w:lang w:val="es-ES"/>
        </w:rPr>
        <w:t xml:space="preserve"> y otros conceptos se encuentran disponibles para consulta en</w:t>
      </w:r>
      <w:r w:rsidRPr="00E828AF">
        <w:rPr>
          <w:rStyle w:val="normaltextrun"/>
          <w:rFonts w:ascii="Verdana" w:hAnsi="Verdana" w:cs="Arial"/>
          <w:color w:val="000000" w:themeColor="text1"/>
          <w:shd w:val="clear" w:color="auto" w:fill="FFFFFF"/>
          <w:lang w:val="es-ES"/>
        </w:rPr>
        <w:t xml:space="preserve"> el Sistema de relatoría de la Agencia, al cual puede accederse a través del siguiente enlace: </w:t>
      </w:r>
      <w:hyperlink r:id="rId15" w:history="1">
        <w:r w:rsidRPr="00E828AF">
          <w:rPr>
            <w:rStyle w:val="Hipervnculo"/>
            <w:rFonts w:ascii="Verdana" w:hAnsi="Verdana" w:cs="Arial"/>
            <w:shd w:val="clear" w:color="auto" w:fill="FFFFFF"/>
            <w:lang w:val="es-ES"/>
          </w:rPr>
          <w:t>https://relatoria.colombiacompra.gov.co/busqueda/conceptos</w:t>
        </w:r>
      </w:hyperlink>
      <w:r w:rsidRPr="00E828AF">
        <w:rPr>
          <w:rStyle w:val="normaltextrun"/>
          <w:rFonts w:ascii="Verdana" w:hAnsi="Verdana" w:cs="Arial"/>
          <w:shd w:val="clear" w:color="auto" w:fill="FFFFFF"/>
          <w:lang w:val="es-ES"/>
        </w:rPr>
        <w:t>.</w:t>
      </w:r>
      <w:r w:rsidRPr="00E828AF">
        <w:rPr>
          <w:rStyle w:val="normaltextrun"/>
          <w:rFonts w:ascii="Verdana" w:hAnsi="Verdana" w:cs="Arial"/>
          <w:color w:val="FF0000"/>
          <w:shd w:val="clear" w:color="auto" w:fill="FFFFFF"/>
          <w:lang w:val="es-ES"/>
        </w:rPr>
        <w:t xml:space="preserve"> </w:t>
      </w:r>
    </w:p>
    <w:p w14:paraId="36369AB7" w14:textId="77777777" w:rsidR="001A19CD" w:rsidRPr="00E828AF" w:rsidRDefault="001A19CD" w:rsidP="001A19CD">
      <w:pPr>
        <w:ind w:left="3"/>
        <w:jc w:val="both"/>
        <w:rPr>
          <w:rFonts w:ascii="Verdana" w:eastAsia="Calibri" w:hAnsi="Verdana" w:cs="Arial"/>
          <w:b/>
          <w:bCs/>
          <w:color w:val="000000" w:themeColor="text1"/>
          <w:lang w:val="es-ES" w:eastAsia="es-ES"/>
        </w:rPr>
      </w:pPr>
      <w:r w:rsidRPr="00E828AF">
        <w:rPr>
          <w:rFonts w:ascii="Verdana" w:hAnsi="Verdana"/>
          <w:lang w:val="es-ES"/>
        </w:rPr>
        <w:t xml:space="preserve">Las garantías no son un requisito formal: son el instrumento con el que se protege el patrimonio público frente a los riesgos del contrato. Por ello, la </w:t>
      </w:r>
      <w:r w:rsidRPr="00E828AF">
        <w:rPr>
          <w:rFonts w:ascii="Verdana" w:hAnsi="Verdana"/>
          <w:lang w:val="es-ES"/>
        </w:rPr>
        <w:lastRenderedPageBreak/>
        <w:t>Agencia Nacional de Contratación Pública –Colombia Compra Eficiente– te invita a consultar la nueva versión de la </w:t>
      </w:r>
      <w:r w:rsidRPr="00E828AF">
        <w:rPr>
          <w:rFonts w:ascii="Verdana" w:hAnsi="Verdana"/>
          <w:b/>
          <w:lang w:val="es-ES"/>
        </w:rPr>
        <w:t>Guía para la Exigencia y Constitución de Garantías en los Procesos de Contratación</w:t>
      </w:r>
      <w:r w:rsidRPr="00E828AF">
        <w:rPr>
          <w:rFonts w:ascii="Verdana" w:hAnsi="Verdana"/>
          <w:lang w:val="es-ES"/>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gtFrame="_blank" w:tooltip="Original URL: https://www.colombiacompra.gov.co/archivos/manual/guia-de-garantias-en-procesos-de-contratacion. Click or tap if you trust this link." w:history="1">
        <w:r w:rsidRPr="00E828AF">
          <w:rPr>
            <w:rStyle w:val="Hipervnculo"/>
            <w:rFonts w:ascii="Verdana" w:hAnsi="Verdana"/>
            <w:lang w:val="es-ES"/>
          </w:rPr>
          <w:t>https://www.colombiacompra.gov.co/archivos/manual/guia-de-garantias-en-procesos-de-contratacion</w:t>
        </w:r>
      </w:hyperlink>
    </w:p>
    <w:p w14:paraId="67DA35FF" w14:textId="77777777" w:rsidR="001A19CD" w:rsidRPr="00E828AF" w:rsidRDefault="001A19CD" w:rsidP="001A19CD">
      <w:pPr>
        <w:spacing w:after="0" w:line="276" w:lineRule="auto"/>
        <w:jc w:val="both"/>
        <w:rPr>
          <w:rFonts w:ascii="Verdana" w:hAnsi="Verdana"/>
          <w:lang w:val="es-ES"/>
        </w:rPr>
      </w:pPr>
    </w:p>
    <w:p w14:paraId="39565779"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De otro lado, te contamos que el Decreto 287 del 19 de marzo de 2026 sustituyó los artículos 2.2.1.2.4.2.6., 2.2.1.2.4.2.7. y 2.2.1.2.4.2.8. del Decreto 1082 de 2015 y estructuró el </w:t>
      </w:r>
      <w:r w:rsidRPr="00E828AF">
        <w:rPr>
          <w:rFonts w:ascii="Verdana" w:hAnsi="Verdana"/>
          <w:b/>
          <w:lang w:val="es-ES"/>
        </w:rPr>
        <w:t>Sistema Integral de Preferencias en favor de las personas con discapacidad</w:t>
      </w:r>
      <w:r w:rsidRPr="00E828AF">
        <w:rPr>
          <w:rFonts w:ascii="Verdana" w:hAnsi="Verdana"/>
          <w:lang w:val="es-ES"/>
        </w:rPr>
        <w:t>, en cumplimiento del artículo 13 de la Ley Estatutaria 1618 de 2013. Para orientar su aplicación, esta Agencia expidió la </w:t>
      </w:r>
      <w:r w:rsidRPr="00E828AF">
        <w:rPr>
          <w:rFonts w:ascii="Verdana" w:hAnsi="Verdana"/>
          <w:b/>
          <w:lang w:val="es-ES"/>
        </w:rPr>
        <w:t>Circular Externa 003 del 12 de mayo de 2026, </w:t>
      </w:r>
      <w:r w:rsidRPr="00E828AF">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Consúltala aquí: </w:t>
      </w:r>
      <w:hyperlink r:id="rId17" w:tgtFrame="_blank" w:tooltip="Original URL: https://www.colombiacompra.gov.co/archivos/circular/circular-externa-003-de-2026. Click or tap if you trust this link." w:history="1">
        <w:r w:rsidRPr="00E828AF">
          <w:rPr>
            <w:rStyle w:val="Hipervnculo"/>
            <w:rFonts w:ascii="Verdana" w:hAnsi="Verdana"/>
            <w:lang w:val="es-ES"/>
          </w:rPr>
          <w:t>https://www.colombiacompra.gov.co/archivos/circular/circular-externa-003-de-2026</w:t>
        </w:r>
      </w:hyperlink>
    </w:p>
    <w:p w14:paraId="40667CA5" w14:textId="77777777" w:rsidR="001A19CD" w:rsidRPr="00E828AF" w:rsidRDefault="001A19CD" w:rsidP="001A19CD">
      <w:pPr>
        <w:spacing w:after="0" w:line="276" w:lineRule="auto"/>
        <w:jc w:val="both"/>
        <w:rPr>
          <w:rFonts w:ascii="Verdana" w:hAnsi="Verdana"/>
          <w:lang w:val="es-ES"/>
        </w:rPr>
      </w:pPr>
    </w:p>
    <w:p w14:paraId="36C8AEEB"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Recuerda también que la</w:t>
      </w:r>
      <w:r w:rsidRPr="00E828AF">
        <w:rPr>
          <w:rFonts w:ascii="Verdana" w:hAnsi="Verdana"/>
          <w:b/>
          <w:lang w:val="es-ES"/>
        </w:rPr>
        <w:t> información sobre sanciones e inhabilidades </w:t>
      </w:r>
      <w:r w:rsidRPr="00E828AF">
        <w:rPr>
          <w:rFonts w:ascii="Verdana" w:hAnsi="Verdana"/>
          <w:lang w:val="es-ES"/>
        </w:rPr>
        <w:t>solo cumple su función preventiva si llega oportunamente a los registros públicos. Sobre este deber, esta Agencia expidió la </w:t>
      </w:r>
      <w:r w:rsidRPr="00E828AF">
        <w:rPr>
          <w:rFonts w:ascii="Verdana" w:hAnsi="Verdana"/>
          <w:b/>
          <w:lang w:val="es-ES"/>
        </w:rPr>
        <w:t>Circular Externa 002 del 5 de mayo de 2026,</w:t>
      </w:r>
      <w:r w:rsidRPr="00E828AF">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8" w:tgtFrame="_blank" w:tooltip="Original URL: https://www.colombiacompra.gov.co/archivos/circular/circular-externa-002-de-2026. Click or tap if you trust this link." w:history="1">
        <w:r w:rsidRPr="00E828AF">
          <w:rPr>
            <w:rStyle w:val="Hipervnculo"/>
            <w:rFonts w:ascii="Verdana" w:hAnsi="Verdana"/>
            <w:lang w:val="es-ES"/>
          </w:rPr>
          <w:t>https://www.colombiacompra.gov.co/archivos/circular/circular-externa-002-de-2026</w:t>
        </w:r>
      </w:hyperlink>
    </w:p>
    <w:p w14:paraId="4BEB3334" w14:textId="77777777" w:rsidR="001A19CD" w:rsidRPr="00E828AF" w:rsidRDefault="001A19CD" w:rsidP="001A19CD">
      <w:pPr>
        <w:spacing w:after="0" w:line="276" w:lineRule="auto"/>
        <w:jc w:val="both"/>
        <w:rPr>
          <w:rFonts w:ascii="Verdana" w:hAnsi="Verdana"/>
          <w:lang w:val="es-ES"/>
        </w:rPr>
      </w:pPr>
    </w:p>
    <w:p w14:paraId="191836D2"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Finalmente, si quieres seguir de cerca la actividad de la Agencia, la tercera edición de 2026 del</w:t>
      </w:r>
      <w:r w:rsidRPr="00E828AF">
        <w:rPr>
          <w:rFonts w:ascii="Verdana" w:hAnsi="Verdana"/>
          <w:b/>
          <w:lang w:val="es-ES"/>
        </w:rPr>
        <w:t> Radar de la Compra Pública</w:t>
      </w:r>
      <w:r w:rsidRPr="00E828AF">
        <w:rPr>
          <w:rFonts w:ascii="Verdana" w:hAnsi="Verdana"/>
          <w:lang w:val="es-ES"/>
        </w:rPr>
        <w:t xml:space="preserve"> reúne, entre otros </w:t>
      </w:r>
      <w:r w:rsidRPr="00E828AF">
        <w:rPr>
          <w:rFonts w:ascii="Verdana" w:hAnsi="Verdana"/>
          <w:lang w:val="es-ES"/>
        </w:rPr>
        <w:lastRenderedPageBreak/>
        <w:t>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gtFrame="_blank" w:tooltip="Original URL: https://www.colombiacompra.gov.co/archivos/boletin/boletin-edicion-n-3-de-2026-radar-de-la-compra-publica. Click or tap if you trust this link." w:history="1">
        <w:r w:rsidRPr="00E828AF">
          <w:rPr>
            <w:rStyle w:val="Hipervnculo"/>
            <w:rFonts w:ascii="Verdana" w:hAnsi="Verdana"/>
            <w:lang w:val="es-ES"/>
          </w:rPr>
          <w:t>https://www.colombiacompra.gov.co/archivos/boletin/boletin-edicion-n-3-de-2026-radar-de-la-compra-publica</w:t>
        </w:r>
      </w:hyperlink>
      <w:r w:rsidRPr="00E828AF">
        <w:rPr>
          <w:rFonts w:ascii="Verdana" w:hAnsi="Verdana"/>
          <w:lang w:val="es-ES"/>
        </w:rPr>
        <w:t>"</w:t>
      </w:r>
    </w:p>
    <w:p w14:paraId="50FBE377" w14:textId="77777777" w:rsidR="001A19CD" w:rsidRPr="00E828AF" w:rsidRDefault="001A19CD" w:rsidP="001A19CD">
      <w:pPr>
        <w:spacing w:after="0" w:line="276" w:lineRule="auto"/>
        <w:jc w:val="both"/>
        <w:rPr>
          <w:rFonts w:ascii="Verdana" w:hAnsi="Verdana"/>
          <w:lang w:val="es-ES"/>
        </w:rPr>
      </w:pPr>
    </w:p>
    <w:p w14:paraId="6A522984"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 xml:space="preserve">Por último, lo invitamos a seguirnos en las redes sociales en las cuales se difunde información institucional: </w:t>
      </w:r>
    </w:p>
    <w:p w14:paraId="6D0F8C42" w14:textId="77777777" w:rsidR="001A19CD" w:rsidRPr="00E828AF" w:rsidRDefault="001A19CD" w:rsidP="001A19CD">
      <w:pPr>
        <w:spacing w:after="0" w:line="276" w:lineRule="auto"/>
        <w:jc w:val="both"/>
        <w:rPr>
          <w:rFonts w:ascii="Verdana" w:hAnsi="Verdana"/>
          <w:lang w:val="es-ES"/>
        </w:rPr>
      </w:pPr>
    </w:p>
    <w:p w14:paraId="0884C1FB"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 xml:space="preserve">Twitter: </w:t>
      </w:r>
      <w:r w:rsidRPr="00E828AF">
        <w:rPr>
          <w:rStyle w:val="Hipervnculo"/>
          <w:rFonts w:ascii="Verdana" w:hAnsi="Verdana" w:cs="Arial"/>
          <w:shd w:val="clear" w:color="auto" w:fill="FFFFFF"/>
          <w:lang w:val="es-ES"/>
        </w:rPr>
        <w:t>@colombiacompra</w:t>
      </w:r>
      <w:r w:rsidRPr="00E828AF">
        <w:rPr>
          <w:rFonts w:ascii="Verdana" w:hAnsi="Verdana"/>
          <w:color w:val="4472C4" w:themeColor="accent1"/>
          <w:lang w:val="es-ES"/>
        </w:rPr>
        <w:t xml:space="preserve"> </w:t>
      </w:r>
    </w:p>
    <w:p w14:paraId="6812735A"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 xml:space="preserve">Facebook: </w:t>
      </w:r>
      <w:proofErr w:type="spellStart"/>
      <w:r w:rsidRPr="00E828AF">
        <w:rPr>
          <w:rStyle w:val="Hipervnculo"/>
          <w:rFonts w:ascii="Verdana" w:hAnsi="Verdana" w:cs="Arial"/>
          <w:shd w:val="clear" w:color="auto" w:fill="FFFFFF"/>
          <w:lang w:val="es-ES"/>
        </w:rPr>
        <w:t>ColombiaCompraEficiente</w:t>
      </w:r>
      <w:proofErr w:type="spellEnd"/>
    </w:p>
    <w:p w14:paraId="26E0343D" w14:textId="77777777" w:rsidR="001A19CD" w:rsidRPr="00E828AF" w:rsidRDefault="001A19CD" w:rsidP="001A19CD">
      <w:pPr>
        <w:spacing w:after="0" w:line="276" w:lineRule="auto"/>
        <w:jc w:val="both"/>
        <w:rPr>
          <w:rFonts w:ascii="Verdana" w:hAnsi="Verdana"/>
          <w:lang w:val="es-ES"/>
        </w:rPr>
      </w:pPr>
      <w:r w:rsidRPr="00E828AF">
        <w:rPr>
          <w:rFonts w:ascii="Verdana" w:hAnsi="Verdana"/>
          <w:lang w:val="es-ES"/>
        </w:rPr>
        <w:t xml:space="preserve">LinkedIn: </w:t>
      </w:r>
      <w:r w:rsidRPr="00E828AF">
        <w:rPr>
          <w:rStyle w:val="Hipervnculo"/>
          <w:rFonts w:ascii="Verdana" w:hAnsi="Verdana" w:cs="Arial"/>
          <w:shd w:val="clear" w:color="auto" w:fill="FFFFFF"/>
          <w:lang w:val="es-ES"/>
        </w:rPr>
        <w:t xml:space="preserve">Agencia Nacional de Contratación Pública - Colombia Compra Eficiente </w:t>
      </w:r>
      <w:r w:rsidRPr="00E828AF">
        <w:rPr>
          <w:rFonts w:ascii="Verdana" w:hAnsi="Verdana"/>
          <w:lang w:val="es-ES"/>
        </w:rPr>
        <w:t xml:space="preserve">Instagram: </w:t>
      </w:r>
      <w:r w:rsidRPr="00E828AF">
        <w:rPr>
          <w:rStyle w:val="Hipervnculo"/>
          <w:rFonts w:ascii="Verdana" w:hAnsi="Verdana" w:cs="Arial"/>
          <w:shd w:val="clear" w:color="auto" w:fill="FFFFFF"/>
          <w:lang w:val="es-ES"/>
        </w:rPr>
        <w:t>@colombiacompraeficiente_cce</w:t>
      </w:r>
    </w:p>
    <w:p w14:paraId="0240DB42" w14:textId="77777777" w:rsidR="001A19CD" w:rsidRPr="00E828AF" w:rsidRDefault="001A19CD" w:rsidP="001A19CD">
      <w:pPr>
        <w:widowControl w:val="0"/>
        <w:autoSpaceDE w:val="0"/>
        <w:autoSpaceDN w:val="0"/>
        <w:spacing w:after="0" w:line="276" w:lineRule="auto"/>
        <w:jc w:val="both"/>
        <w:rPr>
          <w:rFonts w:ascii="Verdana" w:hAnsi="Verdana" w:cs="Arial"/>
          <w:color w:val="000000" w:themeColor="text1"/>
          <w:lang w:val="es-ES"/>
        </w:rPr>
      </w:pPr>
    </w:p>
    <w:p w14:paraId="0D283751" w14:textId="77777777" w:rsidR="001A19CD" w:rsidRPr="00E828AF" w:rsidRDefault="001A19CD" w:rsidP="001A19CD">
      <w:pPr>
        <w:widowControl w:val="0"/>
        <w:autoSpaceDE w:val="0"/>
        <w:autoSpaceDN w:val="0"/>
        <w:spacing w:after="0" w:line="276" w:lineRule="auto"/>
        <w:jc w:val="both"/>
        <w:rPr>
          <w:rFonts w:ascii="Verdana" w:hAnsi="Verdana" w:cs="Arial"/>
          <w:color w:val="000000" w:themeColor="text1"/>
          <w:lang w:val="es-ES"/>
        </w:rPr>
      </w:pPr>
      <w:r w:rsidRPr="00E828AF">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ADEC4B7" w14:textId="77777777" w:rsidR="001A19CD" w:rsidRPr="00E828AF" w:rsidRDefault="001A19CD" w:rsidP="001A19CD">
      <w:pPr>
        <w:widowControl w:val="0"/>
        <w:autoSpaceDE w:val="0"/>
        <w:autoSpaceDN w:val="0"/>
        <w:spacing w:after="0" w:line="276" w:lineRule="auto"/>
        <w:jc w:val="both"/>
        <w:rPr>
          <w:rFonts w:ascii="Verdana" w:hAnsi="Verdana" w:cs="Arial"/>
          <w:color w:val="000000" w:themeColor="text1"/>
          <w:lang w:val="es-ES"/>
        </w:rPr>
      </w:pPr>
    </w:p>
    <w:p w14:paraId="2F2D8A59" w14:textId="2C9E6B57" w:rsidR="001A19CD" w:rsidRPr="00E828AF" w:rsidRDefault="00FE6447" w:rsidP="001A19CD">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69F5C13D" wp14:editId="538E4325">
            <wp:simplePos x="0" y="0"/>
            <wp:positionH relativeFrom="column">
              <wp:posOffset>1015139</wp:posOffset>
            </wp:positionH>
            <wp:positionV relativeFrom="page">
              <wp:posOffset>5593629</wp:posOffset>
            </wp:positionV>
            <wp:extent cx="3602990" cy="1337310"/>
            <wp:effectExtent l="0" t="0" r="381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extLst>
                        <a:ext uri="{28A0092B-C50C-407E-A947-70E740481C1C}">
                          <a14:useLocalDpi xmlns:a14="http://schemas.microsoft.com/office/drawing/2010/main" val="0"/>
                        </a:ext>
                      </a:extLst>
                    </a:blip>
                    <a:stretch>
                      <a:fillRect/>
                    </a:stretch>
                  </pic:blipFill>
                  <pic:spPr>
                    <a:xfrm>
                      <a:off x="0" y="0"/>
                      <a:ext cx="3602990" cy="1337310"/>
                    </a:xfrm>
                    <a:prstGeom prst="rect">
                      <a:avLst/>
                    </a:prstGeom>
                  </pic:spPr>
                </pic:pic>
              </a:graphicData>
            </a:graphic>
            <wp14:sizeRelH relativeFrom="page">
              <wp14:pctWidth>0</wp14:pctWidth>
            </wp14:sizeRelH>
            <wp14:sizeRelV relativeFrom="page">
              <wp14:pctHeight>0</wp14:pctHeight>
            </wp14:sizeRelV>
          </wp:anchor>
        </w:drawing>
      </w:r>
      <w:r w:rsidR="001A19CD" w:rsidRPr="00E828AF">
        <w:rPr>
          <w:rFonts w:ascii="Verdana" w:eastAsia="Times New Roman" w:hAnsi="Verdana" w:cs="Arial"/>
          <w:color w:val="000000" w:themeColor="text1"/>
          <w:lang w:val="es-ES" w:eastAsia="es-CO"/>
        </w:rPr>
        <w:t>Atentamente,</w:t>
      </w:r>
      <w:r w:rsidR="001A19CD" w:rsidRPr="00E828AF">
        <w:rPr>
          <w:rFonts w:ascii="Verdana" w:hAnsi="Verdana" w:cs="Arial"/>
          <w:color w:val="000000" w:themeColor="text1"/>
          <w:lang w:val="es-ES" w:eastAsia="es-CO"/>
        </w:rPr>
        <w:t xml:space="preserve"> </w:t>
      </w:r>
    </w:p>
    <w:p w14:paraId="012135C7" w14:textId="78E60D70" w:rsidR="001A19CD" w:rsidRPr="00E828AF" w:rsidRDefault="001A19CD" w:rsidP="001A19CD">
      <w:pPr>
        <w:spacing w:line="276" w:lineRule="auto"/>
        <w:rPr>
          <w:lang w:val="es-ES"/>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A19CD" w:rsidRPr="00E828AF" w14:paraId="21B3EBDB" w14:textId="77777777" w:rsidTr="001510B2">
        <w:trPr>
          <w:trHeight w:val="315"/>
        </w:trPr>
        <w:tc>
          <w:tcPr>
            <w:tcW w:w="893" w:type="dxa"/>
            <w:vAlign w:val="center"/>
            <w:hideMark/>
          </w:tcPr>
          <w:p w14:paraId="7218C4AB" w14:textId="77777777" w:rsidR="001A19CD" w:rsidRPr="000166C9" w:rsidRDefault="001A19CD" w:rsidP="001510B2">
            <w:pPr>
              <w:contextualSpacing/>
              <w:rPr>
                <w:rFonts w:ascii="Verdana" w:hAnsi="Verdana" w:cs="Arial"/>
                <w:sz w:val="16"/>
                <w:szCs w:val="16"/>
                <w:lang w:val="es-ES" w:eastAsia="es-ES"/>
              </w:rPr>
            </w:pPr>
            <w:r w:rsidRPr="000166C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B3DC8DC" w14:textId="77777777" w:rsidR="001A19CD" w:rsidRPr="000166C9" w:rsidRDefault="001A19CD" w:rsidP="001510B2">
            <w:pPr>
              <w:contextualSpacing/>
              <w:rPr>
                <w:rFonts w:ascii="Verdana" w:eastAsia="Arial" w:hAnsi="Verdana" w:cs="Arial"/>
                <w:color w:val="000000" w:themeColor="text1"/>
                <w:sz w:val="16"/>
                <w:szCs w:val="16"/>
                <w:lang w:val="es-ES"/>
              </w:rPr>
            </w:pPr>
            <w:r w:rsidRPr="000166C9">
              <w:rPr>
                <w:rFonts w:ascii="Verdana" w:eastAsia="Arial" w:hAnsi="Verdana" w:cs="Arial"/>
                <w:color w:val="000000" w:themeColor="text1"/>
                <w:sz w:val="16"/>
                <w:szCs w:val="16"/>
                <w:lang w:val="es-ES"/>
              </w:rPr>
              <w:t>Anamaría Bonilla Prieto</w:t>
            </w:r>
          </w:p>
          <w:p w14:paraId="4C4F8526" w14:textId="77777777" w:rsidR="001A19CD" w:rsidRPr="000166C9" w:rsidRDefault="001A19CD" w:rsidP="001510B2">
            <w:pPr>
              <w:contextualSpacing/>
              <w:rPr>
                <w:rFonts w:ascii="Verdana" w:eastAsia="Arial" w:hAnsi="Verdana" w:cs="Arial"/>
                <w:sz w:val="16"/>
                <w:szCs w:val="16"/>
                <w:lang w:val="es-ES"/>
              </w:rPr>
            </w:pPr>
            <w:r w:rsidRPr="000166C9">
              <w:rPr>
                <w:rStyle w:val="normaltextrun"/>
                <w:rFonts w:ascii="Verdana" w:eastAsia="Arial" w:hAnsi="Verdana" w:cs="Arial"/>
                <w:color w:val="000000" w:themeColor="text1"/>
                <w:sz w:val="16"/>
                <w:szCs w:val="16"/>
                <w:lang w:val="es-ES"/>
              </w:rPr>
              <w:t xml:space="preserve">Contratista de la Subdirección </w:t>
            </w:r>
            <w:r w:rsidRPr="000166C9">
              <w:rPr>
                <w:rStyle w:val="normaltextrun"/>
                <w:rFonts w:ascii="Verdana" w:eastAsia="Arial" w:hAnsi="Verdana" w:cs="Arial"/>
                <w:sz w:val="16"/>
                <w:szCs w:val="16"/>
                <w:lang w:val="es-ES"/>
              </w:rPr>
              <w:t>de Gestión Contractual</w:t>
            </w:r>
          </w:p>
        </w:tc>
      </w:tr>
      <w:tr w:rsidR="001A19CD" w:rsidRPr="00E828AF" w14:paraId="6D2573C3" w14:textId="77777777" w:rsidTr="001510B2">
        <w:trPr>
          <w:trHeight w:val="330"/>
        </w:trPr>
        <w:tc>
          <w:tcPr>
            <w:tcW w:w="893" w:type="dxa"/>
            <w:vAlign w:val="center"/>
            <w:hideMark/>
          </w:tcPr>
          <w:p w14:paraId="0E6BFD5D" w14:textId="77777777" w:rsidR="001A19CD" w:rsidRPr="000166C9" w:rsidRDefault="001A19CD" w:rsidP="001510B2">
            <w:pPr>
              <w:contextualSpacing/>
              <w:rPr>
                <w:rFonts w:ascii="Verdana" w:hAnsi="Verdana" w:cs="Arial"/>
                <w:sz w:val="16"/>
                <w:szCs w:val="16"/>
                <w:lang w:val="es-ES" w:eastAsia="es-ES"/>
              </w:rPr>
            </w:pPr>
            <w:r w:rsidRPr="000166C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E3933A" w14:textId="77777777" w:rsidR="001A19CD" w:rsidRPr="000166C9" w:rsidRDefault="001A19CD" w:rsidP="001510B2">
            <w:pPr>
              <w:contextualSpacing/>
              <w:rPr>
                <w:rFonts w:ascii="Verdana" w:eastAsia="Arial" w:hAnsi="Verdana" w:cs="Arial"/>
                <w:color w:val="000000" w:themeColor="text1"/>
                <w:sz w:val="16"/>
                <w:szCs w:val="16"/>
                <w:lang w:val="es-ES"/>
              </w:rPr>
            </w:pPr>
            <w:r w:rsidRPr="000166C9">
              <w:rPr>
                <w:rFonts w:ascii="Verdana" w:eastAsia="Arial" w:hAnsi="Verdana" w:cs="Arial"/>
                <w:color w:val="000000" w:themeColor="text1"/>
                <w:sz w:val="16"/>
                <w:szCs w:val="16"/>
                <w:lang w:val="es-ES"/>
              </w:rPr>
              <w:t>Alejandro Sarmiento Cantillo</w:t>
            </w:r>
          </w:p>
          <w:p w14:paraId="38940BFC" w14:textId="77777777" w:rsidR="001A19CD" w:rsidRPr="000166C9" w:rsidRDefault="001A19CD" w:rsidP="001510B2">
            <w:pPr>
              <w:pStyle w:val="paragraph"/>
              <w:spacing w:before="0" w:beforeAutospacing="0" w:after="0" w:afterAutospacing="0"/>
              <w:contextualSpacing/>
              <w:textAlignment w:val="baseline"/>
              <w:rPr>
                <w:rFonts w:ascii="Verdana" w:hAnsi="Verdana" w:cs="Segoe UI"/>
                <w:sz w:val="16"/>
                <w:szCs w:val="16"/>
                <w:lang w:val="es-ES"/>
              </w:rPr>
            </w:pPr>
            <w:r w:rsidRPr="000166C9">
              <w:rPr>
                <w:rFonts w:ascii="Verdana" w:eastAsia="Arial" w:hAnsi="Verdana" w:cs="Arial"/>
                <w:color w:val="000000" w:themeColor="text1"/>
                <w:sz w:val="16"/>
                <w:szCs w:val="16"/>
                <w:lang w:val="es-ES"/>
              </w:rPr>
              <w:t>Gestor T1 – 15 de la Subdirección de Gestión Contractual</w:t>
            </w:r>
            <w:r w:rsidRPr="000166C9">
              <w:rPr>
                <w:rFonts w:ascii="Verdana" w:hAnsi="Verdana" w:cs="Segoe UI"/>
                <w:sz w:val="16"/>
                <w:szCs w:val="16"/>
                <w:lang w:val="es-ES"/>
              </w:rPr>
              <w:t> </w:t>
            </w:r>
          </w:p>
          <w:p w14:paraId="229C9C50" w14:textId="77777777" w:rsidR="001A19CD" w:rsidRPr="000166C9" w:rsidRDefault="001A19CD" w:rsidP="001510B2">
            <w:pPr>
              <w:pStyle w:val="paragraph"/>
              <w:spacing w:before="0" w:beforeAutospacing="0" w:after="0" w:afterAutospacing="0"/>
              <w:contextualSpacing/>
              <w:textAlignment w:val="baseline"/>
              <w:rPr>
                <w:rFonts w:ascii="Verdana" w:hAnsi="Verdana" w:cs="Segoe UI"/>
                <w:sz w:val="16"/>
                <w:szCs w:val="16"/>
                <w:lang w:val="es-ES"/>
              </w:rPr>
            </w:pPr>
          </w:p>
        </w:tc>
      </w:tr>
      <w:tr w:rsidR="001A19CD" w:rsidRPr="00E828AF" w14:paraId="11152DC1" w14:textId="77777777" w:rsidTr="001510B2">
        <w:trPr>
          <w:trHeight w:val="300"/>
        </w:trPr>
        <w:tc>
          <w:tcPr>
            <w:tcW w:w="893" w:type="dxa"/>
            <w:vAlign w:val="center"/>
          </w:tcPr>
          <w:p w14:paraId="50D703B7" w14:textId="77777777" w:rsidR="001A19CD" w:rsidRPr="000166C9" w:rsidRDefault="001A19CD" w:rsidP="001510B2">
            <w:pPr>
              <w:contextualSpacing/>
              <w:rPr>
                <w:rFonts w:ascii="Verdana" w:hAnsi="Verdana" w:cs="Arial"/>
                <w:sz w:val="16"/>
                <w:szCs w:val="16"/>
                <w:lang w:val="es-ES" w:eastAsia="es-ES"/>
              </w:rPr>
            </w:pPr>
            <w:r w:rsidRPr="000166C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B65154" w14:textId="77777777" w:rsidR="001A19CD" w:rsidRPr="000166C9" w:rsidRDefault="001A19CD" w:rsidP="001510B2">
            <w:pPr>
              <w:contextualSpacing/>
              <w:rPr>
                <w:rFonts w:ascii="Verdana" w:eastAsia="Calibri" w:hAnsi="Verdana" w:cs="Arial"/>
                <w:sz w:val="16"/>
                <w:szCs w:val="16"/>
                <w:lang w:val="es-ES" w:eastAsia="es-ES"/>
              </w:rPr>
            </w:pPr>
            <w:r w:rsidRPr="000166C9">
              <w:rPr>
                <w:rFonts w:ascii="Verdana" w:eastAsia="Calibri" w:hAnsi="Verdana" w:cs="Arial"/>
                <w:sz w:val="16"/>
                <w:szCs w:val="16"/>
                <w:lang w:val="es-ES" w:eastAsia="es-ES"/>
              </w:rPr>
              <w:t>Carolina Quintero Gacharná</w:t>
            </w:r>
          </w:p>
          <w:p w14:paraId="645AF927" w14:textId="77777777" w:rsidR="001A19CD" w:rsidRPr="000166C9" w:rsidRDefault="001A19CD" w:rsidP="001510B2">
            <w:pPr>
              <w:contextualSpacing/>
              <w:rPr>
                <w:rFonts w:ascii="Verdana" w:eastAsia="Calibri" w:hAnsi="Verdana" w:cs="Arial"/>
                <w:sz w:val="16"/>
                <w:szCs w:val="16"/>
                <w:lang w:val="es-ES" w:eastAsia="es-ES"/>
              </w:rPr>
            </w:pPr>
            <w:r w:rsidRPr="000166C9">
              <w:rPr>
                <w:rFonts w:ascii="Verdana" w:eastAsia="Calibri" w:hAnsi="Verdana" w:cs="Arial"/>
                <w:sz w:val="16"/>
                <w:szCs w:val="16"/>
                <w:lang w:val="es-ES" w:eastAsia="es-ES"/>
              </w:rPr>
              <w:t>Subdirectora de Gestión Contractual ANCP – CCE</w:t>
            </w:r>
          </w:p>
        </w:tc>
      </w:tr>
      <w:bookmarkEnd w:id="0"/>
    </w:tbl>
    <w:p w14:paraId="467BE19B" w14:textId="77777777" w:rsidR="001A19CD" w:rsidRPr="00E828AF" w:rsidRDefault="001A19CD" w:rsidP="001A19CD">
      <w:pPr>
        <w:rPr>
          <w:lang w:val="es-ES"/>
        </w:rPr>
      </w:pPr>
    </w:p>
    <w:p w14:paraId="198AC0F7" w14:textId="77777777" w:rsidR="001A19CD" w:rsidRPr="00B5755F" w:rsidRDefault="001A19CD" w:rsidP="001A19CD"/>
    <w:p w14:paraId="0F293BF4" w14:textId="43CCDB79" w:rsidR="00127233" w:rsidRPr="001A19CD" w:rsidRDefault="00127233" w:rsidP="001A19CD"/>
    <w:sectPr w:rsidR="00127233" w:rsidRPr="001A19C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5396" w14:textId="77777777" w:rsidR="00535C97" w:rsidRDefault="00535C97" w:rsidP="004A1847">
      <w:pPr>
        <w:spacing w:after="0" w:line="240" w:lineRule="auto"/>
      </w:pPr>
      <w:r>
        <w:separator/>
      </w:r>
    </w:p>
  </w:endnote>
  <w:endnote w:type="continuationSeparator" w:id="0">
    <w:p w14:paraId="3152C227" w14:textId="77777777" w:rsidR="00535C97" w:rsidRDefault="00535C97" w:rsidP="004A1847">
      <w:pPr>
        <w:spacing w:after="0" w:line="240" w:lineRule="auto"/>
      </w:pPr>
      <w:r>
        <w:continuationSeparator/>
      </w:r>
    </w:p>
  </w:endnote>
  <w:endnote w:type="continuationNotice" w:id="1">
    <w:p w14:paraId="44F462E1" w14:textId="77777777" w:rsidR="00535C97" w:rsidRDefault="00535C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02E5" w14:textId="77777777" w:rsidR="00535C97" w:rsidRDefault="00535C97" w:rsidP="004A1847">
      <w:pPr>
        <w:spacing w:after="0" w:line="240" w:lineRule="auto"/>
      </w:pPr>
      <w:r>
        <w:separator/>
      </w:r>
    </w:p>
  </w:footnote>
  <w:footnote w:type="continuationSeparator" w:id="0">
    <w:p w14:paraId="7D291FE8" w14:textId="77777777" w:rsidR="00535C97" w:rsidRDefault="00535C97" w:rsidP="004A1847">
      <w:pPr>
        <w:spacing w:after="0" w:line="240" w:lineRule="auto"/>
      </w:pPr>
      <w:r>
        <w:continuationSeparator/>
      </w:r>
    </w:p>
  </w:footnote>
  <w:footnote w:type="continuationNotice" w:id="1">
    <w:p w14:paraId="5156F8E7" w14:textId="77777777" w:rsidR="00535C97" w:rsidRDefault="00535C97">
      <w:pPr>
        <w:spacing w:after="0" w:line="240" w:lineRule="auto"/>
      </w:pPr>
    </w:p>
  </w:footnote>
  <w:footnote w:id="2">
    <w:p w14:paraId="1A497349" w14:textId="77777777" w:rsidR="001A19CD" w:rsidRPr="00691835" w:rsidRDefault="001A19CD" w:rsidP="001A19CD">
      <w:pPr>
        <w:spacing w:after="0" w:line="240" w:lineRule="auto"/>
        <w:ind w:firstLine="708"/>
        <w:contextualSpacing/>
        <w:jc w:val="both"/>
        <w:rPr>
          <w:rFonts w:ascii="Verdana" w:eastAsia="Times New Roman" w:hAnsi="Verdana" w:cs="Times New Roman"/>
          <w:sz w:val="16"/>
          <w:szCs w:val="16"/>
          <w:lang w:eastAsia="es-ES_tradnl"/>
        </w:rPr>
      </w:pPr>
      <w:r w:rsidRPr="00691835">
        <w:rPr>
          <w:rStyle w:val="Refdenotaalpie"/>
          <w:rFonts w:ascii="Verdana" w:hAnsi="Verdana"/>
          <w:sz w:val="16"/>
          <w:szCs w:val="16"/>
        </w:rPr>
        <w:footnoteRef/>
      </w:r>
      <w:r w:rsidRPr="00691835">
        <w:rPr>
          <w:rFonts w:ascii="Verdana" w:hAnsi="Verdana"/>
          <w:sz w:val="16"/>
          <w:szCs w:val="16"/>
        </w:rPr>
        <w:t xml:space="preserve"> </w:t>
      </w:r>
      <w:r w:rsidRPr="00691835">
        <w:rPr>
          <w:rFonts w:ascii="Verdana" w:eastAsia="Times New Roman" w:hAnsi="Verdana" w:cs="Times New Roman"/>
          <w:sz w:val="16"/>
          <w:szCs w:val="16"/>
          <w:lang w:eastAsia="es-ES_tradnl"/>
        </w:rPr>
        <w:t>Por la cual se modifica la Ley 9ª de 1989, y la Ley 3ª de 1991 y se dictan otras disposiciones.</w:t>
      </w:r>
    </w:p>
  </w:footnote>
  <w:footnote w:id="3">
    <w:p w14:paraId="25E9F506" w14:textId="04022EAF" w:rsidR="00ED6D7C" w:rsidRPr="00691835" w:rsidRDefault="00ED6D7C" w:rsidP="00ED6D7C">
      <w:pPr>
        <w:pStyle w:val="Textonotapie"/>
        <w:ind w:firstLine="708"/>
        <w:rPr>
          <w:rFonts w:ascii="Verdana" w:hAnsi="Verdana"/>
          <w:sz w:val="16"/>
          <w:szCs w:val="16"/>
          <w:lang w:val="es-ES"/>
        </w:rPr>
      </w:pPr>
      <w:r w:rsidRPr="00691835">
        <w:rPr>
          <w:rStyle w:val="Refdenotaalpie"/>
          <w:rFonts w:ascii="Verdana" w:hAnsi="Verdana"/>
          <w:sz w:val="16"/>
          <w:szCs w:val="16"/>
        </w:rPr>
        <w:footnoteRef/>
      </w:r>
      <w:r w:rsidRPr="00691835">
        <w:rPr>
          <w:rFonts w:ascii="Verdana" w:hAnsi="Verdana"/>
          <w:sz w:val="16"/>
          <w:szCs w:val="16"/>
        </w:rPr>
        <w:t xml:space="preserve"> </w:t>
      </w:r>
      <w:r w:rsidR="007B0749" w:rsidRPr="00691835">
        <w:rPr>
          <w:rFonts w:ascii="Verdana" w:hAnsi="Verdana"/>
          <w:sz w:val="16"/>
          <w:szCs w:val="16"/>
          <w:lang w:val="es-CO"/>
        </w:rPr>
        <w:t xml:space="preserve">CONSEJO DE ESTADO. </w:t>
      </w:r>
      <w:r w:rsidRPr="00691835">
        <w:rPr>
          <w:rFonts w:ascii="Verdana" w:hAnsi="Verdana"/>
          <w:sz w:val="16"/>
          <w:szCs w:val="16"/>
          <w:lang w:val="es-CO"/>
        </w:rPr>
        <w:t>Sala Plena de lo Contencioso Administrativo. Sentencia de unificación del 14 de agosto de 2018. Rad. 05001-33-31-003-2009-00157-01(AP)SU. C.P. Oswaldo Giraldo López.</w:t>
      </w:r>
    </w:p>
  </w:footnote>
  <w:footnote w:id="4">
    <w:p w14:paraId="60C34F88" w14:textId="77777777" w:rsidR="001A19CD" w:rsidRPr="00691835" w:rsidRDefault="001A19CD" w:rsidP="001A19CD">
      <w:pPr>
        <w:shd w:val="clear" w:color="auto" w:fill="FFFFFF"/>
        <w:spacing w:after="0" w:line="240" w:lineRule="auto"/>
        <w:ind w:firstLine="708"/>
        <w:contextualSpacing/>
        <w:jc w:val="both"/>
        <w:rPr>
          <w:rFonts w:ascii="Verdana" w:hAnsi="Verdana"/>
          <w:b/>
          <w:sz w:val="16"/>
          <w:szCs w:val="16"/>
        </w:rPr>
      </w:pPr>
      <w:r w:rsidRPr="00691835">
        <w:rPr>
          <w:rStyle w:val="Refdenotaalpie"/>
          <w:rFonts w:ascii="Verdana" w:hAnsi="Verdana"/>
          <w:sz w:val="16"/>
          <w:szCs w:val="16"/>
        </w:rPr>
        <w:footnoteRef/>
      </w:r>
      <w:r w:rsidRPr="00691835">
        <w:rPr>
          <w:rFonts w:ascii="Verdana" w:hAnsi="Verdana"/>
          <w:sz w:val="16"/>
          <w:szCs w:val="16"/>
        </w:rPr>
        <w:t xml:space="preserve"> PIMIENTO Echeverri, Julián. El aprovechamiento económico de los bienes de uso público. Reflexiones con ocasión del reciente fallo de unificación sobre la improcedencia del contrato de arrendamiento. En:</w:t>
      </w:r>
      <w:r w:rsidRPr="00691835">
        <w:rPr>
          <w:rFonts w:ascii="Verdana" w:hAnsi="Verdana"/>
          <w:b/>
          <w:sz w:val="16"/>
          <w:szCs w:val="16"/>
        </w:rPr>
        <w:t xml:space="preserve"> </w:t>
      </w:r>
      <w:r w:rsidRPr="00691835">
        <w:rPr>
          <w:rFonts w:ascii="Verdana" w:hAnsi="Verdana"/>
          <w:i/>
          <w:sz w:val="16"/>
          <w:szCs w:val="16"/>
        </w:rPr>
        <w:t>Revista Digital de Derecho Administrativo. Universidad Externado de Colombia. Diciembre. 2019.</w:t>
      </w:r>
    </w:p>
  </w:footnote>
  <w:footnote w:id="5">
    <w:p w14:paraId="3FCF0B18" w14:textId="77777777" w:rsidR="001A19CD" w:rsidRPr="00691835" w:rsidRDefault="001A19CD" w:rsidP="001A19CD">
      <w:pPr>
        <w:pStyle w:val="Textonotapie"/>
        <w:ind w:firstLine="708"/>
        <w:contextualSpacing/>
        <w:jc w:val="both"/>
        <w:rPr>
          <w:rFonts w:ascii="Verdana" w:hAnsi="Verdana" w:cs="Arial"/>
          <w:sz w:val="16"/>
          <w:szCs w:val="16"/>
          <w:lang w:val="es-CO"/>
        </w:rPr>
      </w:pPr>
      <w:r w:rsidRPr="00691835">
        <w:rPr>
          <w:rStyle w:val="Refdenotaalpie"/>
          <w:rFonts w:ascii="Verdana" w:hAnsi="Verdana" w:cs="Arial"/>
          <w:sz w:val="16"/>
          <w:szCs w:val="16"/>
        </w:rPr>
        <w:footnoteRef/>
      </w:r>
      <w:r w:rsidRPr="00691835">
        <w:rPr>
          <w:rFonts w:ascii="Verdana" w:hAnsi="Verdana" w:cs="Arial"/>
          <w:sz w:val="16"/>
          <w:szCs w:val="16"/>
        </w:rPr>
        <w:t xml:space="preserve"> </w:t>
      </w:r>
      <w:r w:rsidRPr="00691835">
        <w:rPr>
          <w:rFonts w:ascii="Verdana" w:hAnsi="Verdana" w:cs="Arial"/>
          <w:sz w:val="16"/>
          <w:szCs w:val="16"/>
          <w:lang w:val="es-CO"/>
        </w:rPr>
        <w:t xml:space="preserve">CLARO SOLAR, Luis. Explicaciones de derecho civil chileno y comparado. Tomo Décimo – Obligaciones y contratos 1. Santiago de Chile, Nascimiento, 1936. </w:t>
      </w:r>
    </w:p>
  </w:footnote>
  <w:footnote w:id="6">
    <w:p w14:paraId="04E966C6" w14:textId="77777777" w:rsidR="001A19CD" w:rsidRPr="00691835" w:rsidRDefault="001A19CD" w:rsidP="001A19CD">
      <w:pPr>
        <w:pStyle w:val="Textoindependiente"/>
        <w:spacing w:after="0" w:line="240" w:lineRule="auto"/>
        <w:ind w:firstLine="708"/>
        <w:contextualSpacing/>
        <w:jc w:val="both"/>
        <w:rPr>
          <w:rFonts w:ascii="Verdana" w:hAnsi="Verdana" w:cs="Arial"/>
          <w:sz w:val="16"/>
          <w:szCs w:val="16"/>
        </w:rPr>
      </w:pPr>
      <w:r w:rsidRPr="00691835">
        <w:rPr>
          <w:rStyle w:val="Refdenotaalpie"/>
          <w:rFonts w:ascii="Verdana" w:hAnsi="Verdana" w:cs="Arial"/>
          <w:sz w:val="16"/>
          <w:szCs w:val="16"/>
        </w:rPr>
        <w:footnoteRef/>
      </w:r>
      <w:r w:rsidRPr="00691835">
        <w:rPr>
          <w:rFonts w:ascii="Verdana" w:hAnsi="Verdana" w:cs="Arial"/>
          <w:sz w:val="16"/>
          <w:szCs w:val="16"/>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691835">
        <w:rPr>
          <w:rFonts w:ascii="Verdana" w:hAnsi="Verdana" w:cs="Arial"/>
          <w:i/>
          <w:sz w:val="16"/>
          <w:szCs w:val="16"/>
        </w:rPr>
        <w:t>El Negocio Jurídico</w:t>
      </w:r>
      <w:r w:rsidRPr="00691835">
        <w:rPr>
          <w:rFonts w:ascii="Verdana" w:hAnsi="Verdana" w:cs="Arial"/>
          <w:sz w:val="16"/>
          <w:szCs w:val="16"/>
        </w:rPr>
        <w:t>, Volumen I, Universidad Externado de Colombia, Bogotá, 2015, pág. 107).</w:t>
      </w:r>
    </w:p>
  </w:footnote>
  <w:footnote w:id="7">
    <w:p w14:paraId="09185F3F" w14:textId="77777777" w:rsidR="001A19CD" w:rsidRPr="00691835" w:rsidRDefault="001A19CD" w:rsidP="001A19CD">
      <w:pPr>
        <w:pStyle w:val="Textoindependiente"/>
        <w:spacing w:after="0" w:line="240" w:lineRule="auto"/>
        <w:ind w:firstLine="708"/>
        <w:contextualSpacing/>
        <w:jc w:val="both"/>
        <w:rPr>
          <w:rFonts w:ascii="Verdana" w:hAnsi="Verdana" w:cs="Arial"/>
          <w:sz w:val="16"/>
          <w:szCs w:val="16"/>
        </w:rPr>
      </w:pPr>
      <w:r w:rsidRPr="00691835">
        <w:rPr>
          <w:rStyle w:val="Refdenotaalpie"/>
          <w:rFonts w:ascii="Verdana" w:hAnsi="Verdana" w:cs="Arial"/>
          <w:sz w:val="16"/>
          <w:szCs w:val="16"/>
        </w:rPr>
        <w:footnoteRef/>
      </w:r>
      <w:r w:rsidRPr="00691835">
        <w:rPr>
          <w:rFonts w:ascii="Verdana" w:hAnsi="Verdana" w:cs="Arial"/>
          <w:sz w:val="16"/>
          <w:szCs w:val="16"/>
        </w:rPr>
        <w:t xml:space="preserve"> </w:t>
      </w:r>
      <w:r w:rsidRPr="00691835">
        <w:rPr>
          <w:rFonts w:ascii="Verdana" w:hAnsi="Verdana" w:cs="Arial"/>
          <w:sz w:val="16"/>
          <w:szCs w:val="16"/>
          <w:lang w:val="es-ES_tradnl"/>
        </w:rPr>
        <w:t xml:space="preserve">El artículo 2º define, para los efectos del ámbito de sujeción del estatuto, que se denominan entidades estatales: a) </w:t>
      </w:r>
      <w:r w:rsidRPr="00691835">
        <w:rPr>
          <w:rFonts w:ascii="Verdana" w:hAnsi="Verdana" w:cs="Arial"/>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8">
    <w:p w14:paraId="070AB8E6" w14:textId="77777777" w:rsidR="001A19CD" w:rsidRPr="00691835" w:rsidRDefault="001A19CD" w:rsidP="001A19CD">
      <w:pPr>
        <w:pStyle w:val="Textonotapie"/>
        <w:ind w:firstLine="720"/>
        <w:contextualSpacing/>
        <w:jc w:val="both"/>
        <w:rPr>
          <w:rFonts w:ascii="Verdana" w:hAnsi="Verdana" w:cs="Arial"/>
          <w:sz w:val="16"/>
          <w:szCs w:val="16"/>
        </w:rPr>
      </w:pPr>
      <w:r w:rsidRPr="00691835">
        <w:rPr>
          <w:rStyle w:val="Refdenotaalpie"/>
          <w:rFonts w:ascii="Verdana" w:hAnsi="Verdana" w:cs="Arial"/>
          <w:sz w:val="16"/>
          <w:szCs w:val="16"/>
        </w:rPr>
        <w:footnoteRef/>
      </w:r>
      <w:r w:rsidRPr="00691835">
        <w:rPr>
          <w:rFonts w:ascii="Verdana" w:hAnsi="Verdana" w:cs="Arial"/>
          <w:sz w:val="16"/>
          <w:szCs w:val="16"/>
        </w:rPr>
        <w:t xml:space="preserve"> Consejo de Estado. Sección Tercera. Sentencia del 4 de abril de 2002, M.P. Alier E. Hernández Enríquez. Rad. 1999-0290-01 (17.244).</w:t>
      </w:r>
    </w:p>
  </w:footnote>
  <w:footnote w:id="9">
    <w:p w14:paraId="41640E32" w14:textId="77777777" w:rsidR="001A19CD" w:rsidRPr="00691835" w:rsidRDefault="001A19CD" w:rsidP="001A19CD">
      <w:pPr>
        <w:spacing w:after="0" w:line="240" w:lineRule="auto"/>
        <w:ind w:firstLine="707"/>
        <w:contextualSpacing/>
        <w:jc w:val="both"/>
        <w:rPr>
          <w:rFonts w:ascii="Verdana" w:hAnsi="Verdana" w:cs="Arial"/>
          <w:sz w:val="16"/>
          <w:szCs w:val="16"/>
        </w:rPr>
      </w:pPr>
      <w:r w:rsidRPr="00691835">
        <w:rPr>
          <w:rStyle w:val="Refdenotaalpie"/>
          <w:rFonts w:ascii="Verdana" w:hAnsi="Verdana" w:cs="Arial"/>
          <w:sz w:val="16"/>
          <w:szCs w:val="16"/>
        </w:rPr>
        <w:footnoteRef/>
      </w:r>
      <w:r w:rsidRPr="00691835">
        <w:rPr>
          <w:rFonts w:ascii="Verdana" w:hAnsi="Verdana" w:cs="Arial"/>
          <w:sz w:val="16"/>
          <w:szCs w:val="16"/>
        </w:rPr>
        <w:t xml:space="preserve"> CONSEJO DE ESTADO. Sección Tercera, Auto del 30 de enero de 2008. Rad. 32.867, M.P. Mauricio Fajardo Gómez.</w:t>
      </w:r>
    </w:p>
  </w:footnote>
  <w:footnote w:id="10">
    <w:p w14:paraId="3681684F" w14:textId="77777777" w:rsidR="001A19CD" w:rsidRPr="00691835" w:rsidRDefault="001A19CD" w:rsidP="001A19CD">
      <w:pPr>
        <w:spacing w:after="0" w:line="240" w:lineRule="auto"/>
        <w:ind w:firstLine="707"/>
        <w:contextualSpacing/>
        <w:jc w:val="both"/>
        <w:rPr>
          <w:rFonts w:ascii="Verdana" w:hAnsi="Verdana" w:cs="Arial"/>
          <w:sz w:val="16"/>
          <w:szCs w:val="16"/>
        </w:rPr>
      </w:pPr>
      <w:r w:rsidRPr="00691835">
        <w:rPr>
          <w:rStyle w:val="Refdenotaalpie"/>
          <w:rFonts w:ascii="Verdana" w:hAnsi="Verdana" w:cs="Arial"/>
          <w:sz w:val="16"/>
          <w:szCs w:val="16"/>
        </w:rPr>
        <w:footnoteRef/>
      </w:r>
      <w:r w:rsidRPr="00691835">
        <w:rPr>
          <w:rFonts w:ascii="Verdana" w:hAnsi="Verdana" w:cs="Arial"/>
          <w:sz w:val="16"/>
          <w:szCs w:val="16"/>
        </w:rPr>
        <w:t xml:space="preserve"> CONSEJO DE ESTADO, Sección Tercera. Sentencia de 23 de septiembre de 1997, Rad. S-701.</w:t>
      </w:r>
    </w:p>
  </w:footnote>
  <w:footnote w:id="11">
    <w:p w14:paraId="1D8B77DE" w14:textId="77777777" w:rsidR="001A19CD" w:rsidRPr="00691835" w:rsidRDefault="001A19CD" w:rsidP="001A19CD">
      <w:pPr>
        <w:spacing w:after="0" w:line="240" w:lineRule="auto"/>
        <w:ind w:firstLine="707"/>
        <w:contextualSpacing/>
        <w:jc w:val="both"/>
        <w:rPr>
          <w:rFonts w:ascii="Verdana" w:hAnsi="Verdana" w:cs="Arial"/>
          <w:sz w:val="16"/>
          <w:szCs w:val="16"/>
        </w:rPr>
      </w:pPr>
      <w:r w:rsidRPr="00691835">
        <w:rPr>
          <w:rStyle w:val="Refdenotaalpie"/>
          <w:rFonts w:ascii="Verdana" w:hAnsi="Verdana" w:cs="Arial"/>
          <w:sz w:val="16"/>
          <w:szCs w:val="16"/>
        </w:rPr>
        <w:footnoteRef/>
      </w:r>
      <w:r w:rsidRPr="00691835">
        <w:rPr>
          <w:rFonts w:ascii="Verdana" w:hAnsi="Verdana" w:cs="Arial"/>
          <w:sz w:val="16"/>
          <w:szCs w:val="16"/>
        </w:rPr>
        <w:t xml:space="preserve"> CONSEJO DE ESTADO, Sala de Consulta y Servicio Civil. Concepto de 15 de mayo de 2018, Rad. 2335.</w:t>
      </w:r>
    </w:p>
  </w:footnote>
  <w:footnote w:id="12">
    <w:p w14:paraId="0A8238F9" w14:textId="77777777" w:rsidR="001A19CD" w:rsidRPr="00691835" w:rsidRDefault="001A19CD" w:rsidP="001A19CD">
      <w:pPr>
        <w:pStyle w:val="Textonotapie"/>
        <w:ind w:firstLine="567"/>
        <w:contextualSpacing/>
        <w:jc w:val="both"/>
        <w:rPr>
          <w:rFonts w:ascii="Verdana" w:hAnsi="Verdana"/>
          <w:sz w:val="16"/>
          <w:szCs w:val="16"/>
          <w:lang w:val="es-ES"/>
        </w:rPr>
      </w:pPr>
      <w:r w:rsidRPr="00691835">
        <w:rPr>
          <w:rStyle w:val="Refdenotaalpie"/>
          <w:rFonts w:ascii="Verdana" w:hAnsi="Verdana"/>
          <w:sz w:val="16"/>
          <w:szCs w:val="16"/>
        </w:rPr>
        <w:footnoteRef/>
      </w:r>
      <w:r w:rsidRPr="00691835">
        <w:rPr>
          <w:rFonts w:ascii="Verdana" w:hAnsi="Verdana"/>
          <w:sz w:val="16"/>
          <w:szCs w:val="16"/>
        </w:rPr>
        <w:t xml:space="preserve"> </w:t>
      </w:r>
      <w:r w:rsidRPr="00691835">
        <w:rPr>
          <w:rFonts w:ascii="Verdana" w:hAnsi="Verdana"/>
          <w:sz w:val="16"/>
          <w:szCs w:val="16"/>
          <w:lang w:val="es-ES"/>
        </w:rPr>
        <w:t xml:space="preserve">Ley 1955 de 2019. </w:t>
      </w:r>
      <w:bookmarkStart w:id="6" w:name="242"/>
      <w:r w:rsidRPr="00691835">
        <w:rPr>
          <w:rFonts w:ascii="Verdana" w:hAnsi="Verdana"/>
          <w:sz w:val="16"/>
          <w:szCs w:val="16"/>
          <w:lang w:val="es-ES"/>
        </w:rPr>
        <w:t>“</w:t>
      </w:r>
      <w:r w:rsidRPr="00691835">
        <w:rPr>
          <w:rFonts w:ascii="Verdana" w:hAnsi="Verdana"/>
          <w:sz w:val="16"/>
          <w:szCs w:val="16"/>
          <w:lang w:val="es-CO"/>
        </w:rPr>
        <w:t>Artículo 242. Solidaridad en el sistema de salud.</w:t>
      </w:r>
      <w:bookmarkEnd w:id="6"/>
      <w:r w:rsidRPr="00691835">
        <w:rPr>
          <w:rFonts w:ascii="Verdana" w:hAnsi="Verdana"/>
          <w:sz w:val="16"/>
          <w:szCs w:val="16"/>
          <w:lang w:val="es-CO"/>
        </w:rPr>
        <w:t xml:space="preserve"> Los afiliados al Régimen Subsidiado en el Sistema General de Seguridad Social en Salud son las personas sin capacidad de pago para cubrir el monto total de la cotización. La población que sea clasificada como pobre o vulnerable según el Sistema de Identificación de Potenciales Beneficiarios de Programas Sociales (Sisbén), recibirá subsidio pleno y por tanto no deberá contribuir. Los afiliados al Régimen Subsidiado de salud que, </w:t>
      </w:r>
      <w:proofErr w:type="gramStart"/>
      <w:r w:rsidRPr="00691835">
        <w:rPr>
          <w:rFonts w:ascii="Verdana" w:hAnsi="Verdana"/>
          <w:sz w:val="16"/>
          <w:szCs w:val="16"/>
          <w:lang w:val="es-CO"/>
        </w:rPr>
        <w:t>de acuerdo al</w:t>
      </w:r>
      <w:proofErr w:type="gramEnd"/>
      <w:r w:rsidRPr="00691835">
        <w:rPr>
          <w:rFonts w:ascii="Verdana" w:hAnsi="Verdana"/>
          <w:sz w:val="16"/>
          <w:szCs w:val="16"/>
          <w:lang w:val="es-CO"/>
        </w:rPr>
        <w:t xml:space="preserve"> Sisbén, sean clasificados como no pobres o no vulnerables deberán contribuir solidariamente al sistema, </w:t>
      </w:r>
      <w:proofErr w:type="gramStart"/>
      <w:r w:rsidRPr="00691835">
        <w:rPr>
          <w:rFonts w:ascii="Verdana" w:hAnsi="Verdana"/>
          <w:sz w:val="16"/>
          <w:szCs w:val="16"/>
          <w:lang w:val="es-CO"/>
        </w:rPr>
        <w:t>de acuerdo a</w:t>
      </w:r>
      <w:proofErr w:type="gramEnd"/>
      <w:r w:rsidRPr="00691835">
        <w:rPr>
          <w:rFonts w:ascii="Verdana" w:hAnsi="Verdana"/>
          <w:sz w:val="16"/>
          <w:szCs w:val="16"/>
          <w:lang w:val="es-CO"/>
        </w:rPr>
        <w:t xml:space="preserve"> su capacidad de pago parcial, definida según el mismo Sisbén […]”.</w:t>
      </w:r>
    </w:p>
  </w:footnote>
  <w:footnote w:id="13">
    <w:p w14:paraId="293F4239" w14:textId="419C63B0" w:rsidR="00A713F2" w:rsidRPr="00691835" w:rsidRDefault="00A713F2" w:rsidP="00691835">
      <w:pPr>
        <w:ind w:firstLine="567"/>
        <w:jc w:val="both"/>
        <w:rPr>
          <w:rFonts w:ascii="Verdana" w:hAnsi="Verdana"/>
          <w:sz w:val="16"/>
          <w:szCs w:val="16"/>
        </w:rPr>
      </w:pPr>
      <w:r w:rsidRPr="00691835">
        <w:rPr>
          <w:rStyle w:val="Refdenotaalpie"/>
          <w:rFonts w:ascii="Verdana" w:hAnsi="Verdana"/>
          <w:sz w:val="16"/>
          <w:szCs w:val="16"/>
        </w:rPr>
        <w:footnoteRef/>
      </w:r>
      <w:r w:rsidRPr="00691835">
        <w:rPr>
          <w:rFonts w:ascii="Verdana" w:hAnsi="Verdana"/>
          <w:sz w:val="16"/>
          <w:szCs w:val="16"/>
        </w:rPr>
        <w:t xml:space="preserve"> Ley 1955 de 2019, artículos 242 y 244. La verificación de la afiliación en salud puede apoyarse en la información de la Administradora de los Recursos del Sistema General de Seguridad Social en Salud (ADRES).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B62B67"/>
    <w:multiLevelType w:val="multilevel"/>
    <w:tmpl w:val="8214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291131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6C9"/>
    <w:rsid w:val="00016F78"/>
    <w:rsid w:val="00031976"/>
    <w:rsid w:val="00046945"/>
    <w:rsid w:val="00061B2A"/>
    <w:rsid w:val="00082362"/>
    <w:rsid w:val="00082818"/>
    <w:rsid w:val="000A683E"/>
    <w:rsid w:val="000B19B9"/>
    <w:rsid w:val="000D0334"/>
    <w:rsid w:val="000D5DA7"/>
    <w:rsid w:val="000F6486"/>
    <w:rsid w:val="00116940"/>
    <w:rsid w:val="00125105"/>
    <w:rsid w:val="0012555A"/>
    <w:rsid w:val="00127233"/>
    <w:rsid w:val="0015699B"/>
    <w:rsid w:val="001636B0"/>
    <w:rsid w:val="001A19CD"/>
    <w:rsid w:val="001A33BF"/>
    <w:rsid w:val="001D2B15"/>
    <w:rsid w:val="001E4177"/>
    <w:rsid w:val="001E46E7"/>
    <w:rsid w:val="001F0B24"/>
    <w:rsid w:val="001F7DC6"/>
    <w:rsid w:val="0022400B"/>
    <w:rsid w:val="002421BB"/>
    <w:rsid w:val="0025796E"/>
    <w:rsid w:val="002707A2"/>
    <w:rsid w:val="00286D00"/>
    <w:rsid w:val="002951A0"/>
    <w:rsid w:val="002962BC"/>
    <w:rsid w:val="002A093D"/>
    <w:rsid w:val="002A0DD0"/>
    <w:rsid w:val="002A49AC"/>
    <w:rsid w:val="002A64FD"/>
    <w:rsid w:val="002C7A84"/>
    <w:rsid w:val="002D14DF"/>
    <w:rsid w:val="002E2BF8"/>
    <w:rsid w:val="002E4FD9"/>
    <w:rsid w:val="0030657A"/>
    <w:rsid w:val="00322A85"/>
    <w:rsid w:val="00324168"/>
    <w:rsid w:val="00330834"/>
    <w:rsid w:val="003448F4"/>
    <w:rsid w:val="00374F5E"/>
    <w:rsid w:val="00377E3E"/>
    <w:rsid w:val="00380AA1"/>
    <w:rsid w:val="00393635"/>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0978"/>
    <w:rsid w:val="004F21C4"/>
    <w:rsid w:val="004F685F"/>
    <w:rsid w:val="00535C97"/>
    <w:rsid w:val="005566E8"/>
    <w:rsid w:val="00574867"/>
    <w:rsid w:val="00591460"/>
    <w:rsid w:val="005A65E0"/>
    <w:rsid w:val="005C3777"/>
    <w:rsid w:val="005C5CDC"/>
    <w:rsid w:val="005D476C"/>
    <w:rsid w:val="005F7C53"/>
    <w:rsid w:val="006200BF"/>
    <w:rsid w:val="006219F8"/>
    <w:rsid w:val="006302F7"/>
    <w:rsid w:val="00646B9F"/>
    <w:rsid w:val="006565EF"/>
    <w:rsid w:val="00665D70"/>
    <w:rsid w:val="00671BA5"/>
    <w:rsid w:val="006900D9"/>
    <w:rsid w:val="00691835"/>
    <w:rsid w:val="00706C16"/>
    <w:rsid w:val="007340C3"/>
    <w:rsid w:val="0075235A"/>
    <w:rsid w:val="00756841"/>
    <w:rsid w:val="007649AB"/>
    <w:rsid w:val="0077163C"/>
    <w:rsid w:val="00771D0C"/>
    <w:rsid w:val="007833AC"/>
    <w:rsid w:val="007B0749"/>
    <w:rsid w:val="007B268C"/>
    <w:rsid w:val="007B4E44"/>
    <w:rsid w:val="007B7171"/>
    <w:rsid w:val="007C0C0F"/>
    <w:rsid w:val="007C3DC2"/>
    <w:rsid w:val="007E5497"/>
    <w:rsid w:val="00806F5F"/>
    <w:rsid w:val="00820278"/>
    <w:rsid w:val="008258C9"/>
    <w:rsid w:val="00844AE9"/>
    <w:rsid w:val="00846C90"/>
    <w:rsid w:val="00867F95"/>
    <w:rsid w:val="008843B6"/>
    <w:rsid w:val="00891928"/>
    <w:rsid w:val="008A446D"/>
    <w:rsid w:val="008B25F1"/>
    <w:rsid w:val="008D180B"/>
    <w:rsid w:val="008E14E6"/>
    <w:rsid w:val="008F0EA7"/>
    <w:rsid w:val="009020C0"/>
    <w:rsid w:val="00917D6C"/>
    <w:rsid w:val="00923EEF"/>
    <w:rsid w:val="009419F9"/>
    <w:rsid w:val="0095685E"/>
    <w:rsid w:val="00961B09"/>
    <w:rsid w:val="00965334"/>
    <w:rsid w:val="0097093E"/>
    <w:rsid w:val="0099437A"/>
    <w:rsid w:val="009A0B4A"/>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13F2"/>
    <w:rsid w:val="00AB0ADB"/>
    <w:rsid w:val="00AD5D06"/>
    <w:rsid w:val="00B00C0E"/>
    <w:rsid w:val="00B01B1A"/>
    <w:rsid w:val="00B0381D"/>
    <w:rsid w:val="00B155BD"/>
    <w:rsid w:val="00B44A47"/>
    <w:rsid w:val="00B72CD3"/>
    <w:rsid w:val="00B72FFF"/>
    <w:rsid w:val="00BA106D"/>
    <w:rsid w:val="00BA40CC"/>
    <w:rsid w:val="00BB5180"/>
    <w:rsid w:val="00BC3D36"/>
    <w:rsid w:val="00BD54A6"/>
    <w:rsid w:val="00BD7F72"/>
    <w:rsid w:val="00BF7425"/>
    <w:rsid w:val="00C0348F"/>
    <w:rsid w:val="00C04FB3"/>
    <w:rsid w:val="00C11D8B"/>
    <w:rsid w:val="00C15139"/>
    <w:rsid w:val="00C330EB"/>
    <w:rsid w:val="00C50D69"/>
    <w:rsid w:val="00C5365C"/>
    <w:rsid w:val="00C754BE"/>
    <w:rsid w:val="00C76B1C"/>
    <w:rsid w:val="00C925AC"/>
    <w:rsid w:val="00CB6357"/>
    <w:rsid w:val="00CC1B26"/>
    <w:rsid w:val="00CF1773"/>
    <w:rsid w:val="00D361FD"/>
    <w:rsid w:val="00D423A2"/>
    <w:rsid w:val="00D44E26"/>
    <w:rsid w:val="00D520D8"/>
    <w:rsid w:val="00D63AC2"/>
    <w:rsid w:val="00D72671"/>
    <w:rsid w:val="00D7383B"/>
    <w:rsid w:val="00D7788A"/>
    <w:rsid w:val="00DA231B"/>
    <w:rsid w:val="00DC39FC"/>
    <w:rsid w:val="00DF07AE"/>
    <w:rsid w:val="00DF5254"/>
    <w:rsid w:val="00E02524"/>
    <w:rsid w:val="00E16408"/>
    <w:rsid w:val="00E20894"/>
    <w:rsid w:val="00E245AB"/>
    <w:rsid w:val="00E2764C"/>
    <w:rsid w:val="00E27F2E"/>
    <w:rsid w:val="00E50AFE"/>
    <w:rsid w:val="00E7430C"/>
    <w:rsid w:val="00E75C92"/>
    <w:rsid w:val="00E771DC"/>
    <w:rsid w:val="00E8772A"/>
    <w:rsid w:val="00E90F6B"/>
    <w:rsid w:val="00E92C27"/>
    <w:rsid w:val="00EA0E3D"/>
    <w:rsid w:val="00EC38A7"/>
    <w:rsid w:val="00ED6D7C"/>
    <w:rsid w:val="00EE1AA8"/>
    <w:rsid w:val="00F12803"/>
    <w:rsid w:val="00F23FEA"/>
    <w:rsid w:val="00F31EDC"/>
    <w:rsid w:val="00F32F9F"/>
    <w:rsid w:val="00F37AA4"/>
    <w:rsid w:val="00F41DD2"/>
    <w:rsid w:val="00F462B3"/>
    <w:rsid w:val="00F5664F"/>
    <w:rsid w:val="00F666C4"/>
    <w:rsid w:val="00F73D9C"/>
    <w:rsid w:val="00F76AFC"/>
    <w:rsid w:val="00FA47C0"/>
    <w:rsid w:val="00FB5DD1"/>
    <w:rsid w:val="00FC2B5D"/>
    <w:rsid w:val="00FE6447"/>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A19C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A19CD"/>
    <w:rPr>
      <w:rFonts w:ascii="Geomanist Light" w:hAnsi="Geomanist Light"/>
      <w:lang w:val="es-ES"/>
    </w:rPr>
  </w:style>
  <w:style w:type="paragraph" w:styleId="Textoindependiente">
    <w:name w:val="Body Text"/>
    <w:basedOn w:val="Normal"/>
    <w:link w:val="TextoindependienteCar"/>
    <w:uiPriority w:val="99"/>
    <w:semiHidden/>
    <w:unhideWhenUsed/>
    <w:rsid w:val="001A19CD"/>
    <w:pPr>
      <w:spacing w:after="120"/>
    </w:pPr>
  </w:style>
  <w:style w:type="character" w:customStyle="1" w:styleId="TextoindependienteCar">
    <w:name w:val="Texto independiente Car"/>
    <w:basedOn w:val="Fuentedeprrafopredeter"/>
    <w:link w:val="Textoindependiente"/>
    <w:uiPriority w:val="99"/>
    <w:semiHidden/>
    <w:rsid w:val="001A1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9083F32-8E48-47EB-9ED8-F7F2C0AD2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7E258E7D-F262-9549-ABC4-73E713A78F18}">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42</TotalTime>
  <Pages>23</Pages>
  <Words>8270</Words>
  <Characters>45489</Characters>
  <Application>Microsoft Office Word</Application>
  <DocSecurity>0</DocSecurity>
  <Lines>379</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2026-08-19T16:21:00Z</dcterms:created>
  <dcterms:modified xsi:type="dcterms:W3CDTF">2026-08-19T17:48:00Z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